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7FE06A3D" w:rsidR="00457BB8" w:rsidRPr="004D1AE0" w:rsidRDefault="00457BB8" w:rsidP="00CF56F0">
      <w:pPr>
        <w:spacing w:before="100" w:beforeAutospacing="1" w:after="100" w:afterAutospacing="1" w:line="360" w:lineRule="auto"/>
        <w:contextualSpacing/>
        <w:jc w:val="both"/>
        <w:rPr>
          <w:rFonts w:ascii="Palatino Linotype" w:hAnsi="Palatino Linotype"/>
        </w:rPr>
      </w:pPr>
      <w:r w:rsidRPr="004D1AE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615FF" w:rsidRPr="004D1AE0">
        <w:rPr>
          <w:rFonts w:ascii="Palatino Linotype" w:hAnsi="Palatino Linotype"/>
        </w:rPr>
        <w:t>cinco de noviembre</w:t>
      </w:r>
      <w:r w:rsidR="00F621F3" w:rsidRPr="004D1AE0">
        <w:rPr>
          <w:rFonts w:ascii="Palatino Linotype" w:hAnsi="Palatino Linotype"/>
        </w:rPr>
        <w:t xml:space="preserve"> </w:t>
      </w:r>
      <w:r w:rsidRPr="004D1AE0">
        <w:rPr>
          <w:rFonts w:ascii="Palatino Linotype" w:hAnsi="Palatino Linotype"/>
        </w:rPr>
        <w:t>de dos mil veinte.</w:t>
      </w:r>
    </w:p>
    <w:p w14:paraId="28464D58" w14:textId="77777777" w:rsidR="00457BB8" w:rsidRPr="004D1AE0" w:rsidRDefault="00457BB8" w:rsidP="00CF56F0">
      <w:pPr>
        <w:spacing w:before="100" w:beforeAutospacing="1" w:after="100" w:afterAutospacing="1" w:line="360" w:lineRule="auto"/>
        <w:contextualSpacing/>
        <w:jc w:val="both"/>
        <w:rPr>
          <w:rFonts w:ascii="Palatino Linotype" w:hAnsi="Palatino Linotype"/>
        </w:rPr>
      </w:pPr>
    </w:p>
    <w:p w14:paraId="2C11FACB" w14:textId="5E8710AD" w:rsidR="00457BB8" w:rsidRPr="004D1AE0" w:rsidRDefault="00457BB8" w:rsidP="00CF56F0">
      <w:pPr>
        <w:spacing w:before="100" w:beforeAutospacing="1" w:after="100" w:afterAutospacing="1" w:line="360" w:lineRule="auto"/>
        <w:contextualSpacing/>
        <w:jc w:val="both"/>
        <w:rPr>
          <w:rFonts w:ascii="Palatino Linotype" w:hAnsi="Palatino Linotype"/>
          <w:b/>
        </w:rPr>
      </w:pPr>
      <w:r w:rsidRPr="004D1AE0">
        <w:rPr>
          <w:rFonts w:ascii="Palatino Linotype" w:hAnsi="Palatino Linotype"/>
          <w:b/>
        </w:rPr>
        <w:t>VISTO</w:t>
      </w:r>
      <w:r w:rsidRPr="004D1AE0">
        <w:rPr>
          <w:rFonts w:ascii="Palatino Linotype" w:hAnsi="Palatino Linotype"/>
        </w:rPr>
        <w:t xml:space="preserve"> el expediente formado con motivo del recurso de revisión </w:t>
      </w:r>
      <w:r w:rsidR="00F621F3" w:rsidRPr="004D1AE0">
        <w:rPr>
          <w:rFonts w:ascii="Palatino Linotype" w:hAnsi="Palatino Linotype"/>
          <w:b/>
        </w:rPr>
        <w:t>0</w:t>
      </w:r>
      <w:r w:rsidR="005644E3" w:rsidRPr="004D1AE0">
        <w:rPr>
          <w:rFonts w:ascii="Palatino Linotype" w:hAnsi="Palatino Linotype"/>
          <w:b/>
        </w:rPr>
        <w:t>3777</w:t>
      </w:r>
      <w:r w:rsidRPr="004D1AE0">
        <w:rPr>
          <w:rFonts w:ascii="Palatino Linotype" w:hAnsi="Palatino Linotype"/>
          <w:b/>
        </w:rPr>
        <w:t>/INFOEM/IP/</w:t>
      </w:r>
      <w:proofErr w:type="spellStart"/>
      <w:r w:rsidRPr="004D1AE0">
        <w:rPr>
          <w:rFonts w:ascii="Palatino Linotype" w:hAnsi="Palatino Linotype"/>
          <w:b/>
        </w:rPr>
        <w:t>RR</w:t>
      </w:r>
      <w:proofErr w:type="spellEnd"/>
      <w:r w:rsidRPr="004D1AE0">
        <w:rPr>
          <w:rFonts w:ascii="Palatino Linotype" w:hAnsi="Palatino Linotype"/>
          <w:b/>
        </w:rPr>
        <w:t>/2020</w:t>
      </w:r>
      <w:r w:rsidR="00E07977" w:rsidRPr="004D1AE0">
        <w:rPr>
          <w:rFonts w:ascii="Palatino Linotype" w:hAnsi="Palatino Linotype"/>
        </w:rPr>
        <w:t xml:space="preserve">, promovido por </w:t>
      </w:r>
      <w:r w:rsidR="004D1AE0" w:rsidRPr="004D1AE0">
        <w:rPr>
          <w:rFonts w:ascii="Palatino Linotype" w:hAnsi="Palatino Linotype"/>
        </w:rPr>
        <w:t xml:space="preserve">el C. </w:t>
      </w:r>
      <w:proofErr w:type="spellStart"/>
      <w:r w:rsidR="009C4235" w:rsidRPr="009C4235">
        <w:rPr>
          <w:rFonts w:ascii="Palatino Linotype" w:hAnsi="Palatino Linotype"/>
          <w:b/>
          <w:lang w:val="es-ES_tradnl"/>
        </w:rPr>
        <w:t>XXXX</w:t>
      </w:r>
      <w:proofErr w:type="spellEnd"/>
      <w:r w:rsidR="009C4235" w:rsidRPr="009C4235">
        <w:rPr>
          <w:rFonts w:ascii="Palatino Linotype" w:hAnsi="Palatino Linotype"/>
          <w:b/>
          <w:lang w:val="es-ES_tradnl"/>
        </w:rPr>
        <w:t xml:space="preserve"> </w:t>
      </w:r>
      <w:proofErr w:type="spellStart"/>
      <w:r w:rsidR="009C4235" w:rsidRPr="009C4235">
        <w:rPr>
          <w:rFonts w:ascii="Palatino Linotype" w:hAnsi="Palatino Linotype"/>
          <w:b/>
          <w:lang w:val="es-ES_tradnl"/>
        </w:rPr>
        <w:t>XXXXXXXXX</w:t>
      </w:r>
      <w:proofErr w:type="spellEnd"/>
      <w:r w:rsidR="009C4235" w:rsidRPr="009C4235">
        <w:rPr>
          <w:rFonts w:ascii="Palatino Linotype" w:hAnsi="Palatino Linotype"/>
          <w:b/>
          <w:lang w:val="es-ES_tradnl"/>
        </w:rPr>
        <w:t xml:space="preserve"> </w:t>
      </w:r>
      <w:proofErr w:type="spellStart"/>
      <w:r w:rsidR="009C4235" w:rsidRPr="009C4235">
        <w:rPr>
          <w:rFonts w:ascii="Palatino Linotype" w:hAnsi="Palatino Linotype"/>
          <w:b/>
          <w:lang w:val="es-ES_tradnl"/>
        </w:rPr>
        <w:t>XXXXXX</w:t>
      </w:r>
      <w:proofErr w:type="spellEnd"/>
      <w:r w:rsidRPr="004D1AE0">
        <w:rPr>
          <w:rFonts w:ascii="Palatino Linotype" w:hAnsi="Palatino Linotype" w:cs="Arial"/>
          <w:b/>
        </w:rPr>
        <w:t xml:space="preserve">, </w:t>
      </w:r>
      <w:r w:rsidRPr="004D1AE0">
        <w:rPr>
          <w:rFonts w:ascii="Palatino Linotype" w:hAnsi="Palatino Linotype" w:cs="Arial"/>
        </w:rPr>
        <w:t>en lo sucesivo</w:t>
      </w:r>
      <w:r w:rsidRPr="004D1AE0">
        <w:rPr>
          <w:rFonts w:ascii="Palatino Linotype" w:hAnsi="Palatino Linotype" w:cs="Arial"/>
          <w:b/>
        </w:rPr>
        <w:t xml:space="preserve"> EL RECURRENTE,</w:t>
      </w:r>
      <w:r w:rsidRPr="004D1AE0">
        <w:rPr>
          <w:rFonts w:ascii="Palatino Linotype" w:hAnsi="Palatino Linotype"/>
        </w:rPr>
        <w:t xml:space="preserve"> en contra</w:t>
      </w:r>
      <w:r w:rsidR="005644E3" w:rsidRPr="004D1AE0">
        <w:rPr>
          <w:rFonts w:ascii="Palatino Linotype" w:hAnsi="Palatino Linotype"/>
        </w:rPr>
        <w:t xml:space="preserve"> de la respuesta emitida por la </w:t>
      </w:r>
      <w:r w:rsidR="00890CB2" w:rsidRPr="004D1AE0">
        <w:rPr>
          <w:rFonts w:ascii="Palatino Linotype" w:hAnsi="Palatino Linotype"/>
          <w:b/>
        </w:rPr>
        <w:t xml:space="preserve">Secretaría de </w:t>
      </w:r>
      <w:bookmarkStart w:id="0" w:name="_GoBack"/>
      <w:bookmarkEnd w:id="0"/>
      <w:r w:rsidR="00890CB2" w:rsidRPr="004D1AE0">
        <w:rPr>
          <w:rFonts w:ascii="Palatino Linotype" w:hAnsi="Palatino Linotype"/>
          <w:b/>
        </w:rPr>
        <w:t xml:space="preserve">Finanzas </w:t>
      </w:r>
      <w:r w:rsidRPr="004D1AE0">
        <w:rPr>
          <w:rFonts w:ascii="Palatino Linotype" w:hAnsi="Palatino Linotype"/>
        </w:rPr>
        <w:t xml:space="preserve">en lo sucesivo </w:t>
      </w:r>
      <w:r w:rsidRPr="004D1AE0">
        <w:rPr>
          <w:rFonts w:ascii="Palatino Linotype" w:hAnsi="Palatino Linotype"/>
          <w:b/>
        </w:rPr>
        <w:t>EL SUJETO OBLIGADO</w:t>
      </w:r>
      <w:r w:rsidRPr="004D1AE0">
        <w:rPr>
          <w:rFonts w:ascii="Palatino Linotype" w:hAnsi="Palatino Linotype"/>
        </w:rPr>
        <w:t xml:space="preserve">, se procede a dictar la presente resolución con base en lo siguiente: </w:t>
      </w:r>
    </w:p>
    <w:p w14:paraId="48CEFEB5" w14:textId="77777777" w:rsidR="00457BB8" w:rsidRPr="004D1AE0" w:rsidRDefault="00457BB8" w:rsidP="00CF56F0">
      <w:pPr>
        <w:spacing w:before="100" w:beforeAutospacing="1" w:after="100" w:afterAutospacing="1"/>
        <w:contextualSpacing/>
        <w:jc w:val="center"/>
        <w:rPr>
          <w:rFonts w:ascii="Palatino Linotype" w:hAnsi="Palatino Linotype"/>
        </w:rPr>
      </w:pPr>
    </w:p>
    <w:p w14:paraId="480E521A" w14:textId="77777777" w:rsidR="00457BB8" w:rsidRPr="004D1AE0" w:rsidRDefault="00457BB8" w:rsidP="00CF56F0">
      <w:pPr>
        <w:spacing w:before="100" w:beforeAutospacing="1" w:after="100" w:afterAutospacing="1"/>
        <w:contextualSpacing/>
        <w:jc w:val="center"/>
        <w:rPr>
          <w:rFonts w:ascii="Palatino Linotype" w:hAnsi="Palatino Linotype"/>
          <w:b/>
          <w:bCs/>
          <w:spacing w:val="40"/>
          <w:sz w:val="28"/>
        </w:rPr>
      </w:pPr>
      <w:r w:rsidRPr="004D1AE0">
        <w:rPr>
          <w:rFonts w:ascii="Palatino Linotype" w:hAnsi="Palatino Linotype"/>
          <w:b/>
          <w:bCs/>
          <w:spacing w:val="40"/>
          <w:sz w:val="28"/>
        </w:rPr>
        <w:t>RESULTANDO</w:t>
      </w:r>
    </w:p>
    <w:p w14:paraId="68707BF2" w14:textId="77777777" w:rsidR="00457BB8" w:rsidRPr="004D1AE0" w:rsidRDefault="00457BB8" w:rsidP="00CF56F0">
      <w:pPr>
        <w:spacing w:before="100" w:beforeAutospacing="1" w:after="100" w:afterAutospacing="1"/>
        <w:contextualSpacing/>
        <w:jc w:val="center"/>
        <w:rPr>
          <w:rFonts w:ascii="Palatino Linotype" w:hAnsi="Palatino Linotype"/>
          <w:b/>
          <w:bCs/>
          <w:spacing w:val="40"/>
        </w:rPr>
      </w:pPr>
    </w:p>
    <w:p w14:paraId="3E4FDE36" w14:textId="200004D8" w:rsidR="00457BB8" w:rsidRPr="004D1AE0" w:rsidRDefault="00457BB8" w:rsidP="00CF56F0">
      <w:pPr>
        <w:spacing w:before="100" w:beforeAutospacing="1" w:after="100" w:afterAutospacing="1" w:line="360" w:lineRule="auto"/>
        <w:contextualSpacing/>
        <w:jc w:val="both"/>
        <w:rPr>
          <w:rFonts w:ascii="Palatino Linotype" w:hAnsi="Palatino Linotype" w:cs="Arial"/>
          <w:b/>
          <w:bCs/>
          <w:lang w:val="es-ES"/>
        </w:rPr>
      </w:pPr>
      <w:r w:rsidRPr="004D1AE0">
        <w:rPr>
          <w:rFonts w:ascii="Palatino Linotype" w:hAnsi="Palatino Linotype"/>
          <w:b/>
          <w:sz w:val="28"/>
          <w:szCs w:val="28"/>
        </w:rPr>
        <w:t xml:space="preserve">I. </w:t>
      </w:r>
      <w:r w:rsidRPr="004D1AE0">
        <w:rPr>
          <w:rFonts w:ascii="Palatino Linotype" w:hAnsi="Palatino Linotype" w:cs="Arial"/>
        </w:rPr>
        <w:t xml:space="preserve">En </w:t>
      </w:r>
      <w:r w:rsidRPr="004D1AE0">
        <w:rPr>
          <w:rFonts w:ascii="Palatino Linotype" w:hAnsi="Palatino Linotype" w:cs="Arial"/>
          <w:lang w:val="es-ES"/>
        </w:rPr>
        <w:t>fecha</w:t>
      </w:r>
      <w:r w:rsidRPr="004D1AE0">
        <w:rPr>
          <w:rFonts w:ascii="Palatino Linotype" w:hAnsi="Palatino Linotype"/>
          <w:lang w:val="es-ES"/>
        </w:rPr>
        <w:t xml:space="preserve"> </w:t>
      </w:r>
      <w:r w:rsidR="005644E3" w:rsidRPr="004D1AE0">
        <w:rPr>
          <w:rFonts w:ascii="Palatino Linotype" w:hAnsi="Palatino Linotype" w:cs="Arial"/>
          <w:lang w:val="es-ES"/>
        </w:rPr>
        <w:t>tres de agosto</w:t>
      </w:r>
      <w:r w:rsidR="00E07977" w:rsidRPr="004D1AE0">
        <w:rPr>
          <w:rFonts w:ascii="Palatino Linotype" w:hAnsi="Palatino Linotype" w:cs="Arial"/>
          <w:lang w:val="es-ES"/>
        </w:rPr>
        <w:t xml:space="preserve"> </w:t>
      </w:r>
      <w:r w:rsidRPr="004D1AE0">
        <w:rPr>
          <w:rFonts w:ascii="Palatino Linotype" w:hAnsi="Palatino Linotype" w:cs="Arial"/>
          <w:lang w:val="es-ES"/>
        </w:rPr>
        <w:t>de dos mil veinte</w:t>
      </w:r>
      <w:r w:rsidRPr="004D1AE0">
        <w:rPr>
          <w:rFonts w:ascii="Palatino Linotype" w:hAnsi="Palatino Linotype"/>
          <w:lang w:val="es-ES"/>
        </w:rPr>
        <w:t xml:space="preserve">, </w:t>
      </w:r>
      <w:r w:rsidRPr="004D1AE0">
        <w:rPr>
          <w:rFonts w:ascii="Palatino Linotype" w:hAnsi="Palatino Linotype"/>
          <w:b/>
          <w:lang w:val="es-ES"/>
        </w:rPr>
        <w:t>EL RECURRENTE</w:t>
      </w:r>
      <w:r w:rsidRPr="004D1AE0">
        <w:rPr>
          <w:rFonts w:ascii="Palatino Linotype" w:hAnsi="Palatino Linotype" w:cs="Arial"/>
          <w:lang w:val="es-ES"/>
        </w:rPr>
        <w:t xml:space="preserve"> </w:t>
      </w:r>
      <w:r w:rsidRPr="004D1AE0">
        <w:rPr>
          <w:rFonts w:ascii="Palatino Linotype" w:hAnsi="Palatino Linotype" w:cs="Arial"/>
        </w:rPr>
        <w:t xml:space="preserve">presentó </w:t>
      </w:r>
      <w:r w:rsidR="005644E3" w:rsidRPr="004D1AE0">
        <w:rPr>
          <w:rFonts w:ascii="Palatino Linotype" w:hAnsi="Palatino Linotype" w:cs="Arial"/>
        </w:rPr>
        <w:t>del</w:t>
      </w:r>
      <w:r w:rsidRPr="004D1AE0">
        <w:rPr>
          <w:rFonts w:ascii="Palatino Linotype" w:hAnsi="Palatino Linotype" w:cs="Arial"/>
        </w:rPr>
        <w:t xml:space="preserve"> Sistema de Acceso a la Información Mexiquense, en lo subsecuente </w:t>
      </w:r>
      <w:r w:rsidRPr="004D1AE0">
        <w:rPr>
          <w:rFonts w:ascii="Palatino Linotype" w:hAnsi="Palatino Linotype" w:cs="Arial"/>
          <w:b/>
        </w:rPr>
        <w:t xml:space="preserve">EL </w:t>
      </w:r>
      <w:proofErr w:type="spellStart"/>
      <w:r w:rsidRPr="004D1AE0">
        <w:rPr>
          <w:rFonts w:ascii="Palatino Linotype" w:hAnsi="Palatino Linotype" w:cs="Arial"/>
          <w:b/>
        </w:rPr>
        <w:t>SAIMEX</w:t>
      </w:r>
      <w:proofErr w:type="spellEnd"/>
      <w:r w:rsidRPr="004D1AE0">
        <w:rPr>
          <w:rFonts w:ascii="Palatino Linotype" w:hAnsi="Palatino Linotype" w:cs="Arial"/>
        </w:rPr>
        <w:t xml:space="preserve"> ante </w:t>
      </w:r>
      <w:r w:rsidRPr="004D1AE0">
        <w:rPr>
          <w:rFonts w:ascii="Palatino Linotype" w:hAnsi="Palatino Linotype" w:cs="Arial"/>
          <w:b/>
        </w:rPr>
        <w:t>EL SUJETO OBLIGADO</w:t>
      </w:r>
      <w:r w:rsidRPr="004D1AE0">
        <w:rPr>
          <w:rFonts w:ascii="Palatino Linotype" w:hAnsi="Palatino Linotype" w:cs="Arial"/>
          <w:lang w:val="es-ES"/>
        </w:rPr>
        <w:t xml:space="preserve">, la solicitud de acceso a la información pública, a la que se le asignó el número de expediente </w:t>
      </w:r>
      <w:r w:rsidR="005644E3" w:rsidRPr="004D1AE0">
        <w:rPr>
          <w:rFonts w:ascii="Palatino Linotype" w:hAnsi="Palatino Linotype" w:cs="Arial"/>
          <w:b/>
        </w:rPr>
        <w:t>00326</w:t>
      </w:r>
      <w:r w:rsidR="007A5183" w:rsidRPr="004D1AE0">
        <w:rPr>
          <w:rFonts w:ascii="Palatino Linotype" w:hAnsi="Palatino Linotype" w:cs="Arial"/>
          <w:b/>
        </w:rPr>
        <w:t>/</w:t>
      </w:r>
      <w:proofErr w:type="spellStart"/>
      <w:r w:rsidR="005644E3" w:rsidRPr="004D1AE0">
        <w:rPr>
          <w:rFonts w:ascii="Palatino Linotype" w:hAnsi="Palatino Linotype" w:cs="Arial"/>
          <w:b/>
        </w:rPr>
        <w:t>SF</w:t>
      </w:r>
      <w:proofErr w:type="spellEnd"/>
      <w:r w:rsidRPr="004D1AE0">
        <w:rPr>
          <w:rFonts w:ascii="Palatino Linotype" w:hAnsi="Palatino Linotype" w:cs="Arial"/>
          <w:b/>
        </w:rPr>
        <w:t>/IP/2020</w:t>
      </w:r>
      <w:r w:rsidRPr="004D1AE0">
        <w:rPr>
          <w:rFonts w:ascii="Palatino Linotype" w:hAnsi="Palatino Linotype" w:cs="Arial"/>
          <w:lang w:val="es-ES"/>
        </w:rPr>
        <w:t>, mediante la cual solicitó:</w:t>
      </w:r>
    </w:p>
    <w:p w14:paraId="190C9BA8" w14:textId="77777777" w:rsidR="00457BB8" w:rsidRPr="004D1AE0" w:rsidRDefault="00457BB8" w:rsidP="00CF56F0">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13BC2DF0" w14:textId="44EF45A5" w:rsidR="00457BB8" w:rsidRPr="004D1AE0" w:rsidRDefault="00457BB8" w:rsidP="00CF56F0">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4D1AE0">
        <w:rPr>
          <w:rFonts w:ascii="Palatino Linotype" w:hAnsi="Palatino Linotype" w:cs="Arial"/>
          <w:i/>
          <w:sz w:val="22"/>
          <w:szCs w:val="22"/>
        </w:rPr>
        <w:t>“</w:t>
      </w:r>
      <w:r w:rsidR="005644E3" w:rsidRPr="004D1AE0">
        <w:rPr>
          <w:rFonts w:ascii="Palatino Linotype" w:hAnsi="Palatino Linotype" w:cs="Arial"/>
          <w:i/>
          <w:sz w:val="22"/>
          <w:szCs w:val="22"/>
        </w:rPr>
        <w:t xml:space="preserve">De conformidad con los artículos 4° y 7° de la Ley de Transparencia y Acceso a la Información Pública del Estado de México y Municipios, por medio del presente solicito copia del </w:t>
      </w:r>
      <w:r w:rsidR="005644E3" w:rsidRPr="004D1AE0">
        <w:rPr>
          <w:rFonts w:ascii="Palatino Linotype" w:hAnsi="Palatino Linotype" w:cs="Arial"/>
          <w:b/>
          <w:i/>
          <w:sz w:val="22"/>
          <w:szCs w:val="22"/>
        </w:rPr>
        <w:t xml:space="preserve">inventario actual de los bienes de dominio público y dominio privado que se ubiquen en la Colonia Industrial </w:t>
      </w:r>
      <w:proofErr w:type="spellStart"/>
      <w:r w:rsidR="005644E3" w:rsidRPr="004D1AE0">
        <w:rPr>
          <w:rFonts w:ascii="Palatino Linotype" w:hAnsi="Palatino Linotype" w:cs="Arial"/>
          <w:b/>
          <w:i/>
          <w:sz w:val="22"/>
          <w:szCs w:val="22"/>
        </w:rPr>
        <w:t>Xhala</w:t>
      </w:r>
      <w:proofErr w:type="spellEnd"/>
      <w:r w:rsidR="005644E3" w:rsidRPr="004D1AE0">
        <w:rPr>
          <w:rFonts w:ascii="Palatino Linotype" w:hAnsi="Palatino Linotype" w:cs="Arial"/>
          <w:b/>
          <w:i/>
          <w:sz w:val="22"/>
          <w:szCs w:val="22"/>
        </w:rPr>
        <w:t>, Municipio de Cuautitlán Izcalli y que sean propiedad del Estado de México y sus diversos órganos.</w:t>
      </w:r>
      <w:r w:rsidR="005644E3" w:rsidRPr="004D1AE0">
        <w:rPr>
          <w:rFonts w:ascii="Palatino Linotype" w:hAnsi="Palatino Linotype" w:cs="Arial"/>
          <w:i/>
          <w:sz w:val="22"/>
          <w:szCs w:val="22"/>
        </w:rPr>
        <w:t xml:space="preserve"> Es importante precisar que el inventario que requiere el suscrito es el inventario realizado de conformidad con los Lineamientos para el registro y control del inventario y la conciliación y desincorporación de bienes muebles e inmuebles y en el cual se establezca de forma clara y precisa: el domicilio y ubicación exacta de cada inmueble, superficie de cada inmueble, medidas y colindancias de cada inmueble, uso de cada inmueble, medio de adquisición de cada inmueble, situación legal de cada inmueble, valor de cada inmueble y tipo de inmueble. De igual forma, solicito me proporcione la Constancia de Inscripción al Registro Administrativo de </w:t>
      </w:r>
      <w:r w:rsidR="005644E3" w:rsidRPr="004D1AE0">
        <w:rPr>
          <w:rFonts w:ascii="Palatino Linotype" w:hAnsi="Palatino Linotype" w:cs="Arial"/>
          <w:i/>
          <w:sz w:val="22"/>
          <w:szCs w:val="22"/>
        </w:rPr>
        <w:lastRenderedPageBreak/>
        <w:t xml:space="preserve">Bienes de Dominio Público y Privado de los Inmuebles que se ubiquen en la Colonia Industrial </w:t>
      </w:r>
      <w:proofErr w:type="spellStart"/>
      <w:r w:rsidR="005644E3" w:rsidRPr="004D1AE0">
        <w:rPr>
          <w:rFonts w:ascii="Palatino Linotype" w:hAnsi="Palatino Linotype" w:cs="Arial"/>
          <w:i/>
          <w:sz w:val="22"/>
          <w:szCs w:val="22"/>
        </w:rPr>
        <w:t>Xhala</w:t>
      </w:r>
      <w:proofErr w:type="spellEnd"/>
      <w:r w:rsidR="005644E3" w:rsidRPr="004D1AE0">
        <w:rPr>
          <w:rFonts w:ascii="Palatino Linotype" w:hAnsi="Palatino Linotype" w:cs="Arial"/>
          <w:i/>
          <w:sz w:val="22"/>
          <w:szCs w:val="22"/>
        </w:rPr>
        <w:t xml:space="preserve">, Municipio de Cuautitlán Izcalli y que sean propiedad del Estado de México y sus diversos órganos. Por último, también se solicita copia de los documentos, títulos, decretos, resoluciones y demás documentos que acrediten la propiedad de los inmuebles de dominio público y dominio privado propiedad de del Estado de México y sus diversos órganos, que se ubiquen en la Colonia Industrial </w:t>
      </w:r>
      <w:proofErr w:type="spellStart"/>
      <w:r w:rsidR="005644E3" w:rsidRPr="004D1AE0">
        <w:rPr>
          <w:rFonts w:ascii="Palatino Linotype" w:hAnsi="Palatino Linotype" w:cs="Arial"/>
          <w:i/>
          <w:sz w:val="22"/>
          <w:szCs w:val="22"/>
        </w:rPr>
        <w:t>Xhala</w:t>
      </w:r>
      <w:proofErr w:type="spellEnd"/>
      <w:r w:rsidR="005644E3" w:rsidRPr="004D1AE0">
        <w:rPr>
          <w:rFonts w:ascii="Palatino Linotype" w:hAnsi="Palatino Linotype" w:cs="Arial"/>
          <w:i/>
          <w:sz w:val="22"/>
          <w:szCs w:val="22"/>
        </w:rPr>
        <w:t>, Municipio de Cuautitlán Izcalli. Incluso de aquellos que se encuentren en proceso de regularización, de los cuales también requiero los documentos que acrediten su propiedad</w:t>
      </w:r>
      <w:proofErr w:type="gramStart"/>
      <w:r w:rsidR="005644E3" w:rsidRPr="004D1AE0">
        <w:rPr>
          <w:rFonts w:ascii="Palatino Linotype" w:hAnsi="Palatino Linotype" w:cs="Arial"/>
          <w:i/>
          <w:sz w:val="22"/>
          <w:szCs w:val="22"/>
        </w:rPr>
        <w:t>.</w:t>
      </w:r>
      <w:r w:rsidR="008615FF" w:rsidRPr="004D1AE0">
        <w:rPr>
          <w:rFonts w:ascii="Palatino Linotype" w:hAnsi="Palatino Linotype" w:cs="Arial"/>
          <w:i/>
          <w:sz w:val="22"/>
          <w:szCs w:val="22"/>
        </w:rPr>
        <w:t>.</w:t>
      </w:r>
      <w:r w:rsidRPr="004D1AE0">
        <w:rPr>
          <w:rFonts w:ascii="Palatino Linotype" w:hAnsi="Palatino Linotype" w:cs="Arial"/>
          <w:i/>
          <w:sz w:val="22"/>
          <w:szCs w:val="22"/>
        </w:rPr>
        <w:t>”</w:t>
      </w:r>
      <w:proofErr w:type="gramEnd"/>
      <w:r w:rsidRPr="004D1AE0">
        <w:rPr>
          <w:rFonts w:ascii="Palatino Linotype" w:hAnsi="Palatino Linotype" w:cs="Arial"/>
          <w:i/>
          <w:sz w:val="22"/>
          <w:szCs w:val="22"/>
        </w:rPr>
        <w:t xml:space="preserve"> (Sic)</w:t>
      </w:r>
    </w:p>
    <w:p w14:paraId="353B029D" w14:textId="77777777" w:rsidR="00457BB8" w:rsidRPr="004D1AE0" w:rsidRDefault="00457BB8" w:rsidP="00CF56F0">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33E0243E" w14:textId="2A4FA5FB" w:rsidR="00457BB8" w:rsidRPr="004D1AE0" w:rsidRDefault="00457BB8" w:rsidP="00CF56F0">
      <w:pPr>
        <w:spacing w:before="100" w:beforeAutospacing="1" w:after="100" w:afterAutospacing="1" w:line="360" w:lineRule="auto"/>
        <w:contextualSpacing/>
        <w:jc w:val="both"/>
        <w:rPr>
          <w:rFonts w:ascii="Palatino Linotype" w:hAnsi="Palatino Linotype" w:cs="Arial"/>
          <w:b/>
        </w:rPr>
      </w:pPr>
      <w:r w:rsidRPr="004D1AE0">
        <w:rPr>
          <w:rFonts w:ascii="Palatino Linotype" w:hAnsi="Palatino Linotype" w:cs="Arial"/>
          <w:b/>
        </w:rPr>
        <w:t>MODALIDAD DE ENTREGA:</w:t>
      </w:r>
      <w:r w:rsidRPr="004D1AE0">
        <w:rPr>
          <w:rFonts w:ascii="Palatino Linotype" w:hAnsi="Palatino Linotype" w:cs="Arial"/>
        </w:rPr>
        <w:t xml:space="preserve"> Vía </w:t>
      </w:r>
      <w:proofErr w:type="spellStart"/>
      <w:r w:rsidRPr="004D1AE0">
        <w:rPr>
          <w:rFonts w:ascii="Palatino Linotype" w:hAnsi="Palatino Linotype" w:cs="Arial"/>
          <w:b/>
        </w:rPr>
        <w:t>SAIMEX</w:t>
      </w:r>
      <w:proofErr w:type="spellEnd"/>
      <w:r w:rsidRPr="004D1AE0">
        <w:rPr>
          <w:rFonts w:ascii="Palatino Linotype" w:hAnsi="Palatino Linotype" w:cs="Arial"/>
          <w:b/>
        </w:rPr>
        <w:t>.</w:t>
      </w:r>
    </w:p>
    <w:p w14:paraId="38DB24E2" w14:textId="77777777" w:rsidR="00457BB8" w:rsidRPr="004D1AE0" w:rsidRDefault="00457BB8" w:rsidP="00CF56F0">
      <w:pPr>
        <w:spacing w:before="100" w:beforeAutospacing="1" w:after="100" w:afterAutospacing="1" w:line="360" w:lineRule="auto"/>
        <w:contextualSpacing/>
        <w:jc w:val="both"/>
        <w:rPr>
          <w:rFonts w:ascii="Palatino Linotype" w:hAnsi="Palatino Linotype" w:cs="Arial"/>
        </w:rPr>
      </w:pPr>
    </w:p>
    <w:p w14:paraId="1A07F6AF" w14:textId="0CFBF85B" w:rsidR="008615FF" w:rsidRPr="004D1AE0" w:rsidRDefault="00457BB8" w:rsidP="008615FF">
      <w:pPr>
        <w:spacing w:before="100" w:beforeAutospacing="1" w:after="100" w:afterAutospacing="1" w:line="360" w:lineRule="auto"/>
        <w:contextualSpacing/>
        <w:jc w:val="both"/>
        <w:rPr>
          <w:rFonts w:ascii="Palatino Linotype" w:hAnsi="Palatino Linotype"/>
        </w:rPr>
      </w:pPr>
      <w:r w:rsidRPr="004D1AE0">
        <w:rPr>
          <w:rFonts w:ascii="Palatino Linotype" w:hAnsi="Palatino Linotype"/>
          <w:b/>
          <w:sz w:val="28"/>
          <w:szCs w:val="28"/>
        </w:rPr>
        <w:t xml:space="preserve">II. </w:t>
      </w:r>
      <w:r w:rsidR="008615FF" w:rsidRPr="004D1AE0">
        <w:rPr>
          <w:rFonts w:ascii="Palatino Linotype" w:hAnsi="Palatino Linotype" w:cs="Arial"/>
        </w:rPr>
        <w:t xml:space="preserve">En cumplimiento al artículo 162 de la Ley de Transparencia y Acceso a la Información Pública del Estado de México y Municipios, el quince de septiembre de dos mil veinte, el Titular de la Unidad de Transparencia del </w:t>
      </w:r>
      <w:r w:rsidR="008615FF" w:rsidRPr="004D1AE0">
        <w:rPr>
          <w:rFonts w:ascii="Palatino Linotype" w:hAnsi="Palatino Linotype" w:cs="Arial"/>
          <w:b/>
        </w:rPr>
        <w:t>SUJETO OBLIGADO</w:t>
      </w:r>
      <w:r w:rsidR="00170E3A" w:rsidRPr="004D1AE0">
        <w:rPr>
          <w:rFonts w:ascii="Palatino Linotype" w:hAnsi="Palatino Linotype" w:cs="Arial"/>
        </w:rPr>
        <w:t>, mediante los</w:t>
      </w:r>
      <w:r w:rsidR="008615FF" w:rsidRPr="004D1AE0">
        <w:rPr>
          <w:rFonts w:ascii="Palatino Linotype" w:hAnsi="Palatino Linotype" w:cs="Arial"/>
        </w:rPr>
        <w:t xml:space="preserve"> folio</w:t>
      </w:r>
      <w:r w:rsidR="00170E3A" w:rsidRPr="004D1AE0">
        <w:rPr>
          <w:rFonts w:ascii="Palatino Linotype" w:hAnsi="Palatino Linotype" w:cs="Arial"/>
        </w:rPr>
        <w:t>s</w:t>
      </w:r>
      <w:r w:rsidR="008615FF" w:rsidRPr="004D1AE0">
        <w:rPr>
          <w:rFonts w:ascii="Palatino Linotype" w:hAnsi="Palatino Linotype" w:cs="Arial"/>
        </w:rPr>
        <w:t xml:space="preserve"> </w:t>
      </w:r>
      <w:r w:rsidR="005644E3" w:rsidRPr="004D1AE0">
        <w:rPr>
          <w:rFonts w:ascii="Palatino Linotype" w:hAnsi="Palatino Linotype" w:cs="Arial"/>
          <w:b/>
          <w:bCs/>
        </w:rPr>
        <w:t>00326</w:t>
      </w:r>
      <w:r w:rsidR="008615FF" w:rsidRPr="004D1AE0">
        <w:rPr>
          <w:rFonts w:ascii="Palatino Linotype" w:hAnsi="Palatino Linotype" w:cs="Arial"/>
          <w:b/>
          <w:bCs/>
        </w:rPr>
        <w:t>/</w:t>
      </w:r>
      <w:proofErr w:type="spellStart"/>
      <w:r w:rsidR="005644E3" w:rsidRPr="004D1AE0">
        <w:rPr>
          <w:rFonts w:ascii="Palatino Linotype" w:hAnsi="Palatino Linotype" w:cs="Arial"/>
          <w:b/>
          <w:bCs/>
        </w:rPr>
        <w:t>SF</w:t>
      </w:r>
      <w:proofErr w:type="spellEnd"/>
      <w:r w:rsidR="008615FF" w:rsidRPr="004D1AE0">
        <w:rPr>
          <w:rFonts w:ascii="Palatino Linotype" w:hAnsi="Palatino Linotype" w:cs="Arial"/>
          <w:b/>
          <w:bCs/>
        </w:rPr>
        <w:t>/IP/2020/</w:t>
      </w:r>
      <w:proofErr w:type="spellStart"/>
      <w:r w:rsidR="008615FF" w:rsidRPr="004D1AE0">
        <w:rPr>
          <w:rFonts w:ascii="Palatino Linotype" w:hAnsi="Palatino Linotype" w:cs="Arial"/>
          <w:b/>
          <w:bCs/>
        </w:rPr>
        <w:t>TSP</w:t>
      </w:r>
      <w:proofErr w:type="spellEnd"/>
      <w:r w:rsidR="008615FF" w:rsidRPr="004D1AE0">
        <w:rPr>
          <w:rFonts w:ascii="Palatino Linotype" w:hAnsi="Palatino Linotype" w:cs="Arial"/>
          <w:b/>
          <w:bCs/>
        </w:rPr>
        <w:t>/0001,</w:t>
      </w:r>
      <w:r w:rsidR="008615FF" w:rsidRPr="004D1AE0">
        <w:rPr>
          <w:rFonts w:ascii="Palatino Linotype" w:hAnsi="Palatino Linotype" w:cs="Arial"/>
        </w:rPr>
        <w:t xml:space="preserve"> </w:t>
      </w:r>
      <w:r w:rsidR="008615FF" w:rsidRPr="004D1AE0">
        <w:rPr>
          <w:rFonts w:ascii="Palatino Linotype" w:hAnsi="Palatino Linotype"/>
          <w:bCs/>
        </w:rPr>
        <w:t>turnó el requerimiento de información, a fin de colmar la solicitud de acceso a la información; tal y como</w:t>
      </w:r>
      <w:r w:rsidR="00170E3A" w:rsidRPr="004D1AE0">
        <w:rPr>
          <w:rFonts w:ascii="Palatino Linotype" w:hAnsi="Palatino Linotype"/>
          <w:bCs/>
        </w:rPr>
        <w:t>, se aprecia en la imagen siguiente</w:t>
      </w:r>
      <w:r w:rsidR="008615FF" w:rsidRPr="004D1AE0">
        <w:rPr>
          <w:rFonts w:ascii="Palatino Linotype" w:hAnsi="Palatino Linotype"/>
          <w:bCs/>
        </w:rPr>
        <w:t>:</w:t>
      </w:r>
    </w:p>
    <w:p w14:paraId="183E5276" w14:textId="77777777" w:rsidR="008615FF" w:rsidRPr="004D1AE0" w:rsidRDefault="008615FF" w:rsidP="00CF56F0">
      <w:pPr>
        <w:spacing w:before="100" w:beforeAutospacing="1" w:after="100" w:afterAutospacing="1" w:line="360" w:lineRule="auto"/>
        <w:contextualSpacing/>
        <w:jc w:val="both"/>
        <w:rPr>
          <w:rFonts w:ascii="Palatino Linotype" w:hAnsi="Palatino Linotype"/>
          <w:b/>
          <w:sz w:val="28"/>
          <w:szCs w:val="28"/>
        </w:rPr>
      </w:pPr>
    </w:p>
    <w:p w14:paraId="71F8D944" w14:textId="112D51F2" w:rsidR="00170E3A" w:rsidRPr="004D1AE0" w:rsidRDefault="005644E3" w:rsidP="00CF56F0">
      <w:pPr>
        <w:spacing w:before="100" w:beforeAutospacing="1" w:after="100" w:afterAutospacing="1" w:line="360" w:lineRule="auto"/>
        <w:contextualSpacing/>
        <w:jc w:val="both"/>
        <w:rPr>
          <w:rFonts w:ascii="Palatino Linotype" w:hAnsi="Palatino Linotype"/>
          <w:b/>
          <w:sz w:val="28"/>
          <w:szCs w:val="28"/>
        </w:rPr>
      </w:pPr>
      <w:r w:rsidRPr="004D1AE0">
        <w:rPr>
          <w:noProof/>
          <w:lang w:eastAsia="es-MX"/>
        </w:rPr>
        <w:drawing>
          <wp:inline distT="0" distB="0" distL="0" distR="0" wp14:anchorId="12AD5FF9" wp14:editId="262D04B0">
            <wp:extent cx="5623560" cy="11963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79" t="41396" r="1326" b="41532"/>
                    <a:stretch/>
                  </pic:blipFill>
                  <pic:spPr bwMode="auto">
                    <a:xfrm>
                      <a:off x="0" y="0"/>
                      <a:ext cx="5623560" cy="11963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B7B72D" w14:textId="77777777" w:rsidR="008615FF" w:rsidRPr="004D1AE0" w:rsidRDefault="008615FF" w:rsidP="00CF56F0">
      <w:pPr>
        <w:spacing w:before="100" w:beforeAutospacing="1" w:after="100" w:afterAutospacing="1" w:line="360" w:lineRule="auto"/>
        <w:contextualSpacing/>
        <w:jc w:val="both"/>
        <w:rPr>
          <w:rFonts w:ascii="Palatino Linotype" w:hAnsi="Palatino Linotype"/>
          <w:b/>
          <w:sz w:val="28"/>
          <w:szCs w:val="28"/>
        </w:rPr>
      </w:pPr>
    </w:p>
    <w:p w14:paraId="4A22BB15" w14:textId="533560AD" w:rsidR="00457BB8" w:rsidRPr="004D1AE0" w:rsidRDefault="008615FF" w:rsidP="00CF56F0">
      <w:pPr>
        <w:spacing w:before="100" w:beforeAutospacing="1" w:after="100" w:afterAutospacing="1" w:line="360" w:lineRule="auto"/>
        <w:contextualSpacing/>
        <w:jc w:val="both"/>
        <w:rPr>
          <w:rFonts w:ascii="Palatino Linotype" w:hAnsi="Palatino Linotype" w:cs="Arial"/>
          <w:lang w:val="es-ES_tradnl"/>
        </w:rPr>
      </w:pPr>
      <w:r w:rsidRPr="004D1AE0">
        <w:rPr>
          <w:rFonts w:ascii="Palatino Linotype" w:hAnsi="Palatino Linotype"/>
          <w:b/>
          <w:sz w:val="28"/>
          <w:szCs w:val="28"/>
        </w:rPr>
        <w:t>III.</w:t>
      </w:r>
      <w:r w:rsidRPr="004D1AE0">
        <w:rPr>
          <w:rFonts w:ascii="Palatino Linotype" w:hAnsi="Palatino Linotype"/>
        </w:rPr>
        <w:t xml:space="preserve"> </w:t>
      </w:r>
      <w:r w:rsidR="00457BB8" w:rsidRPr="004D1AE0">
        <w:rPr>
          <w:rFonts w:ascii="Palatino Linotype" w:hAnsi="Palatino Linotype"/>
        </w:rPr>
        <w:t xml:space="preserve">De las constancias que obran en </w:t>
      </w:r>
      <w:r w:rsidR="00457BB8" w:rsidRPr="004D1AE0">
        <w:rPr>
          <w:rFonts w:ascii="Palatino Linotype" w:hAnsi="Palatino Linotype"/>
          <w:b/>
        </w:rPr>
        <w:t xml:space="preserve">EL </w:t>
      </w:r>
      <w:proofErr w:type="spellStart"/>
      <w:r w:rsidR="00457BB8" w:rsidRPr="004D1AE0">
        <w:rPr>
          <w:rFonts w:ascii="Palatino Linotype" w:hAnsi="Palatino Linotype"/>
          <w:b/>
        </w:rPr>
        <w:t>SAIMEX</w:t>
      </w:r>
      <w:proofErr w:type="spellEnd"/>
      <w:r w:rsidR="00457BB8" w:rsidRPr="004D1AE0">
        <w:rPr>
          <w:rFonts w:ascii="Palatino Linotype" w:hAnsi="Palatino Linotype"/>
          <w:b/>
        </w:rPr>
        <w:t>,</w:t>
      </w:r>
      <w:r w:rsidR="00457BB8" w:rsidRPr="004D1AE0">
        <w:rPr>
          <w:rFonts w:ascii="Palatino Linotype" w:hAnsi="Palatino Linotype"/>
        </w:rPr>
        <w:t xml:space="preserve"> se advierte que el </w:t>
      </w:r>
      <w:r w:rsidR="005644E3" w:rsidRPr="004D1AE0">
        <w:rPr>
          <w:rFonts w:ascii="Palatino Linotype" w:hAnsi="Palatino Linotype"/>
        </w:rPr>
        <w:t>veinticuatro</w:t>
      </w:r>
      <w:r w:rsidR="007A5183" w:rsidRPr="004D1AE0">
        <w:rPr>
          <w:rFonts w:ascii="Palatino Linotype" w:hAnsi="Palatino Linotype"/>
        </w:rPr>
        <w:t xml:space="preserve"> de agosto </w:t>
      </w:r>
      <w:r w:rsidR="00E07977" w:rsidRPr="004D1AE0">
        <w:rPr>
          <w:rFonts w:ascii="Palatino Linotype" w:hAnsi="Palatino Linotype"/>
        </w:rPr>
        <w:t>de dos mil veinte</w:t>
      </w:r>
      <w:r w:rsidR="00457BB8" w:rsidRPr="004D1AE0">
        <w:rPr>
          <w:rFonts w:ascii="Palatino Linotype" w:hAnsi="Palatino Linotype"/>
        </w:rPr>
        <w:t xml:space="preserve">, </w:t>
      </w:r>
      <w:r w:rsidR="00457BB8" w:rsidRPr="004D1AE0">
        <w:rPr>
          <w:rFonts w:ascii="Palatino Linotype" w:hAnsi="Palatino Linotype" w:cs="Arial"/>
          <w:lang w:val="es-ES_tradnl"/>
        </w:rPr>
        <w:t>el Responsable de la Unidad de Transparencia del</w:t>
      </w:r>
      <w:r w:rsidR="00457BB8" w:rsidRPr="004D1AE0">
        <w:rPr>
          <w:rFonts w:ascii="Palatino Linotype" w:hAnsi="Palatino Linotype" w:cs="Arial"/>
          <w:b/>
          <w:lang w:val="es-ES_tradnl"/>
        </w:rPr>
        <w:t xml:space="preserve"> SUJETO OBLIGADO</w:t>
      </w:r>
      <w:r w:rsidR="00457BB8" w:rsidRPr="004D1AE0">
        <w:rPr>
          <w:rFonts w:ascii="Palatino Linotype" w:hAnsi="Palatino Linotype" w:cs="Arial"/>
          <w:lang w:val="es-ES_tradnl"/>
        </w:rPr>
        <w:t xml:space="preserve"> dio respuesta a la solicitud de información, en los siguientes términos:</w:t>
      </w:r>
    </w:p>
    <w:p w14:paraId="316FEB52" w14:textId="77777777" w:rsidR="00457BB8" w:rsidRPr="004D1AE0" w:rsidRDefault="00457BB8" w:rsidP="00CF56F0">
      <w:pPr>
        <w:spacing w:before="100" w:beforeAutospacing="1" w:after="100" w:afterAutospacing="1"/>
        <w:ind w:left="851" w:right="901"/>
        <w:contextualSpacing/>
        <w:jc w:val="both"/>
        <w:rPr>
          <w:rFonts w:ascii="Palatino Linotype" w:hAnsi="Palatino Linotype" w:cs="Arial"/>
          <w:i/>
          <w:sz w:val="22"/>
          <w:szCs w:val="22"/>
          <w:lang w:eastAsia="es-MX"/>
        </w:rPr>
      </w:pPr>
    </w:p>
    <w:p w14:paraId="75DECC1C" w14:textId="77777777" w:rsidR="005644E3" w:rsidRPr="004D1AE0" w:rsidRDefault="007A5183" w:rsidP="005644E3">
      <w:pPr>
        <w:spacing w:before="100" w:beforeAutospacing="1" w:after="100" w:afterAutospacing="1"/>
        <w:ind w:left="851" w:right="901"/>
        <w:contextualSpacing/>
        <w:jc w:val="both"/>
        <w:rPr>
          <w:rFonts w:ascii="Palatino Linotype" w:hAnsi="Palatino Linotype" w:cs="Arial"/>
          <w:i/>
          <w:sz w:val="22"/>
          <w:szCs w:val="22"/>
          <w:lang w:eastAsia="es-MX"/>
        </w:rPr>
      </w:pPr>
      <w:r w:rsidRPr="004D1AE0">
        <w:rPr>
          <w:rFonts w:ascii="Palatino Linotype" w:hAnsi="Palatino Linotype" w:cs="Arial"/>
          <w:i/>
          <w:sz w:val="22"/>
          <w:szCs w:val="22"/>
          <w:lang w:eastAsia="es-MX"/>
        </w:rPr>
        <w:t>“</w:t>
      </w:r>
      <w:r w:rsidR="005644E3" w:rsidRPr="004D1AE0">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F18361" w14:textId="77777777" w:rsidR="005644E3" w:rsidRPr="004D1AE0" w:rsidRDefault="005644E3" w:rsidP="005644E3">
      <w:pPr>
        <w:spacing w:before="100" w:beforeAutospacing="1" w:after="100" w:afterAutospacing="1"/>
        <w:ind w:left="851" w:right="901"/>
        <w:contextualSpacing/>
        <w:jc w:val="both"/>
        <w:rPr>
          <w:rFonts w:ascii="Palatino Linotype" w:hAnsi="Palatino Linotype" w:cs="Arial"/>
          <w:i/>
          <w:sz w:val="22"/>
          <w:szCs w:val="22"/>
          <w:lang w:eastAsia="es-MX"/>
        </w:rPr>
      </w:pPr>
    </w:p>
    <w:p w14:paraId="7027D2E0" w14:textId="7F495291" w:rsidR="005644E3" w:rsidRPr="004D1AE0" w:rsidRDefault="005644E3" w:rsidP="005644E3">
      <w:pPr>
        <w:spacing w:before="100" w:beforeAutospacing="1" w:after="100" w:afterAutospacing="1"/>
        <w:ind w:left="851" w:right="901"/>
        <w:contextualSpacing/>
        <w:jc w:val="both"/>
        <w:rPr>
          <w:rFonts w:ascii="Palatino Linotype" w:hAnsi="Palatino Linotype" w:cs="Arial"/>
          <w:i/>
          <w:sz w:val="22"/>
          <w:szCs w:val="22"/>
          <w:lang w:eastAsia="es-MX"/>
        </w:rPr>
      </w:pPr>
      <w:r w:rsidRPr="004D1AE0">
        <w:rPr>
          <w:rFonts w:ascii="Palatino Linotype" w:hAnsi="Palatino Linotype" w:cs="Arial"/>
          <w:i/>
          <w:sz w:val="22"/>
          <w:szCs w:val="22"/>
          <w:lang w:eastAsia="es-MX"/>
        </w:rPr>
        <w:t xml:space="preserve">Sobre el particular, sírvase encontrar en archivo adjunto copia del oficio de notificación número </w:t>
      </w:r>
      <w:proofErr w:type="spellStart"/>
      <w:r w:rsidRPr="004D1AE0">
        <w:rPr>
          <w:rFonts w:ascii="Palatino Linotype" w:hAnsi="Palatino Linotype" w:cs="Arial"/>
          <w:i/>
          <w:sz w:val="22"/>
          <w:szCs w:val="22"/>
          <w:lang w:eastAsia="es-MX"/>
        </w:rPr>
        <w:t>20700004S</w:t>
      </w:r>
      <w:proofErr w:type="spellEnd"/>
      <w:r w:rsidRPr="004D1AE0">
        <w:rPr>
          <w:rFonts w:ascii="Palatino Linotype" w:hAnsi="Palatino Linotype" w:cs="Arial"/>
          <w:i/>
          <w:sz w:val="22"/>
          <w:szCs w:val="22"/>
          <w:lang w:eastAsia="es-MX"/>
        </w:rPr>
        <w:t>/UT-1396/2020, mediante el cual se detalla lo referente a su petición.</w:t>
      </w:r>
    </w:p>
    <w:p w14:paraId="03B2AD23" w14:textId="77777777" w:rsidR="00E07977" w:rsidRPr="004D1AE0" w:rsidRDefault="00E07977" w:rsidP="00CF56F0">
      <w:pPr>
        <w:spacing w:before="100" w:beforeAutospacing="1" w:after="100" w:afterAutospacing="1"/>
        <w:ind w:left="851" w:right="901"/>
        <w:contextualSpacing/>
        <w:jc w:val="both"/>
        <w:rPr>
          <w:rFonts w:ascii="Palatino Linotype" w:hAnsi="Palatino Linotype" w:cs="Arial"/>
          <w:i/>
          <w:sz w:val="22"/>
          <w:szCs w:val="22"/>
          <w:lang w:eastAsia="es-MX"/>
        </w:rPr>
      </w:pPr>
    </w:p>
    <w:p w14:paraId="7068DF77" w14:textId="04B4504B" w:rsidR="00E07977" w:rsidRPr="004D1AE0" w:rsidRDefault="00E07977" w:rsidP="00CF56F0">
      <w:pPr>
        <w:spacing w:before="100" w:beforeAutospacing="1" w:after="100" w:afterAutospacing="1"/>
        <w:ind w:left="851" w:right="901"/>
        <w:contextualSpacing/>
        <w:jc w:val="both"/>
        <w:rPr>
          <w:rFonts w:ascii="Palatino Linotype" w:hAnsi="Palatino Linotype" w:cs="Arial"/>
          <w:i/>
          <w:sz w:val="22"/>
          <w:szCs w:val="22"/>
          <w:lang w:eastAsia="es-MX"/>
        </w:rPr>
      </w:pPr>
      <w:r w:rsidRPr="004D1AE0">
        <w:rPr>
          <w:rFonts w:ascii="Palatino Linotype" w:hAnsi="Palatino Linotype" w:cs="Arial"/>
          <w:i/>
          <w:sz w:val="22"/>
          <w:szCs w:val="22"/>
          <w:lang w:eastAsia="es-MX"/>
        </w:rPr>
        <w:t>ATENTAMENTE</w:t>
      </w:r>
    </w:p>
    <w:p w14:paraId="78A8D5FA" w14:textId="77777777" w:rsidR="00E07977" w:rsidRPr="004D1AE0" w:rsidRDefault="00E07977" w:rsidP="00CF56F0">
      <w:pPr>
        <w:spacing w:before="100" w:beforeAutospacing="1" w:after="100" w:afterAutospacing="1"/>
        <w:ind w:left="851" w:right="901"/>
        <w:contextualSpacing/>
        <w:jc w:val="both"/>
        <w:rPr>
          <w:rFonts w:ascii="Palatino Linotype" w:hAnsi="Palatino Linotype" w:cs="Arial"/>
          <w:i/>
          <w:sz w:val="22"/>
          <w:szCs w:val="22"/>
          <w:lang w:eastAsia="es-MX"/>
        </w:rPr>
      </w:pPr>
    </w:p>
    <w:p w14:paraId="01EA9FC6" w14:textId="28DCDF42" w:rsidR="00457BB8" w:rsidRPr="004D1AE0" w:rsidRDefault="005644E3" w:rsidP="00CF56F0">
      <w:pPr>
        <w:spacing w:before="100" w:beforeAutospacing="1" w:after="100" w:afterAutospacing="1"/>
        <w:ind w:left="851" w:right="901"/>
        <w:contextualSpacing/>
        <w:jc w:val="both"/>
        <w:rPr>
          <w:rFonts w:ascii="Palatino Linotype" w:hAnsi="Palatino Linotype" w:cs="Arial"/>
          <w:i/>
          <w:sz w:val="22"/>
          <w:szCs w:val="22"/>
          <w:lang w:eastAsia="es-MX"/>
        </w:rPr>
      </w:pPr>
      <w:r w:rsidRPr="004D1AE0">
        <w:rPr>
          <w:rFonts w:ascii="Palatino Linotype" w:hAnsi="Palatino Linotype" w:cs="Arial"/>
          <w:i/>
          <w:sz w:val="22"/>
          <w:szCs w:val="22"/>
          <w:lang w:eastAsia="es-MX"/>
        </w:rPr>
        <w:t>Lic</w:t>
      </w:r>
      <w:r w:rsidR="007A5183" w:rsidRPr="004D1AE0">
        <w:rPr>
          <w:rFonts w:ascii="Palatino Linotype" w:hAnsi="Palatino Linotype" w:cs="Arial"/>
          <w:i/>
          <w:sz w:val="22"/>
          <w:szCs w:val="22"/>
          <w:lang w:eastAsia="es-MX"/>
        </w:rPr>
        <w:t xml:space="preserve">. </w:t>
      </w:r>
      <w:r w:rsidRPr="004D1AE0">
        <w:rPr>
          <w:rFonts w:ascii="Palatino Linotype" w:hAnsi="Palatino Linotype" w:cs="Arial"/>
          <w:i/>
          <w:sz w:val="22"/>
          <w:szCs w:val="22"/>
          <w:lang w:eastAsia="es-MX"/>
        </w:rPr>
        <w:t xml:space="preserve">Rodolfo Esteban </w:t>
      </w:r>
      <w:proofErr w:type="spellStart"/>
      <w:r w:rsidRPr="004D1AE0">
        <w:rPr>
          <w:rFonts w:ascii="Palatino Linotype" w:hAnsi="Palatino Linotype" w:cs="Arial"/>
          <w:i/>
          <w:sz w:val="22"/>
          <w:szCs w:val="22"/>
          <w:lang w:eastAsia="es-MX"/>
        </w:rPr>
        <w:t>Rivadeneyra</w:t>
      </w:r>
      <w:proofErr w:type="spellEnd"/>
      <w:r w:rsidRPr="004D1AE0">
        <w:rPr>
          <w:rFonts w:ascii="Palatino Linotype" w:hAnsi="Palatino Linotype" w:cs="Arial"/>
          <w:i/>
          <w:sz w:val="22"/>
          <w:szCs w:val="22"/>
          <w:lang w:eastAsia="es-MX"/>
        </w:rPr>
        <w:t xml:space="preserve"> Hernández</w:t>
      </w:r>
      <w:r w:rsidR="00457BB8" w:rsidRPr="004D1AE0">
        <w:rPr>
          <w:rFonts w:ascii="Palatino Linotype" w:hAnsi="Palatino Linotype" w:cs="Arial"/>
          <w:i/>
          <w:sz w:val="22"/>
          <w:szCs w:val="22"/>
          <w:lang w:eastAsia="es-MX"/>
        </w:rPr>
        <w:t>” (Sic)</w:t>
      </w:r>
    </w:p>
    <w:p w14:paraId="584F9F37" w14:textId="77777777" w:rsidR="00F621F3" w:rsidRPr="004D1AE0" w:rsidRDefault="00F621F3" w:rsidP="00CF56F0">
      <w:pPr>
        <w:spacing w:before="100" w:beforeAutospacing="1" w:after="100" w:afterAutospacing="1"/>
        <w:ind w:right="899"/>
        <w:contextualSpacing/>
        <w:jc w:val="both"/>
        <w:rPr>
          <w:rFonts w:ascii="Palatino Linotype" w:hAnsi="Palatino Linotype" w:cs="Arial"/>
          <w:i/>
          <w:sz w:val="22"/>
          <w:szCs w:val="22"/>
        </w:rPr>
      </w:pPr>
    </w:p>
    <w:p w14:paraId="772F26DB" w14:textId="265D4590" w:rsidR="002622B8" w:rsidRPr="004D1AE0" w:rsidRDefault="00F621F3" w:rsidP="00C351AC">
      <w:pPr>
        <w:spacing w:before="100" w:beforeAutospacing="1" w:after="100" w:afterAutospacing="1" w:line="360" w:lineRule="auto"/>
        <w:contextualSpacing/>
        <w:jc w:val="both"/>
        <w:rPr>
          <w:rFonts w:ascii="Palatino Linotype" w:hAnsi="Palatino Linotype"/>
          <w:color w:val="000000" w:themeColor="text1"/>
        </w:rPr>
      </w:pPr>
      <w:r w:rsidRPr="004D1AE0">
        <w:rPr>
          <w:rFonts w:ascii="Palatino Linotype" w:hAnsi="Palatino Linotype"/>
          <w:color w:val="000000" w:themeColor="text1"/>
        </w:rPr>
        <w:t xml:space="preserve">Advirtiendo de dicha respuesta, que </w:t>
      </w:r>
      <w:r w:rsidRPr="004D1AE0">
        <w:rPr>
          <w:rFonts w:ascii="Palatino Linotype" w:hAnsi="Palatino Linotype" w:cs="Arial"/>
          <w:b/>
          <w:color w:val="000000" w:themeColor="text1"/>
        </w:rPr>
        <w:t>EL SUJETO OBLIGADO</w:t>
      </w:r>
      <w:r w:rsidR="00936A6F" w:rsidRPr="004D1AE0">
        <w:rPr>
          <w:rFonts w:ascii="Palatino Linotype" w:hAnsi="Palatino Linotype"/>
          <w:color w:val="000000" w:themeColor="text1"/>
        </w:rPr>
        <w:t xml:space="preserve"> adjuntó los archivos electrónicos </w:t>
      </w:r>
      <w:r w:rsidR="005644E3" w:rsidRPr="004D1AE0">
        <w:rPr>
          <w:rFonts w:ascii="Palatino Linotype" w:hAnsi="Palatino Linotype"/>
          <w:b/>
          <w:i/>
          <w:color w:val="000000" w:themeColor="text1"/>
        </w:rPr>
        <w:t>326 DG Recursos Materiales</w:t>
      </w:r>
      <w:r w:rsidR="00936A6F" w:rsidRPr="004D1AE0">
        <w:rPr>
          <w:rFonts w:ascii="Palatino Linotype" w:hAnsi="Palatino Linotype"/>
          <w:b/>
          <w:i/>
          <w:color w:val="000000" w:themeColor="text1"/>
        </w:rPr>
        <w:t>.</w:t>
      </w:r>
      <w:r w:rsidR="003C6FF4" w:rsidRPr="004D1AE0">
        <w:rPr>
          <w:rFonts w:ascii="Palatino Linotype" w:hAnsi="Palatino Linotype"/>
          <w:b/>
          <w:i/>
          <w:color w:val="000000" w:themeColor="text1"/>
        </w:rPr>
        <w:t>pdf</w:t>
      </w:r>
      <w:r w:rsidR="005644E3" w:rsidRPr="004D1AE0">
        <w:rPr>
          <w:rFonts w:ascii="Palatino Linotype" w:hAnsi="Palatino Linotype"/>
          <w:b/>
          <w:i/>
          <w:color w:val="000000" w:themeColor="text1"/>
        </w:rPr>
        <w:t xml:space="preserve"> </w:t>
      </w:r>
      <w:r w:rsidR="005644E3" w:rsidRPr="004D1AE0">
        <w:rPr>
          <w:rFonts w:ascii="Palatino Linotype" w:hAnsi="Palatino Linotype"/>
          <w:color w:val="000000" w:themeColor="text1"/>
        </w:rPr>
        <w:t>del cual se advierte la respuesta del S</w:t>
      </w:r>
      <w:r w:rsidR="000B301E" w:rsidRPr="004D1AE0">
        <w:rPr>
          <w:rFonts w:ascii="Palatino Linotype" w:hAnsi="Palatino Linotype"/>
          <w:color w:val="000000" w:themeColor="text1"/>
        </w:rPr>
        <w:t xml:space="preserve">ervidor </w:t>
      </w:r>
      <w:r w:rsidR="005644E3" w:rsidRPr="004D1AE0">
        <w:rPr>
          <w:rFonts w:ascii="Palatino Linotype" w:hAnsi="Palatino Linotype"/>
          <w:color w:val="000000" w:themeColor="text1"/>
        </w:rPr>
        <w:t>P</w:t>
      </w:r>
      <w:r w:rsidR="000B301E" w:rsidRPr="004D1AE0">
        <w:rPr>
          <w:rFonts w:ascii="Palatino Linotype" w:hAnsi="Palatino Linotype"/>
          <w:color w:val="000000" w:themeColor="text1"/>
        </w:rPr>
        <w:t>úblico Habilitado</w:t>
      </w:r>
      <w:r w:rsidR="00C351AC" w:rsidRPr="004D1AE0">
        <w:rPr>
          <w:rFonts w:ascii="Palatino Linotype" w:hAnsi="Palatino Linotype"/>
          <w:b/>
          <w:color w:val="000000" w:themeColor="text1"/>
        </w:rPr>
        <w:t xml:space="preserve"> </w:t>
      </w:r>
      <w:r w:rsidR="00C351AC" w:rsidRPr="004D1AE0">
        <w:rPr>
          <w:rFonts w:ascii="Palatino Linotype" w:hAnsi="Palatino Linotype"/>
          <w:color w:val="000000" w:themeColor="text1"/>
        </w:rPr>
        <w:t xml:space="preserve">de la Dirección General de Recursos Materiales mediante la cual de una búsqueda exhaustiva y razonable no se encontró información; asimismo, adjuntó el archivo </w:t>
      </w:r>
      <w:proofErr w:type="spellStart"/>
      <w:r w:rsidR="00C351AC" w:rsidRPr="004D1AE0">
        <w:rPr>
          <w:rFonts w:ascii="Palatino Linotype" w:hAnsi="Palatino Linotype"/>
          <w:b/>
          <w:i/>
          <w:color w:val="000000" w:themeColor="text1"/>
        </w:rPr>
        <w:t>UIPPE</w:t>
      </w:r>
      <w:proofErr w:type="spellEnd"/>
      <w:r w:rsidR="00C351AC" w:rsidRPr="004D1AE0">
        <w:rPr>
          <w:rFonts w:ascii="Palatino Linotype" w:hAnsi="Palatino Linotype"/>
          <w:b/>
          <w:i/>
          <w:color w:val="000000" w:themeColor="text1"/>
        </w:rPr>
        <w:t xml:space="preserve"> 326.pdf </w:t>
      </w:r>
      <w:r w:rsidR="00C351AC" w:rsidRPr="004D1AE0">
        <w:rPr>
          <w:rFonts w:ascii="Palatino Linotype" w:hAnsi="Palatino Linotype"/>
          <w:color w:val="000000" w:themeColor="text1"/>
        </w:rPr>
        <w:t>mediante la cual el titular de la Unidad de Transparencia remite la respuesta.</w:t>
      </w:r>
    </w:p>
    <w:p w14:paraId="37029D65" w14:textId="77777777" w:rsidR="00C351AC" w:rsidRPr="004D1AE0" w:rsidRDefault="00C351AC" w:rsidP="00C351AC">
      <w:pPr>
        <w:spacing w:before="100" w:beforeAutospacing="1" w:after="100" w:afterAutospacing="1" w:line="360" w:lineRule="auto"/>
        <w:contextualSpacing/>
        <w:jc w:val="both"/>
        <w:rPr>
          <w:rFonts w:ascii="Palatino Linotype" w:hAnsi="Palatino Linotype" w:cs="Arial"/>
          <w:color w:val="000000" w:themeColor="text1"/>
        </w:rPr>
      </w:pPr>
    </w:p>
    <w:p w14:paraId="1CBC06E4" w14:textId="0AF4AA4E" w:rsidR="00457BB8" w:rsidRPr="004D1AE0" w:rsidRDefault="00457BB8" w:rsidP="00CF56F0">
      <w:pPr>
        <w:spacing w:before="100" w:beforeAutospacing="1" w:after="100" w:afterAutospacing="1" w:line="360" w:lineRule="auto"/>
        <w:contextualSpacing/>
        <w:jc w:val="both"/>
        <w:rPr>
          <w:rFonts w:ascii="Palatino Linotype" w:hAnsi="Palatino Linotype" w:cs="Arial"/>
        </w:rPr>
      </w:pPr>
      <w:r w:rsidRPr="004D1AE0">
        <w:rPr>
          <w:rFonts w:ascii="Palatino Linotype" w:hAnsi="Palatino Linotype"/>
          <w:b/>
          <w:sz w:val="28"/>
          <w:szCs w:val="28"/>
        </w:rPr>
        <w:t>III.</w:t>
      </w:r>
      <w:r w:rsidRPr="004D1AE0">
        <w:rPr>
          <w:rFonts w:ascii="Palatino Linotype" w:hAnsi="Palatino Linotype"/>
          <w:b/>
        </w:rPr>
        <w:t xml:space="preserve"> </w:t>
      </w:r>
      <w:r w:rsidR="00BD7CF0" w:rsidRPr="004D1AE0">
        <w:rPr>
          <w:rFonts w:ascii="Palatino Linotype" w:hAnsi="Palatino Linotype"/>
        </w:rPr>
        <w:t xml:space="preserve">Inconforme con la </w:t>
      </w:r>
      <w:r w:rsidR="00BD7CF0" w:rsidRPr="004D1AE0">
        <w:rPr>
          <w:rFonts w:ascii="Palatino Linotype" w:hAnsi="Palatino Linotype" w:cs="Arial"/>
        </w:rPr>
        <w:t xml:space="preserve">respuesta, el </w:t>
      </w:r>
      <w:r w:rsidR="00C351AC" w:rsidRPr="004D1AE0">
        <w:rPr>
          <w:rFonts w:ascii="Palatino Linotype" w:hAnsi="Palatino Linotype" w:cs="Arial"/>
        </w:rPr>
        <w:t>nueve</w:t>
      </w:r>
      <w:r w:rsidR="00936A6F" w:rsidRPr="004D1AE0">
        <w:rPr>
          <w:rFonts w:ascii="Palatino Linotype" w:hAnsi="Palatino Linotype" w:cs="Arial"/>
        </w:rPr>
        <w:t xml:space="preserve"> de </w:t>
      </w:r>
      <w:r w:rsidR="00C36E55" w:rsidRPr="004D1AE0">
        <w:rPr>
          <w:rFonts w:ascii="Palatino Linotype" w:hAnsi="Palatino Linotype" w:cs="Arial"/>
        </w:rPr>
        <w:t>septiembre</w:t>
      </w:r>
      <w:r w:rsidR="002622B8" w:rsidRPr="004D1AE0">
        <w:rPr>
          <w:rFonts w:ascii="Palatino Linotype" w:hAnsi="Palatino Linotype" w:cs="Arial"/>
        </w:rPr>
        <w:t xml:space="preserve"> </w:t>
      </w:r>
      <w:r w:rsidR="00BD7CF0" w:rsidRPr="004D1AE0">
        <w:rPr>
          <w:rFonts w:ascii="Palatino Linotype" w:hAnsi="Palatino Linotype" w:cs="Arial"/>
        </w:rPr>
        <w:t xml:space="preserve">de dos mil veinte </w:t>
      </w:r>
      <w:r w:rsidR="00BD7CF0" w:rsidRPr="004D1AE0">
        <w:rPr>
          <w:rFonts w:ascii="Palatino Linotype" w:hAnsi="Palatino Linotype"/>
          <w:b/>
        </w:rPr>
        <w:t>EL RECURRENTE</w:t>
      </w:r>
      <w:r w:rsidR="00BD7CF0" w:rsidRPr="004D1AE0">
        <w:rPr>
          <w:rFonts w:ascii="Palatino Linotype" w:hAnsi="Palatino Linotype"/>
        </w:rPr>
        <w:t xml:space="preserve"> interpuso el recurso de revisión objeto del presente estudio, el cual fue registrado en </w:t>
      </w:r>
      <w:r w:rsidR="00BD7CF0" w:rsidRPr="004D1AE0">
        <w:rPr>
          <w:rFonts w:ascii="Palatino Linotype" w:hAnsi="Palatino Linotype"/>
          <w:b/>
        </w:rPr>
        <w:t xml:space="preserve">EL </w:t>
      </w:r>
      <w:proofErr w:type="spellStart"/>
      <w:r w:rsidR="00BD7CF0" w:rsidRPr="004D1AE0">
        <w:rPr>
          <w:rFonts w:ascii="Palatino Linotype" w:hAnsi="Palatino Linotype"/>
          <w:b/>
        </w:rPr>
        <w:t>SAIMEX</w:t>
      </w:r>
      <w:proofErr w:type="spellEnd"/>
      <w:r w:rsidR="00BD7CF0" w:rsidRPr="004D1AE0">
        <w:rPr>
          <w:rFonts w:ascii="Palatino Linotype" w:hAnsi="Palatino Linotype"/>
        </w:rPr>
        <w:t xml:space="preserve"> y se le asignó el número de </w:t>
      </w:r>
      <w:r w:rsidRPr="004D1AE0">
        <w:rPr>
          <w:rFonts w:ascii="Palatino Linotype" w:hAnsi="Palatino Linotype" w:cs="Arial"/>
          <w:b/>
          <w:bCs/>
        </w:rPr>
        <w:t>0</w:t>
      </w:r>
      <w:r w:rsidR="000B301E" w:rsidRPr="004D1AE0">
        <w:rPr>
          <w:rFonts w:ascii="Palatino Linotype" w:hAnsi="Palatino Linotype" w:cs="Arial"/>
          <w:b/>
          <w:bCs/>
        </w:rPr>
        <w:t>3777</w:t>
      </w:r>
      <w:r w:rsidRPr="004D1AE0">
        <w:rPr>
          <w:rFonts w:ascii="Palatino Linotype" w:hAnsi="Palatino Linotype" w:cs="Arial"/>
          <w:b/>
          <w:bCs/>
        </w:rPr>
        <w:t>/INFOEM/IP/</w:t>
      </w:r>
      <w:proofErr w:type="spellStart"/>
      <w:r w:rsidRPr="004D1AE0">
        <w:rPr>
          <w:rFonts w:ascii="Palatino Linotype" w:hAnsi="Palatino Linotype" w:cs="Arial"/>
          <w:b/>
          <w:bCs/>
        </w:rPr>
        <w:t>RR</w:t>
      </w:r>
      <w:proofErr w:type="spellEnd"/>
      <w:r w:rsidRPr="004D1AE0">
        <w:rPr>
          <w:rFonts w:ascii="Palatino Linotype" w:hAnsi="Palatino Linotype" w:cs="Arial"/>
          <w:b/>
          <w:bCs/>
        </w:rPr>
        <w:t>/2020</w:t>
      </w:r>
      <w:r w:rsidRPr="004D1AE0">
        <w:rPr>
          <w:rFonts w:ascii="Palatino Linotype" w:hAnsi="Palatino Linotype" w:cs="Arial"/>
        </w:rPr>
        <w:t xml:space="preserve">, en el que señaló como acto impugnado: </w:t>
      </w:r>
    </w:p>
    <w:p w14:paraId="7461101F" w14:textId="77777777" w:rsidR="00457BB8" w:rsidRPr="004D1AE0" w:rsidRDefault="00457BB8" w:rsidP="00CF56F0">
      <w:pPr>
        <w:spacing w:before="100" w:beforeAutospacing="1" w:after="100" w:afterAutospacing="1"/>
        <w:ind w:left="851" w:right="899"/>
        <w:contextualSpacing/>
        <w:jc w:val="both"/>
        <w:rPr>
          <w:rFonts w:ascii="Palatino Linotype" w:hAnsi="Palatino Linotype" w:cs="Arial"/>
          <w:i/>
          <w:sz w:val="22"/>
          <w:szCs w:val="22"/>
        </w:rPr>
      </w:pPr>
    </w:p>
    <w:p w14:paraId="4AB47769" w14:textId="5333806D" w:rsidR="00457BB8" w:rsidRPr="004D1AE0" w:rsidRDefault="00457BB8" w:rsidP="00CF56F0">
      <w:pPr>
        <w:spacing w:before="100" w:beforeAutospacing="1" w:after="100" w:afterAutospacing="1"/>
        <w:ind w:left="851" w:right="899"/>
        <w:contextualSpacing/>
        <w:jc w:val="both"/>
        <w:rPr>
          <w:rFonts w:ascii="Palatino Linotype" w:hAnsi="Palatino Linotype" w:cs="Arial"/>
          <w:i/>
          <w:sz w:val="22"/>
          <w:szCs w:val="22"/>
        </w:rPr>
      </w:pPr>
      <w:r w:rsidRPr="004D1AE0">
        <w:rPr>
          <w:rFonts w:ascii="Palatino Linotype" w:hAnsi="Palatino Linotype" w:cs="Arial"/>
          <w:i/>
          <w:sz w:val="22"/>
          <w:szCs w:val="22"/>
        </w:rPr>
        <w:t>“</w:t>
      </w:r>
      <w:r w:rsidR="00C351AC" w:rsidRPr="004D1AE0">
        <w:rPr>
          <w:rFonts w:ascii="Palatino Linotype" w:hAnsi="Palatino Linotype" w:cs="Arial"/>
          <w:i/>
          <w:sz w:val="22"/>
          <w:szCs w:val="22"/>
        </w:rPr>
        <w:t xml:space="preserve">El Oficio número </w:t>
      </w:r>
      <w:proofErr w:type="spellStart"/>
      <w:r w:rsidR="00C351AC" w:rsidRPr="004D1AE0">
        <w:rPr>
          <w:rFonts w:ascii="Palatino Linotype" w:hAnsi="Palatino Linotype" w:cs="Arial"/>
          <w:i/>
          <w:sz w:val="22"/>
          <w:szCs w:val="22"/>
        </w:rPr>
        <w:t>20700004S</w:t>
      </w:r>
      <w:proofErr w:type="spellEnd"/>
      <w:r w:rsidR="00C351AC" w:rsidRPr="004D1AE0">
        <w:rPr>
          <w:rFonts w:ascii="Palatino Linotype" w:hAnsi="Palatino Linotype" w:cs="Arial"/>
          <w:i/>
          <w:sz w:val="22"/>
          <w:szCs w:val="22"/>
        </w:rPr>
        <w:t xml:space="preserve">/UT-1396/2020, de fecha 18 (dieciocho) de agosto del 2020 (dos mil veinte), firmado por Rodolfo Esteban </w:t>
      </w:r>
      <w:proofErr w:type="spellStart"/>
      <w:r w:rsidR="00C351AC" w:rsidRPr="004D1AE0">
        <w:rPr>
          <w:rFonts w:ascii="Palatino Linotype" w:hAnsi="Palatino Linotype" w:cs="Arial"/>
          <w:i/>
          <w:sz w:val="22"/>
          <w:szCs w:val="22"/>
        </w:rPr>
        <w:t>Rivadeneyra</w:t>
      </w:r>
      <w:proofErr w:type="spellEnd"/>
      <w:r w:rsidR="00C351AC" w:rsidRPr="004D1AE0">
        <w:rPr>
          <w:rFonts w:ascii="Palatino Linotype" w:hAnsi="Palatino Linotype" w:cs="Arial"/>
          <w:i/>
          <w:sz w:val="22"/>
          <w:szCs w:val="22"/>
        </w:rPr>
        <w:t xml:space="preserve"> Hernández Jefe de la </w:t>
      </w:r>
      <w:proofErr w:type="spellStart"/>
      <w:r w:rsidR="00C351AC" w:rsidRPr="004D1AE0">
        <w:rPr>
          <w:rFonts w:ascii="Palatino Linotype" w:hAnsi="Palatino Linotype" w:cs="Arial"/>
          <w:i/>
          <w:sz w:val="22"/>
          <w:szCs w:val="22"/>
        </w:rPr>
        <w:t>UIPPE</w:t>
      </w:r>
      <w:proofErr w:type="spellEnd"/>
      <w:r w:rsidR="00C351AC" w:rsidRPr="004D1AE0">
        <w:rPr>
          <w:rFonts w:ascii="Palatino Linotype" w:hAnsi="Palatino Linotype" w:cs="Arial"/>
          <w:i/>
          <w:sz w:val="22"/>
          <w:szCs w:val="22"/>
        </w:rPr>
        <w:t xml:space="preserve"> y titular de la unidad de Transparencia de la Secretaría de Finanzas y el Oficio número </w:t>
      </w:r>
      <w:proofErr w:type="spellStart"/>
      <w:r w:rsidR="00C351AC" w:rsidRPr="004D1AE0">
        <w:rPr>
          <w:rFonts w:ascii="Palatino Linotype" w:hAnsi="Palatino Linotype" w:cs="Arial"/>
          <w:i/>
          <w:sz w:val="22"/>
          <w:szCs w:val="22"/>
        </w:rPr>
        <w:t>20706005000200S</w:t>
      </w:r>
      <w:proofErr w:type="spellEnd"/>
      <w:r w:rsidR="00C351AC" w:rsidRPr="004D1AE0">
        <w:rPr>
          <w:rFonts w:ascii="Palatino Linotype" w:hAnsi="Palatino Linotype" w:cs="Arial"/>
          <w:i/>
          <w:sz w:val="22"/>
          <w:szCs w:val="22"/>
        </w:rPr>
        <w:t xml:space="preserve">-0250/2020 de fecha 12 (doce) de agosto de 2020 </w:t>
      </w:r>
      <w:r w:rsidR="00C351AC" w:rsidRPr="004D1AE0">
        <w:rPr>
          <w:rFonts w:ascii="Palatino Linotype" w:hAnsi="Palatino Linotype" w:cs="Arial"/>
          <w:i/>
          <w:sz w:val="22"/>
          <w:szCs w:val="22"/>
        </w:rPr>
        <w:lastRenderedPageBreak/>
        <w:t>(dos mil veinte), firmado por Licenciado Benjamín Abraham de la Vega Sánchez Servidor Público Habilitado de la Dirección General de Recursos Materiales</w:t>
      </w:r>
      <w:r w:rsidR="00C36E55" w:rsidRPr="004D1AE0">
        <w:rPr>
          <w:rFonts w:ascii="Palatino Linotype" w:hAnsi="Palatino Linotype" w:cs="Arial"/>
          <w:i/>
          <w:sz w:val="22"/>
          <w:szCs w:val="22"/>
        </w:rPr>
        <w:t>.</w:t>
      </w:r>
      <w:r w:rsidRPr="004D1AE0">
        <w:rPr>
          <w:rFonts w:ascii="Palatino Linotype" w:hAnsi="Palatino Linotype" w:cs="Arial"/>
          <w:i/>
          <w:sz w:val="22"/>
          <w:szCs w:val="22"/>
        </w:rPr>
        <w:t>” (</w:t>
      </w:r>
      <w:proofErr w:type="gramStart"/>
      <w:r w:rsidRPr="004D1AE0">
        <w:rPr>
          <w:rFonts w:ascii="Palatino Linotype" w:hAnsi="Palatino Linotype" w:cs="Arial"/>
          <w:i/>
          <w:sz w:val="22"/>
          <w:szCs w:val="22"/>
        </w:rPr>
        <w:t>sic</w:t>
      </w:r>
      <w:proofErr w:type="gramEnd"/>
      <w:r w:rsidRPr="004D1AE0">
        <w:rPr>
          <w:rFonts w:ascii="Palatino Linotype" w:hAnsi="Palatino Linotype" w:cs="Arial"/>
          <w:i/>
          <w:sz w:val="22"/>
          <w:szCs w:val="22"/>
        </w:rPr>
        <w:t>)</w:t>
      </w:r>
    </w:p>
    <w:p w14:paraId="0855E49E" w14:textId="77777777" w:rsidR="00457BB8" w:rsidRPr="004D1AE0" w:rsidRDefault="00457BB8" w:rsidP="00CF56F0">
      <w:pPr>
        <w:spacing w:before="100" w:beforeAutospacing="1" w:after="100" w:afterAutospacing="1"/>
        <w:ind w:left="851" w:right="899"/>
        <w:contextualSpacing/>
        <w:jc w:val="both"/>
        <w:rPr>
          <w:rFonts w:ascii="Palatino Linotype" w:hAnsi="Palatino Linotype" w:cs="Arial"/>
          <w:i/>
          <w:sz w:val="22"/>
          <w:szCs w:val="22"/>
        </w:rPr>
      </w:pPr>
    </w:p>
    <w:p w14:paraId="62304355" w14:textId="77777777" w:rsidR="00457BB8" w:rsidRPr="004D1AE0" w:rsidRDefault="00457BB8" w:rsidP="00CF56F0">
      <w:pPr>
        <w:spacing w:before="100" w:beforeAutospacing="1" w:after="100" w:afterAutospacing="1" w:line="360" w:lineRule="auto"/>
        <w:contextualSpacing/>
        <w:jc w:val="both"/>
        <w:rPr>
          <w:rFonts w:ascii="Palatino Linotype" w:hAnsi="Palatino Linotype" w:cs="Arial"/>
        </w:rPr>
      </w:pPr>
      <w:r w:rsidRPr="004D1AE0">
        <w:rPr>
          <w:rFonts w:ascii="Palatino Linotype" w:hAnsi="Palatino Linotype" w:cs="Arial"/>
        </w:rPr>
        <w:t xml:space="preserve">Así como, razones o motivos de inconformidad, lo siguiente: </w:t>
      </w:r>
    </w:p>
    <w:p w14:paraId="70940E16" w14:textId="77777777" w:rsidR="00457BB8" w:rsidRPr="004D1AE0" w:rsidRDefault="00457BB8" w:rsidP="00CF56F0">
      <w:pPr>
        <w:spacing w:before="100" w:beforeAutospacing="1" w:after="100" w:afterAutospacing="1"/>
        <w:ind w:left="851" w:right="899"/>
        <w:contextualSpacing/>
        <w:jc w:val="both"/>
        <w:rPr>
          <w:rFonts w:ascii="Palatino Linotype" w:hAnsi="Palatino Linotype" w:cs="Arial"/>
          <w:i/>
          <w:sz w:val="22"/>
          <w:szCs w:val="22"/>
        </w:rPr>
      </w:pPr>
    </w:p>
    <w:p w14:paraId="7AED45A5" w14:textId="16D59F7A" w:rsidR="00457BB8" w:rsidRPr="004D1AE0" w:rsidRDefault="00457BB8" w:rsidP="00CF56F0">
      <w:pPr>
        <w:spacing w:before="100" w:beforeAutospacing="1" w:after="100" w:afterAutospacing="1"/>
        <w:ind w:left="851" w:right="899"/>
        <w:contextualSpacing/>
        <w:jc w:val="both"/>
        <w:rPr>
          <w:rFonts w:ascii="Palatino Linotype" w:hAnsi="Palatino Linotype" w:cs="Arial"/>
          <w:i/>
          <w:sz w:val="22"/>
          <w:szCs w:val="22"/>
        </w:rPr>
      </w:pPr>
      <w:r w:rsidRPr="004D1AE0">
        <w:rPr>
          <w:rFonts w:ascii="Palatino Linotype" w:hAnsi="Palatino Linotype" w:cs="Arial"/>
          <w:i/>
          <w:sz w:val="22"/>
          <w:szCs w:val="22"/>
        </w:rPr>
        <w:t>“</w:t>
      </w:r>
      <w:r w:rsidR="00C351AC" w:rsidRPr="004D1AE0">
        <w:rPr>
          <w:rFonts w:ascii="Palatino Linotype" w:hAnsi="Palatino Linotype" w:cs="Arial"/>
          <w:i/>
          <w:sz w:val="22"/>
          <w:szCs w:val="22"/>
        </w:rPr>
        <w:t xml:space="preserve">PRIMERO. – El presente recurso de revisión es procedente, lo anterior, toda vez que la respuesta notificada al suscrito encuadra en los supuestos establecidos en el artículo 179 fracciones I, III, XIII y XIV Ley de Transparencia y Acceso a la Información Pública del Estado de México y Municipios, que señala lo que a continuación transcribo: “Artículo 179. El recurso de revisión es un medio de protección que la Ley otorga a los particulares, para hacer valer su derecho de acceso a la información pública, y procederá en contra de las siguientes causas: I. La negativa a la información solicitada; (…) III. La declaración de inexistencia de la información; (…) XIII. La falta, deficiencia o insuficiencia de la fundamentación y/o motivación en la respuesta; y XIV. La orientación a un trámite específico.” Es decir, es procedente el presente recurso de revisión lo anterior, toda vez que el Oficio número </w:t>
      </w:r>
      <w:proofErr w:type="spellStart"/>
      <w:r w:rsidR="00C351AC" w:rsidRPr="004D1AE0">
        <w:rPr>
          <w:rFonts w:ascii="Palatino Linotype" w:hAnsi="Palatino Linotype" w:cs="Arial"/>
          <w:i/>
          <w:sz w:val="22"/>
          <w:szCs w:val="22"/>
        </w:rPr>
        <w:t>20706005000200S</w:t>
      </w:r>
      <w:proofErr w:type="spellEnd"/>
      <w:r w:rsidR="00C351AC" w:rsidRPr="004D1AE0">
        <w:rPr>
          <w:rFonts w:ascii="Palatino Linotype" w:hAnsi="Palatino Linotype" w:cs="Arial"/>
          <w:i/>
          <w:sz w:val="22"/>
          <w:szCs w:val="22"/>
        </w:rPr>
        <w:t>-0250/2020 de fecha 12 (doce) de agosto de 2020 (dos mil veinte), firmado por Licenciado Benjamín Abraham de la Vega Sánchez, Servidor Público Habilitado de la Dirección General de Recursos Materiales, señaló que: “la Dirección de Normatividad y Control Patrimonial de esta Dirección General de Recursos Materiales, no identifico información relacionada con la solicitud de referencia”, es decir, se negó a proporcionar la información solicitada y como consecuencia, declaró que dicha información es inexistente, por lo cual, dicha respuesta encuadra en los supuesto señalados en la fracción I y III del artículo antes descrito. Aunado a que tampoco brinda al suscrito la orientación respecto del sujeto obligado que cuenta con la información que solicito, lo que también incumple con lo señalado en la fracción XIV del artículo antes descrito. En función a lo anterior, es importante precisar que la solicitud realizada por el suscrito, fue dirigida al sujeto obligado siguiente: SECRETARÍA DE FINANZAS DEL ESTADO DE MÉXICO, tal y como consta en la solicitud de información número 00326/</w:t>
      </w:r>
      <w:proofErr w:type="spellStart"/>
      <w:r w:rsidR="00C351AC" w:rsidRPr="004D1AE0">
        <w:rPr>
          <w:rFonts w:ascii="Palatino Linotype" w:hAnsi="Palatino Linotype" w:cs="Arial"/>
          <w:i/>
          <w:sz w:val="22"/>
          <w:szCs w:val="22"/>
        </w:rPr>
        <w:t>SF</w:t>
      </w:r>
      <w:proofErr w:type="spellEnd"/>
      <w:r w:rsidR="00C351AC" w:rsidRPr="004D1AE0">
        <w:rPr>
          <w:rFonts w:ascii="Palatino Linotype" w:hAnsi="Palatino Linotype" w:cs="Arial"/>
          <w:i/>
          <w:sz w:val="22"/>
          <w:szCs w:val="22"/>
        </w:rPr>
        <w:t xml:space="preserve">/IP/2020, en el apartado SUJETO OBLIGADO. Es importante precisar que según lo establecido en el artículo 24 fracciones XXXVII, XXXIX Y XL de la Ley Orgánica de la Administración Pública del Estado de México, a la Secretaría de Finanzas le corresponde el despacho diversos asuntos entre ellos el siguiente: Artículo 24.- A la Secretaría de Finanzas, corresponde el despacho de los siguientes asuntos: XXXVII. Adquirir los bienes y servicios que requiera el funcionamiento del Poder Ejecutivo del Estado, con recursos federales o estatales; XXXIX. Levantar y tener al corriente el inventario general de los bienes muebles e inmuebles propiedad del Gobierno del </w:t>
      </w:r>
      <w:r w:rsidR="00C351AC" w:rsidRPr="004D1AE0">
        <w:rPr>
          <w:rFonts w:ascii="Palatino Linotype" w:hAnsi="Palatino Linotype" w:cs="Arial"/>
          <w:i/>
          <w:sz w:val="22"/>
          <w:szCs w:val="22"/>
        </w:rPr>
        <w:lastRenderedPageBreak/>
        <w:t xml:space="preserve">Estado; XL. Administrar y asegurar la conservación y mantenimiento del patrimonio del Gobierno del Estado; Como se puede observar del propio artículo antes transcrito, dentro de las responsabilidades que tiene el sujeto obligado (la Secretaría de Finanzas) es el correspondiente a la administración, adquisición y control de los bienes muebles e inmuebles propiedad del Gobierno del Estado de México, por lo cual, la solicitud del suscrito consiste precisamente en proporcionar: “inventario actual de los bienes de dominio público y dominio privado que se ubiquen en la Colonia Industrial </w:t>
      </w:r>
      <w:proofErr w:type="spellStart"/>
      <w:r w:rsidR="00C351AC" w:rsidRPr="004D1AE0">
        <w:rPr>
          <w:rFonts w:ascii="Palatino Linotype" w:hAnsi="Palatino Linotype" w:cs="Arial"/>
          <w:i/>
          <w:sz w:val="22"/>
          <w:szCs w:val="22"/>
        </w:rPr>
        <w:t>Xhala</w:t>
      </w:r>
      <w:proofErr w:type="spellEnd"/>
      <w:r w:rsidR="00C351AC" w:rsidRPr="004D1AE0">
        <w:rPr>
          <w:rFonts w:ascii="Palatino Linotype" w:hAnsi="Palatino Linotype" w:cs="Arial"/>
          <w:i/>
          <w:sz w:val="22"/>
          <w:szCs w:val="22"/>
        </w:rPr>
        <w:t xml:space="preserve">, Municipio de Cuautitlán Izcalli y que sean propiedad del Estado de México y sus diversos órganos”, como puede observar, la Secretaría de Finanzas tiene como responsabilidad según el artículo 24 fracción XXXIX de la Ley Orgánica de la Administración Pública del Estado de México: Levantar y tener al corriente el inventario general de los bienes muebles e inmuebles propiedad del Gobierno del Estado, por ello, como éste H. Instituto podrá constatar, la documentación solicitada por el suscrito SÍ ES GENERADA Y SE ENCUENTRA EN POSESIÓN DEL SUJETO OBLIGADO, sin embargo, sin fundamento legal alguno se ha negado a proporcionar al suscrito la información requerida, violando así lo establecido en el artículo 4 de la Ley de Transparencia y Acceso a la Información Pública del Estado de México y Municipios, que señala: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Sin embargo, en el oficio de respuesta que en este acto se impugna, el sujeto obligado la Secretaría de Finanzas del Estado de México, omitió dar cumplimiento a la obligación descrita en el citado artículo, así como también omitió PRIVILEGIAR EL PRINCIPIO DE MÁXIMA PUBLICIDAD DE LA INFORMACIÓN, vulnerando así en mi perjuicio el derecho humano de ACCESO A LA INFORMACIÓN PÚBLICA contemplado en el artículo 5° Constitucional. Por lo cual, en reparación a tales violaciones constitucionales éste H. Instituto deberá ordenar a la autoridad que proceda a la entrega de la documentación solicitada por el suscrito y que se ponga disposición de forma inmediata, dando cumplimiento así a sus obligaciones normativas y constituciones, pues reitero, la información que fue requerida por el suscrito, SÍ ES GENERADA, OBTENIDA Y ADMINISTRADA </w:t>
      </w:r>
      <w:r w:rsidR="00C351AC" w:rsidRPr="004D1AE0">
        <w:rPr>
          <w:rFonts w:ascii="Palatino Linotype" w:hAnsi="Palatino Linotype" w:cs="Arial"/>
          <w:i/>
          <w:sz w:val="22"/>
          <w:szCs w:val="22"/>
        </w:rPr>
        <w:lastRenderedPageBreak/>
        <w:t xml:space="preserve">POR EL SUJETO </w:t>
      </w:r>
      <w:proofErr w:type="spellStart"/>
      <w:r w:rsidR="00C351AC" w:rsidRPr="004D1AE0">
        <w:rPr>
          <w:rFonts w:ascii="Palatino Linotype" w:hAnsi="Palatino Linotype" w:cs="Arial"/>
          <w:i/>
          <w:sz w:val="22"/>
          <w:szCs w:val="22"/>
        </w:rPr>
        <w:t>RESPONDABLE</w:t>
      </w:r>
      <w:proofErr w:type="spellEnd"/>
      <w:r w:rsidR="00C351AC" w:rsidRPr="004D1AE0">
        <w:rPr>
          <w:rFonts w:ascii="Palatino Linotype" w:hAnsi="Palatino Linotype" w:cs="Arial"/>
          <w:i/>
          <w:sz w:val="22"/>
          <w:szCs w:val="22"/>
        </w:rPr>
        <w:t xml:space="preserve"> y como consecuencia SÍ SE ENCUENTRA EN SU POSESIÓN Y ADEMÁS SE TRATA DE INFORMACIÓN PÚBLICA. Sirven de apoyo a lo descrito las siguientes tesis y jurisprudencias: Época: Décima Época Registro: 2012525 Instancia: Segunda Sala Tipo de Tesis: Aislada Fuente: Gaceta del Semanario Judicial de la Federación Libro 34, Septiembre de 2016, Tomo I Materia(s): Constitucional Tesis: </w:t>
      </w:r>
      <w:proofErr w:type="spellStart"/>
      <w:r w:rsidR="00C351AC" w:rsidRPr="004D1AE0">
        <w:rPr>
          <w:rFonts w:ascii="Palatino Linotype" w:hAnsi="Palatino Linotype" w:cs="Arial"/>
          <w:i/>
          <w:sz w:val="22"/>
          <w:szCs w:val="22"/>
        </w:rPr>
        <w:t>2a</w:t>
      </w:r>
      <w:proofErr w:type="spellEnd"/>
      <w:r w:rsidR="00C351AC" w:rsidRPr="004D1AE0">
        <w:rPr>
          <w:rFonts w:ascii="Palatino Linotype" w:hAnsi="Palatino Linotype" w:cs="Arial"/>
          <w:i/>
          <w:sz w:val="22"/>
          <w:szCs w:val="22"/>
        </w:rPr>
        <w:t>. LXXXV/2016 (</w:t>
      </w:r>
      <w:proofErr w:type="spellStart"/>
      <w:r w:rsidR="00C351AC" w:rsidRPr="004D1AE0">
        <w:rPr>
          <w:rFonts w:ascii="Palatino Linotype" w:hAnsi="Palatino Linotype" w:cs="Arial"/>
          <w:i/>
          <w:sz w:val="22"/>
          <w:szCs w:val="22"/>
        </w:rPr>
        <w:t>10a</w:t>
      </w:r>
      <w:proofErr w:type="spellEnd"/>
      <w:r w:rsidR="00C351AC" w:rsidRPr="004D1AE0">
        <w:rPr>
          <w:rFonts w:ascii="Palatino Linotype" w:hAnsi="Palatino Linotype" w:cs="Arial"/>
          <w:i/>
          <w:sz w:val="22"/>
          <w:szCs w:val="22"/>
        </w:rPr>
        <w:t xml:space="preserve">.) Página: 839 DERECHO A LA INFORMACIÓN. GARANTÍAS DEL. De conformidad con el texto del artículo </w:t>
      </w:r>
      <w:proofErr w:type="spellStart"/>
      <w:r w:rsidR="00C351AC" w:rsidRPr="004D1AE0">
        <w:rPr>
          <w:rFonts w:ascii="Palatino Linotype" w:hAnsi="Palatino Linotype" w:cs="Arial"/>
          <w:i/>
          <w:sz w:val="22"/>
          <w:szCs w:val="22"/>
        </w:rPr>
        <w:t>6o</w:t>
      </w:r>
      <w:proofErr w:type="spellEnd"/>
      <w:r w:rsidR="00C351AC" w:rsidRPr="004D1AE0">
        <w:rPr>
          <w:rFonts w:ascii="Palatino Linotype" w:hAnsi="Palatino Linotype" w:cs="Arial"/>
          <w:i/>
          <w:sz w:val="22"/>
          <w:szCs w:val="22"/>
        </w:rPr>
        <w:t xml:space="preserve">. constitucional, el derecho a la información comprende las siguientes garantías: 1) el derecho de informar (difundir), 2) el derecho de acceso a la información (buscar) y, 3) el derecho a ser informado (recibir). Por un lado, el derecho de informar consiste en la posibilidad de que cualquier persona pueda exteriorizar o difundir, a través de cualquier medio, la información, datos, registros o documentos que posea. En ese sentido, exige que el Estado no restrinja ni limite directa o indirectamente el flujo de la información (obligaciones negativas), y por otro lado, requiere que el Estado fomente las condiciones que propicien un discurso democrático (obligaciones positivas). Por otro lado, el derecho de acceso a la información garantiza que todas las personas puedan solicitar información al Estado respecto de los archivos, registros, datos y documentos públicos, siempre que sea solicitada por escrito, de manera pacífica y respetuosa. Al respecto, exige que el Estado no obstaculice ni impida su búsqueda (obligaciones negativas), y por otro lado, requiere que establezca los medios e instrumentos idóneos a través de los cuales las personas puedan solicitar dicha información (obligaciones positivas). Finalmente, el derecho a ser informado garantiza que todos los miembros de la sociedad reciban libremente información plural y oportuna que les permita ejercer plenamente sus derechos, quedando obligado el Estado a no restringir o limitar la recepción de cualquier información (obligaciones negativas) y por otro lado, también exige que el Estado informe a las personas sobre aquellas cuestiones que puedan incidir en su vida o en el ejercicio de sus derechos, sin que sea necesaria alguna solicitud o requerimiento por parte de los particulares (obligaciones positivas). Amparo directo en revisión 2931/2015. Napoleón Gómez Urrutia. 13 de abril de 2016. Unanimidad de cuatro votos de los Ministros Eduardo Medina Mora I., Javier </w:t>
      </w:r>
      <w:proofErr w:type="spellStart"/>
      <w:r w:rsidR="00C351AC" w:rsidRPr="004D1AE0">
        <w:rPr>
          <w:rFonts w:ascii="Palatino Linotype" w:hAnsi="Palatino Linotype" w:cs="Arial"/>
          <w:i/>
          <w:sz w:val="22"/>
          <w:szCs w:val="22"/>
        </w:rPr>
        <w:t>Laynez</w:t>
      </w:r>
      <w:proofErr w:type="spellEnd"/>
      <w:r w:rsidR="00C351AC" w:rsidRPr="004D1AE0">
        <w:rPr>
          <w:rFonts w:ascii="Palatino Linotype" w:hAnsi="Palatino Linotype" w:cs="Arial"/>
          <w:i/>
          <w:sz w:val="22"/>
          <w:szCs w:val="22"/>
        </w:rPr>
        <w:t xml:space="preserve"> </w:t>
      </w:r>
      <w:proofErr w:type="spellStart"/>
      <w:r w:rsidR="00C351AC" w:rsidRPr="004D1AE0">
        <w:rPr>
          <w:rFonts w:ascii="Palatino Linotype" w:hAnsi="Palatino Linotype" w:cs="Arial"/>
          <w:i/>
          <w:sz w:val="22"/>
          <w:szCs w:val="22"/>
        </w:rPr>
        <w:t>Potisek</w:t>
      </w:r>
      <w:proofErr w:type="spellEnd"/>
      <w:r w:rsidR="00C351AC" w:rsidRPr="004D1AE0">
        <w:rPr>
          <w:rFonts w:ascii="Palatino Linotype" w:hAnsi="Palatino Linotype" w:cs="Arial"/>
          <w:i/>
          <w:sz w:val="22"/>
          <w:szCs w:val="22"/>
        </w:rPr>
        <w:t xml:space="preserve">, José Fernando Franco González Salas y Margarita Beatriz Luna Ramos; se aparta de consideraciones Margarita Beatriz Luna Ramos; se aparta de algunas consideraciones José Fernando Franco González Salas. Mayoría de tres votos en relación con el criterio contenido en esta tesis; votó en contra Margarita Beatriz Luna Ramos. Ausente: Alberto Pérez </w:t>
      </w:r>
      <w:proofErr w:type="spellStart"/>
      <w:r w:rsidR="00C351AC" w:rsidRPr="004D1AE0">
        <w:rPr>
          <w:rFonts w:ascii="Palatino Linotype" w:hAnsi="Palatino Linotype" w:cs="Arial"/>
          <w:i/>
          <w:sz w:val="22"/>
          <w:szCs w:val="22"/>
        </w:rPr>
        <w:t>Dayán</w:t>
      </w:r>
      <w:proofErr w:type="spellEnd"/>
      <w:r w:rsidR="00C351AC" w:rsidRPr="004D1AE0">
        <w:rPr>
          <w:rFonts w:ascii="Palatino Linotype" w:hAnsi="Palatino Linotype" w:cs="Arial"/>
          <w:i/>
          <w:sz w:val="22"/>
          <w:szCs w:val="22"/>
        </w:rPr>
        <w:t xml:space="preserve">. Ponente: Eduardo Medina Mora I. Secretario: Marco Tulio Martínez Cosío. Esta tesis se publicó el viernes 09 de septiembre de 2016 a las 10:18 horas en el Semanario Judicial de la Federación. Época: Novena Época Registro: 169574 Instancia: Pleno Tipo de Tesis: </w:t>
      </w:r>
      <w:r w:rsidR="00C351AC" w:rsidRPr="004D1AE0">
        <w:rPr>
          <w:rFonts w:ascii="Palatino Linotype" w:hAnsi="Palatino Linotype" w:cs="Arial"/>
          <w:i/>
          <w:sz w:val="22"/>
          <w:szCs w:val="22"/>
        </w:rPr>
        <w:lastRenderedPageBreak/>
        <w:t>Jurisprudencia Fuente: Semanario Judicial de la Federación y su Gaceta Tomo XXVII, Junio de 2008 Materia(s): Constitucional Tesis: P</w:t>
      </w:r>
      <w:proofErr w:type="gramStart"/>
      <w:r w:rsidR="00C351AC" w:rsidRPr="004D1AE0">
        <w:rPr>
          <w:rFonts w:ascii="Palatino Linotype" w:hAnsi="Palatino Linotype" w:cs="Arial"/>
          <w:i/>
          <w:sz w:val="22"/>
          <w:szCs w:val="22"/>
        </w:rPr>
        <w:t>./</w:t>
      </w:r>
      <w:proofErr w:type="gramEnd"/>
      <w:r w:rsidR="00C351AC" w:rsidRPr="004D1AE0">
        <w:rPr>
          <w:rFonts w:ascii="Palatino Linotype" w:hAnsi="Palatino Linotype" w:cs="Arial"/>
          <w:i/>
          <w:sz w:val="22"/>
          <w:szCs w:val="22"/>
        </w:rPr>
        <w:t xml:space="preserve">J. 54/2008 Página: 743 ACCESO A LA INFORMACIÓN. SU NATURALEZA COMO GARANTÍAS INDIVIDUAL Y SOCIAL. El acceso a la información se distingue de otros derechos intangibles por su doble carácter: como un derecho en sí mismo y como un medio o instrumento para el ejercicio de otros derechos. En efecto, además de un valor propio, la información tiene uno instrumental que sirve como presupuesto del ejercicio de otros derechos y como base para que los gobernados ejerzan un control respecto del funcionamiento institucional de los poderes públicos, por lo que se perfila como un límite a la exclusividad estatal en el manejo de la información y, por ende, como una exigencia social de todo Estado de Derecho. Así, el acceso a la información como garantía individual tiene por objeto maximizar el campo de la autonomía personal, posibilitando el ejercicio de la libertad de expresión en un contexto de mayor diversidad de datos, voces y opiniones; incluso algunos instrumentos internacionales lo asocian a la libertad de pensamiento y expresión, a las cuales describen como el derecho que comprende la libertad de buscar, recibir y difundir informaciones e ideas de toda índole. Por otro lado, el acceso a la información como derecho colectivo o garantía social cobra un marcado carácter público en tanto que funcionalmente tiende a revelar el empleo instrumental de la información no sólo como factor de autorrealización personal, sino como mecanismo de control institucional, pues se trata de un derecho fundado en una de las características principales del gobierno republicano, que es el de la publicidad de los actos de gobierno y la transparencia de la administración. Por tanto, este derecho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 Controversia constitucional 61/2005. Municipio de Torreón, Estado de Coahuila. 24 de enero de 2008. Unanimidad de diez votos. Ausente: José Ramón Cossío Díaz. Ponente: José de Jesús Gudiño Pelayo. Secretaria: Carmina Cortés Rodríguez. El Tribunal Pleno, el doce de mayo en curso, aprobó, con el número 54/2008, la tesis jurisprudencial que antecede. México, Distrito Federal, a doce de mayo de dos mil ocho. SEGUNDO. – Por otro lado, también es procedente el presente recurso de revisión en función a que en la solicitud presentada por el suscrito requiero, además del inventario de los bienes inmuebles propiedad del Estado de México, mismo que como ya describí en el motivo de informidad PRIMERO, también solicite: “el inventario realizado de conformidad con los Lineamientos para el registro y control del inventario y la conciliación y desincorporación de bienes muebles e inmuebles y en el cual se establezca de forma clara y precisa: el domicilio y ubicación exacta de cada inmueble, superficie de cada inmueble, medidas y colindancias de cada </w:t>
      </w:r>
      <w:r w:rsidR="00C351AC" w:rsidRPr="004D1AE0">
        <w:rPr>
          <w:rFonts w:ascii="Palatino Linotype" w:hAnsi="Palatino Linotype" w:cs="Arial"/>
          <w:i/>
          <w:sz w:val="22"/>
          <w:szCs w:val="22"/>
        </w:rPr>
        <w:lastRenderedPageBreak/>
        <w:t xml:space="preserve">inmueble, uso de cada inmueble, medio de adquisición de cada inmueble, situación legal de cada inmueble, valor de cada inmueble y tipo de inmueble. De igual forma, solicito me proporcione la Constancia de Inscripción al Registro Administrativo de Bienes de Dominio Público y Privado de los Inmuebles que se ubiquen en la Colonia Industrial </w:t>
      </w:r>
      <w:proofErr w:type="spellStart"/>
      <w:r w:rsidR="00C351AC" w:rsidRPr="004D1AE0">
        <w:rPr>
          <w:rFonts w:ascii="Palatino Linotype" w:hAnsi="Palatino Linotype" w:cs="Arial"/>
          <w:i/>
          <w:sz w:val="22"/>
          <w:szCs w:val="22"/>
        </w:rPr>
        <w:t>Xhala</w:t>
      </w:r>
      <w:proofErr w:type="spellEnd"/>
      <w:r w:rsidR="00C351AC" w:rsidRPr="004D1AE0">
        <w:rPr>
          <w:rFonts w:ascii="Palatino Linotype" w:hAnsi="Palatino Linotype" w:cs="Arial"/>
          <w:i/>
          <w:sz w:val="22"/>
          <w:szCs w:val="22"/>
        </w:rPr>
        <w:t xml:space="preserve">, Municipio de Cuautitlán Izcalli y que sean propiedad del </w:t>
      </w:r>
      <w:proofErr w:type="spellStart"/>
      <w:r w:rsidR="00C351AC" w:rsidRPr="004D1AE0">
        <w:rPr>
          <w:rFonts w:ascii="Palatino Linotype" w:hAnsi="Palatino Linotype" w:cs="Arial"/>
          <w:i/>
          <w:sz w:val="22"/>
          <w:szCs w:val="22"/>
        </w:rPr>
        <w:t>del</w:t>
      </w:r>
      <w:proofErr w:type="spellEnd"/>
      <w:r w:rsidR="00C351AC" w:rsidRPr="004D1AE0">
        <w:rPr>
          <w:rFonts w:ascii="Palatino Linotype" w:hAnsi="Palatino Linotype" w:cs="Arial"/>
          <w:i/>
          <w:sz w:val="22"/>
          <w:szCs w:val="22"/>
        </w:rPr>
        <w:t xml:space="preserve"> Estado de México y sus diversos órganos. Por último, también se solicita copia de los documentos, títulos, decretos, resoluciones y demás documentos que acrediten la propiedad de los inmuebles de dominio público y dominio privado propiedad de del Estado de México y sus diversos órganos, que se ubiquen en la Colonia Industrial </w:t>
      </w:r>
      <w:proofErr w:type="spellStart"/>
      <w:r w:rsidR="00C351AC" w:rsidRPr="004D1AE0">
        <w:rPr>
          <w:rFonts w:ascii="Palatino Linotype" w:hAnsi="Palatino Linotype" w:cs="Arial"/>
          <w:i/>
          <w:sz w:val="22"/>
          <w:szCs w:val="22"/>
        </w:rPr>
        <w:t>Xhala</w:t>
      </w:r>
      <w:proofErr w:type="spellEnd"/>
      <w:r w:rsidR="00C351AC" w:rsidRPr="004D1AE0">
        <w:rPr>
          <w:rFonts w:ascii="Palatino Linotype" w:hAnsi="Palatino Linotype" w:cs="Arial"/>
          <w:i/>
          <w:sz w:val="22"/>
          <w:szCs w:val="22"/>
        </w:rPr>
        <w:t xml:space="preserve">, Municipio de Cuautitlán Izcalli. Incluso de aquellos que se encuentren en proceso de regularización, de los cuales también requiero los documentos que acrediten su propiedad.” ” De igual forma el artículo 5 fracciones I, IX, XII y XIII de la Ley de Bienes del Estado de México y de sus Municipios, señala lo que a continuación transcribo: Artículo 5.- Corresponde al Ejecutivo del Estado por conducto de la Secretaría de Finanzas y a los ayuntamientos: I.- La elaboración del padrón de bienes del dominio público y privado del Estado (…) IX.- Adquirir bienes inmuebles (…) XII.- Dar de baja los bienes del dominio público cuando hayan dejado de formar parte de éste, cancelando la inscripción en el Registro Administrativo de la Propiedad Pública correspondiente y solicitar al Registro Público de la Propiedad la cancelación del asiento respectivo. XIII.- Llevar el Registro Administrativo de la Propiedad Pública Estatal o Municipal, respectivamente. XIV. Dictar las normas a las que deberá sujetarse la vigilancia, cuidado, administración y aprovechamiento de los bienes del dominio público y privado. Como esta H. Instituto podrá observar, la Secretaría de Finanzas además de tener a su cargo la obligación de elaborar el padrón de bienes de dominio público y dominio privado, es totalmente contrario e ilógico que en los Oficios de respuesta que en este acto se impugnan señale que NO CUENTA CON LA INFORMACIÓN SOLICITADA y que “después de realizar una búsqueda” no fue encontrado dato alguno, DICHAS AFIRMACIONES HECHAS POR LA AUTORIDAD EN LOS OFICIOS QUE EN ESTE ACTO SE IMPUGNAN, son totalmente falsas, ya que es obligación de la SECRETARIA DE FINANZAS generar y administrar dicha información que el suscrito solicita, por ello, LA NEGATIVA DEL SUJETO OBLIGADO PARA BRINDAR LA INFORMACIÓN QUE FUE SOLICITADA, CONSTITUYE UNA VIOLACIÓN A LOS DERECHOS HUMANOS DEL SUSCRITO. Por otro lado, también es dentro de las obligaciones del suscrito se encuentra la de llevar el Registro Administrativo de la Propiedad Pública Estatal, por lo cual, la Constancia de Inscripción al Registro Administrativo de los bienes propiedad del Estado de México, solicitada por el suscrito, ES INFORMACIÓN PÚBLICA GENERADA Y ADMINISTRADA POR EL SUJETO OBLIGADO LA SECRETARIA DE </w:t>
      </w:r>
      <w:r w:rsidR="00C351AC" w:rsidRPr="004D1AE0">
        <w:rPr>
          <w:rFonts w:ascii="Palatino Linotype" w:hAnsi="Palatino Linotype" w:cs="Arial"/>
          <w:i/>
          <w:sz w:val="22"/>
          <w:szCs w:val="22"/>
        </w:rPr>
        <w:lastRenderedPageBreak/>
        <w:t xml:space="preserve">FINANZAS DEL ESTADO DE MÉXICO, con lo cual, el suscrito demuestra que los documentos requeridos y solicitados por el suscrito, SÍ SE ENCUENTRAN EN PODER DEL SUJETO OBLIGADO, por ello, la negativa de acceso a dicha información viola el derecho humano de acceso a la información del suscrito y en reparación a tales violaciones éste H. Instituto deberá ordenar al sujeto obligado a entregar la información solicitada por el suscrito y en caso de omisión imponer las sanciones legales correspondientes. Por último, el suscrito además de las Constancias de Inscripción al Registro Administrativo de los bienes propiedad del Estado de México, también solicite: los documentos, títulos, decretos, resoluciones y demás documentos que acrediten la propiedad de los inmuebles de dominio público y dominio privado propiedad de del Estado de México y sus diversos órganos e incluso de aquellos que se encuentren en proceso de regularización, mismo documentos que también se encuentran en posesión y son administrados por la Secretaría de Finanzas que es el sujeto obligado, tal y como se describe en la fracción IX del artículo 5 de la Ley de Bienes del Estado de México y de sus Municipios, ya que señala que dicha Secretaría es la encargada de Adquirir los bienes, además de sujetarse a la vigilancia, cuidado y administración de los mismos. Reitero, el sujeto obligado ha omitido en dar cumplimiento al principio de máxima publicidad y como consecuencia ha violentado el derecho humano de acceso a la información, pues mediante los Oficios que en este acto se impugnan NIEGA Y OCULTA LA INFORMACIÓN SOLICITADA. Dichas obligaciones también se encuentran contempladas en los artículos 58 y 60 de la Ley de Bienes del Estado de México y de sus Municipios, que señalan lo que a continuación transcribo: Artículo 58.- La Secretaría de Finanzas y los ayuntamientos operarán los sistemas de información inmobiliaria, estatal y municipal, respectivamente, que tendrán por objeto integrar los datos de identificación física y antecedentes jurídicos, regístrales y administrativos de los inmuebles propiedad del Estado y de los municipios. Artículo 60.- En los sistemas de información inmobiliaria se deberán recopilar y mantener actualizados, los avalúos, datos, documentos e informes necesarios para la plena identificación de los inmuebles de propiedad estatal y municipal. Por lo cual, al operar la Secretaría de Finanzas los sistemas de información inmobiliaria estatal, es obvio, que dicho sujeto obligado administra toda y cada una de la información y documentos relacionados y que acrediten la propiedad de los bienes </w:t>
      </w:r>
      <w:proofErr w:type="gramStart"/>
      <w:r w:rsidR="00C351AC" w:rsidRPr="004D1AE0">
        <w:rPr>
          <w:rFonts w:ascii="Palatino Linotype" w:hAnsi="Palatino Linotype" w:cs="Arial"/>
          <w:i/>
          <w:sz w:val="22"/>
          <w:szCs w:val="22"/>
        </w:rPr>
        <w:t>inmuebles ,</w:t>
      </w:r>
      <w:proofErr w:type="gramEnd"/>
      <w:r w:rsidR="00C351AC" w:rsidRPr="004D1AE0">
        <w:rPr>
          <w:rFonts w:ascii="Palatino Linotype" w:hAnsi="Palatino Linotype" w:cs="Arial"/>
          <w:i/>
          <w:sz w:val="22"/>
          <w:szCs w:val="22"/>
        </w:rPr>
        <w:t xml:space="preserve"> POR LO CUAL, LA NEGATIVA EN BRINDAR LA INFORMACIÓN SOLICITADA SIGNIFICA LA VIOLACIÓN AL DERECHO DE ACCESO A LA INFORMACIÓN PÚBLICA. Refuerza lo señalado por el suscrito, lo descrito en los artículos 62, 63, 64 y 65 de Ley de Bienes del Estado de México y de sus Municipios, que señalan lo que a continuación transcribo: Artículo 62.- El Ejecutivo del Estado por conducto de la Secretaría de Finanzas y los ayuntamientos, llevarán un registro de la propiedad de </w:t>
      </w:r>
      <w:r w:rsidR="00C351AC" w:rsidRPr="004D1AE0">
        <w:rPr>
          <w:rFonts w:ascii="Palatino Linotype" w:hAnsi="Palatino Linotype" w:cs="Arial"/>
          <w:i/>
          <w:sz w:val="22"/>
          <w:szCs w:val="22"/>
        </w:rPr>
        <w:lastRenderedPageBreak/>
        <w:t xml:space="preserve">bienes del dominio público y del dominio privado que se denominará Registro Administrativo de la propiedad Pública Estatal o Municipal, según corresponda. Artículo 63.- En el Registro Administrativo de la Propiedad Pública Estatal o Municipal, según corresponda, se inscribirán: I. Los títulos y documentos por los cuales se adquiera, transmita, grave, modifique, afecte o extinga el dominio o la posesión y los demás derechos reales sobe los bienes inmuebles del Estado o de los municipios; II. Los decretos por los que se determine la expropiación de bienes cuando éstos se incorporen al dominio público del Estado o de los municipios; III. Las adjudicaciones a favor del Estado o de los Municipios dictadas en procedimientos administrativos de ejecución; IV. Los decomisos decretados por la autoridad judicial; V. Las concesiones, autorizaciones, permisos o licencias sobre inmuebles de propiedad estatal o municipal; VI. Las resoluciones o sentencias que pronuncien las autoridades jurisdiccionales relacionados con inmuebles del Estado o de los municipios; VII. Los convenios administrativos que produzcan alguno de los efectos mencionados en la fracción I de este artículo; VIII. Los decretos y acuerdos que incorporen o desincorporen del dominio público bienes inmuebles; IX. Los acuerdos por los que se cambie la afectación o se sustituya a los usuarios de los bienes del dominio público; y X. Los demás actos que conforme a esta ley deban ser registrados. Artículo 64.- En las inscripciones del Registro Administrativo de la Propiedad Pública Estatal o Municipal, según el caso, se expresará la procedencia de los bienes, su naturaleza, ubicación, linderos, nombre del inmueble si lo tuviera, valor y las servidumbres si las hubiere, así como los datos que sirvan para identificar la relación que pudieran tener con otros expedientes. Artículo 65.- Las constancias del Registro Administrativo de la Propiedad Pública Estatal o Municipal, según el caso, comprobarán la autenticidad de los actos a que se refieren. Los artículos descritos, comprueban de manera clara y precisa, que la información solicitada por el suscrito se trata de información pública generada, obtenida, adquirida, transformada, administrada y en posesión de los sujeto obligado la Secretaría de Finanzas, por lo cual, la negativa y declaración de inexistencia de la información solicitada por el suscrito, constituye una violación a los derechos humanos del suscrito, específicamente al derecho humano de acceso a la información pública, por ello, en reparación a tales violaciones, éste H. Instituto deberá proceder a ordenar al sujeto obligado a proporcionar la documentación e información requerida. D E R E C H O: COMPETENCIA: Este H. Instituto de Transparencia, Acceso a la Información Pública y Protección de Datos Personales del Estado de México, tiene competencia para recibir el recurso de revisión, presentado por el particular, y enviarlo a ese órgano garante, para su trámite y conclusión, con fundamento en lo dispuesto por el artículo 36 fracción II y el artículo 185 de la Ley de Transparencia y Acceso a La Información Pública Del Estado De México Y Municipios. . PROCEDIMIENTO: </w:t>
      </w:r>
      <w:r w:rsidR="00C351AC" w:rsidRPr="004D1AE0">
        <w:rPr>
          <w:rFonts w:ascii="Palatino Linotype" w:hAnsi="Palatino Linotype" w:cs="Arial"/>
          <w:i/>
          <w:sz w:val="22"/>
          <w:szCs w:val="22"/>
        </w:rPr>
        <w:lastRenderedPageBreak/>
        <w:t>El procedimiento a seguir se encuentra regulado por los artículos 176, 177, 178, 179, 180, 181, 182, 183, 184, 185, 186, 187, 188, 189, 190, 191, 192, 193, 194, 195 y demás relativos de la Ley de Transparencia y Acceso a La Información Pública Del Estado De México Y Municipios. ACCIÓN: Fundo la procedencia de mi derecho de acción, en los artículos 6° inciso A), fracciones I, III, IV, V, VI y VII de la CONSTITUCIÓN POLÍTICA DE LOS ESTADOS UNIDOS MEXICANOS, así como el artículo 5 fracciones I, III, IV, V, VI, VII y VIII de la CONSTITUCIÓN POLÍTICA DEL ESTADO LIBRE Y SOBERANO DE MÉXICO y los diversos 1, 4, 5, 7, 8, 9, 23 fracción IV, 75, 78, 88, 89, 90, 150 al 173, 176 al 195 y demás relativos de la Ley de Transparencia y Acceso a la Información Pública del Estado de México y Municipios. Por lo anteriormente expuesto y fundado, atentamente solicito: PRIMERO: Se admita a trámite el presente recurso de revisión y se notifique al sujeto obligado señalado como responsable, para que dentro del término legal ofrezca un informe justificado respecto del acto impugnado. SEGUNDO: Que en ejercicio de las atribuciones que se le concede a este H. Instituto y una vez agotado el procedimiento establecido en la misma, se dicte resolución correspondiente y se ordene al sujeto obligado el cumplimiento y entrega de la información solicitada y en caso de ser procedente se impongan las sanciones correspondientes. TERCERO: Suplir las deficiencias del compareciente, para garantizar el ejercicio del derecho de acceso a la información”</w:t>
      </w:r>
      <w:r w:rsidR="00C36E55" w:rsidRPr="004D1AE0">
        <w:rPr>
          <w:rFonts w:ascii="Palatino Linotype" w:hAnsi="Palatino Linotype" w:cs="Arial"/>
          <w:i/>
          <w:sz w:val="22"/>
          <w:szCs w:val="22"/>
        </w:rPr>
        <w:t xml:space="preserve">. </w:t>
      </w:r>
      <w:r w:rsidRPr="004D1AE0">
        <w:rPr>
          <w:rFonts w:ascii="Palatino Linotype" w:hAnsi="Palatino Linotype" w:cs="Arial"/>
          <w:i/>
          <w:sz w:val="22"/>
          <w:szCs w:val="22"/>
        </w:rPr>
        <w:t>(</w:t>
      </w:r>
      <w:proofErr w:type="gramStart"/>
      <w:r w:rsidRPr="004D1AE0">
        <w:rPr>
          <w:rFonts w:ascii="Palatino Linotype" w:hAnsi="Palatino Linotype" w:cs="Arial"/>
          <w:i/>
          <w:sz w:val="22"/>
          <w:szCs w:val="22"/>
        </w:rPr>
        <w:t>sic</w:t>
      </w:r>
      <w:proofErr w:type="gramEnd"/>
      <w:r w:rsidRPr="004D1AE0">
        <w:rPr>
          <w:rFonts w:ascii="Palatino Linotype" w:hAnsi="Palatino Linotype" w:cs="Arial"/>
          <w:i/>
          <w:sz w:val="22"/>
          <w:szCs w:val="22"/>
        </w:rPr>
        <w:t xml:space="preserve">) </w:t>
      </w:r>
    </w:p>
    <w:p w14:paraId="7B95BB41" w14:textId="77777777" w:rsidR="00457BB8" w:rsidRPr="004D1AE0" w:rsidRDefault="00457BB8" w:rsidP="00CF56F0">
      <w:pPr>
        <w:spacing w:before="100" w:beforeAutospacing="1" w:after="100" w:afterAutospacing="1"/>
        <w:ind w:left="851" w:right="899"/>
        <w:contextualSpacing/>
        <w:jc w:val="both"/>
        <w:rPr>
          <w:rFonts w:ascii="Palatino Linotype" w:hAnsi="Palatino Linotype" w:cs="Arial"/>
          <w:i/>
          <w:sz w:val="22"/>
          <w:szCs w:val="22"/>
        </w:rPr>
      </w:pPr>
    </w:p>
    <w:p w14:paraId="3A3DB79B" w14:textId="53109230" w:rsidR="00457BB8" w:rsidRPr="004D1AE0" w:rsidRDefault="00457BB8" w:rsidP="00CF56F0">
      <w:pPr>
        <w:pStyle w:val="Default"/>
        <w:spacing w:before="100" w:beforeAutospacing="1" w:after="100" w:afterAutospacing="1" w:line="360" w:lineRule="auto"/>
        <w:ind w:right="49"/>
        <w:contextualSpacing/>
        <w:jc w:val="both"/>
        <w:rPr>
          <w:rFonts w:ascii="Palatino Linotype" w:hAnsi="Palatino Linotype"/>
          <w:lang w:val="es-ES_tradnl"/>
        </w:rPr>
      </w:pPr>
      <w:r w:rsidRPr="004D1AE0">
        <w:rPr>
          <w:rFonts w:ascii="Palatino Linotype" w:hAnsi="Palatino Linotype"/>
          <w:b/>
          <w:sz w:val="28"/>
          <w:szCs w:val="28"/>
        </w:rPr>
        <w:t xml:space="preserve">IV. </w:t>
      </w:r>
      <w:r w:rsidRPr="004D1AE0">
        <w:rPr>
          <w:rFonts w:ascii="Palatino Linotype" w:hAnsi="Palatino Linotype"/>
        </w:rPr>
        <w:t>El</w:t>
      </w:r>
      <w:r w:rsidRPr="004D1AE0">
        <w:rPr>
          <w:rFonts w:ascii="Palatino Linotype" w:hAnsi="Palatino Linotype"/>
          <w:b/>
          <w:sz w:val="28"/>
          <w:szCs w:val="28"/>
        </w:rPr>
        <w:t xml:space="preserve"> </w:t>
      </w:r>
      <w:r w:rsidR="00C351AC" w:rsidRPr="004D1AE0">
        <w:rPr>
          <w:rFonts w:ascii="Palatino Linotype" w:hAnsi="Palatino Linotype"/>
        </w:rPr>
        <w:t>nueve</w:t>
      </w:r>
      <w:r w:rsidR="001C0774" w:rsidRPr="004D1AE0">
        <w:rPr>
          <w:rFonts w:ascii="Palatino Linotype" w:hAnsi="Palatino Linotype"/>
        </w:rPr>
        <w:t xml:space="preserve"> de septiembre</w:t>
      </w:r>
      <w:r w:rsidR="002622B8" w:rsidRPr="004D1AE0">
        <w:rPr>
          <w:rFonts w:ascii="Palatino Linotype" w:hAnsi="Palatino Linotype"/>
        </w:rPr>
        <w:t xml:space="preserve"> </w:t>
      </w:r>
      <w:r w:rsidRPr="004D1AE0">
        <w:rPr>
          <w:rFonts w:ascii="Palatino Linotype" w:hAnsi="Palatino Linotype"/>
        </w:rPr>
        <w:t xml:space="preserve">de dos mil veinte, el </w:t>
      </w:r>
      <w:r w:rsidRPr="004D1AE0">
        <w:rPr>
          <w:rFonts w:ascii="Palatino Linotype" w:hAnsi="Palatino Linotype"/>
          <w:lang w:val="es-ES_tradnl"/>
        </w:rPr>
        <w:t>recurso de que</w:t>
      </w:r>
      <w:r w:rsidRPr="004D1AE0">
        <w:rPr>
          <w:rFonts w:ascii="Palatino Linotype" w:hAnsi="Palatino Linotype"/>
        </w:rPr>
        <w:t xml:space="preserve"> se trata</w:t>
      </w:r>
      <w:r w:rsidRPr="004D1AE0">
        <w:rPr>
          <w:rFonts w:ascii="Palatino Linotype" w:hAnsi="Palatino Linotype"/>
          <w:lang w:val="es-ES_tradnl"/>
        </w:rPr>
        <w:t xml:space="preserve"> se envió electrónicamente al Instituto de </w:t>
      </w:r>
      <w:r w:rsidRPr="004D1AE0">
        <w:rPr>
          <w:rFonts w:ascii="Palatino Linotype" w:eastAsia="Arial Unicode MS" w:hAnsi="Palatino Linotype"/>
        </w:rPr>
        <w:t>Transparencia</w:t>
      </w:r>
      <w:r w:rsidRPr="004D1AE0">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4D1AE0">
        <w:rPr>
          <w:rFonts w:ascii="Palatino Linotype" w:hAnsi="Palatino Linotype"/>
        </w:rPr>
        <w:t>Ley de Transparencia y Acceso a la Información Pública del Estado de México y Municipios</w:t>
      </w:r>
      <w:r w:rsidRPr="004D1AE0">
        <w:rPr>
          <w:rFonts w:ascii="Palatino Linotype" w:hAnsi="Palatino Linotype"/>
          <w:lang w:val="es-ES_tradnl"/>
        </w:rPr>
        <w:t>, se turnó, a través del</w:t>
      </w:r>
      <w:r w:rsidRPr="004D1AE0">
        <w:rPr>
          <w:rFonts w:ascii="Palatino Linotype" w:eastAsia="Arial Unicode MS" w:hAnsi="Palatino Linotype"/>
          <w:lang w:val="es-ES_tradnl"/>
        </w:rPr>
        <w:t xml:space="preserve"> </w:t>
      </w:r>
      <w:proofErr w:type="spellStart"/>
      <w:r w:rsidRPr="004D1AE0">
        <w:rPr>
          <w:rFonts w:ascii="Palatino Linotype" w:eastAsia="Arial Unicode MS" w:hAnsi="Palatino Linotype"/>
          <w:b/>
          <w:lang w:val="es-ES_tradnl"/>
        </w:rPr>
        <w:t>SAIMEX</w:t>
      </w:r>
      <w:proofErr w:type="spellEnd"/>
      <w:r w:rsidRPr="004D1AE0">
        <w:rPr>
          <w:rFonts w:ascii="Palatino Linotype" w:hAnsi="Palatino Linotype"/>
        </w:rPr>
        <w:t xml:space="preserve">, a la </w:t>
      </w:r>
      <w:r w:rsidRPr="004D1AE0">
        <w:rPr>
          <w:rFonts w:ascii="Palatino Linotype" w:hAnsi="Palatino Linotype"/>
          <w:lang w:val="es-ES_tradnl"/>
        </w:rPr>
        <w:t xml:space="preserve">Comisionada </w:t>
      </w:r>
      <w:r w:rsidRPr="004D1AE0">
        <w:rPr>
          <w:rFonts w:ascii="Palatino Linotype" w:hAnsi="Palatino Linotype"/>
          <w:b/>
          <w:lang w:val="es-ES_tradnl"/>
        </w:rPr>
        <w:t>EVA ABAID YAPUR</w:t>
      </w:r>
      <w:r w:rsidRPr="004D1AE0">
        <w:rPr>
          <w:rFonts w:ascii="Palatino Linotype" w:hAnsi="Palatino Linotype"/>
        </w:rPr>
        <w:t>,</w:t>
      </w:r>
      <w:r w:rsidRPr="004D1AE0">
        <w:rPr>
          <w:rFonts w:ascii="Palatino Linotype" w:hAnsi="Palatino Linotype"/>
          <w:lang w:val="es-ES_tradnl"/>
        </w:rPr>
        <w:t xml:space="preserve"> a efecto de decretar su admisión o desechamiento.</w:t>
      </w:r>
    </w:p>
    <w:p w14:paraId="6CB98D0C" w14:textId="77777777" w:rsidR="00457BB8" w:rsidRPr="004D1AE0" w:rsidRDefault="00457BB8" w:rsidP="00CF56F0">
      <w:pPr>
        <w:pStyle w:val="Default"/>
        <w:spacing w:before="100" w:beforeAutospacing="1" w:after="100" w:afterAutospacing="1" w:line="360" w:lineRule="auto"/>
        <w:ind w:right="49"/>
        <w:contextualSpacing/>
        <w:jc w:val="both"/>
        <w:rPr>
          <w:rFonts w:ascii="Palatino Linotype" w:hAnsi="Palatino Linotype"/>
          <w:lang w:val="es-ES_tradnl"/>
        </w:rPr>
      </w:pPr>
    </w:p>
    <w:p w14:paraId="2564FA1A" w14:textId="4CA2F867" w:rsidR="00457BB8" w:rsidRPr="004D1AE0" w:rsidRDefault="00457BB8" w:rsidP="00CF56F0">
      <w:pPr>
        <w:pStyle w:val="Piedepgina"/>
        <w:spacing w:before="100" w:beforeAutospacing="1" w:after="100" w:afterAutospacing="1" w:line="360" w:lineRule="auto"/>
        <w:contextualSpacing/>
        <w:jc w:val="both"/>
        <w:rPr>
          <w:rFonts w:ascii="Palatino Linotype" w:hAnsi="Palatino Linotype" w:cs="Arial"/>
        </w:rPr>
      </w:pPr>
      <w:r w:rsidRPr="004D1AE0">
        <w:rPr>
          <w:rFonts w:ascii="Palatino Linotype" w:hAnsi="Palatino Linotype" w:cs="Arial"/>
          <w:b/>
          <w:sz w:val="28"/>
        </w:rPr>
        <w:t xml:space="preserve">V. </w:t>
      </w:r>
      <w:r w:rsidRPr="004D1AE0">
        <w:rPr>
          <w:rFonts w:ascii="Palatino Linotype" w:hAnsi="Palatino Linotype" w:cs="Arial"/>
        </w:rPr>
        <w:t>De las constancias del expediente electrónico del</w:t>
      </w:r>
      <w:r w:rsidRPr="004D1AE0">
        <w:rPr>
          <w:rFonts w:ascii="Palatino Linotype" w:hAnsi="Palatino Linotype" w:cs="Arial"/>
          <w:b/>
        </w:rPr>
        <w:t xml:space="preserve"> </w:t>
      </w:r>
      <w:proofErr w:type="spellStart"/>
      <w:r w:rsidRPr="004D1AE0">
        <w:rPr>
          <w:rFonts w:ascii="Palatino Linotype" w:hAnsi="Palatino Linotype" w:cs="Arial"/>
          <w:b/>
        </w:rPr>
        <w:t>SAIMEX</w:t>
      </w:r>
      <w:proofErr w:type="spellEnd"/>
      <w:r w:rsidRPr="004D1AE0">
        <w:rPr>
          <w:rFonts w:ascii="Palatino Linotype" w:hAnsi="Palatino Linotype" w:cs="Arial"/>
        </w:rPr>
        <w:t xml:space="preserve">, se advierte que en fecha </w:t>
      </w:r>
      <w:r w:rsidR="00C351AC" w:rsidRPr="004D1AE0">
        <w:rPr>
          <w:rFonts w:ascii="Palatino Linotype" w:hAnsi="Palatino Linotype" w:cs="Arial"/>
        </w:rPr>
        <w:t>quince</w:t>
      </w:r>
      <w:r w:rsidR="00936A6F" w:rsidRPr="004D1AE0">
        <w:rPr>
          <w:rFonts w:ascii="Palatino Linotype" w:hAnsi="Palatino Linotype" w:cs="Arial"/>
        </w:rPr>
        <w:t xml:space="preserve"> de septiembre</w:t>
      </w:r>
      <w:r w:rsidR="00BD7CF0" w:rsidRPr="004D1AE0">
        <w:rPr>
          <w:rFonts w:ascii="Palatino Linotype" w:hAnsi="Palatino Linotype" w:cs="Arial"/>
        </w:rPr>
        <w:t xml:space="preserve"> </w:t>
      </w:r>
      <w:r w:rsidRPr="004D1AE0">
        <w:rPr>
          <w:rFonts w:ascii="Palatino Linotype" w:hAnsi="Palatino Linotype" w:cs="Arial"/>
        </w:rPr>
        <w:t xml:space="preserve">de dos mil veinte, se acordó la admisión a trámite del recurso de </w:t>
      </w:r>
      <w:r w:rsidRPr="004D1AE0">
        <w:rPr>
          <w:rFonts w:ascii="Palatino Linotype" w:hAnsi="Palatino Linotype" w:cs="Arial"/>
        </w:rPr>
        <w:lastRenderedPageBreak/>
        <w:t xml:space="preserve">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D1AE0">
        <w:rPr>
          <w:rFonts w:ascii="Palatino Linotype" w:hAnsi="Palatino Linotype" w:cs="Arial"/>
          <w:b/>
        </w:rPr>
        <w:t xml:space="preserve">EL SUJETO OBLIGADO </w:t>
      </w:r>
      <w:r w:rsidRPr="004D1AE0">
        <w:rPr>
          <w:rFonts w:ascii="Palatino Linotype" w:hAnsi="Palatino Linotype" w:cs="Arial"/>
        </w:rPr>
        <w:t>rindiera su</w:t>
      </w:r>
      <w:r w:rsidRPr="004D1AE0">
        <w:rPr>
          <w:rFonts w:ascii="Palatino Linotype" w:hAnsi="Palatino Linotype" w:cs="Arial"/>
          <w:b/>
        </w:rPr>
        <w:t xml:space="preserve"> </w:t>
      </w:r>
      <w:r w:rsidRPr="004D1AE0">
        <w:rPr>
          <w:rFonts w:ascii="Palatino Linotype" w:hAnsi="Palatino Linotype" w:cs="Arial"/>
        </w:rPr>
        <w:t>Informe Justificado.</w:t>
      </w:r>
    </w:p>
    <w:p w14:paraId="2DDB6AEC" w14:textId="77777777" w:rsidR="00457BB8" w:rsidRPr="004D1AE0" w:rsidRDefault="00457BB8" w:rsidP="00CF56F0">
      <w:pPr>
        <w:pStyle w:val="Piedepgina"/>
        <w:spacing w:before="100" w:beforeAutospacing="1" w:after="100" w:afterAutospacing="1" w:line="360" w:lineRule="auto"/>
        <w:contextualSpacing/>
        <w:jc w:val="both"/>
        <w:rPr>
          <w:rFonts w:ascii="Palatino Linotype" w:hAnsi="Palatino Linotype" w:cs="Arial"/>
        </w:rPr>
      </w:pPr>
    </w:p>
    <w:p w14:paraId="55A1B168" w14:textId="2515DA10" w:rsidR="00457BB8" w:rsidRPr="004D1AE0" w:rsidRDefault="00457BB8" w:rsidP="00CF56F0">
      <w:pPr>
        <w:spacing w:before="100" w:beforeAutospacing="1" w:after="100" w:afterAutospacing="1" w:line="360" w:lineRule="auto"/>
        <w:contextualSpacing/>
        <w:jc w:val="both"/>
        <w:rPr>
          <w:rFonts w:ascii="Palatino Linotype" w:hAnsi="Palatino Linotype" w:cs="Arial"/>
          <w:b/>
          <w:i/>
        </w:rPr>
      </w:pPr>
      <w:r w:rsidRPr="004D1AE0">
        <w:rPr>
          <w:rFonts w:ascii="Palatino Linotype" w:eastAsia="Arial Unicode MS" w:hAnsi="Palatino Linotype" w:cs="Arial"/>
          <w:b/>
          <w:sz w:val="28"/>
          <w:szCs w:val="28"/>
        </w:rPr>
        <w:t xml:space="preserve">VI. </w:t>
      </w:r>
      <w:r w:rsidRPr="004D1AE0">
        <w:rPr>
          <w:rFonts w:ascii="Palatino Linotype" w:eastAsia="Arial Unicode MS" w:hAnsi="Palatino Linotype" w:cs="Arial"/>
        </w:rPr>
        <w:t xml:space="preserve">Conforme a las constancias del </w:t>
      </w:r>
      <w:proofErr w:type="spellStart"/>
      <w:r w:rsidRPr="004D1AE0">
        <w:rPr>
          <w:rFonts w:ascii="Palatino Linotype" w:eastAsia="Arial Unicode MS" w:hAnsi="Palatino Linotype" w:cs="Arial"/>
          <w:b/>
        </w:rPr>
        <w:t>SAIMEX</w:t>
      </w:r>
      <w:proofErr w:type="spellEnd"/>
      <w:r w:rsidRPr="004D1AE0">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w:t>
      </w:r>
      <w:r w:rsidR="00C351AC" w:rsidRPr="004D1AE0">
        <w:rPr>
          <w:rFonts w:ascii="Palatino Linotype" w:eastAsia="Arial Unicode MS" w:hAnsi="Palatino Linotype" w:cs="Arial"/>
        </w:rPr>
        <w:t xml:space="preserve"> término legalmente concedido </w:t>
      </w:r>
      <w:r w:rsidR="00C351AC" w:rsidRPr="004D1AE0">
        <w:rPr>
          <w:rFonts w:ascii="Palatino Linotype" w:eastAsia="Arial Unicode MS" w:hAnsi="Palatino Linotype" w:cs="Arial"/>
          <w:b/>
          <w:color w:val="000000"/>
          <w:lang w:eastAsia="es-MX"/>
        </w:rPr>
        <w:t>EL SUJETO OBLIGADO</w:t>
      </w:r>
      <w:r w:rsidR="00C351AC" w:rsidRPr="004D1AE0">
        <w:rPr>
          <w:rFonts w:ascii="Palatino Linotype" w:eastAsia="Arial Unicode MS" w:hAnsi="Palatino Linotype" w:cs="Arial"/>
        </w:rPr>
        <w:t xml:space="preserve"> rindió su Informe Justificado, mediante los archivos electrónicos </w:t>
      </w:r>
      <w:r w:rsidR="00780C38" w:rsidRPr="004D1AE0">
        <w:rPr>
          <w:rFonts w:ascii="Palatino Linotype" w:eastAsia="Arial Unicode MS" w:hAnsi="Palatino Linotype" w:cs="Arial"/>
          <w:b/>
          <w:i/>
        </w:rPr>
        <w:t xml:space="preserve">3777 </w:t>
      </w:r>
      <w:proofErr w:type="spellStart"/>
      <w:r w:rsidR="00780C38" w:rsidRPr="004D1AE0">
        <w:rPr>
          <w:rFonts w:ascii="Palatino Linotype" w:eastAsia="Arial Unicode MS" w:hAnsi="Palatino Linotype" w:cs="Arial"/>
          <w:b/>
          <w:i/>
        </w:rPr>
        <w:t>RR</w:t>
      </w:r>
      <w:proofErr w:type="spellEnd"/>
      <w:r w:rsidR="00780C38" w:rsidRPr="004D1AE0">
        <w:rPr>
          <w:rFonts w:ascii="Palatino Linotype" w:eastAsia="Arial Unicode MS" w:hAnsi="Palatino Linotype" w:cs="Arial"/>
          <w:b/>
          <w:i/>
        </w:rPr>
        <w:t xml:space="preserve"> Informe Justificado.pdf</w:t>
      </w:r>
      <w:r w:rsidR="003B6B5F" w:rsidRPr="004D1AE0">
        <w:rPr>
          <w:rFonts w:ascii="Palatino Linotype" w:eastAsia="Arial Unicode MS" w:hAnsi="Palatino Linotype" w:cs="Arial"/>
          <w:b/>
          <w:i/>
        </w:rPr>
        <w:t xml:space="preserve"> </w:t>
      </w:r>
      <w:r w:rsidR="003B6B5F" w:rsidRPr="004D1AE0">
        <w:rPr>
          <w:rFonts w:ascii="Palatino Linotype" w:eastAsia="Arial Unicode MS" w:hAnsi="Palatino Linotype" w:cs="Arial"/>
        </w:rPr>
        <w:t>mediante el cual el Titular de la unidad de transparencia</w:t>
      </w:r>
      <w:r w:rsidR="003B6B5F" w:rsidRPr="004D1AE0">
        <w:rPr>
          <w:rFonts w:ascii="Palatino Linotype" w:eastAsia="Arial Unicode MS" w:hAnsi="Palatino Linotype" w:cs="Arial"/>
          <w:b/>
        </w:rPr>
        <w:t xml:space="preserve"> </w:t>
      </w:r>
      <w:r w:rsidR="003B6B5F" w:rsidRPr="004D1AE0">
        <w:rPr>
          <w:rFonts w:ascii="Palatino Linotype" w:eastAsia="Arial Unicode MS" w:hAnsi="Palatino Linotype" w:cs="Arial"/>
        </w:rPr>
        <w:t xml:space="preserve">remitió la información </w:t>
      </w:r>
      <w:r w:rsidR="00890CB2" w:rsidRPr="004D1AE0">
        <w:rPr>
          <w:rFonts w:ascii="Palatino Linotype" w:eastAsia="Arial Unicode MS" w:hAnsi="Palatino Linotype" w:cs="Arial"/>
        </w:rPr>
        <w:t xml:space="preserve">suscrita </w:t>
      </w:r>
      <w:r w:rsidR="003B6B5F" w:rsidRPr="004D1AE0">
        <w:rPr>
          <w:rFonts w:ascii="Palatino Linotype" w:eastAsia="Arial Unicode MS" w:hAnsi="Palatino Linotype" w:cs="Arial"/>
        </w:rPr>
        <w:t>por el</w:t>
      </w:r>
      <w:r w:rsidR="003B6B5F" w:rsidRPr="004D1AE0">
        <w:rPr>
          <w:rFonts w:ascii="Palatino Linotype" w:eastAsia="Arial Unicode MS" w:hAnsi="Palatino Linotype" w:cs="Arial"/>
          <w:b/>
        </w:rPr>
        <w:t xml:space="preserve"> </w:t>
      </w:r>
      <w:r w:rsidR="003B6B5F" w:rsidRPr="004D1AE0">
        <w:rPr>
          <w:rFonts w:ascii="Palatino Linotype" w:eastAsia="Arial Unicode MS" w:hAnsi="Palatino Linotype" w:cs="Arial"/>
        </w:rPr>
        <w:t>Servidor Público Habilitado de la Dirección General de Recursos Materiales</w:t>
      </w:r>
      <w:r w:rsidR="003B6B5F" w:rsidRPr="004D1AE0">
        <w:rPr>
          <w:rFonts w:ascii="Palatino Linotype" w:eastAsia="Arial Unicode MS" w:hAnsi="Palatino Linotype" w:cs="Arial"/>
          <w:b/>
        </w:rPr>
        <w:t xml:space="preserve">; </w:t>
      </w:r>
      <w:r w:rsidR="003B6B5F" w:rsidRPr="004D1AE0">
        <w:rPr>
          <w:rFonts w:ascii="Palatino Linotype" w:eastAsia="Arial Unicode MS" w:hAnsi="Palatino Linotype" w:cs="Arial"/>
        </w:rPr>
        <w:t>asimismo, adjuntó el archivo electrónico</w:t>
      </w:r>
      <w:r w:rsidR="00C351AC" w:rsidRPr="004D1AE0">
        <w:rPr>
          <w:rFonts w:ascii="Palatino Linotype" w:eastAsia="Arial Unicode MS" w:hAnsi="Palatino Linotype" w:cs="Arial"/>
        </w:rPr>
        <w:t xml:space="preserve"> </w:t>
      </w:r>
      <w:r w:rsidR="00C351AC" w:rsidRPr="004D1AE0">
        <w:rPr>
          <w:rFonts w:ascii="Palatino Linotype" w:eastAsia="Arial Unicode MS" w:hAnsi="Palatino Linotype" w:cs="Arial"/>
          <w:b/>
          <w:i/>
        </w:rPr>
        <w:t>3777 RRDGRM.pdf</w:t>
      </w:r>
      <w:r w:rsidR="003B6B5F" w:rsidRPr="004D1AE0">
        <w:rPr>
          <w:rFonts w:ascii="Palatino Linotype" w:eastAsia="Arial Unicode MS" w:hAnsi="Palatino Linotype" w:cs="Arial"/>
          <w:b/>
        </w:rPr>
        <w:t xml:space="preserve"> </w:t>
      </w:r>
      <w:r w:rsidR="003B6B5F" w:rsidRPr="004D1AE0">
        <w:rPr>
          <w:rFonts w:ascii="Palatino Linotype" w:eastAsia="Arial Unicode MS" w:hAnsi="Palatino Linotype" w:cs="Arial"/>
        </w:rPr>
        <w:t>mediante el cual el Servidor Público Habilitado de la Dirección General de Recursos Materiales mediante el cual medularmente</w:t>
      </w:r>
      <w:r w:rsidR="003B6B5F" w:rsidRPr="004D1AE0">
        <w:rPr>
          <w:rFonts w:ascii="Palatino Linotype" w:eastAsia="Arial Unicode MS" w:hAnsi="Palatino Linotype" w:cs="Arial"/>
          <w:b/>
          <w:i/>
        </w:rPr>
        <w:t xml:space="preserve"> </w:t>
      </w:r>
      <w:r w:rsidR="003B6B5F" w:rsidRPr="004D1AE0">
        <w:rPr>
          <w:rFonts w:ascii="Palatino Linotype" w:eastAsia="Arial Unicode MS" w:hAnsi="Palatino Linotype" w:cs="Arial"/>
        </w:rPr>
        <w:t xml:space="preserve">indicó que los Lineamientos para el Registro y Control del Inventario y la Conciliación y Desincorporación de Bienes Muebles e Inmuebles para las Entidades Fiscalizables Municipales del Estado de México no son aplicables para </w:t>
      </w:r>
      <w:r w:rsidR="00890CB2" w:rsidRPr="004D1AE0">
        <w:rPr>
          <w:rFonts w:ascii="Palatino Linotype" w:eastAsia="Arial Unicode MS" w:hAnsi="Palatino Linotype" w:cs="Arial"/>
        </w:rPr>
        <w:t xml:space="preserve">dicho </w:t>
      </w:r>
      <w:r w:rsidR="003B6B5F" w:rsidRPr="004D1AE0">
        <w:rPr>
          <w:rFonts w:ascii="Palatino Linotype" w:eastAsia="Arial Unicode MS" w:hAnsi="Palatino Linotype" w:cs="Arial"/>
          <w:b/>
        </w:rPr>
        <w:t>SUJETO OBLIGADO</w:t>
      </w:r>
      <w:r w:rsidRPr="004D1AE0">
        <w:rPr>
          <w:rFonts w:ascii="Palatino Linotype" w:eastAsia="Arial Unicode MS" w:hAnsi="Palatino Linotype" w:cs="Arial"/>
        </w:rPr>
        <w:t xml:space="preserve">, </w:t>
      </w:r>
      <w:r w:rsidR="00C351AC" w:rsidRPr="004D1AE0">
        <w:rPr>
          <w:rFonts w:ascii="Palatino Linotype" w:eastAsia="Arial Unicode MS" w:hAnsi="Palatino Linotype" w:cs="Arial"/>
        </w:rPr>
        <w:t xml:space="preserve">por su parte </w:t>
      </w:r>
      <w:r w:rsidR="00C351AC" w:rsidRPr="004D1AE0">
        <w:rPr>
          <w:rFonts w:ascii="Palatino Linotype" w:eastAsia="Arial Unicode MS" w:hAnsi="Palatino Linotype" w:cs="Arial"/>
          <w:b/>
        </w:rPr>
        <w:t xml:space="preserve">EL RECURRENTE </w:t>
      </w:r>
      <w:r w:rsidR="00C351AC" w:rsidRPr="004D1AE0">
        <w:rPr>
          <w:rFonts w:ascii="Palatino Linotype" w:eastAsia="Arial Unicode MS" w:hAnsi="Palatino Linotype" w:cs="Arial"/>
        </w:rPr>
        <w:t>no</w:t>
      </w:r>
      <w:r w:rsidRPr="004D1AE0">
        <w:rPr>
          <w:rFonts w:ascii="Palatino Linotype" w:eastAsia="Arial Unicode MS" w:hAnsi="Palatino Linotype" w:cs="Arial"/>
        </w:rPr>
        <w:t xml:space="preserve"> realizó manifestación alguna, ni p</w:t>
      </w:r>
      <w:r w:rsidR="001C0774" w:rsidRPr="004D1AE0">
        <w:rPr>
          <w:rFonts w:ascii="Palatino Linotype" w:eastAsia="Arial Unicode MS" w:hAnsi="Palatino Linotype" w:cs="Arial"/>
        </w:rPr>
        <w:t>resentó p</w:t>
      </w:r>
      <w:r w:rsidR="00C351AC" w:rsidRPr="004D1AE0">
        <w:rPr>
          <w:rFonts w:ascii="Palatino Linotype" w:eastAsia="Arial Unicode MS" w:hAnsi="Palatino Linotype" w:cs="Arial"/>
        </w:rPr>
        <w:t>ruebas o alegatos como se muestra a continuación:</w:t>
      </w:r>
    </w:p>
    <w:p w14:paraId="3E685109" w14:textId="77777777" w:rsidR="00DC489E" w:rsidRPr="004D1AE0" w:rsidRDefault="00DC489E" w:rsidP="00CF56F0">
      <w:pPr>
        <w:spacing w:before="100" w:beforeAutospacing="1" w:after="100" w:afterAutospacing="1" w:line="360" w:lineRule="auto"/>
        <w:contextualSpacing/>
        <w:jc w:val="both"/>
        <w:rPr>
          <w:rFonts w:ascii="Palatino Linotype" w:hAnsi="Palatino Linotype" w:cs="Arial"/>
        </w:rPr>
      </w:pPr>
    </w:p>
    <w:p w14:paraId="42F9AD99" w14:textId="1A72C013" w:rsidR="00DC489E" w:rsidRPr="004D1AE0" w:rsidRDefault="00C351AC" w:rsidP="00CF56F0">
      <w:pPr>
        <w:spacing w:before="100" w:beforeAutospacing="1" w:after="100" w:afterAutospacing="1" w:line="360" w:lineRule="auto"/>
        <w:contextualSpacing/>
        <w:jc w:val="both"/>
        <w:rPr>
          <w:noProof/>
          <w:lang w:eastAsia="es-MX"/>
        </w:rPr>
      </w:pPr>
      <w:r w:rsidRPr="004D1AE0">
        <w:rPr>
          <w:noProof/>
          <w:lang w:eastAsia="es-MX"/>
        </w:rPr>
        <w:lastRenderedPageBreak/>
        <w:drawing>
          <wp:inline distT="0" distB="0" distL="0" distR="0" wp14:anchorId="3F3F6182" wp14:editId="68B06A13">
            <wp:extent cx="5737860" cy="1866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89" t="38589" r="12378" b="13233"/>
                    <a:stretch/>
                  </pic:blipFill>
                  <pic:spPr bwMode="auto">
                    <a:xfrm>
                      <a:off x="0" y="0"/>
                      <a:ext cx="5737860" cy="1866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B26AF2" w14:textId="77777777" w:rsidR="00C351AC" w:rsidRPr="004D1AE0" w:rsidRDefault="00C351AC" w:rsidP="00CF56F0">
      <w:pPr>
        <w:spacing w:before="100" w:beforeAutospacing="1" w:after="100" w:afterAutospacing="1" w:line="360" w:lineRule="auto"/>
        <w:contextualSpacing/>
        <w:jc w:val="both"/>
        <w:rPr>
          <w:rFonts w:ascii="Palatino Linotype" w:hAnsi="Palatino Linotype" w:cs="Arial"/>
        </w:rPr>
      </w:pPr>
    </w:p>
    <w:p w14:paraId="32F8D934" w14:textId="7E45C83C" w:rsidR="00DC489E" w:rsidRPr="004D1AE0" w:rsidRDefault="003B6B5F" w:rsidP="00CF56F0">
      <w:pPr>
        <w:spacing w:before="100" w:beforeAutospacing="1" w:after="100" w:afterAutospacing="1" w:line="360" w:lineRule="auto"/>
        <w:contextualSpacing/>
        <w:jc w:val="both"/>
        <w:rPr>
          <w:rFonts w:ascii="Palatino Linotype" w:hAnsi="Palatino Linotype" w:cs="Arial"/>
        </w:rPr>
      </w:pPr>
      <w:r w:rsidRPr="004D1AE0">
        <w:rPr>
          <w:noProof/>
          <w:lang w:eastAsia="es-MX"/>
        </w:rPr>
        <w:drawing>
          <wp:inline distT="0" distB="0" distL="0" distR="0" wp14:anchorId="561FA480" wp14:editId="0D2058D0">
            <wp:extent cx="5730240" cy="1958340"/>
            <wp:effectExtent l="0" t="0" r="381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812" t="21750" r="29481" b="53693"/>
                    <a:stretch/>
                  </pic:blipFill>
                  <pic:spPr bwMode="auto">
                    <a:xfrm>
                      <a:off x="0" y="0"/>
                      <a:ext cx="5730240" cy="19583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D8C9E3" w14:textId="0AD915ED" w:rsidR="00DC489E" w:rsidRPr="004D1AE0" w:rsidRDefault="00DC489E" w:rsidP="00CF56F0">
      <w:pPr>
        <w:spacing w:before="100" w:beforeAutospacing="1" w:after="100" w:afterAutospacing="1" w:line="360" w:lineRule="auto"/>
        <w:contextualSpacing/>
        <w:jc w:val="both"/>
        <w:rPr>
          <w:rFonts w:ascii="Palatino Linotype" w:hAnsi="Palatino Linotype" w:cs="Arial"/>
        </w:rPr>
      </w:pPr>
    </w:p>
    <w:p w14:paraId="09BC394C" w14:textId="2C46995B" w:rsidR="00457BB8" w:rsidRPr="004D1AE0" w:rsidRDefault="00457BB8" w:rsidP="00CF56F0">
      <w:pPr>
        <w:spacing w:before="100" w:beforeAutospacing="1" w:after="100" w:afterAutospacing="1" w:line="360" w:lineRule="auto"/>
        <w:contextualSpacing/>
        <w:jc w:val="both"/>
        <w:rPr>
          <w:rFonts w:ascii="Palatino Linotype" w:hAnsi="Palatino Linotype" w:cs="Arial"/>
        </w:rPr>
      </w:pPr>
      <w:r w:rsidRPr="004D1AE0">
        <w:rPr>
          <w:rFonts w:ascii="Palatino Linotype" w:hAnsi="Palatino Linotype"/>
          <w:b/>
          <w:sz w:val="28"/>
          <w:szCs w:val="28"/>
        </w:rPr>
        <w:t xml:space="preserve">VII. </w:t>
      </w:r>
      <w:r w:rsidRPr="004D1AE0">
        <w:rPr>
          <w:rFonts w:ascii="Palatino Linotype" w:hAnsi="Palatino Linotype" w:cs="Arial"/>
        </w:rPr>
        <w:t xml:space="preserve">En fecha </w:t>
      </w:r>
      <w:r w:rsidR="00BC72DA" w:rsidRPr="004D1AE0">
        <w:rPr>
          <w:rFonts w:ascii="Palatino Linotype" w:hAnsi="Palatino Linotype" w:cs="Arial"/>
        </w:rPr>
        <w:t>treinta</w:t>
      </w:r>
      <w:r w:rsidR="003708C6" w:rsidRPr="004D1AE0">
        <w:rPr>
          <w:rFonts w:ascii="Palatino Linotype" w:hAnsi="Palatino Linotype" w:cs="Arial"/>
        </w:rPr>
        <w:t xml:space="preserve"> de octubre</w:t>
      </w:r>
      <w:r w:rsidR="002622B8" w:rsidRPr="004D1AE0">
        <w:rPr>
          <w:rFonts w:ascii="Palatino Linotype" w:hAnsi="Palatino Linotype" w:cs="Arial"/>
        </w:rPr>
        <w:t xml:space="preserve"> </w:t>
      </w:r>
      <w:r w:rsidRPr="004D1AE0">
        <w:rPr>
          <w:rFonts w:ascii="Palatino Linotype" w:hAnsi="Palatino Linotype" w:cs="Arial"/>
        </w:rPr>
        <w:t>de dos mil veinte, la Comisionada Ponente acordó el cierre de instrucción, así como la remisión del mismo a efecto de ser resuelto, de conformidad con lo establecido en el artículo 185 fracción VIII de la Ley de Transparencia y Acceso a la Información Pública del E</w:t>
      </w:r>
      <w:r w:rsidR="00454813" w:rsidRPr="004D1AE0">
        <w:rPr>
          <w:rFonts w:ascii="Palatino Linotype" w:hAnsi="Palatino Linotype" w:cs="Arial"/>
        </w:rPr>
        <w:t>stado de México y Municipios.</w:t>
      </w:r>
    </w:p>
    <w:p w14:paraId="1754D39B" w14:textId="77777777" w:rsidR="00454813" w:rsidRPr="004D1AE0" w:rsidRDefault="00454813" w:rsidP="00CF56F0">
      <w:pPr>
        <w:spacing w:before="100" w:beforeAutospacing="1" w:after="100" w:afterAutospacing="1" w:line="360" w:lineRule="auto"/>
        <w:contextualSpacing/>
        <w:jc w:val="both"/>
        <w:rPr>
          <w:rFonts w:ascii="Palatino Linotype" w:hAnsi="Palatino Linotype" w:cs="Arial"/>
        </w:rPr>
      </w:pPr>
    </w:p>
    <w:p w14:paraId="5D7A11CE" w14:textId="39D3B238" w:rsidR="00454813" w:rsidRPr="004D1AE0" w:rsidRDefault="00454813" w:rsidP="00454813">
      <w:pPr>
        <w:spacing w:before="100" w:beforeAutospacing="1" w:after="100" w:afterAutospacing="1" w:line="360" w:lineRule="auto"/>
        <w:contextualSpacing/>
        <w:jc w:val="both"/>
        <w:rPr>
          <w:rFonts w:ascii="Palatino Linotype" w:hAnsi="Palatino Linotype" w:cs="Arial"/>
        </w:rPr>
      </w:pPr>
      <w:r w:rsidRPr="004D1AE0">
        <w:rPr>
          <w:rFonts w:ascii="Palatino Linotype" w:hAnsi="Palatino Linotype" w:cs="Arial"/>
          <w:b/>
        </w:rPr>
        <w:t xml:space="preserve">VIII. </w:t>
      </w:r>
      <w:r w:rsidRPr="004D1AE0">
        <w:rPr>
          <w:rFonts w:ascii="Palatino Linotype" w:hAnsi="Palatino Linotype" w:cs="Arial"/>
        </w:rPr>
        <w:t>En fecha veintinueve de octubre de dos mil veinte, con fundamento en el artículo</w:t>
      </w:r>
    </w:p>
    <w:p w14:paraId="2F09FCAE" w14:textId="77777777" w:rsidR="00454813" w:rsidRPr="004D1AE0" w:rsidRDefault="00454813" w:rsidP="00454813">
      <w:pPr>
        <w:spacing w:before="100" w:beforeAutospacing="1" w:after="100" w:afterAutospacing="1" w:line="360" w:lineRule="auto"/>
        <w:contextualSpacing/>
        <w:jc w:val="both"/>
        <w:rPr>
          <w:rFonts w:ascii="Palatino Linotype" w:hAnsi="Palatino Linotype" w:cs="Arial"/>
        </w:rPr>
      </w:pPr>
      <w:r w:rsidRPr="004D1AE0">
        <w:rPr>
          <w:rFonts w:ascii="Palatino Linotype" w:hAnsi="Palatino Linotype" w:cs="Arial"/>
        </w:rPr>
        <w:t>181 párrafo tercero de la Ley de Transparencia y Acceso a la Información Pública del</w:t>
      </w:r>
    </w:p>
    <w:p w14:paraId="2D2F67D1" w14:textId="77777777" w:rsidR="00454813" w:rsidRPr="004D1AE0" w:rsidRDefault="00454813" w:rsidP="00454813">
      <w:pPr>
        <w:spacing w:before="100" w:beforeAutospacing="1" w:after="100" w:afterAutospacing="1" w:line="360" w:lineRule="auto"/>
        <w:contextualSpacing/>
        <w:jc w:val="both"/>
        <w:rPr>
          <w:rFonts w:ascii="Palatino Linotype" w:hAnsi="Palatino Linotype" w:cs="Arial"/>
        </w:rPr>
      </w:pPr>
      <w:r w:rsidRPr="004D1AE0">
        <w:rPr>
          <w:rFonts w:ascii="Palatino Linotype" w:hAnsi="Palatino Linotype" w:cs="Arial"/>
        </w:rPr>
        <w:t>Estado de México y Municipios, se determinó ampliar el plazo para emitir resolución</w:t>
      </w:r>
    </w:p>
    <w:p w14:paraId="2B760CCE" w14:textId="0EAE9725" w:rsidR="00454813" w:rsidRPr="004D1AE0" w:rsidRDefault="00454813" w:rsidP="00454813">
      <w:pPr>
        <w:spacing w:before="100" w:beforeAutospacing="1" w:after="100" w:afterAutospacing="1" w:line="360" w:lineRule="auto"/>
        <w:contextualSpacing/>
        <w:jc w:val="both"/>
        <w:rPr>
          <w:rFonts w:ascii="Palatino Linotype" w:hAnsi="Palatino Linotype"/>
          <w:sz w:val="28"/>
          <w:szCs w:val="28"/>
        </w:rPr>
      </w:pPr>
      <w:proofErr w:type="gramStart"/>
      <w:r w:rsidRPr="004D1AE0">
        <w:rPr>
          <w:rFonts w:ascii="Palatino Linotype" w:hAnsi="Palatino Linotype" w:cs="Arial"/>
        </w:rPr>
        <w:t>por</w:t>
      </w:r>
      <w:proofErr w:type="gramEnd"/>
      <w:r w:rsidRPr="004D1AE0">
        <w:rPr>
          <w:rFonts w:ascii="Palatino Linotype" w:hAnsi="Palatino Linotype" w:cs="Arial"/>
        </w:rPr>
        <w:t xml:space="preserve"> un periodo de quince días hábiles; y</w:t>
      </w:r>
    </w:p>
    <w:p w14:paraId="14EEC6C5" w14:textId="77777777" w:rsidR="00457BB8" w:rsidRPr="004D1AE0" w:rsidRDefault="00457BB8" w:rsidP="00CF56F0">
      <w:pPr>
        <w:spacing w:before="100" w:beforeAutospacing="1" w:after="100" w:afterAutospacing="1"/>
        <w:contextualSpacing/>
        <w:jc w:val="both"/>
        <w:rPr>
          <w:rFonts w:ascii="Palatino Linotype" w:hAnsi="Palatino Linotype"/>
          <w:b/>
          <w:sz w:val="28"/>
          <w:szCs w:val="28"/>
        </w:rPr>
      </w:pPr>
    </w:p>
    <w:p w14:paraId="274C22D9" w14:textId="77777777" w:rsidR="00457BB8" w:rsidRPr="004D1AE0" w:rsidRDefault="00457BB8" w:rsidP="00CF56F0">
      <w:pPr>
        <w:spacing w:before="100" w:beforeAutospacing="1" w:after="100" w:afterAutospacing="1"/>
        <w:contextualSpacing/>
        <w:jc w:val="center"/>
        <w:rPr>
          <w:rFonts w:ascii="Palatino Linotype" w:hAnsi="Palatino Linotype"/>
          <w:b/>
          <w:bCs/>
          <w:spacing w:val="40"/>
          <w:sz w:val="28"/>
        </w:rPr>
      </w:pPr>
      <w:r w:rsidRPr="004D1AE0">
        <w:rPr>
          <w:rFonts w:ascii="Palatino Linotype" w:hAnsi="Palatino Linotype"/>
          <w:b/>
          <w:bCs/>
          <w:spacing w:val="40"/>
          <w:sz w:val="28"/>
        </w:rPr>
        <w:t>CONSIDERANDO</w:t>
      </w:r>
    </w:p>
    <w:p w14:paraId="2EE1A9E9" w14:textId="77777777" w:rsidR="00457BB8" w:rsidRPr="004D1AE0" w:rsidRDefault="00457BB8" w:rsidP="00CF56F0">
      <w:pPr>
        <w:spacing w:before="100" w:beforeAutospacing="1" w:after="100" w:afterAutospacing="1"/>
        <w:contextualSpacing/>
        <w:jc w:val="center"/>
        <w:rPr>
          <w:rFonts w:ascii="Palatino Linotype" w:hAnsi="Palatino Linotype"/>
          <w:b/>
          <w:bCs/>
          <w:spacing w:val="40"/>
          <w:sz w:val="28"/>
        </w:rPr>
      </w:pPr>
    </w:p>
    <w:p w14:paraId="224029A3" w14:textId="77777777" w:rsidR="00457BB8" w:rsidRPr="004D1AE0" w:rsidRDefault="00457BB8" w:rsidP="00CF56F0">
      <w:pPr>
        <w:spacing w:before="100" w:beforeAutospacing="1" w:after="100" w:afterAutospacing="1" w:line="360" w:lineRule="auto"/>
        <w:ind w:right="50"/>
        <w:contextualSpacing/>
        <w:jc w:val="both"/>
        <w:rPr>
          <w:rFonts w:ascii="Palatino Linotype" w:hAnsi="Palatino Linotype" w:cs="Arial"/>
        </w:rPr>
      </w:pPr>
      <w:r w:rsidRPr="004D1AE0">
        <w:rPr>
          <w:rFonts w:ascii="Palatino Linotype" w:hAnsi="Palatino Linotype"/>
          <w:b/>
          <w:sz w:val="28"/>
          <w:szCs w:val="28"/>
        </w:rPr>
        <w:t>PRIMERO</w:t>
      </w:r>
      <w:r w:rsidRPr="004D1AE0">
        <w:rPr>
          <w:rFonts w:ascii="Palatino Linotype" w:hAnsi="Palatino Linotype"/>
          <w:b/>
        </w:rPr>
        <w:t>.</w:t>
      </w:r>
      <w:r w:rsidRPr="004D1AE0">
        <w:rPr>
          <w:rFonts w:ascii="Palatino Linotype" w:hAnsi="Palatino Linotype"/>
        </w:rPr>
        <w:t xml:space="preserve"> </w:t>
      </w:r>
      <w:r w:rsidRPr="004D1AE0">
        <w:rPr>
          <w:rFonts w:ascii="Palatino Linotype" w:hAnsi="Palatino Linotype"/>
          <w:b/>
        </w:rPr>
        <w:t>Competencia</w:t>
      </w:r>
      <w:r w:rsidRPr="004D1AE0">
        <w:rPr>
          <w:rFonts w:ascii="Palatino Linotype" w:hAnsi="Palatino Linotype"/>
        </w:rPr>
        <w:t>.</w:t>
      </w:r>
      <w:r w:rsidRPr="004D1AE0">
        <w:rPr>
          <w:rFonts w:ascii="Palatino Linotype" w:hAnsi="Palatino Linotype"/>
          <w:b/>
        </w:rPr>
        <w:t xml:space="preserve"> </w:t>
      </w:r>
      <w:r w:rsidRPr="004D1AE0">
        <w:rPr>
          <w:rFonts w:ascii="Palatino Linotype" w:hAnsi="Palatino Linotype"/>
        </w:rPr>
        <w:t xml:space="preserve">Este Instituto de </w:t>
      </w:r>
      <w:r w:rsidRPr="004D1AE0">
        <w:rPr>
          <w:rFonts w:ascii="Palatino Linotype" w:hAnsi="Palatino Linotype" w:cs="Arial"/>
        </w:rPr>
        <w:t>Transparencia</w:t>
      </w:r>
      <w:r w:rsidRPr="004D1AE0">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4D1AE0">
        <w:rPr>
          <w:rFonts w:ascii="Palatino Linotype" w:eastAsia="Calibri" w:hAnsi="Palatino Linotype" w:cs="Arial"/>
        </w:rPr>
        <w:t xml:space="preserve">párrafos </w:t>
      </w:r>
      <w:r w:rsidRPr="004D1AE0">
        <w:rPr>
          <w:rFonts w:ascii="Palatino Linotype" w:hAnsi="Palatino Linotype"/>
        </w:rPr>
        <w:t xml:space="preserve">vigésimo </w:t>
      </w:r>
      <w:r w:rsidRPr="004D1AE0">
        <w:rPr>
          <w:rFonts w:ascii="Palatino Linotype" w:hAnsi="Palatino Linotype" w:cs="Arial"/>
        </w:rPr>
        <w:t>segundo,</w:t>
      </w:r>
      <w:r w:rsidRPr="004D1AE0">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4D1AE0">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128A0B77" w14:textId="77777777" w:rsidR="00457BB8" w:rsidRPr="004D1AE0" w:rsidRDefault="00457BB8" w:rsidP="00CF56F0">
      <w:pPr>
        <w:spacing w:before="100" w:beforeAutospacing="1" w:after="100" w:afterAutospacing="1" w:line="360" w:lineRule="auto"/>
        <w:ind w:right="50"/>
        <w:contextualSpacing/>
        <w:jc w:val="both"/>
        <w:rPr>
          <w:rFonts w:ascii="Palatino Linotype" w:hAnsi="Palatino Linotype" w:cs="Arial"/>
          <w:b/>
        </w:rPr>
      </w:pPr>
    </w:p>
    <w:p w14:paraId="54E67F03" w14:textId="77777777" w:rsidR="00457BB8" w:rsidRPr="004D1AE0" w:rsidRDefault="00457BB8" w:rsidP="00CF56F0">
      <w:pPr>
        <w:spacing w:before="100" w:beforeAutospacing="1" w:after="100" w:afterAutospacing="1" w:line="360" w:lineRule="auto"/>
        <w:contextualSpacing/>
        <w:jc w:val="both"/>
        <w:rPr>
          <w:rFonts w:ascii="Palatino Linotype" w:hAnsi="Palatino Linotype" w:cs="Arial"/>
          <w:b/>
          <w:snapToGrid w:val="0"/>
        </w:rPr>
      </w:pPr>
      <w:r w:rsidRPr="004D1AE0">
        <w:rPr>
          <w:rFonts w:ascii="Palatino Linotype" w:hAnsi="Palatino Linotype" w:cs="Arial"/>
          <w:b/>
          <w:sz w:val="28"/>
        </w:rPr>
        <w:t>SEGUNDO</w:t>
      </w:r>
      <w:r w:rsidRPr="004D1AE0">
        <w:rPr>
          <w:rFonts w:ascii="Palatino Linotype" w:hAnsi="Palatino Linotype" w:cs="Arial"/>
          <w:b/>
        </w:rPr>
        <w:t xml:space="preserve">. Interés. </w:t>
      </w:r>
      <w:r w:rsidRPr="004D1AE0">
        <w:rPr>
          <w:rFonts w:ascii="Palatino Linotype" w:hAnsi="Palatino Linotype" w:cs="Arial"/>
          <w:bCs/>
        </w:rPr>
        <w:t xml:space="preserve">El recurso de revisión fue interpuesto por parte legítima, en atención a que se presentó por </w:t>
      </w:r>
      <w:r w:rsidRPr="004D1AE0">
        <w:rPr>
          <w:rFonts w:ascii="Palatino Linotype" w:hAnsi="Palatino Linotype" w:cs="Arial"/>
          <w:b/>
          <w:bCs/>
        </w:rPr>
        <w:t>EL RECURRENTE,</w:t>
      </w:r>
      <w:r w:rsidRPr="004D1AE0">
        <w:rPr>
          <w:rFonts w:ascii="Palatino Linotype" w:hAnsi="Palatino Linotype" w:cs="Arial"/>
          <w:bCs/>
        </w:rPr>
        <w:t xml:space="preserve"> quien es la misma persona que formuló la solicitud de acceso a la información pública al </w:t>
      </w:r>
      <w:r w:rsidRPr="004D1AE0">
        <w:rPr>
          <w:rFonts w:ascii="Palatino Linotype" w:hAnsi="Palatino Linotype" w:cs="Arial"/>
          <w:b/>
          <w:bCs/>
        </w:rPr>
        <w:t>SUJETO OBLIGADO.</w:t>
      </w:r>
    </w:p>
    <w:p w14:paraId="29A38B6E" w14:textId="77777777" w:rsidR="00457BB8" w:rsidRPr="004D1AE0" w:rsidRDefault="00457BB8" w:rsidP="00CF56F0">
      <w:pPr>
        <w:spacing w:before="100" w:beforeAutospacing="1" w:after="100" w:afterAutospacing="1" w:line="360" w:lineRule="auto"/>
        <w:contextualSpacing/>
        <w:jc w:val="both"/>
        <w:rPr>
          <w:rFonts w:ascii="Palatino Linotype" w:hAnsi="Palatino Linotype" w:cs="Arial"/>
          <w:b/>
          <w:szCs w:val="28"/>
        </w:rPr>
      </w:pPr>
    </w:p>
    <w:p w14:paraId="0228BFAD" w14:textId="77777777" w:rsidR="00457BB8" w:rsidRPr="004D1AE0" w:rsidRDefault="00457BB8" w:rsidP="00CF56F0">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4D1AE0">
        <w:rPr>
          <w:rFonts w:ascii="Palatino Linotype" w:hAnsi="Palatino Linotype" w:cs="Arial"/>
          <w:b/>
          <w:sz w:val="28"/>
          <w:szCs w:val="28"/>
        </w:rPr>
        <w:t xml:space="preserve">TERCERO. </w:t>
      </w:r>
      <w:r w:rsidRPr="004D1AE0">
        <w:rPr>
          <w:rFonts w:ascii="Palatino Linotype" w:hAnsi="Palatino Linotype" w:cs="Arial"/>
          <w:b/>
        </w:rPr>
        <w:t xml:space="preserve">Oportunidad. </w:t>
      </w:r>
      <w:r w:rsidRPr="004D1AE0">
        <w:rPr>
          <w:rFonts w:ascii="Palatino Linotype" w:hAnsi="Palatino Linotype" w:cs="Arial"/>
        </w:rPr>
        <w:t xml:space="preserve">El recurso de revisión fue interpuesto dentro del plazo de quince días hábiles contados a partir del día siguiente al en que </w:t>
      </w:r>
      <w:r w:rsidRPr="004D1AE0">
        <w:rPr>
          <w:rFonts w:ascii="Palatino Linotype" w:hAnsi="Palatino Linotype" w:cs="Arial"/>
          <w:b/>
        </w:rPr>
        <w:t xml:space="preserve">EL RECURRENTE </w:t>
      </w:r>
      <w:r w:rsidRPr="004D1AE0">
        <w:rPr>
          <w:rFonts w:ascii="Palatino Linotype" w:hAnsi="Palatino Linotype" w:cs="Arial"/>
        </w:rPr>
        <w:t xml:space="preserve">tuvo conocimiento de la respuesta impugnada, tal y como lo prevé el artículo 178 de </w:t>
      </w:r>
      <w:r w:rsidRPr="004D1AE0">
        <w:rPr>
          <w:rFonts w:ascii="Palatino Linotype" w:hAnsi="Palatino Linotype" w:cs="Arial"/>
        </w:rPr>
        <w:lastRenderedPageBreak/>
        <w:t xml:space="preserve">la Ley de Transparencia y Acceso a la Información Pública del Estado de México y Municipios, que establece: </w:t>
      </w:r>
    </w:p>
    <w:p w14:paraId="704DF29D" w14:textId="77777777" w:rsidR="00457BB8" w:rsidRPr="004D1AE0" w:rsidRDefault="00457BB8" w:rsidP="00CF56F0">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796155AA" w14:textId="77777777" w:rsidR="00457BB8" w:rsidRPr="004D1AE0" w:rsidRDefault="00457BB8" w:rsidP="00CF56F0">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4D1AE0">
        <w:rPr>
          <w:rFonts w:ascii="Palatino Linotype" w:eastAsiaTheme="minorEastAsia" w:hAnsi="Palatino Linotype" w:cs="Arial"/>
          <w:b/>
          <w:i/>
          <w:sz w:val="22"/>
          <w:szCs w:val="22"/>
          <w:lang w:val="es-ES_tradnl"/>
        </w:rPr>
        <w:t>“Artículo 178.</w:t>
      </w:r>
      <w:r w:rsidRPr="004D1AE0">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4D1AE0" w:rsidRDefault="00457BB8" w:rsidP="00CF56F0">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4D1AE0">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ADBF60" w14:textId="77777777" w:rsidR="00457BB8" w:rsidRPr="004D1AE0" w:rsidRDefault="00457BB8" w:rsidP="00CF56F0">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4D1AE0">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4D1AE0">
        <w:rPr>
          <w:rFonts w:ascii="Palatino Linotype" w:eastAsiaTheme="minorEastAsia" w:hAnsi="Palatino Linotype" w:cs="Arial"/>
          <w:b/>
          <w:i/>
          <w:sz w:val="22"/>
          <w:szCs w:val="22"/>
          <w:lang w:val="es-ES_tradnl"/>
        </w:rPr>
        <w:t>”</w:t>
      </w:r>
    </w:p>
    <w:p w14:paraId="0793AB7B" w14:textId="77777777" w:rsidR="00457BB8" w:rsidRPr="004D1AE0" w:rsidRDefault="00457BB8" w:rsidP="00CF56F0">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5C464BCE" w14:textId="6659D331" w:rsidR="00D8415C" w:rsidRPr="004D1AE0" w:rsidRDefault="00457BB8" w:rsidP="00CF56F0">
      <w:pPr>
        <w:spacing w:before="100" w:beforeAutospacing="1" w:after="100" w:afterAutospacing="1" w:line="360" w:lineRule="auto"/>
        <w:contextualSpacing/>
        <w:jc w:val="both"/>
        <w:rPr>
          <w:rFonts w:ascii="Palatino Linotype" w:hAnsi="Palatino Linotype" w:cs="Arial"/>
        </w:rPr>
      </w:pPr>
      <w:r w:rsidRPr="004D1AE0">
        <w:rPr>
          <w:rFonts w:ascii="Palatino Linotype" w:eastAsiaTheme="minorEastAsia" w:hAnsi="Palatino Linotype" w:cs="Arial"/>
          <w:color w:val="000000" w:themeColor="text1"/>
          <w:lang w:val="es-ES_tradnl"/>
        </w:rPr>
        <w:t xml:space="preserve">En efecto, atendiendo a que </w:t>
      </w:r>
      <w:r w:rsidRPr="004D1AE0">
        <w:rPr>
          <w:rFonts w:ascii="Palatino Linotype" w:eastAsiaTheme="minorEastAsia" w:hAnsi="Palatino Linotype" w:cs="Arial"/>
          <w:b/>
          <w:color w:val="000000" w:themeColor="text1"/>
          <w:lang w:val="es-ES_tradnl"/>
        </w:rPr>
        <w:t>EL SUJETO OBLIGADO</w:t>
      </w:r>
      <w:r w:rsidRPr="004D1AE0">
        <w:rPr>
          <w:rFonts w:ascii="Palatino Linotype" w:eastAsiaTheme="minorEastAsia" w:hAnsi="Palatino Linotype" w:cs="Arial"/>
          <w:color w:val="000000" w:themeColor="text1"/>
          <w:lang w:val="es-ES_tradnl"/>
        </w:rPr>
        <w:t xml:space="preserve"> notificó la respuesta a la solicitud de información pública el </w:t>
      </w:r>
      <w:r w:rsidR="00BC72DA" w:rsidRPr="004D1AE0">
        <w:rPr>
          <w:rFonts w:ascii="Palatino Linotype" w:eastAsiaTheme="minorEastAsia" w:hAnsi="Palatino Linotype" w:cs="Arial"/>
          <w:b/>
          <w:color w:val="000000" w:themeColor="text1"/>
          <w:lang w:val="es-ES_tradnl"/>
        </w:rPr>
        <w:t>veinticuatro</w:t>
      </w:r>
      <w:r w:rsidR="00C8300C" w:rsidRPr="004D1AE0">
        <w:rPr>
          <w:rFonts w:ascii="Palatino Linotype" w:eastAsiaTheme="minorEastAsia" w:hAnsi="Palatino Linotype" w:cs="Arial"/>
          <w:b/>
          <w:color w:val="000000" w:themeColor="text1"/>
          <w:lang w:val="es-ES_tradnl"/>
        </w:rPr>
        <w:t xml:space="preserve"> de agosto </w:t>
      </w:r>
      <w:r w:rsidRPr="004D1AE0">
        <w:rPr>
          <w:rFonts w:ascii="Palatino Linotype" w:eastAsiaTheme="minorEastAsia" w:hAnsi="Palatino Linotype" w:cs="Arial"/>
          <w:b/>
          <w:color w:val="000000" w:themeColor="text1"/>
          <w:lang w:val="es-ES_tradnl"/>
        </w:rPr>
        <w:t xml:space="preserve">de dos mil veinte; </w:t>
      </w:r>
      <w:r w:rsidRPr="004D1AE0">
        <w:rPr>
          <w:rFonts w:ascii="Palatino Linotype" w:hAnsi="Palatino Linotype" w:cs="Arial"/>
          <w:color w:val="000000" w:themeColor="text1"/>
        </w:rPr>
        <w:t>en consecuencia, el plazo de quince días hábiles que el artículo 178 de la ley de la materia otorga al</w:t>
      </w:r>
      <w:r w:rsidRPr="004D1AE0">
        <w:rPr>
          <w:rFonts w:ascii="Palatino Linotype" w:hAnsi="Palatino Linotype" w:cs="Arial"/>
          <w:b/>
          <w:color w:val="000000" w:themeColor="text1"/>
        </w:rPr>
        <w:t xml:space="preserve"> RECURRENTE</w:t>
      </w:r>
      <w:r w:rsidRPr="004D1AE0">
        <w:rPr>
          <w:rFonts w:ascii="Palatino Linotype" w:hAnsi="Palatino Linotype" w:cs="Arial"/>
          <w:color w:val="000000" w:themeColor="text1"/>
        </w:rPr>
        <w:t xml:space="preserve"> para presentar el recurso de revisión, transcurrió del</w:t>
      </w:r>
      <w:r w:rsidRPr="004D1AE0">
        <w:rPr>
          <w:rFonts w:ascii="Palatino Linotype" w:hAnsi="Palatino Linotype" w:cs="Arial"/>
          <w:b/>
          <w:color w:val="000000" w:themeColor="text1"/>
        </w:rPr>
        <w:t xml:space="preserve"> </w:t>
      </w:r>
      <w:r w:rsidR="00BC72DA" w:rsidRPr="004D1AE0">
        <w:rPr>
          <w:rFonts w:ascii="Palatino Linotype" w:hAnsi="Palatino Linotype" w:cs="Arial"/>
          <w:b/>
          <w:color w:val="000000" w:themeColor="text1"/>
        </w:rPr>
        <w:t>veinticinco</w:t>
      </w:r>
      <w:r w:rsidR="00D8415C" w:rsidRPr="004D1AE0">
        <w:rPr>
          <w:rFonts w:ascii="Palatino Linotype" w:hAnsi="Palatino Linotype" w:cs="Arial"/>
          <w:b/>
          <w:color w:val="000000" w:themeColor="text1"/>
        </w:rPr>
        <w:t xml:space="preserve"> de agosto</w:t>
      </w:r>
      <w:r w:rsidR="002622B8" w:rsidRPr="004D1AE0">
        <w:rPr>
          <w:rFonts w:ascii="Palatino Linotype" w:hAnsi="Palatino Linotype" w:cs="Arial"/>
          <w:b/>
          <w:color w:val="000000" w:themeColor="text1"/>
        </w:rPr>
        <w:t xml:space="preserve"> al </w:t>
      </w:r>
      <w:r w:rsidR="00BC72DA" w:rsidRPr="004D1AE0">
        <w:rPr>
          <w:rFonts w:ascii="Palatino Linotype" w:hAnsi="Palatino Linotype" w:cs="Arial"/>
          <w:b/>
          <w:color w:val="000000" w:themeColor="text1"/>
        </w:rPr>
        <w:t>catorce</w:t>
      </w:r>
      <w:r w:rsidR="00D8415C" w:rsidRPr="004D1AE0">
        <w:rPr>
          <w:rFonts w:ascii="Palatino Linotype" w:hAnsi="Palatino Linotype" w:cs="Arial"/>
          <w:b/>
          <w:color w:val="000000" w:themeColor="text1"/>
        </w:rPr>
        <w:t xml:space="preserve"> de septiembre</w:t>
      </w:r>
      <w:r w:rsidR="002622B8" w:rsidRPr="004D1AE0">
        <w:rPr>
          <w:rFonts w:ascii="Palatino Linotype" w:hAnsi="Palatino Linotype" w:cs="Arial"/>
          <w:b/>
          <w:color w:val="000000" w:themeColor="text1"/>
        </w:rPr>
        <w:t xml:space="preserve"> de dos mil veinte;</w:t>
      </w:r>
      <w:r w:rsidR="002622B8" w:rsidRPr="004D1AE0">
        <w:rPr>
          <w:rFonts w:ascii="Palatino Linotype" w:hAnsi="Palatino Linotype" w:cs="Arial"/>
          <w:color w:val="000000" w:themeColor="text1"/>
        </w:rPr>
        <w:t xml:space="preserve"> </w:t>
      </w:r>
      <w:r w:rsidR="00D8415C" w:rsidRPr="004D1AE0">
        <w:rPr>
          <w:rFonts w:ascii="Palatino Linotype" w:hAnsi="Palatino Linotype" w:cs="Arial"/>
        </w:rPr>
        <w:t xml:space="preserve">sin contemplar en el cómputo </w:t>
      </w:r>
      <w:r w:rsidR="00BC72DA" w:rsidRPr="004D1AE0">
        <w:rPr>
          <w:rFonts w:ascii="Palatino Linotype" w:hAnsi="Palatino Linotype" w:cs="Arial"/>
        </w:rPr>
        <w:t xml:space="preserve">los días </w:t>
      </w:r>
      <w:r w:rsidR="00D8415C" w:rsidRPr="004D1AE0">
        <w:rPr>
          <w:rFonts w:ascii="Palatino Linotype" w:hAnsi="Palatino Linotype" w:cs="Arial"/>
        </w:rPr>
        <w:t>veintinueve y trein</w:t>
      </w:r>
      <w:r w:rsidR="00BC72DA" w:rsidRPr="004D1AE0">
        <w:rPr>
          <w:rFonts w:ascii="Palatino Linotype" w:hAnsi="Palatino Linotype" w:cs="Arial"/>
        </w:rPr>
        <w:t xml:space="preserve">ta de agosto; asimismo, cinco, </w:t>
      </w:r>
      <w:r w:rsidR="00D8415C" w:rsidRPr="004D1AE0">
        <w:rPr>
          <w:rFonts w:ascii="Palatino Linotype" w:hAnsi="Palatino Linotype" w:cs="Arial"/>
        </w:rPr>
        <w:t>seis</w:t>
      </w:r>
      <w:r w:rsidR="00BC72DA" w:rsidRPr="004D1AE0">
        <w:rPr>
          <w:rFonts w:ascii="Palatino Linotype" w:hAnsi="Palatino Linotype" w:cs="Arial"/>
        </w:rPr>
        <w:t>, doce y trece</w:t>
      </w:r>
      <w:r w:rsidR="00D8415C" w:rsidRPr="004D1AE0">
        <w:rPr>
          <w:rFonts w:ascii="Palatino Linotype" w:hAnsi="Palatino Linotype" w:cs="Arial"/>
        </w:rPr>
        <w:t xml:space="preserve"> de septiembre de dos mil veinte; por corresponder a sábados y domingos, considerados como días inhábiles, en términos del artículo 3, fracción X de la </w:t>
      </w:r>
      <w:r w:rsidR="00D8415C" w:rsidRPr="004D1AE0">
        <w:rPr>
          <w:rFonts w:ascii="Palatino Linotype" w:hAnsi="Palatino Linotype"/>
        </w:rPr>
        <w:t>Ley de Transparencia y Acceso a la Información Pública del Estado de México y Municipios,</w:t>
      </w:r>
      <w:r w:rsidR="00D8415C" w:rsidRPr="004D1AE0">
        <w:rPr>
          <w:rFonts w:ascii="Palatino Linotype" w:hAnsi="Palatino Linotype" w:cs="Arial"/>
        </w:rPr>
        <w:t xml:space="preserve">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14:paraId="44951D45" w14:textId="77777777" w:rsidR="00D8415C" w:rsidRPr="004D1AE0" w:rsidRDefault="00D8415C" w:rsidP="00CF56F0">
      <w:pPr>
        <w:spacing w:before="100" w:beforeAutospacing="1" w:after="100" w:afterAutospacing="1" w:line="360" w:lineRule="auto"/>
        <w:contextualSpacing/>
        <w:jc w:val="both"/>
        <w:rPr>
          <w:rFonts w:ascii="Palatino Linotype" w:hAnsi="Palatino Linotype" w:cs="Arial"/>
        </w:rPr>
      </w:pPr>
    </w:p>
    <w:p w14:paraId="0E788203" w14:textId="77BD7817" w:rsidR="00457BB8" w:rsidRPr="004D1AE0" w:rsidRDefault="00457BB8" w:rsidP="00CF56F0">
      <w:pPr>
        <w:spacing w:before="100" w:beforeAutospacing="1" w:after="100" w:afterAutospacing="1" w:line="360" w:lineRule="auto"/>
        <w:contextualSpacing/>
        <w:jc w:val="both"/>
        <w:rPr>
          <w:rFonts w:ascii="Palatino Linotype" w:eastAsiaTheme="minorEastAsia" w:hAnsi="Palatino Linotype" w:cs="Arial"/>
          <w:lang w:val="es-ES_tradnl"/>
        </w:rPr>
      </w:pPr>
      <w:r w:rsidRPr="004D1AE0">
        <w:rPr>
          <w:rFonts w:ascii="Palatino Linotype" w:eastAsiaTheme="minorEastAsia" w:hAnsi="Palatino Linotype" w:cs="Arial"/>
          <w:lang w:val="es-ES_tradnl"/>
        </w:rPr>
        <w:t>En ese tenor, si el recurso de revisión que nos ocupa, se interpuso el</w:t>
      </w:r>
      <w:r w:rsidRPr="004D1AE0">
        <w:rPr>
          <w:rFonts w:ascii="Palatino Linotype" w:eastAsiaTheme="minorEastAsia" w:hAnsi="Palatino Linotype" w:cs="Arial"/>
          <w:b/>
          <w:lang w:val="es-ES_tradnl"/>
        </w:rPr>
        <w:t xml:space="preserve"> </w:t>
      </w:r>
      <w:r w:rsidR="00BC72DA" w:rsidRPr="004D1AE0">
        <w:rPr>
          <w:rFonts w:ascii="Palatino Linotype" w:eastAsiaTheme="minorEastAsia" w:hAnsi="Palatino Linotype" w:cs="Arial"/>
          <w:b/>
          <w:lang w:val="es-ES_tradnl"/>
        </w:rPr>
        <w:t xml:space="preserve">nueve de septiembre </w:t>
      </w:r>
      <w:r w:rsidRPr="004D1AE0">
        <w:rPr>
          <w:rFonts w:ascii="Palatino Linotype" w:eastAsiaTheme="minorEastAsia" w:hAnsi="Palatino Linotype" w:cs="Arial"/>
          <w:b/>
          <w:lang w:val="es-ES_tradnl"/>
        </w:rPr>
        <w:t>de dos mil veinte,</w:t>
      </w:r>
      <w:r w:rsidRPr="004D1AE0">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40206908" w14:textId="77777777" w:rsidR="00457BB8" w:rsidRPr="004D1AE0" w:rsidRDefault="00457BB8" w:rsidP="00CF56F0">
      <w:pPr>
        <w:spacing w:before="100" w:beforeAutospacing="1" w:after="100" w:afterAutospacing="1" w:line="360" w:lineRule="auto"/>
        <w:contextualSpacing/>
        <w:jc w:val="both"/>
        <w:rPr>
          <w:rFonts w:ascii="Palatino Linotype" w:eastAsiaTheme="minorEastAsia" w:hAnsi="Palatino Linotype" w:cs="Arial"/>
          <w:lang w:val="es-ES_tradnl"/>
        </w:rPr>
      </w:pPr>
    </w:p>
    <w:p w14:paraId="65115BCD" w14:textId="48AA6D55" w:rsidR="002622B8" w:rsidRPr="004D1AE0" w:rsidRDefault="002622B8" w:rsidP="00CF56F0">
      <w:pPr>
        <w:autoSpaceDE w:val="0"/>
        <w:autoSpaceDN w:val="0"/>
        <w:adjustRightInd w:val="0"/>
        <w:spacing w:before="100" w:beforeAutospacing="1" w:after="100" w:afterAutospacing="1" w:line="360" w:lineRule="auto"/>
        <w:ind w:right="49"/>
        <w:contextualSpacing/>
        <w:jc w:val="both"/>
        <w:rPr>
          <w:rFonts w:ascii="Palatino Linotype" w:hAnsi="Palatino Linotype"/>
          <w:b/>
          <w:lang w:val="es-ES"/>
        </w:rPr>
      </w:pPr>
      <w:r w:rsidRPr="004D1AE0">
        <w:rPr>
          <w:rFonts w:ascii="Palatino Linotype" w:hAnsi="Palatino Linotype"/>
          <w:b/>
          <w:sz w:val="28"/>
          <w:szCs w:val="20"/>
          <w:lang w:val="es-ES_tradnl"/>
        </w:rPr>
        <w:t xml:space="preserve">CUARTO. </w:t>
      </w:r>
      <w:r w:rsidR="00D31634" w:rsidRPr="004D1AE0">
        <w:rPr>
          <w:rFonts w:ascii="Palatino Linotype" w:hAnsi="Palatino Linotype" w:cs="Arial"/>
          <w:b/>
        </w:rPr>
        <w:t xml:space="preserve">Procedibilidad. </w:t>
      </w:r>
      <w:r w:rsidR="00D31634" w:rsidRPr="004D1AE0">
        <w:rPr>
          <w:rFonts w:ascii="Palatino Linotype" w:hAnsi="Palatino Linotype" w:cs="Arial"/>
        </w:rPr>
        <w:t xml:space="preserve">Del análisis efectuado, se advierte que resulta procedente la interposición del </w:t>
      </w:r>
      <w:r w:rsidR="00D31634" w:rsidRPr="004D1AE0">
        <w:rPr>
          <w:rFonts w:ascii="Palatino Linotype" w:hAnsi="Palatino Linotype"/>
        </w:rPr>
        <w:t>recurso</w:t>
      </w:r>
      <w:r w:rsidR="00D31634" w:rsidRPr="004D1AE0">
        <w:rPr>
          <w:rFonts w:ascii="Palatino Linotype" w:hAnsi="Palatino Linotype" w:cs="Arial"/>
        </w:rPr>
        <w:t xml:space="preserve"> y se concluye la acreditación </w:t>
      </w:r>
      <w:r w:rsidR="00D31634" w:rsidRPr="004D1AE0">
        <w:rPr>
          <w:rFonts w:ascii="Palatino Linotype" w:hAnsi="Palatino Linotype"/>
        </w:rPr>
        <w:t>plena</w:t>
      </w:r>
      <w:r w:rsidR="00D31634" w:rsidRPr="004D1AE0">
        <w:rPr>
          <w:rFonts w:ascii="Palatino Linotype" w:hAnsi="Palatino Linotype" w:cs="Arial"/>
        </w:rPr>
        <w:t xml:space="preserve"> de todos y cada uno de los elementos formales exigidos por el artículo 180 de la </w:t>
      </w:r>
      <w:r w:rsidR="00D31634" w:rsidRPr="004D1AE0">
        <w:rPr>
          <w:rFonts w:ascii="Palatino Linotype" w:hAnsi="Palatino Linotype"/>
        </w:rPr>
        <w:t xml:space="preserve">Ley de Transparencia y Acceso a la Información Pública del </w:t>
      </w:r>
      <w:r w:rsidR="00D31634" w:rsidRPr="004D1AE0">
        <w:rPr>
          <w:rFonts w:ascii="Palatino Linotype" w:hAnsi="Palatino Linotype" w:cs="Arial"/>
        </w:rPr>
        <w:t>Estado</w:t>
      </w:r>
      <w:r w:rsidR="00D31634" w:rsidRPr="004D1AE0">
        <w:rPr>
          <w:rFonts w:ascii="Palatino Linotype" w:hAnsi="Palatino Linotype"/>
        </w:rPr>
        <w:t xml:space="preserve"> de México y Municipios, en atención a que fue presentado mediante el formato visible en </w:t>
      </w:r>
      <w:r w:rsidR="00D31634" w:rsidRPr="004D1AE0">
        <w:rPr>
          <w:rFonts w:ascii="Palatino Linotype" w:hAnsi="Palatino Linotype"/>
          <w:b/>
        </w:rPr>
        <w:t xml:space="preserve">EL </w:t>
      </w:r>
      <w:proofErr w:type="spellStart"/>
      <w:r w:rsidR="00D31634" w:rsidRPr="004D1AE0">
        <w:rPr>
          <w:rFonts w:ascii="Palatino Linotype" w:hAnsi="Palatino Linotype"/>
          <w:b/>
        </w:rPr>
        <w:t>SAIMEX</w:t>
      </w:r>
      <w:proofErr w:type="spellEnd"/>
      <w:r w:rsidR="00D31634" w:rsidRPr="004D1AE0">
        <w:rPr>
          <w:rFonts w:ascii="Palatino Linotype" w:hAnsi="Palatino Linotype"/>
          <w:b/>
        </w:rPr>
        <w:t>.</w:t>
      </w:r>
    </w:p>
    <w:p w14:paraId="65FBB8FD" w14:textId="77777777" w:rsidR="002622B8" w:rsidRPr="004D1AE0" w:rsidRDefault="002622B8" w:rsidP="00CF56F0">
      <w:pPr>
        <w:spacing w:before="100" w:beforeAutospacing="1" w:after="100" w:afterAutospacing="1"/>
        <w:contextualSpacing/>
      </w:pPr>
    </w:p>
    <w:p w14:paraId="14C9819D" w14:textId="14B7584C" w:rsidR="00EC4AE8" w:rsidRPr="004D1AE0" w:rsidRDefault="00457BB8" w:rsidP="00CF56F0">
      <w:pPr>
        <w:pStyle w:val="Prrafodelista"/>
        <w:spacing w:before="100" w:beforeAutospacing="1" w:after="100" w:afterAutospacing="1" w:line="360" w:lineRule="auto"/>
        <w:ind w:left="0"/>
        <w:contextualSpacing/>
        <w:jc w:val="both"/>
        <w:rPr>
          <w:rFonts w:ascii="Palatino Linotype" w:hAnsi="Palatino Linotype" w:cs="Arial"/>
        </w:rPr>
      </w:pPr>
      <w:r w:rsidRPr="004D1AE0">
        <w:rPr>
          <w:rFonts w:ascii="Palatino Linotype" w:hAnsi="Palatino Linotype" w:cs="Arial"/>
          <w:b/>
          <w:sz w:val="28"/>
          <w:szCs w:val="28"/>
        </w:rPr>
        <w:t>QUINTO</w:t>
      </w:r>
      <w:r w:rsidRPr="004D1AE0">
        <w:rPr>
          <w:rFonts w:ascii="Palatino Linotype" w:hAnsi="Palatino Linotype" w:cs="Arial"/>
          <w:b/>
        </w:rPr>
        <w:t xml:space="preserve">. </w:t>
      </w:r>
      <w:r w:rsidRPr="004D1AE0">
        <w:rPr>
          <w:rFonts w:ascii="Palatino Linotype" w:eastAsiaTheme="minorEastAsia" w:hAnsi="Palatino Linotype" w:cs="Arial"/>
          <w:b/>
          <w:lang w:val="es-ES_tradnl"/>
        </w:rPr>
        <w:t>Estudio y resolución del asunto</w:t>
      </w:r>
      <w:r w:rsidRPr="004D1AE0">
        <w:rPr>
          <w:rFonts w:ascii="Palatino Linotype" w:eastAsiaTheme="minorEastAsia" w:hAnsi="Palatino Linotype" w:cstheme="minorBidi"/>
          <w:b/>
          <w:lang w:val="es-ES_tradnl"/>
        </w:rPr>
        <w:t xml:space="preserve">. </w:t>
      </w:r>
      <w:r w:rsidR="007353F7" w:rsidRPr="004D1AE0">
        <w:rPr>
          <w:rFonts w:ascii="Palatino Linotype" w:hAnsi="Palatino Linotype" w:cs="Arial"/>
        </w:rPr>
        <w:t>Tal y como quedó pre</w:t>
      </w:r>
      <w:r w:rsidR="00890CB2" w:rsidRPr="004D1AE0">
        <w:rPr>
          <w:rFonts w:ascii="Palatino Linotype" w:hAnsi="Palatino Linotype" w:cs="Arial"/>
        </w:rPr>
        <w:t>c</w:t>
      </w:r>
      <w:r w:rsidR="007353F7" w:rsidRPr="004D1AE0">
        <w:rPr>
          <w:rFonts w:ascii="Palatino Linotype" w:hAnsi="Palatino Linotype" w:cs="Arial"/>
        </w:rPr>
        <w:t xml:space="preserve">isado en los resultandos de la presente resolución, el particular requirió del </w:t>
      </w:r>
      <w:r w:rsidR="00EC4AE8" w:rsidRPr="004D1AE0">
        <w:rPr>
          <w:rFonts w:ascii="Palatino Linotype" w:hAnsi="Palatino Linotype" w:cs="Arial"/>
          <w:b/>
        </w:rPr>
        <w:t xml:space="preserve">SUJETO OBLIGADO </w:t>
      </w:r>
      <w:r w:rsidR="00EC4AE8" w:rsidRPr="004D1AE0">
        <w:rPr>
          <w:rFonts w:ascii="Palatino Linotype" w:hAnsi="Palatino Linotype" w:cs="Arial"/>
        </w:rPr>
        <w:t>la información que a continuación se desagrega:</w:t>
      </w:r>
    </w:p>
    <w:p w14:paraId="4757ECA7" w14:textId="5666D4EE" w:rsidR="00EC4AE8" w:rsidRPr="004D1AE0" w:rsidRDefault="00E27103" w:rsidP="00EC4AE8">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b/>
          <w:i/>
          <w:sz w:val="22"/>
        </w:rPr>
      </w:pPr>
      <w:r w:rsidRPr="004D1AE0">
        <w:rPr>
          <w:rFonts w:ascii="Palatino Linotype" w:eastAsia="Arial Unicode MS" w:hAnsi="Palatino Linotype" w:cs="Arial"/>
          <w:i/>
          <w:sz w:val="22"/>
        </w:rPr>
        <w:t>“</w:t>
      </w:r>
      <w:r w:rsidR="00EC4AE8" w:rsidRPr="004D1AE0">
        <w:rPr>
          <w:rFonts w:ascii="Palatino Linotype" w:eastAsia="Arial Unicode MS" w:hAnsi="Palatino Linotype" w:cs="Arial"/>
          <w:i/>
          <w:sz w:val="22"/>
        </w:rPr>
        <w:t xml:space="preserve">En base a los </w:t>
      </w:r>
      <w:r w:rsidR="00EC4AE8" w:rsidRPr="004D1AE0">
        <w:rPr>
          <w:rFonts w:ascii="Palatino Linotype" w:eastAsia="Arial Unicode MS" w:hAnsi="Palatino Linotype" w:cs="Arial"/>
          <w:b/>
          <w:i/>
          <w:sz w:val="22"/>
        </w:rPr>
        <w:t>Lineamientos para el registro y control del inventario y la conciliación y desincorporación de bienes muebles e inmuebles.</w:t>
      </w:r>
    </w:p>
    <w:p w14:paraId="37A6D962" w14:textId="77777777" w:rsidR="00EC4AE8" w:rsidRPr="004D1AE0" w:rsidRDefault="00EC4AE8" w:rsidP="00EC4AE8">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rPr>
      </w:pPr>
    </w:p>
    <w:p w14:paraId="42326AB0" w14:textId="131EADF8" w:rsidR="00EC4AE8" w:rsidRPr="004D1AE0" w:rsidRDefault="00EC4AE8" w:rsidP="00EC4AE8">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rPr>
      </w:pPr>
      <w:r w:rsidRPr="004D1AE0">
        <w:rPr>
          <w:rFonts w:ascii="Palatino Linotype" w:eastAsia="Arial Unicode MS" w:hAnsi="Palatino Linotype" w:cs="Arial"/>
          <w:i/>
          <w:sz w:val="22"/>
        </w:rPr>
        <w:t xml:space="preserve">copia del inventario actual de los bienes de dominio público y dominio privado que se ubiquen en la Colonia Industrial </w:t>
      </w:r>
      <w:proofErr w:type="spellStart"/>
      <w:r w:rsidRPr="004D1AE0">
        <w:rPr>
          <w:rFonts w:ascii="Palatino Linotype" w:eastAsia="Arial Unicode MS" w:hAnsi="Palatino Linotype" w:cs="Arial"/>
          <w:i/>
          <w:sz w:val="22"/>
        </w:rPr>
        <w:t>Xhala</w:t>
      </w:r>
      <w:proofErr w:type="spellEnd"/>
      <w:r w:rsidRPr="004D1AE0">
        <w:rPr>
          <w:rFonts w:ascii="Palatino Linotype" w:eastAsia="Arial Unicode MS" w:hAnsi="Palatino Linotype" w:cs="Arial"/>
          <w:i/>
          <w:sz w:val="22"/>
        </w:rPr>
        <w:t>, Municipio de Cuautitlán Izcalli y que sean propiedad del Estado de México y sus diversos órganos. Lineamientos para el registro y control del inventario y la conciliación y desincorporación de bienes muebles e inmuebles.</w:t>
      </w:r>
    </w:p>
    <w:p w14:paraId="4CCE81AC" w14:textId="77777777" w:rsidR="00EC4AE8" w:rsidRPr="004D1AE0" w:rsidRDefault="00EC4AE8" w:rsidP="00EC4AE8">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rPr>
      </w:pPr>
    </w:p>
    <w:p w14:paraId="29518F9C" w14:textId="314F82F1" w:rsidR="00EC4AE8" w:rsidRPr="004D1AE0" w:rsidRDefault="00EC4AE8" w:rsidP="00EC4AE8">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rPr>
      </w:pPr>
      <w:r w:rsidRPr="004D1AE0">
        <w:rPr>
          <w:rFonts w:ascii="Palatino Linotype" w:eastAsia="Arial Unicode MS" w:hAnsi="Palatino Linotype" w:cs="Arial"/>
          <w:i/>
          <w:sz w:val="22"/>
        </w:rPr>
        <w:t xml:space="preserve">El domicilio y ubicación exacta de cada inmueble, </w:t>
      </w:r>
    </w:p>
    <w:p w14:paraId="2B60275D" w14:textId="66632FDD" w:rsidR="00EC4AE8" w:rsidRPr="004D1AE0" w:rsidRDefault="00EC4AE8" w:rsidP="00EC4AE8">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rPr>
      </w:pPr>
      <w:r w:rsidRPr="004D1AE0">
        <w:rPr>
          <w:rFonts w:ascii="Palatino Linotype" w:eastAsia="Arial Unicode MS" w:hAnsi="Palatino Linotype" w:cs="Arial"/>
          <w:i/>
          <w:sz w:val="22"/>
        </w:rPr>
        <w:t>Superficie de cada inmueble;</w:t>
      </w:r>
    </w:p>
    <w:p w14:paraId="12754A7F" w14:textId="2D7699C4" w:rsidR="00EC4AE8" w:rsidRPr="004D1AE0" w:rsidRDefault="00EC4AE8" w:rsidP="00EC4AE8">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rPr>
      </w:pPr>
      <w:r w:rsidRPr="004D1AE0">
        <w:rPr>
          <w:rFonts w:ascii="Palatino Linotype" w:eastAsia="Arial Unicode MS" w:hAnsi="Palatino Linotype" w:cs="Arial"/>
          <w:i/>
          <w:sz w:val="22"/>
        </w:rPr>
        <w:t>Medidas y colindancias de cada inmueble, uso de cada inmueble;</w:t>
      </w:r>
    </w:p>
    <w:p w14:paraId="7A81DB09" w14:textId="3E0BE566" w:rsidR="00EC4AE8" w:rsidRPr="004D1AE0" w:rsidRDefault="00EC4AE8" w:rsidP="00EC4AE8">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rPr>
      </w:pPr>
      <w:r w:rsidRPr="004D1AE0">
        <w:rPr>
          <w:rFonts w:ascii="Palatino Linotype" w:eastAsia="Arial Unicode MS" w:hAnsi="Palatino Linotype" w:cs="Arial"/>
          <w:i/>
          <w:sz w:val="22"/>
        </w:rPr>
        <w:t>Medio de adquisición de cada inmueble;</w:t>
      </w:r>
    </w:p>
    <w:p w14:paraId="036EA44C" w14:textId="719FD773" w:rsidR="00EC4AE8" w:rsidRPr="004D1AE0" w:rsidRDefault="00EC4AE8" w:rsidP="00EC4AE8">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rPr>
      </w:pPr>
      <w:r w:rsidRPr="004D1AE0">
        <w:rPr>
          <w:rFonts w:ascii="Palatino Linotype" w:eastAsia="Arial Unicode MS" w:hAnsi="Palatino Linotype" w:cs="Arial"/>
          <w:i/>
          <w:sz w:val="22"/>
        </w:rPr>
        <w:t>Situación legal de cada inmueble;</w:t>
      </w:r>
    </w:p>
    <w:p w14:paraId="69580087" w14:textId="77777777" w:rsidR="00EC4AE8" w:rsidRPr="004D1AE0" w:rsidRDefault="00EC4AE8" w:rsidP="00EC4AE8">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rPr>
      </w:pPr>
      <w:r w:rsidRPr="004D1AE0">
        <w:rPr>
          <w:rFonts w:ascii="Palatino Linotype" w:eastAsia="Arial Unicode MS" w:hAnsi="Palatino Linotype" w:cs="Arial"/>
          <w:i/>
          <w:sz w:val="22"/>
        </w:rPr>
        <w:lastRenderedPageBreak/>
        <w:t>Valor de cada inmueble; y, tipo de inmueble;</w:t>
      </w:r>
    </w:p>
    <w:p w14:paraId="125B7CF0" w14:textId="77777777" w:rsidR="00DB7A1A" w:rsidRPr="004D1AE0" w:rsidRDefault="00EC4AE8" w:rsidP="00DB7A1A">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rPr>
      </w:pPr>
      <w:r w:rsidRPr="004D1AE0">
        <w:rPr>
          <w:rFonts w:ascii="Palatino Linotype" w:eastAsia="Arial Unicode MS" w:hAnsi="Palatino Linotype" w:cs="Arial"/>
          <w:i/>
          <w:sz w:val="22"/>
        </w:rPr>
        <w:t xml:space="preserve">Constancia de Inscripción al Registro Administrativo de Bienes de Dominio Público y Privado de los Inmuebles que se ubiquen en la Colonia Industrial </w:t>
      </w:r>
      <w:proofErr w:type="spellStart"/>
      <w:r w:rsidRPr="004D1AE0">
        <w:rPr>
          <w:rFonts w:ascii="Palatino Linotype" w:eastAsia="Arial Unicode MS" w:hAnsi="Palatino Linotype" w:cs="Arial"/>
          <w:i/>
          <w:sz w:val="22"/>
        </w:rPr>
        <w:t>Xhala</w:t>
      </w:r>
      <w:proofErr w:type="spellEnd"/>
      <w:r w:rsidRPr="004D1AE0">
        <w:rPr>
          <w:rFonts w:ascii="Palatino Linotype" w:eastAsia="Arial Unicode MS" w:hAnsi="Palatino Linotype" w:cs="Arial"/>
          <w:i/>
          <w:sz w:val="22"/>
        </w:rPr>
        <w:t xml:space="preserve">, Municipio de Cuautitlán </w:t>
      </w:r>
      <w:proofErr w:type="spellStart"/>
      <w:r w:rsidRPr="004D1AE0">
        <w:rPr>
          <w:rFonts w:ascii="Palatino Linotype" w:eastAsia="Arial Unicode MS" w:hAnsi="Palatino Linotype" w:cs="Arial"/>
          <w:i/>
          <w:sz w:val="22"/>
        </w:rPr>
        <w:t>Izcall</w:t>
      </w:r>
      <w:proofErr w:type="spellEnd"/>
      <w:r w:rsidRPr="004D1AE0">
        <w:rPr>
          <w:rFonts w:ascii="Palatino Linotype" w:eastAsia="Arial Unicode MS" w:hAnsi="Palatino Linotype" w:cs="Arial"/>
          <w:i/>
          <w:sz w:val="22"/>
        </w:rPr>
        <w:t xml:space="preserve"> y que sean propiedad del </w:t>
      </w:r>
      <w:proofErr w:type="spellStart"/>
      <w:r w:rsidRPr="004D1AE0">
        <w:rPr>
          <w:rFonts w:ascii="Palatino Linotype" w:eastAsia="Arial Unicode MS" w:hAnsi="Palatino Linotype" w:cs="Arial"/>
          <w:i/>
          <w:sz w:val="22"/>
        </w:rPr>
        <w:t>del</w:t>
      </w:r>
      <w:proofErr w:type="spellEnd"/>
      <w:r w:rsidRPr="004D1AE0">
        <w:rPr>
          <w:rFonts w:ascii="Palatino Linotype" w:eastAsia="Arial Unicode MS" w:hAnsi="Palatino Linotype" w:cs="Arial"/>
          <w:i/>
          <w:sz w:val="22"/>
        </w:rPr>
        <w:t xml:space="preserve"> Estado de México y sus diversos órganos;</w:t>
      </w:r>
    </w:p>
    <w:p w14:paraId="56865EF5" w14:textId="5AD4BDB5" w:rsidR="00E27103" w:rsidRPr="004D1AE0" w:rsidRDefault="00EC4AE8" w:rsidP="00DB7A1A">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rPr>
      </w:pPr>
      <w:r w:rsidRPr="004D1AE0">
        <w:rPr>
          <w:rFonts w:ascii="Palatino Linotype" w:eastAsia="Arial Unicode MS" w:hAnsi="Palatino Linotype" w:cs="Arial"/>
          <w:i/>
          <w:sz w:val="22"/>
        </w:rPr>
        <w:t xml:space="preserve">Copia de los documentos, títulos, decretos, resoluciones y demás documentos que acrediten la propiedad de los inmuebles de dominio público y dominio privado propiedad de del Estado de México y sus diversos órganos, que se ubiquen en la Colonia Industrial </w:t>
      </w:r>
      <w:proofErr w:type="spellStart"/>
      <w:r w:rsidRPr="004D1AE0">
        <w:rPr>
          <w:rFonts w:ascii="Palatino Linotype" w:eastAsia="Arial Unicode MS" w:hAnsi="Palatino Linotype" w:cs="Arial"/>
          <w:i/>
          <w:sz w:val="22"/>
        </w:rPr>
        <w:t>Xhala</w:t>
      </w:r>
      <w:proofErr w:type="spellEnd"/>
      <w:r w:rsidRPr="004D1AE0">
        <w:rPr>
          <w:rFonts w:ascii="Palatino Linotype" w:eastAsia="Arial Unicode MS" w:hAnsi="Palatino Linotype" w:cs="Arial"/>
          <w:i/>
          <w:sz w:val="22"/>
        </w:rPr>
        <w:t>, Municipio de Cuautitlán Izcalli. Incluso de aquellos que se encuentren en proceso de regularización, de los cuales también requiero los documentos que acrediten su propiedad.</w:t>
      </w:r>
    </w:p>
    <w:p w14:paraId="072D0FFC" w14:textId="77777777" w:rsidR="00DB7A1A" w:rsidRPr="004D1AE0" w:rsidRDefault="00DB7A1A" w:rsidP="00CF56F0">
      <w:pPr>
        <w:spacing w:before="100" w:beforeAutospacing="1" w:after="100" w:afterAutospacing="1" w:line="360" w:lineRule="auto"/>
        <w:contextualSpacing/>
        <w:jc w:val="both"/>
        <w:rPr>
          <w:rFonts w:ascii="Palatino Linotype" w:eastAsia="Arial Unicode MS" w:hAnsi="Palatino Linotype" w:cs="Arial"/>
        </w:rPr>
      </w:pPr>
    </w:p>
    <w:p w14:paraId="58A5DB13" w14:textId="32CDE066" w:rsidR="00DB7A1A" w:rsidRPr="004D1AE0" w:rsidRDefault="003C6FF4" w:rsidP="00CF56F0">
      <w:pPr>
        <w:spacing w:before="100" w:beforeAutospacing="1" w:after="100" w:afterAutospacing="1" w:line="360" w:lineRule="auto"/>
        <w:contextualSpacing/>
        <w:jc w:val="both"/>
        <w:rPr>
          <w:rFonts w:ascii="Palatino Linotype" w:hAnsi="Palatino Linotype"/>
          <w:color w:val="000000" w:themeColor="text1"/>
        </w:rPr>
      </w:pPr>
      <w:r w:rsidRPr="004D1AE0">
        <w:rPr>
          <w:rFonts w:ascii="Palatino Linotype" w:hAnsi="Palatino Linotype" w:cs="Arial"/>
        </w:rPr>
        <w:t xml:space="preserve">Así, como se indicó en el Resultando III de la presente Resolución, </w:t>
      </w:r>
      <w:r w:rsidRPr="004D1AE0">
        <w:rPr>
          <w:rFonts w:ascii="Palatino Linotype" w:hAnsi="Palatino Linotype" w:cs="Arial"/>
          <w:b/>
        </w:rPr>
        <w:t>EL SUJETO OBLIGADO</w:t>
      </w:r>
      <w:r w:rsidRPr="004D1AE0">
        <w:rPr>
          <w:rFonts w:ascii="Palatino Linotype" w:hAnsi="Palatino Linotype" w:cs="Arial"/>
        </w:rPr>
        <w:t xml:space="preserve"> en su respuesta a la solicitud de información, </w:t>
      </w:r>
      <w:r w:rsidRPr="004D1AE0">
        <w:rPr>
          <w:rFonts w:ascii="Palatino Linotype" w:hAnsi="Palatino Linotype"/>
        </w:rPr>
        <w:t xml:space="preserve">manifestó mediante </w:t>
      </w:r>
      <w:r w:rsidRPr="004D1AE0">
        <w:rPr>
          <w:rFonts w:ascii="Palatino Linotype" w:hAnsi="Palatino Linotype"/>
          <w:color w:val="000000" w:themeColor="text1"/>
        </w:rPr>
        <w:t>los</w:t>
      </w:r>
      <w:r w:rsidR="00DB7A1A" w:rsidRPr="004D1AE0">
        <w:rPr>
          <w:rFonts w:ascii="Palatino Linotype" w:hAnsi="Palatino Linotype"/>
          <w:color w:val="000000" w:themeColor="text1"/>
        </w:rPr>
        <w:t xml:space="preserve"> archivos electrónicos </w:t>
      </w:r>
      <w:r w:rsidR="00DB7A1A" w:rsidRPr="004D1AE0">
        <w:rPr>
          <w:rFonts w:ascii="Palatino Linotype" w:hAnsi="Palatino Linotype"/>
          <w:b/>
          <w:i/>
          <w:color w:val="000000" w:themeColor="text1"/>
        </w:rPr>
        <w:t xml:space="preserve">326 DG Recursos Materiales.pdf </w:t>
      </w:r>
      <w:r w:rsidR="00DB7A1A" w:rsidRPr="004D1AE0">
        <w:rPr>
          <w:rFonts w:ascii="Palatino Linotype" w:hAnsi="Palatino Linotype"/>
          <w:color w:val="000000" w:themeColor="text1"/>
        </w:rPr>
        <w:t>del cual se advierte la respuesta del S</w:t>
      </w:r>
      <w:r w:rsidR="00890CB2" w:rsidRPr="004D1AE0">
        <w:rPr>
          <w:rFonts w:ascii="Palatino Linotype" w:hAnsi="Palatino Linotype"/>
          <w:color w:val="000000" w:themeColor="text1"/>
        </w:rPr>
        <w:t xml:space="preserve">ervidor </w:t>
      </w:r>
      <w:r w:rsidR="00DB7A1A" w:rsidRPr="004D1AE0">
        <w:rPr>
          <w:rFonts w:ascii="Palatino Linotype" w:hAnsi="Palatino Linotype"/>
          <w:color w:val="000000" w:themeColor="text1"/>
        </w:rPr>
        <w:t>P</w:t>
      </w:r>
      <w:r w:rsidR="00890CB2" w:rsidRPr="004D1AE0">
        <w:rPr>
          <w:rFonts w:ascii="Palatino Linotype" w:hAnsi="Palatino Linotype"/>
          <w:color w:val="000000" w:themeColor="text1"/>
        </w:rPr>
        <w:t xml:space="preserve">úblico </w:t>
      </w:r>
      <w:r w:rsidR="00DB7A1A" w:rsidRPr="004D1AE0">
        <w:rPr>
          <w:rFonts w:ascii="Palatino Linotype" w:hAnsi="Palatino Linotype"/>
          <w:color w:val="000000" w:themeColor="text1"/>
        </w:rPr>
        <w:t>H</w:t>
      </w:r>
      <w:r w:rsidR="00890CB2" w:rsidRPr="004D1AE0">
        <w:rPr>
          <w:rFonts w:ascii="Palatino Linotype" w:hAnsi="Palatino Linotype"/>
          <w:color w:val="000000" w:themeColor="text1"/>
        </w:rPr>
        <w:t>abilitado Competente</w:t>
      </w:r>
      <w:r w:rsidR="00DB7A1A" w:rsidRPr="004D1AE0">
        <w:rPr>
          <w:rFonts w:ascii="Palatino Linotype" w:hAnsi="Palatino Linotype"/>
          <w:b/>
          <w:color w:val="000000" w:themeColor="text1"/>
        </w:rPr>
        <w:t xml:space="preserve"> </w:t>
      </w:r>
      <w:r w:rsidR="00DB7A1A" w:rsidRPr="004D1AE0">
        <w:rPr>
          <w:rFonts w:ascii="Palatino Linotype" w:hAnsi="Palatino Linotype"/>
          <w:color w:val="000000" w:themeColor="text1"/>
        </w:rPr>
        <w:t xml:space="preserve">de la Dirección General de Recursos Materiales mediante la cual de una búsqueda exhaustiva y razonable no se encontró información; asimismo, adjuntó el archivo </w:t>
      </w:r>
      <w:proofErr w:type="spellStart"/>
      <w:r w:rsidR="00DB7A1A" w:rsidRPr="004D1AE0">
        <w:rPr>
          <w:rFonts w:ascii="Palatino Linotype" w:hAnsi="Palatino Linotype"/>
          <w:b/>
          <w:i/>
          <w:color w:val="000000" w:themeColor="text1"/>
        </w:rPr>
        <w:t>UIPPE</w:t>
      </w:r>
      <w:proofErr w:type="spellEnd"/>
      <w:r w:rsidR="00DB7A1A" w:rsidRPr="004D1AE0">
        <w:rPr>
          <w:rFonts w:ascii="Palatino Linotype" w:hAnsi="Palatino Linotype"/>
          <w:b/>
          <w:i/>
          <w:color w:val="000000" w:themeColor="text1"/>
        </w:rPr>
        <w:t xml:space="preserve"> 326.pdf </w:t>
      </w:r>
      <w:r w:rsidR="00DB7A1A" w:rsidRPr="004D1AE0">
        <w:rPr>
          <w:rFonts w:ascii="Palatino Linotype" w:hAnsi="Palatino Linotype"/>
          <w:color w:val="000000" w:themeColor="text1"/>
        </w:rPr>
        <w:t>mediante la cual el titular de la Unidad de Transparencia remitió la respuesta.</w:t>
      </w:r>
    </w:p>
    <w:p w14:paraId="37225CD5" w14:textId="77777777" w:rsidR="00DB7A1A" w:rsidRPr="004D1AE0" w:rsidRDefault="00DB7A1A" w:rsidP="00CF56F0">
      <w:pPr>
        <w:spacing w:before="100" w:beforeAutospacing="1" w:after="100" w:afterAutospacing="1" w:line="360" w:lineRule="auto"/>
        <w:contextualSpacing/>
        <w:jc w:val="both"/>
        <w:rPr>
          <w:rFonts w:ascii="Palatino Linotype" w:hAnsi="Palatino Linotype"/>
          <w:color w:val="000000" w:themeColor="text1"/>
        </w:rPr>
      </w:pPr>
    </w:p>
    <w:p w14:paraId="7ADC6779" w14:textId="77777777" w:rsidR="00DB7A1A" w:rsidRPr="004D1AE0" w:rsidRDefault="00834389" w:rsidP="00DB7A1A">
      <w:pPr>
        <w:spacing w:before="100" w:beforeAutospacing="1" w:after="100" w:afterAutospacing="1" w:line="360" w:lineRule="auto"/>
        <w:contextualSpacing/>
        <w:jc w:val="both"/>
        <w:rPr>
          <w:rFonts w:ascii="Palatino Linotype" w:hAnsi="Palatino Linotype" w:cs="Arial"/>
        </w:rPr>
      </w:pPr>
      <w:r w:rsidRPr="004D1AE0">
        <w:rPr>
          <w:rFonts w:ascii="Palatino Linotype" w:hAnsi="Palatino Linotype" w:cs="Arial"/>
        </w:rPr>
        <w:t xml:space="preserve">Inconforme con la respuesta del </w:t>
      </w:r>
      <w:r w:rsidRPr="004D1AE0">
        <w:rPr>
          <w:rFonts w:ascii="Palatino Linotype" w:hAnsi="Palatino Linotype" w:cs="Arial"/>
          <w:b/>
        </w:rPr>
        <w:t>SUJETO OBLIGADO</w:t>
      </w:r>
      <w:r w:rsidRPr="004D1AE0">
        <w:rPr>
          <w:rFonts w:ascii="Palatino Linotype" w:hAnsi="Palatino Linotype" w:cs="Arial"/>
        </w:rPr>
        <w:t xml:space="preserve"> el particular interpuso recurso de revisión en el que</w:t>
      </w:r>
      <w:r w:rsidR="00DB7A1A" w:rsidRPr="004D1AE0">
        <w:rPr>
          <w:rFonts w:ascii="Palatino Linotype" w:hAnsi="Palatino Linotype" w:cs="Arial"/>
        </w:rPr>
        <w:t xml:space="preserve"> señaló como acto impugnado: </w:t>
      </w:r>
    </w:p>
    <w:p w14:paraId="747A8FA1" w14:textId="77777777" w:rsidR="00DB7A1A" w:rsidRPr="004D1AE0" w:rsidRDefault="00DB7A1A" w:rsidP="00DB7A1A">
      <w:pPr>
        <w:spacing w:before="100" w:beforeAutospacing="1" w:after="100" w:afterAutospacing="1"/>
        <w:ind w:left="851" w:right="899"/>
        <w:contextualSpacing/>
        <w:jc w:val="both"/>
        <w:rPr>
          <w:rFonts w:ascii="Palatino Linotype" w:hAnsi="Palatino Linotype" w:cs="Arial"/>
          <w:i/>
          <w:sz w:val="22"/>
          <w:szCs w:val="22"/>
        </w:rPr>
      </w:pPr>
    </w:p>
    <w:p w14:paraId="1CE50B4D" w14:textId="77777777" w:rsidR="00DB7A1A" w:rsidRPr="004D1AE0" w:rsidRDefault="00DB7A1A" w:rsidP="00DB7A1A">
      <w:pPr>
        <w:spacing w:before="100" w:beforeAutospacing="1" w:after="100" w:afterAutospacing="1"/>
        <w:ind w:left="851" w:right="899"/>
        <w:contextualSpacing/>
        <w:jc w:val="both"/>
        <w:rPr>
          <w:rFonts w:ascii="Palatino Linotype" w:hAnsi="Palatino Linotype" w:cs="Arial"/>
          <w:i/>
          <w:sz w:val="22"/>
          <w:szCs w:val="22"/>
        </w:rPr>
      </w:pPr>
      <w:r w:rsidRPr="004D1AE0">
        <w:rPr>
          <w:rFonts w:ascii="Palatino Linotype" w:hAnsi="Palatino Linotype" w:cs="Arial"/>
          <w:i/>
          <w:sz w:val="22"/>
          <w:szCs w:val="22"/>
        </w:rPr>
        <w:t xml:space="preserve">“El Oficio número </w:t>
      </w:r>
      <w:proofErr w:type="spellStart"/>
      <w:r w:rsidRPr="004D1AE0">
        <w:rPr>
          <w:rFonts w:ascii="Palatino Linotype" w:hAnsi="Palatino Linotype" w:cs="Arial"/>
          <w:i/>
          <w:sz w:val="22"/>
          <w:szCs w:val="22"/>
        </w:rPr>
        <w:t>20700004S</w:t>
      </w:r>
      <w:proofErr w:type="spellEnd"/>
      <w:r w:rsidRPr="004D1AE0">
        <w:rPr>
          <w:rFonts w:ascii="Palatino Linotype" w:hAnsi="Palatino Linotype" w:cs="Arial"/>
          <w:i/>
          <w:sz w:val="22"/>
          <w:szCs w:val="22"/>
        </w:rPr>
        <w:t xml:space="preserve">/UT-1396/2020, de fecha 18 (dieciocho) de agosto del 2020 (dos mil veinte), firmado por Rodolfo Esteban </w:t>
      </w:r>
      <w:proofErr w:type="spellStart"/>
      <w:r w:rsidRPr="004D1AE0">
        <w:rPr>
          <w:rFonts w:ascii="Palatino Linotype" w:hAnsi="Palatino Linotype" w:cs="Arial"/>
          <w:i/>
          <w:sz w:val="22"/>
          <w:szCs w:val="22"/>
        </w:rPr>
        <w:t>Rivadeneyra</w:t>
      </w:r>
      <w:proofErr w:type="spellEnd"/>
      <w:r w:rsidRPr="004D1AE0">
        <w:rPr>
          <w:rFonts w:ascii="Palatino Linotype" w:hAnsi="Palatino Linotype" w:cs="Arial"/>
          <w:i/>
          <w:sz w:val="22"/>
          <w:szCs w:val="22"/>
        </w:rPr>
        <w:t xml:space="preserve"> Hernández Jefe de la </w:t>
      </w:r>
      <w:proofErr w:type="spellStart"/>
      <w:r w:rsidRPr="004D1AE0">
        <w:rPr>
          <w:rFonts w:ascii="Palatino Linotype" w:hAnsi="Palatino Linotype" w:cs="Arial"/>
          <w:i/>
          <w:sz w:val="22"/>
          <w:szCs w:val="22"/>
        </w:rPr>
        <w:t>UIPPE</w:t>
      </w:r>
      <w:proofErr w:type="spellEnd"/>
      <w:r w:rsidRPr="004D1AE0">
        <w:rPr>
          <w:rFonts w:ascii="Palatino Linotype" w:hAnsi="Palatino Linotype" w:cs="Arial"/>
          <w:i/>
          <w:sz w:val="22"/>
          <w:szCs w:val="22"/>
        </w:rPr>
        <w:t xml:space="preserve"> y titular de la unidad de Transparencia de la Secretaría de Finanzas y el Oficio número </w:t>
      </w:r>
      <w:proofErr w:type="spellStart"/>
      <w:r w:rsidRPr="004D1AE0">
        <w:rPr>
          <w:rFonts w:ascii="Palatino Linotype" w:hAnsi="Palatino Linotype" w:cs="Arial"/>
          <w:i/>
          <w:sz w:val="22"/>
          <w:szCs w:val="22"/>
        </w:rPr>
        <w:t>20706005000200S</w:t>
      </w:r>
      <w:proofErr w:type="spellEnd"/>
      <w:r w:rsidRPr="004D1AE0">
        <w:rPr>
          <w:rFonts w:ascii="Palatino Linotype" w:hAnsi="Palatino Linotype" w:cs="Arial"/>
          <w:i/>
          <w:sz w:val="22"/>
          <w:szCs w:val="22"/>
        </w:rPr>
        <w:t>-0250/2020 de fecha 12 (doce) de agosto de 2020 (dos mil veinte), firmado por Licenciado Benjamín Abraham de la Vega Sánchez Servidor Público Habilitado de la Dirección General de Recursos Materiales.” (</w:t>
      </w:r>
      <w:proofErr w:type="gramStart"/>
      <w:r w:rsidRPr="004D1AE0">
        <w:rPr>
          <w:rFonts w:ascii="Palatino Linotype" w:hAnsi="Palatino Linotype" w:cs="Arial"/>
          <w:i/>
          <w:sz w:val="22"/>
          <w:szCs w:val="22"/>
        </w:rPr>
        <w:t>sic</w:t>
      </w:r>
      <w:proofErr w:type="gramEnd"/>
      <w:r w:rsidRPr="004D1AE0">
        <w:rPr>
          <w:rFonts w:ascii="Palatino Linotype" w:hAnsi="Palatino Linotype" w:cs="Arial"/>
          <w:i/>
          <w:sz w:val="22"/>
          <w:szCs w:val="22"/>
        </w:rPr>
        <w:t>)</w:t>
      </w:r>
    </w:p>
    <w:p w14:paraId="19EF4D89" w14:textId="77777777" w:rsidR="00DB7A1A" w:rsidRPr="004D1AE0" w:rsidRDefault="00DB7A1A" w:rsidP="00DB7A1A">
      <w:pPr>
        <w:spacing w:before="100" w:beforeAutospacing="1" w:after="100" w:afterAutospacing="1"/>
        <w:ind w:left="851" w:right="899"/>
        <w:contextualSpacing/>
        <w:jc w:val="both"/>
        <w:rPr>
          <w:rFonts w:ascii="Palatino Linotype" w:hAnsi="Palatino Linotype" w:cs="Arial"/>
          <w:i/>
          <w:sz w:val="22"/>
          <w:szCs w:val="22"/>
        </w:rPr>
      </w:pPr>
    </w:p>
    <w:p w14:paraId="0C7E3BF7" w14:textId="77777777" w:rsidR="00DB7A1A" w:rsidRPr="004D1AE0" w:rsidRDefault="00DB7A1A" w:rsidP="00DB7A1A">
      <w:pPr>
        <w:spacing w:before="100" w:beforeAutospacing="1" w:after="100" w:afterAutospacing="1" w:line="360" w:lineRule="auto"/>
        <w:contextualSpacing/>
        <w:jc w:val="both"/>
        <w:rPr>
          <w:rFonts w:ascii="Palatino Linotype" w:hAnsi="Palatino Linotype" w:cs="Arial"/>
        </w:rPr>
      </w:pPr>
      <w:r w:rsidRPr="004D1AE0">
        <w:rPr>
          <w:rFonts w:ascii="Palatino Linotype" w:hAnsi="Palatino Linotype" w:cs="Arial"/>
        </w:rPr>
        <w:t xml:space="preserve">Así como, razones o motivos de inconformidad, lo siguiente: </w:t>
      </w:r>
    </w:p>
    <w:p w14:paraId="61CF393C" w14:textId="77777777" w:rsidR="00DB7A1A" w:rsidRPr="004D1AE0" w:rsidRDefault="00DB7A1A" w:rsidP="00DB7A1A">
      <w:pPr>
        <w:spacing w:before="100" w:beforeAutospacing="1" w:after="100" w:afterAutospacing="1"/>
        <w:ind w:left="851" w:right="899"/>
        <w:contextualSpacing/>
        <w:jc w:val="both"/>
        <w:rPr>
          <w:rFonts w:ascii="Palatino Linotype" w:hAnsi="Palatino Linotype" w:cs="Arial"/>
          <w:i/>
          <w:sz w:val="22"/>
          <w:szCs w:val="22"/>
        </w:rPr>
      </w:pPr>
    </w:p>
    <w:p w14:paraId="65D3B013" w14:textId="77777777" w:rsidR="00DB7A1A" w:rsidRPr="004D1AE0" w:rsidRDefault="00DB7A1A" w:rsidP="00DB7A1A">
      <w:pPr>
        <w:spacing w:before="100" w:beforeAutospacing="1" w:after="100" w:afterAutospacing="1"/>
        <w:ind w:left="851" w:right="899"/>
        <w:contextualSpacing/>
        <w:jc w:val="both"/>
        <w:rPr>
          <w:rFonts w:ascii="Palatino Linotype" w:hAnsi="Palatino Linotype" w:cs="Arial"/>
          <w:i/>
          <w:sz w:val="22"/>
          <w:szCs w:val="22"/>
        </w:rPr>
      </w:pPr>
      <w:r w:rsidRPr="004D1AE0">
        <w:rPr>
          <w:rFonts w:ascii="Palatino Linotype" w:hAnsi="Palatino Linotype" w:cs="Arial"/>
          <w:i/>
          <w:sz w:val="22"/>
          <w:szCs w:val="22"/>
        </w:rPr>
        <w:t xml:space="preserve">“PRIMERO. – El presente recurso de revisión es procedente, lo anterior, toda vez que la respuesta notificada al suscrito encuadra en los supuestos establecidos en el artículo 179 fracciones I, III, XIII y XIV Ley de Transparencia y Acceso a la Información Pública del Estado de México y Municipios, que señala lo que a continuación transcribo: “Artículo 179. El recurso de revisión es un medio de protección que la Ley otorga a los particulares, para hacer valer su derecho de acceso a la información pública, y procederá en contra de las siguientes causas: I. La negativa a la información solicitada; (…) III. La declaración de inexistencia de la información; (…) XIII. La falta, deficiencia o insuficiencia de la fundamentación y/o motivación en la respuesta; y XIV. La orientación a un trámite específico.” Es decir, es procedente el presente recurso de revisión lo anterior, toda vez que el Oficio número </w:t>
      </w:r>
      <w:proofErr w:type="spellStart"/>
      <w:r w:rsidRPr="004D1AE0">
        <w:rPr>
          <w:rFonts w:ascii="Palatino Linotype" w:hAnsi="Palatino Linotype" w:cs="Arial"/>
          <w:i/>
          <w:sz w:val="22"/>
          <w:szCs w:val="22"/>
        </w:rPr>
        <w:t>20706005000200S</w:t>
      </w:r>
      <w:proofErr w:type="spellEnd"/>
      <w:r w:rsidRPr="004D1AE0">
        <w:rPr>
          <w:rFonts w:ascii="Palatino Linotype" w:hAnsi="Palatino Linotype" w:cs="Arial"/>
          <w:i/>
          <w:sz w:val="22"/>
          <w:szCs w:val="22"/>
        </w:rPr>
        <w:t>-0250/2020 de fecha 12 (doce) de agosto de 2020 (dos mil veinte), firmado por Licenciado Benjamín Abraham de la Vega Sánchez, Servidor Público Habilitado de la Dirección General de Recursos Materiales, señaló que: “la Dirección de Normatividad y Control Patrimonial de esta Dirección General de Recursos Materiales, no identifico información relacionada con la solicitud de referencia”, es decir, se negó a proporcionar la información solicitada y como consecuencia, declaró que dicha información es inexistente, por lo cual, dicha respuesta encuadra en los supuesto señalados en la fracción I y III del artículo antes descrito. Aunado a que tampoco brinda al suscrito la orientación respecto del sujeto obligado que cuenta con la información que solicito, lo que también incumple con lo señalado en la fracción XIV del artículo antes descrito. En función a lo anterior, es importante precisar que la solicitud realizada por el suscrito, fue dirigida al sujeto obligado siguiente: SECRETARÍA DE FINANZAS DEL ESTADO DE MÉXICO, tal y como consta en la solicitud de información número 00326/</w:t>
      </w:r>
      <w:proofErr w:type="spellStart"/>
      <w:r w:rsidRPr="004D1AE0">
        <w:rPr>
          <w:rFonts w:ascii="Palatino Linotype" w:hAnsi="Palatino Linotype" w:cs="Arial"/>
          <w:i/>
          <w:sz w:val="22"/>
          <w:szCs w:val="22"/>
        </w:rPr>
        <w:t>SF</w:t>
      </w:r>
      <w:proofErr w:type="spellEnd"/>
      <w:r w:rsidRPr="004D1AE0">
        <w:rPr>
          <w:rFonts w:ascii="Palatino Linotype" w:hAnsi="Palatino Linotype" w:cs="Arial"/>
          <w:i/>
          <w:sz w:val="22"/>
          <w:szCs w:val="22"/>
        </w:rPr>
        <w:t xml:space="preserve">/IP/2020, en el apartado SUJETO OBLIGADO. Es importante precisar que según lo establecido en el artículo 24 fracciones XXXVII, XXXIX Y XL de la Ley Orgánica de la Administración Pública del Estado de México, a la Secretaría de Finanzas le corresponde el despacho diversos asuntos entre ellos el siguiente: Artículo 24.- A la Secretaría de Finanzas, corresponde el despacho de los siguientes asuntos: XXXVII. Adquirir los bienes y servicios que requiera el funcionamiento del Poder Ejecutivo del Estado, con recursos federales o estatales; XXXIX. Levantar y tener al corriente el inventario general de los bienes muebles e inmuebles propiedad del Gobierno del Estado; XL. Administrar y asegurar la conservación y mantenimiento del patrimonio del Gobierno del Estado; Como se puede observar del propio artículo antes transcrito, dentro de las responsabilidades que tiene el sujeto obligado (la Secretaría de Finanzas) es el correspondiente a la administración, adquisición y control de los bienes muebles e inmuebles propiedad del Gobierno del Estado de México, por lo cual, </w:t>
      </w:r>
      <w:r w:rsidRPr="004D1AE0">
        <w:rPr>
          <w:rFonts w:ascii="Palatino Linotype" w:hAnsi="Palatino Linotype" w:cs="Arial"/>
          <w:i/>
          <w:sz w:val="22"/>
          <w:szCs w:val="22"/>
        </w:rPr>
        <w:lastRenderedPageBreak/>
        <w:t xml:space="preserve">la solicitud del suscrito consiste precisamente en proporcionar: “inventario actual de los bienes de dominio público y dominio privado que se ubiquen en la Colonia Industrial </w:t>
      </w:r>
      <w:proofErr w:type="spellStart"/>
      <w:r w:rsidRPr="004D1AE0">
        <w:rPr>
          <w:rFonts w:ascii="Palatino Linotype" w:hAnsi="Palatino Linotype" w:cs="Arial"/>
          <w:i/>
          <w:sz w:val="22"/>
          <w:szCs w:val="22"/>
        </w:rPr>
        <w:t>Xhala</w:t>
      </w:r>
      <w:proofErr w:type="spellEnd"/>
      <w:r w:rsidRPr="004D1AE0">
        <w:rPr>
          <w:rFonts w:ascii="Palatino Linotype" w:hAnsi="Palatino Linotype" w:cs="Arial"/>
          <w:i/>
          <w:sz w:val="22"/>
          <w:szCs w:val="22"/>
        </w:rPr>
        <w:t xml:space="preserve">, Municipio de Cuautitlán Izcalli y que sean propiedad del Estado de México y sus diversos órganos”, como puede observar, la Secretaría de Finanzas tiene como responsabilidad según el artículo 24 fracción XXXIX de la Ley Orgánica de la Administración Pública del Estado de México: Levantar y tener al corriente el inventario general de los bienes muebles e inmuebles propiedad del Gobierno del Estado, por ello, como éste H. Instituto podrá constatar, la documentación solicitada por el suscrito SÍ ES GENERADA Y SE ENCUENTRA EN POSESIÓN DEL SUJETO OBLIGADO, sin embargo, sin fundamento legal alguno se ha negado a proporcionar al suscrito la información requerida, violando así lo establecido en el artículo 4 de la Ley de Transparencia y Acceso a la Información Pública del Estado de México y Municipios, que señala: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Sin embargo, en el oficio de respuesta que en este acto se impugna, el sujeto obligado la Secretaría de Finanzas del Estado de México, omitió dar cumplimiento a la obligación descrita en el citado artículo, así como también omitió PRIVILEGIAR EL PRINCIPIO DE MÁXIMA PUBLICIDAD DE LA INFORMACIÓN, vulnerando así en mi perjuicio el derecho humano de ACCESO A LA INFORMACIÓN PÚBLICA contemplado en el artículo 5° Constitucional. Por lo cual, en reparación a tales violaciones constitucionales éste H. Instituto deberá ordenar a la autoridad que proceda a la entrega de la documentación solicitada por el suscrito y que se ponga disposición de forma inmediata, dando cumplimiento así a sus obligaciones normativas y constituciones, pues reitero, la información que fue requerida por el suscrito, SÍ ES GENERADA, OBTENIDA Y ADMINISTRADA POR EL SUJETO </w:t>
      </w:r>
      <w:proofErr w:type="spellStart"/>
      <w:r w:rsidRPr="004D1AE0">
        <w:rPr>
          <w:rFonts w:ascii="Palatino Linotype" w:hAnsi="Palatino Linotype" w:cs="Arial"/>
          <w:i/>
          <w:sz w:val="22"/>
          <w:szCs w:val="22"/>
        </w:rPr>
        <w:t>RESPONDABLE</w:t>
      </w:r>
      <w:proofErr w:type="spellEnd"/>
      <w:r w:rsidRPr="004D1AE0">
        <w:rPr>
          <w:rFonts w:ascii="Palatino Linotype" w:hAnsi="Palatino Linotype" w:cs="Arial"/>
          <w:i/>
          <w:sz w:val="22"/>
          <w:szCs w:val="22"/>
        </w:rPr>
        <w:t xml:space="preserve"> y como consecuencia SÍ SE ENCUENTRA EN SU POSESIÓN Y ADEMÁS SE TRATA DE INFORMACIÓN PÚBLICA. Sirven de apoyo a lo descrito las siguientes tesis y jurisprudencias: Época: Décima Época Registro: 2012525 Instancia: Segunda Sala Tipo de Tesis: Aislada Fuente: Gaceta del Semanario Judicial de la Federación Libro 34, Septiembre de 2016, Tomo </w:t>
      </w:r>
      <w:r w:rsidRPr="004D1AE0">
        <w:rPr>
          <w:rFonts w:ascii="Palatino Linotype" w:hAnsi="Palatino Linotype" w:cs="Arial"/>
          <w:i/>
          <w:sz w:val="22"/>
          <w:szCs w:val="22"/>
        </w:rPr>
        <w:lastRenderedPageBreak/>
        <w:t xml:space="preserve">I Materia(s): Constitucional Tesis: </w:t>
      </w:r>
      <w:proofErr w:type="spellStart"/>
      <w:r w:rsidRPr="004D1AE0">
        <w:rPr>
          <w:rFonts w:ascii="Palatino Linotype" w:hAnsi="Palatino Linotype" w:cs="Arial"/>
          <w:i/>
          <w:sz w:val="22"/>
          <w:szCs w:val="22"/>
        </w:rPr>
        <w:t>2a</w:t>
      </w:r>
      <w:proofErr w:type="spellEnd"/>
      <w:r w:rsidRPr="004D1AE0">
        <w:rPr>
          <w:rFonts w:ascii="Palatino Linotype" w:hAnsi="Palatino Linotype" w:cs="Arial"/>
          <w:i/>
          <w:sz w:val="22"/>
          <w:szCs w:val="22"/>
        </w:rPr>
        <w:t>. LXXXV/2016 (</w:t>
      </w:r>
      <w:proofErr w:type="spellStart"/>
      <w:r w:rsidRPr="004D1AE0">
        <w:rPr>
          <w:rFonts w:ascii="Palatino Linotype" w:hAnsi="Palatino Linotype" w:cs="Arial"/>
          <w:i/>
          <w:sz w:val="22"/>
          <w:szCs w:val="22"/>
        </w:rPr>
        <w:t>10a</w:t>
      </w:r>
      <w:proofErr w:type="spellEnd"/>
      <w:r w:rsidRPr="004D1AE0">
        <w:rPr>
          <w:rFonts w:ascii="Palatino Linotype" w:hAnsi="Palatino Linotype" w:cs="Arial"/>
          <w:i/>
          <w:sz w:val="22"/>
          <w:szCs w:val="22"/>
        </w:rPr>
        <w:t xml:space="preserve">.) Página: 839 DERECHO A LA INFORMACIÓN. GARANTÍAS DEL. De conformidad con el texto del artículo </w:t>
      </w:r>
      <w:proofErr w:type="spellStart"/>
      <w:r w:rsidRPr="004D1AE0">
        <w:rPr>
          <w:rFonts w:ascii="Palatino Linotype" w:hAnsi="Palatino Linotype" w:cs="Arial"/>
          <w:i/>
          <w:sz w:val="22"/>
          <w:szCs w:val="22"/>
        </w:rPr>
        <w:t>6o</w:t>
      </w:r>
      <w:proofErr w:type="spellEnd"/>
      <w:r w:rsidRPr="004D1AE0">
        <w:rPr>
          <w:rFonts w:ascii="Palatino Linotype" w:hAnsi="Palatino Linotype" w:cs="Arial"/>
          <w:i/>
          <w:sz w:val="22"/>
          <w:szCs w:val="22"/>
        </w:rPr>
        <w:t xml:space="preserve">. constitucional, el derecho a la información comprende las siguientes garantías: 1) el derecho de informar (difundir), 2) el derecho de acceso a la información (buscar) y, 3) el derecho a ser informado (recibir). Por un lado, el derecho de informar consiste en la posibilidad de que cualquier persona pueda exteriorizar o difundir, a través de cualquier medio, la información, datos, registros o documentos que posea. En ese sentido, exige que el Estado no restrinja ni limite directa o indirectamente el flujo de la información (obligaciones negativas), y por otro lado, requiere que el Estado fomente las condiciones que propicien un discurso democrático (obligaciones positivas). Por otro lado, el derecho de acceso a la información garantiza que todas las personas puedan solicitar información al Estado respecto de los archivos, registros, datos y documentos públicos, siempre que sea solicitada por escrito, de manera pacífica y respetuosa. Al respecto, exige que el Estado no obstaculice ni impida su búsqueda (obligaciones negativas), y por otro lado, requiere que establezca los medios e instrumentos idóneos a través de los cuales las personas puedan solicitar dicha información (obligaciones positivas). Finalmente, el derecho a ser informado garantiza que todos los miembros de la sociedad reciban libremente información plural y oportuna que les permita ejercer plenamente sus derechos, quedando obligado el Estado a no restringir o limitar la recepción de cualquier información (obligaciones negativas) y por otro lado, también exige que el Estado informe a las personas sobre aquellas cuestiones que puedan incidir en su vida o en el ejercicio de sus derechos, sin que sea necesaria alguna solicitud o requerimiento por parte de los particulares (obligaciones positivas). Amparo directo en revisión 2931/2015. Napoleón Gómez Urrutia. 13 de abril de 2016. Unanimidad de cuatro votos de los Ministros Eduardo Medina Mora I., Javier </w:t>
      </w:r>
      <w:proofErr w:type="spellStart"/>
      <w:r w:rsidRPr="004D1AE0">
        <w:rPr>
          <w:rFonts w:ascii="Palatino Linotype" w:hAnsi="Palatino Linotype" w:cs="Arial"/>
          <w:i/>
          <w:sz w:val="22"/>
          <w:szCs w:val="22"/>
        </w:rPr>
        <w:t>Laynez</w:t>
      </w:r>
      <w:proofErr w:type="spellEnd"/>
      <w:r w:rsidRPr="004D1AE0">
        <w:rPr>
          <w:rFonts w:ascii="Palatino Linotype" w:hAnsi="Palatino Linotype" w:cs="Arial"/>
          <w:i/>
          <w:sz w:val="22"/>
          <w:szCs w:val="22"/>
        </w:rPr>
        <w:t xml:space="preserve"> </w:t>
      </w:r>
      <w:proofErr w:type="spellStart"/>
      <w:r w:rsidRPr="004D1AE0">
        <w:rPr>
          <w:rFonts w:ascii="Palatino Linotype" w:hAnsi="Palatino Linotype" w:cs="Arial"/>
          <w:i/>
          <w:sz w:val="22"/>
          <w:szCs w:val="22"/>
        </w:rPr>
        <w:t>Potisek</w:t>
      </w:r>
      <w:proofErr w:type="spellEnd"/>
      <w:r w:rsidRPr="004D1AE0">
        <w:rPr>
          <w:rFonts w:ascii="Palatino Linotype" w:hAnsi="Palatino Linotype" w:cs="Arial"/>
          <w:i/>
          <w:sz w:val="22"/>
          <w:szCs w:val="22"/>
        </w:rPr>
        <w:t xml:space="preserve">, José Fernando Franco González Salas y Margarita Beatriz Luna Ramos; se aparta de consideraciones Margarita Beatriz Luna Ramos; se aparta de algunas consideraciones José Fernando Franco González Salas. Mayoría de tres votos en relación con el criterio contenido en esta tesis; votó en contra Margarita Beatriz Luna Ramos. Ausente: Alberto Pérez </w:t>
      </w:r>
      <w:proofErr w:type="spellStart"/>
      <w:r w:rsidRPr="004D1AE0">
        <w:rPr>
          <w:rFonts w:ascii="Palatino Linotype" w:hAnsi="Palatino Linotype" w:cs="Arial"/>
          <w:i/>
          <w:sz w:val="22"/>
          <w:szCs w:val="22"/>
        </w:rPr>
        <w:t>Dayán</w:t>
      </w:r>
      <w:proofErr w:type="spellEnd"/>
      <w:r w:rsidRPr="004D1AE0">
        <w:rPr>
          <w:rFonts w:ascii="Palatino Linotype" w:hAnsi="Palatino Linotype" w:cs="Arial"/>
          <w:i/>
          <w:sz w:val="22"/>
          <w:szCs w:val="22"/>
        </w:rPr>
        <w:t>. Ponente: Eduardo Medina Mora I. Secretario: Marco Tulio Martínez Cosío. Esta tesis se publicó el viernes 09 de septiembre de 2016 a las 10:18 horas en el Semanario Judicial de la Federación. Época: Novena Época Registro: 169574 Instancia: Pleno Tipo de Tesis: Jurisprudencia Fuente: Semanario Judicial de la Federación y su Gaceta Tomo XXVII, Junio de 2008 Materia(s): Constitucional Tesis: P</w:t>
      </w:r>
      <w:proofErr w:type="gramStart"/>
      <w:r w:rsidRPr="004D1AE0">
        <w:rPr>
          <w:rFonts w:ascii="Palatino Linotype" w:hAnsi="Palatino Linotype" w:cs="Arial"/>
          <w:i/>
          <w:sz w:val="22"/>
          <w:szCs w:val="22"/>
        </w:rPr>
        <w:t>./</w:t>
      </w:r>
      <w:proofErr w:type="gramEnd"/>
      <w:r w:rsidRPr="004D1AE0">
        <w:rPr>
          <w:rFonts w:ascii="Palatino Linotype" w:hAnsi="Palatino Linotype" w:cs="Arial"/>
          <w:i/>
          <w:sz w:val="22"/>
          <w:szCs w:val="22"/>
        </w:rPr>
        <w:t xml:space="preserve">J. 54/2008 Página: 743 ACCESO A LA INFORMACIÓN. SU NATURALEZA COMO GARANTÍAS INDIVIDUAL Y SOCIAL. El acceso a la información se distingue de otros derechos intangibles por su doble carácter: como un derecho en sí mismo y como un medio o </w:t>
      </w:r>
      <w:r w:rsidRPr="004D1AE0">
        <w:rPr>
          <w:rFonts w:ascii="Palatino Linotype" w:hAnsi="Palatino Linotype" w:cs="Arial"/>
          <w:i/>
          <w:sz w:val="22"/>
          <w:szCs w:val="22"/>
        </w:rPr>
        <w:lastRenderedPageBreak/>
        <w:t xml:space="preserve">instrumento para el ejercicio de otros derechos. En efecto, además de un valor propio, la información tiene uno instrumental que sirve como presupuesto del ejercicio de otros derechos y como base para que los gobernados ejerzan un control respecto del funcionamiento institucional de los poderes públicos, por lo que se perfila como un límite a la exclusividad estatal en el manejo de la información y, por ende, como una exigencia social de todo Estado de Derecho. Así, el acceso a la información como garantía individual tiene por objeto maximizar el campo de la autonomía personal, posibilitando el ejercicio de la libertad de expresión en un contexto de mayor diversidad de datos, voces y opiniones; incluso algunos instrumentos internacionales lo asocian a la libertad de pensamiento y expresión, a las cuales describen como el derecho que comprende la libertad de buscar, recibir y difundir informaciones e ideas de toda índole. Por otro lado, el acceso a la información como derecho colectivo o garantía social cobra un marcado carácter público en tanto que funcionalmente tiende a revelar el empleo instrumental de la información no sólo como factor de autorrealización personal, sino como mecanismo de control institucional, pues se trata de un derecho fundado en una de las características principales del gobierno republicano, que es el de la publicidad de los actos de gobierno y la transparencia de la administración. Por tanto, este derecho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 Controversia constitucional 61/2005. Municipio de Torreón, Estado de Coahuila. 24 de enero de 2008. Unanimidad de diez votos. Ausente: José Ramón Cossío Díaz. Ponente: José de Jesús Gudiño Pelayo. Secretaria: Carmina Cortés Rodríguez. El Tribunal Pleno, el doce de mayo en curso, aprobó, con el número 54/2008, la tesis jurisprudencial que antecede. México, Distrito Federal, a doce de mayo de dos mil ocho. SEGUNDO. – Por otro lado, también es procedente el presente recurso de revisión en función a que en la solicitud presentada por el suscrito requiero, además del inventario de los bienes inmuebles propiedad del Estado de México, mismo que como ya describí en el motivo de informidad PRIMERO, también solicite: “el inventario realizado de conformidad con los Lineamientos para el registro y control del inventario y la conciliación y desincorporación de bienes muebles e inmuebles y en el cual se establezca de forma clara y precisa: el domicilio y ubicación exacta de cada inmueble, superficie de cada inmueble, medidas y colindancias de cada inmueble, uso de cada inmueble, medio de adquisición de cada inmueble, situación legal de cada inmueble, valor de cada inmueble y tipo de inmueble. De igual forma, solicito me proporcione la Constancia de Inscripción al Registro Administrativo de Bienes de Dominio Público y Privado de los Inmuebles que se ubiquen en la Colonia Industrial </w:t>
      </w:r>
      <w:proofErr w:type="spellStart"/>
      <w:r w:rsidRPr="004D1AE0">
        <w:rPr>
          <w:rFonts w:ascii="Palatino Linotype" w:hAnsi="Palatino Linotype" w:cs="Arial"/>
          <w:i/>
          <w:sz w:val="22"/>
          <w:szCs w:val="22"/>
        </w:rPr>
        <w:t>Xhala</w:t>
      </w:r>
      <w:proofErr w:type="spellEnd"/>
      <w:r w:rsidRPr="004D1AE0">
        <w:rPr>
          <w:rFonts w:ascii="Palatino Linotype" w:hAnsi="Palatino Linotype" w:cs="Arial"/>
          <w:i/>
          <w:sz w:val="22"/>
          <w:szCs w:val="22"/>
        </w:rPr>
        <w:t xml:space="preserve">, Municipio de Cuautitlán Izcalli y que sean propiedad del </w:t>
      </w:r>
      <w:proofErr w:type="spellStart"/>
      <w:r w:rsidRPr="004D1AE0">
        <w:rPr>
          <w:rFonts w:ascii="Palatino Linotype" w:hAnsi="Palatino Linotype" w:cs="Arial"/>
          <w:i/>
          <w:sz w:val="22"/>
          <w:szCs w:val="22"/>
        </w:rPr>
        <w:t>del</w:t>
      </w:r>
      <w:proofErr w:type="spellEnd"/>
      <w:r w:rsidRPr="004D1AE0">
        <w:rPr>
          <w:rFonts w:ascii="Palatino Linotype" w:hAnsi="Palatino Linotype" w:cs="Arial"/>
          <w:i/>
          <w:sz w:val="22"/>
          <w:szCs w:val="22"/>
        </w:rPr>
        <w:t xml:space="preserve"> </w:t>
      </w:r>
      <w:r w:rsidRPr="004D1AE0">
        <w:rPr>
          <w:rFonts w:ascii="Palatino Linotype" w:hAnsi="Palatino Linotype" w:cs="Arial"/>
          <w:i/>
          <w:sz w:val="22"/>
          <w:szCs w:val="22"/>
        </w:rPr>
        <w:lastRenderedPageBreak/>
        <w:t xml:space="preserve">Estado de México y sus diversos órganos. Por último, también se solicita copia de los documentos, títulos, decretos, resoluciones y demás documentos que acrediten la propiedad de los inmuebles de dominio público y dominio privado propiedad de del Estado de México y sus diversos órganos, que se ubiquen en la Colonia Industrial </w:t>
      </w:r>
      <w:proofErr w:type="spellStart"/>
      <w:r w:rsidRPr="004D1AE0">
        <w:rPr>
          <w:rFonts w:ascii="Palatino Linotype" w:hAnsi="Palatino Linotype" w:cs="Arial"/>
          <w:i/>
          <w:sz w:val="22"/>
          <w:szCs w:val="22"/>
        </w:rPr>
        <w:t>Xhala</w:t>
      </w:r>
      <w:proofErr w:type="spellEnd"/>
      <w:r w:rsidRPr="004D1AE0">
        <w:rPr>
          <w:rFonts w:ascii="Palatino Linotype" w:hAnsi="Palatino Linotype" w:cs="Arial"/>
          <w:i/>
          <w:sz w:val="22"/>
          <w:szCs w:val="22"/>
        </w:rPr>
        <w:t xml:space="preserve">, Municipio de Cuautitlán Izcalli. Incluso de aquellos que se encuentren en proceso de regularización, de los cuales también requiero los documentos que acrediten su propiedad.” ” De igual forma el artículo 5 fracciones I, IX, XII y XIII de la Ley de Bienes del Estado de México y de sus Municipios, señala lo que a continuación transcribo: Artículo 5.- Corresponde al Ejecutivo del Estado por conducto de la Secretaría de Finanzas y a los ayuntamientos: I.- La elaboración del padrón de bienes del dominio público y privado del Estado (…) IX.- Adquirir bienes inmuebles (…) XII.- Dar de baja los bienes del dominio público cuando hayan dejado de formar parte de éste, cancelando la inscripción en el Registro Administrativo de la Propiedad Pública correspondiente y solicitar al Registro Público de la Propiedad la cancelación del asiento respectivo. XIII.- Llevar el Registro Administrativo de la Propiedad Pública Estatal o Municipal, respectivamente. XIV. Dictar las normas a las que deberá sujetarse la vigilancia, cuidado, administración y aprovechamiento de los bienes del dominio público y privado. Como esta H. Instituto podrá observar, la Secretaría de Finanzas además de tener a su cargo la obligación de elaborar el padrón de bienes de dominio público y dominio privado, es totalmente contrario e ilógico que en los Oficios de respuesta que en este acto se impugnan señale que NO CUENTA CON LA INFORMACIÓN SOLICITADA y que “después de realizar una búsqueda” no fue encontrado dato alguno, DICHAS AFIRMACIONES HECHAS POR LA AUTORIDAD EN LOS OFICIOS QUE EN ESTE ACTO SE IMPUGNAN, son totalmente falsas, ya que es obligación de la SECRETARIA DE FINANZAS generar y administrar dicha información que el suscrito solicita, por ello, LA NEGATIVA DEL SUJETO OBLIGADO PARA BRINDAR LA INFORMACIÓN QUE FUE SOLICITADA, CONSTITUYE UNA VIOLACIÓN A LOS DERECHOS HUMANOS DEL SUSCRITO. Por otro lado, también es dentro de las obligaciones del suscrito se encuentra la de llevar el Registro Administrativo de la Propiedad Pública Estatal, por lo cual, la Constancia de Inscripción al Registro Administrativo de los bienes propiedad del Estado de México, solicitada por el suscrito, ES INFORMACIÓN PÚBLICA GENERADA Y ADMINISTRADA POR EL SUJETO OBLIGADO LA SECRETARIA DE FINANZAS DEL ESTADO DE MÉXICO, con lo cual, el suscrito demuestra que los documentos requeridos y solicitados por el suscrito, SÍ SE ENCUENTRAN EN PODER DEL SUJETO OBLIGADO, por ello, la negativa de acceso a dicha información viola el derecho humano de acceso a la información del suscrito y en reparación a tales violaciones éste H. Instituto deberá ordenar al sujeto obligado a </w:t>
      </w:r>
      <w:r w:rsidRPr="004D1AE0">
        <w:rPr>
          <w:rFonts w:ascii="Palatino Linotype" w:hAnsi="Palatino Linotype" w:cs="Arial"/>
          <w:i/>
          <w:sz w:val="22"/>
          <w:szCs w:val="22"/>
        </w:rPr>
        <w:lastRenderedPageBreak/>
        <w:t xml:space="preserve">entregar la información solicitada por el suscrito y en caso de omisión imponer las sanciones legales correspondientes. Por último, el suscrito además de las Constancias de Inscripción al Registro Administrativo de los bienes propiedad del Estado de México, también solicite: los documentos, títulos, decretos, resoluciones y demás documentos que acrediten la propiedad de los inmuebles de dominio público y dominio privado propiedad de del Estado de México y sus diversos órganos e incluso de aquellos que se encuentren en proceso de regularización, mismo documentos que también se encuentran en posesión y son administrados por la Secretaría de Finanzas que es el sujeto obligado, tal y como se describe en la fracción IX del artículo 5 de la Ley de Bienes del Estado de México y de sus Municipios, ya que señala que dicha Secretaría es la encargada de Adquirir los bienes, además de sujetarse a la vigilancia, cuidado y administración de los mismos. Reitero, el sujeto obligado ha omitido en dar cumplimiento al principio de máxima publicidad y como consecuencia ha violentado el derecho humano de acceso a la información, pues mediante los Oficios que en este acto se impugnan NIEGA Y OCULTA LA INFORMACIÓN SOLICITADA. Dichas obligaciones también se encuentran contempladas en los artículos 58 y 60 de la Ley de Bienes del Estado de México y de sus Municipios, que señalan lo que a continuación transcribo: Artículo 58.- La Secretaría de Finanzas y los ayuntamientos operarán los sistemas de información inmobiliaria, estatal y municipal, respectivamente, que tendrán por objeto integrar los datos de identificación física y antecedentes jurídicos, regístrales y administrativos de los inmuebles propiedad del Estado y de los municipios. Artículo 60.- En los sistemas de información inmobiliaria se deberán recopilar y mantener actualizados, los avalúos, datos, documentos e informes necesarios para la plena identificación de los inmuebles de propiedad estatal y municipal. Por lo cual, al operar la Secretaría de Finanzas los sistemas de información inmobiliaria estatal, es obvio, que dicho sujeto obligado administra toda y cada una de la información y documentos relacionados y que acrediten la propiedad de los bienes </w:t>
      </w:r>
      <w:proofErr w:type="gramStart"/>
      <w:r w:rsidRPr="004D1AE0">
        <w:rPr>
          <w:rFonts w:ascii="Palatino Linotype" w:hAnsi="Palatino Linotype" w:cs="Arial"/>
          <w:i/>
          <w:sz w:val="22"/>
          <w:szCs w:val="22"/>
        </w:rPr>
        <w:t>inmuebles ,</w:t>
      </w:r>
      <w:proofErr w:type="gramEnd"/>
      <w:r w:rsidRPr="004D1AE0">
        <w:rPr>
          <w:rFonts w:ascii="Palatino Linotype" w:hAnsi="Palatino Linotype" w:cs="Arial"/>
          <w:i/>
          <w:sz w:val="22"/>
          <w:szCs w:val="22"/>
        </w:rPr>
        <w:t xml:space="preserve"> POR LO CUAL, LA NEGATIVA EN BRINDAR LA INFORMACIÓN SOLICITADA SIGNIFICA LA VIOLACIÓN AL DERECHO DE ACCESO A LA INFORMACIÓN PÚBLICA. Refuerza lo señalado por el suscrito, lo descrito en los artículos 62, 63, 64 y 65 de Ley de Bienes del Estado de México y de sus Municipios, que señalan lo que a continuación transcribo: Artículo 62.- El Ejecutivo del Estado por conducto de la Secretaría de Finanzas y los ayuntamientos, llevarán un registro de la propiedad de bienes del dominio público y del dominio privado que se denominará Registro Administrativo de la propiedad Pública Estatal o Municipal, según corresponda. Artículo 63.- En el Registro Administrativo de la Propiedad Pública Estatal o Municipal, según corresponda, se inscribirán: I. Los títulos y documentos por los cuales se adquiera, transmita, grave, modifique, afecte o extinga el dominio o la </w:t>
      </w:r>
      <w:r w:rsidRPr="004D1AE0">
        <w:rPr>
          <w:rFonts w:ascii="Palatino Linotype" w:hAnsi="Palatino Linotype" w:cs="Arial"/>
          <w:i/>
          <w:sz w:val="22"/>
          <w:szCs w:val="22"/>
        </w:rPr>
        <w:lastRenderedPageBreak/>
        <w:t xml:space="preserve">posesión y los demás derechos reales sobe los bienes inmuebles del Estado o de los municipios; II. Los decretos por los que se determine la expropiación de bienes cuando éstos se incorporen al dominio público del Estado o de los municipios; III. Las adjudicaciones a favor del Estado o de los Municipios dictadas en procedimientos administrativos de ejecución; IV. Los decomisos decretados por la autoridad judicial; V. Las concesiones, autorizaciones, permisos o licencias sobre inmuebles de propiedad estatal o municipal; VI. Las resoluciones o sentencias que pronuncien las autoridades jurisdiccionales relacionados con inmuebles del Estado o de los municipios; VII. Los convenios administrativos que produzcan alguno de los efectos mencionados en la fracción I de este artículo; VIII. Los decretos y acuerdos que incorporen o desincorporen del dominio público bienes inmuebles; IX. Los acuerdos por los que se cambie la afectación o se sustituya a los usuarios de los bienes del dominio público; y X. Los demás actos que conforme a esta ley deban ser registrados. Artículo 64.- En las inscripciones del Registro Administrativo de la Propiedad Pública Estatal o Municipal, según el caso, se expresará la procedencia de los bienes, su naturaleza, ubicación, linderos, nombre del inmueble si lo tuviera, valor y las servidumbres si las hubiere, así como los datos que sirvan para identificar la relación que pudieran tener con otros expedientes. Artículo 65.- Las constancias del Registro Administrativo de la Propiedad Pública Estatal o Municipal, según el caso, comprobarán la autenticidad de los actos a que se refieren. Los artículos descritos, comprueban de manera clara y precisa, que la información solicitada por el suscrito se trata de información pública generada, obtenida, adquirida, transformada, administrada y en posesión de los sujeto obligado la Secretaría de Finanzas, por lo cual, la negativa y declaración de inexistencia de la información solicitada por el suscrito, constituye una violación a los derechos humanos del suscrito, específicamente al derecho humano de acceso a la información pública, por ello, en reparación a tales violaciones, éste H. Instituto deberá proceder a ordenar al sujeto obligado a proporcionar la documentación e información requerida. D E R E C H O: COMPETENCIA: Este H. Instituto de Transparencia, Acceso a la Información Pública y Protección de Datos Personales del Estado de México, tiene competencia para recibir el recurso de revisión, presentado por el particular, y enviarlo a ese órgano garante, para su trámite y conclusión, con fundamento en lo dispuesto por el artículo 36 fracción II y el artículo 185 de la Ley de Transparencia y Acceso a La Información Pública Del Estado De México Y Municipios. . PROCEDIMIENTO: El procedimiento a seguir se encuentra regulado por los artículos 176, 177, 178, 179, 180, 181, 182, 183, 184, 185, 186, 187, 188, 189, 190, 191, 192, 193, 194, 195 y demás relativos de la Ley de Transparencia y Acceso a La Información Pública Del Estado De México Y Municipios. ACCIÓN: Fundo la procedencia de mi derecho de acción, en los artículos 6° inciso A), fracciones I, III, IV, V, VI y VII de la </w:t>
      </w:r>
      <w:r w:rsidRPr="004D1AE0">
        <w:rPr>
          <w:rFonts w:ascii="Palatino Linotype" w:hAnsi="Palatino Linotype" w:cs="Arial"/>
          <w:i/>
          <w:sz w:val="22"/>
          <w:szCs w:val="22"/>
        </w:rPr>
        <w:lastRenderedPageBreak/>
        <w:t>CONSTITUCIÓN POLÍTICA DE LOS ESTADOS UNIDOS MEXICANOS, así como el artículo 5 fracciones I, III, IV, V, VI, VII y VIII de la CONSTITUCIÓN POLÍTICA DEL ESTADO LIBRE Y SOBERANO DE MÉXICO y los diversos 1, 4, 5, 7, 8, 9, 23 fracción IV, 75, 78, 88, 89, 90, 150 al 173, 176 al 195 y demás relativos de la Ley de Transparencia y Acceso a la Información Pública del Estado de México y Municipios. Por lo anteriormente expuesto y fundado, atentamente solicito: PRIMERO: Se admita a trámite el presente recurso de revisión y se notifique al sujeto obligado señalado como responsable, para que dentro del término legal ofrezca un informe justificado respecto del acto impugnado. SEGUNDO: Que en ejercicio de las atribuciones que se le concede a este H. Instituto y una vez agotado el procedimiento establecido en la misma, se dicte resolución correspondiente y se ordene al sujeto obligado el cumplimiento y entrega de la información solicitada y en caso de ser procedente se impongan las sanciones correspondientes. TERCERO: Suplir las deficiencias del compareciente, para garantizar el ejercicio del derecho de acceso a la información”. (</w:t>
      </w:r>
      <w:proofErr w:type="gramStart"/>
      <w:r w:rsidRPr="004D1AE0">
        <w:rPr>
          <w:rFonts w:ascii="Palatino Linotype" w:hAnsi="Palatino Linotype" w:cs="Arial"/>
          <w:i/>
          <w:sz w:val="22"/>
          <w:szCs w:val="22"/>
        </w:rPr>
        <w:t>sic</w:t>
      </w:r>
      <w:proofErr w:type="gramEnd"/>
      <w:r w:rsidRPr="004D1AE0">
        <w:rPr>
          <w:rFonts w:ascii="Palatino Linotype" w:hAnsi="Palatino Linotype" w:cs="Arial"/>
          <w:i/>
          <w:sz w:val="22"/>
          <w:szCs w:val="22"/>
        </w:rPr>
        <w:t xml:space="preserve">) </w:t>
      </w:r>
    </w:p>
    <w:p w14:paraId="3C503005" w14:textId="77777777" w:rsidR="00DB7A1A" w:rsidRPr="004D1AE0" w:rsidRDefault="00DB7A1A" w:rsidP="00CF56F0">
      <w:pPr>
        <w:spacing w:before="100" w:beforeAutospacing="1" w:after="100" w:afterAutospacing="1" w:line="360" w:lineRule="auto"/>
        <w:contextualSpacing/>
        <w:jc w:val="both"/>
        <w:rPr>
          <w:rFonts w:ascii="Palatino Linotype" w:hAnsi="Palatino Linotype" w:cs="Arial"/>
        </w:rPr>
      </w:pPr>
    </w:p>
    <w:p w14:paraId="439CE064" w14:textId="4FF27BF9" w:rsidR="00834389" w:rsidRPr="004D1AE0" w:rsidRDefault="00834389" w:rsidP="00CF56F0">
      <w:pPr>
        <w:spacing w:before="100" w:beforeAutospacing="1" w:after="100" w:afterAutospacing="1" w:line="360" w:lineRule="auto"/>
        <w:contextualSpacing/>
        <w:jc w:val="both"/>
        <w:rPr>
          <w:rFonts w:ascii="Palatino Linotype" w:hAnsi="Palatino Linotype" w:cs="Arial"/>
        </w:rPr>
      </w:pPr>
      <w:r w:rsidRPr="004D1AE0">
        <w:rPr>
          <w:rFonts w:ascii="Palatino Linotype" w:hAnsi="Palatino Linotype" w:cs="Arial"/>
        </w:rPr>
        <w:t xml:space="preserve">Asimismo, en el presente recurso </w:t>
      </w:r>
      <w:r w:rsidRPr="004D1AE0">
        <w:rPr>
          <w:rFonts w:ascii="Palatino Linotype" w:hAnsi="Palatino Linotype" w:cs="Arial"/>
          <w:b/>
        </w:rPr>
        <w:t>EL RECURRENTE</w:t>
      </w:r>
      <w:r w:rsidRPr="004D1AE0">
        <w:rPr>
          <w:rFonts w:ascii="Palatino Linotype" w:hAnsi="Palatino Linotype" w:cs="Arial"/>
        </w:rPr>
        <w:t xml:space="preserve"> fue omiso en verter sus manifestaciones y presentar los alegatos que a su derecho convinieran, por su parte </w:t>
      </w:r>
      <w:r w:rsidRPr="004D1AE0">
        <w:rPr>
          <w:rFonts w:ascii="Palatino Linotype" w:hAnsi="Palatino Linotype" w:cs="Arial"/>
          <w:b/>
        </w:rPr>
        <w:t>EL SUJETO OBLIGADO</w:t>
      </w:r>
      <w:r w:rsidR="00DB7A1A" w:rsidRPr="004D1AE0">
        <w:rPr>
          <w:rFonts w:ascii="Palatino Linotype" w:hAnsi="Palatino Linotype" w:cs="Arial"/>
          <w:b/>
        </w:rPr>
        <w:t xml:space="preserve"> </w:t>
      </w:r>
      <w:r w:rsidR="00DB7A1A" w:rsidRPr="004D1AE0">
        <w:rPr>
          <w:rFonts w:ascii="Palatino Linotype" w:hAnsi="Palatino Linotype" w:cs="Arial"/>
        </w:rPr>
        <w:t xml:space="preserve">al momento de rendir su informe justificado mediante los archivos electrónicos </w:t>
      </w:r>
      <w:r w:rsidR="00DB7A1A" w:rsidRPr="004D1AE0">
        <w:rPr>
          <w:rFonts w:ascii="Palatino Linotype" w:eastAsia="Arial Unicode MS" w:hAnsi="Palatino Linotype" w:cs="Arial"/>
          <w:b/>
          <w:i/>
        </w:rPr>
        <w:t xml:space="preserve">3777 </w:t>
      </w:r>
      <w:proofErr w:type="spellStart"/>
      <w:r w:rsidR="00DB7A1A" w:rsidRPr="004D1AE0">
        <w:rPr>
          <w:rFonts w:ascii="Palatino Linotype" w:eastAsia="Arial Unicode MS" w:hAnsi="Palatino Linotype" w:cs="Arial"/>
          <w:b/>
          <w:i/>
        </w:rPr>
        <w:t>RR</w:t>
      </w:r>
      <w:proofErr w:type="spellEnd"/>
      <w:r w:rsidR="00DB7A1A" w:rsidRPr="004D1AE0">
        <w:rPr>
          <w:rFonts w:ascii="Palatino Linotype" w:eastAsia="Arial Unicode MS" w:hAnsi="Palatino Linotype" w:cs="Arial"/>
          <w:b/>
          <w:i/>
        </w:rPr>
        <w:t xml:space="preserve"> Informe Justificado.pdf </w:t>
      </w:r>
      <w:r w:rsidR="00DB7A1A" w:rsidRPr="004D1AE0">
        <w:rPr>
          <w:rFonts w:ascii="Palatino Linotype" w:eastAsia="Arial Unicode MS" w:hAnsi="Palatino Linotype" w:cs="Arial"/>
        </w:rPr>
        <w:t>y</w:t>
      </w:r>
      <w:r w:rsidR="00DB7A1A" w:rsidRPr="004D1AE0">
        <w:rPr>
          <w:rFonts w:ascii="Palatino Linotype" w:eastAsia="Arial Unicode MS" w:hAnsi="Palatino Linotype" w:cs="Arial"/>
          <w:b/>
          <w:i/>
        </w:rPr>
        <w:t xml:space="preserve"> 3777 RRDGRM.pdf </w:t>
      </w:r>
      <w:r w:rsidR="00DB7A1A" w:rsidRPr="004D1AE0">
        <w:rPr>
          <w:rFonts w:ascii="Palatino Linotype" w:eastAsia="Arial Unicode MS" w:hAnsi="Palatino Linotype" w:cs="Arial"/>
        </w:rPr>
        <w:t xml:space="preserve">de los se advierte que </w:t>
      </w:r>
      <w:r w:rsidR="00DB7A1A" w:rsidRPr="004D1AE0">
        <w:rPr>
          <w:rFonts w:ascii="Palatino Linotype" w:eastAsia="Arial Unicode MS" w:hAnsi="Palatino Linotype" w:cs="Arial"/>
          <w:b/>
        </w:rPr>
        <w:t xml:space="preserve">EL SUJETO OBLIGADO </w:t>
      </w:r>
      <w:r w:rsidR="00DB7A1A" w:rsidRPr="004D1AE0">
        <w:rPr>
          <w:rFonts w:ascii="Palatino Linotype" w:eastAsia="Arial Unicode MS" w:hAnsi="Palatino Linotype" w:cs="Arial"/>
        </w:rPr>
        <w:t>no genera la información en virtud que no son aplicables Lineamientos para el Registro y Control del Inventario y la Conciliación y Desincorporación de Bienes Muebles e Inmuebles para las Entidades Fiscalizables Municipales del Estado de México en el ámbito de sus funciones</w:t>
      </w:r>
      <w:r w:rsidR="00EC2F18" w:rsidRPr="004D1AE0">
        <w:rPr>
          <w:rFonts w:ascii="Palatino Linotype" w:eastAsia="Arial Unicode MS" w:hAnsi="Palatino Linotype" w:cs="Arial"/>
        </w:rPr>
        <w:t xml:space="preserve"> ya que éstos solo le aplican a los Ayuntamientos, aunado a que en dicho domicilio del que se requiere la información no se desprenden bienes a nombre o propiedades de gobierno del Estado de México o de alguno de sus organismos.</w:t>
      </w:r>
      <w:r w:rsidR="00DB7A1A" w:rsidRPr="004D1AE0">
        <w:rPr>
          <w:rFonts w:ascii="Palatino Linotype" w:eastAsia="Arial Unicode MS" w:hAnsi="Palatino Linotype" w:cs="Arial"/>
        </w:rPr>
        <w:t xml:space="preserve"> </w:t>
      </w:r>
    </w:p>
    <w:p w14:paraId="1DC7BE10" w14:textId="77777777" w:rsidR="00834389" w:rsidRPr="004D1AE0" w:rsidRDefault="00834389" w:rsidP="00CF56F0">
      <w:pPr>
        <w:spacing w:before="100" w:beforeAutospacing="1" w:after="100" w:afterAutospacing="1" w:line="360" w:lineRule="auto"/>
        <w:contextualSpacing/>
        <w:jc w:val="both"/>
        <w:rPr>
          <w:rFonts w:ascii="Palatino Linotype" w:hAnsi="Palatino Linotype" w:cs="Arial"/>
        </w:rPr>
      </w:pPr>
    </w:p>
    <w:p w14:paraId="097DE79E" w14:textId="1E8A59FB" w:rsidR="00BD6B3C" w:rsidRPr="004D1AE0" w:rsidRDefault="00BD6B3C" w:rsidP="00CF56F0">
      <w:pPr>
        <w:spacing w:before="100" w:beforeAutospacing="1" w:after="100" w:afterAutospacing="1" w:line="360" w:lineRule="auto"/>
        <w:contextualSpacing/>
        <w:jc w:val="both"/>
        <w:rPr>
          <w:rFonts w:ascii="Palatino Linotype" w:eastAsia="Arial Unicode MS" w:hAnsi="Palatino Linotype" w:cs="Arial"/>
        </w:rPr>
      </w:pPr>
      <w:r w:rsidRPr="004D1AE0">
        <w:rPr>
          <w:rFonts w:ascii="Palatino Linotype" w:eastAsia="Calibri" w:hAnsi="Palatino Linotype" w:cs="Arial"/>
        </w:rPr>
        <w:t xml:space="preserve">Puntualizado lo anterior, es necesario referir que la controversia en el presente asunto versa en relación a que </w:t>
      </w:r>
      <w:r w:rsidRPr="004D1AE0">
        <w:rPr>
          <w:rFonts w:ascii="Palatino Linotype" w:eastAsia="Calibri" w:hAnsi="Palatino Linotype" w:cs="Arial"/>
          <w:b/>
        </w:rPr>
        <w:t xml:space="preserve">EL SUJETO OBLIGADO </w:t>
      </w:r>
      <w:r w:rsidRPr="004D1AE0">
        <w:rPr>
          <w:rFonts w:ascii="Palatino Linotype" w:eastAsia="Calibri" w:hAnsi="Palatino Linotype" w:cs="Arial"/>
        </w:rPr>
        <w:t xml:space="preserve">manifestó que de una búsqueda </w:t>
      </w:r>
      <w:r w:rsidRPr="004D1AE0">
        <w:rPr>
          <w:rFonts w:ascii="Palatino Linotype" w:eastAsia="Calibri" w:hAnsi="Palatino Linotype" w:cs="Arial"/>
        </w:rPr>
        <w:lastRenderedPageBreak/>
        <w:t xml:space="preserve">exhaustiva y razonable no se encontró información, aunado a que, acerca de la información solicitada </w:t>
      </w:r>
      <w:r w:rsidR="00EC2F18" w:rsidRPr="004D1AE0">
        <w:rPr>
          <w:rFonts w:ascii="Palatino Linotype" w:eastAsia="Calibri" w:hAnsi="Palatino Linotype" w:cs="Arial"/>
        </w:rPr>
        <w:t xml:space="preserve">se manifestó </w:t>
      </w:r>
      <w:r w:rsidRPr="004D1AE0">
        <w:rPr>
          <w:rFonts w:ascii="Palatino Linotype" w:eastAsia="Calibri" w:hAnsi="Palatino Linotype" w:cs="Arial"/>
        </w:rPr>
        <w:t xml:space="preserve">que con base a lo establecido de los mismos </w:t>
      </w:r>
      <w:r w:rsidRPr="004D1AE0">
        <w:rPr>
          <w:rFonts w:ascii="Palatino Linotype" w:eastAsia="Arial Unicode MS" w:hAnsi="Palatino Linotype" w:cs="Arial"/>
        </w:rPr>
        <w:t>Lineamientos para el Registro y Control del Inventario y la Conciliación y Desincorporación de Bienes Muebles e Inmuebles para las Entidades Fiscalizables Municipales del Estado de México se advierte que dicha normatividad aplica exclusivamente a los Municipios, siendo pertinente insertar para una mayor referencia las imágenes siguientes:</w:t>
      </w:r>
    </w:p>
    <w:p w14:paraId="20608726" w14:textId="77777777" w:rsidR="00BD6B3C" w:rsidRPr="004D1AE0" w:rsidRDefault="00BD6B3C" w:rsidP="00CF56F0">
      <w:pPr>
        <w:spacing w:before="100" w:beforeAutospacing="1" w:after="100" w:afterAutospacing="1" w:line="360" w:lineRule="auto"/>
        <w:contextualSpacing/>
        <w:jc w:val="both"/>
        <w:rPr>
          <w:rFonts w:ascii="Palatino Linotype" w:eastAsia="Arial Unicode MS" w:hAnsi="Palatino Linotype" w:cs="Arial"/>
        </w:rPr>
      </w:pPr>
    </w:p>
    <w:p w14:paraId="66025AE4" w14:textId="59CBEDD3" w:rsidR="0069611A" w:rsidRPr="004D1AE0" w:rsidRDefault="00BD6B3C" w:rsidP="00CF56F0">
      <w:pPr>
        <w:spacing w:before="100" w:beforeAutospacing="1" w:after="100" w:afterAutospacing="1" w:line="360" w:lineRule="auto"/>
        <w:contextualSpacing/>
        <w:jc w:val="both"/>
        <w:rPr>
          <w:rFonts w:ascii="Palatino Linotype" w:eastAsia="Calibri" w:hAnsi="Palatino Linotype" w:cs="Arial"/>
        </w:rPr>
      </w:pPr>
      <w:r w:rsidRPr="004D1AE0">
        <w:rPr>
          <w:noProof/>
          <w:lang w:eastAsia="es-MX"/>
        </w:rPr>
        <w:drawing>
          <wp:inline distT="0" distB="0" distL="0" distR="0" wp14:anchorId="7F6FAB30" wp14:editId="63FE3968">
            <wp:extent cx="5638800" cy="48158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050" t="17307" r="28823" b="39427"/>
                    <a:stretch/>
                  </pic:blipFill>
                  <pic:spPr bwMode="auto">
                    <a:xfrm>
                      <a:off x="0" y="0"/>
                      <a:ext cx="5638800" cy="48158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D1AE0">
        <w:rPr>
          <w:rFonts w:ascii="Palatino Linotype" w:eastAsia="Calibri" w:hAnsi="Palatino Linotype" w:cs="Arial"/>
        </w:rPr>
        <w:t xml:space="preserve"> </w:t>
      </w:r>
    </w:p>
    <w:p w14:paraId="1AB88DA9" w14:textId="77777777" w:rsidR="00BD6B3C" w:rsidRPr="004D1AE0" w:rsidRDefault="00BD6B3C" w:rsidP="00CF56F0">
      <w:pPr>
        <w:spacing w:before="100" w:beforeAutospacing="1" w:after="100" w:afterAutospacing="1" w:line="360" w:lineRule="auto"/>
        <w:contextualSpacing/>
        <w:jc w:val="both"/>
        <w:rPr>
          <w:rFonts w:ascii="Palatino Linotype" w:eastAsia="Calibri" w:hAnsi="Palatino Linotype" w:cs="Arial"/>
        </w:rPr>
      </w:pPr>
    </w:p>
    <w:p w14:paraId="351F3A1A" w14:textId="1CCCD09C" w:rsidR="00BD6B3C" w:rsidRPr="004D1AE0" w:rsidRDefault="00BD6B3C" w:rsidP="00CF56F0">
      <w:pPr>
        <w:spacing w:before="100" w:beforeAutospacing="1" w:after="100" w:afterAutospacing="1" w:line="360" w:lineRule="auto"/>
        <w:contextualSpacing/>
        <w:jc w:val="both"/>
        <w:rPr>
          <w:rFonts w:ascii="Palatino Linotype" w:hAnsi="Palatino Linotype" w:cs="Arial"/>
          <w:color w:val="000000" w:themeColor="text1"/>
          <w:lang w:val="es-ES"/>
        </w:rPr>
      </w:pPr>
      <w:r w:rsidRPr="004D1AE0">
        <w:rPr>
          <w:noProof/>
          <w:lang w:eastAsia="es-MX"/>
        </w:rPr>
        <w:lastRenderedPageBreak/>
        <w:drawing>
          <wp:inline distT="0" distB="0" distL="0" distR="0" wp14:anchorId="786BAEEF" wp14:editId="71E1DA77">
            <wp:extent cx="7220430" cy="5741350"/>
            <wp:effectExtent l="0" t="3493"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980" t="17976" r="24175"/>
                    <a:stretch/>
                  </pic:blipFill>
                  <pic:spPr bwMode="auto">
                    <a:xfrm rot="16200000">
                      <a:off x="0" y="0"/>
                      <a:ext cx="7240110" cy="575699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086989" w14:textId="7773F11C" w:rsidR="00BD6B3C" w:rsidRPr="004D1AE0" w:rsidRDefault="00BD6B3C" w:rsidP="00CF56F0">
      <w:pPr>
        <w:spacing w:before="100" w:beforeAutospacing="1" w:after="100" w:afterAutospacing="1" w:line="360" w:lineRule="auto"/>
        <w:contextualSpacing/>
        <w:jc w:val="both"/>
        <w:rPr>
          <w:rFonts w:ascii="Palatino Linotype" w:hAnsi="Palatino Linotype" w:cs="Arial"/>
          <w:color w:val="000000" w:themeColor="text1"/>
          <w:lang w:val="es-ES"/>
        </w:rPr>
      </w:pPr>
      <w:r w:rsidRPr="004D1AE0">
        <w:rPr>
          <w:noProof/>
          <w:lang w:eastAsia="es-MX"/>
        </w:rPr>
        <w:lastRenderedPageBreak/>
        <w:drawing>
          <wp:inline distT="0" distB="0" distL="0" distR="0" wp14:anchorId="35F5B675" wp14:editId="51160B32">
            <wp:extent cx="2275556" cy="5759388"/>
            <wp:effectExtent l="0" t="8255" r="254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118" t="17157" r="24438"/>
                    <a:stretch/>
                  </pic:blipFill>
                  <pic:spPr bwMode="auto">
                    <a:xfrm rot="16200000">
                      <a:off x="0" y="0"/>
                      <a:ext cx="2282506" cy="57769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8753B9" w14:textId="77777777" w:rsidR="00BD6B3C" w:rsidRPr="004D1AE0" w:rsidRDefault="00BD6B3C" w:rsidP="00CF56F0">
      <w:pPr>
        <w:spacing w:before="100" w:beforeAutospacing="1" w:after="100" w:afterAutospacing="1" w:line="360" w:lineRule="auto"/>
        <w:contextualSpacing/>
        <w:jc w:val="both"/>
        <w:rPr>
          <w:rFonts w:ascii="Palatino Linotype" w:hAnsi="Palatino Linotype" w:cs="Arial"/>
          <w:color w:val="000000" w:themeColor="text1"/>
          <w:lang w:val="es-ES"/>
        </w:rPr>
      </w:pPr>
    </w:p>
    <w:p w14:paraId="7D35C58E" w14:textId="3CAAB1CC" w:rsidR="004E382B" w:rsidRPr="004D1AE0" w:rsidRDefault="004E382B" w:rsidP="008471A5">
      <w:pPr>
        <w:spacing w:before="100" w:beforeAutospacing="1" w:after="100" w:afterAutospacing="1" w:line="360" w:lineRule="auto"/>
        <w:ind w:right="49"/>
        <w:contextualSpacing/>
        <w:jc w:val="both"/>
        <w:rPr>
          <w:rFonts w:ascii="Palatino Linotype" w:hAnsi="Palatino Linotype"/>
          <w:bCs/>
        </w:rPr>
      </w:pPr>
      <w:r w:rsidRPr="004D1AE0">
        <w:rPr>
          <w:rFonts w:ascii="Palatino Linotype" w:hAnsi="Palatino Linotype"/>
          <w:bCs/>
        </w:rPr>
        <w:t xml:space="preserve">De lo hasta aquí expuesto se advierte que, </w:t>
      </w:r>
      <w:r w:rsidR="008471A5" w:rsidRPr="004D1AE0">
        <w:rPr>
          <w:rFonts w:ascii="Palatino Linotype" w:hAnsi="Palatino Linotype"/>
          <w:bCs/>
        </w:rPr>
        <w:t xml:space="preserve">el particular solicitó información encaminada a bienes de Gobierno del Estado los cuales no están regulados en los </w:t>
      </w:r>
      <w:r w:rsidR="008471A5" w:rsidRPr="004D1AE0">
        <w:rPr>
          <w:rFonts w:ascii="Palatino Linotype" w:eastAsia="Arial Unicode MS" w:hAnsi="Palatino Linotype" w:cs="Arial"/>
        </w:rPr>
        <w:t xml:space="preserve">Lineamientos para el Registro y Control del Inventario y la Conciliación y Desincorporación de Bienes Muebles e Inmuebles para las Entidades Fiscalizables Municipales del Estado de México; asimismo, no se mite señalar que </w:t>
      </w:r>
      <w:r w:rsidR="008471A5" w:rsidRPr="004D1AE0">
        <w:rPr>
          <w:rFonts w:ascii="Palatino Linotype" w:eastAsia="Arial Unicode MS" w:hAnsi="Palatino Linotype" w:cs="Arial"/>
          <w:b/>
        </w:rPr>
        <w:t>EL</w:t>
      </w:r>
      <w:r w:rsidR="00EC2F18" w:rsidRPr="004D1AE0">
        <w:rPr>
          <w:rFonts w:ascii="Palatino Linotype" w:eastAsia="Arial Unicode MS" w:hAnsi="Palatino Linotype" w:cs="Arial"/>
          <w:b/>
        </w:rPr>
        <w:t xml:space="preserve"> </w:t>
      </w:r>
      <w:r w:rsidR="008471A5" w:rsidRPr="004D1AE0">
        <w:rPr>
          <w:rFonts w:ascii="Palatino Linotype" w:eastAsia="Arial Unicode MS" w:hAnsi="Palatino Linotype" w:cs="Arial"/>
          <w:b/>
        </w:rPr>
        <w:t xml:space="preserve">SUJETO OBLIGADO </w:t>
      </w:r>
      <w:r w:rsidR="008471A5" w:rsidRPr="004D1AE0">
        <w:rPr>
          <w:rFonts w:ascii="Palatino Linotype" w:eastAsia="Arial Unicode MS" w:hAnsi="Palatino Linotype" w:cs="Arial"/>
        </w:rPr>
        <w:t>a fin de ser garante realiz</w:t>
      </w:r>
      <w:r w:rsidR="00EC2F18" w:rsidRPr="004D1AE0">
        <w:rPr>
          <w:rFonts w:ascii="Palatino Linotype" w:eastAsia="Arial Unicode MS" w:hAnsi="Palatino Linotype" w:cs="Arial"/>
        </w:rPr>
        <w:t>ó</w:t>
      </w:r>
      <w:r w:rsidR="008471A5" w:rsidRPr="004D1AE0">
        <w:rPr>
          <w:rFonts w:ascii="Palatino Linotype" w:eastAsia="Arial Unicode MS" w:hAnsi="Palatino Linotype" w:cs="Arial"/>
        </w:rPr>
        <w:t xml:space="preserve"> una búsqueda exhaustiva y razonable </w:t>
      </w:r>
      <w:r w:rsidR="003F2D21" w:rsidRPr="004D1AE0">
        <w:rPr>
          <w:rFonts w:ascii="Palatino Linotype" w:eastAsia="Arial Unicode MS" w:hAnsi="Palatino Linotype" w:cs="Arial"/>
        </w:rPr>
        <w:t>dentro de sus archivos, de la cual se advierte que no localizó información</w:t>
      </w:r>
      <w:r w:rsidR="00EC2F18" w:rsidRPr="004D1AE0">
        <w:rPr>
          <w:rFonts w:ascii="Palatino Linotype" w:eastAsia="Arial Unicode MS" w:hAnsi="Palatino Linotype" w:cs="Arial"/>
        </w:rPr>
        <w:t xml:space="preserve"> en la ubicación que refiere el particular</w:t>
      </w:r>
      <w:r w:rsidR="003F2D21" w:rsidRPr="004D1AE0">
        <w:rPr>
          <w:rFonts w:ascii="Palatino Linotype" w:eastAsia="Arial Unicode MS" w:hAnsi="Palatino Linotype" w:cs="Arial"/>
        </w:rPr>
        <w:t xml:space="preserve">, </w:t>
      </w:r>
      <w:r w:rsidR="003F2D21" w:rsidRPr="004D1AE0">
        <w:rPr>
          <w:rFonts w:ascii="Palatino Linotype" w:hAnsi="Palatino Linotype" w:cs="Arial"/>
        </w:rPr>
        <w:t>por lo que al haber realizado un pronunciamiento este Órgano Garante no duda de la veracidad de la información remitida tanto en respuesta como en informe justificado.</w:t>
      </w:r>
    </w:p>
    <w:p w14:paraId="0DD1F709" w14:textId="77777777" w:rsidR="008471A5" w:rsidRPr="004D1AE0" w:rsidRDefault="008471A5" w:rsidP="008471A5">
      <w:pPr>
        <w:spacing w:before="100" w:beforeAutospacing="1" w:after="100" w:afterAutospacing="1" w:line="360" w:lineRule="auto"/>
        <w:ind w:right="49"/>
        <w:contextualSpacing/>
        <w:jc w:val="both"/>
        <w:rPr>
          <w:rFonts w:ascii="Palatino Linotype" w:hAnsi="Palatino Linotype"/>
          <w:bCs/>
        </w:rPr>
      </w:pPr>
    </w:p>
    <w:p w14:paraId="3DBC55DF" w14:textId="77777777" w:rsidR="008471A5" w:rsidRPr="004D1AE0" w:rsidRDefault="008471A5" w:rsidP="008471A5">
      <w:pPr>
        <w:spacing w:line="360" w:lineRule="auto"/>
        <w:jc w:val="both"/>
        <w:rPr>
          <w:rFonts w:ascii="Palatino Linotype" w:eastAsia="Arial Unicode MS" w:hAnsi="Palatino Linotype" w:cs="Arial"/>
        </w:rPr>
      </w:pPr>
      <w:r w:rsidRPr="004D1AE0">
        <w:rPr>
          <w:rFonts w:ascii="Palatino Linotype" w:eastAsia="Arial Unicode MS" w:hAnsi="Palatino Linotype" w:cs="Arial"/>
        </w:rPr>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7D37295E" w14:textId="77777777" w:rsidR="008471A5" w:rsidRPr="004D1AE0" w:rsidRDefault="008471A5" w:rsidP="008471A5">
      <w:pPr>
        <w:jc w:val="both"/>
        <w:rPr>
          <w:rFonts w:ascii="Palatino Linotype" w:eastAsia="Arial Unicode MS" w:hAnsi="Palatino Linotype" w:cs="Arial"/>
        </w:rPr>
      </w:pPr>
    </w:p>
    <w:p w14:paraId="483B07CA" w14:textId="77777777" w:rsidR="008471A5" w:rsidRPr="004D1AE0" w:rsidRDefault="008471A5" w:rsidP="008471A5">
      <w:pPr>
        <w:ind w:left="851" w:right="901"/>
        <w:jc w:val="both"/>
        <w:rPr>
          <w:rFonts w:ascii="Palatino Linotype" w:hAnsi="Palatino Linotype" w:cs="Arial"/>
          <w:i/>
          <w:sz w:val="22"/>
          <w:szCs w:val="22"/>
        </w:rPr>
      </w:pPr>
      <w:r w:rsidRPr="004D1AE0">
        <w:rPr>
          <w:rFonts w:ascii="Palatino Linotype" w:hAnsi="Palatino Linotype" w:cs="Arial"/>
          <w:i/>
          <w:sz w:val="22"/>
          <w:szCs w:val="22"/>
        </w:rPr>
        <w:t>“</w:t>
      </w:r>
      <w:r w:rsidRPr="004D1AE0">
        <w:rPr>
          <w:rFonts w:ascii="Palatino Linotype" w:hAnsi="Palatino Linotype" w:cs="Arial"/>
          <w:b/>
          <w:i/>
          <w:sz w:val="22"/>
          <w:szCs w:val="22"/>
        </w:rPr>
        <w:t xml:space="preserve">Artículo 192. </w:t>
      </w:r>
      <w:r w:rsidRPr="004D1AE0">
        <w:rPr>
          <w:rFonts w:ascii="Palatino Linotype" w:hAnsi="Palatino Linotype" w:cs="Arial"/>
          <w:i/>
          <w:sz w:val="22"/>
          <w:szCs w:val="22"/>
        </w:rPr>
        <w:t>El recurso será sobreseído, en todo o en parte, cuando una vez admitido, se actualicen alguno de los siguientes supuestos:</w:t>
      </w:r>
    </w:p>
    <w:p w14:paraId="1BA6A7FA" w14:textId="77777777" w:rsidR="008471A5" w:rsidRPr="004D1AE0" w:rsidRDefault="008471A5" w:rsidP="008471A5">
      <w:pPr>
        <w:ind w:left="851" w:right="901"/>
        <w:jc w:val="both"/>
        <w:rPr>
          <w:rFonts w:ascii="Palatino Linotype" w:hAnsi="Palatino Linotype" w:cs="Arial"/>
          <w:i/>
          <w:sz w:val="22"/>
          <w:szCs w:val="22"/>
        </w:rPr>
      </w:pPr>
      <w:r w:rsidRPr="004D1AE0">
        <w:rPr>
          <w:rFonts w:ascii="Palatino Linotype" w:hAnsi="Palatino Linotype" w:cs="Arial"/>
          <w:i/>
          <w:sz w:val="22"/>
          <w:szCs w:val="22"/>
        </w:rPr>
        <w:t>(…)</w:t>
      </w:r>
    </w:p>
    <w:p w14:paraId="6386E242" w14:textId="77777777" w:rsidR="008471A5" w:rsidRPr="004D1AE0" w:rsidRDefault="008471A5" w:rsidP="008471A5">
      <w:pPr>
        <w:ind w:left="851" w:right="901"/>
        <w:jc w:val="both"/>
        <w:rPr>
          <w:rFonts w:ascii="Palatino Linotype" w:hAnsi="Palatino Linotype" w:cs="Arial"/>
          <w:b/>
          <w:i/>
          <w:sz w:val="22"/>
          <w:szCs w:val="22"/>
        </w:rPr>
      </w:pPr>
      <w:r w:rsidRPr="004D1AE0">
        <w:rPr>
          <w:rFonts w:ascii="Palatino Linotype" w:hAnsi="Palatino Linotype" w:cs="Arial"/>
          <w:b/>
          <w:i/>
          <w:sz w:val="22"/>
          <w:szCs w:val="22"/>
        </w:rPr>
        <w:t xml:space="preserve">III. El sujeto obligado responsable del acto lo modifique o revoque de tal manera que el recurso de revisión quede sin materia;” </w:t>
      </w:r>
    </w:p>
    <w:p w14:paraId="48A2DFE8" w14:textId="77777777" w:rsidR="008471A5" w:rsidRPr="004D1AE0" w:rsidRDefault="008471A5" w:rsidP="008471A5">
      <w:pPr>
        <w:jc w:val="both"/>
        <w:rPr>
          <w:rFonts w:ascii="Palatino Linotype" w:hAnsi="Palatino Linotype" w:cs="Arial"/>
        </w:rPr>
      </w:pPr>
    </w:p>
    <w:p w14:paraId="2B74B0A2" w14:textId="77777777" w:rsidR="008471A5" w:rsidRPr="004D1AE0" w:rsidRDefault="008471A5" w:rsidP="008471A5">
      <w:pPr>
        <w:spacing w:line="360" w:lineRule="auto"/>
        <w:jc w:val="both"/>
        <w:rPr>
          <w:rFonts w:ascii="Palatino Linotype" w:hAnsi="Palatino Linotype" w:cs="Arial"/>
        </w:rPr>
      </w:pPr>
      <w:r w:rsidRPr="004D1AE0">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4D1AE0">
        <w:rPr>
          <w:rFonts w:ascii="Palatino Linotype" w:hAnsi="Palatino Linotype" w:cs="Arial"/>
          <w:b/>
        </w:rPr>
        <w:t>EL SUJETO OBLIGADO</w:t>
      </w:r>
      <w:r w:rsidRPr="004D1AE0">
        <w:rPr>
          <w:rFonts w:ascii="Palatino Linotype" w:hAnsi="Palatino Linotype" w:cs="Arial"/>
        </w:rPr>
        <w:t xml:space="preserve"> modifique o revoque el acto impugnado, quedando el medio de impugnación sin efecto o materia.</w:t>
      </w:r>
    </w:p>
    <w:p w14:paraId="36A8F92A" w14:textId="77777777" w:rsidR="008471A5" w:rsidRPr="004D1AE0" w:rsidRDefault="008471A5" w:rsidP="008471A5">
      <w:pPr>
        <w:spacing w:line="360" w:lineRule="auto"/>
        <w:jc w:val="both"/>
        <w:rPr>
          <w:rFonts w:ascii="Palatino Linotype" w:hAnsi="Palatino Linotype" w:cs="Arial"/>
        </w:rPr>
      </w:pPr>
    </w:p>
    <w:p w14:paraId="0B6B9096" w14:textId="77777777" w:rsidR="008471A5" w:rsidRPr="004D1AE0" w:rsidRDefault="008471A5" w:rsidP="008471A5">
      <w:pPr>
        <w:spacing w:line="360" w:lineRule="auto"/>
        <w:jc w:val="both"/>
        <w:rPr>
          <w:rFonts w:ascii="Palatino Linotype" w:hAnsi="Palatino Linotype" w:cs="Arial"/>
        </w:rPr>
      </w:pPr>
      <w:r w:rsidRPr="004D1AE0">
        <w:rPr>
          <w:rFonts w:ascii="Palatino Linotype" w:hAnsi="Palatino Linotype" w:cs="Arial"/>
        </w:rPr>
        <w:t xml:space="preserve">1.- El sujeto obligado responsable, </w:t>
      </w:r>
    </w:p>
    <w:p w14:paraId="3896732E" w14:textId="77777777" w:rsidR="008471A5" w:rsidRPr="004D1AE0" w:rsidRDefault="008471A5" w:rsidP="008471A5">
      <w:pPr>
        <w:spacing w:line="360" w:lineRule="auto"/>
        <w:jc w:val="both"/>
        <w:rPr>
          <w:rFonts w:ascii="Palatino Linotype" w:hAnsi="Palatino Linotype" w:cs="Arial"/>
        </w:rPr>
      </w:pPr>
      <w:r w:rsidRPr="004D1AE0">
        <w:rPr>
          <w:rFonts w:ascii="Palatino Linotype" w:hAnsi="Palatino Linotype" w:cs="Arial"/>
        </w:rPr>
        <w:t xml:space="preserve">2.- Acto, </w:t>
      </w:r>
    </w:p>
    <w:p w14:paraId="7ECD7763" w14:textId="77777777" w:rsidR="008471A5" w:rsidRPr="004D1AE0" w:rsidRDefault="008471A5" w:rsidP="008471A5">
      <w:pPr>
        <w:spacing w:line="360" w:lineRule="auto"/>
        <w:jc w:val="both"/>
        <w:rPr>
          <w:rFonts w:ascii="Palatino Linotype" w:hAnsi="Palatino Linotype" w:cs="Arial"/>
        </w:rPr>
      </w:pPr>
      <w:r w:rsidRPr="004D1AE0">
        <w:rPr>
          <w:rFonts w:ascii="Palatino Linotype" w:hAnsi="Palatino Linotype" w:cs="Arial"/>
        </w:rPr>
        <w:t>3.- Que se modifique o revoque, y</w:t>
      </w:r>
    </w:p>
    <w:p w14:paraId="2B69FC57" w14:textId="77777777" w:rsidR="008471A5" w:rsidRPr="004D1AE0" w:rsidRDefault="008471A5" w:rsidP="008471A5">
      <w:pPr>
        <w:spacing w:line="360" w:lineRule="auto"/>
        <w:jc w:val="both"/>
        <w:rPr>
          <w:rFonts w:ascii="Palatino Linotype" w:hAnsi="Palatino Linotype" w:cs="Arial"/>
        </w:rPr>
      </w:pPr>
      <w:r w:rsidRPr="004D1AE0">
        <w:rPr>
          <w:rFonts w:ascii="Palatino Linotype" w:hAnsi="Palatino Linotype" w:cs="Arial"/>
        </w:rPr>
        <w:t>4.- De tal manera que el medio de impugnación quede sin efecto o materia.</w:t>
      </w:r>
    </w:p>
    <w:p w14:paraId="1C025453" w14:textId="77777777" w:rsidR="008471A5" w:rsidRPr="004D1AE0" w:rsidRDefault="008471A5" w:rsidP="008471A5">
      <w:pPr>
        <w:spacing w:line="360" w:lineRule="auto"/>
        <w:jc w:val="both"/>
        <w:rPr>
          <w:rFonts w:ascii="Palatino Linotype" w:hAnsi="Palatino Linotype" w:cs="Arial"/>
          <w:sz w:val="14"/>
        </w:rPr>
      </w:pPr>
    </w:p>
    <w:p w14:paraId="2069A8E7" w14:textId="470B1EBF" w:rsidR="008471A5" w:rsidRPr="004D1AE0" w:rsidRDefault="008471A5" w:rsidP="008471A5">
      <w:pPr>
        <w:spacing w:line="360" w:lineRule="auto"/>
        <w:jc w:val="both"/>
        <w:rPr>
          <w:rFonts w:ascii="Palatino Linotype" w:hAnsi="Palatino Linotype" w:cs="Arial"/>
        </w:rPr>
      </w:pPr>
      <w:r w:rsidRPr="004D1AE0">
        <w:rPr>
          <w:rFonts w:ascii="Palatino Linotype" w:hAnsi="Palatino Linotype" w:cs="Arial"/>
        </w:rPr>
        <w:t xml:space="preserve">El primer elemento normativo, se actualiza ya que </w:t>
      </w:r>
      <w:r w:rsidRPr="004D1AE0">
        <w:rPr>
          <w:rFonts w:ascii="Palatino Linotype" w:hAnsi="Palatino Linotype" w:cs="Arial"/>
          <w:b/>
        </w:rPr>
        <w:t xml:space="preserve">EL SUJETO OBLIGADO </w:t>
      </w:r>
      <w:r w:rsidRPr="004D1AE0">
        <w:rPr>
          <w:rFonts w:ascii="Palatino Linotype" w:hAnsi="Palatino Linotype" w:cs="Arial"/>
        </w:rPr>
        <w:t xml:space="preserve">responsable, es la Secretaría de </w:t>
      </w:r>
      <w:r w:rsidR="00554CAC">
        <w:rPr>
          <w:rFonts w:ascii="Palatino Linotype" w:hAnsi="Palatino Linotype" w:cs="Arial"/>
        </w:rPr>
        <w:t>Finanzas</w:t>
      </w:r>
      <w:r w:rsidRPr="004D1AE0">
        <w:rPr>
          <w:rFonts w:ascii="Palatino Linotype" w:hAnsi="Palatino Linotype" w:cs="Arial"/>
        </w:rPr>
        <w:t xml:space="preserve"> del Estado de México.</w:t>
      </w:r>
    </w:p>
    <w:p w14:paraId="10817AF7" w14:textId="77777777" w:rsidR="008471A5" w:rsidRPr="004D1AE0" w:rsidRDefault="008471A5" w:rsidP="008471A5">
      <w:pPr>
        <w:spacing w:line="360" w:lineRule="auto"/>
        <w:jc w:val="both"/>
        <w:rPr>
          <w:rFonts w:ascii="Palatino Linotype" w:hAnsi="Palatino Linotype" w:cs="Arial"/>
          <w:sz w:val="16"/>
        </w:rPr>
      </w:pPr>
    </w:p>
    <w:p w14:paraId="52570F6D" w14:textId="77777777" w:rsidR="008471A5" w:rsidRPr="004D1AE0" w:rsidRDefault="008471A5" w:rsidP="008471A5">
      <w:pPr>
        <w:spacing w:line="360" w:lineRule="auto"/>
        <w:jc w:val="both"/>
        <w:rPr>
          <w:rFonts w:ascii="Palatino Linotype" w:hAnsi="Palatino Linotype" w:cs="Arial"/>
        </w:rPr>
      </w:pPr>
      <w:r w:rsidRPr="004D1AE0">
        <w:rPr>
          <w:rFonts w:ascii="Palatino Linotype" w:hAnsi="Palatino Linotype" w:cs="Arial"/>
        </w:rPr>
        <w:t xml:space="preserve">El segundo elemento normativo, es la existencia de un acto, en el caso en concreto que nos ocupa se actualiza con la existencia de la respuesta del </w:t>
      </w:r>
      <w:r w:rsidRPr="004D1AE0">
        <w:rPr>
          <w:rFonts w:ascii="Palatino Linotype" w:hAnsi="Palatino Linotype" w:cs="Arial"/>
          <w:b/>
        </w:rPr>
        <w:t>SUJETO OBLIGADO</w:t>
      </w:r>
      <w:r w:rsidRPr="004D1AE0">
        <w:rPr>
          <w:rFonts w:ascii="Palatino Linotype" w:hAnsi="Palatino Linotype" w:cs="Arial"/>
        </w:rPr>
        <w:t>.</w:t>
      </w:r>
    </w:p>
    <w:p w14:paraId="70F79D30" w14:textId="77777777" w:rsidR="008471A5" w:rsidRPr="004D1AE0" w:rsidRDefault="008471A5" w:rsidP="008471A5">
      <w:pPr>
        <w:spacing w:line="360" w:lineRule="auto"/>
        <w:jc w:val="both"/>
        <w:rPr>
          <w:rFonts w:ascii="Palatino Linotype" w:hAnsi="Palatino Linotype" w:cs="Arial"/>
          <w:sz w:val="16"/>
        </w:rPr>
      </w:pPr>
    </w:p>
    <w:p w14:paraId="66563D69" w14:textId="77777777" w:rsidR="008471A5" w:rsidRPr="004D1AE0" w:rsidRDefault="008471A5" w:rsidP="008471A5">
      <w:pPr>
        <w:spacing w:line="360" w:lineRule="auto"/>
        <w:jc w:val="both"/>
        <w:rPr>
          <w:rFonts w:ascii="Palatino Linotype" w:hAnsi="Palatino Linotype" w:cs="Arial"/>
        </w:rPr>
      </w:pPr>
      <w:r w:rsidRPr="004D1AE0">
        <w:rPr>
          <w:rFonts w:ascii="Palatino Linotype" w:hAnsi="Palatino Linotype" w:cs="Arial"/>
        </w:rPr>
        <w:t xml:space="preserve">Cabe destacar, que de la respuesta otorgada por </w:t>
      </w:r>
      <w:r w:rsidRPr="004D1AE0">
        <w:rPr>
          <w:rFonts w:ascii="Palatino Linotype" w:hAnsi="Palatino Linotype" w:cs="Arial"/>
          <w:b/>
        </w:rPr>
        <w:t>EL SUJETO OBLIGADO</w:t>
      </w:r>
      <w:r w:rsidRPr="004D1AE0">
        <w:rPr>
          <w:rFonts w:ascii="Palatino Linotype" w:hAnsi="Palatino Linotype" w:cs="Arial"/>
        </w:rPr>
        <w:t xml:space="preserve">, se desprende el precepto normativo en estudio, el cual se establece como “acto”, esto es así, pues la respuesta emitida por los Sujetos Obligados son consideradas, (en el contexto que la propia Ley establece), como “actos”, sin los cuales no existiría certeza </w:t>
      </w:r>
      <w:r w:rsidRPr="004D1AE0">
        <w:rPr>
          <w:rFonts w:ascii="Palatino Linotype" w:hAnsi="Palatino Linotype" w:cs="Arial"/>
        </w:rPr>
        <w:lastRenderedPageBreak/>
        <w:t xml:space="preserve">de la de información pública, porque precisamente la evidencia notoria y específica del actuar del </w:t>
      </w:r>
      <w:r w:rsidRPr="004D1AE0">
        <w:rPr>
          <w:rFonts w:ascii="Palatino Linotype" w:hAnsi="Palatino Linotype" w:cs="Arial"/>
          <w:b/>
        </w:rPr>
        <w:t>SUJETO OBLIGADO</w:t>
      </w:r>
      <w:r w:rsidRPr="004D1AE0">
        <w:rPr>
          <w:rFonts w:ascii="Palatino Linotype" w:hAnsi="Palatino Linotype" w:cs="Arial"/>
        </w:rPr>
        <w:t xml:space="preserve"> se observa a través de sus actos que necesariamente ejecuta y ejerce al realizar sus atribuciones legalmente conferidas.</w:t>
      </w:r>
    </w:p>
    <w:p w14:paraId="157ED278" w14:textId="77777777" w:rsidR="008471A5" w:rsidRPr="004D1AE0" w:rsidRDefault="008471A5" w:rsidP="008471A5">
      <w:pPr>
        <w:spacing w:line="360" w:lineRule="auto"/>
        <w:jc w:val="both"/>
        <w:rPr>
          <w:rFonts w:ascii="Palatino Linotype" w:hAnsi="Palatino Linotype" w:cs="Arial"/>
        </w:rPr>
      </w:pPr>
    </w:p>
    <w:p w14:paraId="3D5CF998" w14:textId="77777777" w:rsidR="008471A5" w:rsidRPr="004D1AE0" w:rsidRDefault="008471A5" w:rsidP="008471A5">
      <w:pPr>
        <w:spacing w:line="360" w:lineRule="auto"/>
        <w:jc w:val="both"/>
        <w:rPr>
          <w:rFonts w:ascii="Palatino Linotype" w:hAnsi="Palatino Linotype" w:cs="Arial"/>
        </w:rPr>
      </w:pPr>
      <w:r w:rsidRPr="004D1AE0">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32E0184F" w14:textId="77777777" w:rsidR="008471A5" w:rsidRPr="004D1AE0" w:rsidRDefault="008471A5" w:rsidP="008471A5">
      <w:pPr>
        <w:jc w:val="both"/>
        <w:rPr>
          <w:rFonts w:ascii="Palatino Linotype" w:hAnsi="Palatino Linotype" w:cs="Arial"/>
        </w:rPr>
      </w:pPr>
    </w:p>
    <w:p w14:paraId="5A114B3D" w14:textId="77777777" w:rsidR="008471A5" w:rsidRPr="004D1AE0" w:rsidRDefault="008471A5" w:rsidP="008471A5">
      <w:pPr>
        <w:ind w:left="851" w:right="1183"/>
        <w:jc w:val="both"/>
        <w:rPr>
          <w:rFonts w:ascii="Palatino Linotype" w:hAnsi="Palatino Linotype" w:cs="Arial"/>
          <w:i/>
          <w:sz w:val="22"/>
          <w:szCs w:val="22"/>
        </w:rPr>
      </w:pPr>
      <w:r w:rsidRPr="004D1AE0">
        <w:rPr>
          <w:rFonts w:ascii="Palatino Linotype" w:hAnsi="Palatino Linotype" w:cs="Arial"/>
          <w:b/>
          <w:i/>
          <w:sz w:val="22"/>
          <w:szCs w:val="22"/>
        </w:rPr>
        <w:t>“Artículo 53</w:t>
      </w:r>
      <w:r w:rsidRPr="004D1AE0">
        <w:rPr>
          <w:rFonts w:ascii="Palatino Linotype" w:hAnsi="Palatino Linotype" w:cs="Arial"/>
          <w:i/>
          <w:sz w:val="22"/>
          <w:szCs w:val="22"/>
        </w:rPr>
        <w:t xml:space="preserve">. Las Unidades de Transparencia tendrán las siguientes funciones: </w:t>
      </w:r>
    </w:p>
    <w:p w14:paraId="64805A5F" w14:textId="77777777" w:rsidR="008471A5" w:rsidRPr="004D1AE0" w:rsidRDefault="008471A5" w:rsidP="008471A5">
      <w:pPr>
        <w:ind w:left="851" w:right="1183"/>
        <w:jc w:val="both"/>
        <w:rPr>
          <w:rFonts w:ascii="Palatino Linotype" w:hAnsi="Palatino Linotype" w:cs="Arial"/>
          <w:i/>
          <w:sz w:val="22"/>
          <w:szCs w:val="22"/>
        </w:rPr>
      </w:pPr>
      <w:r w:rsidRPr="004D1AE0">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2B17C7FA" w14:textId="77777777" w:rsidR="008471A5" w:rsidRPr="004D1AE0" w:rsidRDefault="008471A5" w:rsidP="008471A5">
      <w:pPr>
        <w:ind w:left="851" w:right="1183"/>
        <w:jc w:val="both"/>
        <w:rPr>
          <w:rFonts w:ascii="Palatino Linotype" w:hAnsi="Palatino Linotype" w:cs="Arial"/>
          <w:i/>
          <w:sz w:val="22"/>
          <w:szCs w:val="22"/>
        </w:rPr>
      </w:pPr>
      <w:r w:rsidRPr="004D1AE0">
        <w:rPr>
          <w:rFonts w:ascii="Palatino Linotype" w:hAnsi="Palatino Linotype" w:cs="Arial"/>
          <w:i/>
          <w:sz w:val="22"/>
          <w:szCs w:val="22"/>
        </w:rPr>
        <w:t xml:space="preserve">II. Recibir, tramitar y dar respuesta a las solicitudes de acceso a la información; </w:t>
      </w:r>
    </w:p>
    <w:p w14:paraId="4A5F9703" w14:textId="77777777" w:rsidR="008471A5" w:rsidRPr="004D1AE0" w:rsidRDefault="008471A5" w:rsidP="008471A5">
      <w:pPr>
        <w:ind w:left="851" w:right="1183"/>
        <w:jc w:val="both"/>
        <w:rPr>
          <w:rFonts w:ascii="Palatino Linotype" w:hAnsi="Palatino Linotype" w:cs="Arial"/>
          <w:i/>
          <w:sz w:val="22"/>
          <w:szCs w:val="22"/>
        </w:rPr>
      </w:pPr>
      <w:r w:rsidRPr="004D1AE0">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50313C15" w14:textId="77777777" w:rsidR="008471A5" w:rsidRPr="004D1AE0" w:rsidRDefault="008471A5" w:rsidP="008471A5">
      <w:pPr>
        <w:ind w:left="851" w:right="1183"/>
        <w:jc w:val="both"/>
        <w:rPr>
          <w:rFonts w:ascii="Palatino Linotype" w:hAnsi="Palatino Linotype" w:cs="Arial"/>
          <w:i/>
          <w:sz w:val="22"/>
          <w:szCs w:val="22"/>
        </w:rPr>
      </w:pPr>
      <w:r w:rsidRPr="004D1AE0">
        <w:rPr>
          <w:rFonts w:ascii="Palatino Linotype" w:hAnsi="Palatino Linotype" w:cs="Arial"/>
          <w:i/>
          <w:sz w:val="22"/>
          <w:szCs w:val="22"/>
        </w:rPr>
        <w:t xml:space="preserve">IV. Realizar, con efectividad, los trámites internos necesarios para la atención de las solicitudes de acceso a la información; </w:t>
      </w:r>
    </w:p>
    <w:p w14:paraId="0BDAE459" w14:textId="77777777" w:rsidR="008471A5" w:rsidRPr="004D1AE0" w:rsidRDefault="008471A5" w:rsidP="008471A5">
      <w:pPr>
        <w:ind w:left="851" w:right="1183"/>
        <w:jc w:val="both"/>
        <w:rPr>
          <w:rFonts w:ascii="Palatino Linotype" w:hAnsi="Palatino Linotype" w:cs="Arial"/>
          <w:i/>
          <w:sz w:val="22"/>
          <w:szCs w:val="22"/>
        </w:rPr>
      </w:pPr>
      <w:r w:rsidRPr="004D1AE0">
        <w:rPr>
          <w:rFonts w:ascii="Palatino Linotype" w:hAnsi="Palatino Linotype" w:cs="Arial"/>
          <w:i/>
          <w:sz w:val="22"/>
          <w:szCs w:val="22"/>
        </w:rPr>
        <w:t xml:space="preserve">V. Entregar, en su caso, a los particulares la información solicitada; </w:t>
      </w:r>
    </w:p>
    <w:p w14:paraId="6776E154" w14:textId="77777777" w:rsidR="008471A5" w:rsidRPr="004D1AE0" w:rsidRDefault="008471A5" w:rsidP="008471A5">
      <w:pPr>
        <w:ind w:left="851" w:right="1183"/>
        <w:jc w:val="both"/>
        <w:rPr>
          <w:rFonts w:ascii="Palatino Linotype" w:hAnsi="Palatino Linotype" w:cs="Arial"/>
          <w:i/>
          <w:sz w:val="22"/>
          <w:szCs w:val="22"/>
        </w:rPr>
      </w:pPr>
      <w:r w:rsidRPr="004D1AE0">
        <w:rPr>
          <w:rFonts w:ascii="Palatino Linotype" w:hAnsi="Palatino Linotype" w:cs="Arial"/>
          <w:i/>
          <w:sz w:val="22"/>
          <w:szCs w:val="22"/>
        </w:rPr>
        <w:t xml:space="preserve">VI. Efectuar las notificaciones a los solicitantes; </w:t>
      </w:r>
    </w:p>
    <w:p w14:paraId="56AF39CB" w14:textId="77777777" w:rsidR="008471A5" w:rsidRPr="004D1AE0" w:rsidRDefault="008471A5" w:rsidP="008471A5">
      <w:pPr>
        <w:ind w:left="851" w:right="1183"/>
        <w:jc w:val="both"/>
        <w:rPr>
          <w:rFonts w:ascii="Palatino Linotype" w:hAnsi="Palatino Linotype" w:cs="Arial"/>
          <w:i/>
          <w:sz w:val="22"/>
          <w:szCs w:val="22"/>
        </w:rPr>
      </w:pPr>
      <w:r w:rsidRPr="004D1AE0">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1B48F844" w14:textId="77777777" w:rsidR="008471A5" w:rsidRPr="004D1AE0" w:rsidRDefault="008471A5" w:rsidP="008471A5">
      <w:pPr>
        <w:ind w:left="851" w:right="1183"/>
        <w:jc w:val="both"/>
        <w:rPr>
          <w:rFonts w:ascii="Palatino Linotype" w:hAnsi="Palatino Linotype" w:cs="Arial"/>
          <w:i/>
          <w:sz w:val="22"/>
          <w:szCs w:val="22"/>
        </w:rPr>
      </w:pPr>
      <w:r w:rsidRPr="004D1AE0">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5969022C" w14:textId="77777777" w:rsidR="008471A5" w:rsidRPr="004D1AE0" w:rsidRDefault="008471A5" w:rsidP="008471A5">
      <w:pPr>
        <w:ind w:left="851" w:right="1183"/>
        <w:jc w:val="both"/>
        <w:rPr>
          <w:rFonts w:ascii="Palatino Linotype" w:hAnsi="Palatino Linotype" w:cs="Arial"/>
          <w:i/>
          <w:sz w:val="22"/>
          <w:szCs w:val="22"/>
        </w:rPr>
      </w:pPr>
      <w:r w:rsidRPr="004D1AE0">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w:t>
      </w:r>
      <w:r w:rsidRPr="004D1AE0">
        <w:rPr>
          <w:rFonts w:ascii="Palatino Linotype" w:hAnsi="Palatino Linotype" w:cs="Arial"/>
          <w:i/>
          <w:sz w:val="22"/>
          <w:szCs w:val="22"/>
        </w:rPr>
        <w:lastRenderedPageBreak/>
        <w:t xml:space="preserve">que se hayan emitido en contra de sus respuestas y del cumplimiento de las mismas; </w:t>
      </w:r>
    </w:p>
    <w:p w14:paraId="2C85380A" w14:textId="77777777" w:rsidR="008471A5" w:rsidRPr="004D1AE0" w:rsidRDefault="008471A5" w:rsidP="008471A5">
      <w:pPr>
        <w:ind w:left="851" w:right="1183"/>
        <w:jc w:val="both"/>
        <w:rPr>
          <w:rFonts w:ascii="Palatino Linotype" w:hAnsi="Palatino Linotype" w:cs="Arial"/>
          <w:i/>
          <w:sz w:val="22"/>
          <w:szCs w:val="22"/>
        </w:rPr>
      </w:pPr>
      <w:r w:rsidRPr="004D1AE0">
        <w:rPr>
          <w:rFonts w:ascii="Palatino Linotype" w:hAnsi="Palatino Linotype" w:cs="Arial"/>
          <w:i/>
          <w:sz w:val="22"/>
          <w:szCs w:val="22"/>
        </w:rPr>
        <w:t xml:space="preserve">X. Presentar ante el Comité, el proyecto de clasificación de información; </w:t>
      </w:r>
    </w:p>
    <w:p w14:paraId="0DC39A3F" w14:textId="77777777" w:rsidR="008471A5" w:rsidRPr="004D1AE0" w:rsidRDefault="008471A5" w:rsidP="008471A5">
      <w:pPr>
        <w:ind w:left="851" w:right="1183"/>
        <w:jc w:val="both"/>
        <w:rPr>
          <w:rFonts w:ascii="Palatino Linotype" w:hAnsi="Palatino Linotype" w:cs="Arial"/>
          <w:i/>
          <w:sz w:val="22"/>
          <w:szCs w:val="22"/>
        </w:rPr>
      </w:pPr>
      <w:r w:rsidRPr="004D1AE0">
        <w:rPr>
          <w:rFonts w:ascii="Palatino Linotype" w:hAnsi="Palatino Linotype" w:cs="Arial"/>
          <w:i/>
          <w:sz w:val="22"/>
          <w:szCs w:val="22"/>
        </w:rPr>
        <w:t xml:space="preserve">XI. Promover e implementar políticas de transparencia proactiva procurando su accesibilidad; </w:t>
      </w:r>
    </w:p>
    <w:p w14:paraId="240128B9" w14:textId="77777777" w:rsidR="008471A5" w:rsidRPr="004D1AE0" w:rsidRDefault="008471A5" w:rsidP="008471A5">
      <w:pPr>
        <w:ind w:left="851" w:right="1183"/>
        <w:jc w:val="both"/>
        <w:rPr>
          <w:rFonts w:ascii="Palatino Linotype" w:hAnsi="Palatino Linotype" w:cs="Arial"/>
          <w:i/>
          <w:sz w:val="22"/>
          <w:szCs w:val="22"/>
        </w:rPr>
      </w:pPr>
      <w:r w:rsidRPr="004D1AE0">
        <w:rPr>
          <w:rFonts w:ascii="Palatino Linotype" w:hAnsi="Palatino Linotype" w:cs="Arial"/>
          <w:i/>
          <w:sz w:val="22"/>
          <w:szCs w:val="22"/>
        </w:rPr>
        <w:t xml:space="preserve">XII. Fomentar la transparencia y accesibilidad al interior del sujeto obligado; </w:t>
      </w:r>
    </w:p>
    <w:p w14:paraId="5B83FFC5" w14:textId="77777777" w:rsidR="008471A5" w:rsidRPr="004D1AE0" w:rsidRDefault="008471A5" w:rsidP="008471A5">
      <w:pPr>
        <w:ind w:left="851" w:right="1183"/>
        <w:jc w:val="both"/>
        <w:rPr>
          <w:rFonts w:ascii="Palatino Linotype" w:hAnsi="Palatino Linotype" w:cs="Arial"/>
          <w:i/>
          <w:sz w:val="22"/>
          <w:szCs w:val="22"/>
        </w:rPr>
      </w:pPr>
      <w:r w:rsidRPr="004D1AE0">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71F81C1A" w14:textId="77777777" w:rsidR="008471A5" w:rsidRPr="004D1AE0" w:rsidRDefault="008471A5" w:rsidP="008471A5">
      <w:pPr>
        <w:ind w:left="851" w:right="1183"/>
        <w:jc w:val="both"/>
        <w:rPr>
          <w:rFonts w:ascii="Palatino Linotype" w:hAnsi="Palatino Linotype" w:cs="Arial"/>
          <w:i/>
          <w:sz w:val="22"/>
          <w:szCs w:val="22"/>
        </w:rPr>
      </w:pPr>
      <w:r w:rsidRPr="004D1AE0">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4D1AE0">
        <w:rPr>
          <w:rFonts w:ascii="Palatino Linotype" w:hAnsi="Palatino Linotype" w:cs="Arial"/>
          <w:b/>
          <w:i/>
          <w:sz w:val="22"/>
          <w:szCs w:val="22"/>
        </w:rPr>
        <w:t>”</w:t>
      </w:r>
    </w:p>
    <w:p w14:paraId="565B1518" w14:textId="77777777" w:rsidR="008471A5" w:rsidRPr="004D1AE0" w:rsidRDefault="008471A5" w:rsidP="008471A5">
      <w:pPr>
        <w:spacing w:line="360" w:lineRule="auto"/>
        <w:jc w:val="both"/>
        <w:rPr>
          <w:rFonts w:ascii="Palatino Linotype" w:hAnsi="Palatino Linotype" w:cs="Arial"/>
        </w:rPr>
      </w:pPr>
    </w:p>
    <w:p w14:paraId="7F451919" w14:textId="77777777" w:rsidR="008471A5" w:rsidRPr="004D1AE0" w:rsidRDefault="008471A5" w:rsidP="008471A5">
      <w:pPr>
        <w:spacing w:line="360" w:lineRule="auto"/>
        <w:jc w:val="both"/>
        <w:rPr>
          <w:rFonts w:ascii="Palatino Linotype" w:hAnsi="Palatino Linotype" w:cs="Arial"/>
        </w:rPr>
      </w:pPr>
      <w:r w:rsidRPr="004D1AE0">
        <w:rPr>
          <w:rFonts w:ascii="Palatino Linotype" w:hAnsi="Palatino Linotype" w:cs="Arial"/>
        </w:rPr>
        <w:t xml:space="preserve">Es decir, la impugnación del </w:t>
      </w:r>
      <w:r w:rsidRPr="004D1AE0">
        <w:rPr>
          <w:rFonts w:ascii="Palatino Linotype" w:hAnsi="Palatino Linotype" w:cs="Arial"/>
          <w:b/>
        </w:rPr>
        <w:t>RECURRENTE</w:t>
      </w:r>
      <w:r w:rsidRPr="004D1AE0">
        <w:rPr>
          <w:rFonts w:ascii="Palatino Linotype" w:hAnsi="Palatino Linotype" w:cs="Arial"/>
        </w:rPr>
        <w:t xml:space="preserve"> debe ser sobre la emisión de un “Acto” contenido en la misma Ley o la omisión en la emisión de éste, lo que en el presente caso se actualiza con las respuestas dadas por </w:t>
      </w:r>
      <w:r w:rsidRPr="004D1AE0">
        <w:rPr>
          <w:rFonts w:ascii="Palatino Linotype" w:hAnsi="Palatino Linotype" w:cs="Arial"/>
          <w:b/>
        </w:rPr>
        <w:t>EL SUJETO OBLIGADO</w:t>
      </w:r>
      <w:r w:rsidRPr="004D1AE0">
        <w:rPr>
          <w:rFonts w:ascii="Palatino Linotype" w:hAnsi="Palatino Linotype" w:cs="Arial"/>
        </w:rPr>
        <w:t>.</w:t>
      </w:r>
    </w:p>
    <w:p w14:paraId="18E0DD0E" w14:textId="77777777" w:rsidR="008471A5" w:rsidRPr="004D1AE0" w:rsidRDefault="008471A5" w:rsidP="008471A5">
      <w:pPr>
        <w:spacing w:line="360" w:lineRule="auto"/>
        <w:jc w:val="both"/>
        <w:rPr>
          <w:rFonts w:ascii="Palatino Linotype" w:hAnsi="Palatino Linotype" w:cs="Arial"/>
          <w:sz w:val="12"/>
        </w:rPr>
      </w:pPr>
    </w:p>
    <w:p w14:paraId="058D1710" w14:textId="77777777" w:rsidR="008471A5" w:rsidRPr="004D1AE0" w:rsidRDefault="008471A5" w:rsidP="008471A5">
      <w:pPr>
        <w:spacing w:line="360" w:lineRule="auto"/>
        <w:jc w:val="both"/>
        <w:rPr>
          <w:rFonts w:ascii="Palatino Linotype" w:hAnsi="Palatino Linotype" w:cs="Arial"/>
        </w:rPr>
      </w:pPr>
      <w:r w:rsidRPr="004D1AE0">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4D1AE0">
        <w:rPr>
          <w:rFonts w:ascii="Palatino Linotype" w:hAnsi="Palatino Linotype" w:cs="Arial"/>
          <w:b/>
          <w:u w:val="single"/>
        </w:rPr>
        <w:t>la modifique o revoque</w:t>
      </w:r>
      <w:r w:rsidRPr="004D1AE0">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10BA8467" w14:textId="77777777" w:rsidR="008471A5" w:rsidRPr="004D1AE0" w:rsidRDefault="008471A5" w:rsidP="008471A5">
      <w:pPr>
        <w:spacing w:line="360" w:lineRule="auto"/>
        <w:jc w:val="both"/>
        <w:rPr>
          <w:rFonts w:ascii="Palatino Linotype" w:hAnsi="Palatino Linotype" w:cs="Arial"/>
          <w:sz w:val="18"/>
        </w:rPr>
      </w:pPr>
    </w:p>
    <w:p w14:paraId="5E7610C0" w14:textId="77777777" w:rsidR="008471A5" w:rsidRPr="004D1AE0" w:rsidRDefault="008471A5" w:rsidP="008471A5">
      <w:pPr>
        <w:spacing w:line="360" w:lineRule="auto"/>
        <w:jc w:val="both"/>
        <w:rPr>
          <w:rFonts w:ascii="Palatino Linotype" w:hAnsi="Palatino Linotype" w:cs="Arial"/>
        </w:rPr>
      </w:pPr>
      <w:r w:rsidRPr="004D1AE0">
        <w:rPr>
          <w:rFonts w:ascii="Palatino Linotype" w:hAnsi="Palatino Linotype" w:cs="Arial"/>
        </w:rPr>
        <w:t>Por cuanto hace a la modificación, éste se actualiza en virtud de su respuesta y posteriormente emite otra en su lugar dejando sin efecto lo que en un principio respondió, esto es mediante el Informe Justificado.</w:t>
      </w:r>
    </w:p>
    <w:p w14:paraId="726D6B77" w14:textId="77777777" w:rsidR="008471A5" w:rsidRPr="004D1AE0" w:rsidRDefault="008471A5" w:rsidP="008471A5">
      <w:pPr>
        <w:spacing w:line="360" w:lineRule="auto"/>
        <w:jc w:val="both"/>
        <w:rPr>
          <w:rFonts w:ascii="Palatino Linotype" w:hAnsi="Palatino Linotype" w:cs="Arial"/>
          <w:sz w:val="10"/>
        </w:rPr>
      </w:pPr>
    </w:p>
    <w:p w14:paraId="6AC0ACA3" w14:textId="77777777" w:rsidR="008471A5" w:rsidRPr="004D1AE0" w:rsidRDefault="008471A5" w:rsidP="008471A5">
      <w:pPr>
        <w:spacing w:line="360" w:lineRule="auto"/>
        <w:jc w:val="both"/>
        <w:rPr>
          <w:rFonts w:ascii="Palatino Linotype" w:hAnsi="Palatino Linotype" w:cs="Arial"/>
        </w:rPr>
      </w:pPr>
      <w:r w:rsidRPr="004D1AE0">
        <w:rPr>
          <w:rFonts w:ascii="Palatino Linotype" w:hAnsi="Palatino Linotype" w:cs="Arial"/>
        </w:rPr>
        <w:lastRenderedPageBreak/>
        <w:t>En ese tenor, un acto impugnado queda sin efectos, cuando aun existiendo jurídicamente (esto es, que no se ha revocado) ya no genera ninguna consecuencia legal.</w:t>
      </w:r>
    </w:p>
    <w:p w14:paraId="7CABE584" w14:textId="77777777" w:rsidR="008471A5" w:rsidRPr="004D1AE0" w:rsidRDefault="008471A5" w:rsidP="008471A5">
      <w:pPr>
        <w:spacing w:line="360" w:lineRule="auto"/>
        <w:ind w:firstLine="567"/>
        <w:jc w:val="both"/>
        <w:rPr>
          <w:rFonts w:ascii="Palatino Linotype" w:hAnsi="Palatino Linotype" w:cs="Arial"/>
          <w:sz w:val="14"/>
        </w:rPr>
      </w:pPr>
    </w:p>
    <w:p w14:paraId="69910644" w14:textId="77777777" w:rsidR="008471A5" w:rsidRPr="004D1AE0" w:rsidRDefault="008471A5" w:rsidP="008471A5">
      <w:pPr>
        <w:spacing w:line="360" w:lineRule="auto"/>
        <w:jc w:val="both"/>
        <w:rPr>
          <w:rFonts w:ascii="Palatino Linotype" w:hAnsi="Palatino Linotype" w:cs="Arial"/>
        </w:rPr>
      </w:pPr>
      <w:r w:rsidRPr="004D1AE0">
        <w:rPr>
          <w:rFonts w:ascii="Palatino Linotype" w:hAnsi="Palatino Linotype" w:cs="Arial"/>
        </w:rPr>
        <w:t xml:space="preserve">En tanto que, un acto impugnado queda sin materia, cuando ha sido satisfecha la pretensión de lo pedido o exigido por </w:t>
      </w:r>
      <w:r w:rsidRPr="004D1AE0">
        <w:rPr>
          <w:rFonts w:ascii="Palatino Linotype" w:hAnsi="Palatino Linotype" w:cs="Arial"/>
          <w:b/>
          <w:color w:val="000000"/>
        </w:rPr>
        <w:t>EL RECURRENTE</w:t>
      </w:r>
      <w:r w:rsidRPr="004D1AE0">
        <w:rPr>
          <w:rFonts w:ascii="Palatino Linotype" w:hAnsi="Palatino Linotype" w:cs="Arial"/>
          <w:b/>
        </w:rPr>
        <w:t xml:space="preserve"> </w:t>
      </w:r>
      <w:r w:rsidRPr="004D1AE0">
        <w:rPr>
          <w:rFonts w:ascii="Palatino Linotype" w:hAnsi="Palatino Linotype" w:cs="Arial"/>
        </w:rPr>
        <w:t xml:space="preserve">de manera que </w:t>
      </w:r>
      <w:r w:rsidRPr="004D1AE0">
        <w:rPr>
          <w:rFonts w:ascii="Palatino Linotype" w:hAnsi="Palatino Linotype" w:cs="Arial"/>
          <w:b/>
        </w:rPr>
        <w:t xml:space="preserve">EL SUJETO OBLIGADO </w:t>
      </w:r>
      <w:r w:rsidRPr="004D1AE0">
        <w:rPr>
          <w:rFonts w:ascii="Palatino Linotype" w:hAnsi="Palatino Linotype" w:cs="Arial"/>
        </w:rPr>
        <w:t xml:space="preserve">entrega una respuesta que aunque sea posterior a los términos previstos en la ley y mediante ésta cumple lo establecido en la Ley de Transparencia y Acceso a la Información Pública del Estado de México y Municipios.  </w:t>
      </w:r>
    </w:p>
    <w:p w14:paraId="7BAA4EB8" w14:textId="77777777" w:rsidR="008471A5" w:rsidRPr="004D1AE0" w:rsidRDefault="008471A5" w:rsidP="008471A5">
      <w:pPr>
        <w:spacing w:line="360" w:lineRule="auto"/>
        <w:jc w:val="both"/>
        <w:rPr>
          <w:rFonts w:ascii="Palatino Linotype" w:hAnsi="Palatino Linotype" w:cs="Arial"/>
          <w:sz w:val="14"/>
        </w:rPr>
      </w:pPr>
    </w:p>
    <w:p w14:paraId="4F9AD7E3" w14:textId="77777777" w:rsidR="008471A5" w:rsidRPr="004D1AE0" w:rsidRDefault="008471A5" w:rsidP="008471A5">
      <w:pPr>
        <w:spacing w:line="360" w:lineRule="auto"/>
        <w:jc w:val="both"/>
        <w:rPr>
          <w:rFonts w:ascii="Palatino Linotype" w:hAnsi="Palatino Linotype" w:cs="Arial"/>
        </w:rPr>
      </w:pPr>
      <w:r w:rsidRPr="004D1AE0">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4D1AE0">
        <w:rPr>
          <w:rFonts w:ascii="Palatino Linotype" w:hAnsi="Palatino Linotype" w:cs="Arial"/>
          <w:b/>
        </w:rPr>
        <w:t>EL SUJETO OBLIGADO</w:t>
      </w:r>
      <w:r w:rsidRPr="004D1AE0">
        <w:rPr>
          <w:rFonts w:ascii="Palatino Linotype" w:hAnsi="Palatino Linotype" w:cs="Arial"/>
        </w:rPr>
        <w:t xml:space="preserve"> mediante un acto posterior a su respuesta, da respuesta a los planteamientos, con lo cual, dejó sin materia el presente recurso. </w:t>
      </w:r>
    </w:p>
    <w:p w14:paraId="025900CD" w14:textId="04E55B6B" w:rsidR="008471A5" w:rsidRPr="004D1AE0" w:rsidRDefault="008471A5" w:rsidP="008471A5">
      <w:pPr>
        <w:autoSpaceDE w:val="0"/>
        <w:autoSpaceDN w:val="0"/>
        <w:adjustRightInd w:val="0"/>
        <w:spacing w:before="240" w:after="360" w:line="360" w:lineRule="auto"/>
        <w:jc w:val="both"/>
        <w:rPr>
          <w:rFonts w:ascii="Palatino Linotype" w:hAnsi="Palatino Linotype" w:cs="Arial"/>
        </w:rPr>
      </w:pPr>
      <w:r w:rsidRPr="004D1AE0">
        <w:rPr>
          <w:rFonts w:ascii="Palatino Linotype" w:hAnsi="Palatino Linotype" w:cs="Arial"/>
        </w:rPr>
        <w:t xml:space="preserve">En consecuencia, resulta procedente </w:t>
      </w:r>
      <w:r w:rsidRPr="004D1AE0">
        <w:rPr>
          <w:rFonts w:ascii="Palatino Linotype" w:hAnsi="Palatino Linotype" w:cs="Arial"/>
          <w:b/>
        </w:rPr>
        <w:t>sobreseer</w:t>
      </w:r>
      <w:r w:rsidRPr="004D1AE0">
        <w:rPr>
          <w:rFonts w:ascii="Palatino Linotype" w:hAnsi="Palatino Linotype" w:cs="Arial"/>
        </w:rPr>
        <w:t xml:space="preserve"> el presente recurso de revisión, con fundamento en el artículo 192, fracciones III de la Ley de Transparencia y Acceso a la Información Pública del Estado de Méxi</w:t>
      </w:r>
      <w:r w:rsidR="003F2D21" w:rsidRPr="004D1AE0">
        <w:rPr>
          <w:rFonts w:ascii="Palatino Linotype" w:hAnsi="Palatino Linotype" w:cs="Arial"/>
        </w:rPr>
        <w:t xml:space="preserve">co y Municipios; toda vez que, si bien </w:t>
      </w:r>
      <w:r w:rsidRPr="004D1AE0">
        <w:rPr>
          <w:rFonts w:ascii="Palatino Linotype" w:hAnsi="Palatino Linotype" w:cs="Arial"/>
          <w:b/>
        </w:rPr>
        <w:t>EL SUJETO OBLIGADO</w:t>
      </w:r>
      <w:r w:rsidR="003F2D21" w:rsidRPr="004D1AE0">
        <w:rPr>
          <w:rFonts w:ascii="Palatino Linotype" w:hAnsi="Palatino Linotype" w:cs="Arial"/>
          <w:b/>
        </w:rPr>
        <w:t xml:space="preserve"> </w:t>
      </w:r>
      <w:r w:rsidR="003F2D21" w:rsidRPr="004D1AE0">
        <w:rPr>
          <w:rFonts w:ascii="Palatino Linotype" w:hAnsi="Palatino Linotype" w:cs="Arial"/>
        </w:rPr>
        <w:t xml:space="preserve">no modificó su respuesta se abunda que los </w:t>
      </w:r>
      <w:r w:rsidR="003F2D21" w:rsidRPr="004D1AE0">
        <w:rPr>
          <w:rFonts w:ascii="Palatino Linotype" w:eastAsia="Arial Unicode MS" w:hAnsi="Palatino Linotype" w:cs="Arial"/>
        </w:rPr>
        <w:t>Lineamientos para el Registro y Control del Inventario y la Conciliación y Desincorporación de Bienes Muebles e Inmuebles para las Entidades Fiscalizables Municipales del Estado de México, no se encuentran dentro de su competencia</w:t>
      </w:r>
      <w:r w:rsidRPr="004D1AE0">
        <w:rPr>
          <w:rFonts w:ascii="Palatino Linotype" w:hAnsi="Palatino Linotype" w:cs="Arial"/>
        </w:rPr>
        <w:t>.</w:t>
      </w:r>
    </w:p>
    <w:p w14:paraId="2B806A14" w14:textId="77777777" w:rsidR="008471A5" w:rsidRPr="004D1AE0" w:rsidRDefault="008471A5" w:rsidP="008471A5">
      <w:pPr>
        <w:spacing w:line="360" w:lineRule="auto"/>
        <w:contextualSpacing/>
        <w:jc w:val="both"/>
        <w:rPr>
          <w:rFonts w:ascii="Palatino Linotype" w:eastAsia="Calibri" w:hAnsi="Palatino Linotype" w:cs="Arial"/>
        </w:rPr>
      </w:pPr>
      <w:r w:rsidRPr="004D1AE0">
        <w:rPr>
          <w:rFonts w:ascii="Palatino Linotype" w:eastAsia="Calibri" w:hAnsi="Palatino Linotype" w:cs="Arial"/>
        </w:rPr>
        <w:t xml:space="preserve">Finalmente, cabe precisar que esta Ponencia no se pronuncia acerca del acto impugnado o razones o motivos de inconformidad, pues como quedó asentado en </w:t>
      </w:r>
      <w:r w:rsidRPr="004D1AE0">
        <w:rPr>
          <w:rFonts w:ascii="Palatino Linotype" w:eastAsia="Calibri" w:hAnsi="Palatino Linotype" w:cs="Arial"/>
        </w:rPr>
        <w:lastRenderedPageBreak/>
        <w:t xml:space="preserve">líneas anteriores, el presente ocurso ha quedado sin materia, lo que impide estudiar y pronunciarse al respecto. </w:t>
      </w:r>
    </w:p>
    <w:p w14:paraId="78723E2E" w14:textId="77777777" w:rsidR="008471A5" w:rsidRPr="004D1AE0" w:rsidRDefault="008471A5" w:rsidP="008471A5">
      <w:pPr>
        <w:spacing w:line="360" w:lineRule="auto"/>
        <w:contextualSpacing/>
        <w:rPr>
          <w:rFonts w:ascii="Palatino Linotype" w:eastAsia="Calibri" w:hAnsi="Palatino Linotype"/>
          <w:sz w:val="16"/>
        </w:rPr>
      </w:pPr>
    </w:p>
    <w:p w14:paraId="51C87567" w14:textId="77777777" w:rsidR="008471A5" w:rsidRPr="004D1AE0" w:rsidRDefault="008471A5" w:rsidP="008471A5">
      <w:pPr>
        <w:spacing w:line="360" w:lineRule="auto"/>
        <w:jc w:val="both"/>
        <w:rPr>
          <w:rFonts w:ascii="Palatino Linotype" w:eastAsia="Calibri" w:hAnsi="Palatino Linotype"/>
        </w:rPr>
      </w:pPr>
      <w:r w:rsidRPr="004D1AE0">
        <w:rPr>
          <w:rFonts w:ascii="Palatino Linotype" w:eastAsia="Batang" w:hAnsi="Palatino Linotype" w:cs="Arial"/>
        </w:rPr>
        <w:t xml:space="preserve">Por analogía, se cita la Tesis emitida por el </w:t>
      </w:r>
      <w:r w:rsidRPr="004D1AE0">
        <w:rPr>
          <w:rFonts w:ascii="Palatino Linotype" w:eastAsia="Batang" w:hAnsi="Palatino Linotype" w:cs="Arial"/>
          <w:lang w:val="es-AR"/>
        </w:rPr>
        <w:t>Séptimo Tribunal Colegiado en Materia Civil del Primer Circuito que en su literalidad, establece lo siguiente:</w:t>
      </w:r>
    </w:p>
    <w:p w14:paraId="124CD2A7" w14:textId="77777777" w:rsidR="008471A5" w:rsidRPr="004D1AE0" w:rsidRDefault="008471A5" w:rsidP="008471A5">
      <w:pPr>
        <w:spacing w:line="360" w:lineRule="auto"/>
        <w:ind w:left="426"/>
        <w:contextualSpacing/>
        <w:rPr>
          <w:rFonts w:ascii="Palatino Linotype" w:eastAsia="Calibri" w:hAnsi="Palatino Linotype"/>
          <w:sz w:val="16"/>
        </w:rPr>
      </w:pPr>
    </w:p>
    <w:p w14:paraId="283A092A" w14:textId="77777777" w:rsidR="008471A5" w:rsidRPr="004D1AE0" w:rsidRDefault="008471A5" w:rsidP="008471A5">
      <w:pPr>
        <w:spacing w:line="276" w:lineRule="auto"/>
        <w:ind w:left="851" w:right="902"/>
        <w:contextualSpacing/>
        <w:jc w:val="both"/>
        <w:rPr>
          <w:rFonts w:ascii="Palatino Linotype" w:eastAsia="Calibri" w:hAnsi="Palatino Linotype"/>
          <w:sz w:val="22"/>
          <w:szCs w:val="22"/>
        </w:rPr>
      </w:pPr>
      <w:r w:rsidRPr="004D1AE0">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557E6873" w14:textId="77777777" w:rsidR="008471A5" w:rsidRPr="004D1AE0" w:rsidRDefault="008471A5" w:rsidP="008471A5">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4D1AE0">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6D79D599" w14:textId="77777777" w:rsidR="008471A5" w:rsidRPr="004D1AE0" w:rsidRDefault="008471A5" w:rsidP="008471A5">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4D1AE0">
        <w:rPr>
          <w:rFonts w:ascii="Palatino Linotype" w:eastAsia="Batang" w:hAnsi="Palatino Linotype" w:cs="Arial"/>
          <w:i/>
          <w:sz w:val="22"/>
          <w:szCs w:val="22"/>
          <w:lang w:val="es-AR"/>
        </w:rPr>
        <w:t>SÉPTIMO TRIBUNAL COLEGIADO EN MATERIA CIVIL DEL PRIMER CIRCUITO.</w:t>
      </w:r>
    </w:p>
    <w:p w14:paraId="760435E8" w14:textId="77777777" w:rsidR="008471A5" w:rsidRPr="004D1AE0" w:rsidRDefault="008471A5" w:rsidP="008471A5">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4D1AE0">
        <w:rPr>
          <w:rFonts w:ascii="Palatino Linotype" w:eastAsia="Batang" w:hAnsi="Palatino Linotype" w:cs="Arial"/>
          <w:i/>
          <w:sz w:val="22"/>
          <w:szCs w:val="22"/>
          <w:lang w:val="es-AR"/>
        </w:rPr>
        <w:t xml:space="preserve">Amparo directo 699/2008. Mariana Leticia González </w:t>
      </w:r>
      <w:proofErr w:type="spellStart"/>
      <w:r w:rsidRPr="004D1AE0">
        <w:rPr>
          <w:rFonts w:ascii="Palatino Linotype" w:eastAsia="Batang" w:hAnsi="Palatino Linotype" w:cs="Arial"/>
          <w:i/>
          <w:sz w:val="22"/>
          <w:szCs w:val="22"/>
          <w:lang w:val="es-AR"/>
        </w:rPr>
        <w:t>Steele</w:t>
      </w:r>
      <w:proofErr w:type="spellEnd"/>
      <w:r w:rsidRPr="004D1AE0">
        <w:rPr>
          <w:rFonts w:ascii="Palatino Linotype" w:eastAsia="Batang" w:hAnsi="Palatino Linotype" w:cs="Arial"/>
          <w:i/>
          <w:sz w:val="22"/>
          <w:szCs w:val="22"/>
          <w:lang w:val="es-AR"/>
        </w:rPr>
        <w:t>. 13 de noviembre de 2008. Unanimidad de votos. Ponente: Sara Judith Montalvo Trejo. Secretario: Arnulfo Mateos García.”</w:t>
      </w:r>
    </w:p>
    <w:p w14:paraId="5F0959EF" w14:textId="77777777" w:rsidR="008471A5" w:rsidRPr="004D1AE0" w:rsidRDefault="008471A5" w:rsidP="008471A5">
      <w:pPr>
        <w:spacing w:before="100" w:beforeAutospacing="1" w:after="100" w:afterAutospacing="1" w:line="360" w:lineRule="auto"/>
        <w:ind w:right="49"/>
        <w:contextualSpacing/>
        <w:jc w:val="both"/>
        <w:rPr>
          <w:rFonts w:ascii="Palatino Linotype" w:eastAsia="Calibri" w:hAnsi="Palatino Linotype" w:cs="Arial"/>
        </w:rPr>
      </w:pPr>
    </w:p>
    <w:p w14:paraId="4AFEDB3A" w14:textId="6DB26B10" w:rsidR="008471A5" w:rsidRPr="004D1AE0" w:rsidRDefault="008471A5" w:rsidP="008471A5">
      <w:pPr>
        <w:spacing w:before="100" w:beforeAutospacing="1" w:after="100" w:afterAutospacing="1" w:line="360" w:lineRule="auto"/>
        <w:ind w:right="49"/>
        <w:contextualSpacing/>
        <w:jc w:val="both"/>
        <w:rPr>
          <w:rFonts w:ascii="Palatino Linotype" w:hAnsi="Palatino Linotype"/>
          <w:bCs/>
        </w:rPr>
      </w:pPr>
      <w:r w:rsidRPr="004D1AE0">
        <w:rPr>
          <w:rFonts w:ascii="Palatino Linotype" w:eastAsia="Calibri" w:hAnsi="Palatino Linotype" w:cs="Arial"/>
        </w:rPr>
        <w:t xml:space="preserve">En razón de lo anterior, </w:t>
      </w:r>
      <w:r w:rsidR="003F2D21" w:rsidRPr="004D1AE0">
        <w:rPr>
          <w:rFonts w:ascii="Palatino Linotype" w:eastAsia="Calibri" w:hAnsi="Palatino Linotype" w:cs="Arial"/>
        </w:rPr>
        <w:t xml:space="preserve">se dejan a salvo los derechos del particular para que solicite la información respecto de bienes municipales que tuviera el municipio en </w:t>
      </w:r>
      <w:r w:rsidR="006465E7" w:rsidRPr="004D1AE0">
        <w:rPr>
          <w:rFonts w:ascii="Palatino Linotype" w:eastAsia="Calibri" w:hAnsi="Palatino Linotype" w:cs="Arial"/>
        </w:rPr>
        <w:t>la colonia referida.</w:t>
      </w:r>
    </w:p>
    <w:p w14:paraId="2E2D1A6F" w14:textId="77777777" w:rsidR="008471A5" w:rsidRPr="004D1AE0" w:rsidRDefault="008471A5" w:rsidP="008471A5">
      <w:pPr>
        <w:spacing w:before="100" w:beforeAutospacing="1" w:after="100" w:afterAutospacing="1" w:line="360" w:lineRule="auto"/>
        <w:ind w:right="49"/>
        <w:contextualSpacing/>
        <w:jc w:val="both"/>
        <w:rPr>
          <w:rFonts w:ascii="Palatino Linotype" w:eastAsia="Calibri" w:hAnsi="Palatino Linotype" w:cs="Arial"/>
        </w:rPr>
      </w:pPr>
    </w:p>
    <w:p w14:paraId="7229804C" w14:textId="5181D784" w:rsidR="00E75068" w:rsidRPr="004D1AE0" w:rsidRDefault="00E75068"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4D1AE0">
        <w:rPr>
          <w:rFonts w:ascii="Palatino Linotype" w:eastAsia="Calibri" w:hAnsi="Palatino Linotype" w:cs="Arial"/>
          <w:color w:val="000000" w:themeColor="text1"/>
        </w:rPr>
        <w:t xml:space="preserve">Así, con </w:t>
      </w:r>
      <w:r w:rsidRPr="004D1AE0">
        <w:rPr>
          <w:rFonts w:ascii="Palatino Linotype" w:hAnsi="Palatino Linotype" w:cs="Arial"/>
          <w:color w:val="000000" w:themeColor="text1"/>
        </w:rPr>
        <w:t>fundamento</w:t>
      </w:r>
      <w:r w:rsidRPr="004D1AE0">
        <w:rPr>
          <w:rFonts w:ascii="Palatino Linotype" w:eastAsia="Calibri" w:hAnsi="Palatino Linotype" w:cs="Arial"/>
          <w:color w:val="000000" w:themeColor="text1"/>
        </w:rPr>
        <w:t xml:space="preserve"> en lo prescrito en los artículos 5, párrafos </w:t>
      </w:r>
      <w:r w:rsidRPr="004D1AE0">
        <w:rPr>
          <w:rFonts w:ascii="Palatino Linotype" w:hAnsi="Palatino Linotype"/>
          <w:color w:val="000000" w:themeColor="text1"/>
        </w:rPr>
        <w:t xml:space="preserve">vigésimo </w:t>
      </w:r>
      <w:r w:rsidRPr="004D1AE0">
        <w:rPr>
          <w:rFonts w:ascii="Palatino Linotype" w:hAnsi="Palatino Linotype" w:cs="Arial"/>
          <w:color w:val="000000" w:themeColor="text1"/>
        </w:rPr>
        <w:t>segundo,</w:t>
      </w:r>
      <w:r w:rsidRPr="004D1AE0">
        <w:rPr>
          <w:rFonts w:ascii="Palatino Linotype" w:hAnsi="Palatino Linotype"/>
          <w:color w:val="000000" w:themeColor="text1"/>
        </w:rPr>
        <w:t xml:space="preserve"> vigésimo tercero y vigésimo cuarto</w:t>
      </w:r>
      <w:r w:rsidRPr="004D1AE0">
        <w:rPr>
          <w:rFonts w:ascii="Palatino Linotype" w:hAnsi="Palatino Linotype" w:cs="Arial"/>
          <w:color w:val="000000" w:themeColor="text1"/>
        </w:rPr>
        <w:t>,</w:t>
      </w:r>
      <w:r w:rsidRPr="004D1AE0">
        <w:rPr>
          <w:rFonts w:ascii="Palatino Linotype" w:hAnsi="Palatino Linotype"/>
          <w:color w:val="000000" w:themeColor="text1"/>
        </w:rPr>
        <w:t xml:space="preserve"> fracciones IV y V,</w:t>
      </w:r>
      <w:r w:rsidRPr="004D1AE0">
        <w:rPr>
          <w:rFonts w:ascii="Palatino Linotype" w:eastAsia="Calibri" w:hAnsi="Palatino Linotype" w:cs="Arial"/>
          <w:color w:val="000000" w:themeColor="text1"/>
        </w:rPr>
        <w:t xml:space="preserve"> de la Constitución Política del </w:t>
      </w:r>
      <w:r w:rsidRPr="004D1AE0">
        <w:rPr>
          <w:rFonts w:ascii="Palatino Linotype" w:eastAsia="Calibri" w:hAnsi="Palatino Linotype" w:cs="Arial"/>
          <w:color w:val="000000" w:themeColor="text1"/>
        </w:rPr>
        <w:lastRenderedPageBreak/>
        <w:t xml:space="preserve">Estado Libre y Soberano de </w:t>
      </w:r>
      <w:r w:rsidRPr="004D1AE0">
        <w:rPr>
          <w:rFonts w:ascii="Palatino Linotype" w:hAnsi="Palatino Linotype" w:cs="Arial"/>
          <w:color w:val="000000" w:themeColor="text1"/>
          <w:lang w:val="es-ES_tradnl"/>
        </w:rPr>
        <w:t>México</w:t>
      </w:r>
      <w:r w:rsidRPr="004D1AE0">
        <w:rPr>
          <w:rFonts w:ascii="Palatino Linotype" w:eastAsia="Calibri" w:hAnsi="Palatino Linotype" w:cs="Arial"/>
          <w:color w:val="000000" w:themeColor="text1"/>
        </w:rPr>
        <w:t xml:space="preserve">, y los artículos </w:t>
      </w:r>
      <w:r w:rsidRPr="004D1AE0">
        <w:rPr>
          <w:rFonts w:ascii="Palatino Linotype" w:hAnsi="Palatino Linotype"/>
          <w:color w:val="000000" w:themeColor="text1"/>
        </w:rPr>
        <w:t xml:space="preserve">2, </w:t>
      </w:r>
      <w:r w:rsidRPr="004D1AE0">
        <w:rPr>
          <w:rFonts w:ascii="Palatino Linotype" w:hAnsi="Palatino Linotype" w:cs="Arial"/>
          <w:color w:val="000000" w:themeColor="text1"/>
        </w:rPr>
        <w:t>fracción</w:t>
      </w:r>
      <w:r w:rsidRPr="004D1AE0">
        <w:rPr>
          <w:rFonts w:ascii="Palatino Linotype" w:hAnsi="Palatino Linotype"/>
          <w:color w:val="000000" w:themeColor="text1"/>
        </w:rPr>
        <w:t xml:space="preserve"> II, 9, </w:t>
      </w:r>
      <w:r w:rsidRPr="004D1AE0">
        <w:rPr>
          <w:rFonts w:ascii="Palatino Linotype" w:hAnsi="Palatino Linotype" w:cs="Arial"/>
          <w:color w:val="000000" w:themeColor="text1"/>
          <w:lang w:val="es-ES_tradnl"/>
        </w:rPr>
        <w:t>29</w:t>
      </w:r>
      <w:r w:rsidRPr="004D1AE0">
        <w:rPr>
          <w:rFonts w:ascii="Palatino Linotype" w:hAnsi="Palatino Linotype"/>
          <w:color w:val="000000" w:themeColor="text1"/>
        </w:rPr>
        <w:t>, 36, fracciones I y II, 176, 178, 179, 181, 185, fracción I, 186 y 188,</w:t>
      </w:r>
      <w:r w:rsidRPr="004D1AE0">
        <w:rPr>
          <w:rFonts w:ascii="Palatino Linotype" w:eastAsia="Calibri" w:hAnsi="Palatino Linotype" w:cs="Arial"/>
          <w:color w:val="000000" w:themeColor="text1"/>
        </w:rPr>
        <w:t xml:space="preserve"> de la Ley de Transparencia y Acceso a la Información Pública del Estado de México y </w:t>
      </w:r>
      <w:r w:rsidRPr="004D1AE0">
        <w:rPr>
          <w:rFonts w:ascii="Palatino Linotype" w:hAnsi="Palatino Linotype" w:cs="Arial"/>
          <w:color w:val="000000" w:themeColor="text1"/>
        </w:rPr>
        <w:t>Municipios</w:t>
      </w:r>
      <w:r w:rsidRPr="004D1AE0">
        <w:rPr>
          <w:rFonts w:ascii="Palatino Linotype" w:eastAsia="Calibri" w:hAnsi="Palatino Linotype" w:cs="Arial"/>
          <w:color w:val="000000" w:themeColor="text1"/>
        </w:rPr>
        <w:t xml:space="preserve">, </w:t>
      </w:r>
      <w:r w:rsidRPr="004D1AE0">
        <w:rPr>
          <w:rFonts w:ascii="Palatino Linotype" w:hAnsi="Palatino Linotype"/>
          <w:color w:val="000000" w:themeColor="text1"/>
        </w:rPr>
        <w:t>este</w:t>
      </w:r>
      <w:r w:rsidRPr="004D1AE0">
        <w:rPr>
          <w:rFonts w:ascii="Palatino Linotype" w:eastAsia="Calibri" w:hAnsi="Palatino Linotype" w:cs="Arial"/>
          <w:color w:val="000000" w:themeColor="text1"/>
        </w:rPr>
        <w:t xml:space="preserve"> Pleno:</w:t>
      </w:r>
    </w:p>
    <w:p w14:paraId="3D2BC64A" w14:textId="77777777" w:rsidR="00E75068" w:rsidRPr="004D1AE0" w:rsidRDefault="00E75068" w:rsidP="00CF56F0">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4D1AE0" w:rsidRDefault="00E75068" w:rsidP="00CF56F0">
      <w:pPr>
        <w:spacing w:before="100" w:beforeAutospacing="1" w:after="100" w:afterAutospacing="1"/>
        <w:contextualSpacing/>
        <w:jc w:val="center"/>
        <w:rPr>
          <w:rFonts w:ascii="Palatino Linotype" w:hAnsi="Palatino Linotype"/>
          <w:b/>
          <w:bCs/>
          <w:color w:val="000000" w:themeColor="text1"/>
          <w:spacing w:val="40"/>
          <w:sz w:val="28"/>
        </w:rPr>
      </w:pPr>
      <w:r w:rsidRPr="004D1AE0">
        <w:rPr>
          <w:rFonts w:ascii="Palatino Linotype" w:hAnsi="Palatino Linotype"/>
          <w:b/>
          <w:bCs/>
          <w:color w:val="000000" w:themeColor="text1"/>
          <w:spacing w:val="40"/>
          <w:sz w:val="28"/>
        </w:rPr>
        <w:t>RESUELVE</w:t>
      </w:r>
    </w:p>
    <w:p w14:paraId="144EE224" w14:textId="77777777" w:rsidR="00E75068" w:rsidRPr="004D1AE0" w:rsidRDefault="00E75068" w:rsidP="00CF56F0">
      <w:pPr>
        <w:spacing w:before="100" w:beforeAutospacing="1" w:after="100" w:afterAutospacing="1"/>
        <w:contextualSpacing/>
        <w:jc w:val="center"/>
        <w:rPr>
          <w:rFonts w:ascii="Palatino Linotype" w:hAnsi="Palatino Linotype"/>
          <w:b/>
          <w:bCs/>
          <w:color w:val="000000" w:themeColor="text1"/>
          <w:spacing w:val="40"/>
          <w:sz w:val="28"/>
        </w:rPr>
      </w:pPr>
    </w:p>
    <w:p w14:paraId="7E947241" w14:textId="795826DC" w:rsidR="006465E7" w:rsidRPr="004D1AE0" w:rsidRDefault="006465E7" w:rsidP="006465E7">
      <w:pPr>
        <w:spacing w:line="360" w:lineRule="auto"/>
        <w:jc w:val="both"/>
        <w:rPr>
          <w:rFonts w:ascii="Palatino Linotype" w:hAnsi="Palatino Linotype" w:cs="Arial"/>
          <w:b/>
          <w:color w:val="000000" w:themeColor="text1"/>
          <w:sz w:val="14"/>
        </w:rPr>
      </w:pPr>
      <w:r w:rsidRPr="004D1AE0">
        <w:rPr>
          <w:rFonts w:ascii="Palatino Linotype" w:hAnsi="Palatino Linotype" w:cs="Arial"/>
          <w:b/>
          <w:color w:val="000000" w:themeColor="text1"/>
          <w:sz w:val="28"/>
        </w:rPr>
        <w:t>PRIMERO.</w:t>
      </w:r>
      <w:r w:rsidRPr="004D1AE0">
        <w:rPr>
          <w:rFonts w:ascii="Palatino Linotype" w:hAnsi="Palatino Linotype" w:cs="Arial"/>
        </w:rPr>
        <w:t xml:space="preserve"> Se </w:t>
      </w:r>
      <w:r w:rsidRPr="004D1AE0">
        <w:rPr>
          <w:rFonts w:ascii="Palatino Linotype" w:hAnsi="Palatino Linotype" w:cs="Arial"/>
          <w:b/>
        </w:rPr>
        <w:t>SOBRESEE</w:t>
      </w:r>
      <w:r w:rsidRPr="004D1AE0">
        <w:rPr>
          <w:rFonts w:ascii="Palatino Linotype" w:hAnsi="Palatino Linotype" w:cs="Arial"/>
        </w:rPr>
        <w:t xml:space="preserve"> el recurso de revisión número </w:t>
      </w:r>
      <w:r w:rsidRPr="004D1AE0">
        <w:rPr>
          <w:rFonts w:ascii="Palatino Linotype" w:hAnsi="Palatino Linotype" w:cs="Arial"/>
          <w:b/>
        </w:rPr>
        <w:t>03777/INFOEM/IP/</w:t>
      </w:r>
      <w:proofErr w:type="spellStart"/>
      <w:r w:rsidRPr="004D1AE0">
        <w:rPr>
          <w:rFonts w:ascii="Palatino Linotype" w:hAnsi="Palatino Linotype" w:cs="Arial"/>
          <w:b/>
        </w:rPr>
        <w:t>RR</w:t>
      </w:r>
      <w:proofErr w:type="spellEnd"/>
      <w:r w:rsidRPr="004D1AE0">
        <w:rPr>
          <w:rFonts w:ascii="Palatino Linotype" w:hAnsi="Palatino Linotype" w:cs="Arial"/>
          <w:b/>
        </w:rPr>
        <w:t>/2020</w:t>
      </w:r>
      <w:r w:rsidRPr="004D1AE0">
        <w:rPr>
          <w:rFonts w:ascii="Palatino Linotype" w:hAnsi="Palatino Linotype" w:cs="Arial"/>
        </w:rPr>
        <w:t xml:space="preserve">, porque al modificar la respuesta el recurso de revisión quedó sin materia en términos del Considerando </w:t>
      </w:r>
      <w:r w:rsidRPr="004D1AE0">
        <w:rPr>
          <w:rFonts w:ascii="Palatino Linotype" w:hAnsi="Palatino Linotype" w:cs="Arial"/>
          <w:b/>
        </w:rPr>
        <w:t>QUINTO</w:t>
      </w:r>
      <w:r w:rsidRPr="004D1AE0">
        <w:rPr>
          <w:rFonts w:ascii="Palatino Linotype" w:hAnsi="Palatino Linotype" w:cs="Arial"/>
        </w:rPr>
        <w:t xml:space="preserve"> de la presente resolución.</w:t>
      </w:r>
    </w:p>
    <w:p w14:paraId="1FF03169" w14:textId="77777777" w:rsidR="006465E7" w:rsidRPr="004D1AE0" w:rsidRDefault="006465E7" w:rsidP="006465E7">
      <w:pPr>
        <w:widowControl w:val="0"/>
        <w:tabs>
          <w:tab w:val="left" w:pos="1701"/>
        </w:tabs>
        <w:autoSpaceDE w:val="0"/>
        <w:autoSpaceDN w:val="0"/>
        <w:adjustRightInd w:val="0"/>
        <w:spacing w:before="120" w:after="120" w:line="360" w:lineRule="auto"/>
        <w:jc w:val="both"/>
        <w:rPr>
          <w:rFonts w:ascii="Palatino Linotype" w:hAnsi="Palatino Linotype"/>
          <w:b/>
        </w:rPr>
      </w:pPr>
      <w:r w:rsidRPr="004D1AE0">
        <w:rPr>
          <w:rFonts w:ascii="Palatino Linotype" w:hAnsi="Palatino Linotype" w:cs="Arial"/>
          <w:b/>
          <w:color w:val="000000" w:themeColor="text1"/>
          <w:sz w:val="28"/>
        </w:rPr>
        <w:t>SEGUNDO</w:t>
      </w:r>
      <w:r w:rsidRPr="004D1AE0">
        <w:rPr>
          <w:rFonts w:ascii="Palatino Linotype" w:hAnsi="Palatino Linotype" w:cs="Arial"/>
          <w:color w:val="000000" w:themeColor="text1"/>
          <w:sz w:val="28"/>
        </w:rPr>
        <w:t>.</w:t>
      </w:r>
      <w:r w:rsidRPr="004D1AE0">
        <w:rPr>
          <w:rFonts w:ascii="Palatino Linotype" w:eastAsia="Calibri" w:hAnsi="Palatino Linotype" w:cs="Arial"/>
          <w:bCs/>
        </w:rPr>
        <w:t xml:space="preserve"> </w:t>
      </w:r>
      <w:r w:rsidRPr="004D1AE0">
        <w:rPr>
          <w:rFonts w:ascii="Palatino Linotype" w:hAnsi="Palatino Linotype"/>
          <w:b/>
        </w:rPr>
        <w:t>Notifíquese</w:t>
      </w:r>
      <w:r w:rsidRPr="004D1AE0">
        <w:rPr>
          <w:rFonts w:ascii="Palatino Linotype" w:hAnsi="Palatino Linotype"/>
        </w:rPr>
        <w:t xml:space="preserve"> la presente resolución al Titular de la Unidad de Transparencia del </w:t>
      </w:r>
      <w:r w:rsidRPr="004D1AE0">
        <w:rPr>
          <w:rFonts w:ascii="Palatino Linotype" w:hAnsi="Palatino Linotype"/>
          <w:b/>
        </w:rPr>
        <w:t>SUJETO OBLIGADO</w:t>
      </w:r>
      <w:r w:rsidRPr="004D1AE0">
        <w:rPr>
          <w:rFonts w:ascii="Palatino Linotype" w:hAnsi="Palatino Linotype"/>
        </w:rPr>
        <w:t xml:space="preserve"> para su conocimiento.</w:t>
      </w:r>
    </w:p>
    <w:p w14:paraId="5CA43E1E" w14:textId="77777777" w:rsidR="006465E7" w:rsidRPr="004D1AE0" w:rsidRDefault="006465E7" w:rsidP="006465E7">
      <w:pPr>
        <w:spacing w:before="240" w:after="240" w:line="360" w:lineRule="auto"/>
        <w:jc w:val="both"/>
        <w:rPr>
          <w:color w:val="222222"/>
          <w:lang w:eastAsia="es-MX"/>
        </w:rPr>
      </w:pPr>
      <w:r w:rsidRPr="004D1AE0">
        <w:rPr>
          <w:rFonts w:ascii="Palatino Linotype" w:hAnsi="Palatino Linotype" w:cs="Arial"/>
          <w:b/>
          <w:color w:val="000000" w:themeColor="text1"/>
          <w:sz w:val="28"/>
          <w:szCs w:val="28"/>
        </w:rPr>
        <w:t xml:space="preserve">TERCERO. </w:t>
      </w:r>
      <w:r w:rsidRPr="004D1AE0">
        <w:rPr>
          <w:rFonts w:ascii="Palatino Linotype" w:eastAsiaTheme="minorEastAsia" w:hAnsi="Palatino Linotype"/>
          <w:b/>
          <w:color w:val="222222"/>
          <w:szCs w:val="17"/>
          <w:lang w:eastAsia="es-ES_tradnl"/>
        </w:rPr>
        <w:t>Notifíquese</w:t>
      </w:r>
      <w:r w:rsidRPr="004D1AE0">
        <w:rPr>
          <w:rFonts w:ascii="Palatino Linotype" w:eastAsiaTheme="minorEastAsia" w:hAnsi="Palatino Linotype"/>
          <w:color w:val="222222"/>
          <w:szCs w:val="17"/>
          <w:lang w:eastAsia="es-ES_tradnl"/>
        </w:rPr>
        <w:t xml:space="preserve"> al </w:t>
      </w:r>
      <w:r w:rsidRPr="004D1AE0">
        <w:rPr>
          <w:rFonts w:ascii="Palatino Linotype" w:eastAsiaTheme="minorEastAsia" w:hAnsi="Palatino Linotype"/>
          <w:b/>
          <w:color w:val="222222"/>
          <w:szCs w:val="17"/>
          <w:lang w:eastAsia="es-ES_tradnl"/>
        </w:rPr>
        <w:t>RECURRENTE</w:t>
      </w:r>
      <w:r w:rsidRPr="004D1AE0">
        <w:rPr>
          <w:rFonts w:ascii="Palatino Linotype" w:eastAsiaTheme="minorEastAsia" w:hAnsi="Palatino Linotype"/>
          <w:color w:val="222222"/>
          <w:szCs w:val="17"/>
          <w:lang w:eastAsia="es-ES_tradnl"/>
        </w:rPr>
        <w:t xml:space="preserve"> la presente resolución.</w:t>
      </w:r>
    </w:p>
    <w:p w14:paraId="23EFEED9" w14:textId="77777777" w:rsidR="006465E7" w:rsidRPr="00BA0C05" w:rsidRDefault="006465E7" w:rsidP="006465E7">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4D1AE0">
        <w:rPr>
          <w:rFonts w:ascii="Palatino Linotype" w:hAnsi="Palatino Linotype" w:cs="Arial"/>
          <w:b/>
          <w:color w:val="000000" w:themeColor="text1"/>
          <w:sz w:val="28"/>
          <w:szCs w:val="28"/>
        </w:rPr>
        <w:t xml:space="preserve">CUARTO. </w:t>
      </w:r>
      <w:r w:rsidRPr="004D1AE0">
        <w:rPr>
          <w:rFonts w:ascii="Palatino Linotype" w:eastAsiaTheme="minorEastAsia" w:hAnsi="Palatino Linotype"/>
          <w:b/>
          <w:color w:val="222222"/>
          <w:szCs w:val="17"/>
          <w:lang w:eastAsia="es-ES_tradnl"/>
        </w:rPr>
        <w:t>Hágase del conocimiento</w:t>
      </w:r>
      <w:r w:rsidRPr="004D1AE0">
        <w:rPr>
          <w:rFonts w:ascii="Palatino Linotype" w:eastAsiaTheme="minorEastAsia" w:hAnsi="Palatino Linotype"/>
          <w:color w:val="222222"/>
          <w:szCs w:val="17"/>
          <w:lang w:eastAsia="es-ES_tradnl"/>
        </w:rPr>
        <w:t xml:space="preserve"> al </w:t>
      </w:r>
      <w:r w:rsidRPr="004D1AE0">
        <w:rPr>
          <w:rFonts w:ascii="Palatino Linotype" w:eastAsiaTheme="minorEastAsia" w:hAnsi="Palatino Linotype"/>
          <w:b/>
          <w:color w:val="222222"/>
          <w:szCs w:val="17"/>
          <w:lang w:eastAsia="es-ES_tradnl"/>
        </w:rPr>
        <w:t>RECURRENTE</w:t>
      </w:r>
      <w:r w:rsidRPr="004D1AE0">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w:t>
      </w:r>
      <w:r w:rsidRPr="00BA0C05">
        <w:rPr>
          <w:rFonts w:ascii="Palatino Linotype" w:eastAsiaTheme="minorEastAsia" w:hAnsi="Palatino Linotype"/>
          <w:color w:val="222222"/>
          <w:szCs w:val="17"/>
          <w:lang w:eastAsia="es-ES_tradnl"/>
        </w:rPr>
        <w:t>Estado de México y Municipios, podrá impugnarla vía Juicio de Amparo en los términos de las leyes aplicables.</w:t>
      </w:r>
    </w:p>
    <w:p w14:paraId="014527EA" w14:textId="77777777" w:rsidR="00F27D1B" w:rsidRPr="00BA0C05" w:rsidRDefault="00F27D1B" w:rsidP="00CF56F0">
      <w:pPr>
        <w:spacing w:before="100" w:beforeAutospacing="1" w:after="100" w:afterAutospacing="1" w:line="360" w:lineRule="auto"/>
        <w:ind w:right="49"/>
        <w:contextualSpacing/>
        <w:jc w:val="both"/>
        <w:rPr>
          <w:rFonts w:ascii="Palatino Linotype" w:hAnsi="Palatino Linotype"/>
          <w:color w:val="000000" w:themeColor="text1"/>
          <w:szCs w:val="17"/>
          <w:lang w:eastAsia="es-ES_tradnl"/>
        </w:rPr>
      </w:pPr>
    </w:p>
    <w:p w14:paraId="60DCE628" w14:textId="32B6ABAD" w:rsidR="00E75068" w:rsidRPr="008F6701" w:rsidRDefault="00E75068" w:rsidP="00CF56F0">
      <w:pPr>
        <w:spacing w:before="100" w:beforeAutospacing="1" w:after="100" w:afterAutospacing="1" w:line="360" w:lineRule="auto"/>
        <w:contextualSpacing/>
        <w:jc w:val="both"/>
        <w:rPr>
          <w:rFonts w:ascii="Palatino Linotype" w:hAnsi="Palatino Linotype" w:cs="Arial"/>
          <w:color w:val="000000" w:themeColor="text1"/>
          <w:lang w:val="es-ES"/>
        </w:rPr>
      </w:pPr>
      <w:r w:rsidRPr="00BA0C05">
        <w:rPr>
          <w:rFonts w:ascii="Palatino Linotype" w:hAnsi="Palatino Linotype" w:cs="Arial"/>
          <w:color w:val="000000" w:themeColor="text1"/>
          <w:lang w:val="es-ES"/>
        </w:rPr>
        <w:t xml:space="preserve">ASÍ LO RESUELVE, POR </w:t>
      </w:r>
      <w:r w:rsidR="00736CE0" w:rsidRPr="00BA0C05">
        <w:rPr>
          <w:rFonts w:ascii="Palatino Linotype" w:hAnsi="Palatino Linotype" w:cs="Arial"/>
          <w:color w:val="000000" w:themeColor="text1"/>
          <w:lang w:val="es-ES"/>
        </w:rPr>
        <w:t xml:space="preserve">UNANIMIDAD </w:t>
      </w:r>
      <w:r w:rsidRPr="00BA0C05">
        <w:rPr>
          <w:rFonts w:ascii="Palatino Linotype" w:hAnsi="Palatino Linotype" w:cs="Arial"/>
          <w:color w:val="000000" w:themeColor="text1"/>
          <w:lang w:val="es-ES"/>
        </w:rPr>
        <w:t>DE VOTOS EL PLENO DEL</w:t>
      </w:r>
      <w:r w:rsidRPr="00BA0C05">
        <w:rPr>
          <w:rFonts w:ascii="Palatino Linotype" w:eastAsia="Arial Unicode MS" w:hAnsi="Palatino Linotype" w:cs="Arial"/>
          <w:color w:val="000000" w:themeColor="text1"/>
          <w:lang w:val="es-ES"/>
        </w:rPr>
        <w:t xml:space="preserve"> INSTITUTO DE </w:t>
      </w:r>
      <w:r w:rsidRPr="00BA0C05">
        <w:rPr>
          <w:rFonts w:ascii="Palatino Linotype" w:hAnsi="Palatino Linotype"/>
          <w:color w:val="000000" w:themeColor="text1"/>
          <w:lang w:val="es-ES" w:eastAsia="en-US"/>
        </w:rPr>
        <w:t>TRANSPARENCIA</w:t>
      </w:r>
      <w:r w:rsidRPr="00BA0C05">
        <w:rPr>
          <w:rFonts w:ascii="Palatino Linotype" w:eastAsia="Arial Unicode MS" w:hAnsi="Palatino Linotype" w:cs="Arial"/>
          <w:color w:val="000000" w:themeColor="text1"/>
          <w:lang w:val="es-ES"/>
        </w:rPr>
        <w:t>, ACCESO A LA INFORMACIÓN PÚBLICA Y PROTECCIÓN DE DATOS PERSONALES DEL ESTADO DE MÉXICO Y MUNICIPIOS</w:t>
      </w:r>
      <w:r w:rsidRPr="00BA0C05">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BA0C05">
        <w:rPr>
          <w:rFonts w:ascii="Palatino Linotype" w:hAnsi="Palatino Linotype" w:cs="Arial"/>
          <w:color w:val="000000" w:themeColor="text1"/>
          <w:shd w:val="clear" w:color="auto" w:fill="FFFFFF" w:themeFill="background1"/>
          <w:lang w:val="es-ES"/>
        </w:rPr>
        <w:t xml:space="preserve">EN LA </w:t>
      </w:r>
      <w:r w:rsidR="00736CE0" w:rsidRPr="00BA0C05">
        <w:rPr>
          <w:rFonts w:ascii="Palatino Linotype" w:hAnsi="Palatino Linotype" w:cs="Arial"/>
          <w:color w:val="000000" w:themeColor="text1"/>
          <w:shd w:val="clear" w:color="auto" w:fill="FFFFFF" w:themeFill="background1"/>
          <w:lang w:val="es-ES"/>
        </w:rPr>
        <w:t>VIGÉSIMA</w:t>
      </w:r>
      <w:r w:rsidR="00CA3707" w:rsidRPr="00BA0C05">
        <w:rPr>
          <w:rFonts w:ascii="Palatino Linotype" w:hAnsi="Palatino Linotype" w:cs="Arial"/>
          <w:color w:val="000000" w:themeColor="text1"/>
          <w:shd w:val="clear" w:color="auto" w:fill="FFFFFF" w:themeFill="background1"/>
          <w:lang w:val="es-ES"/>
        </w:rPr>
        <w:t xml:space="preserve"> </w:t>
      </w:r>
      <w:r w:rsidR="00BA0C05" w:rsidRPr="00BA0C05">
        <w:rPr>
          <w:rFonts w:ascii="Palatino Linotype" w:hAnsi="Palatino Linotype" w:cs="Arial"/>
          <w:color w:val="000000" w:themeColor="text1"/>
          <w:shd w:val="clear" w:color="auto" w:fill="FFFFFF" w:themeFill="background1"/>
          <w:lang w:val="es-ES"/>
        </w:rPr>
        <w:lastRenderedPageBreak/>
        <w:t xml:space="preserve">QUINTA </w:t>
      </w:r>
      <w:r w:rsidR="004E382B" w:rsidRPr="00BA0C05">
        <w:rPr>
          <w:rFonts w:ascii="Palatino Linotype" w:hAnsi="Palatino Linotype" w:cs="Arial"/>
          <w:color w:val="000000" w:themeColor="text1"/>
          <w:lang w:val="es-ES"/>
        </w:rPr>
        <w:t xml:space="preserve">SESIÓN ORDINARIA CELEBRADA EL CINCO DE NOVIEMBRE </w:t>
      </w:r>
      <w:r w:rsidR="003F7A46" w:rsidRPr="00BA0C05">
        <w:rPr>
          <w:rFonts w:ascii="Palatino Linotype" w:hAnsi="Palatino Linotype" w:cs="Arial"/>
          <w:color w:val="000000" w:themeColor="text1"/>
          <w:lang w:val="es-ES"/>
        </w:rPr>
        <w:t>D</w:t>
      </w:r>
      <w:r w:rsidRPr="00BA0C05">
        <w:rPr>
          <w:rFonts w:ascii="Palatino Linotype" w:hAnsi="Palatino Linotype" w:cs="Arial"/>
          <w:color w:val="000000" w:themeColor="text1"/>
          <w:lang w:val="es-ES"/>
        </w:rPr>
        <w:t xml:space="preserve">E DOS MIL VEINTE, ANTE EL SECRETARIO TÉCNICO DEL PLENO, </w:t>
      </w:r>
      <w:r w:rsidRPr="00BA0C05">
        <w:rPr>
          <w:rFonts w:ascii="Palatino Linotype" w:eastAsia="Arial Unicode MS" w:hAnsi="Palatino Linotype" w:cs="Arial"/>
          <w:color w:val="000000" w:themeColor="text1"/>
          <w:lang w:val="es-ES"/>
        </w:rPr>
        <w:t>ALEXIS</w:t>
      </w:r>
      <w:r w:rsidRPr="00BA0C05">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E75068" w:rsidRPr="008F6701" w14:paraId="11943F53" w14:textId="77777777" w:rsidTr="00900DA1">
        <w:trPr>
          <w:jc w:val="center"/>
        </w:trPr>
        <w:tc>
          <w:tcPr>
            <w:tcW w:w="10368" w:type="dxa"/>
          </w:tcPr>
          <w:p w14:paraId="7243E1D9" w14:textId="77777777" w:rsidR="00E75068" w:rsidRDefault="00E75068" w:rsidP="00BA0C05">
            <w:pPr>
              <w:spacing w:before="100" w:beforeAutospacing="1" w:after="100" w:afterAutospacing="1"/>
              <w:contextualSpacing/>
              <w:rPr>
                <w:rFonts w:ascii="Palatino Linotype" w:eastAsiaTheme="minorEastAsia" w:hAnsi="Palatino Linotype" w:cs="Arial"/>
                <w:b/>
                <w:color w:val="000000" w:themeColor="text1"/>
                <w:lang w:val="es-ES_tradnl"/>
              </w:rPr>
            </w:pPr>
          </w:p>
          <w:p w14:paraId="520F50A9" w14:textId="77777777" w:rsidR="00736CE0" w:rsidRPr="008F6701" w:rsidRDefault="00736CE0" w:rsidP="00BA0C05">
            <w:pPr>
              <w:spacing w:before="100" w:beforeAutospacing="1" w:after="100" w:afterAutospacing="1"/>
              <w:contextualSpacing/>
              <w:rPr>
                <w:rFonts w:ascii="Palatino Linotype" w:eastAsiaTheme="minorEastAsia" w:hAnsi="Palatino Linotype" w:cs="Arial"/>
                <w:b/>
                <w:color w:val="000000" w:themeColor="text1"/>
                <w:lang w:val="es-ES_tradnl"/>
              </w:rPr>
            </w:pPr>
          </w:p>
          <w:p w14:paraId="313C2C4E"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E75068" w:rsidRPr="008F6701" w14:paraId="2FD02E3E" w14:textId="77777777" w:rsidTr="00900DA1">
              <w:trPr>
                <w:jc w:val="center"/>
              </w:trPr>
              <w:tc>
                <w:tcPr>
                  <w:tcW w:w="10365" w:type="dxa"/>
                  <w:gridSpan w:val="2"/>
                  <w:shd w:val="clear" w:color="auto" w:fill="auto"/>
                </w:tcPr>
                <w:p w14:paraId="6C7C8A85"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Zulema Martínez Sánchez</w:t>
                  </w:r>
                </w:p>
                <w:p w14:paraId="00DAF686" w14:textId="77777777" w:rsidR="00E75068" w:rsidRPr="00BA0C05"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BA0C05">
                    <w:rPr>
                      <w:rFonts w:ascii="Palatino Linotype" w:eastAsiaTheme="minorEastAsia" w:hAnsi="Palatino Linotype" w:cs="Arial"/>
                      <w:color w:val="000000" w:themeColor="text1"/>
                      <w:lang w:val="es-ES_tradnl"/>
                    </w:rPr>
                    <w:t>Comisionada Presidenta</w:t>
                  </w:r>
                </w:p>
                <w:p w14:paraId="6B301CDD" w14:textId="15936B25" w:rsidR="00E75068" w:rsidRPr="00BA0C05" w:rsidRDefault="00BA0C05"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C7107B">
                    <w:rPr>
                      <w:rFonts w:ascii="Palatino Linotype" w:eastAsiaTheme="minorEastAsia" w:hAnsi="Palatino Linotype" w:cs="Arial"/>
                      <w:b/>
                      <w:color w:val="FFFFFF" w:themeColor="background1"/>
                      <w:lang w:val="es-ES_tradnl"/>
                    </w:rPr>
                    <w:t>(RÚBR</w:t>
                  </w:r>
                  <w:r w:rsidR="00E75068" w:rsidRPr="00C7107B">
                    <w:rPr>
                      <w:rFonts w:ascii="Palatino Linotype" w:eastAsiaTheme="minorEastAsia" w:hAnsi="Palatino Linotype" w:cs="Arial"/>
                      <w:b/>
                      <w:color w:val="FFFFFF" w:themeColor="background1"/>
                      <w:lang w:val="es-ES_tradnl"/>
                    </w:rPr>
                    <w:t xml:space="preserve">ICA) </w:t>
                  </w:r>
                </w:p>
              </w:tc>
            </w:tr>
            <w:tr w:rsidR="00E75068" w:rsidRPr="008F6701" w14:paraId="3053E5C8" w14:textId="77777777" w:rsidTr="00900DA1">
              <w:trPr>
                <w:jc w:val="center"/>
              </w:trPr>
              <w:tc>
                <w:tcPr>
                  <w:tcW w:w="5182" w:type="dxa"/>
                  <w:shd w:val="clear" w:color="auto" w:fill="auto"/>
                </w:tcPr>
                <w:p w14:paraId="608ACB60"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7A90D52"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E3512B2" w14:textId="77777777" w:rsidR="00736CE0" w:rsidRDefault="00736CE0" w:rsidP="00BA0C05">
                  <w:pPr>
                    <w:spacing w:before="100" w:beforeAutospacing="1" w:after="100" w:afterAutospacing="1"/>
                    <w:contextualSpacing/>
                    <w:rPr>
                      <w:rFonts w:ascii="Palatino Linotype" w:eastAsiaTheme="minorEastAsia" w:hAnsi="Palatino Linotype" w:cs="Arial"/>
                      <w:b/>
                      <w:color w:val="000000" w:themeColor="text1"/>
                      <w:lang w:val="es-ES_tradnl"/>
                    </w:rPr>
                  </w:pPr>
                </w:p>
                <w:p w14:paraId="693A62C8" w14:textId="77777777" w:rsidR="00736CE0" w:rsidRPr="008F6701"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403BDD3"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Eva Abaid Yapur</w:t>
                  </w:r>
                </w:p>
                <w:p w14:paraId="2E9623E4" w14:textId="77777777" w:rsidR="00E75068" w:rsidRPr="00BA0C05"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BA0C05">
                    <w:rPr>
                      <w:rFonts w:ascii="Palatino Linotype" w:eastAsiaTheme="minorEastAsia" w:hAnsi="Palatino Linotype" w:cs="Arial"/>
                      <w:color w:val="000000" w:themeColor="text1"/>
                      <w:lang w:val="es-ES_tradnl"/>
                    </w:rPr>
                    <w:t>Comisionada</w:t>
                  </w:r>
                </w:p>
                <w:p w14:paraId="50EBAC4E" w14:textId="77777777" w:rsidR="00E75068" w:rsidRPr="00BA0C05"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C7107B">
                    <w:rPr>
                      <w:rFonts w:ascii="Palatino Linotype" w:eastAsiaTheme="minorEastAsia" w:hAnsi="Palatino Linotype" w:cs="Arial"/>
                      <w:b/>
                      <w:color w:val="FFFFFF" w:themeColor="background1"/>
                      <w:lang w:val="es-ES_tradnl"/>
                    </w:rPr>
                    <w:t>(RÚBRICA)</w:t>
                  </w:r>
                </w:p>
              </w:tc>
              <w:tc>
                <w:tcPr>
                  <w:tcW w:w="5183" w:type="dxa"/>
                  <w:shd w:val="clear" w:color="auto" w:fill="auto"/>
                </w:tcPr>
                <w:p w14:paraId="7C3E1B4D"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5AA598C"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5DDBBD" w14:textId="77777777" w:rsidR="00E75068" w:rsidRDefault="00E75068" w:rsidP="00BA0C05">
                  <w:pPr>
                    <w:spacing w:before="100" w:beforeAutospacing="1" w:after="100" w:afterAutospacing="1"/>
                    <w:contextualSpacing/>
                    <w:rPr>
                      <w:rFonts w:ascii="Palatino Linotype" w:eastAsiaTheme="minorEastAsia" w:hAnsi="Palatino Linotype" w:cs="Arial"/>
                      <w:b/>
                      <w:color w:val="000000" w:themeColor="text1"/>
                      <w:lang w:val="es-ES_tradnl"/>
                    </w:rPr>
                  </w:pPr>
                </w:p>
                <w:p w14:paraId="7FEC7290" w14:textId="77777777" w:rsidR="00736CE0" w:rsidRPr="008F6701"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4C3925D"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José Guadalupe Luna Hernández</w:t>
                  </w:r>
                </w:p>
                <w:p w14:paraId="3DD2D62C" w14:textId="77777777" w:rsidR="00E75068" w:rsidRPr="00BA0C05"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BA0C05">
                    <w:rPr>
                      <w:rFonts w:ascii="Palatino Linotype" w:eastAsiaTheme="minorEastAsia" w:hAnsi="Palatino Linotype" w:cs="Arial"/>
                      <w:color w:val="000000" w:themeColor="text1"/>
                      <w:lang w:val="es-ES_tradnl"/>
                    </w:rPr>
                    <w:t>Comisionado</w:t>
                  </w:r>
                </w:p>
                <w:p w14:paraId="5C6F2E66" w14:textId="77777777" w:rsidR="00E75068" w:rsidRPr="00BA0C05"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C7107B">
                    <w:rPr>
                      <w:rFonts w:ascii="Palatino Linotype" w:eastAsiaTheme="minorEastAsia" w:hAnsi="Palatino Linotype" w:cs="Arial"/>
                      <w:b/>
                      <w:color w:val="FFFFFF" w:themeColor="background1"/>
                      <w:lang w:val="es-ES_tradnl"/>
                    </w:rPr>
                    <w:t>(RÚBRICA)</w:t>
                  </w:r>
                </w:p>
              </w:tc>
            </w:tr>
            <w:tr w:rsidR="00E75068" w:rsidRPr="008F6701" w14:paraId="127135F4" w14:textId="77777777" w:rsidTr="00900DA1">
              <w:trPr>
                <w:jc w:val="center"/>
              </w:trPr>
              <w:tc>
                <w:tcPr>
                  <w:tcW w:w="5182" w:type="dxa"/>
                  <w:shd w:val="clear" w:color="auto" w:fill="auto"/>
                </w:tcPr>
                <w:p w14:paraId="1DA3049F"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1F50EDF"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8BDED03" w14:textId="77777777" w:rsidR="00736CE0" w:rsidRPr="008F6701" w:rsidRDefault="00736CE0" w:rsidP="00BA0C05">
                  <w:pPr>
                    <w:spacing w:before="100" w:beforeAutospacing="1" w:after="100" w:afterAutospacing="1"/>
                    <w:contextualSpacing/>
                    <w:rPr>
                      <w:rFonts w:ascii="Palatino Linotype" w:eastAsiaTheme="minorEastAsia" w:hAnsi="Palatino Linotype" w:cs="Arial"/>
                      <w:b/>
                      <w:color w:val="000000" w:themeColor="text1"/>
                      <w:lang w:val="es-ES_tradnl"/>
                    </w:rPr>
                  </w:pPr>
                </w:p>
                <w:p w14:paraId="4C3D381F"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9EE0EA"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Javier Martínez Cruz</w:t>
                  </w:r>
                </w:p>
                <w:p w14:paraId="61276CA3" w14:textId="77777777" w:rsidR="00E75068" w:rsidRPr="00BA0C05"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BA0C05">
                    <w:rPr>
                      <w:rFonts w:ascii="Palatino Linotype" w:eastAsiaTheme="minorEastAsia" w:hAnsi="Palatino Linotype" w:cs="Arial"/>
                      <w:color w:val="000000" w:themeColor="text1"/>
                      <w:lang w:val="es-ES_tradnl"/>
                    </w:rPr>
                    <w:t>Comisionado</w:t>
                  </w:r>
                </w:p>
                <w:p w14:paraId="407F9E2E" w14:textId="77777777" w:rsidR="00E75068" w:rsidRPr="00BA0C05"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C7107B">
                    <w:rPr>
                      <w:rFonts w:ascii="Palatino Linotype" w:eastAsiaTheme="minorEastAsia" w:hAnsi="Palatino Linotype" w:cs="Arial"/>
                      <w:b/>
                      <w:color w:val="FFFFFF" w:themeColor="background1"/>
                      <w:lang w:val="es-ES_tradnl"/>
                    </w:rPr>
                    <w:t>(RÚBRICA)</w:t>
                  </w:r>
                </w:p>
              </w:tc>
              <w:tc>
                <w:tcPr>
                  <w:tcW w:w="5183" w:type="dxa"/>
                  <w:shd w:val="clear" w:color="auto" w:fill="auto"/>
                </w:tcPr>
                <w:p w14:paraId="7AE412F0"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AB7854A"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68072B8" w14:textId="77777777" w:rsidR="00736CE0" w:rsidRPr="008F6701" w:rsidRDefault="00736CE0" w:rsidP="00BA0C05">
                  <w:pPr>
                    <w:spacing w:before="100" w:beforeAutospacing="1" w:after="100" w:afterAutospacing="1"/>
                    <w:contextualSpacing/>
                    <w:rPr>
                      <w:rFonts w:ascii="Palatino Linotype" w:eastAsiaTheme="minorEastAsia" w:hAnsi="Palatino Linotype" w:cs="Arial"/>
                      <w:b/>
                      <w:color w:val="000000" w:themeColor="text1"/>
                      <w:lang w:val="es-ES_tradnl"/>
                    </w:rPr>
                  </w:pPr>
                </w:p>
                <w:p w14:paraId="2E5C5A93"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80B96FD"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Luis Gustavo Parra Noriega</w:t>
                  </w:r>
                </w:p>
                <w:p w14:paraId="5FAC3CBA" w14:textId="77777777" w:rsidR="00E75068" w:rsidRPr="00BA0C05"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BA0C05">
                    <w:rPr>
                      <w:rFonts w:ascii="Palatino Linotype" w:eastAsiaTheme="minorEastAsia" w:hAnsi="Palatino Linotype" w:cs="Arial"/>
                      <w:color w:val="000000" w:themeColor="text1"/>
                      <w:lang w:val="es-ES_tradnl"/>
                    </w:rPr>
                    <w:t>Comisionado</w:t>
                  </w:r>
                </w:p>
                <w:p w14:paraId="6DA29D16" w14:textId="77777777" w:rsidR="00E75068" w:rsidRPr="00BA0C05"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C7107B">
                    <w:rPr>
                      <w:rFonts w:ascii="Palatino Linotype" w:eastAsiaTheme="minorEastAsia" w:hAnsi="Palatino Linotype" w:cs="Arial"/>
                      <w:b/>
                      <w:color w:val="FFFFFF" w:themeColor="background1"/>
                      <w:lang w:val="es-ES_tradnl"/>
                    </w:rPr>
                    <w:t>(RÚBRICA)</w:t>
                  </w:r>
                </w:p>
              </w:tc>
            </w:tr>
            <w:tr w:rsidR="00E75068" w:rsidRPr="008F6701" w14:paraId="53A1AA53" w14:textId="77777777" w:rsidTr="00900DA1">
              <w:trPr>
                <w:jc w:val="center"/>
              </w:trPr>
              <w:tc>
                <w:tcPr>
                  <w:tcW w:w="10365" w:type="dxa"/>
                  <w:gridSpan w:val="2"/>
                  <w:shd w:val="clear" w:color="auto" w:fill="auto"/>
                </w:tcPr>
                <w:p w14:paraId="1C2F86EB"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6579E77"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A6724CE" w14:textId="77777777" w:rsidR="00E75068"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1FBCA0D" w14:textId="77777777" w:rsidR="00E75068" w:rsidRPr="008F6701" w:rsidRDefault="00E75068" w:rsidP="00BA0C05">
                  <w:pPr>
                    <w:spacing w:before="100" w:beforeAutospacing="1" w:after="100" w:afterAutospacing="1"/>
                    <w:contextualSpacing/>
                    <w:rPr>
                      <w:rFonts w:ascii="Palatino Linotype" w:eastAsiaTheme="minorEastAsia" w:hAnsi="Palatino Linotype" w:cs="Arial"/>
                      <w:b/>
                      <w:color w:val="000000" w:themeColor="text1"/>
                      <w:lang w:val="es-ES_tradnl"/>
                    </w:rPr>
                  </w:pPr>
                </w:p>
                <w:p w14:paraId="63833F0B"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Alexis Tapia Ramírez</w:t>
                  </w:r>
                </w:p>
                <w:p w14:paraId="3D167F9C" w14:textId="77777777" w:rsidR="00E75068" w:rsidRPr="00BA0C05" w:rsidRDefault="00E75068" w:rsidP="00CF56F0">
                  <w:pPr>
                    <w:spacing w:before="100" w:beforeAutospacing="1" w:after="100" w:afterAutospacing="1"/>
                    <w:contextualSpacing/>
                    <w:jc w:val="center"/>
                    <w:rPr>
                      <w:rFonts w:ascii="Palatino Linotype" w:eastAsiaTheme="minorEastAsia" w:hAnsi="Palatino Linotype" w:cs="Arial"/>
                      <w:color w:val="000000" w:themeColor="text1"/>
                      <w:lang w:val="es-ES_tradnl"/>
                    </w:rPr>
                  </w:pPr>
                  <w:r w:rsidRPr="00BA0C05">
                    <w:rPr>
                      <w:rFonts w:ascii="Palatino Linotype" w:eastAsiaTheme="minorEastAsia" w:hAnsi="Palatino Linotype" w:cs="Arial"/>
                      <w:color w:val="000000" w:themeColor="text1"/>
                      <w:lang w:val="es-ES_tradnl"/>
                    </w:rPr>
                    <w:t>Secretario Técnico del Pleno</w:t>
                  </w:r>
                </w:p>
                <w:p w14:paraId="513C1551" w14:textId="53821F0A" w:rsidR="00736CE0" w:rsidRPr="008F6701" w:rsidRDefault="00E75068" w:rsidP="00BA0C05">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C7107B">
                    <w:rPr>
                      <w:rFonts w:ascii="Palatino Linotype" w:eastAsiaTheme="minorEastAsia" w:hAnsi="Palatino Linotype" w:cs="Arial"/>
                      <w:b/>
                      <w:color w:val="FFFFFF" w:themeColor="background1"/>
                      <w:lang w:val="es-ES_tradnl"/>
                    </w:rPr>
                    <w:t xml:space="preserve">(RÚBRICA) </w:t>
                  </w:r>
                </w:p>
                <w:p w14:paraId="7882F944" w14:textId="77777777" w:rsidR="008F6701" w:rsidRPr="008F6701" w:rsidRDefault="008F6701"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C101F78" w14:textId="77777777" w:rsidR="00E75068" w:rsidRPr="008F6701"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5689BDBF" w14:textId="024BC006" w:rsidR="00BA0C05" w:rsidRDefault="00E75068" w:rsidP="00CF56F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8F6701">
        <w:rPr>
          <w:rFonts w:ascii="Palatino Linotype" w:eastAsiaTheme="minorEastAsia" w:hAnsi="Palatino Linotype" w:cs="Arial"/>
          <w:color w:val="000000" w:themeColor="text1"/>
          <w:sz w:val="20"/>
          <w:szCs w:val="20"/>
          <w:lang w:val="es-ES_tradnl"/>
        </w:rPr>
        <w:t xml:space="preserve">Esta hoja corresponde a la resolución de </w:t>
      </w:r>
      <w:r w:rsidR="005A48BF">
        <w:rPr>
          <w:rFonts w:ascii="Palatino Linotype" w:eastAsiaTheme="minorEastAsia" w:hAnsi="Palatino Linotype" w:cs="Arial"/>
          <w:color w:val="000000" w:themeColor="text1"/>
          <w:sz w:val="20"/>
          <w:szCs w:val="20"/>
          <w:lang w:val="es-ES_tradnl"/>
        </w:rPr>
        <w:t xml:space="preserve">cinco </w:t>
      </w:r>
      <w:r w:rsidR="00736CE0">
        <w:rPr>
          <w:rFonts w:ascii="Palatino Linotype" w:eastAsiaTheme="minorEastAsia" w:hAnsi="Palatino Linotype" w:cs="Arial"/>
          <w:color w:val="000000" w:themeColor="text1"/>
          <w:sz w:val="20"/>
          <w:szCs w:val="20"/>
          <w:lang w:val="es-ES_tradnl"/>
        </w:rPr>
        <w:t>de octubre</w:t>
      </w:r>
      <w:r w:rsidR="003F7A46">
        <w:rPr>
          <w:rFonts w:ascii="Palatino Linotype" w:eastAsiaTheme="minorEastAsia" w:hAnsi="Palatino Linotype" w:cs="Arial"/>
          <w:color w:val="000000" w:themeColor="text1"/>
          <w:sz w:val="20"/>
          <w:szCs w:val="20"/>
          <w:lang w:val="es-ES_tradnl"/>
        </w:rPr>
        <w:t xml:space="preserve"> </w:t>
      </w:r>
      <w:r w:rsidRPr="008F6701">
        <w:rPr>
          <w:rFonts w:ascii="Palatino Linotype" w:eastAsiaTheme="minorEastAsia" w:hAnsi="Palatino Linotype" w:cs="Arial"/>
          <w:color w:val="000000" w:themeColor="text1"/>
          <w:sz w:val="20"/>
          <w:szCs w:val="20"/>
          <w:lang w:val="es-ES_tradnl"/>
        </w:rPr>
        <w:t>de dos mil veinte, emitida en el recurso de revisión número 0</w:t>
      </w:r>
      <w:r w:rsidR="004E382B">
        <w:rPr>
          <w:rFonts w:ascii="Palatino Linotype" w:eastAsiaTheme="minorEastAsia" w:hAnsi="Palatino Linotype" w:cs="Arial"/>
          <w:color w:val="000000" w:themeColor="text1"/>
          <w:sz w:val="20"/>
          <w:szCs w:val="20"/>
          <w:lang w:val="es-ES_tradnl"/>
        </w:rPr>
        <w:t>377</w:t>
      </w:r>
      <w:r w:rsidR="0081593B">
        <w:rPr>
          <w:rFonts w:ascii="Palatino Linotype" w:eastAsiaTheme="minorEastAsia" w:hAnsi="Palatino Linotype" w:cs="Arial"/>
          <w:color w:val="000000" w:themeColor="text1"/>
          <w:sz w:val="20"/>
          <w:szCs w:val="20"/>
          <w:lang w:val="es-ES_tradnl"/>
        </w:rPr>
        <w:t>7</w:t>
      </w:r>
      <w:r w:rsidR="003C7F96">
        <w:rPr>
          <w:rFonts w:ascii="Palatino Linotype" w:eastAsiaTheme="minorEastAsia" w:hAnsi="Palatino Linotype" w:cs="Arial"/>
          <w:color w:val="000000" w:themeColor="text1"/>
          <w:sz w:val="20"/>
          <w:szCs w:val="20"/>
          <w:lang w:val="es-ES_tradnl"/>
        </w:rPr>
        <w:t>/</w:t>
      </w:r>
      <w:r w:rsidRPr="008F6701">
        <w:rPr>
          <w:rFonts w:ascii="Palatino Linotype" w:eastAsiaTheme="minorEastAsia" w:hAnsi="Palatino Linotype" w:cs="Arial"/>
          <w:color w:val="000000" w:themeColor="text1"/>
          <w:sz w:val="20"/>
          <w:szCs w:val="20"/>
          <w:lang w:val="es-ES_tradnl"/>
        </w:rPr>
        <w:t>INFOEM/IP/</w:t>
      </w:r>
      <w:proofErr w:type="spellStart"/>
      <w:r w:rsidRPr="008F6701">
        <w:rPr>
          <w:rFonts w:ascii="Palatino Linotype" w:eastAsiaTheme="minorEastAsia" w:hAnsi="Palatino Linotype" w:cs="Arial"/>
          <w:color w:val="000000" w:themeColor="text1"/>
          <w:sz w:val="20"/>
          <w:szCs w:val="20"/>
          <w:lang w:val="es-ES_tradnl"/>
        </w:rPr>
        <w:t>RR</w:t>
      </w:r>
      <w:proofErr w:type="spellEnd"/>
      <w:r w:rsidRPr="008F6701">
        <w:rPr>
          <w:rFonts w:ascii="Palatino Linotype" w:eastAsiaTheme="minorEastAsia" w:hAnsi="Palatino Linotype" w:cs="Arial"/>
          <w:color w:val="000000" w:themeColor="text1"/>
          <w:sz w:val="20"/>
          <w:szCs w:val="20"/>
          <w:lang w:val="es-ES_tradnl"/>
        </w:rPr>
        <w:t>/2020.</w:t>
      </w:r>
    </w:p>
    <w:p w14:paraId="7589187C" w14:textId="7D411C3A" w:rsidR="00741AF3" w:rsidRPr="00BA0C05" w:rsidRDefault="00E75068" w:rsidP="00CF56F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roofErr w:type="spellStart"/>
      <w:r w:rsidRPr="008F6701">
        <w:rPr>
          <w:rFonts w:ascii="Palatino Linotype" w:eastAsiaTheme="minorEastAsia" w:hAnsi="Palatino Linotype" w:cs="Arial"/>
          <w:color w:val="000000" w:themeColor="text1"/>
          <w:sz w:val="20"/>
          <w:szCs w:val="20"/>
          <w:lang w:val="es-ES_tradnl"/>
        </w:rPr>
        <w:t>YSM</w:t>
      </w:r>
      <w:proofErr w:type="spellEnd"/>
      <w:r w:rsidRPr="008F6701">
        <w:rPr>
          <w:rFonts w:ascii="Palatino Linotype" w:eastAsiaTheme="minorEastAsia" w:hAnsi="Palatino Linotype" w:cs="Arial"/>
          <w:color w:val="000000" w:themeColor="text1"/>
          <w:sz w:val="20"/>
          <w:szCs w:val="20"/>
          <w:lang w:val="es-ES_tradnl"/>
        </w:rPr>
        <w:t>/</w:t>
      </w:r>
      <w:proofErr w:type="spellStart"/>
      <w:r w:rsidR="00CA3707">
        <w:rPr>
          <w:rFonts w:ascii="Palatino Linotype" w:eastAsiaTheme="minorEastAsia" w:hAnsi="Palatino Linotype" w:cs="Arial"/>
          <w:color w:val="000000" w:themeColor="text1"/>
          <w:sz w:val="20"/>
          <w:szCs w:val="20"/>
          <w:lang w:val="es-ES_tradnl"/>
        </w:rPr>
        <w:t>LGMJ</w:t>
      </w:r>
      <w:proofErr w:type="spellEnd"/>
      <w:r w:rsidRPr="008F6701">
        <w:rPr>
          <w:rFonts w:ascii="Palatino Linotype" w:eastAsiaTheme="minorEastAsia" w:hAnsi="Palatino Linotype" w:cs="Arial"/>
          <w:color w:val="000000" w:themeColor="text1"/>
          <w:sz w:val="20"/>
          <w:szCs w:val="20"/>
          <w:lang w:val="es-ES_tradnl"/>
        </w:rPr>
        <w:t xml:space="preserve"> </w:t>
      </w:r>
    </w:p>
    <w:sectPr w:rsidR="00741AF3" w:rsidRPr="00BA0C05"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51675" w14:textId="77777777" w:rsidR="00500467" w:rsidRDefault="00500467" w:rsidP="00C80F8C">
      <w:r>
        <w:separator/>
      </w:r>
    </w:p>
  </w:endnote>
  <w:endnote w:type="continuationSeparator" w:id="0">
    <w:p w14:paraId="6D31F866" w14:textId="77777777" w:rsidR="00500467" w:rsidRDefault="0050046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BD6B3C" w:rsidRPr="0010196A" w:rsidRDefault="00BD6B3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C4235">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C4235">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BD6B3C" w:rsidRPr="0010196A" w:rsidRDefault="00BD6B3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C423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C4235">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B19F99" w14:textId="77777777" w:rsidR="00500467" w:rsidRDefault="00500467" w:rsidP="00C80F8C">
      <w:r>
        <w:separator/>
      </w:r>
    </w:p>
  </w:footnote>
  <w:footnote w:type="continuationSeparator" w:id="0">
    <w:p w14:paraId="0FFDC8BB" w14:textId="77777777" w:rsidR="00500467" w:rsidRDefault="0050046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D6B3C" w:rsidRDefault="0050046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D6B3C" w:rsidRPr="0010196A" w:rsidRDefault="0050046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D6B3C" w:rsidRPr="008F2CCC" w14:paraId="1F097D8A" w14:textId="77777777" w:rsidTr="00625FD4">
      <w:tc>
        <w:tcPr>
          <w:tcW w:w="3261" w:type="dxa"/>
          <w:vMerge w:val="restart"/>
        </w:tcPr>
        <w:p w14:paraId="1F780A0C" w14:textId="1EFF25F4" w:rsidR="00BD6B3C" w:rsidRPr="008F2CCC" w:rsidRDefault="00BD6B3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BD6B3C" w:rsidRPr="00664658" w:rsidRDefault="00BD6B3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7478F74D" w:rsidR="00BD6B3C" w:rsidRPr="00664658" w:rsidRDefault="00BD6B3C" w:rsidP="00E07977">
          <w:pPr>
            <w:jc w:val="both"/>
            <w:rPr>
              <w:rFonts w:ascii="Palatino Linotype" w:hAnsi="Palatino Linotype"/>
              <w:b/>
              <w:sz w:val="22"/>
              <w:szCs w:val="22"/>
              <w:lang w:val="es-ES_tradnl"/>
            </w:rPr>
          </w:pPr>
          <w:r>
            <w:rPr>
              <w:rFonts w:ascii="Palatino Linotype" w:hAnsi="Palatino Linotype"/>
              <w:b/>
              <w:sz w:val="22"/>
              <w:szCs w:val="22"/>
              <w:lang w:val="es-ES_tradnl"/>
            </w:rPr>
            <w:t>03777</w:t>
          </w:r>
          <w:r w:rsidRPr="00E6045D">
            <w:rPr>
              <w:rFonts w:ascii="Palatino Linotype" w:hAnsi="Palatino Linotype"/>
              <w:b/>
              <w:sz w:val="22"/>
              <w:szCs w:val="22"/>
              <w:lang w:val="es-ES_tradnl"/>
            </w:rPr>
            <w:t>/INFOEM/IP/</w:t>
          </w:r>
          <w:proofErr w:type="spellStart"/>
          <w:r w:rsidRPr="00E6045D">
            <w:rPr>
              <w:rFonts w:ascii="Palatino Linotype" w:hAnsi="Palatino Linotype"/>
              <w:b/>
              <w:sz w:val="22"/>
              <w:szCs w:val="22"/>
              <w:lang w:val="es-ES_tradnl"/>
            </w:rPr>
            <w:t>RR</w:t>
          </w:r>
          <w:proofErr w:type="spellEnd"/>
          <w:r w:rsidRPr="00E6045D">
            <w:rPr>
              <w:rFonts w:ascii="Palatino Linotype" w:hAnsi="Palatino Linotype"/>
              <w:b/>
              <w:sz w:val="22"/>
              <w:szCs w:val="22"/>
              <w:lang w:val="es-ES_tradnl"/>
            </w:rPr>
            <w:t>/20</w:t>
          </w:r>
          <w:r>
            <w:rPr>
              <w:rFonts w:ascii="Palatino Linotype" w:hAnsi="Palatino Linotype"/>
              <w:b/>
              <w:sz w:val="22"/>
              <w:szCs w:val="22"/>
              <w:lang w:val="es-ES_tradnl"/>
            </w:rPr>
            <w:t>20</w:t>
          </w:r>
        </w:p>
      </w:tc>
    </w:tr>
    <w:tr w:rsidR="00BD6B3C" w:rsidRPr="008F2CCC" w14:paraId="049677A3" w14:textId="77777777" w:rsidTr="00625FD4">
      <w:tc>
        <w:tcPr>
          <w:tcW w:w="3261" w:type="dxa"/>
          <w:vMerge/>
        </w:tcPr>
        <w:p w14:paraId="4A21EAC1" w14:textId="5C1F145E" w:rsidR="00BD6B3C" w:rsidRPr="008F2CCC" w:rsidRDefault="00BD6B3C" w:rsidP="00D41D47">
          <w:pPr>
            <w:rPr>
              <w:rFonts w:ascii="Palatino Linotype" w:hAnsi="Palatino Linotype"/>
              <w:b/>
              <w:sz w:val="22"/>
              <w:szCs w:val="22"/>
              <w:lang w:val="es-ES_tradnl"/>
            </w:rPr>
          </w:pPr>
        </w:p>
      </w:tc>
      <w:tc>
        <w:tcPr>
          <w:tcW w:w="2551" w:type="dxa"/>
          <w:shd w:val="clear" w:color="auto" w:fill="auto"/>
        </w:tcPr>
        <w:p w14:paraId="1237BCDE" w14:textId="77777777" w:rsidR="00BD6B3C" w:rsidRPr="00664658" w:rsidRDefault="00BD6B3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16DB89F" w:rsidR="00BD6B3C" w:rsidRPr="00D41D47" w:rsidRDefault="00BD6B3C" w:rsidP="005644E3">
          <w:pPr>
            <w:jc w:val="both"/>
            <w:rPr>
              <w:rFonts w:ascii="Palatino Linotype" w:hAnsi="Palatino Linotype"/>
              <w:b/>
              <w:sz w:val="22"/>
              <w:szCs w:val="22"/>
              <w:lang w:val="es-ES_tradnl"/>
            </w:rPr>
          </w:pPr>
          <w:r>
            <w:rPr>
              <w:rFonts w:ascii="Palatino Linotype" w:hAnsi="Palatino Linotype"/>
              <w:b/>
              <w:sz w:val="22"/>
              <w:szCs w:val="22"/>
              <w:lang w:val="es-ES_tradnl"/>
            </w:rPr>
            <w:t>Secretaría de Finanzas</w:t>
          </w:r>
        </w:p>
      </w:tc>
    </w:tr>
    <w:tr w:rsidR="00BD6B3C" w:rsidRPr="008F2CCC" w14:paraId="72CD087D" w14:textId="77777777" w:rsidTr="00625FD4">
      <w:trPr>
        <w:trHeight w:val="228"/>
      </w:trPr>
      <w:tc>
        <w:tcPr>
          <w:tcW w:w="3261" w:type="dxa"/>
          <w:vMerge/>
        </w:tcPr>
        <w:p w14:paraId="1B78656F" w14:textId="01E6F6F6" w:rsidR="00BD6B3C" w:rsidRPr="008F2CCC" w:rsidRDefault="00BD6B3C" w:rsidP="00070856">
          <w:pPr>
            <w:rPr>
              <w:rFonts w:ascii="Palatino Linotype" w:hAnsi="Palatino Linotype"/>
              <w:b/>
              <w:sz w:val="22"/>
              <w:szCs w:val="22"/>
              <w:lang w:val="es-ES_tradnl"/>
            </w:rPr>
          </w:pPr>
        </w:p>
      </w:tc>
      <w:tc>
        <w:tcPr>
          <w:tcW w:w="2551" w:type="dxa"/>
          <w:shd w:val="clear" w:color="auto" w:fill="auto"/>
        </w:tcPr>
        <w:p w14:paraId="74D81628" w14:textId="77777777" w:rsidR="00BD6B3C" w:rsidRPr="00664658" w:rsidRDefault="00BD6B3C"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BD6B3C" w:rsidRPr="00664658" w:rsidRDefault="00BD6B3C"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BD6B3C" w:rsidRPr="0010196A" w:rsidRDefault="00BD6B3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BD6B3C" w:rsidRPr="0010196A" w:rsidRDefault="00BD6B3C">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BD6B3C" w:rsidRPr="008F2CCC" w14:paraId="6ABABA57" w14:textId="77777777" w:rsidTr="00905693">
      <w:tc>
        <w:tcPr>
          <w:tcW w:w="4253" w:type="dxa"/>
          <w:vMerge w:val="restart"/>
          <w:shd w:val="clear" w:color="auto" w:fill="auto"/>
        </w:tcPr>
        <w:p w14:paraId="6AA376CC" w14:textId="1E62217E" w:rsidR="00BD6B3C" w:rsidRPr="008F2CCC" w:rsidRDefault="00BD6B3C"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BD6B3C" w:rsidRPr="008F2CCC" w:rsidRDefault="00BD6B3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2BBD33E" w:rsidR="00BD6B3C" w:rsidRPr="008F2CCC" w:rsidRDefault="00BD6B3C" w:rsidP="00E07977">
          <w:pPr>
            <w:jc w:val="both"/>
            <w:rPr>
              <w:rFonts w:ascii="Palatino Linotype" w:hAnsi="Palatino Linotype"/>
              <w:b/>
              <w:sz w:val="22"/>
              <w:szCs w:val="22"/>
              <w:lang w:val="es-ES_tradnl"/>
            </w:rPr>
          </w:pPr>
          <w:r>
            <w:rPr>
              <w:rFonts w:ascii="Palatino Linotype" w:hAnsi="Palatino Linotype"/>
              <w:b/>
              <w:sz w:val="22"/>
              <w:szCs w:val="22"/>
              <w:lang w:val="es-ES_tradnl"/>
            </w:rPr>
            <w:t>03777/INFOEM/IP/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/2020</w:t>
          </w:r>
        </w:p>
      </w:tc>
    </w:tr>
    <w:tr w:rsidR="00BD6B3C" w:rsidRPr="008F2CCC" w14:paraId="3B45FB53" w14:textId="77777777" w:rsidTr="00905693">
      <w:tc>
        <w:tcPr>
          <w:tcW w:w="4253" w:type="dxa"/>
          <w:vMerge/>
          <w:shd w:val="clear" w:color="auto" w:fill="auto"/>
        </w:tcPr>
        <w:p w14:paraId="188B82EF" w14:textId="77777777" w:rsidR="00BD6B3C" w:rsidRPr="008F2CCC" w:rsidRDefault="00BD6B3C" w:rsidP="00A2780F">
          <w:pPr>
            <w:rPr>
              <w:rFonts w:ascii="Palatino Linotype" w:hAnsi="Palatino Linotype"/>
              <w:b/>
              <w:sz w:val="22"/>
              <w:szCs w:val="22"/>
              <w:lang w:val="es-ES_tradnl"/>
            </w:rPr>
          </w:pPr>
        </w:p>
      </w:tc>
      <w:tc>
        <w:tcPr>
          <w:tcW w:w="2552" w:type="dxa"/>
          <w:shd w:val="clear" w:color="auto" w:fill="auto"/>
        </w:tcPr>
        <w:p w14:paraId="3B2AD0CF" w14:textId="77777777" w:rsidR="00BD6B3C" w:rsidRPr="008F2CCC" w:rsidRDefault="00BD6B3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3718A2D" w:rsidR="00BD6B3C" w:rsidRPr="008F2CCC" w:rsidRDefault="009C4235" w:rsidP="009C4235">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BD6B3C">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r w:rsidR="00BD6B3C">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BD6B3C" w:rsidRPr="008F2CCC" w14:paraId="28A493EB" w14:textId="77777777" w:rsidTr="00905693">
      <w:trPr>
        <w:trHeight w:val="228"/>
      </w:trPr>
      <w:tc>
        <w:tcPr>
          <w:tcW w:w="4253" w:type="dxa"/>
          <w:vMerge/>
          <w:shd w:val="clear" w:color="auto" w:fill="auto"/>
        </w:tcPr>
        <w:p w14:paraId="06C77D31" w14:textId="77777777" w:rsidR="00BD6B3C" w:rsidRPr="008F2CCC" w:rsidRDefault="00BD6B3C" w:rsidP="00E37C88">
          <w:pPr>
            <w:rPr>
              <w:rFonts w:ascii="Palatino Linotype" w:hAnsi="Palatino Linotype"/>
              <w:b/>
              <w:sz w:val="22"/>
              <w:szCs w:val="22"/>
              <w:lang w:val="es-ES_tradnl"/>
            </w:rPr>
          </w:pPr>
        </w:p>
      </w:tc>
      <w:tc>
        <w:tcPr>
          <w:tcW w:w="2552" w:type="dxa"/>
          <w:shd w:val="clear" w:color="auto" w:fill="auto"/>
        </w:tcPr>
        <w:p w14:paraId="2E1A72B4" w14:textId="77777777" w:rsidR="00BD6B3C" w:rsidRPr="008F2CCC" w:rsidRDefault="00BD6B3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9F1B2F3" w:rsidR="00BD6B3C" w:rsidRPr="00DC41C8" w:rsidRDefault="00BD6B3C" w:rsidP="005644E3">
          <w:pPr>
            <w:jc w:val="both"/>
            <w:rPr>
              <w:rFonts w:ascii="Palatino Linotype" w:hAnsi="Palatino Linotype"/>
              <w:b/>
              <w:sz w:val="22"/>
              <w:szCs w:val="22"/>
            </w:rPr>
          </w:pPr>
          <w:r>
            <w:rPr>
              <w:rFonts w:ascii="Palatino Linotype" w:hAnsi="Palatino Linotype"/>
              <w:b/>
              <w:sz w:val="22"/>
              <w:szCs w:val="22"/>
              <w:lang w:val="es-ES_tradnl"/>
            </w:rPr>
            <w:t>Secretaría de Finanzas</w:t>
          </w:r>
          <w:r w:rsidRPr="007A5183">
            <w:rPr>
              <w:rFonts w:ascii="Palatino Linotype" w:hAnsi="Palatino Linotype"/>
              <w:b/>
              <w:sz w:val="22"/>
              <w:szCs w:val="22"/>
              <w:lang w:val="es-ES_tradnl"/>
            </w:rPr>
            <w:t>.</w:t>
          </w:r>
        </w:p>
      </w:tc>
    </w:tr>
    <w:tr w:rsidR="00BD6B3C" w:rsidRPr="008F2CCC" w14:paraId="0F114FF0" w14:textId="77777777" w:rsidTr="00905693">
      <w:tc>
        <w:tcPr>
          <w:tcW w:w="4253" w:type="dxa"/>
          <w:vMerge/>
          <w:shd w:val="clear" w:color="auto" w:fill="auto"/>
        </w:tcPr>
        <w:p w14:paraId="4CCB64BA" w14:textId="77777777" w:rsidR="00BD6B3C" w:rsidRPr="008F2CCC" w:rsidRDefault="00BD6B3C" w:rsidP="00A2780F">
          <w:pPr>
            <w:rPr>
              <w:rFonts w:ascii="Palatino Linotype" w:hAnsi="Palatino Linotype"/>
              <w:b/>
              <w:sz w:val="22"/>
              <w:szCs w:val="22"/>
              <w:lang w:val="es-ES_tradnl"/>
            </w:rPr>
          </w:pPr>
        </w:p>
      </w:tc>
      <w:tc>
        <w:tcPr>
          <w:tcW w:w="2552" w:type="dxa"/>
          <w:shd w:val="clear" w:color="auto" w:fill="auto"/>
        </w:tcPr>
        <w:p w14:paraId="31E422EA" w14:textId="77777777" w:rsidR="00BD6B3C" w:rsidRPr="008F2CCC" w:rsidRDefault="00BD6B3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BD6B3C" w:rsidRPr="008F2CCC" w:rsidRDefault="00BD6B3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BD6B3C" w:rsidRPr="0010196A" w:rsidRDefault="00500467"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7"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5"/>
  </w:num>
  <w:num w:numId="3">
    <w:abstractNumId w:val="7"/>
  </w:num>
  <w:num w:numId="4">
    <w:abstractNumId w:val="20"/>
  </w:num>
  <w:num w:numId="5">
    <w:abstractNumId w:val="24"/>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1"/>
  </w:num>
  <w:num w:numId="10">
    <w:abstractNumId w:val="8"/>
  </w:num>
  <w:num w:numId="11">
    <w:abstractNumId w:val="6"/>
  </w:num>
  <w:num w:numId="12">
    <w:abstractNumId w:val="0"/>
  </w:num>
  <w:num w:numId="13">
    <w:abstractNumId w:val="27"/>
  </w:num>
  <w:num w:numId="14">
    <w:abstractNumId w:val="2"/>
  </w:num>
  <w:num w:numId="15">
    <w:abstractNumId w:val="3"/>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2"/>
  </w:num>
  <w:num w:numId="19">
    <w:abstractNumId w:val="4"/>
  </w:num>
  <w:num w:numId="20">
    <w:abstractNumId w:val="19"/>
  </w:num>
  <w:num w:numId="21">
    <w:abstractNumId w:val="17"/>
  </w:num>
  <w:num w:numId="22">
    <w:abstractNumId w:val="22"/>
  </w:num>
  <w:num w:numId="23">
    <w:abstractNumId w:val="25"/>
  </w:num>
  <w:num w:numId="24">
    <w:abstractNumId w:val="23"/>
  </w:num>
  <w:num w:numId="25">
    <w:abstractNumId w:val="1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9"/>
  </w:num>
  <w:num w:numId="29">
    <w:abstractNumId w:val="13"/>
  </w:num>
  <w:num w:numId="30">
    <w:abstractNumId w:val="26"/>
  </w:num>
  <w:num w:numId="31">
    <w:abstractNumId w:val="28"/>
  </w:num>
  <w:num w:numId="3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0E"/>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96"/>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22B8"/>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B5F"/>
    <w:rsid w:val="003B7AA0"/>
    <w:rsid w:val="003C0396"/>
    <w:rsid w:val="003C04E5"/>
    <w:rsid w:val="003C0544"/>
    <w:rsid w:val="003C0C03"/>
    <w:rsid w:val="003C0C4B"/>
    <w:rsid w:val="003C0F0A"/>
    <w:rsid w:val="003C20B9"/>
    <w:rsid w:val="003C22CD"/>
    <w:rsid w:val="003C2568"/>
    <w:rsid w:val="003C287D"/>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2D21"/>
    <w:rsid w:val="003F38D6"/>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467"/>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BB6"/>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AC"/>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4E3"/>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56F"/>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8BF"/>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75D"/>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5E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8D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8BA"/>
    <w:rsid w:val="00732FA0"/>
    <w:rsid w:val="007330C3"/>
    <w:rsid w:val="0073311C"/>
    <w:rsid w:val="007344E5"/>
    <w:rsid w:val="007347F5"/>
    <w:rsid w:val="0073525E"/>
    <w:rsid w:val="007353F0"/>
    <w:rsid w:val="007353F7"/>
    <w:rsid w:val="00735930"/>
    <w:rsid w:val="00735F72"/>
    <w:rsid w:val="00736B73"/>
    <w:rsid w:val="00736C06"/>
    <w:rsid w:val="00736CE0"/>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1A5"/>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5FF"/>
    <w:rsid w:val="00861605"/>
    <w:rsid w:val="0086186F"/>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4CC7"/>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0CB2"/>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2B4"/>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235"/>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60B"/>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1022"/>
    <w:rsid w:val="00AA140F"/>
    <w:rsid w:val="00AA1743"/>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63"/>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FBB"/>
    <w:rsid w:val="00B96406"/>
    <w:rsid w:val="00B9650D"/>
    <w:rsid w:val="00B966F1"/>
    <w:rsid w:val="00B97192"/>
    <w:rsid w:val="00B97419"/>
    <w:rsid w:val="00B97883"/>
    <w:rsid w:val="00B97A0D"/>
    <w:rsid w:val="00BA0A3E"/>
    <w:rsid w:val="00BA0C05"/>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2DA"/>
    <w:rsid w:val="00BC770A"/>
    <w:rsid w:val="00BD0542"/>
    <w:rsid w:val="00BD05CA"/>
    <w:rsid w:val="00BD0F19"/>
    <w:rsid w:val="00BD13F2"/>
    <w:rsid w:val="00BD1E82"/>
    <w:rsid w:val="00BD2183"/>
    <w:rsid w:val="00BD23E1"/>
    <w:rsid w:val="00BD2733"/>
    <w:rsid w:val="00BD2AE7"/>
    <w:rsid w:val="00BD3A1B"/>
    <w:rsid w:val="00BD3D97"/>
    <w:rsid w:val="00BD44FE"/>
    <w:rsid w:val="00BD4B33"/>
    <w:rsid w:val="00BD4F5C"/>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761"/>
    <w:rsid w:val="00C30DCA"/>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07B"/>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C7F"/>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6F0"/>
    <w:rsid w:val="00CF5A72"/>
    <w:rsid w:val="00CF5B6A"/>
    <w:rsid w:val="00CF6421"/>
    <w:rsid w:val="00CF7515"/>
    <w:rsid w:val="00D00664"/>
    <w:rsid w:val="00D00A64"/>
    <w:rsid w:val="00D00B6E"/>
    <w:rsid w:val="00D014AE"/>
    <w:rsid w:val="00D01D8E"/>
    <w:rsid w:val="00D023BF"/>
    <w:rsid w:val="00D0320A"/>
    <w:rsid w:val="00D034AE"/>
    <w:rsid w:val="00D03D86"/>
    <w:rsid w:val="00D03F29"/>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634"/>
    <w:rsid w:val="00D31BB0"/>
    <w:rsid w:val="00D31DB2"/>
    <w:rsid w:val="00D32EE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635"/>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81"/>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8B2"/>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9D0995A7-CFFD-43C3-8FA4-AE05F97E2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F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2A0A6-9F24-42D8-9F41-0DB0EB651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11293</Words>
  <Characters>62112</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3</cp:revision>
  <cp:lastPrinted>2020-10-13T18:54:00Z</cp:lastPrinted>
  <dcterms:created xsi:type="dcterms:W3CDTF">2021-01-18T16:42:00Z</dcterms:created>
  <dcterms:modified xsi:type="dcterms:W3CDTF">2021-01-18T16:43:00Z</dcterms:modified>
</cp:coreProperties>
</file>