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760D2A">
        <w:rPr>
          <w:rFonts w:ascii="Palatino Linotype" w:eastAsia="Times New Roman" w:hAnsi="Palatino Linotype" w:cs="Arial"/>
          <w:color w:val="000000"/>
          <w:sz w:val="24"/>
          <w:szCs w:val="24"/>
          <w:lang w:eastAsia="es-MX"/>
        </w:rPr>
        <w:t>doce de agosto</w:t>
      </w:r>
      <w:r w:rsidR="009566A9">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CA0738">
        <w:rPr>
          <w:rFonts w:ascii="Palatino Linotype" w:hAnsi="Palatino Linotype" w:cs="Arial"/>
          <w:b/>
          <w:bCs/>
          <w:sz w:val="24"/>
          <w:lang w:eastAsia="es-MX"/>
        </w:rPr>
        <w:t>0870/INFOEM/IP/RR/2020</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1E636A">
        <w:rPr>
          <w:rFonts w:ascii="Palatino Linotype" w:hAnsi="Palatino Linotype" w:cs="Arial"/>
          <w:b/>
          <w:sz w:val="24"/>
        </w:rPr>
        <w:t>xxxxxxxxxxxxxxxxxxxxxxxxxxxx</w:t>
      </w:r>
      <w:bookmarkStart w:id="0" w:name="_GoBack"/>
      <w:bookmarkEnd w:id="0"/>
      <w:r w:rsidR="00CA0738">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59073D" w:rsidRPr="0059073D">
        <w:rPr>
          <w:rFonts w:ascii="Palatino Linotype" w:hAnsi="Palatino Linotype" w:cs="Arial"/>
          <w:b/>
          <w:sz w:val="24"/>
          <w:szCs w:val="24"/>
        </w:rPr>
        <w:t xml:space="preserve">Ayuntamiento de </w:t>
      </w:r>
      <w:r w:rsidR="007A2478">
        <w:rPr>
          <w:rFonts w:ascii="Palatino Linotype" w:hAnsi="Palatino Linotype" w:cs="Arial"/>
          <w:b/>
          <w:sz w:val="24"/>
          <w:szCs w:val="24"/>
        </w:rPr>
        <w:t>Santo</w:t>
      </w:r>
      <w:r w:rsidR="00CA0738">
        <w:rPr>
          <w:rFonts w:ascii="Palatino Linotype" w:hAnsi="Palatino Linotype" w:cs="Arial"/>
          <w:b/>
          <w:sz w:val="24"/>
          <w:szCs w:val="24"/>
        </w:rPr>
        <w:t xml:space="preserve"> Tomás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7752A2">
        <w:rPr>
          <w:rFonts w:ascii="Palatino Linotype" w:hAnsi="Palatino Linotype" w:cs="Arial"/>
          <w:sz w:val="24"/>
        </w:rPr>
        <w:t xml:space="preserve"> </w:t>
      </w:r>
      <w:r w:rsidR="00CA0738">
        <w:rPr>
          <w:rFonts w:ascii="Palatino Linotype" w:hAnsi="Palatino Linotype" w:cs="Arial"/>
          <w:sz w:val="24"/>
        </w:rPr>
        <w:t>cuatro de febrero de dos mil veinte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w:t>
      </w:r>
      <w:r w:rsidR="001851A3">
        <w:rPr>
          <w:rFonts w:ascii="Palatino Linotype" w:hAnsi="Palatino Linotype" w:cs="Arial"/>
          <w:sz w:val="24"/>
        </w:rPr>
        <w:t>sentó a través de la Plataforma Nacional de Transparencia</w:t>
      </w:r>
      <w:r>
        <w:rPr>
          <w:rFonts w:ascii="Palatino Linotype" w:hAnsi="Palatino Linotype" w:cs="Arial"/>
          <w:sz w:val="24"/>
        </w:rPr>
        <w:t xml:space="preserve"> (</w:t>
      </w:r>
      <w:r w:rsidR="001851A3">
        <w:rPr>
          <w:rFonts w:ascii="Palatino Linotype" w:hAnsi="Palatino Linotype" w:cs="Arial"/>
          <w:b/>
          <w:sz w:val="24"/>
        </w:rPr>
        <w:t>PTN</w:t>
      </w:r>
      <w:r>
        <w:rPr>
          <w:rFonts w:ascii="Palatino Linotype" w:hAnsi="Palatino Linotype" w:cs="Arial"/>
          <w:b/>
          <w:sz w:val="24"/>
        </w:rPr>
        <w:t>)</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A0738" w:rsidRPr="00CA0738">
        <w:rPr>
          <w:rFonts w:ascii="Palatino Linotype" w:hAnsi="Palatino Linotype" w:cs="Arial"/>
          <w:b/>
          <w:sz w:val="24"/>
        </w:rPr>
        <w:t>00254/SANTOTOM/IP/2020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CA0738" w:rsidRPr="00CA0738">
        <w:rPr>
          <w:rFonts w:ascii="Palatino Linotype" w:hAnsi="Palatino Linotype"/>
          <w:i/>
          <w:color w:val="000000"/>
        </w:rPr>
        <w:t>Solicito conocer el grado de estudios del presidente municipal y de los miembros del cabildo y regidores.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F7763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CA0738">
        <w:rPr>
          <w:rFonts w:ascii="Palatino Linotype" w:hAnsi="Palatino Linotype" w:cs="Arial"/>
          <w:sz w:val="24"/>
        </w:rPr>
        <w:t>cu</w:t>
      </w:r>
      <w:r w:rsidR="007A2478">
        <w:rPr>
          <w:rFonts w:ascii="Palatino Linotype" w:hAnsi="Palatino Linotype" w:cs="Arial"/>
          <w:sz w:val="24"/>
        </w:rPr>
        <w:t>a</w:t>
      </w:r>
      <w:r w:rsidR="00CA0738">
        <w:rPr>
          <w:rFonts w:ascii="Palatino Linotype" w:hAnsi="Palatino Linotype" w:cs="Arial"/>
          <w:sz w:val="24"/>
        </w:rPr>
        <w:t>tro de febrero de dos mil veinte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 xml:space="preserve">adjuntando para tal efecto </w:t>
      </w:r>
      <w:r w:rsidR="00E03B09">
        <w:rPr>
          <w:rFonts w:ascii="Palatino Linotype" w:hAnsi="Palatino Linotype" w:cs="Arial"/>
          <w:sz w:val="24"/>
        </w:rPr>
        <w:t>el</w:t>
      </w:r>
      <w:r w:rsidR="00F77632">
        <w:rPr>
          <w:rFonts w:ascii="Palatino Linotype" w:hAnsi="Palatino Linotype" w:cs="Arial"/>
          <w:sz w:val="24"/>
        </w:rPr>
        <w:t xml:space="preserve"> archivo denominado </w:t>
      </w:r>
      <w:r w:rsidR="00F77632" w:rsidRPr="0059073D">
        <w:rPr>
          <w:rFonts w:ascii="Palatino Linotype" w:hAnsi="Palatino Linotype" w:cs="Arial"/>
          <w:sz w:val="24"/>
          <w:u w:val="single"/>
        </w:rPr>
        <w:t>“</w:t>
      </w:r>
      <w:r w:rsidR="00CA0738" w:rsidRPr="00CA0738">
        <w:rPr>
          <w:rFonts w:ascii="Palatino Linotype" w:hAnsi="Palatino Linotype" w:cs="Arial"/>
          <w:sz w:val="24"/>
          <w:u w:val="single"/>
        </w:rPr>
        <w:t>RESPUESTA_00254.pdf</w:t>
      </w:r>
      <w:r w:rsidR="00F77632" w:rsidRPr="0059073D">
        <w:rPr>
          <w:rFonts w:ascii="Palatino Linotype" w:hAnsi="Palatino Linotype" w:cs="Arial"/>
          <w:sz w:val="24"/>
          <w:u w:val="single"/>
        </w:rPr>
        <w:t>”</w:t>
      </w:r>
      <w:r w:rsidR="00CA0738">
        <w:rPr>
          <w:rFonts w:ascii="Palatino Linotype" w:hAnsi="Palatino Linotype" w:cs="Arial"/>
          <w:sz w:val="24"/>
        </w:rPr>
        <w:t>, el cual se tiene por reproducido</w:t>
      </w:r>
      <w:r w:rsidR="008C0698">
        <w:rPr>
          <w:rFonts w:ascii="Palatino Linotype" w:hAnsi="Palatino Linotype" w:cs="Arial"/>
          <w:sz w:val="24"/>
        </w:rPr>
        <w:t xml:space="preserve"> al ser del conocimiento de las partes.</w:t>
      </w:r>
    </w:p>
    <w:tbl>
      <w:tblPr>
        <w:tblW w:w="8024" w:type="dxa"/>
        <w:jc w:val="center"/>
        <w:tblCellSpacing w:w="0" w:type="dxa"/>
        <w:tblCellMar>
          <w:left w:w="0" w:type="dxa"/>
          <w:right w:w="0" w:type="dxa"/>
        </w:tblCellMar>
        <w:tblLook w:val="04A0" w:firstRow="1" w:lastRow="0" w:firstColumn="1" w:lastColumn="0" w:noHBand="0" w:noVBand="1"/>
      </w:tblPr>
      <w:tblGrid>
        <w:gridCol w:w="8024"/>
      </w:tblGrid>
      <w:tr w:rsidR="00CA0738" w:rsidRPr="00CA0738" w:rsidTr="00CA0738">
        <w:trPr>
          <w:trHeight w:val="317"/>
          <w:tblCellSpacing w:w="0" w:type="dxa"/>
          <w:jc w:val="center"/>
        </w:trPr>
        <w:tc>
          <w:tcPr>
            <w:tcW w:w="0" w:type="auto"/>
            <w:vAlign w:val="center"/>
            <w:hideMark/>
          </w:tcPr>
          <w:p w:rsidR="00CA0738" w:rsidRPr="00CA0738" w:rsidRDefault="00CA0738" w:rsidP="00CA0738">
            <w:pPr>
              <w:spacing w:after="0" w:line="240" w:lineRule="auto"/>
              <w:jc w:val="right"/>
              <w:rPr>
                <w:rFonts w:ascii="Times New Roman" w:eastAsia="Times New Roman" w:hAnsi="Times New Roman" w:cs="Times New Roman"/>
                <w:sz w:val="24"/>
                <w:szCs w:val="24"/>
                <w:lang w:eastAsia="es-MX"/>
              </w:rPr>
            </w:pPr>
            <w:r w:rsidRPr="00CA0738">
              <w:rPr>
                <w:rFonts w:ascii="Verdana" w:eastAsia="Times New Roman" w:hAnsi="Verdana" w:cs="Times New Roman"/>
                <w:sz w:val="18"/>
                <w:szCs w:val="18"/>
                <w:lang w:eastAsia="es-MX"/>
              </w:rPr>
              <w:t>Folio de la solicitud: 00254/SANTOTOM/IP/2020</w:t>
            </w:r>
          </w:p>
        </w:tc>
      </w:tr>
      <w:tr w:rsidR="00CA0738" w:rsidRPr="00CA0738" w:rsidTr="00CA0738">
        <w:trPr>
          <w:trHeight w:val="476"/>
          <w:tblCellSpacing w:w="0" w:type="dxa"/>
          <w:jc w:val="center"/>
        </w:trPr>
        <w:tc>
          <w:tcPr>
            <w:tcW w:w="0" w:type="auto"/>
            <w:vAlign w:val="center"/>
            <w:hideMark/>
          </w:tcPr>
          <w:p w:rsidR="00CA0738" w:rsidRPr="00CA0738" w:rsidRDefault="00CA0738" w:rsidP="00CA0738">
            <w:pPr>
              <w:spacing w:after="0" w:line="240" w:lineRule="auto"/>
              <w:jc w:val="right"/>
              <w:rPr>
                <w:rFonts w:ascii="Times New Roman" w:eastAsia="Times New Roman" w:hAnsi="Times New Roman" w:cs="Times New Roman"/>
                <w:sz w:val="24"/>
                <w:szCs w:val="24"/>
                <w:lang w:eastAsia="es-MX"/>
              </w:rPr>
            </w:pPr>
          </w:p>
        </w:tc>
      </w:tr>
      <w:tr w:rsidR="00CA0738" w:rsidRPr="00CA0738" w:rsidTr="00CA0738">
        <w:trPr>
          <w:trHeight w:val="158"/>
          <w:tblCellSpacing w:w="0" w:type="dxa"/>
          <w:jc w:val="center"/>
        </w:trPr>
        <w:tc>
          <w:tcPr>
            <w:tcW w:w="0" w:type="auto"/>
            <w:vAlign w:val="center"/>
            <w:hideMark/>
          </w:tcPr>
          <w:p w:rsidR="00CA0738" w:rsidRPr="00CA0738" w:rsidRDefault="00CA0738" w:rsidP="00CA0738">
            <w:pPr>
              <w:spacing w:after="0" w:line="240" w:lineRule="auto"/>
              <w:jc w:val="center"/>
              <w:rPr>
                <w:rFonts w:ascii="Times New Roman" w:eastAsia="Times New Roman" w:hAnsi="Times New Roman" w:cs="Times New Roman"/>
                <w:sz w:val="20"/>
                <w:szCs w:val="20"/>
                <w:lang w:eastAsia="es-MX"/>
              </w:rPr>
            </w:pPr>
          </w:p>
        </w:tc>
      </w:tr>
      <w:tr w:rsidR="00CA0738" w:rsidRPr="00CA0738" w:rsidTr="00CA0738">
        <w:trPr>
          <w:trHeight w:val="397"/>
          <w:tblCellSpacing w:w="0" w:type="dxa"/>
          <w:jc w:val="center"/>
        </w:trPr>
        <w:tc>
          <w:tcPr>
            <w:tcW w:w="0" w:type="auto"/>
            <w:vAlign w:val="center"/>
            <w:hideMark/>
          </w:tcPr>
          <w:p w:rsidR="00CA0738" w:rsidRPr="00CA0738" w:rsidRDefault="00CA0738" w:rsidP="00CA0738">
            <w:pPr>
              <w:spacing w:after="0" w:line="240" w:lineRule="auto"/>
              <w:rPr>
                <w:rFonts w:ascii="Times New Roman" w:eastAsia="Times New Roman" w:hAnsi="Times New Roman" w:cs="Times New Roman"/>
                <w:sz w:val="20"/>
                <w:szCs w:val="20"/>
                <w:lang w:eastAsia="es-MX"/>
              </w:rPr>
            </w:pPr>
          </w:p>
        </w:tc>
      </w:tr>
      <w:tr w:rsidR="00CA0738" w:rsidRPr="00CA0738" w:rsidTr="00CA0738">
        <w:trPr>
          <w:trHeight w:val="158"/>
          <w:tblCellSpacing w:w="0" w:type="dxa"/>
          <w:jc w:val="center"/>
        </w:trPr>
        <w:tc>
          <w:tcPr>
            <w:tcW w:w="0" w:type="auto"/>
            <w:vAlign w:val="center"/>
            <w:hideMark/>
          </w:tcPr>
          <w:p w:rsidR="00CA0738" w:rsidRPr="00CA0738" w:rsidRDefault="00CA0738" w:rsidP="00CA0738">
            <w:pPr>
              <w:spacing w:after="0" w:line="240" w:lineRule="auto"/>
              <w:rPr>
                <w:rFonts w:ascii="Times New Roman" w:eastAsia="Times New Roman" w:hAnsi="Times New Roman" w:cs="Times New Roman"/>
                <w:sz w:val="24"/>
                <w:szCs w:val="24"/>
                <w:lang w:eastAsia="es-MX"/>
              </w:rPr>
            </w:pPr>
            <w:r w:rsidRPr="00CA0738">
              <w:rPr>
                <w:rFonts w:ascii="Verdana" w:eastAsia="Times New Roman" w:hAnsi="Verdana" w:cs="Times New Roman"/>
                <w:sz w:val="18"/>
                <w:szCs w:val="18"/>
                <w:lang w:eastAsia="es-MX"/>
              </w:rPr>
              <w:t xml:space="preserve">2020 “Año de Laura Méndez de Cuenca; emblema de la mujer Mexiquense” Santo Tomás, Estado de México a 04 de Febrero del 2020 NÚM. DE FOLIO DE SOLICITUD: 00254/SANTOTOM/IP/2020 PETICIONARIO: C. SOLICITANTE DE INFORMACIÓN SUJETO OBLIGADO: AYUNTAMIENTO DE SANTO TOMÁS C. SOLICITANTE DE INFORMACIÓN PRESENTE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Al respecto, hago de su conocimiento que la información solicitada es Pública y puede ser localizada en el Portal web del </w:t>
            </w:r>
            <w:proofErr w:type="spellStart"/>
            <w:r w:rsidRPr="00CA0738">
              <w:rPr>
                <w:rFonts w:ascii="Verdana" w:eastAsia="Times New Roman" w:hAnsi="Verdana" w:cs="Times New Roman"/>
                <w:sz w:val="18"/>
                <w:szCs w:val="18"/>
                <w:lang w:eastAsia="es-MX"/>
              </w:rPr>
              <w:t>Ipomex</w:t>
            </w:r>
            <w:proofErr w:type="spellEnd"/>
            <w:r w:rsidRPr="00CA0738">
              <w:rPr>
                <w:rFonts w:ascii="Verdana" w:eastAsia="Times New Roman" w:hAnsi="Verdana" w:cs="Times New Roman"/>
                <w:sz w:val="18"/>
                <w:szCs w:val="18"/>
                <w:lang w:eastAsia="es-MX"/>
              </w:rPr>
              <w:t xml:space="preserve"> del Ayuntamiento de Santo Tomás, le proporciono el siguiente link para su propia consulta. https://www.ipomex.org.mx/ipo3/lgt/indice/SANTOTOMAS/art_92_xxi/1.web ATENTAMENTE Nicolás Fernando Calvario Ortega</w:t>
            </w:r>
          </w:p>
        </w:tc>
      </w:tr>
      <w:tr w:rsidR="00CA0738" w:rsidRPr="00CA0738" w:rsidTr="00CA0738">
        <w:trPr>
          <w:trHeight w:val="397"/>
          <w:tblCellSpacing w:w="0" w:type="dxa"/>
          <w:jc w:val="center"/>
        </w:trPr>
        <w:tc>
          <w:tcPr>
            <w:tcW w:w="0" w:type="auto"/>
            <w:vAlign w:val="center"/>
            <w:hideMark/>
          </w:tcPr>
          <w:p w:rsidR="00CA0738" w:rsidRPr="00CA0738" w:rsidRDefault="00CA0738" w:rsidP="00CA0738">
            <w:pPr>
              <w:spacing w:after="0" w:line="240" w:lineRule="auto"/>
              <w:rPr>
                <w:rFonts w:ascii="Times New Roman" w:eastAsia="Times New Roman" w:hAnsi="Times New Roman" w:cs="Times New Roman"/>
                <w:sz w:val="24"/>
                <w:szCs w:val="24"/>
                <w:lang w:eastAsia="es-MX"/>
              </w:rPr>
            </w:pPr>
          </w:p>
        </w:tc>
      </w:tr>
      <w:tr w:rsidR="00CA0738" w:rsidRPr="00CA0738" w:rsidTr="00CA0738">
        <w:trPr>
          <w:trHeight w:val="158"/>
          <w:tblCellSpacing w:w="0" w:type="dxa"/>
          <w:jc w:val="center"/>
        </w:trPr>
        <w:tc>
          <w:tcPr>
            <w:tcW w:w="0" w:type="auto"/>
            <w:vAlign w:val="center"/>
            <w:hideMark/>
          </w:tcPr>
          <w:p w:rsidR="00CA0738" w:rsidRPr="00CA0738" w:rsidRDefault="00CA0738" w:rsidP="00CA0738">
            <w:pPr>
              <w:spacing w:after="0" w:line="240" w:lineRule="auto"/>
              <w:jc w:val="center"/>
              <w:rPr>
                <w:rFonts w:ascii="Times New Roman" w:eastAsia="Times New Roman" w:hAnsi="Times New Roman" w:cs="Times New Roman"/>
                <w:sz w:val="20"/>
                <w:szCs w:val="20"/>
                <w:lang w:eastAsia="es-MX"/>
              </w:rPr>
            </w:pPr>
          </w:p>
        </w:tc>
      </w:tr>
      <w:tr w:rsidR="00CA0738" w:rsidRPr="00CA0738" w:rsidTr="00CA0738">
        <w:trPr>
          <w:trHeight w:val="158"/>
          <w:tblCellSpacing w:w="0" w:type="dxa"/>
          <w:jc w:val="center"/>
        </w:trPr>
        <w:tc>
          <w:tcPr>
            <w:tcW w:w="0" w:type="auto"/>
            <w:vAlign w:val="center"/>
            <w:hideMark/>
          </w:tcPr>
          <w:p w:rsidR="00CA0738" w:rsidRPr="00CA0738" w:rsidRDefault="00CA0738" w:rsidP="00CA0738">
            <w:pPr>
              <w:spacing w:after="0" w:line="240" w:lineRule="auto"/>
              <w:rPr>
                <w:rFonts w:ascii="Times New Roman" w:eastAsia="Times New Roman" w:hAnsi="Times New Roman" w:cs="Times New Roman"/>
                <w:sz w:val="20"/>
                <w:szCs w:val="20"/>
                <w:lang w:eastAsia="es-MX"/>
              </w:rPr>
            </w:pPr>
          </w:p>
        </w:tc>
      </w:tr>
      <w:tr w:rsidR="00CA0738" w:rsidRPr="00CA0738" w:rsidTr="00CA0738">
        <w:trPr>
          <w:trHeight w:val="158"/>
          <w:tblCellSpacing w:w="0" w:type="dxa"/>
          <w:jc w:val="center"/>
        </w:trPr>
        <w:tc>
          <w:tcPr>
            <w:tcW w:w="0" w:type="auto"/>
            <w:vAlign w:val="center"/>
            <w:hideMark/>
          </w:tcPr>
          <w:p w:rsidR="00CA0738" w:rsidRPr="00CA0738" w:rsidRDefault="00CA0738" w:rsidP="00CA0738">
            <w:pPr>
              <w:spacing w:after="0" w:line="240" w:lineRule="auto"/>
              <w:rPr>
                <w:rFonts w:ascii="Times New Roman" w:eastAsia="Times New Roman" w:hAnsi="Times New Roman" w:cs="Times New Roman"/>
                <w:sz w:val="24"/>
                <w:szCs w:val="24"/>
                <w:lang w:eastAsia="es-MX"/>
              </w:rPr>
            </w:pPr>
            <w:r w:rsidRPr="00CA0738">
              <w:rPr>
                <w:rFonts w:ascii="Verdana" w:eastAsia="Times New Roman" w:hAnsi="Verdana" w:cs="Times New Roman"/>
                <w:sz w:val="18"/>
                <w:szCs w:val="18"/>
                <w:lang w:eastAsia="es-MX"/>
              </w:rPr>
              <w:t>ATENTAMENTE</w:t>
            </w:r>
          </w:p>
        </w:tc>
      </w:tr>
      <w:tr w:rsidR="00CA0738" w:rsidRPr="00CA0738" w:rsidTr="00CA0738">
        <w:trPr>
          <w:trHeight w:val="238"/>
          <w:tblCellSpacing w:w="0" w:type="dxa"/>
          <w:jc w:val="center"/>
        </w:trPr>
        <w:tc>
          <w:tcPr>
            <w:tcW w:w="0" w:type="auto"/>
            <w:vAlign w:val="center"/>
            <w:hideMark/>
          </w:tcPr>
          <w:p w:rsidR="00CA0738" w:rsidRPr="00CA0738" w:rsidRDefault="00CA0738" w:rsidP="00CA0738">
            <w:pPr>
              <w:spacing w:after="0" w:line="240" w:lineRule="auto"/>
              <w:rPr>
                <w:rFonts w:ascii="Times New Roman" w:eastAsia="Times New Roman" w:hAnsi="Times New Roman" w:cs="Times New Roman"/>
                <w:sz w:val="24"/>
                <w:szCs w:val="24"/>
                <w:lang w:eastAsia="es-MX"/>
              </w:rPr>
            </w:pPr>
          </w:p>
        </w:tc>
      </w:tr>
      <w:tr w:rsidR="00CA0738" w:rsidRPr="00CA0738" w:rsidTr="00CA0738">
        <w:trPr>
          <w:trHeight w:val="158"/>
          <w:tblCellSpacing w:w="0" w:type="dxa"/>
          <w:jc w:val="center"/>
        </w:trPr>
        <w:tc>
          <w:tcPr>
            <w:tcW w:w="0" w:type="auto"/>
            <w:vAlign w:val="center"/>
            <w:hideMark/>
          </w:tcPr>
          <w:p w:rsidR="00CA0738" w:rsidRPr="00CA0738" w:rsidRDefault="00CA0738" w:rsidP="00CA0738">
            <w:pPr>
              <w:spacing w:after="0" w:line="240" w:lineRule="auto"/>
              <w:rPr>
                <w:rFonts w:ascii="Times New Roman" w:eastAsia="Times New Roman" w:hAnsi="Times New Roman" w:cs="Times New Roman"/>
                <w:sz w:val="24"/>
                <w:szCs w:val="24"/>
                <w:lang w:eastAsia="es-MX"/>
              </w:rPr>
            </w:pPr>
            <w:r w:rsidRPr="00CA0738">
              <w:rPr>
                <w:rFonts w:ascii="Verdana" w:eastAsia="Times New Roman" w:hAnsi="Verdana" w:cs="Times New Roman"/>
                <w:sz w:val="18"/>
                <w:szCs w:val="18"/>
                <w:lang w:eastAsia="es-MX"/>
              </w:rPr>
              <w:t>ING. NICOLAS FERNANDO CALVARIO ORTEGA</w:t>
            </w:r>
          </w:p>
        </w:tc>
      </w:tr>
    </w:tbl>
    <w:p w:rsidR="00CA0738" w:rsidRDefault="00CA0738" w:rsidP="008C0698">
      <w:pPr>
        <w:spacing w:before="240" w:line="360" w:lineRule="auto"/>
        <w:jc w:val="both"/>
        <w:rPr>
          <w:rFonts w:ascii="Palatino Linotype" w:hAnsi="Palatino Linotype" w:cs="Arial"/>
          <w:b/>
          <w:sz w:val="28"/>
        </w:rPr>
      </w:pPr>
    </w:p>
    <w:p w:rsidR="00E15E85" w:rsidRPr="00441A94" w:rsidRDefault="00E15E85" w:rsidP="008C0698">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CA0738">
        <w:rPr>
          <w:rFonts w:ascii="Palatino Linotype" w:hAnsi="Palatino Linotype" w:cs="Arial"/>
          <w:sz w:val="24"/>
          <w:szCs w:val="24"/>
        </w:rPr>
        <w:t>cinco de febrero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w:t>
      </w:r>
      <w:r w:rsidRPr="0096643B">
        <w:rPr>
          <w:rFonts w:ascii="Palatino Linotype" w:hAnsi="Palatino Linotype" w:cs="Arial"/>
          <w:sz w:val="24"/>
          <w:szCs w:val="24"/>
        </w:rPr>
        <w:lastRenderedPageBreak/>
        <w:t xml:space="preserve">electrónico con el expediente número </w:t>
      </w:r>
      <w:r w:rsidR="006200A2">
        <w:rPr>
          <w:rFonts w:ascii="Palatino Linotype" w:hAnsi="Palatino Linotype" w:cs="Arial"/>
          <w:b/>
          <w:bCs/>
          <w:sz w:val="24"/>
          <w:szCs w:val="24"/>
          <w:lang w:eastAsia="es-MX"/>
        </w:rPr>
        <w:t>0</w:t>
      </w:r>
      <w:r w:rsidR="00CA0738">
        <w:rPr>
          <w:rFonts w:ascii="Palatino Linotype" w:hAnsi="Palatino Linotype" w:cs="Arial"/>
          <w:b/>
          <w:bCs/>
          <w:sz w:val="24"/>
          <w:szCs w:val="24"/>
          <w:lang w:eastAsia="es-MX"/>
        </w:rPr>
        <w:t>0870/INFOEM/IP/RR/2020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CA0738" w:rsidRPr="00CA0738">
        <w:rPr>
          <w:rFonts w:ascii="Palatino Linotype" w:hAnsi="Palatino Linotype"/>
          <w:i/>
          <w:color w:val="000000"/>
        </w:rPr>
        <w:t>Inconformidad</w:t>
      </w:r>
      <w:r w:rsidR="00CA0738">
        <w:rPr>
          <w:rFonts w:ascii="Palatino Linotype" w:hAnsi="Palatino Linotype"/>
          <w:i/>
          <w:color w:val="000000"/>
        </w:rPr>
        <w:t xml:space="preserve">” </w:t>
      </w:r>
      <w:r w:rsidR="00B165EF" w:rsidRPr="00B165EF">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CA0738" w:rsidRPr="00CA0738">
        <w:rPr>
          <w:rFonts w:ascii="Palatino Linotype" w:hAnsi="Palatino Linotype" w:cs="Arial"/>
          <w:i/>
        </w:rPr>
        <w:t>Inconformidad</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59073D"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1851A3">
        <w:rPr>
          <w:rFonts w:ascii="Palatino Linotype" w:hAnsi="Palatino Linotype" w:cs="Arial"/>
          <w:sz w:val="24"/>
          <w:szCs w:val="24"/>
        </w:rPr>
        <w:t>once de febrero</w:t>
      </w:r>
      <w:r w:rsidR="00E62963">
        <w:rPr>
          <w:rFonts w:ascii="Palatino Linotype" w:hAnsi="Palatino Linotype" w:cs="Arial"/>
          <w:sz w:val="24"/>
          <w:szCs w:val="24"/>
        </w:rPr>
        <w:t xml:space="preserv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1851A3">
        <w:rPr>
          <w:rFonts w:ascii="Palatino Linotype" w:hAnsi="Palatino Linotype" w:cs="Arial"/>
          <w:sz w:val="24"/>
          <w:szCs w:val="24"/>
        </w:rPr>
        <w:t>trece</w:t>
      </w:r>
      <w:r w:rsidR="00CA0738">
        <w:rPr>
          <w:rFonts w:ascii="Palatino Linotype" w:hAnsi="Palatino Linotype" w:cs="Arial"/>
          <w:sz w:val="24"/>
          <w:szCs w:val="24"/>
        </w:rPr>
        <w:t xml:space="preserve"> de febrero de dos mil veinte</w:t>
      </w:r>
      <w:r w:rsidR="006200A2">
        <w:rPr>
          <w:rFonts w:ascii="Palatino Linotype" w:hAnsi="Palatino Linotype" w:cs="Arial"/>
          <w:sz w:val="24"/>
          <w:szCs w:val="24"/>
        </w:rPr>
        <w:t xml:space="preserve"> presentó su informe justificado</w:t>
      </w:r>
      <w:r w:rsidR="001851A3">
        <w:rPr>
          <w:rFonts w:ascii="Palatino Linotype" w:hAnsi="Palatino Linotype" w:cs="Arial"/>
          <w:sz w:val="24"/>
          <w:szCs w:val="24"/>
        </w:rPr>
        <w:t>, mismo que no fue puesto a la vista ya que corrobora la respuesta primigenia y no aporta información nueva</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27161A">
        <w:rPr>
          <w:rFonts w:ascii="Palatino Linotype" w:hAnsi="Palatino Linotype" w:cs="Arial"/>
          <w:sz w:val="24"/>
          <w:szCs w:val="24"/>
        </w:rPr>
        <w:t xml:space="preserve">siete de agosto dedos mil veinte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Transparencia y Acceso a la Información Pública del Estado </w:t>
      </w:r>
      <w:r w:rsidRPr="003E076B">
        <w:rPr>
          <w:rFonts w:ascii="Palatino Linotype" w:hAnsi="Palatino Linotype" w:cs="Arial"/>
          <w:sz w:val="24"/>
          <w:szCs w:val="24"/>
        </w:rPr>
        <w:lastRenderedPageBreak/>
        <w:t>de México y Municipios, iniciando el término legal para dictar resolución definitiva del asunto.</w:t>
      </w:r>
    </w:p>
    <w:p w:rsidR="006B7A47" w:rsidRDefault="006B7A47" w:rsidP="00E15E85">
      <w:pPr>
        <w:spacing w:before="240" w:line="360" w:lineRule="auto"/>
        <w:jc w:val="center"/>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w:t>
      </w:r>
      <w:r>
        <w:rPr>
          <w:rFonts w:ascii="Palatino Linotype" w:hAnsi="Palatino Linotype" w:cs="Arial"/>
        </w:rPr>
        <w:lastRenderedPageBreak/>
        <w:t xml:space="preserve">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8A7A86" w:rsidRPr="008A7A86" w:rsidRDefault="00CA0738" w:rsidP="00CA0738">
      <w:pPr>
        <w:pStyle w:val="Prrafodelista"/>
        <w:numPr>
          <w:ilvl w:val="0"/>
          <w:numId w:val="34"/>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G</w:t>
      </w:r>
      <w:r w:rsidRPr="00CA0738">
        <w:rPr>
          <w:rFonts w:ascii="Palatino Linotype" w:hAnsi="Palatino Linotype" w:cs="Arial"/>
          <w:color w:val="000000" w:themeColor="text1"/>
        </w:rPr>
        <w:t>rado de estudios del presidente municipal y de los miembros del cabildo y regidores.</w:t>
      </w:r>
      <w:r w:rsidR="00B16B3F">
        <w:rPr>
          <w:rFonts w:ascii="Palatino Linotype" w:hAnsi="Palatino Linotype" w:cs="Arial"/>
          <w:color w:val="000000" w:themeColor="text1"/>
        </w:rPr>
        <w:t xml:space="preserve"> [Sic]</w:t>
      </w:r>
    </w:p>
    <w:p w:rsidR="00A859D1" w:rsidRDefault="00630582" w:rsidP="00A859D1">
      <w:pPr>
        <w:spacing w:before="240" w:line="480" w:lineRule="auto"/>
        <w:jc w:val="both"/>
        <w:rPr>
          <w:rFonts w:ascii="Palatino Linotype" w:hAnsi="Palatino Linotype" w:cs="Arial"/>
          <w:sz w:val="24"/>
        </w:rPr>
      </w:pPr>
      <w:r>
        <w:rPr>
          <w:rFonts w:ascii="Palatino Linotype" w:hAnsi="Palatino Linotype" w:cs="Arial"/>
          <w:sz w:val="24"/>
        </w:rPr>
        <w:t>En ese sentido</w:t>
      </w:r>
      <w:r w:rsidR="00F3348A">
        <w:rPr>
          <w:rFonts w:ascii="Palatino Linotype" w:hAnsi="Palatino Linotype" w:cs="Arial"/>
          <w:sz w:val="24"/>
        </w:rPr>
        <w:t xml:space="preserve">, </w:t>
      </w:r>
      <w:r w:rsidR="006A1167">
        <w:rPr>
          <w:rFonts w:ascii="Palatino Linotype" w:hAnsi="Palatino Linotype" w:cs="Arial"/>
          <w:sz w:val="24"/>
        </w:rPr>
        <w:t xml:space="preserve">en el expediente electrónico </w:t>
      </w:r>
      <w:proofErr w:type="spellStart"/>
      <w:r w:rsidR="006A1167">
        <w:rPr>
          <w:rFonts w:ascii="Palatino Linotype" w:hAnsi="Palatino Linotype" w:cs="Arial"/>
          <w:sz w:val="24"/>
        </w:rPr>
        <w:t>saimex</w:t>
      </w:r>
      <w:proofErr w:type="spellEnd"/>
      <w:r w:rsidR="006A1167">
        <w:rPr>
          <w:rFonts w:ascii="Palatino Linotype" w:hAnsi="Palatino Linotype" w:cs="Arial"/>
          <w:sz w:val="24"/>
        </w:rPr>
        <w:t xml:space="preserve"> se aprecia que el Titular de la Unidad de Transparencia dio </w:t>
      </w:r>
      <w:r w:rsidR="00C63001">
        <w:rPr>
          <w:rFonts w:ascii="Palatino Linotype" w:hAnsi="Palatino Linotype" w:cs="Arial"/>
          <w:sz w:val="24"/>
        </w:rPr>
        <w:t xml:space="preserve">respuesta </w:t>
      </w:r>
      <w:r w:rsidR="008A7A86">
        <w:rPr>
          <w:rFonts w:ascii="Palatino Linotype" w:hAnsi="Palatino Linotype" w:cs="Arial"/>
          <w:sz w:val="24"/>
        </w:rPr>
        <w:t xml:space="preserve">remitiendo para tales efectos </w:t>
      </w:r>
      <w:r w:rsidR="00CA0738">
        <w:rPr>
          <w:rFonts w:ascii="Palatino Linotype" w:hAnsi="Palatino Linotype" w:cs="Arial"/>
          <w:sz w:val="24"/>
        </w:rPr>
        <w:t>el</w:t>
      </w:r>
      <w:r w:rsidR="00E62963">
        <w:rPr>
          <w:rFonts w:ascii="Palatino Linotype" w:hAnsi="Palatino Linotype" w:cs="Arial"/>
          <w:sz w:val="24"/>
        </w:rPr>
        <w:t xml:space="preserve"> documento </w:t>
      </w:r>
      <w:r w:rsidR="00A859D1" w:rsidRPr="00A859D1">
        <w:rPr>
          <w:rFonts w:ascii="Palatino Linotype" w:hAnsi="Palatino Linotype" w:cs="Arial"/>
          <w:b/>
          <w:sz w:val="24"/>
        </w:rPr>
        <w:t>“</w:t>
      </w:r>
      <w:r w:rsidR="00CA0738" w:rsidRPr="00CA0738">
        <w:rPr>
          <w:rFonts w:ascii="Palatino Linotype" w:hAnsi="Palatino Linotype" w:cs="Arial"/>
          <w:b/>
          <w:sz w:val="24"/>
        </w:rPr>
        <w:t>RESPUESTA_00254.pdf</w:t>
      </w:r>
      <w:r w:rsidR="00A859D1">
        <w:rPr>
          <w:rFonts w:ascii="Palatino Linotype" w:hAnsi="Palatino Linotype" w:cs="Arial"/>
          <w:sz w:val="24"/>
        </w:rPr>
        <w:t>”</w:t>
      </w:r>
      <w:r w:rsidR="00A859D1" w:rsidRPr="00A859D1">
        <w:rPr>
          <w:rFonts w:ascii="Palatino Linotype" w:hAnsi="Palatino Linotype" w:cs="Arial"/>
          <w:b/>
          <w:sz w:val="24"/>
        </w:rPr>
        <w:t>”</w:t>
      </w:r>
      <w:r w:rsidR="00A859D1">
        <w:rPr>
          <w:rFonts w:ascii="Palatino Linotype" w:hAnsi="Palatino Linotype" w:cs="Arial"/>
          <w:sz w:val="24"/>
        </w:rPr>
        <w:t>, lo</w:t>
      </w:r>
      <w:r w:rsidR="00CA0738">
        <w:rPr>
          <w:rFonts w:ascii="Palatino Linotype" w:hAnsi="Palatino Linotype" w:cs="Arial"/>
          <w:sz w:val="24"/>
        </w:rPr>
        <w:t>s cuales medularmente establece</w:t>
      </w:r>
      <w:r w:rsidR="00A859D1">
        <w:rPr>
          <w:rFonts w:ascii="Palatino Linotype" w:hAnsi="Palatino Linotype" w:cs="Arial"/>
          <w:sz w:val="24"/>
        </w:rPr>
        <w:t xml:space="preserve"> lo siguiente:</w:t>
      </w:r>
    </w:p>
    <w:p w:rsidR="00A859D1" w:rsidRDefault="005C5341" w:rsidP="00CA0738">
      <w:pPr>
        <w:spacing w:before="240" w:line="480" w:lineRule="auto"/>
        <w:jc w:val="both"/>
        <w:rPr>
          <w:rFonts w:ascii="Palatino Linotype" w:hAnsi="Palatino Linotype" w:cs="Arial"/>
          <w:sz w:val="24"/>
        </w:rPr>
      </w:pPr>
      <w:r>
        <w:rPr>
          <w:rFonts w:ascii="Palatino Linotype" w:hAnsi="Palatino Linotype" w:cs="Arial"/>
          <w:b/>
          <w:noProof/>
          <w:sz w:val="24"/>
          <w:lang w:eastAsia="es-MX"/>
        </w:rPr>
        <mc:AlternateContent>
          <mc:Choice Requires="wps">
            <w:drawing>
              <wp:anchor distT="0" distB="0" distL="114300" distR="114300" simplePos="0" relativeHeight="251665408" behindDoc="0" locked="0" layoutInCell="1" allowOverlap="1">
                <wp:simplePos x="0" y="0"/>
                <wp:positionH relativeFrom="column">
                  <wp:posOffset>36145</wp:posOffset>
                </wp:positionH>
                <wp:positionV relativeFrom="paragraph">
                  <wp:posOffset>1310252</wp:posOffset>
                </wp:positionV>
                <wp:extent cx="5854535" cy="1983180"/>
                <wp:effectExtent l="0" t="0" r="32385" b="36195"/>
                <wp:wrapNone/>
                <wp:docPr id="10" name="Conector recto 10"/>
                <wp:cNvGraphicFramePr/>
                <a:graphic xmlns:a="http://schemas.openxmlformats.org/drawingml/2006/main">
                  <a:graphicData uri="http://schemas.microsoft.com/office/word/2010/wordprocessingShape">
                    <wps:wsp>
                      <wps:cNvCnPr/>
                      <wps:spPr>
                        <a:xfrm>
                          <a:off x="0" y="0"/>
                          <a:ext cx="5854535" cy="1983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C11B2" id="Conector recto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pt,103.15pt" to="463.85pt,2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" strokecolor="#5b9bd5 [3204]" strokeweight=".5pt">
                <v:stroke joinstyle="miter"/>
              </v:line>
            </w:pict>
          </mc:Fallback>
        </mc:AlternateContent>
      </w:r>
      <w:r w:rsidR="00CA0738" w:rsidRPr="00CA0738">
        <w:rPr>
          <w:rFonts w:ascii="Palatino Linotype" w:hAnsi="Palatino Linotype" w:cs="Arial"/>
          <w:b/>
          <w:sz w:val="24"/>
        </w:rPr>
        <w:t>RESPUESTA_00254.pdf</w:t>
      </w:r>
      <w:r w:rsidR="00A859D1">
        <w:rPr>
          <w:rFonts w:ascii="Palatino Linotype" w:hAnsi="Palatino Linotype" w:cs="Arial"/>
          <w:sz w:val="24"/>
        </w:rPr>
        <w:t>:</w:t>
      </w:r>
      <w:r w:rsidR="00E62963">
        <w:rPr>
          <w:rFonts w:ascii="Palatino Linotype" w:hAnsi="Palatino Linotype" w:cs="Arial"/>
          <w:sz w:val="24"/>
        </w:rPr>
        <w:t xml:space="preserve"> </w:t>
      </w:r>
      <w:r w:rsidR="00A859D1">
        <w:rPr>
          <w:rFonts w:ascii="Palatino Linotype" w:hAnsi="Palatino Linotype" w:cs="Arial"/>
          <w:sz w:val="24"/>
        </w:rPr>
        <w:t>C</w:t>
      </w:r>
      <w:r w:rsidR="00DC4A63">
        <w:rPr>
          <w:rFonts w:ascii="Palatino Linotype" w:hAnsi="Palatino Linotype" w:cs="Arial"/>
          <w:sz w:val="24"/>
        </w:rPr>
        <w:t xml:space="preserve">ontiene </w:t>
      </w:r>
      <w:r w:rsidR="00CA0738">
        <w:rPr>
          <w:rFonts w:ascii="Palatino Linotype" w:hAnsi="Palatino Linotype" w:cs="Arial"/>
          <w:sz w:val="24"/>
        </w:rPr>
        <w:t>un documento en formato PDF en el cual adjunta una Liga electrónica que direcciona al portal de IPOMEX en donde se puede consu</w:t>
      </w:r>
      <w:r>
        <w:rPr>
          <w:rFonts w:ascii="Palatino Linotype" w:hAnsi="Palatino Linotype" w:cs="Arial"/>
          <w:sz w:val="24"/>
        </w:rPr>
        <w:t>ltar la información peticionada como se muestra a continuación:</w:t>
      </w:r>
    </w:p>
    <w:p w:rsidR="005C5341" w:rsidRPr="00A859D1" w:rsidRDefault="005C5341" w:rsidP="00CA0738">
      <w:pPr>
        <w:spacing w:before="240" w:line="48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753100" cy="4219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219575"/>
                    </a:xfrm>
                    <a:prstGeom prst="rect">
                      <a:avLst/>
                    </a:prstGeom>
                    <a:noFill/>
                    <a:ln>
                      <a:noFill/>
                    </a:ln>
                  </pic:spPr>
                </pic:pic>
              </a:graphicData>
            </a:graphic>
          </wp:inline>
        </w:drawing>
      </w:r>
    </w:p>
    <w:p w:rsidR="00BD19FA" w:rsidRDefault="00AC44EF" w:rsidP="00E62963">
      <w:pPr>
        <w:spacing w:before="240" w:line="360" w:lineRule="auto"/>
        <w:jc w:val="both"/>
        <w:rPr>
          <w:rFonts w:ascii="Palatino Linotype" w:hAnsi="Palatino Linotype" w:cs="Arial"/>
          <w:sz w:val="24"/>
        </w:rPr>
      </w:pPr>
      <w:r>
        <w:rPr>
          <w:rFonts w:ascii="Palatino Linotype" w:hAnsi="Palatino Linotype" w:cs="Arial"/>
          <w:sz w:val="24"/>
        </w:rPr>
        <w:t xml:space="preserve">Por su parte, el recurrente se adoleció de la respuesta proporcionada, arguyendo que </w:t>
      </w:r>
      <w:r w:rsidR="00062CDA">
        <w:rPr>
          <w:rFonts w:ascii="Palatino Linotype" w:hAnsi="Palatino Linotype" w:cs="Arial"/>
          <w:sz w:val="24"/>
        </w:rPr>
        <w:t xml:space="preserve">ésta </w:t>
      </w:r>
      <w:r w:rsidR="00CA0738">
        <w:rPr>
          <w:rFonts w:ascii="Palatino Linotype" w:hAnsi="Palatino Linotype" w:cs="Arial"/>
          <w:sz w:val="24"/>
        </w:rPr>
        <w:t>inconforme.</w:t>
      </w:r>
    </w:p>
    <w:p w:rsidR="0064105F" w:rsidRDefault="00444F0D" w:rsidP="00E62963">
      <w:pPr>
        <w:spacing w:before="240" w:line="360" w:lineRule="auto"/>
        <w:jc w:val="both"/>
        <w:rPr>
          <w:rFonts w:ascii="Palatino Linotype" w:hAnsi="Palatino Linotype" w:cs="Arial"/>
          <w:sz w:val="24"/>
        </w:rPr>
      </w:pPr>
      <w:r>
        <w:rPr>
          <w:rFonts w:ascii="Palatino Linotype" w:hAnsi="Palatino Linotype" w:cs="Arial"/>
          <w:sz w:val="24"/>
        </w:rPr>
        <w:t>Sin embargo,</w:t>
      </w:r>
      <w:r w:rsidR="005C5341">
        <w:rPr>
          <w:rFonts w:ascii="Palatino Linotype" w:hAnsi="Palatino Linotype" w:cs="Arial"/>
          <w:sz w:val="24"/>
        </w:rPr>
        <w:t xml:space="preserve"> al ingresar a la liga electrónica proporcionada se puede observar que se remite al portal IPOMEX en la </w:t>
      </w:r>
      <w:r w:rsidR="005C5341" w:rsidRPr="005C5341">
        <w:rPr>
          <w:rFonts w:ascii="Palatino Linotype" w:hAnsi="Palatino Linotype" w:cs="Arial"/>
          <w:sz w:val="24"/>
        </w:rPr>
        <w:t>FRACCIÓN XXI</w:t>
      </w:r>
      <w:r w:rsidR="005C5341">
        <w:rPr>
          <w:rFonts w:ascii="Palatino Linotype" w:hAnsi="Palatino Linotype" w:cs="Arial"/>
          <w:sz w:val="24"/>
        </w:rPr>
        <w:t>, donde se encuentra lo referente a la información solicitada por el ahora recurrente</w:t>
      </w:r>
      <w:r w:rsidR="0064105F">
        <w:rPr>
          <w:rFonts w:ascii="Palatino Linotype" w:hAnsi="Palatino Linotype" w:cs="Arial"/>
          <w:sz w:val="24"/>
        </w:rPr>
        <w:t>, a manera de ejemplo se anexan las siguientes imágenes:</w:t>
      </w:r>
    </w:p>
    <w:p w:rsidR="00444F0D" w:rsidRDefault="00444F0D" w:rsidP="00E62963">
      <w:pPr>
        <w:spacing w:before="240" w:line="360" w:lineRule="auto"/>
        <w:jc w:val="both"/>
        <w:rPr>
          <w:rFonts w:ascii="Palatino Linotype" w:hAnsi="Palatino Linotype" w:cs="Arial"/>
          <w:sz w:val="24"/>
        </w:rPr>
      </w:pPr>
      <w:r>
        <w:rPr>
          <w:rFonts w:ascii="Palatino Linotype" w:hAnsi="Palatino Linotype" w:cs="Arial"/>
          <w:sz w:val="24"/>
        </w:rPr>
        <w:t xml:space="preserve"> </w:t>
      </w:r>
    </w:p>
    <w:p w:rsidR="00333666" w:rsidRDefault="0064105F" w:rsidP="00333666">
      <w:pPr>
        <w:spacing w:before="240" w:line="360" w:lineRule="auto"/>
        <w:jc w:val="center"/>
        <w:rPr>
          <w:rFonts w:ascii="Palatino Linotype" w:hAnsi="Palatino Linotype" w:cs="Arial"/>
          <w:sz w:val="24"/>
        </w:rPr>
      </w:pPr>
      <w:r>
        <w:rPr>
          <w:noProof/>
          <w:lang w:eastAsia="es-MX"/>
        </w:rPr>
        <w:lastRenderedPageBreak/>
        <w:drawing>
          <wp:inline distT="0" distB="0" distL="0" distR="0" wp14:anchorId="47B3323B" wp14:editId="2373BE72">
            <wp:extent cx="5760720" cy="32391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39135"/>
                    </a:xfrm>
                    <a:prstGeom prst="rect">
                      <a:avLst/>
                    </a:prstGeom>
                  </pic:spPr>
                </pic:pic>
              </a:graphicData>
            </a:graphic>
          </wp:inline>
        </w:drawing>
      </w:r>
    </w:p>
    <w:p w:rsidR="00C41205" w:rsidRDefault="0064105F" w:rsidP="00333666">
      <w:pPr>
        <w:spacing w:before="240" w:line="360" w:lineRule="auto"/>
        <w:jc w:val="center"/>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66432" behindDoc="0" locked="0" layoutInCell="1" allowOverlap="1">
                <wp:simplePos x="0" y="0"/>
                <wp:positionH relativeFrom="column">
                  <wp:posOffset>71770</wp:posOffset>
                </wp:positionH>
                <wp:positionV relativeFrom="paragraph">
                  <wp:posOffset>6449</wp:posOffset>
                </wp:positionV>
                <wp:extent cx="5689469" cy="4120738"/>
                <wp:effectExtent l="0" t="0" r="26035" b="32385"/>
                <wp:wrapNone/>
                <wp:docPr id="13" name="Conector recto 13"/>
                <wp:cNvGraphicFramePr/>
                <a:graphic xmlns:a="http://schemas.openxmlformats.org/drawingml/2006/main">
                  <a:graphicData uri="http://schemas.microsoft.com/office/word/2010/wordprocessingShape">
                    <wps:wsp>
                      <wps:cNvCnPr/>
                      <wps:spPr>
                        <a:xfrm>
                          <a:off x="0" y="0"/>
                          <a:ext cx="5689469" cy="41207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F3E47" id="Conector recto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5pt,.5pt" to="453.65pt,3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" strokecolor="#5b9bd5 [3204]" strokeweight=".5pt">
                <v:stroke joinstyle="miter"/>
              </v:line>
            </w:pict>
          </mc:Fallback>
        </mc:AlternateContent>
      </w:r>
    </w:p>
    <w:p w:rsidR="001B24D5" w:rsidRDefault="0064105F" w:rsidP="00333666">
      <w:pPr>
        <w:spacing w:before="240" w:line="360" w:lineRule="auto"/>
        <w:jc w:val="center"/>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762625" cy="47053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705350"/>
                    </a:xfrm>
                    <a:prstGeom prst="rect">
                      <a:avLst/>
                    </a:prstGeom>
                    <a:noFill/>
                    <a:ln>
                      <a:noFill/>
                    </a:ln>
                  </pic:spPr>
                </pic:pic>
              </a:graphicData>
            </a:graphic>
          </wp:inline>
        </w:drawing>
      </w:r>
    </w:p>
    <w:p w:rsidR="00E100C7" w:rsidRDefault="00F23AC9" w:rsidP="00E100C7">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Sin embargo la información que se encuentra en la p</w:t>
      </w:r>
      <w:r w:rsidR="00392F32">
        <w:rPr>
          <w:rFonts w:ascii="Palatino Linotype" w:hAnsi="Palatino Linotype"/>
          <w:sz w:val="24"/>
          <w:szCs w:val="24"/>
        </w:rPr>
        <w:t>ágina en la que se anexa información referente al grado de estudios de la presidenta municipal; p</w:t>
      </w:r>
      <w:r w:rsidR="00E100C7" w:rsidRPr="00980295">
        <w:rPr>
          <w:rFonts w:ascii="Palatino Linotype" w:hAnsi="Palatino Linotype"/>
          <w:sz w:val="24"/>
          <w:szCs w:val="24"/>
        </w:rPr>
        <w:t xml:space="preserve">or cuanto hace al </w:t>
      </w:r>
      <w:r w:rsidR="00392F32">
        <w:rPr>
          <w:rFonts w:ascii="Palatino Linotype" w:hAnsi="Palatino Linotype"/>
          <w:sz w:val="24"/>
          <w:szCs w:val="24"/>
        </w:rPr>
        <w:t xml:space="preserve">grado de estudios de </w:t>
      </w:r>
      <w:r w:rsidR="00515B7F">
        <w:rPr>
          <w:rFonts w:ascii="Palatino Linotype" w:hAnsi="Palatino Linotype"/>
          <w:sz w:val="24"/>
          <w:szCs w:val="24"/>
        </w:rPr>
        <w:t>los miembros d</w:t>
      </w:r>
      <w:r w:rsidR="00A73861">
        <w:rPr>
          <w:rFonts w:ascii="Palatino Linotype" w:hAnsi="Palatino Linotype"/>
          <w:sz w:val="24"/>
          <w:szCs w:val="24"/>
        </w:rPr>
        <w:t xml:space="preserve">e cabildo y regidores, en dicha plataforma no se encentran todos, además de que en sus </w:t>
      </w:r>
      <w:r w:rsidR="00072B22">
        <w:rPr>
          <w:rFonts w:ascii="Palatino Linotype" w:hAnsi="Palatino Linotype"/>
          <w:sz w:val="24"/>
          <w:szCs w:val="24"/>
        </w:rPr>
        <w:t xml:space="preserve">archivos electrónicos se encuentra información susceptible de ser clasificada, </w:t>
      </w:r>
      <w:r w:rsidR="00E100C7">
        <w:rPr>
          <w:rFonts w:ascii="Palatino Linotype" w:hAnsi="Palatino Linotype"/>
          <w:sz w:val="24"/>
          <w:szCs w:val="24"/>
        </w:rPr>
        <w:t xml:space="preserve">respecto a dichos numerales, es posible advertir la actualización del artículo 179, fracción V de la Ley de Transparencia y Acceso a la Información Pública del Estado de México y Municipios, dispositivo jurídico cuyo contenido literal es el siguiente: </w:t>
      </w:r>
    </w:p>
    <w:p w:rsidR="00E100C7" w:rsidRPr="0019799D" w:rsidRDefault="00E100C7" w:rsidP="00E100C7">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lastRenderedPageBreak/>
        <w:t>“Artículo 179. El recurso de revisión es un medio de protección que la Ley otorga a los particulares, para hacer valer su derecho de acceso a la información pública, y procederá en contra de las siguientes causas:</w:t>
      </w:r>
    </w:p>
    <w:p w:rsidR="00E100C7" w:rsidRPr="0019799D" w:rsidRDefault="00E100C7" w:rsidP="00E100C7">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t>(…)</w:t>
      </w:r>
    </w:p>
    <w:p w:rsidR="00E100C7" w:rsidRDefault="00E100C7" w:rsidP="00E100C7">
      <w:pPr>
        <w:tabs>
          <w:tab w:val="left" w:pos="5415"/>
        </w:tabs>
        <w:spacing w:before="240" w:line="360" w:lineRule="auto"/>
        <w:ind w:left="851" w:right="851"/>
        <w:jc w:val="both"/>
        <w:rPr>
          <w:rFonts w:ascii="Palatino Linotype" w:hAnsi="Palatino Linotype"/>
          <w:b/>
          <w:i/>
        </w:rPr>
      </w:pPr>
      <w:r w:rsidRPr="0019799D">
        <w:rPr>
          <w:rFonts w:ascii="Palatino Linotype" w:hAnsi="Palatino Linotype"/>
          <w:b/>
          <w:i/>
          <w:u w:val="single"/>
        </w:rPr>
        <w:t>V. La entrega de información incompleta;”</w:t>
      </w:r>
      <w:r w:rsidRPr="0019799D">
        <w:rPr>
          <w:rFonts w:ascii="Palatino Linotype" w:hAnsi="Palatino Linotype"/>
          <w:i/>
        </w:rPr>
        <w:t xml:space="preserve"> </w:t>
      </w:r>
      <w:r w:rsidRPr="0019799D">
        <w:rPr>
          <w:rFonts w:ascii="Palatino Linotype" w:hAnsi="Palatino Linotype"/>
          <w:b/>
          <w:i/>
        </w:rPr>
        <w:t>[Sic]</w:t>
      </w:r>
    </w:p>
    <w:p w:rsidR="00E100C7" w:rsidRPr="0019799D" w:rsidRDefault="00E100C7" w:rsidP="00E100C7">
      <w:pPr>
        <w:tabs>
          <w:tab w:val="left" w:pos="5415"/>
        </w:tabs>
        <w:spacing w:before="240" w:line="360" w:lineRule="auto"/>
        <w:ind w:right="851"/>
        <w:jc w:val="both"/>
        <w:rPr>
          <w:rFonts w:ascii="Palatino Linotype" w:hAnsi="Palatino Linotype"/>
          <w:b/>
          <w:i/>
        </w:rPr>
      </w:pPr>
    </w:p>
    <w:p w:rsidR="00E100C7" w:rsidRPr="00D10070" w:rsidRDefault="00E100C7" w:rsidP="00E100C7">
      <w:pPr>
        <w:tabs>
          <w:tab w:val="left" w:pos="5415"/>
        </w:tabs>
        <w:spacing w:before="120" w:line="360" w:lineRule="auto"/>
        <w:ind w:right="51"/>
        <w:jc w:val="both"/>
        <w:rPr>
          <w:rFonts w:ascii="Palatino Linotype" w:hAnsi="Palatino Linotype"/>
          <w:sz w:val="24"/>
          <w:szCs w:val="24"/>
        </w:rPr>
      </w:pPr>
      <w:r w:rsidRPr="00D10070">
        <w:rPr>
          <w:rFonts w:ascii="Palatino Linotype" w:hAnsi="Palatino Linotype"/>
          <w:sz w:val="24"/>
          <w:szCs w:val="24"/>
        </w:rPr>
        <w:t>A mayor abundamiento, respecto del requerimiento en c</w:t>
      </w:r>
      <w:r>
        <w:rPr>
          <w:rFonts w:ascii="Palatino Linotype" w:hAnsi="Palatino Linotype"/>
          <w:sz w:val="24"/>
          <w:szCs w:val="24"/>
        </w:rPr>
        <w:t xml:space="preserve">ita, este Instituto precisa que </w:t>
      </w:r>
      <w:r w:rsidRPr="00D10070">
        <w:rPr>
          <w:rFonts w:ascii="Palatino Linotype" w:hAnsi="Palatino Linotype"/>
          <w:sz w:val="24"/>
          <w:szCs w:val="24"/>
        </w:rPr>
        <w:t xml:space="preserve">se obvia el análisis de la competencia por parte del </w:t>
      </w:r>
      <w:r>
        <w:rPr>
          <w:rFonts w:ascii="Palatino Linotype" w:hAnsi="Palatino Linotype"/>
          <w:b/>
          <w:sz w:val="24"/>
          <w:szCs w:val="24"/>
        </w:rPr>
        <w:t>Sujeto Obligado</w:t>
      </w:r>
      <w:r w:rsidRPr="00D10070">
        <w:rPr>
          <w:rFonts w:ascii="Palatino Linotype" w:hAnsi="Palatino Linotype"/>
          <w:sz w:val="24"/>
          <w:szCs w:val="24"/>
        </w:rPr>
        <w:t xml:space="preserve">, para generar, administrar o poseer la información solicitada, dado que éste ha asumido la misma, en razón de que remitió la información requerida de manera incompleta. </w:t>
      </w:r>
    </w:p>
    <w:p w:rsidR="00E100C7" w:rsidRPr="00D10070" w:rsidRDefault="00E100C7" w:rsidP="00E100C7">
      <w:pPr>
        <w:spacing w:before="240" w:after="240" w:line="360" w:lineRule="auto"/>
        <w:jc w:val="both"/>
        <w:rPr>
          <w:rFonts w:ascii="Palatino Linotype" w:hAnsi="Palatino Linotype"/>
          <w:sz w:val="24"/>
          <w:szCs w:val="24"/>
        </w:rPr>
      </w:pPr>
      <w:r w:rsidRPr="00D10070">
        <w:rPr>
          <w:rFonts w:ascii="Palatino Linotype" w:hAnsi="Palatino Linotype"/>
          <w:sz w:val="24"/>
          <w:szCs w:val="24"/>
        </w:rPr>
        <w:t xml:space="preserve">En efecto, el hecho de que </w:t>
      </w:r>
      <w:r>
        <w:rPr>
          <w:rFonts w:ascii="Palatino Linotype" w:hAnsi="Palatino Linotype"/>
          <w:b/>
          <w:sz w:val="24"/>
          <w:szCs w:val="24"/>
        </w:rPr>
        <w:t>El Sujeto Obligado</w:t>
      </w:r>
      <w:r w:rsidRPr="00D10070">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E100C7" w:rsidRPr="00D02076" w:rsidRDefault="00E100C7" w:rsidP="00E100C7">
      <w:pPr>
        <w:tabs>
          <w:tab w:val="left" w:pos="851"/>
          <w:tab w:val="left" w:pos="8505"/>
        </w:tabs>
        <w:spacing w:before="240" w:line="360" w:lineRule="auto"/>
        <w:ind w:left="851" w:right="851"/>
        <w:jc w:val="both"/>
        <w:rPr>
          <w:rFonts w:ascii="Palatino Linotype" w:hAnsi="Palatino Linotype" w:cs="Arial"/>
          <w:i/>
        </w:rPr>
      </w:pPr>
      <w:r w:rsidRPr="00D02076">
        <w:rPr>
          <w:rFonts w:ascii="Palatino Linotype" w:hAnsi="Palatino Linotype" w:cs="Arial"/>
          <w:i/>
        </w:rPr>
        <w:t>“</w:t>
      </w:r>
      <w:r w:rsidRPr="00D02076">
        <w:rPr>
          <w:rFonts w:ascii="Palatino Linotype" w:hAnsi="Palatino Linotype" w:cs="Arial"/>
          <w:b/>
          <w:i/>
        </w:rPr>
        <w:t>Artículo 12.</w:t>
      </w:r>
      <w:r w:rsidRPr="00D0207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E100C7" w:rsidRPr="00735205" w:rsidRDefault="00E100C7" w:rsidP="00E100C7">
      <w:pPr>
        <w:spacing w:before="240" w:line="360" w:lineRule="auto"/>
        <w:ind w:left="851" w:right="851"/>
        <w:jc w:val="both"/>
        <w:rPr>
          <w:rFonts w:ascii="Palatino Linotype" w:hAnsi="Palatino Linotype" w:cs="Arial"/>
          <w:b/>
          <w:i/>
        </w:rPr>
      </w:pPr>
      <w:r w:rsidRPr="00D02076">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D02076">
        <w:rPr>
          <w:rFonts w:ascii="Palatino Linotype" w:hAnsi="Palatino Linotype" w:cs="Arial"/>
          <w:i/>
        </w:rPr>
        <w:lastRenderedPageBreak/>
        <w:t xml:space="preserve">presentarla conforme al interés del solicitante; no estarán obligados a generarla, resumirla, efectuar cálculos o practicar investigaciones.” </w:t>
      </w:r>
      <w:r>
        <w:rPr>
          <w:rFonts w:ascii="Palatino Linotype" w:hAnsi="Palatino Linotype" w:cs="Arial"/>
          <w:b/>
          <w:i/>
        </w:rPr>
        <w:t>[Sic]</w:t>
      </w:r>
    </w:p>
    <w:p w:rsidR="00E100C7" w:rsidRDefault="00E100C7" w:rsidP="00E100C7">
      <w:pPr>
        <w:spacing w:before="240" w:after="240" w:line="360" w:lineRule="auto"/>
        <w:jc w:val="both"/>
        <w:rPr>
          <w:rFonts w:ascii="Palatino Linotype" w:hAnsi="Palatino Linotype"/>
        </w:rPr>
      </w:pPr>
    </w:p>
    <w:p w:rsidR="00E100C7" w:rsidRPr="005866CC" w:rsidRDefault="00E100C7" w:rsidP="00E100C7">
      <w:pPr>
        <w:spacing w:before="240" w:after="240" w:line="360" w:lineRule="auto"/>
        <w:jc w:val="both"/>
        <w:rPr>
          <w:sz w:val="24"/>
          <w:szCs w:val="24"/>
        </w:rPr>
      </w:pPr>
      <w:r w:rsidRPr="00D10070">
        <w:rPr>
          <w:rFonts w:ascii="Palatino Linotype" w:hAnsi="Palatino Linotype"/>
          <w:sz w:val="24"/>
          <w:szCs w:val="24"/>
        </w:rPr>
        <w:t xml:space="preserve">Así, el estudio de la naturaleza jurídica de la información pública solicitada, tiene por objeto determinar si ésta la genera, posee o administra </w:t>
      </w:r>
      <w:r>
        <w:rPr>
          <w:rFonts w:ascii="Palatino Linotype" w:hAnsi="Palatino Linotype"/>
          <w:b/>
          <w:sz w:val="24"/>
          <w:szCs w:val="24"/>
        </w:rPr>
        <w:t>El Sujeto Obligado</w:t>
      </w:r>
      <w:r w:rsidRPr="00D10070">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10070">
        <w:rPr>
          <w:sz w:val="24"/>
          <w:szCs w:val="24"/>
        </w:rPr>
        <w:t xml:space="preserve"> </w:t>
      </w:r>
    </w:p>
    <w:p w:rsidR="00E100C7" w:rsidRPr="006010FE" w:rsidRDefault="00E100C7" w:rsidP="00E100C7">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E100C7" w:rsidRPr="006010FE" w:rsidRDefault="00E100C7" w:rsidP="00E100C7">
      <w:pPr>
        <w:pStyle w:val="Sinespaciado"/>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E100C7" w:rsidRPr="006010FE" w:rsidRDefault="00E100C7" w:rsidP="00E100C7">
      <w:pPr>
        <w:pStyle w:val="Sinespaciado"/>
        <w:ind w:left="567" w:right="567"/>
        <w:jc w:val="both"/>
        <w:rPr>
          <w:rFonts w:ascii="Palatino Linotype" w:hAnsi="Palatino Linotype"/>
          <w:i/>
          <w:sz w:val="22"/>
          <w:szCs w:val="22"/>
        </w:rPr>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E100C7" w:rsidRPr="006010FE" w:rsidRDefault="00E100C7" w:rsidP="00E100C7">
      <w:pPr>
        <w:pStyle w:val="Sinespaciado"/>
        <w:ind w:left="567" w:right="567"/>
        <w:jc w:val="both"/>
        <w:rPr>
          <w:rFonts w:ascii="Palatino Linotype" w:hAnsi="Palatino Linotype"/>
          <w:i/>
          <w:sz w:val="22"/>
          <w:szCs w:val="22"/>
        </w:rPr>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E100C7" w:rsidRPr="006010FE" w:rsidRDefault="00E100C7" w:rsidP="00E100C7">
      <w:pPr>
        <w:pStyle w:val="Sinespaciado"/>
        <w:ind w:left="567" w:right="567"/>
        <w:jc w:val="both"/>
        <w:rPr>
          <w:rFonts w:ascii="Palatino Linotype" w:hAnsi="Palatino Linotype"/>
          <w:i/>
          <w:sz w:val="22"/>
          <w:szCs w:val="22"/>
        </w:rPr>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E100C7" w:rsidRPr="006010FE" w:rsidRDefault="00E100C7" w:rsidP="00E100C7">
      <w:pPr>
        <w:pStyle w:val="Sinespaciado"/>
        <w:ind w:left="567" w:right="567"/>
        <w:jc w:val="both"/>
        <w:rPr>
          <w:rFonts w:ascii="Palatino Linotype" w:hAnsi="Palatino Linotype"/>
          <w:i/>
          <w:sz w:val="22"/>
          <w:szCs w:val="22"/>
        </w:rPr>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E100C7" w:rsidRPr="006010FE" w:rsidRDefault="00E100C7" w:rsidP="00E100C7">
      <w:pPr>
        <w:pStyle w:val="Sinespaciado"/>
        <w:ind w:left="567" w:right="567"/>
        <w:jc w:val="both"/>
        <w:rPr>
          <w:rFonts w:ascii="Palatino Linotype" w:hAnsi="Palatino Linotype"/>
          <w:i/>
          <w:sz w:val="22"/>
          <w:szCs w:val="22"/>
        </w:rPr>
      </w:pPr>
    </w:p>
    <w:p w:rsidR="00E100C7" w:rsidRDefault="00E100C7" w:rsidP="00E100C7">
      <w:pPr>
        <w:pStyle w:val="Sinespaciado"/>
        <w:spacing w:line="360" w:lineRule="auto"/>
        <w:jc w:val="both"/>
        <w:rPr>
          <w:rFonts w:ascii="Palatino Linotype" w:hAnsi="Palatino Linotype"/>
        </w:rPr>
      </w:pPr>
    </w:p>
    <w:p w:rsidR="00E100C7" w:rsidRPr="006010FE" w:rsidRDefault="00E100C7" w:rsidP="00E100C7">
      <w:pPr>
        <w:pStyle w:val="Sinespaciado"/>
        <w:spacing w:line="360" w:lineRule="auto"/>
        <w:jc w:val="both"/>
        <w:rPr>
          <w:rFonts w:ascii="Palatino Linotype" w:hAnsi="Palatino Linotype"/>
        </w:rPr>
      </w:pPr>
      <w:r w:rsidRPr="006010FE">
        <w:rPr>
          <w:rFonts w:ascii="Palatino Linotype" w:hAnsi="Palatino Linotype"/>
        </w:rPr>
        <w:lastRenderedPageBreak/>
        <w:t>Por su parte, la Constitución Política del Estado Libre y Soberano de México, en su artículo 5°, dispone en su parte conducente, lo siguiente:</w:t>
      </w:r>
    </w:p>
    <w:p w:rsidR="00E100C7" w:rsidRPr="006010FE" w:rsidRDefault="00E100C7" w:rsidP="00E100C7">
      <w:pPr>
        <w:pStyle w:val="Sinespaciado"/>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E100C7" w:rsidRPr="006010FE" w:rsidRDefault="00E100C7" w:rsidP="00E100C7">
      <w:pPr>
        <w:pStyle w:val="Sinespaciado"/>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100C7" w:rsidRPr="006010FE" w:rsidRDefault="00E100C7" w:rsidP="00E100C7">
      <w:pPr>
        <w:pStyle w:val="Sinespaciado"/>
        <w:tabs>
          <w:tab w:val="left" w:pos="5520"/>
        </w:tabs>
      </w:pPr>
      <w:r>
        <w:tab/>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E100C7" w:rsidRPr="006010FE" w:rsidRDefault="00E100C7" w:rsidP="00E100C7">
      <w:pPr>
        <w:pStyle w:val="Sinespaciado"/>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6010FE">
        <w:rPr>
          <w:rFonts w:ascii="Palatino Linotype" w:hAnsi="Palatino Linotype"/>
          <w:i/>
          <w:sz w:val="22"/>
          <w:szCs w:val="22"/>
        </w:rPr>
        <w:lastRenderedPageBreak/>
        <w:t>establezca la ley reglamentaria y el organismo autónomo garante en el ámbito de su competencia. Las resoluciones que correspondan a estos procedimientos se sistematizarán para favorecer su consulta.</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E100C7" w:rsidRPr="006010FE" w:rsidRDefault="00E100C7" w:rsidP="00E100C7">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E100C7" w:rsidRPr="006010FE" w:rsidRDefault="00E100C7" w:rsidP="00E100C7">
      <w:pPr>
        <w:pStyle w:val="Sinespaciado"/>
        <w:spacing w:line="360" w:lineRule="auto"/>
        <w:jc w:val="both"/>
        <w:rPr>
          <w:rFonts w:ascii="Palatino Linotype" w:hAnsi="Palatino Linotype"/>
        </w:rPr>
      </w:pPr>
    </w:p>
    <w:p w:rsidR="00E100C7" w:rsidRDefault="00E100C7" w:rsidP="00E100C7">
      <w:pPr>
        <w:pStyle w:val="Sinespaciado"/>
        <w:spacing w:line="360" w:lineRule="auto"/>
        <w:jc w:val="both"/>
        <w:rPr>
          <w:rFonts w:ascii="Palatino Linotype" w:hAnsi="Palatino Linotype"/>
        </w:rPr>
      </w:pPr>
    </w:p>
    <w:p w:rsidR="00E100C7" w:rsidRPr="006010FE" w:rsidRDefault="00E100C7" w:rsidP="00E100C7">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E100C7" w:rsidRPr="006010FE" w:rsidRDefault="00E100C7" w:rsidP="00E100C7">
      <w:pPr>
        <w:pStyle w:val="Sinespaciado"/>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E100C7" w:rsidRPr="006010FE" w:rsidRDefault="00E100C7" w:rsidP="00E100C7">
      <w:pPr>
        <w:pStyle w:val="Sinespaciado"/>
        <w:ind w:left="567" w:right="567"/>
        <w:jc w:val="both"/>
        <w:rPr>
          <w:rFonts w:ascii="Palatino Linotype" w:hAnsi="Palatino Linotype"/>
          <w:i/>
          <w:sz w:val="22"/>
          <w:szCs w:val="22"/>
        </w:rPr>
      </w:pP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XI. Cualquier otra autoridad, entidad, órgano u organismo de los poderes estatal o municipal, que reciba recursos públicos.</w:t>
      </w:r>
    </w:p>
    <w:p w:rsidR="00E100C7" w:rsidRPr="006010FE" w:rsidRDefault="00E100C7" w:rsidP="00E100C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100C7" w:rsidRPr="006010FE" w:rsidRDefault="00E100C7" w:rsidP="00E100C7">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E100C7" w:rsidRDefault="00E100C7" w:rsidP="000F70A2">
      <w:pPr>
        <w:tabs>
          <w:tab w:val="left" w:pos="5415"/>
        </w:tabs>
        <w:spacing w:before="120" w:line="360" w:lineRule="auto"/>
        <w:ind w:right="51"/>
        <w:jc w:val="both"/>
        <w:rPr>
          <w:rFonts w:ascii="Palatino Linotype" w:hAnsi="Palatino Linotype"/>
          <w:sz w:val="24"/>
          <w:szCs w:val="24"/>
        </w:rPr>
      </w:pPr>
    </w:p>
    <w:p w:rsidR="00E61B8D" w:rsidRDefault="00E61B8D" w:rsidP="00E61B8D">
      <w:pPr>
        <w:pStyle w:val="Sinespaciado"/>
        <w:spacing w:line="360" w:lineRule="auto"/>
        <w:jc w:val="both"/>
        <w:rPr>
          <w:rFonts w:ascii="Palatino Linotype" w:hAnsi="Palatino Linotype"/>
        </w:rPr>
      </w:pPr>
      <w:r w:rsidRPr="00E130C4">
        <w:rPr>
          <w:rFonts w:ascii="Palatino Linotype" w:hAnsi="Palatino Linotype"/>
        </w:rPr>
        <w:t xml:space="preserve">En ese contexto, toda vez que ha quedado establecido que el Sujeto Obligado </w:t>
      </w:r>
      <w:r>
        <w:rPr>
          <w:rFonts w:ascii="Palatino Linotype" w:hAnsi="Palatino Linotype"/>
        </w:rPr>
        <w:t>no hizo entrega de la información requerida por el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así como que se cuenta con el documento idóneo para colmar las pretensiones del particula</w:t>
      </w:r>
      <w:r>
        <w:rPr>
          <w:rFonts w:ascii="Palatino Linotype" w:hAnsi="Palatino Linotype"/>
        </w:rPr>
        <w:t xml:space="preserve">r mediante la entrega en versión pública del documento donde conste el grado de estudios de </w:t>
      </w:r>
      <w:r w:rsidR="000F192F">
        <w:rPr>
          <w:rFonts w:ascii="Palatino Linotype" w:hAnsi="Palatino Linotype"/>
        </w:rPr>
        <w:t>los integrantes de cabildo y de los regidores</w:t>
      </w:r>
      <w:r w:rsidRPr="00E130C4">
        <w:rPr>
          <w:rFonts w:ascii="Palatino Linotype" w:hAnsi="Palatino Linotype"/>
        </w:rPr>
        <w:t>; este Órgano Garante considera que son fundados los motivos de inconformidad de</w:t>
      </w:r>
      <w:r>
        <w:rPr>
          <w:rFonts w:ascii="Palatino Linotype" w:hAnsi="Palatino Linotype"/>
        </w:rPr>
        <w:t xml:space="preserve"> </w:t>
      </w:r>
      <w:r w:rsidRPr="00E130C4">
        <w:rPr>
          <w:rFonts w:ascii="Palatino Linotype" w:hAnsi="Palatino Linotype"/>
        </w:rPr>
        <w:t>l</w:t>
      </w:r>
      <w:r>
        <w:rPr>
          <w:rFonts w:ascii="Palatino Linotype" w:hAnsi="Palatino Linotype"/>
        </w:rPr>
        <w:t>a</w:t>
      </w:r>
      <w:r w:rsidRPr="00E130C4">
        <w:rPr>
          <w:rFonts w:ascii="Palatino Linotype" w:hAnsi="Palatino Linotype"/>
        </w:rPr>
        <w:t xml:space="preserve"> Recurrente, por lo que es dable ordenar al Sujeto Obligado que haga entrega a</w:t>
      </w:r>
      <w:r>
        <w:rPr>
          <w:rFonts w:ascii="Palatino Linotype" w:hAnsi="Palatino Linotype"/>
        </w:rPr>
        <w:t>l</w:t>
      </w:r>
      <w:r w:rsidRPr="00E130C4">
        <w:rPr>
          <w:rFonts w:ascii="Palatino Linotype" w:hAnsi="Palatino Linotype"/>
        </w:rPr>
        <w:t xml:space="preserve"> Recurrente de</w:t>
      </w:r>
      <w:r>
        <w:rPr>
          <w:rFonts w:ascii="Palatino Linotype" w:hAnsi="Palatino Linotype"/>
        </w:rPr>
        <w:t xml:space="preserve">l documento en donde conste </w:t>
      </w:r>
      <w:r w:rsidR="000F192F">
        <w:rPr>
          <w:rFonts w:ascii="Palatino Linotype" w:hAnsi="Palatino Linotype"/>
        </w:rPr>
        <w:t>el grado de estudios de los integrantes de cabildo, así como los de los regidores.</w:t>
      </w:r>
      <w:r>
        <w:rPr>
          <w:rFonts w:ascii="Palatino Linotype" w:hAnsi="Palatino Linotype"/>
        </w:rPr>
        <w:t xml:space="preserve"> </w:t>
      </w:r>
    </w:p>
    <w:p w:rsidR="000F192F" w:rsidRPr="00850407" w:rsidRDefault="000F192F" w:rsidP="000F192F">
      <w:pPr>
        <w:pStyle w:val="Prrafodelista"/>
        <w:numPr>
          <w:ilvl w:val="0"/>
          <w:numId w:val="40"/>
        </w:numPr>
        <w:spacing w:line="360" w:lineRule="auto"/>
        <w:jc w:val="both"/>
        <w:rPr>
          <w:rFonts w:ascii="Palatino Linotype" w:hAnsi="Palatino Linotype"/>
          <w:b/>
          <w:sz w:val="28"/>
        </w:rPr>
      </w:pPr>
      <w:r w:rsidRPr="00850407">
        <w:rPr>
          <w:rFonts w:ascii="Palatino Linotype" w:hAnsi="Palatino Linotype"/>
          <w:b/>
          <w:sz w:val="28"/>
        </w:rPr>
        <w:t>Versión Pública</w:t>
      </w:r>
    </w:p>
    <w:p w:rsidR="000F192F" w:rsidRPr="001571EB" w:rsidRDefault="000F192F" w:rsidP="000F192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rsidR="000F192F" w:rsidRPr="00E60DEF" w:rsidRDefault="000F192F" w:rsidP="000F192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0F192F" w:rsidRPr="00E60DEF" w:rsidRDefault="000F192F" w:rsidP="000F192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0F192F" w:rsidRPr="001571EB" w:rsidRDefault="000F192F" w:rsidP="000F192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0F192F" w:rsidRPr="001571EB" w:rsidRDefault="000F192F" w:rsidP="000F192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0F192F" w:rsidRPr="001571EB" w:rsidRDefault="000F192F" w:rsidP="000F192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0F192F" w:rsidRPr="001571EB" w:rsidRDefault="000F192F" w:rsidP="000F192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0F192F" w:rsidRPr="001571EB" w:rsidRDefault="000F192F" w:rsidP="000F192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F192F" w:rsidRPr="001571EB" w:rsidRDefault="000F192F" w:rsidP="000F192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0F192F" w:rsidRPr="001571EB" w:rsidRDefault="000F192F" w:rsidP="000F192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F192F" w:rsidRPr="00E60DEF" w:rsidRDefault="000F192F" w:rsidP="000F192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0F192F" w:rsidRPr="001571EB" w:rsidRDefault="000F192F" w:rsidP="000F192F">
      <w:pPr>
        <w:spacing w:before="240" w:line="360" w:lineRule="auto"/>
        <w:ind w:left="851" w:right="851"/>
        <w:jc w:val="both"/>
        <w:rPr>
          <w:rFonts w:ascii="Palatino Linotype" w:hAnsi="Palatino Linotype" w:cs="Arial"/>
          <w:b/>
          <w:i/>
        </w:rPr>
      </w:pPr>
      <w:r>
        <w:rPr>
          <w:rFonts w:ascii="Palatino Linotype" w:hAnsi="Palatino Linotype" w:cs="Arial"/>
          <w:b/>
          <w:i/>
        </w:rPr>
        <w:t>(…)</w:t>
      </w:r>
    </w:p>
    <w:p w:rsidR="000F192F" w:rsidRPr="00E60DEF" w:rsidRDefault="000F192F" w:rsidP="000F192F">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0F192F" w:rsidRPr="001571EB" w:rsidRDefault="000F192F" w:rsidP="000F192F">
      <w:pPr>
        <w:spacing w:line="240" w:lineRule="auto"/>
        <w:ind w:left="851" w:right="851"/>
        <w:jc w:val="both"/>
        <w:rPr>
          <w:rFonts w:ascii="Palatino Linotype" w:hAnsi="Palatino Linotype" w:cs="Arial"/>
          <w:b/>
          <w:i/>
          <w:u w:val="single"/>
        </w:rPr>
      </w:pPr>
    </w:p>
    <w:p w:rsidR="000F192F" w:rsidRPr="001571EB" w:rsidRDefault="000F192F" w:rsidP="000F192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w:t>
      </w:r>
      <w:r>
        <w:rPr>
          <w:rFonts w:ascii="Palatino Linotype" w:hAnsi="Palatino Linotype" w:cs="Arial"/>
          <w:sz w:val="24"/>
          <w:szCs w:val="24"/>
        </w:rPr>
        <w:t xml:space="preserve">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rsidR="000F192F" w:rsidRPr="001571EB" w:rsidRDefault="000F192F" w:rsidP="000F192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0F192F" w:rsidRPr="001571EB" w:rsidRDefault="000F192F" w:rsidP="000F192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0F192F" w:rsidRPr="001571EB" w:rsidRDefault="000F192F" w:rsidP="000F192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0F192F" w:rsidRPr="001571EB" w:rsidRDefault="000F192F" w:rsidP="000F192F">
      <w:pPr>
        <w:autoSpaceDE w:val="0"/>
        <w:autoSpaceDN w:val="0"/>
        <w:adjustRightInd w:val="0"/>
        <w:spacing w:before="120" w:after="120"/>
        <w:ind w:left="567" w:right="850"/>
        <w:jc w:val="both"/>
        <w:rPr>
          <w:rFonts w:ascii="Palatino Linotype" w:eastAsia="Times New Roman" w:hAnsi="Palatino Linotype" w:cs="Arial"/>
          <w:i/>
        </w:rPr>
      </w:pPr>
    </w:p>
    <w:p w:rsidR="000F192F" w:rsidRPr="001571EB" w:rsidRDefault="000F192F" w:rsidP="000F192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0F192F" w:rsidRPr="001571EB" w:rsidRDefault="000F192F" w:rsidP="000F192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F192F" w:rsidRPr="001571EB" w:rsidRDefault="000F192F" w:rsidP="000F192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0F192F" w:rsidRPr="001571EB" w:rsidRDefault="000F192F" w:rsidP="000F19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0F192F" w:rsidRPr="00870707" w:rsidRDefault="000F192F" w:rsidP="000F19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0F192F" w:rsidRPr="001571EB" w:rsidRDefault="000F192F" w:rsidP="000F192F">
      <w:pPr>
        <w:spacing w:after="0" w:line="360" w:lineRule="auto"/>
        <w:jc w:val="both"/>
        <w:rPr>
          <w:rFonts w:ascii="Palatino Linotype" w:hAnsi="Palatino Linotype" w:cs="Arial"/>
        </w:rPr>
      </w:pPr>
    </w:p>
    <w:p w:rsidR="000F192F" w:rsidRDefault="000F192F" w:rsidP="000F192F">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27161A" w:rsidRPr="006A71AB" w:rsidRDefault="0027161A" w:rsidP="0027161A">
      <w:pPr>
        <w:shd w:val="clear" w:color="auto" w:fill="FFFFFF"/>
        <w:spacing w:line="360" w:lineRule="auto"/>
        <w:jc w:val="both"/>
        <w:rPr>
          <w:rFonts w:ascii="Palatino Linotype" w:hAnsi="Palatino Linotype" w:cs="Arial"/>
          <w:color w:val="000000"/>
          <w:sz w:val="24"/>
          <w:lang w:eastAsia="es-MX"/>
        </w:rPr>
      </w:pPr>
      <w:r w:rsidRPr="006A71AB">
        <w:rPr>
          <w:rFonts w:ascii="Palatino Linotype" w:eastAsia="Times New Roman" w:hAnsi="Palatino Linotype" w:cs="Times New Roman"/>
          <w:b/>
          <w:bCs/>
          <w:iCs/>
          <w:color w:val="000000"/>
          <w:sz w:val="24"/>
          <w:szCs w:val="24"/>
          <w:lang w:eastAsia="es-MX"/>
        </w:rPr>
        <w:t>II.        Vista a la Dirección de Datos Personales</w:t>
      </w:r>
    </w:p>
    <w:p w:rsidR="0027161A" w:rsidRPr="006A71AB" w:rsidRDefault="0027161A" w:rsidP="0027161A">
      <w:pPr>
        <w:shd w:val="clear" w:color="auto" w:fill="FFFFFF"/>
        <w:spacing w:after="0" w:line="360" w:lineRule="auto"/>
        <w:ind w:right="34"/>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000000"/>
          <w:sz w:val="24"/>
          <w:szCs w:val="24"/>
          <w:lang w:val="es-ES" w:eastAsia="es-MX"/>
        </w:rPr>
        <w:t xml:space="preserve">No pasa desapercibido para esta ponencia mencionar que dentro de las documentales inmersas en el expediente del SAIMEX, el Sujeto Obligado a través de la etapa de manifestaciones </w:t>
      </w:r>
      <w:r>
        <w:rPr>
          <w:rFonts w:ascii="Palatino Linotype" w:eastAsia="Times New Roman" w:hAnsi="Palatino Linotype" w:cs="Times New Roman"/>
          <w:color w:val="000000"/>
          <w:sz w:val="24"/>
          <w:szCs w:val="24"/>
          <w:lang w:val="es-ES" w:eastAsia="es-MX"/>
        </w:rPr>
        <w:t xml:space="preserve">remitió una liga electrónica </w:t>
      </w:r>
      <w:r w:rsidR="00C86CE4">
        <w:rPr>
          <w:rFonts w:ascii="Palatino Linotype" w:eastAsia="Times New Roman" w:hAnsi="Palatino Linotype" w:cs="Times New Roman"/>
          <w:color w:val="000000"/>
          <w:sz w:val="24"/>
          <w:szCs w:val="24"/>
          <w:lang w:val="es-ES" w:eastAsia="es-MX"/>
        </w:rPr>
        <w:t xml:space="preserve">que redirige al portal </w:t>
      </w:r>
      <w:proofErr w:type="spellStart"/>
      <w:r w:rsidR="00C86CE4">
        <w:rPr>
          <w:rFonts w:ascii="Palatino Linotype" w:eastAsia="Times New Roman" w:hAnsi="Palatino Linotype" w:cs="Times New Roman"/>
          <w:color w:val="000000"/>
          <w:sz w:val="24"/>
          <w:szCs w:val="24"/>
          <w:lang w:val="es-ES" w:eastAsia="es-MX"/>
        </w:rPr>
        <w:t>Ipomex</w:t>
      </w:r>
      <w:proofErr w:type="spellEnd"/>
      <w:r w:rsidR="00C86CE4">
        <w:rPr>
          <w:rFonts w:ascii="Palatino Linotype" w:eastAsia="Times New Roman" w:hAnsi="Palatino Linotype" w:cs="Times New Roman"/>
          <w:color w:val="000000"/>
          <w:sz w:val="24"/>
          <w:szCs w:val="24"/>
          <w:lang w:val="es-ES" w:eastAsia="es-MX"/>
        </w:rPr>
        <w:t xml:space="preserve"> del Ayuntamiento de Metepec, en el cual se encuentran las fichas curriculares de los integrantes de cabildo, sin embargo en la ficha de la Directora de Desarrollo Econ</w:t>
      </w:r>
      <w:r w:rsidR="000A6A80">
        <w:rPr>
          <w:rFonts w:ascii="Palatino Linotype" w:eastAsia="Times New Roman" w:hAnsi="Palatino Linotype" w:cs="Times New Roman"/>
          <w:color w:val="000000"/>
          <w:sz w:val="24"/>
          <w:szCs w:val="24"/>
          <w:lang w:val="es-ES" w:eastAsia="es-MX"/>
        </w:rPr>
        <w:t>ómico</w:t>
      </w:r>
      <w:r w:rsidRPr="006A71AB">
        <w:rPr>
          <w:rFonts w:ascii="Palatino Linotype" w:eastAsia="Times New Roman" w:hAnsi="Palatino Linotype" w:cs="Times New Roman"/>
          <w:color w:val="222222"/>
          <w:sz w:val="24"/>
          <w:szCs w:val="24"/>
          <w:lang w:val="es-ES" w:eastAsia="es-MX"/>
        </w:rPr>
        <w:t>, en donde se puede observar datos susceptibles de ser testados,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Sujeto Obligado no es materia del presente medio de impugnación, también lo es que, de conformidad con lo establecido en el artículo 36, fracción X, de la Ley de la materia, </w:t>
      </w:r>
      <w:r w:rsidRPr="006A71AB">
        <w:rPr>
          <w:rFonts w:ascii="Palatino Linotype" w:eastAsia="Times New Roman" w:hAnsi="Palatino Linotype" w:cs="Times New Roman"/>
          <w:b/>
          <w:bCs/>
          <w:color w:val="222222"/>
          <w:sz w:val="24"/>
          <w:szCs w:val="24"/>
          <w:lang w:val="es-ES" w:eastAsia="es-MX"/>
        </w:rPr>
        <w:t>se ordena dar vista al Titular de la Contraloría Interna y Órgano de Control y Vigilancia de este Instituto</w:t>
      </w:r>
      <w:r w:rsidRPr="006A71AB">
        <w:rPr>
          <w:rFonts w:ascii="Palatino Linotype" w:eastAsia="Times New Roman" w:hAnsi="Palatino Linotype" w:cs="Times New Roman"/>
          <w:color w:val="222222"/>
          <w:sz w:val="24"/>
          <w:szCs w:val="24"/>
          <w:lang w:val="es-ES" w:eastAsia="es-MX"/>
        </w:rPr>
        <w:t>, de conformidad con el artículo 190, de la Ley de Transparencia y Acceso a la Información Pública del Estado de México y Municipios, a efecto de que determine lo conducente.</w:t>
      </w:r>
    </w:p>
    <w:p w:rsidR="0027161A" w:rsidRPr="006A71AB" w:rsidRDefault="0027161A" w:rsidP="0027161A">
      <w:pPr>
        <w:shd w:val="clear" w:color="auto" w:fill="FFFFFF"/>
        <w:spacing w:after="0" w:line="360" w:lineRule="auto"/>
        <w:ind w:left="705"/>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eastAsia="es-MX"/>
        </w:rPr>
        <w:lastRenderedPageBreak/>
        <w:t> </w:t>
      </w:r>
    </w:p>
    <w:p w:rsidR="0027161A" w:rsidRPr="006A71AB" w:rsidRDefault="0027161A" w:rsidP="0027161A">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val="es-ES_tradnl" w:eastAsia="es-MX"/>
        </w:rPr>
        <w:t>Asimismo, se hará del conocimiento de la Dirección de Protección de Datos Personales de este Instituto de las posibles infracciones en que el </w:t>
      </w:r>
      <w:r w:rsidRPr="006A71AB">
        <w:rPr>
          <w:rFonts w:ascii="Palatino Linotype" w:eastAsia="Times New Roman" w:hAnsi="Palatino Linotype" w:cs="Times New Roman"/>
          <w:b/>
          <w:bCs/>
          <w:color w:val="222222"/>
          <w:sz w:val="24"/>
          <w:szCs w:val="24"/>
          <w:lang w:val="es-ES_tradnl" w:eastAsia="es-MX"/>
        </w:rPr>
        <w:t>Sujeto Obligado</w:t>
      </w:r>
      <w:r w:rsidRPr="006A71AB">
        <w:rPr>
          <w:rFonts w:ascii="Palatino Linotype" w:eastAsia="Times New Roman" w:hAnsi="Palatino Linotype" w:cs="Times New Roman"/>
          <w:color w:val="222222"/>
          <w:sz w:val="24"/>
          <w:szCs w:val="24"/>
          <w:lang w:val="es-ES_tradnl" w:eastAsia="es-MX"/>
        </w:rPr>
        <w:t> incurrió, </w:t>
      </w:r>
      <w:r w:rsidRPr="006A71AB">
        <w:rPr>
          <w:rFonts w:ascii="Palatino Linotype" w:eastAsia="Times New Roman" w:hAnsi="Palatino Linotype" w:cs="Times New Roman"/>
          <w:color w:val="222222"/>
          <w:sz w:val="24"/>
          <w:szCs w:val="24"/>
          <w:lang w:val="es-ES" w:eastAsia="es-MX"/>
        </w:rPr>
        <w:t>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Pr="006A71AB">
        <w:rPr>
          <w:rFonts w:ascii="Palatino Linotype" w:eastAsia="Times New Roman" w:hAnsi="Palatino Linotype" w:cs="Times New Roman"/>
          <w:b/>
          <w:bCs/>
          <w:color w:val="222222"/>
          <w:sz w:val="24"/>
          <w:szCs w:val="24"/>
          <w:lang w:val="es-ES" w:eastAsia="es-MX"/>
        </w:rPr>
        <w:t>SUJETO OBLIGADO</w:t>
      </w:r>
      <w:r w:rsidRPr="006A71AB">
        <w:rPr>
          <w:rFonts w:ascii="Palatino Linotype" w:eastAsia="Times New Roman" w:hAnsi="Palatino Linotype" w:cs="Times New Roman"/>
          <w:color w:val="222222"/>
          <w:sz w:val="24"/>
          <w:szCs w:val="24"/>
          <w:lang w:val="es-ES" w:eastAsia="es-MX"/>
        </w:rPr>
        <w:t>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rsidR="0027161A" w:rsidRDefault="0027161A" w:rsidP="000F192F">
      <w:pPr>
        <w:spacing w:before="240" w:after="240" w:line="360" w:lineRule="auto"/>
        <w:jc w:val="both"/>
        <w:rPr>
          <w:rFonts w:ascii="Palatino Linotype" w:hAnsi="Palatino Linotype"/>
          <w:sz w:val="24"/>
          <w:szCs w:val="24"/>
        </w:rPr>
      </w:pPr>
    </w:p>
    <w:p w:rsidR="000F192F" w:rsidRPr="00EC26CF" w:rsidRDefault="000F192F" w:rsidP="000F192F">
      <w:pPr>
        <w:pStyle w:val="Prrafodelista"/>
        <w:spacing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parcialmente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MODIFICA </w:t>
      </w:r>
      <w:r>
        <w:rPr>
          <w:rFonts w:ascii="Palatino Linotype" w:hAnsi="Palatino Linotype"/>
        </w:rPr>
        <w:t xml:space="preserve">la respuesta a la solicitud de información número </w:t>
      </w:r>
      <w:r w:rsidRPr="00C47113">
        <w:rPr>
          <w:rFonts w:ascii="Palatino Linotype" w:hAnsi="Palatino Linotype"/>
          <w:b/>
        </w:rPr>
        <w:t xml:space="preserve"> </w:t>
      </w:r>
      <w:r w:rsidRPr="000F192F">
        <w:rPr>
          <w:rFonts w:ascii="Palatino Linotype" w:hAnsi="Palatino Linotype"/>
          <w:b/>
        </w:rPr>
        <w:t>0254/SANTOTOM/IP/2020</w:t>
      </w:r>
      <w:r>
        <w:rPr>
          <w:rFonts w:ascii="Palatino Linotype" w:hAnsi="Palatino Linotype"/>
          <w:b/>
        </w:rPr>
        <w:t xml:space="preserve"> </w:t>
      </w:r>
      <w:r>
        <w:rPr>
          <w:rFonts w:ascii="Palatino Linotype" w:hAnsi="Palatino Linotype"/>
        </w:rPr>
        <w:t xml:space="preserve">que ha sido materia del presente fallo. </w:t>
      </w:r>
    </w:p>
    <w:p w:rsidR="00525565" w:rsidRDefault="000F192F" w:rsidP="000F192F">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rsidR="000F192F" w:rsidRDefault="000F192F" w:rsidP="000F192F">
      <w:pPr>
        <w:pStyle w:val="Prrafodelista"/>
        <w:spacing w:before="240" w:after="240" w:line="360" w:lineRule="auto"/>
        <w:ind w:left="0"/>
        <w:jc w:val="both"/>
        <w:rPr>
          <w:rFonts w:ascii="Palatino Linotype" w:hAnsi="Palatino Linotype"/>
        </w:rPr>
      </w:pPr>
    </w:p>
    <w:p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rsidR="000F192F" w:rsidRDefault="000F192F" w:rsidP="00525565">
      <w:pPr>
        <w:spacing w:before="240" w:line="360" w:lineRule="auto"/>
        <w:jc w:val="center"/>
        <w:rPr>
          <w:rFonts w:ascii="Palatino Linotype" w:eastAsia="Times New Roman" w:hAnsi="Palatino Linotype"/>
          <w:b/>
          <w:bCs/>
          <w:spacing w:val="60"/>
          <w:sz w:val="28"/>
          <w:lang w:val="es-ES_tradnl"/>
        </w:rPr>
      </w:pPr>
    </w:p>
    <w:p w:rsidR="0078213C" w:rsidRPr="006A655D" w:rsidRDefault="0078213C" w:rsidP="0078213C">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la respuesta del </w:t>
      </w:r>
      <w:r w:rsidRPr="00615397">
        <w:rPr>
          <w:rFonts w:ascii="Palatino Linotype" w:eastAsia="Arial Unicode MS" w:hAnsi="Palatino Linotype" w:cs="Arial"/>
          <w:b/>
          <w:sz w:val="24"/>
          <w:szCs w:val="24"/>
        </w:rPr>
        <w:t>SUJETO OBLIGADO</w:t>
      </w:r>
      <w:r>
        <w:rPr>
          <w:rFonts w:ascii="Palatino Linotype" w:eastAsia="Arial Unicode MS" w:hAnsi="Palatino Linotype" w:cs="Arial"/>
          <w:sz w:val="24"/>
          <w:szCs w:val="24"/>
        </w:rPr>
        <w:t xml:space="preserve">, a la solicitud de información </w:t>
      </w:r>
      <w:r w:rsidRPr="000F192F">
        <w:rPr>
          <w:rFonts w:ascii="Palatino Linotype" w:hAnsi="Palatino Linotype"/>
          <w:b/>
        </w:rPr>
        <w:t>0254/SANTOTOM/IP/2020</w:t>
      </w:r>
      <w:r>
        <w:rPr>
          <w:rFonts w:ascii="Palatino Linotype" w:hAnsi="Palatino Linotype" w:cs="Arial"/>
          <w:b/>
          <w:sz w:val="24"/>
        </w:rPr>
        <w:t xml:space="preserve"> </w:t>
      </w:r>
      <w:r>
        <w:rPr>
          <w:rFonts w:ascii="Palatino Linotype" w:eastAsia="Arial Unicode MS" w:hAnsi="Palatino Linotype" w:cs="Arial"/>
          <w:sz w:val="24"/>
          <w:szCs w:val="24"/>
        </w:rPr>
        <w:t xml:space="preserve">por resultar parcialmente fundados los motivos de inconformidad vertidos por </w:t>
      </w:r>
      <w:r>
        <w:rPr>
          <w:rFonts w:ascii="Palatino Linotype" w:eastAsia="Arial Unicode MS" w:hAnsi="Palatino Linotype" w:cs="Arial"/>
          <w:b/>
          <w:sz w:val="24"/>
          <w:szCs w:val="24"/>
        </w:rPr>
        <w:t>EL</w:t>
      </w:r>
      <w:r w:rsidRPr="00615397">
        <w:rPr>
          <w:rFonts w:ascii="Palatino Linotype" w:eastAsia="Arial Unicode MS" w:hAnsi="Palatino Linotype" w:cs="Arial"/>
          <w:b/>
          <w:sz w:val="24"/>
          <w:szCs w:val="24"/>
        </w:rPr>
        <w:t xml:space="preserve"> RECURRENTE,</w:t>
      </w:r>
      <w:r>
        <w:rPr>
          <w:rFonts w:ascii="Palatino Linotype" w:eastAsia="Arial Unicode MS" w:hAnsi="Palatino Linotype" w:cs="Arial"/>
          <w:sz w:val="24"/>
          <w:szCs w:val="24"/>
        </w:rPr>
        <w:t xml:space="preserve"> en términos del considerando </w:t>
      </w:r>
      <w:r>
        <w:rPr>
          <w:rFonts w:ascii="Palatino Linotype" w:eastAsia="Arial Unicode MS" w:hAnsi="Palatino Linotype" w:cs="Arial"/>
          <w:b/>
          <w:sz w:val="24"/>
          <w:szCs w:val="24"/>
        </w:rPr>
        <w:t xml:space="preserve">CUARTO </w:t>
      </w:r>
      <w:r>
        <w:rPr>
          <w:rFonts w:ascii="Palatino Linotype" w:eastAsia="Arial Unicode MS" w:hAnsi="Palatino Linotype" w:cs="Arial"/>
          <w:sz w:val="24"/>
          <w:szCs w:val="24"/>
        </w:rPr>
        <w:t xml:space="preserve">de la presente resolución. </w:t>
      </w:r>
    </w:p>
    <w:p w:rsidR="0078213C" w:rsidRPr="00752426" w:rsidRDefault="0078213C" w:rsidP="0078213C">
      <w:pPr>
        <w:autoSpaceDE w:val="0"/>
        <w:autoSpaceDN w:val="0"/>
        <w:adjustRightInd w:val="0"/>
        <w:spacing w:before="240" w:line="360" w:lineRule="auto"/>
        <w:ind w:right="49"/>
        <w:jc w:val="both"/>
        <w:rPr>
          <w:rFonts w:ascii="Palatino Linotype" w:hAnsi="Palatino Linotype" w:cs="Arial"/>
          <w:sz w:val="24"/>
          <w:szCs w:val="24"/>
        </w:rPr>
      </w:pPr>
      <w:r w:rsidRPr="00752426">
        <w:rPr>
          <w:rFonts w:ascii="Palatino Linotype" w:hAnsi="Palatino Linotype" w:cs="Arial"/>
          <w:b/>
          <w:sz w:val="24"/>
          <w:szCs w:val="24"/>
          <w:lang w:val="es-ES_tradnl"/>
        </w:rPr>
        <w:t>SEGUNDO.</w:t>
      </w:r>
      <w:r w:rsidRPr="00752426">
        <w:rPr>
          <w:rFonts w:ascii="Palatino Linotype" w:hAnsi="Palatino Linotype" w:cs="Arial"/>
          <w:sz w:val="24"/>
          <w:szCs w:val="24"/>
        </w:rPr>
        <w:t xml:space="preserve"> Se ordena al </w:t>
      </w:r>
      <w:r w:rsidRPr="00752426">
        <w:rPr>
          <w:rFonts w:ascii="Palatino Linotype" w:hAnsi="Palatino Linotype" w:cs="Arial"/>
          <w:b/>
          <w:sz w:val="24"/>
          <w:szCs w:val="24"/>
        </w:rPr>
        <w:t xml:space="preserve">SUJETO OBLIGADO </w:t>
      </w:r>
      <w:r>
        <w:rPr>
          <w:rFonts w:ascii="Palatino Linotype" w:hAnsi="Palatino Linotype" w:cs="Arial"/>
          <w:sz w:val="24"/>
          <w:szCs w:val="24"/>
        </w:rPr>
        <w:t xml:space="preserve">que haga entrega a </w:t>
      </w:r>
      <w:r>
        <w:rPr>
          <w:rFonts w:ascii="Palatino Linotype" w:hAnsi="Palatino Linotype" w:cs="Arial"/>
          <w:b/>
          <w:sz w:val="24"/>
          <w:szCs w:val="24"/>
        </w:rPr>
        <w:t>EL</w:t>
      </w:r>
      <w:r w:rsidRPr="00752426">
        <w:rPr>
          <w:rFonts w:ascii="Palatino Linotype" w:hAnsi="Palatino Linotype" w:cs="Arial"/>
          <w:sz w:val="24"/>
          <w:szCs w:val="24"/>
        </w:rPr>
        <w:t xml:space="preserve"> </w:t>
      </w:r>
      <w:r w:rsidRPr="00752426">
        <w:rPr>
          <w:rFonts w:ascii="Palatino Linotype" w:hAnsi="Palatino Linotype" w:cs="Arial"/>
          <w:b/>
          <w:sz w:val="24"/>
          <w:szCs w:val="24"/>
        </w:rPr>
        <w:t>RECURRENTE,</w:t>
      </w:r>
      <w:r w:rsidRPr="00752426">
        <w:rPr>
          <w:rFonts w:ascii="Palatino Linotype" w:hAnsi="Palatino Linotype" w:cs="Arial"/>
          <w:sz w:val="24"/>
          <w:szCs w:val="24"/>
        </w:rPr>
        <w:t xml:space="preserve">  en versión pública de ser procedente, a través del </w:t>
      </w:r>
      <w:r w:rsidRPr="00752426">
        <w:rPr>
          <w:rFonts w:ascii="Palatino Linotype" w:hAnsi="Palatino Linotype" w:cs="Arial"/>
          <w:b/>
          <w:sz w:val="24"/>
          <w:szCs w:val="24"/>
        </w:rPr>
        <w:t>SAIMEX</w:t>
      </w:r>
      <w:r>
        <w:rPr>
          <w:rFonts w:ascii="Palatino Linotype" w:hAnsi="Palatino Linotype" w:cs="Arial"/>
          <w:b/>
          <w:sz w:val="24"/>
          <w:szCs w:val="24"/>
        </w:rPr>
        <w:t xml:space="preserve"> y Correo Electrónico</w:t>
      </w:r>
      <w:r w:rsidRPr="00752426">
        <w:rPr>
          <w:rFonts w:ascii="Palatino Linotype" w:hAnsi="Palatino Linotype" w:cs="Arial"/>
          <w:sz w:val="24"/>
          <w:szCs w:val="24"/>
        </w:rPr>
        <w:t>,</w:t>
      </w:r>
      <w:r>
        <w:rPr>
          <w:rFonts w:ascii="Palatino Linotype" w:hAnsi="Palatino Linotype" w:cs="Arial"/>
          <w:sz w:val="24"/>
          <w:szCs w:val="24"/>
        </w:rPr>
        <w:t xml:space="preserve"> del o los documentos donde conste lo siguiente: </w:t>
      </w:r>
    </w:p>
    <w:p w:rsidR="0078213C" w:rsidRPr="00C04420" w:rsidRDefault="0078213C" w:rsidP="0078213C">
      <w:pPr>
        <w:pStyle w:val="Sinespaciado"/>
        <w:numPr>
          <w:ilvl w:val="0"/>
          <w:numId w:val="41"/>
        </w:numPr>
        <w:spacing w:line="360" w:lineRule="auto"/>
        <w:jc w:val="both"/>
        <w:rPr>
          <w:rFonts w:ascii="Palatino Linotype" w:hAnsi="Palatino Linotype"/>
          <w:i/>
        </w:rPr>
      </w:pPr>
      <w:r>
        <w:rPr>
          <w:rFonts w:ascii="Palatino Linotype" w:hAnsi="Palatino Linotype"/>
          <w:i/>
        </w:rPr>
        <w:t>Último grado de estudios de estudios</w:t>
      </w:r>
      <w:r w:rsidR="00F45A5F">
        <w:rPr>
          <w:rFonts w:ascii="Palatino Linotype" w:hAnsi="Palatino Linotype"/>
          <w:i/>
        </w:rPr>
        <w:t xml:space="preserve"> de los integrantes de Cabildo y de los Regidores.</w:t>
      </w:r>
    </w:p>
    <w:p w:rsidR="0078213C" w:rsidRDefault="0078213C" w:rsidP="0078213C">
      <w:pPr>
        <w:pStyle w:val="Prrafodelista"/>
        <w:spacing w:before="240" w:line="360" w:lineRule="auto"/>
        <w:ind w:left="142"/>
        <w:jc w:val="both"/>
        <w:rPr>
          <w:rFonts w:ascii="Palatino Linotype" w:hAnsi="Palatino Linotype" w:cs="Arial"/>
          <w:i/>
          <w:lang w:val="es-ES_tradnl"/>
        </w:rPr>
      </w:pPr>
      <w:r w:rsidRPr="00731B27">
        <w:rPr>
          <w:rFonts w:ascii="Palatino Linotype" w:hAnsi="Palatino Linotype" w:cs="Arial"/>
          <w:i/>
          <w:lang w:val="es-ES_tradn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 xml:space="preserve">sición del </w:t>
      </w:r>
      <w:r w:rsidRPr="00731B27">
        <w:rPr>
          <w:rFonts w:ascii="Palatino Linotype" w:hAnsi="Palatino Linotype" w:cs="Arial"/>
          <w:i/>
          <w:lang w:val="es-ES_tradnl"/>
        </w:rPr>
        <w:t xml:space="preserve">Recurrente. </w:t>
      </w:r>
    </w:p>
    <w:p w:rsidR="0078213C" w:rsidRDefault="0078213C" w:rsidP="0078213C">
      <w:pPr>
        <w:spacing w:after="0" w:line="360" w:lineRule="auto"/>
        <w:jc w:val="both"/>
        <w:rPr>
          <w:rFonts w:ascii="Palatino Linotype" w:hAnsi="Palatino Linotype"/>
          <w:sz w:val="24"/>
          <w:szCs w:val="24"/>
        </w:rPr>
      </w:pPr>
    </w:p>
    <w:p w:rsidR="0078213C" w:rsidRDefault="0078213C" w:rsidP="0078213C">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D05C83">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rsidR="0078213C" w:rsidRDefault="0078213C" w:rsidP="0078213C">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Pr>
          <w:rFonts w:ascii="Palatino Linotype" w:hAnsi="Palatino Linotype" w:cs="Arial"/>
          <w:b/>
          <w:sz w:val="24"/>
          <w:szCs w:val="24"/>
        </w:rPr>
        <w:t>EL</w:t>
      </w:r>
      <w:r w:rsidRPr="0013048D">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w:t>
      </w:r>
      <w:r w:rsidR="00125E85">
        <w:rPr>
          <w:rFonts w:ascii="Palatino Linotype" w:hAnsi="Palatino Linotype" w:cs="Arial"/>
          <w:sz w:val="24"/>
          <w:szCs w:val="24"/>
        </w:rPr>
        <w:t xml:space="preserve"> a través del Sistema de Acceso a la Información Mexiquense </w:t>
      </w:r>
      <w:r w:rsidR="00125E85">
        <w:rPr>
          <w:rFonts w:ascii="Palatino Linotype" w:hAnsi="Palatino Linotype" w:cs="Arial"/>
          <w:b/>
          <w:sz w:val="24"/>
          <w:szCs w:val="24"/>
        </w:rPr>
        <w:t>(SAIMEX)</w:t>
      </w:r>
      <w:r w:rsidR="00125E85">
        <w:rPr>
          <w:rFonts w:ascii="Palatino Linotype" w:hAnsi="Palatino Linotype" w:cs="Arial"/>
          <w:sz w:val="24"/>
          <w:szCs w:val="24"/>
        </w:rPr>
        <w:t xml:space="preserve"> y por correo electrónico</w:t>
      </w:r>
      <w:r w:rsidRPr="00D05C83">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0A6A80" w:rsidRPr="00092D83" w:rsidRDefault="00133FDB" w:rsidP="00133FDB">
      <w:pPr>
        <w:spacing w:after="0" w:line="360" w:lineRule="auto"/>
        <w:jc w:val="both"/>
        <w:rPr>
          <w:rFonts w:ascii="Palatino Linotype" w:eastAsia="Calibri" w:hAnsi="Palatino Linotype"/>
          <w:sz w:val="24"/>
          <w:lang w:eastAsia="es-ES_tradnl"/>
        </w:rPr>
      </w:pPr>
      <w:r>
        <w:rPr>
          <w:rFonts w:ascii="Palatino Linotype" w:hAnsi="Palatino Linotype" w:cs="Arial"/>
          <w:b/>
          <w:sz w:val="24"/>
        </w:rPr>
        <w:t>QUINTO</w:t>
      </w:r>
      <w:r w:rsidR="000A6A80" w:rsidRPr="009D6BE1">
        <w:rPr>
          <w:rFonts w:ascii="Palatino Linotype" w:hAnsi="Palatino Linotype" w:cs="Arial"/>
          <w:b/>
          <w:sz w:val="24"/>
        </w:rPr>
        <w:t>.</w:t>
      </w:r>
      <w:r w:rsidR="000A6A80" w:rsidRPr="009D6BE1">
        <w:rPr>
          <w:rFonts w:ascii="Palatino Linotype" w:hAnsi="Palatino Linotype" w:cs="Arial"/>
          <w:sz w:val="24"/>
        </w:rPr>
        <w:t xml:space="preserve"> </w:t>
      </w:r>
      <w:r w:rsidR="000A6A80" w:rsidRPr="009D6BE1">
        <w:rPr>
          <w:rFonts w:ascii="Palatino Linotype" w:eastAsia="Calibri" w:hAnsi="Palatino Linotype"/>
          <w:b/>
          <w:sz w:val="24"/>
          <w:lang w:eastAsia="es-ES_tradnl"/>
        </w:rPr>
        <w:t>Gírese</w:t>
      </w:r>
      <w:r w:rsidR="000A6A80" w:rsidRPr="009D6BE1">
        <w:rPr>
          <w:rFonts w:ascii="Palatino Linotype" w:eastAsia="Calibri" w:hAnsi="Palatino Linotype"/>
          <w:sz w:val="24"/>
          <w:lang w:eastAsia="es-ES_tradnl"/>
        </w:rPr>
        <w:t xml:space="preserve"> </w:t>
      </w:r>
      <w:r w:rsidR="000A6A80" w:rsidRPr="00092D83">
        <w:rPr>
          <w:rFonts w:ascii="Palatino Linotype" w:eastAsia="Calibri" w:hAnsi="Palatino Linotype"/>
          <w:sz w:val="24"/>
          <w:lang w:eastAsia="es-ES_tradnl"/>
        </w:rPr>
        <w:t>oficio al Titular de la Contraloría Interna y</w:t>
      </w:r>
      <w:r w:rsidR="000A6A80">
        <w:rPr>
          <w:rFonts w:ascii="Palatino Linotype" w:eastAsia="Calibri" w:hAnsi="Palatino Linotype"/>
          <w:sz w:val="24"/>
          <w:lang w:eastAsia="es-ES_tradnl"/>
        </w:rPr>
        <w:t xml:space="preserve"> Órgano de Control y Vigilancia </w:t>
      </w:r>
      <w:r w:rsidR="000A6A80" w:rsidRPr="00092D83">
        <w:rPr>
          <w:rFonts w:ascii="Palatino Linotype" w:eastAsia="Calibri" w:hAnsi="Palatino Linotype"/>
          <w:sz w:val="24"/>
          <w:lang w:eastAsia="es-ES_tradnl"/>
        </w:rPr>
        <w:t>de este Instituto, de conformidad con el artículo 190 de la Ley de Transparencia y Acceso a</w:t>
      </w:r>
      <w:r w:rsidR="000A6A80">
        <w:rPr>
          <w:rFonts w:ascii="Palatino Linotype" w:eastAsia="Calibri" w:hAnsi="Palatino Linotype"/>
          <w:sz w:val="24"/>
          <w:lang w:eastAsia="es-ES_tradnl"/>
        </w:rPr>
        <w:t xml:space="preserve"> </w:t>
      </w:r>
      <w:r w:rsidR="000A6A80" w:rsidRPr="00092D83">
        <w:rPr>
          <w:rFonts w:ascii="Palatino Linotype" w:eastAsia="Calibri" w:hAnsi="Palatino Linotype"/>
          <w:sz w:val="24"/>
          <w:lang w:eastAsia="es-ES_tradnl"/>
        </w:rPr>
        <w:t xml:space="preserve">la Información Pública del Estado de México y Municipios, así como </w:t>
      </w:r>
      <w:r w:rsidR="000A6A80">
        <w:rPr>
          <w:rFonts w:ascii="Palatino Linotype" w:eastAsia="Calibri" w:hAnsi="Palatino Linotype"/>
          <w:sz w:val="24"/>
          <w:lang w:eastAsia="es-ES_tradnl"/>
        </w:rPr>
        <w:t xml:space="preserve">al Titular de la Dirección </w:t>
      </w:r>
      <w:r w:rsidR="000A6A80" w:rsidRPr="00092D83">
        <w:rPr>
          <w:rFonts w:ascii="Palatino Linotype" w:eastAsia="Calibri" w:hAnsi="Palatino Linotype"/>
          <w:sz w:val="24"/>
          <w:lang w:eastAsia="es-ES_tradnl"/>
        </w:rPr>
        <w:t xml:space="preserve">de Protección de Datos Personales en atención al artículo </w:t>
      </w:r>
      <w:r w:rsidR="000A6A80">
        <w:rPr>
          <w:rFonts w:ascii="Palatino Linotype" w:eastAsia="Calibri" w:hAnsi="Palatino Linotype"/>
          <w:sz w:val="24"/>
          <w:lang w:eastAsia="es-ES_tradnl"/>
        </w:rPr>
        <w:t xml:space="preserve">82, fracción XXVII de la Ley de </w:t>
      </w:r>
      <w:r w:rsidR="000A6A80" w:rsidRPr="00092D83">
        <w:rPr>
          <w:rFonts w:ascii="Palatino Linotype" w:eastAsia="Calibri" w:hAnsi="Palatino Linotype"/>
          <w:sz w:val="24"/>
          <w:lang w:eastAsia="es-ES_tradnl"/>
        </w:rPr>
        <w:t>Protección de Datos Personales del Estado de Méxic</w:t>
      </w:r>
      <w:r w:rsidR="000A6A80">
        <w:rPr>
          <w:rFonts w:ascii="Palatino Linotype" w:eastAsia="Calibri" w:hAnsi="Palatino Linotype"/>
          <w:sz w:val="24"/>
          <w:lang w:eastAsia="es-ES_tradnl"/>
        </w:rPr>
        <w:t xml:space="preserve">o y Municipios, en términos del </w:t>
      </w:r>
      <w:r w:rsidR="000A6A80" w:rsidRPr="00092D83">
        <w:rPr>
          <w:rFonts w:ascii="Palatino Linotype" w:eastAsia="Calibri" w:hAnsi="Palatino Linotype"/>
          <w:sz w:val="24"/>
          <w:lang w:eastAsia="es-ES_tradnl"/>
        </w:rPr>
        <w:t>Considerando cuarto de la presente resolución.</w:t>
      </w:r>
    </w:p>
    <w:p w:rsidR="0087197C" w:rsidRDefault="0087197C" w:rsidP="00B04BDC">
      <w:pPr>
        <w:spacing w:after="0" w:line="360" w:lineRule="auto"/>
        <w:jc w:val="both"/>
        <w:rPr>
          <w:rFonts w:ascii="Palatino Linotype" w:hAnsi="Palatino Linotype" w:cs="Arial"/>
          <w:sz w:val="24"/>
          <w:szCs w:val="24"/>
        </w:rPr>
      </w:pPr>
    </w:p>
    <w:p w:rsidR="00B04BDC" w:rsidRPr="00760D2A" w:rsidRDefault="00B04BDC" w:rsidP="00760D2A">
      <w:pPr>
        <w:spacing w:after="0" w:line="360" w:lineRule="auto"/>
        <w:jc w:val="both"/>
        <w:rPr>
          <w:rFonts w:ascii="Palatino Linotype" w:hAnsi="Palatino Linotype" w:cs="Arial"/>
          <w:szCs w:val="24"/>
        </w:rPr>
      </w:pPr>
      <w:r w:rsidRPr="00133FDB">
        <w:rPr>
          <w:rFonts w:ascii="Palatino Linotype" w:hAnsi="Palatino Linotype" w:cs="Arial"/>
          <w:szCs w:val="24"/>
        </w:rPr>
        <w:t>ASÍ LO RESUELVE, POR UNANIMIDAD DE VOTOS EL PLENO DEL</w:t>
      </w:r>
      <w:r w:rsidRPr="00133FDB">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133FDB">
        <w:rPr>
          <w:rFonts w:ascii="Palatino Linotype" w:hAnsi="Palatino Linotype" w:cs="Arial"/>
          <w:szCs w:val="24"/>
        </w:rPr>
        <w:t xml:space="preserve">, CONFORMADO POR LOS COMISIONADOS ZULEMA MARTÍNEZ SÁNCHEZ, EVA ABAID YAPUR, JOSÉ GUADALUPE LUNA HERNÁNDEZ, JAVIER MARTÍNEZ CRUZ Y LUIS GUSTAVO PARRA NORIEGA, EN LA </w:t>
      </w:r>
      <w:r w:rsidR="00760D2A">
        <w:rPr>
          <w:rFonts w:ascii="Palatino Linotype" w:hAnsi="Palatino Linotype" w:cs="Arial"/>
          <w:szCs w:val="24"/>
        </w:rPr>
        <w:t>DÉCIMO TERCERA</w:t>
      </w:r>
      <w:r w:rsidRPr="00133FDB">
        <w:rPr>
          <w:rFonts w:ascii="Palatino Linotype" w:hAnsi="Palatino Linotype" w:cs="Arial"/>
          <w:szCs w:val="24"/>
        </w:rPr>
        <w:t xml:space="preserve"> SESIÓN ORDINARIA CELEBRADA EL </w:t>
      </w:r>
      <w:r w:rsidR="00760D2A">
        <w:rPr>
          <w:rFonts w:ascii="Palatino Linotype" w:hAnsi="Palatino Linotype" w:cs="Arial"/>
          <w:szCs w:val="24"/>
        </w:rPr>
        <w:t>DOCE DE AGOSTO</w:t>
      </w:r>
      <w:r w:rsidR="009566A9" w:rsidRPr="00133FDB">
        <w:rPr>
          <w:rFonts w:ascii="Palatino Linotype" w:hAnsi="Palatino Linotype" w:cs="Arial"/>
          <w:szCs w:val="24"/>
        </w:rPr>
        <w:t xml:space="preserve"> DE DOS MIL VEINTE</w:t>
      </w:r>
      <w:r w:rsidRPr="00133FDB">
        <w:rPr>
          <w:rFonts w:ascii="Palatino Linotype" w:hAnsi="Palatino Linotype" w:cs="Arial"/>
          <w:szCs w:val="24"/>
        </w:rPr>
        <w:t>, ANTE EL SECRETARIO TÉCNICO DEL PLENO, ALEXIS TAPIA RAMÍREZ</w:t>
      </w:r>
      <w:r w:rsidR="00C91813" w:rsidRPr="00133FDB">
        <w:rPr>
          <w:rFonts w:ascii="Palatino Linotype" w:hAnsi="Palatino Linotype" w:cs="Arial"/>
          <w:szCs w:val="24"/>
        </w:rPr>
        <w:t>.</w:t>
      </w:r>
      <w:r w:rsidR="00760D2A">
        <w:rPr>
          <w:rFonts w:ascii="Palatino Linotype" w:hAnsi="Palatino Linotype" w:cs="Arial"/>
          <w:szCs w:val="24"/>
        </w:rPr>
        <w:t>------------------------------------------------------------------------------------------------------------------------------------------------------------------------------------------------------------------------------</w:t>
      </w:r>
    </w:p>
    <w:p w:rsidR="00133FDB" w:rsidRDefault="00133FDB" w:rsidP="00B04BDC">
      <w:pPr>
        <w:spacing w:before="240"/>
        <w:jc w:val="both"/>
        <w:rPr>
          <w:rFonts w:ascii="Palatino Linotype" w:hAnsi="Palatino Linotype"/>
        </w:rPr>
      </w:pPr>
    </w:p>
    <w:p w:rsidR="00B04BDC" w:rsidRDefault="00B04BDC" w:rsidP="00B04BD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DCE4073" wp14:editId="6C8B68A5">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D55C5"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CE407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D55C5"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B04BDC" w:rsidRPr="00D54B7D" w:rsidRDefault="00B04BDC" w:rsidP="00B04BDC">
      <w:pPr>
        <w:spacing w:before="240"/>
        <w:jc w:val="both"/>
        <w:rPr>
          <w:rFonts w:ascii="Palatino Linotype" w:hAnsi="Palatino Linotype"/>
        </w:rPr>
      </w:pPr>
    </w:p>
    <w:p w:rsidR="00B04BDC" w:rsidRDefault="00B04BDC" w:rsidP="00B04BDC">
      <w:pPr>
        <w:spacing w:before="240"/>
        <w:rPr>
          <w:rFonts w:ascii="Palatino Linotype" w:hAnsi="Palatino Linotype"/>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B3A7F4C" wp14:editId="4E325C1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55C5" w:rsidRPr="00EF2FC0" w:rsidRDefault="001D55C5"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D55C5"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Pr="00797B31" w:rsidRDefault="001D55C5" w:rsidP="00B04B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7F4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1D55C5" w:rsidRPr="00EF2FC0" w:rsidRDefault="001D55C5"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D55C5"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Pr="00797B31" w:rsidRDefault="001D55C5" w:rsidP="00B04BD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0434F2" wp14:editId="2570308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55C5" w:rsidRPr="00EF2FC0" w:rsidRDefault="001D55C5" w:rsidP="00B04BD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1D55C5" w:rsidRPr="00EF2FC0" w:rsidRDefault="001D55C5" w:rsidP="00B04BDC">
                            <w:pPr>
                              <w:jc w:val="center"/>
                              <w:rPr>
                                <w:rFonts w:ascii="Palatino Linotype" w:hAnsi="Palatino Linotype"/>
                                <w:sz w:val="24"/>
                                <w:szCs w:val="24"/>
                              </w:rPr>
                            </w:pPr>
                            <w:r w:rsidRPr="00EF2FC0">
                              <w:rPr>
                                <w:rFonts w:ascii="Palatino Linotype" w:hAnsi="Palatino Linotype"/>
                                <w:sz w:val="24"/>
                                <w:szCs w:val="24"/>
                              </w:rPr>
                              <w:t>Comisionada</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Default="001D55C5" w:rsidP="00B04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34F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1D55C5" w:rsidRPr="00EF2FC0" w:rsidRDefault="001D55C5"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1D55C5" w:rsidRPr="00EF2FC0" w:rsidRDefault="001D55C5" w:rsidP="00B04BDC">
                      <w:pPr>
                        <w:jc w:val="center"/>
                        <w:rPr>
                          <w:rFonts w:ascii="Palatino Linotype" w:hAnsi="Palatino Linotype"/>
                          <w:sz w:val="24"/>
                          <w:szCs w:val="24"/>
                        </w:rPr>
                      </w:pPr>
                      <w:r w:rsidRPr="00EF2FC0">
                        <w:rPr>
                          <w:rFonts w:ascii="Palatino Linotype" w:hAnsi="Palatino Linotype"/>
                          <w:sz w:val="24"/>
                          <w:szCs w:val="24"/>
                        </w:rPr>
                        <w:t>Comisionada</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Default="001D55C5" w:rsidP="00B04BDC">
                      <w:pPr>
                        <w:jc w:val="center"/>
                      </w:pPr>
                    </w:p>
                  </w:txbxContent>
                </v:textbox>
                <w10:wrap anchorx="margin"/>
              </v:shape>
            </w:pict>
          </mc:Fallback>
        </mc:AlternateContent>
      </w:r>
    </w:p>
    <w:p w:rsidR="00B04BDC" w:rsidRPr="00D54B7D" w:rsidRDefault="00B04BDC" w:rsidP="00B04BDC">
      <w:pPr>
        <w:spacing w:before="240"/>
        <w:rPr>
          <w:rFonts w:ascii="Palatino Linotype" w:hAnsi="Palatino Linotype"/>
          <w:b/>
        </w:rPr>
      </w:pPr>
    </w:p>
    <w:p w:rsidR="00B04BDC" w:rsidRPr="00D54B7D"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Pr="00B93570" w:rsidRDefault="00B04BDC" w:rsidP="00B04BDC">
      <w:pPr>
        <w:spacing w:before="240"/>
        <w:rPr>
          <w:rFonts w:ascii="Palatino Linotype" w:hAnsi="Palatino Linotype"/>
          <w:b/>
          <w:sz w:val="18"/>
          <w:szCs w:val="18"/>
        </w:rPr>
      </w:pPr>
    </w:p>
    <w:p w:rsidR="00B04BDC" w:rsidRPr="00B93570" w:rsidRDefault="00B04BDC" w:rsidP="00B04BD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C01CA29" wp14:editId="4BB5660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55C5" w:rsidRPr="00EF2FC0" w:rsidRDefault="001D55C5"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Default="001D55C5"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CA2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1D55C5" w:rsidRPr="00EF2FC0" w:rsidRDefault="001D55C5"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Default="001D55C5" w:rsidP="00B04BD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18F4CA" wp14:editId="1D73AAB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w:t>
                            </w:r>
                            <w:r>
                              <w:rPr>
                                <w:rFonts w:ascii="Palatino Linotype" w:hAnsi="Palatino Linotype" w:cs="Arial"/>
                                <w:sz w:val="24"/>
                                <w:szCs w:val="24"/>
                              </w:rPr>
                              <w:t>Rúbrica</w:t>
                            </w:r>
                            <w:r>
                              <w:rPr>
                                <w:rFonts w:ascii="Palatino Linotype" w:hAnsi="Palatino Linotype"/>
                                <w:sz w:val="24"/>
                                <w:szCs w:val="24"/>
                              </w:rPr>
                              <w:t>)</w:t>
                            </w:r>
                          </w:p>
                          <w:p w:rsidR="001D55C5" w:rsidRDefault="001D55C5"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F4CA"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D55C5" w:rsidRPr="00EF2FC0" w:rsidRDefault="001D55C5"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w:t>
                      </w:r>
                      <w:r>
                        <w:rPr>
                          <w:rFonts w:ascii="Palatino Linotype" w:hAnsi="Palatino Linotype" w:cs="Arial"/>
                          <w:sz w:val="24"/>
                          <w:szCs w:val="24"/>
                        </w:rPr>
                        <w:t>Rúbrica</w:t>
                      </w:r>
                      <w:r>
                        <w:rPr>
                          <w:rFonts w:ascii="Palatino Linotype" w:hAnsi="Palatino Linotype"/>
                          <w:sz w:val="24"/>
                          <w:szCs w:val="24"/>
                        </w:rPr>
                        <w:t>)</w:t>
                      </w:r>
                    </w:p>
                    <w:p w:rsidR="001D55C5" w:rsidRDefault="001D55C5" w:rsidP="00B04BDC"/>
                  </w:txbxContent>
                </v:textbox>
                <w10:wrap anchorx="page"/>
              </v:shape>
            </w:pict>
          </mc:Fallback>
        </mc:AlternateContent>
      </w: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9693DAA" wp14:editId="556FA761">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55C5" w:rsidRPr="007F6133" w:rsidRDefault="001D55C5"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1D55C5" w:rsidRDefault="001D55C5"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Default="001D55C5" w:rsidP="00B04BDC">
                            <w:pPr>
                              <w:jc w:val="center"/>
                              <w:rPr>
                                <w:rFonts w:ascii="Palatino Linotype" w:hAnsi="Palatino Linotype"/>
                                <w:sz w:val="24"/>
                                <w:szCs w:val="24"/>
                              </w:rPr>
                            </w:pPr>
                          </w:p>
                          <w:p w:rsidR="001D55C5" w:rsidRPr="00EF2FC0" w:rsidRDefault="001D55C5" w:rsidP="00B04BDC">
                            <w:pPr>
                              <w:jc w:val="center"/>
                              <w:rPr>
                                <w:rFonts w:ascii="Palatino Linotype" w:hAnsi="Palatino Linotype"/>
                                <w:sz w:val="24"/>
                                <w:szCs w:val="24"/>
                              </w:rPr>
                            </w:pPr>
                          </w:p>
                          <w:p w:rsidR="001D55C5" w:rsidRDefault="001D55C5"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DAA"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1D55C5" w:rsidRPr="007F6133" w:rsidRDefault="001D55C5"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1D55C5" w:rsidRDefault="001D55C5"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D55C5" w:rsidRDefault="001D55C5"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1D55C5" w:rsidRDefault="001D55C5" w:rsidP="00B04BDC">
                      <w:pPr>
                        <w:jc w:val="center"/>
                        <w:rPr>
                          <w:rFonts w:ascii="Palatino Linotype" w:hAnsi="Palatino Linotype"/>
                          <w:sz w:val="24"/>
                          <w:szCs w:val="24"/>
                        </w:rPr>
                      </w:pPr>
                    </w:p>
                    <w:p w:rsidR="001D55C5" w:rsidRPr="00EF2FC0" w:rsidRDefault="001D55C5" w:rsidP="00B04BDC">
                      <w:pPr>
                        <w:jc w:val="center"/>
                        <w:rPr>
                          <w:rFonts w:ascii="Palatino Linotype" w:hAnsi="Palatino Linotype"/>
                          <w:sz w:val="24"/>
                          <w:szCs w:val="24"/>
                        </w:rPr>
                      </w:pPr>
                    </w:p>
                    <w:p w:rsidR="001D55C5" w:rsidRDefault="001D55C5" w:rsidP="00B04BDC"/>
                  </w:txbxContent>
                </v:textbox>
                <w10:wrap anchorx="page"/>
              </v:shape>
            </w:pict>
          </mc:Fallback>
        </mc:AlternateContent>
      </w:r>
    </w:p>
    <w:p w:rsidR="00B04BDC" w:rsidRDefault="00B04BDC" w:rsidP="00B04BDC">
      <w:pPr>
        <w:spacing w:before="240"/>
        <w:rPr>
          <w:rFonts w:ascii="Palatino Linotype" w:hAnsi="Palatino Linotype" w:cs="Arial"/>
          <w:sz w:val="18"/>
          <w:szCs w:val="18"/>
        </w:rPr>
      </w:pPr>
    </w:p>
    <w:p w:rsidR="00B04BDC" w:rsidRDefault="00B04BDC" w:rsidP="00B04BDC">
      <w:pPr>
        <w:spacing w:before="240"/>
        <w:jc w:val="both"/>
        <w:rPr>
          <w:rFonts w:ascii="Palatino Linotype" w:hAnsi="Palatino Linotype" w:cs="Arial"/>
          <w:sz w:val="18"/>
          <w:szCs w:val="18"/>
        </w:rPr>
      </w:pPr>
    </w:p>
    <w:p w:rsidR="00B04BDC" w:rsidRDefault="00B04BDC" w:rsidP="00B04BDC">
      <w:pPr>
        <w:spacing w:before="240" w:line="240" w:lineRule="auto"/>
        <w:jc w:val="both"/>
        <w:rPr>
          <w:rFonts w:ascii="Palatino Linotype" w:hAnsi="Palatino Linotype" w:cs="Arial"/>
          <w:sz w:val="14"/>
          <w:szCs w:val="14"/>
        </w:rPr>
      </w:pPr>
    </w:p>
    <w:p w:rsidR="00B04BDC" w:rsidRPr="002052F6" w:rsidRDefault="00B04BDC" w:rsidP="00B04BD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760D2A">
        <w:rPr>
          <w:rFonts w:ascii="Palatino Linotype" w:hAnsi="Palatino Linotype" w:cs="Arial"/>
          <w:sz w:val="16"/>
          <w:szCs w:val="16"/>
        </w:rPr>
        <w:t>doce de agosto</w:t>
      </w:r>
      <w:r>
        <w:rPr>
          <w:rFonts w:ascii="Palatino Linotype" w:hAnsi="Palatino Linotype" w:cs="Arial"/>
          <w:sz w:val="16"/>
          <w:szCs w:val="16"/>
        </w:rPr>
        <w:t xml:space="preserve"> de dos mil </w:t>
      </w:r>
      <w:r w:rsidR="00ED0169">
        <w:rPr>
          <w:rFonts w:ascii="Palatino Linotype" w:hAnsi="Palatino Linotype" w:cs="Arial"/>
          <w:sz w:val="16"/>
          <w:szCs w:val="16"/>
        </w:rPr>
        <w:t>veinte</w:t>
      </w:r>
      <w:r w:rsidRPr="002052F6">
        <w:rPr>
          <w:rFonts w:ascii="Palatino Linotype" w:hAnsi="Palatino Linotype" w:cs="Arial"/>
          <w:sz w:val="16"/>
          <w:szCs w:val="16"/>
        </w:rPr>
        <w:t xml:space="preserve">, emitida en el recurso de revisión </w:t>
      </w:r>
      <w:r w:rsidR="00760D2A">
        <w:rPr>
          <w:rFonts w:ascii="Palatino Linotype" w:hAnsi="Palatino Linotype" w:cs="Arial"/>
          <w:bCs/>
          <w:sz w:val="16"/>
          <w:szCs w:val="16"/>
          <w:lang w:eastAsia="es-MX"/>
        </w:rPr>
        <w:t>00870/INFOEM/IP/RR/20</w:t>
      </w:r>
      <w:r w:rsidR="00133FDB">
        <w:rPr>
          <w:rFonts w:ascii="Palatino Linotype" w:hAnsi="Palatino Linotype" w:cs="Arial"/>
          <w:bCs/>
          <w:sz w:val="16"/>
          <w:szCs w:val="16"/>
          <w:lang w:eastAsia="es-MX"/>
        </w:rPr>
        <w:t>20</w:t>
      </w:r>
      <w:r w:rsidRPr="002052F6">
        <w:rPr>
          <w:rFonts w:ascii="Palatino Linotype" w:hAnsi="Palatino Linotype" w:cs="Arial"/>
          <w:sz w:val="16"/>
          <w:szCs w:val="16"/>
        </w:rPr>
        <w:t>.</w:t>
      </w:r>
    </w:p>
    <w:p w:rsidR="00B04BDC" w:rsidRDefault="00F451DF" w:rsidP="00B04BDC">
      <w:pPr>
        <w:spacing w:after="0"/>
      </w:pPr>
      <w:r>
        <w:t>ZMS/OSAM/FJJC</w:t>
      </w:r>
    </w:p>
    <w:p w:rsidR="00DD13E2" w:rsidRDefault="00DD13E2" w:rsidP="00A459D0">
      <w:pPr>
        <w:spacing w:after="0" w:line="360" w:lineRule="auto"/>
        <w:jc w:val="both"/>
      </w:pPr>
    </w:p>
    <w:sectPr w:rsidR="00DD13E2" w:rsidSect="00E15E85">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CB" w:rsidRDefault="00742BCB" w:rsidP="00E15E85">
      <w:pPr>
        <w:spacing w:after="0" w:line="240" w:lineRule="auto"/>
      </w:pPr>
      <w:r>
        <w:separator/>
      </w:r>
    </w:p>
  </w:endnote>
  <w:endnote w:type="continuationSeparator" w:id="0">
    <w:p w:rsidR="00742BCB" w:rsidRDefault="00742BC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C5" w:rsidRPr="000B69FA" w:rsidRDefault="001D55C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636A">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636A">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C5" w:rsidRPr="000B69FA" w:rsidRDefault="001D55C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63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636A">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CB" w:rsidRDefault="00742BCB" w:rsidP="00E15E85">
      <w:pPr>
        <w:spacing w:after="0" w:line="240" w:lineRule="auto"/>
      </w:pPr>
      <w:r>
        <w:separator/>
      </w:r>
    </w:p>
  </w:footnote>
  <w:footnote w:type="continuationSeparator" w:id="0">
    <w:p w:rsidR="00742BCB" w:rsidRDefault="00742BCB" w:rsidP="00E15E85">
      <w:pPr>
        <w:spacing w:after="0" w:line="240" w:lineRule="auto"/>
      </w:pPr>
      <w:r>
        <w:continuationSeparator/>
      </w:r>
    </w:p>
  </w:footnote>
  <w:footnote w:id="1">
    <w:p w:rsidR="001D55C5" w:rsidRPr="00911081" w:rsidRDefault="001D55C5"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D55C5" w:rsidRPr="00911081" w:rsidRDefault="001D55C5"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2B" w:rsidRDefault="001E636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4434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C5" w:rsidRDefault="001E636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44345" o:spid="_x0000_s2051" type="#_x0000_t75" style="position:absolute;margin-left:-82.3pt;margin-top:-127.25pt;width:609.4pt;height:793.75pt;z-index:-251656192;mso-position-horizontal-relative:margin;mso-position-vertical-relative:margin" o:allowincell="f">
          <v:imagedata r:id="rId1" o:title="logo infoem"/>
          <w10:wrap anchorx="margin" anchory="margin"/>
        </v:shape>
      </w:pict>
    </w:r>
  </w:p>
  <w:tbl>
    <w:tblPr>
      <w:tblW w:w="9394" w:type="dxa"/>
      <w:tblInd w:w="610" w:type="dxa"/>
      <w:tblCellMar>
        <w:left w:w="70" w:type="dxa"/>
        <w:right w:w="70" w:type="dxa"/>
      </w:tblCellMar>
      <w:tblLook w:val="04A0" w:firstRow="1" w:lastRow="0" w:firstColumn="1" w:lastColumn="0" w:noHBand="0" w:noVBand="1"/>
    </w:tblPr>
    <w:tblGrid>
      <w:gridCol w:w="4367"/>
      <w:gridCol w:w="5027"/>
    </w:tblGrid>
    <w:tr w:rsidR="001D55C5" w:rsidTr="00B2622B">
      <w:trPr>
        <w:trHeight w:val="227"/>
      </w:trPr>
      <w:tc>
        <w:tcPr>
          <w:tcW w:w="4367" w:type="dxa"/>
          <w:hideMark/>
        </w:tcPr>
        <w:p w:rsidR="001D55C5" w:rsidRDefault="001D55C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027" w:type="dxa"/>
          <w:hideMark/>
        </w:tcPr>
        <w:p w:rsidR="001D55C5" w:rsidRPr="00D56BC3" w:rsidRDefault="00133FDB"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00870/INFOEM/IP/RR/2020</w:t>
          </w:r>
        </w:p>
      </w:tc>
    </w:tr>
    <w:tr w:rsidR="001D55C5" w:rsidTr="00B2622B">
      <w:trPr>
        <w:trHeight w:val="242"/>
      </w:trPr>
      <w:tc>
        <w:tcPr>
          <w:tcW w:w="4367" w:type="dxa"/>
          <w:hideMark/>
        </w:tcPr>
        <w:p w:rsidR="001D55C5" w:rsidRDefault="001D55C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027" w:type="dxa"/>
          <w:hideMark/>
        </w:tcPr>
        <w:p w:rsidR="001D55C5" w:rsidRDefault="001D55C5" w:rsidP="007D4D71">
          <w:pPr>
            <w:spacing w:after="120" w:line="256" w:lineRule="auto"/>
            <w:ind w:left="-486" w:right="214" w:firstLine="284"/>
            <w:jc w:val="right"/>
            <w:rPr>
              <w:rFonts w:ascii="Palatino Linotype" w:hAnsi="Palatino Linotype" w:cs="Arial"/>
              <w:szCs w:val="20"/>
            </w:rPr>
          </w:pPr>
          <w:r w:rsidRPr="0059073D">
            <w:rPr>
              <w:rFonts w:ascii="Palatino Linotype" w:hAnsi="Palatino Linotype" w:cs="Arial"/>
              <w:szCs w:val="20"/>
            </w:rPr>
            <w:t xml:space="preserve">Ayuntamiento de </w:t>
          </w:r>
          <w:r>
            <w:rPr>
              <w:rFonts w:ascii="Palatino Linotype" w:hAnsi="Palatino Linotype" w:cs="Arial"/>
              <w:szCs w:val="20"/>
            </w:rPr>
            <w:t>Santo Tomás</w:t>
          </w:r>
        </w:p>
      </w:tc>
    </w:tr>
    <w:tr w:rsidR="001D55C5" w:rsidTr="00B2622B">
      <w:trPr>
        <w:trHeight w:val="342"/>
      </w:trPr>
      <w:tc>
        <w:tcPr>
          <w:tcW w:w="4367" w:type="dxa"/>
          <w:hideMark/>
        </w:tcPr>
        <w:p w:rsidR="001D55C5" w:rsidRDefault="001D55C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027" w:type="dxa"/>
          <w:hideMark/>
        </w:tcPr>
        <w:p w:rsidR="001D55C5" w:rsidRDefault="001D55C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D55C5" w:rsidRDefault="001D55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76" w:type="dxa"/>
      <w:tblInd w:w="694" w:type="dxa"/>
      <w:tblLayout w:type="fixed"/>
      <w:tblCellMar>
        <w:left w:w="70" w:type="dxa"/>
        <w:right w:w="70" w:type="dxa"/>
      </w:tblCellMar>
      <w:tblLook w:val="04A0" w:firstRow="1" w:lastRow="0" w:firstColumn="1" w:lastColumn="0" w:noHBand="0" w:noVBand="1"/>
    </w:tblPr>
    <w:tblGrid>
      <w:gridCol w:w="4312"/>
      <w:gridCol w:w="4964"/>
    </w:tblGrid>
    <w:tr w:rsidR="001D55C5" w:rsidTr="00B2622B">
      <w:trPr>
        <w:trHeight w:val="231"/>
      </w:trPr>
      <w:tc>
        <w:tcPr>
          <w:tcW w:w="4312" w:type="dxa"/>
          <w:hideMark/>
        </w:tcPr>
        <w:p w:rsidR="001D55C5" w:rsidRDefault="001D55C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4" w:type="dxa"/>
          <w:hideMark/>
        </w:tcPr>
        <w:p w:rsidR="001D55C5" w:rsidRPr="00B4142F" w:rsidRDefault="001D55C5"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00870/INFOEM/IP/RR/2020</w:t>
          </w:r>
        </w:p>
      </w:tc>
    </w:tr>
    <w:tr w:rsidR="001D55C5" w:rsidTr="00B2622B">
      <w:trPr>
        <w:trHeight w:val="199"/>
      </w:trPr>
      <w:tc>
        <w:tcPr>
          <w:tcW w:w="4312" w:type="dxa"/>
          <w:hideMark/>
        </w:tcPr>
        <w:p w:rsidR="001D55C5" w:rsidRDefault="001D55C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4" w:type="dxa"/>
          <w:hideMark/>
        </w:tcPr>
        <w:p w:rsidR="001D55C5" w:rsidRPr="00F06FED" w:rsidRDefault="001E636A"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w:t>
          </w:r>
          <w:proofErr w:type="spellEnd"/>
        </w:p>
      </w:tc>
    </w:tr>
    <w:tr w:rsidR="001D55C5" w:rsidTr="00B2622B">
      <w:trPr>
        <w:trHeight w:val="246"/>
      </w:trPr>
      <w:tc>
        <w:tcPr>
          <w:tcW w:w="4312" w:type="dxa"/>
          <w:hideMark/>
        </w:tcPr>
        <w:p w:rsidR="001D55C5" w:rsidRDefault="001D55C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4" w:type="dxa"/>
          <w:hideMark/>
        </w:tcPr>
        <w:p w:rsidR="001D55C5" w:rsidRDefault="001D55C5" w:rsidP="0015550A">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Santo Tomás</w:t>
          </w:r>
        </w:p>
      </w:tc>
    </w:tr>
    <w:tr w:rsidR="001D55C5" w:rsidTr="00B2622B">
      <w:trPr>
        <w:trHeight w:val="348"/>
      </w:trPr>
      <w:tc>
        <w:tcPr>
          <w:tcW w:w="4312" w:type="dxa"/>
          <w:hideMark/>
        </w:tcPr>
        <w:p w:rsidR="001D55C5" w:rsidRDefault="001D55C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4" w:type="dxa"/>
          <w:hideMark/>
        </w:tcPr>
        <w:p w:rsidR="001D55C5" w:rsidRDefault="001D55C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D55C5" w:rsidRDefault="001E636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44343" o:spid="_x0000_s2049" type="#_x0000_t75" style="position:absolute;margin-left:-83.15pt;margin-top:-131.2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6"/>
  </w:num>
  <w:num w:numId="2">
    <w:abstractNumId w:val="9"/>
  </w:num>
  <w:num w:numId="3">
    <w:abstractNumId w:val="28"/>
  </w:num>
  <w:num w:numId="4">
    <w:abstractNumId w:val="22"/>
  </w:num>
  <w:num w:numId="5">
    <w:abstractNumId w:val="30"/>
  </w:num>
  <w:num w:numId="6">
    <w:abstractNumId w:val="10"/>
  </w:num>
  <w:num w:numId="7">
    <w:abstractNumId w:val="38"/>
  </w:num>
  <w:num w:numId="8">
    <w:abstractNumId w:val="23"/>
  </w:num>
  <w:num w:numId="9">
    <w:abstractNumId w:val="16"/>
  </w:num>
  <w:num w:numId="10">
    <w:abstractNumId w:val="37"/>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7"/>
  </w:num>
  <w:num w:numId="18">
    <w:abstractNumId w:val="2"/>
  </w:num>
  <w:num w:numId="19">
    <w:abstractNumId w:val="27"/>
  </w:num>
  <w:num w:numId="20">
    <w:abstractNumId w:val="19"/>
  </w:num>
  <w:num w:numId="21">
    <w:abstractNumId w:val="13"/>
  </w:num>
  <w:num w:numId="22">
    <w:abstractNumId w:val="11"/>
  </w:num>
  <w:num w:numId="23">
    <w:abstractNumId w:val="5"/>
  </w:num>
  <w:num w:numId="24">
    <w:abstractNumId w:val="7"/>
  </w:num>
  <w:num w:numId="25">
    <w:abstractNumId w:val="39"/>
  </w:num>
  <w:num w:numId="26">
    <w:abstractNumId w:val="20"/>
  </w:num>
  <w:num w:numId="27">
    <w:abstractNumId w:val="0"/>
  </w:num>
  <w:num w:numId="28">
    <w:abstractNumId w:val="29"/>
  </w:num>
  <w:num w:numId="29">
    <w:abstractNumId w:val="3"/>
  </w:num>
  <w:num w:numId="30">
    <w:abstractNumId w:val="8"/>
  </w:num>
  <w:num w:numId="31">
    <w:abstractNumId w:val="25"/>
  </w:num>
  <w:num w:numId="32">
    <w:abstractNumId w:val="1"/>
  </w:num>
  <w:num w:numId="33">
    <w:abstractNumId w:val="33"/>
  </w:num>
  <w:num w:numId="34">
    <w:abstractNumId w:val="18"/>
  </w:num>
  <w:num w:numId="35">
    <w:abstractNumId w:val="21"/>
  </w:num>
  <w:num w:numId="36">
    <w:abstractNumId w:val="24"/>
  </w:num>
  <w:num w:numId="37">
    <w:abstractNumId w:val="32"/>
  </w:num>
  <w:num w:numId="38">
    <w:abstractNumId w:val="34"/>
  </w:num>
  <w:num w:numId="39">
    <w:abstractNumId w:val="26"/>
  </w:num>
  <w:num w:numId="40">
    <w:abstractNumId w:val="3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62CDA"/>
    <w:rsid w:val="00072B22"/>
    <w:rsid w:val="00073973"/>
    <w:rsid w:val="00074A99"/>
    <w:rsid w:val="000751FB"/>
    <w:rsid w:val="00076643"/>
    <w:rsid w:val="00080E38"/>
    <w:rsid w:val="00082DF3"/>
    <w:rsid w:val="00083664"/>
    <w:rsid w:val="000A66E6"/>
    <w:rsid w:val="000A6A80"/>
    <w:rsid w:val="000B00E1"/>
    <w:rsid w:val="000B3319"/>
    <w:rsid w:val="000B5CA4"/>
    <w:rsid w:val="000C4D36"/>
    <w:rsid w:val="000C59EE"/>
    <w:rsid w:val="000D23C7"/>
    <w:rsid w:val="000D5294"/>
    <w:rsid w:val="000D7FDC"/>
    <w:rsid w:val="000E2FED"/>
    <w:rsid w:val="000F019E"/>
    <w:rsid w:val="000F0611"/>
    <w:rsid w:val="000F192F"/>
    <w:rsid w:val="000F203E"/>
    <w:rsid w:val="000F2A0E"/>
    <w:rsid w:val="000F70A2"/>
    <w:rsid w:val="0011750A"/>
    <w:rsid w:val="0012266D"/>
    <w:rsid w:val="00125254"/>
    <w:rsid w:val="00125E85"/>
    <w:rsid w:val="00130D58"/>
    <w:rsid w:val="00132E81"/>
    <w:rsid w:val="00133FDB"/>
    <w:rsid w:val="00143758"/>
    <w:rsid w:val="001501D2"/>
    <w:rsid w:val="0015550A"/>
    <w:rsid w:val="00171798"/>
    <w:rsid w:val="00171BD5"/>
    <w:rsid w:val="0018251E"/>
    <w:rsid w:val="0018257F"/>
    <w:rsid w:val="00183623"/>
    <w:rsid w:val="001851A3"/>
    <w:rsid w:val="00195489"/>
    <w:rsid w:val="001A32DE"/>
    <w:rsid w:val="001B066D"/>
    <w:rsid w:val="001B160D"/>
    <w:rsid w:val="001B24D5"/>
    <w:rsid w:val="001B3E5E"/>
    <w:rsid w:val="001C0F7D"/>
    <w:rsid w:val="001C28D0"/>
    <w:rsid w:val="001C3E01"/>
    <w:rsid w:val="001C3F41"/>
    <w:rsid w:val="001C7069"/>
    <w:rsid w:val="001D55C5"/>
    <w:rsid w:val="001E5993"/>
    <w:rsid w:val="001E636A"/>
    <w:rsid w:val="002019BD"/>
    <w:rsid w:val="002052F6"/>
    <w:rsid w:val="00207283"/>
    <w:rsid w:val="0021477F"/>
    <w:rsid w:val="00217E99"/>
    <w:rsid w:val="00223C2F"/>
    <w:rsid w:val="00224181"/>
    <w:rsid w:val="00230DC3"/>
    <w:rsid w:val="00233D51"/>
    <w:rsid w:val="0024055C"/>
    <w:rsid w:val="00241578"/>
    <w:rsid w:val="0025319F"/>
    <w:rsid w:val="00253C58"/>
    <w:rsid w:val="00260563"/>
    <w:rsid w:val="002606F0"/>
    <w:rsid w:val="0026534C"/>
    <w:rsid w:val="002677ED"/>
    <w:rsid w:val="0027161A"/>
    <w:rsid w:val="00272144"/>
    <w:rsid w:val="00287512"/>
    <w:rsid w:val="002902D7"/>
    <w:rsid w:val="00294D34"/>
    <w:rsid w:val="002A0B8E"/>
    <w:rsid w:val="002A1820"/>
    <w:rsid w:val="002A30B2"/>
    <w:rsid w:val="002A42E4"/>
    <w:rsid w:val="002A6F17"/>
    <w:rsid w:val="002B144D"/>
    <w:rsid w:val="002B1A4F"/>
    <w:rsid w:val="002B48E4"/>
    <w:rsid w:val="002B718C"/>
    <w:rsid w:val="002C42B8"/>
    <w:rsid w:val="002C5AC2"/>
    <w:rsid w:val="002C6BFF"/>
    <w:rsid w:val="002E10F7"/>
    <w:rsid w:val="003011A8"/>
    <w:rsid w:val="003034F4"/>
    <w:rsid w:val="0030350B"/>
    <w:rsid w:val="00307CD9"/>
    <w:rsid w:val="003126D8"/>
    <w:rsid w:val="00313FE3"/>
    <w:rsid w:val="00314E07"/>
    <w:rsid w:val="003160E8"/>
    <w:rsid w:val="003162D8"/>
    <w:rsid w:val="00317B8A"/>
    <w:rsid w:val="00330A95"/>
    <w:rsid w:val="00333666"/>
    <w:rsid w:val="003341B0"/>
    <w:rsid w:val="00334E11"/>
    <w:rsid w:val="00337B49"/>
    <w:rsid w:val="00342A59"/>
    <w:rsid w:val="00343929"/>
    <w:rsid w:val="00345C5E"/>
    <w:rsid w:val="0034696E"/>
    <w:rsid w:val="003470B1"/>
    <w:rsid w:val="003474F2"/>
    <w:rsid w:val="0035101A"/>
    <w:rsid w:val="00357BFC"/>
    <w:rsid w:val="00382E48"/>
    <w:rsid w:val="00385299"/>
    <w:rsid w:val="0039084D"/>
    <w:rsid w:val="00392F32"/>
    <w:rsid w:val="00394CC7"/>
    <w:rsid w:val="003B465B"/>
    <w:rsid w:val="003B5697"/>
    <w:rsid w:val="003C5897"/>
    <w:rsid w:val="003E2AE6"/>
    <w:rsid w:val="003F6C6C"/>
    <w:rsid w:val="00411827"/>
    <w:rsid w:val="00415ED7"/>
    <w:rsid w:val="0041722B"/>
    <w:rsid w:val="0042378C"/>
    <w:rsid w:val="004254FE"/>
    <w:rsid w:val="00437C82"/>
    <w:rsid w:val="00437E85"/>
    <w:rsid w:val="00444F0D"/>
    <w:rsid w:val="00447C95"/>
    <w:rsid w:val="0047358F"/>
    <w:rsid w:val="004867DE"/>
    <w:rsid w:val="00486FE1"/>
    <w:rsid w:val="00492244"/>
    <w:rsid w:val="004931E7"/>
    <w:rsid w:val="004A2BFB"/>
    <w:rsid w:val="004A4E4D"/>
    <w:rsid w:val="004C0C26"/>
    <w:rsid w:val="004C3693"/>
    <w:rsid w:val="004D2991"/>
    <w:rsid w:val="004E271B"/>
    <w:rsid w:val="004E6DB3"/>
    <w:rsid w:val="004F05B2"/>
    <w:rsid w:val="004F4C76"/>
    <w:rsid w:val="0050780F"/>
    <w:rsid w:val="00511AC9"/>
    <w:rsid w:val="0051435E"/>
    <w:rsid w:val="00515B7F"/>
    <w:rsid w:val="00525565"/>
    <w:rsid w:val="00527856"/>
    <w:rsid w:val="00527C6A"/>
    <w:rsid w:val="00531D07"/>
    <w:rsid w:val="005329E8"/>
    <w:rsid w:val="005427AA"/>
    <w:rsid w:val="00560441"/>
    <w:rsid w:val="005635E8"/>
    <w:rsid w:val="0056434F"/>
    <w:rsid w:val="005733EB"/>
    <w:rsid w:val="0057576D"/>
    <w:rsid w:val="0058641D"/>
    <w:rsid w:val="0059073D"/>
    <w:rsid w:val="005A7D62"/>
    <w:rsid w:val="005B1DF4"/>
    <w:rsid w:val="005C5341"/>
    <w:rsid w:val="005D17CF"/>
    <w:rsid w:val="005E015A"/>
    <w:rsid w:val="005E601C"/>
    <w:rsid w:val="005F014F"/>
    <w:rsid w:val="005F27DF"/>
    <w:rsid w:val="005F32D2"/>
    <w:rsid w:val="00611799"/>
    <w:rsid w:val="00614FDD"/>
    <w:rsid w:val="00616784"/>
    <w:rsid w:val="006200A2"/>
    <w:rsid w:val="00624C9F"/>
    <w:rsid w:val="00630582"/>
    <w:rsid w:val="00631B59"/>
    <w:rsid w:val="00634239"/>
    <w:rsid w:val="00637A11"/>
    <w:rsid w:val="0064105F"/>
    <w:rsid w:val="00650FCE"/>
    <w:rsid w:val="00651B07"/>
    <w:rsid w:val="00653B08"/>
    <w:rsid w:val="00654533"/>
    <w:rsid w:val="00654B56"/>
    <w:rsid w:val="00664CA7"/>
    <w:rsid w:val="00673CFD"/>
    <w:rsid w:val="00680423"/>
    <w:rsid w:val="006866FB"/>
    <w:rsid w:val="006A1167"/>
    <w:rsid w:val="006B2E10"/>
    <w:rsid w:val="006B7A47"/>
    <w:rsid w:val="006C1A4F"/>
    <w:rsid w:val="006D27AC"/>
    <w:rsid w:val="006F2EA8"/>
    <w:rsid w:val="006F46D5"/>
    <w:rsid w:val="00702AB3"/>
    <w:rsid w:val="00707CD8"/>
    <w:rsid w:val="0071132A"/>
    <w:rsid w:val="00712DB8"/>
    <w:rsid w:val="007152E4"/>
    <w:rsid w:val="0071620F"/>
    <w:rsid w:val="007222CB"/>
    <w:rsid w:val="00732C05"/>
    <w:rsid w:val="00742BCB"/>
    <w:rsid w:val="00751252"/>
    <w:rsid w:val="00755099"/>
    <w:rsid w:val="00760D2A"/>
    <w:rsid w:val="007752A2"/>
    <w:rsid w:val="0077680C"/>
    <w:rsid w:val="00776ED0"/>
    <w:rsid w:val="0078213C"/>
    <w:rsid w:val="0079194D"/>
    <w:rsid w:val="00793344"/>
    <w:rsid w:val="00793FB4"/>
    <w:rsid w:val="007A0267"/>
    <w:rsid w:val="007A1EFA"/>
    <w:rsid w:val="007A2478"/>
    <w:rsid w:val="007B5366"/>
    <w:rsid w:val="007B7A2B"/>
    <w:rsid w:val="007C1445"/>
    <w:rsid w:val="007C5165"/>
    <w:rsid w:val="007D276C"/>
    <w:rsid w:val="007D48FA"/>
    <w:rsid w:val="007D4D71"/>
    <w:rsid w:val="007E2959"/>
    <w:rsid w:val="00834F4B"/>
    <w:rsid w:val="00837327"/>
    <w:rsid w:val="0084425F"/>
    <w:rsid w:val="00845C1C"/>
    <w:rsid w:val="00851531"/>
    <w:rsid w:val="00857F9A"/>
    <w:rsid w:val="00860F0A"/>
    <w:rsid w:val="0087197C"/>
    <w:rsid w:val="00871B5D"/>
    <w:rsid w:val="00872278"/>
    <w:rsid w:val="00873EF8"/>
    <w:rsid w:val="00875499"/>
    <w:rsid w:val="00881D0D"/>
    <w:rsid w:val="008904FC"/>
    <w:rsid w:val="008A0C8F"/>
    <w:rsid w:val="008A12F6"/>
    <w:rsid w:val="008A7A86"/>
    <w:rsid w:val="008B34EC"/>
    <w:rsid w:val="008C0698"/>
    <w:rsid w:val="008C2D55"/>
    <w:rsid w:val="008D33FE"/>
    <w:rsid w:val="008E0DD2"/>
    <w:rsid w:val="008E0E21"/>
    <w:rsid w:val="008E5141"/>
    <w:rsid w:val="008F084E"/>
    <w:rsid w:val="008F77B1"/>
    <w:rsid w:val="008F7A52"/>
    <w:rsid w:val="009050B2"/>
    <w:rsid w:val="00925375"/>
    <w:rsid w:val="00936807"/>
    <w:rsid w:val="00940EBE"/>
    <w:rsid w:val="00943223"/>
    <w:rsid w:val="00944134"/>
    <w:rsid w:val="0094613F"/>
    <w:rsid w:val="0095157B"/>
    <w:rsid w:val="00952836"/>
    <w:rsid w:val="00956134"/>
    <w:rsid w:val="009566A9"/>
    <w:rsid w:val="009614DA"/>
    <w:rsid w:val="00962BB1"/>
    <w:rsid w:val="00963155"/>
    <w:rsid w:val="0097286C"/>
    <w:rsid w:val="00976A80"/>
    <w:rsid w:val="00980401"/>
    <w:rsid w:val="009838CD"/>
    <w:rsid w:val="00985E6C"/>
    <w:rsid w:val="009877A2"/>
    <w:rsid w:val="00991CC2"/>
    <w:rsid w:val="00992273"/>
    <w:rsid w:val="00994336"/>
    <w:rsid w:val="00997030"/>
    <w:rsid w:val="009A0459"/>
    <w:rsid w:val="009B4889"/>
    <w:rsid w:val="009B76BF"/>
    <w:rsid w:val="009C75A5"/>
    <w:rsid w:val="009D427C"/>
    <w:rsid w:val="009D4C08"/>
    <w:rsid w:val="009E3B36"/>
    <w:rsid w:val="009E5649"/>
    <w:rsid w:val="009F30E4"/>
    <w:rsid w:val="009F4D4F"/>
    <w:rsid w:val="009F6268"/>
    <w:rsid w:val="009F7948"/>
    <w:rsid w:val="00A11FE2"/>
    <w:rsid w:val="00A21B83"/>
    <w:rsid w:val="00A253C5"/>
    <w:rsid w:val="00A401A6"/>
    <w:rsid w:val="00A447F3"/>
    <w:rsid w:val="00A459D0"/>
    <w:rsid w:val="00A550AA"/>
    <w:rsid w:val="00A70873"/>
    <w:rsid w:val="00A70BE5"/>
    <w:rsid w:val="00A73861"/>
    <w:rsid w:val="00A75D74"/>
    <w:rsid w:val="00A77CBE"/>
    <w:rsid w:val="00A859D1"/>
    <w:rsid w:val="00A863D6"/>
    <w:rsid w:val="00A92C85"/>
    <w:rsid w:val="00A948EF"/>
    <w:rsid w:val="00AA2CB1"/>
    <w:rsid w:val="00AA4538"/>
    <w:rsid w:val="00AA5258"/>
    <w:rsid w:val="00AC1215"/>
    <w:rsid w:val="00AC1D50"/>
    <w:rsid w:val="00AC44EF"/>
    <w:rsid w:val="00AC4880"/>
    <w:rsid w:val="00AC5FA1"/>
    <w:rsid w:val="00AD5EAE"/>
    <w:rsid w:val="00AE1180"/>
    <w:rsid w:val="00AE2701"/>
    <w:rsid w:val="00AE6C3B"/>
    <w:rsid w:val="00AF32D3"/>
    <w:rsid w:val="00B020D7"/>
    <w:rsid w:val="00B04BDC"/>
    <w:rsid w:val="00B052B4"/>
    <w:rsid w:val="00B10B28"/>
    <w:rsid w:val="00B11FA7"/>
    <w:rsid w:val="00B12DA8"/>
    <w:rsid w:val="00B13C8E"/>
    <w:rsid w:val="00B165EF"/>
    <w:rsid w:val="00B16B3F"/>
    <w:rsid w:val="00B17A1D"/>
    <w:rsid w:val="00B20422"/>
    <w:rsid w:val="00B252F9"/>
    <w:rsid w:val="00B258A2"/>
    <w:rsid w:val="00B2622B"/>
    <w:rsid w:val="00B34A6D"/>
    <w:rsid w:val="00B355AB"/>
    <w:rsid w:val="00B43530"/>
    <w:rsid w:val="00B44BB1"/>
    <w:rsid w:val="00B50BD7"/>
    <w:rsid w:val="00B51395"/>
    <w:rsid w:val="00B51AF4"/>
    <w:rsid w:val="00B54578"/>
    <w:rsid w:val="00B553D5"/>
    <w:rsid w:val="00B57A54"/>
    <w:rsid w:val="00B66DEA"/>
    <w:rsid w:val="00B67466"/>
    <w:rsid w:val="00B6754D"/>
    <w:rsid w:val="00B74369"/>
    <w:rsid w:val="00B86E3B"/>
    <w:rsid w:val="00B90BC9"/>
    <w:rsid w:val="00B9736E"/>
    <w:rsid w:val="00BA225C"/>
    <w:rsid w:val="00BA2458"/>
    <w:rsid w:val="00BA2908"/>
    <w:rsid w:val="00BA5A1B"/>
    <w:rsid w:val="00BA68FA"/>
    <w:rsid w:val="00BB5E16"/>
    <w:rsid w:val="00BC1280"/>
    <w:rsid w:val="00BC1A30"/>
    <w:rsid w:val="00BC1C0A"/>
    <w:rsid w:val="00BC4EF7"/>
    <w:rsid w:val="00BD19FA"/>
    <w:rsid w:val="00BD3741"/>
    <w:rsid w:val="00BD5907"/>
    <w:rsid w:val="00BD652F"/>
    <w:rsid w:val="00BE35D8"/>
    <w:rsid w:val="00BE6D2F"/>
    <w:rsid w:val="00BF1F57"/>
    <w:rsid w:val="00BF2F26"/>
    <w:rsid w:val="00C06006"/>
    <w:rsid w:val="00C13508"/>
    <w:rsid w:val="00C16071"/>
    <w:rsid w:val="00C203E8"/>
    <w:rsid w:val="00C25BA8"/>
    <w:rsid w:val="00C41205"/>
    <w:rsid w:val="00C546B6"/>
    <w:rsid w:val="00C56A1E"/>
    <w:rsid w:val="00C56C4E"/>
    <w:rsid w:val="00C62E8E"/>
    <w:rsid w:val="00C63001"/>
    <w:rsid w:val="00C6478B"/>
    <w:rsid w:val="00C64C22"/>
    <w:rsid w:val="00C66E70"/>
    <w:rsid w:val="00C80AEF"/>
    <w:rsid w:val="00C86CE4"/>
    <w:rsid w:val="00C91813"/>
    <w:rsid w:val="00C9690C"/>
    <w:rsid w:val="00CA0738"/>
    <w:rsid w:val="00CA3C0C"/>
    <w:rsid w:val="00CA7BDA"/>
    <w:rsid w:val="00CC570A"/>
    <w:rsid w:val="00CD55BD"/>
    <w:rsid w:val="00CF53DF"/>
    <w:rsid w:val="00D001A0"/>
    <w:rsid w:val="00D120B9"/>
    <w:rsid w:val="00D12C9D"/>
    <w:rsid w:val="00D12DF8"/>
    <w:rsid w:val="00D15363"/>
    <w:rsid w:val="00D16237"/>
    <w:rsid w:val="00D22632"/>
    <w:rsid w:val="00D24D84"/>
    <w:rsid w:val="00D25862"/>
    <w:rsid w:val="00D27526"/>
    <w:rsid w:val="00D30D0C"/>
    <w:rsid w:val="00D352E2"/>
    <w:rsid w:val="00D405E6"/>
    <w:rsid w:val="00D41F41"/>
    <w:rsid w:val="00D54321"/>
    <w:rsid w:val="00D55CE4"/>
    <w:rsid w:val="00D56BC3"/>
    <w:rsid w:val="00D67629"/>
    <w:rsid w:val="00D70FE3"/>
    <w:rsid w:val="00D8485C"/>
    <w:rsid w:val="00D86447"/>
    <w:rsid w:val="00D874D8"/>
    <w:rsid w:val="00D9010D"/>
    <w:rsid w:val="00D95936"/>
    <w:rsid w:val="00D96638"/>
    <w:rsid w:val="00D97375"/>
    <w:rsid w:val="00DA598F"/>
    <w:rsid w:val="00DB584E"/>
    <w:rsid w:val="00DB6BBE"/>
    <w:rsid w:val="00DB731A"/>
    <w:rsid w:val="00DC12D8"/>
    <w:rsid w:val="00DC1EDC"/>
    <w:rsid w:val="00DC3B85"/>
    <w:rsid w:val="00DC4A63"/>
    <w:rsid w:val="00DC4C5B"/>
    <w:rsid w:val="00DC6685"/>
    <w:rsid w:val="00DC75FB"/>
    <w:rsid w:val="00DD06D5"/>
    <w:rsid w:val="00DD0F9F"/>
    <w:rsid w:val="00DD13E2"/>
    <w:rsid w:val="00DE6EF1"/>
    <w:rsid w:val="00DF5AFA"/>
    <w:rsid w:val="00E039B7"/>
    <w:rsid w:val="00E03B09"/>
    <w:rsid w:val="00E100C7"/>
    <w:rsid w:val="00E10982"/>
    <w:rsid w:val="00E10DEE"/>
    <w:rsid w:val="00E158AD"/>
    <w:rsid w:val="00E15E85"/>
    <w:rsid w:val="00E20DFF"/>
    <w:rsid w:val="00E221C1"/>
    <w:rsid w:val="00E228CD"/>
    <w:rsid w:val="00E30AF5"/>
    <w:rsid w:val="00E34874"/>
    <w:rsid w:val="00E34FA5"/>
    <w:rsid w:val="00E372DA"/>
    <w:rsid w:val="00E41A23"/>
    <w:rsid w:val="00E44464"/>
    <w:rsid w:val="00E44BBB"/>
    <w:rsid w:val="00E57F62"/>
    <w:rsid w:val="00E61B8D"/>
    <w:rsid w:val="00E623FA"/>
    <w:rsid w:val="00E62963"/>
    <w:rsid w:val="00E738B6"/>
    <w:rsid w:val="00E819A2"/>
    <w:rsid w:val="00E8593B"/>
    <w:rsid w:val="00E85DB7"/>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0169"/>
    <w:rsid w:val="00ED3DC4"/>
    <w:rsid w:val="00ED466F"/>
    <w:rsid w:val="00ED6532"/>
    <w:rsid w:val="00EE109E"/>
    <w:rsid w:val="00EE3C39"/>
    <w:rsid w:val="00EE5CB5"/>
    <w:rsid w:val="00EF2AE9"/>
    <w:rsid w:val="00F07156"/>
    <w:rsid w:val="00F23AC9"/>
    <w:rsid w:val="00F3348A"/>
    <w:rsid w:val="00F342A1"/>
    <w:rsid w:val="00F433DC"/>
    <w:rsid w:val="00F451DF"/>
    <w:rsid w:val="00F45A5F"/>
    <w:rsid w:val="00F52FE7"/>
    <w:rsid w:val="00F6481A"/>
    <w:rsid w:val="00F72E4A"/>
    <w:rsid w:val="00F77632"/>
    <w:rsid w:val="00F812A0"/>
    <w:rsid w:val="00F87F64"/>
    <w:rsid w:val="00F959EF"/>
    <w:rsid w:val="00F9756D"/>
    <w:rsid w:val="00FA1E45"/>
    <w:rsid w:val="00FC2F6B"/>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67032039">
      <w:bodyDiv w:val="1"/>
      <w:marLeft w:val="0"/>
      <w:marRight w:val="0"/>
      <w:marTop w:val="0"/>
      <w:marBottom w:val="0"/>
      <w:divBdr>
        <w:top w:val="none" w:sz="0" w:space="0" w:color="auto"/>
        <w:left w:val="none" w:sz="0" w:space="0" w:color="auto"/>
        <w:bottom w:val="none" w:sz="0" w:space="0" w:color="auto"/>
        <w:right w:val="none" w:sz="0" w:space="0" w:color="auto"/>
      </w:divBdr>
    </w:div>
    <w:div w:id="1571429681">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44C9C-289D-4530-B3E6-B3E494FE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5342</Words>
  <Characters>29387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4</cp:revision>
  <cp:lastPrinted>2020-01-23T22:18:00Z</cp:lastPrinted>
  <dcterms:created xsi:type="dcterms:W3CDTF">2020-08-14T05:24:00Z</dcterms:created>
  <dcterms:modified xsi:type="dcterms:W3CDTF">2020-09-11T05:29:00Z</dcterms:modified>
</cp:coreProperties>
</file>