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5E2" w:rsidRDefault="001A058B">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9C55E2" w:rsidRPr="007636FE" w:rsidRDefault="001A058B">
      <w:pPr>
        <w:spacing w:beforeAutospacing="1" w:afterAutospacing="1" w:line="360" w:lineRule="auto"/>
        <w:jc w:val="both"/>
        <w:rPr>
          <w:rFonts w:ascii="Palatino Linotype" w:hAnsi="Palatino Linotype"/>
          <w:b/>
        </w:rPr>
      </w:pPr>
      <w:r w:rsidRPr="007636FE">
        <w:rPr>
          <w:rFonts w:ascii="Palatino Linotype" w:hAnsi="Palatino Linotype"/>
          <w:b/>
        </w:rPr>
        <w:t>VISTO</w:t>
      </w:r>
      <w:r w:rsidRPr="007636FE">
        <w:rPr>
          <w:rFonts w:ascii="Palatino Linotype" w:hAnsi="Palatino Linotype"/>
        </w:rPr>
        <w:t xml:space="preserve"> el expediente formado con motivo del recurso de revisión</w:t>
      </w:r>
      <w:r w:rsidRPr="007636FE">
        <w:rPr>
          <w:rFonts w:ascii="Verdana" w:hAnsi="Verdana"/>
          <w:b/>
          <w:bCs/>
          <w:color w:val="FF0000"/>
        </w:rPr>
        <w:t xml:space="preserve"> </w:t>
      </w:r>
      <w:r w:rsidRPr="007636FE">
        <w:rPr>
          <w:rFonts w:ascii="Palatino Linotype" w:hAnsi="Palatino Linotype"/>
          <w:b/>
          <w:bCs/>
        </w:rPr>
        <w:t>01012/INFOEM/IP/RR/2020</w:t>
      </w:r>
      <w:r w:rsidRPr="007636FE">
        <w:rPr>
          <w:rFonts w:ascii="Palatino Linotype" w:hAnsi="Palatino Linotype"/>
        </w:rPr>
        <w:t>, promovido por el C.</w:t>
      </w:r>
      <w:r w:rsidR="007636FE" w:rsidRPr="007636FE">
        <w:rPr>
          <w:rFonts w:ascii="Palatino Linotype" w:hAnsi="Palatino Linotype"/>
          <w:b/>
          <w:lang w:val="es-ES_tradnl"/>
        </w:rPr>
        <w:t xml:space="preserve"> X Xxxxxx xxxxxx</w:t>
      </w:r>
      <w:r w:rsidRPr="007636FE">
        <w:rPr>
          <w:rFonts w:ascii="Palatino Linotype" w:hAnsi="Palatino Linotype" w:cs="Arial"/>
        </w:rPr>
        <w:t>, en lo sucesivo</w:t>
      </w:r>
      <w:r w:rsidRPr="007636FE">
        <w:rPr>
          <w:rFonts w:ascii="Palatino Linotype" w:hAnsi="Palatino Linotype" w:cs="Arial"/>
          <w:b/>
        </w:rPr>
        <w:t xml:space="preserve"> EL RECURRENTE</w:t>
      </w:r>
      <w:r w:rsidRPr="007636FE">
        <w:rPr>
          <w:rFonts w:ascii="Palatino Linotype" w:hAnsi="Palatino Linotype"/>
        </w:rPr>
        <w:t xml:space="preserve">, en contra de la respuesta emitida por el </w:t>
      </w:r>
      <w:r w:rsidRPr="007636FE">
        <w:rPr>
          <w:rFonts w:ascii="Palatino Linotype" w:hAnsi="Palatino Linotype"/>
          <w:b/>
          <w:bCs/>
        </w:rPr>
        <w:t>Sistema de Agua Potable Alcantarillado y Saneamiento de Ecatepec de Morelos</w:t>
      </w:r>
      <w:r w:rsidRPr="007636FE">
        <w:rPr>
          <w:rFonts w:ascii="Palatino Linotype" w:hAnsi="Palatino Linotype"/>
          <w:b/>
        </w:rPr>
        <w:t>,</w:t>
      </w:r>
      <w:r w:rsidRPr="007636FE">
        <w:rPr>
          <w:rFonts w:ascii="Palatino Linotype" w:hAnsi="Palatino Linotype"/>
        </w:rPr>
        <w:t xml:space="preserve"> en lo sucesivo </w:t>
      </w:r>
      <w:r w:rsidRPr="007636FE">
        <w:rPr>
          <w:rFonts w:ascii="Palatino Linotype" w:hAnsi="Palatino Linotype"/>
          <w:b/>
        </w:rPr>
        <w:t>EL SUJETO OBLIGADO</w:t>
      </w:r>
      <w:r w:rsidRPr="007636FE">
        <w:rPr>
          <w:rFonts w:ascii="Palatino Linotype" w:hAnsi="Palatino Linotype"/>
        </w:rPr>
        <w:t xml:space="preserve">, se procede a dictar la presente resolución con base en lo siguiente: </w:t>
      </w:r>
    </w:p>
    <w:p w:rsidR="009C55E2" w:rsidRDefault="001A058B">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9C55E2" w:rsidRDefault="001A058B">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veintiuno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00002/OASECATEPE/IP/2020</w:t>
      </w:r>
      <w:r>
        <w:rPr>
          <w:rFonts w:ascii="Palatino Linotype" w:hAnsi="Palatino Linotype"/>
        </w:rPr>
        <w:t>, mediante la cual requirió lo siguiente:</w:t>
      </w:r>
    </w:p>
    <w:p w:rsidR="009C55E2" w:rsidRDefault="001A058B">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“Con fecha 21 de enero de 2020, se me hace saber que se comenzará con trabajos de excavación para cambiar la tubería de saneamiento y el alcantarillado, lo anterior en el andador 13, de la colonia Jardines de Santa Clara entre calle 10 y calle paseo de santa clara código postal 55450; Municipio de Ecatepec de Morelos, Estado de México. Ante lo descrito líneas arriba y en uso de mi derecho al libre acceso a la información pública, reconocido como un derecho humano en el segundo párrafo del artículo 6º de la Constitución Política de los Estados Unidos Mexicanos, salvaguardado este derecho a buscar información, en el párrafo 14 del artículo 5º de la Constitución de la Entidad y normado por la Ley de transparencia y acceso a la información pública del Estado de México y Municipios y demás instrumentos Jurídicos aplicables. Con todo respeto </w:t>
      </w:r>
      <w:r>
        <w:rPr>
          <w:rFonts w:ascii="Palatino Linotype" w:hAnsi="Palatino Linotype" w:cs="Arial"/>
          <w:i/>
          <w:sz w:val="22"/>
          <w:szCs w:val="22"/>
        </w:rPr>
        <w:lastRenderedPageBreak/>
        <w:t>solicito la siguiente información: 1. ¿Qué fecha se tiene programada para el inicio y la terminación de los trabajos descritos en el lugar que se refiere? 2. ¿Cuál será el gasto total programado para la ejecución de los trabajos descritos? 3. ¿Existe participación de la iniciativa privada en la planeación y ejecución de los trabajos descritos? 4. ¿A cuántas personas se tiene estimado que se verán beneficiadas con la conclusión de los trabajos descritos? “</w:t>
      </w:r>
      <w:r>
        <w:rPr>
          <w:rFonts w:ascii="Palatino Linotype" w:hAnsi="Palatino Linotype"/>
          <w:sz w:val="22"/>
          <w:szCs w:val="22"/>
        </w:rPr>
        <w:t>(Sic)</w:t>
      </w:r>
      <w:bookmarkStart w:id="0" w:name="_Ref531692384"/>
      <w:bookmarkStart w:id="1" w:name="_Ref516764469"/>
    </w:p>
    <w:p w:rsidR="009C55E2" w:rsidRDefault="001A058B">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9C55E2" w:rsidRDefault="009C55E2">
      <w:pPr>
        <w:spacing w:before="160" w:after="160"/>
        <w:ind w:right="709"/>
        <w:jc w:val="both"/>
        <w:rPr>
          <w:rFonts w:ascii="Palatino Linotype" w:hAnsi="Palatino Linotype"/>
          <w:sz w:val="22"/>
          <w:szCs w:val="22"/>
        </w:rPr>
      </w:pPr>
    </w:p>
    <w:p w:rsidR="009C55E2" w:rsidRDefault="001A058B">
      <w:pPr>
        <w:pStyle w:val="Prrafodelista"/>
        <w:numPr>
          <w:ilvl w:val="0"/>
          <w:numId w:val="2"/>
        </w:numPr>
        <w:tabs>
          <w:tab w:val="left" w:pos="0"/>
        </w:tabs>
        <w:spacing w:line="360" w:lineRule="auto"/>
        <w:ind w:left="0" w:firstLine="0"/>
        <w:jc w:val="both"/>
        <w:rPr>
          <w:rFonts w:ascii="Palatino Linotype" w:hAnsi="Palatino Linotype" w:cs="Arial"/>
          <w:b/>
        </w:rPr>
      </w:pPr>
      <w:r>
        <w:rPr>
          <w:rFonts w:ascii="Palatino Linotype" w:hAnsi="Palatino Linotype" w:cs="Arial"/>
        </w:rPr>
        <w:t xml:space="preserve">En cumplimiento al artículo 162 de la Ley de Transparencia y Acceso a la Información Pública del Estado de México y Municipios, el veintiocho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mediante el folio número </w:t>
      </w:r>
      <w:r>
        <w:rPr>
          <w:rFonts w:ascii="Palatino Linotype" w:hAnsi="Palatino Linotype" w:cs="Arial"/>
          <w:b/>
          <w:bCs/>
        </w:rPr>
        <w:t>00002/OASECATEPE/IP/2020/TSP/0001</w:t>
      </w:r>
      <w:r>
        <w:rPr>
          <w:rFonts w:ascii="Palatino Linotype" w:hAnsi="Palatino Linotype" w:cs="Arial"/>
          <w:b/>
        </w:rPr>
        <w:t>,</w:t>
      </w:r>
      <w:r>
        <w:rPr>
          <w:rFonts w:ascii="Palatino Linotype" w:hAnsi="Palatino Linotype" w:cs="Arial"/>
        </w:rPr>
        <w:t xml:space="preserve"> </w:t>
      </w:r>
      <w:r>
        <w:rPr>
          <w:rFonts w:ascii="Palatino Linotype" w:hAnsi="Palatino Linotype"/>
          <w:bCs/>
        </w:rPr>
        <w:t>turnó el requerimiento de información al Servidor Público Habilitado del Departamento de Drenaje y Alcantarillado, a fin de colmar la solicitud de acceso a la información; tal y como, se aprecia en la imagen siguiente:</w:t>
      </w:r>
    </w:p>
    <w:p w:rsidR="009C55E2" w:rsidRDefault="009C55E2">
      <w:pPr>
        <w:pStyle w:val="Prrafodelista"/>
        <w:tabs>
          <w:tab w:val="left" w:pos="0"/>
        </w:tabs>
        <w:spacing w:line="360" w:lineRule="auto"/>
        <w:ind w:left="0"/>
        <w:jc w:val="both"/>
        <w:rPr>
          <w:rFonts w:ascii="Palatino Linotype" w:hAnsi="Palatino Linotype" w:cs="Arial"/>
        </w:rPr>
      </w:pPr>
    </w:p>
    <w:p w:rsidR="009C55E2" w:rsidRDefault="001A058B">
      <w:pPr>
        <w:pStyle w:val="Prrafodelista"/>
        <w:tabs>
          <w:tab w:val="left" w:pos="709"/>
        </w:tabs>
        <w:spacing w:line="360" w:lineRule="auto"/>
        <w:ind w:left="0"/>
        <w:jc w:val="both"/>
        <w:rPr>
          <w:rFonts w:ascii="Palatino Linotype" w:hAnsi="Palatino Linotype" w:cs="Arial"/>
        </w:rPr>
      </w:pPr>
      <w:r>
        <w:rPr>
          <w:noProof/>
          <w:lang w:eastAsia="es-MX"/>
        </w:rPr>
        <w:drawing>
          <wp:inline distT="0" distB="0" distL="0" distR="0">
            <wp:extent cx="5943600" cy="9264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2565" t="33002" r="6817" b="58474"/>
                    <a:stretch>
                      <a:fillRect/>
                    </a:stretch>
                  </pic:blipFill>
                  <pic:spPr bwMode="auto">
                    <a:xfrm>
                      <a:off x="0" y="0"/>
                      <a:ext cx="5943600" cy="926465"/>
                    </a:xfrm>
                    <a:prstGeom prst="rect">
                      <a:avLst/>
                    </a:prstGeom>
                  </pic:spPr>
                </pic:pic>
              </a:graphicData>
            </a:graphic>
          </wp:inline>
        </w:drawing>
      </w:r>
    </w:p>
    <w:p w:rsidR="009C55E2" w:rsidRDefault="009C55E2">
      <w:pPr>
        <w:pStyle w:val="Prrafodelista"/>
        <w:tabs>
          <w:tab w:val="left" w:pos="709"/>
        </w:tabs>
        <w:spacing w:line="360" w:lineRule="auto"/>
        <w:ind w:left="0"/>
        <w:jc w:val="both"/>
        <w:rPr>
          <w:rFonts w:ascii="Palatino Linotype" w:hAnsi="Palatino Linotype" w:cs="Arial"/>
        </w:rPr>
      </w:pPr>
    </w:p>
    <w:p w:rsidR="009C55E2" w:rsidRDefault="001A058B">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doce  de febrero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9C55E2" w:rsidRDefault="009C55E2">
      <w:pPr>
        <w:ind w:left="851" w:right="899"/>
        <w:jc w:val="both"/>
        <w:rPr>
          <w:rFonts w:ascii="Palatino Linotype" w:hAnsi="Palatino Linotype" w:cs="Arial"/>
          <w:i/>
          <w:sz w:val="22"/>
          <w:szCs w:val="22"/>
        </w:rPr>
      </w:pPr>
    </w:p>
    <w:p w:rsidR="009C55E2" w:rsidRDefault="001A058B">
      <w:pPr>
        <w:ind w:left="851" w:right="899"/>
        <w:jc w:val="both"/>
        <w:rPr>
          <w:rFonts w:ascii="Palatino Linotype" w:hAnsi="Palatino Linotype" w:cs="Arial"/>
          <w:i/>
          <w:sz w:val="22"/>
          <w:szCs w:val="22"/>
        </w:rPr>
      </w:pPr>
      <w:r>
        <w:rPr>
          <w:rFonts w:ascii="Palatino Linotype" w:hAnsi="Palatino Linotype" w:cs="Arial"/>
          <w:i/>
          <w:sz w:val="22"/>
          <w:szCs w:val="22"/>
        </w:rPr>
        <w:t xml:space="preserve">“…En respuesta a la solicitud recibida, nos permitimos hacer de su conocimiento que con fundamento en el artículo 53, Fracciones: II, V y VI de la Ley de </w:t>
      </w:r>
      <w:r>
        <w:rPr>
          <w:rFonts w:ascii="Palatino Linotype" w:hAnsi="Palatino Linotype" w:cs="Arial"/>
          <w:i/>
          <w:sz w:val="22"/>
          <w:szCs w:val="22"/>
        </w:rPr>
        <w:lastRenderedPageBreak/>
        <w:t>Transparencia y Acceso a la Información Pública del Estado de México y Municipios, le contestamos que:</w:t>
      </w:r>
    </w:p>
    <w:p w:rsidR="009C55E2" w:rsidRDefault="001A058B">
      <w:pPr>
        <w:ind w:left="851" w:right="899"/>
        <w:jc w:val="both"/>
        <w:rPr>
          <w:rFonts w:ascii="Palatino Linotype" w:hAnsi="Palatino Linotype" w:cs="Arial"/>
          <w:i/>
          <w:sz w:val="22"/>
          <w:szCs w:val="22"/>
        </w:rPr>
      </w:pPr>
      <w:r>
        <w:rPr>
          <w:rFonts w:ascii="Palatino Linotype" w:hAnsi="Palatino Linotype" w:cs="Arial"/>
          <w:i/>
          <w:sz w:val="22"/>
          <w:szCs w:val="22"/>
        </w:rPr>
        <w:t>SE ADJUNTA LA RESPUESTA CT/194/2020.” (Sic)</w:t>
      </w:r>
    </w:p>
    <w:p w:rsidR="009C55E2" w:rsidRDefault="009C55E2">
      <w:pPr>
        <w:tabs>
          <w:tab w:val="left" w:pos="709"/>
        </w:tabs>
        <w:spacing w:line="360" w:lineRule="auto"/>
        <w:jc w:val="both"/>
        <w:rPr>
          <w:rFonts w:ascii="Palatino Linotype" w:hAnsi="Palatino Linotype" w:cs="Arial"/>
          <w:b/>
          <w:sz w:val="22"/>
          <w:szCs w:val="22"/>
        </w:rPr>
      </w:pPr>
    </w:p>
    <w:p w:rsidR="009C55E2" w:rsidRDefault="001A058B">
      <w:pPr>
        <w:tabs>
          <w:tab w:val="left" w:pos="709"/>
        </w:tabs>
        <w:spacing w:line="360" w:lineRule="auto"/>
        <w:jc w:val="both"/>
        <w:rPr>
          <w:rFonts w:ascii="Palatino Linotype" w:hAnsi="Palatino Linotype" w:cs="Arial"/>
          <w:b/>
        </w:rPr>
      </w:pPr>
      <w:r>
        <w:rPr>
          <w:rFonts w:ascii="Palatino Linotype" w:hAnsi="Palatino Linotype" w:cs="Arial"/>
        </w:rPr>
        <w:t xml:space="preserve">Así mismo, adjuntó a la respuesta, el archivo electrónico denominado </w:t>
      </w:r>
      <w:r>
        <w:rPr>
          <w:rFonts w:ascii="Palatino Linotype" w:hAnsi="Palatino Linotype" w:cs="Arial"/>
          <w:b/>
        </w:rPr>
        <w:t xml:space="preserve">002.pdf, </w:t>
      </w:r>
      <w:r>
        <w:rPr>
          <w:rFonts w:ascii="Palatino Linotype" w:hAnsi="Palatino Linotype" w:cs="Arial"/>
        </w:rPr>
        <w:t xml:space="preserve">consistente en el oficio de fecha doce de febrero de dos mil veinte, signado por el Director General del </w:t>
      </w:r>
      <w:r>
        <w:rPr>
          <w:rFonts w:ascii="Palatino Linotype" w:hAnsi="Palatino Linotype" w:cs="Arial"/>
          <w:b/>
        </w:rPr>
        <w:t>SUJETO OBLIGADO</w:t>
      </w:r>
      <w:r>
        <w:rPr>
          <w:rFonts w:ascii="Palatino Linotype" w:hAnsi="Palatino Linotype" w:cs="Arial"/>
        </w:rPr>
        <w:t>, mediante el cual, informó que mediante oficio CT/194/2020, proporcionado por la Secretaría Técnica, se daba respuesta, adjuntando además el archivo PDF</w:t>
      </w:r>
      <w:r>
        <w:rPr>
          <w:rFonts w:ascii="Palatino Linotype" w:hAnsi="Palatino Linotype" w:cs="Arial"/>
          <w:i/>
        </w:rPr>
        <w:t xml:space="preserve"> SOLICITUD00002; </w:t>
      </w:r>
      <w:r>
        <w:rPr>
          <w:rFonts w:ascii="Palatino Linotype" w:hAnsi="Palatino Linotype" w:cs="Arial"/>
        </w:rPr>
        <w:t>sin embargo, no se anexaron dichas documentales.</w:t>
      </w:r>
    </w:p>
    <w:p w:rsidR="009C55E2" w:rsidRDefault="009C55E2">
      <w:pPr>
        <w:tabs>
          <w:tab w:val="left" w:pos="709"/>
        </w:tabs>
        <w:spacing w:line="360" w:lineRule="auto"/>
        <w:jc w:val="both"/>
        <w:rPr>
          <w:rFonts w:ascii="Palatino Linotype" w:hAnsi="Palatino Linotype" w:cs="Arial"/>
          <w:b/>
          <w:sz w:val="22"/>
          <w:szCs w:val="22"/>
        </w:rPr>
      </w:pPr>
    </w:p>
    <w:p w:rsidR="009C55E2" w:rsidRDefault="001A058B">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trece de febrero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01012/INFOEM/IP/RR/2020</w:t>
      </w:r>
      <w:r>
        <w:rPr>
          <w:rFonts w:ascii="Palatino Linotype" w:hAnsi="Palatino Linotype" w:cs="Arial"/>
        </w:rPr>
        <w:t>, en el que señaló como acto impugnado, lo siguiente:</w:t>
      </w:r>
    </w:p>
    <w:p w:rsidR="009C55E2" w:rsidRDefault="001A058B">
      <w:pPr>
        <w:pStyle w:val="Prrafodelista"/>
        <w:tabs>
          <w:tab w:val="left" w:pos="709"/>
          <w:tab w:val="left" w:pos="7513"/>
          <w:tab w:val="left" w:pos="7797"/>
        </w:tabs>
        <w:ind w:left="709" w:right="616"/>
        <w:jc w:val="both"/>
        <w:rPr>
          <w:rFonts w:ascii="Palatino Linotype" w:hAnsi="Palatino Linotype" w:cs="Arial"/>
          <w:sz w:val="22"/>
          <w:szCs w:val="22"/>
          <w:lang w:eastAsia="es-MX"/>
        </w:rPr>
      </w:pPr>
      <w:r>
        <w:rPr>
          <w:rFonts w:ascii="Palatino Linotype" w:hAnsi="Palatino Linotype" w:cs="Arial"/>
          <w:i/>
          <w:sz w:val="22"/>
          <w:szCs w:val="22"/>
          <w:lang w:eastAsia="es-MX"/>
        </w:rPr>
        <w:t>“El oficio con fecha 12 de febrero de 2020 emitido por el SISTEMA DE AGUA POTABLE ALCANTARILLADO Y SANEAMIENTO DE ECATEPEC DE MORELOS (SAPASE); como respuesta a la solicitud de información presentada mediante el Sistema de Acceso a la Información Mexiquense, el 21 de enero de 2020, a la cual le fue asignada el número; 00002/OASECATEPE/IP/2020. Mismo en el que se entrega información que no corresponde con lo solicitado.”</w:t>
      </w:r>
      <w:r>
        <w:rPr>
          <w:rFonts w:ascii="Palatino Linotype" w:hAnsi="Palatino Linotype" w:cs="Arial"/>
          <w:sz w:val="22"/>
          <w:szCs w:val="22"/>
          <w:lang w:eastAsia="es-MX"/>
        </w:rPr>
        <w:t xml:space="preserve"> (Sic)</w:t>
      </w:r>
    </w:p>
    <w:p w:rsidR="009C55E2" w:rsidRDefault="009C55E2">
      <w:pPr>
        <w:pStyle w:val="Prrafodelista"/>
        <w:tabs>
          <w:tab w:val="left" w:pos="709"/>
          <w:tab w:val="left" w:pos="7513"/>
          <w:tab w:val="left" w:pos="7797"/>
        </w:tabs>
        <w:ind w:left="709" w:right="616"/>
        <w:jc w:val="both"/>
        <w:rPr>
          <w:rFonts w:ascii="Palatino Linotype" w:hAnsi="Palatino Linotype" w:cs="Arial"/>
          <w:sz w:val="22"/>
          <w:szCs w:val="22"/>
        </w:rPr>
      </w:pPr>
    </w:p>
    <w:p w:rsidR="009C55E2" w:rsidRDefault="001A058B">
      <w:pPr>
        <w:pStyle w:val="Prrafodelista"/>
        <w:tabs>
          <w:tab w:val="left" w:pos="709"/>
        </w:tabs>
        <w:spacing w:line="360" w:lineRule="auto"/>
        <w:ind w:left="0"/>
        <w:jc w:val="both"/>
        <w:rPr>
          <w:rFonts w:ascii="Palatino Linotype" w:hAnsi="Palatino Linotype" w:cs="Arial"/>
        </w:rPr>
      </w:pPr>
      <w:r>
        <w:rPr>
          <w:rFonts w:ascii="Palatino Linotype" w:hAnsi="Palatino Linotype" w:cs="Arial"/>
        </w:rPr>
        <w:t>Así como</w:t>
      </w:r>
      <w:r>
        <w:rPr>
          <w:rFonts w:ascii="Palatino Linotype" w:hAnsi="Palatino Linotype"/>
        </w:rPr>
        <w:t xml:space="preserve"> razones o motivos de inconformidad</w:t>
      </w:r>
      <w:r>
        <w:rPr>
          <w:rFonts w:ascii="Palatino Linotype" w:hAnsi="Palatino Linotype" w:cs="Arial"/>
        </w:rPr>
        <w:t>:</w:t>
      </w:r>
    </w:p>
    <w:p w:rsidR="009C55E2" w:rsidRDefault="001A058B">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“El oficio emitido por el SISTEMA DE AGUA POTABLE ALCANTARILLADO Y SANEAMIENTO DE ECATEPEC DE MORELOS (SAPASE); con fecha 12 de febrero de 2020, pretende dar cumplimiento a la obligación de tutelar y garantizar la transparencia y el derecho humano de acceso a la información pública en posesión de los </w:t>
      </w:r>
      <w:r>
        <w:rPr>
          <w:rFonts w:ascii="Palatino Linotype" w:hAnsi="Palatino Linotype" w:cs="Arial"/>
          <w:i/>
          <w:sz w:val="22"/>
          <w:szCs w:val="22"/>
          <w:lang w:eastAsia="es-MX"/>
        </w:rPr>
        <w:lastRenderedPageBreak/>
        <w:t>sujetos obligados. Sin embargo, esto no es así, ya que la información que se ofrece como respuesta; no corresponde en lo más mínimo a los cuestionamientos planteados en la solicitud de información.”</w:t>
      </w:r>
      <w:r>
        <w:rPr>
          <w:rFonts w:ascii="Palatino Linotype" w:hAnsi="Palatino Linotype" w:cs="Arial"/>
          <w:sz w:val="22"/>
          <w:szCs w:val="22"/>
          <w:lang w:eastAsia="es-MX"/>
        </w:rPr>
        <w:t xml:space="preserve"> (Sic)</w:t>
      </w:r>
    </w:p>
    <w:p w:rsidR="009C55E2" w:rsidRDefault="001A058B">
      <w:pPr>
        <w:widowControl w:val="0"/>
        <w:numPr>
          <w:ilvl w:val="0"/>
          <w:numId w:val="8"/>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trece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9C55E2" w:rsidRDefault="001A058B">
      <w:pPr>
        <w:widowControl w:val="0"/>
        <w:numPr>
          <w:ilvl w:val="0"/>
          <w:numId w:val="8"/>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diecinueve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9C55E2" w:rsidRDefault="001A058B">
      <w:pPr>
        <w:pStyle w:val="Prrafodelista"/>
        <w:widowControl w:val="0"/>
        <w:numPr>
          <w:ilvl w:val="0"/>
          <w:numId w:val="8"/>
        </w:numPr>
        <w:tabs>
          <w:tab w:val="left" w:pos="142"/>
        </w:tabs>
        <w:spacing w:line="360" w:lineRule="auto"/>
        <w:ind w:left="0" w:firstLine="0"/>
        <w:jc w:val="both"/>
        <w:rPr>
          <w:rFonts w:ascii="Palatino Linotype" w:eastAsia="Arial Unicode MS" w:hAnsi="Palatino Linotype" w:cs="Arial"/>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veinticinco de febrero de dos mil veinte,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w:t>
      </w:r>
      <w:r>
        <w:rPr>
          <w:rFonts w:ascii="Palatino Linotype" w:hAnsi="Palatino Linotype"/>
          <w:lang w:val="es-ES_tradnl"/>
        </w:rPr>
        <w:t>rindió su Informe Justificado adjuntando los archivos electrónicos siguientes:</w:t>
      </w:r>
    </w:p>
    <w:p w:rsidR="009C55E2" w:rsidRDefault="009C55E2">
      <w:pPr>
        <w:pStyle w:val="Prrafodelista"/>
        <w:rPr>
          <w:rFonts w:ascii="Palatino Linotype" w:eastAsia="Arial Unicode MS" w:hAnsi="Palatino Linotype" w:cs="Arial"/>
          <w:b/>
        </w:rPr>
      </w:pPr>
    </w:p>
    <w:p w:rsidR="009C55E2" w:rsidRDefault="001A058B">
      <w:pPr>
        <w:pStyle w:val="Prrafodelista"/>
        <w:numPr>
          <w:ilvl w:val="0"/>
          <w:numId w:val="4"/>
        </w:numPr>
        <w:jc w:val="both"/>
        <w:rPr>
          <w:rFonts w:ascii="Palatino Linotype" w:eastAsia="Arial Unicode MS" w:hAnsi="Palatino Linotype" w:cs="Arial"/>
        </w:rPr>
      </w:pPr>
      <w:r>
        <w:rPr>
          <w:rFonts w:ascii="Palatino Linotype" w:eastAsia="Arial Unicode MS" w:hAnsi="Palatino Linotype" w:cs="Arial"/>
          <w:b/>
        </w:rPr>
        <w:lastRenderedPageBreak/>
        <w:t xml:space="preserve">ct-257-2020.pdf, </w:t>
      </w:r>
      <w:r>
        <w:rPr>
          <w:rFonts w:ascii="Palatino Linotype" w:eastAsia="Arial Unicode MS" w:hAnsi="Palatino Linotype" w:cs="Arial"/>
        </w:rPr>
        <w:t xml:space="preserve">consistente en el oficio de fecha diecisiete de febrero de dos mil veinte, signado por el Coordinador Técnico, mediante la cual se informó al Director General,  que con respecto a la fecha programada para el inicio y la terminación de los trabajos descritos y en el lugar que se refirió, informó que no había fecha para los trabajos a realizar, ya que era necesario el derribo de árboles que se  encontraban obstruyendo la línea general y son andadores enrejados; lo que se había hecho del conocimiento a la Dirección de Medio Ambiente; el gasto total programado para la ejecución de los trabajos asciende aproximadamente a $46,300.00 (Cuarenta y seis mil trescientos pesos 00/100); expuso que no había participación de la iniciativa privada en la planeación y ejecución de los trabajos y señaló que serían aproximadamente 50 familias las beneficiadas con la conclusión de los trabajos descritos. De igual forma, se observa el oficio de fecha veinticuatro de febrero de dos mil veinte, signado por el Director General, en el cual informó al Director del Medio Ambiente y Ecología, que para llevar a cabo la rehabilitación y la programación de los trabajos a realizar, era necesario el derribo de árboles que se encontraban obstruyendo la línea general y eran andadores enrejados, para que girara sus instrucciones a quien correspondiera y se realizara el derribo correspondiente, con la finalidad de poder programar los trabajos en el lugar referido. </w:t>
      </w:r>
    </w:p>
    <w:p w:rsidR="009C55E2" w:rsidRDefault="001A058B">
      <w:pPr>
        <w:pStyle w:val="Prrafodelista"/>
        <w:numPr>
          <w:ilvl w:val="0"/>
          <w:numId w:val="4"/>
        </w:numPr>
        <w:jc w:val="both"/>
        <w:rPr>
          <w:rFonts w:ascii="Palatino Linotype" w:eastAsia="Arial Unicode MS" w:hAnsi="Palatino Linotype" w:cs="Arial"/>
          <w:b/>
        </w:rPr>
      </w:pPr>
      <w:r>
        <w:rPr>
          <w:rFonts w:ascii="Palatino Linotype" w:eastAsia="Arial Unicode MS" w:hAnsi="Palatino Linotype" w:cs="Arial"/>
          <w:b/>
        </w:rPr>
        <w:t xml:space="preserve">manifestaciones02-2020.pdf, </w:t>
      </w:r>
      <w:r>
        <w:rPr>
          <w:rFonts w:ascii="Palatino Linotype" w:eastAsia="Arial Unicode MS" w:hAnsi="Palatino Linotype" w:cs="Arial"/>
        </w:rPr>
        <w:t xml:space="preserve">consistente en el Informe Justificado de fecha veinticuatro de febrero de dos mil veinte, signado por el Encargado de Despacho de la Dirección General, en el cual, manifestó que con la finalidad de solventar el Recurso de Revisión, se anexaba información complementaria proporcionada por la Coordinación Técnica mediante ocurso número CT/257/2020 de fecha 17 de febrero del 2020, con la siguiente información: 1. ¿Qué fecha se tiene programada para el inicio y la terminación de los trabajos descritos en el lugar que se refiere? No hay fecha para los trabajos a realizar, ya que es necesario el derribo de árboles que se encuentran obstruyendo la línea general y son andadores enrejados, lo que se hizo del conocimiento a la Dirección de Medio Ambiente. 2. ¿Cuál será el gasto total programado para la ejecución de los trabajos descritos? Para la rehabilitación de 120 metros lineales que es solicitada para la colonia antes mencionada asciende aproximadamente a $46,300.00 (Cuarenta y seis mil trescientos pesos 00/100 m.n.) 3. Existe participación de la iniciativa privada en la planeación y ejecución de los trabajos descritos? No la hay. 4. ¿A cuántas personas se tiene estimado que se verán beneficiadas con la </w:t>
      </w:r>
      <w:r>
        <w:rPr>
          <w:rFonts w:ascii="Palatino Linotype" w:eastAsia="Arial Unicode MS" w:hAnsi="Palatino Linotype" w:cs="Arial"/>
        </w:rPr>
        <w:lastRenderedPageBreak/>
        <w:t>conclusión de los trabajos descritos? De 50 familias aproximadamente, además señaló que se adjuntaban fotografías de la inspección realizada, copia del oficio dirigido a la Dirección de Medio Ambiente, oficios señalados con los números de folio CT/194/2020 y CT/257/2020, por tanto solicitó que el presente recurso sea desechado o sobreseído.</w:t>
      </w:r>
    </w:p>
    <w:p w:rsidR="009C55E2" w:rsidRDefault="001A058B">
      <w:pPr>
        <w:pStyle w:val="Prrafodelista"/>
        <w:numPr>
          <w:ilvl w:val="0"/>
          <w:numId w:val="4"/>
        </w:numPr>
        <w:jc w:val="both"/>
        <w:rPr>
          <w:rFonts w:ascii="Palatino Linotype" w:eastAsia="Arial Unicode MS" w:hAnsi="Palatino Linotype" w:cs="Arial"/>
          <w:b/>
        </w:rPr>
      </w:pPr>
      <w:r>
        <w:rPr>
          <w:rFonts w:ascii="Palatino Linotype" w:eastAsia="Arial Unicode MS" w:hAnsi="Palatino Linotype" w:cs="Arial"/>
          <w:b/>
        </w:rPr>
        <w:t xml:space="preserve">fotografias-02-2020.pdf, </w:t>
      </w:r>
      <w:r>
        <w:rPr>
          <w:rFonts w:ascii="Palatino Linotype" w:eastAsia="Arial Unicode MS" w:hAnsi="Palatino Linotype" w:cs="Arial"/>
        </w:rPr>
        <w:t>consistente en 6 fotografías de fecha diecisiete de febrero de dos mil veinte, con el título Jardines de Santa Clara.</w:t>
      </w:r>
    </w:p>
    <w:p w:rsidR="009C55E2" w:rsidRDefault="001A058B">
      <w:pPr>
        <w:pStyle w:val="Prrafodelista"/>
        <w:numPr>
          <w:ilvl w:val="0"/>
          <w:numId w:val="4"/>
        </w:numPr>
        <w:jc w:val="both"/>
        <w:rPr>
          <w:rFonts w:ascii="Palatino Linotype" w:eastAsia="Arial Unicode MS" w:hAnsi="Palatino Linotype" w:cs="Arial"/>
          <w:b/>
        </w:rPr>
      </w:pPr>
      <w:r>
        <w:rPr>
          <w:rFonts w:ascii="Palatino Linotype" w:eastAsia="Arial Unicode MS" w:hAnsi="Palatino Linotype" w:cs="Arial"/>
          <w:b/>
        </w:rPr>
        <w:t xml:space="preserve">CT-194-2020.pdf, </w:t>
      </w:r>
      <w:r>
        <w:rPr>
          <w:rFonts w:ascii="Palatino Linotype" w:eastAsia="Arial Unicode MS" w:hAnsi="Palatino Linotype" w:cs="Arial"/>
        </w:rPr>
        <w:t>consistente en el oficio de fecha doce de febrero de dos mil veinte, signado por el Coordinador Técnico, como primera respuesta de la Coordinación Técnica, con la siguiente información: 1. ¿Qué fecha se tiene programada para el inicio y la terminación de los trabajos descritos en el lugar que se refiere? El 18 de enero de 2020, se realizó limpieza de la línea general dejando los niveles arrastrados, 2. ¿Cuál será el gasto total programado para la ejecución de los trabajos descritos? El costo de materiales a ejecución de 120 metros lineales, asciende aproximadamente a $46,300.00 (Cuarenta y seis mil trescientos pesos 00/100 M.N.), 3. Existe participación de la iniciativa privada en la planeación y ejecución de los trabajos descritos? No, 4. ¿A cuántas personas se tiene estimado que se verán beneficiadas con la conclusión de los trabajos descritos?50 viviendas aproximadamente.</w:t>
      </w:r>
    </w:p>
    <w:p w:rsidR="009C55E2" w:rsidRDefault="009C55E2">
      <w:pPr>
        <w:rPr>
          <w:rFonts w:ascii="Palatino Linotype" w:eastAsia="Arial Unicode MS" w:hAnsi="Palatino Linotype" w:cs="Arial"/>
          <w:b/>
        </w:rPr>
      </w:pPr>
    </w:p>
    <w:p w:rsidR="009C55E2" w:rsidRDefault="001A058B">
      <w:pPr>
        <w:pStyle w:val="Prrafodelista"/>
        <w:widowControl w:val="0"/>
        <w:tabs>
          <w:tab w:val="left" w:pos="360"/>
        </w:tabs>
        <w:spacing w:line="360" w:lineRule="auto"/>
        <w:ind w:left="0"/>
        <w:jc w:val="both"/>
        <w:rPr>
          <w:rFonts w:ascii="Palatino Linotype" w:hAnsi="Palatino Linotype" w:cs="Arial"/>
          <w:b/>
        </w:rPr>
      </w:pPr>
      <w:r>
        <w:rPr>
          <w:rFonts w:ascii="Palatino Linotype" w:eastAsia="Arial Unicode MS" w:hAnsi="Palatino Linotype" w:cs="Arial"/>
        </w:rPr>
        <w:t>Atento a lo anterior y en razón a que</w:t>
      </w:r>
      <w:r>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el Informe Justificado fue puesto a la vista del </w:t>
      </w:r>
      <w:r>
        <w:rPr>
          <w:rFonts w:ascii="Palatino Linotype" w:eastAsia="Arial Unicode MS" w:hAnsi="Palatino Linotype" w:cs="Arial"/>
          <w:b/>
          <w:lang w:val="es-ES_tradnl"/>
        </w:rPr>
        <w:t xml:space="preserve">RECURRENTE </w:t>
      </w:r>
      <w:r>
        <w:rPr>
          <w:rFonts w:ascii="Palatino Linotype" w:eastAsia="Arial Unicode MS" w:hAnsi="Palatino Linotype" w:cs="Arial"/>
          <w:lang w:val="es-ES_tradnl"/>
        </w:rPr>
        <w:t>el tres de agosto de dos mil veinte; a efecto de que manifestara lo que a su derecho corresponda</w:t>
      </w:r>
      <w:r>
        <w:t xml:space="preserve"> y </w:t>
      </w:r>
      <w:r>
        <w:rPr>
          <w:rFonts w:ascii="Palatino Linotype" w:eastAsia="Arial Unicode MS" w:hAnsi="Palatino Linotype" w:cs="Arial"/>
          <w:lang w:val="es-ES_tradnl"/>
        </w:rPr>
        <w:t>presentará pruebas o alegatos, situación que no ocurrió, sirve de manera ilustrativa, la siguiente imagen:</w:t>
      </w:r>
    </w:p>
    <w:p w:rsidR="009C55E2" w:rsidRDefault="009C55E2">
      <w:pPr>
        <w:spacing w:before="240" w:after="240" w:line="360" w:lineRule="auto"/>
        <w:jc w:val="both"/>
        <w:rPr>
          <w:rFonts w:ascii="Palatino Linotype" w:hAnsi="Palatino Linotype"/>
        </w:rPr>
      </w:pPr>
    </w:p>
    <w:p w:rsidR="009C55E2" w:rsidRDefault="001A058B">
      <w:pPr>
        <w:spacing w:line="360" w:lineRule="auto"/>
        <w:jc w:val="both"/>
        <w:rPr>
          <w:rFonts w:ascii="Palatino Linotype" w:hAnsi="Palatino Linotype" w:cs="Arial"/>
        </w:rPr>
      </w:pPr>
      <w:r>
        <w:rPr>
          <w:noProof/>
          <w:lang w:eastAsia="es-MX"/>
        </w:rPr>
        <w:lastRenderedPageBreak/>
        <w:drawing>
          <wp:inline distT="0" distB="0" distL="0" distR="0">
            <wp:extent cx="5762625" cy="3448050"/>
            <wp:effectExtent l="0" t="0" r="0" b="0"/>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
                    <pic:cNvPicPr>
                      <a:picLocks noChangeAspect="1" noChangeArrowheads="1"/>
                    </pic:cNvPicPr>
                  </pic:nvPicPr>
                  <pic:blipFill>
                    <a:blip r:embed="rId9"/>
                    <a:srcRect l="14805" t="6900" r="16621" b="6476"/>
                    <a:stretch>
                      <a:fillRect/>
                    </a:stretch>
                  </pic:blipFill>
                  <pic:spPr bwMode="auto">
                    <a:xfrm>
                      <a:off x="0" y="0"/>
                      <a:ext cx="5762625" cy="3448050"/>
                    </a:xfrm>
                    <a:prstGeom prst="rect">
                      <a:avLst/>
                    </a:prstGeom>
                  </pic:spPr>
                </pic:pic>
              </a:graphicData>
            </a:graphic>
          </wp:inline>
        </w:drawing>
      </w:r>
    </w:p>
    <w:p w:rsidR="009C55E2" w:rsidRDefault="001A058B">
      <w:pPr>
        <w:spacing w:line="360" w:lineRule="auto"/>
        <w:jc w:val="both"/>
        <w:rPr>
          <w:rFonts w:ascii="Palatino Linotype" w:hAnsi="Palatino Linotype" w:cs="Arial"/>
        </w:rPr>
      </w:pPr>
      <w:r>
        <w:rPr>
          <w:noProof/>
          <w:lang w:eastAsia="es-MX"/>
        </w:rPr>
        <w:drawing>
          <wp:inline distT="0" distB="0" distL="0" distR="0">
            <wp:extent cx="5762625" cy="3590925"/>
            <wp:effectExtent l="0" t="0" r="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9"/>
                    <pic:cNvPicPr>
                      <a:picLocks noChangeAspect="1" noChangeArrowheads="1"/>
                    </pic:cNvPicPr>
                  </pic:nvPicPr>
                  <pic:blipFill>
                    <a:blip r:embed="rId10"/>
                    <a:srcRect l="14310" t="10305" r="16621" b="7032"/>
                    <a:stretch>
                      <a:fillRect/>
                    </a:stretch>
                  </pic:blipFill>
                  <pic:spPr bwMode="auto">
                    <a:xfrm>
                      <a:off x="0" y="0"/>
                      <a:ext cx="5762625" cy="3590925"/>
                    </a:xfrm>
                    <a:prstGeom prst="rect">
                      <a:avLst/>
                    </a:prstGeom>
                  </pic:spPr>
                </pic:pic>
              </a:graphicData>
            </a:graphic>
          </wp:inline>
        </w:drawing>
      </w:r>
    </w:p>
    <w:p w:rsidR="009C55E2" w:rsidRDefault="001A058B">
      <w:pPr>
        <w:spacing w:line="360" w:lineRule="auto"/>
        <w:jc w:val="both"/>
        <w:rPr>
          <w:rFonts w:ascii="Palatino Linotype" w:hAnsi="Palatino Linotype" w:cs="Arial"/>
        </w:rPr>
      </w:pPr>
      <w:r>
        <w:rPr>
          <w:noProof/>
          <w:lang w:eastAsia="es-MX"/>
        </w:rPr>
        <w:lastRenderedPageBreak/>
        <w:drawing>
          <wp:inline distT="0" distB="0" distL="0" distR="0">
            <wp:extent cx="5743575" cy="1123950"/>
            <wp:effectExtent l="0" t="0" r="0" b="0"/>
            <wp:docPr id="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0"/>
                    <pic:cNvPicPr>
                      <a:picLocks noChangeAspect="1" noChangeArrowheads="1"/>
                    </pic:cNvPicPr>
                  </pic:nvPicPr>
                  <pic:blipFill>
                    <a:blip r:embed="rId11"/>
                    <a:srcRect l="14472" t="64055" r="16458" b="19168"/>
                    <a:stretch>
                      <a:fillRect/>
                    </a:stretch>
                  </pic:blipFill>
                  <pic:spPr bwMode="auto">
                    <a:xfrm>
                      <a:off x="0" y="0"/>
                      <a:ext cx="5743575" cy="1123950"/>
                    </a:xfrm>
                    <a:prstGeom prst="rect">
                      <a:avLst/>
                    </a:prstGeom>
                  </pic:spPr>
                </pic:pic>
              </a:graphicData>
            </a:graphic>
          </wp:inline>
        </w:drawing>
      </w:r>
    </w:p>
    <w:p w:rsidR="009C55E2" w:rsidRDefault="009C55E2">
      <w:pPr>
        <w:spacing w:line="360" w:lineRule="auto"/>
        <w:jc w:val="both"/>
        <w:rPr>
          <w:rFonts w:ascii="Palatino Linotype" w:hAnsi="Palatino Linotype" w:cs="Arial"/>
        </w:rPr>
      </w:pPr>
    </w:p>
    <w:p w:rsidR="009C55E2" w:rsidRDefault="001A058B">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siete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2" w:name="_Ref507070922"/>
      <w:bookmarkEnd w:id="2"/>
    </w:p>
    <w:p w:rsidR="009C55E2" w:rsidRDefault="001A058B">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9C55E2" w:rsidRDefault="001A058B">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9C55E2" w:rsidRDefault="001A058B">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lastRenderedPageBreak/>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información pública </w:t>
      </w:r>
      <w:r>
        <w:rPr>
          <w:rFonts w:ascii="Palatino Linotype" w:hAnsi="Palatino Linotype"/>
          <w:color w:val="000000" w:themeColor="text1"/>
        </w:rPr>
        <w:t>número</w:t>
      </w:r>
      <w:r>
        <w:rPr>
          <w:rFonts w:ascii="Verdana" w:hAnsi="Verdana"/>
          <w:b/>
          <w:bCs/>
          <w:color w:val="FF0000"/>
        </w:rPr>
        <w:t xml:space="preserve"> </w:t>
      </w:r>
      <w:r>
        <w:rPr>
          <w:rFonts w:ascii="Palatino Linotype" w:hAnsi="Palatino Linotype"/>
          <w:b/>
          <w:bCs/>
        </w:rPr>
        <w:t>00002/OASECATEPE/IP/2020.</w:t>
      </w:r>
    </w:p>
    <w:p w:rsidR="009C55E2" w:rsidRDefault="001A058B">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9C55E2" w:rsidRDefault="009C55E2">
      <w:pPr>
        <w:ind w:left="851" w:right="902"/>
        <w:jc w:val="both"/>
        <w:rPr>
          <w:rFonts w:ascii="Palatino Linotype" w:eastAsiaTheme="minorEastAsia" w:hAnsi="Palatino Linotype" w:cs="Arial"/>
          <w:szCs w:val="20"/>
          <w:lang w:val="es-ES_tradnl"/>
        </w:rPr>
      </w:pPr>
    </w:p>
    <w:p w:rsidR="009C55E2" w:rsidRDefault="001A058B">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C55E2" w:rsidRDefault="001A058B">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C55E2" w:rsidRDefault="001A058B">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9C55E2" w:rsidRDefault="009C55E2">
      <w:pPr>
        <w:ind w:left="851" w:right="902"/>
        <w:jc w:val="both"/>
        <w:rPr>
          <w:rFonts w:ascii="Palatino Linotype" w:eastAsiaTheme="minorEastAsia" w:hAnsi="Palatino Linotype" w:cs="Arial"/>
          <w:szCs w:val="20"/>
          <w:lang w:val="es-ES_tradnl"/>
        </w:rPr>
      </w:pPr>
    </w:p>
    <w:p w:rsidR="009C55E2" w:rsidRDefault="001A058B">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doce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trece de febrero al cinco de marzo de dos mil veinte</w:t>
      </w:r>
      <w:r>
        <w:rPr>
          <w:rFonts w:ascii="Palatino Linotype" w:hAnsi="Palatino Linotype" w:cs="Arial"/>
        </w:rPr>
        <w:t xml:space="preserve">, sin contemplar en el cómputo los días quince, dieciséis, veintidós, veintitrés y veintinueve de febrero de dos mil veinte; por </w:t>
      </w:r>
      <w:r>
        <w:rPr>
          <w:rFonts w:ascii="Palatino Linotype" w:hAnsi="Palatino Linotype" w:cs="Arial"/>
        </w:rPr>
        <w:lastRenderedPageBreak/>
        <w:t xml:space="preserve">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dos de marzo de dos mil veinte, por suspensión de labores,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9C55E2" w:rsidRDefault="009C55E2">
      <w:pPr>
        <w:spacing w:line="360" w:lineRule="auto"/>
        <w:jc w:val="both"/>
        <w:rPr>
          <w:rFonts w:ascii="Palatino Linotype" w:hAnsi="Palatino Linotype"/>
        </w:rPr>
      </w:pPr>
    </w:p>
    <w:p w:rsidR="009C55E2" w:rsidRDefault="001A058B">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trece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9C55E2" w:rsidRDefault="009C55E2">
      <w:pPr>
        <w:spacing w:line="360" w:lineRule="auto"/>
        <w:jc w:val="both"/>
        <w:rPr>
          <w:rFonts w:ascii="Palatino Linotype" w:eastAsiaTheme="minorEastAsia" w:hAnsi="Palatino Linotype" w:cs="Arial"/>
          <w:lang w:val="es-ES_tradnl"/>
        </w:rPr>
      </w:pPr>
    </w:p>
    <w:p w:rsidR="009C55E2" w:rsidRDefault="001A058B">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9C55E2" w:rsidRDefault="009C55E2">
      <w:pPr>
        <w:pStyle w:val="Prrafodelista"/>
        <w:widowControl w:val="0"/>
        <w:tabs>
          <w:tab w:val="left" w:pos="1701"/>
          <w:tab w:val="left" w:pos="1843"/>
        </w:tabs>
        <w:spacing w:line="360" w:lineRule="auto"/>
        <w:ind w:left="0"/>
        <w:jc w:val="both"/>
        <w:rPr>
          <w:rFonts w:ascii="Palatino Linotype" w:hAnsi="Palatino Linotype" w:cs="Arial"/>
        </w:rPr>
      </w:pPr>
    </w:p>
    <w:p w:rsidR="009C55E2" w:rsidRDefault="001A058B">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rPr>
      </w:pPr>
      <w:bookmarkStart w:id="3" w:name="_Ref3465962"/>
      <w:r>
        <w:rPr>
          <w:rFonts w:ascii="Palatino Linotype" w:hAnsi="Palatino Linotype" w:cs="Arial"/>
          <w:b/>
        </w:rPr>
        <w:t>Estudio y resolución del asunto.</w:t>
      </w:r>
      <w:r>
        <w:rPr>
          <w:rFonts w:ascii="Palatino Linotype" w:hAnsi="Palatino Linotype" w:cs="Arial"/>
        </w:rPr>
        <w:t xml:space="preserve"> </w:t>
      </w:r>
      <w:bookmarkEnd w:id="3"/>
      <w:r>
        <w:rPr>
          <w:rFonts w:ascii="Palatino Linotype" w:hAnsi="Palatino Linotype" w:cs="Arial"/>
        </w:rPr>
        <w:t>Del análisis efectuado se advierte que el recurso de revisión de que se trata es procedente; toda vez, que se actualizan las hipótesis previstas en las fracciones VI y XIII del artículo 179 de la Ley de la materia, que a la letra indica:</w:t>
      </w:r>
    </w:p>
    <w:p w:rsidR="009C55E2" w:rsidRDefault="001A058B">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lastRenderedPageBreak/>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9C55E2" w:rsidRDefault="001A058B">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9C55E2" w:rsidRDefault="001A058B">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VI. La entrega de información que no corresponda con lo solicitado;</w:t>
      </w:r>
    </w:p>
    <w:p w:rsidR="009C55E2" w:rsidRDefault="001A058B">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9C55E2" w:rsidRDefault="001A058B">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XIII. La falta, deficiencia o insuficiencia de la fundamentación y/o motivación en la respuesta; y;”</w:t>
      </w:r>
    </w:p>
    <w:p w:rsidR="009C55E2" w:rsidRDefault="009C55E2">
      <w:pPr>
        <w:spacing w:line="276" w:lineRule="auto"/>
        <w:ind w:left="709" w:right="709"/>
        <w:jc w:val="both"/>
        <w:rPr>
          <w:rFonts w:ascii="Palatino Linotype" w:hAnsi="Palatino Linotype" w:cs="Arial"/>
          <w:b/>
          <w:bCs/>
          <w:i/>
          <w:sz w:val="22"/>
          <w:szCs w:val="22"/>
        </w:rPr>
      </w:pPr>
    </w:p>
    <w:p w:rsidR="009C55E2" w:rsidRDefault="001A058B">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9C55E2" w:rsidRDefault="009C55E2">
      <w:pPr>
        <w:pStyle w:val="Prrafodelista"/>
        <w:widowControl w:val="0"/>
        <w:spacing w:line="360" w:lineRule="auto"/>
        <w:ind w:left="0"/>
        <w:jc w:val="both"/>
        <w:rPr>
          <w:rFonts w:ascii="Palatino Linotype" w:hAnsi="Palatino Linotype" w:cs="Arial"/>
        </w:rPr>
      </w:pPr>
    </w:p>
    <w:p w:rsidR="009C55E2" w:rsidRDefault="001A058B">
      <w:pPr>
        <w:pStyle w:val="Prrafodelista"/>
        <w:widowControl w:val="0"/>
        <w:spacing w:line="360" w:lineRule="auto"/>
        <w:ind w:left="0"/>
        <w:jc w:val="both"/>
        <w:rPr>
          <w:rFonts w:ascii="Palatino Linotype" w:hAnsi="Palatino Linotype" w:cs="Arial"/>
        </w:rPr>
      </w:pPr>
      <w:r>
        <w:rPr>
          <w:rFonts w:ascii="Palatino Linotype" w:hAnsi="Palatino Linotype" w:cs="Arial"/>
        </w:rPr>
        <w:t>El precepto legal antes citado, establece como supuesto de procedencia del recurso de revisión, la</w:t>
      </w:r>
      <w:r>
        <w:t xml:space="preserve"> </w:t>
      </w:r>
      <w:r>
        <w:rPr>
          <w:rFonts w:ascii="Palatino Linotype" w:hAnsi="Palatino Linotype" w:cs="Arial"/>
        </w:rPr>
        <w:t xml:space="preserve">entrega de información que no corresponda a lo solicitado y cuya respuesta carezca de fundamentación y motivación, como sucede en el presente caso, en razón de que </w:t>
      </w:r>
      <w:r>
        <w:rPr>
          <w:rFonts w:ascii="Palatino Linotype" w:hAnsi="Palatino Linotype" w:cs="Arial"/>
          <w:b/>
        </w:rPr>
        <w:t>EL SUJETO OBLIGADO</w:t>
      </w:r>
      <w:r>
        <w:rPr>
          <w:rFonts w:ascii="Palatino Linotype" w:hAnsi="Palatino Linotype" w:cs="Arial"/>
        </w:rPr>
        <w:t>, remitió un oficio mediante el cual señaló que adjuntaba otro documento con la cual daba respuesta, sin embargo, no se aprecian documentos adjuntos.</w:t>
      </w:r>
    </w:p>
    <w:p w:rsidR="009C55E2" w:rsidRDefault="009C55E2">
      <w:pPr>
        <w:pStyle w:val="Prrafodelista"/>
        <w:widowControl w:val="0"/>
        <w:tabs>
          <w:tab w:val="left" w:pos="1276"/>
        </w:tabs>
        <w:spacing w:line="360" w:lineRule="auto"/>
        <w:ind w:left="0"/>
        <w:contextualSpacing/>
        <w:jc w:val="both"/>
        <w:rPr>
          <w:rFonts w:ascii="Palatino Linotype" w:hAnsi="Palatino Linotype" w:cs="Arial"/>
        </w:rPr>
      </w:pPr>
    </w:p>
    <w:p w:rsidR="009C55E2" w:rsidRDefault="001A058B">
      <w:pPr>
        <w:pStyle w:val="Prrafodelista"/>
        <w:widowControl w:val="0"/>
        <w:tabs>
          <w:tab w:val="left" w:pos="1276"/>
        </w:tabs>
        <w:spacing w:line="360" w:lineRule="auto"/>
        <w:ind w:left="0"/>
        <w:contextualSpacing/>
        <w:jc w:val="both"/>
        <w:rPr>
          <w:rFonts w:ascii="Palatino Linotype" w:hAnsi="Palatino Linotype" w:cs="Arial"/>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 respecto de los trabajos en el andador 13, de la colonia Jardines de Santa Clara entre calle 10 y calle Paseo de Santa Clara del Municipio de Ecatepec de Morelos, Estado de México, lo siguiente:</w:t>
      </w:r>
    </w:p>
    <w:p w:rsidR="009C55E2" w:rsidRDefault="009C55E2">
      <w:pPr>
        <w:pStyle w:val="Prrafodelista"/>
        <w:widowControl w:val="0"/>
        <w:tabs>
          <w:tab w:val="left" w:pos="1276"/>
        </w:tabs>
        <w:spacing w:line="360" w:lineRule="auto"/>
        <w:ind w:left="0"/>
        <w:contextualSpacing/>
        <w:jc w:val="both"/>
        <w:rPr>
          <w:rFonts w:ascii="Palatino Linotype" w:hAnsi="Palatino Linotype" w:cs="Arial"/>
        </w:rPr>
      </w:pPr>
    </w:p>
    <w:p w:rsidR="009C55E2" w:rsidRDefault="001A058B">
      <w:pPr>
        <w:pStyle w:val="Prrafodelista"/>
        <w:widowControl w:val="0"/>
        <w:tabs>
          <w:tab w:val="left" w:pos="1701"/>
          <w:tab w:val="left" w:pos="1843"/>
        </w:tabs>
        <w:spacing w:beforeAutospacing="1" w:afterAutospacing="1" w:line="360" w:lineRule="auto"/>
        <w:ind w:left="720"/>
        <w:contextualSpacing/>
        <w:jc w:val="both"/>
        <w:rPr>
          <w:rFonts w:ascii="Palatino Linotype" w:hAnsi="Palatino Linotype" w:cs="Arial"/>
          <w:b/>
        </w:rPr>
      </w:pPr>
      <w:r>
        <w:rPr>
          <w:rFonts w:ascii="Palatino Linotype" w:hAnsi="Palatino Linotype" w:cs="Arial"/>
          <w:b/>
        </w:rPr>
        <w:t xml:space="preserve">1. ¿Qué fecha se tiene programada para el inicio y la terminación de los trabajos descritos en el lugar que se refiere? </w:t>
      </w:r>
    </w:p>
    <w:p w:rsidR="009C55E2" w:rsidRDefault="001A058B">
      <w:pPr>
        <w:pStyle w:val="Prrafodelista"/>
        <w:widowControl w:val="0"/>
        <w:tabs>
          <w:tab w:val="left" w:pos="1701"/>
          <w:tab w:val="left" w:pos="1843"/>
        </w:tabs>
        <w:spacing w:beforeAutospacing="1" w:afterAutospacing="1" w:line="360" w:lineRule="auto"/>
        <w:ind w:left="720"/>
        <w:contextualSpacing/>
        <w:jc w:val="both"/>
        <w:rPr>
          <w:rFonts w:ascii="Palatino Linotype" w:hAnsi="Palatino Linotype" w:cs="Arial"/>
          <w:b/>
        </w:rPr>
      </w:pPr>
      <w:r>
        <w:rPr>
          <w:rFonts w:ascii="Palatino Linotype" w:hAnsi="Palatino Linotype" w:cs="Arial"/>
          <w:b/>
        </w:rPr>
        <w:lastRenderedPageBreak/>
        <w:t xml:space="preserve">2. ¿Cuál será el gasto total programado para la ejecución de los trabajos descritos? </w:t>
      </w:r>
    </w:p>
    <w:p w:rsidR="009C55E2" w:rsidRDefault="001A058B">
      <w:pPr>
        <w:pStyle w:val="Prrafodelista"/>
        <w:widowControl w:val="0"/>
        <w:tabs>
          <w:tab w:val="left" w:pos="1701"/>
          <w:tab w:val="left" w:pos="1843"/>
        </w:tabs>
        <w:spacing w:beforeAutospacing="1" w:afterAutospacing="1" w:line="360" w:lineRule="auto"/>
        <w:ind w:left="720"/>
        <w:contextualSpacing/>
        <w:jc w:val="both"/>
        <w:rPr>
          <w:rFonts w:ascii="Palatino Linotype" w:hAnsi="Palatino Linotype" w:cs="Arial"/>
          <w:b/>
        </w:rPr>
      </w:pPr>
      <w:r>
        <w:rPr>
          <w:rFonts w:ascii="Palatino Linotype" w:hAnsi="Palatino Linotype" w:cs="Arial"/>
          <w:b/>
        </w:rPr>
        <w:t xml:space="preserve">3. ¿Existe participación de la iniciativa privada en la planeación y ejecución de los trabajos descritos? </w:t>
      </w:r>
    </w:p>
    <w:p w:rsidR="009C55E2" w:rsidRDefault="001A058B">
      <w:pPr>
        <w:pStyle w:val="Prrafodelista"/>
        <w:widowControl w:val="0"/>
        <w:tabs>
          <w:tab w:val="left" w:pos="1701"/>
          <w:tab w:val="left" w:pos="1843"/>
        </w:tabs>
        <w:spacing w:beforeAutospacing="1" w:afterAutospacing="1" w:line="360" w:lineRule="auto"/>
        <w:ind w:left="720"/>
        <w:contextualSpacing/>
        <w:jc w:val="both"/>
        <w:rPr>
          <w:rFonts w:ascii="Palatino Linotype" w:hAnsi="Palatino Linotype" w:cs="Arial"/>
          <w:b/>
        </w:rPr>
      </w:pPr>
      <w:r>
        <w:rPr>
          <w:rFonts w:ascii="Palatino Linotype" w:hAnsi="Palatino Linotype" w:cs="Arial"/>
          <w:b/>
        </w:rPr>
        <w:t>4. ¿A cuántas personas se tiene estimado que se verán beneficiadas con la conclusión de los trabajos descritos?</w:t>
      </w:r>
    </w:p>
    <w:p w:rsidR="009C55E2" w:rsidRDefault="001A058B">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exponiendo lo señalado en el Resultando </w:t>
      </w:r>
      <w:r>
        <w:rPr>
          <w:rFonts w:ascii="Palatino Linotype" w:hAnsi="Palatino Linotype" w:cs="Arial"/>
          <w:b/>
        </w:rPr>
        <w:t xml:space="preserve">III </w:t>
      </w:r>
      <w:r>
        <w:rPr>
          <w:rFonts w:ascii="Palatino Linotype" w:hAnsi="Palatino Linotype" w:cs="Arial"/>
        </w:rPr>
        <w:t>de la presente resolución, mediante el archivo electrónico ya descrito.</w:t>
      </w:r>
    </w:p>
    <w:p w:rsidR="009C55E2" w:rsidRDefault="009C55E2">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9C55E2" w:rsidRDefault="001A058B">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la información proporcionada en respuesta; no correspondía a lo solicitado.</w:t>
      </w:r>
    </w:p>
    <w:p w:rsidR="009C55E2" w:rsidRDefault="009C55E2">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9C55E2" w:rsidRDefault="001A058B">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exhibió el Informe Justificado, mediante el cual, modificó su respuesta y anexó información novedosa, por ello, se puso a la vista del</w:t>
      </w:r>
      <w:r>
        <w:rPr>
          <w:rFonts w:ascii="Palatino Linotype" w:hAnsi="Palatino Linotype" w:cs="Arial"/>
          <w:b/>
        </w:rPr>
        <w:t xml:space="preserve"> RECURRENTE</w:t>
      </w:r>
      <w:r>
        <w:rPr>
          <w:rFonts w:ascii="Palatino Linotype" w:hAnsi="Palatino Linotype" w:cs="Arial"/>
        </w:rPr>
        <w:t xml:space="preserve"> a efecto de que realizara las manifestaciones o alegatos, ofreciera los medios de prueba que a su derecho conviniera, situación que no ocurrió.</w:t>
      </w:r>
    </w:p>
    <w:p w:rsidR="009C55E2" w:rsidRDefault="009C55E2">
      <w:pPr>
        <w:widowControl w:val="0"/>
        <w:tabs>
          <w:tab w:val="left" w:pos="1701"/>
          <w:tab w:val="left" w:pos="1843"/>
        </w:tabs>
        <w:spacing w:line="360" w:lineRule="auto"/>
        <w:contextualSpacing/>
        <w:jc w:val="both"/>
        <w:rPr>
          <w:rFonts w:ascii="Palatino Linotype" w:hAnsi="Palatino Linotype" w:cs="Arial"/>
        </w:rPr>
      </w:pPr>
    </w:p>
    <w:p w:rsidR="009C55E2" w:rsidRDefault="001A058B">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w:t>
      </w:r>
      <w:r>
        <w:rPr>
          <w:rFonts w:ascii="Palatino Linotype" w:hAnsi="Palatino Linotype"/>
        </w:rPr>
        <w:lastRenderedPageBreak/>
        <w:t xml:space="preserve">inconformidad hechos valer por </w:t>
      </w:r>
      <w:r>
        <w:rPr>
          <w:rFonts w:ascii="Palatino Linotype" w:hAnsi="Palatino Linotype"/>
          <w:b/>
        </w:rPr>
        <w:t>EL RECURRENTE</w:t>
      </w:r>
      <w:r>
        <w:rPr>
          <w:rFonts w:ascii="Palatino Linotype" w:hAnsi="Palatino Linotype"/>
        </w:rPr>
        <w:t xml:space="preserve"> devienen </w:t>
      </w:r>
      <w:r>
        <w:rPr>
          <w:rFonts w:ascii="Palatino Linotype" w:hAnsi="Palatino Linotype"/>
          <w:b/>
        </w:rPr>
        <w:t>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9C55E2" w:rsidRDefault="001A058B">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 e Informe Justificado</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9C55E2" w:rsidRDefault="001A058B">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9C55E2" w:rsidRDefault="009C55E2">
      <w:pPr>
        <w:spacing w:line="360" w:lineRule="auto"/>
        <w:jc w:val="both"/>
        <w:rPr>
          <w:rFonts w:ascii="Palatino Linotype" w:hAnsi="Palatino Linotype"/>
          <w:lang w:val="es-ES"/>
        </w:rPr>
      </w:pPr>
    </w:p>
    <w:p w:rsidR="009C55E2" w:rsidRDefault="001A058B">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9C55E2" w:rsidRDefault="009C55E2">
      <w:pPr>
        <w:ind w:left="851" w:right="899"/>
        <w:jc w:val="both"/>
        <w:rPr>
          <w:rFonts w:ascii="Palatino Linotype" w:hAnsi="Palatino Linotype"/>
          <w:i/>
          <w:sz w:val="22"/>
          <w:szCs w:val="22"/>
          <w:lang w:val="es-ES"/>
        </w:rPr>
      </w:pPr>
    </w:p>
    <w:p w:rsidR="009C55E2" w:rsidRDefault="001A058B">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9C55E2" w:rsidRDefault="009C55E2">
      <w:pPr>
        <w:spacing w:line="360" w:lineRule="auto"/>
        <w:ind w:left="851" w:right="899"/>
        <w:jc w:val="both"/>
        <w:rPr>
          <w:rFonts w:ascii="Palatino Linotype" w:hAnsi="Palatino Linotype"/>
          <w:i/>
          <w:sz w:val="22"/>
          <w:szCs w:val="22"/>
          <w:lang w:val="es-ES"/>
        </w:rPr>
      </w:pPr>
    </w:p>
    <w:p w:rsidR="009C55E2" w:rsidRDefault="001A058B">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xml:space="preserve">; </w:t>
      </w:r>
      <w:r>
        <w:rPr>
          <w:rFonts w:ascii="Palatino Linotype" w:hAnsi="Palatino Linotype"/>
          <w:lang w:val="es-ES"/>
        </w:rPr>
        <w:lastRenderedPageBreak/>
        <w:t xml:space="preserve">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w:t>
      </w:r>
      <w:bookmarkStart w:id="4" w:name="_GoBack"/>
      <w:bookmarkEnd w:id="4"/>
      <w:r>
        <w:rPr>
          <w:rFonts w:ascii="Palatino Linotype" w:hAnsi="Palatino Linotype"/>
          <w:lang w:val="es-ES"/>
        </w:rPr>
        <w:t>se actualiza el supuesto jurídico, previsto en el artículo 12 de la Ley de la materia, anteriormente referido.</w:t>
      </w:r>
    </w:p>
    <w:p w:rsidR="009C55E2" w:rsidRDefault="009C55E2">
      <w:pPr>
        <w:spacing w:line="360" w:lineRule="auto"/>
        <w:jc w:val="both"/>
        <w:rPr>
          <w:rFonts w:ascii="Palatino Linotype" w:hAnsi="Palatino Linotype"/>
          <w:lang w:val="es-ES"/>
        </w:rPr>
      </w:pPr>
    </w:p>
    <w:p w:rsidR="009C55E2" w:rsidRDefault="001A058B">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rsidR="009C55E2" w:rsidRDefault="001A058B">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C55E2" w:rsidRDefault="001A058B">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Pr>
          <w:rFonts w:ascii="Palatino Linotype" w:hAnsi="Palatino Linotype" w:cs="Arial"/>
          <w:i/>
          <w:sz w:val="22"/>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C55E2" w:rsidRDefault="001A058B">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9C55E2" w:rsidRDefault="009C55E2">
      <w:pPr>
        <w:spacing w:beforeAutospacing="1" w:afterAutospacing="1" w:line="360" w:lineRule="auto"/>
        <w:contextualSpacing/>
        <w:jc w:val="both"/>
        <w:rPr>
          <w:rFonts w:ascii="Palatino Linotype" w:eastAsia="Calibri" w:hAnsi="Palatino Linotype" w:cs="Arial"/>
        </w:rPr>
      </w:pPr>
    </w:p>
    <w:p w:rsidR="009C55E2" w:rsidRDefault="001A058B">
      <w:pPr>
        <w:widowControl w:val="0"/>
        <w:tabs>
          <w:tab w:val="left" w:pos="1701"/>
          <w:tab w:val="left" w:pos="1843"/>
        </w:tabs>
        <w:spacing w:beforeAutospacing="1" w:afterAutospacing="1" w:line="360" w:lineRule="auto"/>
        <w:jc w:val="both"/>
        <w:rPr>
          <w:rFonts w:ascii="Palatino Linotype" w:eastAsia="Calibri" w:hAnsi="Palatino Linotype" w:cstheme="minorBidi"/>
          <w:lang w:val="es-ES" w:eastAsia="en-US"/>
        </w:rPr>
      </w:pPr>
      <w:r>
        <w:rPr>
          <w:rFonts w:ascii="Palatino Linotype" w:eastAsia="Calibri" w:hAnsi="Palatino Linotype" w:cstheme="minorBidi"/>
          <w:lang w:val="es-ES" w:eastAsia="en-US"/>
        </w:rPr>
        <w:t>Ahora bien, es importante mencionar que el particular realizó sus requerimientos en forma de preguntas; no obstante a ello, el hoy</w:t>
      </w:r>
      <w:r>
        <w:rPr>
          <w:rFonts w:ascii="Palatino Linotype" w:eastAsia="Calibri" w:hAnsi="Palatino Linotype" w:cstheme="minorBidi"/>
          <w:b/>
          <w:lang w:val="es-ES" w:eastAsia="en-US"/>
        </w:rPr>
        <w:t xml:space="preserve"> RECURRENTE</w:t>
      </w:r>
      <w:r>
        <w:rPr>
          <w:rFonts w:ascii="Palatino Linotype" w:eastAsia="Calibri" w:hAnsi="Palatino Linotype" w:cstheme="minorBidi"/>
          <w:lang w:val="es-ES" w:eastAsia="en-US"/>
        </w:rPr>
        <w:t xml:space="preserve">, no es experto en la materia de acceso a la información pública; por ello y de conformidad con los artículos </w:t>
      </w:r>
      <w:r>
        <w:rPr>
          <w:rFonts w:ascii="Palatino Linotype" w:eastAsia="Calibri" w:hAnsi="Palatino Linotype" w:cs="Arial"/>
          <w:lang w:val="es-ES" w:eastAsia="en-US"/>
        </w:rPr>
        <w:t xml:space="preserve">13 y 181, cuarto párrafo de la Ley de Transparencia y Acceso a la Información del Estado de México y Municipios, se </w:t>
      </w:r>
      <w:r>
        <w:rPr>
          <w:rFonts w:ascii="Palatino Linotype" w:eastAsia="Calibri" w:hAnsi="Palatino Linotype" w:cstheme="minorBidi"/>
          <w:lang w:val="es-ES" w:eastAsia="en-US"/>
        </w:rPr>
        <w:t>ordena la entrega de la expresión documental que satisfaga el requerimiento de información, privilegiando en todo momento el principio de máxima publicidad.</w:t>
      </w:r>
    </w:p>
    <w:p w:rsidR="009C55E2" w:rsidRDefault="001A058B">
      <w:pPr>
        <w:spacing w:before="240" w:after="240" w:line="360" w:lineRule="auto"/>
        <w:jc w:val="both"/>
        <w:rPr>
          <w:rFonts w:ascii="Palatino Linotype" w:eastAsiaTheme="minorHAnsi" w:hAnsi="Palatino Linotype" w:cs="Arial"/>
          <w:lang w:val="es-ES" w:eastAsia="en-US"/>
        </w:rPr>
      </w:pPr>
      <w:r>
        <w:rPr>
          <w:rFonts w:ascii="Palatino Linotype" w:eastAsiaTheme="minorHAnsi" w:hAnsi="Palatino Linotype" w:cstheme="minorBidi"/>
          <w:lang w:val="es-ES" w:eastAsia="en-US"/>
        </w:rPr>
        <w:t>Siendo necesario hacer hincapié que</w:t>
      </w:r>
      <w:r>
        <w:rPr>
          <w:rFonts w:ascii="Palatino Linotype" w:eastAsiaTheme="minorHAnsi" w:hAnsi="Palatino Linotype" w:cs="Arial"/>
          <w:lang w:val="es-ES" w:eastAsia="en-US"/>
        </w:rPr>
        <w:t xml:space="preserve">,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Pr>
          <w:rFonts w:ascii="Palatino Linotype" w:eastAsiaTheme="minorHAnsi" w:hAnsi="Palatino Linotype" w:cs="Arial"/>
          <w:b/>
          <w:lang w:val="es-ES" w:eastAsia="en-US"/>
        </w:rPr>
        <w:t>expresión documental</w:t>
      </w:r>
      <w:r>
        <w:rPr>
          <w:rFonts w:ascii="Palatino Linotype" w:eastAsiaTheme="minorHAnsi" w:hAnsi="Palatino Linotype" w:cs="Arial"/>
          <w:lang w:val="es-ES" w:eastAsia="en-US"/>
        </w:rPr>
        <w:t>, deben atenderlas. Lo anterior, tiene apoyo en el criterio 16/17, emitido por el Pleno del INAI, el cual menciona lo siguiente:</w:t>
      </w:r>
    </w:p>
    <w:p w:rsidR="009C55E2" w:rsidRDefault="001A058B">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b/>
          <w:i/>
          <w:sz w:val="22"/>
          <w:szCs w:val="22"/>
          <w:lang w:val="es-ES" w:eastAsia="en-US"/>
        </w:rPr>
        <w:t xml:space="preserve">Expresión documental. </w:t>
      </w:r>
      <w:r>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C55E2" w:rsidRDefault="001A058B">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lastRenderedPageBreak/>
        <w:t>Resoluciones:</w:t>
      </w:r>
    </w:p>
    <w:p w:rsidR="009C55E2" w:rsidRDefault="001A058B">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RRA 0774/16. Secretaría de Salud. 31 de agosto de 2016. Por unanimidad. Comisionada Ponente María Patricia Kurczyn Villalobos.</w:t>
      </w:r>
    </w:p>
    <w:p w:rsidR="009C55E2" w:rsidRDefault="001A058B">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rsidR="009C55E2" w:rsidRDefault="001A058B">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rsidR="009C55E2" w:rsidRDefault="001A058B">
      <w:pPr>
        <w:spacing w:before="120" w:after="120" w:line="259" w:lineRule="auto"/>
        <w:ind w:left="567" w:right="618"/>
        <w:jc w:val="both"/>
        <w:rPr>
          <w:rFonts w:ascii="Palatino Linotype" w:eastAsiaTheme="minorHAnsi" w:hAnsi="Palatino Linotype" w:cs="Arial"/>
          <w:sz w:val="22"/>
          <w:szCs w:val="22"/>
          <w:lang w:val="es-ES" w:eastAsia="en-US"/>
        </w:rPr>
      </w:pPr>
      <w:r>
        <w:rPr>
          <w:rFonts w:ascii="Palatino Linotype" w:eastAsiaTheme="minorHAnsi" w:hAnsi="Palatino Linotype" w:cs="Arial"/>
          <w:sz w:val="22"/>
          <w:szCs w:val="22"/>
          <w:lang w:val="es-ES" w:eastAsia="en-US"/>
        </w:rPr>
        <w:t>(Énfasis añadido)</w:t>
      </w:r>
    </w:p>
    <w:p w:rsidR="009C55E2" w:rsidRDefault="001A058B">
      <w:pPr>
        <w:spacing w:beforeAutospacing="1" w:afterAutospacing="1" w:line="360" w:lineRule="auto"/>
        <w:jc w:val="both"/>
        <w:rPr>
          <w:rFonts w:ascii="Palatino Linotype" w:hAnsi="Palatino Linotype" w:cs="Arial"/>
          <w:lang w:val="es-ES"/>
        </w:rPr>
      </w:pPr>
      <w:r>
        <w:rPr>
          <w:rFonts w:ascii="Palatino Linotype" w:hAnsi="Palatino Linotype"/>
          <w:lang w:val="es-ES"/>
        </w:rPr>
        <w:t xml:space="preserve">En este mismo sentido, </w:t>
      </w:r>
      <w:r>
        <w:rPr>
          <w:rFonts w:ascii="Palatino Linotype" w:hAnsi="Palatino Linotype" w:cs="Arial"/>
          <w:lang w:val="es-ES"/>
        </w:rPr>
        <w:t xml:space="preserve">es importante resaltar que </w:t>
      </w:r>
      <w:r>
        <w:rPr>
          <w:rFonts w:ascii="Palatino Linotype" w:hAnsi="Palatino Linotype"/>
          <w:color w:val="212121"/>
          <w:lang w:val="es-ES"/>
        </w:rPr>
        <w:t>los Sujetos Obligados deben garantizar el derecho de acceso a la información de los particulares, proporcionando la información con la que cuentan, en el formato en que la misma obre en sus archivos; sin necesidad de elaborar documentos </w:t>
      </w:r>
      <w:r>
        <w:rPr>
          <w:rFonts w:ascii="Palatino Linotype" w:hAnsi="Palatino Linotype"/>
          <w:i/>
          <w:iCs/>
          <w:color w:val="212121"/>
          <w:lang w:val="es-ES"/>
        </w:rPr>
        <w:t>ad hoc </w:t>
      </w:r>
      <w:r>
        <w:rPr>
          <w:rFonts w:ascii="Palatino Linotype" w:hAnsi="Palatino Linotype"/>
          <w:color w:val="212121"/>
          <w:lang w:val="es-ES"/>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9C55E2" w:rsidRDefault="001A058B">
      <w:pPr>
        <w:ind w:left="851" w:right="902"/>
        <w:jc w:val="both"/>
        <w:rPr>
          <w:rFonts w:ascii="Palatino Linotype" w:hAnsi="Palatino Linotype"/>
          <w:i/>
          <w:iCs/>
          <w:color w:val="212121"/>
          <w:sz w:val="22"/>
          <w:szCs w:val="22"/>
          <w:lang w:val="es-ES" w:eastAsia="es-MX"/>
        </w:rPr>
      </w:pPr>
      <w:r>
        <w:rPr>
          <w:rFonts w:ascii="Palatino Linotype" w:hAnsi="Palatino Linotype"/>
          <w:b/>
          <w:bCs/>
          <w:i/>
          <w:iCs/>
          <w:color w:val="212121"/>
          <w:sz w:val="22"/>
          <w:szCs w:val="22"/>
          <w:lang w:val="es-ES" w:eastAsia="es-MX"/>
        </w:rPr>
        <w:t>“No existe obligación de elaborar </w:t>
      </w:r>
      <w:r>
        <w:rPr>
          <w:rFonts w:ascii="Palatino Linotype" w:hAnsi="Palatino Linotype"/>
          <w:b/>
          <w:bCs/>
          <w:i/>
          <w:iCs/>
          <w:color w:val="212121"/>
          <w:spacing w:val="-3"/>
          <w:sz w:val="22"/>
          <w:szCs w:val="22"/>
          <w:lang w:val="es-ES" w:eastAsia="es-MX"/>
        </w:rPr>
        <w:t>d</w:t>
      </w:r>
      <w:r>
        <w:rPr>
          <w:rFonts w:ascii="Palatino Linotype" w:hAnsi="Palatino Linotype"/>
          <w:b/>
          <w:bCs/>
          <w:i/>
          <w:iCs/>
          <w:color w:val="212121"/>
          <w:sz w:val="22"/>
          <w:szCs w:val="22"/>
          <w:lang w:val="es-ES" w:eastAsia="es-MX"/>
        </w:rPr>
        <w:t>ocum</w:t>
      </w:r>
      <w:r>
        <w:rPr>
          <w:rFonts w:ascii="Palatino Linotype" w:hAnsi="Palatino Linotype"/>
          <w:b/>
          <w:bCs/>
          <w:i/>
          <w:iCs/>
          <w:color w:val="212121"/>
          <w:spacing w:val="1"/>
          <w:sz w:val="22"/>
          <w:szCs w:val="22"/>
          <w:lang w:val="es-ES" w:eastAsia="es-MX"/>
        </w:rPr>
        <w:t>e</w:t>
      </w:r>
      <w:r>
        <w:rPr>
          <w:rFonts w:ascii="Palatino Linotype" w:hAnsi="Palatino Linotype"/>
          <w:b/>
          <w:bCs/>
          <w:i/>
          <w:iCs/>
          <w:color w:val="212121"/>
          <w:sz w:val="22"/>
          <w:szCs w:val="22"/>
          <w:lang w:val="es-ES" w:eastAsia="es-MX"/>
        </w:rPr>
        <w:t>n</w:t>
      </w:r>
      <w:r>
        <w:rPr>
          <w:rFonts w:ascii="Palatino Linotype" w:hAnsi="Palatino Linotype"/>
          <w:b/>
          <w:bCs/>
          <w:i/>
          <w:iCs/>
          <w:color w:val="212121"/>
          <w:spacing w:val="-1"/>
          <w:sz w:val="22"/>
          <w:szCs w:val="22"/>
          <w:lang w:val="es-ES" w:eastAsia="es-MX"/>
        </w:rPr>
        <w:t>t</w:t>
      </w:r>
      <w:r>
        <w:rPr>
          <w:rFonts w:ascii="Palatino Linotype" w:hAnsi="Palatino Linotype"/>
          <w:b/>
          <w:bCs/>
          <w:i/>
          <w:iCs/>
          <w:color w:val="212121"/>
          <w:sz w:val="22"/>
          <w:szCs w:val="22"/>
          <w:lang w:val="es-ES" w:eastAsia="es-MX"/>
        </w:rPr>
        <w:t>os</w:t>
      </w:r>
      <w:r>
        <w:rPr>
          <w:rFonts w:ascii="Palatino Linotype" w:hAnsi="Palatino Linotype"/>
          <w:b/>
          <w:bCs/>
          <w:i/>
          <w:iCs/>
          <w:color w:val="212121"/>
          <w:spacing w:val="14"/>
          <w:sz w:val="22"/>
          <w:szCs w:val="22"/>
          <w:lang w:val="es-ES" w:eastAsia="es-MX"/>
        </w:rPr>
        <w:t> </w:t>
      </w:r>
      <w:r>
        <w:rPr>
          <w:rFonts w:ascii="Palatino Linotype" w:hAnsi="Palatino Linotype"/>
          <w:b/>
          <w:bCs/>
          <w:i/>
          <w:iCs/>
          <w:color w:val="212121"/>
          <w:spacing w:val="-1"/>
          <w:sz w:val="22"/>
          <w:szCs w:val="22"/>
          <w:lang w:val="es-ES" w:eastAsia="es-MX"/>
        </w:rPr>
        <w:t>ad </w:t>
      </w:r>
      <w:r>
        <w:rPr>
          <w:rFonts w:ascii="Palatino Linotype" w:hAnsi="Palatino Linotype"/>
          <w:b/>
          <w:bCs/>
          <w:i/>
          <w:iCs/>
          <w:color w:val="212121"/>
          <w:sz w:val="22"/>
          <w:szCs w:val="22"/>
          <w:lang w:val="es-ES" w:eastAsia="es-MX"/>
        </w:rPr>
        <w:t>hoc</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para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atender las sol</w:t>
      </w:r>
      <w:r>
        <w:rPr>
          <w:rFonts w:ascii="Palatino Linotype" w:hAnsi="Palatino Linotype"/>
          <w:b/>
          <w:bCs/>
          <w:i/>
          <w:iCs/>
          <w:color w:val="212121"/>
          <w:spacing w:val="-2"/>
          <w:sz w:val="22"/>
          <w:szCs w:val="22"/>
          <w:lang w:val="es-ES" w:eastAsia="es-MX"/>
        </w:rPr>
        <w:t>i</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itudes</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de</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pacing w:val="1"/>
          <w:sz w:val="22"/>
          <w:szCs w:val="22"/>
          <w:lang w:val="es-ES" w:eastAsia="es-MX"/>
        </w:rPr>
        <w:t>ac</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pacing w:val="1"/>
          <w:sz w:val="22"/>
          <w:szCs w:val="22"/>
          <w:lang w:val="es-ES" w:eastAsia="es-MX"/>
        </w:rPr>
        <w:t>es</w:t>
      </w:r>
      <w:r>
        <w:rPr>
          <w:rFonts w:ascii="Palatino Linotype" w:hAnsi="Palatino Linotype"/>
          <w:b/>
          <w:bCs/>
          <w:i/>
          <w:iCs/>
          <w:color w:val="212121"/>
          <w:sz w:val="22"/>
          <w:szCs w:val="22"/>
          <w:lang w:val="es-ES" w:eastAsia="es-MX"/>
        </w:rPr>
        <w:t>o</w:t>
      </w:r>
      <w:r>
        <w:rPr>
          <w:rFonts w:ascii="Palatino Linotype" w:hAnsi="Palatino Linotype"/>
          <w:b/>
          <w:bCs/>
          <w:i/>
          <w:iCs/>
          <w:color w:val="212121"/>
          <w:spacing w:val="11"/>
          <w:sz w:val="22"/>
          <w:szCs w:val="22"/>
          <w:lang w:val="es-ES" w:eastAsia="es-MX"/>
        </w:rPr>
        <w:t> </w:t>
      </w:r>
      <w:r>
        <w:rPr>
          <w:rFonts w:ascii="Palatino Linotype" w:hAnsi="Palatino Linotype"/>
          <w:b/>
          <w:bCs/>
          <w:i/>
          <w:iCs/>
          <w:color w:val="212121"/>
          <w:sz w:val="22"/>
          <w:szCs w:val="22"/>
          <w:lang w:val="es-ES" w:eastAsia="es-MX"/>
        </w:rPr>
        <w:t>a</w:t>
      </w:r>
      <w:r>
        <w:rPr>
          <w:rFonts w:ascii="Palatino Linotype" w:hAnsi="Palatino Linotype"/>
          <w:b/>
          <w:bCs/>
          <w:i/>
          <w:iCs/>
          <w:color w:val="212121"/>
          <w:spacing w:val="9"/>
          <w:sz w:val="22"/>
          <w:szCs w:val="22"/>
          <w:lang w:val="es-ES" w:eastAsia="es-MX"/>
        </w:rPr>
        <w:t> </w:t>
      </w:r>
      <w:r>
        <w:rPr>
          <w:rFonts w:ascii="Palatino Linotype" w:hAnsi="Palatino Linotype"/>
          <w:b/>
          <w:bCs/>
          <w:i/>
          <w:iCs/>
          <w:color w:val="212121"/>
          <w:sz w:val="22"/>
          <w:szCs w:val="22"/>
          <w:lang w:val="es-ES" w:eastAsia="es-MX"/>
        </w:rPr>
        <w:t>la</w:t>
      </w:r>
      <w:r>
        <w:rPr>
          <w:rFonts w:ascii="Palatino Linotype" w:hAnsi="Palatino Linotype"/>
          <w:b/>
          <w:bCs/>
          <w:i/>
          <w:iCs/>
          <w:color w:val="212121"/>
          <w:spacing w:val="10"/>
          <w:sz w:val="22"/>
          <w:szCs w:val="22"/>
          <w:lang w:val="es-ES" w:eastAsia="es-MX"/>
        </w:rPr>
        <w:t> </w:t>
      </w:r>
      <w:r>
        <w:rPr>
          <w:rFonts w:ascii="Palatino Linotype" w:hAnsi="Palatino Linotype"/>
          <w:b/>
          <w:bCs/>
          <w:i/>
          <w:iCs/>
          <w:color w:val="212121"/>
          <w:sz w:val="22"/>
          <w:szCs w:val="22"/>
          <w:lang w:val="es-ES" w:eastAsia="es-MX"/>
        </w:rPr>
        <w:t>informa</w:t>
      </w:r>
      <w:r>
        <w:rPr>
          <w:rFonts w:ascii="Palatino Linotype" w:hAnsi="Palatino Linotype"/>
          <w:b/>
          <w:bCs/>
          <w:i/>
          <w:iCs/>
          <w:color w:val="212121"/>
          <w:spacing w:val="1"/>
          <w:sz w:val="22"/>
          <w:szCs w:val="22"/>
          <w:lang w:val="es-ES" w:eastAsia="es-MX"/>
        </w:rPr>
        <w:t>c</w:t>
      </w:r>
      <w:r>
        <w:rPr>
          <w:rFonts w:ascii="Palatino Linotype" w:hAnsi="Palatino Linotype"/>
          <w:b/>
          <w:bCs/>
          <w:i/>
          <w:iCs/>
          <w:color w:val="212121"/>
          <w:sz w:val="22"/>
          <w:szCs w:val="22"/>
          <w:lang w:val="es-ES" w:eastAsia="es-MX"/>
        </w:rPr>
        <w:t>ió</w:t>
      </w:r>
      <w:r>
        <w:rPr>
          <w:rFonts w:ascii="Palatino Linotype" w:hAnsi="Palatino Linotype"/>
          <w:b/>
          <w:bCs/>
          <w:i/>
          <w:iCs/>
          <w:color w:val="212121"/>
          <w:spacing w:val="-2"/>
          <w:sz w:val="22"/>
          <w:szCs w:val="22"/>
          <w:lang w:val="es-ES" w:eastAsia="es-MX"/>
        </w:rPr>
        <w:t>n</w:t>
      </w:r>
      <w:r>
        <w:rPr>
          <w:rFonts w:ascii="Palatino Linotype" w:hAnsi="Palatino Linotype"/>
          <w:b/>
          <w:bCs/>
          <w:i/>
          <w:iCs/>
          <w:color w:val="212121"/>
          <w:sz w:val="22"/>
          <w:szCs w:val="22"/>
          <w:lang w:val="es-ES" w:eastAsia="es-MX"/>
        </w:rPr>
        <w:t>.</w:t>
      </w:r>
      <w:r>
        <w:rPr>
          <w:rFonts w:ascii="Palatino Linotype" w:hAnsi="Palatino Linotype"/>
          <w:b/>
          <w:bCs/>
          <w:i/>
          <w:iCs/>
          <w:color w:val="212121"/>
          <w:spacing w:val="18"/>
          <w:sz w:val="22"/>
          <w:szCs w:val="22"/>
          <w:lang w:val="es-ES" w:eastAsia="es-MX"/>
        </w:rPr>
        <w:t> </w:t>
      </w:r>
      <w:r>
        <w:rPr>
          <w:rFonts w:ascii="Palatino Linotype" w:hAnsi="Palatino Linotype"/>
          <w:i/>
          <w:iCs/>
          <w:color w:val="212121"/>
          <w:spacing w:val="18"/>
          <w:sz w:val="22"/>
          <w:szCs w:val="22"/>
          <w:lang w:val="es-ES" w:eastAsia="es-MX"/>
        </w:rPr>
        <w:t>L</w:t>
      </w:r>
      <w:r>
        <w:rPr>
          <w:rFonts w:ascii="Palatino Linotype" w:hAnsi="Palatino Linotype"/>
          <w:i/>
          <w:iCs/>
          <w:color w:val="212121"/>
          <w:spacing w:val="-1"/>
          <w:sz w:val="22"/>
          <w:szCs w:val="22"/>
          <w:lang w:val="es-ES" w:eastAsia="es-MX"/>
        </w:rPr>
        <w:t>os </w:t>
      </w:r>
      <w:r>
        <w:rPr>
          <w:rFonts w:ascii="Palatino Linotype" w:hAnsi="Palatino Linotype"/>
          <w:i/>
          <w:iCs/>
          <w:color w:val="212121"/>
          <w:spacing w:val="1"/>
          <w:sz w:val="22"/>
          <w:szCs w:val="22"/>
          <w:lang w:val="es-ES" w:eastAsia="es-MX"/>
        </w:rPr>
        <w:t>a</w:t>
      </w:r>
      <w:r>
        <w:rPr>
          <w:rFonts w:ascii="Palatino Linotype" w:hAnsi="Palatino Linotype"/>
          <w:i/>
          <w:iCs/>
          <w:color w:val="212121"/>
          <w:sz w:val="22"/>
          <w:szCs w:val="22"/>
          <w:lang w:val="es-ES" w:eastAsia="es-MX"/>
        </w:rPr>
        <w:t>rt</w:t>
      </w:r>
      <w:r>
        <w:rPr>
          <w:rFonts w:ascii="Palatino Linotype" w:hAnsi="Palatino Linotype"/>
          <w:i/>
          <w:iCs/>
          <w:color w:val="212121"/>
          <w:spacing w:val="-2"/>
          <w:sz w:val="22"/>
          <w:szCs w:val="22"/>
          <w:lang w:val="es-ES" w:eastAsia="es-MX"/>
        </w:rPr>
        <w:t>í</w:t>
      </w:r>
      <w:r>
        <w:rPr>
          <w:rFonts w:ascii="Palatino Linotype" w:hAnsi="Palatino Linotype"/>
          <w:i/>
          <w:iCs/>
          <w:color w:val="212121"/>
          <w:sz w:val="22"/>
          <w:szCs w:val="22"/>
          <w:lang w:val="es-ES" w:eastAsia="es-MX"/>
        </w:rPr>
        <w:t>c</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los</w:t>
      </w:r>
      <w:r>
        <w:rPr>
          <w:rFonts w:ascii="Palatino Linotype" w:hAnsi="Palatino Linotype"/>
          <w:i/>
          <w:iCs/>
          <w:color w:val="212121"/>
          <w:spacing w:val="8"/>
          <w:sz w:val="22"/>
          <w:szCs w:val="22"/>
          <w:lang w:val="es-ES" w:eastAsia="es-MX"/>
        </w:rPr>
        <w:t> 129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General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y </w:t>
      </w:r>
      <w:r>
        <w:rPr>
          <w:rFonts w:ascii="Palatino Linotype" w:hAnsi="Palatino Linotype"/>
          <w:i/>
          <w:iCs/>
          <w:color w:val="212121"/>
          <w:spacing w:val="8"/>
          <w:sz w:val="22"/>
          <w:szCs w:val="22"/>
          <w:lang w:val="es-ES" w:eastAsia="es-MX"/>
        </w:rPr>
        <w:t>130, párrafo cuarto,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z w:val="22"/>
          <w:szCs w:val="22"/>
          <w:lang w:val="es-ES" w:eastAsia="es-MX"/>
        </w:rPr>
        <w:t>la</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L</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y</w:t>
      </w:r>
      <w:r>
        <w:rPr>
          <w:rFonts w:ascii="Palatino Linotype" w:hAnsi="Palatino Linotype"/>
          <w:i/>
          <w:iCs/>
          <w:color w:val="212121"/>
          <w:spacing w:val="8"/>
          <w:sz w:val="22"/>
          <w:szCs w:val="22"/>
          <w:lang w:val="es-ES" w:eastAsia="es-MX"/>
        </w:rPr>
        <w:t> </w:t>
      </w:r>
      <w:r>
        <w:rPr>
          <w:rFonts w:ascii="Palatino Linotype" w:hAnsi="Palatino Linotype"/>
          <w:i/>
          <w:iCs/>
          <w:color w:val="212121"/>
          <w:sz w:val="22"/>
          <w:szCs w:val="22"/>
          <w:lang w:val="es-ES" w:eastAsia="es-MX"/>
        </w:rPr>
        <w:t>Fe</w:t>
      </w:r>
      <w:r>
        <w:rPr>
          <w:rFonts w:ascii="Palatino Linotype" w:hAnsi="Palatino Linotype"/>
          <w:i/>
          <w:iCs/>
          <w:color w:val="212121"/>
          <w:spacing w:val="1"/>
          <w:sz w:val="22"/>
          <w:szCs w:val="22"/>
          <w:lang w:val="es-ES" w:eastAsia="es-MX"/>
        </w:rPr>
        <w:t>de</w:t>
      </w:r>
      <w:r>
        <w:rPr>
          <w:rFonts w:ascii="Palatino Linotype" w:hAnsi="Palatino Linotype"/>
          <w:i/>
          <w:iCs/>
          <w:color w:val="212121"/>
          <w:sz w:val="22"/>
          <w:szCs w:val="22"/>
          <w:lang w:val="es-ES" w:eastAsia="es-MX"/>
        </w:rPr>
        <w:t>ral</w:t>
      </w:r>
      <w:r>
        <w:rPr>
          <w:rFonts w:ascii="Palatino Linotype" w:hAnsi="Palatino Linotype"/>
          <w:i/>
          <w:iCs/>
          <w:color w:val="212121"/>
          <w:spacing w:val="10"/>
          <w:sz w:val="22"/>
          <w:szCs w:val="22"/>
          <w:lang w:val="es-ES" w:eastAsia="es-MX"/>
        </w:rPr>
        <w:t> </w:t>
      </w:r>
      <w:r>
        <w:rPr>
          <w:rFonts w:ascii="Palatino Linotype" w:hAnsi="Palatino Linotype"/>
          <w:i/>
          <w:iCs/>
          <w:color w:val="212121"/>
          <w:spacing w:val="-1"/>
          <w:sz w:val="22"/>
          <w:szCs w:val="22"/>
          <w:lang w:val="es-ES" w:eastAsia="es-MX"/>
        </w:rPr>
        <w:t>d</w:t>
      </w:r>
      <w:r>
        <w:rPr>
          <w:rFonts w:ascii="Palatino Linotype" w:hAnsi="Palatino Linotype"/>
          <w:i/>
          <w:iCs/>
          <w:color w:val="212121"/>
          <w:sz w:val="22"/>
          <w:szCs w:val="22"/>
          <w:lang w:val="es-ES" w:eastAsia="es-MX"/>
        </w:rPr>
        <w:t>e</w:t>
      </w:r>
      <w:r>
        <w:rPr>
          <w:rFonts w:ascii="Palatino Linotype" w:hAnsi="Palatino Linotype"/>
          <w:i/>
          <w:iCs/>
          <w:color w:val="212121"/>
          <w:spacing w:val="9"/>
          <w:sz w:val="22"/>
          <w:szCs w:val="22"/>
          <w:lang w:val="es-ES" w:eastAsia="es-MX"/>
        </w:rPr>
        <w:t> </w:t>
      </w:r>
      <w:r>
        <w:rPr>
          <w:rFonts w:ascii="Palatino Linotype" w:hAnsi="Palatino Linotype"/>
          <w:i/>
          <w:iCs/>
          <w:color w:val="212121"/>
          <w:spacing w:val="2"/>
          <w:sz w:val="22"/>
          <w:szCs w:val="22"/>
          <w:lang w:val="es-ES" w:eastAsia="es-MX"/>
        </w:rPr>
        <w:t>T</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a</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s</w:t>
      </w:r>
      <w:r>
        <w:rPr>
          <w:rFonts w:ascii="Palatino Linotype" w:hAnsi="Palatino Linotype"/>
          <w:i/>
          <w:iCs/>
          <w:color w:val="212121"/>
          <w:spacing w:val="1"/>
          <w:sz w:val="22"/>
          <w:szCs w:val="22"/>
          <w:lang w:val="es-ES" w:eastAsia="es-MX"/>
        </w:rPr>
        <w:t>pa</w:t>
      </w:r>
      <w:r>
        <w:rPr>
          <w:rFonts w:ascii="Palatino Linotype" w:hAnsi="Palatino Linotype"/>
          <w:i/>
          <w:iCs/>
          <w:color w:val="212121"/>
          <w:sz w:val="22"/>
          <w:szCs w:val="22"/>
          <w:lang w:val="es-ES" w:eastAsia="es-MX"/>
        </w:rPr>
        <w:t>r</w:t>
      </w:r>
      <w:r>
        <w:rPr>
          <w:rFonts w:ascii="Palatino Linotype" w:hAnsi="Palatino Linotype"/>
          <w:i/>
          <w:iCs/>
          <w:color w:val="212121"/>
          <w:spacing w:val="-2"/>
          <w:sz w:val="22"/>
          <w:szCs w:val="22"/>
          <w:lang w:val="es-ES" w:eastAsia="es-MX"/>
        </w:rPr>
        <w:t>e</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cia y Acc</w:t>
      </w:r>
      <w:r>
        <w:rPr>
          <w:rFonts w:ascii="Palatino Linotype" w:hAnsi="Palatino Linotype"/>
          <w:i/>
          <w:iCs/>
          <w:color w:val="212121"/>
          <w:spacing w:val="1"/>
          <w:sz w:val="22"/>
          <w:szCs w:val="22"/>
          <w:lang w:val="es-ES" w:eastAsia="es-MX"/>
        </w:rPr>
        <w:t>e</w:t>
      </w:r>
      <w:r>
        <w:rPr>
          <w:rFonts w:ascii="Palatino Linotype" w:hAnsi="Palatino Linotype"/>
          <w:i/>
          <w:iCs/>
          <w:color w:val="212121"/>
          <w:sz w:val="22"/>
          <w:szCs w:val="22"/>
          <w:lang w:val="es-ES" w:eastAsia="es-MX"/>
        </w:rPr>
        <w:t>so</w:t>
      </w:r>
      <w:r>
        <w:rPr>
          <w:rFonts w:ascii="Palatino Linotype" w:hAnsi="Palatino Linotype"/>
          <w:i/>
          <w:iCs/>
          <w:color w:val="212121"/>
          <w:spacing w:val="3"/>
          <w:sz w:val="22"/>
          <w:szCs w:val="22"/>
          <w:lang w:val="es-ES" w:eastAsia="es-MX"/>
        </w:rPr>
        <w:t> </w:t>
      </w:r>
      <w:r>
        <w:rPr>
          <w:rFonts w:ascii="Palatino Linotype" w:hAnsi="Palatino Linotype"/>
          <w:i/>
          <w:iCs/>
          <w:color w:val="212121"/>
          <w:sz w:val="22"/>
          <w:szCs w:val="22"/>
          <w:lang w:val="es-ES" w:eastAsia="es-MX"/>
        </w:rPr>
        <w:t>a</w:t>
      </w:r>
      <w:r>
        <w:rPr>
          <w:rFonts w:ascii="Palatino Linotype" w:hAnsi="Palatino Linotype"/>
          <w:i/>
          <w:iCs/>
          <w:color w:val="212121"/>
          <w:spacing w:val="1"/>
          <w:sz w:val="22"/>
          <w:szCs w:val="22"/>
          <w:lang w:val="es-ES" w:eastAsia="es-MX"/>
        </w:rPr>
        <w:t> </w:t>
      </w:r>
      <w:r>
        <w:rPr>
          <w:rFonts w:ascii="Palatino Linotype" w:hAnsi="Palatino Linotype"/>
          <w:i/>
          <w:iCs/>
          <w:color w:val="212121"/>
          <w:sz w:val="22"/>
          <w:szCs w:val="22"/>
          <w:lang w:val="es-ES" w:eastAsia="es-MX"/>
        </w:rPr>
        <w:t>la I</w:t>
      </w:r>
      <w:r>
        <w:rPr>
          <w:rFonts w:ascii="Palatino Linotype" w:hAnsi="Palatino Linotype"/>
          <w:i/>
          <w:iCs/>
          <w:color w:val="212121"/>
          <w:spacing w:val="-1"/>
          <w:sz w:val="22"/>
          <w:szCs w:val="22"/>
          <w:lang w:val="es-ES" w:eastAsia="es-MX"/>
        </w:rPr>
        <w:t>n</w:t>
      </w:r>
      <w:r>
        <w:rPr>
          <w:rFonts w:ascii="Palatino Linotype" w:hAnsi="Palatino Linotype"/>
          <w:i/>
          <w:iCs/>
          <w:color w:val="212121"/>
          <w:sz w:val="22"/>
          <w:szCs w:val="22"/>
          <w:lang w:val="es-ES" w:eastAsia="es-MX"/>
        </w:rPr>
        <w:t>f</w:t>
      </w:r>
      <w:r>
        <w:rPr>
          <w:rFonts w:ascii="Palatino Linotype" w:hAnsi="Palatino Linotype"/>
          <w:i/>
          <w:iCs/>
          <w:color w:val="212121"/>
          <w:spacing w:val="1"/>
          <w:sz w:val="22"/>
          <w:szCs w:val="22"/>
          <w:lang w:val="es-ES" w:eastAsia="es-MX"/>
        </w:rPr>
        <w:t>o</w:t>
      </w:r>
      <w:r>
        <w:rPr>
          <w:rFonts w:ascii="Palatino Linotype" w:hAnsi="Palatino Linotype"/>
          <w:i/>
          <w:iCs/>
          <w:color w:val="212121"/>
          <w:spacing w:val="-3"/>
          <w:sz w:val="22"/>
          <w:szCs w:val="22"/>
          <w:lang w:val="es-ES" w:eastAsia="es-MX"/>
        </w:rPr>
        <w:t>r</w:t>
      </w:r>
      <w:r>
        <w:rPr>
          <w:rFonts w:ascii="Palatino Linotype" w:hAnsi="Palatino Linotype"/>
          <w:i/>
          <w:iCs/>
          <w:color w:val="212121"/>
          <w:spacing w:val="1"/>
          <w:sz w:val="22"/>
          <w:szCs w:val="22"/>
          <w:lang w:val="es-ES" w:eastAsia="es-MX"/>
        </w:rPr>
        <w:t>ma</w:t>
      </w:r>
      <w:r>
        <w:rPr>
          <w:rFonts w:ascii="Palatino Linotype" w:hAnsi="Palatino Linotype"/>
          <w:i/>
          <w:iCs/>
          <w:color w:val="212121"/>
          <w:sz w:val="22"/>
          <w:szCs w:val="22"/>
          <w:lang w:val="es-ES" w:eastAsia="es-MX"/>
        </w:rPr>
        <w:t>ci</w:t>
      </w:r>
      <w:r>
        <w:rPr>
          <w:rFonts w:ascii="Palatino Linotype" w:hAnsi="Palatino Linotype"/>
          <w:i/>
          <w:iCs/>
          <w:color w:val="212121"/>
          <w:spacing w:val="-2"/>
          <w:sz w:val="22"/>
          <w:szCs w:val="22"/>
          <w:lang w:val="es-ES" w:eastAsia="es-MX"/>
        </w:rPr>
        <w:t>ó</w:t>
      </w:r>
      <w:r>
        <w:rPr>
          <w:rFonts w:ascii="Palatino Linotype" w:hAnsi="Palatino Linotype"/>
          <w:i/>
          <w:iCs/>
          <w:color w:val="212121"/>
          <w:sz w:val="22"/>
          <w:szCs w:val="22"/>
          <w:lang w:val="es-ES" w:eastAsia="es-MX"/>
        </w:rPr>
        <w:t>n</w:t>
      </w:r>
      <w:r>
        <w:rPr>
          <w:rFonts w:ascii="Palatino Linotype" w:hAnsi="Palatino Linotype"/>
          <w:i/>
          <w:iCs/>
          <w:color w:val="212121"/>
          <w:spacing w:val="6"/>
          <w:sz w:val="22"/>
          <w:szCs w:val="22"/>
          <w:lang w:val="es-ES" w:eastAsia="es-MX"/>
        </w:rPr>
        <w:t> </w:t>
      </w:r>
      <w:r>
        <w:rPr>
          <w:rFonts w:ascii="Palatino Linotype" w:hAnsi="Palatino Linotype"/>
          <w:i/>
          <w:iCs/>
          <w:color w:val="212121"/>
          <w:spacing w:val="-2"/>
          <w:sz w:val="22"/>
          <w:szCs w:val="22"/>
          <w:lang w:val="es-ES" w:eastAsia="es-MX"/>
        </w:rPr>
        <w:t>P</w:t>
      </w:r>
      <w:r>
        <w:rPr>
          <w:rFonts w:ascii="Palatino Linotype" w:hAnsi="Palatino Linotype"/>
          <w:i/>
          <w:iCs/>
          <w:color w:val="212121"/>
          <w:spacing w:val="1"/>
          <w:sz w:val="22"/>
          <w:szCs w:val="22"/>
          <w:lang w:val="es-ES" w:eastAsia="es-MX"/>
        </w:rPr>
        <w:t>úb</w:t>
      </w:r>
      <w:r>
        <w:rPr>
          <w:rFonts w:ascii="Palatino Linotype" w:hAnsi="Palatino Linotype"/>
          <w:i/>
          <w:iCs/>
          <w:color w:val="212121"/>
          <w:sz w:val="22"/>
          <w:szCs w:val="22"/>
          <w:lang w:val="es-ES" w:eastAsia="es-MX"/>
        </w:rPr>
        <w:t>l</w:t>
      </w:r>
      <w:r>
        <w:rPr>
          <w:rFonts w:ascii="Palatino Linotype" w:hAnsi="Palatino Linotype"/>
          <w:i/>
          <w:iCs/>
          <w:color w:val="212121"/>
          <w:spacing w:val="-1"/>
          <w:sz w:val="22"/>
          <w:szCs w:val="22"/>
          <w:lang w:val="es-ES" w:eastAsia="es-MX"/>
        </w:rPr>
        <w:t>i</w:t>
      </w:r>
      <w:r>
        <w:rPr>
          <w:rFonts w:ascii="Palatino Linotype" w:hAnsi="Palatino Linotype"/>
          <w:i/>
          <w:iCs/>
          <w:color w:val="212121"/>
          <w:sz w:val="22"/>
          <w:szCs w:val="22"/>
          <w:lang w:val="es-ES" w:eastAsia="es-MX"/>
        </w:rPr>
        <w:t>ca, </w:t>
      </w:r>
      <w:r>
        <w:rPr>
          <w:rFonts w:ascii="Palatino Linotype" w:hAnsi="Palatino Linotype"/>
          <w:i/>
          <w:iCs/>
          <w:color w:val="212121"/>
          <w:spacing w:val="-1"/>
          <w:sz w:val="22"/>
          <w:szCs w:val="22"/>
          <w:lang w:val="es-ES" w:eastAsia="es-MX"/>
        </w:rPr>
        <w:t>señalan</w:t>
      </w:r>
      <w:r>
        <w:rPr>
          <w:rFonts w:ascii="Palatino Linotype" w:hAnsi="Palatino Linotype"/>
          <w:i/>
          <w:iCs/>
          <w:color w:val="212121"/>
          <w:spacing w:val="1"/>
          <w:sz w:val="22"/>
          <w:szCs w:val="22"/>
          <w:lang w:val="es-ES" w:eastAsia="es-MX"/>
        </w:rPr>
        <w:t> </w:t>
      </w:r>
      <w:r>
        <w:rPr>
          <w:rFonts w:ascii="Palatino Linotype" w:hAnsi="Palatino Linotype"/>
          <w:i/>
          <w:iCs/>
          <w:color w:val="212121"/>
          <w:spacing w:val="-1"/>
          <w:sz w:val="22"/>
          <w:szCs w:val="22"/>
          <w:lang w:val="es-ES" w:eastAsia="es-MX"/>
        </w:rPr>
        <w:t>q</w:t>
      </w:r>
      <w:r>
        <w:rPr>
          <w:rFonts w:ascii="Palatino Linotype" w:hAnsi="Palatino Linotype"/>
          <w:i/>
          <w:iCs/>
          <w:color w:val="212121"/>
          <w:spacing w:val="1"/>
          <w:sz w:val="22"/>
          <w:szCs w:val="22"/>
          <w:lang w:val="es-ES" w:eastAsia="es-MX"/>
        </w:rPr>
        <w:t>u</w:t>
      </w:r>
      <w:r>
        <w:rPr>
          <w:rFonts w:ascii="Palatino Linotype" w:hAnsi="Palatino Linotype"/>
          <w:i/>
          <w:iCs/>
          <w:color w:val="212121"/>
          <w:sz w:val="22"/>
          <w:szCs w:val="22"/>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9C55E2" w:rsidRDefault="009C55E2">
      <w:pPr>
        <w:ind w:left="851" w:right="902"/>
        <w:jc w:val="both"/>
        <w:rPr>
          <w:rFonts w:ascii="Palatino Linotype" w:hAnsi="Palatino Linotype" w:cs="Arial"/>
          <w:i/>
          <w:color w:val="000000"/>
          <w:sz w:val="22"/>
          <w:szCs w:val="22"/>
          <w:lang w:val="es-ES"/>
        </w:rPr>
      </w:pPr>
    </w:p>
    <w:p w:rsidR="009C55E2" w:rsidRDefault="001A058B">
      <w:pPr>
        <w:ind w:left="851" w:right="902"/>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 xml:space="preserve">Resoluciones: </w:t>
      </w:r>
    </w:p>
    <w:p w:rsidR="009C55E2" w:rsidRDefault="001A058B">
      <w:pPr>
        <w:ind w:left="851" w:right="902"/>
        <w:jc w:val="both"/>
        <w:rPr>
          <w:rFonts w:ascii="Palatino Linotype" w:hAnsi="Palatino Linotype" w:cs="Arial"/>
          <w:i/>
          <w:color w:val="000000"/>
          <w:sz w:val="22"/>
          <w:szCs w:val="22"/>
          <w:lang w:val="es-ES"/>
        </w:rPr>
      </w:pPr>
      <w:r>
        <w:rPr>
          <w:rFonts w:ascii="Symbol" w:eastAsia="Symbol" w:hAnsi="Symbol" w:cs="Symbol"/>
          <w:i/>
          <w:color w:val="000000"/>
          <w:sz w:val="22"/>
          <w:szCs w:val="22"/>
          <w:lang w:val="es-ES"/>
        </w:rPr>
        <w:lastRenderedPageBreak/>
        <w:t></w:t>
      </w:r>
      <w:r>
        <w:rPr>
          <w:rFonts w:ascii="Palatino Linotype" w:hAnsi="Palatino Linotype" w:cs="Arial"/>
          <w:i/>
          <w:color w:val="000000"/>
          <w:sz w:val="22"/>
          <w:szCs w:val="22"/>
          <w:lang w:val="es-ES"/>
        </w:rPr>
        <w:t xml:space="preserve"> RRA 0050/16. Instituto Nacional para la Evaluación de la Educación. 13 julio de 2016. Por unanimidad. Comisionado Ponente: Francisco Javier Acuña Llamas.</w:t>
      </w:r>
    </w:p>
    <w:p w:rsidR="009C55E2" w:rsidRDefault="001A058B">
      <w:pPr>
        <w:ind w:left="851" w:right="902"/>
        <w:jc w:val="both"/>
        <w:rPr>
          <w:rFonts w:ascii="Palatino Linotype" w:hAnsi="Palatino Linotype" w:cs="Arial"/>
          <w:i/>
          <w:color w:val="000000"/>
          <w:sz w:val="22"/>
          <w:szCs w:val="22"/>
          <w:lang w:val="es-ES"/>
        </w:rPr>
      </w:pPr>
      <w:r>
        <w:rPr>
          <w:rFonts w:ascii="Symbol" w:eastAsia="Symbol" w:hAnsi="Symbol" w:cs="Symbol"/>
          <w:i/>
          <w:color w:val="000000"/>
          <w:sz w:val="22"/>
          <w:szCs w:val="22"/>
          <w:lang w:val="es-ES"/>
        </w:rPr>
        <w:t></w:t>
      </w:r>
      <w:r>
        <w:rPr>
          <w:rFonts w:ascii="Palatino Linotype" w:hAnsi="Palatino Linotype" w:cs="Arial"/>
          <w:i/>
          <w:color w:val="000000"/>
          <w:sz w:val="22"/>
          <w:szCs w:val="22"/>
          <w:lang w:val="es-ES"/>
        </w:rPr>
        <w:t xml:space="preserve"> RRA 0310/16. Instituto Nacional de Transparencia, Acceso a la Información y Protección de Datos Personales. 10 de agosto de 2016. Por unanimidad. Comisionada Ponente. Areli Cano Guadiana. </w:t>
      </w:r>
    </w:p>
    <w:p w:rsidR="009C55E2" w:rsidRDefault="001A058B">
      <w:pPr>
        <w:ind w:left="851" w:right="902"/>
        <w:jc w:val="both"/>
        <w:rPr>
          <w:rFonts w:ascii="Palatino Linotype" w:hAnsi="Palatino Linotype" w:cs="Arial"/>
          <w:i/>
          <w:color w:val="000000"/>
          <w:sz w:val="22"/>
          <w:szCs w:val="22"/>
          <w:lang w:val="es-ES"/>
        </w:rPr>
      </w:pPr>
      <w:r>
        <w:rPr>
          <w:rFonts w:ascii="Symbol" w:eastAsia="Symbol" w:hAnsi="Symbol" w:cs="Symbol"/>
          <w:i/>
          <w:color w:val="000000"/>
          <w:sz w:val="22"/>
          <w:szCs w:val="22"/>
          <w:lang w:val="es-ES"/>
        </w:rPr>
        <w:t></w:t>
      </w:r>
      <w:r>
        <w:rPr>
          <w:rFonts w:ascii="Palatino Linotype" w:hAnsi="Palatino Linotype" w:cs="Arial"/>
          <w:i/>
          <w:color w:val="000000"/>
          <w:sz w:val="22"/>
          <w:szCs w:val="22"/>
          <w:lang w:val="es-ES"/>
        </w:rPr>
        <w:t xml:space="preserve"> RRA 1889/16. Secretaría de Hacienda y Crédito Público. 05 de octubre de 2016. Por unanimidad. Comisionada Ponente. Ximena Puente de la Mora.” </w:t>
      </w:r>
    </w:p>
    <w:p w:rsidR="009C55E2" w:rsidRDefault="001A058B">
      <w:pPr>
        <w:ind w:left="851" w:right="902"/>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(Sic)</w:t>
      </w:r>
    </w:p>
    <w:p w:rsidR="009C55E2" w:rsidRDefault="001A058B">
      <w:pPr>
        <w:spacing w:beforeAutospacing="1" w:afterAutospacing="1" w:line="360" w:lineRule="auto"/>
        <w:jc w:val="both"/>
        <w:rPr>
          <w:rFonts w:ascii="Palatino Linotype" w:hAnsi="Palatino Linotype"/>
          <w:lang w:val="es-ES"/>
        </w:rPr>
      </w:pPr>
      <w:r>
        <w:rPr>
          <w:rFonts w:ascii="Palatino Linotype" w:hAnsi="Palatino Linotype"/>
          <w:lang w:val="es-ES"/>
        </w:rPr>
        <w:t xml:space="preserve">Así, este Órgano Garante determina que </w:t>
      </w:r>
      <w:r>
        <w:rPr>
          <w:rFonts w:ascii="Palatino Linotype" w:hAnsi="Palatino Linotype"/>
          <w:b/>
          <w:lang w:val="es-ES"/>
        </w:rPr>
        <w:t>EL SUJETO OBLIGADO</w:t>
      </w:r>
      <w:r>
        <w:rPr>
          <w:rFonts w:ascii="Palatino Linotype" w:hAnsi="Palatino Linotype"/>
          <w:lang w:val="es-ES"/>
        </w:rPr>
        <w:t xml:space="preserve"> debe hacer entrega de la información solicitada; tal y como, la genera y obra en sus archivos; por lo que, debe remitir aquella que contenga </w:t>
      </w:r>
      <w:r>
        <w:rPr>
          <w:rFonts w:ascii="Palatino Linotype" w:hAnsi="Palatino Linotype"/>
          <w:b/>
          <w:lang w:val="es-ES"/>
        </w:rPr>
        <w:t>el mayor grado de desagregación</w:t>
      </w:r>
      <w:r>
        <w:rPr>
          <w:rFonts w:ascii="Palatino Linotype" w:hAnsi="Palatino Linotype"/>
          <w:lang w:val="es-ES"/>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9C55E2" w:rsidRDefault="001A058B">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Ahora bien,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r>
        <w:rPr>
          <w:rFonts w:ascii="Palatino Linotype" w:eastAsia="Calibri" w:hAnsi="Palatino Linotype" w:cs="Arial"/>
        </w:rPr>
        <w:t>.</w:t>
      </w:r>
    </w:p>
    <w:p w:rsidR="009C55E2" w:rsidRDefault="009C55E2">
      <w:pPr>
        <w:spacing w:beforeAutospacing="1" w:afterAutospacing="1" w:line="360" w:lineRule="auto"/>
        <w:contextualSpacing/>
        <w:jc w:val="both"/>
        <w:rPr>
          <w:rFonts w:ascii="Palatino Linotype" w:eastAsia="Calibri" w:hAnsi="Palatino Linotype" w:cs="Arial"/>
        </w:rPr>
      </w:pPr>
    </w:p>
    <w:tbl>
      <w:tblPr>
        <w:tblW w:w="9111" w:type="dxa"/>
        <w:tblLook w:val="04A0" w:firstRow="1" w:lastRow="0" w:firstColumn="1" w:lastColumn="0" w:noHBand="0" w:noVBand="1"/>
      </w:tblPr>
      <w:tblGrid>
        <w:gridCol w:w="2829"/>
        <w:gridCol w:w="3402"/>
        <w:gridCol w:w="2880"/>
      </w:tblGrid>
      <w:tr w:rsidR="009C55E2">
        <w:tc>
          <w:tcPr>
            <w:tcW w:w="2829" w:type="dxa"/>
            <w:shd w:val="clear" w:color="auto" w:fill="000000" w:themeFill="text1"/>
          </w:tcPr>
          <w:p w:rsidR="009C55E2" w:rsidRDefault="001A058B">
            <w:pPr>
              <w:spacing w:line="360" w:lineRule="auto"/>
              <w:jc w:val="center"/>
              <w:rPr>
                <w:rFonts w:ascii="Palatino Linotype" w:hAnsi="Palatino Linotype" w:cs="Arial"/>
              </w:rPr>
            </w:pPr>
            <w:r>
              <w:rPr>
                <w:rFonts w:ascii="Palatino Linotype" w:eastAsiaTheme="minorHAnsi" w:hAnsi="Palatino Linotype" w:cs="Arial"/>
                <w:sz w:val="22"/>
                <w:szCs w:val="22"/>
                <w:lang w:eastAsia="en-US"/>
              </w:rPr>
              <w:t>Solicitud</w:t>
            </w:r>
          </w:p>
        </w:tc>
        <w:tc>
          <w:tcPr>
            <w:tcW w:w="3402" w:type="dxa"/>
            <w:shd w:val="clear" w:color="auto" w:fill="000000" w:themeFill="text1"/>
          </w:tcPr>
          <w:p w:rsidR="009C55E2" w:rsidRDefault="001A058B">
            <w:pPr>
              <w:spacing w:line="360" w:lineRule="auto"/>
              <w:jc w:val="both"/>
              <w:rPr>
                <w:rFonts w:ascii="Palatino Linotype" w:hAnsi="Palatino Linotype" w:cs="Arial"/>
              </w:rPr>
            </w:pPr>
            <w:r>
              <w:rPr>
                <w:rFonts w:ascii="Palatino Linotype" w:eastAsiaTheme="minorHAnsi" w:hAnsi="Palatino Linotype" w:cs="Arial"/>
                <w:sz w:val="22"/>
                <w:szCs w:val="22"/>
                <w:lang w:eastAsia="en-US"/>
              </w:rPr>
              <w:t>Respuesta e Informe Justificado</w:t>
            </w:r>
          </w:p>
        </w:tc>
        <w:tc>
          <w:tcPr>
            <w:tcW w:w="2880" w:type="dxa"/>
            <w:shd w:val="clear" w:color="auto" w:fill="000000" w:themeFill="text1"/>
          </w:tcPr>
          <w:p w:rsidR="009C55E2" w:rsidRDefault="001A058B">
            <w:pPr>
              <w:spacing w:line="360" w:lineRule="auto"/>
              <w:jc w:val="both"/>
              <w:rPr>
                <w:rFonts w:ascii="Palatino Linotype" w:hAnsi="Palatino Linotype" w:cs="Arial"/>
              </w:rPr>
            </w:pPr>
            <w:r>
              <w:rPr>
                <w:rFonts w:ascii="Palatino Linotype" w:eastAsiaTheme="minorHAnsi" w:hAnsi="Palatino Linotype" w:cs="Arial"/>
                <w:sz w:val="22"/>
                <w:szCs w:val="22"/>
                <w:lang w:eastAsia="en-US"/>
              </w:rPr>
              <w:t>Colmó</w:t>
            </w:r>
          </w:p>
        </w:tc>
      </w:tr>
      <w:tr w:rsidR="009C55E2">
        <w:tc>
          <w:tcPr>
            <w:tcW w:w="2829" w:type="dxa"/>
          </w:tcPr>
          <w:p w:rsidR="009C55E2" w:rsidRDefault="001A058B">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1. Fecha de inicio y terminación de los trabajos descritos en el lugar que se refiere en la solicitud </w:t>
            </w:r>
          </w:p>
        </w:tc>
        <w:tc>
          <w:tcPr>
            <w:tcW w:w="3402" w:type="dxa"/>
          </w:tcPr>
          <w:p w:rsidR="009C55E2" w:rsidRDefault="001A058B">
            <w:pPr>
              <w:spacing w:line="360" w:lineRule="auto"/>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Mediante Informe Justificado, </w:t>
            </w:r>
            <w:r>
              <w:rPr>
                <w:rFonts w:ascii="Palatino Linotype" w:eastAsiaTheme="minorHAnsi" w:hAnsi="Palatino Linotype" w:cs="Arial"/>
                <w:b/>
                <w:sz w:val="20"/>
                <w:szCs w:val="20"/>
                <w:lang w:eastAsia="en-US"/>
              </w:rPr>
              <w:t>EL SUJETO OBLIGADO</w:t>
            </w:r>
            <w:r>
              <w:rPr>
                <w:rFonts w:ascii="Palatino Linotype" w:eastAsiaTheme="minorHAnsi" w:hAnsi="Palatino Linotype" w:cs="Arial"/>
                <w:sz w:val="20"/>
                <w:szCs w:val="20"/>
                <w:lang w:eastAsia="en-US"/>
              </w:rPr>
              <w:t>, señaló que</w:t>
            </w:r>
            <w:r>
              <w:rPr>
                <w:rFonts w:ascii="Palatino Linotype" w:eastAsia="Arial Unicode MS" w:hAnsi="Palatino Linotype" w:cs="Arial"/>
                <w:sz w:val="20"/>
                <w:szCs w:val="20"/>
                <w:lang w:eastAsia="en-US"/>
              </w:rPr>
              <w:t xml:space="preserve"> el 18 de enero de 2020, se realizó limpieza de la línea general dejando los niveles arrastrados</w:t>
            </w:r>
            <w:r>
              <w:rPr>
                <w:rFonts w:ascii="Palatino Linotype" w:eastAsiaTheme="minorHAnsi" w:hAnsi="Palatino Linotype" w:cs="Arial"/>
                <w:sz w:val="20"/>
                <w:szCs w:val="20"/>
                <w:lang w:eastAsia="en-US"/>
              </w:rPr>
              <w:t xml:space="preserve"> y que </w:t>
            </w:r>
            <w:r>
              <w:rPr>
                <w:rFonts w:ascii="Palatino Linotype" w:eastAsia="Arial Unicode MS" w:hAnsi="Palatino Linotype" w:cs="Arial"/>
                <w:sz w:val="20"/>
                <w:szCs w:val="20"/>
                <w:lang w:eastAsia="en-US"/>
              </w:rPr>
              <w:t xml:space="preserve">no hay fecha para los trabajos a realizar, ya que es necesario el derribo de </w:t>
            </w:r>
            <w:r>
              <w:rPr>
                <w:rFonts w:ascii="Palatino Linotype" w:eastAsia="Arial Unicode MS" w:hAnsi="Palatino Linotype" w:cs="Arial"/>
                <w:sz w:val="20"/>
                <w:szCs w:val="20"/>
                <w:lang w:eastAsia="en-US"/>
              </w:rPr>
              <w:lastRenderedPageBreak/>
              <w:t>árboles que se encuentran obstruyendo la línea general y son andadores enrejados, lo que el Director General, hizo del conocimiento a la Dirección de Medio Ambiente.</w:t>
            </w:r>
          </w:p>
        </w:tc>
        <w:tc>
          <w:tcPr>
            <w:tcW w:w="2880" w:type="dxa"/>
          </w:tcPr>
          <w:p w:rsidR="009C55E2" w:rsidRDefault="001A058B">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lang w:eastAsia="en-US"/>
              </w:rPr>
              <w:lastRenderedPageBreak/>
              <w:t>No colmó</w:t>
            </w:r>
          </w:p>
          <w:p w:rsidR="009C55E2" w:rsidRDefault="009C55E2">
            <w:pPr>
              <w:spacing w:line="360" w:lineRule="auto"/>
              <w:jc w:val="both"/>
              <w:rPr>
                <w:rFonts w:ascii="Palatino Linotype" w:hAnsi="Palatino Linotype" w:cs="Arial"/>
                <w:b/>
                <w:sz w:val="20"/>
                <w:szCs w:val="20"/>
              </w:rPr>
            </w:pPr>
          </w:p>
          <w:p w:rsidR="009C55E2" w:rsidRDefault="009C55E2">
            <w:pPr>
              <w:spacing w:line="360" w:lineRule="auto"/>
              <w:jc w:val="both"/>
              <w:rPr>
                <w:rFonts w:ascii="Palatino Linotype" w:hAnsi="Palatino Linotype" w:cs="Arial"/>
              </w:rPr>
            </w:pPr>
          </w:p>
        </w:tc>
      </w:tr>
      <w:tr w:rsidR="009C55E2">
        <w:tc>
          <w:tcPr>
            <w:tcW w:w="2829" w:type="dxa"/>
          </w:tcPr>
          <w:p w:rsidR="009C55E2" w:rsidRDefault="001A058B">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lang w:eastAsia="en-US"/>
              </w:rPr>
              <w:t>2. El gasto total programado para la ejecución de los trabajos</w:t>
            </w:r>
          </w:p>
        </w:tc>
        <w:tc>
          <w:tcPr>
            <w:tcW w:w="3402" w:type="dxa"/>
          </w:tcPr>
          <w:p w:rsidR="009C55E2" w:rsidRDefault="001A058B">
            <w:pPr>
              <w:spacing w:line="360" w:lineRule="auto"/>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Mediante Informe Justificado, </w:t>
            </w:r>
            <w:r>
              <w:rPr>
                <w:rFonts w:ascii="Palatino Linotype" w:eastAsiaTheme="minorHAnsi" w:hAnsi="Palatino Linotype" w:cs="Arial"/>
                <w:b/>
                <w:sz w:val="20"/>
                <w:szCs w:val="20"/>
                <w:lang w:eastAsia="en-US"/>
              </w:rPr>
              <w:t>EL SUJETO OBLIGADO</w:t>
            </w:r>
            <w:r>
              <w:rPr>
                <w:rFonts w:ascii="Palatino Linotype" w:eastAsiaTheme="minorHAnsi" w:hAnsi="Palatino Linotype" w:cs="Arial"/>
                <w:sz w:val="20"/>
                <w:szCs w:val="20"/>
                <w:lang w:eastAsia="en-US"/>
              </w:rPr>
              <w:t>, manifestó que para</w:t>
            </w:r>
            <w:r>
              <w:rPr>
                <w:rFonts w:ascii="Palatino Linotype" w:eastAsia="Arial Unicode MS" w:hAnsi="Palatino Linotype" w:cs="Arial"/>
                <w:sz w:val="20"/>
                <w:szCs w:val="20"/>
                <w:lang w:eastAsia="en-US"/>
              </w:rPr>
              <w:t xml:space="preserve"> la rehabilitación de 120 metros lineales para la colonia mencionada, asciende aproximadamente a $46,300.00 (Cuarenta y seis mil trescientos pesos 00/100 m.n.)</w:t>
            </w:r>
          </w:p>
        </w:tc>
        <w:tc>
          <w:tcPr>
            <w:tcW w:w="2880" w:type="dxa"/>
          </w:tcPr>
          <w:p w:rsidR="009C55E2" w:rsidRDefault="001A058B">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lang w:eastAsia="en-US"/>
              </w:rPr>
              <w:t>Colmó</w:t>
            </w:r>
          </w:p>
        </w:tc>
      </w:tr>
      <w:tr w:rsidR="009C55E2">
        <w:tc>
          <w:tcPr>
            <w:tcW w:w="2829" w:type="dxa"/>
          </w:tcPr>
          <w:p w:rsidR="009C55E2" w:rsidRDefault="001A058B">
            <w:pPr>
              <w:widowControl w:val="0"/>
              <w:tabs>
                <w:tab w:val="left" w:pos="1701"/>
                <w:tab w:val="left" w:pos="1843"/>
              </w:tabs>
              <w:spacing w:beforeAutospacing="1" w:after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3. Participación de la iniciativa privada en la planeación y ejecución de los trabajos </w:t>
            </w:r>
          </w:p>
          <w:p w:rsidR="009C55E2" w:rsidRDefault="009C55E2">
            <w:pPr>
              <w:widowControl w:val="0"/>
              <w:tabs>
                <w:tab w:val="left" w:pos="1701"/>
                <w:tab w:val="left" w:pos="1843"/>
              </w:tabs>
              <w:spacing w:beforeAutospacing="1" w:line="360" w:lineRule="auto"/>
              <w:contextualSpacing/>
              <w:jc w:val="both"/>
              <w:rPr>
                <w:rFonts w:ascii="Palatino Linotype" w:hAnsi="Palatino Linotype" w:cs="Arial"/>
                <w:sz w:val="20"/>
                <w:szCs w:val="20"/>
              </w:rPr>
            </w:pPr>
          </w:p>
        </w:tc>
        <w:tc>
          <w:tcPr>
            <w:tcW w:w="3402" w:type="dxa"/>
          </w:tcPr>
          <w:p w:rsidR="009C55E2" w:rsidRDefault="001A058B">
            <w:pPr>
              <w:widowControl w:val="0"/>
              <w:tabs>
                <w:tab w:val="left" w:pos="1701"/>
                <w:tab w:val="left" w:pos="1843"/>
              </w:tabs>
              <w:spacing w:beforeAutospacing="1" w:after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Mediante Informe Justificado, </w:t>
            </w:r>
            <w:r>
              <w:rPr>
                <w:rFonts w:ascii="Palatino Linotype" w:eastAsiaTheme="minorHAnsi" w:hAnsi="Palatino Linotype" w:cs="Arial"/>
                <w:b/>
                <w:sz w:val="20"/>
                <w:szCs w:val="20"/>
                <w:lang w:eastAsia="en-US"/>
              </w:rPr>
              <w:t>EL SUJETO OBLIGADO</w:t>
            </w:r>
            <w:r>
              <w:rPr>
                <w:rFonts w:ascii="Palatino Linotype" w:eastAsiaTheme="minorHAnsi" w:hAnsi="Palatino Linotype" w:cs="Arial"/>
                <w:sz w:val="20"/>
                <w:szCs w:val="20"/>
                <w:lang w:eastAsia="en-US"/>
              </w:rPr>
              <w:t>, refirió que no había participación de la iniciativa privada en la planeación y ejecución de los trabajos.</w:t>
            </w:r>
          </w:p>
          <w:p w:rsidR="009C55E2" w:rsidRDefault="009C55E2">
            <w:pPr>
              <w:spacing w:line="360" w:lineRule="auto"/>
              <w:jc w:val="both"/>
              <w:rPr>
                <w:rFonts w:ascii="Palatino Linotype" w:hAnsi="Palatino Linotype" w:cs="Arial"/>
                <w:sz w:val="20"/>
                <w:szCs w:val="20"/>
              </w:rPr>
            </w:pPr>
          </w:p>
        </w:tc>
        <w:tc>
          <w:tcPr>
            <w:tcW w:w="2880" w:type="dxa"/>
          </w:tcPr>
          <w:p w:rsidR="009C55E2" w:rsidRDefault="001A058B">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lang w:eastAsia="en-US"/>
              </w:rPr>
              <w:t>Colmó</w:t>
            </w:r>
          </w:p>
        </w:tc>
      </w:tr>
      <w:tr w:rsidR="009C55E2">
        <w:tc>
          <w:tcPr>
            <w:tcW w:w="2829" w:type="dxa"/>
          </w:tcPr>
          <w:p w:rsidR="009C55E2" w:rsidRDefault="001A058B">
            <w:pPr>
              <w:widowControl w:val="0"/>
              <w:tabs>
                <w:tab w:val="left" w:pos="1701"/>
                <w:tab w:val="left" w:pos="1843"/>
              </w:tabs>
              <w:spacing w:beforeAutospacing="1" w:line="360" w:lineRule="auto"/>
              <w:contextualSpacing/>
              <w:jc w:val="both"/>
              <w:rPr>
                <w:rFonts w:ascii="Palatino Linotype" w:hAnsi="Palatino Linotype" w:cs="Arial"/>
                <w:sz w:val="20"/>
                <w:szCs w:val="20"/>
              </w:rPr>
            </w:pPr>
            <w:r>
              <w:rPr>
                <w:rFonts w:ascii="Palatino Linotype" w:eastAsiaTheme="minorHAnsi" w:hAnsi="Palatino Linotype" w:cs="Arial"/>
                <w:sz w:val="20"/>
                <w:szCs w:val="20"/>
                <w:lang w:eastAsia="en-US"/>
              </w:rPr>
              <w:t>4. Número de personas se tiene estimado que se verán beneficiadas con la conclusión de los trabajos descritos</w:t>
            </w:r>
          </w:p>
        </w:tc>
        <w:tc>
          <w:tcPr>
            <w:tcW w:w="3402" w:type="dxa"/>
          </w:tcPr>
          <w:p w:rsidR="009C55E2" w:rsidRDefault="001A058B">
            <w:pPr>
              <w:spacing w:line="360" w:lineRule="auto"/>
              <w:jc w:val="both"/>
              <w:rPr>
                <w:rFonts w:ascii="Palatino Linotype" w:hAnsi="Palatino Linotype" w:cs="Arial"/>
                <w:sz w:val="20"/>
                <w:szCs w:val="20"/>
              </w:rPr>
            </w:pPr>
            <w:r>
              <w:rPr>
                <w:rFonts w:ascii="Palatino Linotype" w:eastAsiaTheme="minorHAnsi" w:hAnsi="Palatino Linotype" w:cs="Arial"/>
                <w:sz w:val="20"/>
                <w:szCs w:val="20"/>
                <w:lang w:eastAsia="en-US"/>
              </w:rPr>
              <w:t xml:space="preserve">Mediante Informe Justificado, </w:t>
            </w:r>
            <w:r>
              <w:rPr>
                <w:rFonts w:ascii="Palatino Linotype" w:eastAsiaTheme="minorHAnsi" w:hAnsi="Palatino Linotype" w:cs="Arial"/>
                <w:b/>
                <w:sz w:val="20"/>
                <w:szCs w:val="20"/>
                <w:lang w:eastAsia="en-US"/>
              </w:rPr>
              <w:t>EL SUJETO OBLIGADO</w:t>
            </w:r>
            <w:r>
              <w:rPr>
                <w:rFonts w:ascii="Palatino Linotype" w:eastAsiaTheme="minorHAnsi" w:hAnsi="Palatino Linotype" w:cs="Arial"/>
                <w:sz w:val="20"/>
                <w:szCs w:val="20"/>
                <w:lang w:eastAsia="en-US"/>
              </w:rPr>
              <w:t xml:space="preserve">, expresó que el número de personas beneficiadas con la conclusión de los trabajos, son de 50 familias o viviendas aproximadamente. </w:t>
            </w:r>
          </w:p>
        </w:tc>
        <w:tc>
          <w:tcPr>
            <w:tcW w:w="2880" w:type="dxa"/>
          </w:tcPr>
          <w:p w:rsidR="009C55E2" w:rsidRDefault="001A058B">
            <w:pPr>
              <w:spacing w:line="360" w:lineRule="auto"/>
              <w:jc w:val="both"/>
              <w:rPr>
                <w:rFonts w:ascii="Palatino Linotype" w:hAnsi="Palatino Linotype" w:cs="Arial"/>
                <w:b/>
                <w:sz w:val="20"/>
                <w:szCs w:val="20"/>
              </w:rPr>
            </w:pPr>
            <w:r>
              <w:rPr>
                <w:rFonts w:ascii="Palatino Linotype" w:eastAsiaTheme="minorHAnsi" w:hAnsi="Palatino Linotype" w:cs="Arial"/>
                <w:b/>
                <w:sz w:val="20"/>
                <w:szCs w:val="20"/>
                <w:lang w:eastAsia="en-US"/>
              </w:rPr>
              <w:t xml:space="preserve">Colmó </w:t>
            </w:r>
          </w:p>
        </w:tc>
      </w:tr>
    </w:tbl>
    <w:p w:rsidR="009C55E2" w:rsidRDefault="009C55E2">
      <w:pPr>
        <w:spacing w:beforeAutospacing="1" w:afterAutospacing="1" w:line="360" w:lineRule="auto"/>
        <w:contextualSpacing/>
        <w:jc w:val="both"/>
        <w:rPr>
          <w:rFonts w:ascii="Palatino Linotype" w:eastAsia="Calibri" w:hAnsi="Palatino Linotype" w:cs="Arial"/>
        </w:rPr>
      </w:pPr>
    </w:p>
    <w:p w:rsidR="009C55E2" w:rsidRDefault="001A058B">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lastRenderedPageBreak/>
        <w:t xml:space="preserve">En ese contexto, este Instituto analizó la totalidad de las constancias que integran el expediente electrónico del </w:t>
      </w:r>
      <w:r>
        <w:rPr>
          <w:rFonts w:ascii="Palatino Linotype" w:eastAsia="Calibri" w:hAnsi="Palatino Linotype" w:cs="Arial"/>
          <w:b/>
        </w:rPr>
        <w:t xml:space="preserve">SAIMEX, </w:t>
      </w:r>
      <w:r>
        <w:rPr>
          <w:rFonts w:ascii="Palatino Linotype" w:eastAsia="Calibri" w:hAnsi="Palatino Linotype" w:cs="Arial"/>
        </w:rPr>
        <w:t xml:space="preserve">y se concluye que la controversia en el presente asunto radica en que </w:t>
      </w:r>
      <w:r>
        <w:rPr>
          <w:rFonts w:ascii="Palatino Linotype" w:eastAsia="Calibri" w:hAnsi="Palatino Linotype" w:cs="Arial"/>
          <w:b/>
        </w:rPr>
        <w:t xml:space="preserve">EL SUJETO OBLIGADO </w:t>
      </w:r>
      <w:r>
        <w:rPr>
          <w:rFonts w:ascii="Palatino Linotype" w:eastAsia="Calibri" w:hAnsi="Palatino Linotype" w:cs="Arial"/>
        </w:rPr>
        <w:t>satisfizo o no el derecho de acceso a la información pública del particular, en razón de que su respuesta carece de fundamentación y motivación.</w:t>
      </w:r>
    </w:p>
    <w:p w:rsidR="009C55E2" w:rsidRDefault="009C55E2">
      <w:pPr>
        <w:spacing w:line="360" w:lineRule="auto"/>
        <w:jc w:val="both"/>
        <w:rPr>
          <w:rFonts w:ascii="Palatino Linotype" w:hAnsi="Palatino Linotype" w:cs="Arial"/>
        </w:rPr>
      </w:pPr>
    </w:p>
    <w:p w:rsidR="009C55E2" w:rsidRDefault="001A058B">
      <w:pPr>
        <w:spacing w:line="360" w:lineRule="auto"/>
        <w:jc w:val="both"/>
        <w:rPr>
          <w:rFonts w:ascii="Palatino Linotype" w:hAnsi="Palatino Linotype" w:cs="Arial"/>
        </w:rPr>
      </w:pPr>
      <w:r>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9C55E2" w:rsidRDefault="009C55E2">
      <w:pPr>
        <w:spacing w:line="360" w:lineRule="auto"/>
        <w:jc w:val="both"/>
        <w:rPr>
          <w:rFonts w:ascii="Palatino Linotype" w:hAnsi="Palatino Linotype" w:cs="Arial"/>
        </w:rPr>
      </w:pPr>
    </w:p>
    <w:p w:rsidR="009C55E2" w:rsidRDefault="001A058B">
      <w:pPr>
        <w:spacing w:line="360" w:lineRule="auto"/>
        <w:contextualSpacing/>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9C55E2" w:rsidRDefault="009C55E2">
      <w:pPr>
        <w:contextualSpacing/>
        <w:jc w:val="both"/>
        <w:rPr>
          <w:rFonts w:ascii="Palatino Linotype" w:hAnsi="Palatino Linotype" w:cs="Arial"/>
        </w:rPr>
      </w:pPr>
    </w:p>
    <w:p w:rsidR="009C55E2" w:rsidRDefault="001A058B">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9C55E2" w:rsidRDefault="009C55E2">
      <w:pPr>
        <w:ind w:left="851" w:right="899"/>
        <w:contextualSpacing/>
        <w:jc w:val="both"/>
        <w:rPr>
          <w:rFonts w:ascii="Palatino Linotype" w:hAnsi="Palatino Linotype" w:cs="Arial"/>
          <w:i/>
          <w:sz w:val="22"/>
        </w:rPr>
      </w:pPr>
    </w:p>
    <w:p w:rsidR="009C55E2" w:rsidRDefault="001A058B">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C55E2" w:rsidRDefault="009C55E2">
      <w:pPr>
        <w:spacing w:line="360" w:lineRule="auto"/>
        <w:jc w:val="both"/>
        <w:rPr>
          <w:rFonts w:ascii="Palatino Linotype" w:hAnsi="Palatino Linotype" w:cs="Arial"/>
        </w:rPr>
      </w:pPr>
    </w:p>
    <w:p w:rsidR="009C55E2" w:rsidRDefault="001A058B">
      <w:pPr>
        <w:spacing w:line="360" w:lineRule="auto"/>
        <w:jc w:val="both"/>
        <w:rPr>
          <w:rFonts w:ascii="Palatino Linotype" w:hAnsi="Palatino Linotype" w:cs="Arial"/>
        </w:rPr>
      </w:pPr>
      <w:r>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9C55E2" w:rsidRDefault="009C55E2">
      <w:pPr>
        <w:jc w:val="both"/>
        <w:rPr>
          <w:rFonts w:ascii="Palatino Linotype" w:hAnsi="Palatino Linotype" w:cs="Arial"/>
        </w:rPr>
      </w:pPr>
    </w:p>
    <w:p w:rsidR="009C55E2" w:rsidRDefault="001A058B">
      <w:pPr>
        <w:ind w:left="851" w:right="901"/>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9C55E2" w:rsidRDefault="009C55E2">
      <w:pPr>
        <w:ind w:left="851" w:right="899"/>
        <w:contextualSpacing/>
        <w:jc w:val="both"/>
        <w:rPr>
          <w:rFonts w:ascii="Palatino Linotype" w:hAnsi="Palatino Linotype" w:cs="Arial"/>
          <w:i/>
          <w:sz w:val="22"/>
        </w:rPr>
      </w:pPr>
    </w:p>
    <w:p w:rsidR="009C55E2" w:rsidRDefault="001A058B">
      <w:pPr>
        <w:spacing w:line="360" w:lineRule="auto"/>
        <w:jc w:val="both"/>
        <w:rPr>
          <w:rFonts w:ascii="Palatino Linotype" w:hAnsi="Palatino Linotype" w:cs="Arial"/>
        </w:rPr>
      </w:pPr>
      <w:r>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9C55E2" w:rsidRDefault="009C55E2">
      <w:pPr>
        <w:spacing w:line="360" w:lineRule="auto"/>
        <w:jc w:val="both"/>
        <w:rPr>
          <w:rFonts w:ascii="Palatino Linotype" w:hAnsi="Palatino Linotype" w:cs="Arial"/>
        </w:rPr>
      </w:pPr>
    </w:p>
    <w:p w:rsidR="009C55E2" w:rsidRDefault="001A058B">
      <w:pPr>
        <w:widowControl w:val="0"/>
        <w:spacing w:line="360" w:lineRule="auto"/>
        <w:contextualSpacing/>
        <w:jc w:val="both"/>
        <w:rPr>
          <w:rFonts w:ascii="Palatino Linotype" w:hAnsi="Palatino Linotype" w:cs="Arial"/>
        </w:rPr>
      </w:pPr>
      <w:r>
        <w:rPr>
          <w:rFonts w:ascii="Palatino Linotype" w:hAnsi="Palatino Linotype" w:cs="Arial"/>
        </w:rPr>
        <w:lastRenderedPageBreak/>
        <w:t xml:space="preserve">Ahora bien, es importante destacar que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 </w:t>
      </w:r>
    </w:p>
    <w:p w:rsidR="009C55E2" w:rsidRDefault="009C55E2">
      <w:pPr>
        <w:widowControl w:val="0"/>
        <w:spacing w:line="360" w:lineRule="auto"/>
        <w:contextualSpacing/>
        <w:jc w:val="both"/>
        <w:rPr>
          <w:rFonts w:ascii="Palatino Linotype" w:hAnsi="Palatino Linotype" w:cs="Arial"/>
        </w:rPr>
      </w:pPr>
    </w:p>
    <w:p w:rsidR="009C55E2" w:rsidRDefault="001A058B">
      <w:pPr>
        <w:widowControl w:val="0"/>
        <w:spacing w:line="360" w:lineRule="auto"/>
        <w:contextualSpacing/>
        <w:jc w:val="both"/>
        <w:rPr>
          <w:rFonts w:ascii="Palatino Linotype" w:hAnsi="Palatino Linotype" w:cs="Arial"/>
        </w:rPr>
      </w:pPr>
      <w:r>
        <w:rPr>
          <w:rFonts w:ascii="Palatino Linotype"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C55E2" w:rsidRDefault="009C55E2">
      <w:pPr>
        <w:ind w:left="851" w:right="901"/>
        <w:jc w:val="both"/>
        <w:rPr>
          <w:rFonts w:ascii="Palatino Linotype" w:eastAsiaTheme="minorEastAsia" w:hAnsi="Palatino Linotype" w:cs="Arial"/>
          <w:b/>
          <w:sz w:val="22"/>
          <w:szCs w:val="22"/>
          <w:lang w:val="es-ES_tradnl" w:eastAsia="es-MX"/>
        </w:rPr>
      </w:pPr>
    </w:p>
    <w:p w:rsidR="009C55E2" w:rsidRDefault="001A058B">
      <w:pPr>
        <w:ind w:left="851" w:right="901"/>
        <w:jc w:val="both"/>
        <w:rPr>
          <w:rFonts w:ascii="Palatino Linotype" w:eastAsiaTheme="minorEastAsia" w:hAnsi="Palatino Linotype" w:cs="Arial"/>
          <w:b/>
          <w:i/>
          <w:sz w:val="22"/>
          <w:szCs w:val="22"/>
          <w:lang w:val="es-ES_tradnl" w:eastAsia="es-MX"/>
        </w:rPr>
      </w:pPr>
      <w:r>
        <w:rPr>
          <w:rFonts w:ascii="Palatino Linotype" w:eastAsiaTheme="minorEastAsia" w:hAnsi="Palatino Linotype" w:cs="Arial"/>
          <w:b/>
          <w:sz w:val="22"/>
          <w:szCs w:val="22"/>
          <w:lang w:val="es-ES_tradnl" w:eastAsia="es-MX"/>
        </w:rPr>
        <w:t>“</w:t>
      </w:r>
      <w:r>
        <w:rPr>
          <w:rFonts w:ascii="Palatino Linotype" w:eastAsiaTheme="minorEastAsia" w:hAnsi="Palatino Linotype" w:cs="Arial"/>
          <w:b/>
          <w:i/>
          <w:sz w:val="22"/>
          <w:szCs w:val="22"/>
          <w:lang w:val="es-ES_tradnl" w:eastAsia="es-MX"/>
        </w:rPr>
        <w:t>CRITERIO 0002-11</w:t>
      </w:r>
    </w:p>
    <w:p w:rsidR="009C55E2" w:rsidRDefault="001A058B">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Pr>
          <w:rFonts w:ascii="Palatino Linotype" w:eastAsiaTheme="minorEastAsia" w:hAnsi="Palatino Linotype" w:cs="Arial"/>
          <w:b/>
          <w:bCs/>
          <w:i/>
          <w:sz w:val="22"/>
          <w:szCs w:val="22"/>
          <w:u w:val="single"/>
          <w:lang w:val="es-ES_tradnl" w:eastAsia="es-MX"/>
        </w:rPr>
        <w:t xml:space="preserve">V, XV, Y XVI, </w:t>
      </w:r>
      <w:r>
        <w:rPr>
          <w:rFonts w:ascii="Palatino Linotype" w:eastAsiaTheme="minorEastAsia" w:hAnsi="Palatino Linotype" w:cs="Arial"/>
          <w:b/>
          <w:i/>
          <w:sz w:val="22"/>
          <w:szCs w:val="22"/>
          <w:u w:val="single"/>
          <w:lang w:val="es-ES_tradnl" w:eastAsia="es-MX"/>
        </w:rPr>
        <w:t>3°, 4°, 11 Y 41.</w:t>
      </w:r>
      <w:r>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C55E2" w:rsidRDefault="001A058B">
      <w:pPr>
        <w:ind w:left="851" w:right="850"/>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9C55E2" w:rsidRDefault="001A058B">
      <w:pPr>
        <w:ind w:left="851" w:right="901"/>
        <w:jc w:val="both"/>
        <w:rPr>
          <w:rFonts w:ascii="Palatino Linotype" w:eastAsiaTheme="minorEastAsia" w:hAnsi="Palatino Linotype" w:cs="Arial"/>
          <w:b/>
          <w:i/>
          <w:sz w:val="22"/>
          <w:szCs w:val="22"/>
          <w:lang w:val="es-ES_tradnl" w:eastAsia="es-MX"/>
        </w:rPr>
      </w:pPr>
      <w:r>
        <w:rPr>
          <w:rFonts w:ascii="Palatino Linotype" w:eastAsiaTheme="minorEastAsia" w:hAnsi="Palatino Linotype" w:cs="Arial"/>
          <w:b/>
          <w:i/>
          <w:sz w:val="22"/>
          <w:szCs w:val="22"/>
          <w:lang w:val="es-ES_tradnl" w:eastAsia="es-MX"/>
        </w:rPr>
        <w:t>1) Que se trate de información registrada en cualquier soporte documental, que en ejercicio de las atribuciones conferidas, sea generada por los Sujetos Obligados;</w:t>
      </w:r>
    </w:p>
    <w:p w:rsidR="009C55E2" w:rsidRDefault="001A058B">
      <w:pPr>
        <w:ind w:left="851" w:right="901"/>
        <w:jc w:val="both"/>
        <w:rPr>
          <w:rFonts w:ascii="Palatino Linotype" w:eastAsiaTheme="minorEastAsia" w:hAnsi="Palatino Linotype" w:cs="Arial"/>
          <w:b/>
          <w:i/>
          <w:vanish/>
          <w:sz w:val="22"/>
          <w:szCs w:val="22"/>
          <w:lang w:val="es-ES_tradnl" w:eastAsia="es-MX"/>
        </w:rPr>
      </w:pPr>
      <w:r>
        <w:rPr>
          <w:rFonts w:ascii="Palatino Linotype" w:eastAsiaTheme="minorEastAsia" w:hAnsi="Palatino Linotype" w:cs="Arial"/>
          <w:b/>
          <w:i/>
          <w:sz w:val="22"/>
          <w:szCs w:val="22"/>
          <w:lang w:val="es-ES_tradnl" w:eastAsia="es-MX"/>
        </w:rPr>
        <w:t>2) Que se trate de información registrada en cualquier soporte documental, que en ejercicio de las atribuciones conferidas, sea administrada por los Sujetos Obligados, y</w:t>
      </w:r>
    </w:p>
    <w:p w:rsidR="009C55E2" w:rsidRDefault="001A058B">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b/>
          <w:i/>
          <w:sz w:val="22"/>
          <w:szCs w:val="22"/>
          <w:lang w:val="es-ES_tradnl" w:eastAsia="es-MX"/>
        </w:rPr>
        <w:t xml:space="preserve">3) Que se trate de información registrada en cualquier </w:t>
      </w:r>
      <w:r>
        <w:rPr>
          <w:rFonts w:ascii="Palatino Linotype" w:eastAsiaTheme="minorEastAsia" w:hAnsi="Palatino Linotype" w:cs="Arial"/>
          <w:b/>
          <w:i/>
          <w:sz w:val="22"/>
          <w:szCs w:val="22"/>
          <w:lang w:val="es-ES_tradnl" w:eastAsia="es-MX"/>
        </w:rPr>
        <w:lastRenderedPageBreak/>
        <w:t>soporte documental, que en ejercicio de las atribuciones conferidas, se encuentre en posesión de los Sujetos Obligados.</w:t>
      </w:r>
      <w:r>
        <w:rPr>
          <w:rFonts w:ascii="Palatino Linotype" w:eastAsiaTheme="minorEastAsia" w:hAnsi="Palatino Linotype" w:cs="Arial"/>
          <w:i/>
          <w:sz w:val="22"/>
          <w:szCs w:val="22"/>
          <w:lang w:val="es-ES_tradnl" w:eastAsia="es-MX"/>
        </w:rPr>
        <w:t>” (SIC)</w:t>
      </w:r>
    </w:p>
    <w:p w:rsidR="009C55E2" w:rsidRDefault="009C55E2">
      <w:pPr>
        <w:ind w:left="851" w:right="901"/>
        <w:jc w:val="both"/>
        <w:rPr>
          <w:rFonts w:ascii="Palatino Linotype" w:eastAsiaTheme="minorEastAsia" w:hAnsi="Palatino Linotype" w:cs="Arial"/>
          <w:b/>
          <w:i/>
          <w:sz w:val="22"/>
          <w:szCs w:val="22"/>
          <w:lang w:val="es-ES_tradnl" w:eastAsia="es-MX"/>
        </w:rPr>
      </w:pPr>
    </w:p>
    <w:p w:rsidR="009C55E2" w:rsidRDefault="001A058B">
      <w:pPr>
        <w:ind w:left="851" w:right="901"/>
        <w:jc w:val="both"/>
        <w:rPr>
          <w:rFonts w:ascii="Palatino Linotype" w:eastAsiaTheme="minorEastAsia" w:hAnsi="Palatino Linotype" w:cs="Arial"/>
          <w:b/>
          <w:i/>
          <w:sz w:val="22"/>
          <w:szCs w:val="22"/>
          <w:lang w:val="es-ES_tradnl" w:eastAsia="es-MX"/>
        </w:rPr>
      </w:pPr>
      <w:r>
        <w:rPr>
          <w:rFonts w:ascii="Palatino Linotype" w:eastAsiaTheme="minorEastAsia" w:hAnsi="Palatino Linotype" w:cs="Arial"/>
          <w:b/>
          <w:i/>
          <w:sz w:val="22"/>
          <w:szCs w:val="22"/>
          <w:lang w:val="es-ES_tradnl" w:eastAsia="es-MX"/>
        </w:rPr>
        <w:t>(Énfasis añadido)</w:t>
      </w:r>
    </w:p>
    <w:p w:rsidR="009C55E2" w:rsidRDefault="009C55E2">
      <w:pPr>
        <w:widowControl w:val="0"/>
        <w:spacing w:line="360" w:lineRule="auto"/>
        <w:contextualSpacing/>
        <w:jc w:val="both"/>
        <w:rPr>
          <w:rFonts w:ascii="Palatino Linotype" w:hAnsi="Palatino Linotype" w:cs="Arial"/>
        </w:rPr>
      </w:pPr>
    </w:p>
    <w:p w:rsidR="009C55E2" w:rsidRDefault="001A058B">
      <w:pPr>
        <w:widowControl w:val="0"/>
        <w:spacing w:line="360" w:lineRule="auto"/>
        <w:contextualSpacing/>
        <w:jc w:val="both"/>
        <w:rPr>
          <w:rFonts w:ascii="Palatino Linotype" w:hAnsi="Palatino Linotype" w:cs="Arial"/>
          <w:b/>
        </w:rPr>
      </w:pPr>
      <w:r>
        <w:rPr>
          <w:rFonts w:ascii="Palatino Linotype" w:hAnsi="Palatino Linotype" w:cs="Arial"/>
        </w:rPr>
        <w:t xml:space="preserve">De lo anterior, se deduce que </w:t>
      </w:r>
      <w:r>
        <w:rPr>
          <w:rFonts w:ascii="Palatino Linotype" w:hAnsi="Palatino Linotype" w:cs="Arial"/>
          <w:b/>
        </w:rPr>
        <w:t>el derecho de acceso a la información pública se encamina primordialmente a permitir el acceso a datos, registros, y todo tipo de información pública que conste en documentos, sea generada o se encentre en posesión de los Sujetos Obligados, en el formato en que se encuentren.</w:t>
      </w:r>
    </w:p>
    <w:p w:rsidR="009C55E2" w:rsidRDefault="009C55E2">
      <w:pPr>
        <w:widowControl w:val="0"/>
        <w:spacing w:line="360" w:lineRule="auto"/>
        <w:contextualSpacing/>
        <w:jc w:val="both"/>
        <w:rPr>
          <w:rFonts w:ascii="Palatino Linotype" w:hAnsi="Palatino Linotype" w:cs="Arial"/>
        </w:rPr>
      </w:pPr>
    </w:p>
    <w:p w:rsidR="009C55E2" w:rsidRDefault="001A058B">
      <w:pPr>
        <w:spacing w:after="120" w:line="360" w:lineRule="auto"/>
        <w:ind w:right="49"/>
        <w:contextualSpacing/>
        <w:jc w:val="both"/>
        <w:rPr>
          <w:rFonts w:ascii="Palatino Linotype" w:eastAsia="MS Mincho" w:hAnsi="Palatino Linotype" w:cstheme="majorBidi"/>
          <w:lang w:val="es-ES_tradnl"/>
        </w:rPr>
      </w:pPr>
      <w:r w:rsidRPr="007D0314">
        <w:rPr>
          <w:rFonts w:ascii="Palatino Linotype" w:hAnsi="Palatino Linotype" w:cs="Arial"/>
        </w:rPr>
        <w:t xml:space="preserve">No obstante a ello, </w:t>
      </w:r>
      <w:r w:rsidRPr="007D0314">
        <w:rPr>
          <w:rFonts w:ascii="Palatino Linotype" w:hAnsi="Palatino Linotype" w:cs="Arial"/>
          <w:b/>
        </w:rPr>
        <w:t>EL SUJETO OBLIGADO</w:t>
      </w:r>
      <w:r w:rsidRPr="007D0314">
        <w:rPr>
          <w:rFonts w:ascii="Palatino Linotype" w:hAnsi="Palatino Linotype" w:cs="Arial"/>
        </w:rPr>
        <w:t xml:space="preserve">, pretendió dar respuesta a lo solicitado, mediante Informe Justificado, a través de un documento ad hoc </w:t>
      </w:r>
      <w:r w:rsidRPr="007D0314">
        <w:rPr>
          <w:rFonts w:ascii="Palatino Linotype" w:eastAsia="MS Mincho" w:hAnsi="Palatino Linotype" w:cstheme="majorBidi"/>
          <w:lang w:val="es-ES_tradnl"/>
        </w:rPr>
        <w:t>para tratar de dar respuesta a la solicitud del particular; sin embargo, no debe perderse de vista que los Sujetos Obligados no están constreñidos a generar documento ad hoc</w:t>
      </w:r>
      <w:r w:rsidRPr="007D0314">
        <w:rPr>
          <w:rFonts w:ascii="Palatino Linotype" w:eastAsia="MS Mincho" w:hAnsi="Palatino Linotype" w:cstheme="majorBidi"/>
          <w:i/>
          <w:lang w:val="es-ES_tradnl"/>
        </w:rPr>
        <w:t xml:space="preserve"> </w:t>
      </w:r>
      <w:r w:rsidRPr="007D0314">
        <w:rPr>
          <w:rFonts w:ascii="Palatino Linotype" w:eastAsia="MS Mincho" w:hAnsi="Palatino Linotype" w:cstheme="majorBidi"/>
          <w:lang w:val="es-ES_tradnl"/>
        </w:rPr>
        <w:t>para dar una respuesta, pero de igual forma la Ley no lo prohíbe, por tanto cuando en dichos documentos se dé cumplimiento a lo solicitado este será considerado como válido, así mismo,</w:t>
      </w:r>
      <w:r w:rsidRPr="007D0314">
        <w:rPr>
          <w:rFonts w:ascii="Palatino Linotype" w:hAnsi="Palatino Linotype" w:cs="Arial"/>
        </w:rPr>
        <w:t xml:space="preserve"> la Ley adjetiva no prohíbe a los Sujetos Obligados a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w:t>
      </w:r>
      <w:r w:rsidRPr="007D0314">
        <w:t xml:space="preserve">, </w:t>
      </w:r>
      <w:r w:rsidRPr="007D0314">
        <w:rPr>
          <w:rFonts w:ascii="Palatino Linotype" w:hAnsi="Palatino Linotype" w:cs="Arial"/>
        </w:rPr>
        <w:t>administran; por ende, a los Sujetos Obligados les asiste la facultad potestativa de practicar investigaciones, cálculos, sintetizar o procesar la información pública a efecto de entregarla a quien la solicite; máxime que, en los casos</w:t>
      </w:r>
      <w:r w:rsidRPr="007D0314">
        <w:t xml:space="preserve"> </w:t>
      </w:r>
      <w:r w:rsidRPr="007D0314">
        <w:rPr>
          <w:rFonts w:ascii="Palatino Linotype" w:hAnsi="Palatino Linotype" w:cs="Arial"/>
        </w:rPr>
        <w:t xml:space="preserve">en que expresamente se solicite un documento en </w:t>
      </w:r>
      <w:r w:rsidRPr="007D0314">
        <w:rPr>
          <w:rFonts w:ascii="Palatino Linotype" w:hAnsi="Palatino Linotype" w:cs="Arial"/>
        </w:rPr>
        <w:lastRenderedPageBreak/>
        <w:t>particular, deberá de hacerse entrega del mismo, con las excepciones que la Ley adjetiva señale.</w:t>
      </w:r>
      <w:r>
        <w:rPr>
          <w:rFonts w:ascii="Palatino Linotype" w:hAnsi="Palatino Linotype" w:cs="Arial"/>
        </w:rPr>
        <w:t xml:space="preserve"> </w:t>
      </w:r>
    </w:p>
    <w:p w:rsidR="009C55E2" w:rsidRDefault="001A058B">
      <w:pPr>
        <w:spacing w:before="240" w:after="240" w:line="360" w:lineRule="auto"/>
        <w:jc w:val="both"/>
        <w:rPr>
          <w:rFonts w:ascii="Palatino Linotype" w:hAnsi="Palatino Linotype" w:cs="Arial"/>
          <w:lang w:eastAsia="es-MX"/>
        </w:rPr>
      </w:pPr>
      <w:r>
        <w:rPr>
          <w:rFonts w:ascii="Palatino Linotype" w:hAnsi="Palatino Linotype"/>
        </w:rPr>
        <w:t>En mérito de lo expuesto</w:t>
      </w:r>
      <w:r>
        <w:rPr>
          <w:rFonts w:ascii="Palatino Linotype" w:hAnsi="Palatino Linotype" w:cs="Arial"/>
          <w:lang w:eastAsia="es-MX"/>
        </w:rPr>
        <w:t xml:space="preserve"> y en razón a que no se satisfizo el derecho de acceso a la información pública del particular, respecto de la fecha de inicio y terminación de los trabajos referidos en la solicitud, debe precisarse que</w:t>
      </w:r>
      <w:r>
        <w:rPr>
          <w:rFonts w:ascii="Palatino Linotype" w:hAnsi="Palatino Linotype"/>
          <w:b/>
        </w:rPr>
        <w:t xml:space="preserve"> </w:t>
      </w:r>
      <w:r>
        <w:rPr>
          <w:rFonts w:ascii="Palatino Linotype" w:hAnsi="Palatino Linotype" w:cs="Arial"/>
          <w:lang w:eastAsia="es-MX"/>
        </w:rPr>
        <w:t xml:space="preserve">de conformidad con lo establecido en </w:t>
      </w:r>
      <w:r>
        <w:rPr>
          <w:rFonts w:ascii="Palatino Linotype" w:eastAsia="Calibri" w:hAnsi="Palatino Linotype" w:cs="Arial"/>
          <w:lang w:eastAsia="es-MX"/>
        </w:rPr>
        <w:t>el artículo 31 de la Ley Orgánica Municipal del Estado de México, establece lo siguiente:</w:t>
      </w:r>
    </w:p>
    <w:p w:rsidR="009C55E2" w:rsidRDefault="001A058B">
      <w:pPr>
        <w:ind w:left="709" w:right="709"/>
        <w:jc w:val="both"/>
        <w:rPr>
          <w:rFonts w:ascii="Palatino Linotype" w:hAnsi="Palatino Linotype"/>
          <w:i/>
          <w:sz w:val="22"/>
          <w:szCs w:val="22"/>
        </w:rPr>
      </w:pPr>
      <w:r>
        <w:rPr>
          <w:rFonts w:ascii="Palatino Linotype" w:hAnsi="Palatino Linotype"/>
          <w:b/>
          <w:i/>
          <w:sz w:val="22"/>
          <w:szCs w:val="22"/>
        </w:rPr>
        <w:t>Artículo 31</w:t>
      </w:r>
      <w:r>
        <w:rPr>
          <w:rFonts w:ascii="Palatino Linotype" w:hAnsi="Palatino Linotype"/>
          <w:i/>
          <w:sz w:val="22"/>
          <w:szCs w:val="22"/>
        </w:rPr>
        <w:t xml:space="preserve">.- </w:t>
      </w:r>
      <w:r>
        <w:rPr>
          <w:rFonts w:ascii="Palatino Linotype" w:hAnsi="Palatino Linotype"/>
          <w:b/>
          <w:i/>
          <w:sz w:val="22"/>
          <w:szCs w:val="22"/>
        </w:rPr>
        <w:t>Son atribuciones de los ayuntamientos</w:t>
      </w:r>
      <w:r>
        <w:rPr>
          <w:rFonts w:ascii="Palatino Linotype" w:hAnsi="Palatino Linotype"/>
          <w:i/>
          <w:sz w:val="22"/>
          <w:szCs w:val="22"/>
        </w:rPr>
        <w:t>:</w:t>
      </w:r>
    </w:p>
    <w:p w:rsidR="009C55E2" w:rsidRDefault="001A058B">
      <w:pPr>
        <w:ind w:left="709" w:right="709"/>
        <w:jc w:val="both"/>
        <w:rPr>
          <w:rFonts w:ascii="Palatino Linotype" w:hAnsi="Palatino Linotype"/>
          <w:i/>
          <w:sz w:val="22"/>
          <w:szCs w:val="22"/>
        </w:rPr>
      </w:pPr>
      <w:r>
        <w:rPr>
          <w:rFonts w:ascii="Palatino Linotype" w:hAnsi="Palatino Linotype"/>
          <w:i/>
          <w:sz w:val="22"/>
          <w:szCs w:val="22"/>
        </w:rPr>
        <w:t>…</w:t>
      </w:r>
    </w:p>
    <w:p w:rsidR="009C55E2" w:rsidRDefault="001A058B">
      <w:pPr>
        <w:ind w:left="709" w:right="709"/>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Convenir, </w:t>
      </w:r>
      <w:r>
        <w:rPr>
          <w:rFonts w:ascii="Palatino Linotype" w:hAnsi="Palatino Linotype"/>
          <w:b/>
          <w:i/>
          <w:sz w:val="22"/>
          <w:szCs w:val="22"/>
        </w:rPr>
        <w:t>contratar</w:t>
      </w:r>
      <w:r>
        <w:rPr>
          <w:rFonts w:ascii="Palatino Linotype" w:hAnsi="Palatino Linotype"/>
          <w:i/>
          <w:sz w:val="22"/>
          <w:szCs w:val="22"/>
        </w:rPr>
        <w:t xml:space="preserve"> o concesionar, en términos de ley, </w:t>
      </w:r>
      <w:r>
        <w:rPr>
          <w:rFonts w:ascii="Palatino Linotype" w:hAnsi="Palatino Linotype"/>
          <w:b/>
          <w:i/>
          <w:sz w:val="22"/>
          <w:szCs w:val="22"/>
        </w:rPr>
        <w:t>la ejecución de obras</w:t>
      </w:r>
      <w:r>
        <w:rPr>
          <w:rFonts w:ascii="Palatino Linotype" w:hAnsi="Palatino Linotype"/>
          <w:i/>
          <w:sz w:val="22"/>
          <w:szCs w:val="22"/>
        </w:rPr>
        <w:t xml:space="preserve"> y la prestación de servicios públicos, con el Estado, con otros municipios de la entidad o con particulares, recabando, cuando proceda, la autorización de la Legislatura del Estado;</w:t>
      </w:r>
    </w:p>
    <w:p w:rsidR="009C55E2" w:rsidRDefault="001A058B">
      <w:pPr>
        <w:ind w:left="709" w:right="709"/>
        <w:jc w:val="both"/>
        <w:rPr>
          <w:rFonts w:ascii="Palatino Linotype" w:hAnsi="Palatino Linotype"/>
          <w:i/>
          <w:sz w:val="22"/>
          <w:szCs w:val="22"/>
        </w:rPr>
      </w:pPr>
      <w:r>
        <w:rPr>
          <w:rFonts w:ascii="Palatino Linotype" w:hAnsi="Palatino Linotype"/>
          <w:i/>
          <w:sz w:val="22"/>
          <w:szCs w:val="22"/>
        </w:rPr>
        <w:t>…</w:t>
      </w:r>
    </w:p>
    <w:p w:rsidR="009C55E2" w:rsidRDefault="001A058B">
      <w:pPr>
        <w:ind w:left="709" w:right="709"/>
        <w:jc w:val="both"/>
        <w:rPr>
          <w:rFonts w:ascii="Palatino Linotype" w:hAnsi="Palatino Linotype"/>
          <w:i/>
          <w:sz w:val="22"/>
          <w:szCs w:val="22"/>
        </w:rPr>
      </w:pPr>
      <w:r>
        <w:rPr>
          <w:rFonts w:ascii="Palatino Linotype" w:hAnsi="Palatino Linotype"/>
          <w:b/>
          <w:i/>
          <w:sz w:val="22"/>
          <w:szCs w:val="22"/>
        </w:rPr>
        <w:t>VIII</w:t>
      </w:r>
      <w:r>
        <w:rPr>
          <w:rFonts w:ascii="Palatino Linotype" w:hAnsi="Palatino Linotype"/>
          <w:i/>
          <w:sz w:val="22"/>
          <w:szCs w:val="22"/>
        </w:rPr>
        <w:t xml:space="preserve">. Concluir las obras iniciadas por administraciones anteriores y dar mantenimiento a la infraestructura e instalaciones de los servicios públicos municipales; </w:t>
      </w:r>
    </w:p>
    <w:p w:rsidR="009C55E2" w:rsidRDefault="001A058B">
      <w:pPr>
        <w:ind w:left="709" w:right="709"/>
        <w:jc w:val="both"/>
        <w:rPr>
          <w:rFonts w:ascii="Palatino Linotype" w:hAnsi="Palatino Linotype"/>
          <w:i/>
          <w:sz w:val="22"/>
          <w:szCs w:val="22"/>
        </w:rPr>
      </w:pPr>
      <w:r>
        <w:rPr>
          <w:rFonts w:ascii="Palatino Linotype" w:hAnsi="Palatino Linotype"/>
          <w:i/>
          <w:sz w:val="22"/>
          <w:szCs w:val="22"/>
        </w:rPr>
        <w:t>…</w:t>
      </w:r>
    </w:p>
    <w:p w:rsidR="009C55E2" w:rsidRDefault="001A058B">
      <w:pPr>
        <w:ind w:left="709" w:right="709"/>
        <w:jc w:val="both"/>
        <w:rPr>
          <w:rFonts w:ascii="Palatino Linotype" w:hAnsi="Palatino Linotype" w:cs="Arial"/>
          <w:sz w:val="22"/>
          <w:szCs w:val="22"/>
          <w:lang w:eastAsia="es-MX"/>
        </w:rPr>
      </w:pPr>
      <w:r>
        <w:rPr>
          <w:rFonts w:ascii="Palatino Linotype" w:hAnsi="Palatino Linotype"/>
          <w:b/>
          <w:i/>
          <w:sz w:val="22"/>
          <w:szCs w:val="22"/>
        </w:rPr>
        <w:t>XVIII</w:t>
      </w:r>
      <w:r>
        <w:rPr>
          <w:rFonts w:ascii="Palatino Linotype" w:hAnsi="Palatino Linotype"/>
          <w:i/>
          <w:sz w:val="22"/>
          <w:szCs w:val="22"/>
        </w:rPr>
        <w:t xml:space="preserve">. </w:t>
      </w:r>
      <w:r>
        <w:rPr>
          <w:rFonts w:ascii="Palatino Linotype" w:hAnsi="Palatino Linotype"/>
          <w:b/>
          <w:i/>
          <w:sz w:val="22"/>
          <w:szCs w:val="22"/>
        </w:rPr>
        <w:t>Administrar su hacienda en términos de ley</w:t>
      </w:r>
      <w:r>
        <w:rPr>
          <w:rFonts w:ascii="Palatino Linotype" w:hAnsi="Palatino Linotype"/>
          <w:i/>
          <w:sz w:val="22"/>
          <w:szCs w:val="22"/>
        </w:rPr>
        <w:t xml:space="preserve">, y controlar a través del presidente y síndico la </w:t>
      </w:r>
      <w:r>
        <w:rPr>
          <w:rFonts w:ascii="Palatino Linotype" w:hAnsi="Palatino Linotype"/>
          <w:b/>
          <w:i/>
          <w:sz w:val="22"/>
          <w:szCs w:val="22"/>
        </w:rPr>
        <w:t>aplicación del presupuesto de egresos</w:t>
      </w:r>
      <w:r>
        <w:rPr>
          <w:rFonts w:ascii="Palatino Linotype" w:hAnsi="Palatino Linotype"/>
          <w:i/>
          <w:sz w:val="22"/>
          <w:szCs w:val="22"/>
        </w:rPr>
        <w:t xml:space="preserve"> del municipio;</w:t>
      </w:r>
      <w:r>
        <w:rPr>
          <w:rFonts w:ascii="Palatino Linotype" w:hAnsi="Palatino Linotype"/>
          <w:i/>
          <w:sz w:val="22"/>
          <w:szCs w:val="22"/>
        </w:rPr>
        <w:br/>
      </w:r>
      <w:r>
        <w:rPr>
          <w:rFonts w:ascii="Palatino Linotype" w:hAnsi="Palatino Linotype"/>
          <w:i/>
          <w:sz w:val="22"/>
          <w:szCs w:val="22"/>
        </w:rPr>
        <w:br/>
      </w:r>
      <w:r>
        <w:rPr>
          <w:rFonts w:ascii="Palatino Linotype" w:hAnsi="Palatino Linotype" w:cs="Arial"/>
          <w:sz w:val="22"/>
          <w:szCs w:val="22"/>
          <w:lang w:eastAsia="es-MX"/>
        </w:rPr>
        <w:t>(Énfasis añadido)</w:t>
      </w:r>
    </w:p>
    <w:p w:rsidR="009C55E2" w:rsidRDefault="001A058B">
      <w:pPr>
        <w:spacing w:beforeAutospacing="1" w:afterAutospacing="1" w:line="360" w:lineRule="auto"/>
        <w:jc w:val="both"/>
        <w:rPr>
          <w:rFonts w:ascii="Palatino Linotype" w:hAnsi="Palatino Linotype" w:cs="Arial"/>
        </w:rPr>
      </w:pPr>
      <w:r>
        <w:rPr>
          <w:rFonts w:ascii="Palatino Linotype" w:hAnsi="Palatino Linotype" w:cs="Arial"/>
        </w:rPr>
        <w:t>Del precepto anteriormente citado se advierte que, los Ayuntamientos tienen la atribución de contratar la ejecución de obras, concluir aquellas que no fueron terminadas en administraciones anteriores y administrar los recursos obtenidos de su hacienda, en los términos de la legislación aplicable.</w:t>
      </w:r>
    </w:p>
    <w:p w:rsidR="009C55E2" w:rsidRDefault="001A058B">
      <w:pPr>
        <w:tabs>
          <w:tab w:val="left" w:pos="8080"/>
        </w:tabs>
        <w:spacing w:line="360" w:lineRule="auto"/>
        <w:ind w:right="49"/>
        <w:jc w:val="both"/>
        <w:rPr>
          <w:rFonts w:ascii="Palatino Linotype" w:hAnsi="Palatino Linotype" w:cs="Arial"/>
        </w:rPr>
      </w:pPr>
      <w:r>
        <w:rPr>
          <w:rFonts w:ascii="Palatino Linotype" w:hAnsi="Palatino Linotype" w:cs="Arial"/>
        </w:rPr>
        <w:t xml:space="preserve">Por otra parte, es de subrayar que el derecho de acceso a la información pública, consiste en que la información solicitada conste en un soporte documental en </w:t>
      </w:r>
      <w:r>
        <w:rPr>
          <w:rFonts w:ascii="Palatino Linotype" w:hAnsi="Palatino Linotype" w:cs="Arial"/>
        </w:rPr>
        <w:lastRenderedPageBreak/>
        <w:t>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rsidR="009C55E2" w:rsidRDefault="009C55E2">
      <w:pPr>
        <w:tabs>
          <w:tab w:val="left" w:pos="8080"/>
        </w:tabs>
        <w:spacing w:line="360" w:lineRule="auto"/>
        <w:ind w:right="49"/>
        <w:jc w:val="both"/>
        <w:rPr>
          <w:rFonts w:ascii="Palatino Linotype" w:hAnsi="Palatino Linotype" w:cs="Arial"/>
        </w:rPr>
      </w:pPr>
    </w:p>
    <w:p w:rsidR="009C55E2" w:rsidRDefault="001A058B">
      <w:pPr>
        <w:ind w:left="709" w:right="816"/>
        <w:jc w:val="both"/>
        <w:rPr>
          <w:rFonts w:ascii="Palatino Linotype" w:hAnsi="Palatino Linotype" w:cs="Arial"/>
          <w:b/>
          <w:bCs/>
          <w:i/>
          <w:sz w:val="22"/>
          <w:lang w:eastAsia="en-US"/>
        </w:rPr>
      </w:pPr>
      <w:r>
        <w:rPr>
          <w:rFonts w:ascii="Palatino Linotype" w:hAnsi="Palatino Linotype" w:cs="Arial"/>
          <w:bCs/>
          <w:i/>
          <w:sz w:val="22"/>
          <w:lang w:eastAsia="en-US"/>
        </w:rPr>
        <w:t>“</w:t>
      </w:r>
      <w:r>
        <w:rPr>
          <w:rFonts w:ascii="Palatino Linotype" w:hAnsi="Palatino Linotype" w:cs="Arial"/>
          <w:b/>
          <w:bCs/>
          <w:i/>
          <w:sz w:val="22"/>
          <w:lang w:eastAsia="en-US"/>
        </w:rPr>
        <w:t xml:space="preserve">Artículo 3. </w:t>
      </w:r>
      <w:r>
        <w:rPr>
          <w:rFonts w:ascii="Palatino Linotype" w:hAnsi="Palatino Linotype" w:cs="Arial"/>
          <w:bCs/>
          <w:i/>
          <w:sz w:val="22"/>
          <w:lang w:eastAsia="en-US"/>
        </w:rPr>
        <w:t>Para los efectos de la presente Ley se entenderá por:</w:t>
      </w:r>
      <w:r>
        <w:rPr>
          <w:rFonts w:ascii="Palatino Linotype" w:hAnsi="Palatino Linotype" w:cs="Arial"/>
          <w:b/>
          <w:bCs/>
          <w:i/>
          <w:sz w:val="22"/>
          <w:lang w:eastAsia="en-US"/>
        </w:rPr>
        <w:t xml:space="preserve"> </w:t>
      </w:r>
    </w:p>
    <w:p w:rsidR="009C55E2" w:rsidRDefault="001A058B">
      <w:pPr>
        <w:ind w:left="709" w:right="816"/>
        <w:jc w:val="both"/>
        <w:rPr>
          <w:rFonts w:ascii="Palatino Linotype" w:hAnsi="Palatino Linotype" w:cs="Arial"/>
          <w:bCs/>
          <w:i/>
          <w:sz w:val="22"/>
          <w:lang w:eastAsia="en-US"/>
        </w:rPr>
      </w:pPr>
      <w:r>
        <w:rPr>
          <w:rFonts w:ascii="Palatino Linotype" w:hAnsi="Palatino Linotype" w:cs="Arial"/>
          <w:bCs/>
          <w:i/>
          <w:sz w:val="22"/>
          <w:lang w:eastAsia="en-US"/>
        </w:rPr>
        <w:t>…</w:t>
      </w:r>
    </w:p>
    <w:p w:rsidR="009C55E2" w:rsidRDefault="009C55E2">
      <w:pPr>
        <w:ind w:left="709" w:right="816"/>
        <w:jc w:val="both"/>
        <w:rPr>
          <w:rFonts w:ascii="Palatino Linotype" w:hAnsi="Palatino Linotype" w:cs="Arial"/>
          <w:b/>
          <w:bCs/>
          <w:i/>
          <w:sz w:val="22"/>
          <w:lang w:eastAsia="en-US"/>
        </w:rPr>
      </w:pPr>
    </w:p>
    <w:p w:rsidR="009C55E2" w:rsidRDefault="001A058B">
      <w:pPr>
        <w:ind w:left="709" w:right="816"/>
        <w:jc w:val="both"/>
        <w:rPr>
          <w:rFonts w:ascii="Palatino Linotype" w:hAnsi="Palatino Linotype" w:cs="Arial"/>
          <w:i/>
          <w:sz w:val="22"/>
          <w:lang w:eastAsia="en-US"/>
        </w:rPr>
      </w:pPr>
      <w:r>
        <w:rPr>
          <w:rFonts w:ascii="Palatino Linotype" w:hAnsi="Palatino Linotype" w:cs="Arial"/>
          <w:b/>
          <w:i/>
          <w:sz w:val="22"/>
          <w:lang w:eastAsia="en-US"/>
        </w:rPr>
        <w:t>XI. Documento:</w:t>
      </w:r>
      <w:r>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C55E2" w:rsidRDefault="001A058B">
      <w:pPr>
        <w:ind w:left="709" w:right="816"/>
        <w:jc w:val="both"/>
        <w:rPr>
          <w:rFonts w:ascii="Palatino Linotype" w:hAnsi="Palatino Linotype" w:cs="Arial"/>
          <w:bCs/>
          <w:i/>
          <w:sz w:val="22"/>
          <w:lang w:eastAsia="en-US"/>
        </w:rPr>
      </w:pPr>
      <w:r>
        <w:rPr>
          <w:rFonts w:ascii="Palatino Linotype" w:hAnsi="Palatino Linotype" w:cs="Arial"/>
          <w:b/>
          <w:bCs/>
          <w:i/>
          <w:sz w:val="22"/>
          <w:lang w:eastAsia="en-US"/>
        </w:rPr>
        <w:t>…</w:t>
      </w:r>
      <w:r>
        <w:rPr>
          <w:rFonts w:ascii="Palatino Linotype" w:hAnsi="Palatino Linotype" w:cs="Arial"/>
          <w:bCs/>
          <w:i/>
          <w:sz w:val="22"/>
          <w:lang w:eastAsia="en-US"/>
        </w:rPr>
        <w:t>”</w:t>
      </w:r>
    </w:p>
    <w:p w:rsidR="009C55E2" w:rsidRDefault="001A058B">
      <w:pPr>
        <w:spacing w:beforeAutospacing="1" w:afterAutospacing="1" w:line="360" w:lineRule="auto"/>
        <w:jc w:val="both"/>
        <w:rPr>
          <w:rFonts w:ascii="Palatino Linotype" w:hAnsi="Palatino Linotype" w:cs="Arial"/>
        </w:rPr>
      </w:pPr>
      <w:r>
        <w:rPr>
          <w:noProof/>
          <w:lang w:eastAsia="es-MX"/>
        </w:rPr>
        <mc:AlternateContent>
          <mc:Choice Requires="wps">
            <w:drawing>
              <wp:anchor distT="0" distB="0" distL="0" distR="0" simplePos="0" relativeHeight="95" behindDoc="0" locked="0" layoutInCell="1" allowOverlap="1" wp14:anchorId="0C7BB0BD">
                <wp:simplePos x="0" y="0"/>
                <wp:positionH relativeFrom="column">
                  <wp:posOffset>97790</wp:posOffset>
                </wp:positionH>
                <wp:positionV relativeFrom="paragraph">
                  <wp:posOffset>3371215</wp:posOffset>
                </wp:positionV>
                <wp:extent cx="5676265" cy="862330"/>
                <wp:effectExtent l="38100" t="38100" r="59055" b="90805"/>
                <wp:wrapNone/>
                <wp:docPr id="5" name="Conector recto 15"/>
                <wp:cNvGraphicFramePr/>
                <a:graphic xmlns:a="http://schemas.openxmlformats.org/drawingml/2006/main">
                  <a:graphicData uri="http://schemas.microsoft.com/office/word/2010/wordprocessingShape">
                    <wps:wsp>
                      <wps:cNvCnPr/>
                      <wps:spPr>
                        <a:xfrm>
                          <a:off x="0" y="0"/>
                          <a:ext cx="5675760" cy="86184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5.15pt,232.35pt" to="452pt,300.15pt" ID="Conector recto 15" stroked="t" style="position:absolute" wp14:anchorId="0C7BB0BD">
                <v:stroke color="#4f81bd" weight="25560" joinstyle="round" endcap="flat"/>
                <v:fill o:detectmouseclick="t" on="false"/>
                <v:shadow on="t" obscured="f" color="black"/>
              </v:line>
            </w:pict>
          </mc:Fallback>
        </mc:AlternateContent>
      </w:r>
      <w:r>
        <w:rPr>
          <w:rFonts w:ascii="Palatino Linotype" w:hAnsi="Palatino Linotype" w:cs="Arial"/>
        </w:rPr>
        <w:t xml:space="preserve">En ese tenor, uno de los documentos que pudiese contener la fecha de inicio y terminación de los trabajos, es el Programa Anual de Obra Pública 2020, por lo que, conviene remitirnos al Manual para la Planeación, Programación y Presupuesto de Egresos Municipal para el Ejercicio Fiscal 2020, documento que contiene los criterios y lineamientos de carácter general que sustenten jurídica y normativamente, la integración, ejecución y evaluación del presupuesto, a fin de fortalecer la capacidad hacendaria y orientación del Presupuesto de Egresos Municipal, en un entorno de </w:t>
      </w:r>
      <w:r>
        <w:rPr>
          <w:rFonts w:ascii="Palatino Linotype" w:hAnsi="Palatino Linotype" w:cs="Arial"/>
        </w:rPr>
        <w:lastRenderedPageBreak/>
        <w:t>austeridad y disciplina financiera para atender con oportunidad las funciones del quehacer público.</w:t>
      </w:r>
    </w:p>
    <w:p w:rsidR="009C55E2" w:rsidRDefault="001A058B">
      <w:pPr>
        <w:spacing w:line="360" w:lineRule="auto"/>
        <w:jc w:val="both"/>
        <w:rPr>
          <w:rFonts w:ascii="Palatino Linotype" w:hAnsi="Palatino Linotype" w:cs="Arial"/>
        </w:rPr>
      </w:pPr>
      <w:r>
        <w:rPr>
          <w:rFonts w:ascii="Palatino Linotype" w:hAnsi="Palatino Linotype" w:cs="Arial"/>
        </w:rPr>
        <w:t>En dicho cuerpo normativo, se establece que el Presupuesto de Egresos Municipal ocurre en tres fases o etapas para su integración, revisión y autorización final, las cuales se deben lograr en los siguientes términos:</w:t>
      </w:r>
    </w:p>
    <w:p w:rsidR="009C55E2" w:rsidRDefault="001A058B">
      <w:pPr>
        <w:pStyle w:val="Prrafodelista"/>
        <w:numPr>
          <w:ilvl w:val="0"/>
          <w:numId w:val="5"/>
        </w:numPr>
        <w:spacing w:beforeAutospacing="1" w:line="360" w:lineRule="auto"/>
        <w:jc w:val="both"/>
        <w:rPr>
          <w:rFonts w:ascii="Palatino Linotype" w:hAnsi="Palatino Linotype" w:cs="Arial"/>
        </w:rPr>
      </w:pPr>
      <w:r>
        <w:rPr>
          <w:rFonts w:ascii="Palatino Linotype" w:hAnsi="Palatino Linotype" w:cs="Arial"/>
          <w:b/>
        </w:rPr>
        <w:t>Anteproyecto de Presupuesto de Egresos Municipal</w:t>
      </w:r>
      <w:r>
        <w:rPr>
          <w:rFonts w:ascii="Palatino Linotype" w:hAnsi="Palatino Linotype" w:cs="Arial"/>
        </w:rPr>
        <w:t>. -Las Unidades Administrativas de los Municipios presentan a la Tesorería y a la UIPPE municipal el último día hábil anterior al 15 de agosto en términos de artículo 298 del Código Financiero del Estado de México y Municipios;</w:t>
      </w:r>
    </w:p>
    <w:p w:rsidR="009C55E2" w:rsidRDefault="001A058B">
      <w:pPr>
        <w:pStyle w:val="Prrafodelista"/>
        <w:numPr>
          <w:ilvl w:val="0"/>
          <w:numId w:val="5"/>
        </w:numPr>
        <w:spacing w:line="360" w:lineRule="auto"/>
        <w:jc w:val="both"/>
        <w:rPr>
          <w:rFonts w:ascii="Palatino Linotype" w:hAnsi="Palatino Linotype" w:cs="Arial"/>
        </w:rPr>
      </w:pPr>
      <w:r>
        <w:rPr>
          <w:rFonts w:ascii="Palatino Linotype" w:hAnsi="Palatino Linotype" w:cs="Arial"/>
          <w:b/>
        </w:rPr>
        <w:t>Proyecto de Presupuesto de Egresos Municipal</w:t>
      </w:r>
      <w:r>
        <w:rPr>
          <w:rFonts w:ascii="Palatino Linotype" w:hAnsi="Palatino Linotype" w:cs="Arial"/>
        </w:rPr>
        <w:t>. - El Presidente Municipal lo presenta al Ayuntamiento a más tardar el día 20 de diciembre en términos del artículo 302 del Código Financiero del Estado de México y Municipios; y</w:t>
      </w:r>
    </w:p>
    <w:p w:rsidR="009C55E2" w:rsidRDefault="001A058B">
      <w:pPr>
        <w:pStyle w:val="Prrafodelista"/>
        <w:numPr>
          <w:ilvl w:val="0"/>
          <w:numId w:val="5"/>
        </w:numPr>
        <w:spacing w:line="360" w:lineRule="auto"/>
        <w:jc w:val="both"/>
        <w:rPr>
          <w:rFonts w:ascii="Palatino Linotype" w:hAnsi="Palatino Linotype" w:cs="Arial"/>
        </w:rPr>
      </w:pPr>
      <w:r>
        <w:rPr>
          <w:rFonts w:ascii="Palatino Linotype" w:hAnsi="Palatino Linotype" w:cs="Arial"/>
          <w:b/>
        </w:rPr>
        <w:t>Publicación del Presupuesto de Egresos Municipal.</w:t>
      </w:r>
      <w:r>
        <w:rPr>
          <w:rFonts w:ascii="Palatino Linotype" w:hAnsi="Palatino Linotype" w:cs="Arial"/>
        </w:rPr>
        <w:t xml:space="preserve"> - Los Ayuntamientos deberán publicar en la “Gaceta Municipal” a más tardar el 25 de febrero del año para el cual habrá de aplicar dicho presupuesto.</w:t>
      </w:r>
      <w:r>
        <w:rPr>
          <w:rFonts w:ascii="Palatino Linotype" w:hAnsi="Palatino Linotype" w:cs="Arial"/>
        </w:rPr>
        <w:br/>
      </w:r>
    </w:p>
    <w:p w:rsidR="009C55E2" w:rsidRDefault="001A058B">
      <w:pPr>
        <w:spacing w:line="360" w:lineRule="auto"/>
        <w:jc w:val="both"/>
        <w:rPr>
          <w:rFonts w:ascii="Palatino Linotype" w:hAnsi="Palatino Linotype" w:cs="Arial"/>
        </w:rPr>
      </w:pPr>
      <w:r>
        <w:rPr>
          <w:rFonts w:ascii="Palatino Linotype" w:hAnsi="Palatino Linotype" w:cs="Arial"/>
        </w:rPr>
        <w:t xml:space="preserve">Para el asunto que nos ocupa, atenderemos lo relativo a la segunda etapa </w:t>
      </w:r>
      <w:r>
        <w:rPr>
          <w:rFonts w:ascii="Palatino Linotype" w:hAnsi="Palatino Linotype" w:cs="Arial"/>
          <w:i/>
        </w:rPr>
        <w:t>El Proyecto de Presupuesto</w:t>
      </w:r>
      <w:r>
        <w:rPr>
          <w:rFonts w:ascii="Palatino Linotype" w:hAnsi="Palatino Linotype" w:cs="Arial"/>
        </w:rPr>
        <w:t>; considerado como una herramienta de programación anual, que deberá contener sus respectivos objetivos, metas de actividad e indicadores, mismos que deberán alinearse al Plan de Desarrollo Municipal correspondiente. Asimismo, deberán vincularse al cumplimiento de las metas de los Objetivos para el Desarrollo Sostenible (ODS).</w:t>
      </w:r>
    </w:p>
    <w:p w:rsidR="009C55E2" w:rsidRDefault="001A058B">
      <w:pPr>
        <w:spacing w:beforeAutospacing="1" w:afterAutospacing="1" w:line="360" w:lineRule="auto"/>
        <w:jc w:val="both"/>
        <w:rPr>
          <w:rFonts w:ascii="Palatino Linotype" w:hAnsi="Palatino Linotype" w:cs="Arial"/>
        </w:rPr>
      </w:pPr>
      <w:r>
        <w:rPr>
          <w:rFonts w:ascii="Palatino Linotype" w:hAnsi="Palatino Linotype" w:cs="Arial"/>
        </w:rPr>
        <w:lastRenderedPageBreak/>
        <w:t>Una vez que la  Tesorería y la UIPPE o su equivalente en el ámbito de sus respectivas competencias, realicen los análisis de la información vertida en el Proyecto de Presupuesto de Egresos Municipal para su determinación, este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p>
    <w:p w:rsidR="009C55E2" w:rsidRDefault="001A058B">
      <w:pPr>
        <w:spacing w:beforeAutospacing="1" w:afterAutospacing="1" w:line="360" w:lineRule="auto"/>
        <w:jc w:val="both"/>
        <w:rPr>
          <w:rFonts w:ascii="Palatino Linotype" w:hAnsi="Palatino Linotype" w:cs="Arial"/>
        </w:rPr>
      </w:pPr>
      <w:r>
        <w:rPr>
          <w:rFonts w:ascii="Palatino Linotype" w:hAnsi="Palatino Linotype" w:cs="Arial"/>
        </w:rPr>
        <w:t>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 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de egresos Municipal, lo siguiente:</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Formatos del Programa Anual (PbRM-01 en todas sus series), así como el PbRM-02a “Calendarización de Metas de actividad”</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Presupuesto de Egresos Detallado (PbRM-04a).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Presupuesto de Egresos por Objeto del Gasto y Dependencia General (PbRM-04b).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Egreso Global Calendarizado (PbRM-04c).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Carátula de Presupuesto de Egresos (PbRM-04d).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lastRenderedPageBreak/>
        <w:t>Información Vinculada al Proyecto de Presupuesto de Egresos.</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Tabulador de Sueldos (PbRM-05).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b/>
          <w:i/>
          <w:sz w:val="22"/>
        </w:rPr>
        <w:t>El Programa Anual de Obra (PbRM E-07a)</w:t>
      </w:r>
      <w:r>
        <w:rPr>
          <w:rFonts w:ascii="Palatino Linotype" w:hAnsi="Palatino Linotype" w:cs="Arial"/>
          <w:i/>
          <w:sz w:val="22"/>
        </w:rPr>
        <w:t xml:space="preserve"> y el Programa Anual de Reparaciones y Mantenimiento (PbRM E-07b). -</w:t>
      </w:r>
    </w:p>
    <w:p w:rsidR="009C55E2" w:rsidRDefault="001A058B">
      <w:pPr>
        <w:pStyle w:val="Prrafodelista"/>
        <w:numPr>
          <w:ilvl w:val="0"/>
          <w:numId w:val="6"/>
        </w:numPr>
        <w:spacing w:line="360" w:lineRule="auto"/>
        <w:ind w:left="993" w:right="814" w:hanging="284"/>
        <w:contextualSpacing/>
        <w:jc w:val="both"/>
        <w:rPr>
          <w:rFonts w:ascii="Palatino Linotype" w:hAnsi="Palatino Linotype" w:cs="Arial"/>
          <w:i/>
          <w:sz w:val="22"/>
        </w:rPr>
      </w:pPr>
      <w:r>
        <w:rPr>
          <w:rFonts w:ascii="Palatino Linotype" w:hAnsi="Palatino Linotype" w:cs="Arial"/>
          <w:i/>
          <w:sz w:val="22"/>
        </w:rPr>
        <w:t xml:space="preserve">El Programa Anual de Adquisiciones (PbRM-06). </w:t>
      </w:r>
    </w:p>
    <w:p w:rsidR="009C55E2" w:rsidRDefault="001A058B">
      <w:pPr>
        <w:spacing w:beforeAutospacing="1" w:afterAutospacing="1" w:line="360" w:lineRule="auto"/>
        <w:jc w:val="both"/>
        <w:rPr>
          <w:rFonts w:ascii="Palatino Linotype" w:hAnsi="Palatino Linotype" w:cs="Arial"/>
        </w:rPr>
      </w:pPr>
      <w:r>
        <w:rPr>
          <w:noProof/>
          <w:lang w:eastAsia="es-MX"/>
        </w:rPr>
        <w:drawing>
          <wp:inline distT="0" distB="0" distL="0" distR="0">
            <wp:extent cx="5943600" cy="422910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2"/>
                    <a:srcRect l="22866" t="27195" r="24682" b="27864"/>
                    <a:stretch>
                      <a:fillRect/>
                    </a:stretch>
                  </pic:blipFill>
                  <pic:spPr bwMode="auto">
                    <a:xfrm>
                      <a:off x="0" y="0"/>
                      <a:ext cx="5943600" cy="4229100"/>
                    </a:xfrm>
                    <a:prstGeom prst="rect">
                      <a:avLst/>
                    </a:prstGeom>
                  </pic:spPr>
                </pic:pic>
              </a:graphicData>
            </a:graphic>
          </wp:inline>
        </w:drawing>
      </w:r>
    </w:p>
    <w:p w:rsidR="009C55E2" w:rsidRDefault="001A058B">
      <w:pPr>
        <w:spacing w:beforeAutospacing="1" w:afterAutospacing="1" w:line="360" w:lineRule="auto"/>
        <w:jc w:val="both"/>
        <w:rPr>
          <w:rFonts w:ascii="Palatino Linotype" w:hAnsi="Palatino Linotype" w:cs="Arial"/>
        </w:rPr>
      </w:pPr>
      <w:r>
        <w:rPr>
          <w:rFonts w:ascii="Palatino Linotype" w:hAnsi="Palatino Linotype" w:cs="Arial"/>
        </w:rPr>
        <w:t xml:space="preserve">Resalta de la trascripción anterior, el Programa Anual de Obra (PbRM E-07a), precisamente el documento al que pretende acceder el particular; es decir, indicando la fuente de financiamiento para cada obra, situación que se actualiza en el presente caso ya que en el apartado denominado </w:t>
      </w:r>
      <w:r>
        <w:rPr>
          <w:rFonts w:ascii="Palatino Linotype" w:hAnsi="Palatino Linotype" w:cs="Arial"/>
          <w:i/>
        </w:rPr>
        <w:t xml:space="preserve">“Clave programática: (FIN, FUN, SF, Pp, SP, PY, </w:t>
      </w:r>
      <w:r>
        <w:rPr>
          <w:rFonts w:ascii="Palatino Linotype" w:hAnsi="Palatino Linotype" w:cs="Arial"/>
          <w:i/>
        </w:rPr>
        <w:lastRenderedPageBreak/>
        <w:t xml:space="preserve">FF)” </w:t>
      </w:r>
      <w:r>
        <w:rPr>
          <w:rFonts w:ascii="Palatino Linotype" w:hAnsi="Palatino Linotype" w:cs="Arial"/>
        </w:rPr>
        <w:t xml:space="preserve">del formato que a continuación se inserta, el instructivo de llenado señala que dicho rubro se refiere a las claves de Finalidad (FIN), Función (FUN), Subfunción (SF), Programa presupuestario (Pp), Subprograma (SP), Proyecto (PY) y </w:t>
      </w:r>
      <w:r>
        <w:rPr>
          <w:rFonts w:ascii="Palatino Linotype" w:hAnsi="Palatino Linotype" w:cs="Arial"/>
          <w:b/>
        </w:rPr>
        <w:t>Fuente de Financiamiento (FF)</w:t>
      </w:r>
      <w:r>
        <w:rPr>
          <w:rFonts w:ascii="Palatino Linotype" w:hAnsi="Palatino Linotype" w:cs="Arial"/>
        </w:rPr>
        <w:t>, de acuerdo a la Clasificación Funcional Programática Municipal vigente, la denominación de estos campos se anotará en la columna de concepto.</w:t>
      </w:r>
    </w:p>
    <w:p w:rsidR="009C55E2" w:rsidRDefault="001A058B">
      <w:pPr>
        <w:spacing w:beforeAutospacing="1" w:afterAutospacing="1" w:line="360" w:lineRule="auto"/>
        <w:jc w:val="both"/>
        <w:rPr>
          <w:rFonts w:ascii="Palatino Linotype" w:hAnsi="Palatino Linotype" w:cs="Arial"/>
        </w:rPr>
      </w:pPr>
      <w:r>
        <w:rPr>
          <w:noProof/>
          <w:lang w:eastAsia="es-MX"/>
        </w:rPr>
        <w:drawing>
          <wp:inline distT="0" distB="0" distL="0" distR="0">
            <wp:extent cx="5761990" cy="5324475"/>
            <wp:effectExtent l="0" t="0" r="0" b="9525"/>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3"/>
                    <a:srcRect l="9545" t="15349" r="8072" b="16683"/>
                    <a:stretch>
                      <a:fillRect/>
                    </a:stretch>
                  </pic:blipFill>
                  <pic:spPr bwMode="auto">
                    <a:xfrm>
                      <a:off x="0" y="0"/>
                      <a:ext cx="5761990" cy="5324475"/>
                    </a:xfrm>
                    <a:prstGeom prst="rect">
                      <a:avLst/>
                    </a:prstGeom>
                  </pic:spPr>
                </pic:pic>
              </a:graphicData>
            </a:graphic>
          </wp:inline>
        </w:drawing>
      </w:r>
    </w:p>
    <w:p w:rsidR="009C55E2" w:rsidRDefault="001A058B">
      <w:pPr>
        <w:spacing w:line="360" w:lineRule="auto"/>
        <w:jc w:val="both"/>
        <w:rPr>
          <w:rFonts w:ascii="Palatino Linotype" w:hAnsi="Palatino Linotype" w:cs="Arial"/>
          <w:lang w:val="es-ES"/>
        </w:rPr>
      </w:pPr>
      <w:r>
        <w:rPr>
          <w:noProof/>
          <w:lang w:eastAsia="es-MX"/>
        </w:rPr>
        <w:lastRenderedPageBreak/>
        <mc:AlternateContent>
          <mc:Choice Requires="wps">
            <w:drawing>
              <wp:anchor distT="0" distB="0" distL="0" distR="0" simplePos="0" relativeHeight="92" behindDoc="0" locked="0" layoutInCell="1" allowOverlap="1" wp14:anchorId="3C50CF9D">
                <wp:simplePos x="0" y="0"/>
                <wp:positionH relativeFrom="column">
                  <wp:posOffset>-5080</wp:posOffset>
                </wp:positionH>
                <wp:positionV relativeFrom="paragraph">
                  <wp:posOffset>983615</wp:posOffset>
                </wp:positionV>
                <wp:extent cx="5748655" cy="302260"/>
                <wp:effectExtent l="57150" t="19050" r="81915" b="99060"/>
                <wp:wrapNone/>
                <wp:docPr id="8" name="Rectángulo 12"/>
                <wp:cNvGraphicFramePr/>
                <a:graphic xmlns:a="http://schemas.openxmlformats.org/drawingml/2006/main">
                  <a:graphicData uri="http://schemas.microsoft.com/office/word/2010/wordprocessingShape">
                    <wps:wsp>
                      <wps:cNvSpPr/>
                      <wps:spPr>
                        <a:xfrm>
                          <a:off x="0" y="0"/>
                          <a:ext cx="5748120" cy="30168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2" stroked="t" style="position:absolute;margin-left:-0.4pt;margin-top:77.45pt;width:452.55pt;height:23.7pt" wp14:anchorId="3C50CF9D">
                <w10:wrap type="none"/>
                <v:fill o:detectmouseclick="t" on="false"/>
                <v:stroke color="red" weight="19080" joinstyle="round" endcap="flat"/>
                <v:shadow on="t" obscured="f" color="black"/>
              </v:rect>
            </w:pict>
          </mc:Fallback>
        </mc:AlternateContent>
      </w:r>
      <w:r>
        <w:rPr>
          <w:noProof/>
          <w:lang w:eastAsia="es-MX"/>
        </w:rPr>
        <w:drawing>
          <wp:inline distT="0" distB="0" distL="0" distR="0">
            <wp:extent cx="5781675" cy="5191125"/>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4"/>
                    <a:srcRect l="13158" t="31580" r="14155" b="6156"/>
                    <a:stretch>
                      <a:fillRect/>
                    </a:stretch>
                  </pic:blipFill>
                  <pic:spPr bwMode="auto">
                    <a:xfrm>
                      <a:off x="0" y="0"/>
                      <a:ext cx="5781675" cy="5191125"/>
                    </a:xfrm>
                    <a:prstGeom prst="rect">
                      <a:avLst/>
                    </a:prstGeom>
                  </pic:spPr>
                </pic:pic>
              </a:graphicData>
            </a:graphic>
          </wp:inline>
        </w:drawing>
      </w:r>
      <w:r>
        <w:rPr>
          <w:rFonts w:ascii="Palatino Linotype" w:hAnsi="Palatino Linotype" w:cs="Arial"/>
          <w:lang w:val="es-ES"/>
        </w:rPr>
        <w:t xml:space="preserve"> </w:t>
      </w:r>
    </w:p>
    <w:p w:rsidR="009C55E2" w:rsidRDefault="009C55E2">
      <w:pPr>
        <w:spacing w:line="360" w:lineRule="auto"/>
        <w:jc w:val="both"/>
        <w:rPr>
          <w:rFonts w:ascii="Palatino Linotype" w:hAnsi="Palatino Linotype" w:cs="Arial"/>
          <w:lang w:val="es-ES"/>
        </w:rPr>
      </w:pPr>
    </w:p>
    <w:p w:rsidR="009C55E2" w:rsidRDefault="001A058B">
      <w:pPr>
        <w:spacing w:line="360" w:lineRule="auto"/>
        <w:jc w:val="both"/>
        <w:rPr>
          <w:rFonts w:ascii="Palatino Linotype" w:hAnsi="Palatino Linotype" w:cs="Arial"/>
          <w:lang w:val="es-ES"/>
        </w:rPr>
      </w:pPr>
      <w:r>
        <w:rPr>
          <w:rFonts w:ascii="Palatino Linotype" w:hAnsi="Palatino Linotype" w:cs="Arial"/>
          <w:lang w:val="es-ES"/>
        </w:rPr>
        <w:t xml:space="preserve">De las imágenes anteriores, se advierten rubros específicos que debe contener la información solicitada como son Nombre de Obra, Tipo de Ejecución, Ubicación, Población Beneficiada, Tipo de Ejecución, periodo de inicio y termino, entre otros y al formar parte de Proyecto de Presupuso de Egresos Municipal, debió emitirse a más tardar el 20 de diciembre de 2019; adicionalmente los Lineamientos para la Entrega del </w:t>
      </w:r>
      <w:r>
        <w:rPr>
          <w:rFonts w:ascii="Palatino Linotype" w:hAnsi="Palatino Linotype" w:cs="Arial"/>
          <w:lang w:val="es-ES"/>
        </w:rPr>
        <w:lastRenderedPageBreak/>
        <w:t>Presupuesto de Egresos Municipal 2020, los cuales, son una herramienta que coadyuva a las entidades municipales en la entrega del Presupuesto de Egresos Municipal de acuerdo a la normatividad vigente, conforme a los formatos presupuestarios de conformidad con la Ley de Disciplina Financiera de las Entidades Federativas y los Municipios y el Manual para la Planeación, Programación y Presupuesto de Egresos Municipal para el Ejercicio Fiscal 2020, refiere los siguientes formatos para el Programa Anual de Obra pública:</w:t>
      </w:r>
    </w:p>
    <w:p w:rsidR="009C55E2" w:rsidRDefault="001A058B">
      <w:pPr>
        <w:spacing w:line="360" w:lineRule="auto"/>
        <w:jc w:val="both"/>
        <w:rPr>
          <w:rFonts w:ascii="Palatino Linotype" w:hAnsi="Palatino Linotype" w:cs="Arial"/>
          <w:lang w:val="es-ES"/>
        </w:rPr>
      </w:pPr>
      <w:r>
        <w:rPr>
          <w:noProof/>
          <w:lang w:eastAsia="es-MX"/>
        </w:rPr>
        <w:drawing>
          <wp:inline distT="0" distB="0" distL="0" distR="0">
            <wp:extent cx="5771515" cy="4893310"/>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pic:cNvPicPr>
                      <a:picLocks noChangeAspect="1" noChangeArrowheads="1"/>
                    </pic:cNvPicPr>
                  </pic:nvPicPr>
                  <pic:blipFill>
                    <a:blip r:embed="rId15"/>
                    <a:srcRect l="9213" t="16668" r="6588" b="6599"/>
                    <a:stretch>
                      <a:fillRect/>
                    </a:stretch>
                  </pic:blipFill>
                  <pic:spPr bwMode="auto">
                    <a:xfrm>
                      <a:off x="0" y="0"/>
                      <a:ext cx="5771515" cy="4893310"/>
                    </a:xfrm>
                    <a:prstGeom prst="rect">
                      <a:avLst/>
                    </a:prstGeom>
                  </pic:spPr>
                </pic:pic>
              </a:graphicData>
            </a:graphic>
          </wp:inline>
        </w:drawing>
      </w:r>
    </w:p>
    <w:p w:rsidR="009C55E2" w:rsidRDefault="009C55E2">
      <w:pPr>
        <w:spacing w:line="360" w:lineRule="auto"/>
        <w:jc w:val="both"/>
        <w:rPr>
          <w:rFonts w:ascii="Palatino Linotype" w:hAnsi="Palatino Linotype" w:cs="Arial"/>
          <w:lang w:val="es-ES"/>
        </w:rPr>
      </w:pPr>
    </w:p>
    <w:p w:rsidR="009C55E2" w:rsidRDefault="001A058B">
      <w:pPr>
        <w:spacing w:line="360" w:lineRule="auto"/>
        <w:jc w:val="both"/>
        <w:rPr>
          <w:rFonts w:ascii="Palatino Linotype" w:hAnsi="Palatino Linotype" w:cs="Arial"/>
          <w:lang w:val="es-ES"/>
        </w:rPr>
      </w:pPr>
      <w:r>
        <w:rPr>
          <w:noProof/>
          <w:lang w:eastAsia="es-MX"/>
        </w:rPr>
        <w:drawing>
          <wp:inline distT="0" distB="0" distL="0" distR="0">
            <wp:extent cx="5847715" cy="6480810"/>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
                    <pic:cNvPicPr>
                      <a:picLocks noChangeAspect="1" noChangeArrowheads="1"/>
                    </pic:cNvPicPr>
                  </pic:nvPicPr>
                  <pic:blipFill>
                    <a:blip r:embed="rId16"/>
                    <a:srcRect l="10722" t="20832" r="15879" b="14272"/>
                    <a:stretch>
                      <a:fillRect/>
                    </a:stretch>
                  </pic:blipFill>
                  <pic:spPr bwMode="auto">
                    <a:xfrm>
                      <a:off x="0" y="0"/>
                      <a:ext cx="5847715" cy="6480810"/>
                    </a:xfrm>
                    <a:prstGeom prst="rect">
                      <a:avLst/>
                    </a:prstGeom>
                  </pic:spPr>
                </pic:pic>
              </a:graphicData>
            </a:graphic>
          </wp:inline>
        </w:drawing>
      </w:r>
    </w:p>
    <w:p w:rsidR="009C55E2" w:rsidRDefault="001A058B">
      <w:pPr>
        <w:spacing w:line="360" w:lineRule="auto"/>
        <w:jc w:val="both"/>
        <w:rPr>
          <w:rFonts w:ascii="Palatino Linotype" w:hAnsi="Palatino Linotype" w:cs="Arial"/>
          <w:lang w:val="es-ES"/>
        </w:rPr>
      </w:pPr>
      <w:r>
        <w:rPr>
          <w:noProof/>
          <w:lang w:eastAsia="es-MX"/>
        </w:rPr>
        <w:lastRenderedPageBreak/>
        <w:drawing>
          <wp:inline distT="0" distB="0" distL="0" distR="0">
            <wp:extent cx="5838825" cy="7277100"/>
            <wp:effectExtent l="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pic:cNvPicPr>
                      <a:picLocks noChangeAspect="1" noChangeArrowheads="1"/>
                    </pic:cNvPicPr>
                  </pic:nvPicPr>
                  <pic:blipFill>
                    <a:blip r:embed="rId17"/>
                    <a:srcRect l="25656" t="15349" r="25176" b="6156"/>
                    <a:stretch>
                      <a:fillRect/>
                    </a:stretch>
                  </pic:blipFill>
                  <pic:spPr bwMode="auto">
                    <a:xfrm>
                      <a:off x="0" y="0"/>
                      <a:ext cx="5838825" cy="7277100"/>
                    </a:xfrm>
                    <a:prstGeom prst="rect">
                      <a:avLst/>
                    </a:prstGeom>
                  </pic:spPr>
                </pic:pic>
              </a:graphicData>
            </a:graphic>
          </wp:inline>
        </w:drawing>
      </w:r>
      <w:r>
        <w:rPr>
          <w:noProof/>
          <w:lang w:eastAsia="es-MX"/>
        </w:rPr>
        <mc:AlternateContent>
          <mc:Choice Requires="wps">
            <w:drawing>
              <wp:anchor distT="0" distB="0" distL="0" distR="0" simplePos="0" relativeHeight="93" behindDoc="0" locked="0" layoutInCell="1" allowOverlap="1" wp14:anchorId="46413D80">
                <wp:simplePos x="0" y="0"/>
                <wp:positionH relativeFrom="column">
                  <wp:posOffset>-85090</wp:posOffset>
                </wp:positionH>
                <wp:positionV relativeFrom="paragraph">
                  <wp:posOffset>4841875</wp:posOffset>
                </wp:positionV>
                <wp:extent cx="5919470" cy="553085"/>
                <wp:effectExtent l="57150" t="38100" r="81915" b="95250"/>
                <wp:wrapNone/>
                <wp:docPr id="12" name="Rectángulo 13"/>
                <wp:cNvGraphicFramePr/>
                <a:graphic xmlns:a="http://schemas.openxmlformats.org/drawingml/2006/main">
                  <a:graphicData uri="http://schemas.microsoft.com/office/word/2010/wordprocessingShape">
                    <wps:wsp>
                      <wps:cNvSpPr/>
                      <wps:spPr>
                        <a:xfrm>
                          <a:off x="0" y="0"/>
                          <a:ext cx="5918760" cy="55260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3" stroked="t" style="position:absolute;margin-left:-6.7pt;margin-top:381.25pt;width:466pt;height:43.45pt" wp14:anchorId="46413D80">
                <w10:wrap type="none"/>
                <v:fill o:detectmouseclick="t" on="false"/>
                <v:stroke color="red" weight="28440" joinstyle="round" endcap="flat"/>
                <v:shadow on="t" obscured="f" color="black"/>
              </v:rect>
            </w:pict>
          </mc:Fallback>
        </mc:AlternateContent>
      </w:r>
    </w:p>
    <w:p w:rsidR="009C55E2" w:rsidRDefault="001A058B">
      <w:pPr>
        <w:spacing w:line="360" w:lineRule="auto"/>
        <w:jc w:val="both"/>
        <w:rPr>
          <w:rFonts w:ascii="Palatino Linotype" w:hAnsi="Palatino Linotype" w:cs="Arial"/>
          <w:lang w:val="es-ES"/>
        </w:rPr>
      </w:pPr>
      <w:r>
        <w:rPr>
          <w:noProof/>
          <w:lang w:eastAsia="es-MX"/>
        </w:rPr>
        <w:lastRenderedPageBreak/>
        <mc:AlternateContent>
          <mc:Choice Requires="wps">
            <w:drawing>
              <wp:anchor distT="0" distB="0" distL="0" distR="0" simplePos="0" relativeHeight="94" behindDoc="0" locked="0" layoutInCell="1" allowOverlap="1" wp14:anchorId="15837740">
                <wp:simplePos x="0" y="0"/>
                <wp:positionH relativeFrom="column">
                  <wp:posOffset>5080</wp:posOffset>
                </wp:positionH>
                <wp:positionV relativeFrom="paragraph">
                  <wp:posOffset>1003935</wp:posOffset>
                </wp:positionV>
                <wp:extent cx="5543550" cy="382905"/>
                <wp:effectExtent l="57150" t="38100" r="76835" b="94615"/>
                <wp:wrapNone/>
                <wp:docPr id="14" name="Rectángulo 14"/>
                <wp:cNvGraphicFramePr/>
                <a:graphic xmlns:a="http://schemas.openxmlformats.org/drawingml/2006/main">
                  <a:graphicData uri="http://schemas.microsoft.com/office/word/2010/wordprocessingShape">
                    <wps:wsp>
                      <wps:cNvSpPr/>
                      <wps:spPr>
                        <a:xfrm>
                          <a:off x="0" y="0"/>
                          <a:ext cx="5542920" cy="38232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4" stroked="t" style="position:absolute;margin-left:0.4pt;margin-top:79.05pt;width:436.4pt;height:30.05pt" wp14:anchorId="15837740">
                <w10:wrap type="none"/>
                <v:fill o:detectmouseclick="t" on="false"/>
                <v:stroke color="red" weight="28440" joinstyle="round" endcap="flat"/>
                <v:shadow on="t" obscured="f" color="black"/>
              </v:rect>
            </w:pict>
          </mc:Fallback>
        </mc:AlternateContent>
      </w:r>
      <w:r>
        <w:rPr>
          <w:noProof/>
          <w:lang w:eastAsia="es-MX"/>
        </w:rPr>
        <w:drawing>
          <wp:inline distT="0" distB="0" distL="0" distR="0">
            <wp:extent cx="5553075" cy="4105275"/>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pic:cNvPicPr>
                      <a:picLocks noChangeAspect="1" noChangeArrowheads="1"/>
                    </pic:cNvPicPr>
                  </pic:nvPicPr>
                  <pic:blipFill>
                    <a:blip r:embed="rId18"/>
                    <a:srcRect l="26154" t="19956" r="25014" b="28740"/>
                    <a:stretch>
                      <a:fillRect/>
                    </a:stretch>
                  </pic:blipFill>
                  <pic:spPr bwMode="auto">
                    <a:xfrm>
                      <a:off x="0" y="0"/>
                      <a:ext cx="5553075" cy="4105275"/>
                    </a:xfrm>
                    <a:prstGeom prst="rect">
                      <a:avLst/>
                    </a:prstGeom>
                  </pic:spPr>
                </pic:pic>
              </a:graphicData>
            </a:graphic>
          </wp:inline>
        </w:drawing>
      </w:r>
      <w:r>
        <w:rPr>
          <w:rFonts w:ascii="Palatino Linotype" w:hAnsi="Palatino Linotype" w:cs="Arial"/>
          <w:lang w:val="es-ES"/>
        </w:rPr>
        <w:t xml:space="preserve"> Atento a los formatos, criterios y especificaciones, de manera precisa se anuncia en el Programa Anual de Obra, el periodo de ejecución de las obras a realizar, por lo que, </w:t>
      </w:r>
      <w:r>
        <w:rPr>
          <w:rFonts w:ascii="Palatino Linotype" w:hAnsi="Palatino Linotype" w:cs="Arial"/>
          <w:b/>
          <w:lang w:val="es-ES"/>
        </w:rPr>
        <w:t xml:space="preserve">EL SUJETO OBLIGADO, </w:t>
      </w:r>
      <w:r>
        <w:rPr>
          <w:rFonts w:ascii="Palatino Linotype" w:hAnsi="Palatino Linotype" w:cs="Arial"/>
          <w:lang w:val="es-ES"/>
        </w:rPr>
        <w:t>se encuentra constreñido a generar la información solicitada concerniente a la fecha de inicio y terminación de todas las obras realizadas.</w:t>
      </w:r>
    </w:p>
    <w:p w:rsidR="009C55E2" w:rsidRDefault="009C55E2">
      <w:pPr>
        <w:spacing w:line="360" w:lineRule="auto"/>
        <w:jc w:val="both"/>
        <w:rPr>
          <w:rFonts w:ascii="Palatino Linotype" w:hAnsi="Palatino Linotype" w:cs="Arial"/>
        </w:rPr>
      </w:pPr>
    </w:p>
    <w:p w:rsidR="009C55E2" w:rsidRDefault="001A058B">
      <w:pPr>
        <w:spacing w:line="360" w:lineRule="auto"/>
        <w:jc w:val="both"/>
        <w:rPr>
          <w:rFonts w:ascii="Palatino Linotype" w:hAnsi="Palatino Linotype" w:cs="Arial"/>
        </w:rPr>
      </w:pPr>
      <w:r>
        <w:rPr>
          <w:rFonts w:ascii="Palatino Linotype" w:hAnsi="Palatino Linotype" w:cs="Arial"/>
        </w:rPr>
        <w:t xml:space="preserve">En mismo orden de ideas, la realización de las obras, se materializa a través del procedimiento de licitación, o bien, de manera excepcional, mediante los procedimientos de invitación restringida y adjudicación directa, en cuyos casos, se requiere la generación de diversa información, entre ella, </w:t>
      </w:r>
      <w:r>
        <w:rPr>
          <w:rFonts w:ascii="Palatino Linotype" w:hAnsi="Palatino Linotype" w:cs="Arial"/>
          <w:b/>
        </w:rPr>
        <w:t>de manera enunciativa más no limitativa</w:t>
      </w:r>
      <w:r>
        <w:rPr>
          <w:rFonts w:ascii="Palatino Linotype" w:hAnsi="Palatino Linotype" w:cs="Arial"/>
        </w:rPr>
        <w:t>, la referida en el artículo 92, fracción XXIX, de la Ley de la materia:</w:t>
      </w:r>
    </w:p>
    <w:p w:rsidR="009C55E2" w:rsidRDefault="009C55E2">
      <w:pPr>
        <w:jc w:val="both"/>
        <w:rPr>
          <w:rFonts w:ascii="Palatino Linotype" w:hAnsi="Palatino Linotype" w:cs="Arial"/>
        </w:rPr>
      </w:pPr>
    </w:p>
    <w:p w:rsidR="009C55E2" w:rsidRDefault="001A058B">
      <w:pPr>
        <w:ind w:left="851" w:right="90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92</w:t>
      </w:r>
      <w:r>
        <w:rPr>
          <w:rFonts w:ascii="Palatino Linotype" w:hAnsi="Palatino Linotype"/>
          <w:i/>
          <w:sz w:val="22"/>
          <w:szCs w:val="22"/>
        </w:rPr>
        <w:t xml:space="preserve">. </w:t>
      </w:r>
      <w:r>
        <w:rPr>
          <w:rFonts w:ascii="Palatino Linotype" w:hAnsi="Palatino Linotype"/>
          <w:b/>
          <w:i/>
          <w:sz w:val="22"/>
          <w:szCs w:val="22"/>
          <w:u w:val="single"/>
        </w:rPr>
        <w:t>Los sujetos obligados deberán poner a disposición del público de manera permanente y actualizada de forma sencilla</w:t>
      </w:r>
      <w:r>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Pr>
          <w:rFonts w:ascii="Palatino Linotype" w:hAnsi="Palatino Linotype"/>
          <w:b/>
          <w:i/>
          <w:sz w:val="22"/>
          <w:szCs w:val="22"/>
          <w:u w:val="single"/>
        </w:rPr>
        <w:t>por lo menos</w:t>
      </w:r>
      <w:r>
        <w:rPr>
          <w:rFonts w:ascii="Palatino Linotype" w:hAnsi="Palatino Linotype"/>
          <w:i/>
          <w:sz w:val="22"/>
          <w:szCs w:val="22"/>
        </w:rPr>
        <w:t xml:space="preserve">, de los temas, </w:t>
      </w:r>
      <w:r>
        <w:rPr>
          <w:rFonts w:ascii="Palatino Linotype" w:hAnsi="Palatino Linotype"/>
          <w:b/>
          <w:i/>
          <w:sz w:val="22"/>
          <w:szCs w:val="22"/>
          <w:u w:val="single"/>
        </w:rPr>
        <w:t>documentos y políticas que a continuación se señalan</w:t>
      </w:r>
      <w:r>
        <w:rPr>
          <w:rFonts w:ascii="Palatino Linotype" w:hAnsi="Palatino Linotype"/>
          <w:i/>
          <w:sz w:val="22"/>
          <w:szCs w:val="22"/>
        </w:rPr>
        <w:t xml:space="preserve">: </w:t>
      </w:r>
    </w:p>
    <w:p w:rsidR="009C55E2" w:rsidRDefault="001A058B">
      <w:pPr>
        <w:ind w:left="851" w:right="901"/>
        <w:jc w:val="both"/>
        <w:rPr>
          <w:rFonts w:ascii="Palatino Linotype" w:hAnsi="Palatino Linotype"/>
          <w:i/>
          <w:sz w:val="22"/>
          <w:szCs w:val="22"/>
        </w:rPr>
      </w:pPr>
      <w:r>
        <w:rPr>
          <w:rFonts w:ascii="Palatino Linotype" w:hAnsi="Palatino Linotype"/>
          <w:i/>
          <w:sz w:val="22"/>
          <w:szCs w:val="22"/>
        </w:rPr>
        <w:t>[…]</w:t>
      </w:r>
    </w:p>
    <w:p w:rsidR="009C55E2" w:rsidRDefault="001A058B">
      <w:pPr>
        <w:ind w:left="851"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b/>
          <w:bCs/>
          <w:i/>
          <w:sz w:val="22"/>
          <w:szCs w:val="22"/>
          <w:lang w:eastAsia="en-US"/>
        </w:rPr>
        <w:t xml:space="preserve">XXIX. </w:t>
      </w:r>
      <w:r>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Pr>
          <w:rFonts w:ascii="Palatino Linotype" w:eastAsiaTheme="minorHAnsi" w:hAnsi="Palatino Linotype" w:cs="Bookman Old Style"/>
          <w:i/>
          <w:sz w:val="22"/>
          <w:szCs w:val="22"/>
          <w:lang w:eastAsia="en-US"/>
        </w:rPr>
        <w:t xml:space="preserve">, </w:t>
      </w:r>
      <w:r>
        <w:rPr>
          <w:rFonts w:ascii="Palatino Linotype" w:eastAsiaTheme="minorHAnsi" w:hAnsi="Palatino Linotype" w:cs="Bookman Old Style"/>
          <w:b/>
          <w:i/>
          <w:sz w:val="22"/>
          <w:szCs w:val="22"/>
          <w:u w:val="single"/>
          <w:lang w:eastAsia="en-US"/>
        </w:rPr>
        <w:t>incluyendo la versión pública del expediente respectivo y de los contratos celebrados</w:t>
      </w:r>
      <w:r>
        <w:rPr>
          <w:rFonts w:ascii="Palatino Linotype" w:eastAsiaTheme="minorHAnsi" w:hAnsi="Palatino Linotype" w:cs="Bookman Old Style"/>
          <w:i/>
          <w:sz w:val="22"/>
          <w:szCs w:val="22"/>
          <w:lang w:eastAsia="en-US"/>
        </w:rPr>
        <w:t xml:space="preserve">, que deberán contener, por los menos, lo siguiente: </w:t>
      </w:r>
    </w:p>
    <w:p w:rsidR="009C55E2" w:rsidRDefault="001A058B">
      <w:pPr>
        <w:ind w:left="851"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b/>
          <w:bCs/>
          <w:i/>
          <w:sz w:val="22"/>
          <w:szCs w:val="22"/>
          <w:lang w:eastAsia="en-US"/>
        </w:rPr>
        <w:t>a)</w:t>
      </w:r>
      <w:r>
        <w:rPr>
          <w:rFonts w:ascii="Palatino Linotype" w:eastAsiaTheme="minorHAnsi" w:hAnsi="Palatino Linotype" w:cs="Bookman Old Style"/>
          <w:b/>
          <w:bCs/>
          <w:i/>
          <w:sz w:val="22"/>
          <w:szCs w:val="22"/>
          <w:lang w:eastAsia="en-US"/>
        </w:rPr>
        <w:tab/>
      </w:r>
      <w:r>
        <w:rPr>
          <w:rFonts w:ascii="Palatino Linotype" w:eastAsiaTheme="minorHAnsi" w:hAnsi="Palatino Linotype" w:cs="Bookman Old Style"/>
          <w:b/>
          <w:i/>
          <w:sz w:val="22"/>
          <w:szCs w:val="22"/>
          <w:u w:val="single"/>
          <w:lang w:eastAsia="en-US"/>
        </w:rPr>
        <w:t>De licitaciones públicas o procedimientos de invitación restringida</w:t>
      </w:r>
      <w:r>
        <w:rPr>
          <w:rFonts w:ascii="Palatino Linotype" w:eastAsiaTheme="minorHAnsi" w:hAnsi="Palatino Linotype" w:cs="Bookman Old Style"/>
          <w:i/>
          <w:sz w:val="22"/>
          <w:szCs w:val="22"/>
          <w:lang w:eastAsia="en-US"/>
        </w:rPr>
        <w:t xml:space="preserve">: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w:t>
      </w:r>
      <w:r>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2)</w:t>
      </w:r>
      <w:r>
        <w:rPr>
          <w:rFonts w:ascii="Palatino Linotype" w:eastAsiaTheme="minorHAnsi" w:hAnsi="Palatino Linotype" w:cs="Bookman Old Style"/>
          <w:i/>
          <w:sz w:val="22"/>
          <w:szCs w:val="22"/>
          <w:lang w:eastAsia="en-US"/>
        </w:rPr>
        <w:tab/>
        <w:t xml:space="preserve">Los nombres de los participantes o invitados;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3)</w:t>
      </w:r>
      <w:r>
        <w:rPr>
          <w:rFonts w:ascii="Palatino Linotype" w:eastAsiaTheme="minorHAnsi" w:hAnsi="Palatino Linotype" w:cs="Bookman Old Style"/>
          <w:i/>
          <w:sz w:val="22"/>
          <w:szCs w:val="22"/>
          <w:lang w:eastAsia="en-US"/>
        </w:rPr>
        <w:tab/>
        <w:t xml:space="preserve">El nombre del ganador y las razones que lo justifican;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4)</w:t>
      </w:r>
      <w:r>
        <w:rPr>
          <w:rFonts w:ascii="Palatino Linotype" w:eastAsiaTheme="minorHAnsi" w:hAnsi="Palatino Linotype" w:cs="Bookman Old Style"/>
          <w:i/>
          <w:sz w:val="22"/>
          <w:szCs w:val="22"/>
          <w:lang w:eastAsia="en-US"/>
        </w:rPr>
        <w:tab/>
        <w:t xml:space="preserve">El área solicitante y la responsable de su ejecución;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5)</w:t>
      </w:r>
      <w:r>
        <w:rPr>
          <w:rFonts w:ascii="Palatino Linotype" w:eastAsiaTheme="minorHAnsi" w:hAnsi="Palatino Linotype" w:cs="Bookman Old Style"/>
          <w:i/>
          <w:sz w:val="22"/>
          <w:szCs w:val="22"/>
          <w:lang w:eastAsia="en-US"/>
        </w:rPr>
        <w:tab/>
        <w:t xml:space="preserve">Las convocatorias e invitaciones emitidas; </w:t>
      </w:r>
    </w:p>
    <w:p w:rsidR="009C55E2" w:rsidRDefault="001A058B">
      <w:pPr>
        <w:ind w:left="993" w:right="901"/>
        <w:jc w:val="both"/>
        <w:rPr>
          <w:rFonts w:ascii="Palatino Linotype" w:eastAsiaTheme="minorHAnsi" w:hAnsi="Palatino Linotype" w:cs="Bookman Old Style"/>
          <w:b/>
          <w:i/>
          <w:sz w:val="22"/>
          <w:szCs w:val="22"/>
          <w:u w:val="single"/>
          <w:lang w:eastAsia="en-US"/>
        </w:rPr>
      </w:pPr>
      <w:r>
        <w:rPr>
          <w:rFonts w:ascii="Palatino Linotype" w:eastAsiaTheme="minorHAnsi" w:hAnsi="Palatino Linotype" w:cs="Bookman Old Style"/>
          <w:b/>
          <w:i/>
          <w:sz w:val="22"/>
          <w:szCs w:val="22"/>
          <w:u w:val="single"/>
          <w:lang w:eastAsia="en-US"/>
        </w:rPr>
        <w:t>6)</w:t>
      </w:r>
      <w:r>
        <w:rPr>
          <w:rFonts w:ascii="Palatino Linotype" w:eastAsiaTheme="minorHAnsi" w:hAnsi="Palatino Linotype" w:cs="Bookman Old Style"/>
          <w:b/>
          <w:i/>
          <w:sz w:val="22"/>
          <w:szCs w:val="22"/>
          <w:u w:val="single"/>
          <w:lang w:eastAsia="en-US"/>
        </w:rPr>
        <w:tab/>
        <w:t xml:space="preserve">Los dictámenes y fallo de adjudicación; </w:t>
      </w:r>
    </w:p>
    <w:p w:rsidR="009C55E2" w:rsidRDefault="001A058B">
      <w:pPr>
        <w:ind w:left="993" w:right="901"/>
        <w:jc w:val="both"/>
        <w:rPr>
          <w:rFonts w:ascii="Palatino Linotype" w:eastAsiaTheme="minorHAnsi" w:hAnsi="Palatino Linotype" w:cs="Bookman Old Style"/>
          <w:b/>
          <w:i/>
          <w:sz w:val="22"/>
          <w:szCs w:val="22"/>
          <w:u w:val="single"/>
          <w:lang w:eastAsia="en-US"/>
        </w:rPr>
      </w:pPr>
      <w:r>
        <w:rPr>
          <w:rFonts w:ascii="Palatino Linotype" w:eastAsiaTheme="minorHAnsi" w:hAnsi="Palatino Linotype" w:cs="Bookman Old Style"/>
          <w:b/>
          <w:i/>
          <w:sz w:val="22"/>
          <w:szCs w:val="22"/>
          <w:u w:val="single"/>
          <w:lang w:eastAsia="en-US"/>
        </w:rPr>
        <w:t>7)</w:t>
      </w:r>
      <w:r>
        <w:rPr>
          <w:rFonts w:ascii="Palatino Linotype" w:eastAsiaTheme="minorHAnsi" w:hAnsi="Palatino Linotype" w:cs="Bookman Old Style"/>
          <w:b/>
          <w:i/>
          <w:sz w:val="22"/>
          <w:szCs w:val="22"/>
          <w:u w:val="single"/>
          <w:lang w:eastAsia="en-US"/>
        </w:rPr>
        <w:tab/>
        <w:t xml:space="preserve">El contrato y, en su caso, sus anexos;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8)</w:t>
      </w:r>
      <w:r>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9)</w:t>
      </w:r>
      <w:r>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10)</w:t>
      </w:r>
      <w:r>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11)</w:t>
      </w:r>
      <w:r>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rsidR="009C55E2" w:rsidRDefault="001A058B">
      <w:pPr>
        <w:ind w:left="993" w:right="901"/>
        <w:jc w:val="both"/>
        <w:rPr>
          <w:rFonts w:ascii="Palatino Linotype" w:eastAsiaTheme="minorHAnsi" w:hAnsi="Palatino Linotype" w:cs="Bookman Old Style"/>
          <w:i/>
          <w:sz w:val="22"/>
          <w:szCs w:val="22"/>
          <w:u w:val="single"/>
          <w:lang w:eastAsia="en-US"/>
        </w:rPr>
      </w:pPr>
      <w:r>
        <w:rPr>
          <w:rFonts w:ascii="Palatino Linotype" w:eastAsiaTheme="minorHAnsi" w:hAnsi="Palatino Linotype" w:cs="Bookman Old Style"/>
          <w:i/>
          <w:sz w:val="22"/>
          <w:szCs w:val="22"/>
          <w:lang w:eastAsia="en-US"/>
        </w:rPr>
        <w:t>12)</w:t>
      </w:r>
      <w:r>
        <w:rPr>
          <w:rFonts w:ascii="Palatino Linotype" w:eastAsiaTheme="minorHAnsi" w:hAnsi="Palatino Linotype" w:cs="Bookman Old Style"/>
          <w:i/>
          <w:sz w:val="22"/>
          <w:szCs w:val="22"/>
          <w:lang w:eastAsia="en-US"/>
        </w:rPr>
        <w:tab/>
      </w:r>
      <w:r>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b/>
          <w:i/>
          <w:sz w:val="22"/>
          <w:szCs w:val="22"/>
          <w:u w:val="single"/>
          <w:lang w:eastAsia="en-US"/>
        </w:rPr>
        <w:t>13)</w:t>
      </w:r>
      <w:r>
        <w:rPr>
          <w:rFonts w:ascii="Palatino Linotype" w:eastAsiaTheme="minorHAnsi" w:hAnsi="Palatino Linotype" w:cs="Bookman Old Style"/>
          <w:b/>
          <w:i/>
          <w:sz w:val="22"/>
          <w:szCs w:val="22"/>
          <w:u w:val="single"/>
          <w:lang w:eastAsia="en-US"/>
        </w:rPr>
        <w:tab/>
        <w:t xml:space="preserve">El convenio de terminación; </w:t>
      </w:r>
      <w:r>
        <w:rPr>
          <w:rFonts w:ascii="Palatino Linotype" w:eastAsiaTheme="minorHAnsi" w:hAnsi="Palatino Linotype" w:cs="Bookman Old Style"/>
          <w:i/>
          <w:sz w:val="22"/>
          <w:szCs w:val="22"/>
          <w:lang w:eastAsia="en-US"/>
        </w:rPr>
        <w:t xml:space="preserve">y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14)</w:t>
      </w:r>
      <w:r>
        <w:rPr>
          <w:rFonts w:ascii="Palatino Linotype" w:eastAsiaTheme="minorHAnsi" w:hAnsi="Palatino Linotype" w:cs="Bookman Old Style"/>
          <w:i/>
          <w:sz w:val="22"/>
          <w:szCs w:val="22"/>
          <w:lang w:eastAsia="en-US"/>
        </w:rPr>
        <w:tab/>
        <w:t>El finiquito.</w:t>
      </w:r>
    </w:p>
    <w:p w:rsidR="009C55E2" w:rsidRDefault="001A058B">
      <w:pPr>
        <w:ind w:left="851"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b/>
          <w:bCs/>
          <w:i/>
          <w:sz w:val="22"/>
          <w:szCs w:val="22"/>
          <w:lang w:eastAsia="en-US"/>
        </w:rPr>
        <w:t xml:space="preserve">b) </w:t>
      </w:r>
      <w:r>
        <w:rPr>
          <w:rFonts w:ascii="Palatino Linotype" w:eastAsiaTheme="minorHAnsi" w:hAnsi="Palatino Linotype" w:cs="Bookman Old Style"/>
          <w:b/>
          <w:i/>
          <w:sz w:val="22"/>
          <w:szCs w:val="22"/>
          <w:u w:val="single"/>
          <w:lang w:eastAsia="en-US"/>
        </w:rPr>
        <w:t>De las adjudicaciones directas</w:t>
      </w:r>
      <w:r>
        <w:rPr>
          <w:rFonts w:ascii="Palatino Linotype" w:eastAsiaTheme="minorHAnsi" w:hAnsi="Palatino Linotype" w:cs="Bookman Old Style"/>
          <w:i/>
          <w:sz w:val="22"/>
          <w:szCs w:val="22"/>
          <w:lang w:eastAsia="en-US"/>
        </w:rPr>
        <w:t xml:space="preserve">: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w:t>
      </w:r>
      <w:r>
        <w:rPr>
          <w:rFonts w:ascii="Palatino Linotype" w:eastAsiaTheme="minorHAnsi" w:hAnsi="Palatino Linotype" w:cs="Bookman Old Style"/>
          <w:i/>
          <w:sz w:val="22"/>
          <w:szCs w:val="22"/>
          <w:lang w:eastAsia="en-US"/>
        </w:rPr>
        <w:tab/>
        <w:t xml:space="preserve">La propuesta enviada por el participante;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2)</w:t>
      </w:r>
      <w:r>
        <w:rPr>
          <w:rFonts w:ascii="Palatino Linotype" w:eastAsiaTheme="minorHAnsi" w:hAnsi="Palatino Linotype" w:cs="Bookman Old Style"/>
          <w:i/>
          <w:sz w:val="22"/>
          <w:szCs w:val="22"/>
          <w:lang w:eastAsia="en-US"/>
        </w:rPr>
        <w:tab/>
        <w:t xml:space="preserve">Los motivos y fundamentos legales aplicados para llevarla a cabo;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3)</w:t>
      </w:r>
      <w:r>
        <w:rPr>
          <w:rFonts w:ascii="Palatino Linotype" w:eastAsiaTheme="minorHAnsi" w:hAnsi="Palatino Linotype" w:cs="Bookman Old Style"/>
          <w:i/>
          <w:sz w:val="22"/>
          <w:szCs w:val="22"/>
          <w:lang w:eastAsia="en-US"/>
        </w:rPr>
        <w:tab/>
        <w:t xml:space="preserve">La autorización del ejercicio de la opción;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4)</w:t>
      </w:r>
      <w:r>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lastRenderedPageBreak/>
        <w:t>5)</w:t>
      </w:r>
      <w:r>
        <w:rPr>
          <w:rFonts w:ascii="Palatino Linotype" w:eastAsiaTheme="minorHAnsi" w:hAnsi="Palatino Linotype" w:cs="Bookman Old Style"/>
          <w:i/>
          <w:sz w:val="22"/>
          <w:szCs w:val="22"/>
          <w:lang w:eastAsia="en-US"/>
        </w:rPr>
        <w:tab/>
        <w:t xml:space="preserve">El nombre de la persona física o jurídica colectiva adjudicada; </w:t>
      </w:r>
    </w:p>
    <w:p w:rsidR="009C55E2" w:rsidRDefault="001A058B">
      <w:pPr>
        <w:ind w:left="993" w:right="901"/>
        <w:jc w:val="both"/>
        <w:rPr>
          <w:rFonts w:ascii="Palatino Linotype" w:eastAsiaTheme="minorHAnsi" w:hAnsi="Palatino Linotype" w:cs="Bookman Old Style"/>
          <w:b/>
          <w:i/>
          <w:sz w:val="22"/>
          <w:szCs w:val="22"/>
          <w:lang w:eastAsia="en-US"/>
        </w:rPr>
      </w:pPr>
      <w:r>
        <w:rPr>
          <w:rFonts w:ascii="Palatino Linotype" w:eastAsiaTheme="minorHAnsi" w:hAnsi="Palatino Linotype" w:cs="Bookman Old Style"/>
          <w:b/>
          <w:i/>
          <w:sz w:val="22"/>
          <w:szCs w:val="22"/>
          <w:lang w:eastAsia="en-US"/>
        </w:rPr>
        <w:t>6)</w:t>
      </w:r>
      <w:r>
        <w:rPr>
          <w:rFonts w:ascii="Palatino Linotype" w:eastAsiaTheme="minorHAnsi" w:hAnsi="Palatino Linotype" w:cs="Bookman Old Style"/>
          <w:b/>
          <w:i/>
          <w:sz w:val="22"/>
          <w:szCs w:val="22"/>
          <w:lang w:eastAsia="en-US"/>
        </w:rPr>
        <w:tab/>
        <w:t xml:space="preserve">La unidad administrativa solicitante y la responsable de su ejecución; </w:t>
      </w:r>
    </w:p>
    <w:p w:rsidR="009C55E2" w:rsidRDefault="001A058B">
      <w:pPr>
        <w:ind w:left="993" w:right="901"/>
        <w:jc w:val="both"/>
        <w:rPr>
          <w:rFonts w:ascii="Palatino Linotype" w:eastAsiaTheme="minorHAnsi" w:hAnsi="Palatino Linotype" w:cs="Bookman Old Style"/>
          <w:b/>
          <w:i/>
          <w:sz w:val="22"/>
          <w:szCs w:val="22"/>
          <w:u w:val="single"/>
          <w:lang w:eastAsia="en-US"/>
        </w:rPr>
      </w:pPr>
      <w:r>
        <w:rPr>
          <w:rFonts w:ascii="Palatino Linotype" w:eastAsiaTheme="minorHAnsi" w:hAnsi="Palatino Linotype" w:cs="Bookman Old Style"/>
          <w:i/>
          <w:sz w:val="22"/>
          <w:szCs w:val="22"/>
          <w:lang w:eastAsia="en-US"/>
        </w:rPr>
        <w:t>7)</w:t>
      </w:r>
      <w:r>
        <w:rPr>
          <w:rFonts w:ascii="Palatino Linotype" w:eastAsiaTheme="minorHAnsi" w:hAnsi="Palatino Linotype" w:cs="Bookman Old Style"/>
          <w:i/>
          <w:sz w:val="22"/>
          <w:szCs w:val="22"/>
          <w:lang w:eastAsia="en-US"/>
        </w:rPr>
        <w:tab/>
      </w:r>
      <w:r>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rsidR="009C55E2" w:rsidRDefault="001A058B">
      <w:pPr>
        <w:ind w:left="993" w:right="901"/>
        <w:jc w:val="both"/>
        <w:rPr>
          <w:rFonts w:ascii="Palatino Linotype" w:eastAsiaTheme="minorHAnsi" w:hAnsi="Palatino Linotype" w:cs="Bookman Old Style"/>
          <w:b/>
          <w:i/>
          <w:sz w:val="22"/>
          <w:szCs w:val="22"/>
          <w:lang w:eastAsia="en-US"/>
        </w:rPr>
      </w:pPr>
      <w:r>
        <w:rPr>
          <w:rFonts w:ascii="Palatino Linotype" w:eastAsiaTheme="minorHAnsi" w:hAnsi="Palatino Linotype" w:cs="Bookman Old Style"/>
          <w:b/>
          <w:i/>
          <w:sz w:val="22"/>
          <w:szCs w:val="22"/>
          <w:lang w:eastAsia="en-US"/>
        </w:rPr>
        <w:t>8)</w:t>
      </w:r>
      <w:r>
        <w:rPr>
          <w:rFonts w:ascii="Palatino Linotype" w:eastAsiaTheme="minorHAnsi" w:hAnsi="Palatino Linotype" w:cs="Bookman Old Style"/>
          <w:b/>
          <w:i/>
          <w:sz w:val="22"/>
          <w:szCs w:val="22"/>
          <w:lang w:eastAsia="en-US"/>
        </w:rPr>
        <w:tab/>
        <w:t xml:space="preserve">Los mecanismos de vigilancia y supervisión, incluyendo, en su caso, los estudios de impacto urbano y ambiental, según corresponda; </w:t>
      </w:r>
    </w:p>
    <w:p w:rsidR="009C55E2" w:rsidRDefault="001A058B">
      <w:pPr>
        <w:ind w:left="993" w:right="901"/>
        <w:jc w:val="both"/>
        <w:rPr>
          <w:rFonts w:ascii="Palatino Linotype" w:eastAsiaTheme="minorHAnsi" w:hAnsi="Palatino Linotype" w:cs="Bookman Old Style"/>
          <w:b/>
          <w:i/>
          <w:sz w:val="22"/>
          <w:szCs w:val="22"/>
          <w:lang w:eastAsia="en-US"/>
        </w:rPr>
      </w:pPr>
      <w:r>
        <w:rPr>
          <w:rFonts w:ascii="Palatino Linotype" w:eastAsiaTheme="minorHAnsi" w:hAnsi="Palatino Linotype" w:cs="Bookman Old Style"/>
          <w:b/>
          <w:i/>
          <w:sz w:val="22"/>
          <w:szCs w:val="22"/>
          <w:lang w:eastAsia="en-US"/>
        </w:rPr>
        <w:t>9)</w:t>
      </w:r>
      <w:r>
        <w:rPr>
          <w:rFonts w:ascii="Palatino Linotype" w:eastAsiaTheme="minorHAnsi" w:hAnsi="Palatino Linotype" w:cs="Bookman Old Style"/>
          <w:b/>
          <w:i/>
          <w:sz w:val="22"/>
          <w:szCs w:val="22"/>
          <w:lang w:eastAsia="en-US"/>
        </w:rPr>
        <w:tab/>
        <w:t xml:space="preserve">Los informes de avance sobre las obras o servicios contratados; </w:t>
      </w:r>
    </w:p>
    <w:p w:rsidR="009C55E2" w:rsidRDefault="001A058B">
      <w:pPr>
        <w:ind w:left="993" w:right="901"/>
        <w:jc w:val="both"/>
        <w:rPr>
          <w:rFonts w:ascii="Palatino Linotype" w:eastAsiaTheme="minorHAnsi" w:hAnsi="Palatino Linotype" w:cs="Bookman Old Style"/>
          <w:b/>
          <w:i/>
          <w:sz w:val="22"/>
          <w:szCs w:val="22"/>
          <w:lang w:eastAsia="en-US"/>
        </w:rPr>
      </w:pPr>
      <w:r>
        <w:rPr>
          <w:rFonts w:ascii="Palatino Linotype" w:eastAsiaTheme="minorHAnsi" w:hAnsi="Palatino Linotype" w:cs="Bookman Old Style"/>
          <w:b/>
          <w:i/>
          <w:sz w:val="22"/>
          <w:szCs w:val="22"/>
          <w:lang w:eastAsia="en-US"/>
        </w:rPr>
        <w:t>10)</w:t>
      </w:r>
      <w:r>
        <w:rPr>
          <w:rFonts w:ascii="Palatino Linotype" w:eastAsiaTheme="minorHAnsi" w:hAnsi="Palatino Linotype" w:cs="Bookman Old Style"/>
          <w:b/>
          <w:i/>
          <w:sz w:val="22"/>
          <w:szCs w:val="22"/>
          <w:lang w:eastAsia="en-US"/>
        </w:rPr>
        <w:tab/>
        <w:t xml:space="preserve">El convenio de terminación; y </w:t>
      </w:r>
    </w:p>
    <w:p w:rsidR="009C55E2" w:rsidRDefault="001A058B">
      <w:pPr>
        <w:ind w:left="993" w:right="901"/>
        <w:jc w:val="both"/>
        <w:rPr>
          <w:rFonts w:ascii="Palatino Linotype" w:eastAsiaTheme="minorHAnsi" w:hAnsi="Palatino Linotype" w:cs="Bookman Old Style"/>
          <w:i/>
          <w:sz w:val="22"/>
          <w:szCs w:val="22"/>
          <w:lang w:eastAsia="en-US"/>
        </w:rPr>
      </w:pPr>
      <w:r>
        <w:rPr>
          <w:rFonts w:ascii="Palatino Linotype" w:eastAsiaTheme="minorHAnsi" w:hAnsi="Palatino Linotype" w:cs="Bookman Old Style"/>
          <w:i/>
          <w:sz w:val="22"/>
          <w:szCs w:val="22"/>
          <w:lang w:eastAsia="en-US"/>
        </w:rPr>
        <w:t>11)</w:t>
      </w:r>
      <w:r>
        <w:rPr>
          <w:rFonts w:ascii="Palatino Linotype" w:eastAsiaTheme="minorHAnsi" w:hAnsi="Palatino Linotype" w:cs="Bookman Old Style"/>
          <w:i/>
          <w:sz w:val="22"/>
          <w:szCs w:val="22"/>
          <w:lang w:eastAsia="en-US"/>
        </w:rPr>
        <w:tab/>
        <w:t>El finiquito.”</w:t>
      </w:r>
    </w:p>
    <w:p w:rsidR="009C55E2" w:rsidRDefault="001A058B">
      <w:pPr>
        <w:ind w:left="851" w:right="901"/>
        <w:jc w:val="both"/>
        <w:rPr>
          <w:rFonts w:ascii="Palatino Linotype" w:hAnsi="Palatino Linotype"/>
          <w:i/>
          <w:sz w:val="22"/>
          <w:szCs w:val="22"/>
        </w:rPr>
      </w:pPr>
      <w:r>
        <w:rPr>
          <w:rFonts w:ascii="Palatino Linotype" w:hAnsi="Palatino Linotype"/>
          <w:i/>
          <w:sz w:val="22"/>
          <w:szCs w:val="22"/>
        </w:rPr>
        <w:t>(Énfasis añadido)</w:t>
      </w:r>
    </w:p>
    <w:p w:rsidR="009C55E2" w:rsidRDefault="009C55E2">
      <w:pPr>
        <w:ind w:left="851" w:right="901"/>
        <w:jc w:val="both"/>
        <w:rPr>
          <w:rFonts w:ascii="Palatino Linotype" w:hAnsi="Palatino Linotype"/>
          <w:i/>
          <w:sz w:val="22"/>
          <w:szCs w:val="22"/>
        </w:rPr>
      </w:pPr>
    </w:p>
    <w:p w:rsidR="009C55E2" w:rsidRDefault="001A058B">
      <w:pPr>
        <w:spacing w:beforeAutospacing="1" w:afterAutospacing="1" w:line="360" w:lineRule="auto"/>
        <w:jc w:val="both"/>
        <w:rPr>
          <w:rFonts w:ascii="Palatino Linotype" w:hAnsi="Palatino Linotype"/>
        </w:rPr>
      </w:pPr>
      <w:r>
        <w:rPr>
          <w:rFonts w:ascii="Palatino Linotype" w:hAnsi="Palatino Linotype"/>
        </w:rPr>
        <w:t xml:space="preserve">Señalado lo anterior, es claro que existen diversos documentos como el contrato de obra, en el cual se puede apreciar la fecha de inicio y de término de los trabajos señalados en la solicitud de mérito, por lo que, deberá de hacer entrega de dicha información de ser procedente en </w:t>
      </w:r>
      <w:r>
        <w:rPr>
          <w:rFonts w:ascii="Palatino Linotype" w:hAnsi="Palatino Linotype"/>
          <w:b/>
        </w:rPr>
        <w:t>versión pública</w:t>
      </w:r>
      <w:r>
        <w:rPr>
          <w:rFonts w:ascii="Palatino Linotype" w:hAnsi="Palatino Linotype"/>
        </w:rPr>
        <w:t>.</w:t>
      </w:r>
    </w:p>
    <w:p w:rsidR="009C55E2" w:rsidRDefault="001A058B">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Dicho lo anterior, es toral señalar que, si </w:t>
      </w:r>
      <w:r>
        <w:rPr>
          <w:rFonts w:ascii="Palatino Linotype" w:hAnsi="Palatino Linotype" w:cs="Arial"/>
          <w:b/>
        </w:rPr>
        <w:t>EL SUJETO OBLIGADO</w:t>
      </w:r>
      <w:r>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deberá entregar la información de mérito en versión pública y emitir el Acuerdo de Clasificación en el que se sustenten dichas versiones públicas.</w:t>
      </w:r>
    </w:p>
    <w:p w:rsidR="009C55E2" w:rsidRDefault="001A058B">
      <w:pPr>
        <w:spacing w:beforeAutospacing="1" w:afterAutospacing="1" w:line="360" w:lineRule="auto"/>
        <w:ind w:right="51"/>
        <w:jc w:val="both"/>
        <w:rPr>
          <w:rFonts w:ascii="Palatino Linotype" w:hAnsi="Palatino Linotype" w:cs="Arial"/>
        </w:rPr>
      </w:pPr>
      <w:r>
        <w:rPr>
          <w:rFonts w:ascii="Palatino Linotype" w:hAnsi="Palatino Linotype" w:cs="Arial"/>
          <w:color w:val="000000"/>
        </w:rPr>
        <w:t xml:space="preserve">En ese sentido, es de precisar que </w:t>
      </w:r>
      <w:r>
        <w:rPr>
          <w:rFonts w:ascii="Palatino Linotype" w:eastAsia="Calibri" w:hAnsi="Palatino Linotype" w:cs="Bookman Old Style,Bold"/>
          <w:bCs/>
          <w:color w:val="0D0D0D"/>
          <w:lang w:eastAsia="en-US"/>
        </w:rPr>
        <w:t xml:space="preserve">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w:t>
      </w:r>
      <w:r>
        <w:rPr>
          <w:rFonts w:ascii="Palatino Linotype" w:hAnsi="Palatino Linotype" w:cs="Arial"/>
        </w:rPr>
        <w:lastRenderedPageBreak/>
        <w:t xml:space="preserve">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9C55E2" w:rsidRDefault="001A058B">
      <w:pPr>
        <w:spacing w:beforeAutospacing="1" w:afterAutospacing="1" w:line="360" w:lineRule="auto"/>
        <w:jc w:val="both"/>
        <w:rPr>
          <w:rFonts w:ascii="Palatino Linotype" w:hAnsi="Palatino Linotype" w:cs="Arial"/>
          <w:lang w:val="es-ES_tradnl"/>
        </w:rPr>
      </w:pPr>
      <w:r>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Pr>
          <w:rFonts w:ascii="Palatino Linotype" w:hAnsi="Palatino Linotype" w:cs="Arial"/>
          <w:lang w:val="es-ES_tradnl"/>
        </w:rPr>
        <w:t>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C55E2" w:rsidRDefault="001A058B">
      <w:pPr>
        <w:ind w:left="709" w:right="709"/>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w:t>
      </w:r>
      <w:r>
        <w:rPr>
          <w:rFonts w:ascii="Palatino Linotype" w:hAnsi="Palatino Linotype" w:cs="Arial"/>
          <w:b/>
          <w:i/>
          <w:sz w:val="22"/>
          <w:szCs w:val="22"/>
          <w:u w:val="single"/>
          <w:lang w:eastAsia="es-MX"/>
        </w:rPr>
        <w:t>la clasificación de la información</w:t>
      </w:r>
      <w:r>
        <w:rPr>
          <w:rFonts w:ascii="Palatino Linotype" w:hAnsi="Palatino Linotype" w:cs="Arial"/>
          <w:i/>
          <w:sz w:val="22"/>
          <w:szCs w:val="22"/>
          <w:lang w:eastAsia="es-MX"/>
        </w:rPr>
        <w:t>;</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Se determine mediante resolución de autoridad competente</w:t>
      </w:r>
      <w:r>
        <w:rPr>
          <w:rFonts w:ascii="Palatino Linotype" w:hAnsi="Palatino Linotype" w:cs="Arial"/>
          <w:i/>
          <w:sz w:val="22"/>
          <w:szCs w:val="22"/>
          <w:lang w:eastAsia="es-MX"/>
        </w:rPr>
        <w:t>; o</w:t>
      </w:r>
    </w:p>
    <w:p w:rsidR="009C55E2" w:rsidRDefault="001A058B">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 de manera total</w:t>
      </w:r>
      <w:r>
        <w:rPr>
          <w:rFonts w:ascii="Palatino Linotype" w:hAnsi="Palatino Linotype" w:cs="Arial"/>
          <w:i/>
          <w:sz w:val="22"/>
          <w:szCs w:val="22"/>
          <w:lang w:eastAsia="es-MX"/>
        </w:rPr>
        <w:t xml:space="preserve"> o parcial, </w:t>
      </w:r>
      <w:r>
        <w:rPr>
          <w:rFonts w:ascii="Palatino Linotype" w:hAnsi="Palatino Linotype" w:cs="Arial"/>
          <w:b/>
          <w:i/>
          <w:sz w:val="22"/>
          <w:szCs w:val="22"/>
          <w:u w:val="single"/>
          <w:lang w:eastAsia="es-MX"/>
        </w:rPr>
        <w:t xml:space="preserve">el titular del </w:t>
      </w:r>
      <w:r>
        <w:rPr>
          <w:rFonts w:ascii="Palatino Linotype" w:hAnsi="Palatino Linotype" w:cs="Arial"/>
          <w:b/>
          <w:bCs/>
          <w:i/>
          <w:sz w:val="22"/>
          <w:szCs w:val="22"/>
          <w:u w:val="single"/>
        </w:rPr>
        <w:t>área</w:t>
      </w:r>
      <w:r>
        <w:rPr>
          <w:rFonts w:ascii="Palatino Linotype" w:hAnsi="Palatino Linotype" w:cs="Arial"/>
          <w:b/>
          <w:i/>
          <w:sz w:val="22"/>
          <w:szCs w:val="22"/>
          <w:u w:val="single"/>
          <w:lang w:eastAsia="es-MX"/>
        </w:rPr>
        <w:t xml:space="preserve"> del sujeto </w:t>
      </w:r>
      <w:r>
        <w:rPr>
          <w:rFonts w:ascii="Palatino Linotype" w:hAnsi="Palatino Linotype" w:cs="Arial"/>
          <w:b/>
          <w:i/>
          <w:sz w:val="22"/>
          <w:szCs w:val="22"/>
          <w:u w:val="single"/>
        </w:rPr>
        <w:t>obligado</w:t>
      </w:r>
      <w:r>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Pr>
          <w:rFonts w:ascii="Palatino Linotype" w:hAnsi="Palatino Linotype" w:cs="Arial"/>
          <w:i/>
          <w:sz w:val="22"/>
          <w:szCs w:val="22"/>
          <w:lang w:eastAsia="es-MX"/>
        </w:rPr>
        <w:t xml:space="preserve"> la Ley General, la Ley Federal y </w:t>
      </w:r>
      <w:r>
        <w:rPr>
          <w:rFonts w:ascii="Palatino Linotype" w:hAnsi="Palatino Linotype" w:cs="Arial"/>
          <w:b/>
          <w:i/>
          <w:sz w:val="22"/>
          <w:szCs w:val="22"/>
          <w:u w:val="single"/>
          <w:lang w:eastAsia="es-MX"/>
        </w:rPr>
        <w:t xml:space="preserve">leyes estatales, </w:t>
      </w:r>
      <w:r>
        <w:rPr>
          <w:rFonts w:ascii="Palatino Linotype" w:hAnsi="Palatino Linotype" w:cs="Arial"/>
          <w:b/>
          <w:i/>
          <w:sz w:val="22"/>
          <w:szCs w:val="22"/>
          <w:u w:val="single"/>
        </w:rPr>
        <w:t>corresponderá</w:t>
      </w:r>
      <w:r>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sujetos obligados no podrán emitir acuerdos de carácter general</w:t>
      </w:r>
      <w:r>
        <w:rPr>
          <w:rFonts w:ascii="Palatino Linotype" w:hAnsi="Palatino Linotype" w:cs="Arial"/>
          <w:i/>
          <w:sz w:val="22"/>
          <w:szCs w:val="22"/>
          <w:lang w:eastAsia="es-MX"/>
        </w:rPr>
        <w:t xml:space="preserve">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 xml:space="preserve">La clasificación de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realizará conforme a un análisis caso por caso</w:t>
      </w:r>
      <w:r>
        <w:rPr>
          <w:rFonts w:ascii="Palatino Linotype" w:hAnsi="Palatino Linotype" w:cs="Arial"/>
          <w:i/>
          <w:sz w:val="22"/>
          <w:szCs w:val="22"/>
          <w:lang w:eastAsia="es-MX"/>
        </w:rPr>
        <w:t xml:space="preserve">,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La clasificación </w:t>
      </w:r>
      <w:r>
        <w:rPr>
          <w:rFonts w:ascii="Palatino Linotype" w:hAnsi="Palatino Linotype" w:cs="Arial"/>
          <w:b/>
          <w:bCs/>
          <w:i/>
          <w:sz w:val="22"/>
          <w:szCs w:val="22"/>
          <w:u w:val="single"/>
        </w:rPr>
        <w:t>de</w:t>
      </w:r>
      <w:r>
        <w:rPr>
          <w:rFonts w:ascii="Palatino Linotype" w:hAnsi="Palatino Linotype" w:cs="Arial"/>
          <w:b/>
          <w:i/>
          <w:sz w:val="22"/>
          <w:szCs w:val="22"/>
          <w:u w:val="single"/>
          <w:lang w:eastAsia="es-MX"/>
        </w:rPr>
        <w:t xml:space="preserve"> la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llevará a cabo en el momento en que</w:t>
      </w:r>
      <w:r>
        <w:rPr>
          <w:rFonts w:ascii="Palatino Linotype" w:hAnsi="Palatino Linotype" w:cs="Arial"/>
          <w:i/>
          <w:sz w:val="22"/>
          <w:szCs w:val="22"/>
          <w:lang w:eastAsia="es-MX"/>
        </w:rPr>
        <w:t>:</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Se determine </w:t>
      </w:r>
      <w:r>
        <w:rPr>
          <w:rFonts w:ascii="Palatino Linotype" w:hAnsi="Palatino Linotype" w:cs="Arial"/>
          <w:b/>
          <w:bCs/>
          <w:i/>
          <w:sz w:val="22"/>
          <w:szCs w:val="22"/>
          <w:u w:val="single"/>
        </w:rPr>
        <w:t>mediante</w:t>
      </w:r>
      <w:r>
        <w:rPr>
          <w:rFonts w:ascii="Palatino Linotype" w:hAnsi="Palatino Linotype" w:cs="Arial"/>
          <w:b/>
          <w:i/>
          <w:sz w:val="22"/>
          <w:szCs w:val="22"/>
          <w:u w:val="single"/>
          <w:lang w:eastAsia="es-MX"/>
        </w:rPr>
        <w:t xml:space="preserve"> resolución de autoridad competente</w:t>
      </w:r>
      <w:r>
        <w:rPr>
          <w:rFonts w:ascii="Palatino Linotype" w:hAnsi="Palatino Linotype" w:cs="Arial"/>
          <w:i/>
          <w:sz w:val="22"/>
          <w:szCs w:val="22"/>
          <w:lang w:eastAsia="es-MX"/>
        </w:rPr>
        <w:t>, o</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Pr>
          <w:rFonts w:ascii="Palatino Linotype" w:hAnsi="Palatino Linotype" w:cs="Arial"/>
          <w:b/>
          <w:bCs/>
          <w:i/>
          <w:sz w:val="22"/>
          <w:szCs w:val="22"/>
          <w:u w:val="single"/>
        </w:rPr>
        <w:t>expresamente</w:t>
      </w:r>
      <w:r>
        <w:rPr>
          <w:rFonts w:ascii="Palatino Linotype" w:hAnsi="Palatino Linotype" w:cs="Arial"/>
          <w:b/>
          <w:i/>
          <w:sz w:val="22"/>
          <w:szCs w:val="22"/>
          <w:u w:val="single"/>
          <w:lang w:eastAsia="es-MX"/>
        </w:rPr>
        <w:t xml:space="preserve"> le otorga el carácter de</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w:t>
      </w:r>
      <w:r>
        <w:rPr>
          <w:rFonts w:ascii="Palatino Linotype" w:hAnsi="Palatino Linotype" w:cs="Arial"/>
          <w:i/>
          <w:sz w:val="22"/>
          <w:szCs w:val="22"/>
          <w:lang w:eastAsia="es-MX"/>
        </w:rPr>
        <w:t>.</w:t>
      </w:r>
    </w:p>
    <w:p w:rsidR="009C55E2" w:rsidRDefault="001A058B">
      <w:pPr>
        <w:ind w:left="709" w:right="709"/>
        <w:jc w:val="both"/>
        <w:rPr>
          <w:rFonts w:ascii="Palatino Linotype" w:hAnsi="Palatino Linotype" w:cs="Arial"/>
          <w:bCs/>
          <w:i/>
          <w:sz w:val="22"/>
          <w:szCs w:val="22"/>
        </w:rPr>
      </w:pPr>
      <w:r>
        <w:rPr>
          <w:rFonts w:ascii="Palatino Linotype" w:hAnsi="Palatino Linotype" w:cs="Arial"/>
          <w:b/>
          <w:i/>
          <w:sz w:val="22"/>
          <w:szCs w:val="22"/>
          <w:u w:val="single"/>
          <w:lang w:eastAsia="es-MX"/>
        </w:rPr>
        <w:lastRenderedPageBreak/>
        <w:t xml:space="preserve">Para </w:t>
      </w:r>
      <w:r>
        <w:rPr>
          <w:rFonts w:ascii="Palatino Linotype" w:hAnsi="Palatino Linotype" w:cs="Arial"/>
          <w:b/>
          <w:bCs/>
          <w:i/>
          <w:sz w:val="22"/>
          <w:szCs w:val="22"/>
          <w:u w:val="single"/>
        </w:rPr>
        <w:t xml:space="preserve">motivar la clasificación se deberán señalar las razones o circunstancias especiales que lo </w:t>
      </w:r>
      <w:r>
        <w:rPr>
          <w:rFonts w:ascii="Palatino Linotype" w:hAnsi="Palatino Linotype" w:cs="Arial"/>
          <w:b/>
          <w:i/>
          <w:sz w:val="22"/>
          <w:szCs w:val="22"/>
          <w:u w:val="single"/>
          <w:lang w:eastAsia="es-MX"/>
        </w:rPr>
        <w:t>llevaron</w:t>
      </w:r>
      <w:r>
        <w:rPr>
          <w:rFonts w:ascii="Palatino Linotype" w:hAnsi="Palatino Linotype" w:cs="Arial"/>
          <w:b/>
          <w:bCs/>
          <w:i/>
          <w:sz w:val="22"/>
          <w:szCs w:val="22"/>
          <w:u w:val="single"/>
        </w:rPr>
        <w:t xml:space="preserve"> a concluir que el caso particular se ajusta al supuesto previsto por la norma legal invocada </w:t>
      </w:r>
      <w:r>
        <w:rPr>
          <w:rFonts w:ascii="Palatino Linotype" w:hAnsi="Palatino Linotype" w:cs="Arial"/>
          <w:bCs/>
          <w:i/>
          <w:sz w:val="22"/>
          <w:szCs w:val="22"/>
        </w:rPr>
        <w:t>como fundamento.</w:t>
      </w:r>
    </w:p>
    <w:p w:rsidR="009C55E2" w:rsidRDefault="001A058B">
      <w:pPr>
        <w:ind w:left="709" w:right="709"/>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9C55E2" w:rsidRDefault="001A058B">
      <w:pPr>
        <w:ind w:left="709" w:right="709"/>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Pr>
          <w:rFonts w:ascii="Palatino Linotype" w:hAnsi="Palatino Linotype" w:cs="Arial"/>
          <w:b/>
          <w:i/>
          <w:sz w:val="22"/>
          <w:szCs w:val="22"/>
          <w:u w:val="single"/>
        </w:rPr>
        <w:t>documentos</w:t>
      </w:r>
      <w:r>
        <w:rPr>
          <w:rFonts w:ascii="Palatino Linotype" w:hAnsi="Palatino Linotype" w:cs="Arial"/>
          <w:b/>
          <w:i/>
          <w:sz w:val="22"/>
          <w:szCs w:val="22"/>
          <w:u w:val="single"/>
          <w:lang w:eastAsia="es-MX"/>
        </w:rPr>
        <w:t xml:space="preserve"> clasificados</w:t>
      </w:r>
      <w:r>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Pr>
          <w:rFonts w:ascii="Palatino Linotype" w:hAnsi="Palatino Linotype" w:cs="Arial"/>
          <w:i/>
          <w:sz w:val="22"/>
          <w:szCs w:val="22"/>
          <w:lang w:eastAsia="es-MX"/>
        </w:rPr>
        <w:t xml:space="preserve"> de conformidad con lo dispuesto en el Capítulo VIII de los presentes lineamientos.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9C55E2" w:rsidRDefault="001A058B">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9C55E2" w:rsidRDefault="001A058B">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9C55E2" w:rsidRDefault="001A058B">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W w:w="7650" w:type="dxa"/>
        <w:jc w:val="center"/>
        <w:tblLook w:val="04A0" w:firstRow="1" w:lastRow="0" w:firstColumn="1" w:lastColumn="0" w:noHBand="0" w:noVBand="1"/>
      </w:tblPr>
      <w:tblGrid>
        <w:gridCol w:w="1129"/>
        <w:gridCol w:w="1989"/>
        <w:gridCol w:w="4532"/>
      </w:tblGrid>
      <w:tr w:rsidR="009C55E2">
        <w:trPr>
          <w:jc w:val="center"/>
        </w:trPr>
        <w:tc>
          <w:tcPr>
            <w:tcW w:w="1129" w:type="dxa"/>
            <w:tcBorders>
              <w:top w:val="nil"/>
              <w:left w:val="nil"/>
            </w:tcBorders>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b/>
                <w:i/>
              </w:rPr>
            </w:pPr>
            <w:r>
              <w:rPr>
                <w:rFonts w:ascii="Palatino Linotype" w:eastAsiaTheme="minorHAnsi" w:hAnsi="Palatino Linotype"/>
                <w:b/>
                <w:i/>
                <w:sz w:val="22"/>
                <w:szCs w:val="22"/>
                <w:lang w:eastAsia="en-US"/>
              </w:rPr>
              <w:t>Concepto</w:t>
            </w:r>
          </w:p>
        </w:tc>
        <w:tc>
          <w:tcPr>
            <w:tcW w:w="4532" w:type="dxa"/>
          </w:tcPr>
          <w:p w:rsidR="009C55E2" w:rsidRDefault="001A058B">
            <w:pPr>
              <w:jc w:val="center"/>
              <w:rPr>
                <w:rFonts w:ascii="Palatino Linotype" w:hAnsi="Palatino Linotype"/>
                <w:b/>
                <w:i/>
              </w:rPr>
            </w:pPr>
            <w:r>
              <w:rPr>
                <w:rFonts w:ascii="Palatino Linotype" w:eastAsiaTheme="minorHAnsi" w:hAnsi="Palatino Linotype"/>
                <w:b/>
                <w:i/>
                <w:sz w:val="22"/>
                <w:szCs w:val="22"/>
                <w:lang w:eastAsia="en-US"/>
              </w:rPr>
              <w:t>Dónde:</w:t>
            </w:r>
          </w:p>
        </w:tc>
      </w:tr>
      <w:tr w:rsidR="009C55E2">
        <w:trPr>
          <w:jc w:val="center"/>
        </w:trPr>
        <w:tc>
          <w:tcPr>
            <w:tcW w:w="1129" w:type="dxa"/>
            <w:vMerge w:val="restart"/>
            <w:vAlign w:val="center"/>
          </w:tcPr>
          <w:p w:rsidR="009C55E2" w:rsidRDefault="001A058B">
            <w:pPr>
              <w:jc w:val="center"/>
              <w:rPr>
                <w:rFonts w:ascii="Palatino Linotype" w:hAnsi="Palatino Linotype" w:cs="Arial"/>
                <w:b/>
                <w:i/>
                <w:lang w:eastAsia="es-MX"/>
              </w:rPr>
            </w:pPr>
            <w:r>
              <w:rPr>
                <w:rFonts w:ascii="Palatino Linotype" w:eastAsiaTheme="minorHAnsi" w:hAnsi="Palatino Linotype" w:cs="Arial"/>
                <w:b/>
                <w:i/>
                <w:sz w:val="22"/>
                <w:szCs w:val="22"/>
                <w:lang w:eastAsia="es-MX"/>
              </w:rPr>
              <w:t xml:space="preserve">Sello oficial o logotipo </w:t>
            </w:r>
            <w:r>
              <w:rPr>
                <w:rFonts w:ascii="Palatino Linotype" w:eastAsiaTheme="minorHAnsi" w:hAnsi="Palatino Linotype" w:cs="Arial"/>
                <w:b/>
                <w:i/>
                <w:sz w:val="22"/>
                <w:szCs w:val="22"/>
                <w:lang w:eastAsia="es-MX"/>
              </w:rPr>
              <w:lastRenderedPageBreak/>
              <w:t>del sujeto obligado</w:t>
            </w: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lastRenderedPageBreak/>
              <w:t>Fecha de clasificación</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la que el Comité de Transparencia confirmó la clasificación del documento, en su caso.</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Área</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área del cual es titular quien clasifica.</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Información reservada</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Periodo de reserva</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el número de años o meses por los que se mantendrá el documento o las partes del mismo como reservado.</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párrafo(s) con base en los cuales se sustente la reserva.</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Ampliación del periodo de reserva</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b/>
                <w:i/>
                <w:u w:val="single"/>
                <w:lang w:eastAsia="es-MX"/>
              </w:rPr>
            </w:pPr>
            <w:r>
              <w:rPr>
                <w:rFonts w:ascii="Palatino Linotype" w:eastAsiaTheme="minorHAnsi" w:hAnsi="Palatino Linotype" w:cs="Arial"/>
                <w:b/>
                <w:i/>
                <w:sz w:val="22"/>
                <w:szCs w:val="22"/>
                <w:u w:val="single"/>
                <w:lang w:eastAsia="es-MX"/>
              </w:rPr>
              <w:t>Confidencial</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 xml:space="preserve">Se indicarán, en su caso, </w:t>
            </w:r>
            <w:r>
              <w:rPr>
                <w:rFonts w:ascii="Palatino Linotype" w:eastAsiaTheme="minorHAnsi" w:hAnsi="Palatino Linotype" w:cs="Arial"/>
                <w:b/>
                <w:i/>
                <w:sz w:val="22"/>
                <w:szCs w:val="22"/>
                <w:u w:val="single"/>
                <w:lang w:eastAsia="es-MX"/>
              </w:rPr>
              <w:t>las partes o páginas del documento que se clasifica como confidencial</w:t>
            </w:r>
            <w:r>
              <w:rPr>
                <w:rFonts w:ascii="Palatino Linotype" w:eastAsiaTheme="minorHAnsi" w:hAnsi="Palatino Linotype" w:cs="Arial"/>
                <w:i/>
                <w:sz w:val="22"/>
                <w:szCs w:val="22"/>
                <w:lang w:eastAsia="es-MX"/>
              </w:rPr>
              <w:t xml:space="preserve">. </w:t>
            </w:r>
            <w:r>
              <w:rPr>
                <w:rFonts w:ascii="Palatino Linotype" w:eastAsiaTheme="minorHAnsi" w:hAnsi="Palatino Linotype" w:cs="Arial"/>
                <w:b/>
                <w:i/>
                <w:sz w:val="22"/>
                <w:szCs w:val="22"/>
                <w:u w:val="single"/>
                <w:lang w:eastAsia="es-MX"/>
              </w:rPr>
              <w:t>Si el documento fuera confidencial en su totalidad, se anotarán todas las páginas que lo conforman</w:t>
            </w:r>
            <w:r>
              <w:rPr>
                <w:rFonts w:ascii="Palatino Linotype" w:eastAsiaTheme="minorHAnsi" w:hAnsi="Palatino Linotype" w:cs="Arial"/>
                <w:i/>
                <w:sz w:val="22"/>
                <w:szCs w:val="22"/>
                <w:lang w:eastAsia="es-MX"/>
              </w:rPr>
              <w:t>. Si el documento no contiene información confidencial, se tachará este apartado.</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párrafo(s) con base en los cuales se sustente la confidencialidad.</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del titular del área</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 clasifica.</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Fecha de desclasificación</w:t>
            </w:r>
          </w:p>
        </w:tc>
        <w:tc>
          <w:tcPr>
            <w:tcW w:w="4532" w:type="dxa"/>
          </w:tcPr>
          <w:p w:rsidR="009C55E2" w:rsidRDefault="001A058B">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que se desclasifica el documento.</w:t>
            </w:r>
          </w:p>
        </w:tc>
      </w:tr>
      <w:tr w:rsidR="009C55E2">
        <w:trPr>
          <w:jc w:val="center"/>
        </w:trPr>
        <w:tc>
          <w:tcPr>
            <w:tcW w:w="1129" w:type="dxa"/>
            <w:vMerge/>
          </w:tcPr>
          <w:p w:rsidR="009C55E2" w:rsidRDefault="009C55E2">
            <w:pPr>
              <w:jc w:val="both"/>
              <w:rPr>
                <w:rFonts w:ascii="Palatino Linotype" w:hAnsi="Palatino Linotype" w:cs="Arial"/>
                <w:i/>
                <w:lang w:eastAsia="es-MX"/>
              </w:rPr>
            </w:pPr>
          </w:p>
        </w:tc>
        <w:tc>
          <w:tcPr>
            <w:tcW w:w="1989" w:type="dxa"/>
          </w:tcPr>
          <w:p w:rsidR="009C55E2" w:rsidRDefault="001A058B">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y cargo del servidor público</w:t>
            </w:r>
          </w:p>
        </w:tc>
        <w:tc>
          <w:tcPr>
            <w:tcW w:w="4532" w:type="dxa"/>
            <w:vAlign w:val="center"/>
          </w:tcPr>
          <w:p w:rsidR="009C55E2" w:rsidRDefault="001A058B">
            <w:pPr>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 desclasifica.</w:t>
            </w:r>
          </w:p>
        </w:tc>
      </w:tr>
    </w:tbl>
    <w:p w:rsidR="009C55E2" w:rsidRDefault="001A058B">
      <w:pPr>
        <w:ind w:left="709" w:right="70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9C55E2" w:rsidRDefault="001A058B">
      <w:pPr>
        <w:spacing w:beforeAutospacing="1" w:afterAutospacing="1" w:line="360" w:lineRule="auto"/>
        <w:jc w:val="both"/>
        <w:rPr>
          <w:rFonts w:ascii="Palatino Linotype" w:hAnsi="Palatino Linotype" w:cs="Arial"/>
          <w:i/>
          <w:sz w:val="22"/>
          <w:szCs w:val="22"/>
        </w:rPr>
      </w:pPr>
      <w:r>
        <w:rPr>
          <w:rFonts w:ascii="Palatino Linotype" w:hAnsi="Palatino Linotype" w:cs="Arial"/>
        </w:rPr>
        <w:lastRenderedPageBreak/>
        <w:t>Por lo tanto,</w:t>
      </w:r>
      <w:r>
        <w:rPr>
          <w:rFonts w:ascii="Palatino Linotype" w:hAnsi="Palatino Linotype"/>
        </w:rPr>
        <w:t xml:space="preserve"> es importante reiterar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9C55E2" w:rsidRDefault="001A058B">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REVOCAR </w:t>
      </w:r>
      <w:r>
        <w:rPr>
          <w:rFonts w:ascii="Palatino Linotype" w:eastAsia="Calibri" w:hAnsi="Palatino Linotype" w:cs="Arial"/>
        </w:rPr>
        <w:t xml:space="preserve">la respuesta otorgada por el </w:t>
      </w:r>
      <w:r>
        <w:rPr>
          <w:rFonts w:ascii="Palatino Linotype" w:eastAsia="Calibri" w:hAnsi="Palatino Linotype" w:cs="Arial"/>
          <w:b/>
        </w:rPr>
        <w:t>SUJETO OBLIGADO</w:t>
      </w:r>
      <w:r>
        <w:rPr>
          <w:rFonts w:ascii="Palatino Linotype" w:eastAsia="Calibri" w:hAnsi="Palatino Linotype" w:cs="Arial"/>
        </w:rPr>
        <w:t xml:space="preserve"> y ordenar haga entrega de la información que ha quedado precisada, vía SAIMEX, de ser procedente en</w:t>
      </w:r>
      <w:r>
        <w:rPr>
          <w:rFonts w:ascii="Palatino Linotype" w:eastAsia="Calibri" w:hAnsi="Palatino Linotype" w:cs="Arial"/>
          <w:b/>
        </w:rPr>
        <w:t xml:space="preserve"> versión pública. </w:t>
      </w:r>
    </w:p>
    <w:p w:rsidR="009C55E2" w:rsidRDefault="007D0314">
      <w:pPr>
        <w:widowControl w:val="0"/>
        <w:spacing w:beforeAutospacing="1" w:afterAutospacing="1" w:line="360" w:lineRule="auto"/>
        <w:jc w:val="both"/>
        <w:rPr>
          <w:rFonts w:ascii="Palatino Linotype" w:eastAsia="Calibri" w:hAnsi="Palatino Linotype" w:cs="Arial"/>
        </w:rPr>
      </w:pPr>
      <w:r>
        <w:rPr>
          <w:noProof/>
          <w:lang w:eastAsia="es-MX"/>
        </w:rPr>
        <mc:AlternateContent>
          <mc:Choice Requires="wps">
            <w:drawing>
              <wp:anchor distT="0" distB="0" distL="0" distR="0" simplePos="0" relativeHeight="96" behindDoc="0" locked="0" layoutInCell="1" allowOverlap="1" wp14:anchorId="1372B231">
                <wp:simplePos x="0" y="0"/>
                <wp:positionH relativeFrom="column">
                  <wp:posOffset>93980</wp:posOffset>
                </wp:positionH>
                <wp:positionV relativeFrom="paragraph">
                  <wp:posOffset>1588135</wp:posOffset>
                </wp:positionV>
                <wp:extent cx="5644515" cy="1062355"/>
                <wp:effectExtent l="38100" t="38100" r="71120" b="81915"/>
                <wp:wrapNone/>
                <wp:docPr id="16" name="Conector recto 16"/>
                <wp:cNvGraphicFramePr/>
                <a:graphic xmlns:a="http://schemas.openxmlformats.org/drawingml/2006/main">
                  <a:graphicData uri="http://schemas.microsoft.com/office/word/2010/wordprocessingShape">
                    <wps:wsp>
                      <wps:cNvCnPr/>
                      <wps:spPr>
                        <a:xfrm>
                          <a:off x="0" y="0"/>
                          <a:ext cx="5644515" cy="1062355"/>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6399E306" id="Conector recto 16" o:spid="_x0000_s1026" style="position:absolute;z-index:96;visibility:visible;mso-wrap-style:square;mso-wrap-distance-left:0;mso-wrap-distance-top:0;mso-wrap-distance-right:0;mso-wrap-distance-bottom:0;mso-position-horizontal:absolute;mso-position-horizontal-relative:text;mso-position-vertical:absolute;mso-position-vertical-relative:text" from="7.4pt,125.05pt" to="451.8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KzvgEAALsDAAAOAAAAZHJzL2Uyb0RvYy54bWysU8uO2zAMvBfoPwi6N7bTdVAYcfaQRXsp&#10;2qCPD9DKVCxAL1DaOPn7UrLrXbSHBYpeKInkjDkkvb+/WsMugFF71/NmU3MGTvpBu3PPf/74+O4D&#10;ZzEJNwjjHfT8BpHfH96+2U+hg60fvRkAGZG42E2h52NKoauqKEewIm58AEdB5dGKRE88VwOKidit&#10;qbZ1vasmj0NALyFG8j7MQX4o/EqBTF+VipCY6TnVlorFYh+zrQ570Z1RhFHLpQzxD1VYoR19dKV6&#10;EEmwJ9R/UVkt0Uev0kZ6W3mltISigdQ09R9qvo8iQNFCzYlhbVP8f7Tyy+WETA80ux1nTlia0ZEm&#10;JZNHhvlgFKAuTSF2lHx0J1xeMZwwS74qtPkkMexaOntbOwvXxCQ5293dXdu0nEmKNfVu+75tM2v1&#10;DA8Y0yfwluVLz412WbroxOVzTHPq75TsNi5b9E9umIPZUeUq57rKLd0MzMnfQJFKqmRbSMt+wdEg&#10;uwjaDCEluNQsFRlH2RmmtDErsH4duORnKJTdW8HN6+AVUb7sXVrBVjuPpbYXovL10Q+3Mo6imzak&#10;NHTZ5ryCL9+lO8//3OEXAAAA//8DAFBLAwQUAAYACAAAACEAlEhgjt4AAAAKAQAADwAAAGRycy9k&#10;b3ducmV2LnhtbEyPy07DMBRE90j8g3WR2FE7JrQ0jVMhJCSWNLBg6cS3eRA/ZLtN+veYFV2OZjRz&#10;ptwveiJn9GGwRkC2YkDQtFYNphPw9fn28AwkRGmUnKxBARcMsK9ub0pZKDubA57r2JFUYkIhBfQx&#10;uoLS0PaoZVhZhyZ5R+u1jEn6jiov51SuJ8oZW1MtB5MWeunwtcf2pz5pAd++Gfn7ZXbcjut6Ozrk&#10;HwcU4v5uedkBibjE/zD84Sd0qBJTY09GBTIlnSfyKIA/sQxICmzZ4wZIIyDPNjnQqqTXF6pfAAAA&#10;//8DAFBLAQItABQABgAIAAAAIQC2gziS/gAAAOEBAAATAAAAAAAAAAAAAAAAAAAAAABbQ29udGVu&#10;dF9UeXBlc10ueG1sUEsBAi0AFAAGAAgAAAAhADj9If/WAAAAlAEAAAsAAAAAAAAAAAAAAAAALwEA&#10;AF9yZWxzLy5yZWxzUEsBAi0AFAAGAAgAAAAhAJQbYrO+AQAAuwMAAA4AAAAAAAAAAAAAAAAALgIA&#10;AGRycy9lMm9Eb2MueG1sUEsBAi0AFAAGAAgAAAAhAJRIYI7eAAAACgEAAA8AAAAAAAAAAAAAAAAA&#10;GAQAAGRycy9kb3ducmV2LnhtbFBLBQYAAAAABAAEAPMAAAAjBQAAAAA=&#10;" strokecolor="#4f81bd [3204]" strokeweight="2pt">
                <v:shadow on="t" color="black" opacity="24903f" origin=",.5" offset="0,.55556mm"/>
              </v:line>
            </w:pict>
          </mc:Fallback>
        </mc:AlternateContent>
      </w:r>
      <w:r w:rsidR="001A058B">
        <w:rPr>
          <w:rFonts w:ascii="Palatino Linotype" w:eastAsia="Calibri" w:hAnsi="Palatino Linotype" w:cs="Arial"/>
        </w:rPr>
        <w:t xml:space="preserve">Así, con </w:t>
      </w:r>
      <w:r w:rsidR="001A058B">
        <w:rPr>
          <w:rFonts w:ascii="Palatino Linotype" w:hAnsi="Palatino Linotype" w:cs="Arial"/>
        </w:rPr>
        <w:t>fundamento</w:t>
      </w:r>
      <w:r w:rsidR="001A058B">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001A058B">
        <w:rPr>
          <w:rFonts w:ascii="Palatino Linotype" w:hAnsi="Palatino Linotype"/>
        </w:rPr>
        <w:t>2, fracción II, 19, 29, 36, fracciones I y II, 176, 178, 179, 181, 185, fracción I, 186 y 188</w:t>
      </w:r>
      <w:r w:rsidR="001A058B">
        <w:rPr>
          <w:rFonts w:ascii="Palatino Linotype" w:eastAsia="Calibri" w:hAnsi="Palatino Linotype" w:cs="Arial"/>
        </w:rPr>
        <w:t xml:space="preserve"> de la Ley de Transparencia y Acceso a la Información Pública del Estado de México y Municipios, este Pleno:</w:t>
      </w:r>
    </w:p>
    <w:p w:rsidR="009C55E2" w:rsidRDefault="009C55E2">
      <w:pPr>
        <w:spacing w:before="240" w:after="240" w:line="360" w:lineRule="auto"/>
        <w:jc w:val="center"/>
        <w:rPr>
          <w:rFonts w:ascii="Palatino Linotype" w:hAnsi="Palatino Linotype"/>
          <w:b/>
          <w:sz w:val="28"/>
        </w:rPr>
      </w:pPr>
    </w:p>
    <w:p w:rsidR="009C55E2" w:rsidRDefault="009C55E2">
      <w:pPr>
        <w:spacing w:before="240" w:after="240" w:line="360" w:lineRule="auto"/>
        <w:jc w:val="center"/>
        <w:rPr>
          <w:rFonts w:ascii="Palatino Linotype" w:hAnsi="Palatino Linotype"/>
          <w:b/>
          <w:sz w:val="28"/>
        </w:rPr>
      </w:pPr>
    </w:p>
    <w:p w:rsidR="009C55E2" w:rsidRPr="007D0314" w:rsidRDefault="001A058B">
      <w:pPr>
        <w:spacing w:before="240" w:after="240" w:line="360" w:lineRule="auto"/>
        <w:jc w:val="center"/>
        <w:rPr>
          <w:rFonts w:ascii="Palatino Linotype" w:hAnsi="Palatino Linotype"/>
          <w:b/>
          <w:sz w:val="28"/>
          <w:lang w:val="pt-BR"/>
        </w:rPr>
      </w:pPr>
      <w:r w:rsidRPr="007D0314">
        <w:rPr>
          <w:rFonts w:ascii="Palatino Linotype" w:hAnsi="Palatino Linotype"/>
          <w:b/>
          <w:sz w:val="28"/>
          <w:lang w:val="pt-BR"/>
        </w:rPr>
        <w:lastRenderedPageBreak/>
        <w:t>R E S U E L V E</w:t>
      </w:r>
    </w:p>
    <w:p w:rsidR="009C55E2" w:rsidRDefault="001A058B">
      <w:pPr>
        <w:spacing w:beforeAutospacing="1" w:afterAutospacing="1" w:line="360" w:lineRule="auto"/>
        <w:jc w:val="both"/>
        <w:rPr>
          <w:rFonts w:ascii="Palatino Linotype" w:eastAsia="Calibri" w:hAnsi="Palatino Linotype" w:cs="Arial"/>
        </w:rPr>
      </w:pPr>
      <w:r w:rsidRPr="007D0314">
        <w:rPr>
          <w:rFonts w:ascii="Palatino Linotype" w:eastAsia="Calibri" w:hAnsi="Palatino Linotype" w:cs="Arial"/>
          <w:b/>
          <w:sz w:val="28"/>
          <w:lang w:val="pt-BR"/>
        </w:rPr>
        <w:t>PRIMERO</w:t>
      </w:r>
      <w:r w:rsidRPr="007D0314">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 xml:space="preserve">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9C55E2" w:rsidRDefault="001A058B">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REVOCA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01012/INFOEM/IP/RR/2020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de ser procedente en </w:t>
      </w:r>
      <w:r>
        <w:rPr>
          <w:rFonts w:ascii="Palatino Linotype" w:eastAsia="Calibri" w:hAnsi="Palatino Linotype" w:cs="Arial"/>
          <w:b/>
        </w:rPr>
        <w:t>versión pública</w:t>
      </w:r>
      <w:r>
        <w:rPr>
          <w:rFonts w:ascii="Palatino Linotype" w:eastAsia="Calibri" w:hAnsi="Palatino Linotype" w:cs="Arial"/>
        </w:rPr>
        <w:t>, lo siguiente:</w:t>
      </w:r>
    </w:p>
    <w:p w:rsidR="009C55E2" w:rsidRDefault="001A058B">
      <w:pPr>
        <w:ind w:left="851" w:right="899"/>
        <w:jc w:val="both"/>
        <w:rPr>
          <w:rFonts w:ascii="Palatino Linotype" w:hAnsi="Palatino Linotype"/>
          <w:i/>
          <w:sz w:val="22"/>
          <w:szCs w:val="22"/>
        </w:rPr>
      </w:pPr>
      <w:r>
        <w:rPr>
          <w:rFonts w:ascii="Palatino Linotype" w:hAnsi="Palatino Linotype"/>
          <w:i/>
          <w:sz w:val="22"/>
          <w:szCs w:val="22"/>
        </w:rPr>
        <w:t xml:space="preserve">“El documento o documentos donde conste la fecha de inicio y termino de los trabajos realizados en el </w:t>
      </w:r>
      <w:r>
        <w:rPr>
          <w:rFonts w:ascii="Palatino Linotype" w:hAnsi="Palatino Linotype" w:cs="Arial"/>
          <w:i/>
          <w:sz w:val="22"/>
          <w:szCs w:val="22"/>
        </w:rPr>
        <w:t>andador 13, de la Colonia Jardines de Santa Clara entre calle 10 y calle Paseo de Santa Clara, Municipio de Ecatepec de Morelos, Estado de México.</w:t>
      </w:r>
    </w:p>
    <w:p w:rsidR="009C55E2" w:rsidRDefault="009C55E2">
      <w:pPr>
        <w:spacing w:line="276" w:lineRule="auto"/>
        <w:ind w:right="899"/>
        <w:jc w:val="both"/>
        <w:rPr>
          <w:rFonts w:ascii="Palatino Linotype" w:eastAsia="Arial Unicode MS" w:hAnsi="Palatino Linotype" w:cs="Arial"/>
          <w:i/>
          <w:sz w:val="22"/>
          <w:szCs w:val="22"/>
        </w:rPr>
      </w:pPr>
    </w:p>
    <w:p w:rsidR="009C55E2" w:rsidRDefault="001A058B">
      <w:pPr>
        <w:pStyle w:val="Prrafodelista"/>
        <w:spacing w:line="276" w:lineRule="auto"/>
        <w:ind w:left="851" w:right="899"/>
        <w:jc w:val="both"/>
        <w:rPr>
          <w:rFonts w:ascii="Palatino Linotype" w:eastAsia="Arial Unicode MS" w:hAnsi="Palatino Linotype" w:cs="Arial"/>
          <w:i/>
          <w:sz w:val="22"/>
          <w:szCs w:val="22"/>
        </w:rPr>
      </w:pPr>
      <w:r>
        <w:rPr>
          <w:rFonts w:ascii="Palatino Linotype" w:eastAsia="Arial Unicode MS" w:hAnsi="Palatino Linotype" w:cs="Arial"/>
          <w:i/>
          <w:sz w:val="22"/>
          <w:szCs w:val="22"/>
        </w:rPr>
        <w:t xml:space="preserve">Debiendo notificar al </w:t>
      </w:r>
      <w:r>
        <w:rPr>
          <w:rFonts w:ascii="Palatino Linotype" w:eastAsia="Arial Unicode MS" w:hAnsi="Palatino Linotype" w:cs="Arial"/>
          <w:b/>
          <w:i/>
          <w:sz w:val="22"/>
          <w:szCs w:val="22"/>
        </w:rPr>
        <w:t>RECURRENTE</w:t>
      </w:r>
      <w:r>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Pr>
          <w:rFonts w:ascii="Palatino Linotype" w:hAnsi="Palatino Linotype"/>
          <w:bCs/>
          <w:i/>
          <w:sz w:val="22"/>
          <w:szCs w:val="22"/>
        </w:rPr>
        <w:t>.”</w:t>
      </w:r>
    </w:p>
    <w:p w:rsidR="009C55E2" w:rsidRDefault="009C55E2">
      <w:pPr>
        <w:ind w:right="899"/>
        <w:jc w:val="both"/>
        <w:rPr>
          <w:rFonts w:ascii="Palatino Linotype" w:eastAsia="Arial Unicode MS" w:hAnsi="Palatino Linotype" w:cs="Arial"/>
          <w:i/>
          <w:sz w:val="22"/>
          <w:szCs w:val="22"/>
        </w:rPr>
      </w:pPr>
    </w:p>
    <w:p w:rsidR="009C55E2" w:rsidRDefault="001A058B">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C55E2" w:rsidRDefault="001A058B">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lastRenderedPageBreak/>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9C55E2" w:rsidRDefault="001A058B">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9C55E2" w:rsidRDefault="001A058B">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9C55E2" w:rsidRDefault="001A058B">
      <w:pPr>
        <w:spacing w:line="360" w:lineRule="auto"/>
        <w:jc w:val="both"/>
        <w:rPr>
          <w:rFonts w:ascii="Palatino Linotype" w:eastAsia="Calibri"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TERCERA SESIÓN ORDINARIA CELEBRADA EL DÍA DOCE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p w:rsidR="009C55E2" w:rsidRDefault="001A058B">
      <w:pPr>
        <w:tabs>
          <w:tab w:val="left" w:pos="1517"/>
        </w:tabs>
        <w:jc w:val="both"/>
        <w:rPr>
          <w:rFonts w:ascii="Palatino Linotype" w:hAnsi="Palatino Linotype" w:cs="Arial"/>
        </w:rPr>
      </w:pPr>
      <w:r>
        <w:rPr>
          <w:rFonts w:ascii="Palatino Linotype" w:hAnsi="Palatino Linotype" w:cs="Arial"/>
        </w:rPr>
        <w:tab/>
      </w:r>
    </w:p>
    <w:p w:rsidR="009C55E2" w:rsidRDefault="009C55E2">
      <w:pPr>
        <w:jc w:val="both"/>
        <w:rPr>
          <w:rFonts w:ascii="Palatino Linotype" w:hAnsi="Palatino Linotype" w:cs="Arial"/>
        </w:rPr>
      </w:pPr>
    </w:p>
    <w:p w:rsidR="009C55E2" w:rsidRDefault="009C55E2">
      <w:pPr>
        <w:jc w:val="both"/>
        <w:rPr>
          <w:rFonts w:ascii="Palatino Linotype" w:hAnsi="Palatino Linotype" w:cs="Arial"/>
        </w:rPr>
      </w:pPr>
    </w:p>
    <w:tbl>
      <w:tblPr>
        <w:tblW w:w="9214" w:type="dxa"/>
        <w:jc w:val="center"/>
        <w:tblLook w:val="04A0" w:firstRow="1" w:lastRow="0" w:firstColumn="1" w:lastColumn="0" w:noHBand="0" w:noVBand="1"/>
      </w:tblPr>
      <w:tblGrid>
        <w:gridCol w:w="4757"/>
        <w:gridCol w:w="4457"/>
      </w:tblGrid>
      <w:tr w:rsidR="009C55E2">
        <w:trPr>
          <w:jc w:val="center"/>
        </w:trPr>
        <w:tc>
          <w:tcPr>
            <w:tcW w:w="9213" w:type="dxa"/>
            <w:gridSpan w:val="2"/>
            <w:shd w:val="clear" w:color="auto" w:fill="auto"/>
          </w:tcPr>
          <w:p w:rsidR="009C55E2" w:rsidRDefault="009C55E2">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9C55E2" w:rsidRDefault="001A058B">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9C55E2" w:rsidRDefault="001A058B" w:rsidP="007D031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9C55E2">
        <w:trPr>
          <w:jc w:val="center"/>
        </w:trPr>
        <w:tc>
          <w:tcPr>
            <w:tcW w:w="4756" w:type="dxa"/>
            <w:shd w:val="clear" w:color="auto" w:fill="auto"/>
          </w:tcPr>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7D0314" w:rsidRDefault="007D0314">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9C55E2">
        <w:trPr>
          <w:jc w:val="center"/>
        </w:trPr>
        <w:tc>
          <w:tcPr>
            <w:tcW w:w="4756" w:type="dxa"/>
            <w:shd w:val="clear" w:color="auto" w:fill="auto"/>
          </w:tcPr>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9C55E2" w:rsidRDefault="009C55E2">
            <w:pPr>
              <w:jc w:val="center"/>
              <w:rPr>
                <w:rFonts w:ascii="Palatino Linotype" w:hAnsi="Palatino Linotype" w:cs="Arial"/>
                <w:b/>
                <w:color w:val="000000" w:themeColor="text1"/>
                <w:lang w:val="es-ES_tradnl"/>
              </w:rPr>
            </w:pPr>
          </w:p>
          <w:p w:rsidR="009C55E2" w:rsidRDefault="009C55E2">
            <w:pPr>
              <w:jc w:val="center"/>
              <w:rPr>
                <w:rFonts w:ascii="Palatino Linotype" w:hAnsi="Palatino Linotype" w:cs="Arial"/>
                <w:b/>
                <w:color w:val="000000" w:themeColor="text1"/>
                <w:lang w:val="es-ES_tradnl"/>
              </w:rPr>
            </w:pPr>
          </w:p>
          <w:p w:rsidR="009C55E2" w:rsidRDefault="009C55E2">
            <w:pPr>
              <w:jc w:val="center"/>
              <w:rPr>
                <w:rFonts w:ascii="Palatino Linotype" w:hAnsi="Palatino Linotype" w:cs="Arial"/>
                <w:b/>
                <w:color w:val="000000" w:themeColor="text1"/>
                <w:lang w:val="es-ES_tradnl"/>
              </w:rPr>
            </w:pPr>
          </w:p>
          <w:p w:rsidR="009C55E2" w:rsidRDefault="009C55E2">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9C55E2">
        <w:trPr>
          <w:jc w:val="center"/>
        </w:trPr>
        <w:tc>
          <w:tcPr>
            <w:tcW w:w="9213" w:type="dxa"/>
            <w:gridSpan w:val="2"/>
            <w:shd w:val="clear" w:color="auto" w:fill="auto"/>
          </w:tcPr>
          <w:p w:rsidR="009C55E2" w:rsidRDefault="009C55E2">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9C55E2" w:rsidP="007D0314">
            <w:pPr>
              <w:jc w:val="center"/>
              <w:rPr>
                <w:rFonts w:ascii="Palatino Linotype" w:hAnsi="Palatino Linotype" w:cs="Arial"/>
                <w:b/>
                <w:color w:val="000000" w:themeColor="text1"/>
                <w:lang w:val="es-ES_tradnl"/>
              </w:rPr>
            </w:pPr>
          </w:p>
          <w:p w:rsidR="009C55E2" w:rsidRDefault="001A058B">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9C55E2" w:rsidRDefault="001A058B">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9C55E2" w:rsidRDefault="009C55E2">
      <w:pPr>
        <w:jc w:val="both"/>
        <w:rPr>
          <w:rFonts w:ascii="Palatino Linotype" w:hAnsi="Palatino Linotype" w:cs="Arial"/>
          <w:sz w:val="22"/>
          <w:szCs w:val="22"/>
          <w:lang w:val="es-ES"/>
        </w:rPr>
      </w:pPr>
    </w:p>
    <w:p w:rsidR="009C55E2" w:rsidRDefault="001A058B">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01012/INFOEM/IP/RR/2020. </w:t>
      </w:r>
    </w:p>
    <w:p w:rsidR="009C55E2" w:rsidRDefault="001A058B">
      <w:pPr>
        <w:spacing w:beforeAutospacing="1" w:afterAutospacing="1"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9C55E2">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F00" w:rsidRDefault="00DE2F00">
      <w:r>
        <w:separator/>
      </w:r>
    </w:p>
  </w:endnote>
  <w:endnote w:type="continuationSeparator" w:id="0">
    <w:p w:rsidR="00DE2F00" w:rsidRDefault="00DE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E2" w:rsidRDefault="001A058B">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7636FE">
      <w:rPr>
        <w:rFonts w:ascii="Palatino Linotype" w:hAnsi="Palatino Linotype" w:cs="Arial"/>
        <w:bCs/>
        <w:noProof/>
        <w:sz w:val="22"/>
        <w:szCs w:val="22"/>
      </w:rPr>
      <w:t>43</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7636FE">
      <w:rPr>
        <w:rFonts w:ascii="Palatino Linotype" w:hAnsi="Palatino Linotype" w:cs="Arial"/>
        <w:bCs/>
        <w:noProof/>
        <w:sz w:val="22"/>
        <w:szCs w:val="22"/>
      </w:rPr>
      <w:t>43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E2" w:rsidRDefault="001A058B">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7636F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7636FE">
      <w:rPr>
        <w:rFonts w:ascii="Palatino Linotype" w:hAnsi="Palatino Linotype" w:cs="Arial"/>
        <w:bCs/>
        <w:noProof/>
        <w:sz w:val="22"/>
        <w:szCs w:val="22"/>
      </w:rPr>
      <w:t>43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F00" w:rsidRDefault="00DE2F00">
      <w:r>
        <w:separator/>
      </w:r>
    </w:p>
  </w:footnote>
  <w:footnote w:type="continuationSeparator" w:id="0">
    <w:p w:rsidR="00DE2F00" w:rsidRDefault="00DE2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E2" w:rsidRDefault="001A058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79" behindDoc="1" locked="0" layoutInCell="1" allowOverlap="1">
          <wp:simplePos x="0" y="0"/>
          <wp:positionH relativeFrom="column">
            <wp:align>center</wp:align>
          </wp:positionH>
          <wp:positionV relativeFrom="margin">
            <wp:align>center</wp:align>
          </wp:positionV>
          <wp:extent cx="6858635" cy="9144635"/>
          <wp:effectExtent l="0" t="0" r="0" b="0"/>
          <wp:wrapNone/>
          <wp:docPr id="17"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9C55E2">
      <w:tc>
        <w:tcPr>
          <w:tcW w:w="3259" w:type="dxa"/>
          <w:vMerge w:val="restart"/>
        </w:tcPr>
        <w:p w:rsidR="009C55E2" w:rsidRDefault="001A058B">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9C55E2" w:rsidRDefault="001A058B">
          <w:pPr>
            <w:jc w:val="both"/>
            <w:rPr>
              <w:rFonts w:ascii="Palatino Linotype" w:hAnsi="Palatino Linotype"/>
              <w:b/>
              <w:sz w:val="22"/>
              <w:szCs w:val="22"/>
              <w:lang w:val="es-ES_tradnl"/>
            </w:rPr>
          </w:pPr>
          <w:r>
            <w:rPr>
              <w:rFonts w:ascii="Palatino Linotype" w:hAnsi="Palatino Linotype"/>
              <w:b/>
              <w:sz w:val="22"/>
              <w:szCs w:val="22"/>
              <w:lang w:val="es-ES_tradnl"/>
            </w:rPr>
            <w:t>01012/INFOEM/IP/RR/2020</w:t>
          </w:r>
        </w:p>
      </w:tc>
    </w:tr>
    <w:tr w:rsidR="009C55E2">
      <w:tc>
        <w:tcPr>
          <w:tcW w:w="3259" w:type="dxa"/>
          <w:vMerge/>
        </w:tcPr>
        <w:p w:rsidR="009C55E2" w:rsidRDefault="009C55E2">
          <w:pPr>
            <w:rPr>
              <w:rFonts w:ascii="Palatino Linotype" w:hAnsi="Palatino Linotype"/>
              <w:b/>
              <w:sz w:val="22"/>
              <w:szCs w:val="22"/>
              <w:lang w:val="es-ES_tradnl"/>
            </w:rPr>
          </w:pPr>
        </w:p>
      </w:tc>
      <w:tc>
        <w:tcPr>
          <w:tcW w:w="2551"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9C55E2" w:rsidRDefault="001A058B">
          <w:pPr>
            <w:jc w:val="both"/>
            <w:rPr>
              <w:rFonts w:ascii="Palatino Linotype" w:hAnsi="Palatino Linotype"/>
              <w:b/>
              <w:sz w:val="22"/>
              <w:szCs w:val="22"/>
            </w:rPr>
          </w:pPr>
          <w:r>
            <w:rPr>
              <w:rFonts w:ascii="Palatino Linotype" w:hAnsi="Palatino Linotype"/>
              <w:b/>
              <w:sz w:val="22"/>
              <w:szCs w:val="22"/>
            </w:rPr>
            <w:t>Sistema de Agua Potable Alcantarillado y Saneamiento de Ecatepec de Morelos</w:t>
          </w:r>
        </w:p>
      </w:tc>
    </w:tr>
    <w:tr w:rsidR="009C55E2">
      <w:trPr>
        <w:trHeight w:val="228"/>
      </w:trPr>
      <w:tc>
        <w:tcPr>
          <w:tcW w:w="3259" w:type="dxa"/>
          <w:vMerge/>
        </w:tcPr>
        <w:p w:rsidR="009C55E2" w:rsidRDefault="009C55E2">
          <w:pPr>
            <w:rPr>
              <w:rFonts w:ascii="Palatino Linotype" w:hAnsi="Palatino Linotype"/>
              <w:b/>
              <w:sz w:val="22"/>
              <w:szCs w:val="22"/>
              <w:lang w:val="es-ES_tradnl"/>
            </w:rPr>
          </w:pPr>
        </w:p>
      </w:tc>
      <w:tc>
        <w:tcPr>
          <w:tcW w:w="2551"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9C55E2" w:rsidRDefault="001A058B">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C55E2" w:rsidRDefault="009C55E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E2" w:rsidRDefault="001A058B">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80" behindDoc="1" locked="0" layoutInCell="1" allowOverlap="1">
          <wp:simplePos x="0" y="0"/>
          <wp:positionH relativeFrom="column">
            <wp:align>center</wp:align>
          </wp:positionH>
          <wp:positionV relativeFrom="margin">
            <wp:align>center</wp:align>
          </wp:positionV>
          <wp:extent cx="6858635" cy="9144635"/>
          <wp:effectExtent l="0" t="0" r="0" b="0"/>
          <wp:wrapNone/>
          <wp:docPr id="19"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9C55E2">
      <w:tc>
        <w:tcPr>
          <w:tcW w:w="4251" w:type="dxa"/>
          <w:vMerge w:val="restart"/>
          <w:shd w:val="clear" w:color="auto" w:fill="auto"/>
        </w:tcPr>
        <w:p w:rsidR="009C55E2" w:rsidRDefault="001A058B">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9C55E2" w:rsidRDefault="001A058B">
          <w:pPr>
            <w:jc w:val="both"/>
            <w:rPr>
              <w:rFonts w:ascii="Palatino Linotype" w:hAnsi="Palatino Linotype"/>
              <w:b/>
              <w:sz w:val="22"/>
              <w:szCs w:val="22"/>
              <w:lang w:val="es-ES_tradnl"/>
            </w:rPr>
          </w:pPr>
          <w:r>
            <w:rPr>
              <w:rFonts w:ascii="Palatino Linotype" w:hAnsi="Palatino Linotype"/>
              <w:b/>
              <w:bCs/>
              <w:sz w:val="22"/>
              <w:szCs w:val="22"/>
            </w:rPr>
            <w:t>01012/INFOEM/IP/RR/2020</w:t>
          </w:r>
        </w:p>
      </w:tc>
    </w:tr>
    <w:tr w:rsidR="009C55E2">
      <w:tc>
        <w:tcPr>
          <w:tcW w:w="4251" w:type="dxa"/>
          <w:vMerge/>
          <w:shd w:val="clear" w:color="auto" w:fill="auto"/>
        </w:tcPr>
        <w:p w:rsidR="009C55E2" w:rsidRDefault="009C55E2">
          <w:pPr>
            <w:rPr>
              <w:rFonts w:ascii="Palatino Linotype" w:hAnsi="Palatino Linotype"/>
              <w:b/>
              <w:sz w:val="22"/>
              <w:szCs w:val="22"/>
              <w:lang w:val="es-ES_tradnl"/>
            </w:rPr>
          </w:pPr>
        </w:p>
      </w:tc>
      <w:tc>
        <w:tcPr>
          <w:tcW w:w="2552"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9C55E2" w:rsidRDefault="007636FE">
          <w:pPr>
            <w:jc w:val="both"/>
            <w:rPr>
              <w:rFonts w:ascii="Palatino Linotype" w:hAnsi="Palatino Linotype"/>
              <w:b/>
              <w:sz w:val="22"/>
              <w:szCs w:val="22"/>
              <w:lang w:val="es-ES_tradnl"/>
            </w:rPr>
          </w:pPr>
          <w:r>
            <w:rPr>
              <w:rFonts w:ascii="Palatino Linotype" w:hAnsi="Palatino Linotype"/>
              <w:b/>
              <w:sz w:val="22"/>
              <w:szCs w:val="22"/>
              <w:lang w:val="es-ES_tradnl"/>
            </w:rPr>
            <w:t>X Xxxxxx xxxxxx</w:t>
          </w:r>
        </w:p>
      </w:tc>
    </w:tr>
    <w:tr w:rsidR="009C55E2">
      <w:trPr>
        <w:trHeight w:val="228"/>
      </w:trPr>
      <w:tc>
        <w:tcPr>
          <w:tcW w:w="4251" w:type="dxa"/>
          <w:vMerge/>
          <w:shd w:val="clear" w:color="auto" w:fill="auto"/>
        </w:tcPr>
        <w:p w:rsidR="009C55E2" w:rsidRDefault="009C55E2">
          <w:pPr>
            <w:rPr>
              <w:rFonts w:ascii="Palatino Linotype" w:hAnsi="Palatino Linotype"/>
              <w:b/>
              <w:sz w:val="22"/>
              <w:szCs w:val="22"/>
              <w:lang w:val="es-ES_tradnl"/>
            </w:rPr>
          </w:pPr>
        </w:p>
      </w:tc>
      <w:tc>
        <w:tcPr>
          <w:tcW w:w="2552"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9C55E2" w:rsidRDefault="001A058B">
          <w:pPr>
            <w:jc w:val="both"/>
            <w:rPr>
              <w:rFonts w:ascii="Palatino Linotype" w:hAnsi="Palatino Linotype"/>
              <w:b/>
              <w:sz w:val="22"/>
              <w:szCs w:val="22"/>
            </w:rPr>
          </w:pPr>
          <w:r>
            <w:rPr>
              <w:rFonts w:ascii="Palatino Linotype" w:hAnsi="Palatino Linotype"/>
              <w:b/>
              <w:sz w:val="22"/>
              <w:szCs w:val="22"/>
            </w:rPr>
            <w:t>Sistema de Agua Potable Alcantarillado y Saneamiento de Ecatepec de Morelos</w:t>
          </w:r>
        </w:p>
      </w:tc>
    </w:tr>
    <w:tr w:rsidR="009C55E2">
      <w:tc>
        <w:tcPr>
          <w:tcW w:w="4251" w:type="dxa"/>
          <w:vMerge/>
          <w:shd w:val="clear" w:color="auto" w:fill="auto"/>
        </w:tcPr>
        <w:p w:rsidR="009C55E2" w:rsidRDefault="009C55E2">
          <w:pPr>
            <w:rPr>
              <w:rFonts w:ascii="Palatino Linotype" w:hAnsi="Palatino Linotype"/>
              <w:b/>
              <w:sz w:val="22"/>
              <w:szCs w:val="22"/>
              <w:lang w:val="es-ES_tradnl"/>
            </w:rPr>
          </w:pPr>
        </w:p>
      </w:tc>
      <w:tc>
        <w:tcPr>
          <w:tcW w:w="2552" w:type="dxa"/>
          <w:shd w:val="clear" w:color="auto" w:fill="auto"/>
        </w:tcPr>
        <w:p w:rsidR="009C55E2" w:rsidRDefault="001A058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9C55E2" w:rsidRDefault="001A058B">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C55E2" w:rsidRDefault="009C55E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C6C51"/>
    <w:multiLevelType w:val="multilevel"/>
    <w:tmpl w:val="5CD4C3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F664317"/>
    <w:multiLevelType w:val="multilevel"/>
    <w:tmpl w:val="90A22748"/>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2" w15:restartNumberingAfterBreak="0">
    <w:nsid w:val="4CB75C86"/>
    <w:multiLevelType w:val="multilevel"/>
    <w:tmpl w:val="37C624A8"/>
    <w:lvl w:ilvl="0">
      <w:start w:val="1"/>
      <w:numFmt w:val="upperRoman"/>
      <w:lvlText w:val="%1."/>
      <w:lvlJc w:val="left"/>
      <w:pPr>
        <w:ind w:left="720" w:hanging="360"/>
      </w:pPr>
      <w:rPr>
        <w:rFonts w:cs="Symbol" w:hint="default"/>
        <w:b/>
        <w:bCs/>
        <w:i w:val="0"/>
        <w:strike w:val="0"/>
        <w:dstrike w:val="0"/>
        <w:color w:val="000000"/>
        <w:sz w:val="28"/>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2A541D5"/>
    <w:multiLevelType w:val="multilevel"/>
    <w:tmpl w:val="AE162C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6ED1270"/>
    <w:multiLevelType w:val="multilevel"/>
    <w:tmpl w:val="9380FADE"/>
    <w:lvl w:ilvl="0">
      <w:start w:val="1"/>
      <w:numFmt w:val="upperRoman"/>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C040A17"/>
    <w:multiLevelType w:val="multilevel"/>
    <w:tmpl w:val="7472C33A"/>
    <w:lvl w:ilvl="0">
      <w:start w:val="1"/>
      <w:numFmt w:val="upperRoman"/>
      <w:lvlText w:val="%1."/>
      <w:lvlJc w:val="left"/>
      <w:pPr>
        <w:ind w:left="795" w:hanging="43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051A33"/>
    <w:multiLevelType w:val="multilevel"/>
    <w:tmpl w:val="89785C12"/>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5"/>
  </w:num>
  <w:num w:numId="6">
    <w:abstractNumId w:val="6"/>
  </w:num>
  <w:num w:numId="7">
    <w:abstractNumId w:val="3"/>
  </w:num>
  <w:num w:numId="8">
    <w:abstractNumId w:val="2"/>
    <w:lvlOverride w:ilvl="0">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E2"/>
    <w:rsid w:val="001A058B"/>
    <w:rsid w:val="007636FE"/>
    <w:rsid w:val="007D0314"/>
    <w:rsid w:val="009C55E2"/>
    <w:rsid w:val="00DE2F00"/>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CD049-B6DE-4B11-9D90-F052339E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75D2-4E6E-47EF-B15E-D6CE973D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9423</Words>
  <Characters>51830</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2020-08-26T20:31:00Z</dcterms:created>
  <dcterms:modified xsi:type="dcterms:W3CDTF">2020-08-26T20:31:00Z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