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5AE8C" w14:textId="77777777" w:rsidR="00531CD8" w:rsidRPr="003F3783" w:rsidRDefault="00531CD8" w:rsidP="00531CD8">
      <w:pPr>
        <w:tabs>
          <w:tab w:val="left" w:pos="567"/>
        </w:tabs>
        <w:spacing w:line="360" w:lineRule="auto"/>
        <w:jc w:val="center"/>
        <w:rPr>
          <w:rFonts w:ascii="Palatino Linotype" w:eastAsia="Times New Roman" w:hAnsi="Palatino Linotype" w:cs="Times New Roman"/>
          <w:b/>
          <w:color w:val="000000" w:themeColor="text1"/>
        </w:rPr>
      </w:pPr>
      <w:r w:rsidRPr="003F3783">
        <w:rPr>
          <w:rFonts w:ascii="Palatino Linotype" w:eastAsia="Times New Roman" w:hAnsi="Palatino Linotype" w:cs="Times New Roman"/>
          <w:b/>
          <w:color w:val="000000" w:themeColor="text1"/>
        </w:rPr>
        <w:t>LÍNEAS ARGUMENTATIVAS</w:t>
      </w:r>
    </w:p>
    <w:p w14:paraId="64E7D5B4" w14:textId="77777777" w:rsidR="00531CD8" w:rsidRPr="003F3783" w:rsidRDefault="00531CD8" w:rsidP="00531CD8">
      <w:pPr>
        <w:spacing w:line="360" w:lineRule="auto"/>
        <w:jc w:val="both"/>
        <w:rPr>
          <w:rFonts w:ascii="Palatino Linotype" w:eastAsia="MS Mincho" w:hAnsi="Palatino Linotype" w:cs="Arial"/>
          <w:b/>
          <w:color w:val="000000" w:themeColor="text1"/>
        </w:rPr>
      </w:pPr>
    </w:p>
    <w:p w14:paraId="49F49E4E" w14:textId="77777777" w:rsidR="00531CD8" w:rsidRPr="003F3783" w:rsidRDefault="00531CD8" w:rsidP="00531CD8">
      <w:pPr>
        <w:tabs>
          <w:tab w:val="left" w:pos="567"/>
        </w:tabs>
        <w:spacing w:line="360" w:lineRule="auto"/>
        <w:jc w:val="both"/>
        <w:rPr>
          <w:rFonts w:ascii="Palatino Linotype" w:hAnsi="Palatino Linotype"/>
          <w:lang w:eastAsia="es-MX"/>
        </w:rPr>
      </w:pPr>
      <w:r w:rsidRPr="003F3783">
        <w:rPr>
          <w:rFonts w:ascii="Palatino Linotype" w:hAnsi="Palatino Linotype"/>
          <w:b/>
        </w:rPr>
        <w:t xml:space="preserve">RESPUESTAS IMPRECISAS O INCOMPLETAS, DEBER DE REPARACIÓN. </w:t>
      </w:r>
      <w:r w:rsidRPr="003F3783">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869E2FD" w14:textId="77777777" w:rsidR="00531CD8" w:rsidRPr="003F3783" w:rsidRDefault="00531CD8" w:rsidP="00531CD8">
      <w:pPr>
        <w:tabs>
          <w:tab w:val="left" w:pos="567"/>
        </w:tabs>
        <w:spacing w:line="360" w:lineRule="auto"/>
        <w:rPr>
          <w:rFonts w:ascii="Palatino Linotype" w:eastAsia="Times New Roman" w:hAnsi="Palatino Linotype" w:cs="Times New Roman"/>
          <w:b/>
          <w:color w:val="000000" w:themeColor="text1"/>
        </w:rPr>
      </w:pPr>
    </w:p>
    <w:p w14:paraId="2135D6C8" w14:textId="77777777" w:rsidR="00531CD8" w:rsidRPr="003F3783" w:rsidRDefault="00531CD8" w:rsidP="00531CD8">
      <w:pPr>
        <w:spacing w:line="360" w:lineRule="auto"/>
        <w:jc w:val="both"/>
        <w:rPr>
          <w:rFonts w:ascii="Palatino Linotype" w:hAnsi="Palatino Linotype"/>
          <w:b/>
          <w:color w:val="000000" w:themeColor="text1"/>
        </w:rPr>
      </w:pPr>
      <w:r w:rsidRPr="003F3783">
        <w:rPr>
          <w:rFonts w:ascii="Palatino Linotype" w:eastAsia="MS Mincho" w:hAnsi="Palatino Linotype" w:cs="Arial"/>
          <w:b/>
          <w:color w:val="000000" w:themeColor="text1"/>
        </w:rPr>
        <w:t xml:space="preserve">VERSIÓN PÚBLICA. </w:t>
      </w:r>
      <w:r w:rsidRPr="003F3783">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2C267222" w14:textId="4FBB89CD" w:rsidR="007A0A0E" w:rsidRPr="003F3783" w:rsidRDefault="007A0A0E">
      <w:pPr>
        <w:rPr>
          <w:rFonts w:ascii="Palatino Linotype" w:eastAsia="Times New Roman" w:hAnsi="Palatino Linotype"/>
          <w:color w:val="000000" w:themeColor="text1"/>
        </w:rPr>
      </w:pPr>
      <w:r w:rsidRPr="003F3783">
        <w:rPr>
          <w:rFonts w:ascii="Palatino Linotype" w:eastAsia="Times New Roman" w:hAnsi="Palatino Linotype"/>
          <w:color w:val="000000" w:themeColor="text1"/>
        </w:rPr>
        <w:br w:type="page"/>
      </w:r>
    </w:p>
    <w:sdt>
      <w:sdtPr>
        <w:rPr>
          <w:rFonts w:asciiTheme="minorHAnsi" w:eastAsiaTheme="minorEastAsia" w:hAnsiTheme="minorHAnsi" w:cstheme="minorBidi"/>
          <w:b/>
          <w:sz w:val="20"/>
          <w:szCs w:val="20"/>
          <w:lang w:val="es-ES" w:eastAsia="es-ES"/>
        </w:rPr>
        <w:id w:val="-859809631"/>
        <w:docPartObj>
          <w:docPartGallery w:val="Table of Contents"/>
          <w:docPartUnique/>
        </w:docPartObj>
      </w:sdtPr>
      <w:sdtEndPr>
        <w:rPr>
          <w:b w:val="0"/>
          <w:bCs/>
        </w:rPr>
      </w:sdtEndPr>
      <w:sdtContent>
        <w:p w14:paraId="21569600" w14:textId="77777777" w:rsidR="00531CD8" w:rsidRPr="003F3783" w:rsidRDefault="00531CD8" w:rsidP="00531CD8">
          <w:pPr>
            <w:pStyle w:val="TtulodeTDC"/>
            <w:jc w:val="center"/>
            <w:rPr>
              <w:rFonts w:asciiTheme="minorHAnsi" w:eastAsiaTheme="minorEastAsia" w:hAnsiTheme="minorHAnsi" w:cstheme="minorBidi"/>
              <w:b/>
              <w:szCs w:val="24"/>
              <w:lang w:val="es-ES" w:eastAsia="es-ES"/>
            </w:rPr>
          </w:pPr>
          <w:r w:rsidRPr="003F3783">
            <w:rPr>
              <w:szCs w:val="24"/>
              <w:lang w:val="es-ES"/>
            </w:rPr>
            <w:t>ÍNDICE</w:t>
          </w:r>
        </w:p>
        <w:p w14:paraId="5D95BD14" w14:textId="77777777" w:rsidR="008E555D" w:rsidRPr="003F3783" w:rsidRDefault="00531CD8" w:rsidP="008E555D">
          <w:pPr>
            <w:pStyle w:val="TDC1"/>
            <w:rPr>
              <w:rFonts w:ascii="Palatino Linotype" w:hAnsi="Palatino Linotype"/>
              <w:noProof/>
              <w:sz w:val="22"/>
              <w:szCs w:val="22"/>
              <w:lang w:val="es-MX" w:eastAsia="es-MX"/>
            </w:rPr>
          </w:pPr>
          <w:r w:rsidRPr="003F3783">
            <w:rPr>
              <w:rFonts w:ascii="Palatino Linotype" w:hAnsi="Palatino Linotype"/>
              <w:color w:val="000000" w:themeColor="text1"/>
              <w:sz w:val="22"/>
              <w:szCs w:val="22"/>
            </w:rPr>
            <w:fldChar w:fldCharType="begin"/>
          </w:r>
          <w:r w:rsidRPr="003F3783">
            <w:rPr>
              <w:rFonts w:ascii="Palatino Linotype" w:hAnsi="Palatino Linotype"/>
              <w:color w:val="000000" w:themeColor="text1"/>
              <w:sz w:val="22"/>
              <w:szCs w:val="22"/>
            </w:rPr>
            <w:instrText xml:space="preserve"> TOC \o "1-3" \h \z \u </w:instrText>
          </w:r>
          <w:r w:rsidRPr="003F3783">
            <w:rPr>
              <w:rFonts w:ascii="Palatino Linotype" w:hAnsi="Palatino Linotype"/>
              <w:color w:val="000000" w:themeColor="text1"/>
              <w:sz w:val="22"/>
              <w:szCs w:val="22"/>
            </w:rPr>
            <w:fldChar w:fldCharType="separate"/>
          </w:r>
          <w:hyperlink w:anchor="_Toc52563272" w:history="1">
            <w:r w:rsidR="008E555D" w:rsidRPr="003F3783">
              <w:rPr>
                <w:rStyle w:val="Hipervnculo"/>
                <w:rFonts w:ascii="Palatino Linotype" w:hAnsi="Palatino Linotype"/>
                <w:b/>
                <w:noProof/>
                <w:sz w:val="22"/>
                <w:szCs w:val="22"/>
              </w:rPr>
              <w:t>ANTECEDENTES</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_Toc52563272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3</w:t>
            </w:r>
            <w:r w:rsidR="008E555D" w:rsidRPr="003F3783">
              <w:rPr>
                <w:rFonts w:ascii="Palatino Linotype" w:hAnsi="Palatino Linotype"/>
                <w:noProof/>
                <w:webHidden/>
                <w:sz w:val="22"/>
                <w:szCs w:val="22"/>
              </w:rPr>
              <w:fldChar w:fldCharType="end"/>
            </w:r>
          </w:hyperlink>
        </w:p>
        <w:p w14:paraId="54839D87" w14:textId="77777777" w:rsidR="008E555D" w:rsidRPr="003F3783" w:rsidRDefault="00EE7815" w:rsidP="008E555D">
          <w:pPr>
            <w:pStyle w:val="TDC1"/>
            <w:rPr>
              <w:rFonts w:ascii="Palatino Linotype" w:hAnsi="Palatino Linotype"/>
              <w:noProof/>
              <w:sz w:val="22"/>
              <w:szCs w:val="22"/>
              <w:lang w:val="es-MX" w:eastAsia="es-MX"/>
            </w:rPr>
          </w:pPr>
          <w:hyperlink w:anchor="_Toc52563273" w:history="1">
            <w:r w:rsidR="008E555D" w:rsidRPr="003F3783">
              <w:rPr>
                <w:rStyle w:val="Hipervnculo"/>
                <w:rFonts w:ascii="Palatino Linotype" w:hAnsi="Palatino Linotype"/>
                <w:b/>
                <w:noProof/>
                <w:sz w:val="22"/>
                <w:szCs w:val="22"/>
              </w:rPr>
              <w:t>CONSIDERANDO</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_Toc52563273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7</w:t>
            </w:r>
            <w:r w:rsidR="008E555D" w:rsidRPr="003F3783">
              <w:rPr>
                <w:rFonts w:ascii="Palatino Linotype" w:hAnsi="Palatino Linotype"/>
                <w:noProof/>
                <w:webHidden/>
                <w:sz w:val="22"/>
                <w:szCs w:val="22"/>
              </w:rPr>
              <w:fldChar w:fldCharType="end"/>
            </w:r>
          </w:hyperlink>
        </w:p>
        <w:p w14:paraId="583F2825" w14:textId="77777777" w:rsidR="008E555D" w:rsidRPr="003F3783" w:rsidRDefault="00EE7815" w:rsidP="008E555D">
          <w:pPr>
            <w:pStyle w:val="TDC2"/>
            <w:tabs>
              <w:tab w:val="left" w:pos="440"/>
            </w:tabs>
            <w:ind w:firstLine="0"/>
            <w:rPr>
              <w:rFonts w:ascii="Palatino Linotype" w:hAnsi="Palatino Linotype"/>
              <w:noProof/>
              <w:sz w:val="22"/>
              <w:szCs w:val="22"/>
              <w:lang w:val="es-MX" w:eastAsia="es-MX"/>
            </w:rPr>
          </w:pPr>
          <w:hyperlink w:anchor="_Toc52563274" w:history="1">
            <w:r w:rsidR="008E555D" w:rsidRPr="003F3783">
              <w:rPr>
                <w:rStyle w:val="Hipervnculo"/>
                <w:rFonts w:ascii="Palatino Linotype" w:hAnsi="Palatino Linotype"/>
                <w:b/>
                <w:noProof/>
                <w:sz w:val="22"/>
                <w:szCs w:val="22"/>
              </w:rPr>
              <w:t>PRIMERO. De la competencia</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_Toc52563274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7</w:t>
            </w:r>
            <w:r w:rsidR="008E555D" w:rsidRPr="003F3783">
              <w:rPr>
                <w:rFonts w:ascii="Palatino Linotype" w:hAnsi="Palatino Linotype"/>
                <w:noProof/>
                <w:webHidden/>
                <w:sz w:val="22"/>
                <w:szCs w:val="22"/>
              </w:rPr>
              <w:fldChar w:fldCharType="end"/>
            </w:r>
          </w:hyperlink>
        </w:p>
        <w:p w14:paraId="09F4070F" w14:textId="77777777" w:rsidR="008E555D" w:rsidRPr="003F3783" w:rsidRDefault="00EE7815" w:rsidP="008E555D">
          <w:pPr>
            <w:pStyle w:val="TDC2"/>
            <w:tabs>
              <w:tab w:val="left" w:pos="440"/>
            </w:tabs>
            <w:ind w:firstLine="0"/>
            <w:rPr>
              <w:rFonts w:ascii="Palatino Linotype" w:hAnsi="Palatino Linotype"/>
              <w:noProof/>
              <w:sz w:val="22"/>
              <w:szCs w:val="22"/>
              <w:lang w:val="es-MX" w:eastAsia="es-MX"/>
            </w:rPr>
          </w:pPr>
          <w:hyperlink w:anchor="_Toc52563275" w:history="1">
            <w:r w:rsidR="008E555D" w:rsidRPr="003F3783">
              <w:rPr>
                <w:rStyle w:val="Hipervnculo"/>
                <w:rFonts w:ascii="Palatino Linotype" w:hAnsi="Palatino Linotype"/>
                <w:b/>
                <w:noProof/>
                <w:sz w:val="22"/>
                <w:szCs w:val="22"/>
              </w:rPr>
              <w:t>SEGUNDO. De la oportunidad y procedencia.</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_Toc52563275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7</w:t>
            </w:r>
            <w:r w:rsidR="008E555D" w:rsidRPr="003F3783">
              <w:rPr>
                <w:rFonts w:ascii="Palatino Linotype" w:hAnsi="Palatino Linotype"/>
                <w:noProof/>
                <w:webHidden/>
                <w:sz w:val="22"/>
                <w:szCs w:val="22"/>
              </w:rPr>
              <w:fldChar w:fldCharType="end"/>
            </w:r>
          </w:hyperlink>
        </w:p>
        <w:p w14:paraId="71BF8856" w14:textId="77777777" w:rsidR="008E555D" w:rsidRPr="003F3783" w:rsidRDefault="00EE7815" w:rsidP="008E555D">
          <w:pPr>
            <w:pStyle w:val="TDC2"/>
            <w:tabs>
              <w:tab w:val="left" w:pos="440"/>
            </w:tabs>
            <w:ind w:firstLine="0"/>
            <w:rPr>
              <w:rFonts w:ascii="Palatino Linotype" w:hAnsi="Palatino Linotype"/>
              <w:noProof/>
              <w:sz w:val="22"/>
              <w:szCs w:val="22"/>
              <w:lang w:val="es-MX" w:eastAsia="es-MX"/>
            </w:rPr>
          </w:pPr>
          <w:hyperlink w:anchor="_Toc52563276" w:history="1">
            <w:r w:rsidR="008E555D" w:rsidRPr="003F3783">
              <w:rPr>
                <w:rStyle w:val="Hipervnculo"/>
                <w:rFonts w:ascii="Palatino Linotype" w:hAnsi="Palatino Linotype"/>
                <w:b/>
                <w:noProof/>
                <w:sz w:val="22"/>
                <w:szCs w:val="22"/>
              </w:rPr>
              <w:t xml:space="preserve">TERCERO. Del planteamiento de la </w:t>
            </w:r>
            <w:r w:rsidR="008E555D" w:rsidRPr="003F3783">
              <w:rPr>
                <w:rStyle w:val="Hipervnculo"/>
                <w:rFonts w:ascii="Palatino Linotype" w:hAnsi="Palatino Linotype"/>
                <w:b/>
                <w:i/>
                <w:noProof/>
                <w:sz w:val="22"/>
                <w:szCs w:val="22"/>
              </w:rPr>
              <w:t>Litis</w:t>
            </w:r>
            <w:r w:rsidR="008E555D" w:rsidRPr="003F3783">
              <w:rPr>
                <w:rStyle w:val="Hipervnculo"/>
                <w:rFonts w:ascii="Palatino Linotype" w:hAnsi="Palatino Linotype"/>
                <w:b/>
                <w:noProof/>
                <w:sz w:val="22"/>
                <w:szCs w:val="22"/>
              </w:rPr>
              <w:t>.</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_Toc52563276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8</w:t>
            </w:r>
            <w:r w:rsidR="008E555D" w:rsidRPr="003F3783">
              <w:rPr>
                <w:rFonts w:ascii="Palatino Linotype" w:hAnsi="Palatino Linotype"/>
                <w:noProof/>
                <w:webHidden/>
                <w:sz w:val="22"/>
                <w:szCs w:val="22"/>
              </w:rPr>
              <w:fldChar w:fldCharType="end"/>
            </w:r>
          </w:hyperlink>
        </w:p>
        <w:p w14:paraId="5BDE4CCB" w14:textId="77777777" w:rsidR="008E555D" w:rsidRPr="003F3783" w:rsidRDefault="00EE7815" w:rsidP="008E555D">
          <w:pPr>
            <w:pStyle w:val="TDC2"/>
            <w:tabs>
              <w:tab w:val="left" w:pos="440"/>
            </w:tabs>
            <w:ind w:firstLine="0"/>
            <w:rPr>
              <w:rFonts w:ascii="Palatino Linotype" w:hAnsi="Palatino Linotype"/>
              <w:noProof/>
              <w:sz w:val="22"/>
              <w:szCs w:val="22"/>
              <w:lang w:val="es-MX" w:eastAsia="es-MX"/>
            </w:rPr>
          </w:pPr>
          <w:hyperlink w:anchor="_Toc52563277" w:history="1">
            <w:r w:rsidR="008E555D" w:rsidRPr="003F3783">
              <w:rPr>
                <w:rStyle w:val="Hipervnculo"/>
                <w:rFonts w:ascii="Palatino Linotype" w:hAnsi="Palatino Linotype" w:cs="Arial"/>
                <w:b/>
                <w:noProof/>
                <w:sz w:val="22"/>
                <w:szCs w:val="22"/>
              </w:rPr>
              <w:t>CUARTO. Estudio y Resolución del asunto.</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_Toc52563277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10</w:t>
            </w:r>
            <w:r w:rsidR="008E555D" w:rsidRPr="003F3783">
              <w:rPr>
                <w:rFonts w:ascii="Palatino Linotype" w:hAnsi="Palatino Linotype"/>
                <w:noProof/>
                <w:webHidden/>
                <w:sz w:val="22"/>
                <w:szCs w:val="22"/>
              </w:rPr>
              <w:fldChar w:fldCharType="end"/>
            </w:r>
          </w:hyperlink>
        </w:p>
        <w:p w14:paraId="7A34E3D4" w14:textId="77777777" w:rsidR="008E555D" w:rsidRPr="003F3783" w:rsidRDefault="00EE7815" w:rsidP="008E555D">
          <w:pPr>
            <w:pStyle w:val="TDC3"/>
            <w:tabs>
              <w:tab w:val="left" w:pos="440"/>
              <w:tab w:val="right" w:leader="dot" w:pos="8828"/>
            </w:tabs>
            <w:rPr>
              <w:rFonts w:ascii="Palatino Linotype" w:hAnsi="Palatino Linotype"/>
              <w:noProof/>
              <w:sz w:val="22"/>
              <w:szCs w:val="22"/>
              <w:lang w:val="es-MX" w:eastAsia="es-MX"/>
            </w:rPr>
          </w:pPr>
          <w:hyperlink w:anchor="_Toc52563278" w:history="1">
            <w:r w:rsidR="008E555D" w:rsidRPr="003F3783">
              <w:rPr>
                <w:rStyle w:val="Hipervnculo"/>
                <w:rFonts w:ascii="Palatino Linotype" w:hAnsi="Palatino Linotype" w:cs="Arial"/>
                <w:b/>
                <w:noProof/>
                <w:sz w:val="22"/>
                <w:szCs w:val="22"/>
              </w:rPr>
              <w:t>I. De la respuesta a la solicitud de información.</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_Toc52563278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10</w:t>
            </w:r>
            <w:r w:rsidR="008E555D" w:rsidRPr="003F3783">
              <w:rPr>
                <w:rFonts w:ascii="Palatino Linotype" w:hAnsi="Palatino Linotype"/>
                <w:noProof/>
                <w:webHidden/>
                <w:sz w:val="22"/>
                <w:szCs w:val="22"/>
              </w:rPr>
              <w:fldChar w:fldCharType="end"/>
            </w:r>
          </w:hyperlink>
        </w:p>
        <w:p w14:paraId="5A154548" w14:textId="77777777" w:rsidR="008E555D" w:rsidRPr="003F3783" w:rsidRDefault="00EE7815" w:rsidP="008E555D">
          <w:pPr>
            <w:pStyle w:val="TDC2"/>
            <w:tabs>
              <w:tab w:val="left" w:pos="440"/>
            </w:tabs>
            <w:ind w:firstLine="0"/>
            <w:rPr>
              <w:rFonts w:ascii="Palatino Linotype" w:hAnsi="Palatino Linotype"/>
              <w:noProof/>
              <w:sz w:val="22"/>
              <w:szCs w:val="22"/>
              <w:lang w:val="es-MX" w:eastAsia="es-MX"/>
            </w:rPr>
          </w:pPr>
          <w:hyperlink w:anchor="_Toc52563279" w:history="1">
            <w:r w:rsidR="008E555D" w:rsidRPr="003F3783">
              <w:rPr>
                <w:rStyle w:val="Hipervnculo"/>
                <w:rFonts w:ascii="Palatino Linotype" w:hAnsi="Palatino Linotype"/>
                <w:b/>
                <w:noProof/>
                <w:sz w:val="22"/>
                <w:szCs w:val="22"/>
              </w:rPr>
              <w:t>II. De las atribuciones del SUJETO OBLIGADO.</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_Toc52563279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11</w:t>
            </w:r>
            <w:r w:rsidR="008E555D" w:rsidRPr="003F3783">
              <w:rPr>
                <w:rFonts w:ascii="Palatino Linotype" w:hAnsi="Palatino Linotype"/>
                <w:noProof/>
                <w:webHidden/>
                <w:sz w:val="22"/>
                <w:szCs w:val="22"/>
              </w:rPr>
              <w:fldChar w:fldCharType="end"/>
            </w:r>
          </w:hyperlink>
        </w:p>
        <w:p w14:paraId="7D0FD25D" w14:textId="77777777" w:rsidR="008E555D" w:rsidRPr="003F3783" w:rsidRDefault="00EE7815" w:rsidP="008E555D">
          <w:pPr>
            <w:pStyle w:val="TDC1"/>
            <w:rPr>
              <w:rFonts w:ascii="Palatino Linotype" w:hAnsi="Palatino Linotype"/>
              <w:noProof/>
              <w:sz w:val="22"/>
              <w:szCs w:val="22"/>
              <w:lang w:val="es-MX" w:eastAsia="es-MX"/>
            </w:rPr>
          </w:pPr>
          <w:hyperlink w:anchor="_Toc52563280" w:history="1">
            <w:r w:rsidR="008E555D" w:rsidRPr="003F3783">
              <w:rPr>
                <w:rStyle w:val="Hipervnculo"/>
                <w:rFonts w:ascii="Palatino Linotype" w:hAnsi="Palatino Linotype"/>
                <w:b/>
                <w:noProof/>
                <w:sz w:val="22"/>
                <w:szCs w:val="22"/>
              </w:rPr>
              <w:t>QUINTO. De la versión pública.</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_Toc52563280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24</w:t>
            </w:r>
            <w:r w:rsidR="008E555D" w:rsidRPr="003F3783">
              <w:rPr>
                <w:rFonts w:ascii="Palatino Linotype" w:hAnsi="Palatino Linotype"/>
                <w:noProof/>
                <w:webHidden/>
                <w:sz w:val="22"/>
                <w:szCs w:val="22"/>
              </w:rPr>
              <w:fldChar w:fldCharType="end"/>
            </w:r>
          </w:hyperlink>
        </w:p>
        <w:p w14:paraId="6306399C" w14:textId="77777777" w:rsidR="008E555D" w:rsidRPr="003F3783" w:rsidRDefault="00EE7815" w:rsidP="008E555D">
          <w:pPr>
            <w:pStyle w:val="TDC2"/>
            <w:tabs>
              <w:tab w:val="left" w:pos="440"/>
            </w:tabs>
            <w:ind w:firstLine="0"/>
            <w:rPr>
              <w:rFonts w:ascii="Palatino Linotype" w:hAnsi="Palatino Linotype"/>
              <w:noProof/>
              <w:sz w:val="22"/>
              <w:szCs w:val="22"/>
              <w:lang w:val="es-MX" w:eastAsia="es-MX"/>
            </w:rPr>
          </w:pPr>
          <w:hyperlink w:anchor="_Toc52563281" w:history="1">
            <w:r w:rsidR="008E555D" w:rsidRPr="003F3783">
              <w:rPr>
                <w:rStyle w:val="Hipervnculo"/>
                <w:rFonts w:ascii="Palatino Linotype" w:hAnsi="Palatino Linotype"/>
                <w:b/>
                <w:noProof/>
                <w:sz w:val="22"/>
                <w:szCs w:val="22"/>
              </w:rPr>
              <w:t>Requisitos de fondo del acuerdo de clasificación.</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_Toc52563281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27</w:t>
            </w:r>
            <w:r w:rsidR="008E555D" w:rsidRPr="003F3783">
              <w:rPr>
                <w:rFonts w:ascii="Palatino Linotype" w:hAnsi="Palatino Linotype"/>
                <w:noProof/>
                <w:webHidden/>
                <w:sz w:val="22"/>
                <w:szCs w:val="22"/>
              </w:rPr>
              <w:fldChar w:fldCharType="end"/>
            </w:r>
          </w:hyperlink>
        </w:p>
        <w:p w14:paraId="00DD1162" w14:textId="77777777" w:rsidR="008E555D" w:rsidRPr="003F3783" w:rsidRDefault="00EE7815" w:rsidP="008E555D">
          <w:pPr>
            <w:pStyle w:val="TDC1"/>
            <w:rPr>
              <w:rFonts w:ascii="Palatino Linotype" w:hAnsi="Palatino Linotype"/>
              <w:noProof/>
              <w:sz w:val="22"/>
              <w:szCs w:val="22"/>
              <w:lang w:val="es-MX" w:eastAsia="es-MX"/>
            </w:rPr>
          </w:pPr>
          <w:hyperlink w:anchor="_Toc52563282" w:history="1">
            <w:r w:rsidR="008E555D" w:rsidRPr="003F3783">
              <w:rPr>
                <w:rStyle w:val="Hipervnculo"/>
                <w:rFonts w:ascii="Palatino Linotype" w:eastAsia="Calibri" w:hAnsi="Palatino Linotype"/>
                <w:b/>
                <w:noProof/>
                <w:sz w:val="22"/>
                <w:szCs w:val="22"/>
                <w:lang w:val="es-ES"/>
              </w:rPr>
              <w:t>R E S O L U T I V O S</w:t>
            </w:r>
            <w:r w:rsidR="008E555D" w:rsidRPr="003F3783">
              <w:rPr>
                <w:rFonts w:ascii="Palatino Linotype" w:hAnsi="Palatino Linotype"/>
                <w:noProof/>
                <w:webHidden/>
                <w:sz w:val="22"/>
                <w:szCs w:val="22"/>
              </w:rPr>
              <w:tab/>
            </w:r>
            <w:r w:rsidR="008E555D" w:rsidRPr="003F3783">
              <w:rPr>
                <w:rFonts w:ascii="Palatino Linotype" w:hAnsi="Palatino Linotype"/>
                <w:noProof/>
                <w:webHidden/>
                <w:sz w:val="22"/>
                <w:szCs w:val="22"/>
              </w:rPr>
              <w:fldChar w:fldCharType="begin"/>
            </w:r>
            <w:r w:rsidR="008E555D" w:rsidRPr="003F3783">
              <w:rPr>
                <w:rFonts w:ascii="Palatino Linotype" w:hAnsi="Palatino Linotype"/>
                <w:noProof/>
                <w:webHidden/>
                <w:sz w:val="22"/>
                <w:szCs w:val="22"/>
              </w:rPr>
              <w:instrText xml:space="preserve"> PAGEREF _Toc52563282 \h </w:instrText>
            </w:r>
            <w:r w:rsidR="008E555D" w:rsidRPr="003F3783">
              <w:rPr>
                <w:rFonts w:ascii="Palatino Linotype" w:hAnsi="Palatino Linotype"/>
                <w:noProof/>
                <w:webHidden/>
                <w:sz w:val="22"/>
                <w:szCs w:val="22"/>
              </w:rPr>
            </w:r>
            <w:r w:rsidR="008E555D" w:rsidRPr="003F3783">
              <w:rPr>
                <w:rFonts w:ascii="Palatino Linotype" w:hAnsi="Palatino Linotype"/>
                <w:noProof/>
                <w:webHidden/>
                <w:sz w:val="22"/>
                <w:szCs w:val="22"/>
              </w:rPr>
              <w:fldChar w:fldCharType="separate"/>
            </w:r>
            <w:r w:rsidR="008E555D" w:rsidRPr="003F3783">
              <w:rPr>
                <w:rFonts w:ascii="Palatino Linotype" w:hAnsi="Palatino Linotype"/>
                <w:noProof/>
                <w:webHidden/>
                <w:sz w:val="22"/>
                <w:szCs w:val="22"/>
              </w:rPr>
              <w:t>33</w:t>
            </w:r>
            <w:r w:rsidR="008E555D" w:rsidRPr="003F3783">
              <w:rPr>
                <w:rFonts w:ascii="Palatino Linotype" w:hAnsi="Palatino Linotype"/>
                <w:noProof/>
                <w:webHidden/>
                <w:sz w:val="22"/>
                <w:szCs w:val="22"/>
              </w:rPr>
              <w:fldChar w:fldCharType="end"/>
            </w:r>
          </w:hyperlink>
        </w:p>
        <w:p w14:paraId="487898E0" w14:textId="6364CDFE" w:rsidR="00531CD8" w:rsidRPr="003F3783" w:rsidRDefault="00531CD8" w:rsidP="008E555D">
          <w:pPr>
            <w:tabs>
              <w:tab w:val="left" w:pos="440"/>
              <w:tab w:val="left" w:pos="851"/>
            </w:tabs>
            <w:spacing w:line="276" w:lineRule="auto"/>
            <w:rPr>
              <w:rFonts w:ascii="Palatino Linotype" w:hAnsi="Palatino Linotype"/>
              <w:bCs/>
              <w:color w:val="000000" w:themeColor="text1"/>
              <w:sz w:val="22"/>
              <w:szCs w:val="22"/>
              <w:lang w:val="es-ES"/>
            </w:rPr>
          </w:pPr>
          <w:r w:rsidRPr="003F3783">
            <w:rPr>
              <w:rFonts w:ascii="Palatino Linotype" w:hAnsi="Palatino Linotype"/>
              <w:bCs/>
              <w:color w:val="000000" w:themeColor="text1"/>
              <w:sz w:val="22"/>
              <w:szCs w:val="22"/>
              <w:lang w:val="es-ES"/>
            </w:rPr>
            <w:fldChar w:fldCharType="end"/>
          </w:r>
        </w:p>
        <w:p w14:paraId="558D98DF" w14:textId="77777777" w:rsidR="00531CD8" w:rsidRPr="003F3783" w:rsidRDefault="00531CD8" w:rsidP="008E555D">
          <w:pPr>
            <w:tabs>
              <w:tab w:val="left" w:pos="440"/>
            </w:tabs>
            <w:spacing w:line="276" w:lineRule="auto"/>
            <w:rPr>
              <w:rFonts w:ascii="Palatino Linotype" w:hAnsi="Palatino Linotype"/>
              <w:bCs/>
              <w:color w:val="000000" w:themeColor="text1"/>
              <w:sz w:val="22"/>
              <w:szCs w:val="22"/>
              <w:lang w:val="es-ES"/>
            </w:rPr>
          </w:pPr>
        </w:p>
        <w:p w14:paraId="342E9880" w14:textId="77777777" w:rsidR="00531CD8" w:rsidRPr="003F3783" w:rsidRDefault="00531CD8" w:rsidP="00531CD8">
          <w:pPr>
            <w:spacing w:line="276" w:lineRule="auto"/>
            <w:rPr>
              <w:bCs/>
              <w:color w:val="000000" w:themeColor="text1"/>
              <w:sz w:val="20"/>
              <w:szCs w:val="20"/>
              <w:lang w:val="es-ES"/>
            </w:rPr>
          </w:pPr>
        </w:p>
        <w:p w14:paraId="3992094F" w14:textId="19BC1F72" w:rsidR="00531CD8" w:rsidRPr="003F3783" w:rsidRDefault="000613BF" w:rsidP="000613BF">
          <w:pPr>
            <w:rPr>
              <w:rFonts w:ascii="Palatino Linotype" w:eastAsia="Times New Roman" w:hAnsi="Palatino Linotype"/>
              <w:color w:val="000000" w:themeColor="text1"/>
            </w:rPr>
          </w:pPr>
          <w:r w:rsidRPr="003F3783">
            <w:rPr>
              <w:rFonts w:ascii="Palatino Linotype" w:eastAsia="Times New Roman" w:hAnsi="Palatino Linotype"/>
              <w:color w:val="000000" w:themeColor="text1"/>
            </w:rPr>
            <w:br w:type="page"/>
          </w:r>
        </w:p>
      </w:sdtContent>
    </w:sdt>
    <w:p w14:paraId="73F7F940" w14:textId="23662101" w:rsidR="00662C69" w:rsidRPr="003F3783" w:rsidRDefault="009B11D6" w:rsidP="003F3783">
      <w:pPr>
        <w:tabs>
          <w:tab w:val="left" w:pos="567"/>
        </w:tabs>
        <w:spacing w:before="240" w:after="240" w:line="360" w:lineRule="auto"/>
        <w:jc w:val="both"/>
        <w:rPr>
          <w:rFonts w:ascii="Palatino Linotype" w:hAnsi="Palatino Linotype"/>
          <w:lang w:val="es-MX"/>
        </w:rPr>
      </w:pPr>
      <w:r w:rsidRPr="003F3783">
        <w:rPr>
          <w:rFonts w:ascii="Palatino Linotype" w:hAnsi="Palatino Linotype"/>
          <w:color w:val="000000" w:themeColor="text1"/>
        </w:rPr>
        <w:lastRenderedPageBreak/>
        <w:t>R</w:t>
      </w:r>
      <w:r w:rsidR="00662C69" w:rsidRPr="003F378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F3783">
        <w:rPr>
          <w:rFonts w:ascii="Palatino Linotype" w:hAnsi="Palatino Linotype"/>
          <w:color w:val="000000" w:themeColor="text1"/>
        </w:rPr>
        <w:t>icipios, con</w:t>
      </w:r>
      <w:r w:rsidR="00662C69" w:rsidRPr="003F3783">
        <w:rPr>
          <w:rFonts w:ascii="Palatino Linotype" w:hAnsi="Palatino Linotype"/>
          <w:color w:val="000000" w:themeColor="text1"/>
        </w:rPr>
        <w:t xml:space="preserve"> </w:t>
      </w:r>
      <w:r w:rsidR="00485DB6" w:rsidRPr="003F3783">
        <w:rPr>
          <w:rFonts w:ascii="Palatino Linotype" w:hAnsi="Palatino Linotype"/>
          <w:color w:val="000000" w:themeColor="text1"/>
        </w:rPr>
        <w:t xml:space="preserve">domicilio </w:t>
      </w:r>
      <w:r w:rsidR="00662C69" w:rsidRPr="003F3783">
        <w:rPr>
          <w:rFonts w:ascii="Palatino Linotype" w:hAnsi="Palatino Linotype"/>
          <w:color w:val="000000" w:themeColor="text1"/>
        </w:rPr>
        <w:t xml:space="preserve">en Metepec, Estado de México; de </w:t>
      </w:r>
      <w:r w:rsidR="003F3783">
        <w:rPr>
          <w:rFonts w:ascii="Palatino Linotype" w:hAnsi="Palatino Linotype"/>
          <w:lang w:val="es-MX"/>
        </w:rPr>
        <w:t>fecha catorce (14) de octubre de dos mil veinte.</w:t>
      </w:r>
    </w:p>
    <w:p w14:paraId="04F87235" w14:textId="7CA96AD9" w:rsidR="005F0007" w:rsidRPr="003F3783" w:rsidRDefault="00662C69" w:rsidP="001E74A5">
      <w:pPr>
        <w:spacing w:before="240" w:after="360" w:line="360" w:lineRule="auto"/>
        <w:jc w:val="both"/>
        <w:rPr>
          <w:rFonts w:ascii="Palatino Linotype" w:eastAsia="Times New Roman" w:hAnsi="Palatino Linotype" w:cs="Times New Roman"/>
          <w:color w:val="000000" w:themeColor="text1"/>
        </w:rPr>
      </w:pPr>
      <w:r w:rsidRPr="003F3783">
        <w:rPr>
          <w:rFonts w:ascii="Palatino Linotype" w:hAnsi="Palatino Linotype"/>
          <w:b/>
          <w:color w:val="000000" w:themeColor="text1"/>
        </w:rPr>
        <w:t>VISTO</w:t>
      </w:r>
      <w:r w:rsidRPr="003F3783">
        <w:rPr>
          <w:rFonts w:ascii="Palatino Linotype" w:hAnsi="Palatino Linotype"/>
          <w:color w:val="000000" w:themeColor="text1"/>
        </w:rPr>
        <w:t xml:space="preserve"> el expediente electrónico for</w:t>
      </w:r>
      <w:r w:rsidR="00D37494" w:rsidRPr="003F3783">
        <w:rPr>
          <w:rFonts w:ascii="Palatino Linotype" w:hAnsi="Palatino Linotype"/>
          <w:color w:val="000000" w:themeColor="text1"/>
        </w:rPr>
        <w:t>mado con motivo del</w:t>
      </w:r>
      <w:r w:rsidRPr="003F3783">
        <w:rPr>
          <w:rFonts w:ascii="Palatino Linotype" w:hAnsi="Palatino Linotype"/>
          <w:color w:val="000000" w:themeColor="text1"/>
        </w:rPr>
        <w:t xml:space="preserve"> recurso de revisión </w:t>
      </w:r>
      <w:r w:rsidR="007A2356" w:rsidRPr="003F3783">
        <w:rPr>
          <w:rFonts w:ascii="Palatino Linotype" w:hAnsi="Palatino Linotype"/>
          <w:b/>
          <w:bCs/>
          <w:color w:val="000000" w:themeColor="text1"/>
        </w:rPr>
        <w:t>01943/INFOEM/IP/RR/2020</w:t>
      </w:r>
      <w:r w:rsidR="005F1362" w:rsidRPr="003F3783">
        <w:rPr>
          <w:rFonts w:ascii="Palatino Linotype" w:eastAsia="Times New Roman" w:hAnsi="Palatino Linotype" w:cs="Arial"/>
          <w:bCs/>
          <w:color w:val="000000" w:themeColor="text1"/>
        </w:rPr>
        <w:t xml:space="preserve">, </w:t>
      </w:r>
      <w:r w:rsidR="005F1362" w:rsidRPr="003F3783">
        <w:rPr>
          <w:rFonts w:ascii="Palatino Linotype" w:eastAsia="Times New Roman" w:hAnsi="Palatino Linotype" w:cs="Times New Roman"/>
          <w:color w:val="000000" w:themeColor="text1"/>
        </w:rPr>
        <w:t xml:space="preserve">promovido por </w:t>
      </w:r>
      <w:r w:rsidR="00EE7815" w:rsidRPr="00EE7815">
        <w:rPr>
          <w:rFonts w:ascii="Palatino Linotype" w:hAnsi="Palatino Linotype"/>
          <w:b/>
          <w:color w:val="000000" w:themeColor="text1"/>
          <w:highlight w:val="black"/>
        </w:rPr>
        <w:t>------------------------------</w:t>
      </w:r>
      <w:r w:rsidR="005F1362" w:rsidRPr="003F3783">
        <w:rPr>
          <w:rFonts w:ascii="Palatino Linotype" w:eastAsia="Times New Roman" w:hAnsi="Palatino Linotype" w:cs="Times New Roman"/>
          <w:b/>
          <w:color w:val="000000" w:themeColor="text1"/>
        </w:rPr>
        <w:t xml:space="preserve">, </w:t>
      </w:r>
      <w:r w:rsidR="005F1362" w:rsidRPr="003F3783">
        <w:rPr>
          <w:rFonts w:ascii="Palatino Linotype" w:eastAsia="Times New Roman" w:hAnsi="Palatino Linotype" w:cs="Arial"/>
          <w:color w:val="000000" w:themeColor="text1"/>
        </w:rPr>
        <w:t xml:space="preserve">en su calidad de </w:t>
      </w:r>
      <w:r w:rsidR="005F1362" w:rsidRPr="003F3783">
        <w:rPr>
          <w:rFonts w:ascii="Palatino Linotype" w:eastAsia="Times New Roman" w:hAnsi="Palatino Linotype" w:cs="Arial"/>
          <w:b/>
          <w:color w:val="000000" w:themeColor="text1"/>
        </w:rPr>
        <w:t>RECURRENTE</w:t>
      </w:r>
      <w:r w:rsidR="005F1362" w:rsidRPr="003F3783">
        <w:rPr>
          <w:rFonts w:ascii="Palatino Linotype" w:eastAsia="Times New Roman" w:hAnsi="Palatino Linotype" w:cs="Arial"/>
          <w:color w:val="000000" w:themeColor="text1"/>
        </w:rPr>
        <w:t>, en contra de la respuesta del</w:t>
      </w:r>
      <w:r w:rsidR="002C1007" w:rsidRPr="003F3783">
        <w:rPr>
          <w:rFonts w:ascii="Palatino Linotype" w:eastAsia="Times New Roman" w:hAnsi="Palatino Linotype" w:cs="Arial"/>
          <w:color w:val="000000" w:themeColor="text1"/>
        </w:rPr>
        <w:t xml:space="preserve"> </w:t>
      </w:r>
      <w:r w:rsidR="00F562A9" w:rsidRPr="003F3783">
        <w:rPr>
          <w:rFonts w:ascii="Palatino Linotype" w:eastAsia="Times New Roman" w:hAnsi="Palatino Linotype" w:cs="Arial"/>
          <w:b/>
          <w:color w:val="000000" w:themeColor="text1"/>
        </w:rPr>
        <w:t xml:space="preserve">Ayuntamiento de </w:t>
      </w:r>
      <w:r w:rsidR="007C57DC" w:rsidRPr="003F3783">
        <w:rPr>
          <w:rFonts w:ascii="Palatino Linotype" w:eastAsia="Times New Roman" w:hAnsi="Palatino Linotype" w:cs="Arial"/>
          <w:b/>
          <w:color w:val="000000" w:themeColor="text1"/>
        </w:rPr>
        <w:t>Ayapango</w:t>
      </w:r>
      <w:r w:rsidR="009572EE" w:rsidRPr="003F3783">
        <w:rPr>
          <w:rFonts w:ascii="Palatino Linotype" w:eastAsia="Calibri" w:hAnsi="Palatino Linotype" w:cs="Arial"/>
          <w:color w:val="000000" w:themeColor="text1"/>
          <w:lang w:val="es-ES"/>
        </w:rPr>
        <w:t>,</w:t>
      </w:r>
      <w:r w:rsidR="005F1362" w:rsidRPr="003F3783">
        <w:rPr>
          <w:rFonts w:ascii="Palatino Linotype" w:eastAsia="Calibri" w:hAnsi="Palatino Linotype" w:cs="Arial"/>
          <w:color w:val="000000" w:themeColor="text1"/>
          <w:lang w:val="es-ES"/>
        </w:rPr>
        <w:t xml:space="preserve"> </w:t>
      </w:r>
      <w:r w:rsidR="005F1362" w:rsidRPr="003F3783">
        <w:rPr>
          <w:rFonts w:ascii="Palatino Linotype" w:eastAsia="Times New Roman" w:hAnsi="Palatino Linotype" w:cs="Times New Roman"/>
          <w:color w:val="000000" w:themeColor="text1"/>
        </w:rPr>
        <w:t>en lo sucesivo el</w:t>
      </w:r>
      <w:r w:rsidR="005F1362" w:rsidRPr="003F3783">
        <w:rPr>
          <w:rFonts w:ascii="Palatino Linotype" w:eastAsia="Times New Roman" w:hAnsi="Palatino Linotype" w:cs="Times New Roman"/>
          <w:b/>
          <w:color w:val="000000" w:themeColor="text1"/>
        </w:rPr>
        <w:t xml:space="preserve"> SUJETO OBLIGADO, </w:t>
      </w:r>
      <w:r w:rsidR="005F1362" w:rsidRPr="003F3783">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3F3783" w:rsidRDefault="00662C69" w:rsidP="001E74A5">
      <w:pPr>
        <w:pStyle w:val="Ttulo1"/>
        <w:spacing w:line="360" w:lineRule="auto"/>
        <w:jc w:val="center"/>
        <w:rPr>
          <w:b/>
          <w:color w:val="000000" w:themeColor="text1"/>
        </w:rPr>
      </w:pPr>
      <w:bookmarkStart w:id="0" w:name="_Toc461555884"/>
      <w:bookmarkStart w:id="1" w:name="_Toc466371847"/>
      <w:bookmarkStart w:id="2" w:name="_Toc52461026"/>
      <w:bookmarkStart w:id="3" w:name="_Toc52461312"/>
      <w:bookmarkStart w:id="4" w:name="_Toc52563272"/>
      <w:r w:rsidRPr="003F3783">
        <w:rPr>
          <w:b/>
          <w:color w:val="000000" w:themeColor="text1"/>
        </w:rPr>
        <w:t>ANTECEDENTES</w:t>
      </w:r>
      <w:bookmarkEnd w:id="0"/>
      <w:bookmarkEnd w:id="1"/>
      <w:bookmarkEnd w:id="2"/>
      <w:bookmarkEnd w:id="3"/>
      <w:bookmarkEnd w:id="4"/>
    </w:p>
    <w:p w14:paraId="402A4C0A" w14:textId="253EA6F2" w:rsidR="00D9392E" w:rsidRPr="003F3783"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3F3783">
        <w:rPr>
          <w:rFonts w:ascii="Palatino Linotype" w:eastAsia="Calibri" w:hAnsi="Palatino Linotype" w:cs="Arial"/>
          <w:color w:val="000000" w:themeColor="text1"/>
          <w:lang w:val="es-ES"/>
        </w:rPr>
        <w:t>El</w:t>
      </w:r>
      <w:r w:rsidR="00D9392E" w:rsidRPr="003F3783">
        <w:rPr>
          <w:rFonts w:ascii="Palatino Linotype" w:eastAsia="Calibri" w:hAnsi="Palatino Linotype" w:cs="Arial"/>
          <w:color w:val="000000" w:themeColor="text1"/>
          <w:lang w:val="es-ES"/>
        </w:rPr>
        <w:t xml:space="preserve"> </w:t>
      </w:r>
      <w:r w:rsidR="00006856" w:rsidRPr="003F3783">
        <w:rPr>
          <w:rFonts w:ascii="Palatino Linotype" w:eastAsia="Calibri" w:hAnsi="Palatino Linotype" w:cs="Arial"/>
          <w:color w:val="000000" w:themeColor="text1"/>
          <w:lang w:val="es-ES"/>
        </w:rPr>
        <w:t xml:space="preserve">día </w:t>
      </w:r>
      <w:r w:rsidR="00E845E0" w:rsidRPr="003F3783">
        <w:rPr>
          <w:rFonts w:ascii="Palatino Linotype" w:eastAsia="Calibri" w:hAnsi="Palatino Linotype" w:cs="Arial"/>
          <w:color w:val="000000" w:themeColor="text1"/>
          <w:lang w:val="es-ES"/>
        </w:rPr>
        <w:t>veintisiete</w:t>
      </w:r>
      <w:r w:rsidR="005F1362" w:rsidRPr="003F3783">
        <w:rPr>
          <w:rFonts w:ascii="Palatino Linotype" w:eastAsia="Calibri" w:hAnsi="Palatino Linotype" w:cs="Arial"/>
          <w:color w:val="000000" w:themeColor="text1"/>
          <w:lang w:val="es-ES"/>
        </w:rPr>
        <w:t xml:space="preserve"> (</w:t>
      </w:r>
      <w:r w:rsidR="00E845E0" w:rsidRPr="003F3783">
        <w:rPr>
          <w:rFonts w:ascii="Palatino Linotype" w:eastAsia="Calibri" w:hAnsi="Palatino Linotype" w:cs="Arial"/>
          <w:color w:val="000000" w:themeColor="text1"/>
          <w:lang w:val="es-ES"/>
        </w:rPr>
        <w:t>27</w:t>
      </w:r>
      <w:r w:rsidR="005F1362" w:rsidRPr="003F3783">
        <w:rPr>
          <w:rFonts w:ascii="Palatino Linotype" w:eastAsia="Calibri" w:hAnsi="Palatino Linotype" w:cs="Arial"/>
          <w:color w:val="000000" w:themeColor="text1"/>
          <w:lang w:val="es-ES"/>
        </w:rPr>
        <w:t xml:space="preserve">) de </w:t>
      </w:r>
      <w:r w:rsidR="00E845E0" w:rsidRPr="003F3783">
        <w:rPr>
          <w:rFonts w:ascii="Palatino Linotype" w:eastAsia="Calibri" w:hAnsi="Palatino Linotype" w:cs="Arial"/>
          <w:color w:val="000000" w:themeColor="text1"/>
          <w:lang w:val="es-ES"/>
        </w:rPr>
        <w:t>abril</w:t>
      </w:r>
      <w:r w:rsidR="005F1362" w:rsidRPr="003F3783">
        <w:rPr>
          <w:rFonts w:ascii="Palatino Linotype" w:eastAsia="Calibri" w:hAnsi="Palatino Linotype" w:cs="Arial"/>
          <w:color w:val="000000" w:themeColor="text1"/>
          <w:lang w:val="es-ES"/>
        </w:rPr>
        <w:t xml:space="preserve"> de dos mil </w:t>
      </w:r>
      <w:r w:rsidR="00025127" w:rsidRPr="003F3783">
        <w:rPr>
          <w:rFonts w:ascii="Palatino Linotype" w:eastAsia="Calibri" w:hAnsi="Palatino Linotype" w:cs="Arial"/>
          <w:color w:val="000000" w:themeColor="text1"/>
          <w:lang w:val="es-ES"/>
        </w:rPr>
        <w:t>veinte</w:t>
      </w:r>
      <w:r w:rsidR="005F1362" w:rsidRPr="003F3783">
        <w:rPr>
          <w:rFonts w:ascii="Palatino Linotype" w:eastAsia="Calibri" w:hAnsi="Palatino Linotype" w:cs="Arial"/>
          <w:color w:val="000000" w:themeColor="text1"/>
          <w:lang w:val="es-ES"/>
        </w:rPr>
        <w:t xml:space="preserve">, </w:t>
      </w:r>
      <w:r w:rsidR="00006856" w:rsidRPr="003F3783">
        <w:rPr>
          <w:rFonts w:ascii="Palatino Linotype" w:hAnsi="Palatino Linotype"/>
          <w:color w:val="000000" w:themeColor="text1"/>
        </w:rPr>
        <w:t>se</w:t>
      </w:r>
      <w:r w:rsidR="005F1362" w:rsidRPr="003F3783">
        <w:rPr>
          <w:rFonts w:ascii="Palatino Linotype" w:hAnsi="Palatino Linotype"/>
          <w:color w:val="000000" w:themeColor="text1"/>
        </w:rPr>
        <w:t xml:space="preserve"> presentó</w:t>
      </w:r>
      <w:r w:rsidR="005F1362" w:rsidRPr="003F3783">
        <w:rPr>
          <w:rFonts w:ascii="Palatino Linotype" w:hAnsi="Palatino Linotype"/>
          <w:b/>
          <w:color w:val="000000" w:themeColor="text1"/>
        </w:rPr>
        <w:t xml:space="preserve"> </w:t>
      </w:r>
      <w:r w:rsidR="00127E68" w:rsidRPr="003F3783">
        <w:rPr>
          <w:rFonts w:ascii="Palatino Linotype" w:hAnsi="Palatino Linotype"/>
          <w:bCs/>
          <w:color w:val="000000" w:themeColor="text1"/>
        </w:rPr>
        <w:t xml:space="preserve">a través </w:t>
      </w:r>
      <w:r w:rsidR="00DE4F75" w:rsidRPr="003F3783">
        <w:rPr>
          <w:rFonts w:ascii="Palatino Linotype" w:hAnsi="Palatino Linotype"/>
          <w:bCs/>
          <w:color w:val="000000" w:themeColor="text1"/>
        </w:rPr>
        <w:t xml:space="preserve">del </w:t>
      </w:r>
      <w:r w:rsidR="005F1362" w:rsidRPr="003F3783">
        <w:rPr>
          <w:rFonts w:ascii="Palatino Linotype" w:eastAsia="Calibri" w:hAnsi="Palatino Linotype" w:cs="Arial"/>
          <w:color w:val="000000" w:themeColor="text1"/>
          <w:lang w:val="es-ES"/>
        </w:rPr>
        <w:t xml:space="preserve">Sistema de Acceso a la Información Mexiquense </w:t>
      </w:r>
      <w:r w:rsidR="005F1362" w:rsidRPr="003F3783">
        <w:rPr>
          <w:rFonts w:ascii="Palatino Linotype" w:eastAsia="Calibri" w:hAnsi="Palatino Linotype" w:cs="Arial"/>
          <w:bCs/>
          <w:color w:val="000000" w:themeColor="text1"/>
          <w:lang w:val="es-ES"/>
        </w:rPr>
        <w:t>(</w:t>
      </w:r>
      <w:r w:rsidR="005F1362" w:rsidRPr="003F3783">
        <w:rPr>
          <w:rFonts w:ascii="Palatino Linotype" w:eastAsia="Calibri" w:hAnsi="Palatino Linotype" w:cs="Arial"/>
          <w:bCs/>
          <w:i/>
          <w:color w:val="000000" w:themeColor="text1"/>
          <w:lang w:val="es-ES"/>
        </w:rPr>
        <w:t>SAIMEX</w:t>
      </w:r>
      <w:r w:rsidR="005F1362" w:rsidRPr="003F3783">
        <w:rPr>
          <w:rFonts w:ascii="Palatino Linotype" w:eastAsia="Calibri" w:hAnsi="Palatino Linotype" w:cs="Arial"/>
          <w:bCs/>
          <w:color w:val="000000" w:themeColor="text1"/>
          <w:lang w:val="es-ES"/>
        </w:rPr>
        <w:t>)</w:t>
      </w:r>
      <w:r w:rsidR="005F1362" w:rsidRPr="003F3783">
        <w:rPr>
          <w:rFonts w:ascii="Palatino Linotype" w:eastAsia="Calibri" w:hAnsi="Palatino Linotype" w:cs="Arial"/>
          <w:color w:val="000000" w:themeColor="text1"/>
          <w:lang w:val="es-ES"/>
        </w:rPr>
        <w:t>, la solicitud de información pública registrada con el número</w:t>
      </w:r>
      <w:r w:rsidR="005F1362" w:rsidRPr="003F3783">
        <w:rPr>
          <w:rFonts w:ascii="Palatino Linotype" w:hAnsi="Palatino Linotype"/>
          <w:b/>
          <w:bCs/>
          <w:color w:val="000000" w:themeColor="text1"/>
        </w:rPr>
        <w:t xml:space="preserve"> </w:t>
      </w:r>
      <w:r w:rsidR="007A2356" w:rsidRPr="003F3783">
        <w:rPr>
          <w:rFonts w:ascii="Palatino Linotype" w:hAnsi="Palatino Linotype"/>
          <w:b/>
          <w:bCs/>
          <w:color w:val="000000" w:themeColor="text1"/>
        </w:rPr>
        <w:t>00031/AYAPANGO/IP/2020</w:t>
      </w:r>
      <w:r w:rsidR="005F1362" w:rsidRPr="003F3783">
        <w:rPr>
          <w:rFonts w:ascii="Palatino Linotype" w:hAnsi="Palatino Linotype"/>
          <w:b/>
          <w:bCs/>
          <w:color w:val="000000" w:themeColor="text1"/>
        </w:rPr>
        <w:t>,</w:t>
      </w:r>
      <w:r w:rsidR="005F1362" w:rsidRPr="003F3783">
        <w:rPr>
          <w:rFonts w:ascii="Palatino Linotype" w:eastAsia="Calibri" w:hAnsi="Palatino Linotype" w:cs="Arial"/>
          <w:color w:val="000000" w:themeColor="text1"/>
          <w:lang w:val="es-ES"/>
        </w:rPr>
        <w:t xml:space="preserve"> mediante la cual </w:t>
      </w:r>
      <w:r w:rsidR="00006856" w:rsidRPr="003F3783">
        <w:rPr>
          <w:rFonts w:ascii="Palatino Linotype" w:eastAsia="Calibri" w:hAnsi="Palatino Linotype" w:cs="Arial"/>
          <w:color w:val="000000" w:themeColor="text1"/>
          <w:lang w:val="es-ES"/>
        </w:rPr>
        <w:t xml:space="preserve">se </w:t>
      </w:r>
      <w:r w:rsidR="005F1362" w:rsidRPr="003F3783">
        <w:rPr>
          <w:rFonts w:ascii="Palatino Linotype" w:eastAsia="Calibri" w:hAnsi="Palatino Linotype" w:cs="Arial"/>
          <w:color w:val="000000" w:themeColor="text1"/>
          <w:lang w:val="es-ES"/>
        </w:rPr>
        <w:t>requirió:</w:t>
      </w:r>
    </w:p>
    <w:p w14:paraId="5CF3775F" w14:textId="77777777" w:rsidR="00006856" w:rsidRPr="003F3783" w:rsidRDefault="00006856" w:rsidP="00E845E0">
      <w:pPr>
        <w:pStyle w:val="Prrafodelista"/>
        <w:tabs>
          <w:tab w:val="left" w:pos="567"/>
        </w:tabs>
        <w:spacing w:before="240" w:after="240" w:line="360" w:lineRule="auto"/>
        <w:ind w:left="426" w:right="616"/>
        <w:jc w:val="both"/>
        <w:rPr>
          <w:rFonts w:ascii="Palatino Linotype" w:eastAsia="Calibri" w:hAnsi="Palatino Linotype" w:cs="Arial"/>
          <w:i/>
          <w:color w:val="000000" w:themeColor="text1"/>
          <w:sz w:val="22"/>
          <w:szCs w:val="22"/>
          <w:lang w:val="es-ES"/>
        </w:rPr>
      </w:pPr>
    </w:p>
    <w:p w14:paraId="65A03C8D" w14:textId="4C52ABAF" w:rsidR="005F1362" w:rsidRPr="003F3783" w:rsidRDefault="005F1362" w:rsidP="00E845E0">
      <w:pPr>
        <w:tabs>
          <w:tab w:val="left" w:pos="567"/>
        </w:tabs>
        <w:spacing w:line="360" w:lineRule="auto"/>
        <w:ind w:left="426" w:right="616"/>
        <w:jc w:val="both"/>
        <w:rPr>
          <w:rFonts w:ascii="Palatino Linotype" w:eastAsia="Times New Roman" w:hAnsi="Palatino Linotype" w:cs="Times New Roman"/>
          <w:i/>
          <w:sz w:val="22"/>
          <w:szCs w:val="22"/>
          <w:lang w:val="es-MX" w:eastAsia="es-MX"/>
        </w:rPr>
      </w:pPr>
      <w:r w:rsidRPr="003F3783">
        <w:rPr>
          <w:rFonts w:ascii="Palatino Linotype" w:hAnsi="Palatino Linotype"/>
          <w:i/>
          <w:color w:val="000000" w:themeColor="text1"/>
          <w:sz w:val="22"/>
          <w:szCs w:val="22"/>
        </w:rPr>
        <w:t>“</w:t>
      </w:r>
      <w:r w:rsidR="00E845E0" w:rsidRPr="003F3783">
        <w:rPr>
          <w:rFonts w:ascii="Palatino Linotype" w:eastAsia="Times New Roman" w:hAnsi="Palatino Linotype" w:cs="Times New Roman"/>
          <w:i/>
          <w:sz w:val="22"/>
          <w:szCs w:val="22"/>
          <w:lang w:val="es-MX" w:eastAsia="es-MX"/>
        </w:rPr>
        <w:t>Solicito el padrón de beneficiarios de el programa "construcción de cuartos dormitorio" así como las reglas de operación y el método de selección de beneficiarios.</w:t>
      </w:r>
      <w:r w:rsidRPr="003F3783">
        <w:rPr>
          <w:rFonts w:ascii="Palatino Linotype" w:hAnsi="Palatino Linotype"/>
          <w:i/>
          <w:color w:val="000000" w:themeColor="text1"/>
          <w:sz w:val="22"/>
          <w:szCs w:val="22"/>
        </w:rPr>
        <w:t>” (Sic).</w:t>
      </w:r>
    </w:p>
    <w:p w14:paraId="49C21E77" w14:textId="7DF713A4" w:rsidR="0039142B" w:rsidRPr="003F3783"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3F3783">
        <w:rPr>
          <w:rFonts w:ascii="Palatino Linotype" w:hAnsi="Palatino Linotype" w:cs="Arial"/>
          <w:color w:val="000000" w:themeColor="text1"/>
        </w:rPr>
        <w:t xml:space="preserve">Se hace constar que </w:t>
      </w:r>
      <w:r w:rsidR="00006856" w:rsidRPr="003F3783">
        <w:rPr>
          <w:rFonts w:ascii="Palatino Linotype" w:eastAsia="Times New Roman" w:hAnsi="Palatino Linotype" w:cs="Arial"/>
          <w:color w:val="000000" w:themeColor="text1"/>
          <w:lang w:val="es-ES"/>
        </w:rPr>
        <w:t>se</w:t>
      </w:r>
      <w:r w:rsidRPr="003F3783">
        <w:rPr>
          <w:rFonts w:ascii="Palatino Linotype" w:eastAsia="Times New Roman" w:hAnsi="Palatino Linotype" w:cs="Arial"/>
          <w:color w:val="000000" w:themeColor="text1"/>
          <w:lang w:val="es-ES"/>
        </w:rPr>
        <w:t xml:space="preserve"> señaló como modalidad de entrega de la información</w:t>
      </w:r>
      <w:r w:rsidRPr="003F3783">
        <w:rPr>
          <w:rFonts w:ascii="Palatino Linotype" w:eastAsia="Times New Roman" w:hAnsi="Palatino Linotype" w:cs="Arial"/>
          <w:b/>
          <w:color w:val="000000" w:themeColor="text1"/>
          <w:lang w:val="es-ES"/>
        </w:rPr>
        <w:t>:</w:t>
      </w:r>
      <w:r w:rsidRPr="003F3783">
        <w:rPr>
          <w:rFonts w:ascii="Palatino Linotype" w:eastAsia="Times New Roman" w:hAnsi="Palatino Linotype" w:cs="Arial"/>
          <w:color w:val="000000" w:themeColor="text1"/>
          <w:lang w:val="es-ES"/>
        </w:rPr>
        <w:t xml:space="preserve"> A través del </w:t>
      </w:r>
      <w:r w:rsidR="00006856" w:rsidRPr="003F3783">
        <w:rPr>
          <w:rFonts w:ascii="Palatino Linotype" w:eastAsia="Times New Roman" w:hAnsi="Palatino Linotype" w:cs="Arial"/>
          <w:color w:val="000000" w:themeColor="text1"/>
          <w:lang w:val="es-ES"/>
        </w:rPr>
        <w:t>Sistema de Acceso a la Información Mexiquense (</w:t>
      </w:r>
      <w:r w:rsidRPr="003F3783">
        <w:rPr>
          <w:rFonts w:ascii="Palatino Linotype" w:eastAsia="Times New Roman" w:hAnsi="Palatino Linotype" w:cs="Arial"/>
          <w:color w:val="000000" w:themeColor="text1"/>
          <w:lang w:val="es-ES"/>
        </w:rPr>
        <w:t>SAIMEX</w:t>
      </w:r>
      <w:r w:rsidR="00006856" w:rsidRPr="003F3783">
        <w:rPr>
          <w:rFonts w:ascii="Palatino Linotype" w:eastAsia="Times New Roman" w:hAnsi="Palatino Linotype" w:cs="Arial"/>
          <w:color w:val="000000" w:themeColor="text1"/>
          <w:lang w:val="es-ES"/>
        </w:rPr>
        <w:t>)</w:t>
      </w:r>
      <w:r w:rsidR="0039142B" w:rsidRPr="003F3783">
        <w:rPr>
          <w:rFonts w:ascii="Palatino Linotype" w:eastAsia="Calibri" w:hAnsi="Palatino Linotype" w:cs="Arial"/>
          <w:color w:val="000000" w:themeColor="text1"/>
          <w:lang w:val="es-AR"/>
        </w:rPr>
        <w:t>.</w:t>
      </w:r>
    </w:p>
    <w:p w14:paraId="35BA18A9" w14:textId="77777777" w:rsidR="0039142B" w:rsidRPr="003F3783"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2144E808" w14:textId="1C4EC623" w:rsidR="00044031" w:rsidRPr="003F3783" w:rsidRDefault="005F1362" w:rsidP="00E845E0">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3F3783">
        <w:rPr>
          <w:rFonts w:ascii="Palatino Linotype" w:hAnsi="Palatino Linotype"/>
          <w:color w:val="000000" w:themeColor="text1"/>
          <w:szCs w:val="14"/>
        </w:rPr>
        <w:t xml:space="preserve">El </w:t>
      </w:r>
      <w:r w:rsidR="00044031" w:rsidRPr="003F3783">
        <w:rPr>
          <w:rFonts w:ascii="Palatino Linotype" w:hAnsi="Palatino Linotype"/>
          <w:color w:val="000000" w:themeColor="text1"/>
          <w:szCs w:val="14"/>
        </w:rPr>
        <w:t xml:space="preserve">día </w:t>
      </w:r>
      <w:r w:rsidR="00E845E0" w:rsidRPr="003F3783">
        <w:rPr>
          <w:rFonts w:ascii="Palatino Linotype" w:hAnsi="Palatino Linotype"/>
          <w:color w:val="000000" w:themeColor="text1"/>
          <w:szCs w:val="14"/>
        </w:rPr>
        <w:t>diecinueve</w:t>
      </w:r>
      <w:r w:rsidRPr="003F3783">
        <w:rPr>
          <w:rFonts w:ascii="Palatino Linotype" w:hAnsi="Palatino Linotype"/>
          <w:color w:val="000000" w:themeColor="text1"/>
          <w:szCs w:val="14"/>
        </w:rPr>
        <w:t xml:space="preserve"> (</w:t>
      </w:r>
      <w:r w:rsidR="00E845E0" w:rsidRPr="003F3783">
        <w:rPr>
          <w:rFonts w:ascii="Palatino Linotype" w:hAnsi="Palatino Linotype"/>
          <w:color w:val="000000" w:themeColor="text1"/>
          <w:szCs w:val="14"/>
        </w:rPr>
        <w:t>19</w:t>
      </w:r>
      <w:r w:rsidRPr="003F3783">
        <w:rPr>
          <w:rFonts w:ascii="Palatino Linotype" w:hAnsi="Palatino Linotype"/>
          <w:color w:val="000000" w:themeColor="text1"/>
          <w:szCs w:val="14"/>
        </w:rPr>
        <w:t xml:space="preserve">) de </w:t>
      </w:r>
      <w:r w:rsidR="00E845E0" w:rsidRPr="003F3783">
        <w:rPr>
          <w:rFonts w:ascii="Palatino Linotype" w:hAnsi="Palatino Linotype"/>
          <w:color w:val="000000" w:themeColor="text1"/>
          <w:szCs w:val="14"/>
        </w:rPr>
        <w:t>mayo</w:t>
      </w:r>
      <w:r w:rsidRPr="003F3783">
        <w:rPr>
          <w:rFonts w:ascii="Palatino Linotype" w:hAnsi="Palatino Linotype"/>
          <w:color w:val="000000" w:themeColor="text1"/>
          <w:szCs w:val="14"/>
        </w:rPr>
        <w:t xml:space="preserve"> de dos mil </w:t>
      </w:r>
      <w:r w:rsidR="00025127" w:rsidRPr="003F3783">
        <w:rPr>
          <w:rFonts w:ascii="Palatino Linotype" w:hAnsi="Palatino Linotype"/>
          <w:color w:val="000000" w:themeColor="text1"/>
          <w:szCs w:val="14"/>
        </w:rPr>
        <w:t>veinte</w:t>
      </w:r>
      <w:r w:rsidRPr="003F3783">
        <w:rPr>
          <w:rFonts w:ascii="Palatino Linotype" w:hAnsi="Palatino Linotype"/>
          <w:color w:val="000000" w:themeColor="text1"/>
          <w:szCs w:val="14"/>
        </w:rPr>
        <w:t xml:space="preserve">, el </w:t>
      </w:r>
      <w:r w:rsidRPr="003F3783">
        <w:rPr>
          <w:rFonts w:ascii="Palatino Linotype" w:hAnsi="Palatino Linotype"/>
          <w:b/>
          <w:color w:val="000000" w:themeColor="text1"/>
          <w:szCs w:val="14"/>
        </w:rPr>
        <w:t>SUJETO OBLIGADO</w:t>
      </w:r>
      <w:r w:rsidRPr="003F3783">
        <w:rPr>
          <w:rFonts w:ascii="Palatino Linotype" w:hAnsi="Palatino Linotype"/>
          <w:color w:val="000000" w:themeColor="text1"/>
          <w:szCs w:val="14"/>
        </w:rPr>
        <w:t xml:space="preserve"> dio respuesta a la solicitud de información </w:t>
      </w:r>
      <w:r w:rsidR="00E845E0" w:rsidRPr="003F3783">
        <w:rPr>
          <w:rFonts w:ascii="Palatino Linotype" w:hAnsi="Palatino Linotype"/>
          <w:color w:val="000000" w:themeColor="text1"/>
          <w:szCs w:val="14"/>
        </w:rPr>
        <w:t xml:space="preserve">a través del archivo electrónico </w:t>
      </w:r>
      <w:r w:rsidR="00E845E0" w:rsidRPr="003F3783">
        <w:rPr>
          <w:rFonts w:ascii="Palatino Linotype" w:hAnsi="Palatino Linotype"/>
          <w:i/>
          <w:color w:val="000000" w:themeColor="text1"/>
          <w:sz w:val="22"/>
          <w:szCs w:val="22"/>
        </w:rPr>
        <w:t>“</w:t>
      </w:r>
      <w:hyperlink r:id="rId8" w:tgtFrame="_blank" w:history="1">
        <w:r w:rsidR="00E845E0" w:rsidRPr="003F3783">
          <w:rPr>
            <w:rStyle w:val="Hipervnculo"/>
            <w:rFonts w:ascii="Palatino Linotype" w:hAnsi="Palatino Linotype" w:cs="Arial"/>
            <w:b/>
            <w:bCs/>
            <w:i/>
            <w:color w:val="000000" w:themeColor="text1"/>
            <w:sz w:val="22"/>
            <w:szCs w:val="22"/>
          </w:rPr>
          <w:t>0031.PDF</w:t>
        </w:r>
      </w:hyperlink>
      <w:r w:rsidR="00E845E0" w:rsidRPr="003F3783">
        <w:rPr>
          <w:rFonts w:ascii="Palatino Linotype" w:hAnsi="Palatino Linotype"/>
          <w:i/>
          <w:color w:val="000000" w:themeColor="text1"/>
          <w:sz w:val="22"/>
          <w:szCs w:val="22"/>
        </w:rPr>
        <w:t>”</w:t>
      </w:r>
      <w:r w:rsidR="00F47820" w:rsidRPr="003F3783">
        <w:rPr>
          <w:rFonts w:ascii="Palatino Linotype" w:hAnsi="Palatino Linotype"/>
          <w:color w:val="000000" w:themeColor="text1"/>
        </w:rPr>
        <w:t xml:space="preserve">, </w:t>
      </w:r>
      <w:r w:rsidR="00F47820" w:rsidRPr="003F3783">
        <w:rPr>
          <w:rFonts w:ascii="Palatino Linotype" w:hAnsi="Palatino Linotype"/>
          <w:color w:val="000000" w:themeColor="text1"/>
        </w:rPr>
        <w:lastRenderedPageBreak/>
        <w:t>mismo que ya es del conocimiento de las partes, sin embargo se inserta un extracto de imagen a continuación a fin de ejemplificar:</w:t>
      </w:r>
    </w:p>
    <w:p w14:paraId="1513ECA2" w14:textId="631756E1" w:rsidR="00E845E0" w:rsidRPr="003F3783" w:rsidRDefault="00E845E0" w:rsidP="00E845E0">
      <w:pPr>
        <w:pStyle w:val="Prrafodelista"/>
        <w:tabs>
          <w:tab w:val="left" w:pos="426"/>
        </w:tabs>
        <w:spacing w:before="240" w:after="240" w:line="360" w:lineRule="auto"/>
        <w:ind w:left="0"/>
        <w:jc w:val="both"/>
        <w:rPr>
          <w:rFonts w:ascii="Palatino Linotype" w:hAnsi="Palatino Linotype"/>
          <w:color w:val="000000" w:themeColor="text1"/>
        </w:rPr>
      </w:pPr>
      <w:r w:rsidRPr="003F3783">
        <w:rPr>
          <w:rFonts w:ascii="Palatino Linotype" w:hAnsi="Palatino Linotype"/>
          <w:noProof/>
          <w:color w:val="000000" w:themeColor="text1"/>
          <w:lang w:val="es-MX" w:eastAsia="es-MX"/>
        </w:rPr>
        <w:drawing>
          <wp:inline distT="0" distB="0" distL="0" distR="0" wp14:anchorId="4CECB6B6" wp14:editId="0D4A45EB">
            <wp:extent cx="5612130" cy="4873564"/>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873564"/>
                    </a:xfrm>
                    <a:prstGeom prst="rect">
                      <a:avLst/>
                    </a:prstGeom>
                    <a:noFill/>
                    <a:ln>
                      <a:noFill/>
                    </a:ln>
                  </pic:spPr>
                </pic:pic>
              </a:graphicData>
            </a:graphic>
          </wp:inline>
        </w:drawing>
      </w:r>
    </w:p>
    <w:p w14:paraId="6DC24219" w14:textId="77777777" w:rsidR="00E845E0" w:rsidRPr="003F3783" w:rsidRDefault="00E845E0" w:rsidP="00E845E0">
      <w:pPr>
        <w:pStyle w:val="Prrafodelista"/>
        <w:tabs>
          <w:tab w:val="left" w:pos="426"/>
        </w:tabs>
        <w:spacing w:before="240" w:after="240" w:line="360" w:lineRule="auto"/>
        <w:ind w:left="0"/>
        <w:jc w:val="both"/>
        <w:rPr>
          <w:rFonts w:ascii="Palatino Linotype" w:hAnsi="Palatino Linotype"/>
          <w:color w:val="000000" w:themeColor="text1"/>
        </w:rPr>
      </w:pPr>
    </w:p>
    <w:p w14:paraId="272B63B3" w14:textId="49C83579" w:rsidR="000D5A1D" w:rsidRPr="003F3783" w:rsidRDefault="00FD7996" w:rsidP="00044031">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3F3783">
        <w:rPr>
          <w:rFonts w:ascii="Palatino Linotype" w:eastAsia="Times New Roman" w:hAnsi="Palatino Linotype" w:cs="Arial"/>
          <w:color w:val="000000" w:themeColor="text1"/>
          <w:lang w:val="es-ES"/>
        </w:rPr>
        <w:t>D</w:t>
      </w:r>
      <w:r w:rsidR="00561ED1" w:rsidRPr="003F3783">
        <w:rPr>
          <w:rFonts w:ascii="Palatino Linotype" w:eastAsia="Times New Roman" w:hAnsi="Palatino Linotype" w:cs="Arial"/>
          <w:color w:val="000000" w:themeColor="text1"/>
          <w:lang w:val="es-ES"/>
        </w:rPr>
        <w:t xml:space="preserve">erivado de la respuesta emitida por el </w:t>
      </w:r>
      <w:r w:rsidR="00561ED1" w:rsidRPr="003F3783">
        <w:rPr>
          <w:rFonts w:ascii="Palatino Linotype" w:eastAsia="Times New Roman" w:hAnsi="Palatino Linotype" w:cs="Arial"/>
          <w:b/>
          <w:color w:val="000000" w:themeColor="text1"/>
          <w:lang w:val="es-ES"/>
        </w:rPr>
        <w:t>SUJETO OBLIGADO</w:t>
      </w:r>
      <w:r w:rsidR="00561ED1" w:rsidRPr="003F3783">
        <w:rPr>
          <w:rFonts w:ascii="Palatino Linotype" w:eastAsia="Times New Roman" w:hAnsi="Palatino Linotype" w:cs="Arial"/>
          <w:color w:val="000000" w:themeColor="text1"/>
          <w:lang w:val="es-ES"/>
        </w:rPr>
        <w:t>, e</w:t>
      </w:r>
      <w:r w:rsidR="00DB4BEF" w:rsidRPr="003F3783">
        <w:rPr>
          <w:rFonts w:ascii="Palatino Linotype" w:eastAsia="Times New Roman" w:hAnsi="Palatino Linotype" w:cs="Arial"/>
          <w:color w:val="000000" w:themeColor="text1"/>
          <w:lang w:val="es-ES"/>
        </w:rPr>
        <w:t xml:space="preserve">l </w:t>
      </w:r>
      <w:r w:rsidR="00AF444E" w:rsidRPr="003F3783">
        <w:rPr>
          <w:rFonts w:ascii="Palatino Linotype" w:eastAsia="Times New Roman" w:hAnsi="Palatino Linotype" w:cs="Arial"/>
          <w:color w:val="000000" w:themeColor="text1"/>
          <w:lang w:val="es-ES"/>
        </w:rPr>
        <w:t xml:space="preserve">treinta </w:t>
      </w:r>
      <w:r w:rsidR="00D85885" w:rsidRPr="003F3783">
        <w:rPr>
          <w:rFonts w:ascii="Palatino Linotype" w:eastAsia="Times New Roman" w:hAnsi="Palatino Linotype" w:cs="Arial"/>
          <w:color w:val="000000" w:themeColor="text1"/>
          <w:lang w:val="es-ES"/>
        </w:rPr>
        <w:t>(</w:t>
      </w:r>
      <w:r w:rsidR="00AF444E" w:rsidRPr="003F3783">
        <w:rPr>
          <w:rFonts w:ascii="Palatino Linotype" w:eastAsia="Times New Roman" w:hAnsi="Palatino Linotype" w:cs="Arial"/>
          <w:color w:val="000000" w:themeColor="text1"/>
          <w:lang w:val="es-ES"/>
        </w:rPr>
        <w:t>30</w:t>
      </w:r>
      <w:r w:rsidR="00D85885" w:rsidRPr="003F3783">
        <w:rPr>
          <w:rFonts w:ascii="Palatino Linotype" w:eastAsia="Times New Roman" w:hAnsi="Palatino Linotype" w:cs="Arial"/>
          <w:color w:val="000000" w:themeColor="text1"/>
          <w:lang w:val="es-ES"/>
        </w:rPr>
        <w:t xml:space="preserve">) </w:t>
      </w:r>
      <w:r w:rsidR="00FE49E3" w:rsidRPr="003F3783">
        <w:rPr>
          <w:rFonts w:ascii="Palatino Linotype" w:eastAsia="Times New Roman" w:hAnsi="Palatino Linotype" w:cs="Arial"/>
          <w:color w:val="000000" w:themeColor="text1"/>
          <w:lang w:val="es-ES"/>
        </w:rPr>
        <w:t xml:space="preserve">de </w:t>
      </w:r>
      <w:r w:rsidR="00AF444E" w:rsidRPr="003F3783">
        <w:rPr>
          <w:rFonts w:ascii="Palatino Linotype" w:eastAsia="Times New Roman" w:hAnsi="Palatino Linotype" w:cs="Arial"/>
          <w:color w:val="000000" w:themeColor="text1"/>
          <w:lang w:val="es-ES"/>
        </w:rPr>
        <w:t>marzo</w:t>
      </w:r>
      <w:r w:rsidR="00464CB6" w:rsidRPr="003F3783">
        <w:rPr>
          <w:rFonts w:ascii="Palatino Linotype" w:eastAsia="Times New Roman" w:hAnsi="Palatino Linotype" w:cs="Arial"/>
          <w:color w:val="000000" w:themeColor="text1"/>
          <w:lang w:val="es-ES"/>
        </w:rPr>
        <w:t xml:space="preserve"> </w:t>
      </w:r>
      <w:r w:rsidR="00DB4BEF" w:rsidRPr="003F3783">
        <w:rPr>
          <w:rFonts w:ascii="Palatino Linotype" w:eastAsia="Times New Roman" w:hAnsi="Palatino Linotype" w:cs="Arial"/>
          <w:color w:val="000000" w:themeColor="text1"/>
          <w:lang w:val="es-ES"/>
        </w:rPr>
        <w:t xml:space="preserve">de dos mil </w:t>
      </w:r>
      <w:r w:rsidR="001468E9" w:rsidRPr="003F3783">
        <w:rPr>
          <w:rFonts w:ascii="Palatino Linotype" w:eastAsia="Times New Roman" w:hAnsi="Palatino Linotype" w:cs="Arial"/>
          <w:color w:val="000000" w:themeColor="text1"/>
          <w:lang w:val="es-ES"/>
        </w:rPr>
        <w:t>veinte</w:t>
      </w:r>
      <w:r w:rsidR="00FE49E3" w:rsidRPr="003F3783">
        <w:rPr>
          <w:rFonts w:ascii="Palatino Linotype" w:eastAsia="Times New Roman" w:hAnsi="Palatino Linotype" w:cs="Arial"/>
          <w:color w:val="000000" w:themeColor="text1"/>
          <w:lang w:val="es-ES"/>
        </w:rPr>
        <w:t xml:space="preserve">, </w:t>
      </w:r>
      <w:r w:rsidR="009316E9" w:rsidRPr="003F3783">
        <w:rPr>
          <w:rFonts w:ascii="Palatino Linotype" w:eastAsia="Times New Roman" w:hAnsi="Palatino Linotype" w:cs="Arial"/>
          <w:color w:val="000000" w:themeColor="text1"/>
          <w:lang w:val="es-ES"/>
        </w:rPr>
        <w:t xml:space="preserve">estando en tiempo y </w:t>
      </w:r>
      <w:r w:rsidR="00852B26" w:rsidRPr="003F3783">
        <w:rPr>
          <w:rFonts w:ascii="Palatino Linotype" w:eastAsia="Times New Roman" w:hAnsi="Palatino Linotype" w:cs="Arial"/>
          <w:color w:val="000000" w:themeColor="text1"/>
          <w:lang w:val="es-ES"/>
        </w:rPr>
        <w:t>forma</w:t>
      </w:r>
      <w:r w:rsidR="00EB3DF7" w:rsidRPr="003F3783">
        <w:rPr>
          <w:rFonts w:ascii="Palatino Linotype" w:eastAsia="Times New Roman" w:hAnsi="Palatino Linotype" w:cs="Arial"/>
          <w:color w:val="000000" w:themeColor="text1"/>
          <w:lang w:val="es-ES"/>
        </w:rPr>
        <w:t xml:space="preserve">, </w:t>
      </w:r>
      <w:r w:rsidR="00C52898" w:rsidRPr="003F3783">
        <w:rPr>
          <w:rFonts w:ascii="Palatino Linotype" w:eastAsia="Times New Roman" w:hAnsi="Palatino Linotype" w:cs="Arial"/>
          <w:color w:val="000000" w:themeColor="text1"/>
          <w:lang w:val="es-ES"/>
        </w:rPr>
        <w:t>la</w:t>
      </w:r>
      <w:r w:rsidR="005F1362" w:rsidRPr="003F3783">
        <w:rPr>
          <w:rFonts w:ascii="Palatino Linotype" w:eastAsia="Times New Roman" w:hAnsi="Palatino Linotype" w:cs="Arial"/>
          <w:color w:val="000000" w:themeColor="text1"/>
          <w:lang w:val="es-ES"/>
        </w:rPr>
        <w:t xml:space="preserve"> particular</w:t>
      </w:r>
      <w:r w:rsidR="00DB4BEF" w:rsidRPr="003F3783">
        <w:rPr>
          <w:rFonts w:ascii="Palatino Linotype" w:eastAsia="Times New Roman" w:hAnsi="Palatino Linotype" w:cs="Arial"/>
          <w:color w:val="000000" w:themeColor="text1"/>
          <w:lang w:val="es-ES"/>
        </w:rPr>
        <w:t xml:space="preserve"> interpuso</w:t>
      </w:r>
      <w:r w:rsidR="009316E9" w:rsidRPr="003F3783">
        <w:rPr>
          <w:rFonts w:ascii="Palatino Linotype" w:eastAsia="Times New Roman" w:hAnsi="Palatino Linotype" w:cs="Arial"/>
          <w:color w:val="000000" w:themeColor="text1"/>
          <w:lang w:val="es-ES"/>
        </w:rPr>
        <w:t xml:space="preserve"> </w:t>
      </w:r>
      <w:r w:rsidR="00102D65" w:rsidRPr="003F3783">
        <w:rPr>
          <w:rFonts w:ascii="Palatino Linotype" w:eastAsia="Times New Roman" w:hAnsi="Palatino Linotype" w:cs="Arial"/>
          <w:color w:val="000000" w:themeColor="text1"/>
          <w:lang w:val="es-ES"/>
        </w:rPr>
        <w:t>el</w:t>
      </w:r>
      <w:r w:rsidR="004D68F8" w:rsidRPr="003F3783">
        <w:rPr>
          <w:rFonts w:ascii="Palatino Linotype" w:eastAsia="Times New Roman" w:hAnsi="Palatino Linotype" w:cs="Arial"/>
          <w:color w:val="000000" w:themeColor="text1"/>
          <w:lang w:val="es-ES"/>
        </w:rPr>
        <w:t xml:space="preserve"> recurso de revisión </w:t>
      </w:r>
      <w:r w:rsidR="007A2356" w:rsidRPr="003F3783">
        <w:rPr>
          <w:rFonts w:ascii="Palatino Linotype" w:eastAsia="Calibri" w:hAnsi="Palatino Linotype" w:cs="Arial"/>
          <w:b/>
          <w:color w:val="000000" w:themeColor="text1"/>
          <w:lang w:val="es-ES"/>
        </w:rPr>
        <w:t>01943/INFOEM/IP/RR/2020</w:t>
      </w:r>
      <w:r w:rsidR="009A0461" w:rsidRPr="003F3783">
        <w:rPr>
          <w:rFonts w:ascii="Palatino Linotype" w:eastAsia="Calibri" w:hAnsi="Palatino Linotype" w:cs="Arial"/>
          <w:b/>
          <w:color w:val="000000" w:themeColor="text1"/>
          <w:lang w:val="es-ES"/>
        </w:rPr>
        <w:t>;</w:t>
      </w:r>
      <w:r w:rsidR="00102D65" w:rsidRPr="003F3783">
        <w:rPr>
          <w:rFonts w:ascii="Palatino Linotype" w:eastAsia="Times New Roman" w:hAnsi="Palatino Linotype" w:cs="Arial"/>
          <w:color w:val="000000" w:themeColor="text1"/>
          <w:lang w:val="es-ES"/>
        </w:rPr>
        <w:t xml:space="preserve"> impugnación</w:t>
      </w:r>
      <w:r w:rsidR="004D68F8" w:rsidRPr="003F3783">
        <w:rPr>
          <w:rFonts w:ascii="Palatino Linotype" w:eastAsia="Times New Roman" w:hAnsi="Palatino Linotype" w:cs="Arial"/>
          <w:color w:val="000000" w:themeColor="text1"/>
          <w:lang w:val="es-ES"/>
        </w:rPr>
        <w:t xml:space="preserve"> </w:t>
      </w:r>
      <w:r w:rsidR="00A45546" w:rsidRPr="003F3783">
        <w:rPr>
          <w:rFonts w:ascii="Palatino Linotype" w:eastAsia="Times New Roman" w:hAnsi="Palatino Linotype" w:cs="Arial"/>
          <w:color w:val="000000" w:themeColor="text1"/>
          <w:lang w:val="es-ES"/>
        </w:rPr>
        <w:t xml:space="preserve">en </w:t>
      </w:r>
      <w:r w:rsidR="00977D37" w:rsidRPr="003F3783">
        <w:rPr>
          <w:rFonts w:ascii="Palatino Linotype" w:eastAsia="Times New Roman" w:hAnsi="Palatino Linotype" w:cs="Arial"/>
          <w:color w:val="000000" w:themeColor="text1"/>
          <w:lang w:val="es-ES"/>
        </w:rPr>
        <w:t>la</w:t>
      </w:r>
      <w:r w:rsidR="00A45546" w:rsidRPr="003F3783">
        <w:rPr>
          <w:rFonts w:ascii="Palatino Linotype" w:eastAsia="Times New Roman" w:hAnsi="Palatino Linotype" w:cs="Arial"/>
          <w:color w:val="000000" w:themeColor="text1"/>
          <w:lang w:val="es-ES"/>
        </w:rPr>
        <w:t xml:space="preserve"> que </w:t>
      </w:r>
      <w:r w:rsidR="00E845E0" w:rsidRPr="003F3783">
        <w:rPr>
          <w:rFonts w:ascii="Palatino Linotype" w:eastAsia="Times New Roman" w:hAnsi="Palatino Linotype" w:cs="Arial"/>
          <w:color w:val="000000" w:themeColor="text1"/>
          <w:lang w:val="es-ES"/>
        </w:rPr>
        <w:t xml:space="preserve">señaló </w:t>
      </w:r>
      <w:r w:rsidR="004D68F8" w:rsidRPr="003F3783">
        <w:rPr>
          <w:rFonts w:ascii="Palatino Linotype" w:eastAsia="Times New Roman" w:hAnsi="Palatino Linotype" w:cs="Arial"/>
          <w:color w:val="000000" w:themeColor="text1"/>
          <w:lang w:val="es-ES"/>
        </w:rPr>
        <w:t>lo siguiente:</w:t>
      </w:r>
    </w:p>
    <w:p w14:paraId="054906C6" w14:textId="77777777" w:rsidR="00E34622" w:rsidRPr="003F3783" w:rsidRDefault="00E34622" w:rsidP="00AF444E">
      <w:pPr>
        <w:tabs>
          <w:tab w:val="left" w:pos="426"/>
        </w:tabs>
        <w:spacing w:line="360" w:lineRule="auto"/>
        <w:jc w:val="both"/>
        <w:rPr>
          <w:rFonts w:ascii="Palatino Linotype" w:eastAsia="Times New Roman" w:hAnsi="Palatino Linotype" w:cs="Arial"/>
          <w:color w:val="000000" w:themeColor="text1"/>
          <w:lang w:val="es-ES"/>
        </w:rPr>
      </w:pPr>
    </w:p>
    <w:p w14:paraId="5D958B88" w14:textId="586297F2" w:rsidR="00E34622" w:rsidRPr="003F3783" w:rsidRDefault="00E34622" w:rsidP="00AF444E">
      <w:pPr>
        <w:pStyle w:val="Prrafodelista"/>
        <w:numPr>
          <w:ilvl w:val="1"/>
          <w:numId w:val="4"/>
        </w:numPr>
        <w:tabs>
          <w:tab w:val="left" w:pos="426"/>
        </w:tabs>
        <w:spacing w:line="360" w:lineRule="auto"/>
        <w:ind w:left="567" w:right="616" w:firstLine="0"/>
        <w:jc w:val="both"/>
        <w:rPr>
          <w:rFonts w:ascii="Palatino Linotype" w:hAnsi="Palatino Linotype"/>
          <w:i/>
          <w:color w:val="000000"/>
          <w:sz w:val="22"/>
          <w:szCs w:val="22"/>
        </w:rPr>
      </w:pPr>
      <w:r w:rsidRPr="003F3783">
        <w:rPr>
          <w:rFonts w:ascii="Palatino Linotype" w:eastAsia="Times New Roman" w:hAnsi="Palatino Linotype" w:cs="Arial"/>
          <w:b/>
          <w:i/>
          <w:color w:val="000000" w:themeColor="text1"/>
          <w:sz w:val="22"/>
          <w:szCs w:val="22"/>
          <w:lang w:val="es-ES"/>
        </w:rPr>
        <w:lastRenderedPageBreak/>
        <w:t>Acto impugnado:</w:t>
      </w:r>
      <w:r w:rsidRPr="003F3783">
        <w:rPr>
          <w:rFonts w:ascii="Palatino Linotype" w:eastAsia="Times New Roman" w:hAnsi="Palatino Linotype" w:cs="Arial"/>
          <w:i/>
          <w:color w:val="000000" w:themeColor="text1"/>
          <w:sz w:val="22"/>
          <w:szCs w:val="22"/>
          <w:lang w:val="es-ES"/>
        </w:rPr>
        <w:t xml:space="preserve"> </w:t>
      </w:r>
      <w:r w:rsidRPr="003F3783">
        <w:rPr>
          <w:rFonts w:ascii="Palatino Linotype" w:hAnsi="Palatino Linotype"/>
          <w:i/>
          <w:color w:val="000000"/>
          <w:sz w:val="22"/>
          <w:szCs w:val="22"/>
        </w:rPr>
        <w:t>“</w:t>
      </w:r>
      <w:r w:rsidR="00E845E0" w:rsidRPr="003F3783">
        <w:rPr>
          <w:rFonts w:ascii="Palatino Linotype" w:hAnsi="Palatino Linotype"/>
          <w:i/>
          <w:color w:val="000000"/>
          <w:sz w:val="22"/>
          <w:szCs w:val="22"/>
        </w:rPr>
        <w:t>Solicitud de padrón de beneficiarios del programa cuartos dormitorio</w:t>
      </w:r>
      <w:r w:rsidR="00C52898" w:rsidRPr="003F3783">
        <w:rPr>
          <w:rFonts w:ascii="Palatino Linotype" w:hAnsi="Palatino Linotype"/>
          <w:i/>
          <w:color w:val="000000"/>
          <w:sz w:val="22"/>
          <w:szCs w:val="22"/>
        </w:rPr>
        <w:t>.</w:t>
      </w:r>
      <w:r w:rsidRPr="003F3783">
        <w:rPr>
          <w:rFonts w:ascii="Palatino Linotype" w:hAnsi="Palatino Linotype"/>
          <w:i/>
          <w:color w:val="000000"/>
          <w:sz w:val="22"/>
          <w:szCs w:val="22"/>
        </w:rPr>
        <w:t>” (Sic).</w:t>
      </w:r>
    </w:p>
    <w:p w14:paraId="38724B8B" w14:textId="77777777" w:rsidR="001468E9" w:rsidRPr="003F3783" w:rsidRDefault="001468E9" w:rsidP="00515916">
      <w:pPr>
        <w:pStyle w:val="Prrafodelista"/>
        <w:tabs>
          <w:tab w:val="left" w:pos="426"/>
        </w:tabs>
        <w:spacing w:line="360" w:lineRule="auto"/>
        <w:ind w:left="284"/>
        <w:jc w:val="both"/>
        <w:rPr>
          <w:rFonts w:ascii="Palatino Linotype" w:hAnsi="Palatino Linotype"/>
          <w:color w:val="000000" w:themeColor="text1"/>
          <w:szCs w:val="22"/>
        </w:rPr>
      </w:pPr>
    </w:p>
    <w:p w14:paraId="4E73B63B" w14:textId="3CFED937" w:rsidR="00E34622" w:rsidRPr="003F3783" w:rsidRDefault="00E34622" w:rsidP="00AF444E">
      <w:pPr>
        <w:pStyle w:val="Prrafodelista"/>
        <w:numPr>
          <w:ilvl w:val="1"/>
          <w:numId w:val="4"/>
        </w:numPr>
        <w:tabs>
          <w:tab w:val="left" w:pos="426"/>
        </w:tabs>
        <w:spacing w:line="360" w:lineRule="auto"/>
        <w:ind w:left="567" w:right="616" w:firstLine="0"/>
        <w:jc w:val="both"/>
        <w:rPr>
          <w:rFonts w:ascii="Palatino Linotype" w:eastAsia="Times New Roman" w:hAnsi="Palatino Linotype" w:cs="Arial"/>
          <w:i/>
          <w:color w:val="000000" w:themeColor="text1"/>
          <w:sz w:val="22"/>
          <w:szCs w:val="22"/>
          <w:lang w:val="es-ES"/>
        </w:rPr>
      </w:pPr>
      <w:r w:rsidRPr="003F3783">
        <w:rPr>
          <w:rFonts w:ascii="Palatino Linotype" w:eastAsia="Times New Roman" w:hAnsi="Palatino Linotype" w:cs="Arial"/>
          <w:b/>
          <w:i/>
          <w:color w:val="000000" w:themeColor="text1"/>
          <w:sz w:val="22"/>
          <w:szCs w:val="22"/>
          <w:lang w:val="es-ES"/>
        </w:rPr>
        <w:t>Razones o motivos de inconformidad:</w:t>
      </w:r>
      <w:r w:rsidRPr="003F3783">
        <w:rPr>
          <w:rFonts w:ascii="Palatino Linotype" w:eastAsia="Times New Roman" w:hAnsi="Palatino Linotype" w:cs="Arial"/>
          <w:i/>
          <w:color w:val="000000" w:themeColor="text1"/>
          <w:sz w:val="22"/>
          <w:szCs w:val="22"/>
          <w:lang w:val="es-ES"/>
        </w:rPr>
        <w:t xml:space="preserve"> “</w:t>
      </w:r>
      <w:r w:rsidR="00E845E0" w:rsidRPr="003F3783">
        <w:rPr>
          <w:rFonts w:ascii="Palatino Linotype" w:hAnsi="Palatino Linotype"/>
          <w:i/>
          <w:color w:val="000000"/>
          <w:sz w:val="22"/>
          <w:szCs w:val="22"/>
        </w:rPr>
        <w:t>La respuesta brindada por el ayuntamiento no es justificable ya que sólo se le solicita el listado (nombres) de los integrantes del padrón de beneficiarios del programa cuartos dormitorio en ningún momento se le solicito (curp, comprobante de domicilio, Ine, documentos que acrediten la propiedad,) además de que no presenta el dictamen de la Propuesta presentada al comité de transparencia de dicho organismo. Sobre la clasificación de la informácion como reservada, así mismo que tampoco cumple con la demás información solicitada como es las reglas de operación y el procedimiento de selección de los beneficiarios. Por lo cual no esta cumpliendo con el acceso a la información pública.</w:t>
      </w:r>
      <w:r w:rsidRPr="003F3783">
        <w:rPr>
          <w:rFonts w:ascii="Palatino Linotype" w:eastAsia="Times New Roman" w:hAnsi="Palatino Linotype" w:cs="Arial"/>
          <w:i/>
          <w:color w:val="000000" w:themeColor="text1"/>
          <w:sz w:val="22"/>
          <w:szCs w:val="22"/>
          <w:lang w:val="es-ES"/>
        </w:rPr>
        <w:t>” (Sic).</w:t>
      </w:r>
    </w:p>
    <w:p w14:paraId="4D16C3B0" w14:textId="77777777" w:rsidR="00E34622" w:rsidRPr="003F3783"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3F3783"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F3783">
        <w:rPr>
          <w:rFonts w:ascii="Palatino Linotype" w:eastAsia="Times New Roman" w:hAnsi="Palatino Linotype" w:cs="Arial"/>
          <w:color w:val="000000" w:themeColor="text1"/>
          <w:lang w:val="es-ES"/>
        </w:rPr>
        <w:t xml:space="preserve">Se registró el recurso de revisión bajo el número de expediente </w:t>
      </w:r>
      <w:r w:rsidR="004F785F" w:rsidRPr="003F3783">
        <w:rPr>
          <w:rFonts w:ascii="Palatino Linotype" w:hAnsi="Palatino Linotype" w:cs="Arial"/>
          <w:bCs/>
          <w:color w:val="000000" w:themeColor="text1"/>
        </w:rPr>
        <w:t>al rubro indicado, asi</w:t>
      </w:r>
      <w:r w:rsidRPr="003F3783">
        <w:rPr>
          <w:rFonts w:ascii="Palatino Linotype" w:hAnsi="Palatino Linotype" w:cs="Arial"/>
          <w:bCs/>
          <w:color w:val="000000" w:themeColor="text1"/>
        </w:rPr>
        <w:t xml:space="preserve">mismo, con fundamento en lo dispuesto por el </w:t>
      </w:r>
      <w:r w:rsidRPr="003F3783">
        <w:rPr>
          <w:rFonts w:ascii="Palatino Linotype" w:eastAsia="Calibri" w:hAnsi="Palatino Linotype" w:cs="Arial"/>
          <w:color w:val="000000" w:themeColor="text1"/>
          <w:lang w:val="es-ES"/>
        </w:rPr>
        <w:t xml:space="preserve">artículo 185 fracción I de la </w:t>
      </w:r>
      <w:r w:rsidRPr="003F3783">
        <w:rPr>
          <w:rFonts w:ascii="Palatino Linotype" w:eastAsia="Calibri" w:hAnsi="Palatino Linotype" w:cs="Arial"/>
          <w:b/>
          <w:color w:val="000000" w:themeColor="text1"/>
          <w:lang w:val="es-ES"/>
        </w:rPr>
        <w:t xml:space="preserve">Ley de Transparencia y Acceso a la Información Pública del Estado de México y Municipios </w:t>
      </w:r>
      <w:r w:rsidRPr="003F3783">
        <w:rPr>
          <w:rFonts w:ascii="Palatino Linotype" w:eastAsia="Times New Roman" w:hAnsi="Palatino Linotype" w:cs="Arial"/>
          <w:color w:val="000000" w:themeColor="text1"/>
          <w:lang w:val="es-ES"/>
        </w:rPr>
        <w:t xml:space="preserve">se turnó al </w:t>
      </w:r>
      <w:r w:rsidRPr="003F3783">
        <w:rPr>
          <w:rFonts w:ascii="Palatino Linotype" w:eastAsia="Times New Roman" w:hAnsi="Palatino Linotype" w:cs="Arial"/>
          <w:b/>
          <w:color w:val="000000" w:themeColor="text1"/>
          <w:lang w:val="es-ES"/>
        </w:rPr>
        <w:t xml:space="preserve">Comisionado José Guadalupe Luna Hernández, </w:t>
      </w:r>
      <w:r w:rsidRPr="003F3783">
        <w:rPr>
          <w:rFonts w:ascii="Palatino Linotype" w:eastAsia="Times New Roman" w:hAnsi="Palatino Linotype" w:cs="Arial"/>
          <w:color w:val="000000" w:themeColor="text1"/>
          <w:lang w:val="es-ES"/>
        </w:rPr>
        <w:t xml:space="preserve">con el objeto de </w:t>
      </w:r>
      <w:r w:rsidRPr="003F3783">
        <w:rPr>
          <w:rFonts w:ascii="Palatino Linotype" w:eastAsia="Times New Roman" w:hAnsi="Palatino Linotype" w:cs="Arial"/>
          <w:color w:val="000000" w:themeColor="text1"/>
          <w:lang w:val="es-MX"/>
        </w:rPr>
        <w:t>su análisis.</w:t>
      </w:r>
    </w:p>
    <w:p w14:paraId="2BDE682E" w14:textId="77777777" w:rsidR="005F1362" w:rsidRPr="003F3783"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F38C69C" w14:textId="77777777" w:rsidR="00521B2C" w:rsidRPr="003F3783" w:rsidRDefault="00521B2C" w:rsidP="00521B2C">
      <w:pPr>
        <w:pStyle w:val="Prrafodelista"/>
        <w:numPr>
          <w:ilvl w:val="0"/>
          <w:numId w:val="4"/>
        </w:numPr>
        <w:tabs>
          <w:tab w:val="left" w:pos="426"/>
          <w:tab w:val="left" w:pos="567"/>
        </w:tabs>
        <w:spacing w:after="240" w:line="360" w:lineRule="auto"/>
        <w:ind w:left="0" w:firstLine="0"/>
        <w:jc w:val="both"/>
        <w:rPr>
          <w:rFonts w:ascii="Palatino Linotype" w:hAnsi="Palatino Linotype" w:cs="Arial"/>
          <w:b/>
          <w:bCs/>
          <w:i/>
          <w:color w:val="000000" w:themeColor="text1"/>
        </w:rPr>
      </w:pPr>
      <w:r w:rsidRPr="003F3783">
        <w:rPr>
          <w:rFonts w:ascii="Palatino Linotype" w:hAnsi="Palatino Linotype"/>
        </w:rPr>
        <w:t xml:space="preserve">El veintitrés (23) de marzo, uno (01) de abril, siete (07) y veintisiete (27) de mayo, cinco (5) y veinticuatro (24) de junio del año en curso se publicaron en el Periódico Oficial “Gaceta del Gobierno” del Estado de México los Acuerdos del Pleno del Instituto derivados de las disposiciones de la autoridad sanitaria Federal y Estatal, en los que se acordó la suspensión de los plazos para el trámite y desahogo de los procedimientos establecidos en la </w:t>
      </w:r>
      <w:r w:rsidRPr="003F3783">
        <w:rPr>
          <w:rFonts w:ascii="Palatino Linotype" w:hAnsi="Palatino Linotype"/>
          <w:b/>
        </w:rPr>
        <w:t xml:space="preserve">Ley de Transparencia y Acceso a la Información </w:t>
      </w:r>
      <w:r w:rsidRPr="003F3783">
        <w:rPr>
          <w:rFonts w:ascii="Palatino Linotype" w:hAnsi="Palatino Linotype"/>
          <w:b/>
        </w:rPr>
        <w:lastRenderedPageBreak/>
        <w:t>Pública del Estado de México y Municipios, y la Ley de Protección de Datos Personales en Posesión de Sujetos Obligados del Estado de México y Municipios</w:t>
      </w:r>
      <w:r w:rsidRPr="003F3783">
        <w:rPr>
          <w:rFonts w:ascii="Palatino Linotype" w:hAnsi="Palatino Linotype"/>
        </w:rPr>
        <w:t>, así como la suspensión de las sesiones ordinarias del Pleno al 17 de julio de 2020.</w:t>
      </w:r>
    </w:p>
    <w:p w14:paraId="10C4BA18" w14:textId="77777777" w:rsidR="00521B2C" w:rsidRPr="003F3783" w:rsidRDefault="00521B2C" w:rsidP="00521B2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9BE62CF" w:rsidR="007446C2" w:rsidRPr="003F3783"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F3783">
        <w:rPr>
          <w:rFonts w:ascii="Palatino Linotype" w:eastAsia="Times New Roman" w:hAnsi="Palatino Linotype" w:cs="Arial"/>
          <w:color w:val="000000" w:themeColor="text1"/>
          <w:lang w:val="es-ES"/>
        </w:rPr>
        <w:t>E</w:t>
      </w:r>
      <w:r w:rsidR="00FE49E3" w:rsidRPr="003F3783">
        <w:rPr>
          <w:rFonts w:ascii="Palatino Linotype" w:eastAsia="Times New Roman" w:hAnsi="Palatino Linotype" w:cs="Arial"/>
          <w:color w:val="000000" w:themeColor="text1"/>
          <w:lang w:val="es-ES"/>
        </w:rPr>
        <w:t>l</w:t>
      </w:r>
      <w:r w:rsidR="00FE49E3" w:rsidRPr="003F3783">
        <w:rPr>
          <w:rFonts w:ascii="Palatino Linotype" w:eastAsia="Calibri" w:hAnsi="Palatino Linotype" w:cs="Arial"/>
          <w:color w:val="000000" w:themeColor="text1"/>
          <w:lang w:val="es-ES"/>
        </w:rPr>
        <w:t xml:space="preserve"> </w:t>
      </w:r>
      <w:r w:rsidR="0004686A" w:rsidRPr="003F3783">
        <w:rPr>
          <w:rFonts w:ascii="Palatino Linotype" w:eastAsia="Calibri" w:hAnsi="Palatino Linotype" w:cs="Arial"/>
          <w:color w:val="000000" w:themeColor="text1"/>
          <w:lang w:val="es-ES"/>
        </w:rPr>
        <w:t xml:space="preserve">Comisionado Ponente con fundamento en lo dispuesto por el artículo 185 fracción II de la ley de la materia, a través </w:t>
      </w:r>
      <w:r w:rsidR="006E4E2A" w:rsidRPr="003F3783">
        <w:rPr>
          <w:rFonts w:ascii="Palatino Linotype" w:eastAsia="Calibri" w:hAnsi="Palatino Linotype" w:cs="Arial"/>
          <w:color w:val="000000" w:themeColor="text1"/>
          <w:lang w:val="es-ES"/>
        </w:rPr>
        <w:t>del</w:t>
      </w:r>
      <w:r w:rsidR="0004686A" w:rsidRPr="003F3783">
        <w:rPr>
          <w:rFonts w:ascii="Palatino Linotype" w:eastAsia="Calibri" w:hAnsi="Palatino Linotype" w:cs="Arial"/>
          <w:color w:val="000000" w:themeColor="text1"/>
          <w:lang w:val="es-ES"/>
        </w:rPr>
        <w:t xml:space="preserve"> </w:t>
      </w:r>
      <w:r w:rsidR="00B81371" w:rsidRPr="003F3783">
        <w:rPr>
          <w:rFonts w:ascii="Palatino Linotype" w:eastAsia="Calibri" w:hAnsi="Palatino Linotype" w:cs="Arial"/>
          <w:color w:val="000000" w:themeColor="text1"/>
          <w:lang w:val="es-ES"/>
        </w:rPr>
        <w:t xml:space="preserve">acuerdo </w:t>
      </w:r>
      <w:r w:rsidR="00F147C6" w:rsidRPr="003F3783">
        <w:rPr>
          <w:rFonts w:ascii="Palatino Linotype" w:eastAsia="Calibri" w:hAnsi="Palatino Linotype" w:cs="Arial"/>
          <w:color w:val="000000" w:themeColor="text1"/>
          <w:lang w:val="es-ES"/>
        </w:rPr>
        <w:t xml:space="preserve">de admisión </w:t>
      </w:r>
      <w:r w:rsidR="00B81371" w:rsidRPr="003F3783">
        <w:rPr>
          <w:rFonts w:ascii="Palatino Linotype" w:eastAsia="Calibri" w:hAnsi="Palatino Linotype" w:cs="Arial"/>
          <w:color w:val="000000" w:themeColor="text1"/>
          <w:lang w:val="es-ES"/>
        </w:rPr>
        <w:t xml:space="preserve">de </w:t>
      </w:r>
      <w:r w:rsidR="00C52898" w:rsidRPr="003F3783">
        <w:rPr>
          <w:rFonts w:ascii="Palatino Linotype" w:eastAsia="Calibri" w:hAnsi="Palatino Linotype" w:cs="Arial"/>
          <w:color w:val="000000" w:themeColor="text1"/>
          <w:lang w:val="es-ES"/>
        </w:rPr>
        <w:t>siete</w:t>
      </w:r>
      <w:r w:rsidR="001E3F91" w:rsidRPr="003F3783">
        <w:rPr>
          <w:rFonts w:ascii="Palatino Linotype" w:eastAsia="Calibri" w:hAnsi="Palatino Linotype" w:cs="Arial"/>
          <w:color w:val="000000" w:themeColor="text1"/>
          <w:lang w:val="es-ES"/>
        </w:rPr>
        <w:t xml:space="preserve"> </w:t>
      </w:r>
      <w:r w:rsidR="00C862C4" w:rsidRPr="003F3783">
        <w:rPr>
          <w:rFonts w:ascii="Palatino Linotype" w:eastAsia="Calibri" w:hAnsi="Palatino Linotype" w:cs="Arial"/>
          <w:color w:val="000000" w:themeColor="text1"/>
          <w:lang w:val="es-ES"/>
        </w:rPr>
        <w:t>(</w:t>
      </w:r>
      <w:r w:rsidR="00C52898" w:rsidRPr="003F3783">
        <w:rPr>
          <w:rFonts w:ascii="Palatino Linotype" w:eastAsia="Calibri" w:hAnsi="Palatino Linotype" w:cs="Arial"/>
          <w:color w:val="000000" w:themeColor="text1"/>
          <w:lang w:val="es-ES"/>
        </w:rPr>
        <w:t>7</w:t>
      </w:r>
      <w:r w:rsidR="00C862C4" w:rsidRPr="003F3783">
        <w:rPr>
          <w:rFonts w:ascii="Palatino Linotype" w:eastAsia="Calibri" w:hAnsi="Palatino Linotype" w:cs="Arial"/>
          <w:color w:val="000000" w:themeColor="text1"/>
          <w:lang w:val="es-ES"/>
        </w:rPr>
        <w:t xml:space="preserve">) de </w:t>
      </w:r>
      <w:r w:rsidR="00DE4F75" w:rsidRPr="003F3783">
        <w:rPr>
          <w:rFonts w:ascii="Palatino Linotype" w:eastAsia="Calibri" w:hAnsi="Palatino Linotype" w:cs="Arial"/>
          <w:color w:val="000000" w:themeColor="text1"/>
          <w:lang w:val="es-ES"/>
        </w:rPr>
        <w:t>agosto</w:t>
      </w:r>
      <w:r w:rsidR="003762FD" w:rsidRPr="003F3783">
        <w:rPr>
          <w:rFonts w:ascii="Palatino Linotype" w:eastAsia="Calibri" w:hAnsi="Palatino Linotype" w:cs="Arial"/>
          <w:color w:val="000000" w:themeColor="text1"/>
          <w:lang w:val="es-ES"/>
        </w:rPr>
        <w:t xml:space="preserve"> </w:t>
      </w:r>
      <w:r w:rsidR="003A03D0" w:rsidRPr="003F3783">
        <w:rPr>
          <w:rFonts w:ascii="Palatino Linotype" w:eastAsia="Calibri" w:hAnsi="Palatino Linotype" w:cs="Arial"/>
          <w:color w:val="000000" w:themeColor="text1"/>
          <w:lang w:val="es-ES"/>
        </w:rPr>
        <w:t>d</w:t>
      </w:r>
      <w:r w:rsidR="0075650E" w:rsidRPr="003F3783">
        <w:rPr>
          <w:rFonts w:ascii="Palatino Linotype" w:eastAsia="Calibri" w:hAnsi="Palatino Linotype" w:cs="Arial"/>
          <w:color w:val="000000" w:themeColor="text1"/>
          <w:lang w:val="es-ES"/>
        </w:rPr>
        <w:t xml:space="preserve">e dos mil </w:t>
      </w:r>
      <w:r w:rsidR="001468E9" w:rsidRPr="003F3783">
        <w:rPr>
          <w:rFonts w:ascii="Palatino Linotype" w:eastAsia="Calibri" w:hAnsi="Palatino Linotype" w:cs="Arial"/>
          <w:color w:val="000000" w:themeColor="text1"/>
          <w:lang w:val="es-ES"/>
        </w:rPr>
        <w:t>veinte</w:t>
      </w:r>
      <w:r w:rsidR="006A1047" w:rsidRPr="003F3783">
        <w:rPr>
          <w:rFonts w:ascii="Palatino Linotype" w:eastAsia="Calibri" w:hAnsi="Palatino Linotype" w:cs="Arial"/>
          <w:color w:val="000000" w:themeColor="text1"/>
          <w:lang w:val="es-ES"/>
        </w:rPr>
        <w:t xml:space="preserve">, </w:t>
      </w:r>
      <w:r w:rsidR="00B81371" w:rsidRPr="003F3783">
        <w:rPr>
          <w:rFonts w:ascii="Palatino Linotype" w:eastAsia="Calibri" w:hAnsi="Palatino Linotype" w:cs="Arial"/>
          <w:color w:val="000000" w:themeColor="text1"/>
          <w:lang w:val="es-ES"/>
        </w:rPr>
        <w:t xml:space="preserve">puso a </w:t>
      </w:r>
      <w:r w:rsidR="00875167" w:rsidRPr="003F3783">
        <w:rPr>
          <w:rFonts w:ascii="Palatino Linotype" w:eastAsia="Calibri" w:hAnsi="Palatino Linotype" w:cs="Arial"/>
          <w:color w:val="000000" w:themeColor="text1"/>
          <w:lang w:val="es-ES"/>
        </w:rPr>
        <w:t>disposición</w:t>
      </w:r>
      <w:r w:rsidR="00B81371" w:rsidRPr="003F3783">
        <w:rPr>
          <w:rFonts w:ascii="Palatino Linotype" w:eastAsia="Calibri" w:hAnsi="Palatino Linotype" w:cs="Arial"/>
          <w:color w:val="000000" w:themeColor="text1"/>
          <w:lang w:val="es-ES"/>
        </w:rPr>
        <w:t xml:space="preserve"> de las partes el expediente electrónico </w:t>
      </w:r>
      <w:r w:rsidR="00B81371" w:rsidRPr="003F3783">
        <w:rPr>
          <w:rFonts w:ascii="Palatino Linotype" w:eastAsia="Calibri" w:hAnsi="Palatino Linotype" w:cs="Arial"/>
          <w:color w:val="000000" w:themeColor="text1"/>
        </w:rPr>
        <w:t xml:space="preserve">vía </w:t>
      </w:r>
      <w:r w:rsidR="00B81371" w:rsidRPr="003F3783">
        <w:rPr>
          <w:rFonts w:ascii="Palatino Linotype" w:eastAsia="Calibri" w:hAnsi="Palatino Linotype" w:cs="Arial"/>
          <w:color w:val="000000" w:themeColor="text1"/>
          <w:lang w:val="es-ES"/>
        </w:rPr>
        <w:t xml:space="preserve">Sistema de Acceso a la Información Mexiquense </w:t>
      </w:r>
      <w:r w:rsidR="001468E9" w:rsidRPr="003F3783">
        <w:rPr>
          <w:rFonts w:ascii="Palatino Linotype" w:eastAsia="Calibri" w:hAnsi="Palatino Linotype" w:cs="Arial"/>
          <w:color w:val="000000" w:themeColor="text1"/>
          <w:lang w:val="es-ES"/>
        </w:rPr>
        <w:t>(</w:t>
      </w:r>
      <w:r w:rsidR="00B81371" w:rsidRPr="003F3783">
        <w:rPr>
          <w:rFonts w:ascii="Palatino Linotype" w:eastAsia="Calibri" w:hAnsi="Palatino Linotype" w:cs="Arial"/>
          <w:b/>
          <w:color w:val="000000" w:themeColor="text1"/>
          <w:lang w:val="es-ES"/>
        </w:rPr>
        <w:t>SAIMEX</w:t>
      </w:r>
      <w:r w:rsidR="001468E9" w:rsidRPr="003F3783">
        <w:rPr>
          <w:rFonts w:ascii="Palatino Linotype" w:eastAsia="Calibri" w:hAnsi="Palatino Linotype" w:cs="Arial"/>
          <w:b/>
          <w:color w:val="000000" w:themeColor="text1"/>
          <w:lang w:val="es-ES"/>
        </w:rPr>
        <w:t>)</w:t>
      </w:r>
      <w:r w:rsidR="00B81371" w:rsidRPr="003F3783">
        <w:rPr>
          <w:rFonts w:ascii="Palatino Linotype" w:eastAsia="Calibri" w:hAnsi="Palatino Linotype" w:cs="Arial"/>
          <w:b/>
          <w:color w:val="000000" w:themeColor="text1"/>
          <w:lang w:val="es-ES"/>
        </w:rPr>
        <w:t xml:space="preserve"> </w:t>
      </w:r>
      <w:r w:rsidR="00B81371" w:rsidRPr="003F3783">
        <w:rPr>
          <w:rFonts w:ascii="Palatino Linotype" w:eastAsia="Calibri" w:hAnsi="Palatino Linotype" w:cs="Arial"/>
          <w:color w:val="000000" w:themeColor="text1"/>
          <w:lang w:val="es-ES"/>
        </w:rPr>
        <w:t xml:space="preserve">a efecto de que en un plazo máximo de siete días </w:t>
      </w:r>
      <w:r w:rsidR="00875167" w:rsidRPr="003F3783">
        <w:rPr>
          <w:rFonts w:ascii="Palatino Linotype" w:eastAsia="Calibri" w:hAnsi="Palatino Linotype" w:cs="Arial"/>
          <w:color w:val="000000" w:themeColor="text1"/>
          <w:lang w:val="es-ES"/>
        </w:rPr>
        <w:t>manifestaran</w:t>
      </w:r>
      <w:r w:rsidR="00B81371" w:rsidRPr="003F3783">
        <w:rPr>
          <w:rFonts w:ascii="Palatino Linotype" w:eastAsia="Calibri" w:hAnsi="Palatino Linotype" w:cs="Arial"/>
          <w:color w:val="000000" w:themeColor="text1"/>
          <w:lang w:val="es-ES"/>
        </w:rPr>
        <w:t xml:space="preserve"> lo que a</w:t>
      </w:r>
      <w:r w:rsidR="003A2029" w:rsidRPr="003F3783">
        <w:rPr>
          <w:rFonts w:ascii="Palatino Linotype" w:eastAsia="Calibri" w:hAnsi="Palatino Linotype" w:cs="Arial"/>
          <w:color w:val="000000" w:themeColor="text1"/>
          <w:lang w:val="es-ES"/>
        </w:rPr>
        <w:t xml:space="preserve"> su</w:t>
      </w:r>
      <w:r w:rsidR="00B81371" w:rsidRPr="003F3783">
        <w:rPr>
          <w:rFonts w:ascii="Palatino Linotype" w:eastAsia="Calibri" w:hAnsi="Palatino Linotype" w:cs="Arial"/>
          <w:color w:val="000000" w:themeColor="text1"/>
          <w:lang w:val="es-ES"/>
        </w:rPr>
        <w:t xml:space="preserve"> derecho conviniera</w:t>
      </w:r>
      <w:r w:rsidR="00875167" w:rsidRPr="003F3783">
        <w:rPr>
          <w:rFonts w:ascii="Palatino Linotype" w:eastAsia="Calibri" w:hAnsi="Palatino Linotype" w:cs="Arial"/>
          <w:color w:val="000000" w:themeColor="text1"/>
          <w:lang w:val="es-ES"/>
        </w:rPr>
        <w:t>n</w:t>
      </w:r>
      <w:r w:rsidR="00032493" w:rsidRPr="003F3783">
        <w:rPr>
          <w:rFonts w:ascii="Palatino Linotype" w:eastAsia="Calibri" w:hAnsi="Palatino Linotype" w:cs="Arial"/>
          <w:color w:val="000000" w:themeColor="text1"/>
          <w:lang w:val="es-ES"/>
        </w:rPr>
        <w:t>,</w:t>
      </w:r>
      <w:r w:rsidR="00B81371" w:rsidRPr="003F3783">
        <w:rPr>
          <w:rFonts w:ascii="Palatino Linotype" w:eastAsia="Calibri" w:hAnsi="Palatino Linotype" w:cs="Arial"/>
          <w:color w:val="000000" w:themeColor="text1"/>
          <w:lang w:val="es-ES"/>
        </w:rPr>
        <w:t xml:space="preserve"> </w:t>
      </w:r>
      <w:r w:rsidR="00875167" w:rsidRPr="003F3783">
        <w:rPr>
          <w:rFonts w:ascii="Palatino Linotype" w:eastAsia="Calibri" w:hAnsi="Palatino Linotype" w:cs="Arial"/>
          <w:color w:val="000000" w:themeColor="text1"/>
          <w:lang w:val="es-ES"/>
        </w:rPr>
        <w:t>ofrecieran pruebas y</w:t>
      </w:r>
      <w:r w:rsidR="00132C06" w:rsidRPr="003F3783">
        <w:rPr>
          <w:rFonts w:ascii="Palatino Linotype" w:eastAsia="Calibri" w:hAnsi="Palatino Linotype" w:cs="Arial"/>
          <w:color w:val="000000" w:themeColor="text1"/>
          <w:lang w:val="es-ES"/>
        </w:rPr>
        <w:t xml:space="preserve"> </w:t>
      </w:r>
      <w:r w:rsidR="00875167" w:rsidRPr="003F3783">
        <w:rPr>
          <w:rFonts w:ascii="Palatino Linotype" w:eastAsia="Calibri" w:hAnsi="Palatino Linotype" w:cs="Arial"/>
          <w:color w:val="000000" w:themeColor="text1"/>
          <w:lang w:val="es-ES"/>
        </w:rPr>
        <w:t>alegatos según corresponda a</w:t>
      </w:r>
      <w:r w:rsidR="004C20F2" w:rsidRPr="003F3783">
        <w:rPr>
          <w:rFonts w:ascii="Palatino Linotype" w:eastAsia="Calibri" w:hAnsi="Palatino Linotype" w:cs="Arial"/>
          <w:color w:val="000000" w:themeColor="text1"/>
          <w:lang w:val="es-ES"/>
        </w:rPr>
        <w:t xml:space="preserve"> </w:t>
      </w:r>
      <w:r w:rsidR="00875167" w:rsidRPr="003F3783">
        <w:rPr>
          <w:rFonts w:ascii="Palatino Linotype" w:eastAsia="Calibri" w:hAnsi="Palatino Linotype" w:cs="Arial"/>
          <w:color w:val="000000" w:themeColor="text1"/>
          <w:lang w:val="es-ES"/>
        </w:rPr>
        <w:t>l</w:t>
      </w:r>
      <w:r w:rsidR="004C20F2" w:rsidRPr="003F3783">
        <w:rPr>
          <w:rFonts w:ascii="Palatino Linotype" w:eastAsia="Calibri" w:hAnsi="Palatino Linotype" w:cs="Arial"/>
          <w:color w:val="000000" w:themeColor="text1"/>
          <w:lang w:val="es-ES"/>
        </w:rPr>
        <w:t>os</w:t>
      </w:r>
      <w:r w:rsidR="00875167" w:rsidRPr="003F3783">
        <w:rPr>
          <w:rFonts w:ascii="Palatino Linotype" w:eastAsia="Calibri" w:hAnsi="Palatino Linotype" w:cs="Arial"/>
          <w:color w:val="000000" w:themeColor="text1"/>
          <w:lang w:val="es-ES"/>
        </w:rPr>
        <w:t xml:space="preserve"> caso</w:t>
      </w:r>
      <w:r w:rsidR="004C20F2" w:rsidRPr="003F3783">
        <w:rPr>
          <w:rFonts w:ascii="Palatino Linotype" w:eastAsia="Calibri" w:hAnsi="Palatino Linotype" w:cs="Arial"/>
          <w:color w:val="000000" w:themeColor="text1"/>
          <w:lang w:val="es-ES"/>
        </w:rPr>
        <w:t>s</w:t>
      </w:r>
      <w:r w:rsidR="00875167" w:rsidRPr="003F3783">
        <w:rPr>
          <w:rFonts w:ascii="Palatino Linotype" w:eastAsia="Calibri" w:hAnsi="Palatino Linotype" w:cs="Arial"/>
          <w:color w:val="000000" w:themeColor="text1"/>
          <w:lang w:val="es-ES"/>
        </w:rPr>
        <w:t xml:space="preserve"> concreto</w:t>
      </w:r>
      <w:r w:rsidR="004C20F2" w:rsidRPr="003F3783">
        <w:rPr>
          <w:rFonts w:ascii="Palatino Linotype" w:eastAsia="Calibri" w:hAnsi="Palatino Linotype" w:cs="Arial"/>
          <w:color w:val="000000" w:themeColor="text1"/>
          <w:lang w:val="es-ES"/>
        </w:rPr>
        <w:t>s</w:t>
      </w:r>
      <w:r w:rsidR="00875167" w:rsidRPr="003F3783">
        <w:rPr>
          <w:rFonts w:ascii="Palatino Linotype" w:eastAsia="Calibri" w:hAnsi="Palatino Linotype" w:cs="Arial"/>
          <w:color w:val="000000" w:themeColor="text1"/>
          <w:lang w:val="es-ES"/>
        </w:rPr>
        <w:t xml:space="preserve">, </w:t>
      </w:r>
      <w:r w:rsidR="00F147C6" w:rsidRPr="003F3783">
        <w:rPr>
          <w:rFonts w:ascii="Palatino Linotype" w:eastAsia="Calibri" w:hAnsi="Palatino Linotype" w:cs="Arial"/>
          <w:color w:val="000000" w:themeColor="text1"/>
          <w:lang w:val="es-ES"/>
        </w:rPr>
        <w:t>de esta forma</w:t>
      </w:r>
      <w:r w:rsidR="00875167" w:rsidRPr="003F3783">
        <w:rPr>
          <w:rFonts w:ascii="Palatino Linotype" w:eastAsia="Calibri" w:hAnsi="Palatino Linotype" w:cs="Arial"/>
          <w:color w:val="000000" w:themeColor="text1"/>
          <w:lang w:val="es-ES"/>
        </w:rPr>
        <w:t xml:space="preserve"> para que el </w:t>
      </w:r>
      <w:r w:rsidR="00875167" w:rsidRPr="003F3783">
        <w:rPr>
          <w:rFonts w:ascii="Palatino Linotype" w:eastAsia="Calibri" w:hAnsi="Palatino Linotype" w:cs="Arial"/>
          <w:b/>
          <w:color w:val="000000" w:themeColor="text1"/>
          <w:lang w:val="es-ES"/>
        </w:rPr>
        <w:t>SUJETO OBLIGADO</w:t>
      </w:r>
      <w:r w:rsidR="00875167" w:rsidRPr="003F3783">
        <w:rPr>
          <w:rFonts w:ascii="Palatino Linotype" w:eastAsia="Calibri" w:hAnsi="Palatino Linotype" w:cs="Arial"/>
          <w:color w:val="000000" w:themeColor="text1"/>
          <w:lang w:val="es-ES"/>
        </w:rPr>
        <w:t xml:space="preserve"> </w:t>
      </w:r>
      <w:r w:rsidR="00B81371" w:rsidRPr="003F3783">
        <w:rPr>
          <w:rFonts w:ascii="Palatino Linotype" w:eastAsia="Calibri" w:hAnsi="Palatino Linotype" w:cs="Arial"/>
          <w:color w:val="000000" w:themeColor="text1"/>
          <w:lang w:val="es-ES"/>
        </w:rPr>
        <w:t>presentar</w:t>
      </w:r>
      <w:r w:rsidR="003A03D0" w:rsidRPr="003F3783">
        <w:rPr>
          <w:rFonts w:ascii="Palatino Linotype" w:eastAsia="Calibri" w:hAnsi="Palatino Linotype" w:cs="Arial"/>
          <w:color w:val="000000" w:themeColor="text1"/>
          <w:lang w:val="es-ES"/>
        </w:rPr>
        <w:t>a</w:t>
      </w:r>
      <w:r w:rsidR="00B81371" w:rsidRPr="003F3783">
        <w:rPr>
          <w:rFonts w:ascii="Palatino Linotype" w:eastAsia="Calibri" w:hAnsi="Palatino Linotype" w:cs="Arial"/>
          <w:color w:val="000000" w:themeColor="text1"/>
          <w:lang w:val="es-ES"/>
        </w:rPr>
        <w:t xml:space="preserve"> el </w:t>
      </w:r>
      <w:r w:rsidR="00556F72" w:rsidRPr="003F3783">
        <w:rPr>
          <w:rFonts w:ascii="Palatino Linotype" w:eastAsia="Calibri" w:hAnsi="Palatino Linotype" w:cs="Arial"/>
          <w:color w:val="000000" w:themeColor="text1"/>
          <w:lang w:val="es-ES"/>
        </w:rPr>
        <w:t xml:space="preserve">informe justificado </w:t>
      </w:r>
      <w:r w:rsidR="00875167" w:rsidRPr="003F3783">
        <w:rPr>
          <w:rFonts w:ascii="Palatino Linotype" w:eastAsia="Calibri" w:hAnsi="Palatino Linotype" w:cs="Arial"/>
          <w:color w:val="000000" w:themeColor="text1"/>
          <w:lang w:val="es-ES"/>
        </w:rPr>
        <w:t>procedente</w:t>
      </w:r>
      <w:r w:rsidR="00787184" w:rsidRPr="003F3783">
        <w:rPr>
          <w:rFonts w:ascii="Palatino Linotype" w:eastAsia="Calibri" w:hAnsi="Palatino Linotype" w:cs="Arial"/>
          <w:color w:val="000000" w:themeColor="text1"/>
          <w:lang w:val="es-ES"/>
        </w:rPr>
        <w:t>.</w:t>
      </w:r>
    </w:p>
    <w:p w14:paraId="3022AEC6" w14:textId="77777777" w:rsidR="007446C2" w:rsidRPr="003F3783"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DBFE7DD" w14:textId="429438C0" w:rsidR="001468E9" w:rsidRPr="003F3783" w:rsidRDefault="00DE4F75" w:rsidP="002A10D5">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F3783">
        <w:rPr>
          <w:rFonts w:ascii="Palatino Linotype" w:eastAsia="Calibri" w:hAnsi="Palatino Linotype" w:cs="Arial"/>
          <w:color w:val="000000" w:themeColor="text1"/>
          <w:lang w:val="es-ES"/>
        </w:rPr>
        <w:t xml:space="preserve">De las </w:t>
      </w:r>
      <w:r w:rsidRPr="003F3783">
        <w:rPr>
          <w:rFonts w:ascii="Palatino Linotype" w:eastAsia="Calibri" w:hAnsi="Palatino Linotype" w:cs="Arial"/>
          <w:color w:val="000000" w:themeColor="text1"/>
        </w:rPr>
        <w:t xml:space="preserve">constancias que obran en el expediente </w:t>
      </w:r>
      <w:r w:rsidR="009B6EDF" w:rsidRPr="003F3783">
        <w:rPr>
          <w:rFonts w:ascii="Palatino Linotype" w:eastAsia="Calibri" w:hAnsi="Palatino Linotype" w:cs="Arial"/>
          <w:color w:val="000000" w:themeColor="text1"/>
        </w:rPr>
        <w:t>electrónico</w:t>
      </w:r>
      <w:r w:rsidRPr="003F3783">
        <w:rPr>
          <w:rFonts w:ascii="Palatino Linotype" w:eastAsia="Calibri" w:hAnsi="Palatino Linotype" w:cs="Arial"/>
          <w:color w:val="000000" w:themeColor="text1"/>
        </w:rPr>
        <w:t xml:space="preserve"> del recurso de revisión que hoy se resuelve, se aprecia que el </w:t>
      </w:r>
      <w:r w:rsidRPr="003F3783">
        <w:rPr>
          <w:rFonts w:ascii="Palatino Linotype" w:eastAsia="Calibri" w:hAnsi="Palatino Linotype" w:cs="Arial"/>
          <w:b/>
          <w:color w:val="000000" w:themeColor="text1"/>
        </w:rPr>
        <w:t xml:space="preserve">SUJETO OBLIGADO </w:t>
      </w:r>
      <w:r w:rsidRPr="003F3783">
        <w:rPr>
          <w:rFonts w:ascii="Palatino Linotype" w:eastAsia="Calibri" w:hAnsi="Palatino Linotype" w:cs="Arial"/>
          <w:color w:val="000000" w:themeColor="text1"/>
        </w:rPr>
        <w:t>no rindió informe justificado para manifestar lo que a su derecho conviniera; por su parte, l</w:t>
      </w:r>
      <w:r w:rsidR="00C714CF" w:rsidRPr="003F3783">
        <w:rPr>
          <w:rFonts w:ascii="Palatino Linotype" w:eastAsia="Calibri" w:hAnsi="Palatino Linotype" w:cs="Arial"/>
          <w:color w:val="000000" w:themeColor="text1"/>
        </w:rPr>
        <w:t>a</w:t>
      </w:r>
      <w:r w:rsidRPr="003F3783">
        <w:rPr>
          <w:rFonts w:ascii="Palatino Linotype" w:eastAsia="Calibri" w:hAnsi="Palatino Linotype" w:cs="Arial"/>
          <w:color w:val="000000" w:themeColor="text1"/>
        </w:rPr>
        <w:t xml:space="preserve"> </w:t>
      </w:r>
      <w:r w:rsidRPr="003F3783">
        <w:rPr>
          <w:rFonts w:ascii="Palatino Linotype" w:eastAsia="Calibri" w:hAnsi="Palatino Linotype" w:cs="Arial"/>
          <w:b/>
          <w:color w:val="000000" w:themeColor="text1"/>
        </w:rPr>
        <w:t xml:space="preserve">RECURRENTE </w:t>
      </w:r>
      <w:r w:rsidRPr="003F3783">
        <w:rPr>
          <w:rFonts w:ascii="Palatino Linotype" w:eastAsia="Calibri" w:hAnsi="Palatino Linotype" w:cs="Arial"/>
          <w:color w:val="000000" w:themeColor="text1"/>
        </w:rPr>
        <w:t xml:space="preserve">no presentó alegatos ni ofreció medios de prueba. </w:t>
      </w:r>
    </w:p>
    <w:p w14:paraId="728F2770" w14:textId="77777777" w:rsidR="00DE4F75" w:rsidRPr="003F3783" w:rsidRDefault="00DE4F75" w:rsidP="00F96156">
      <w:pPr>
        <w:pStyle w:val="Prrafodelista"/>
        <w:tabs>
          <w:tab w:val="left" w:pos="426"/>
        </w:tabs>
        <w:ind w:left="0"/>
        <w:rPr>
          <w:rFonts w:ascii="Palatino Linotype" w:eastAsia="Calibri" w:hAnsi="Palatino Linotype" w:cs="Arial"/>
          <w:color w:val="000000" w:themeColor="text1"/>
          <w:lang w:val="es-ES"/>
        </w:rPr>
      </w:pPr>
    </w:p>
    <w:p w14:paraId="6FD4ED38" w14:textId="53154B81" w:rsidR="00515916" w:rsidRPr="003F3783" w:rsidRDefault="00515916" w:rsidP="00515916">
      <w:pPr>
        <w:pStyle w:val="Prrafodelista"/>
        <w:numPr>
          <w:ilvl w:val="0"/>
          <w:numId w:val="4"/>
        </w:numPr>
        <w:spacing w:line="360" w:lineRule="auto"/>
        <w:ind w:left="0" w:firstLine="0"/>
        <w:jc w:val="both"/>
        <w:rPr>
          <w:rFonts w:ascii="Palatino Linotype" w:hAnsi="Palatino Linotype" w:cs="Arial"/>
          <w:bCs/>
          <w:color w:val="000000" w:themeColor="text1"/>
        </w:rPr>
      </w:pPr>
      <w:r w:rsidRPr="003F3783">
        <w:rPr>
          <w:rFonts w:ascii="Palatino Linotype" w:hAnsi="Palatino Linotype"/>
        </w:rPr>
        <w:t xml:space="preserve">El día </w:t>
      </w:r>
      <w:r w:rsidRPr="003F3783">
        <w:rPr>
          <w:rFonts w:ascii="Palatino Linotype" w:eastAsia="Calibri" w:hAnsi="Palatino Linotype" w:cs="Arial"/>
          <w:color w:val="000000" w:themeColor="text1"/>
          <w:lang w:val="es-ES"/>
        </w:rPr>
        <w:t>veintinueve (29) de septiembre de dos mil veinte</w:t>
      </w:r>
      <w:r w:rsidRPr="003F3783">
        <w:rPr>
          <w:rFonts w:ascii="Palatino Linotype" w:eastAsia="Calibri" w:hAnsi="Palatino Linotype" w:cs="Arial"/>
          <w:lang w:val="es-ES"/>
        </w:rPr>
        <w:t xml:space="preserve">, </w:t>
      </w:r>
      <w:r w:rsidRPr="003F3783">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22BB191D" w14:textId="77777777" w:rsidR="00515916" w:rsidRPr="003F3783" w:rsidRDefault="00515916" w:rsidP="00515916">
      <w:pPr>
        <w:pStyle w:val="Prrafodelista"/>
        <w:tabs>
          <w:tab w:val="left" w:pos="426"/>
        </w:tabs>
        <w:spacing w:line="360" w:lineRule="auto"/>
        <w:ind w:left="0"/>
        <w:jc w:val="both"/>
        <w:rPr>
          <w:rFonts w:ascii="Palatino Linotype" w:hAnsi="Palatino Linotype"/>
          <w:color w:val="000000" w:themeColor="text1"/>
        </w:rPr>
      </w:pPr>
    </w:p>
    <w:p w14:paraId="502E9C42" w14:textId="5FB67357" w:rsidR="006B004E" w:rsidRPr="003F3783" w:rsidRDefault="00861622"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3F3783">
        <w:rPr>
          <w:rFonts w:ascii="Palatino Linotype" w:eastAsia="Calibri" w:hAnsi="Palatino Linotype" w:cs="Arial"/>
          <w:color w:val="000000" w:themeColor="text1"/>
          <w:lang w:val="es-ES"/>
        </w:rPr>
        <w:lastRenderedPageBreak/>
        <w:t>El</w:t>
      </w:r>
      <w:bookmarkStart w:id="5" w:name="_Toc461555889"/>
      <w:bookmarkStart w:id="6" w:name="_Toc466371858"/>
      <w:r w:rsidR="00B855AA" w:rsidRPr="003F3783">
        <w:rPr>
          <w:rFonts w:ascii="Palatino Linotype" w:eastAsia="Calibri" w:hAnsi="Palatino Linotype" w:cs="Arial"/>
          <w:color w:val="000000" w:themeColor="text1"/>
          <w:lang w:val="es-ES"/>
        </w:rPr>
        <w:t xml:space="preserve"> </w:t>
      </w:r>
      <w:r w:rsidR="00C714CF" w:rsidRPr="003F3783">
        <w:rPr>
          <w:rFonts w:ascii="Palatino Linotype" w:eastAsia="Calibri" w:hAnsi="Palatino Linotype" w:cs="Arial"/>
          <w:color w:val="000000" w:themeColor="text1"/>
          <w:lang w:val="es-ES"/>
        </w:rPr>
        <w:t>veinti</w:t>
      </w:r>
      <w:r w:rsidR="00515916" w:rsidRPr="003F3783">
        <w:rPr>
          <w:rFonts w:ascii="Palatino Linotype" w:eastAsia="Calibri" w:hAnsi="Palatino Linotype" w:cs="Arial"/>
          <w:color w:val="000000" w:themeColor="text1"/>
          <w:lang w:val="es-ES"/>
        </w:rPr>
        <w:t>nueve</w:t>
      </w:r>
      <w:r w:rsidR="00B855AA" w:rsidRPr="003F3783">
        <w:rPr>
          <w:rFonts w:ascii="Palatino Linotype" w:eastAsia="Calibri" w:hAnsi="Palatino Linotype" w:cs="Arial"/>
          <w:color w:val="000000" w:themeColor="text1"/>
          <w:lang w:val="es-ES"/>
        </w:rPr>
        <w:t xml:space="preserve"> (</w:t>
      </w:r>
      <w:r w:rsidR="00C714CF" w:rsidRPr="003F3783">
        <w:rPr>
          <w:rFonts w:ascii="Palatino Linotype" w:eastAsia="Calibri" w:hAnsi="Palatino Linotype" w:cs="Arial"/>
          <w:color w:val="000000" w:themeColor="text1"/>
          <w:lang w:val="es-ES"/>
        </w:rPr>
        <w:t>2</w:t>
      </w:r>
      <w:r w:rsidR="00515916" w:rsidRPr="003F3783">
        <w:rPr>
          <w:rFonts w:ascii="Palatino Linotype" w:eastAsia="Calibri" w:hAnsi="Palatino Linotype" w:cs="Arial"/>
          <w:color w:val="000000" w:themeColor="text1"/>
          <w:lang w:val="es-ES"/>
        </w:rPr>
        <w:t>9</w:t>
      </w:r>
      <w:r w:rsidR="00B855AA" w:rsidRPr="003F3783">
        <w:rPr>
          <w:rFonts w:ascii="Palatino Linotype" w:eastAsia="Calibri" w:hAnsi="Palatino Linotype" w:cs="Arial"/>
          <w:color w:val="000000" w:themeColor="text1"/>
          <w:lang w:val="es-ES"/>
        </w:rPr>
        <w:t xml:space="preserve">) de </w:t>
      </w:r>
      <w:r w:rsidR="00826F38" w:rsidRPr="003F3783">
        <w:rPr>
          <w:rFonts w:ascii="Palatino Linotype" w:eastAsia="Calibri" w:hAnsi="Palatino Linotype" w:cs="Arial"/>
          <w:color w:val="000000" w:themeColor="text1"/>
          <w:lang w:val="es-ES"/>
        </w:rPr>
        <w:t>septiembre</w:t>
      </w:r>
      <w:r w:rsidR="00B855AA" w:rsidRPr="003F3783">
        <w:rPr>
          <w:rFonts w:ascii="Palatino Linotype" w:eastAsia="Calibri" w:hAnsi="Palatino Linotype" w:cs="Arial"/>
          <w:color w:val="000000" w:themeColor="text1"/>
          <w:lang w:val="es-ES"/>
        </w:rPr>
        <w:t xml:space="preserve"> de dos mil veinte</w:t>
      </w:r>
      <w:r w:rsidR="00AD6AC5" w:rsidRPr="003F3783">
        <w:rPr>
          <w:rFonts w:ascii="Palatino Linotype" w:hAnsi="Palatino Linotype" w:cs="Arial"/>
          <w:color w:val="000000" w:themeColor="text1"/>
        </w:rPr>
        <w:t xml:space="preserve">, el Comisionado Ponente decretó el cierre del periodo de instrucción, por lo que ordenó turnar el expediente </w:t>
      </w:r>
      <w:r w:rsidR="00521B2C" w:rsidRPr="003F3783">
        <w:rPr>
          <w:rFonts w:ascii="Palatino Linotype" w:hAnsi="Palatino Linotype" w:cs="Arial"/>
          <w:color w:val="000000" w:themeColor="text1"/>
        </w:rPr>
        <w:t xml:space="preserve">a </w:t>
      </w:r>
      <w:r w:rsidR="00AD6AC5" w:rsidRPr="003F3783">
        <w:rPr>
          <w:rFonts w:ascii="Palatino Linotype" w:hAnsi="Palatino Linotype" w:cs="Arial"/>
          <w:color w:val="000000" w:themeColor="text1"/>
        </w:rPr>
        <w:t>resolución, misma que ahora se pronuncia</w:t>
      </w:r>
      <w:r w:rsidR="00515916" w:rsidRPr="003F3783">
        <w:rPr>
          <w:rFonts w:ascii="Palatino Linotype" w:hAnsi="Palatino Linotype" w:cs="Arial"/>
          <w:color w:val="000000" w:themeColor="text1"/>
        </w:rPr>
        <w:t>.</w:t>
      </w:r>
    </w:p>
    <w:p w14:paraId="71713D54" w14:textId="77777777" w:rsidR="0073324B" w:rsidRPr="003F3783" w:rsidRDefault="0073324B" w:rsidP="00826F38">
      <w:pPr>
        <w:spacing w:after="240" w:line="360" w:lineRule="auto"/>
        <w:jc w:val="both"/>
        <w:rPr>
          <w:rFonts w:ascii="Palatino Linotype" w:hAnsi="Palatino Linotype"/>
          <w:color w:val="000000" w:themeColor="text1"/>
        </w:rPr>
      </w:pPr>
    </w:p>
    <w:p w14:paraId="5CB47E4D" w14:textId="272D7EDF" w:rsidR="00C33279" w:rsidRPr="003F3783" w:rsidRDefault="007C0013" w:rsidP="00826F38">
      <w:pPr>
        <w:pStyle w:val="Ttulo1"/>
        <w:spacing w:after="240"/>
        <w:jc w:val="center"/>
        <w:rPr>
          <w:b/>
          <w:color w:val="000000" w:themeColor="text1"/>
        </w:rPr>
      </w:pPr>
      <w:bookmarkStart w:id="7" w:name="_Toc52461027"/>
      <w:bookmarkStart w:id="8" w:name="_Toc52461313"/>
      <w:bookmarkStart w:id="9" w:name="_Toc52563273"/>
      <w:r w:rsidRPr="003F3783">
        <w:rPr>
          <w:b/>
          <w:color w:val="000000" w:themeColor="text1"/>
        </w:rPr>
        <w:t>CONSIDERANDO</w:t>
      </w:r>
      <w:bookmarkEnd w:id="5"/>
      <w:bookmarkEnd w:id="6"/>
      <w:bookmarkEnd w:id="7"/>
      <w:bookmarkEnd w:id="8"/>
      <w:bookmarkEnd w:id="9"/>
    </w:p>
    <w:p w14:paraId="435CF9A4" w14:textId="77777777" w:rsidR="00FC1DA7" w:rsidRPr="003F3783" w:rsidRDefault="00FC1DA7" w:rsidP="00FC1DA7">
      <w:pPr>
        <w:rPr>
          <w:color w:val="000000" w:themeColor="text1"/>
          <w:lang w:val="es-MX" w:eastAsia="en-US"/>
        </w:rPr>
      </w:pPr>
    </w:p>
    <w:p w14:paraId="629A5BE2" w14:textId="56C3E7D5" w:rsidR="007C0013" w:rsidRPr="003F3783" w:rsidRDefault="007C0013" w:rsidP="00EF014A">
      <w:pPr>
        <w:pStyle w:val="Ttulo2"/>
        <w:rPr>
          <w:rFonts w:ascii="Palatino Linotype" w:hAnsi="Palatino Linotype"/>
          <w:b/>
          <w:color w:val="000000" w:themeColor="text1"/>
          <w:sz w:val="24"/>
        </w:rPr>
      </w:pPr>
      <w:bookmarkStart w:id="10" w:name="_Toc461555890"/>
      <w:bookmarkStart w:id="11" w:name="_Toc466371859"/>
      <w:bookmarkStart w:id="12" w:name="_Toc52461028"/>
      <w:bookmarkStart w:id="13" w:name="_Toc52461314"/>
      <w:bookmarkStart w:id="14" w:name="_Toc52563274"/>
      <w:r w:rsidRPr="003F3783">
        <w:rPr>
          <w:rFonts w:ascii="Palatino Linotype" w:hAnsi="Palatino Linotype"/>
          <w:b/>
          <w:color w:val="000000" w:themeColor="text1"/>
          <w:sz w:val="24"/>
        </w:rPr>
        <w:t>PRIMERO. De la competencia</w:t>
      </w:r>
      <w:bookmarkEnd w:id="10"/>
      <w:bookmarkEnd w:id="11"/>
      <w:bookmarkEnd w:id="12"/>
      <w:bookmarkEnd w:id="13"/>
      <w:bookmarkEnd w:id="14"/>
    </w:p>
    <w:p w14:paraId="60FBD8C7" w14:textId="77777777" w:rsidR="00FC1DA7" w:rsidRPr="003F3783" w:rsidRDefault="00FC1DA7" w:rsidP="00FC1DA7">
      <w:pPr>
        <w:rPr>
          <w:rFonts w:ascii="Palatino Linotype" w:hAnsi="Palatino Linotype"/>
          <w:color w:val="000000" w:themeColor="text1"/>
          <w:lang w:val="es-MX" w:eastAsia="en-US"/>
        </w:rPr>
      </w:pPr>
    </w:p>
    <w:p w14:paraId="0BF52B18" w14:textId="0FF625F8" w:rsidR="005A228F" w:rsidRPr="003F3783"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3F378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3F3783">
        <w:rPr>
          <w:rFonts w:ascii="Palatino Linotype" w:eastAsia="Calibri" w:hAnsi="Palatino Linotype" w:cs="Times New Roman"/>
          <w:color w:val="000000" w:themeColor="text1"/>
          <w:lang w:val="es-ES"/>
        </w:rPr>
        <w:t xml:space="preserve">etente para conocer y resolver </w:t>
      </w:r>
      <w:r w:rsidRPr="003F3783">
        <w:rPr>
          <w:rFonts w:ascii="Palatino Linotype" w:eastAsia="Calibri" w:hAnsi="Palatino Linotype" w:cs="Times New Roman"/>
          <w:color w:val="000000" w:themeColor="text1"/>
          <w:lang w:val="es-ES"/>
        </w:rPr>
        <w:t xml:space="preserve">el presente recurso de conformidad con el artículo: 6, apartado A, fracción IV de la </w:t>
      </w:r>
      <w:r w:rsidRPr="003F3783">
        <w:rPr>
          <w:rFonts w:ascii="Palatino Linotype" w:eastAsia="Calibri" w:hAnsi="Palatino Linotype" w:cs="Times New Roman"/>
          <w:b/>
          <w:color w:val="000000" w:themeColor="text1"/>
          <w:lang w:val="es-ES"/>
        </w:rPr>
        <w:t>Constitución Política de los Estados Unidos Mexicanos</w:t>
      </w:r>
      <w:r w:rsidRPr="003F3783">
        <w:rPr>
          <w:rFonts w:ascii="Palatino Linotype" w:eastAsia="Calibri" w:hAnsi="Palatino Linotype" w:cs="Times New Roman"/>
          <w:color w:val="000000" w:themeColor="text1"/>
          <w:lang w:val="es-ES"/>
        </w:rPr>
        <w:t>; 5, párrafos vigésimo segundo</w:t>
      </w:r>
      <w:r w:rsidR="004F785F" w:rsidRPr="003F3783">
        <w:rPr>
          <w:rFonts w:ascii="Palatino Linotype" w:eastAsia="Calibri" w:hAnsi="Palatino Linotype" w:cs="Times New Roman"/>
          <w:color w:val="000000" w:themeColor="text1"/>
          <w:lang w:val="es-ES"/>
        </w:rPr>
        <w:t>, vigésimo tercero y vigésimo cuarto,</w:t>
      </w:r>
      <w:r w:rsidRPr="003F3783">
        <w:rPr>
          <w:rFonts w:ascii="Palatino Linotype" w:eastAsia="Calibri" w:hAnsi="Palatino Linotype" w:cs="Times New Roman"/>
          <w:color w:val="000000" w:themeColor="text1"/>
          <w:lang w:val="es-ES"/>
        </w:rPr>
        <w:t xml:space="preserve"> fracciones IV y V</w:t>
      </w:r>
      <w:r w:rsidR="004F785F" w:rsidRPr="003F3783">
        <w:rPr>
          <w:rFonts w:ascii="Palatino Linotype" w:eastAsia="Calibri" w:hAnsi="Palatino Linotype" w:cs="Times New Roman"/>
          <w:color w:val="000000" w:themeColor="text1"/>
          <w:lang w:val="es-ES"/>
        </w:rPr>
        <w:t>,</w:t>
      </w:r>
      <w:r w:rsidRPr="003F3783">
        <w:rPr>
          <w:rFonts w:ascii="Palatino Linotype" w:eastAsia="Calibri" w:hAnsi="Palatino Linotype" w:cs="Times New Roman"/>
          <w:color w:val="000000" w:themeColor="text1"/>
          <w:lang w:val="es-ES"/>
        </w:rPr>
        <w:t xml:space="preserve"> de la </w:t>
      </w:r>
      <w:r w:rsidRPr="003F3783">
        <w:rPr>
          <w:rFonts w:ascii="Palatino Linotype" w:eastAsia="Calibri" w:hAnsi="Palatino Linotype" w:cs="Times New Roman"/>
          <w:b/>
          <w:color w:val="000000" w:themeColor="text1"/>
          <w:lang w:val="es-ES"/>
        </w:rPr>
        <w:t>Constitución Política del Estado Libre y Soberano de México</w:t>
      </w:r>
      <w:r w:rsidRPr="003F378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F3783">
        <w:rPr>
          <w:rFonts w:ascii="Palatino Linotype" w:eastAsia="Calibri" w:hAnsi="Palatino Linotype" w:cs="Arial"/>
          <w:color w:val="000000" w:themeColor="text1"/>
          <w:lang w:val="es-ES"/>
        </w:rPr>
        <w:t xml:space="preserve">de la </w:t>
      </w:r>
      <w:r w:rsidRPr="003F3783">
        <w:rPr>
          <w:rFonts w:ascii="Palatino Linotype" w:eastAsia="Calibri" w:hAnsi="Palatino Linotype" w:cs="Arial"/>
          <w:b/>
          <w:color w:val="000000" w:themeColor="text1"/>
          <w:lang w:val="es-ES"/>
        </w:rPr>
        <w:t>Ley de Transparencia y Acceso a la Información Pública del Estado de México y Municipios</w:t>
      </w:r>
      <w:r w:rsidRPr="003F3783">
        <w:rPr>
          <w:rFonts w:ascii="Palatino Linotype" w:eastAsia="Calibri" w:hAnsi="Palatino Linotype" w:cs="Arial"/>
          <w:color w:val="000000" w:themeColor="text1"/>
          <w:lang w:val="es-ES"/>
        </w:rPr>
        <w:t xml:space="preserve">; y 10, 7, 9 fracciones I y XXIV, y 11 del </w:t>
      </w:r>
      <w:r w:rsidRPr="003F378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3F3783"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F3783" w:rsidRDefault="007C0013" w:rsidP="00C6440A">
      <w:pPr>
        <w:pStyle w:val="Ttulo2"/>
        <w:tabs>
          <w:tab w:val="left" w:pos="426"/>
        </w:tabs>
        <w:rPr>
          <w:rFonts w:ascii="Palatino Linotype" w:hAnsi="Palatino Linotype"/>
          <w:b/>
          <w:color w:val="000000" w:themeColor="text1"/>
          <w:sz w:val="24"/>
        </w:rPr>
      </w:pPr>
      <w:bookmarkStart w:id="15" w:name="_Toc461555891"/>
      <w:bookmarkStart w:id="16" w:name="_Toc466371860"/>
      <w:bookmarkStart w:id="17" w:name="_Toc52461029"/>
      <w:bookmarkStart w:id="18" w:name="_Toc52461315"/>
      <w:bookmarkStart w:id="19" w:name="_Toc52563275"/>
      <w:r w:rsidRPr="003F3783">
        <w:rPr>
          <w:rFonts w:ascii="Palatino Linotype" w:hAnsi="Palatino Linotype"/>
          <w:b/>
          <w:color w:val="000000" w:themeColor="text1"/>
          <w:sz w:val="24"/>
        </w:rPr>
        <w:t>SEGUNDO. De la oportunidad y proced</w:t>
      </w:r>
      <w:r w:rsidR="00F35C44" w:rsidRPr="003F3783">
        <w:rPr>
          <w:rFonts w:ascii="Palatino Linotype" w:hAnsi="Palatino Linotype"/>
          <w:b/>
          <w:color w:val="000000" w:themeColor="text1"/>
          <w:sz w:val="24"/>
        </w:rPr>
        <w:t>encia</w:t>
      </w:r>
      <w:r w:rsidRPr="003F3783">
        <w:rPr>
          <w:rFonts w:ascii="Palatino Linotype" w:hAnsi="Palatino Linotype"/>
          <w:b/>
          <w:color w:val="000000" w:themeColor="text1"/>
          <w:sz w:val="24"/>
        </w:rPr>
        <w:t>.</w:t>
      </w:r>
      <w:bookmarkEnd w:id="15"/>
      <w:bookmarkEnd w:id="16"/>
      <w:bookmarkEnd w:id="17"/>
      <w:bookmarkEnd w:id="18"/>
      <w:bookmarkEnd w:id="19"/>
    </w:p>
    <w:p w14:paraId="18E22450" w14:textId="77777777" w:rsidR="00C6440A" w:rsidRPr="003F3783" w:rsidRDefault="00C6440A" w:rsidP="00C6440A">
      <w:pPr>
        <w:rPr>
          <w:color w:val="000000" w:themeColor="text1"/>
          <w:lang w:val="es-MX" w:eastAsia="en-US"/>
        </w:rPr>
      </w:pPr>
    </w:p>
    <w:p w14:paraId="55EDB810" w14:textId="15C7BE91" w:rsidR="009B6EDF" w:rsidRPr="003F3783" w:rsidRDefault="003E6D0F" w:rsidP="003A484B">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3F3783">
        <w:rPr>
          <w:rFonts w:ascii="Palatino Linotype" w:eastAsia="Calibri" w:hAnsi="Palatino Linotype" w:cs="Arial"/>
          <w:color w:val="000000" w:themeColor="text1"/>
        </w:rPr>
        <w:t xml:space="preserve">El </w:t>
      </w:r>
      <w:r w:rsidR="00B855AA" w:rsidRPr="003F3783">
        <w:rPr>
          <w:rFonts w:ascii="Palatino Linotype" w:eastAsia="Calibri" w:hAnsi="Palatino Linotype" w:cs="Arial"/>
        </w:rPr>
        <w:t xml:space="preserve">medio de impugnación fue presentado a través del </w:t>
      </w:r>
      <w:r w:rsidR="00B855AA" w:rsidRPr="003F3783">
        <w:rPr>
          <w:rFonts w:ascii="Palatino Linotype" w:eastAsia="Calibri" w:hAnsi="Palatino Linotype" w:cs="Arial"/>
          <w:b/>
        </w:rPr>
        <w:t>SAIMEX,</w:t>
      </w:r>
      <w:r w:rsidR="00B855AA" w:rsidRPr="003F3783">
        <w:rPr>
          <w:rFonts w:ascii="Palatino Linotype" w:eastAsia="Calibri" w:hAnsi="Palatino Linotype" w:cs="Arial"/>
        </w:rPr>
        <w:t xml:space="preserve"> en el formato previamente aprobado para tal efecto y dentro del plazo legal de quince días hábiles otorgados; siendo así que el </w:t>
      </w:r>
      <w:r w:rsidR="00B855AA" w:rsidRPr="003F3783">
        <w:rPr>
          <w:rFonts w:ascii="Palatino Linotype" w:eastAsia="Calibri" w:hAnsi="Palatino Linotype" w:cs="Arial"/>
          <w:b/>
        </w:rPr>
        <w:t>SUJETO OBLIGADO</w:t>
      </w:r>
      <w:r w:rsidR="00B855AA" w:rsidRPr="003F3783">
        <w:rPr>
          <w:rFonts w:ascii="Palatino Linotype" w:eastAsia="Calibri" w:hAnsi="Palatino Linotype" w:cs="Arial"/>
        </w:rPr>
        <w:t xml:space="preserve"> entregó respuesta el </w:t>
      </w:r>
      <w:r w:rsidR="00521B2C" w:rsidRPr="003F3783">
        <w:rPr>
          <w:rFonts w:ascii="Palatino Linotype" w:eastAsia="Calibri" w:hAnsi="Palatino Linotype" w:cs="Arial"/>
        </w:rPr>
        <w:t>die</w:t>
      </w:r>
      <w:r w:rsidR="00F36489" w:rsidRPr="003F3783">
        <w:rPr>
          <w:rFonts w:ascii="Palatino Linotype" w:eastAsia="Calibri" w:hAnsi="Palatino Linotype" w:cs="Arial"/>
        </w:rPr>
        <w:t xml:space="preserve">cinueve </w:t>
      </w:r>
      <w:r w:rsidR="00B855AA" w:rsidRPr="003F3783">
        <w:rPr>
          <w:rFonts w:ascii="Palatino Linotype" w:eastAsia="Calibri" w:hAnsi="Palatino Linotype" w:cs="Arial"/>
        </w:rPr>
        <w:lastRenderedPageBreak/>
        <w:t>(</w:t>
      </w:r>
      <w:r w:rsidR="00521B2C" w:rsidRPr="003F3783">
        <w:rPr>
          <w:rFonts w:ascii="Palatino Linotype" w:eastAsia="Calibri" w:hAnsi="Palatino Linotype" w:cs="Arial"/>
        </w:rPr>
        <w:t>1</w:t>
      </w:r>
      <w:r w:rsidR="00F36489" w:rsidRPr="003F3783">
        <w:rPr>
          <w:rFonts w:ascii="Palatino Linotype" w:eastAsia="Calibri" w:hAnsi="Palatino Linotype" w:cs="Arial"/>
        </w:rPr>
        <w:t>9</w:t>
      </w:r>
      <w:r w:rsidR="00B855AA" w:rsidRPr="003F3783">
        <w:rPr>
          <w:rFonts w:ascii="Palatino Linotype" w:eastAsia="Calibri" w:hAnsi="Palatino Linotype" w:cs="Arial"/>
        </w:rPr>
        <w:t xml:space="preserve">) de </w:t>
      </w:r>
      <w:r w:rsidR="00F36489" w:rsidRPr="003F3783">
        <w:rPr>
          <w:rFonts w:ascii="Palatino Linotype" w:eastAsia="Calibri" w:hAnsi="Palatino Linotype" w:cs="Arial"/>
        </w:rPr>
        <w:t>mayo</w:t>
      </w:r>
      <w:r w:rsidR="00B855AA" w:rsidRPr="003F3783">
        <w:rPr>
          <w:rFonts w:ascii="Palatino Linotype" w:eastAsia="Calibri" w:hAnsi="Palatino Linotype" w:cs="Arial"/>
        </w:rPr>
        <w:t xml:space="preserve"> de dos mil </w:t>
      </w:r>
      <w:r w:rsidR="00B855AA" w:rsidRPr="003F3783">
        <w:rPr>
          <w:rFonts w:ascii="Palatino Linotype" w:eastAsia="Calibri" w:hAnsi="Palatino Linotype" w:cs="Arial"/>
          <w:lang w:val="es-ES"/>
        </w:rPr>
        <w:t>veinte</w:t>
      </w:r>
      <w:r w:rsidR="00B855AA" w:rsidRPr="003F3783">
        <w:rPr>
          <w:rFonts w:ascii="Palatino Linotype" w:eastAsia="Calibri" w:hAnsi="Palatino Linotype" w:cs="Arial"/>
        </w:rPr>
        <w:t xml:space="preserve">, </w:t>
      </w:r>
      <w:r w:rsidR="00B855AA" w:rsidRPr="003F3783">
        <w:rPr>
          <w:rFonts w:ascii="Palatino Linotype" w:hAnsi="Palatino Linotype" w:cs="Arial"/>
        </w:rPr>
        <w:t xml:space="preserve">de tal forma que el plazo para interponer el recurso de revisión transcurrió del </w:t>
      </w:r>
      <w:r w:rsidR="00F36489" w:rsidRPr="003F3783">
        <w:rPr>
          <w:rFonts w:ascii="Palatino Linotype" w:hAnsi="Palatino Linotype" w:cs="Arial"/>
        </w:rPr>
        <w:t>veinte</w:t>
      </w:r>
      <w:r w:rsidR="00826F38" w:rsidRPr="003F3783">
        <w:rPr>
          <w:rFonts w:ascii="Palatino Linotype" w:hAnsi="Palatino Linotype" w:cs="Arial"/>
        </w:rPr>
        <w:t xml:space="preserve"> (</w:t>
      </w:r>
      <w:r w:rsidR="00F36489" w:rsidRPr="003F3783">
        <w:rPr>
          <w:rFonts w:ascii="Palatino Linotype" w:hAnsi="Palatino Linotype" w:cs="Arial"/>
        </w:rPr>
        <w:t>20</w:t>
      </w:r>
      <w:r w:rsidR="00826F38" w:rsidRPr="003F3783">
        <w:rPr>
          <w:rFonts w:ascii="Palatino Linotype" w:hAnsi="Palatino Linotype" w:cs="Arial"/>
        </w:rPr>
        <w:t>)</w:t>
      </w:r>
      <w:r w:rsidR="00521B2C" w:rsidRPr="003F3783">
        <w:rPr>
          <w:rFonts w:ascii="Palatino Linotype" w:hAnsi="Palatino Linotype" w:cs="Arial"/>
        </w:rPr>
        <w:t xml:space="preserve"> de </w:t>
      </w:r>
      <w:r w:rsidR="00F36489" w:rsidRPr="003F3783">
        <w:rPr>
          <w:rFonts w:ascii="Palatino Linotype" w:hAnsi="Palatino Linotype" w:cs="Arial"/>
        </w:rPr>
        <w:t>mayo</w:t>
      </w:r>
      <w:r w:rsidR="00521B2C" w:rsidRPr="003F3783">
        <w:rPr>
          <w:rFonts w:ascii="Palatino Linotype" w:hAnsi="Palatino Linotype" w:cs="Arial"/>
        </w:rPr>
        <w:t xml:space="preserve"> al </w:t>
      </w:r>
      <w:r w:rsidR="00F36489" w:rsidRPr="003F3783">
        <w:rPr>
          <w:rFonts w:ascii="Palatino Linotype" w:hAnsi="Palatino Linotype" w:cs="Arial"/>
        </w:rPr>
        <w:t>veintiuno</w:t>
      </w:r>
      <w:r w:rsidR="00826F38" w:rsidRPr="003F3783">
        <w:rPr>
          <w:rFonts w:ascii="Palatino Linotype" w:hAnsi="Palatino Linotype" w:cs="Arial"/>
        </w:rPr>
        <w:t xml:space="preserve"> (</w:t>
      </w:r>
      <w:r w:rsidR="00F36489" w:rsidRPr="003F3783">
        <w:rPr>
          <w:rFonts w:ascii="Palatino Linotype" w:hAnsi="Palatino Linotype" w:cs="Arial"/>
        </w:rPr>
        <w:t>21</w:t>
      </w:r>
      <w:r w:rsidR="00826F38" w:rsidRPr="003F3783">
        <w:rPr>
          <w:rFonts w:ascii="Palatino Linotype" w:hAnsi="Palatino Linotype" w:cs="Arial"/>
        </w:rPr>
        <w:t>)</w:t>
      </w:r>
      <w:r w:rsidR="00B855AA" w:rsidRPr="003F3783">
        <w:rPr>
          <w:rFonts w:ascii="Palatino Linotype" w:eastAsia="Calibri" w:hAnsi="Palatino Linotype" w:cs="Arial"/>
        </w:rPr>
        <w:t xml:space="preserve"> </w:t>
      </w:r>
      <w:r w:rsidR="00B855AA" w:rsidRPr="003F3783">
        <w:rPr>
          <w:rFonts w:ascii="Palatino Linotype" w:hAnsi="Palatino Linotype" w:cs="Arial"/>
        </w:rPr>
        <w:t xml:space="preserve">de agosto de dos mil veinte, </w:t>
      </w:r>
      <w:r w:rsidR="009B6EDF" w:rsidRPr="003F3783">
        <w:rPr>
          <w:rFonts w:ascii="Palatino Linotype" w:hAnsi="Palatino Linotype" w:cs="Arial"/>
        </w:rPr>
        <w:t xml:space="preserve">por lo que si presentó su inconformidad el día </w:t>
      </w:r>
      <w:r w:rsidR="00F36489" w:rsidRPr="003F3783">
        <w:rPr>
          <w:rFonts w:ascii="Palatino Linotype" w:eastAsia="Calibri" w:hAnsi="Palatino Linotype" w:cs="Arial"/>
        </w:rPr>
        <w:t>ocho</w:t>
      </w:r>
      <w:r w:rsidR="009B6EDF" w:rsidRPr="003F3783">
        <w:rPr>
          <w:rFonts w:ascii="Palatino Linotype" w:eastAsia="Calibri" w:hAnsi="Palatino Linotype" w:cs="Arial"/>
        </w:rPr>
        <w:t xml:space="preserve"> </w:t>
      </w:r>
      <w:r w:rsidR="009B6EDF" w:rsidRPr="003F3783">
        <w:rPr>
          <w:rFonts w:ascii="Palatino Linotype" w:eastAsia="Calibri" w:hAnsi="Palatino Linotype" w:cs="Arial"/>
          <w:lang w:val="es-AR"/>
        </w:rPr>
        <w:t>(0</w:t>
      </w:r>
      <w:r w:rsidR="00F36489" w:rsidRPr="003F3783">
        <w:rPr>
          <w:rFonts w:ascii="Palatino Linotype" w:eastAsia="Calibri" w:hAnsi="Palatino Linotype" w:cs="Arial"/>
          <w:lang w:val="es-AR"/>
        </w:rPr>
        <w:t>8</w:t>
      </w:r>
      <w:r w:rsidR="009B6EDF" w:rsidRPr="003F3783">
        <w:rPr>
          <w:rFonts w:ascii="Palatino Linotype" w:hAnsi="Palatino Linotype"/>
          <w:i/>
        </w:rPr>
        <w:t xml:space="preserve">) </w:t>
      </w:r>
      <w:r w:rsidR="009B6EDF" w:rsidRPr="003F3783">
        <w:rPr>
          <w:rFonts w:ascii="Palatino Linotype" w:hAnsi="Palatino Linotype"/>
        </w:rPr>
        <w:t xml:space="preserve">de </w:t>
      </w:r>
      <w:r w:rsidR="00F36489" w:rsidRPr="003F3783">
        <w:rPr>
          <w:rFonts w:ascii="Palatino Linotype" w:hAnsi="Palatino Linotype"/>
        </w:rPr>
        <w:t>junio</w:t>
      </w:r>
      <w:r w:rsidR="009B6EDF" w:rsidRPr="003F3783">
        <w:rPr>
          <w:rFonts w:ascii="Palatino Linotype" w:hAnsi="Palatino Linotype"/>
        </w:rPr>
        <w:t xml:space="preserve"> de dos mil veinte</w:t>
      </w:r>
      <w:r w:rsidR="009B6EDF" w:rsidRPr="003F3783">
        <w:rPr>
          <w:rFonts w:ascii="Palatino Linotype" w:hAnsi="Palatino Linotype" w:cs="Arial"/>
        </w:rPr>
        <w:t xml:space="preserve"> ,</w:t>
      </w:r>
      <w:r w:rsidR="009B6EDF" w:rsidRPr="003F3783">
        <w:rPr>
          <w:rFonts w:ascii="Palatino Linotype" w:hAnsi="Palatino Linotype" w:cs="Arial"/>
          <w:color w:val="000000" w:themeColor="text1"/>
        </w:rPr>
        <w:t xml:space="preserve"> éste se encuentra dentro de los márgenes temporales previstos en el artículo 178 de la </w:t>
      </w:r>
      <w:r w:rsidR="009B6EDF" w:rsidRPr="003F3783">
        <w:rPr>
          <w:rFonts w:ascii="Palatino Linotype" w:hAnsi="Palatino Linotype" w:cs="Arial"/>
          <w:b/>
          <w:color w:val="000000" w:themeColor="text1"/>
        </w:rPr>
        <w:t>Ley de Transparencia y Acceso a la Información Pública del Estado de México y Municipios.</w:t>
      </w:r>
    </w:p>
    <w:p w14:paraId="5B439735" w14:textId="77777777" w:rsidR="003A484B" w:rsidRPr="003F3783" w:rsidRDefault="003A484B" w:rsidP="003A484B">
      <w:pPr>
        <w:pStyle w:val="Prrafodelista"/>
        <w:tabs>
          <w:tab w:val="left" w:pos="567"/>
        </w:tabs>
        <w:spacing w:before="240" w:after="240" w:line="360" w:lineRule="auto"/>
        <w:ind w:left="0"/>
        <w:jc w:val="both"/>
        <w:rPr>
          <w:rFonts w:ascii="Palatino Linotype" w:hAnsi="Palatino Linotype"/>
          <w:b/>
          <w:color w:val="000000" w:themeColor="text1"/>
        </w:rPr>
      </w:pPr>
    </w:p>
    <w:p w14:paraId="28A609CA" w14:textId="77777777" w:rsidR="003A484B" w:rsidRPr="003F3783" w:rsidRDefault="003A484B" w:rsidP="003A484B">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3F3783">
        <w:rPr>
          <w:rFonts w:ascii="Palatino Linotype" w:eastAsia="Calibri" w:hAnsi="Palatino Linotype" w:cs="Arial"/>
          <w:color w:val="000000" w:themeColor="text1"/>
        </w:rPr>
        <w:t xml:space="preserve">Por otro lado, el escrito contiene las formalidades previstas por el artículo 180 último párrafo de la </w:t>
      </w:r>
      <w:r w:rsidRPr="003F3783">
        <w:rPr>
          <w:rFonts w:ascii="Palatino Linotype" w:hAnsi="Palatino Linotype" w:cs="Arial"/>
          <w:b/>
          <w:color w:val="000000" w:themeColor="text1"/>
        </w:rPr>
        <w:t>Ley de Transparencia y Acceso a la Información Pública del Estado de México y Municipios</w:t>
      </w:r>
      <w:r w:rsidRPr="003F3783">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13AC7C73" w14:textId="0211124E" w:rsidR="00AD76A1" w:rsidRPr="003F3783" w:rsidRDefault="00AD76A1" w:rsidP="00540208">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0993C8F4" w:rsidR="00540208" w:rsidRPr="003F3783" w:rsidRDefault="00C50A2B" w:rsidP="00540208">
      <w:pPr>
        <w:pStyle w:val="Ttulo2"/>
        <w:rPr>
          <w:rFonts w:ascii="Palatino Linotype" w:hAnsi="Palatino Linotype"/>
          <w:b/>
          <w:color w:val="000000" w:themeColor="text1"/>
          <w:sz w:val="24"/>
          <w:szCs w:val="24"/>
        </w:rPr>
      </w:pPr>
      <w:bookmarkStart w:id="20" w:name="_Toc500360400"/>
      <w:bookmarkStart w:id="21" w:name="_Toc500786931"/>
      <w:bookmarkStart w:id="22" w:name="_Toc52461030"/>
      <w:bookmarkStart w:id="23" w:name="_Toc52461316"/>
      <w:bookmarkStart w:id="24" w:name="_Toc52563276"/>
      <w:bookmarkStart w:id="25" w:name="_Toc495427545"/>
      <w:bookmarkStart w:id="26" w:name="_Toc499296549"/>
      <w:bookmarkStart w:id="27" w:name="_Toc459174366"/>
      <w:bookmarkStart w:id="28" w:name="_Toc459659884"/>
      <w:bookmarkStart w:id="29" w:name="_Toc461687280"/>
      <w:bookmarkStart w:id="30" w:name="_Toc462771051"/>
      <w:bookmarkStart w:id="31" w:name="_Toc464139201"/>
      <w:r w:rsidRPr="003F3783">
        <w:rPr>
          <w:rFonts w:ascii="Palatino Linotype" w:hAnsi="Palatino Linotype"/>
          <w:b/>
          <w:color w:val="000000" w:themeColor="text1"/>
          <w:sz w:val="24"/>
          <w:szCs w:val="24"/>
        </w:rPr>
        <w:t>TERCERO. De</w:t>
      </w:r>
      <w:r w:rsidR="00AD76A1" w:rsidRPr="003F3783">
        <w:rPr>
          <w:rFonts w:ascii="Palatino Linotype" w:hAnsi="Palatino Linotype"/>
          <w:b/>
          <w:color w:val="000000" w:themeColor="text1"/>
          <w:sz w:val="24"/>
          <w:szCs w:val="24"/>
        </w:rPr>
        <w:t xml:space="preserve">l planteamiento de la </w:t>
      </w:r>
      <w:r w:rsidR="00AD76A1" w:rsidRPr="003F3783">
        <w:rPr>
          <w:rFonts w:ascii="Palatino Linotype" w:hAnsi="Palatino Linotype"/>
          <w:b/>
          <w:i/>
          <w:color w:val="000000" w:themeColor="text1"/>
          <w:sz w:val="24"/>
          <w:szCs w:val="24"/>
        </w:rPr>
        <w:t>Litis</w:t>
      </w:r>
      <w:r w:rsidRPr="003F3783">
        <w:rPr>
          <w:rFonts w:ascii="Palatino Linotype" w:hAnsi="Palatino Linotype"/>
          <w:b/>
          <w:color w:val="000000" w:themeColor="text1"/>
          <w:sz w:val="24"/>
          <w:szCs w:val="24"/>
        </w:rPr>
        <w:t>.</w:t>
      </w:r>
      <w:bookmarkEnd w:id="20"/>
      <w:bookmarkEnd w:id="21"/>
      <w:bookmarkEnd w:id="22"/>
      <w:bookmarkEnd w:id="23"/>
      <w:bookmarkEnd w:id="24"/>
    </w:p>
    <w:p w14:paraId="4231B8D5" w14:textId="77777777" w:rsidR="00540208" w:rsidRPr="003F3783" w:rsidRDefault="00540208" w:rsidP="00540208">
      <w:pPr>
        <w:rPr>
          <w:rFonts w:ascii="Palatino Linotype" w:hAnsi="Palatino Linotype"/>
          <w:color w:val="000000" w:themeColor="text1"/>
          <w:lang w:val="es-MX" w:eastAsia="en-US"/>
        </w:rPr>
      </w:pPr>
    </w:p>
    <w:bookmarkEnd w:id="25"/>
    <w:bookmarkEnd w:id="26"/>
    <w:p w14:paraId="2DF4E4C1" w14:textId="08F97522" w:rsidR="001A032D" w:rsidRPr="003F3783" w:rsidRDefault="00C714CF" w:rsidP="002A10D5">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3F3783">
        <w:rPr>
          <w:rFonts w:ascii="Palatino Linotype" w:hAnsi="Palatino Linotype" w:cs="Arial"/>
          <w:color w:val="000000" w:themeColor="text1"/>
        </w:rPr>
        <w:t>Se requiri</w:t>
      </w:r>
      <w:r w:rsidR="003A484B" w:rsidRPr="003F3783">
        <w:rPr>
          <w:rFonts w:ascii="Palatino Linotype" w:hAnsi="Palatino Linotype" w:cs="Arial"/>
          <w:color w:val="000000" w:themeColor="text1"/>
        </w:rPr>
        <w:t>eron las todos los contratos de prestación de servicios profesionales, las facturas (CFDI) y los pagos realizados a los prestadores de dichos servicios</w:t>
      </w:r>
      <w:r w:rsidRPr="003F3783">
        <w:rPr>
          <w:rFonts w:ascii="Palatino Linotype" w:hAnsi="Palatino Linotype" w:cs="Arial"/>
          <w:color w:val="000000" w:themeColor="text1"/>
        </w:rPr>
        <w:t>, emitida por la Directora de Administración</w:t>
      </w:r>
      <w:r w:rsidR="00826F38" w:rsidRPr="003F3783">
        <w:rPr>
          <w:rFonts w:ascii="Palatino Linotype" w:hAnsi="Palatino Linotype" w:cs="Arial"/>
          <w:color w:val="000000" w:themeColor="text1"/>
        </w:rPr>
        <w:t xml:space="preserve">. El </w:t>
      </w:r>
      <w:r w:rsidR="00826F38" w:rsidRPr="003F3783">
        <w:rPr>
          <w:rFonts w:ascii="Palatino Linotype" w:hAnsi="Palatino Linotype" w:cs="Arial"/>
          <w:b/>
          <w:bCs/>
          <w:color w:val="000000" w:themeColor="text1"/>
        </w:rPr>
        <w:t>SUJETO OBLIGADO</w:t>
      </w:r>
      <w:r w:rsidR="00826F38" w:rsidRPr="003F3783">
        <w:rPr>
          <w:rFonts w:ascii="Palatino Linotype" w:hAnsi="Palatino Linotype" w:cs="Arial"/>
          <w:color w:val="000000" w:themeColor="text1"/>
        </w:rPr>
        <w:t xml:space="preserve"> </w:t>
      </w:r>
      <w:r w:rsidR="00E80359" w:rsidRPr="003F3783">
        <w:rPr>
          <w:rFonts w:ascii="Palatino Linotype" w:hAnsi="Palatino Linotype" w:cs="Arial"/>
          <w:color w:val="000000" w:themeColor="text1"/>
        </w:rPr>
        <w:t xml:space="preserve">no </w:t>
      </w:r>
      <w:r w:rsidR="00826F38" w:rsidRPr="003F3783">
        <w:rPr>
          <w:rFonts w:ascii="Palatino Linotype" w:hAnsi="Palatino Linotype" w:cs="Arial"/>
          <w:color w:val="000000" w:themeColor="text1"/>
        </w:rPr>
        <w:t xml:space="preserve">entregó </w:t>
      </w:r>
      <w:r w:rsidR="00E80359" w:rsidRPr="003F3783">
        <w:rPr>
          <w:rFonts w:ascii="Palatino Linotype" w:hAnsi="Palatino Linotype" w:cs="Arial"/>
          <w:color w:val="000000" w:themeColor="text1"/>
        </w:rPr>
        <w:t>la información por contener en ella datos personales susceptibles de ser clasificados como confidenciales</w:t>
      </w:r>
      <w:r w:rsidR="00826F38" w:rsidRPr="003F3783">
        <w:rPr>
          <w:rFonts w:ascii="Palatino Linotype" w:hAnsi="Palatino Linotype" w:cs="Arial"/>
          <w:color w:val="000000" w:themeColor="text1"/>
        </w:rPr>
        <w:t xml:space="preserve">. </w:t>
      </w:r>
      <w:r w:rsidR="00E80359" w:rsidRPr="003F3783">
        <w:rPr>
          <w:rFonts w:ascii="Palatino Linotype" w:hAnsi="Palatino Linotype"/>
          <w:color w:val="000000" w:themeColor="text1"/>
        </w:rPr>
        <w:t xml:space="preserve">En consecuencia en términos generales </w:t>
      </w:r>
      <w:r w:rsidR="00E80359" w:rsidRPr="003F3783">
        <w:rPr>
          <w:rFonts w:ascii="Palatino Linotype" w:hAnsi="Palatino Linotype" w:cs="Arial"/>
          <w:color w:val="000000" w:themeColor="text1"/>
        </w:rPr>
        <w:t xml:space="preserve">el particular </w:t>
      </w:r>
      <w:r w:rsidR="00E80359" w:rsidRPr="003F3783">
        <w:rPr>
          <w:rFonts w:ascii="Palatino Linotype" w:hAnsi="Palatino Linotype"/>
          <w:color w:val="000000" w:themeColor="text1"/>
        </w:rPr>
        <w:t>se inconformó porque se negó</w:t>
      </w:r>
      <w:r w:rsidR="00E80359" w:rsidRPr="003F3783">
        <w:rPr>
          <w:rFonts w:ascii="Palatino Linotype" w:hAnsi="Palatino Linotype" w:cs="Arial"/>
          <w:color w:val="000000" w:themeColor="text1"/>
        </w:rPr>
        <w:t xml:space="preserve"> la información solicitada y se clasificó.</w:t>
      </w:r>
    </w:p>
    <w:p w14:paraId="0F368BAC" w14:textId="77777777" w:rsidR="00C23751" w:rsidRPr="003F3783" w:rsidRDefault="00C23751" w:rsidP="00C23751">
      <w:pPr>
        <w:pStyle w:val="Prrafodelista"/>
        <w:numPr>
          <w:ilvl w:val="0"/>
          <w:numId w:val="25"/>
        </w:numPr>
        <w:spacing w:before="240" w:after="240" w:line="360" w:lineRule="auto"/>
        <w:ind w:right="49"/>
        <w:jc w:val="both"/>
        <w:rPr>
          <w:rFonts w:ascii="Palatino Linotype" w:hAnsi="Palatino Linotype"/>
        </w:rPr>
      </w:pPr>
      <w:r w:rsidRPr="003F3783">
        <w:rPr>
          <w:rFonts w:ascii="Palatino Linotype" w:eastAsia="Calibri" w:hAnsi="Palatino Linotype" w:cs="Arial"/>
        </w:rPr>
        <w:t xml:space="preserve">Cabe señalar </w:t>
      </w:r>
      <w:r w:rsidRPr="003F3783">
        <w:rPr>
          <w:rFonts w:ascii="Palatino Linotype" w:hAnsi="Palatino Linotype" w:cs="Arial"/>
        </w:rPr>
        <w:t xml:space="preserve">que </w:t>
      </w:r>
      <w:r w:rsidRPr="003F3783">
        <w:rPr>
          <w:rFonts w:ascii="Palatino Linotype" w:eastAsia="Times New Roman" w:hAnsi="Palatino Linotype" w:cs="Arial"/>
          <w:lang w:val="es-ES"/>
        </w:rPr>
        <w:t>e</w:t>
      </w:r>
      <w:r w:rsidRPr="003F3783">
        <w:rPr>
          <w:rFonts w:ascii="Palatino Linotype" w:eastAsia="Calibri" w:hAnsi="Palatino Linotype" w:cs="Arial"/>
          <w:lang w:val="es-ES"/>
        </w:rPr>
        <w:t xml:space="preserve">l </w:t>
      </w:r>
      <w:r w:rsidRPr="003F3783">
        <w:rPr>
          <w:rFonts w:ascii="Palatino Linotype" w:hAnsi="Palatino Linotype" w:cs="Arial"/>
          <w:b/>
        </w:rPr>
        <w:t>SUJETO OBLIGADO</w:t>
      </w:r>
      <w:r w:rsidRPr="003F3783">
        <w:rPr>
          <w:rFonts w:ascii="Palatino Linotype" w:hAnsi="Palatino Linotype" w:cs="Arial"/>
        </w:rPr>
        <w:t xml:space="preserve"> no rindió su Informe justificado </w:t>
      </w:r>
      <w:r w:rsidRPr="003F3783">
        <w:rPr>
          <w:rFonts w:ascii="Palatino Linotype" w:hAnsi="Palatino Linotype"/>
        </w:rPr>
        <w:t xml:space="preserve">para manifestar lo que a Derecho le asistiera y conviniera, </w:t>
      </w:r>
      <w:r w:rsidRPr="003F3783">
        <w:rPr>
          <w:rFonts w:ascii="Palatino Linotype" w:eastAsia="Times New Roman" w:hAnsi="Palatino Linotype" w:cs="Arial"/>
          <w:lang w:val="es-ES" w:eastAsia="es-MX"/>
        </w:rPr>
        <w:t xml:space="preserve">lo que es de destacar que la omisión de enviar a esta Autoridad el informe de </w:t>
      </w:r>
      <w:r w:rsidRPr="003F3783">
        <w:rPr>
          <w:rFonts w:ascii="Palatino Linotype" w:eastAsia="Times New Roman" w:hAnsi="Palatino Linotype" w:cs="Arial"/>
          <w:lang w:val="es-ES" w:eastAsia="es-MX"/>
        </w:rPr>
        <w:lastRenderedPageBreak/>
        <w:t xml:space="preserve">justificación, impide que conozcamos con mayor amplitud las razones, motivos o fundamentos de la decisión adoptada, con lo que el perjuicio se genera para la causa del </w:t>
      </w:r>
      <w:r w:rsidRPr="003F3783">
        <w:rPr>
          <w:rFonts w:ascii="Palatino Linotype" w:eastAsia="Times New Roman" w:hAnsi="Palatino Linotype" w:cs="Arial"/>
          <w:b/>
          <w:lang w:val="es-ES" w:eastAsia="es-MX"/>
        </w:rPr>
        <w:t>SUJETO OBLIGADO</w:t>
      </w:r>
      <w:r w:rsidRPr="003F3783">
        <w:rPr>
          <w:rFonts w:ascii="Palatino Linotype" w:eastAsia="Times New Roman" w:hAnsi="Palatino Linotype" w:cs="Arial"/>
          <w:lang w:val="es-ES" w:eastAsia="es-MX"/>
        </w:rPr>
        <w:t xml:space="preserve"> por su omisión, lo que sin embargo </w:t>
      </w:r>
      <w:r w:rsidRPr="003F3783">
        <w:rPr>
          <w:rFonts w:ascii="Palatino Linotype" w:eastAsia="Times New Roman" w:hAnsi="Palatino Linotype" w:cs="Arial"/>
          <w:u w:val="single"/>
          <w:lang w:val="es-ES" w:eastAsia="es-MX"/>
        </w:rPr>
        <w:t>no impide que esta Autoridad conozca y resuelva el presente recurso</w:t>
      </w:r>
      <w:r w:rsidRPr="003F3783">
        <w:rPr>
          <w:rFonts w:ascii="Palatino Linotype" w:eastAsia="Times New Roman" w:hAnsi="Palatino Linotype" w:cs="Arial"/>
          <w:lang w:val="es-ES" w:eastAsia="es-MX"/>
        </w:rPr>
        <w:t>, si consideramos lo que al respecto ha señalado la autoridad jurisdiccional al emitir el siguiente criterio:</w:t>
      </w:r>
    </w:p>
    <w:p w14:paraId="3A98F8D0" w14:textId="77777777" w:rsidR="00C23751" w:rsidRPr="003F3783" w:rsidRDefault="00C23751" w:rsidP="00C23751">
      <w:pPr>
        <w:pStyle w:val="Prrafodelista"/>
        <w:spacing w:before="240" w:after="240" w:line="360" w:lineRule="auto"/>
        <w:ind w:left="0" w:right="49"/>
        <w:jc w:val="both"/>
        <w:rPr>
          <w:rFonts w:ascii="Palatino Linotype" w:hAnsi="Palatino Linotype"/>
        </w:rPr>
      </w:pPr>
    </w:p>
    <w:p w14:paraId="198E074D" w14:textId="77777777" w:rsidR="00C23751" w:rsidRPr="003F3783" w:rsidRDefault="00C23751" w:rsidP="00C23751">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3F3783">
        <w:rPr>
          <w:rFonts w:ascii="Palatino Linotype" w:eastAsia="Times New Roman" w:hAnsi="Palatino Linotype" w:cs="Arial"/>
          <w:b/>
          <w:i/>
          <w:iCs/>
          <w:sz w:val="22"/>
          <w:szCs w:val="22"/>
          <w:lang w:val="es-ES" w:eastAsia="es-MX"/>
        </w:rPr>
        <w:t>QUEJA, RECURSO DE. LA OMISION DE RENDIR EL INFORME RESPECTIVO NO IMPIDE QUE SE RESUELVA.</w:t>
      </w:r>
      <w:r w:rsidRPr="003F3783">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5AE40D2" w14:textId="77777777" w:rsidR="00E80359" w:rsidRPr="003F3783" w:rsidRDefault="00E80359" w:rsidP="00C2375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650A8685" w:rsidR="001A032D" w:rsidRPr="003F3783" w:rsidRDefault="001A032D"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3F3783">
        <w:rPr>
          <w:rFonts w:ascii="Palatino Linotype" w:hAnsi="Palatino Linotype" w:cs="Arial"/>
          <w:color w:val="000000" w:themeColor="text1"/>
        </w:rPr>
        <w:t xml:space="preserve">En ese sentido, el agravio manifestado por </w:t>
      </w:r>
      <w:r w:rsidR="00C714CF" w:rsidRPr="003F3783">
        <w:rPr>
          <w:rFonts w:ascii="Palatino Linotype" w:hAnsi="Palatino Linotype" w:cs="Arial"/>
          <w:color w:val="000000" w:themeColor="text1"/>
        </w:rPr>
        <w:t>la</w:t>
      </w:r>
      <w:r w:rsidRPr="003F3783">
        <w:rPr>
          <w:rFonts w:ascii="Palatino Linotype" w:hAnsi="Palatino Linotype" w:cs="Arial"/>
          <w:color w:val="000000" w:themeColor="text1"/>
        </w:rPr>
        <w:t xml:space="preserve"> </w:t>
      </w:r>
      <w:r w:rsidRPr="003F3783">
        <w:rPr>
          <w:rFonts w:ascii="Palatino Linotype" w:hAnsi="Palatino Linotype" w:cs="Arial"/>
          <w:b/>
          <w:bCs/>
          <w:color w:val="000000" w:themeColor="text1"/>
        </w:rPr>
        <w:t>RECURRENTE</w:t>
      </w:r>
      <w:r w:rsidRPr="003F3783">
        <w:rPr>
          <w:rFonts w:ascii="Palatino Linotype" w:hAnsi="Palatino Linotype" w:cs="Arial"/>
          <w:color w:val="000000" w:themeColor="text1"/>
        </w:rPr>
        <w:t xml:space="preserve"> a través del recurso de revisión </w:t>
      </w:r>
      <w:r w:rsidR="007A2356" w:rsidRPr="003F3783">
        <w:rPr>
          <w:rFonts w:ascii="Palatino Linotype" w:hAnsi="Palatino Linotype" w:cs="Arial"/>
          <w:b/>
          <w:bCs/>
          <w:color w:val="000000" w:themeColor="text1"/>
        </w:rPr>
        <w:t>01943/INFOEM/IP/RR/2020</w:t>
      </w:r>
      <w:r w:rsidRPr="003F3783">
        <w:rPr>
          <w:rFonts w:ascii="Palatino Linotype" w:hAnsi="Palatino Linotype" w:cs="Arial"/>
          <w:color w:val="000000" w:themeColor="text1"/>
        </w:rPr>
        <w:t xml:space="preserve"> sugiere </w:t>
      </w:r>
      <w:r w:rsidR="00B855AA" w:rsidRPr="003F3783">
        <w:rPr>
          <w:rFonts w:ascii="Palatino Linotype" w:hAnsi="Palatino Linotype" w:cs="Arial"/>
          <w:color w:val="000000" w:themeColor="text1"/>
        </w:rPr>
        <w:t xml:space="preserve">que la respuesta proporcionada por el </w:t>
      </w:r>
      <w:r w:rsidR="00B855AA" w:rsidRPr="003F3783">
        <w:rPr>
          <w:rFonts w:ascii="Palatino Linotype" w:hAnsi="Palatino Linotype" w:cs="Arial"/>
          <w:b/>
          <w:bCs/>
          <w:color w:val="000000" w:themeColor="text1"/>
        </w:rPr>
        <w:t>SUJETO OBLIGADO</w:t>
      </w:r>
      <w:r w:rsidR="00B855AA" w:rsidRPr="003F3783">
        <w:rPr>
          <w:rFonts w:ascii="Palatino Linotype" w:hAnsi="Palatino Linotype" w:cs="Arial"/>
          <w:color w:val="000000" w:themeColor="text1"/>
        </w:rPr>
        <w:t xml:space="preserve"> no cumplió con el principio contendido </w:t>
      </w:r>
      <w:r w:rsidR="00B855AA" w:rsidRPr="003F3783">
        <w:rPr>
          <w:rFonts w:ascii="Palatino Linotype" w:hAnsi="Palatino Linotype" w:cs="Arial"/>
          <w:color w:val="000000" w:themeColor="text1"/>
        </w:rPr>
        <w:lastRenderedPageBreak/>
        <w:t xml:space="preserve">en el artículo 11 de la Ley de Transparencia y Acceso a la Información Pública del Estado de México y Municipios, el cual señala que en la generación, publicación y entrega de información se deberá garantizar que ésta </w:t>
      </w:r>
      <w:r w:rsidR="00C51671" w:rsidRPr="003F3783">
        <w:rPr>
          <w:rFonts w:ascii="Palatino Linotype" w:hAnsi="Palatino Linotype" w:cs="Arial"/>
          <w:color w:val="000000" w:themeColor="text1"/>
        </w:rPr>
        <w:t>sea</w:t>
      </w:r>
      <w:r w:rsidR="00B855AA" w:rsidRPr="003F3783">
        <w:rPr>
          <w:rFonts w:ascii="Palatino Linotype" w:hAnsi="Palatino Linotype" w:cs="Arial"/>
          <w:color w:val="000000" w:themeColor="text1"/>
        </w:rPr>
        <w:t xml:space="preserve"> </w:t>
      </w:r>
      <w:r w:rsidR="00C51671" w:rsidRPr="003F3783">
        <w:rPr>
          <w:rFonts w:ascii="Palatino Linotype" w:hAnsi="Palatino Linotype" w:cs="Arial"/>
          <w:b/>
          <w:bCs/>
          <w:color w:val="000000" w:themeColor="text1"/>
        </w:rPr>
        <w:t>sujeta a un régimen limitado de restricciones</w:t>
      </w:r>
      <w:r w:rsidR="00B855AA" w:rsidRPr="003F3783">
        <w:rPr>
          <w:rFonts w:ascii="Palatino Linotype" w:hAnsi="Palatino Linotype" w:cs="Arial"/>
          <w:color w:val="000000" w:themeColor="text1"/>
        </w:rPr>
        <w:t>.</w:t>
      </w:r>
    </w:p>
    <w:p w14:paraId="026A3A70" w14:textId="77777777" w:rsidR="00197091" w:rsidRPr="003F3783" w:rsidRDefault="00197091" w:rsidP="0019709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7E0C9FC5" w:rsidR="00AD76A1" w:rsidRPr="003F3783"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3F3783">
        <w:rPr>
          <w:rFonts w:ascii="Palatino Linotype" w:hAnsi="Palatino Linotype" w:cs="Arial"/>
          <w:color w:val="000000" w:themeColor="text1"/>
          <w:szCs w:val="23"/>
        </w:rPr>
        <w:t xml:space="preserve">Por lo anterior, la </w:t>
      </w:r>
      <w:r w:rsidRPr="003F3783">
        <w:rPr>
          <w:rFonts w:ascii="Palatino Linotype" w:hAnsi="Palatino Linotype" w:cs="Arial"/>
          <w:i/>
          <w:color w:val="000000" w:themeColor="text1"/>
          <w:szCs w:val="23"/>
        </w:rPr>
        <w:t>Litis</w:t>
      </w:r>
      <w:r w:rsidRPr="003F3783">
        <w:rPr>
          <w:rFonts w:ascii="Palatino Linotype" w:hAnsi="Palatino Linotype" w:cs="Arial"/>
          <w:color w:val="000000" w:themeColor="text1"/>
          <w:szCs w:val="23"/>
        </w:rPr>
        <w:t xml:space="preserve"> a resolver en el presente recurso se circunscribe en determinar si</w:t>
      </w:r>
      <w:r w:rsidR="002C6561" w:rsidRPr="003F3783">
        <w:rPr>
          <w:rFonts w:ascii="Palatino Linotype" w:hAnsi="Palatino Linotype" w:cs="Arial"/>
          <w:color w:val="000000" w:themeColor="text1"/>
          <w:szCs w:val="23"/>
        </w:rPr>
        <w:t xml:space="preserve"> el </w:t>
      </w:r>
      <w:r w:rsidR="002C6561" w:rsidRPr="003F3783">
        <w:rPr>
          <w:rFonts w:ascii="Palatino Linotype" w:hAnsi="Palatino Linotype" w:cs="Arial"/>
          <w:b/>
          <w:bCs/>
          <w:color w:val="000000" w:themeColor="text1"/>
          <w:szCs w:val="23"/>
        </w:rPr>
        <w:t>SUJETO OBLIGADO</w:t>
      </w:r>
      <w:r w:rsidR="002C6561" w:rsidRPr="003F3783">
        <w:rPr>
          <w:rFonts w:ascii="Palatino Linotype" w:hAnsi="Palatino Linotype" w:cs="Arial"/>
          <w:color w:val="000000" w:themeColor="text1"/>
          <w:szCs w:val="23"/>
        </w:rPr>
        <w:t xml:space="preserve"> es competente para poseer, generar o administrar la información solicitada; </w:t>
      </w:r>
      <w:r w:rsidR="00E80359" w:rsidRPr="003F3783">
        <w:rPr>
          <w:rFonts w:ascii="Palatino Linotype" w:hAnsi="Palatino Linotype" w:cs="Arial"/>
          <w:color w:val="000000" w:themeColor="text1"/>
          <w:szCs w:val="23"/>
        </w:rPr>
        <w:t xml:space="preserve">y si </w:t>
      </w:r>
      <w:r w:rsidR="002C6561" w:rsidRPr="003F3783">
        <w:rPr>
          <w:rFonts w:ascii="Palatino Linotype" w:hAnsi="Palatino Linotype" w:cs="Arial"/>
          <w:color w:val="000000" w:themeColor="text1"/>
          <w:szCs w:val="23"/>
        </w:rPr>
        <w:t>se</w:t>
      </w:r>
      <w:r w:rsidR="00E32652" w:rsidRPr="003F3783">
        <w:rPr>
          <w:rFonts w:ascii="Palatino Linotype" w:hAnsi="Palatino Linotype" w:cs="Arial"/>
          <w:color w:val="000000" w:themeColor="text1"/>
          <w:szCs w:val="23"/>
        </w:rPr>
        <w:t xml:space="preserve"> </w:t>
      </w:r>
      <w:r w:rsidR="0028248C" w:rsidRPr="003F3783">
        <w:rPr>
          <w:rFonts w:ascii="Palatino Linotype" w:hAnsi="Palatino Linotype"/>
          <w:color w:val="000000" w:themeColor="text1"/>
        </w:rPr>
        <w:t>actualiza</w:t>
      </w:r>
      <w:r w:rsidR="00C51671" w:rsidRPr="003F3783">
        <w:rPr>
          <w:rFonts w:ascii="Palatino Linotype" w:hAnsi="Palatino Linotype"/>
          <w:color w:val="000000" w:themeColor="text1"/>
        </w:rPr>
        <w:t>n</w:t>
      </w:r>
      <w:r w:rsidR="0028248C" w:rsidRPr="003F3783">
        <w:rPr>
          <w:rFonts w:ascii="Palatino Linotype" w:hAnsi="Palatino Linotype"/>
          <w:color w:val="000000" w:themeColor="text1"/>
        </w:rPr>
        <w:t xml:space="preserve"> la</w:t>
      </w:r>
      <w:r w:rsidR="00C51671" w:rsidRPr="003F3783">
        <w:rPr>
          <w:rFonts w:ascii="Palatino Linotype" w:hAnsi="Palatino Linotype"/>
          <w:color w:val="000000" w:themeColor="text1"/>
        </w:rPr>
        <w:t>s</w:t>
      </w:r>
      <w:r w:rsidR="0028248C" w:rsidRPr="003F3783">
        <w:rPr>
          <w:rFonts w:ascii="Palatino Linotype" w:hAnsi="Palatino Linotype"/>
          <w:color w:val="000000" w:themeColor="text1"/>
        </w:rPr>
        <w:t xml:space="preserve"> causal</w:t>
      </w:r>
      <w:r w:rsidR="00C51671" w:rsidRPr="003F3783">
        <w:rPr>
          <w:rFonts w:ascii="Palatino Linotype" w:hAnsi="Palatino Linotype"/>
          <w:color w:val="000000" w:themeColor="text1"/>
        </w:rPr>
        <w:t>es</w:t>
      </w:r>
      <w:r w:rsidR="0028248C" w:rsidRPr="003F3783">
        <w:rPr>
          <w:rFonts w:ascii="Palatino Linotype" w:hAnsi="Palatino Linotype"/>
          <w:color w:val="000000" w:themeColor="text1"/>
        </w:rPr>
        <w:t xml:space="preserve"> de procedencia</w:t>
      </w:r>
      <w:r w:rsidR="00E66A80" w:rsidRPr="003F3783">
        <w:rPr>
          <w:rFonts w:ascii="Palatino Linotype" w:hAnsi="Palatino Linotype" w:cs="Arial"/>
          <w:color w:val="000000" w:themeColor="text1"/>
          <w:szCs w:val="23"/>
        </w:rPr>
        <w:t xml:space="preserve"> del recurso de revisión establecida</w:t>
      </w:r>
      <w:r w:rsidR="00C51671" w:rsidRPr="003F3783">
        <w:rPr>
          <w:rFonts w:ascii="Palatino Linotype" w:hAnsi="Palatino Linotype" w:cs="Arial"/>
          <w:color w:val="000000" w:themeColor="text1"/>
          <w:szCs w:val="23"/>
        </w:rPr>
        <w:t>s</w:t>
      </w:r>
      <w:r w:rsidR="00E66A80" w:rsidRPr="003F3783">
        <w:rPr>
          <w:rFonts w:ascii="Palatino Linotype" w:hAnsi="Palatino Linotype" w:cs="Arial"/>
          <w:color w:val="000000" w:themeColor="text1"/>
          <w:szCs w:val="23"/>
        </w:rPr>
        <w:t xml:space="preserve"> en el artículo 179 </w:t>
      </w:r>
      <w:r w:rsidR="00C51671" w:rsidRPr="003F3783">
        <w:rPr>
          <w:rFonts w:ascii="Palatino Linotype" w:hAnsi="Palatino Linotype" w:cs="Arial"/>
          <w:color w:val="000000" w:themeColor="text1"/>
          <w:szCs w:val="23"/>
        </w:rPr>
        <w:t>fracciones</w:t>
      </w:r>
      <w:r w:rsidR="00E66A80" w:rsidRPr="003F3783">
        <w:rPr>
          <w:rFonts w:ascii="Palatino Linotype" w:hAnsi="Palatino Linotype" w:cs="Arial"/>
          <w:color w:val="000000" w:themeColor="text1"/>
          <w:szCs w:val="23"/>
        </w:rPr>
        <w:t xml:space="preserve"> </w:t>
      </w:r>
      <w:r w:rsidR="002C6561" w:rsidRPr="003F3783">
        <w:rPr>
          <w:rFonts w:ascii="Palatino Linotype" w:hAnsi="Palatino Linotype" w:cs="Arial"/>
          <w:color w:val="000000" w:themeColor="text1"/>
          <w:szCs w:val="23"/>
        </w:rPr>
        <w:t>I</w:t>
      </w:r>
      <w:r w:rsidR="00C51671" w:rsidRPr="003F3783">
        <w:rPr>
          <w:rFonts w:ascii="Palatino Linotype" w:hAnsi="Palatino Linotype" w:cs="Arial"/>
          <w:color w:val="000000" w:themeColor="text1"/>
          <w:szCs w:val="23"/>
        </w:rPr>
        <w:t xml:space="preserve"> y VIII</w:t>
      </w:r>
      <w:r w:rsidR="00C15F97" w:rsidRPr="003F3783">
        <w:rPr>
          <w:rFonts w:ascii="Palatino Linotype" w:hAnsi="Palatino Linotype" w:cs="Arial"/>
          <w:color w:val="000000" w:themeColor="text1"/>
          <w:szCs w:val="23"/>
        </w:rPr>
        <w:t xml:space="preserve"> </w:t>
      </w:r>
      <w:r w:rsidR="00E66A80" w:rsidRPr="003F3783">
        <w:rPr>
          <w:rFonts w:ascii="Palatino Linotype" w:hAnsi="Palatino Linotype" w:cs="Arial"/>
          <w:color w:val="000000" w:themeColor="text1"/>
          <w:szCs w:val="23"/>
        </w:rPr>
        <w:t xml:space="preserve">de la Ley de Transparencia y Acceso a la Información Pública del Estado de México y Municipios, </w:t>
      </w:r>
      <w:r w:rsidR="00C51671" w:rsidRPr="003F3783">
        <w:rPr>
          <w:rFonts w:ascii="Palatino Linotype" w:hAnsi="Palatino Linotype" w:cs="Arial"/>
          <w:color w:val="000000" w:themeColor="text1"/>
          <w:szCs w:val="23"/>
        </w:rPr>
        <w:t xml:space="preserve">y </w:t>
      </w:r>
      <w:r w:rsidR="00E66A80" w:rsidRPr="003F3783">
        <w:rPr>
          <w:rFonts w:ascii="Palatino Linotype" w:hAnsi="Palatino Linotype" w:cs="Arial"/>
          <w:color w:val="000000" w:themeColor="text1"/>
          <w:szCs w:val="23"/>
        </w:rPr>
        <w:t>que se transcribe</w:t>
      </w:r>
      <w:r w:rsidR="00C51671" w:rsidRPr="003F3783">
        <w:rPr>
          <w:rFonts w:ascii="Palatino Linotype" w:hAnsi="Palatino Linotype" w:cs="Arial"/>
          <w:color w:val="000000" w:themeColor="text1"/>
          <w:szCs w:val="23"/>
        </w:rPr>
        <w:t>n</w:t>
      </w:r>
      <w:r w:rsidR="00E66A80" w:rsidRPr="003F3783">
        <w:rPr>
          <w:rFonts w:ascii="Palatino Linotype" w:hAnsi="Palatino Linotype" w:cs="Arial"/>
          <w:color w:val="000000" w:themeColor="text1"/>
          <w:szCs w:val="23"/>
        </w:rPr>
        <w:t xml:space="preserve"> a continuación:</w:t>
      </w:r>
    </w:p>
    <w:p w14:paraId="694942AF" w14:textId="62D2F7A9" w:rsidR="00AD76A1" w:rsidRPr="003F3783" w:rsidRDefault="00E66A80" w:rsidP="00E80359">
      <w:pPr>
        <w:pStyle w:val="Sinespaciado"/>
        <w:tabs>
          <w:tab w:val="left" w:pos="426"/>
        </w:tabs>
        <w:spacing w:line="360" w:lineRule="auto"/>
        <w:ind w:left="567" w:right="616"/>
        <w:jc w:val="both"/>
        <w:rPr>
          <w:rFonts w:ascii="Palatino Linotype" w:hAnsi="Palatino Linotype"/>
          <w:i/>
          <w:color w:val="000000" w:themeColor="text1"/>
          <w:sz w:val="22"/>
        </w:rPr>
      </w:pPr>
      <w:r w:rsidRPr="003F3783">
        <w:rPr>
          <w:rFonts w:ascii="Palatino Linotype" w:hAnsi="Palatino Linotype"/>
          <w:i/>
          <w:color w:val="000000" w:themeColor="text1"/>
          <w:sz w:val="22"/>
        </w:rPr>
        <w:t>“</w:t>
      </w:r>
      <w:r w:rsidRPr="003F3783">
        <w:rPr>
          <w:rFonts w:ascii="Palatino Linotype" w:hAnsi="Palatino Linotype"/>
          <w:b/>
          <w:i/>
          <w:color w:val="000000" w:themeColor="text1"/>
          <w:sz w:val="22"/>
        </w:rPr>
        <w:t>Artículo 179.</w:t>
      </w:r>
      <w:r w:rsidRPr="003F378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3F3783" w:rsidRDefault="00C51671" w:rsidP="00E80359">
      <w:pPr>
        <w:pStyle w:val="Sinespaciado"/>
        <w:tabs>
          <w:tab w:val="left" w:pos="426"/>
        </w:tabs>
        <w:spacing w:line="360" w:lineRule="auto"/>
        <w:ind w:left="567" w:right="616"/>
        <w:jc w:val="both"/>
        <w:rPr>
          <w:rFonts w:ascii="Palatino Linotype" w:hAnsi="Palatino Linotype"/>
          <w:i/>
          <w:color w:val="000000" w:themeColor="text1"/>
          <w:sz w:val="22"/>
        </w:rPr>
      </w:pPr>
      <w:r w:rsidRPr="003F3783">
        <w:rPr>
          <w:rFonts w:ascii="Palatino Linotype" w:hAnsi="Palatino Linotype"/>
          <w:b/>
          <w:bCs/>
          <w:i/>
          <w:color w:val="000000" w:themeColor="text1"/>
          <w:sz w:val="22"/>
        </w:rPr>
        <w:t>I.</w:t>
      </w:r>
      <w:r w:rsidRPr="003F3783">
        <w:rPr>
          <w:rFonts w:ascii="Palatino Linotype" w:hAnsi="Palatino Linotype"/>
          <w:i/>
          <w:color w:val="000000" w:themeColor="text1"/>
          <w:sz w:val="22"/>
        </w:rPr>
        <w:t xml:space="preserve"> La negativa a la información solicitada;</w:t>
      </w:r>
    </w:p>
    <w:p w14:paraId="50F48622" w14:textId="42A60AC0" w:rsidR="00515DEC" w:rsidRPr="003F3783" w:rsidRDefault="00C51671" w:rsidP="00E80359">
      <w:pPr>
        <w:pStyle w:val="Sinespaciado"/>
        <w:tabs>
          <w:tab w:val="left" w:pos="426"/>
        </w:tabs>
        <w:spacing w:line="360" w:lineRule="auto"/>
        <w:ind w:left="567" w:right="616"/>
        <w:jc w:val="both"/>
        <w:rPr>
          <w:rFonts w:ascii="Palatino Linotype" w:hAnsi="Palatino Linotype"/>
          <w:bCs/>
          <w:i/>
          <w:color w:val="000000" w:themeColor="text1"/>
          <w:sz w:val="22"/>
        </w:rPr>
      </w:pPr>
      <w:r w:rsidRPr="003F3783">
        <w:rPr>
          <w:rFonts w:ascii="Palatino Linotype" w:hAnsi="Palatino Linotype"/>
          <w:b/>
          <w:i/>
          <w:color w:val="000000" w:themeColor="text1"/>
          <w:sz w:val="22"/>
        </w:rPr>
        <w:t>II</w:t>
      </w:r>
      <w:r w:rsidR="002C6561" w:rsidRPr="003F3783">
        <w:rPr>
          <w:rFonts w:ascii="Palatino Linotype" w:hAnsi="Palatino Linotype"/>
          <w:b/>
          <w:i/>
          <w:color w:val="000000" w:themeColor="text1"/>
          <w:sz w:val="22"/>
        </w:rPr>
        <w:t>.</w:t>
      </w:r>
      <w:r w:rsidR="002C6561" w:rsidRPr="003F3783">
        <w:rPr>
          <w:rFonts w:ascii="Palatino Linotype" w:hAnsi="Palatino Linotype"/>
          <w:bCs/>
          <w:i/>
          <w:color w:val="000000" w:themeColor="text1"/>
          <w:sz w:val="22"/>
        </w:rPr>
        <w:t xml:space="preserve"> La </w:t>
      </w:r>
      <w:r w:rsidR="00E80359" w:rsidRPr="003F3783">
        <w:rPr>
          <w:rFonts w:ascii="Palatino Linotype" w:hAnsi="Palatino Linotype"/>
          <w:bCs/>
          <w:i/>
          <w:color w:val="000000" w:themeColor="text1"/>
          <w:sz w:val="22"/>
        </w:rPr>
        <w:t>clasificación de la información</w:t>
      </w:r>
      <w:r w:rsidR="002C6561" w:rsidRPr="003F3783">
        <w:rPr>
          <w:rFonts w:ascii="Palatino Linotype" w:hAnsi="Palatino Linotype"/>
          <w:bCs/>
          <w:i/>
          <w:color w:val="000000" w:themeColor="text1"/>
          <w:sz w:val="22"/>
        </w:rPr>
        <w:t>;</w:t>
      </w:r>
    </w:p>
    <w:p w14:paraId="4FCA9B3F" w14:textId="7C68844B" w:rsidR="00515DEC" w:rsidRPr="003F3783" w:rsidRDefault="00515DEC" w:rsidP="00E80359">
      <w:pPr>
        <w:pStyle w:val="Sinespaciado"/>
        <w:tabs>
          <w:tab w:val="left" w:pos="426"/>
        </w:tabs>
        <w:spacing w:line="360" w:lineRule="auto"/>
        <w:ind w:left="567" w:right="616"/>
        <w:jc w:val="both"/>
        <w:rPr>
          <w:rFonts w:ascii="Palatino Linotype" w:hAnsi="Palatino Linotype"/>
          <w:i/>
          <w:color w:val="000000" w:themeColor="text1"/>
          <w:sz w:val="22"/>
        </w:rPr>
      </w:pPr>
      <w:r w:rsidRPr="003F3783">
        <w:rPr>
          <w:rFonts w:ascii="Palatino Linotype" w:hAnsi="Palatino Linotype"/>
          <w:i/>
          <w:color w:val="000000" w:themeColor="text1"/>
          <w:sz w:val="22"/>
        </w:rPr>
        <w:t>(…)</w:t>
      </w:r>
      <w:r w:rsidR="00A073A0" w:rsidRPr="003F3783">
        <w:rPr>
          <w:rFonts w:ascii="Palatino Linotype" w:hAnsi="Palatino Linotype"/>
          <w:i/>
          <w:color w:val="000000" w:themeColor="text1"/>
          <w:sz w:val="22"/>
        </w:rPr>
        <w:t>”</w:t>
      </w:r>
    </w:p>
    <w:p w14:paraId="18B71A32" w14:textId="77777777" w:rsidR="003D4163" w:rsidRPr="003F3783" w:rsidRDefault="003D4163" w:rsidP="00F96156">
      <w:pPr>
        <w:pStyle w:val="Sinespaciado"/>
        <w:tabs>
          <w:tab w:val="left" w:pos="426"/>
        </w:tabs>
        <w:ind w:right="567"/>
        <w:jc w:val="both"/>
        <w:rPr>
          <w:rFonts w:ascii="Palatino Linotype" w:hAnsi="Palatino Linotype" w:cs="Arial"/>
          <w:i/>
          <w:color w:val="000000" w:themeColor="text1"/>
          <w:sz w:val="22"/>
        </w:rPr>
      </w:pPr>
    </w:p>
    <w:p w14:paraId="5CEC2F48" w14:textId="2BD60E87" w:rsidR="00EF014A" w:rsidRPr="003F3783" w:rsidRDefault="00EF014A" w:rsidP="00F96156">
      <w:pPr>
        <w:pStyle w:val="Ttulo2"/>
        <w:tabs>
          <w:tab w:val="left" w:pos="426"/>
        </w:tabs>
        <w:rPr>
          <w:rFonts w:ascii="Palatino Linotype" w:hAnsi="Palatino Linotype" w:cs="Arial"/>
          <w:b/>
          <w:color w:val="000000" w:themeColor="text1"/>
          <w:sz w:val="24"/>
        </w:rPr>
      </w:pPr>
      <w:bookmarkStart w:id="32" w:name="_Toc52461031"/>
      <w:bookmarkStart w:id="33" w:name="_Toc52461317"/>
      <w:bookmarkStart w:id="34" w:name="_Toc52563277"/>
      <w:r w:rsidRPr="003F3783">
        <w:rPr>
          <w:rFonts w:ascii="Palatino Linotype" w:hAnsi="Palatino Linotype" w:cs="Arial"/>
          <w:b/>
          <w:color w:val="000000" w:themeColor="text1"/>
          <w:sz w:val="24"/>
        </w:rPr>
        <w:t>CUARTO. Estudio y Resolución del asunto.</w:t>
      </w:r>
      <w:bookmarkEnd w:id="32"/>
      <w:bookmarkEnd w:id="33"/>
      <w:bookmarkEnd w:id="34"/>
    </w:p>
    <w:p w14:paraId="787809AE" w14:textId="24689101" w:rsidR="003D0BC7" w:rsidRPr="003F3783"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35" w:name="_Toc52461032"/>
      <w:bookmarkStart w:id="36" w:name="_Toc52461318"/>
      <w:bookmarkStart w:id="37" w:name="_Toc52563278"/>
      <w:r w:rsidRPr="003F3783">
        <w:rPr>
          <w:rFonts w:ascii="Palatino Linotype" w:hAnsi="Palatino Linotype" w:cs="Arial"/>
          <w:b/>
          <w:color w:val="000000" w:themeColor="text1"/>
        </w:rPr>
        <w:t xml:space="preserve">I. De la respuesta </w:t>
      </w:r>
      <w:r w:rsidR="00515DEC" w:rsidRPr="003F3783">
        <w:rPr>
          <w:rFonts w:ascii="Palatino Linotype" w:hAnsi="Palatino Linotype" w:cs="Arial"/>
          <w:b/>
          <w:color w:val="000000" w:themeColor="text1"/>
        </w:rPr>
        <w:t>a la solicitud de información</w:t>
      </w:r>
      <w:r w:rsidRPr="003F3783">
        <w:rPr>
          <w:rFonts w:ascii="Palatino Linotype" w:hAnsi="Palatino Linotype" w:cs="Arial"/>
          <w:b/>
          <w:color w:val="000000" w:themeColor="text1"/>
        </w:rPr>
        <w:t>.</w:t>
      </w:r>
      <w:bookmarkEnd w:id="35"/>
      <w:bookmarkEnd w:id="36"/>
      <w:bookmarkEnd w:id="37"/>
    </w:p>
    <w:p w14:paraId="774FB2AE" w14:textId="77777777" w:rsidR="00EB4A53" w:rsidRPr="003F3783"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38" w:name="_Toc466371865"/>
      <w:bookmarkStart w:id="39" w:name="_Toc466377653"/>
      <w:bookmarkEnd w:id="27"/>
      <w:bookmarkEnd w:id="28"/>
      <w:bookmarkEnd w:id="29"/>
      <w:bookmarkEnd w:id="30"/>
      <w:bookmarkEnd w:id="31"/>
    </w:p>
    <w:p w14:paraId="39D236FD" w14:textId="3EA06A6C" w:rsidR="00A50720" w:rsidRPr="003F3783" w:rsidRDefault="00A5072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3F3783">
        <w:rPr>
          <w:rFonts w:ascii="Palatino Linotype" w:hAnsi="Palatino Linotype"/>
          <w:color w:val="000000" w:themeColor="text1"/>
        </w:rPr>
        <w:t xml:space="preserve">Como fuera expuesto en el apartado de </w:t>
      </w:r>
      <w:r w:rsidRPr="003F3783">
        <w:rPr>
          <w:rFonts w:ascii="Palatino Linotype" w:hAnsi="Palatino Linotype"/>
          <w:i/>
          <w:iCs/>
          <w:color w:val="000000" w:themeColor="text1"/>
        </w:rPr>
        <w:t>Antecedentes</w:t>
      </w:r>
      <w:r w:rsidRPr="003F3783">
        <w:rPr>
          <w:rFonts w:ascii="Palatino Linotype" w:hAnsi="Palatino Linotype"/>
          <w:color w:val="000000" w:themeColor="text1"/>
        </w:rPr>
        <w:t xml:space="preserve"> de la presente resolución, </w:t>
      </w:r>
      <w:r w:rsidR="00C54128" w:rsidRPr="003F3783">
        <w:rPr>
          <w:rFonts w:ascii="Palatino Linotype" w:hAnsi="Palatino Linotype"/>
          <w:color w:val="000000" w:themeColor="text1"/>
        </w:rPr>
        <w:t xml:space="preserve">a través de la solicitud </w:t>
      </w:r>
      <w:r w:rsidR="007A2356" w:rsidRPr="003F3783">
        <w:rPr>
          <w:rFonts w:ascii="Palatino Linotype" w:hAnsi="Palatino Linotype"/>
          <w:b/>
          <w:bCs/>
          <w:color w:val="000000" w:themeColor="text1"/>
        </w:rPr>
        <w:t>00031/AYAPANGO/IP/2020</w:t>
      </w:r>
      <w:r w:rsidR="00243238" w:rsidRPr="003F3783">
        <w:rPr>
          <w:rFonts w:ascii="Palatino Linotype" w:hAnsi="Palatino Linotype"/>
          <w:b/>
          <w:bCs/>
          <w:color w:val="000000" w:themeColor="text1"/>
        </w:rPr>
        <w:t xml:space="preserve"> </w:t>
      </w:r>
      <w:r w:rsidR="00C54128" w:rsidRPr="003F3783">
        <w:rPr>
          <w:rFonts w:ascii="Palatino Linotype" w:hAnsi="Palatino Linotype"/>
          <w:color w:val="000000" w:themeColor="text1"/>
        </w:rPr>
        <w:t>se requirió</w:t>
      </w:r>
      <w:r w:rsidRPr="003F3783">
        <w:rPr>
          <w:rFonts w:ascii="Palatino Linotype" w:hAnsi="Palatino Linotype"/>
          <w:color w:val="000000" w:themeColor="text1"/>
        </w:rPr>
        <w:t xml:space="preserve"> </w:t>
      </w:r>
      <w:r w:rsidR="00F36489" w:rsidRPr="003F3783">
        <w:rPr>
          <w:rFonts w:ascii="Palatino Linotype" w:eastAsia="Times New Roman" w:hAnsi="Palatino Linotype" w:cs="Times New Roman"/>
          <w:lang w:val="es-MX" w:eastAsia="es-MX"/>
        </w:rPr>
        <w:t>el padrón de beneficiarios del programa "construcción de cuartos dormitorio" así como las reglas de operación y el método de selección de beneficiarios</w:t>
      </w:r>
      <w:r w:rsidR="00F36489" w:rsidRPr="003F3783">
        <w:rPr>
          <w:rFonts w:ascii="Palatino Linotype" w:hAnsi="Palatino Linotype"/>
          <w:iCs/>
          <w:color w:val="000000" w:themeColor="text1"/>
        </w:rPr>
        <w:t>.</w:t>
      </w:r>
    </w:p>
    <w:p w14:paraId="2C487D74" w14:textId="77777777" w:rsidR="00C54128" w:rsidRPr="003F3783" w:rsidRDefault="00C54128" w:rsidP="00C54128">
      <w:pPr>
        <w:pStyle w:val="Prrafodelista"/>
        <w:tabs>
          <w:tab w:val="left" w:pos="426"/>
        </w:tabs>
        <w:spacing w:before="240" w:after="240" w:line="360" w:lineRule="auto"/>
        <w:ind w:left="0" w:right="51"/>
        <w:jc w:val="both"/>
        <w:rPr>
          <w:rFonts w:ascii="Palatino Linotype" w:hAnsi="Palatino Linotype"/>
          <w:color w:val="000000" w:themeColor="text1"/>
        </w:rPr>
      </w:pPr>
    </w:p>
    <w:p w14:paraId="52F99398" w14:textId="55EA9DC6" w:rsidR="00C54128" w:rsidRPr="003F3783" w:rsidRDefault="00C54128" w:rsidP="00F36489">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3F3783">
        <w:rPr>
          <w:rFonts w:ascii="Palatino Linotype" w:hAnsi="Palatino Linotype"/>
          <w:iCs/>
          <w:color w:val="000000" w:themeColor="text1"/>
        </w:rPr>
        <w:t xml:space="preserve">En atención a la </w:t>
      </w:r>
      <w:r w:rsidR="00243238" w:rsidRPr="003F3783">
        <w:rPr>
          <w:rFonts w:ascii="Palatino Linotype" w:hAnsi="Palatino Linotype"/>
          <w:iCs/>
          <w:color w:val="000000" w:themeColor="text1"/>
        </w:rPr>
        <w:t xml:space="preserve">solicitud supra señalada el </w:t>
      </w:r>
      <w:r w:rsidR="00243238" w:rsidRPr="003F3783">
        <w:rPr>
          <w:rFonts w:ascii="Palatino Linotype" w:hAnsi="Palatino Linotype"/>
          <w:b/>
          <w:iCs/>
          <w:color w:val="000000" w:themeColor="text1"/>
        </w:rPr>
        <w:t>SUJETO OBLIGADO</w:t>
      </w:r>
      <w:r w:rsidR="00F36489" w:rsidRPr="003F3783">
        <w:rPr>
          <w:rFonts w:ascii="Palatino Linotype" w:hAnsi="Palatino Linotype"/>
          <w:iCs/>
          <w:color w:val="000000" w:themeColor="text1"/>
        </w:rPr>
        <w:t xml:space="preserve"> </w:t>
      </w:r>
      <w:r w:rsidR="00243238" w:rsidRPr="003F3783">
        <w:rPr>
          <w:rFonts w:ascii="Palatino Linotype" w:hAnsi="Palatino Linotype"/>
          <w:iCs/>
          <w:color w:val="000000" w:themeColor="text1"/>
        </w:rPr>
        <w:t xml:space="preserve">a través del servidor público habilitado de la Dirección de </w:t>
      </w:r>
      <w:r w:rsidR="00F36489" w:rsidRPr="003F3783">
        <w:rPr>
          <w:rFonts w:ascii="Palatino Linotype" w:hAnsi="Palatino Linotype"/>
          <w:iCs/>
          <w:color w:val="000000" w:themeColor="text1"/>
        </w:rPr>
        <w:t>Desarrollo Social</w:t>
      </w:r>
      <w:r w:rsidR="00243238" w:rsidRPr="003F3783">
        <w:rPr>
          <w:rFonts w:ascii="Palatino Linotype" w:hAnsi="Palatino Linotype"/>
          <w:iCs/>
          <w:color w:val="000000" w:themeColor="text1"/>
        </w:rPr>
        <w:t xml:space="preserve"> esencialmente respondió que </w:t>
      </w:r>
      <w:r w:rsidR="00230DD5" w:rsidRPr="003F3783">
        <w:rPr>
          <w:rFonts w:ascii="Palatino Linotype" w:hAnsi="Palatino Linotype"/>
          <w:iCs/>
          <w:color w:val="000000" w:themeColor="text1"/>
        </w:rPr>
        <w:t>“</w:t>
      </w:r>
      <w:r w:rsidR="00F36489" w:rsidRPr="003F3783">
        <w:rPr>
          <w:rFonts w:ascii="Palatino Linotype" w:hAnsi="Palatino Linotype"/>
          <w:i/>
          <w:iCs/>
          <w:color w:val="000000" w:themeColor="text1"/>
        </w:rPr>
        <w:t>se debe emitir un acuerdo de clasificación de información como reservado ya que al divulgar la información que requiere el solicitante se lesiona el interés jurídico protegido por la ley, y que el menoscabo o daño que puede producirse con la publicidad de la información es mayor que el interés de conocerla, toda vez que en el padrón se contienen datos de las personas que los hacen identificados e identificables al contener datos personales como INE, CURP, Comprobante de Domicilio, Croquis y Constancia de acreditación de la propiedad</w:t>
      </w:r>
      <w:r w:rsidR="00230DD5" w:rsidRPr="003F3783">
        <w:rPr>
          <w:rFonts w:ascii="Palatino Linotype" w:hAnsi="Palatino Linotype"/>
          <w:iCs/>
          <w:color w:val="000000" w:themeColor="text1"/>
        </w:rPr>
        <w:t>”.</w:t>
      </w:r>
    </w:p>
    <w:p w14:paraId="6315C548" w14:textId="77777777" w:rsidR="00230DD5" w:rsidRPr="003F3783" w:rsidRDefault="00230DD5" w:rsidP="00230DD5">
      <w:pPr>
        <w:pStyle w:val="Prrafodelista"/>
        <w:ind w:left="0"/>
        <w:rPr>
          <w:rFonts w:ascii="Palatino Linotype" w:hAnsi="Palatino Linotype"/>
          <w:color w:val="000000" w:themeColor="text1"/>
        </w:rPr>
      </w:pPr>
    </w:p>
    <w:p w14:paraId="7F2254A2" w14:textId="62375488" w:rsidR="00230DD5" w:rsidRPr="003F3783" w:rsidRDefault="00230DD5" w:rsidP="00243238">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3F3783">
        <w:rPr>
          <w:rFonts w:ascii="Palatino Linotype" w:hAnsi="Palatino Linotype"/>
          <w:color w:val="000000" w:themeColor="text1"/>
        </w:rPr>
        <w:t xml:space="preserve">Bajo esa tesitura es preciso señalar que </w:t>
      </w:r>
      <w:r w:rsidR="00BC3057" w:rsidRPr="003F3783">
        <w:rPr>
          <w:rFonts w:ascii="Palatino Linotype" w:hAnsi="Palatino Linotype"/>
          <w:color w:val="000000" w:themeColor="text1"/>
        </w:rPr>
        <w:t>si bien es cierto que</w:t>
      </w:r>
      <w:r w:rsidR="008C06C5" w:rsidRPr="003F3783">
        <w:rPr>
          <w:rFonts w:ascii="Palatino Linotype" w:hAnsi="Palatino Linotype"/>
          <w:color w:val="000000" w:themeColor="text1"/>
        </w:rPr>
        <w:t xml:space="preserve"> el padrón de beneficiarios pudiera contener </w:t>
      </w:r>
      <w:r w:rsidR="00BC3057" w:rsidRPr="003F3783">
        <w:rPr>
          <w:rFonts w:ascii="Palatino Linotype" w:hAnsi="Palatino Linotype"/>
          <w:color w:val="000000" w:themeColor="text1"/>
        </w:rPr>
        <w:t>datos susceptibles de ser confidenciales</w:t>
      </w:r>
      <w:r w:rsidR="008C06C5" w:rsidRPr="003F3783">
        <w:rPr>
          <w:rFonts w:ascii="Palatino Linotype" w:hAnsi="Palatino Linotype"/>
          <w:color w:val="000000" w:themeColor="text1"/>
        </w:rPr>
        <w:t xml:space="preserve"> e incluso que su soporte documental pudiera constar en documentos oficiales que ni siquiera pudieran ser entregados en versión pública,</w:t>
      </w:r>
      <w:r w:rsidR="00BC3057" w:rsidRPr="003F3783">
        <w:rPr>
          <w:rFonts w:ascii="Palatino Linotype" w:hAnsi="Palatino Linotype"/>
          <w:color w:val="000000" w:themeColor="text1"/>
        </w:rPr>
        <w:t xml:space="preserve"> también lo es que </w:t>
      </w:r>
      <w:r w:rsidR="00725B6F" w:rsidRPr="003F3783">
        <w:rPr>
          <w:rFonts w:ascii="Palatino Linotype" w:hAnsi="Palatino Linotype"/>
          <w:color w:val="000000" w:themeColor="text1"/>
        </w:rPr>
        <w:t xml:space="preserve">dichos documentos </w:t>
      </w:r>
      <w:r w:rsidR="008C06C5" w:rsidRPr="003F3783">
        <w:rPr>
          <w:rFonts w:ascii="Palatino Linotype" w:hAnsi="Palatino Linotype"/>
          <w:color w:val="000000" w:themeColor="text1"/>
        </w:rPr>
        <w:t>no fueron solicitados</w:t>
      </w:r>
      <w:r w:rsidR="00725B6F" w:rsidRPr="003F3783">
        <w:rPr>
          <w:rFonts w:ascii="Palatino Linotype" w:hAnsi="Palatino Linotype"/>
          <w:color w:val="000000" w:themeColor="text1"/>
        </w:rPr>
        <w:t xml:space="preserve"> y </w:t>
      </w:r>
      <w:r w:rsidR="008C06C5" w:rsidRPr="003F3783">
        <w:rPr>
          <w:rFonts w:ascii="Palatino Linotype" w:hAnsi="Palatino Linotype"/>
          <w:color w:val="000000" w:themeColor="text1"/>
        </w:rPr>
        <w:t xml:space="preserve">los padrones de beneficiarios </w:t>
      </w:r>
      <w:r w:rsidR="00725B6F" w:rsidRPr="003F3783">
        <w:rPr>
          <w:rFonts w:ascii="Palatino Linotype" w:hAnsi="Palatino Linotype"/>
          <w:color w:val="000000" w:themeColor="text1"/>
        </w:rPr>
        <w:t>pueden ser entregados en versión pública cumpliendo con las formalidades exigidas por la Ley, tema que será abordado en párrafos posteriores.</w:t>
      </w:r>
    </w:p>
    <w:p w14:paraId="0ACF4974" w14:textId="77777777" w:rsidR="008C06C5" w:rsidRPr="003F3783" w:rsidRDefault="008C06C5" w:rsidP="008C06C5">
      <w:pPr>
        <w:pStyle w:val="Prrafodelista"/>
        <w:rPr>
          <w:rFonts w:ascii="Palatino Linotype" w:hAnsi="Palatino Linotype"/>
          <w:b/>
          <w:color w:val="000000" w:themeColor="text1"/>
        </w:rPr>
      </w:pPr>
    </w:p>
    <w:p w14:paraId="7FB2D62C" w14:textId="06E5B15D" w:rsidR="008C06C5" w:rsidRPr="003F3783" w:rsidRDefault="008C06C5" w:rsidP="008C06C5">
      <w:pPr>
        <w:pStyle w:val="Ttulo2"/>
        <w:rPr>
          <w:rFonts w:ascii="Palatino Linotype" w:eastAsiaTheme="minorEastAsia" w:hAnsi="Palatino Linotype" w:cstheme="minorBidi"/>
          <w:b/>
          <w:color w:val="000000" w:themeColor="text1"/>
          <w:sz w:val="24"/>
          <w:szCs w:val="24"/>
          <w:lang w:val="es-ES_tradnl" w:eastAsia="es-ES"/>
        </w:rPr>
      </w:pPr>
      <w:bookmarkStart w:id="40" w:name="_Toc52563279"/>
      <w:r w:rsidRPr="003F3783">
        <w:rPr>
          <w:rFonts w:ascii="Palatino Linotype" w:eastAsiaTheme="minorEastAsia" w:hAnsi="Palatino Linotype" w:cstheme="minorBidi"/>
          <w:b/>
          <w:color w:val="000000" w:themeColor="text1"/>
          <w:sz w:val="24"/>
          <w:szCs w:val="24"/>
          <w:lang w:val="es-ES_tradnl" w:eastAsia="es-ES"/>
        </w:rPr>
        <w:t>II. De las atribuciones del SUJETO OBLIGADO.</w:t>
      </w:r>
      <w:bookmarkEnd w:id="40"/>
    </w:p>
    <w:p w14:paraId="5BC9F87F" w14:textId="77777777" w:rsidR="008C06C5" w:rsidRPr="003F3783" w:rsidRDefault="008C06C5" w:rsidP="008C06C5">
      <w:pPr>
        <w:pStyle w:val="Prrafodelista"/>
        <w:rPr>
          <w:rFonts w:ascii="Palatino Linotype" w:hAnsi="Palatino Linotype"/>
          <w:color w:val="000000" w:themeColor="text1"/>
        </w:rPr>
      </w:pPr>
    </w:p>
    <w:p w14:paraId="0C98F07E" w14:textId="25CE335A" w:rsidR="00F36489" w:rsidRPr="003F3783" w:rsidRDefault="00F36489" w:rsidP="008C06C5">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3F3783">
        <w:rPr>
          <w:rFonts w:ascii="Palatino Linotype" w:hAnsi="Palatino Linotype"/>
        </w:rPr>
        <w:t>Primeramente se hace necesario explicar el por qué es importante divulgar la información inherente a Programas gubernamentales que benefician a la población y por qué es importante que se conozca el padrón de sus beneficiarios así como sus reglas de operación.</w:t>
      </w:r>
    </w:p>
    <w:p w14:paraId="6AC96A6B" w14:textId="77777777" w:rsidR="008C06C5" w:rsidRPr="003F3783" w:rsidRDefault="008C06C5" w:rsidP="008C06C5">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3F3783">
        <w:rPr>
          <w:rFonts w:ascii="Palatino Linotype" w:eastAsia="Times New Roman" w:hAnsi="Palatino Linotype" w:cs="Times New Roman"/>
          <w:color w:val="000000" w:themeColor="text1"/>
          <w:lang w:val="es-MX" w:eastAsia="es-MX"/>
        </w:rPr>
        <w:lastRenderedPageBreak/>
        <w:t xml:space="preserve">Bajo esa tesitura la </w:t>
      </w:r>
      <w:r w:rsidRPr="003F3783">
        <w:rPr>
          <w:rFonts w:ascii="Palatino Linotype" w:hAnsi="Palatino Linotype"/>
          <w:b/>
        </w:rPr>
        <w:t>Constitución Política del Estado Libre y Soberano de México</w:t>
      </w:r>
      <w:r w:rsidRPr="003F3783">
        <w:rPr>
          <w:rFonts w:ascii="Palatino Linotype" w:hAnsi="Palatino Linotype"/>
        </w:rPr>
        <w:t xml:space="preserve"> en su </w:t>
      </w:r>
      <w:r w:rsidRPr="003F3783">
        <w:rPr>
          <w:rFonts w:ascii="Palatino Linotype" w:eastAsia="Arial Unicode MS" w:hAnsi="Palatino Linotype" w:cs="Arial"/>
        </w:rPr>
        <w:t>artículo 139, fracción I establece lo siguiente:</w:t>
      </w:r>
    </w:p>
    <w:p w14:paraId="4C04744B" w14:textId="77777777" w:rsidR="008C06C5" w:rsidRPr="003F3783" w:rsidRDefault="008C06C5" w:rsidP="008C06C5">
      <w:pPr>
        <w:pStyle w:val="Prrafodelista"/>
        <w:autoSpaceDE w:val="0"/>
        <w:autoSpaceDN w:val="0"/>
        <w:adjustRightInd w:val="0"/>
        <w:spacing w:line="360" w:lineRule="auto"/>
        <w:ind w:left="0"/>
        <w:jc w:val="both"/>
        <w:rPr>
          <w:rFonts w:ascii="Palatino Linotype" w:hAnsi="Palatino Linotype"/>
        </w:rPr>
      </w:pPr>
    </w:p>
    <w:p w14:paraId="61EE50F6" w14:textId="77777777" w:rsidR="008C06C5" w:rsidRPr="003F3783" w:rsidRDefault="008C06C5" w:rsidP="008C06C5">
      <w:pPr>
        <w:autoSpaceDE w:val="0"/>
        <w:autoSpaceDN w:val="0"/>
        <w:adjustRightInd w:val="0"/>
        <w:spacing w:line="360" w:lineRule="auto"/>
        <w:ind w:left="567" w:right="567"/>
        <w:jc w:val="both"/>
        <w:rPr>
          <w:rFonts w:ascii="Palatino Linotype" w:eastAsia="Calibri" w:hAnsi="Palatino Linotype" w:cs="Bookman Old Style"/>
          <w:i/>
          <w:sz w:val="22"/>
          <w:szCs w:val="22"/>
        </w:rPr>
      </w:pPr>
      <w:r w:rsidRPr="003F3783">
        <w:rPr>
          <w:rFonts w:ascii="Palatino Linotype" w:eastAsia="Calibri" w:hAnsi="Palatino Linotype" w:cs="Bookman Old Style"/>
          <w:b/>
          <w:bCs/>
          <w:i/>
          <w:sz w:val="22"/>
          <w:szCs w:val="22"/>
        </w:rPr>
        <w:t xml:space="preserve">Artículo 139.- </w:t>
      </w:r>
      <w:r w:rsidRPr="003F3783">
        <w:rPr>
          <w:rFonts w:ascii="Palatino Linotype" w:eastAsia="Calibri" w:hAnsi="Palatino Linotype" w:cs="Bookman Old Style"/>
          <w:i/>
          <w:sz w:val="22"/>
          <w:szCs w:val="22"/>
        </w:rPr>
        <w:t>El desarrollo de la entidad se sustenta en el Sistema Estatal de Planeación Democrática, que imprima solidez, dinamismo, competitividad, permanencia y equidad al crecimiento de la economía para la libertad y la democratización política, social y cultural del Estado y que tiene como base el Plan de Desarrollo del Estado de México:</w:t>
      </w:r>
    </w:p>
    <w:p w14:paraId="0EA4E6E7" w14:textId="77777777" w:rsidR="008C06C5" w:rsidRPr="003F3783" w:rsidRDefault="008C06C5" w:rsidP="008C06C5">
      <w:pPr>
        <w:autoSpaceDE w:val="0"/>
        <w:autoSpaceDN w:val="0"/>
        <w:adjustRightInd w:val="0"/>
        <w:spacing w:line="360" w:lineRule="auto"/>
        <w:ind w:left="567" w:right="567"/>
        <w:jc w:val="both"/>
        <w:rPr>
          <w:rFonts w:ascii="Palatino Linotype" w:eastAsia="Calibri" w:hAnsi="Palatino Linotype" w:cs="Bookman Old Style"/>
          <w:i/>
          <w:sz w:val="22"/>
          <w:szCs w:val="22"/>
        </w:rPr>
      </w:pPr>
    </w:p>
    <w:p w14:paraId="673AF738" w14:textId="77777777" w:rsidR="008C06C5" w:rsidRPr="003F3783" w:rsidRDefault="008C06C5" w:rsidP="008C06C5">
      <w:pPr>
        <w:autoSpaceDE w:val="0"/>
        <w:autoSpaceDN w:val="0"/>
        <w:adjustRightInd w:val="0"/>
        <w:spacing w:line="360" w:lineRule="auto"/>
        <w:ind w:left="567" w:right="567"/>
        <w:jc w:val="both"/>
        <w:rPr>
          <w:rFonts w:ascii="Palatino Linotype" w:eastAsia="Calibri" w:hAnsi="Palatino Linotype" w:cs="Bookman Old Style"/>
          <w:i/>
          <w:sz w:val="22"/>
          <w:szCs w:val="22"/>
        </w:rPr>
      </w:pPr>
      <w:r w:rsidRPr="003F3783">
        <w:rPr>
          <w:rFonts w:ascii="Palatino Linotype" w:eastAsia="Calibri" w:hAnsi="Palatino Linotype" w:cs="Bookman Old Style"/>
          <w:b/>
          <w:i/>
          <w:sz w:val="22"/>
          <w:szCs w:val="22"/>
        </w:rPr>
        <w:t>I</w:t>
      </w:r>
      <w:r w:rsidRPr="003F3783">
        <w:rPr>
          <w:rFonts w:ascii="Palatino Linotype" w:eastAsia="Calibri" w:hAnsi="Palatino Linotype" w:cs="Bookman Old Style"/>
          <w:i/>
          <w:sz w:val="22"/>
          <w:szCs w:val="22"/>
        </w:rPr>
        <w:t>. El Sistema Estatal de Planeación Democrática se integra por los planes y</w:t>
      </w:r>
      <w:r w:rsidRPr="003F3783">
        <w:rPr>
          <w:rFonts w:ascii="Palatino Linotype" w:eastAsia="Calibri" w:hAnsi="Palatino Linotype" w:cs="Bookman Old Style"/>
          <w:b/>
          <w:i/>
          <w:sz w:val="22"/>
          <w:szCs w:val="22"/>
          <w:u w:val="single"/>
        </w:rPr>
        <w:t xml:space="preserve"> programas que formulen las autoridades estatales y municipales y considerará en su proceso: El planteamiento de la problemática con base en la realidad objetiva, los indicadores de desarrollo social y humano, la proyección genérica de los objetivos para la estructuración de planes, programas y acciones que regirán el ejercicio de sus funciones públicas, su control y evaluación. </w:t>
      </w:r>
      <w:r w:rsidRPr="003F3783">
        <w:rPr>
          <w:rFonts w:ascii="Palatino Linotype" w:eastAsia="Calibri" w:hAnsi="Palatino Linotype" w:cs="Bookman Old Style"/>
          <w:i/>
          <w:sz w:val="22"/>
          <w:szCs w:val="22"/>
        </w:rPr>
        <w:t>Las Leyes de la materia proveerán la participación de los sectores público, privado y social en el proceso y el mecanismo de retroalimentación permanente en el sistema.</w:t>
      </w:r>
    </w:p>
    <w:p w14:paraId="5C2B0E3C" w14:textId="77777777" w:rsidR="008C06C5" w:rsidRPr="003F3783" w:rsidRDefault="008C06C5" w:rsidP="008C06C5">
      <w:pPr>
        <w:autoSpaceDE w:val="0"/>
        <w:autoSpaceDN w:val="0"/>
        <w:adjustRightInd w:val="0"/>
        <w:spacing w:line="360" w:lineRule="auto"/>
        <w:ind w:left="567" w:right="567"/>
        <w:jc w:val="both"/>
        <w:rPr>
          <w:rFonts w:ascii="Palatino Linotype" w:eastAsia="Calibri" w:hAnsi="Palatino Linotype" w:cs="Bookman Old Style"/>
          <w:i/>
          <w:sz w:val="22"/>
          <w:szCs w:val="22"/>
        </w:rPr>
      </w:pPr>
    </w:p>
    <w:p w14:paraId="7ACE0D67" w14:textId="77777777" w:rsidR="008C06C5" w:rsidRPr="003F3783" w:rsidRDefault="008C06C5" w:rsidP="008C06C5">
      <w:pPr>
        <w:autoSpaceDE w:val="0"/>
        <w:autoSpaceDN w:val="0"/>
        <w:adjustRightInd w:val="0"/>
        <w:spacing w:line="360" w:lineRule="auto"/>
        <w:ind w:left="567" w:right="567"/>
        <w:jc w:val="both"/>
        <w:rPr>
          <w:rFonts w:ascii="Palatino Linotype" w:eastAsia="Calibri" w:hAnsi="Palatino Linotype" w:cs="Bookman Old Style"/>
          <w:i/>
          <w:sz w:val="22"/>
          <w:szCs w:val="22"/>
        </w:rPr>
      </w:pPr>
      <w:r w:rsidRPr="003F3783">
        <w:rPr>
          <w:rFonts w:ascii="Palatino Linotype" w:eastAsia="Calibri" w:hAnsi="Palatino Linotype" w:cs="Bookman Old Style"/>
          <w:i/>
          <w:sz w:val="22"/>
          <w:szCs w:val="22"/>
        </w:rPr>
        <w:t>Los planes, programas y acciones que formulen y ejecuten los ayuntamientos en las materias de su competencia, se sujetarán a las disposiciones legales aplicables y serán congruentes con los planes y programas federales, estatales, regionales y metropolitanos, en su caso.</w:t>
      </w:r>
    </w:p>
    <w:p w14:paraId="4DE5210D" w14:textId="77777777" w:rsidR="008C06C5" w:rsidRPr="003F3783" w:rsidRDefault="008C06C5" w:rsidP="008C06C5">
      <w:pPr>
        <w:autoSpaceDE w:val="0"/>
        <w:autoSpaceDN w:val="0"/>
        <w:adjustRightInd w:val="0"/>
        <w:spacing w:line="360" w:lineRule="auto"/>
        <w:ind w:left="567" w:right="567"/>
        <w:jc w:val="both"/>
        <w:rPr>
          <w:rFonts w:ascii="Palatino Linotype" w:eastAsia="Calibri" w:hAnsi="Palatino Linotype" w:cs="Bookman Old Style"/>
          <w:i/>
          <w:sz w:val="22"/>
          <w:szCs w:val="22"/>
        </w:rPr>
      </w:pPr>
    </w:p>
    <w:p w14:paraId="6A31DAA5" w14:textId="77777777" w:rsidR="008C06C5" w:rsidRPr="003F3783" w:rsidRDefault="008C06C5" w:rsidP="008C06C5">
      <w:pPr>
        <w:autoSpaceDE w:val="0"/>
        <w:autoSpaceDN w:val="0"/>
        <w:adjustRightInd w:val="0"/>
        <w:spacing w:line="360" w:lineRule="auto"/>
        <w:ind w:left="567" w:right="567"/>
        <w:jc w:val="both"/>
        <w:rPr>
          <w:rFonts w:ascii="Palatino Linotype" w:hAnsi="Palatino Linotype" w:cs="Arial"/>
          <w:i/>
          <w:sz w:val="22"/>
          <w:szCs w:val="22"/>
        </w:rPr>
      </w:pPr>
      <w:r w:rsidRPr="003F3783">
        <w:rPr>
          <w:rFonts w:ascii="Palatino Linotype" w:hAnsi="Palatino Linotype" w:cs="Arial"/>
          <w:i/>
          <w:sz w:val="22"/>
          <w:szCs w:val="22"/>
        </w:rPr>
        <w:t xml:space="preserve">Los ciudadanos del Estado, individualmente o a través de agrupaciones legalmente constituidas podrán participar en el proceso de planeación democrática en los términos establecidos por las leyes para la formulación de planes y programas estatales, </w:t>
      </w:r>
      <w:r w:rsidRPr="003F3783">
        <w:rPr>
          <w:rFonts w:ascii="Palatino Linotype" w:hAnsi="Palatino Linotype" w:cs="Arial"/>
          <w:i/>
          <w:sz w:val="22"/>
          <w:szCs w:val="22"/>
        </w:rPr>
        <w:lastRenderedPageBreak/>
        <w:t>municipales, regionales y metropolitanos para la integración social de sus habitantes y el desarrollo de las comunidades.</w:t>
      </w:r>
    </w:p>
    <w:p w14:paraId="159DCD80" w14:textId="77777777" w:rsidR="008C06C5" w:rsidRPr="003F3783" w:rsidRDefault="008C06C5" w:rsidP="008C06C5">
      <w:pPr>
        <w:pStyle w:val="Prrafodelista"/>
        <w:autoSpaceDE w:val="0"/>
        <w:autoSpaceDN w:val="0"/>
        <w:adjustRightInd w:val="0"/>
        <w:spacing w:line="360" w:lineRule="auto"/>
        <w:ind w:left="0"/>
        <w:jc w:val="both"/>
        <w:rPr>
          <w:rFonts w:ascii="Palatino Linotype" w:hAnsi="Palatino Linotype"/>
        </w:rPr>
      </w:pPr>
    </w:p>
    <w:p w14:paraId="61E16E01" w14:textId="127EC686" w:rsidR="008C06C5" w:rsidRPr="003F3783" w:rsidRDefault="008C06C5" w:rsidP="008C06C5">
      <w:pPr>
        <w:pStyle w:val="Prrafodelista"/>
        <w:numPr>
          <w:ilvl w:val="0"/>
          <w:numId w:val="4"/>
        </w:numPr>
        <w:autoSpaceDE w:val="0"/>
        <w:autoSpaceDN w:val="0"/>
        <w:adjustRightInd w:val="0"/>
        <w:spacing w:before="120" w:after="120" w:line="360" w:lineRule="auto"/>
        <w:ind w:left="0" w:firstLine="0"/>
        <w:jc w:val="both"/>
        <w:rPr>
          <w:rFonts w:ascii="Palatino Linotype" w:hAnsi="Palatino Linotype" w:cs="Arial"/>
          <w:sz w:val="22"/>
        </w:rPr>
      </w:pPr>
      <w:r w:rsidRPr="003F3783">
        <w:rPr>
          <w:rFonts w:ascii="Palatino Linotype" w:hAnsi="Palatino Linotype" w:cs="Arial"/>
        </w:rPr>
        <w:t xml:space="preserve">Asimismo, </w:t>
      </w:r>
      <w:r w:rsidRPr="003F3783">
        <w:rPr>
          <w:rFonts w:ascii="Palatino Linotype" w:hAnsi="Palatino Linotype"/>
          <w:color w:val="000000"/>
        </w:rPr>
        <w:t xml:space="preserve">de </w:t>
      </w:r>
      <w:r w:rsidRPr="003F3783">
        <w:rPr>
          <w:rFonts w:ascii="Palatino Linotype" w:hAnsi="Palatino Linotype" w:cs="Arial"/>
        </w:rPr>
        <w:t xml:space="preserve">conformidad con el artículo 129 de la </w:t>
      </w:r>
      <w:r w:rsidRPr="003F3783">
        <w:rPr>
          <w:rFonts w:ascii="Palatino Linotype" w:hAnsi="Palatino Linotype" w:cs="Arial"/>
          <w:b/>
        </w:rPr>
        <w:t>Constitución Política del Estado Libre y Soberano de México</w:t>
      </w:r>
      <w:r w:rsidRPr="003F3783">
        <w:rPr>
          <w:rFonts w:ascii="Palatino Linotype" w:hAnsi="Palatino Linotype" w:cs="Arial"/>
        </w:rPr>
        <w:t>, los recursos económicos del Estado</w:t>
      </w:r>
      <w:r w:rsidR="00A83DDD" w:rsidRPr="003F3783">
        <w:rPr>
          <w:rFonts w:ascii="Palatino Linotype" w:hAnsi="Palatino Linotype" w:cs="Arial"/>
        </w:rPr>
        <w:t xml:space="preserve"> y los municipios</w:t>
      </w:r>
      <w:r w:rsidRPr="003F3783">
        <w:rPr>
          <w:rFonts w:ascii="Palatino Linotype" w:hAnsi="Palatino Linotype" w:cs="Arial"/>
        </w:rPr>
        <w:t xml:space="preserve">, aunado a que todos los pagos se harán mediante orden escrita en la que se expresará la partida del presupuesto a cargo de la cual se realicen; </w:t>
      </w:r>
      <w:r w:rsidRPr="003F3783">
        <w:rPr>
          <w:rFonts w:ascii="Palatino Linotype" w:hAnsi="Palatino Linotype" w:cs="Arial"/>
          <w:sz w:val="22"/>
        </w:rPr>
        <w:t>se administrarán con eficiencia, eficacia y honradez, para cumplir con los objetivos y programas a los que estén destinados y todos los pagos se harán mediante orden escrita en la que se expresará la partida del presupuesto a cargo de la cual se realicen:</w:t>
      </w:r>
    </w:p>
    <w:p w14:paraId="204619A5" w14:textId="77777777" w:rsidR="008C06C5" w:rsidRPr="003F3783" w:rsidRDefault="008C06C5" w:rsidP="008C06C5">
      <w:pPr>
        <w:pStyle w:val="Prrafodelista"/>
        <w:autoSpaceDE w:val="0"/>
        <w:autoSpaceDN w:val="0"/>
        <w:adjustRightInd w:val="0"/>
        <w:spacing w:before="120" w:after="120" w:line="360" w:lineRule="auto"/>
        <w:ind w:left="0"/>
        <w:jc w:val="both"/>
        <w:rPr>
          <w:rFonts w:ascii="Palatino Linotype" w:hAnsi="Palatino Linotype" w:cs="Arial"/>
          <w:sz w:val="22"/>
        </w:rPr>
      </w:pPr>
    </w:p>
    <w:p w14:paraId="3C529D64" w14:textId="77777777" w:rsidR="008C06C5" w:rsidRPr="003F3783" w:rsidRDefault="008C06C5" w:rsidP="008C06C5">
      <w:pPr>
        <w:autoSpaceDE w:val="0"/>
        <w:autoSpaceDN w:val="0"/>
        <w:adjustRightInd w:val="0"/>
        <w:spacing w:before="120" w:after="120" w:line="360" w:lineRule="auto"/>
        <w:ind w:left="567" w:right="567"/>
        <w:jc w:val="both"/>
        <w:rPr>
          <w:rFonts w:ascii="Palatino Linotype" w:hAnsi="Palatino Linotype" w:cs="Arial"/>
          <w:i/>
          <w:sz w:val="22"/>
        </w:rPr>
      </w:pPr>
      <w:r w:rsidRPr="003F3783">
        <w:rPr>
          <w:rFonts w:ascii="Palatino Linotype" w:hAnsi="Palatino Linotype" w:cs="Arial"/>
          <w:b/>
          <w:i/>
          <w:sz w:val="22"/>
        </w:rPr>
        <w:t>Artículo 129.</w:t>
      </w:r>
      <w:r w:rsidRPr="003F3783">
        <w:rPr>
          <w:rFonts w:ascii="Palatino Linotype" w:hAnsi="Palatino Linotype" w:cs="Arial"/>
          <w:i/>
          <w:sz w:val="22"/>
        </w:rPr>
        <w:t xml:space="preserve">- Los recursos económicos del Estado, </w:t>
      </w:r>
      <w:r w:rsidRPr="003F3783">
        <w:rPr>
          <w:rFonts w:ascii="Palatino Linotype" w:hAnsi="Palatino Linotype" w:cs="Arial"/>
          <w:b/>
          <w:i/>
          <w:sz w:val="22"/>
          <w:u w:val="single"/>
        </w:rPr>
        <w:t>de los municipios</w:t>
      </w:r>
      <w:r w:rsidRPr="003F3783">
        <w:rPr>
          <w:rFonts w:ascii="Palatino Linotype" w:hAnsi="Palatino Linotype" w:cs="Arial"/>
          <w:i/>
          <w:sz w:val="22"/>
        </w:rPr>
        <w:t>, así como de los organismos autónomos, se administrarán con eficiencia, eficacia y honradez, para cumplir con los objetivos y programas a los que estén destinados.</w:t>
      </w:r>
    </w:p>
    <w:p w14:paraId="486CE5FC" w14:textId="77777777" w:rsidR="008C06C5" w:rsidRPr="003F3783" w:rsidRDefault="008C06C5" w:rsidP="008C06C5">
      <w:pPr>
        <w:autoSpaceDE w:val="0"/>
        <w:autoSpaceDN w:val="0"/>
        <w:adjustRightInd w:val="0"/>
        <w:spacing w:before="120" w:after="120" w:line="360" w:lineRule="auto"/>
        <w:ind w:left="567" w:right="567"/>
        <w:jc w:val="both"/>
        <w:rPr>
          <w:rFonts w:ascii="Palatino Linotype" w:hAnsi="Palatino Linotype" w:cs="Arial"/>
          <w:i/>
          <w:sz w:val="22"/>
        </w:rPr>
      </w:pPr>
      <w:r w:rsidRPr="003F3783">
        <w:rPr>
          <w:rFonts w:ascii="Palatino Linotype" w:hAnsi="Palatino Linotype" w:cs="Arial"/>
          <w:i/>
          <w:sz w:val="22"/>
        </w:rPr>
        <w:t>…</w:t>
      </w:r>
    </w:p>
    <w:p w14:paraId="14BFDA87" w14:textId="77777777" w:rsidR="008C06C5" w:rsidRPr="003F3783" w:rsidRDefault="008C06C5" w:rsidP="008C06C5">
      <w:pPr>
        <w:autoSpaceDE w:val="0"/>
        <w:autoSpaceDN w:val="0"/>
        <w:adjustRightInd w:val="0"/>
        <w:spacing w:before="120" w:after="120" w:line="360" w:lineRule="auto"/>
        <w:ind w:left="567" w:right="567"/>
        <w:jc w:val="both"/>
        <w:rPr>
          <w:rFonts w:ascii="Palatino Linotype" w:hAnsi="Palatino Linotype" w:cs="Arial"/>
          <w:b/>
          <w:i/>
          <w:sz w:val="22"/>
          <w:u w:val="single"/>
        </w:rPr>
      </w:pPr>
      <w:r w:rsidRPr="003F3783">
        <w:rPr>
          <w:rFonts w:ascii="Palatino Linotype" w:hAnsi="Palatino Linotype" w:cs="Arial"/>
          <w:b/>
          <w:i/>
          <w:sz w:val="22"/>
          <w:u w:val="single"/>
        </w:rPr>
        <w:t>Todos los pagos se harán mediante orden escrita en la que se expresará la partida del presupuesto a cargo de la cual se realicen.</w:t>
      </w:r>
    </w:p>
    <w:p w14:paraId="1F2F28B0" w14:textId="77777777" w:rsidR="008C06C5" w:rsidRPr="003F3783" w:rsidRDefault="008C06C5" w:rsidP="008C06C5">
      <w:pPr>
        <w:pStyle w:val="Prrafodelista"/>
        <w:autoSpaceDE w:val="0"/>
        <w:autoSpaceDN w:val="0"/>
        <w:adjustRightInd w:val="0"/>
        <w:spacing w:before="240" w:after="240" w:line="360" w:lineRule="auto"/>
        <w:ind w:left="0"/>
        <w:jc w:val="both"/>
        <w:rPr>
          <w:rFonts w:ascii="Palatino Linotype" w:hAnsi="Palatino Linotype" w:cs="Arial"/>
        </w:rPr>
      </w:pPr>
    </w:p>
    <w:p w14:paraId="6F38B1E4" w14:textId="2D0C5B10" w:rsidR="008C06C5" w:rsidRPr="003F3783" w:rsidRDefault="008C06C5" w:rsidP="008C06C5">
      <w:pPr>
        <w:pStyle w:val="Prrafodelista"/>
        <w:numPr>
          <w:ilvl w:val="0"/>
          <w:numId w:val="4"/>
        </w:numPr>
        <w:autoSpaceDE w:val="0"/>
        <w:autoSpaceDN w:val="0"/>
        <w:adjustRightInd w:val="0"/>
        <w:spacing w:before="240" w:after="240" w:line="360" w:lineRule="auto"/>
        <w:ind w:left="0" w:firstLine="0"/>
        <w:jc w:val="both"/>
        <w:rPr>
          <w:rFonts w:ascii="Palatino Linotype" w:hAnsi="Palatino Linotype" w:cs="Arial"/>
        </w:rPr>
      </w:pPr>
      <w:r w:rsidRPr="003F3783">
        <w:rPr>
          <w:rFonts w:ascii="Palatino Linotype" w:hAnsi="Palatino Linotype" w:cs="Arial"/>
        </w:rPr>
        <w:t xml:space="preserve">Asimismo, el </w:t>
      </w:r>
      <w:r w:rsidRPr="003F3783">
        <w:rPr>
          <w:rFonts w:ascii="Palatino Linotype" w:hAnsi="Palatino Linotype" w:cs="Arial"/>
          <w:b/>
        </w:rPr>
        <w:t>Código Financiero del Estado de México y Municipios</w:t>
      </w:r>
      <w:r w:rsidRPr="003F3783">
        <w:rPr>
          <w:rFonts w:ascii="Palatino Linotype" w:hAnsi="Palatino Linotype" w:cs="Arial"/>
        </w:rPr>
        <w:t>, señala en su artículo 34</w:t>
      </w:r>
      <w:r w:rsidR="00A83DDD" w:rsidRPr="003F3783">
        <w:rPr>
          <w:rFonts w:ascii="Palatino Linotype" w:hAnsi="Palatino Linotype" w:cs="Arial"/>
        </w:rPr>
        <w:t>2</w:t>
      </w:r>
      <w:r w:rsidRPr="003F3783">
        <w:rPr>
          <w:rFonts w:ascii="Palatino Linotype" w:hAnsi="Palatino Linotype" w:cs="Arial"/>
        </w:rPr>
        <w:t xml:space="preserve">, lo siguiente: </w:t>
      </w:r>
    </w:p>
    <w:p w14:paraId="17F739E9" w14:textId="77777777" w:rsidR="00A83DDD" w:rsidRPr="003F3783" w:rsidRDefault="00A83DDD" w:rsidP="008C06C5">
      <w:pPr>
        <w:autoSpaceDE w:val="0"/>
        <w:autoSpaceDN w:val="0"/>
        <w:adjustRightInd w:val="0"/>
        <w:spacing w:before="120" w:after="12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Artículo 342.-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49DEC73" w14:textId="69A0E254" w:rsidR="008C06C5" w:rsidRPr="003F3783" w:rsidRDefault="00A83DDD" w:rsidP="008C06C5">
      <w:pPr>
        <w:autoSpaceDE w:val="0"/>
        <w:autoSpaceDN w:val="0"/>
        <w:adjustRightInd w:val="0"/>
        <w:spacing w:before="120" w:after="120" w:line="360" w:lineRule="auto"/>
        <w:ind w:left="567" w:right="567"/>
        <w:jc w:val="both"/>
        <w:rPr>
          <w:rFonts w:ascii="Palatino Linotype" w:hAnsi="Palatino Linotype" w:cs="Arial"/>
          <w:i/>
          <w:sz w:val="22"/>
          <w:szCs w:val="22"/>
        </w:rPr>
      </w:pPr>
      <w:r w:rsidRPr="003F3783">
        <w:rPr>
          <w:rFonts w:ascii="Palatino Linotype" w:hAnsi="Palatino Linotype"/>
          <w:b/>
          <w:i/>
          <w:sz w:val="22"/>
          <w:szCs w:val="22"/>
        </w:rPr>
        <w:lastRenderedPageBreak/>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r w:rsidRPr="003F3783">
        <w:rPr>
          <w:rFonts w:ascii="Palatino Linotype" w:hAnsi="Palatino Linotype" w:cs="Arial"/>
          <w:i/>
          <w:sz w:val="22"/>
          <w:szCs w:val="22"/>
        </w:rPr>
        <w:t xml:space="preserve"> </w:t>
      </w:r>
    </w:p>
    <w:p w14:paraId="4761D7D0" w14:textId="77777777" w:rsidR="00A83DDD" w:rsidRPr="003F3783" w:rsidRDefault="00A83DDD" w:rsidP="008C06C5">
      <w:pPr>
        <w:autoSpaceDE w:val="0"/>
        <w:autoSpaceDN w:val="0"/>
        <w:adjustRightInd w:val="0"/>
        <w:spacing w:before="120" w:after="120" w:line="360" w:lineRule="auto"/>
        <w:ind w:left="567" w:right="567"/>
        <w:jc w:val="both"/>
        <w:rPr>
          <w:rFonts w:ascii="Palatino Linotype" w:hAnsi="Palatino Linotype"/>
          <w:b/>
          <w:i/>
          <w:u w:val="single"/>
        </w:rPr>
      </w:pPr>
      <w:r w:rsidRPr="003F3783">
        <w:rPr>
          <w:rFonts w:ascii="Palatino Linotype" w:hAnsi="Palatino Linotype"/>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3F3783">
        <w:rPr>
          <w:rFonts w:ascii="Palatino Linotype" w:hAnsi="Palatino Linotype"/>
          <w:b/>
          <w:i/>
          <w:u w:val="single"/>
        </w:rPr>
        <w:t xml:space="preserve">en el caso de los Municipios se hará por la Tesorería. </w:t>
      </w:r>
    </w:p>
    <w:p w14:paraId="093CD075" w14:textId="6AC62059" w:rsidR="00A83DDD" w:rsidRPr="003F3783" w:rsidRDefault="00A83DDD" w:rsidP="008C06C5">
      <w:pPr>
        <w:autoSpaceDE w:val="0"/>
        <w:autoSpaceDN w:val="0"/>
        <w:adjustRightInd w:val="0"/>
        <w:spacing w:before="120" w:after="120" w:line="360" w:lineRule="auto"/>
        <w:ind w:left="567" w:right="567"/>
        <w:jc w:val="both"/>
        <w:rPr>
          <w:rFonts w:ascii="Palatino Linotype" w:hAnsi="Palatino Linotype"/>
          <w:i/>
        </w:rPr>
      </w:pPr>
      <w:r w:rsidRPr="003F3783">
        <w:rPr>
          <w:rFonts w:ascii="Palatino Linotype" w:hAnsi="Palatino Linotype"/>
          <w:b/>
          <w:i/>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internos de control,</w:t>
      </w:r>
      <w:r w:rsidRPr="003F3783">
        <w:rPr>
          <w:rFonts w:ascii="Palatino Linotype" w:hAnsi="Palatino Linotype"/>
          <w:i/>
        </w:rPr>
        <w:t xml:space="preserve"> por un término de cinco años contados a partir del ejercicio presupuestal siguiente al que corresponda, </w:t>
      </w:r>
      <w:r w:rsidRPr="003F3783">
        <w:rPr>
          <w:rFonts w:ascii="Palatino Linotype" w:hAnsi="Palatino Linotype"/>
          <w:b/>
          <w:i/>
          <w:u w:val="single"/>
        </w:rPr>
        <w:t>en el caso de los municipios se hará por la Tesorería.</w:t>
      </w:r>
    </w:p>
    <w:p w14:paraId="540481C2" w14:textId="7D15C635" w:rsidR="00A83DDD" w:rsidRPr="003F3783" w:rsidRDefault="00A83DDD" w:rsidP="008C06C5">
      <w:pPr>
        <w:autoSpaceDE w:val="0"/>
        <w:autoSpaceDN w:val="0"/>
        <w:adjustRightInd w:val="0"/>
        <w:spacing w:before="120" w:after="120" w:line="360" w:lineRule="auto"/>
        <w:ind w:left="567" w:right="567"/>
        <w:jc w:val="both"/>
        <w:rPr>
          <w:rFonts w:ascii="Palatino Linotype" w:hAnsi="Palatino Linotype" w:cs="Arial"/>
          <w:i/>
          <w:sz w:val="22"/>
          <w:szCs w:val="22"/>
        </w:rPr>
      </w:pPr>
      <w:r w:rsidRPr="003F3783">
        <w:rPr>
          <w:rFonts w:ascii="Palatino Linotype" w:hAnsi="Palatino Linotype"/>
          <w:i/>
        </w:rPr>
        <w:t>Tratándose de documentos de carácter histórico, se estará a lo dispuesto por la legislación de la materia</w:t>
      </w:r>
    </w:p>
    <w:p w14:paraId="20773349" w14:textId="77777777" w:rsidR="00A83DDD" w:rsidRPr="003F3783" w:rsidRDefault="00A83DDD" w:rsidP="00A83DDD">
      <w:pPr>
        <w:pStyle w:val="Prrafodelista"/>
        <w:autoSpaceDE w:val="0"/>
        <w:autoSpaceDN w:val="0"/>
        <w:adjustRightInd w:val="0"/>
        <w:spacing w:after="240" w:line="360" w:lineRule="auto"/>
        <w:ind w:left="0"/>
        <w:jc w:val="both"/>
        <w:rPr>
          <w:rFonts w:ascii="Palatino Linotype" w:hAnsi="Palatino Linotype" w:cs="Arial"/>
        </w:rPr>
      </w:pPr>
    </w:p>
    <w:p w14:paraId="675EEC96" w14:textId="77777777" w:rsidR="008C06C5" w:rsidRPr="003F3783" w:rsidRDefault="008C06C5" w:rsidP="008C06C5">
      <w:pPr>
        <w:pStyle w:val="Prrafodelista"/>
        <w:numPr>
          <w:ilvl w:val="0"/>
          <w:numId w:val="4"/>
        </w:numPr>
        <w:autoSpaceDE w:val="0"/>
        <w:autoSpaceDN w:val="0"/>
        <w:adjustRightInd w:val="0"/>
        <w:spacing w:before="240" w:after="240" w:line="360" w:lineRule="auto"/>
        <w:ind w:left="0" w:firstLine="0"/>
        <w:jc w:val="both"/>
        <w:rPr>
          <w:rFonts w:ascii="Palatino Linotype" w:hAnsi="Palatino Linotype" w:cs="Arial"/>
        </w:rPr>
      </w:pPr>
      <w:r w:rsidRPr="003F3783">
        <w:rPr>
          <w:rFonts w:ascii="Palatino Linotype" w:hAnsi="Palatino Linotype" w:cs="Arial"/>
        </w:rPr>
        <w:t>Por lo tanto, todo registro contable, sea un ingreso o un egreso, deberá estar soportado con la documentación comprobatoria original.</w:t>
      </w:r>
    </w:p>
    <w:p w14:paraId="3FA7205E" w14:textId="77777777" w:rsidR="008C06C5" w:rsidRPr="003F3783" w:rsidRDefault="008C06C5" w:rsidP="008C06C5">
      <w:pPr>
        <w:pStyle w:val="Prrafodelista"/>
        <w:autoSpaceDE w:val="0"/>
        <w:autoSpaceDN w:val="0"/>
        <w:adjustRightInd w:val="0"/>
        <w:spacing w:before="240" w:after="240" w:line="360" w:lineRule="auto"/>
        <w:ind w:left="0"/>
        <w:jc w:val="both"/>
        <w:rPr>
          <w:rFonts w:ascii="Palatino Linotype" w:hAnsi="Palatino Linotype" w:cs="Arial"/>
        </w:rPr>
      </w:pPr>
    </w:p>
    <w:p w14:paraId="099182E1" w14:textId="77777777" w:rsidR="008C06C5" w:rsidRPr="003F3783" w:rsidRDefault="008C06C5" w:rsidP="008C06C5">
      <w:pPr>
        <w:pStyle w:val="Prrafodelista"/>
        <w:numPr>
          <w:ilvl w:val="0"/>
          <w:numId w:val="4"/>
        </w:numPr>
        <w:autoSpaceDE w:val="0"/>
        <w:autoSpaceDN w:val="0"/>
        <w:adjustRightInd w:val="0"/>
        <w:spacing w:before="240" w:after="240" w:line="360" w:lineRule="auto"/>
        <w:ind w:left="0" w:right="567" w:firstLine="0"/>
        <w:jc w:val="both"/>
        <w:rPr>
          <w:rFonts w:ascii="Palatino Linotype" w:hAnsi="Palatino Linotype" w:cs="Arial"/>
        </w:rPr>
      </w:pPr>
      <w:r w:rsidRPr="003F3783">
        <w:rPr>
          <w:rFonts w:ascii="Palatino Linotype" w:hAnsi="Palatino Linotype" w:cs="Arial"/>
        </w:rPr>
        <w:lastRenderedPageBreak/>
        <w:t xml:space="preserve">Ahora bien, la </w:t>
      </w:r>
      <w:r w:rsidRPr="003F3783">
        <w:rPr>
          <w:rFonts w:ascii="Palatino Linotype" w:hAnsi="Palatino Linotype" w:cs="Arial"/>
          <w:b/>
        </w:rPr>
        <w:t>Ley de Planeación del Estado de México y Municipios</w:t>
      </w:r>
      <w:r w:rsidRPr="003F3783">
        <w:rPr>
          <w:rFonts w:ascii="Palatino Linotype" w:hAnsi="Palatino Linotype" w:cs="Arial"/>
        </w:rPr>
        <w:t xml:space="preserve">, establece lo siguiente: </w:t>
      </w:r>
    </w:p>
    <w:p w14:paraId="2E56A537" w14:textId="77777777" w:rsidR="008C06C5" w:rsidRPr="003F3783" w:rsidRDefault="008C06C5" w:rsidP="008C06C5">
      <w:pPr>
        <w:spacing w:line="360" w:lineRule="auto"/>
        <w:ind w:left="709" w:right="567"/>
        <w:jc w:val="both"/>
        <w:rPr>
          <w:rFonts w:ascii="Palatino Linotype" w:hAnsi="Palatino Linotype"/>
          <w:i/>
          <w:sz w:val="22"/>
          <w:szCs w:val="22"/>
          <w:lang w:eastAsia="es-MX"/>
        </w:rPr>
      </w:pPr>
      <w:r w:rsidRPr="003F3783">
        <w:rPr>
          <w:rFonts w:ascii="Palatino Linotype" w:hAnsi="Palatino Linotype"/>
          <w:b/>
          <w:bCs/>
          <w:i/>
          <w:sz w:val="22"/>
          <w:szCs w:val="22"/>
          <w:lang w:eastAsia="es-MX"/>
        </w:rPr>
        <w:t>Artículo 1</w:t>
      </w:r>
      <w:r w:rsidRPr="003F3783">
        <w:rPr>
          <w:rFonts w:ascii="Palatino Linotype" w:hAnsi="Palatino Linotype"/>
          <w:bCs/>
          <w:i/>
          <w:sz w:val="22"/>
          <w:szCs w:val="22"/>
          <w:lang w:eastAsia="es-MX"/>
        </w:rPr>
        <w:t xml:space="preserve">.- </w:t>
      </w:r>
      <w:r w:rsidRPr="003F3783">
        <w:rPr>
          <w:rFonts w:ascii="Palatino Linotype" w:hAnsi="Palatino Linotype"/>
          <w:i/>
          <w:sz w:val="22"/>
          <w:szCs w:val="22"/>
          <w:lang w:eastAsia="es-MX"/>
        </w:rPr>
        <w:t>La presente ley es de orden público e interés social y tiene por objeto, establecer las normas:</w:t>
      </w:r>
    </w:p>
    <w:p w14:paraId="4D0D00A7" w14:textId="77777777" w:rsidR="008C06C5" w:rsidRPr="003F3783" w:rsidRDefault="008C06C5" w:rsidP="008C06C5">
      <w:pPr>
        <w:spacing w:line="360" w:lineRule="auto"/>
        <w:ind w:left="709" w:right="567"/>
        <w:jc w:val="both"/>
        <w:rPr>
          <w:rFonts w:ascii="Palatino Linotype" w:hAnsi="Palatino Linotype"/>
          <w:b/>
          <w:i/>
          <w:sz w:val="22"/>
          <w:szCs w:val="22"/>
          <w:lang w:eastAsia="es-MX"/>
        </w:rPr>
      </w:pPr>
    </w:p>
    <w:p w14:paraId="06DEE010" w14:textId="77777777" w:rsidR="008C06C5" w:rsidRPr="003F3783" w:rsidRDefault="008C06C5" w:rsidP="008C06C5">
      <w:pPr>
        <w:spacing w:line="360" w:lineRule="auto"/>
        <w:ind w:left="709" w:right="567"/>
        <w:jc w:val="both"/>
        <w:rPr>
          <w:rFonts w:ascii="Palatino Linotype" w:hAnsi="Palatino Linotype"/>
          <w:b/>
          <w:i/>
          <w:sz w:val="22"/>
          <w:szCs w:val="22"/>
          <w:lang w:eastAsia="es-MX"/>
        </w:rPr>
      </w:pPr>
      <w:r w:rsidRPr="003F3783">
        <w:rPr>
          <w:rFonts w:ascii="Palatino Linotype" w:hAnsi="Palatino Linotype"/>
          <w:i/>
          <w:sz w:val="22"/>
          <w:szCs w:val="22"/>
          <w:lang w:eastAsia="es-MX"/>
        </w:rPr>
        <w:t>I. Del Sistema de Planeación Democrática para el Desarrollo del Estado de México y Municipios</w:t>
      </w:r>
      <w:r w:rsidRPr="003F3783">
        <w:rPr>
          <w:rFonts w:ascii="Palatino Linotype" w:hAnsi="Palatino Linotype"/>
          <w:b/>
          <w:i/>
          <w:sz w:val="22"/>
          <w:szCs w:val="22"/>
          <w:lang w:eastAsia="es-MX"/>
        </w:rPr>
        <w:t>;</w:t>
      </w:r>
    </w:p>
    <w:p w14:paraId="2F466DAD" w14:textId="77777777" w:rsidR="008C06C5" w:rsidRPr="003F3783" w:rsidRDefault="008C06C5" w:rsidP="008C06C5">
      <w:pPr>
        <w:spacing w:line="360" w:lineRule="auto"/>
        <w:ind w:left="709" w:right="567"/>
        <w:jc w:val="both"/>
        <w:rPr>
          <w:rFonts w:ascii="Palatino Linotype" w:hAnsi="Palatino Linotype"/>
          <w:b/>
          <w:i/>
          <w:sz w:val="22"/>
          <w:szCs w:val="22"/>
          <w:lang w:eastAsia="es-MX"/>
        </w:rPr>
      </w:pPr>
    </w:p>
    <w:p w14:paraId="3BEA519A" w14:textId="77777777" w:rsidR="008C06C5" w:rsidRPr="003F3783" w:rsidRDefault="008C06C5" w:rsidP="008C06C5">
      <w:pPr>
        <w:spacing w:line="360" w:lineRule="auto"/>
        <w:ind w:left="709" w:right="567"/>
        <w:jc w:val="both"/>
        <w:rPr>
          <w:rFonts w:ascii="Palatino Linotype" w:hAnsi="Palatino Linotype"/>
          <w:b/>
          <w:i/>
          <w:sz w:val="22"/>
          <w:szCs w:val="22"/>
          <w:lang w:eastAsia="es-MX"/>
        </w:rPr>
      </w:pPr>
      <w:r w:rsidRPr="003F3783">
        <w:rPr>
          <w:rFonts w:ascii="Palatino Linotype" w:hAnsi="Palatino Linotype"/>
          <w:i/>
          <w:sz w:val="22"/>
          <w:szCs w:val="22"/>
          <w:lang w:eastAsia="es-MX"/>
        </w:rPr>
        <w:t>II. De la participación democrática de los habitantes del Estado de México, grupos y organizaciones sociales y privados en la elaboración, ejecución y evaluación del Plan de Desarrollo del Estado de México y los planes de desarrollo municipales, así como de los programas a que se refiere esta ley</w:t>
      </w:r>
      <w:r w:rsidRPr="003F3783">
        <w:rPr>
          <w:rFonts w:ascii="Palatino Linotype" w:hAnsi="Palatino Linotype"/>
          <w:b/>
          <w:i/>
          <w:sz w:val="22"/>
          <w:szCs w:val="22"/>
          <w:lang w:eastAsia="es-MX"/>
        </w:rPr>
        <w:t>;</w:t>
      </w:r>
    </w:p>
    <w:p w14:paraId="27494CED" w14:textId="77777777" w:rsidR="008C06C5" w:rsidRPr="003F3783" w:rsidRDefault="008C06C5" w:rsidP="008C06C5">
      <w:pPr>
        <w:spacing w:line="360" w:lineRule="auto"/>
        <w:ind w:left="709" w:right="567"/>
        <w:jc w:val="both"/>
        <w:rPr>
          <w:rFonts w:ascii="Palatino Linotype" w:hAnsi="Palatino Linotype"/>
          <w:i/>
          <w:sz w:val="22"/>
          <w:szCs w:val="22"/>
          <w:lang w:eastAsia="es-MX"/>
        </w:rPr>
      </w:pPr>
    </w:p>
    <w:p w14:paraId="4218DA9E" w14:textId="77777777" w:rsidR="008C06C5" w:rsidRPr="003F3783" w:rsidRDefault="008C06C5" w:rsidP="008C06C5">
      <w:pPr>
        <w:spacing w:line="360" w:lineRule="auto"/>
        <w:ind w:left="709" w:right="567"/>
        <w:jc w:val="both"/>
        <w:rPr>
          <w:rFonts w:ascii="Palatino Linotype" w:hAnsi="Palatino Linotype"/>
          <w:i/>
          <w:sz w:val="22"/>
          <w:szCs w:val="22"/>
          <w:lang w:eastAsia="es-MX"/>
        </w:rPr>
      </w:pPr>
      <w:r w:rsidRPr="003F3783">
        <w:rPr>
          <w:rFonts w:ascii="Palatino Linotype" w:hAnsi="Palatino Linotype"/>
          <w:i/>
          <w:sz w:val="22"/>
          <w:szCs w:val="22"/>
          <w:lang w:eastAsia="es-MX"/>
        </w:rPr>
        <w:t>III. De la coordinación de acciones de planeación democrática para el desarrollo con el Gobierno Federal y los gobiernos municipales;</w:t>
      </w:r>
    </w:p>
    <w:p w14:paraId="4E87B3EB" w14:textId="77777777" w:rsidR="008C06C5" w:rsidRPr="003F3783" w:rsidRDefault="008C06C5" w:rsidP="008C06C5">
      <w:pPr>
        <w:spacing w:line="360" w:lineRule="auto"/>
        <w:ind w:left="709" w:right="567"/>
        <w:jc w:val="both"/>
        <w:rPr>
          <w:rFonts w:ascii="Palatino Linotype" w:hAnsi="Palatino Linotype"/>
          <w:i/>
          <w:sz w:val="22"/>
          <w:szCs w:val="22"/>
          <w:lang w:eastAsia="es-MX"/>
        </w:rPr>
      </w:pPr>
      <w:r w:rsidRPr="003F3783">
        <w:rPr>
          <w:rFonts w:ascii="Palatino Linotype" w:hAnsi="Palatino Linotype"/>
          <w:i/>
          <w:sz w:val="22"/>
          <w:szCs w:val="22"/>
          <w:lang w:eastAsia="es-MX"/>
        </w:rPr>
        <w:t>…</w:t>
      </w:r>
    </w:p>
    <w:p w14:paraId="470E1404" w14:textId="77777777" w:rsidR="008C06C5" w:rsidRPr="003F3783" w:rsidRDefault="008C06C5" w:rsidP="008C06C5">
      <w:pPr>
        <w:spacing w:line="360" w:lineRule="auto"/>
        <w:ind w:left="709" w:right="567"/>
        <w:jc w:val="both"/>
        <w:rPr>
          <w:rFonts w:ascii="Palatino Linotype" w:hAnsi="Palatino Linotype" w:cs="Arial"/>
          <w:b/>
          <w:bCs/>
          <w:i/>
          <w:sz w:val="22"/>
          <w:szCs w:val="22"/>
          <w:lang w:eastAsia="es-MX"/>
        </w:rPr>
      </w:pPr>
      <w:r w:rsidRPr="003F3783">
        <w:rPr>
          <w:rFonts w:ascii="Palatino Linotype" w:hAnsi="Palatino Linotype" w:cs="Arial"/>
          <w:b/>
          <w:bCs/>
          <w:i/>
          <w:sz w:val="22"/>
          <w:szCs w:val="22"/>
          <w:lang w:eastAsia="es-MX"/>
        </w:rPr>
        <w:t xml:space="preserve">Artículo 6.- </w:t>
      </w:r>
      <w:r w:rsidRPr="003F3783">
        <w:rPr>
          <w:rFonts w:ascii="Palatino Linotype" w:hAnsi="Palatino Linotype" w:cs="Arial"/>
          <w:bCs/>
          <w:i/>
          <w:sz w:val="22"/>
          <w:szCs w:val="22"/>
          <w:lang w:eastAsia="es-MX"/>
        </w:rPr>
        <w:t>La planeación democrática para el desarrollo, como proceso permanente, debe ser el medio para lograr el progreso económico y social del Estado de México y municipios, dirigido principalmente a la atención de las necesidades básicas</w:t>
      </w:r>
      <w:r w:rsidRPr="003F3783">
        <w:rPr>
          <w:rFonts w:ascii="Palatino Linotype" w:hAnsi="Palatino Linotype" w:cs="Arial"/>
          <w:b/>
          <w:bCs/>
          <w:i/>
          <w:sz w:val="22"/>
          <w:szCs w:val="22"/>
          <w:lang w:eastAsia="es-MX"/>
        </w:rPr>
        <w:t xml:space="preserve"> </w:t>
      </w:r>
      <w:r w:rsidRPr="003F3783">
        <w:rPr>
          <w:rFonts w:ascii="Palatino Linotype" w:hAnsi="Palatino Linotype" w:cs="Arial"/>
          <w:bCs/>
          <w:i/>
          <w:sz w:val="22"/>
          <w:szCs w:val="22"/>
          <w:lang w:eastAsia="es-MX"/>
        </w:rPr>
        <w:t>que se traduzcan en el mejoramiento de la calidad de vida de la población, mediante la participación de los diferentes órdenes de gobierno, habitantes, grupos y organizaciones sociales y privados</w:t>
      </w:r>
      <w:r w:rsidRPr="003F3783">
        <w:rPr>
          <w:rFonts w:ascii="Palatino Linotype" w:hAnsi="Palatino Linotype" w:cs="Arial"/>
          <w:b/>
          <w:bCs/>
          <w:i/>
          <w:sz w:val="22"/>
          <w:szCs w:val="22"/>
          <w:lang w:eastAsia="es-MX"/>
        </w:rPr>
        <w:t>.</w:t>
      </w:r>
      <w:r w:rsidRPr="003F3783">
        <w:rPr>
          <w:rFonts w:ascii="Palatino Linotype" w:hAnsi="Palatino Linotype" w:cs="Arial"/>
          <w:bCs/>
          <w:i/>
          <w:sz w:val="22"/>
          <w:szCs w:val="22"/>
          <w:lang w:eastAsia="es-MX"/>
        </w:rPr>
        <w:t>”</w:t>
      </w:r>
    </w:p>
    <w:p w14:paraId="0222A889" w14:textId="77777777" w:rsidR="008C06C5" w:rsidRPr="003F3783" w:rsidRDefault="008C06C5" w:rsidP="008C06C5">
      <w:pPr>
        <w:spacing w:line="360" w:lineRule="auto"/>
        <w:ind w:left="709" w:right="567"/>
        <w:jc w:val="both"/>
        <w:rPr>
          <w:rFonts w:ascii="Palatino Linotype" w:hAnsi="Palatino Linotype" w:cs="Arial"/>
          <w:b/>
          <w:bCs/>
          <w:i/>
          <w:sz w:val="22"/>
          <w:szCs w:val="22"/>
          <w:lang w:eastAsia="es-MX"/>
        </w:rPr>
      </w:pPr>
    </w:p>
    <w:p w14:paraId="06A84366" w14:textId="77777777" w:rsidR="008C06C5" w:rsidRPr="003F3783" w:rsidRDefault="008C06C5" w:rsidP="008C06C5">
      <w:pPr>
        <w:spacing w:line="360" w:lineRule="auto"/>
        <w:ind w:left="709" w:right="567"/>
        <w:jc w:val="both"/>
        <w:rPr>
          <w:rFonts w:ascii="Palatino Linotype" w:hAnsi="Palatino Linotype" w:cs="Arial"/>
          <w:i/>
          <w:sz w:val="22"/>
          <w:szCs w:val="22"/>
          <w:lang w:eastAsia="es-MX"/>
        </w:rPr>
      </w:pPr>
      <w:r w:rsidRPr="003F3783">
        <w:rPr>
          <w:rFonts w:ascii="Palatino Linotype" w:hAnsi="Palatino Linotype" w:cs="Arial"/>
          <w:bCs/>
          <w:i/>
          <w:sz w:val="22"/>
          <w:szCs w:val="22"/>
          <w:lang w:eastAsia="es-MX"/>
        </w:rPr>
        <w:t>“</w:t>
      </w:r>
      <w:r w:rsidRPr="003F3783">
        <w:rPr>
          <w:rFonts w:ascii="Palatino Linotype" w:hAnsi="Palatino Linotype" w:cs="Arial"/>
          <w:b/>
          <w:bCs/>
          <w:i/>
          <w:sz w:val="22"/>
          <w:szCs w:val="22"/>
          <w:lang w:eastAsia="es-MX"/>
        </w:rPr>
        <w:t>Artículo 7.-</w:t>
      </w:r>
      <w:r w:rsidRPr="003F3783">
        <w:rPr>
          <w:rFonts w:ascii="Palatino Linotype" w:hAnsi="Palatino Linotype" w:cs="Arial"/>
          <w:bCs/>
          <w:i/>
          <w:sz w:val="22"/>
          <w:szCs w:val="22"/>
          <w:lang w:eastAsia="es-MX"/>
        </w:rPr>
        <w:t xml:space="preserve"> </w:t>
      </w:r>
      <w:r w:rsidRPr="003F3783">
        <w:rPr>
          <w:rFonts w:ascii="Palatino Linotype" w:hAnsi="Palatino Linotype" w:cs="Arial"/>
          <w:i/>
          <w:sz w:val="22"/>
          <w:szCs w:val="22"/>
          <w:lang w:eastAsia="es-MX"/>
        </w:rPr>
        <w:t xml:space="preserve">El proceso de planeación democrática para el desarrollo de los habitantes del Estado de México </w:t>
      </w:r>
      <w:r w:rsidRPr="003F3783">
        <w:rPr>
          <w:rFonts w:ascii="Palatino Linotype" w:hAnsi="Palatino Linotype" w:cs="Arial"/>
          <w:b/>
          <w:i/>
          <w:sz w:val="22"/>
          <w:szCs w:val="22"/>
          <w:u w:val="single"/>
          <w:lang w:eastAsia="es-MX"/>
        </w:rPr>
        <w:t>y municipios</w:t>
      </w:r>
      <w:r w:rsidRPr="003F3783">
        <w:rPr>
          <w:rFonts w:ascii="Palatino Linotype" w:hAnsi="Palatino Linotype" w:cs="Arial"/>
          <w:i/>
          <w:sz w:val="22"/>
          <w:szCs w:val="22"/>
          <w:lang w:eastAsia="es-MX"/>
        </w:rPr>
        <w:t xml:space="preserve">, comprenderá la formulación de planes </w:t>
      </w:r>
      <w:r w:rsidRPr="003F3783">
        <w:rPr>
          <w:rFonts w:ascii="Palatino Linotype" w:hAnsi="Palatino Linotype" w:cs="Arial"/>
          <w:b/>
          <w:i/>
          <w:sz w:val="22"/>
          <w:szCs w:val="22"/>
          <w:u w:val="single"/>
          <w:lang w:eastAsia="es-MX"/>
        </w:rPr>
        <w:t>y sus programas</w:t>
      </w:r>
      <w:r w:rsidRPr="003F3783">
        <w:rPr>
          <w:rFonts w:ascii="Palatino Linotype" w:hAnsi="Palatino Linotype" w:cs="Arial"/>
          <w:i/>
          <w:sz w:val="22"/>
          <w:szCs w:val="22"/>
          <w:lang w:eastAsia="es-MX"/>
        </w:rPr>
        <w:t xml:space="preserve">, los cuales deberán contener un diagnóstico, prospectiva, objetivos, metas, </w:t>
      </w:r>
      <w:r w:rsidRPr="003F3783">
        <w:rPr>
          <w:rFonts w:ascii="Palatino Linotype" w:hAnsi="Palatino Linotype" w:cs="Arial"/>
          <w:i/>
          <w:sz w:val="22"/>
          <w:szCs w:val="22"/>
          <w:lang w:eastAsia="es-MX"/>
        </w:rPr>
        <w:lastRenderedPageBreak/>
        <w:t xml:space="preserve">estrategias, prioridades y líneas de acción; </w:t>
      </w:r>
      <w:r w:rsidRPr="003F3783">
        <w:rPr>
          <w:rFonts w:ascii="Palatino Linotype" w:hAnsi="Palatino Linotype" w:cs="Arial"/>
          <w:b/>
          <w:i/>
          <w:sz w:val="22"/>
          <w:szCs w:val="22"/>
          <w:u w:val="single"/>
          <w:lang w:eastAsia="es-MX"/>
        </w:rPr>
        <w:t>la asignación de recursos</w:t>
      </w:r>
      <w:r w:rsidRPr="003F3783">
        <w:rPr>
          <w:rFonts w:ascii="Palatino Linotype" w:hAnsi="Palatino Linotype" w:cs="Arial"/>
          <w:i/>
          <w:sz w:val="22"/>
          <w:szCs w:val="22"/>
          <w:lang w:eastAsia="es-MX"/>
        </w:rPr>
        <w:t>, de responsabilidades, de tiempos de ejecución, de control, seguimiento de acciones y evaluación de resultados, así como la determinación, seguimiento y evaluación de indicadores para el desarrollo social y humano.”</w:t>
      </w:r>
    </w:p>
    <w:p w14:paraId="002E594E" w14:textId="77777777" w:rsidR="008C06C5" w:rsidRPr="003F3783" w:rsidRDefault="008C06C5" w:rsidP="008C06C5">
      <w:pPr>
        <w:spacing w:line="360" w:lineRule="auto"/>
        <w:ind w:left="709" w:right="567"/>
        <w:jc w:val="both"/>
        <w:rPr>
          <w:rFonts w:ascii="Palatino Linotype" w:hAnsi="Palatino Linotype" w:cs="Arial"/>
          <w:i/>
          <w:sz w:val="22"/>
          <w:szCs w:val="22"/>
          <w:lang w:eastAsia="es-MX"/>
        </w:rPr>
      </w:pPr>
    </w:p>
    <w:p w14:paraId="0D24C71E" w14:textId="77777777" w:rsidR="008C06C5" w:rsidRPr="003F3783" w:rsidRDefault="008C06C5" w:rsidP="008C06C5">
      <w:pPr>
        <w:spacing w:line="360" w:lineRule="auto"/>
        <w:ind w:left="709" w:right="567"/>
        <w:jc w:val="both"/>
        <w:rPr>
          <w:rFonts w:ascii="Palatino Linotype" w:hAnsi="Palatino Linotype" w:cs="Arial"/>
          <w:i/>
          <w:sz w:val="22"/>
          <w:szCs w:val="22"/>
          <w:lang w:eastAsia="es-MX"/>
        </w:rPr>
      </w:pPr>
      <w:r w:rsidRPr="003F3783">
        <w:rPr>
          <w:rFonts w:ascii="Palatino Linotype" w:hAnsi="Palatino Linotype" w:cs="Arial"/>
          <w:b/>
          <w:bCs/>
          <w:i/>
          <w:sz w:val="22"/>
          <w:szCs w:val="22"/>
          <w:lang w:eastAsia="es-MX"/>
        </w:rPr>
        <w:t>Artículo 10.-</w:t>
      </w:r>
      <w:r w:rsidRPr="003F3783">
        <w:rPr>
          <w:rFonts w:ascii="Palatino Linotype" w:hAnsi="Palatino Linotype" w:cs="Arial"/>
          <w:bCs/>
          <w:i/>
          <w:sz w:val="22"/>
          <w:szCs w:val="22"/>
          <w:lang w:eastAsia="es-MX"/>
        </w:rPr>
        <w:t xml:space="preserve"> </w:t>
      </w:r>
      <w:r w:rsidRPr="003F3783">
        <w:rPr>
          <w:rFonts w:ascii="Palatino Linotype" w:hAnsi="Palatino Linotype" w:cs="Arial"/>
          <w:i/>
          <w:sz w:val="22"/>
          <w:szCs w:val="22"/>
          <w:lang w:eastAsia="es-MX"/>
        </w:rPr>
        <w:t>Para efectos de esta Ley, se entiende por:</w:t>
      </w:r>
    </w:p>
    <w:p w14:paraId="56F7808D" w14:textId="77777777" w:rsidR="008C06C5" w:rsidRPr="003F3783" w:rsidRDefault="008C06C5" w:rsidP="008C06C5">
      <w:pPr>
        <w:spacing w:line="360" w:lineRule="auto"/>
        <w:ind w:left="709" w:right="567"/>
        <w:jc w:val="both"/>
        <w:rPr>
          <w:rFonts w:ascii="Palatino Linotype" w:hAnsi="Palatino Linotype" w:cs="Arial"/>
          <w:i/>
          <w:sz w:val="22"/>
          <w:szCs w:val="22"/>
          <w:lang w:eastAsia="es-MX"/>
        </w:rPr>
      </w:pPr>
    </w:p>
    <w:p w14:paraId="700B7A71" w14:textId="77777777" w:rsidR="008C06C5" w:rsidRPr="003F3783" w:rsidRDefault="008C06C5" w:rsidP="008C06C5">
      <w:pPr>
        <w:autoSpaceDE w:val="0"/>
        <w:autoSpaceDN w:val="0"/>
        <w:adjustRightInd w:val="0"/>
        <w:spacing w:line="360" w:lineRule="auto"/>
        <w:ind w:left="709" w:right="567"/>
        <w:jc w:val="both"/>
        <w:rPr>
          <w:rFonts w:ascii="Palatino Linotype" w:eastAsia="Calibri" w:hAnsi="Palatino Linotype" w:cs="Bookman Old Style"/>
          <w:b/>
          <w:i/>
          <w:sz w:val="22"/>
          <w:szCs w:val="22"/>
          <w:u w:val="single"/>
        </w:rPr>
      </w:pPr>
      <w:r w:rsidRPr="003F3783">
        <w:rPr>
          <w:rFonts w:ascii="Palatino Linotype" w:eastAsia="Calibri" w:hAnsi="Palatino Linotype"/>
          <w:b/>
          <w:i/>
          <w:sz w:val="22"/>
          <w:szCs w:val="22"/>
        </w:rPr>
        <w:t>Evaluación.</w:t>
      </w:r>
      <w:r w:rsidRPr="003F3783">
        <w:rPr>
          <w:rFonts w:ascii="Palatino Linotype" w:eastAsia="Calibri" w:hAnsi="Palatino Linotype"/>
          <w:i/>
          <w:sz w:val="22"/>
          <w:szCs w:val="22"/>
        </w:rPr>
        <w:t xml:space="preserve"> Proceso que tiene como finalidad determinar el grado de eficacia y eficiencia, con que han sido empleados los recursos destinados a alcanzar los objetivos previstos, posibilitando la determinación de las desviaciones y la adopción de medidas correctivas que garanticen el cumplimientos adecuado de las metas</w:t>
      </w:r>
    </w:p>
    <w:p w14:paraId="03652F93" w14:textId="77777777" w:rsidR="008C06C5" w:rsidRPr="003F3783" w:rsidRDefault="008C06C5" w:rsidP="008C06C5">
      <w:pPr>
        <w:autoSpaceDE w:val="0"/>
        <w:autoSpaceDN w:val="0"/>
        <w:adjustRightInd w:val="0"/>
        <w:spacing w:line="360" w:lineRule="auto"/>
        <w:ind w:left="709" w:right="567"/>
        <w:jc w:val="both"/>
        <w:rPr>
          <w:rFonts w:ascii="Palatino Linotype" w:eastAsia="Calibri" w:hAnsi="Palatino Linotype" w:cs="Bookman Old Style"/>
          <w:b/>
          <w:i/>
          <w:sz w:val="22"/>
          <w:szCs w:val="22"/>
          <w:u w:val="single"/>
        </w:rPr>
      </w:pPr>
    </w:p>
    <w:p w14:paraId="5BDECAE1" w14:textId="77777777" w:rsidR="008C06C5" w:rsidRPr="003F3783" w:rsidRDefault="008C06C5" w:rsidP="008C06C5">
      <w:pPr>
        <w:autoSpaceDE w:val="0"/>
        <w:autoSpaceDN w:val="0"/>
        <w:adjustRightInd w:val="0"/>
        <w:spacing w:line="360" w:lineRule="auto"/>
        <w:ind w:left="709" w:right="567"/>
        <w:jc w:val="both"/>
        <w:rPr>
          <w:rFonts w:ascii="Palatino Linotype" w:eastAsia="Calibri" w:hAnsi="Palatino Linotype" w:cs="Bookman Old Style"/>
          <w:i/>
          <w:sz w:val="22"/>
          <w:szCs w:val="22"/>
        </w:rPr>
      </w:pPr>
      <w:r w:rsidRPr="003F3783">
        <w:rPr>
          <w:rFonts w:ascii="Palatino Linotype" w:eastAsia="Calibri" w:hAnsi="Palatino Linotype" w:cs="Bookman Old Style"/>
          <w:b/>
          <w:i/>
          <w:sz w:val="22"/>
          <w:szCs w:val="22"/>
        </w:rPr>
        <w:t>Programa</w:t>
      </w:r>
      <w:r w:rsidRPr="003F3783">
        <w:rPr>
          <w:rFonts w:ascii="Palatino Linotype" w:eastAsia="Calibri" w:hAnsi="Palatino Linotype" w:cs="Bookman Old Style"/>
          <w:i/>
          <w:sz w:val="22"/>
          <w:szCs w:val="22"/>
        </w:rPr>
        <w:t xml:space="preserve">. Instrumento de los planes que ordena y vincula, cronológica, espacial, cuantitativa y técnicamente las acciones o actividades </w:t>
      </w:r>
      <w:r w:rsidRPr="003F3783">
        <w:rPr>
          <w:rFonts w:ascii="Palatino Linotype" w:eastAsia="Calibri" w:hAnsi="Palatino Linotype" w:cs="Bookman Old Style"/>
          <w:b/>
          <w:i/>
          <w:sz w:val="22"/>
          <w:szCs w:val="22"/>
          <w:u w:val="single"/>
        </w:rPr>
        <w:t>y los recursos necesarios para alcanzar una meta</w:t>
      </w:r>
      <w:r w:rsidRPr="003F3783">
        <w:rPr>
          <w:rFonts w:ascii="Palatino Linotype" w:eastAsia="Calibri" w:hAnsi="Palatino Linotype" w:cs="Bookman Old Style"/>
          <w:i/>
          <w:sz w:val="22"/>
          <w:szCs w:val="22"/>
        </w:rPr>
        <w:t>, que contribuirá a lograr los objetivos de los planes de desarrollo.</w:t>
      </w:r>
    </w:p>
    <w:p w14:paraId="0D1A0796" w14:textId="77777777" w:rsidR="008C06C5" w:rsidRPr="003F3783" w:rsidRDefault="008C06C5" w:rsidP="008C06C5">
      <w:pPr>
        <w:autoSpaceDE w:val="0"/>
        <w:autoSpaceDN w:val="0"/>
        <w:adjustRightInd w:val="0"/>
        <w:spacing w:line="360" w:lineRule="auto"/>
        <w:ind w:left="709" w:right="567"/>
        <w:jc w:val="both"/>
        <w:rPr>
          <w:rFonts w:ascii="Palatino Linotype" w:eastAsia="Calibri" w:hAnsi="Palatino Linotype" w:cs="Bookman Old Style"/>
          <w:i/>
          <w:sz w:val="22"/>
          <w:szCs w:val="22"/>
        </w:rPr>
      </w:pPr>
    </w:p>
    <w:p w14:paraId="3AA1C3E8" w14:textId="4C19CA54" w:rsidR="008C06C5" w:rsidRPr="003F3783" w:rsidRDefault="008C06C5" w:rsidP="008C06C5">
      <w:pPr>
        <w:pStyle w:val="Prrafodelista"/>
        <w:numPr>
          <w:ilvl w:val="0"/>
          <w:numId w:val="4"/>
        </w:numPr>
        <w:tabs>
          <w:tab w:val="left" w:pos="284"/>
        </w:tabs>
        <w:autoSpaceDE w:val="0"/>
        <w:autoSpaceDN w:val="0"/>
        <w:adjustRightInd w:val="0"/>
        <w:spacing w:before="240" w:after="240" w:line="360" w:lineRule="auto"/>
        <w:ind w:left="0" w:firstLine="0"/>
        <w:jc w:val="both"/>
        <w:rPr>
          <w:rFonts w:ascii="Palatino Linotype" w:hAnsi="Palatino Linotype" w:cs="Arial"/>
        </w:rPr>
      </w:pPr>
      <w:r w:rsidRPr="003F3783">
        <w:rPr>
          <w:rFonts w:ascii="Palatino Linotype" w:hAnsi="Palatino Linotype"/>
        </w:rPr>
        <w:t xml:space="preserve">Aunado a ello el </w:t>
      </w:r>
      <w:r w:rsidRPr="003F3783">
        <w:rPr>
          <w:rFonts w:ascii="Palatino Linotype" w:hAnsi="Palatino Linotype"/>
          <w:b/>
        </w:rPr>
        <w:t xml:space="preserve">Manual Único de Contabilidad Gubernamental para las Dependencias y Entidades Públicas del Gobierno y Municipios del Estado de México, décimo </w:t>
      </w:r>
      <w:r w:rsidR="00963720" w:rsidRPr="003F3783">
        <w:rPr>
          <w:rFonts w:ascii="Palatino Linotype" w:hAnsi="Palatino Linotype"/>
          <w:b/>
        </w:rPr>
        <w:t>octava</w:t>
      </w:r>
      <w:r w:rsidRPr="003F3783">
        <w:rPr>
          <w:rFonts w:ascii="Palatino Linotype" w:hAnsi="Palatino Linotype"/>
          <w:b/>
        </w:rPr>
        <w:t xml:space="preserve"> edición (201</w:t>
      </w:r>
      <w:r w:rsidR="00963720" w:rsidRPr="003F3783">
        <w:rPr>
          <w:rFonts w:ascii="Palatino Linotype" w:hAnsi="Palatino Linotype"/>
          <w:b/>
        </w:rPr>
        <w:t>9</w:t>
      </w:r>
      <w:r w:rsidRPr="003F3783">
        <w:rPr>
          <w:rFonts w:ascii="Palatino Linotype" w:hAnsi="Palatino Linotype"/>
          <w:b/>
        </w:rPr>
        <w:t xml:space="preserve">) </w:t>
      </w:r>
      <w:r w:rsidRPr="003F3783">
        <w:rPr>
          <w:rFonts w:ascii="Palatino Linotype" w:hAnsi="Palatino Linotype"/>
        </w:rPr>
        <w:t>señala en las partida general 2400 y 2491 partida específica, los gastos por materiales y artículos de construcción y de reparación, tal como se transcriben:</w:t>
      </w:r>
    </w:p>
    <w:p w14:paraId="6AE580E2" w14:textId="77777777" w:rsidR="008C06C5" w:rsidRPr="003F3783" w:rsidRDefault="008C06C5" w:rsidP="008C06C5">
      <w:pPr>
        <w:pStyle w:val="Prrafodelista"/>
        <w:autoSpaceDE w:val="0"/>
        <w:autoSpaceDN w:val="0"/>
        <w:adjustRightInd w:val="0"/>
        <w:spacing w:before="240" w:after="240" w:line="360" w:lineRule="auto"/>
        <w:ind w:left="0"/>
        <w:jc w:val="both"/>
        <w:rPr>
          <w:rFonts w:ascii="Palatino Linotype" w:hAnsi="Palatino Linotype" w:cs="Arial"/>
        </w:rPr>
      </w:pPr>
    </w:p>
    <w:p w14:paraId="018E43A2" w14:textId="77777777" w:rsidR="008C06C5" w:rsidRPr="003F3783" w:rsidRDefault="008C06C5" w:rsidP="008C06C5">
      <w:pPr>
        <w:pStyle w:val="Prrafodelista"/>
        <w:autoSpaceDE w:val="0"/>
        <w:autoSpaceDN w:val="0"/>
        <w:adjustRightInd w:val="0"/>
        <w:spacing w:line="360" w:lineRule="auto"/>
        <w:ind w:left="567" w:right="567"/>
        <w:jc w:val="both"/>
        <w:rPr>
          <w:rFonts w:ascii="Palatino Linotype" w:hAnsi="Palatino Linotype"/>
          <w:i/>
          <w:sz w:val="22"/>
          <w:szCs w:val="22"/>
        </w:rPr>
      </w:pPr>
      <w:r w:rsidRPr="003F3783">
        <w:rPr>
          <w:rFonts w:ascii="Palatino Linotype" w:hAnsi="Palatino Linotype"/>
          <w:b/>
          <w:i/>
          <w:sz w:val="22"/>
          <w:szCs w:val="22"/>
        </w:rPr>
        <w:t xml:space="preserve">2400 MATERIALES Y ARTICULOS DE CONSTRUCCION Y DE REPARACIÓN. </w:t>
      </w:r>
      <w:r w:rsidRPr="003F3783">
        <w:rPr>
          <w:rFonts w:ascii="Palatino Linotype" w:hAnsi="Palatino Linotype"/>
          <w:i/>
          <w:sz w:val="22"/>
          <w:szCs w:val="22"/>
        </w:rPr>
        <w:t>Asignaciones destinadas a la adquisición de materiales y artículos utilizados en la construcción, reconstrucción, ampliación, adaptación, mejora, conservación, reparación y mantenimiento de bienes inmuebles.</w:t>
      </w:r>
    </w:p>
    <w:p w14:paraId="40D820B9" w14:textId="77777777" w:rsidR="00963720" w:rsidRPr="003F3783" w:rsidRDefault="00963720" w:rsidP="008C06C5">
      <w:pPr>
        <w:pStyle w:val="Prrafodelista"/>
        <w:autoSpaceDE w:val="0"/>
        <w:autoSpaceDN w:val="0"/>
        <w:adjustRightInd w:val="0"/>
        <w:spacing w:line="360" w:lineRule="auto"/>
        <w:ind w:left="567" w:right="567"/>
        <w:jc w:val="both"/>
        <w:rPr>
          <w:rFonts w:ascii="Palatino Linotype" w:hAnsi="Palatino Linotype"/>
          <w:i/>
          <w:sz w:val="22"/>
          <w:szCs w:val="22"/>
        </w:rPr>
      </w:pPr>
    </w:p>
    <w:p w14:paraId="49C5561F" w14:textId="77777777" w:rsidR="008C06C5" w:rsidRPr="003F3783" w:rsidRDefault="008C06C5" w:rsidP="008C06C5">
      <w:pPr>
        <w:pStyle w:val="Prrafodelista"/>
        <w:autoSpaceDE w:val="0"/>
        <w:autoSpaceDN w:val="0"/>
        <w:adjustRightInd w:val="0"/>
        <w:spacing w:line="360" w:lineRule="auto"/>
        <w:ind w:left="567" w:right="567"/>
        <w:jc w:val="both"/>
        <w:rPr>
          <w:rFonts w:ascii="Palatino Linotype" w:hAnsi="Palatino Linotype"/>
          <w:i/>
          <w:sz w:val="22"/>
          <w:szCs w:val="22"/>
        </w:rPr>
      </w:pPr>
      <w:r w:rsidRPr="003F3783">
        <w:rPr>
          <w:rFonts w:ascii="Palatino Linotype" w:hAnsi="Palatino Linotype"/>
          <w:b/>
          <w:i/>
          <w:sz w:val="22"/>
          <w:szCs w:val="22"/>
        </w:rPr>
        <w:t>2491 Materiales de construcción.</w:t>
      </w:r>
      <w:r w:rsidRPr="003F3783">
        <w:rPr>
          <w:rFonts w:ascii="Palatino Linotype" w:hAnsi="Palatino Linotype"/>
          <w:i/>
          <w:sz w:val="22"/>
          <w:szCs w:val="22"/>
        </w:rPr>
        <w:t xml:space="preserve"> Asignaciones destinadas a la adquisición de materiales utilizados en la construcción, reconstrucción, ampliación, adaptación, mejora, conservación y mantenimiento de todo tipo de bienes muebles e inmuebles, tales como: cemento, ladrillo, yeso, varilla, cal, arena, tabique, madera, clavos, taquetes, pinturas y barnices, entre otros.</w:t>
      </w:r>
    </w:p>
    <w:p w14:paraId="3285CCEA" w14:textId="77777777" w:rsidR="008C06C5" w:rsidRPr="003F3783" w:rsidRDefault="008C06C5" w:rsidP="008C06C5">
      <w:pPr>
        <w:pStyle w:val="Prrafodelista"/>
        <w:autoSpaceDE w:val="0"/>
        <w:autoSpaceDN w:val="0"/>
        <w:adjustRightInd w:val="0"/>
        <w:spacing w:line="360" w:lineRule="auto"/>
        <w:ind w:left="0"/>
        <w:jc w:val="both"/>
        <w:rPr>
          <w:rFonts w:ascii="Palatino Linotype" w:hAnsi="Palatino Linotype"/>
        </w:rPr>
      </w:pPr>
    </w:p>
    <w:p w14:paraId="3B994B6E" w14:textId="5DBEE272" w:rsidR="008C06C5" w:rsidRPr="003F3783" w:rsidRDefault="008C06C5" w:rsidP="00475E7E">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3F3783">
        <w:rPr>
          <w:rFonts w:ascii="Palatino Linotype" w:hAnsi="Palatino Linotype"/>
        </w:rPr>
        <w:t xml:space="preserve">Así mismo </w:t>
      </w:r>
      <w:r w:rsidR="00475E7E" w:rsidRPr="003F3783">
        <w:rPr>
          <w:rFonts w:ascii="Palatino Linotype" w:hAnsi="Palatino Linotype"/>
        </w:rPr>
        <w:t xml:space="preserve">el artículo 75 de la </w:t>
      </w:r>
      <w:r w:rsidR="00475E7E" w:rsidRPr="003F3783">
        <w:rPr>
          <w:rFonts w:ascii="Palatino Linotype" w:hAnsi="Palatino Linotype"/>
          <w:b/>
        </w:rPr>
        <w:t>Ley General de Contabilidad Gubernamental</w:t>
      </w:r>
      <w:r w:rsidR="00475E7E" w:rsidRPr="003F3783">
        <w:rPr>
          <w:rFonts w:ascii="Palatino Linotype" w:hAnsi="Palatino Linotype"/>
        </w:rPr>
        <w:t>, establece que los municipios enviarán a las entidades federativas información sobre la aplicación de los recursos del Fondo de Aportaciones para la Infraestructura Social Municipal, en las obras y acciones establecidas en la Ley de Coordinación Fiscal que beneficien directamente a la población en rezago social y pobreza para que por su conducto se incluya en los informes trimestrales a que se refiere el artículo 48 de la Ley de Coordinación Fiscal.</w:t>
      </w:r>
    </w:p>
    <w:p w14:paraId="0C6ED12F" w14:textId="77777777" w:rsidR="00475E7E" w:rsidRPr="003F3783" w:rsidRDefault="00475E7E" w:rsidP="00475E7E">
      <w:pPr>
        <w:pStyle w:val="Prrafodelista"/>
        <w:autoSpaceDE w:val="0"/>
        <w:autoSpaceDN w:val="0"/>
        <w:adjustRightInd w:val="0"/>
        <w:spacing w:line="360" w:lineRule="auto"/>
        <w:ind w:left="0"/>
        <w:jc w:val="both"/>
        <w:rPr>
          <w:rFonts w:ascii="Palatino Linotype" w:hAnsi="Palatino Linotype"/>
        </w:rPr>
      </w:pPr>
    </w:p>
    <w:p w14:paraId="7F020B0C" w14:textId="0DE13DB3" w:rsidR="00475E7E" w:rsidRPr="003F3783" w:rsidRDefault="00475E7E" w:rsidP="00475E7E">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3F3783">
        <w:rPr>
          <w:rFonts w:ascii="Palatino Linotype" w:hAnsi="Palatino Linotype"/>
        </w:rPr>
        <w:t xml:space="preserve">Correlativo a ello el artículo 33 apartado B, fracción II, inciso d) de la </w:t>
      </w:r>
      <w:r w:rsidRPr="003F3783">
        <w:rPr>
          <w:rFonts w:ascii="Palatino Linotype" w:hAnsi="Palatino Linotype"/>
          <w:b/>
        </w:rPr>
        <w:t xml:space="preserve">Ley de Coordinación Fiscal </w:t>
      </w:r>
      <w:r w:rsidRPr="003F3783">
        <w:rPr>
          <w:rFonts w:ascii="Palatino Linotype" w:hAnsi="Palatino Linotype"/>
        </w:rPr>
        <w:t>dispone que las entidades deberán proporcionar a la Secretaría de Desarrollo Social la información que sobre la utilización del Fondo de Aportaciones para la Infraestructura Social le sea requerida, en el caso de los municipios y de las demarcaciones territoriales lo harán por conducto de las entidades.</w:t>
      </w:r>
    </w:p>
    <w:p w14:paraId="0CBCD173" w14:textId="77777777" w:rsidR="00475E7E" w:rsidRPr="003F3783" w:rsidRDefault="00475E7E" w:rsidP="00475E7E">
      <w:pPr>
        <w:pStyle w:val="Prrafodelista"/>
        <w:rPr>
          <w:rFonts w:ascii="Palatino Linotype" w:hAnsi="Palatino Linotype"/>
        </w:rPr>
      </w:pPr>
    </w:p>
    <w:p w14:paraId="1508C6BC" w14:textId="317F9C6A" w:rsidR="00475E7E" w:rsidRPr="003F3783" w:rsidRDefault="00475E7E" w:rsidP="00475E7E">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3F3783">
        <w:rPr>
          <w:rFonts w:ascii="Palatino Linotype" w:hAnsi="Palatino Linotype"/>
        </w:rPr>
        <w:t xml:space="preserve">Bajo esa tesitura es importante puntualizar que el 14 de febrero de 2014, se publicó en el Diario Oficial de la Federación el Acuerdo por el que se emiten los Lineamientos Generales para la Operación del Fondo de Aportaciones para la </w:t>
      </w:r>
      <w:r w:rsidRPr="003F3783">
        <w:rPr>
          <w:rFonts w:ascii="Palatino Linotype" w:hAnsi="Palatino Linotype"/>
        </w:rPr>
        <w:lastRenderedPageBreak/>
        <w:t>Infraestructura Social, en cumplimiento en el artículo Sexto Transitorio del Decreto por el que se reforman y adicionan diversas disposiciones de la Ley de Coordinación Fiscal y de la Ley General de Contabilidad Gubernamental, publicado en el Diario Oficial de la Federación el 9 de diciembre de 2013, el cual establece que la Secretaría de Desarrollo Social debía publicar los Lineamientos del Fondo de Aportaciones para la Infraestructura Social, previa opinión de la Secretaria de Hacienda y Crédito Público. Y sus modificatorios el 13 de mayo de 2014, el 12 de marzo de 2015 y el 31 de marzo de 2016</w:t>
      </w:r>
    </w:p>
    <w:p w14:paraId="785562DD" w14:textId="77777777" w:rsidR="00475E7E" w:rsidRPr="003F3783" w:rsidRDefault="00475E7E" w:rsidP="00475E7E">
      <w:pPr>
        <w:pStyle w:val="Prrafodelista"/>
        <w:autoSpaceDE w:val="0"/>
        <w:autoSpaceDN w:val="0"/>
        <w:adjustRightInd w:val="0"/>
        <w:spacing w:line="360" w:lineRule="auto"/>
        <w:ind w:left="0"/>
        <w:jc w:val="both"/>
        <w:rPr>
          <w:rFonts w:ascii="Palatino Linotype" w:hAnsi="Palatino Linotype"/>
        </w:rPr>
      </w:pPr>
    </w:p>
    <w:p w14:paraId="07A059E1" w14:textId="6A79FAEF" w:rsidR="00475E7E" w:rsidRPr="003F3783" w:rsidRDefault="008C06C5" w:rsidP="008C06C5">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3F3783">
        <w:rPr>
          <w:rFonts w:ascii="Palatino Linotype" w:hAnsi="Palatino Linotype" w:cs="Arial"/>
        </w:rPr>
        <w:t xml:space="preserve">En </w:t>
      </w:r>
      <w:r w:rsidR="00475E7E" w:rsidRPr="003F3783">
        <w:rPr>
          <w:rFonts w:ascii="Palatino Linotype" w:hAnsi="Palatino Linotype" w:cs="Arial"/>
        </w:rPr>
        <w:t xml:space="preserve">ese sentido las </w:t>
      </w:r>
      <w:r w:rsidR="00475E7E" w:rsidRPr="003F3783">
        <w:rPr>
          <w:rFonts w:ascii="Palatino Linotype" w:hAnsi="Palatino Linotype"/>
          <w:b/>
        </w:rPr>
        <w:t xml:space="preserve">Reglas de Operación del Programa Mejoramiento de la Vivienda (FISMDF 2019) Calidad y Espacios de la Vivienda </w:t>
      </w:r>
      <w:r w:rsidR="00475E7E" w:rsidRPr="003F3783">
        <w:rPr>
          <w:rFonts w:ascii="Palatino Linotype" w:hAnsi="Palatino Linotype"/>
        </w:rPr>
        <w:t>en su vertiente Construcción de Cuarto Dormitorio señala como objetivo principal del programa mejorar las condiciones de habitabilidad de la vivienda, mediante el acondicionamiento de los espacios que conforman un hogar, generando un sentido de arraigo y ocupación en sus lugares de origen contribuyendo así en la dignificación de las condiciones de vida de los habitantes de Toluca que se encuentren en pobreza, con rezago social y en las Zonas de Atención Prioritarias, mediante la calidad y espacios de la vivienda en su vertiente construcción de “cuarto dormitorio” que permitan mejorar sus viviendas.</w:t>
      </w:r>
    </w:p>
    <w:p w14:paraId="42CF72E6" w14:textId="77777777" w:rsidR="00475E7E" w:rsidRPr="003F3783" w:rsidRDefault="00475E7E" w:rsidP="00475E7E">
      <w:pPr>
        <w:pStyle w:val="Prrafodelista"/>
        <w:autoSpaceDE w:val="0"/>
        <w:autoSpaceDN w:val="0"/>
        <w:adjustRightInd w:val="0"/>
        <w:spacing w:line="360" w:lineRule="auto"/>
        <w:ind w:left="0"/>
        <w:jc w:val="both"/>
        <w:rPr>
          <w:rFonts w:ascii="Palatino Linotype" w:hAnsi="Palatino Linotype"/>
        </w:rPr>
      </w:pPr>
    </w:p>
    <w:p w14:paraId="02EFA12B" w14:textId="319F03A7" w:rsidR="008C06C5" w:rsidRPr="003F3783" w:rsidRDefault="00475E7E" w:rsidP="008C06C5">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3F3783">
        <w:rPr>
          <w:rFonts w:ascii="Palatino Linotype" w:hAnsi="Palatino Linotype" w:cs="Arial"/>
        </w:rPr>
        <w:t>Aunado a todo lo anteriormente expuesto</w:t>
      </w:r>
      <w:r w:rsidR="008C06C5" w:rsidRPr="003F3783">
        <w:rPr>
          <w:rFonts w:ascii="Palatino Linotype" w:hAnsi="Palatino Linotype" w:cs="Arial"/>
        </w:rPr>
        <w:t xml:space="preserve">, </w:t>
      </w:r>
      <w:r w:rsidR="008C06C5" w:rsidRPr="003F3783">
        <w:rPr>
          <w:rFonts w:ascii="Palatino Linotype" w:hAnsi="Palatino Linotype"/>
        </w:rPr>
        <w:t xml:space="preserve">el hecho de que el </w:t>
      </w:r>
      <w:r w:rsidR="008C06C5" w:rsidRPr="003F3783">
        <w:rPr>
          <w:rFonts w:ascii="Palatino Linotype" w:hAnsi="Palatino Linotype"/>
          <w:b/>
        </w:rPr>
        <w:t>SUJETO OBLIGADO</w:t>
      </w:r>
      <w:r w:rsidR="008C06C5" w:rsidRPr="003F3783">
        <w:rPr>
          <w:rFonts w:ascii="Palatino Linotype" w:hAnsi="Palatino Linotype"/>
        </w:rPr>
        <w:t xml:space="preserve"> haya asumido que se llevó a cabo dicho programa en consecuencia </w:t>
      </w:r>
      <w:r w:rsidR="008C06C5" w:rsidRPr="003F3783">
        <w:rPr>
          <w:rFonts w:ascii="Palatino Linotype" w:hAnsi="Palatino Linotype" w:cs="Arial"/>
        </w:rPr>
        <w:t xml:space="preserve">tuvo que haber generado </w:t>
      </w:r>
      <w:r w:rsidR="005F6A05" w:rsidRPr="003F3783">
        <w:rPr>
          <w:rFonts w:ascii="Palatino Linotype" w:hAnsi="Palatino Linotype" w:cs="Arial"/>
        </w:rPr>
        <w:t>el padrón de beneficiarios y sus reglas de operación.</w:t>
      </w:r>
    </w:p>
    <w:p w14:paraId="3C5BF69C" w14:textId="77777777" w:rsidR="005F6A05" w:rsidRPr="003F3783" w:rsidRDefault="005F6A05" w:rsidP="005F6A05">
      <w:pPr>
        <w:pStyle w:val="Prrafodelista"/>
        <w:rPr>
          <w:rFonts w:ascii="Palatino Linotype" w:hAnsi="Palatino Linotype"/>
        </w:rPr>
      </w:pPr>
    </w:p>
    <w:p w14:paraId="0550C920" w14:textId="77777777" w:rsidR="00D214EB" w:rsidRPr="003F3783" w:rsidRDefault="00D214EB" w:rsidP="005F6A05">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3F3783">
        <w:rPr>
          <w:rFonts w:ascii="Palatino Linotype" w:eastAsia="MS Mincho" w:hAnsi="Palatino Linotype" w:cs="Times New Roman"/>
          <w:color w:val="000000"/>
        </w:rPr>
        <w:lastRenderedPageBreak/>
        <w:t xml:space="preserve">Finalmente es imprescindible hacer notar que la particular acotó su requerimiento a los beneficiarios de dichos apoyos, información a la que le reviste el carácter de pública, de conformidad con el artículo 92 fracción XIV y XXII de la </w:t>
      </w:r>
      <w:r w:rsidRPr="003F3783">
        <w:rPr>
          <w:rFonts w:ascii="Palatino Linotype" w:hAnsi="Palatino Linotype" w:cs="Arial"/>
          <w:b/>
        </w:rPr>
        <w:t>Ley de Transparencia y Acceso a la Información Pública del Estado de México y Municipios</w:t>
      </w:r>
      <w:r w:rsidRPr="003F3783">
        <w:rPr>
          <w:rFonts w:ascii="Palatino Linotype" w:eastAsia="MS Mincho" w:hAnsi="Palatino Linotype" w:cs="Times New Roman"/>
          <w:color w:val="000000"/>
        </w:rPr>
        <w:t xml:space="preserve"> que a la letra señala:</w:t>
      </w:r>
    </w:p>
    <w:p w14:paraId="2BEF0F8C" w14:textId="77777777" w:rsidR="005F6A05" w:rsidRPr="003F3783" w:rsidRDefault="005F6A05" w:rsidP="005F6A05">
      <w:pPr>
        <w:pStyle w:val="Prrafodelista"/>
        <w:autoSpaceDE w:val="0"/>
        <w:autoSpaceDN w:val="0"/>
        <w:adjustRightInd w:val="0"/>
        <w:spacing w:line="360" w:lineRule="auto"/>
        <w:ind w:left="0"/>
        <w:jc w:val="both"/>
        <w:rPr>
          <w:rFonts w:ascii="Palatino Linotype" w:hAnsi="Palatino Linotype"/>
        </w:rPr>
      </w:pPr>
    </w:p>
    <w:p w14:paraId="074077BE" w14:textId="77777777" w:rsidR="00D214EB" w:rsidRPr="003F3783" w:rsidRDefault="00D214EB" w:rsidP="00D214EB">
      <w:pPr>
        <w:pStyle w:val="Prrafodelista"/>
        <w:spacing w:before="240" w:after="240" w:line="360" w:lineRule="auto"/>
        <w:ind w:left="567" w:right="567"/>
        <w:jc w:val="both"/>
        <w:rPr>
          <w:rFonts w:ascii="Palatino Linotype" w:eastAsia="MS Mincho" w:hAnsi="Palatino Linotype" w:cs="Times New Roman"/>
          <w:i/>
          <w:color w:val="000000"/>
          <w:sz w:val="22"/>
          <w:szCs w:val="22"/>
        </w:rPr>
      </w:pPr>
      <w:r w:rsidRPr="003F3783">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3E6075" w14:textId="77777777" w:rsidR="00D214EB" w:rsidRPr="003F3783" w:rsidRDefault="00D214EB" w:rsidP="00D214EB">
      <w:pPr>
        <w:pStyle w:val="Prrafodelista"/>
        <w:spacing w:before="240" w:after="240" w:line="360" w:lineRule="auto"/>
        <w:ind w:left="567"/>
        <w:jc w:val="both"/>
        <w:rPr>
          <w:rFonts w:ascii="Palatino Linotype" w:eastAsia="MS Mincho" w:hAnsi="Palatino Linotype" w:cs="Times New Roman"/>
          <w:color w:val="000000"/>
        </w:rPr>
      </w:pPr>
      <w:r w:rsidRPr="003F3783">
        <w:rPr>
          <w:rFonts w:ascii="Palatino Linotype" w:eastAsia="MS Mincho" w:hAnsi="Palatino Linotype" w:cs="Times New Roman"/>
          <w:color w:val="000000"/>
        </w:rPr>
        <w:t>…</w:t>
      </w:r>
    </w:p>
    <w:p w14:paraId="27073755" w14:textId="77777777" w:rsidR="00D214EB" w:rsidRPr="003F3783" w:rsidRDefault="00D214EB" w:rsidP="00D214EB">
      <w:pPr>
        <w:pStyle w:val="Prrafodelista"/>
        <w:spacing w:before="240" w:after="240" w:line="360" w:lineRule="auto"/>
        <w:ind w:left="567" w:right="567"/>
        <w:jc w:val="both"/>
        <w:rPr>
          <w:rFonts w:ascii="Palatino Linotype" w:hAnsi="Palatino Linotype"/>
          <w:b/>
          <w:i/>
          <w:sz w:val="22"/>
          <w:szCs w:val="22"/>
        </w:rPr>
      </w:pPr>
      <w:r w:rsidRPr="003F3783">
        <w:rPr>
          <w:rFonts w:ascii="Palatino Linotype" w:hAnsi="Palatino Linotype"/>
          <w:b/>
          <w:i/>
          <w:sz w:val="22"/>
          <w:szCs w:val="22"/>
        </w:rPr>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5AE26EA6"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a) Área; </w:t>
      </w:r>
    </w:p>
    <w:p w14:paraId="3BBBCE0A"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b) Denominación del programa; </w:t>
      </w:r>
    </w:p>
    <w:p w14:paraId="2EDC3983"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c) Periodo de vigencia; </w:t>
      </w:r>
    </w:p>
    <w:p w14:paraId="5197354C"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d) Diseño, objetivos y alcances; e</w:t>
      </w:r>
    </w:p>
    <w:p w14:paraId="30E4953A"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Metas físicas;</w:t>
      </w:r>
    </w:p>
    <w:p w14:paraId="4C3DAC22"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 f) Población beneficiada estimada; </w:t>
      </w:r>
    </w:p>
    <w:p w14:paraId="75017AED"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g) Monto aprobado, modificado y ejercido, así como los calendarios de su programación presupuestal; </w:t>
      </w:r>
    </w:p>
    <w:p w14:paraId="54D5C97C"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h) </w:t>
      </w:r>
      <w:r w:rsidRPr="003F3783">
        <w:rPr>
          <w:rFonts w:ascii="Palatino Linotype" w:hAnsi="Palatino Linotype"/>
          <w:b/>
          <w:i/>
          <w:sz w:val="22"/>
          <w:szCs w:val="22"/>
          <w:u w:val="single"/>
        </w:rPr>
        <w:t>Requisitos y procedimientos de acceso</w:t>
      </w:r>
      <w:r w:rsidRPr="003F3783">
        <w:rPr>
          <w:rFonts w:ascii="Palatino Linotype" w:hAnsi="Palatino Linotype"/>
          <w:i/>
          <w:sz w:val="22"/>
          <w:szCs w:val="22"/>
        </w:rPr>
        <w:t xml:space="preserve">; </w:t>
      </w:r>
    </w:p>
    <w:p w14:paraId="289F8FC3"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i) Procedimiento de queja o inconformidad ciudadana; </w:t>
      </w:r>
    </w:p>
    <w:p w14:paraId="0C5AED08"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j</w:t>
      </w:r>
      <w:r w:rsidRPr="003F3783">
        <w:rPr>
          <w:rFonts w:ascii="Palatino Linotype" w:hAnsi="Palatino Linotype"/>
          <w:b/>
          <w:i/>
          <w:sz w:val="22"/>
          <w:szCs w:val="22"/>
          <w:u w:val="single"/>
        </w:rPr>
        <w:t>) Mecanismos de exigibilidad</w:t>
      </w:r>
      <w:r w:rsidRPr="003F3783">
        <w:rPr>
          <w:rFonts w:ascii="Palatino Linotype" w:hAnsi="Palatino Linotype"/>
          <w:i/>
          <w:sz w:val="22"/>
          <w:szCs w:val="22"/>
        </w:rPr>
        <w:t xml:space="preserve">; </w:t>
      </w:r>
    </w:p>
    <w:p w14:paraId="1744006F"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lastRenderedPageBreak/>
        <w:t xml:space="preserve">k) Mecanismos e informes de evaluación y seguimiento de recomendaciones; </w:t>
      </w:r>
    </w:p>
    <w:p w14:paraId="26D16277"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l) Indicadores con nombre, definición, método de cálculo, unidad de medida; dimensión, frecuencia de medición, nombre de las bases de datos utilizadas para su cálculo; m) Formas de participación social; </w:t>
      </w:r>
    </w:p>
    <w:p w14:paraId="49BB354A"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n) Articulación con otros programas sociales; </w:t>
      </w:r>
    </w:p>
    <w:p w14:paraId="2DF82B5B" w14:textId="77777777" w:rsidR="00D214EB" w:rsidRPr="003F3783" w:rsidRDefault="00D214EB" w:rsidP="00D214EB">
      <w:pPr>
        <w:pStyle w:val="Prrafodelista"/>
        <w:spacing w:before="240" w:after="240" w:line="360" w:lineRule="auto"/>
        <w:ind w:left="567" w:right="567"/>
        <w:jc w:val="both"/>
        <w:rPr>
          <w:rFonts w:ascii="Palatino Linotype" w:hAnsi="Palatino Linotype"/>
          <w:i/>
          <w:sz w:val="22"/>
          <w:szCs w:val="22"/>
        </w:rPr>
      </w:pPr>
      <w:r w:rsidRPr="003F3783">
        <w:rPr>
          <w:rFonts w:ascii="Palatino Linotype" w:hAnsi="Palatino Linotype"/>
          <w:i/>
          <w:sz w:val="22"/>
          <w:szCs w:val="22"/>
        </w:rPr>
        <w:t xml:space="preserve">ñ) Vínculo a las reglas de operación o documento equivalente; o) Informes periódicos sobre la ejecución y los resultados de las evaluaciones realizadas; y </w:t>
      </w:r>
    </w:p>
    <w:p w14:paraId="24A402E0" w14:textId="77777777" w:rsidR="00D214EB" w:rsidRPr="003F3783" w:rsidRDefault="00D214EB" w:rsidP="00D214EB">
      <w:pPr>
        <w:pStyle w:val="Prrafodelista"/>
        <w:spacing w:before="240" w:after="240" w:line="360" w:lineRule="auto"/>
        <w:ind w:left="567" w:right="567"/>
        <w:jc w:val="both"/>
        <w:rPr>
          <w:rFonts w:ascii="Palatino Linotype" w:hAnsi="Palatino Linotype"/>
          <w:b/>
          <w:i/>
          <w:sz w:val="22"/>
          <w:szCs w:val="22"/>
          <w:u w:val="single"/>
        </w:rPr>
      </w:pPr>
      <w:r w:rsidRPr="003F3783">
        <w:rPr>
          <w:rFonts w:ascii="Palatino Linotype" w:hAnsi="Palatino Linotype"/>
          <w:b/>
          <w:i/>
          <w:sz w:val="22"/>
          <w:szCs w:val="22"/>
          <w:u w:val="single"/>
        </w:rPr>
        <w:t>p) Padrón de beneficiarios mismo que deberá contener los siguientes datos: nombre de la persona física o denominación social de las personas jurídicas colectivas beneficiadas, el monto, recurso, beneficio o apoyo otorgado para cada una de ellas,</w:t>
      </w:r>
    </w:p>
    <w:p w14:paraId="3C2ED35E" w14:textId="77777777" w:rsidR="00D214EB" w:rsidRPr="003F3783" w:rsidRDefault="00D214EB" w:rsidP="00D214EB">
      <w:pPr>
        <w:pStyle w:val="Prrafodelista"/>
        <w:spacing w:before="240" w:after="240" w:line="360" w:lineRule="auto"/>
        <w:ind w:left="567" w:right="567"/>
        <w:jc w:val="both"/>
        <w:rPr>
          <w:rFonts w:ascii="Palatino Linotype" w:eastAsia="MS Mincho" w:hAnsi="Palatino Linotype" w:cs="Times New Roman"/>
          <w:b/>
          <w:i/>
          <w:color w:val="000000"/>
          <w:sz w:val="22"/>
          <w:szCs w:val="22"/>
          <w:u w:val="single"/>
        </w:rPr>
      </w:pPr>
    </w:p>
    <w:p w14:paraId="6B6FA239" w14:textId="77777777" w:rsidR="00D214EB" w:rsidRPr="003F3783" w:rsidRDefault="00D214EB" w:rsidP="00D214EB">
      <w:pPr>
        <w:pStyle w:val="Prrafodelista"/>
        <w:spacing w:before="240" w:after="240" w:line="360" w:lineRule="auto"/>
        <w:ind w:left="0"/>
        <w:jc w:val="both"/>
        <w:rPr>
          <w:rFonts w:ascii="Palatino Linotype" w:hAnsi="Palatino Linotype"/>
        </w:rPr>
      </w:pPr>
    </w:p>
    <w:p w14:paraId="34AF662F" w14:textId="64CBE39E" w:rsidR="00D214EB" w:rsidRPr="003F3783" w:rsidRDefault="00D214EB" w:rsidP="005F6A05">
      <w:pPr>
        <w:pStyle w:val="Prrafodelista"/>
        <w:numPr>
          <w:ilvl w:val="0"/>
          <w:numId w:val="4"/>
        </w:numPr>
        <w:spacing w:before="240" w:after="240" w:line="360" w:lineRule="auto"/>
        <w:ind w:left="0" w:right="49" w:firstLine="0"/>
        <w:jc w:val="both"/>
        <w:rPr>
          <w:rFonts w:ascii="Palatino Linotype" w:eastAsia="Calibri" w:hAnsi="Palatino Linotype" w:cs="Arial"/>
          <w:lang w:val="es-ES"/>
        </w:rPr>
      </w:pPr>
      <w:r w:rsidRPr="003F3783">
        <w:rPr>
          <w:rFonts w:ascii="Palatino Linotype" w:hAnsi="Palatino Linotype" w:cs="Arial"/>
        </w:rPr>
        <w:t xml:space="preserve">En esa misma tesitura se advirtió que el </w:t>
      </w:r>
      <w:r w:rsidRPr="003F3783">
        <w:rPr>
          <w:rFonts w:ascii="Palatino Linotype" w:hAnsi="Palatino Linotype" w:cs="Arial"/>
          <w:b/>
        </w:rPr>
        <w:t>SUJETO OBLIGADO</w:t>
      </w:r>
      <w:r w:rsidRPr="003F3783">
        <w:rPr>
          <w:rFonts w:ascii="Palatino Linotype" w:hAnsi="Palatino Linotype" w:cs="Arial"/>
        </w:rPr>
        <w:t xml:space="preserve"> no colmó los requerimientos toda vez que de acuerdo al artículo transcrito en el párrafo anterior el padrón de </w:t>
      </w:r>
      <w:r w:rsidRPr="003F3783">
        <w:rPr>
          <w:rFonts w:ascii="Palatino Linotype" w:hAnsi="Palatino Linotype"/>
          <w:b/>
          <w:i/>
          <w:u w:val="single"/>
        </w:rPr>
        <w:t xml:space="preserve"> </w:t>
      </w:r>
      <w:r w:rsidRPr="003F3783">
        <w:rPr>
          <w:rFonts w:ascii="Palatino Linotype" w:hAnsi="Palatino Linotype"/>
        </w:rPr>
        <w:t>beneficiarios que incluya nombre de la persona física o denominación social de las personas jurídicas colectivas beneficiadas, el monto, recurso, beneficio o apoyo otorgado para cada una de ellas</w:t>
      </w:r>
      <w:r w:rsidR="005F6A05" w:rsidRPr="003F3783">
        <w:rPr>
          <w:rFonts w:ascii="Palatino Linotype" w:hAnsi="Palatino Linotype"/>
        </w:rPr>
        <w:t xml:space="preserve"> así como los requisitos y procedimientos de acceso</w:t>
      </w:r>
      <w:r w:rsidRPr="003F3783">
        <w:rPr>
          <w:rFonts w:ascii="Palatino Linotype" w:hAnsi="Palatino Linotype"/>
        </w:rPr>
        <w:t xml:space="preserve"> </w:t>
      </w:r>
      <w:r w:rsidR="005F6A05" w:rsidRPr="003F3783">
        <w:rPr>
          <w:rFonts w:ascii="Palatino Linotype" w:hAnsi="Palatino Linotype"/>
        </w:rPr>
        <w:t xml:space="preserve">y los mecanismos de exigibilidad </w:t>
      </w:r>
      <w:r w:rsidRPr="003F3783">
        <w:rPr>
          <w:rFonts w:ascii="Palatino Linotype" w:hAnsi="Palatino Linotype"/>
        </w:rPr>
        <w:t xml:space="preserve">es de carácter público, pues es considerada una obligación de transparencia común que los sujetos obligados deberán poner a disposición del público de manera permanente y actualizada de forma sencilla, precisa y entendible, en los respectivos medios electrónicos, de acuerdo con sus facultades, atribuciones, funciones u objeto social, de conformidad con el artículo 92 fracción IV y XXXII de la </w:t>
      </w:r>
      <w:r w:rsidRPr="003F3783">
        <w:rPr>
          <w:rFonts w:ascii="Palatino Linotype" w:hAnsi="Palatino Linotype"/>
          <w:b/>
        </w:rPr>
        <w:t>Ley de Transparencia y Acceso a la Información Pública del Estado de México y Municipios</w:t>
      </w:r>
      <w:r w:rsidRPr="003F3783">
        <w:rPr>
          <w:rFonts w:ascii="Palatino Linotype" w:eastAsia="Calibri" w:hAnsi="Palatino Linotype" w:cs="Arial"/>
          <w:lang w:val="es-ES"/>
        </w:rPr>
        <w:t xml:space="preserve">, por lo que en ese </w:t>
      </w:r>
      <w:r w:rsidRPr="003F3783">
        <w:rPr>
          <w:rFonts w:ascii="Palatino Linotype" w:eastAsia="Calibri" w:hAnsi="Palatino Linotype" w:cs="Arial"/>
          <w:lang w:val="es-ES"/>
        </w:rPr>
        <w:lastRenderedPageBreak/>
        <w:t>contexto es procedente ordenar la entrega del documento donde conste dicha información</w:t>
      </w:r>
      <w:r w:rsidRPr="003F3783">
        <w:rPr>
          <w:rFonts w:ascii="Palatino Linotype" w:hAnsi="Palatino Linotype"/>
          <w:color w:val="000000"/>
        </w:rPr>
        <w:t>.</w:t>
      </w:r>
    </w:p>
    <w:p w14:paraId="2874C16C" w14:textId="77777777" w:rsidR="00C57166" w:rsidRPr="003F3783" w:rsidRDefault="00C57166" w:rsidP="00C57166">
      <w:pPr>
        <w:pStyle w:val="Prrafodelista"/>
        <w:spacing w:before="240" w:after="240" w:line="360" w:lineRule="auto"/>
        <w:ind w:left="0" w:right="49"/>
        <w:jc w:val="both"/>
        <w:rPr>
          <w:rFonts w:ascii="Palatino Linotype" w:eastAsia="Calibri" w:hAnsi="Palatino Linotype" w:cs="Arial"/>
          <w:lang w:val="es-ES"/>
        </w:rPr>
      </w:pPr>
    </w:p>
    <w:p w14:paraId="46104F62" w14:textId="3471F73A" w:rsidR="00C57166" w:rsidRPr="003F3783" w:rsidRDefault="00C57166" w:rsidP="00C57166">
      <w:pPr>
        <w:pStyle w:val="Prrafodelista"/>
        <w:numPr>
          <w:ilvl w:val="0"/>
          <w:numId w:val="4"/>
        </w:numPr>
        <w:spacing w:before="240" w:after="240" w:line="360" w:lineRule="auto"/>
        <w:ind w:left="0" w:right="49" w:firstLine="0"/>
        <w:jc w:val="both"/>
        <w:rPr>
          <w:rFonts w:ascii="Palatino Linotype" w:eastAsia="Calibri" w:hAnsi="Palatino Linotype" w:cs="Arial"/>
          <w:lang w:val="es-ES"/>
        </w:rPr>
      </w:pPr>
      <w:r w:rsidRPr="003F3783">
        <w:rPr>
          <w:rFonts w:ascii="Palatino Linotype" w:hAnsi="Palatino Linotype"/>
          <w:color w:val="000000" w:themeColor="text1"/>
        </w:rPr>
        <w:t>Es oportuno señalar que la Dirección de Desarrollo Social asume contar con la información solicitada, tan es así que pretendió clasificarla, en consecuencia acepta tácitamente que la genera, posee o administra.</w:t>
      </w:r>
    </w:p>
    <w:p w14:paraId="7AC24C2C" w14:textId="77777777" w:rsidR="00C57166" w:rsidRPr="003F3783" w:rsidRDefault="00C57166" w:rsidP="00C57166">
      <w:pPr>
        <w:pStyle w:val="Prrafodelista"/>
        <w:ind w:left="0"/>
        <w:rPr>
          <w:rFonts w:ascii="Palatino Linotype" w:hAnsi="Palatino Linotype"/>
          <w:color w:val="000000" w:themeColor="text1"/>
        </w:rPr>
      </w:pPr>
    </w:p>
    <w:p w14:paraId="7ECD923B" w14:textId="4F40CD40" w:rsidR="00C57166" w:rsidRPr="003F3783" w:rsidRDefault="00C57166" w:rsidP="00C57166">
      <w:pPr>
        <w:pStyle w:val="Prrafodelista"/>
        <w:numPr>
          <w:ilvl w:val="0"/>
          <w:numId w:val="4"/>
        </w:numPr>
        <w:spacing w:before="240" w:after="240" w:line="360" w:lineRule="auto"/>
        <w:ind w:left="0" w:right="49" w:firstLine="0"/>
        <w:jc w:val="both"/>
        <w:rPr>
          <w:rFonts w:ascii="Palatino Linotype" w:eastAsia="Calibri" w:hAnsi="Palatino Linotype" w:cs="Arial"/>
          <w:lang w:val="es-ES"/>
        </w:rPr>
      </w:pPr>
      <w:r w:rsidRPr="003F3783">
        <w:rPr>
          <w:rFonts w:ascii="Palatino Linotype" w:hAnsi="Palatino Linotype"/>
          <w:color w:val="000000" w:themeColor="text1"/>
        </w:rPr>
        <w:t xml:space="preserve">De hecho el estudio de la naturaleza jurídica, tiene por objeto determinar si el </w:t>
      </w:r>
      <w:r w:rsidRPr="003F3783">
        <w:rPr>
          <w:rFonts w:ascii="Palatino Linotype" w:hAnsi="Palatino Linotype"/>
          <w:b/>
          <w:color w:val="000000" w:themeColor="text1"/>
        </w:rPr>
        <w:t>SUJETO OBLIGADO</w:t>
      </w:r>
      <w:r w:rsidRPr="003F3783">
        <w:rPr>
          <w:rFonts w:ascii="Palatino Linotype" w:hAnsi="Palatino Linotype"/>
          <w:color w:val="000000" w:themeColor="text1"/>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3F3783">
        <w:rPr>
          <w:rFonts w:ascii="Palatino Linotype" w:hAnsi="Palatino Linotype"/>
          <w:b/>
          <w:color w:val="000000" w:themeColor="text1"/>
        </w:rPr>
        <w:t>SUJETO OBLIGADO.</w:t>
      </w:r>
    </w:p>
    <w:p w14:paraId="040EE2AD" w14:textId="77777777" w:rsidR="00C57166" w:rsidRPr="003F3783" w:rsidRDefault="00C57166" w:rsidP="00C57166">
      <w:pPr>
        <w:pStyle w:val="Prrafodelista"/>
        <w:spacing w:before="240" w:after="240" w:line="360" w:lineRule="auto"/>
        <w:ind w:left="0" w:right="49"/>
        <w:jc w:val="both"/>
        <w:rPr>
          <w:rFonts w:ascii="Palatino Linotype" w:eastAsia="Calibri" w:hAnsi="Palatino Linotype" w:cs="Arial"/>
          <w:lang w:val="es-ES"/>
        </w:rPr>
      </w:pPr>
    </w:p>
    <w:p w14:paraId="7CE8111E" w14:textId="3CC68079" w:rsidR="005F6A05" w:rsidRPr="003F3783" w:rsidRDefault="005F6A05" w:rsidP="005F6A05">
      <w:pPr>
        <w:pStyle w:val="Prrafodelista"/>
        <w:numPr>
          <w:ilvl w:val="0"/>
          <w:numId w:val="4"/>
        </w:numPr>
        <w:spacing w:before="240" w:after="240" w:line="360" w:lineRule="auto"/>
        <w:ind w:left="0" w:right="49" w:firstLine="0"/>
        <w:jc w:val="both"/>
        <w:rPr>
          <w:rFonts w:ascii="Palatino Linotype" w:eastAsia="Calibri" w:hAnsi="Palatino Linotype" w:cs="Arial"/>
          <w:lang w:val="es-ES"/>
        </w:rPr>
      </w:pPr>
      <w:r w:rsidRPr="003F3783">
        <w:rPr>
          <w:rFonts w:ascii="Palatino Linotype" w:hAnsi="Palatino Linotype"/>
          <w:color w:val="000000"/>
        </w:rPr>
        <w:t xml:space="preserve">Es muy importante subrayar que el SUJETO OBLIGADO a través de su respuesta </w:t>
      </w:r>
      <w:r w:rsidRPr="003F3783">
        <w:rPr>
          <w:rFonts w:ascii="Palatino Linotype" w:hAnsi="Palatino Linotype"/>
          <w:b/>
          <w:color w:val="000000"/>
          <w:u w:val="single"/>
        </w:rPr>
        <w:t>también refirió entregar las Reglas de Operación</w:t>
      </w:r>
      <w:r w:rsidRPr="003F3783">
        <w:rPr>
          <w:rFonts w:ascii="Palatino Linotype" w:hAnsi="Palatino Linotype"/>
          <w:color w:val="000000"/>
        </w:rPr>
        <w:t xml:space="preserve"> de dicho programa, sin embargo no adjuntó documento alguno que contuviera dicha información, por lo que se advierte que hace nugatorio el Derecho de Acceso a la Información.</w:t>
      </w:r>
    </w:p>
    <w:p w14:paraId="33983C75" w14:textId="77777777" w:rsidR="002C5FA7" w:rsidRPr="003F3783" w:rsidRDefault="002C5FA7" w:rsidP="002C5FA7">
      <w:pPr>
        <w:pStyle w:val="Prrafodelista"/>
        <w:rPr>
          <w:rFonts w:ascii="Palatino Linotype" w:eastAsia="Calibri" w:hAnsi="Palatino Linotype" w:cs="Arial"/>
          <w:lang w:val="es-ES"/>
        </w:rPr>
      </w:pPr>
    </w:p>
    <w:p w14:paraId="799C7715" w14:textId="0FCB606C" w:rsidR="002C5FA7" w:rsidRPr="003F3783" w:rsidRDefault="002C5FA7" w:rsidP="002C5FA7">
      <w:pPr>
        <w:pStyle w:val="Prrafodelista"/>
        <w:numPr>
          <w:ilvl w:val="0"/>
          <w:numId w:val="25"/>
        </w:numPr>
        <w:autoSpaceDE w:val="0"/>
        <w:autoSpaceDN w:val="0"/>
        <w:adjustRightInd w:val="0"/>
        <w:spacing w:before="240" w:after="360" w:line="360" w:lineRule="auto"/>
        <w:ind w:left="0" w:firstLine="0"/>
        <w:jc w:val="both"/>
        <w:rPr>
          <w:rFonts w:ascii="Palatino Linotype" w:hAnsi="Palatino Linotype" w:cs="Arial"/>
          <w:color w:val="000000"/>
          <w:lang w:val="es-MX"/>
        </w:rPr>
      </w:pPr>
      <w:r w:rsidRPr="003F3783">
        <w:rPr>
          <w:rFonts w:ascii="Palatino Linotype" w:hAnsi="Palatino Linotype"/>
          <w:lang w:val="es-MX"/>
        </w:rPr>
        <w:t xml:space="preserve">En ese sentido el </w:t>
      </w:r>
      <w:r w:rsidRPr="003F3783">
        <w:rPr>
          <w:rFonts w:ascii="Palatino Linotype" w:hAnsi="Palatino Linotype"/>
          <w:b/>
          <w:lang w:val="es-MX"/>
        </w:rPr>
        <w:t>SUJETO OBLIGADO</w:t>
      </w:r>
      <w:r w:rsidRPr="003F3783">
        <w:rPr>
          <w:rFonts w:ascii="Palatino Linotype" w:hAnsi="Palatino Linotype"/>
          <w:lang w:val="es-MX"/>
        </w:rPr>
        <w:t xml:space="preserve"> se encuentra posibilitado a entregar la información requerida de acuerdo a lo dispuesto por los artículos 3, fracción XI, 4, 12, 24 último párrafo</w:t>
      </w:r>
      <w:r w:rsidRPr="003F3783">
        <w:rPr>
          <w:rFonts w:ascii="Palatino Linotype" w:hAnsi="Palatino Linotype"/>
          <w:bCs/>
          <w:lang w:val="es-MX"/>
        </w:rPr>
        <w:t xml:space="preserve"> de la Ley de Transparencia y Acceso a la Información Pública del Estado de México y Municipios</w:t>
      </w:r>
      <w:r w:rsidRPr="003F3783">
        <w:rPr>
          <w:rFonts w:ascii="Palatino Linotype" w:hAnsi="Palatino Linotype"/>
          <w:lang w:val="es-MX"/>
        </w:rPr>
        <w:t>, los cuales son del tenor literal siguiente:</w:t>
      </w:r>
    </w:p>
    <w:p w14:paraId="02915A04"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t>“Artículo 3. Para los efectos de la presente Ley se entenderá por:</w:t>
      </w:r>
    </w:p>
    <w:p w14:paraId="1D3708D2"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t>…</w:t>
      </w:r>
    </w:p>
    <w:p w14:paraId="635A3110"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lastRenderedPageBreak/>
        <w:t xml:space="preserve">XI. Documento: Los expedientes, reportes, estudios, actas, resoluciones, oficios, correspondencia, acuerdos, directivas, directrices, circulares, contratos, convenios, instructivos, notas, memorandos, estadísticas o bien, </w:t>
      </w:r>
      <w:r w:rsidRPr="003F3783">
        <w:rPr>
          <w:rFonts w:ascii="Palatino Linotype" w:hAnsi="Palatino Linotype"/>
          <w:b/>
          <w:bCs/>
          <w:i/>
          <w:sz w:val="22"/>
          <w:u w:val="single"/>
          <w:lang w:val="es-MX"/>
        </w:rPr>
        <w:t>cualquier otro registro que documente el ejercicio de las facultades, funciones y competencias</w:t>
      </w:r>
      <w:r w:rsidRPr="003F3783">
        <w:rPr>
          <w:rFonts w:ascii="Palatino Linotype" w:hAnsi="Palatino Linotype"/>
          <w:bCs/>
          <w:i/>
          <w:sz w:val="22"/>
          <w:lang w:val="es-MX"/>
        </w:rPr>
        <w:t xml:space="preserve"> de los sujetos obligados, sus servidores públicos e integrantes, sin importar su fuente o fecha de elaboración. Los documentos podrán estar en cualquier medio, sea escrito, impreso, sonoro, visual, electrónico, informático u holográfico;</w:t>
      </w:r>
    </w:p>
    <w:p w14:paraId="16191C50"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t>…</w:t>
      </w:r>
    </w:p>
    <w:p w14:paraId="5C5FF94F"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14:paraId="68EC3A24"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w:t>
      </w:r>
    </w:p>
    <w:p w14:paraId="497F6D3D"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t>…</w:t>
      </w:r>
    </w:p>
    <w:p w14:paraId="388EA829"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t>Artículo 12. Quienes generen, recopilen, administren, manejen, procesen, archiven o conserven información pública serán responsables de la misma en los términos de las disposiciones jurídicas aplicables.</w:t>
      </w:r>
    </w:p>
    <w:p w14:paraId="53D5EF0E"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140D4D6"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t>…</w:t>
      </w:r>
    </w:p>
    <w:p w14:paraId="3F31ED09"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lastRenderedPageBreak/>
        <w:t>Artículo 24. Para el cumplimiento de los objetivos de esta Ley, los sujetos obligados deberán cumplir con las siguientes obligaciones, según corresponda, de acuerdo a su naturaleza:</w:t>
      </w:r>
    </w:p>
    <w:p w14:paraId="795F3D32"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bCs/>
          <w:i/>
          <w:sz w:val="22"/>
          <w:lang w:val="es-MX"/>
        </w:rPr>
      </w:pPr>
      <w:r w:rsidRPr="003F3783">
        <w:rPr>
          <w:rFonts w:ascii="Palatino Linotype" w:hAnsi="Palatino Linotype"/>
          <w:bCs/>
          <w:i/>
          <w:sz w:val="22"/>
          <w:lang w:val="es-MX"/>
        </w:rPr>
        <w:t>…</w:t>
      </w:r>
    </w:p>
    <w:p w14:paraId="55BB9994"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i/>
          <w:sz w:val="22"/>
          <w:lang w:val="es-MX"/>
        </w:rPr>
      </w:pPr>
      <w:r w:rsidRPr="003F3783">
        <w:rPr>
          <w:rFonts w:ascii="Palatino Linotype" w:hAnsi="Palatino Linotype"/>
          <w:bCs/>
          <w:i/>
          <w:sz w:val="22"/>
          <w:lang w:val="es-MX"/>
        </w:rPr>
        <w:t>Los sujetos obligados solo proporcionarán la información pública que generen, administren o posean en el ejercicio de sus atribuciones.”</w:t>
      </w:r>
    </w:p>
    <w:p w14:paraId="18FFAAB2" w14:textId="77777777" w:rsidR="002C5FA7" w:rsidRPr="003F3783" w:rsidRDefault="002C5FA7" w:rsidP="002C5FA7">
      <w:pPr>
        <w:tabs>
          <w:tab w:val="left" w:pos="8222"/>
        </w:tabs>
        <w:autoSpaceDE w:val="0"/>
        <w:autoSpaceDN w:val="0"/>
        <w:adjustRightInd w:val="0"/>
        <w:spacing w:line="360" w:lineRule="auto"/>
        <w:ind w:left="567" w:right="567"/>
        <w:jc w:val="both"/>
        <w:rPr>
          <w:rFonts w:ascii="Palatino Linotype" w:hAnsi="Palatino Linotype"/>
          <w:i/>
          <w:sz w:val="22"/>
          <w:lang w:val="es-MX"/>
        </w:rPr>
      </w:pPr>
      <w:r w:rsidRPr="003F3783">
        <w:rPr>
          <w:rFonts w:ascii="Palatino Linotype" w:hAnsi="Palatino Linotype"/>
          <w:i/>
          <w:sz w:val="22"/>
          <w:lang w:val="es-MX"/>
        </w:rPr>
        <w:t>(Énfasis añadido)</w:t>
      </w:r>
    </w:p>
    <w:p w14:paraId="23441FAB" w14:textId="77777777" w:rsidR="002C5FA7" w:rsidRPr="003F3783" w:rsidRDefault="002C5FA7" w:rsidP="002C5FA7">
      <w:pPr>
        <w:pStyle w:val="Prrafodelista"/>
        <w:numPr>
          <w:ilvl w:val="0"/>
          <w:numId w:val="25"/>
        </w:numPr>
        <w:autoSpaceDE w:val="0"/>
        <w:autoSpaceDN w:val="0"/>
        <w:adjustRightInd w:val="0"/>
        <w:spacing w:before="240" w:after="240" w:line="360" w:lineRule="auto"/>
        <w:ind w:left="0" w:firstLine="0"/>
        <w:jc w:val="both"/>
        <w:rPr>
          <w:rFonts w:ascii="Palatino Linotype" w:hAnsi="Palatino Linotype"/>
          <w:lang w:val="es-MX"/>
        </w:rPr>
      </w:pPr>
      <w:r w:rsidRPr="003F3783">
        <w:rPr>
          <w:rFonts w:ascii="Palatino Linotype" w:hAnsi="Palatino Linotype"/>
          <w:lang w:val="es-MX"/>
        </w:rPr>
        <w:t>De la interpretación a los preceptos anteriormente citados, se desprende que es información pública la contenida en los documentos que los Sujetos Obligados generen, administren o se encuentre en su posesión en ejercicio de sus atribuciones, entre ellos el padrón de beneficiarios de un programa.</w:t>
      </w:r>
    </w:p>
    <w:p w14:paraId="47EFEE1E" w14:textId="77777777" w:rsidR="00D214EB" w:rsidRPr="003F3783" w:rsidRDefault="00D214EB" w:rsidP="002C5FA7">
      <w:pPr>
        <w:pStyle w:val="Prrafodelista"/>
        <w:spacing w:before="240" w:after="240" w:line="360" w:lineRule="auto"/>
        <w:ind w:left="0" w:right="49"/>
        <w:jc w:val="both"/>
        <w:rPr>
          <w:rFonts w:ascii="Palatino Linotype" w:eastAsia="Calibri" w:hAnsi="Palatino Linotype" w:cs="Arial"/>
          <w:lang w:val="es-ES"/>
        </w:rPr>
      </w:pPr>
    </w:p>
    <w:p w14:paraId="5A8ED4F5" w14:textId="77777777" w:rsidR="00D214EB" w:rsidRPr="003F3783" w:rsidRDefault="00D214EB" w:rsidP="005F6A05">
      <w:pPr>
        <w:pStyle w:val="Prrafodelista"/>
        <w:numPr>
          <w:ilvl w:val="0"/>
          <w:numId w:val="4"/>
        </w:numPr>
        <w:spacing w:line="360" w:lineRule="auto"/>
        <w:ind w:left="0" w:firstLine="0"/>
        <w:jc w:val="both"/>
        <w:rPr>
          <w:rFonts w:ascii="Palatino Linotype" w:hAnsi="Palatino Linotype"/>
          <w:lang w:eastAsia="es-MX"/>
        </w:rPr>
      </w:pPr>
      <w:r w:rsidRPr="003F3783">
        <w:rPr>
          <w:rFonts w:ascii="Palatino Linotype" w:hAnsi="Palatino Linotype"/>
          <w:lang w:eastAsia="es-MX"/>
        </w:rPr>
        <w:t>Por lo que es preciso mencionar que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48C8F99" w14:textId="77777777" w:rsidR="00D214EB" w:rsidRPr="003F3783" w:rsidRDefault="00D214EB" w:rsidP="00D214EB">
      <w:pPr>
        <w:pStyle w:val="Prrafodelista"/>
        <w:spacing w:line="360" w:lineRule="auto"/>
        <w:ind w:left="0"/>
        <w:jc w:val="both"/>
        <w:rPr>
          <w:rFonts w:ascii="Palatino Linotype" w:hAnsi="Palatino Linotype" w:cs="Arial"/>
        </w:rPr>
      </w:pPr>
    </w:p>
    <w:p w14:paraId="0F6DBD32" w14:textId="77777777" w:rsidR="00D214EB" w:rsidRPr="003F3783" w:rsidRDefault="00D214EB" w:rsidP="005F6A05">
      <w:pPr>
        <w:pStyle w:val="Prrafodelista"/>
        <w:numPr>
          <w:ilvl w:val="0"/>
          <w:numId w:val="4"/>
        </w:numPr>
        <w:spacing w:line="360" w:lineRule="auto"/>
        <w:ind w:left="0" w:firstLine="0"/>
        <w:jc w:val="both"/>
        <w:rPr>
          <w:rFonts w:ascii="Palatino Linotype" w:hAnsi="Palatino Linotype" w:cs="Arial"/>
        </w:rPr>
      </w:pPr>
      <w:r w:rsidRPr="003F3783">
        <w:rPr>
          <w:rFonts w:ascii="Palatino Linotype" w:eastAsia="MS Mincho" w:hAnsi="Palatino Linotype" w:cs="Times New Roman"/>
        </w:rPr>
        <w:t>En atención a lo anterior expuesto es pertinente señalar que el párrafo primero del artículo 11 de la</w:t>
      </w:r>
      <w:r w:rsidRPr="003F3783">
        <w:rPr>
          <w:rFonts w:ascii="Palatino Linotype" w:hAnsi="Palatino Linotype"/>
        </w:rPr>
        <w:t xml:space="preserve"> </w:t>
      </w:r>
      <w:r w:rsidRPr="003F3783">
        <w:rPr>
          <w:rFonts w:ascii="Palatino Linotype" w:hAnsi="Palatino Linotype"/>
          <w:b/>
        </w:rPr>
        <w:t>Ley de Transparencia y Acceso a la Información Pública del Estado de México y Municipios</w:t>
      </w:r>
      <w:r w:rsidRPr="003F3783">
        <w:rPr>
          <w:rFonts w:ascii="Palatino Linotype" w:hAnsi="Palatino Linotype"/>
        </w:rPr>
        <w:t xml:space="preserve"> , misma que dispone las formas en que se habrá de generar, publicar y hacer entrega de la información al señalar que </w:t>
      </w:r>
      <w:r w:rsidRPr="003F3783">
        <w:rPr>
          <w:rFonts w:ascii="Palatino Linotype" w:eastAsia="Calibri" w:hAnsi="Palatino Linotype" w:cs="Arial"/>
          <w:lang w:val="es-ES"/>
        </w:rPr>
        <w:t>“</w:t>
      </w:r>
      <w:r w:rsidRPr="003F3783">
        <w:rPr>
          <w:rFonts w:ascii="Palatino Linotype" w:hAnsi="Palatino Linotype"/>
          <w:i/>
        </w:rPr>
        <w:t xml:space="preserve">En la generación, publicación y entrega de información se deberá garantizar que ésta sea accesible, actualizada, </w:t>
      </w:r>
      <w:r w:rsidRPr="003F3783">
        <w:rPr>
          <w:rFonts w:ascii="Palatino Linotype" w:hAnsi="Palatino Linotype"/>
          <w:b/>
          <w:i/>
        </w:rPr>
        <w:t>completa</w:t>
      </w:r>
      <w:r w:rsidRPr="003F3783">
        <w:rPr>
          <w:rFonts w:ascii="Palatino Linotype" w:hAnsi="Palatino Linotype"/>
          <w:i/>
        </w:rPr>
        <w:t xml:space="preserve">, congruente, confiable, verificable, veraz, </w:t>
      </w:r>
      <w:r w:rsidRPr="003F3783">
        <w:rPr>
          <w:rFonts w:ascii="Palatino Linotype" w:hAnsi="Palatino Linotype"/>
          <w:b/>
          <w:i/>
        </w:rPr>
        <w:t>integral</w:t>
      </w:r>
      <w:r w:rsidRPr="003F3783">
        <w:rPr>
          <w:rFonts w:ascii="Palatino Linotype" w:hAnsi="Palatino Linotype"/>
          <w:i/>
        </w:rPr>
        <w:t xml:space="preserve">, oportuna y expedita, sujeta a un claro régimen de excepciones que deberá estar definido y ser además </w:t>
      </w:r>
      <w:r w:rsidRPr="003F3783">
        <w:rPr>
          <w:rFonts w:ascii="Palatino Linotype" w:hAnsi="Palatino Linotype"/>
          <w:i/>
        </w:rPr>
        <w:lastRenderedPageBreak/>
        <w:t>legítima y estrictamente necesaria en una sociedad democrática, por lo que atenderá las necesidades del derecho de acceso a la información de toda persona”.</w:t>
      </w:r>
    </w:p>
    <w:p w14:paraId="7FFFEE1E" w14:textId="77777777" w:rsidR="00D214EB" w:rsidRPr="003F3783" w:rsidRDefault="00D214EB" w:rsidP="00D214EB">
      <w:pPr>
        <w:pStyle w:val="Prrafodelista"/>
        <w:spacing w:before="240" w:line="360" w:lineRule="auto"/>
        <w:ind w:left="0" w:right="49"/>
        <w:jc w:val="both"/>
        <w:rPr>
          <w:rFonts w:ascii="Palatino Linotype" w:eastAsia="Calibri" w:hAnsi="Palatino Linotype" w:cs="Arial"/>
          <w:lang w:val="es-ES"/>
        </w:rPr>
      </w:pPr>
    </w:p>
    <w:p w14:paraId="185EF5A1" w14:textId="77777777" w:rsidR="00D214EB" w:rsidRPr="003F3783" w:rsidRDefault="00D214EB" w:rsidP="005F6A05">
      <w:pPr>
        <w:pStyle w:val="Prrafodelista"/>
        <w:numPr>
          <w:ilvl w:val="0"/>
          <w:numId w:val="4"/>
        </w:numPr>
        <w:spacing w:before="240" w:after="240" w:line="360" w:lineRule="auto"/>
        <w:ind w:left="0" w:right="49" w:firstLine="0"/>
        <w:jc w:val="both"/>
        <w:rPr>
          <w:rFonts w:ascii="Palatino Linotype" w:eastAsia="Calibri" w:hAnsi="Palatino Linotype" w:cs="Arial"/>
          <w:u w:val="single"/>
          <w:lang w:val="es-ES"/>
        </w:rPr>
      </w:pPr>
      <w:r w:rsidRPr="003F3783">
        <w:rPr>
          <w:rFonts w:ascii="Palatino Linotype" w:eastAsia="MS Mincho" w:hAnsi="Palatino Linotype" w:cs="Times New Roman"/>
        </w:rPr>
        <w:t xml:space="preserve">De ello se advierte que la respuesta de todos los Sujetos Obligados a una solicitud de Acceso a la Información Pública debe ser </w:t>
      </w:r>
      <w:r w:rsidRPr="003F3783">
        <w:rPr>
          <w:rFonts w:ascii="Palatino Linotype" w:eastAsia="MS Mincho" w:hAnsi="Palatino Linotype" w:cs="Times New Roman"/>
          <w:b/>
          <w:u w:val="single"/>
        </w:rPr>
        <w:t>completa</w:t>
      </w:r>
      <w:r w:rsidRPr="003F3783">
        <w:rPr>
          <w:rFonts w:ascii="Palatino Linotype" w:eastAsia="MS Mincho" w:hAnsi="Palatino Linotype" w:cs="Times New Roman"/>
        </w:rPr>
        <w:t xml:space="preserve"> </w:t>
      </w:r>
      <w:r w:rsidRPr="003F3783">
        <w:rPr>
          <w:rFonts w:ascii="Palatino Linotype" w:hAnsi="Palatino Linotype"/>
        </w:rPr>
        <w:t xml:space="preserve">confiable, verificable, veraz, </w:t>
      </w:r>
      <w:r w:rsidRPr="003F3783">
        <w:rPr>
          <w:rFonts w:ascii="Palatino Linotype" w:hAnsi="Palatino Linotype"/>
          <w:b/>
          <w:u w:val="single"/>
        </w:rPr>
        <w:t>integral</w:t>
      </w:r>
      <w:r w:rsidRPr="003F3783">
        <w:rPr>
          <w:rFonts w:ascii="Palatino Linotype" w:eastAsia="MS Mincho" w:hAnsi="Palatino Linotype" w:cs="Times New Roman"/>
        </w:rPr>
        <w:t xml:space="preserve"> y congruente con lo requerido, de lo contrario se contravendría el artículo 11 de la Ley de Transparencia Local.</w:t>
      </w:r>
    </w:p>
    <w:p w14:paraId="0E01D75D" w14:textId="77777777" w:rsidR="00D214EB" w:rsidRPr="003F3783" w:rsidRDefault="00D214EB" w:rsidP="00D214EB">
      <w:pPr>
        <w:pStyle w:val="Prrafodelista"/>
        <w:rPr>
          <w:rFonts w:ascii="Palatino Linotype" w:eastAsia="Calibri" w:hAnsi="Palatino Linotype" w:cs="Arial"/>
          <w:u w:val="single"/>
          <w:lang w:val="es-ES"/>
        </w:rPr>
      </w:pPr>
    </w:p>
    <w:p w14:paraId="41507385" w14:textId="248D734B" w:rsidR="00F972B8" w:rsidRPr="003F3783" w:rsidRDefault="00D214EB" w:rsidP="002C5FA7">
      <w:pPr>
        <w:pStyle w:val="Prrafodelista"/>
        <w:numPr>
          <w:ilvl w:val="0"/>
          <w:numId w:val="4"/>
        </w:numPr>
        <w:spacing w:before="240" w:after="240" w:line="360" w:lineRule="auto"/>
        <w:ind w:left="0" w:right="49" w:firstLine="0"/>
        <w:jc w:val="both"/>
        <w:rPr>
          <w:rFonts w:ascii="Palatino Linotype" w:eastAsia="Calibri" w:hAnsi="Palatino Linotype" w:cs="Arial"/>
          <w:u w:val="single"/>
          <w:lang w:val="es-ES"/>
        </w:rPr>
      </w:pPr>
      <w:r w:rsidRPr="003F3783">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w:t>
      </w:r>
      <w:r w:rsidRPr="003F3783">
        <w:rPr>
          <w:rFonts w:ascii="Palatino Linotype" w:hAnsi="Palatino Linotype"/>
          <w:b/>
          <w:u w:val="single"/>
          <w:lang w:eastAsia="es-MX"/>
        </w:rPr>
        <w:t>generan una afectación inicial susceptible de ser reparada mediante el recurso de revisión</w:t>
      </w:r>
      <w:r w:rsidRPr="003F3783">
        <w:rPr>
          <w:rFonts w:ascii="Palatino Linotype" w:hAnsi="Palatino Linotype"/>
          <w:lang w:eastAsia="es-MX"/>
        </w:rPr>
        <w:t>.</w:t>
      </w:r>
    </w:p>
    <w:p w14:paraId="188EE522" w14:textId="77777777" w:rsidR="00531CD8" w:rsidRPr="003F3783" w:rsidRDefault="00531CD8" w:rsidP="00F972B8">
      <w:pPr>
        <w:pStyle w:val="Prrafodelista"/>
        <w:spacing w:before="240" w:after="240" w:line="360" w:lineRule="auto"/>
        <w:ind w:left="0" w:right="49"/>
        <w:jc w:val="both"/>
        <w:rPr>
          <w:rFonts w:ascii="Palatino Linotype" w:eastAsia="Calibri" w:hAnsi="Palatino Linotype" w:cs="Arial"/>
          <w:u w:val="single"/>
          <w:lang w:val="es-ES"/>
        </w:rPr>
      </w:pPr>
    </w:p>
    <w:p w14:paraId="49953ADA" w14:textId="77777777" w:rsidR="00531CD8" w:rsidRPr="003F3783" w:rsidRDefault="00531CD8" w:rsidP="00531CD8">
      <w:pPr>
        <w:pStyle w:val="Ttulo1"/>
        <w:rPr>
          <w:b/>
          <w:szCs w:val="24"/>
        </w:rPr>
      </w:pPr>
      <w:bookmarkStart w:id="41" w:name="_Toc490060411"/>
      <w:bookmarkStart w:id="42" w:name="_Toc492468080"/>
      <w:bookmarkStart w:id="43" w:name="_Toc2878595"/>
      <w:bookmarkStart w:id="44" w:name="_Toc5359174"/>
      <w:bookmarkStart w:id="45" w:name="_Toc24033310"/>
      <w:bookmarkStart w:id="46" w:name="_Toc34236146"/>
      <w:bookmarkStart w:id="47" w:name="_Toc52461320"/>
      <w:bookmarkStart w:id="48" w:name="_Toc52563280"/>
      <w:r w:rsidRPr="003F3783">
        <w:rPr>
          <w:b/>
          <w:szCs w:val="24"/>
        </w:rPr>
        <w:t>QUINTO. De la versión pública.</w:t>
      </w:r>
      <w:bookmarkEnd w:id="41"/>
      <w:bookmarkEnd w:id="42"/>
      <w:bookmarkEnd w:id="43"/>
      <w:bookmarkEnd w:id="44"/>
      <w:bookmarkEnd w:id="45"/>
      <w:bookmarkEnd w:id="46"/>
      <w:bookmarkEnd w:id="47"/>
      <w:bookmarkEnd w:id="48"/>
    </w:p>
    <w:p w14:paraId="7CFF86D9" w14:textId="77777777" w:rsidR="00531CD8" w:rsidRPr="003F3783" w:rsidRDefault="00531CD8" w:rsidP="00531CD8">
      <w:pPr>
        <w:spacing w:after="240"/>
        <w:rPr>
          <w:rFonts w:ascii="Palatino Linotype" w:hAnsi="Palatino Linotype"/>
          <w:b/>
          <w:color w:val="000000" w:themeColor="text1"/>
          <w:lang w:val="es-MX" w:eastAsia="en-US"/>
        </w:rPr>
      </w:pPr>
    </w:p>
    <w:p w14:paraId="71E521E0" w14:textId="10FBA0FD" w:rsidR="00531CD8" w:rsidRPr="003F3783" w:rsidRDefault="00531CD8" w:rsidP="00531CD8">
      <w:pPr>
        <w:pStyle w:val="Prrafodelista"/>
        <w:numPr>
          <w:ilvl w:val="0"/>
          <w:numId w:val="25"/>
        </w:numPr>
        <w:shd w:val="clear" w:color="auto" w:fill="FFFFFF"/>
        <w:spacing w:after="200" w:line="360" w:lineRule="auto"/>
        <w:ind w:left="0" w:firstLine="0"/>
        <w:jc w:val="both"/>
        <w:rPr>
          <w:rFonts w:ascii="Palatino Linotype" w:eastAsia="Times New Roman" w:hAnsi="Palatino Linotype" w:cs="Arial"/>
          <w:color w:val="000000" w:themeColor="text1"/>
        </w:rPr>
      </w:pPr>
      <w:r w:rsidRPr="003F3783">
        <w:rPr>
          <w:rFonts w:ascii="Palatino Linotype" w:hAnsi="Palatino Linotype" w:cs="Arial"/>
          <w:color w:val="000000" w:themeColor="text1"/>
        </w:rPr>
        <w:t xml:space="preserve">Debe destacarse que debido a la naturaleza de </w:t>
      </w:r>
      <w:r w:rsidRPr="003F3783">
        <w:rPr>
          <w:rFonts w:ascii="Palatino Linotype" w:hAnsi="Palatino Linotype"/>
          <w:color w:val="000000" w:themeColor="text1"/>
        </w:rPr>
        <w:t xml:space="preserve">la información que se ordena entregar, </w:t>
      </w:r>
      <w:r w:rsidRPr="003F3783">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3F3783">
        <w:rPr>
          <w:rFonts w:ascii="Palatino Linotype" w:eastAsia="Times New Roman" w:hAnsi="Palatino Linotype" w:cs="Times New Roman"/>
          <w:color w:val="000000" w:themeColor="text1"/>
          <w:lang w:val="es-ES"/>
        </w:rPr>
        <w:t>la información solicitada se deberá entregar en su caso en versión pública.</w:t>
      </w:r>
    </w:p>
    <w:p w14:paraId="7E516FB4" w14:textId="77777777" w:rsidR="00531CD8" w:rsidRPr="003F3783" w:rsidRDefault="00531CD8" w:rsidP="00531CD8">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15374ACC" w14:textId="77777777" w:rsidR="00531CD8" w:rsidRPr="003F3783" w:rsidRDefault="00531CD8" w:rsidP="00531CD8">
      <w:pPr>
        <w:pStyle w:val="Prrafodelista"/>
        <w:numPr>
          <w:ilvl w:val="0"/>
          <w:numId w:val="25"/>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3F3783">
        <w:rPr>
          <w:rFonts w:ascii="Palatino Linotype" w:eastAsia="Times New Roman" w:hAnsi="Palatino Linotype" w:cs="Arial"/>
          <w:color w:val="000000" w:themeColor="text1"/>
        </w:rPr>
        <w:lastRenderedPageBreak/>
        <w:t xml:space="preserve">De acuerdo a lo establecido por el artículo 122 de la Ley en materia, establece la clasificación de información, misma que puede ser por dos hipótesis, las cuales corresponden a información reservada o confidencial, por lo que los </w:t>
      </w:r>
      <w:r w:rsidRPr="003F3783">
        <w:rPr>
          <w:rFonts w:ascii="Palatino Linotype" w:eastAsia="Times New Roman" w:hAnsi="Palatino Linotype" w:cs="Arial"/>
          <w:b/>
          <w:color w:val="000000" w:themeColor="text1"/>
        </w:rPr>
        <w:t xml:space="preserve">SUJETOS OBLIGADOS </w:t>
      </w:r>
      <w:r w:rsidRPr="003F3783">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053D3813" w14:textId="77777777" w:rsidR="00531CD8" w:rsidRPr="003F3783" w:rsidRDefault="00531CD8" w:rsidP="00531CD8">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189CDAB7" w14:textId="77777777" w:rsidR="00531CD8" w:rsidRPr="003F3783" w:rsidRDefault="00531CD8" w:rsidP="00531CD8">
      <w:pPr>
        <w:pStyle w:val="Prrafodelista"/>
        <w:numPr>
          <w:ilvl w:val="0"/>
          <w:numId w:val="25"/>
        </w:numPr>
        <w:spacing w:after="160" w:line="360" w:lineRule="auto"/>
        <w:ind w:left="0" w:firstLine="0"/>
        <w:jc w:val="both"/>
        <w:rPr>
          <w:rFonts w:ascii="Palatino Linotype" w:hAnsi="Palatino Linotype" w:cs="Arial"/>
          <w:color w:val="000000" w:themeColor="text1"/>
        </w:rPr>
      </w:pPr>
      <w:r w:rsidRPr="003F3783">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547F5F98" w14:textId="77777777" w:rsidR="00531CD8" w:rsidRPr="003F3783" w:rsidRDefault="00531CD8" w:rsidP="00531CD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F3783">
        <w:rPr>
          <w:rFonts w:ascii="Palatino Linotype" w:hAnsi="Palatino Linotype" w:cs="Bookman Old Style"/>
          <w:bCs/>
          <w:color w:val="000000" w:themeColor="text1"/>
        </w:rPr>
        <w:t xml:space="preserve">I. </w:t>
      </w:r>
      <w:r w:rsidRPr="003F3783">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35831E24" w14:textId="77777777" w:rsidR="00531CD8" w:rsidRPr="003F3783" w:rsidRDefault="00531CD8" w:rsidP="00531CD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F3783">
        <w:rPr>
          <w:rFonts w:ascii="Palatino Linotype" w:hAnsi="Palatino Linotype" w:cs="Bookman Old Style"/>
          <w:bCs/>
          <w:color w:val="000000" w:themeColor="text1"/>
        </w:rPr>
        <w:t xml:space="preserve">II. </w:t>
      </w:r>
      <w:r w:rsidRPr="003F3783">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2280F58" w14:textId="77777777" w:rsidR="00531CD8" w:rsidRPr="003F3783" w:rsidRDefault="00531CD8" w:rsidP="00531CD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F3783">
        <w:rPr>
          <w:rFonts w:ascii="Palatino Linotype" w:hAnsi="Palatino Linotype" w:cs="Bookman Old Style"/>
          <w:bCs/>
          <w:color w:val="000000" w:themeColor="text1"/>
        </w:rPr>
        <w:t xml:space="preserve">III. </w:t>
      </w:r>
      <w:r w:rsidRPr="003F3783">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5E1424A" w14:textId="77777777" w:rsidR="00531CD8" w:rsidRPr="003F3783" w:rsidRDefault="00531CD8" w:rsidP="00531CD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F3783">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3DB8E7E1" w14:textId="77777777" w:rsidR="00531CD8" w:rsidRPr="003F3783" w:rsidRDefault="00531CD8" w:rsidP="00531CD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F3783">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w:t>
      </w:r>
      <w:r w:rsidRPr="003F3783">
        <w:rPr>
          <w:rFonts w:ascii="Palatino Linotype" w:hAnsi="Palatino Linotype" w:cs="Bookman Old Style"/>
          <w:color w:val="000000" w:themeColor="text1"/>
        </w:rPr>
        <w:lastRenderedPageBreak/>
        <w:t xml:space="preserve">considerada por la presente ley como información pública. </w:t>
      </w:r>
    </w:p>
    <w:p w14:paraId="79A468CB" w14:textId="77777777" w:rsidR="00531CD8" w:rsidRPr="003F3783" w:rsidRDefault="00531CD8" w:rsidP="00531CD8">
      <w:pPr>
        <w:pStyle w:val="Prrafodelista"/>
        <w:spacing w:line="360" w:lineRule="auto"/>
        <w:ind w:left="0"/>
        <w:jc w:val="both"/>
        <w:rPr>
          <w:rFonts w:ascii="Palatino Linotype" w:hAnsi="Palatino Linotype" w:cs="Arial"/>
          <w:color w:val="000000" w:themeColor="text1"/>
        </w:rPr>
      </w:pPr>
    </w:p>
    <w:p w14:paraId="33552D95" w14:textId="77777777" w:rsidR="00531CD8" w:rsidRPr="003F3783" w:rsidRDefault="00531CD8" w:rsidP="00531CD8">
      <w:pPr>
        <w:pStyle w:val="Prrafodelista"/>
        <w:numPr>
          <w:ilvl w:val="0"/>
          <w:numId w:val="25"/>
        </w:numPr>
        <w:spacing w:after="160" w:line="360" w:lineRule="auto"/>
        <w:ind w:left="0" w:firstLine="0"/>
        <w:jc w:val="both"/>
        <w:rPr>
          <w:rFonts w:ascii="Palatino Linotype" w:hAnsi="Palatino Linotype" w:cs="Arial"/>
          <w:color w:val="000000" w:themeColor="text1"/>
        </w:rPr>
      </w:pPr>
      <w:r w:rsidRPr="003F378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5C26E17" w14:textId="77777777" w:rsidR="00531CD8" w:rsidRPr="003F3783" w:rsidRDefault="00531CD8" w:rsidP="00531CD8">
      <w:pPr>
        <w:pStyle w:val="Prrafodelista"/>
        <w:spacing w:after="160" w:line="360" w:lineRule="auto"/>
        <w:ind w:left="0"/>
        <w:jc w:val="both"/>
        <w:rPr>
          <w:rFonts w:ascii="Palatino Linotype" w:hAnsi="Palatino Linotype" w:cs="Arial"/>
          <w:color w:val="000000" w:themeColor="text1"/>
        </w:rPr>
      </w:pPr>
    </w:p>
    <w:p w14:paraId="6F0654B3" w14:textId="77777777" w:rsidR="00531CD8" w:rsidRPr="003F3783" w:rsidRDefault="00531CD8" w:rsidP="00531CD8">
      <w:pPr>
        <w:pStyle w:val="Prrafodelista"/>
        <w:numPr>
          <w:ilvl w:val="0"/>
          <w:numId w:val="25"/>
        </w:numPr>
        <w:spacing w:after="160" w:line="360" w:lineRule="auto"/>
        <w:ind w:left="0" w:firstLine="0"/>
        <w:jc w:val="both"/>
        <w:rPr>
          <w:rFonts w:ascii="Palatino Linotype" w:hAnsi="Palatino Linotype" w:cs="Arial"/>
          <w:color w:val="000000" w:themeColor="text1"/>
        </w:rPr>
      </w:pPr>
      <w:r w:rsidRPr="003F3783">
        <w:rPr>
          <w:rFonts w:ascii="Palatino Linotype" w:hAnsi="Palatino Linotype" w:cs="Arial"/>
          <w:color w:val="000000" w:themeColor="text1"/>
        </w:rPr>
        <w:t xml:space="preserve">Como consecuencia de lo anterior, el </w:t>
      </w:r>
      <w:r w:rsidRPr="003F3783">
        <w:rPr>
          <w:rFonts w:ascii="Palatino Linotype" w:hAnsi="Palatino Linotype" w:cs="Arial"/>
          <w:b/>
          <w:color w:val="000000" w:themeColor="text1"/>
        </w:rPr>
        <w:t>SUJETO OBLIGADO</w:t>
      </w:r>
      <w:r w:rsidRPr="003F3783">
        <w:rPr>
          <w:rFonts w:ascii="Palatino Linotype" w:hAnsi="Palatino Linotype" w:cs="Arial"/>
          <w:color w:val="000000" w:themeColor="text1"/>
        </w:rPr>
        <w:t xml:space="preserve"> debe identificar claramente el tipo de información y hacer un juicio de subsunción o encaje</w:t>
      </w:r>
      <w:r w:rsidRPr="003F3783">
        <w:rPr>
          <w:rStyle w:val="Refdenotaalpie"/>
          <w:rFonts w:ascii="Palatino Linotype" w:hAnsi="Palatino Linotype" w:cs="Arial"/>
          <w:color w:val="000000" w:themeColor="text1"/>
        </w:rPr>
        <w:footnoteReference w:id="1"/>
      </w:r>
      <w:r w:rsidRPr="003F378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0EC49E4" w14:textId="77777777" w:rsidR="00531CD8" w:rsidRPr="003F3783" w:rsidRDefault="00531CD8" w:rsidP="00531CD8">
      <w:pPr>
        <w:pStyle w:val="Prrafodelista"/>
        <w:spacing w:line="360" w:lineRule="auto"/>
        <w:ind w:left="0"/>
        <w:jc w:val="both"/>
        <w:rPr>
          <w:rFonts w:ascii="Palatino Linotype" w:hAnsi="Palatino Linotype" w:cs="Arial"/>
          <w:color w:val="000000" w:themeColor="text1"/>
        </w:rPr>
      </w:pPr>
    </w:p>
    <w:p w14:paraId="63DB9B33" w14:textId="77777777" w:rsidR="00531CD8" w:rsidRPr="003F3783" w:rsidRDefault="00531CD8" w:rsidP="00531CD8">
      <w:pPr>
        <w:pStyle w:val="Prrafodelista"/>
        <w:numPr>
          <w:ilvl w:val="0"/>
          <w:numId w:val="25"/>
        </w:numPr>
        <w:spacing w:line="360" w:lineRule="auto"/>
        <w:ind w:left="0" w:firstLine="0"/>
        <w:jc w:val="both"/>
        <w:rPr>
          <w:rFonts w:ascii="Palatino Linotype" w:hAnsi="Palatino Linotype" w:cs="Arial"/>
          <w:color w:val="000000" w:themeColor="text1"/>
        </w:rPr>
      </w:pPr>
      <w:r w:rsidRPr="003F3783">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7ADDD887" w14:textId="77777777" w:rsidR="00531CD8" w:rsidRPr="003F3783" w:rsidRDefault="00531CD8" w:rsidP="00531CD8">
      <w:pPr>
        <w:pStyle w:val="Prrafodelista"/>
        <w:spacing w:line="360" w:lineRule="auto"/>
        <w:ind w:left="0"/>
        <w:jc w:val="both"/>
        <w:rPr>
          <w:rFonts w:ascii="Palatino Linotype" w:eastAsia="Times New Roman" w:hAnsi="Palatino Linotype"/>
          <w:color w:val="000000" w:themeColor="text1"/>
          <w:lang w:eastAsia="es-ES_tradnl"/>
        </w:rPr>
      </w:pPr>
    </w:p>
    <w:p w14:paraId="2BC8AD8D" w14:textId="77777777" w:rsidR="00531CD8" w:rsidRPr="003F3783" w:rsidRDefault="00531CD8" w:rsidP="00531CD8">
      <w:pPr>
        <w:pStyle w:val="Ttulo2"/>
        <w:rPr>
          <w:rFonts w:ascii="Palatino Linotype" w:hAnsi="Palatino Linotype"/>
          <w:b/>
          <w:color w:val="000000" w:themeColor="text1"/>
          <w:sz w:val="24"/>
          <w:szCs w:val="24"/>
        </w:rPr>
      </w:pPr>
      <w:bookmarkStart w:id="49" w:name="_Toc485631705"/>
      <w:bookmarkStart w:id="50" w:name="_Toc485733666"/>
      <w:bookmarkStart w:id="51" w:name="_Toc487139037"/>
      <w:bookmarkStart w:id="52" w:name="_Toc490060412"/>
      <w:bookmarkStart w:id="53" w:name="_Toc492468081"/>
      <w:bookmarkStart w:id="54" w:name="_Toc2878596"/>
      <w:bookmarkStart w:id="55" w:name="_Toc5359175"/>
      <w:bookmarkStart w:id="56" w:name="_Toc24033311"/>
      <w:bookmarkStart w:id="57" w:name="_Toc34236147"/>
      <w:bookmarkStart w:id="58" w:name="_Toc52461321"/>
      <w:bookmarkStart w:id="59" w:name="_Toc52563281"/>
      <w:r w:rsidRPr="003F3783">
        <w:rPr>
          <w:rFonts w:ascii="Palatino Linotype" w:hAnsi="Palatino Linotype"/>
          <w:b/>
          <w:color w:val="000000" w:themeColor="text1"/>
          <w:sz w:val="24"/>
          <w:szCs w:val="24"/>
        </w:rPr>
        <w:t>Requisitos de fondo del acuerdo de clasificación.</w:t>
      </w:r>
      <w:bookmarkEnd w:id="49"/>
      <w:bookmarkEnd w:id="50"/>
      <w:bookmarkEnd w:id="51"/>
      <w:bookmarkEnd w:id="52"/>
      <w:bookmarkEnd w:id="53"/>
      <w:bookmarkEnd w:id="54"/>
      <w:bookmarkEnd w:id="55"/>
      <w:bookmarkEnd w:id="56"/>
      <w:bookmarkEnd w:id="57"/>
      <w:bookmarkEnd w:id="58"/>
      <w:bookmarkEnd w:id="59"/>
    </w:p>
    <w:p w14:paraId="4CB6D376" w14:textId="77777777" w:rsidR="00531CD8" w:rsidRPr="003F3783" w:rsidRDefault="00531CD8" w:rsidP="00531CD8">
      <w:pPr>
        <w:pStyle w:val="Ttulo2"/>
        <w:rPr>
          <w:rFonts w:ascii="Palatino Linotype" w:hAnsi="Palatino Linotype" w:cs="Arial"/>
          <w:b/>
          <w:color w:val="000000" w:themeColor="text1"/>
          <w:sz w:val="24"/>
          <w:szCs w:val="24"/>
        </w:rPr>
      </w:pPr>
    </w:p>
    <w:p w14:paraId="1CDB3C85" w14:textId="77777777" w:rsidR="00531CD8" w:rsidRPr="003F3783" w:rsidRDefault="00531CD8" w:rsidP="00531CD8">
      <w:pPr>
        <w:pStyle w:val="Prrafodelista"/>
        <w:numPr>
          <w:ilvl w:val="0"/>
          <w:numId w:val="25"/>
        </w:numPr>
        <w:spacing w:line="360" w:lineRule="auto"/>
        <w:ind w:left="0" w:firstLine="0"/>
        <w:jc w:val="both"/>
        <w:rPr>
          <w:rFonts w:ascii="Palatino Linotype" w:hAnsi="Palatino Linotype" w:cs="Arial"/>
          <w:color w:val="000000" w:themeColor="text1"/>
        </w:rPr>
      </w:pPr>
      <w:r w:rsidRPr="003F3783">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1AD8E50" w14:textId="77777777" w:rsidR="00531CD8" w:rsidRPr="003F3783" w:rsidRDefault="00531CD8" w:rsidP="00531CD8">
      <w:pPr>
        <w:pStyle w:val="Prrafodelista"/>
        <w:spacing w:after="160" w:line="360" w:lineRule="auto"/>
        <w:ind w:left="0"/>
        <w:jc w:val="both"/>
        <w:rPr>
          <w:rFonts w:ascii="Palatino Linotype" w:hAnsi="Palatino Linotype" w:cs="Arial"/>
          <w:color w:val="000000" w:themeColor="text1"/>
        </w:rPr>
      </w:pPr>
    </w:p>
    <w:p w14:paraId="1A395E4B" w14:textId="77777777" w:rsidR="00531CD8" w:rsidRPr="003F3783" w:rsidRDefault="00531CD8" w:rsidP="00531CD8">
      <w:pPr>
        <w:pStyle w:val="Prrafodelista"/>
        <w:numPr>
          <w:ilvl w:val="0"/>
          <w:numId w:val="25"/>
        </w:numPr>
        <w:spacing w:after="160" w:line="360" w:lineRule="auto"/>
        <w:ind w:left="0" w:firstLine="0"/>
        <w:jc w:val="both"/>
        <w:rPr>
          <w:rFonts w:ascii="Palatino Linotype" w:hAnsi="Palatino Linotype" w:cs="Arial"/>
          <w:color w:val="000000" w:themeColor="text1"/>
        </w:rPr>
      </w:pPr>
      <w:r w:rsidRPr="003F3783">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5E324CF" w14:textId="77777777" w:rsidR="00531CD8" w:rsidRPr="003F3783" w:rsidRDefault="00531CD8" w:rsidP="00531CD8">
      <w:pPr>
        <w:pStyle w:val="Prrafodelista"/>
        <w:spacing w:after="160" w:line="360" w:lineRule="auto"/>
        <w:ind w:left="0"/>
        <w:jc w:val="both"/>
        <w:rPr>
          <w:rFonts w:ascii="Palatino Linotype" w:hAnsi="Palatino Linotype" w:cs="Arial"/>
          <w:color w:val="000000" w:themeColor="text1"/>
        </w:rPr>
      </w:pPr>
    </w:p>
    <w:p w14:paraId="1607F092" w14:textId="77777777" w:rsidR="00531CD8" w:rsidRPr="003F3783" w:rsidRDefault="00531CD8" w:rsidP="00531CD8">
      <w:pPr>
        <w:pStyle w:val="Prrafodelista"/>
        <w:numPr>
          <w:ilvl w:val="0"/>
          <w:numId w:val="25"/>
        </w:numPr>
        <w:spacing w:after="160" w:line="360" w:lineRule="auto"/>
        <w:ind w:left="0" w:firstLine="0"/>
        <w:jc w:val="both"/>
        <w:rPr>
          <w:rFonts w:ascii="Palatino Linotype" w:hAnsi="Palatino Linotype" w:cs="Arial"/>
          <w:color w:val="000000" w:themeColor="text1"/>
        </w:rPr>
      </w:pPr>
      <w:r w:rsidRPr="003F3783">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w:t>
      </w:r>
      <w:r w:rsidRPr="003F3783">
        <w:rPr>
          <w:rFonts w:ascii="Palatino Linotype" w:eastAsia="Times New Roman" w:hAnsi="Palatino Linotype" w:cs="Arial"/>
          <w:color w:val="000000" w:themeColor="text1"/>
          <w:lang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F3783">
        <w:rPr>
          <w:rStyle w:val="Refdenotaalpie"/>
          <w:rFonts w:ascii="Palatino Linotype" w:eastAsia="Times New Roman" w:hAnsi="Palatino Linotype" w:cs="Arial"/>
          <w:color w:val="000000" w:themeColor="text1"/>
          <w:lang w:eastAsia="es-MX"/>
        </w:rPr>
        <w:footnoteReference w:id="2"/>
      </w:r>
    </w:p>
    <w:p w14:paraId="49A4BC92" w14:textId="77777777" w:rsidR="00531CD8" w:rsidRPr="003F3783" w:rsidRDefault="00531CD8" w:rsidP="00531CD8">
      <w:pPr>
        <w:pStyle w:val="Prrafodelista"/>
        <w:spacing w:after="160" w:line="360" w:lineRule="auto"/>
        <w:ind w:left="0"/>
        <w:jc w:val="both"/>
        <w:rPr>
          <w:rFonts w:ascii="Palatino Linotype" w:hAnsi="Palatino Linotype" w:cs="Arial"/>
          <w:color w:val="000000" w:themeColor="text1"/>
        </w:rPr>
      </w:pPr>
    </w:p>
    <w:p w14:paraId="4FE31B55" w14:textId="77777777" w:rsidR="00531CD8" w:rsidRPr="003F3783" w:rsidRDefault="00531CD8" w:rsidP="00531CD8">
      <w:pPr>
        <w:pStyle w:val="Prrafodelista"/>
        <w:numPr>
          <w:ilvl w:val="0"/>
          <w:numId w:val="25"/>
        </w:numPr>
        <w:spacing w:line="360" w:lineRule="auto"/>
        <w:ind w:left="0" w:firstLine="0"/>
        <w:jc w:val="both"/>
        <w:rPr>
          <w:rFonts w:ascii="Palatino Linotype" w:hAnsi="Palatino Linotype" w:cs="Arial"/>
          <w:color w:val="000000" w:themeColor="text1"/>
        </w:rPr>
      </w:pPr>
      <w:r w:rsidRPr="003F3783">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69C741A" w14:textId="77777777" w:rsidR="00531CD8" w:rsidRPr="003F3783" w:rsidRDefault="00531CD8" w:rsidP="00531CD8">
      <w:pPr>
        <w:spacing w:line="360" w:lineRule="auto"/>
        <w:ind w:right="618"/>
        <w:contextualSpacing/>
        <w:jc w:val="both"/>
        <w:rPr>
          <w:rFonts w:ascii="Palatino Linotype" w:hAnsi="Palatino Linotype" w:cs="Arial"/>
          <w:color w:val="000000" w:themeColor="text1"/>
        </w:rPr>
      </w:pPr>
    </w:p>
    <w:p w14:paraId="4B1EFCAF" w14:textId="77777777" w:rsidR="00531CD8" w:rsidRPr="003F3783"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3F3783">
        <w:rPr>
          <w:rFonts w:ascii="Palatino Linotype" w:hAnsi="Palatino Linotype" w:cs="Arial"/>
          <w:b/>
          <w:i/>
          <w:color w:val="000000" w:themeColor="text1"/>
          <w:sz w:val="22"/>
          <w:szCs w:val="22"/>
        </w:rPr>
        <w:t>FUNDAMENTACIÓN Y MOTIVACIÓN.</w:t>
      </w:r>
      <w:r w:rsidRPr="003F3783">
        <w:rPr>
          <w:rFonts w:ascii="Palatino Linotype" w:hAnsi="Palatino Linotype" w:cs="Arial"/>
          <w:i/>
          <w:color w:val="000000" w:themeColor="text1"/>
          <w:sz w:val="22"/>
          <w:szCs w:val="22"/>
        </w:rPr>
        <w:t xml:space="preserve"> La </w:t>
      </w:r>
      <w:r w:rsidRPr="003F3783">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F3783">
        <w:rPr>
          <w:rFonts w:ascii="Palatino Linotype" w:hAnsi="Palatino Linotype" w:cs="Arial"/>
          <w:i/>
          <w:color w:val="000000" w:themeColor="text1"/>
          <w:sz w:val="22"/>
          <w:szCs w:val="22"/>
        </w:rPr>
        <w:t>.</w:t>
      </w:r>
    </w:p>
    <w:p w14:paraId="7ED0AD59" w14:textId="77777777" w:rsidR="00531CD8" w:rsidRPr="003F3783"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3F3783">
        <w:rPr>
          <w:rFonts w:ascii="Palatino Linotype" w:hAnsi="Palatino Linotype" w:cs="Arial"/>
          <w:i/>
          <w:color w:val="000000" w:themeColor="text1"/>
          <w:sz w:val="22"/>
          <w:szCs w:val="22"/>
        </w:rPr>
        <w:t>SEGUNDO TRIBUNAL COLEGIADO DEL SEXTO CIRCUITO.</w:t>
      </w:r>
    </w:p>
    <w:p w14:paraId="26971F20" w14:textId="77777777" w:rsidR="00531CD8" w:rsidRPr="003F3783"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3F3783">
        <w:rPr>
          <w:rFonts w:ascii="Palatino Linotype" w:hAnsi="Palatino Linotype" w:cs="Arial"/>
          <w:i/>
          <w:color w:val="000000" w:themeColor="text1"/>
          <w:sz w:val="22"/>
          <w:szCs w:val="22"/>
        </w:rPr>
        <w:lastRenderedPageBreak/>
        <w:t>Amparo directo 194/88. Bufete Industrial Construcciones, S.A. de C.V. 28 de junio de 1988. Unanimidad de votos. Ponente: Gustavo Calvillo Rangel. Secretario: Jorge Alberto González Álvarez.</w:t>
      </w:r>
    </w:p>
    <w:p w14:paraId="0E91E8C4" w14:textId="77777777" w:rsidR="00531CD8" w:rsidRPr="003F3783"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3F3783">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0E9B6E63" w14:textId="77777777" w:rsidR="00531CD8" w:rsidRPr="003F3783"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3F3783">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7BE694DE" w14:textId="77777777" w:rsidR="00531CD8" w:rsidRPr="003F3783"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3F3783">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57E9FEBC" w14:textId="77777777" w:rsidR="00531CD8" w:rsidRPr="003F3783"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3F3783">
        <w:rPr>
          <w:rFonts w:ascii="Palatino Linotype" w:hAnsi="Palatino Linotype" w:cs="Arial"/>
          <w:i/>
          <w:color w:val="000000" w:themeColor="text1"/>
          <w:sz w:val="22"/>
          <w:szCs w:val="22"/>
        </w:rPr>
        <w:t>Amparo directo 7/96. Pedro Vicente López Miro. 21 de febrero de 1996. Unanimidad de votos. Ponente: María Eugenia Estela Martínez Cardiel. Secretario: Enrique Baigts Muñoz.</w:t>
      </w:r>
      <w:r w:rsidRPr="003F3783">
        <w:rPr>
          <w:rStyle w:val="Refdenotaalpie"/>
          <w:rFonts w:ascii="Palatino Linotype" w:hAnsi="Palatino Linotype" w:cs="Arial"/>
          <w:i/>
          <w:color w:val="000000" w:themeColor="text1"/>
          <w:sz w:val="22"/>
          <w:szCs w:val="22"/>
        </w:rPr>
        <w:footnoteReference w:id="3"/>
      </w:r>
    </w:p>
    <w:p w14:paraId="46DE5653" w14:textId="77777777" w:rsidR="00531CD8" w:rsidRPr="003F3783" w:rsidRDefault="00531CD8" w:rsidP="00531CD8">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5AA29ACC" w14:textId="77777777" w:rsidR="00531CD8" w:rsidRPr="003F3783" w:rsidRDefault="00531CD8" w:rsidP="00531CD8">
      <w:pPr>
        <w:pStyle w:val="Prrafodelista"/>
        <w:numPr>
          <w:ilvl w:val="0"/>
          <w:numId w:val="25"/>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F3783">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B196C7C" w14:textId="77777777" w:rsidR="00531CD8" w:rsidRPr="003F3783" w:rsidRDefault="00531CD8" w:rsidP="00531CD8">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963ABDD" w14:textId="77777777" w:rsidR="00531CD8" w:rsidRPr="003F3783" w:rsidRDefault="00531CD8" w:rsidP="00531CD8">
      <w:pPr>
        <w:pStyle w:val="Prrafodelista"/>
        <w:numPr>
          <w:ilvl w:val="0"/>
          <w:numId w:val="25"/>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F3783">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3F3783">
        <w:rPr>
          <w:rFonts w:ascii="Palatino Linotype" w:eastAsia="Times New Roman" w:hAnsi="Palatino Linotype" w:cs="Arial"/>
          <w:color w:val="000000" w:themeColor="text1"/>
          <w:lang w:eastAsia="es-MX"/>
        </w:rPr>
        <w:lastRenderedPageBreak/>
        <w:t>modo, la persona que se sienta afectada pueda impugnar la decisión, permitiéndole una real y auténtica defensa.</w:t>
      </w:r>
    </w:p>
    <w:p w14:paraId="4FC4F674" w14:textId="77777777" w:rsidR="00531CD8" w:rsidRPr="003F3783" w:rsidRDefault="00531CD8" w:rsidP="00531CD8">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22FB0AF" w14:textId="77777777" w:rsidR="00531CD8" w:rsidRPr="003F3783" w:rsidRDefault="00531CD8" w:rsidP="00531CD8">
      <w:pPr>
        <w:pStyle w:val="Prrafodelista"/>
        <w:numPr>
          <w:ilvl w:val="0"/>
          <w:numId w:val="25"/>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F3783">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A99FCAC" w14:textId="77777777" w:rsidR="00531CD8" w:rsidRPr="003F3783" w:rsidRDefault="00531CD8" w:rsidP="00531CD8">
      <w:pPr>
        <w:pStyle w:val="Prrafodelista"/>
        <w:spacing w:line="360" w:lineRule="auto"/>
        <w:ind w:left="0"/>
        <w:jc w:val="both"/>
        <w:rPr>
          <w:rFonts w:ascii="Palatino Linotype" w:hAnsi="Palatino Linotype"/>
          <w:color w:val="000000" w:themeColor="text1"/>
        </w:rPr>
      </w:pPr>
    </w:p>
    <w:p w14:paraId="507F16D1" w14:textId="77777777" w:rsidR="00531CD8" w:rsidRPr="003F3783"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3F3783">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369B42F1" w14:textId="77777777" w:rsidR="00531CD8" w:rsidRPr="003F3783" w:rsidRDefault="00531CD8" w:rsidP="00531CD8">
      <w:pPr>
        <w:spacing w:line="360" w:lineRule="auto"/>
        <w:jc w:val="both"/>
        <w:rPr>
          <w:rFonts w:ascii="Palatino Linotype" w:hAnsi="Palatino Linotype"/>
          <w:color w:val="000000" w:themeColor="text1"/>
        </w:rPr>
      </w:pPr>
    </w:p>
    <w:p w14:paraId="7D63EA6B" w14:textId="77777777" w:rsidR="00531CD8" w:rsidRPr="003F3783"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3F3783">
        <w:rPr>
          <w:rFonts w:ascii="Palatino Linotype" w:eastAsia="Calibri" w:hAnsi="Palatino Linotype" w:cs="Arial"/>
          <w:color w:val="000000" w:themeColor="text1"/>
          <w:lang w:val="es-ES" w:eastAsia="es-MX"/>
        </w:rPr>
        <w:t xml:space="preserve">Es de señalar, que por lo que hace a las versiones públicas, el </w:t>
      </w:r>
      <w:r w:rsidRPr="003F3783">
        <w:rPr>
          <w:rFonts w:ascii="Palatino Linotype" w:eastAsia="Calibri" w:hAnsi="Palatino Linotype" w:cs="Arial"/>
          <w:b/>
          <w:color w:val="000000" w:themeColor="text1"/>
          <w:lang w:val="es-ES" w:eastAsia="es-MX"/>
        </w:rPr>
        <w:t>SUJETO OBLIGADO</w:t>
      </w:r>
      <w:r w:rsidRPr="003F3783">
        <w:rPr>
          <w:rFonts w:ascii="Palatino Linotype" w:eastAsia="Calibri" w:hAnsi="Palatino Linotype" w:cs="Arial"/>
          <w:color w:val="000000" w:themeColor="text1"/>
          <w:lang w:val="es-ES" w:eastAsia="es-MX"/>
        </w:rPr>
        <w:t xml:space="preserve"> debe cumplir con las formalidades exigidas en la Ley, por lo que </w:t>
      </w:r>
      <w:r w:rsidRPr="003F3783">
        <w:rPr>
          <w:rFonts w:ascii="Palatino Linotype" w:eastAsia="Times New Roman" w:hAnsi="Palatino Linotype" w:cs="Arial"/>
          <w:color w:val="000000" w:themeColor="text1"/>
          <w:lang w:eastAsia="es-MX"/>
        </w:rPr>
        <w:t xml:space="preserve">para tal efecto emitirá el </w:t>
      </w:r>
      <w:r w:rsidRPr="003F3783">
        <w:rPr>
          <w:rFonts w:ascii="Palatino Linotype" w:eastAsia="Calibri" w:hAnsi="Palatino Linotype" w:cs="Arial"/>
          <w:color w:val="000000" w:themeColor="text1"/>
          <w:lang w:val="es-ES" w:eastAsia="es-MX"/>
        </w:rPr>
        <w:t>Acuerdo del Comité de Transparencia en términos de los artículos 49 fracción</w:t>
      </w:r>
      <w:r w:rsidRPr="003F3783">
        <w:rPr>
          <w:rFonts w:ascii="Palatino Linotype" w:eastAsia="Calibri" w:hAnsi="Palatino Linotype" w:cs="Arial"/>
          <w:bCs/>
          <w:color w:val="000000" w:themeColor="text1"/>
        </w:rPr>
        <w:t xml:space="preserve"> VIII,</w:t>
      </w:r>
      <w:r w:rsidRPr="003F3783">
        <w:rPr>
          <w:rFonts w:ascii="Palatino Linotype" w:eastAsia="Calibri" w:hAnsi="Palatino Linotype" w:cs="Arial"/>
          <w:color w:val="000000" w:themeColor="text1"/>
          <w:lang w:val="es-ES" w:eastAsia="es-MX"/>
        </w:rPr>
        <w:t xml:space="preserve"> 122</w:t>
      </w:r>
      <w:r w:rsidRPr="003F3783">
        <w:rPr>
          <w:rFonts w:ascii="Palatino Linotype" w:hAnsi="Palatino Linotype" w:cs="Times New Roman"/>
          <w:color w:val="000000" w:themeColor="text1"/>
          <w:vertAlign w:val="superscript"/>
          <w:lang w:val="es-ES" w:eastAsia="es-MX"/>
        </w:rPr>
        <w:footnoteReference w:id="4"/>
      </w:r>
      <w:r w:rsidRPr="003F3783">
        <w:rPr>
          <w:rFonts w:ascii="Palatino Linotype" w:eastAsia="Calibri" w:hAnsi="Palatino Linotype" w:cs="Arial"/>
          <w:color w:val="000000" w:themeColor="text1"/>
          <w:lang w:val="es-ES" w:eastAsia="es-MX"/>
        </w:rPr>
        <w:t>, 135</w:t>
      </w:r>
      <w:r w:rsidRPr="003F3783">
        <w:rPr>
          <w:rFonts w:ascii="Palatino Linotype" w:hAnsi="Palatino Linotype" w:cs="Times New Roman"/>
          <w:color w:val="000000" w:themeColor="text1"/>
          <w:vertAlign w:val="superscript"/>
          <w:lang w:val="es-ES" w:eastAsia="es-MX"/>
        </w:rPr>
        <w:footnoteReference w:id="5"/>
      </w:r>
      <w:r w:rsidRPr="003F3783">
        <w:rPr>
          <w:rFonts w:ascii="Palatino Linotype" w:eastAsia="Calibri" w:hAnsi="Palatino Linotype" w:cs="Arial"/>
          <w:color w:val="000000" w:themeColor="text1"/>
          <w:lang w:val="es-ES" w:eastAsia="es-MX"/>
        </w:rPr>
        <w:t xml:space="preserve"> y 149 de la Ley de Transparencia y Acceso a la </w:t>
      </w:r>
      <w:r w:rsidRPr="003F3783">
        <w:rPr>
          <w:rFonts w:ascii="Palatino Linotype" w:eastAsia="Calibri" w:hAnsi="Palatino Linotype" w:cs="Arial"/>
          <w:color w:val="000000" w:themeColor="text1"/>
          <w:lang w:val="es-ES" w:eastAsia="es-MX"/>
        </w:rPr>
        <w:lastRenderedPageBreak/>
        <w:t>Información Pública del Estado de México, con el cual sustentara la clasificación de datos y con ello la "versión pública" de los documentos materia de la solicitud.</w:t>
      </w:r>
    </w:p>
    <w:p w14:paraId="7D250706" w14:textId="77777777" w:rsidR="00531CD8" w:rsidRPr="003F3783" w:rsidRDefault="00531CD8" w:rsidP="00531CD8">
      <w:pPr>
        <w:pStyle w:val="Prrafodelista"/>
        <w:spacing w:line="360" w:lineRule="auto"/>
        <w:ind w:left="0"/>
        <w:jc w:val="both"/>
        <w:rPr>
          <w:rFonts w:ascii="Palatino Linotype" w:hAnsi="Palatino Linotype"/>
          <w:color w:val="000000" w:themeColor="text1"/>
        </w:rPr>
      </w:pPr>
    </w:p>
    <w:p w14:paraId="108B70A3" w14:textId="77777777" w:rsidR="00531CD8" w:rsidRPr="003F3783"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3F3783">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3F3783">
        <w:rPr>
          <w:rFonts w:ascii="Palatino Linotype" w:eastAsia="Calibri" w:hAnsi="Palatino Linotype" w:cs="Arial"/>
          <w:b/>
          <w:color w:val="000000" w:themeColor="text1"/>
          <w:lang w:val="es-ES" w:eastAsia="es-CO"/>
        </w:rPr>
        <w:t>SUJETO OBLIGADO</w:t>
      </w:r>
      <w:r w:rsidRPr="003F3783">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6CCFA4" w14:textId="77777777" w:rsidR="00531CD8" w:rsidRPr="003F3783" w:rsidRDefault="00531CD8" w:rsidP="00531CD8">
      <w:pPr>
        <w:pStyle w:val="Prrafodelista"/>
        <w:spacing w:line="360" w:lineRule="auto"/>
        <w:ind w:left="0"/>
        <w:jc w:val="both"/>
        <w:rPr>
          <w:rFonts w:ascii="Palatino Linotype" w:hAnsi="Palatino Linotype"/>
          <w:color w:val="000000" w:themeColor="text1"/>
        </w:rPr>
      </w:pPr>
    </w:p>
    <w:p w14:paraId="7966A9C8" w14:textId="77777777" w:rsidR="00531CD8" w:rsidRPr="003F3783"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3F3783">
        <w:rPr>
          <w:rFonts w:ascii="Palatino Linotype" w:eastAsia="Times New Roman" w:hAnsi="Palatino Linotype" w:cs="Arial"/>
          <w:color w:val="000000" w:themeColor="text1"/>
          <w:lang w:eastAsia="es-MX"/>
        </w:rPr>
        <w:t xml:space="preserve">Siendo así que, </w:t>
      </w:r>
      <w:r w:rsidRPr="003F3783">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3F3783">
        <w:rPr>
          <w:rFonts w:ascii="Palatino Linotype" w:hAnsi="Palatino Linotype"/>
          <w:b/>
          <w:color w:val="000000" w:themeColor="text1"/>
        </w:rPr>
        <w:t>SUJETO OBLIGADO</w:t>
      </w:r>
      <w:r w:rsidRPr="003F3783">
        <w:rPr>
          <w:rFonts w:ascii="Palatino Linotype" w:hAnsi="Palatino Linotype"/>
          <w:color w:val="000000" w:themeColor="text1"/>
        </w:rPr>
        <w:t xml:space="preserve">. Dicho acuerdo deberá de contener los </w:t>
      </w:r>
      <w:r w:rsidRPr="003F3783">
        <w:rPr>
          <w:rFonts w:ascii="Palatino Linotype" w:hAnsi="Palatino Linotype"/>
          <w:b/>
          <w:color w:val="000000" w:themeColor="text1"/>
        </w:rPr>
        <w:t>razonamientos lógicos</w:t>
      </w:r>
      <w:r w:rsidRPr="003F3783">
        <w:rPr>
          <w:rFonts w:ascii="Palatino Linotype" w:hAnsi="Palatino Linotype"/>
          <w:color w:val="000000" w:themeColor="text1"/>
        </w:rPr>
        <w:t xml:space="preserve"> mediante los cuales se </w:t>
      </w:r>
      <w:r w:rsidRPr="003F3783">
        <w:rPr>
          <w:rFonts w:ascii="Palatino Linotype" w:hAnsi="Palatino Linotype"/>
          <w:b/>
          <w:color w:val="000000" w:themeColor="text1"/>
        </w:rPr>
        <w:t xml:space="preserve">demuestre </w:t>
      </w:r>
      <w:r w:rsidRPr="003F3783">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728C4A60" w14:textId="77777777" w:rsidR="00531CD8" w:rsidRPr="003F3783" w:rsidRDefault="00531CD8" w:rsidP="00531CD8">
      <w:pPr>
        <w:pStyle w:val="Prrafodelista"/>
        <w:spacing w:line="360" w:lineRule="auto"/>
        <w:ind w:left="0"/>
        <w:jc w:val="both"/>
        <w:rPr>
          <w:rFonts w:ascii="Palatino Linotype" w:hAnsi="Palatino Linotype"/>
          <w:color w:val="000000" w:themeColor="text1"/>
        </w:rPr>
      </w:pPr>
    </w:p>
    <w:p w14:paraId="0B0E344C" w14:textId="77777777" w:rsidR="00531CD8" w:rsidRPr="003F3783"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3F3783">
        <w:rPr>
          <w:rFonts w:ascii="Palatino Linotype" w:eastAsia="Times New Roman"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AF8FEFB" w14:textId="77777777" w:rsidR="00531CD8" w:rsidRPr="003F3783" w:rsidRDefault="00531CD8" w:rsidP="00531CD8">
      <w:pPr>
        <w:pStyle w:val="Prrafodelista"/>
        <w:spacing w:line="360" w:lineRule="auto"/>
        <w:ind w:left="0"/>
        <w:jc w:val="both"/>
        <w:rPr>
          <w:rFonts w:ascii="Palatino Linotype" w:hAnsi="Palatino Linotype"/>
          <w:color w:val="000000" w:themeColor="text1"/>
        </w:rPr>
      </w:pPr>
    </w:p>
    <w:p w14:paraId="7D5AC5F0" w14:textId="77777777" w:rsidR="00531CD8" w:rsidRPr="003F3783"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3F3783">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E687177" w14:textId="77777777" w:rsidR="00531CD8" w:rsidRPr="003F3783" w:rsidRDefault="00531CD8" w:rsidP="00531CD8">
      <w:pPr>
        <w:pStyle w:val="Prrafodelista"/>
        <w:spacing w:line="360" w:lineRule="auto"/>
        <w:ind w:left="0"/>
        <w:jc w:val="both"/>
        <w:rPr>
          <w:rFonts w:ascii="Palatino Linotype" w:hAnsi="Palatino Linotype"/>
          <w:color w:val="000000" w:themeColor="text1"/>
        </w:rPr>
      </w:pPr>
    </w:p>
    <w:p w14:paraId="27D59DA7" w14:textId="77777777" w:rsidR="00531CD8" w:rsidRPr="003F3783"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3F3783">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90DC4B8" w14:textId="77777777" w:rsidR="00531CD8" w:rsidRPr="003F3783" w:rsidRDefault="00531CD8" w:rsidP="00531CD8">
      <w:pPr>
        <w:pStyle w:val="Prrafodelista"/>
        <w:tabs>
          <w:tab w:val="left" w:pos="142"/>
          <w:tab w:val="left" w:pos="426"/>
        </w:tabs>
        <w:spacing w:before="240" w:after="240" w:line="360" w:lineRule="auto"/>
        <w:ind w:left="0"/>
        <w:jc w:val="both"/>
        <w:rPr>
          <w:rFonts w:ascii="Palatino Linotype" w:hAnsi="Palatino Linotype" w:cs="Arial"/>
        </w:rPr>
      </w:pPr>
    </w:p>
    <w:p w14:paraId="281F46EB" w14:textId="506A6435" w:rsidR="00531CD8" w:rsidRPr="003F3783" w:rsidRDefault="00531CD8" w:rsidP="00531CD8">
      <w:pPr>
        <w:pStyle w:val="Prrafodelista"/>
        <w:numPr>
          <w:ilvl w:val="0"/>
          <w:numId w:val="25"/>
        </w:numPr>
        <w:shd w:val="clear" w:color="auto" w:fill="FFFFFF"/>
        <w:spacing w:line="360" w:lineRule="auto"/>
        <w:ind w:left="0" w:firstLine="0"/>
        <w:jc w:val="both"/>
        <w:rPr>
          <w:rFonts w:ascii="Palatino Linotype" w:hAnsi="Palatino Linotype"/>
          <w:color w:val="000000" w:themeColor="text1"/>
        </w:rPr>
      </w:pPr>
      <w:r w:rsidRPr="003F3783">
        <w:rPr>
          <w:rFonts w:ascii="Palatino Linotype" w:hAnsi="Palatino Linotype"/>
          <w:color w:val="000000" w:themeColor="text1"/>
          <w:lang w:val="es-ES" w:eastAsia="es-MX"/>
        </w:rPr>
        <w:t xml:space="preserve">Por lo anteriormente expuesto y fundado, este </w:t>
      </w:r>
      <w:r w:rsidRPr="003F3783">
        <w:rPr>
          <w:rFonts w:ascii="Palatino Linotype" w:hAnsi="Palatino Linotype"/>
          <w:b/>
          <w:bCs/>
          <w:color w:val="000000" w:themeColor="text1"/>
          <w:lang w:val="es-ES" w:eastAsia="es-MX"/>
        </w:rPr>
        <w:t>ÓRGANO GARANTE</w:t>
      </w:r>
      <w:r w:rsidRPr="003F3783">
        <w:rPr>
          <w:rFonts w:ascii="Palatino Linotype" w:hAnsi="Palatino Linotype"/>
          <w:color w:val="000000" w:themeColor="text1"/>
          <w:lang w:val="es-ES" w:eastAsia="es-MX"/>
        </w:rPr>
        <w:t xml:space="preserve"> emite los siguientes:</w:t>
      </w:r>
    </w:p>
    <w:p w14:paraId="52F06309" w14:textId="23C57D8E" w:rsidR="00531CD8" w:rsidRPr="003F3783" w:rsidRDefault="00531CD8" w:rsidP="00531CD8">
      <w:pPr>
        <w:pStyle w:val="Ttulo1"/>
        <w:spacing w:line="360" w:lineRule="auto"/>
        <w:ind w:left="2912"/>
        <w:rPr>
          <w:rFonts w:eastAsia="Calibri"/>
          <w:b/>
          <w:szCs w:val="24"/>
          <w:lang w:val="es-ES" w:eastAsia="es-ES"/>
        </w:rPr>
      </w:pPr>
      <w:bookmarkStart w:id="60" w:name="_Toc475014715"/>
      <w:bookmarkStart w:id="61" w:name="_Toc475381194"/>
      <w:bookmarkStart w:id="62" w:name="_Toc490155969"/>
      <w:bookmarkStart w:id="63" w:name="_Toc490734332"/>
      <w:bookmarkStart w:id="64" w:name="_Toc491854740"/>
      <w:bookmarkStart w:id="65" w:name="_Toc494991893"/>
      <w:bookmarkStart w:id="66" w:name="_Toc513664628"/>
      <w:bookmarkStart w:id="67" w:name="_Toc18609017"/>
      <w:bookmarkStart w:id="68" w:name="_Toc52417632"/>
      <w:bookmarkStart w:id="69" w:name="_Toc52563282"/>
      <w:r w:rsidRPr="003F3783">
        <w:rPr>
          <w:rFonts w:eastAsia="Calibri"/>
          <w:b/>
          <w:szCs w:val="24"/>
          <w:lang w:val="es-ES" w:eastAsia="es-ES"/>
        </w:rPr>
        <w:lastRenderedPageBreak/>
        <w:t>R E S O L U T I V O S</w:t>
      </w:r>
      <w:bookmarkEnd w:id="60"/>
      <w:bookmarkEnd w:id="61"/>
      <w:bookmarkEnd w:id="62"/>
      <w:bookmarkEnd w:id="63"/>
      <w:bookmarkEnd w:id="64"/>
      <w:bookmarkEnd w:id="65"/>
      <w:bookmarkEnd w:id="66"/>
      <w:bookmarkEnd w:id="67"/>
      <w:bookmarkEnd w:id="68"/>
      <w:bookmarkEnd w:id="69"/>
    </w:p>
    <w:p w14:paraId="75CE0D55" w14:textId="3B744D02" w:rsidR="000613BF" w:rsidRPr="003F3783" w:rsidRDefault="00531CD8" w:rsidP="000613BF">
      <w:pPr>
        <w:spacing w:line="360" w:lineRule="auto"/>
        <w:jc w:val="both"/>
        <w:rPr>
          <w:rFonts w:ascii="Palatino Linotype" w:hAnsi="Palatino Linotype" w:cs="Arial"/>
          <w:bCs/>
          <w:lang w:eastAsia="es-MX"/>
        </w:rPr>
      </w:pPr>
      <w:r w:rsidRPr="003F3783">
        <w:rPr>
          <w:rFonts w:ascii="Palatino Linotype" w:eastAsia="Times New Roman" w:hAnsi="Palatino Linotype" w:cs="Arial"/>
          <w:b/>
        </w:rPr>
        <w:t xml:space="preserve">PRIMERO. </w:t>
      </w:r>
      <w:r w:rsidRPr="003F3783">
        <w:rPr>
          <w:rFonts w:ascii="Palatino Linotype" w:eastAsia="Times New Roman" w:hAnsi="Palatino Linotype" w:cs="Arial"/>
        </w:rPr>
        <w:t>Resultan fundadas las</w:t>
      </w:r>
      <w:r w:rsidRPr="003F3783">
        <w:rPr>
          <w:rFonts w:ascii="Palatino Linotype" w:eastAsia="Times New Roman" w:hAnsi="Palatino Linotype" w:cs="Arial"/>
          <w:b/>
        </w:rPr>
        <w:t xml:space="preserve"> </w:t>
      </w:r>
      <w:r w:rsidRPr="003F3783">
        <w:rPr>
          <w:rFonts w:ascii="Palatino Linotype" w:eastAsia="Times New Roman" w:hAnsi="Palatino Linotype" w:cs="Arial"/>
          <w:lang w:val="es-ES"/>
        </w:rPr>
        <w:t xml:space="preserve">razones o motivos de inconformidad hechos valer </w:t>
      </w:r>
      <w:r w:rsidRPr="003F3783">
        <w:rPr>
          <w:rFonts w:ascii="Palatino Linotype" w:eastAsia="Calibri" w:hAnsi="Palatino Linotype" w:cs="Arial"/>
          <w:lang w:val="es-ES"/>
        </w:rPr>
        <w:t xml:space="preserve">en el recurso de revisión </w:t>
      </w:r>
      <w:r w:rsidR="001C2990" w:rsidRPr="003F3783">
        <w:rPr>
          <w:rFonts w:ascii="Palatino Linotype" w:hAnsi="Palatino Linotype" w:cs="Arial"/>
          <w:b/>
          <w:bCs/>
        </w:rPr>
        <w:t>01943/INFOEM/IP/RR/2020</w:t>
      </w:r>
      <w:r w:rsidR="000613BF" w:rsidRPr="003F3783">
        <w:rPr>
          <w:rFonts w:ascii="Palatino Linotype" w:hAnsi="Palatino Linotype" w:cs="Arial"/>
          <w:b/>
          <w:bCs/>
        </w:rPr>
        <w:t xml:space="preserve"> </w:t>
      </w:r>
      <w:r w:rsidR="000613BF" w:rsidRPr="003F3783">
        <w:rPr>
          <w:rFonts w:ascii="Palatino Linotype" w:hAnsi="Palatino Linotype" w:cs="Arial"/>
          <w:bCs/>
          <w:lang w:eastAsia="es-MX"/>
        </w:rPr>
        <w:t xml:space="preserve">en términos de los </w:t>
      </w:r>
      <w:r w:rsidR="000613BF" w:rsidRPr="003F3783">
        <w:rPr>
          <w:rFonts w:ascii="Palatino Linotype" w:hAnsi="Palatino Linotype" w:cs="Arial"/>
          <w:b/>
          <w:bCs/>
          <w:lang w:eastAsia="es-MX"/>
        </w:rPr>
        <w:t xml:space="preserve">Considerandos CUARTO y QUINTO </w:t>
      </w:r>
      <w:r w:rsidR="000613BF" w:rsidRPr="003F3783">
        <w:rPr>
          <w:rFonts w:ascii="Palatino Linotype" w:hAnsi="Palatino Linotype" w:cs="Arial"/>
          <w:bCs/>
          <w:lang w:eastAsia="es-MX"/>
        </w:rPr>
        <w:t>de la presente resolución.</w:t>
      </w:r>
    </w:p>
    <w:p w14:paraId="7CE26272" w14:textId="77777777" w:rsidR="000613BF" w:rsidRPr="003F3783" w:rsidRDefault="000613BF" w:rsidP="000613BF">
      <w:pPr>
        <w:spacing w:line="360" w:lineRule="auto"/>
        <w:jc w:val="both"/>
        <w:rPr>
          <w:rFonts w:ascii="Palatino Linotype" w:hAnsi="Palatino Linotype"/>
          <w:b/>
          <w:bCs/>
          <w:color w:val="000000" w:themeColor="text1"/>
        </w:rPr>
      </w:pPr>
    </w:p>
    <w:p w14:paraId="16343650" w14:textId="763BC5E6" w:rsidR="00531CD8" w:rsidRPr="003F3783" w:rsidRDefault="00531CD8" w:rsidP="000613BF">
      <w:pPr>
        <w:spacing w:line="360" w:lineRule="auto"/>
        <w:jc w:val="both"/>
        <w:rPr>
          <w:rFonts w:ascii="Palatino Linotype" w:eastAsia="Calibri" w:hAnsi="Palatino Linotype" w:cs="Arial"/>
          <w:lang w:val="es-ES"/>
        </w:rPr>
      </w:pPr>
      <w:r w:rsidRPr="003F3783">
        <w:rPr>
          <w:rFonts w:ascii="Palatino Linotype" w:hAnsi="Palatino Linotype"/>
          <w:b/>
        </w:rPr>
        <w:t>SEGUNDO.</w:t>
      </w:r>
      <w:r w:rsidRPr="003F3783">
        <w:rPr>
          <w:rStyle w:val="Ttulo2Car"/>
        </w:rPr>
        <w:t xml:space="preserve"> </w:t>
      </w:r>
      <w:r w:rsidRPr="003F3783">
        <w:rPr>
          <w:rFonts w:ascii="Palatino Linotype" w:eastAsia="Calibri" w:hAnsi="Palatino Linotype" w:cs="Arial"/>
          <w:lang w:val="es-ES"/>
        </w:rPr>
        <w:t>Se</w:t>
      </w:r>
      <w:r w:rsidRPr="003F3783">
        <w:rPr>
          <w:rFonts w:ascii="Palatino Linotype" w:eastAsia="Calibri" w:hAnsi="Palatino Linotype" w:cs="Arial"/>
          <w:b/>
          <w:lang w:val="es-ES"/>
        </w:rPr>
        <w:t xml:space="preserve"> REVOCA </w:t>
      </w:r>
      <w:r w:rsidRPr="003F3783">
        <w:rPr>
          <w:rFonts w:ascii="Palatino Linotype" w:eastAsia="Calibri" w:hAnsi="Palatino Linotype" w:cs="Arial"/>
          <w:lang w:val="es-ES"/>
        </w:rPr>
        <w:t>la respuesta emitida por el</w:t>
      </w:r>
      <w:r w:rsidRPr="003F3783">
        <w:rPr>
          <w:rFonts w:ascii="Palatino Linotype" w:eastAsia="Calibri" w:hAnsi="Palatino Linotype" w:cs="Arial"/>
          <w:b/>
          <w:lang w:val="es-ES"/>
        </w:rPr>
        <w:t xml:space="preserve"> </w:t>
      </w:r>
      <w:r w:rsidR="000613BF" w:rsidRPr="003F3783">
        <w:rPr>
          <w:rFonts w:ascii="Palatino Linotype" w:hAnsi="Palatino Linotype" w:cs="Arial"/>
          <w:b/>
        </w:rPr>
        <w:t xml:space="preserve">Ayuntamiento de </w:t>
      </w:r>
      <w:r w:rsidR="007C57DC" w:rsidRPr="003F3783">
        <w:rPr>
          <w:rFonts w:ascii="Palatino Linotype" w:hAnsi="Palatino Linotype" w:cs="Arial"/>
          <w:b/>
        </w:rPr>
        <w:t>Ayapango</w:t>
      </w:r>
      <w:r w:rsidR="000613BF" w:rsidRPr="003F3783">
        <w:rPr>
          <w:rFonts w:ascii="Palatino Linotype" w:hAnsi="Palatino Linotype" w:cs="Arial"/>
          <w:b/>
        </w:rPr>
        <w:t xml:space="preserve"> </w:t>
      </w:r>
      <w:r w:rsidRPr="003F3783">
        <w:rPr>
          <w:rFonts w:ascii="Palatino Linotype" w:hAnsi="Palatino Linotype"/>
          <w:bCs/>
        </w:rPr>
        <w:t>y se</w:t>
      </w:r>
      <w:r w:rsidRPr="003F3783">
        <w:rPr>
          <w:rFonts w:ascii="Palatino Linotype" w:hAnsi="Palatino Linotype"/>
          <w:b/>
          <w:bCs/>
        </w:rPr>
        <w:t xml:space="preserve"> ORDENA</w:t>
      </w:r>
      <w:r w:rsidRPr="003F3783">
        <w:rPr>
          <w:rFonts w:ascii="Palatino Linotype" w:eastAsia="Times New Roman" w:hAnsi="Palatino Linotype" w:cs="Arial"/>
          <w:lang w:val="es-ES"/>
        </w:rPr>
        <w:t xml:space="preserve"> </w:t>
      </w:r>
      <w:r w:rsidRPr="003F3783">
        <w:rPr>
          <w:rFonts w:ascii="Palatino Linotype" w:eastAsia="Calibri" w:hAnsi="Palatino Linotype" w:cs="Arial"/>
          <w:lang w:val="es-ES"/>
        </w:rPr>
        <w:t xml:space="preserve">entregar vía Sistema de Acceso a la Información Mexiquense </w:t>
      </w:r>
      <w:r w:rsidRPr="003F3783">
        <w:rPr>
          <w:rFonts w:ascii="Palatino Linotype" w:eastAsia="Calibri" w:hAnsi="Palatino Linotype" w:cs="Arial"/>
          <w:b/>
          <w:lang w:val="es-ES"/>
        </w:rPr>
        <w:t xml:space="preserve">(SAIMEX), </w:t>
      </w:r>
      <w:r w:rsidRPr="003F3783">
        <w:rPr>
          <w:rFonts w:ascii="Palatino Linotype" w:eastAsia="Calibri" w:hAnsi="Palatino Linotype" w:cs="Arial"/>
          <w:lang w:val="es-ES"/>
        </w:rPr>
        <w:t>en versión pública, la siguiente información:</w:t>
      </w:r>
    </w:p>
    <w:p w14:paraId="13E7B743" w14:textId="77777777" w:rsidR="000613BF" w:rsidRPr="003F3783" w:rsidRDefault="000613BF" w:rsidP="000613BF">
      <w:pPr>
        <w:spacing w:line="360" w:lineRule="auto"/>
        <w:jc w:val="both"/>
        <w:rPr>
          <w:rFonts w:ascii="Palatino Linotype" w:eastAsia="Calibri" w:hAnsi="Palatino Linotype" w:cs="Arial"/>
          <w:lang w:val="es-ES"/>
        </w:rPr>
      </w:pPr>
    </w:p>
    <w:p w14:paraId="6FE70722" w14:textId="3DFADFA9" w:rsidR="00F972B8" w:rsidRPr="003F3783" w:rsidRDefault="00531CD8" w:rsidP="002C5FA7">
      <w:pPr>
        <w:pStyle w:val="Prrafodelista"/>
        <w:numPr>
          <w:ilvl w:val="0"/>
          <w:numId w:val="34"/>
        </w:numPr>
        <w:spacing w:line="360" w:lineRule="auto"/>
        <w:ind w:left="567" w:right="567" w:firstLine="0"/>
        <w:jc w:val="both"/>
        <w:rPr>
          <w:rFonts w:ascii="Palatino Linotype" w:hAnsi="Palatino Linotype"/>
          <w:b/>
          <w:color w:val="000000"/>
        </w:rPr>
      </w:pPr>
      <w:r w:rsidRPr="003F3783">
        <w:rPr>
          <w:rFonts w:ascii="Palatino Linotype" w:hAnsi="Palatino Linotype"/>
          <w:b/>
          <w:color w:val="000000"/>
        </w:rPr>
        <w:t xml:space="preserve">El </w:t>
      </w:r>
      <w:r w:rsidR="002C5FA7" w:rsidRPr="003F3783">
        <w:rPr>
          <w:rFonts w:ascii="Palatino Linotype" w:hAnsi="Palatino Linotype"/>
          <w:b/>
          <w:color w:val="000000"/>
        </w:rPr>
        <w:t>padrón de beneficiarios del programa "Construcción de cuartos dormitorio".</w:t>
      </w:r>
    </w:p>
    <w:p w14:paraId="5C6333D4" w14:textId="795F3564" w:rsidR="002C5FA7" w:rsidRPr="003F3783" w:rsidRDefault="002C5FA7" w:rsidP="002C5FA7">
      <w:pPr>
        <w:pStyle w:val="Prrafodelista"/>
        <w:numPr>
          <w:ilvl w:val="0"/>
          <w:numId w:val="34"/>
        </w:numPr>
        <w:spacing w:line="360" w:lineRule="auto"/>
        <w:ind w:left="567" w:right="567" w:firstLine="0"/>
        <w:jc w:val="both"/>
        <w:rPr>
          <w:rFonts w:ascii="Palatino Linotype" w:hAnsi="Palatino Linotype"/>
          <w:b/>
          <w:color w:val="000000"/>
        </w:rPr>
      </w:pPr>
      <w:r w:rsidRPr="003F3783">
        <w:rPr>
          <w:rFonts w:ascii="Palatino Linotype" w:hAnsi="Palatino Linotype"/>
          <w:b/>
          <w:color w:val="000000"/>
        </w:rPr>
        <w:t xml:space="preserve">Reglas de operación, </w:t>
      </w:r>
      <w:r w:rsidRPr="003F3783">
        <w:rPr>
          <w:rFonts w:ascii="Palatino Linotype" w:hAnsi="Palatino Linotype"/>
          <w:b/>
        </w:rPr>
        <w:t>requisitos y procedimientos de acceso al programa señalado en el inciso anterior.</w:t>
      </w:r>
    </w:p>
    <w:p w14:paraId="5490380F" w14:textId="77777777" w:rsidR="002C5FA7" w:rsidRPr="003F3783" w:rsidRDefault="002C5FA7" w:rsidP="002C5FA7">
      <w:pPr>
        <w:pStyle w:val="Prrafodelista"/>
        <w:spacing w:line="360" w:lineRule="auto"/>
        <w:ind w:left="567" w:right="567"/>
        <w:jc w:val="both"/>
        <w:rPr>
          <w:rFonts w:ascii="Palatino Linotype" w:hAnsi="Palatino Linotype"/>
          <w:b/>
          <w:color w:val="000000"/>
        </w:rPr>
      </w:pPr>
    </w:p>
    <w:p w14:paraId="2D6558D1" w14:textId="1F8B7EC1" w:rsidR="00531CD8" w:rsidRPr="003F3783" w:rsidRDefault="00531CD8" w:rsidP="00531CD8">
      <w:pPr>
        <w:spacing w:line="360" w:lineRule="auto"/>
        <w:jc w:val="both"/>
        <w:rPr>
          <w:rFonts w:ascii="Palatino Linotype" w:eastAsia="Calibri" w:hAnsi="Palatino Linotype" w:cs="Arial"/>
          <w:lang w:val="es-ES"/>
        </w:rPr>
      </w:pPr>
      <w:r w:rsidRPr="003F3783">
        <w:rPr>
          <w:rFonts w:ascii="Palatino Linotype" w:eastAsia="Calibri" w:hAnsi="Palatino Linotype" w:cs="Arial"/>
        </w:rPr>
        <w:t xml:space="preserve">Para efectos de lo </w:t>
      </w:r>
      <w:r w:rsidR="002C5FA7" w:rsidRPr="003F3783">
        <w:rPr>
          <w:rFonts w:ascii="Palatino Linotype" w:eastAsia="Calibri" w:hAnsi="Palatino Linotype" w:cs="Arial"/>
        </w:rPr>
        <w:t xml:space="preserve">que se ordena en el inciso a) </w:t>
      </w:r>
      <w:r w:rsidRPr="003F3783">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1C2990" w:rsidRPr="003F3783">
        <w:rPr>
          <w:rFonts w:ascii="Palatino Linotype" w:hAnsi="Palatino Linotype"/>
          <w:b/>
          <w:szCs w:val="22"/>
        </w:rPr>
        <w:t>l RECURRENTE.</w:t>
      </w:r>
    </w:p>
    <w:p w14:paraId="62C23D57" w14:textId="77777777" w:rsidR="00531CD8" w:rsidRPr="003F3783" w:rsidRDefault="00531CD8" w:rsidP="00531CD8">
      <w:pPr>
        <w:tabs>
          <w:tab w:val="left" w:pos="8080"/>
        </w:tabs>
        <w:spacing w:line="360" w:lineRule="auto"/>
        <w:ind w:right="49"/>
        <w:contextualSpacing/>
        <w:jc w:val="both"/>
        <w:rPr>
          <w:rFonts w:ascii="Palatino Linotype" w:eastAsia="Palatino Linotype" w:hAnsi="Palatino Linotype" w:cs="Palatino Linotype"/>
          <w:b/>
        </w:rPr>
      </w:pPr>
    </w:p>
    <w:p w14:paraId="50B81416" w14:textId="77777777" w:rsidR="00531CD8" w:rsidRPr="003F3783" w:rsidRDefault="00531CD8" w:rsidP="00531CD8">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3F3783">
        <w:rPr>
          <w:rFonts w:ascii="Palatino Linotype" w:eastAsia="Palatino Linotype" w:hAnsi="Palatino Linotype" w:cs="Palatino Linotype"/>
          <w:b/>
        </w:rPr>
        <w:t xml:space="preserve">TERCERO. Notifíquese </w:t>
      </w:r>
      <w:r w:rsidRPr="003F3783">
        <w:rPr>
          <w:rFonts w:ascii="Palatino Linotype" w:eastAsia="Palatino Linotype" w:hAnsi="Palatino Linotype" w:cs="Palatino Linotype"/>
        </w:rPr>
        <w:t xml:space="preserve">al Titular de la Unidad de Transparencia del </w:t>
      </w:r>
      <w:r w:rsidRPr="003F3783">
        <w:rPr>
          <w:rFonts w:ascii="Palatino Linotype" w:eastAsia="Palatino Linotype" w:hAnsi="Palatino Linotype" w:cs="Palatino Linotype"/>
          <w:b/>
        </w:rPr>
        <w:t>SUJETO OBLIGADO</w:t>
      </w:r>
      <w:r w:rsidRPr="003F3783">
        <w:rPr>
          <w:rFonts w:ascii="Palatino Linotype" w:eastAsia="Palatino Linotype" w:hAnsi="Palatino Linotype" w:cs="Palatino Linotype"/>
        </w:rPr>
        <w:t xml:space="preserve">, </w:t>
      </w:r>
      <w:r w:rsidRPr="003F3783">
        <w:rPr>
          <w:rFonts w:ascii="Palatino Linotype" w:eastAsia="Palatino Linotype" w:hAnsi="Palatino Linotype" w:cs="Palatino Linotype"/>
          <w:color w:val="000000" w:themeColor="text1"/>
        </w:rPr>
        <w:t xml:space="preserve">para que conforme a los artículos 186 último párrafo, 189 párrafo segundo y 199 de la Ley de Transparencia y Acceso a la Información Pública del </w:t>
      </w:r>
      <w:r w:rsidRPr="003F3783">
        <w:rPr>
          <w:rFonts w:ascii="Palatino Linotype" w:eastAsia="Palatino Linotype" w:hAnsi="Palatino Linotype" w:cs="Palatino Linotype"/>
          <w:color w:val="000000" w:themeColor="text1"/>
        </w:rPr>
        <w:lastRenderedPageBreak/>
        <w:t xml:space="preserve">Estado de México y Municipios, </w:t>
      </w:r>
      <w:r w:rsidRPr="003F3783">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40E775E5" w14:textId="77777777" w:rsidR="00531CD8" w:rsidRPr="003F3783" w:rsidRDefault="00531CD8" w:rsidP="00531CD8">
      <w:pPr>
        <w:shd w:val="clear" w:color="auto" w:fill="FFFFFF"/>
        <w:spacing w:line="360" w:lineRule="auto"/>
        <w:jc w:val="both"/>
        <w:rPr>
          <w:rFonts w:ascii="Palatino Linotype" w:eastAsia="Times New Roman" w:hAnsi="Palatino Linotype" w:cs="Arial"/>
          <w:b/>
        </w:rPr>
      </w:pPr>
    </w:p>
    <w:p w14:paraId="0AA2AD3C" w14:textId="0BD67291" w:rsidR="00531CD8" w:rsidRPr="003F3783" w:rsidRDefault="00531CD8" w:rsidP="00531CD8">
      <w:pPr>
        <w:shd w:val="clear" w:color="auto" w:fill="FFFFFF"/>
        <w:spacing w:line="360" w:lineRule="auto"/>
        <w:jc w:val="both"/>
        <w:rPr>
          <w:rFonts w:ascii="Palatino Linotype" w:hAnsi="Palatino Linotype"/>
        </w:rPr>
      </w:pPr>
      <w:r w:rsidRPr="003F3783">
        <w:rPr>
          <w:rFonts w:ascii="Palatino Linotype" w:eastAsia="Times New Roman" w:hAnsi="Palatino Linotype" w:cs="Arial"/>
          <w:b/>
        </w:rPr>
        <w:t xml:space="preserve">CUARTO. </w:t>
      </w:r>
      <w:r w:rsidRPr="003F3783">
        <w:rPr>
          <w:rFonts w:ascii="Palatino Linotype" w:eastAsia="Times New Roman" w:hAnsi="Palatino Linotype" w:cs="Times New Roman"/>
          <w:b/>
          <w:bCs/>
          <w:color w:val="222222"/>
          <w:lang w:val="es-ES"/>
        </w:rPr>
        <w:t>Notifíquese a</w:t>
      </w:r>
      <w:r w:rsidRPr="003F3783">
        <w:rPr>
          <w:rFonts w:ascii="Palatino Linotype" w:hAnsi="Palatino Linotype"/>
          <w:b/>
        </w:rPr>
        <w:t xml:space="preserve"> </w:t>
      </w:r>
      <w:r w:rsidR="00EE7815" w:rsidRPr="00EE7815">
        <w:rPr>
          <w:rFonts w:ascii="Palatino Linotype" w:hAnsi="Palatino Linotype"/>
          <w:b/>
          <w:color w:val="222222"/>
          <w:highlight w:val="black"/>
          <w:shd w:val="clear" w:color="auto" w:fill="FFFFFF"/>
        </w:rPr>
        <w:t>--------------------------------</w:t>
      </w:r>
      <w:r w:rsidRPr="003F3783">
        <w:rPr>
          <w:rFonts w:ascii="Palatino Linotype" w:hAnsi="Palatino Linotype"/>
          <w:b/>
          <w:szCs w:val="22"/>
        </w:rPr>
        <w:t xml:space="preserve"> </w:t>
      </w:r>
      <w:r w:rsidRPr="003F3783">
        <w:rPr>
          <w:rFonts w:ascii="Palatino Linotype" w:hAnsi="Palatino Linotype"/>
        </w:rPr>
        <w:t>la presente resolución.</w:t>
      </w:r>
    </w:p>
    <w:p w14:paraId="1DDC7E83" w14:textId="77777777" w:rsidR="00531CD8" w:rsidRPr="003F3783" w:rsidRDefault="00531CD8" w:rsidP="00531CD8">
      <w:pPr>
        <w:shd w:val="clear" w:color="auto" w:fill="FFFFFF"/>
        <w:spacing w:line="360" w:lineRule="auto"/>
        <w:jc w:val="both"/>
        <w:rPr>
          <w:rFonts w:ascii="Palatino Linotype" w:hAnsi="Palatino Linotype"/>
        </w:rPr>
      </w:pPr>
    </w:p>
    <w:p w14:paraId="3820E210" w14:textId="563AB49B" w:rsidR="002C5FA7" w:rsidRPr="003F3783" w:rsidRDefault="00531CD8" w:rsidP="00467015">
      <w:pPr>
        <w:shd w:val="clear" w:color="auto" w:fill="FFFFFF"/>
        <w:spacing w:line="360" w:lineRule="auto"/>
        <w:jc w:val="both"/>
        <w:rPr>
          <w:rFonts w:ascii="Palatino Linotype" w:eastAsia="MS Mincho" w:hAnsi="Palatino Linotype" w:cs="Times New Roman"/>
          <w:lang w:val="es-ES"/>
        </w:rPr>
      </w:pPr>
      <w:r w:rsidRPr="003F3783">
        <w:rPr>
          <w:rFonts w:ascii="Palatino Linotype" w:eastAsia="MS Mincho" w:hAnsi="Palatino Linotype" w:cs="Times New Roman"/>
          <w:b/>
          <w:lang w:val="es-MX"/>
        </w:rPr>
        <w:t>QUINTO.</w:t>
      </w:r>
      <w:r w:rsidRPr="003F3783">
        <w:rPr>
          <w:rFonts w:ascii="Palatino Linotype" w:eastAsia="MS Mincho" w:hAnsi="Palatino Linotype" w:cs="Times New Roman"/>
          <w:lang w:val="es-MX"/>
        </w:rPr>
        <w:t xml:space="preserve"> </w:t>
      </w:r>
      <w:r w:rsidRPr="003F3783">
        <w:rPr>
          <w:rFonts w:ascii="Palatino Linotype" w:eastAsia="MS Mincho" w:hAnsi="Palatino Linotype" w:cs="Times New Roman"/>
          <w:lang w:val="es-ES"/>
        </w:rPr>
        <w:t xml:space="preserve">Se hace del conocimiento de </w:t>
      </w:r>
      <w:r w:rsidR="00EE7815" w:rsidRPr="00EE7815">
        <w:rPr>
          <w:rFonts w:ascii="Palatino Linotype" w:hAnsi="Palatino Linotype"/>
          <w:b/>
          <w:color w:val="000000" w:themeColor="text1"/>
          <w:highlight w:val="black"/>
        </w:rPr>
        <w:t>-</w:t>
      </w:r>
      <w:r w:rsidR="00EE7815">
        <w:rPr>
          <w:rFonts w:ascii="Palatino Linotype" w:hAnsi="Palatino Linotype"/>
          <w:b/>
          <w:color w:val="000000" w:themeColor="text1"/>
          <w:highlight w:val="black"/>
        </w:rPr>
        <w:t>-------------------</w:t>
      </w:r>
      <w:bookmarkStart w:id="70" w:name="_GoBack"/>
      <w:bookmarkEnd w:id="70"/>
      <w:r w:rsidR="00EE7815" w:rsidRPr="00EE7815">
        <w:rPr>
          <w:rFonts w:ascii="Palatino Linotype" w:hAnsi="Palatino Linotype"/>
          <w:b/>
          <w:color w:val="000000" w:themeColor="text1"/>
          <w:highlight w:val="black"/>
        </w:rPr>
        <w:t>--------------</w:t>
      </w:r>
      <w:r w:rsidRPr="003F3783">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F3783">
        <w:rPr>
          <w:rFonts w:ascii="Palatino Linotype" w:eastAsia="MS Mincho" w:hAnsi="Palatino Linotype" w:cs="Times New Roman"/>
          <w:bCs/>
          <w:lang w:val="es-ES"/>
        </w:rPr>
        <w:t>vía juicio de amparo</w:t>
      </w:r>
      <w:r w:rsidRPr="003F3783">
        <w:rPr>
          <w:rFonts w:ascii="Palatino Linotype" w:eastAsia="MS Mincho" w:hAnsi="Palatino Linotype" w:cs="Times New Roman"/>
          <w:lang w:val="es-ES"/>
        </w:rPr>
        <w:t xml:space="preserve"> en los términos de las leyes aplicables.</w:t>
      </w:r>
      <w:bookmarkEnd w:id="38"/>
      <w:bookmarkEnd w:id="39"/>
    </w:p>
    <w:p w14:paraId="6DFEDFAF" w14:textId="77777777" w:rsidR="008E555D" w:rsidRPr="003F3783" w:rsidRDefault="008E555D" w:rsidP="00467015">
      <w:pPr>
        <w:shd w:val="clear" w:color="auto" w:fill="FFFFFF"/>
        <w:spacing w:line="360" w:lineRule="auto"/>
        <w:jc w:val="both"/>
        <w:rPr>
          <w:rFonts w:ascii="Palatino Linotype" w:eastAsia="MS Mincho" w:hAnsi="Palatino Linotype" w:cs="Times New Roman"/>
          <w:lang w:val="es-ES"/>
        </w:rPr>
      </w:pPr>
    </w:p>
    <w:p w14:paraId="092B179C" w14:textId="0C8CD250" w:rsidR="00467015" w:rsidRDefault="002C5FA7" w:rsidP="008E555D">
      <w:pPr>
        <w:spacing w:after="360" w:line="360" w:lineRule="auto"/>
        <w:jc w:val="both"/>
        <w:rPr>
          <w:rFonts w:ascii="Palatino Linotype" w:eastAsia="Times New Roman" w:hAnsi="Palatino Linotype" w:cs="Times New Roman"/>
          <w:color w:val="000000"/>
          <w:lang w:eastAsia="es-MX"/>
        </w:rPr>
      </w:pPr>
      <w:r w:rsidRPr="003F3783">
        <w:rPr>
          <w:rFonts w:ascii="Palatino Linotype" w:eastAsia="MS Mincho" w:hAnsi="Palatino Linotype" w:cs="Times New Roman"/>
          <w:b/>
          <w:lang w:val="es-ES"/>
        </w:rPr>
        <w:t>SEXTO.</w:t>
      </w:r>
      <w:r w:rsidRPr="003F3783">
        <w:rPr>
          <w:rFonts w:ascii="Palatino Linotype" w:eastAsia="MS Mincho" w:hAnsi="Palatino Linotype" w:cs="Times New Roman"/>
          <w:lang w:val="es-ES"/>
        </w:rPr>
        <w:t xml:space="preserve"> </w:t>
      </w:r>
      <w:r w:rsidR="008E555D" w:rsidRPr="003F3783">
        <w:rPr>
          <w:rFonts w:ascii="Palatino Linotype" w:eastAsia="Times New Roman" w:hAnsi="Palatino Linotype" w:cs="Times New Roman"/>
          <w:color w:val="000000"/>
          <w:lang w:eastAsia="es-MX"/>
        </w:rPr>
        <w:t>Con fundamento en el artículo 198 de la Ley de Transparencia y Acceso a la Información Pública del Estado de México y Municipios, se apercibe al </w:t>
      </w:r>
      <w:r w:rsidR="008E555D" w:rsidRPr="003F3783">
        <w:rPr>
          <w:rFonts w:ascii="Palatino Linotype" w:eastAsia="Times New Roman" w:hAnsi="Palatino Linotype" w:cs="Times New Roman"/>
          <w:b/>
          <w:bCs/>
          <w:color w:val="000000"/>
          <w:lang w:eastAsia="es-MX"/>
        </w:rPr>
        <w:t>SUJETO OBLIGADO</w:t>
      </w:r>
      <w:r w:rsidR="008E555D" w:rsidRPr="003F3783">
        <w:rPr>
          <w:rFonts w:ascii="Palatino Linotype" w:eastAsia="Times New Roman" w:hAnsi="Palatino Linotype" w:cs="Times New Roman"/>
          <w:color w:val="000000"/>
          <w:lang w:eastAsia="es-MX"/>
        </w:rPr>
        <w:t> de que, en caso de incumplimiento total o parcial de la presente resolución, se actuará de conformidad con lo dispuesto en los artículos 213, 214, 215, 216 y 217 de la ley en cita.</w:t>
      </w:r>
    </w:p>
    <w:p w14:paraId="401BA80D" w14:textId="2D769466" w:rsidR="003F3783" w:rsidRPr="003F3783" w:rsidRDefault="003F3783" w:rsidP="003F3783">
      <w:pPr>
        <w:shd w:val="clear" w:color="auto" w:fill="FFFFFF"/>
        <w:spacing w:line="360" w:lineRule="auto"/>
        <w:jc w:val="both"/>
        <w:rPr>
          <w:rFonts w:ascii="Palatino Linotype" w:hAnsi="Palatino Linotype"/>
          <w:sz w:val="22"/>
        </w:rPr>
      </w:pPr>
      <w:r w:rsidRPr="003F3783">
        <w:rPr>
          <w:rFonts w:ascii="Palatino Linotype" w:hAnsi="Palatino Linotype"/>
          <w:sz w:val="22"/>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EMITIENDO VOTO PARTICULAR; JAVIER MARTÍNEZ CRUZ </w:t>
      </w:r>
      <w:r w:rsidR="0066360D">
        <w:rPr>
          <w:rFonts w:ascii="Palatino Linotype" w:hAnsi="Palatino Linotype"/>
          <w:sz w:val="22"/>
        </w:rPr>
        <w:t xml:space="preserve"> </w:t>
      </w:r>
      <w:r w:rsidR="0066360D" w:rsidRPr="003F3783">
        <w:rPr>
          <w:rFonts w:ascii="Palatino Linotype" w:hAnsi="Palatino Linotype"/>
          <w:sz w:val="22"/>
        </w:rPr>
        <w:t xml:space="preserve">EMITIENDO VOTO PARTICULAR </w:t>
      </w:r>
      <w:r w:rsidRPr="003F3783">
        <w:rPr>
          <w:rFonts w:ascii="Palatino Linotype" w:hAnsi="Palatino Linotype"/>
          <w:sz w:val="22"/>
        </w:rPr>
        <w:t xml:space="preserve">Y LUIS GUSTAVO PARRA NORIEGA; EN LA VIGÉSIMA SEGUNDA SESIÓN ORDINARIA CELEBRADA EL DÍA </w:t>
      </w:r>
      <w:r w:rsidRPr="003F3783">
        <w:rPr>
          <w:rFonts w:ascii="Palatino Linotype" w:hAnsi="Palatino Linotype"/>
          <w:sz w:val="22"/>
        </w:rPr>
        <w:lastRenderedPageBreak/>
        <w:t>CATORCE (14) DE OCTUBRE DE DOS MIL VEINTE, ANTE EL SECRETARIO TÉCNICO DEL PLENO ALEXIS TAPIA RAMÍREZ.</w:t>
      </w:r>
    </w:p>
    <w:p w14:paraId="1A5F9F5B" w14:textId="77777777" w:rsidR="003F3783" w:rsidRDefault="003F3783" w:rsidP="003F3783">
      <w:pPr>
        <w:shd w:val="clear" w:color="auto" w:fill="FFFFFF"/>
        <w:spacing w:line="360" w:lineRule="auto"/>
        <w:jc w:val="both"/>
        <w:rPr>
          <w:rFonts w:ascii="Palatino Linotype" w:hAnsi="Palatino Linotype"/>
        </w:rPr>
      </w:pPr>
    </w:p>
    <w:p w14:paraId="6171345B" w14:textId="77777777" w:rsidR="003F3783" w:rsidRDefault="003F3783" w:rsidP="003F3783">
      <w:pPr>
        <w:shd w:val="clear" w:color="auto" w:fill="FFFFFF"/>
        <w:spacing w:line="360" w:lineRule="auto"/>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3F3783" w14:paraId="2D41C735" w14:textId="77777777" w:rsidTr="003F3783">
        <w:trPr>
          <w:jc w:val="center"/>
        </w:trPr>
        <w:tc>
          <w:tcPr>
            <w:tcW w:w="10368" w:type="dxa"/>
            <w:gridSpan w:val="2"/>
          </w:tcPr>
          <w:p w14:paraId="4EF28024" w14:textId="77777777" w:rsidR="003F3783" w:rsidRDefault="003F3783">
            <w:pPr>
              <w:jc w:val="center"/>
              <w:rPr>
                <w:rFonts w:ascii="Palatino Linotype" w:hAnsi="Palatino Linotype" w:cs="Arial"/>
                <w:b/>
              </w:rPr>
            </w:pPr>
            <w:r>
              <w:rPr>
                <w:rFonts w:ascii="Palatino Linotype" w:hAnsi="Palatino Linotype" w:cs="Arial"/>
                <w:b/>
              </w:rPr>
              <w:t>Zulema Martínez Sánchez</w:t>
            </w:r>
          </w:p>
          <w:p w14:paraId="482AD34C" w14:textId="77777777" w:rsidR="003F3783" w:rsidRDefault="003F3783">
            <w:pPr>
              <w:jc w:val="center"/>
              <w:rPr>
                <w:rFonts w:ascii="Palatino Linotype" w:hAnsi="Palatino Linotype" w:cs="Arial"/>
                <w:b/>
              </w:rPr>
            </w:pPr>
            <w:r>
              <w:rPr>
                <w:rFonts w:ascii="Palatino Linotype" w:hAnsi="Palatino Linotype" w:cs="Arial"/>
              </w:rPr>
              <w:t>Comisionada Presidenta</w:t>
            </w:r>
          </w:p>
          <w:p w14:paraId="2DF8EBDE" w14:textId="77777777" w:rsidR="003F3783" w:rsidRDefault="003F3783">
            <w:pPr>
              <w:jc w:val="center"/>
              <w:rPr>
                <w:rFonts w:ascii="Palatino Linotype" w:hAnsi="Palatino Linotype" w:cs="Arial"/>
                <w:b/>
              </w:rPr>
            </w:pPr>
            <w:r>
              <w:rPr>
                <w:rFonts w:ascii="Palatino Linotype" w:hAnsi="Palatino Linotype" w:cs="Arial"/>
                <w:b/>
              </w:rPr>
              <w:t xml:space="preserve">(RÚBRICA) </w:t>
            </w:r>
          </w:p>
          <w:p w14:paraId="417D74A5" w14:textId="77777777" w:rsidR="003F3783" w:rsidRDefault="003F3783">
            <w:pPr>
              <w:jc w:val="center"/>
              <w:rPr>
                <w:rFonts w:ascii="Palatino Linotype" w:hAnsi="Palatino Linotype" w:cs="Arial"/>
                <w:b/>
              </w:rPr>
            </w:pPr>
          </w:p>
          <w:p w14:paraId="04F0C559" w14:textId="77777777" w:rsidR="003F3783" w:rsidRDefault="003F3783">
            <w:pPr>
              <w:jc w:val="center"/>
              <w:rPr>
                <w:rFonts w:ascii="Palatino Linotype" w:hAnsi="Palatino Linotype" w:cs="Arial"/>
                <w:b/>
              </w:rPr>
            </w:pPr>
          </w:p>
          <w:p w14:paraId="23CF8DEC" w14:textId="77777777" w:rsidR="003F3783" w:rsidRDefault="003F3783">
            <w:pPr>
              <w:jc w:val="center"/>
              <w:rPr>
                <w:rFonts w:ascii="Palatino Linotype" w:hAnsi="Palatino Linotype" w:cs="Arial"/>
                <w:b/>
              </w:rPr>
            </w:pPr>
          </w:p>
          <w:p w14:paraId="6C845F1D" w14:textId="77777777" w:rsidR="003F3783" w:rsidRDefault="003F3783">
            <w:pPr>
              <w:jc w:val="center"/>
              <w:rPr>
                <w:rFonts w:ascii="Palatino Linotype" w:hAnsi="Palatino Linotype" w:cs="Arial"/>
                <w:b/>
              </w:rPr>
            </w:pPr>
          </w:p>
        </w:tc>
      </w:tr>
      <w:tr w:rsidR="003F3783" w14:paraId="75343237" w14:textId="77777777" w:rsidTr="003F3783">
        <w:trPr>
          <w:jc w:val="center"/>
        </w:trPr>
        <w:tc>
          <w:tcPr>
            <w:tcW w:w="5184" w:type="dxa"/>
            <w:hideMark/>
          </w:tcPr>
          <w:p w14:paraId="4F8416D7" w14:textId="77777777" w:rsidR="003F3783" w:rsidRDefault="003F3783">
            <w:pPr>
              <w:jc w:val="center"/>
              <w:rPr>
                <w:rFonts w:ascii="Palatino Linotype" w:hAnsi="Palatino Linotype" w:cs="Arial"/>
                <w:b/>
              </w:rPr>
            </w:pPr>
            <w:r>
              <w:rPr>
                <w:rFonts w:ascii="Palatino Linotype" w:hAnsi="Palatino Linotype" w:cs="Arial"/>
                <w:b/>
              </w:rPr>
              <w:t>Eva Abaid Yapur</w:t>
            </w:r>
          </w:p>
          <w:p w14:paraId="196D271A" w14:textId="77777777" w:rsidR="003F3783" w:rsidRDefault="003F3783">
            <w:pPr>
              <w:jc w:val="center"/>
              <w:rPr>
                <w:rFonts w:ascii="Palatino Linotype" w:hAnsi="Palatino Linotype" w:cs="Arial"/>
              </w:rPr>
            </w:pPr>
            <w:r>
              <w:rPr>
                <w:rFonts w:ascii="Palatino Linotype" w:hAnsi="Palatino Linotype" w:cs="Arial"/>
              </w:rPr>
              <w:t>Comisionada</w:t>
            </w:r>
          </w:p>
          <w:p w14:paraId="0B81C0A1" w14:textId="77777777" w:rsidR="003F3783" w:rsidRDefault="003F3783">
            <w:pPr>
              <w:jc w:val="center"/>
              <w:rPr>
                <w:rFonts w:ascii="Palatino Linotype" w:hAnsi="Palatino Linotype" w:cs="Arial"/>
                <w:b/>
              </w:rPr>
            </w:pPr>
            <w:r>
              <w:rPr>
                <w:rFonts w:ascii="Palatino Linotype" w:hAnsi="Palatino Linotype" w:cs="Arial"/>
                <w:b/>
              </w:rPr>
              <w:t>(RÚBRICA)</w:t>
            </w:r>
          </w:p>
        </w:tc>
        <w:tc>
          <w:tcPr>
            <w:tcW w:w="5184" w:type="dxa"/>
          </w:tcPr>
          <w:p w14:paraId="0BC78C1A" w14:textId="77777777" w:rsidR="003F3783" w:rsidRDefault="003F3783">
            <w:pPr>
              <w:jc w:val="center"/>
              <w:rPr>
                <w:rFonts w:ascii="Palatino Linotype" w:hAnsi="Palatino Linotype" w:cs="Arial"/>
                <w:b/>
              </w:rPr>
            </w:pPr>
            <w:r>
              <w:rPr>
                <w:rFonts w:ascii="Palatino Linotype" w:hAnsi="Palatino Linotype" w:cs="Arial"/>
                <w:b/>
              </w:rPr>
              <w:t>José Guadalupe Luna Hernández</w:t>
            </w:r>
          </w:p>
          <w:p w14:paraId="015669FC" w14:textId="77777777" w:rsidR="003F3783" w:rsidRDefault="003F3783">
            <w:pPr>
              <w:jc w:val="center"/>
              <w:rPr>
                <w:rFonts w:ascii="Palatino Linotype" w:hAnsi="Palatino Linotype" w:cs="Arial"/>
              </w:rPr>
            </w:pPr>
            <w:r>
              <w:rPr>
                <w:rFonts w:ascii="Palatino Linotype" w:hAnsi="Palatino Linotype" w:cs="Arial"/>
              </w:rPr>
              <w:t>Comisionado</w:t>
            </w:r>
          </w:p>
          <w:p w14:paraId="6B2CA649" w14:textId="77777777" w:rsidR="003F3783" w:rsidRDefault="003F3783">
            <w:pPr>
              <w:jc w:val="center"/>
              <w:rPr>
                <w:rFonts w:ascii="Palatino Linotype" w:hAnsi="Palatino Linotype" w:cs="Arial"/>
                <w:b/>
              </w:rPr>
            </w:pPr>
            <w:r>
              <w:rPr>
                <w:rFonts w:ascii="Palatino Linotype" w:hAnsi="Palatino Linotype" w:cs="Arial"/>
                <w:b/>
              </w:rPr>
              <w:t>(RÚBRICA)</w:t>
            </w:r>
          </w:p>
          <w:p w14:paraId="2AF43223" w14:textId="77777777" w:rsidR="003F3783" w:rsidRDefault="003F3783">
            <w:pPr>
              <w:jc w:val="center"/>
              <w:rPr>
                <w:rFonts w:ascii="Palatino Linotype" w:hAnsi="Palatino Linotype" w:cs="Arial"/>
                <w:b/>
              </w:rPr>
            </w:pPr>
          </w:p>
        </w:tc>
      </w:tr>
      <w:tr w:rsidR="003F3783" w14:paraId="677E060E" w14:textId="77777777" w:rsidTr="003F3783">
        <w:trPr>
          <w:jc w:val="center"/>
        </w:trPr>
        <w:tc>
          <w:tcPr>
            <w:tcW w:w="5184" w:type="dxa"/>
          </w:tcPr>
          <w:p w14:paraId="6E776F73" w14:textId="77777777" w:rsidR="003F3783" w:rsidRDefault="003F3783">
            <w:pPr>
              <w:jc w:val="center"/>
              <w:rPr>
                <w:rFonts w:ascii="Palatino Linotype" w:hAnsi="Palatino Linotype" w:cs="Arial"/>
                <w:b/>
              </w:rPr>
            </w:pPr>
          </w:p>
          <w:p w14:paraId="76FB7833" w14:textId="77777777" w:rsidR="003F3783" w:rsidRDefault="003F3783">
            <w:pPr>
              <w:jc w:val="center"/>
              <w:rPr>
                <w:rFonts w:ascii="Palatino Linotype" w:hAnsi="Palatino Linotype" w:cs="Arial"/>
                <w:b/>
              </w:rPr>
            </w:pPr>
          </w:p>
          <w:p w14:paraId="283F2C3F" w14:textId="77777777" w:rsidR="003F3783" w:rsidRDefault="003F3783">
            <w:pPr>
              <w:jc w:val="center"/>
              <w:rPr>
                <w:rFonts w:ascii="Palatino Linotype" w:hAnsi="Palatino Linotype" w:cs="Arial"/>
                <w:b/>
              </w:rPr>
            </w:pPr>
          </w:p>
          <w:p w14:paraId="1A914022" w14:textId="77777777" w:rsidR="003F3783" w:rsidRDefault="003F3783">
            <w:pPr>
              <w:jc w:val="center"/>
              <w:rPr>
                <w:rFonts w:ascii="Palatino Linotype" w:hAnsi="Palatino Linotype" w:cs="Arial"/>
                <w:b/>
              </w:rPr>
            </w:pPr>
          </w:p>
          <w:p w14:paraId="51562A9F" w14:textId="77777777" w:rsidR="003F3783" w:rsidRDefault="003F3783">
            <w:pPr>
              <w:jc w:val="center"/>
              <w:rPr>
                <w:rFonts w:ascii="Palatino Linotype" w:hAnsi="Palatino Linotype" w:cs="Arial"/>
                <w:b/>
              </w:rPr>
            </w:pPr>
            <w:r>
              <w:rPr>
                <w:rFonts w:ascii="Palatino Linotype" w:hAnsi="Palatino Linotype" w:cs="Arial"/>
                <w:b/>
              </w:rPr>
              <w:t>Javier Martínez Cruz</w:t>
            </w:r>
          </w:p>
          <w:p w14:paraId="71AE0088" w14:textId="77777777" w:rsidR="003F3783" w:rsidRDefault="003F3783">
            <w:pPr>
              <w:jc w:val="center"/>
              <w:rPr>
                <w:rFonts w:ascii="Palatino Linotype" w:hAnsi="Palatino Linotype" w:cs="Arial"/>
              </w:rPr>
            </w:pPr>
            <w:r>
              <w:rPr>
                <w:rFonts w:ascii="Palatino Linotype" w:hAnsi="Palatino Linotype" w:cs="Arial"/>
              </w:rPr>
              <w:t>Comisionado</w:t>
            </w:r>
          </w:p>
          <w:p w14:paraId="3B575B64" w14:textId="77777777" w:rsidR="003F3783" w:rsidRDefault="003F3783">
            <w:pPr>
              <w:jc w:val="center"/>
              <w:rPr>
                <w:rFonts w:ascii="Palatino Linotype" w:hAnsi="Palatino Linotype" w:cs="Arial"/>
                <w:b/>
              </w:rPr>
            </w:pPr>
            <w:r>
              <w:rPr>
                <w:rFonts w:ascii="Palatino Linotype" w:hAnsi="Palatino Linotype" w:cs="Arial"/>
                <w:b/>
              </w:rPr>
              <w:t>(RÚBRICA)</w:t>
            </w:r>
          </w:p>
        </w:tc>
        <w:tc>
          <w:tcPr>
            <w:tcW w:w="5184" w:type="dxa"/>
          </w:tcPr>
          <w:p w14:paraId="2159DA14" w14:textId="77777777" w:rsidR="003F3783" w:rsidRDefault="003F3783">
            <w:pPr>
              <w:jc w:val="center"/>
              <w:rPr>
                <w:rFonts w:ascii="Palatino Linotype" w:hAnsi="Palatino Linotype" w:cs="Arial"/>
                <w:b/>
              </w:rPr>
            </w:pPr>
          </w:p>
          <w:p w14:paraId="0F100770" w14:textId="77777777" w:rsidR="003F3783" w:rsidRDefault="003F3783">
            <w:pPr>
              <w:jc w:val="center"/>
              <w:rPr>
                <w:rFonts w:ascii="Palatino Linotype" w:hAnsi="Palatino Linotype" w:cs="Arial"/>
                <w:b/>
              </w:rPr>
            </w:pPr>
          </w:p>
          <w:p w14:paraId="74FA02D1" w14:textId="77777777" w:rsidR="003F3783" w:rsidRDefault="003F3783">
            <w:pPr>
              <w:jc w:val="center"/>
              <w:rPr>
                <w:rFonts w:ascii="Palatino Linotype" w:hAnsi="Palatino Linotype" w:cs="Arial"/>
                <w:b/>
              </w:rPr>
            </w:pPr>
          </w:p>
          <w:p w14:paraId="364AEF6E" w14:textId="77777777" w:rsidR="003F3783" w:rsidRDefault="003F3783">
            <w:pPr>
              <w:jc w:val="center"/>
              <w:rPr>
                <w:rFonts w:ascii="Palatino Linotype" w:hAnsi="Palatino Linotype" w:cs="Arial"/>
                <w:b/>
              </w:rPr>
            </w:pPr>
          </w:p>
          <w:p w14:paraId="73D03130" w14:textId="77777777" w:rsidR="003F3783" w:rsidRDefault="003F3783">
            <w:pPr>
              <w:jc w:val="center"/>
              <w:rPr>
                <w:rFonts w:ascii="Palatino Linotype" w:hAnsi="Palatino Linotype" w:cs="Arial"/>
                <w:b/>
              </w:rPr>
            </w:pPr>
            <w:r>
              <w:rPr>
                <w:rFonts w:ascii="Palatino Linotype" w:hAnsi="Palatino Linotype" w:cs="Arial"/>
                <w:b/>
              </w:rPr>
              <w:t>Luis Gustavo Parra Noriega</w:t>
            </w:r>
          </w:p>
          <w:p w14:paraId="14FC03AA" w14:textId="77777777" w:rsidR="003F3783" w:rsidRDefault="003F3783">
            <w:pPr>
              <w:jc w:val="center"/>
              <w:rPr>
                <w:rFonts w:ascii="Palatino Linotype" w:hAnsi="Palatino Linotype" w:cs="Arial"/>
              </w:rPr>
            </w:pPr>
            <w:r>
              <w:rPr>
                <w:rFonts w:ascii="Palatino Linotype" w:hAnsi="Palatino Linotype" w:cs="Arial"/>
              </w:rPr>
              <w:t>Comisionado</w:t>
            </w:r>
          </w:p>
          <w:p w14:paraId="232542BD" w14:textId="77777777" w:rsidR="003F3783" w:rsidRDefault="003F3783">
            <w:pPr>
              <w:jc w:val="center"/>
              <w:rPr>
                <w:rFonts w:ascii="Palatino Linotype" w:hAnsi="Palatino Linotype" w:cs="Arial"/>
                <w:b/>
              </w:rPr>
            </w:pPr>
            <w:r>
              <w:rPr>
                <w:rFonts w:ascii="Palatino Linotype" w:hAnsi="Palatino Linotype" w:cs="Arial"/>
                <w:b/>
              </w:rPr>
              <w:t>(RÚBRICA)</w:t>
            </w:r>
          </w:p>
        </w:tc>
      </w:tr>
      <w:tr w:rsidR="003F3783" w14:paraId="6671D439" w14:textId="77777777" w:rsidTr="003F3783">
        <w:trPr>
          <w:jc w:val="center"/>
        </w:trPr>
        <w:tc>
          <w:tcPr>
            <w:tcW w:w="10368" w:type="dxa"/>
            <w:gridSpan w:val="2"/>
          </w:tcPr>
          <w:p w14:paraId="68BB262B" w14:textId="77777777" w:rsidR="003F3783" w:rsidRDefault="003F3783">
            <w:pPr>
              <w:jc w:val="center"/>
              <w:rPr>
                <w:rFonts w:ascii="Palatino Linotype" w:hAnsi="Palatino Linotype" w:cs="Arial"/>
                <w:b/>
              </w:rPr>
            </w:pPr>
          </w:p>
          <w:p w14:paraId="6EB42CB7" w14:textId="77777777" w:rsidR="003F3783" w:rsidRDefault="003F3783">
            <w:pPr>
              <w:jc w:val="center"/>
              <w:rPr>
                <w:rFonts w:ascii="Palatino Linotype" w:hAnsi="Palatino Linotype" w:cs="Arial"/>
                <w:b/>
              </w:rPr>
            </w:pPr>
          </w:p>
          <w:p w14:paraId="39C2F680" w14:textId="77777777" w:rsidR="003F3783" w:rsidRDefault="003F3783" w:rsidP="003F3783">
            <w:pPr>
              <w:rPr>
                <w:rFonts w:ascii="Palatino Linotype" w:hAnsi="Palatino Linotype" w:cs="Arial"/>
                <w:b/>
              </w:rPr>
            </w:pPr>
          </w:p>
          <w:p w14:paraId="07774EE4" w14:textId="77777777" w:rsidR="003F3783" w:rsidRDefault="003F3783">
            <w:pPr>
              <w:jc w:val="center"/>
              <w:rPr>
                <w:rFonts w:ascii="Palatino Linotype" w:hAnsi="Palatino Linotype" w:cs="Arial"/>
                <w:b/>
              </w:rPr>
            </w:pPr>
          </w:p>
          <w:p w14:paraId="071A31C3" w14:textId="77777777" w:rsidR="003F3783" w:rsidRDefault="003F3783">
            <w:pPr>
              <w:jc w:val="center"/>
              <w:rPr>
                <w:rFonts w:ascii="Palatino Linotype" w:hAnsi="Palatino Linotype" w:cs="Arial"/>
                <w:b/>
              </w:rPr>
            </w:pPr>
            <w:r>
              <w:rPr>
                <w:rFonts w:ascii="Palatino Linotype" w:hAnsi="Palatino Linotype" w:cs="Arial"/>
                <w:b/>
              </w:rPr>
              <w:t>Alexis Tapia Ramírez</w:t>
            </w:r>
          </w:p>
          <w:p w14:paraId="12F3AA68" w14:textId="77777777" w:rsidR="003F3783" w:rsidRDefault="003F3783">
            <w:pPr>
              <w:jc w:val="center"/>
              <w:rPr>
                <w:rFonts w:ascii="Palatino Linotype" w:hAnsi="Palatino Linotype" w:cs="Arial"/>
              </w:rPr>
            </w:pPr>
            <w:r>
              <w:rPr>
                <w:rFonts w:ascii="Palatino Linotype" w:hAnsi="Palatino Linotype" w:cs="Arial"/>
              </w:rPr>
              <w:t>Secretario Técnico del Pleno</w:t>
            </w:r>
          </w:p>
          <w:p w14:paraId="28DD23D6" w14:textId="77777777" w:rsidR="003F3783" w:rsidRDefault="003F3783">
            <w:pPr>
              <w:jc w:val="center"/>
              <w:rPr>
                <w:rFonts w:ascii="Palatino Linotype" w:hAnsi="Palatino Linotype" w:cs="Arial"/>
                <w:b/>
              </w:rPr>
            </w:pPr>
            <w:r>
              <w:rPr>
                <w:rFonts w:ascii="Palatino Linotype" w:hAnsi="Palatino Linotype" w:cs="Arial"/>
                <w:b/>
              </w:rPr>
              <w:t>(RÚBRICA)</w:t>
            </w:r>
          </w:p>
          <w:p w14:paraId="6C76C665" w14:textId="77777777" w:rsidR="003F3783" w:rsidRDefault="003F3783">
            <w:pPr>
              <w:rPr>
                <w:rFonts w:ascii="Palatino Linotype" w:hAnsi="Palatino Linotype" w:cs="Arial"/>
              </w:rPr>
            </w:pPr>
          </w:p>
          <w:p w14:paraId="23A5FE9D" w14:textId="77777777" w:rsidR="003F3783" w:rsidRDefault="003F3783">
            <w:pPr>
              <w:rPr>
                <w:rFonts w:ascii="Palatino Linotype" w:hAnsi="Palatino Linotype" w:cs="Arial"/>
              </w:rPr>
            </w:pPr>
          </w:p>
          <w:p w14:paraId="3225927F" w14:textId="77777777" w:rsidR="003F3783" w:rsidRDefault="003F3783">
            <w:pPr>
              <w:rPr>
                <w:rFonts w:ascii="Palatino Linotype" w:hAnsi="Palatino Linotype" w:cs="Arial"/>
              </w:rPr>
            </w:pPr>
          </w:p>
        </w:tc>
      </w:tr>
    </w:tbl>
    <w:p w14:paraId="37E7707D" w14:textId="6801FB7D" w:rsidR="003F3783" w:rsidRDefault="003F3783" w:rsidP="003F3783">
      <w:pPr>
        <w:jc w:val="both"/>
      </w:pPr>
      <w:r>
        <w:rPr>
          <w:rFonts w:ascii="Palatino Linotype" w:hAnsi="Palatino Linotype" w:cs="Arial"/>
          <w:szCs w:val="18"/>
        </w:rPr>
        <w:t xml:space="preserve">Esta hoja corresponde a la resolución de fecha catorce (14) de octubre de dos mil veinte, emitida en el recurso de revisión </w:t>
      </w:r>
      <w:r>
        <w:rPr>
          <w:rFonts w:ascii="Palatino Linotype" w:hAnsi="Palatino Linotype"/>
          <w:b/>
        </w:rPr>
        <w:t>01943/INFOEM/IP/RR/2020</w:t>
      </w:r>
      <w:r>
        <w:rPr>
          <w:rFonts w:ascii="Palatino Linotype" w:hAnsi="Palatino Linotype" w:cs="Arial"/>
          <w:b/>
          <w:bCs/>
          <w:szCs w:val="18"/>
        </w:rPr>
        <w:t>.</w:t>
      </w:r>
      <w:r>
        <w:rPr>
          <w:rFonts w:ascii="Palatino Linotype" w:hAnsi="Palatino Linotype" w:cs="Arial"/>
          <w:bCs/>
          <w:szCs w:val="18"/>
        </w:rPr>
        <w:t xml:space="preserve"> </w:t>
      </w:r>
    </w:p>
    <w:p w14:paraId="200CF6D6" w14:textId="77777777" w:rsidR="003F3783" w:rsidRPr="003F3783" w:rsidRDefault="003F3783" w:rsidP="008E555D">
      <w:pPr>
        <w:spacing w:after="360" w:line="360" w:lineRule="auto"/>
        <w:jc w:val="both"/>
        <w:rPr>
          <w:rFonts w:ascii="Palatino Linotype" w:eastAsia="Times New Roman" w:hAnsi="Palatino Linotype" w:cs="Times New Roman"/>
          <w:color w:val="222222"/>
          <w:lang w:val="es-ES" w:eastAsia="es-MX"/>
        </w:rPr>
      </w:pPr>
    </w:p>
    <w:sectPr w:rsidR="003F3783" w:rsidRPr="003F3783"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4E901" w14:textId="77777777" w:rsidR="00F04E63" w:rsidRDefault="00F04E63" w:rsidP="00587366">
      <w:r>
        <w:separator/>
      </w:r>
    </w:p>
  </w:endnote>
  <w:endnote w:type="continuationSeparator" w:id="0">
    <w:p w14:paraId="65923996" w14:textId="77777777" w:rsidR="00F04E63" w:rsidRDefault="00F04E6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475E7E" w:rsidRPr="00883450" w:rsidRDefault="00475E7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E7815">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E7815">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475E7E" w:rsidRDefault="00475E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75E7E" w:rsidRPr="00883450" w:rsidRDefault="00475E7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E7815" w:rsidRPr="00EE781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E7815" w:rsidRPr="00EE7815">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475E7E" w:rsidRPr="00883450" w:rsidRDefault="00475E7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C8DBF" w14:textId="77777777" w:rsidR="00F04E63" w:rsidRDefault="00F04E63" w:rsidP="00587366">
      <w:r>
        <w:separator/>
      </w:r>
    </w:p>
  </w:footnote>
  <w:footnote w:type="continuationSeparator" w:id="0">
    <w:p w14:paraId="75DC585D" w14:textId="77777777" w:rsidR="00F04E63" w:rsidRDefault="00F04E63" w:rsidP="00587366">
      <w:r>
        <w:continuationSeparator/>
      </w:r>
    </w:p>
  </w:footnote>
  <w:footnote w:id="1">
    <w:p w14:paraId="3816C5A1" w14:textId="77777777" w:rsidR="00475E7E" w:rsidRPr="009020DD" w:rsidRDefault="00475E7E" w:rsidP="00531CD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CA88794" w14:textId="77777777" w:rsidR="00475E7E" w:rsidRPr="009020DD" w:rsidRDefault="00475E7E" w:rsidP="00531CD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662DA7" w14:textId="77777777" w:rsidR="00475E7E" w:rsidRPr="009020DD" w:rsidRDefault="00475E7E" w:rsidP="00531CD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12F2474C" w14:textId="77777777" w:rsidR="00475E7E" w:rsidRPr="007F43A5" w:rsidRDefault="00475E7E" w:rsidP="00531CD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14:paraId="73A5EA1A" w14:textId="77777777" w:rsidR="00475E7E" w:rsidRPr="0037004E" w:rsidRDefault="00475E7E" w:rsidP="00531CD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3F12C9D4" w14:textId="77777777" w:rsidR="00475E7E" w:rsidRDefault="00475E7E" w:rsidP="00531CD8">
      <w:pPr>
        <w:pStyle w:val="Textonotapie"/>
      </w:pPr>
    </w:p>
  </w:footnote>
  <w:footnote w:id="4">
    <w:p w14:paraId="4ED59086" w14:textId="77777777" w:rsidR="00475E7E" w:rsidRDefault="00475E7E" w:rsidP="00531CD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72163B98" w14:textId="77777777" w:rsidR="00475E7E" w:rsidRDefault="00475E7E" w:rsidP="00531CD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59F92B08" w14:textId="77777777" w:rsidR="00475E7E" w:rsidRDefault="00475E7E" w:rsidP="00531CD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6F4B2A3" w14:textId="77777777" w:rsidR="00475E7E" w:rsidRDefault="00475E7E" w:rsidP="00531CD8">
      <w:pPr>
        <w:autoSpaceDE w:val="0"/>
        <w:autoSpaceDN w:val="0"/>
        <w:adjustRightInd w:val="0"/>
        <w:jc w:val="both"/>
      </w:pPr>
    </w:p>
  </w:footnote>
  <w:footnote w:id="5">
    <w:p w14:paraId="34760429" w14:textId="77777777" w:rsidR="00475E7E" w:rsidRDefault="00475E7E" w:rsidP="00531CD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5973D" w14:textId="22C95476" w:rsidR="003F3783" w:rsidRDefault="00EE7815">
    <w:pPr>
      <w:pStyle w:val="Encabezado"/>
    </w:pPr>
    <w:r>
      <w:rPr>
        <w:noProof/>
        <w:lang w:val="es-MX" w:eastAsia="es-MX"/>
      </w:rPr>
      <w:pict w14:anchorId="20BA0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8893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BF0D427" w:rsidR="00475E7E" w:rsidRDefault="00EE7815" w:rsidP="001C6012">
    <w:pPr>
      <w:pStyle w:val="Encabezado"/>
      <w:tabs>
        <w:tab w:val="clear" w:pos="4252"/>
        <w:tab w:val="clear" w:pos="8504"/>
        <w:tab w:val="left" w:pos="8460"/>
      </w:tabs>
    </w:pPr>
    <w:r>
      <w:rPr>
        <w:noProof/>
        <w:lang w:val="es-MX" w:eastAsia="es-MX"/>
      </w:rPr>
      <w:pict w14:anchorId="0107A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8893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475E7E">
      <w:tab/>
    </w:r>
  </w:p>
  <w:p w14:paraId="64F5F23E" w14:textId="390690E5" w:rsidR="00475E7E" w:rsidRDefault="00475E7E">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75E7E" w:rsidRPr="00025127" w14:paraId="07F2896E" w14:textId="77777777" w:rsidTr="006E6B65">
      <w:trPr>
        <w:trHeight w:val="138"/>
        <w:jc w:val="right"/>
      </w:trPr>
      <w:tc>
        <w:tcPr>
          <w:tcW w:w="3544" w:type="dxa"/>
          <w:vAlign w:val="center"/>
        </w:tcPr>
        <w:p w14:paraId="4A5B1974" w14:textId="28BD9D42" w:rsidR="00475E7E" w:rsidRPr="00025127" w:rsidRDefault="00475E7E" w:rsidP="003E446F">
          <w:pPr>
            <w:ind w:right="34"/>
            <w:jc w:val="right"/>
            <w:rPr>
              <w:rFonts w:ascii="Palatino Linotype" w:hAnsi="Palatino Linotype"/>
              <w:b/>
              <w:sz w:val="22"/>
              <w:szCs w:val="22"/>
            </w:rPr>
          </w:pPr>
          <w:r w:rsidRPr="00E84957">
            <w:rPr>
              <w:rFonts w:ascii="Palatino Linotype" w:hAnsi="Palatino Linotype"/>
              <w:b/>
              <w:sz w:val="22"/>
              <w:szCs w:val="22"/>
            </w:rPr>
            <w:t>Recurso de revisión:</w:t>
          </w:r>
        </w:p>
      </w:tc>
      <w:tc>
        <w:tcPr>
          <w:tcW w:w="4252" w:type="dxa"/>
          <w:vAlign w:val="center"/>
        </w:tcPr>
        <w:p w14:paraId="3A05B4B6" w14:textId="2C61F785" w:rsidR="00475E7E" w:rsidRPr="00025127" w:rsidRDefault="00475E7E" w:rsidP="002333FA">
          <w:pPr>
            <w:pStyle w:val="Encabezado"/>
            <w:jc w:val="right"/>
            <w:rPr>
              <w:rFonts w:ascii="Palatino Linotype" w:hAnsi="Palatino Linotype"/>
              <w:b/>
              <w:sz w:val="22"/>
              <w:szCs w:val="22"/>
            </w:rPr>
          </w:pPr>
          <w:r>
            <w:rPr>
              <w:rFonts w:ascii="Palatino Linotype" w:hAnsi="Palatino Linotype" w:cs="Arial"/>
              <w:b/>
              <w:bCs/>
              <w:sz w:val="20"/>
              <w:szCs w:val="20"/>
              <w:lang w:eastAsia="es-MX"/>
            </w:rPr>
            <w:t>01943/INFOEM/IP/RR/2020</w:t>
          </w:r>
        </w:p>
      </w:tc>
    </w:tr>
    <w:tr w:rsidR="00475E7E" w:rsidRPr="00025127" w14:paraId="1B5D8690" w14:textId="77777777" w:rsidTr="006E6B65">
      <w:trPr>
        <w:trHeight w:val="233"/>
        <w:jc w:val="right"/>
      </w:trPr>
      <w:tc>
        <w:tcPr>
          <w:tcW w:w="3544" w:type="dxa"/>
          <w:vAlign w:val="center"/>
        </w:tcPr>
        <w:p w14:paraId="3903F2C6" w14:textId="618FE40F" w:rsidR="00475E7E" w:rsidRPr="00025127" w:rsidRDefault="00475E7E" w:rsidP="003E446F">
          <w:pPr>
            <w:ind w:right="34"/>
            <w:jc w:val="right"/>
            <w:rPr>
              <w:rFonts w:ascii="Palatino Linotype" w:hAnsi="Palatino Linotype"/>
              <w:b/>
              <w:sz w:val="22"/>
              <w:szCs w:val="22"/>
            </w:rPr>
          </w:pPr>
          <w:r w:rsidRPr="00E84957">
            <w:rPr>
              <w:rFonts w:ascii="Palatino Linotype" w:hAnsi="Palatino Linotype"/>
              <w:b/>
              <w:sz w:val="22"/>
              <w:szCs w:val="22"/>
            </w:rPr>
            <w:t>Sujeto obligado:</w:t>
          </w:r>
        </w:p>
      </w:tc>
      <w:tc>
        <w:tcPr>
          <w:tcW w:w="4252" w:type="dxa"/>
          <w:vAlign w:val="center"/>
        </w:tcPr>
        <w:p w14:paraId="03C799A2" w14:textId="3484311F" w:rsidR="00475E7E" w:rsidRPr="00025127" w:rsidRDefault="00475E7E" w:rsidP="002333FA">
          <w:pPr>
            <w:pStyle w:val="Encabezado"/>
            <w:jc w:val="right"/>
            <w:rPr>
              <w:rFonts w:ascii="Palatino Linotype" w:hAnsi="Palatino Linotype"/>
              <w:b/>
              <w:sz w:val="22"/>
              <w:szCs w:val="22"/>
            </w:rPr>
          </w:pPr>
          <w:r>
            <w:rPr>
              <w:rFonts w:ascii="Palatino Linotype" w:hAnsi="Palatino Linotype"/>
              <w:b/>
              <w:sz w:val="20"/>
              <w:szCs w:val="20"/>
            </w:rPr>
            <w:t>Ayuntamiento de Ayapango</w:t>
          </w:r>
        </w:p>
      </w:tc>
    </w:tr>
    <w:tr w:rsidR="00475E7E" w:rsidRPr="00025127" w14:paraId="095EB01B" w14:textId="77777777" w:rsidTr="006E6B65">
      <w:trPr>
        <w:trHeight w:val="321"/>
        <w:jc w:val="right"/>
      </w:trPr>
      <w:tc>
        <w:tcPr>
          <w:tcW w:w="3544" w:type="dxa"/>
          <w:vAlign w:val="center"/>
        </w:tcPr>
        <w:p w14:paraId="6E000A51" w14:textId="3062F7D6" w:rsidR="00475E7E" w:rsidRPr="00025127" w:rsidRDefault="00475E7E" w:rsidP="003E446F">
          <w:pPr>
            <w:ind w:right="34"/>
            <w:jc w:val="right"/>
            <w:rPr>
              <w:rFonts w:ascii="Palatino Linotype" w:hAnsi="Palatino Linotype"/>
              <w:b/>
              <w:sz w:val="22"/>
              <w:szCs w:val="22"/>
            </w:rPr>
          </w:pPr>
          <w:r w:rsidRPr="00E84957">
            <w:rPr>
              <w:rFonts w:ascii="Palatino Linotype" w:hAnsi="Palatino Linotype"/>
              <w:b/>
              <w:sz w:val="22"/>
              <w:szCs w:val="22"/>
            </w:rPr>
            <w:t>Comisionado ponente:</w:t>
          </w:r>
        </w:p>
      </w:tc>
      <w:tc>
        <w:tcPr>
          <w:tcW w:w="4252" w:type="dxa"/>
          <w:vAlign w:val="center"/>
        </w:tcPr>
        <w:p w14:paraId="07560085" w14:textId="795A76D8" w:rsidR="00475E7E" w:rsidRPr="00025127" w:rsidRDefault="00475E7E" w:rsidP="003E446F">
          <w:pPr>
            <w:pStyle w:val="Encabezado"/>
            <w:jc w:val="right"/>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096C1B8" w14:textId="77777777" w:rsidR="00475E7E" w:rsidRDefault="00475E7E"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6FA8878" w:rsidR="00475E7E" w:rsidRDefault="00EE7815" w:rsidP="00472C41">
    <w:pPr>
      <w:pStyle w:val="Encabezado"/>
      <w:tabs>
        <w:tab w:val="clear" w:pos="4252"/>
        <w:tab w:val="clear" w:pos="8504"/>
        <w:tab w:val="left" w:pos="3103"/>
      </w:tabs>
    </w:pPr>
    <w:r>
      <w:rPr>
        <w:noProof/>
        <w:lang w:val="es-MX" w:eastAsia="es-MX"/>
      </w:rPr>
      <w:pict w14:anchorId="44524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8893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75E7E">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260"/>
    </w:tblGrid>
    <w:tr w:rsidR="00475E7E" w:rsidRPr="00025127" w14:paraId="0A3256F2" w14:textId="77777777" w:rsidTr="003E446F">
      <w:trPr>
        <w:trHeight w:val="138"/>
        <w:jc w:val="right"/>
      </w:trPr>
      <w:tc>
        <w:tcPr>
          <w:tcW w:w="2977" w:type="dxa"/>
          <w:vAlign w:val="center"/>
        </w:tcPr>
        <w:p w14:paraId="3D80769D" w14:textId="48D09585" w:rsidR="00475E7E" w:rsidRPr="003E446F" w:rsidRDefault="00475E7E" w:rsidP="003E446F">
          <w:pPr>
            <w:ind w:left="885" w:right="-108"/>
            <w:rPr>
              <w:rFonts w:ascii="Palatino Linotype" w:hAnsi="Palatino Linotype"/>
              <w:b/>
              <w:sz w:val="20"/>
              <w:szCs w:val="20"/>
            </w:rPr>
          </w:pPr>
          <w:r w:rsidRPr="003E446F">
            <w:rPr>
              <w:rFonts w:ascii="Palatino Linotype" w:hAnsi="Palatino Linotype"/>
              <w:b/>
              <w:sz w:val="20"/>
              <w:szCs w:val="20"/>
            </w:rPr>
            <w:t>Recurso de revisión:</w:t>
          </w:r>
        </w:p>
      </w:tc>
      <w:tc>
        <w:tcPr>
          <w:tcW w:w="3260" w:type="dxa"/>
          <w:vAlign w:val="center"/>
        </w:tcPr>
        <w:p w14:paraId="0453495E" w14:textId="5F6CF74F" w:rsidR="00475E7E" w:rsidRPr="003E446F" w:rsidRDefault="00475E7E" w:rsidP="008C06C5">
          <w:pPr>
            <w:pStyle w:val="Encabezado"/>
            <w:ind w:right="175"/>
            <w:rPr>
              <w:rFonts w:ascii="Palatino Linotype" w:hAnsi="Palatino Linotype"/>
              <w:b/>
              <w:sz w:val="20"/>
              <w:szCs w:val="20"/>
            </w:rPr>
          </w:pPr>
          <w:r w:rsidRPr="003E446F">
            <w:rPr>
              <w:rFonts w:ascii="Palatino Linotype" w:hAnsi="Palatino Linotype"/>
              <w:b/>
              <w:bCs/>
              <w:color w:val="000000" w:themeColor="text1"/>
              <w:sz w:val="20"/>
              <w:szCs w:val="20"/>
            </w:rPr>
            <w:t>0</w:t>
          </w:r>
          <w:r>
            <w:rPr>
              <w:rFonts w:ascii="Palatino Linotype" w:hAnsi="Palatino Linotype"/>
              <w:b/>
              <w:bCs/>
              <w:color w:val="000000" w:themeColor="text1"/>
              <w:sz w:val="20"/>
              <w:szCs w:val="20"/>
            </w:rPr>
            <w:t>1943</w:t>
          </w:r>
          <w:r w:rsidRPr="003E446F">
            <w:rPr>
              <w:rFonts w:ascii="Palatino Linotype" w:hAnsi="Palatino Linotype"/>
              <w:b/>
              <w:bCs/>
              <w:color w:val="000000" w:themeColor="text1"/>
              <w:sz w:val="20"/>
              <w:szCs w:val="20"/>
            </w:rPr>
            <w:t>/INFOEM/IP/RR/2020</w:t>
          </w:r>
        </w:p>
      </w:tc>
    </w:tr>
    <w:tr w:rsidR="00475E7E" w:rsidRPr="00025127" w14:paraId="128C8B3C" w14:textId="77777777" w:rsidTr="003E446F">
      <w:trPr>
        <w:trHeight w:val="233"/>
        <w:jc w:val="right"/>
      </w:trPr>
      <w:tc>
        <w:tcPr>
          <w:tcW w:w="2977" w:type="dxa"/>
          <w:vAlign w:val="center"/>
        </w:tcPr>
        <w:p w14:paraId="483E3371" w14:textId="48E51875" w:rsidR="00475E7E" w:rsidRPr="003E446F" w:rsidRDefault="00475E7E" w:rsidP="003E446F">
          <w:pPr>
            <w:jc w:val="right"/>
            <w:rPr>
              <w:rFonts w:ascii="Palatino Linotype" w:hAnsi="Palatino Linotype"/>
              <w:b/>
              <w:sz w:val="20"/>
              <w:szCs w:val="20"/>
            </w:rPr>
          </w:pPr>
          <w:r w:rsidRPr="003E446F">
            <w:rPr>
              <w:rFonts w:ascii="Palatino Linotype" w:hAnsi="Palatino Linotype"/>
              <w:b/>
              <w:sz w:val="20"/>
              <w:szCs w:val="20"/>
            </w:rPr>
            <w:t>Recurrente:</w:t>
          </w:r>
        </w:p>
      </w:tc>
      <w:tc>
        <w:tcPr>
          <w:tcW w:w="3260" w:type="dxa"/>
          <w:vAlign w:val="center"/>
        </w:tcPr>
        <w:p w14:paraId="1548525E" w14:textId="4DAFEB27" w:rsidR="00475E7E" w:rsidRPr="003E446F" w:rsidRDefault="00EE7815" w:rsidP="003E446F">
          <w:pPr>
            <w:pStyle w:val="Encabezado"/>
            <w:ind w:right="-108"/>
            <w:rPr>
              <w:rFonts w:ascii="Palatino Linotype" w:hAnsi="Palatino Linotype"/>
              <w:b/>
              <w:sz w:val="20"/>
              <w:szCs w:val="20"/>
            </w:rPr>
          </w:pPr>
          <w:r w:rsidRPr="00EE7815">
            <w:rPr>
              <w:rFonts w:ascii="Palatino Linotype" w:hAnsi="Palatino Linotype"/>
              <w:b/>
              <w:sz w:val="20"/>
              <w:szCs w:val="20"/>
              <w:highlight w:val="black"/>
            </w:rPr>
            <w:t>--------------------------------</w:t>
          </w:r>
        </w:p>
      </w:tc>
    </w:tr>
    <w:tr w:rsidR="00475E7E" w:rsidRPr="00025127" w14:paraId="41BE0704" w14:textId="77777777" w:rsidTr="003E446F">
      <w:trPr>
        <w:trHeight w:val="321"/>
        <w:jc w:val="right"/>
      </w:trPr>
      <w:tc>
        <w:tcPr>
          <w:tcW w:w="2977" w:type="dxa"/>
          <w:vAlign w:val="center"/>
        </w:tcPr>
        <w:p w14:paraId="34C64148" w14:textId="3EDD0EC6" w:rsidR="00475E7E" w:rsidRPr="003E446F" w:rsidRDefault="00475E7E" w:rsidP="003E446F">
          <w:pPr>
            <w:jc w:val="right"/>
            <w:rPr>
              <w:rFonts w:ascii="Palatino Linotype" w:hAnsi="Palatino Linotype"/>
              <w:b/>
              <w:sz w:val="20"/>
              <w:szCs w:val="20"/>
            </w:rPr>
          </w:pPr>
          <w:r w:rsidRPr="003E446F">
            <w:rPr>
              <w:rFonts w:ascii="Palatino Linotype" w:hAnsi="Palatino Linotype"/>
              <w:b/>
              <w:sz w:val="20"/>
              <w:szCs w:val="20"/>
            </w:rPr>
            <w:t>Sujeto obligado:</w:t>
          </w:r>
        </w:p>
      </w:tc>
      <w:tc>
        <w:tcPr>
          <w:tcW w:w="3260" w:type="dxa"/>
          <w:vAlign w:val="center"/>
        </w:tcPr>
        <w:p w14:paraId="3B94ED06" w14:textId="77777777" w:rsidR="00475E7E" w:rsidRDefault="00475E7E" w:rsidP="003E446F">
          <w:pPr>
            <w:pStyle w:val="Encabezado"/>
            <w:ind w:right="-108"/>
            <w:rPr>
              <w:rFonts w:ascii="Palatino Linotype" w:hAnsi="Palatino Linotype"/>
              <w:b/>
              <w:sz w:val="20"/>
              <w:szCs w:val="20"/>
            </w:rPr>
          </w:pPr>
          <w:r w:rsidRPr="003E446F">
            <w:rPr>
              <w:rFonts w:ascii="Palatino Linotype" w:hAnsi="Palatino Linotype"/>
              <w:b/>
              <w:sz w:val="20"/>
              <w:szCs w:val="20"/>
            </w:rPr>
            <w:t xml:space="preserve">Ayuntamiento de </w:t>
          </w:r>
        </w:p>
        <w:p w14:paraId="34C341BF" w14:textId="12D4A1C5" w:rsidR="00475E7E" w:rsidRPr="003E446F" w:rsidRDefault="00475E7E" w:rsidP="003E446F">
          <w:pPr>
            <w:pStyle w:val="Encabezado"/>
            <w:ind w:right="-108"/>
            <w:rPr>
              <w:rFonts w:ascii="Palatino Linotype" w:hAnsi="Palatino Linotype"/>
              <w:b/>
              <w:sz w:val="20"/>
              <w:szCs w:val="20"/>
            </w:rPr>
          </w:pPr>
          <w:r>
            <w:rPr>
              <w:rFonts w:ascii="Palatino Linotype" w:hAnsi="Palatino Linotype"/>
              <w:b/>
              <w:sz w:val="20"/>
              <w:szCs w:val="20"/>
            </w:rPr>
            <w:t>Ayapango</w:t>
          </w:r>
        </w:p>
      </w:tc>
    </w:tr>
    <w:tr w:rsidR="00475E7E" w:rsidRPr="00025127" w14:paraId="0C8B6193" w14:textId="77777777" w:rsidTr="003E446F">
      <w:trPr>
        <w:trHeight w:val="321"/>
        <w:jc w:val="right"/>
      </w:trPr>
      <w:tc>
        <w:tcPr>
          <w:tcW w:w="2977" w:type="dxa"/>
          <w:vAlign w:val="center"/>
        </w:tcPr>
        <w:p w14:paraId="321FFAFF" w14:textId="0DB00492" w:rsidR="00475E7E" w:rsidRPr="003E446F" w:rsidRDefault="00475E7E" w:rsidP="003E446F">
          <w:pPr>
            <w:jc w:val="right"/>
            <w:rPr>
              <w:rFonts w:ascii="Palatino Linotype" w:hAnsi="Palatino Linotype"/>
              <w:b/>
              <w:sz w:val="20"/>
              <w:szCs w:val="20"/>
            </w:rPr>
          </w:pPr>
          <w:r w:rsidRPr="003E446F">
            <w:rPr>
              <w:rFonts w:ascii="Palatino Linotype" w:hAnsi="Palatino Linotype"/>
              <w:b/>
              <w:sz w:val="20"/>
              <w:szCs w:val="20"/>
            </w:rPr>
            <w:t>Comisionado ponente:</w:t>
          </w:r>
        </w:p>
      </w:tc>
      <w:tc>
        <w:tcPr>
          <w:tcW w:w="3260" w:type="dxa"/>
          <w:vAlign w:val="center"/>
        </w:tcPr>
        <w:p w14:paraId="0FECDA9D" w14:textId="760F7976" w:rsidR="00475E7E" w:rsidRPr="003E446F" w:rsidRDefault="00475E7E" w:rsidP="003E446F">
          <w:pPr>
            <w:pStyle w:val="Encabezado"/>
            <w:ind w:left="33" w:right="-108"/>
            <w:rPr>
              <w:rFonts w:ascii="Palatino Linotype" w:hAnsi="Palatino Linotype"/>
              <w:b/>
              <w:sz w:val="20"/>
              <w:szCs w:val="20"/>
            </w:rPr>
          </w:pPr>
          <w:r w:rsidRPr="003E446F">
            <w:rPr>
              <w:rFonts w:ascii="Palatino Linotype" w:hAnsi="Palatino Linotype"/>
              <w:b/>
              <w:sz w:val="20"/>
              <w:szCs w:val="20"/>
            </w:rPr>
            <w:t>José Guadalupe Luna Hernández</w:t>
          </w:r>
        </w:p>
      </w:tc>
    </w:tr>
  </w:tbl>
  <w:p w14:paraId="156B5574" w14:textId="3EA5B995" w:rsidR="00475E7E" w:rsidRDefault="00475E7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8"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F306ADD6"/>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0136A0"/>
    <w:multiLevelType w:val="hybridMultilevel"/>
    <w:tmpl w:val="5154832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1"/>
  </w:num>
  <w:num w:numId="3">
    <w:abstractNumId w:val="13"/>
  </w:num>
  <w:num w:numId="4">
    <w:abstractNumId w:val="12"/>
  </w:num>
  <w:num w:numId="5">
    <w:abstractNumId w:val="22"/>
  </w:num>
  <w:num w:numId="6">
    <w:abstractNumId w:val="23"/>
  </w:num>
  <w:num w:numId="7">
    <w:abstractNumId w:val="30"/>
  </w:num>
  <w:num w:numId="8">
    <w:abstractNumId w:val="20"/>
  </w:num>
  <w:num w:numId="9">
    <w:abstractNumId w:val="8"/>
  </w:num>
  <w:num w:numId="10">
    <w:abstractNumId w:val="27"/>
  </w:num>
  <w:num w:numId="11">
    <w:abstractNumId w:val="16"/>
  </w:num>
  <w:num w:numId="12">
    <w:abstractNumId w:val="29"/>
  </w:num>
  <w:num w:numId="13">
    <w:abstractNumId w:val="28"/>
  </w:num>
  <w:num w:numId="14">
    <w:abstractNumId w:val="3"/>
  </w:num>
  <w:num w:numId="15">
    <w:abstractNumId w:val="18"/>
  </w:num>
  <w:num w:numId="16">
    <w:abstractNumId w:val="15"/>
  </w:num>
  <w:num w:numId="17">
    <w:abstractNumId w:val="11"/>
  </w:num>
  <w:num w:numId="18">
    <w:abstractNumId w:val="34"/>
  </w:num>
  <w:num w:numId="19">
    <w:abstractNumId w:val="2"/>
  </w:num>
  <w:num w:numId="20">
    <w:abstractNumId w:val="17"/>
  </w:num>
  <w:num w:numId="21">
    <w:abstractNumId w:val="32"/>
  </w:num>
  <w:num w:numId="22">
    <w:abstractNumId w:val="1"/>
  </w:num>
  <w:num w:numId="23">
    <w:abstractNumId w:val="9"/>
  </w:num>
  <w:num w:numId="24">
    <w:abstractNumId w:val="24"/>
  </w:num>
  <w:num w:numId="25">
    <w:abstractNumId w:val="5"/>
  </w:num>
  <w:num w:numId="26">
    <w:abstractNumId w:val="4"/>
  </w:num>
  <w:num w:numId="27">
    <w:abstractNumId w:val="19"/>
  </w:num>
  <w:num w:numId="28">
    <w:abstractNumId w:val="31"/>
  </w:num>
  <w:num w:numId="29">
    <w:abstractNumId w:val="6"/>
  </w:num>
  <w:num w:numId="30">
    <w:abstractNumId w:val="33"/>
  </w:num>
  <w:num w:numId="31">
    <w:abstractNumId w:val="26"/>
  </w:num>
  <w:num w:numId="32">
    <w:abstractNumId w:val="25"/>
  </w:num>
  <w:num w:numId="33">
    <w:abstractNumId w:val="14"/>
  </w:num>
  <w:num w:numId="34">
    <w:abstractNumId w:val="7"/>
  </w:num>
  <w:num w:numId="3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6856"/>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4031"/>
    <w:rsid w:val="0004686A"/>
    <w:rsid w:val="000468E2"/>
    <w:rsid w:val="00046CEE"/>
    <w:rsid w:val="000478BA"/>
    <w:rsid w:val="0005237C"/>
    <w:rsid w:val="00052A3C"/>
    <w:rsid w:val="00054A03"/>
    <w:rsid w:val="00056A79"/>
    <w:rsid w:val="00061344"/>
    <w:rsid w:val="000613BF"/>
    <w:rsid w:val="0006247F"/>
    <w:rsid w:val="00062648"/>
    <w:rsid w:val="000631D9"/>
    <w:rsid w:val="0006407E"/>
    <w:rsid w:val="00064A37"/>
    <w:rsid w:val="00064B95"/>
    <w:rsid w:val="0007221E"/>
    <w:rsid w:val="00074573"/>
    <w:rsid w:val="000800AC"/>
    <w:rsid w:val="0008230A"/>
    <w:rsid w:val="00082D11"/>
    <w:rsid w:val="000834FE"/>
    <w:rsid w:val="00083E9A"/>
    <w:rsid w:val="00084E31"/>
    <w:rsid w:val="0008542A"/>
    <w:rsid w:val="00090D6F"/>
    <w:rsid w:val="00093FC7"/>
    <w:rsid w:val="00095BB9"/>
    <w:rsid w:val="000A26B8"/>
    <w:rsid w:val="000A3F90"/>
    <w:rsid w:val="000A4554"/>
    <w:rsid w:val="000A4E44"/>
    <w:rsid w:val="000A51C1"/>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0808"/>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990"/>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0DD5"/>
    <w:rsid w:val="002333FA"/>
    <w:rsid w:val="00233E08"/>
    <w:rsid w:val="002345FF"/>
    <w:rsid w:val="00237611"/>
    <w:rsid w:val="002426EA"/>
    <w:rsid w:val="00243238"/>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46A"/>
    <w:rsid w:val="00274ED2"/>
    <w:rsid w:val="002765F2"/>
    <w:rsid w:val="00277A35"/>
    <w:rsid w:val="00280994"/>
    <w:rsid w:val="00280E3F"/>
    <w:rsid w:val="0028248C"/>
    <w:rsid w:val="00286DDB"/>
    <w:rsid w:val="002871EB"/>
    <w:rsid w:val="002948C4"/>
    <w:rsid w:val="002A10D5"/>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5FA7"/>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4F9A"/>
    <w:rsid w:val="00335BFE"/>
    <w:rsid w:val="00335E9C"/>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57E79"/>
    <w:rsid w:val="0036073F"/>
    <w:rsid w:val="003629EE"/>
    <w:rsid w:val="003643B3"/>
    <w:rsid w:val="00370B8E"/>
    <w:rsid w:val="00370BB1"/>
    <w:rsid w:val="003721B2"/>
    <w:rsid w:val="00372328"/>
    <w:rsid w:val="00374CE8"/>
    <w:rsid w:val="003762FD"/>
    <w:rsid w:val="00377278"/>
    <w:rsid w:val="00381F3B"/>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484B"/>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446F"/>
    <w:rsid w:val="003E6679"/>
    <w:rsid w:val="003E6D0F"/>
    <w:rsid w:val="003E712E"/>
    <w:rsid w:val="003F140F"/>
    <w:rsid w:val="003F15DB"/>
    <w:rsid w:val="003F2702"/>
    <w:rsid w:val="003F2778"/>
    <w:rsid w:val="003F36A4"/>
    <w:rsid w:val="003F3783"/>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67015"/>
    <w:rsid w:val="00470027"/>
    <w:rsid w:val="0047025A"/>
    <w:rsid w:val="00472C41"/>
    <w:rsid w:val="00473115"/>
    <w:rsid w:val="004738D8"/>
    <w:rsid w:val="00473BD2"/>
    <w:rsid w:val="00474477"/>
    <w:rsid w:val="00475E7E"/>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916"/>
    <w:rsid w:val="00515DEC"/>
    <w:rsid w:val="00516603"/>
    <w:rsid w:val="005166F9"/>
    <w:rsid w:val="005167B1"/>
    <w:rsid w:val="00517A46"/>
    <w:rsid w:val="00517D20"/>
    <w:rsid w:val="005215EE"/>
    <w:rsid w:val="00521B2C"/>
    <w:rsid w:val="00521F15"/>
    <w:rsid w:val="00522599"/>
    <w:rsid w:val="00522F5F"/>
    <w:rsid w:val="005248B9"/>
    <w:rsid w:val="005255D3"/>
    <w:rsid w:val="00525C4F"/>
    <w:rsid w:val="00526446"/>
    <w:rsid w:val="00527495"/>
    <w:rsid w:val="00527E7A"/>
    <w:rsid w:val="00531594"/>
    <w:rsid w:val="00531CD8"/>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6A05"/>
    <w:rsid w:val="005F715E"/>
    <w:rsid w:val="006010DA"/>
    <w:rsid w:val="006017AB"/>
    <w:rsid w:val="00604AC3"/>
    <w:rsid w:val="00605865"/>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60D"/>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21335"/>
    <w:rsid w:val="00721924"/>
    <w:rsid w:val="00721F66"/>
    <w:rsid w:val="00722B93"/>
    <w:rsid w:val="00725B6F"/>
    <w:rsid w:val="00731F1F"/>
    <w:rsid w:val="0073324B"/>
    <w:rsid w:val="007337E6"/>
    <w:rsid w:val="007349CF"/>
    <w:rsid w:val="00735A75"/>
    <w:rsid w:val="007365AD"/>
    <w:rsid w:val="00740571"/>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356"/>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57DC"/>
    <w:rsid w:val="007C6110"/>
    <w:rsid w:val="007C6AE2"/>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87DF5"/>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06C5"/>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55D"/>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72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4864"/>
    <w:rsid w:val="009B5504"/>
    <w:rsid w:val="009B5D1A"/>
    <w:rsid w:val="009B649B"/>
    <w:rsid w:val="009B6EDF"/>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1AB9"/>
    <w:rsid w:val="00A235D0"/>
    <w:rsid w:val="00A24C8D"/>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DDD"/>
    <w:rsid w:val="00A83FF6"/>
    <w:rsid w:val="00A85CB7"/>
    <w:rsid w:val="00A8620F"/>
    <w:rsid w:val="00A86AAB"/>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444E"/>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57"/>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1E59"/>
    <w:rsid w:val="00C1254E"/>
    <w:rsid w:val="00C14CDF"/>
    <w:rsid w:val="00C150E0"/>
    <w:rsid w:val="00C150F6"/>
    <w:rsid w:val="00C15F97"/>
    <w:rsid w:val="00C16762"/>
    <w:rsid w:val="00C17637"/>
    <w:rsid w:val="00C179FC"/>
    <w:rsid w:val="00C20EB1"/>
    <w:rsid w:val="00C2139F"/>
    <w:rsid w:val="00C23751"/>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98"/>
    <w:rsid w:val="00C54128"/>
    <w:rsid w:val="00C54922"/>
    <w:rsid w:val="00C55FE8"/>
    <w:rsid w:val="00C57166"/>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7479"/>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D77"/>
    <w:rsid w:val="00CF6EB2"/>
    <w:rsid w:val="00D10AB0"/>
    <w:rsid w:val="00D12EE7"/>
    <w:rsid w:val="00D1373C"/>
    <w:rsid w:val="00D14AA8"/>
    <w:rsid w:val="00D16BAD"/>
    <w:rsid w:val="00D1735B"/>
    <w:rsid w:val="00D17702"/>
    <w:rsid w:val="00D17C3D"/>
    <w:rsid w:val="00D20E91"/>
    <w:rsid w:val="00D214EB"/>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367FC"/>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0359"/>
    <w:rsid w:val="00E82B54"/>
    <w:rsid w:val="00E838B2"/>
    <w:rsid w:val="00E84521"/>
    <w:rsid w:val="00E845E0"/>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E7815"/>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4E63"/>
    <w:rsid w:val="00F059CF"/>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6489"/>
    <w:rsid w:val="00F37B6F"/>
    <w:rsid w:val="00F40C05"/>
    <w:rsid w:val="00F40E86"/>
    <w:rsid w:val="00F42168"/>
    <w:rsid w:val="00F425B3"/>
    <w:rsid w:val="00F44C78"/>
    <w:rsid w:val="00F452C0"/>
    <w:rsid w:val="00F459E6"/>
    <w:rsid w:val="00F47820"/>
    <w:rsid w:val="00F50F1E"/>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2B8"/>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31CD8"/>
    <w:pPr>
      <w:tabs>
        <w:tab w:val="left" w:pos="440"/>
        <w:tab w:val="right" w:leader="dot" w:pos="8828"/>
      </w:tabs>
      <w:spacing w:before="240" w:after="100" w:line="360" w:lineRule="auto"/>
      <w:ind w:left="440"/>
      <w:jc w:val="both"/>
    </w:pPr>
  </w:style>
  <w:style w:type="paragraph" w:styleId="TDC2">
    <w:name w:val="toc 2"/>
    <w:basedOn w:val="Normal"/>
    <w:next w:val="Normal"/>
    <w:autoRedefine/>
    <w:uiPriority w:val="39"/>
    <w:unhideWhenUsed/>
    <w:rsid w:val="000613BF"/>
    <w:pPr>
      <w:tabs>
        <w:tab w:val="right" w:leader="dot" w:pos="9676"/>
      </w:tabs>
      <w:spacing w:after="100" w:line="480" w:lineRule="auto"/>
      <w:ind w:left="426" w:firstLine="14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3872637">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2420086">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25084649">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2066676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909546">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059934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828658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929481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753656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0013988">
      <w:bodyDiv w:val="1"/>
      <w:marLeft w:val="0"/>
      <w:marRight w:val="0"/>
      <w:marTop w:val="0"/>
      <w:marBottom w:val="0"/>
      <w:divBdr>
        <w:top w:val="none" w:sz="0" w:space="0" w:color="auto"/>
        <w:left w:val="none" w:sz="0" w:space="0" w:color="auto"/>
        <w:bottom w:val="none" w:sz="0" w:space="0" w:color="auto"/>
        <w:right w:val="none" w:sz="0" w:space="0" w:color="auto"/>
      </w:divBdr>
    </w:div>
    <w:div w:id="17232088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206707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3098.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E9385-2814-4165-87B0-5950DE98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7328</Words>
  <Characters>40306</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2019-12-11T01:19:00Z</cp:lastPrinted>
  <dcterms:created xsi:type="dcterms:W3CDTF">2020-10-08T18:16:00Z</dcterms:created>
  <dcterms:modified xsi:type="dcterms:W3CDTF">2020-11-11T00:16:00Z</dcterms:modified>
</cp:coreProperties>
</file>