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437" w:rsidRDefault="00C67437" w:rsidP="0014447C">
      <w:pPr>
        <w:pStyle w:val="Sinespaciado"/>
        <w:spacing w:line="360" w:lineRule="auto"/>
        <w:jc w:val="both"/>
        <w:rPr>
          <w:rFonts w:ascii="Palatino Linotype" w:hAnsi="Palatino Linotype"/>
          <w:sz w:val="24"/>
          <w:szCs w:val="24"/>
          <w:lang w:eastAsia="es-MX"/>
        </w:rPr>
      </w:pPr>
    </w:p>
    <w:p w:rsidR="00C67437" w:rsidRDefault="00C67437"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A02351">
        <w:rPr>
          <w:rFonts w:ascii="Palatino Linotype" w:hAnsi="Palatino Linotype"/>
          <w:sz w:val="24"/>
          <w:szCs w:val="24"/>
          <w:lang w:eastAsia="es-MX"/>
        </w:rPr>
        <w:t xml:space="preserve">a diecinueve de agosto </w:t>
      </w:r>
      <w:r w:rsidR="00D00FA4">
        <w:rPr>
          <w:rFonts w:ascii="Palatino Linotype" w:hAnsi="Palatino Linotype"/>
          <w:sz w:val="24"/>
          <w:szCs w:val="24"/>
          <w:lang w:eastAsia="es-MX"/>
        </w:rPr>
        <w:t>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C67437">
        <w:rPr>
          <w:rFonts w:ascii="Palatino Linotype" w:hAnsi="Palatino Linotype"/>
          <w:b/>
          <w:bCs/>
          <w:sz w:val="24"/>
          <w:szCs w:val="24"/>
          <w:lang w:eastAsia="es-MX"/>
        </w:rPr>
        <w:t>01320</w:t>
      </w:r>
      <w:r w:rsidR="00AE3377">
        <w:rPr>
          <w:rFonts w:ascii="Palatino Linotype" w:hAnsi="Palatino Linotype"/>
          <w:b/>
          <w:bCs/>
          <w:sz w:val="24"/>
          <w:szCs w:val="24"/>
          <w:lang w:eastAsia="es-MX"/>
        </w:rPr>
        <w:t>/INFOEM/IP/RR/2020</w:t>
      </w:r>
      <w:r w:rsidR="003C3124">
        <w:rPr>
          <w:rFonts w:ascii="Palatino Linotype" w:hAnsi="Palatino Linotype"/>
          <w:sz w:val="24"/>
          <w:szCs w:val="24"/>
        </w:rPr>
        <w:t>, interpuest</w:t>
      </w:r>
      <w:r w:rsidR="00F766CF">
        <w:rPr>
          <w:rFonts w:ascii="Palatino Linotype" w:hAnsi="Palatino Linotype"/>
          <w:sz w:val="24"/>
          <w:szCs w:val="24"/>
        </w:rPr>
        <w:t>o por</w:t>
      </w:r>
      <w:r w:rsidR="00C67437">
        <w:rPr>
          <w:rFonts w:ascii="Palatino Linotype" w:hAnsi="Palatino Linotype"/>
          <w:sz w:val="24"/>
          <w:szCs w:val="24"/>
        </w:rPr>
        <w:t xml:space="preserve"> el</w:t>
      </w:r>
      <w:r w:rsidR="00AE3377">
        <w:rPr>
          <w:rFonts w:ascii="Palatino Linotype" w:hAnsi="Palatino Linotype"/>
          <w:sz w:val="24"/>
          <w:szCs w:val="24"/>
        </w:rPr>
        <w:t xml:space="preserve"> </w:t>
      </w:r>
      <w:r w:rsidR="005474C3">
        <w:rPr>
          <w:rFonts w:ascii="Palatino Linotype" w:hAnsi="Palatino Linotype"/>
          <w:b/>
          <w:sz w:val="24"/>
          <w:szCs w:val="24"/>
        </w:rPr>
        <w:t xml:space="preserve">C. </w:t>
      </w:r>
      <w:r w:rsidR="009D3CD7">
        <w:rPr>
          <w:rFonts w:ascii="Palatino Linotype" w:hAnsi="Palatino Linotype"/>
          <w:b/>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7437">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AE3377">
        <w:rPr>
          <w:rFonts w:ascii="Palatino Linotype" w:hAnsi="Palatino Linotype" w:cs="Arial"/>
          <w:b/>
          <w:sz w:val="24"/>
          <w:szCs w:val="24"/>
        </w:rPr>
        <w:t xml:space="preserve">Ayuntamiento de </w:t>
      </w:r>
      <w:r w:rsidR="005474C3">
        <w:rPr>
          <w:rFonts w:ascii="Palatino Linotype" w:hAnsi="Palatino Linotype" w:cs="Arial"/>
          <w:b/>
          <w:sz w:val="24"/>
          <w:szCs w:val="24"/>
        </w:rPr>
        <w:t>Cuautitlán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C67437">
        <w:rPr>
          <w:rFonts w:ascii="Palatino Linotype" w:hAnsi="Palatino Linotype"/>
          <w:sz w:val="24"/>
          <w:szCs w:val="24"/>
        </w:rPr>
        <w:t>veintisiete de enero de dos mil veinte,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043CE6">
        <w:rPr>
          <w:rFonts w:ascii="Palatino Linotype" w:hAnsi="Palatino Linotype"/>
          <w:b/>
          <w:sz w:val="24"/>
          <w:szCs w:val="24"/>
        </w:rPr>
        <w:t xml:space="preserve"> </w:t>
      </w:r>
      <w:r w:rsidR="00C67437">
        <w:rPr>
          <w:rFonts w:ascii="Palatino Linotype" w:hAnsi="Palatino Linotype"/>
          <w:b/>
          <w:bCs/>
          <w:sz w:val="24"/>
          <w:szCs w:val="24"/>
        </w:rPr>
        <w:t>00029</w:t>
      </w:r>
      <w:r w:rsidR="005474C3" w:rsidRPr="005474C3">
        <w:rPr>
          <w:rFonts w:ascii="Palatino Linotype" w:hAnsi="Palatino Linotype"/>
          <w:b/>
          <w:bCs/>
          <w:sz w:val="24"/>
          <w:szCs w:val="24"/>
        </w:rPr>
        <w:t>/CUAUTIT/IP/2020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C67437" w:rsidRPr="00C67437">
        <w:rPr>
          <w:rFonts w:ascii="Palatino Linotype" w:eastAsia="Times New Roman" w:hAnsi="Palatino Linotype" w:cs="Times New Roman"/>
          <w:i/>
          <w:lang w:eastAsia="es-ES"/>
        </w:rPr>
        <w:t>¿Cuánto dinero se erogó para realizar las fiestas patrias del quince de septiembre de dos mil diecinueve? ¿Cuánto dinero se le pago a cada artista (especificando su nombre) que se presentó en el evento realizad con motivo de las fiestas patrias del quince de septiembre de dos mil diecinueve?</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FC74C8">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el día</w:t>
      </w:r>
      <w:r w:rsidR="00C67437">
        <w:rPr>
          <w:rFonts w:ascii="Palatino Linotype" w:hAnsi="Palatino Linotype"/>
          <w:sz w:val="24"/>
        </w:rPr>
        <w:t xml:space="preserve"> diecisiete</w:t>
      </w:r>
      <w:r w:rsidR="00FC74C8">
        <w:rPr>
          <w:rFonts w:ascii="Palatino Linotype" w:hAnsi="Palatino Linotype"/>
          <w:sz w:val="24"/>
        </w:rPr>
        <w:t xml:space="preserve"> de febrero</w:t>
      </w:r>
      <w:r w:rsidR="00915709">
        <w:rPr>
          <w:rFonts w:ascii="Palatino Linotype" w:hAnsi="Palatino Linotype"/>
          <w:sz w:val="24"/>
        </w:rPr>
        <w:t xml:space="preserve"> de dos mil veinte</w:t>
      </w:r>
      <w:r w:rsidR="005E7805">
        <w:rPr>
          <w:rFonts w:ascii="Palatino Linotype" w:hAnsi="Palatino Linotype"/>
          <w:sz w:val="24"/>
        </w:rPr>
        <w:t xml:space="preser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bookmarkStart w:id="0" w:name="_GoBack"/>
      <w:bookmarkEnd w:id="0"/>
    </w:p>
    <w:p w:rsidR="00C67437" w:rsidRDefault="008C0E72" w:rsidP="00C67437">
      <w:pPr>
        <w:pStyle w:val="Sinespaciado"/>
        <w:ind w:left="567" w:right="567"/>
        <w:jc w:val="both"/>
        <w:rPr>
          <w:rFonts w:ascii="Palatino Linotype" w:hAnsi="Palatino Linotype"/>
          <w:i/>
        </w:rPr>
      </w:pPr>
      <w:r>
        <w:rPr>
          <w:rFonts w:ascii="Palatino Linotype" w:hAnsi="Palatino Linotype"/>
          <w:sz w:val="24"/>
        </w:rPr>
        <w:t>“</w:t>
      </w:r>
      <w:r w:rsidR="00C67437" w:rsidRPr="00C67437">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67437" w:rsidRPr="00C67437" w:rsidRDefault="00C67437" w:rsidP="00C67437">
      <w:pPr>
        <w:pStyle w:val="Sinespaciado"/>
        <w:ind w:left="567" w:right="567"/>
        <w:jc w:val="both"/>
        <w:rPr>
          <w:rFonts w:ascii="Palatino Linotype" w:hAnsi="Palatino Linotype"/>
          <w:i/>
        </w:rPr>
      </w:pPr>
    </w:p>
    <w:p w:rsidR="00C67437" w:rsidRDefault="00C67437" w:rsidP="00C67437">
      <w:pPr>
        <w:pStyle w:val="Sinespaciado"/>
        <w:ind w:left="567" w:right="567"/>
        <w:jc w:val="both"/>
        <w:rPr>
          <w:rFonts w:ascii="Palatino Linotype" w:hAnsi="Palatino Linotype"/>
          <w:i/>
        </w:rPr>
      </w:pPr>
      <w:r w:rsidRPr="00C67437">
        <w:rPr>
          <w:rFonts w:ascii="Palatino Linotype" w:hAnsi="Palatino Linotype"/>
          <w:i/>
        </w:rPr>
        <w:t>Cuautitlán, México a 17 de Febrero d</w:t>
      </w:r>
      <w:r w:rsidR="009D3CD7">
        <w:rPr>
          <w:rFonts w:ascii="Palatino Linotype" w:hAnsi="Palatino Linotype"/>
          <w:i/>
        </w:rPr>
        <w:t xml:space="preserve">e 2020. Nombre del solicitante: </w:t>
      </w:r>
      <w:r w:rsidR="009D3CD7" w:rsidRPr="009D3CD7">
        <w:rPr>
          <w:rFonts w:ascii="Palatino Linotype" w:hAnsi="Palatino Linotype"/>
          <w:i/>
          <w:color w:val="FFFFFF" w:themeColor="background1"/>
        </w:rPr>
        <w:t>XXXXXX XXXXXX XXXXXX</w:t>
      </w:r>
      <w:r w:rsidRPr="00C67437">
        <w:rPr>
          <w:rFonts w:ascii="Palatino Linotype" w:hAnsi="Palatino Linotype"/>
          <w:i/>
        </w:rPr>
        <w:t xml:space="preserve"> Folio de la solicitud: 00029/CUAUTIT/IP/2020. Por medio del presente reciba un cordial y respetuoso saludo, al mismo tiempo hacemos entrega de la información solicitada tal como lo establece la Ley de Transparencia y Acceso a la Información Pública del Estado de México y Municipios en el Articulo 53, fracciones II, V Y VI. ATENTAMENTE LIC. MARIA DE JESUS RODRIGUEZ ESCAMILLA Responsable de la Unidad de Transparencia del Ayuntamiento de Cuautitlán</w:t>
      </w:r>
    </w:p>
    <w:p w:rsidR="00C67437" w:rsidRPr="00C67437" w:rsidRDefault="00C67437" w:rsidP="00C67437">
      <w:pPr>
        <w:pStyle w:val="Sinespaciado"/>
        <w:ind w:left="567" w:right="567"/>
        <w:jc w:val="both"/>
        <w:rPr>
          <w:rFonts w:ascii="Palatino Linotype" w:hAnsi="Palatino Linotype"/>
          <w:i/>
        </w:rPr>
      </w:pPr>
    </w:p>
    <w:p w:rsidR="00C67437" w:rsidRPr="00C67437" w:rsidRDefault="00C67437" w:rsidP="00C67437">
      <w:pPr>
        <w:pStyle w:val="Sinespaciado"/>
        <w:ind w:left="567" w:right="567"/>
        <w:jc w:val="both"/>
        <w:rPr>
          <w:rFonts w:ascii="Palatino Linotype" w:hAnsi="Palatino Linotype"/>
          <w:i/>
        </w:rPr>
      </w:pPr>
      <w:r w:rsidRPr="00C67437">
        <w:rPr>
          <w:rFonts w:ascii="Palatino Linotype" w:hAnsi="Palatino Linotype"/>
          <w:i/>
        </w:rPr>
        <w:t>ATENTAMENTE</w:t>
      </w:r>
    </w:p>
    <w:p w:rsidR="008C0E72" w:rsidRPr="008C0E72" w:rsidRDefault="00C67437" w:rsidP="00C67437">
      <w:pPr>
        <w:pStyle w:val="Sinespaciado"/>
        <w:ind w:left="567" w:right="567"/>
        <w:jc w:val="both"/>
        <w:rPr>
          <w:rFonts w:ascii="Palatino Linotype" w:hAnsi="Palatino Linotype"/>
          <w:i/>
        </w:rPr>
      </w:pPr>
      <w:r w:rsidRPr="00C67437">
        <w:rPr>
          <w:rFonts w:ascii="Palatino Linotype" w:hAnsi="Palatino Linotype"/>
          <w:i/>
        </w:rPr>
        <w:t>LIC. MARIA DE JESUS RODRIGUEZ ESCAMILLA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F041D9" w:rsidRDefault="00D04234" w:rsidP="0054220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FC74C8">
        <w:rPr>
          <w:rFonts w:ascii="Palatino Linotype" w:hAnsi="Palatino Linotype"/>
          <w:sz w:val="24"/>
          <w:szCs w:val="24"/>
        </w:rPr>
        <w:t>la carpeta electrónica denominada</w:t>
      </w:r>
      <w:r w:rsidR="00043CE6">
        <w:rPr>
          <w:rFonts w:ascii="Palatino Linotype" w:hAnsi="Palatino Linotype"/>
          <w:sz w:val="24"/>
          <w:szCs w:val="24"/>
        </w:rPr>
        <w:t xml:space="preserve"> </w:t>
      </w:r>
      <w:r w:rsidR="00542206">
        <w:rPr>
          <w:rFonts w:ascii="Palatino Linotype" w:hAnsi="Palatino Linotype"/>
          <w:b/>
          <w:sz w:val="24"/>
          <w:szCs w:val="24"/>
        </w:rPr>
        <w:t>“</w:t>
      </w:r>
      <w:r w:rsidR="00C67437">
        <w:rPr>
          <w:rFonts w:ascii="Palatino Linotype" w:hAnsi="Palatino Linotype"/>
          <w:b/>
          <w:sz w:val="24"/>
          <w:szCs w:val="24"/>
        </w:rPr>
        <w:t>Contestación 00029</w:t>
      </w:r>
      <w:r w:rsidR="00FC74C8">
        <w:rPr>
          <w:rFonts w:ascii="Palatino Linotype" w:hAnsi="Palatino Linotype"/>
          <w:b/>
          <w:sz w:val="24"/>
          <w:szCs w:val="24"/>
        </w:rPr>
        <w:t>-2020.zip</w:t>
      </w:r>
      <w:r w:rsidR="009B0589" w:rsidRPr="009B0589">
        <w:rPr>
          <w:rFonts w:ascii="Palatino Linotype" w:hAnsi="Palatino Linotype"/>
          <w:b/>
          <w:sz w:val="24"/>
          <w:szCs w:val="24"/>
        </w:rPr>
        <w:t>”</w:t>
      </w:r>
      <w:r w:rsidR="009B0589">
        <w:rPr>
          <w:rFonts w:ascii="Palatino Linotype" w:hAnsi="Palatino Linotype"/>
          <w:sz w:val="24"/>
          <w:szCs w:val="24"/>
        </w:rPr>
        <w:t xml:space="preserve">, </w:t>
      </w:r>
      <w:r w:rsidR="00FC74C8">
        <w:rPr>
          <w:rFonts w:ascii="Palatino Linotype" w:hAnsi="Palatino Linotype"/>
          <w:sz w:val="24"/>
          <w:szCs w:val="24"/>
        </w:rPr>
        <w:t>cuyo contenido</w:t>
      </w:r>
      <w:r w:rsidR="00043CE6">
        <w:rPr>
          <w:rFonts w:ascii="Palatino Linotype" w:hAnsi="Palatino Linotype"/>
          <w:sz w:val="24"/>
          <w:szCs w:val="24"/>
        </w:rPr>
        <w:t xml:space="preserve"> no se reproduce</w:t>
      </w:r>
      <w:r w:rsidR="00542206">
        <w:rPr>
          <w:rFonts w:ascii="Palatino Linotype" w:hAnsi="Palatino Linotype"/>
          <w:sz w:val="24"/>
          <w:szCs w:val="24"/>
        </w:rPr>
        <w:t xml:space="preserve"> por ser del conocimiento de las partes; no obstante, se hará referencia de</w:t>
      </w:r>
      <w:r w:rsidR="00FC74C8">
        <w:rPr>
          <w:rFonts w:ascii="Palatino Linotype" w:hAnsi="Palatino Linotype"/>
          <w:sz w:val="24"/>
          <w:szCs w:val="24"/>
        </w:rPr>
        <w:t>l mismo</w:t>
      </w:r>
      <w:r w:rsidR="00915709">
        <w:rPr>
          <w:rFonts w:ascii="Palatino Linotype" w:hAnsi="Palatino Linotype"/>
          <w:sz w:val="24"/>
          <w:szCs w:val="24"/>
        </w:rPr>
        <w:t xml:space="preserve"> en el estudio correspondiente.</w:t>
      </w:r>
    </w:p>
    <w:p w:rsidR="00F041D9" w:rsidRDefault="00F041D9" w:rsidP="0014447C">
      <w:pPr>
        <w:pStyle w:val="Sinespaciado"/>
        <w:spacing w:line="360" w:lineRule="auto"/>
        <w:jc w:val="both"/>
        <w:rPr>
          <w:rFonts w:ascii="Palatino Linotype" w:hAnsi="Palatino Linotype"/>
          <w:sz w:val="24"/>
          <w:szCs w:val="24"/>
        </w:rPr>
      </w:pPr>
    </w:p>
    <w:p w:rsidR="007E2E80" w:rsidRPr="00D04234" w:rsidRDefault="00C6743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D6609B">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00FC74C8">
        <w:rPr>
          <w:rFonts w:ascii="Palatino Linotype" w:hAnsi="Palatino Linotype"/>
          <w:sz w:val="24"/>
          <w:szCs w:val="24"/>
        </w:rPr>
        <w:t>recurso d</w:t>
      </w:r>
      <w:r w:rsidR="00C67437">
        <w:rPr>
          <w:rFonts w:ascii="Palatino Linotype" w:hAnsi="Palatino Linotype"/>
          <w:sz w:val="24"/>
          <w:szCs w:val="24"/>
        </w:rPr>
        <w:t>e revisión, en fecha tres de marzo</w:t>
      </w:r>
      <w:r w:rsidR="00915709">
        <w:rPr>
          <w:rFonts w:ascii="Palatino Linotype" w:hAnsi="Palatino Linotype"/>
          <w:sz w:val="24"/>
          <w:szCs w:val="24"/>
        </w:rPr>
        <w:t xml:space="preserve"> de dos mil veinte</w:t>
      </w:r>
      <w:r w:rsidRPr="00D04234">
        <w:rPr>
          <w:rFonts w:ascii="Palatino Linotype" w:hAnsi="Palatino Linotype"/>
          <w:sz w:val="24"/>
          <w:szCs w:val="24"/>
        </w:rPr>
        <w:t xml:space="preserve">, en el sistema electrónico con el expediente número </w:t>
      </w:r>
      <w:r w:rsidR="00C67437">
        <w:rPr>
          <w:rFonts w:ascii="Palatino Linotype" w:hAnsi="Palatino Linotype"/>
          <w:b/>
          <w:bCs/>
          <w:sz w:val="24"/>
          <w:szCs w:val="24"/>
          <w:lang w:eastAsia="es-MX"/>
        </w:rPr>
        <w:t>01320</w:t>
      </w:r>
      <w:r w:rsidR="00915709">
        <w:rPr>
          <w:rFonts w:ascii="Palatino Linotype" w:hAnsi="Palatino Linotype"/>
          <w:b/>
          <w:bCs/>
          <w:sz w:val="24"/>
          <w:szCs w:val="24"/>
          <w:lang w:eastAsia="es-MX"/>
        </w:rPr>
        <w:t>/INFOEM/IP/RR/2020</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b/>
          <w:sz w:val="24"/>
          <w:szCs w:val="24"/>
        </w:rPr>
        <w:lastRenderedPageBreak/>
        <w:t>Acto Impugnado:</w:t>
      </w:r>
      <w:r w:rsidR="00960670">
        <w:rPr>
          <w:rFonts w:ascii="Palatino Linotype" w:hAnsi="Palatino Linotype" w:cs="Arial"/>
          <w:b/>
          <w:sz w:val="24"/>
          <w:szCs w:val="24"/>
        </w:rPr>
        <w:t xml:space="preserve"> </w:t>
      </w:r>
      <w:r w:rsidRPr="00D04234">
        <w:rPr>
          <w:rFonts w:ascii="Palatino Linotype" w:hAnsi="Palatino Linotype" w:cs="Arial"/>
          <w:i/>
        </w:rPr>
        <w:t>“</w:t>
      </w:r>
      <w:r w:rsidR="00C67437" w:rsidRPr="00C67437">
        <w:rPr>
          <w:rFonts w:ascii="Palatino Linotype" w:hAnsi="Palatino Linotype" w:cs="Arial"/>
          <w:i/>
        </w:rPr>
        <w:t>Oficio con número de folio TMC/BESL/185/2020, emitido por la tesorera municipal del H. Ayuntamiento de Cuatitlán, por medio del cual da respuesta a la solicitud de información pública 00029/CUAUTIT/IP/2020 ingresada vía (SAIMEX).</w:t>
      </w:r>
      <w:r w:rsidR="006A3A54" w:rsidRPr="00D04234">
        <w:rPr>
          <w:rFonts w:ascii="Palatino Linotype" w:hAnsi="Palatino Linotype" w:cs="Arial"/>
          <w:i/>
        </w:rPr>
        <w:t>"(Sic)</w:t>
      </w:r>
    </w:p>
    <w:p w:rsidR="007E2E80" w:rsidRPr="004657BE" w:rsidRDefault="007E2E80" w:rsidP="00F23C77">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C67437" w:rsidRPr="00C67437">
        <w:rPr>
          <w:rFonts w:ascii="Palatino Linotype" w:hAnsi="Palatino Linotype" w:cs="Arial"/>
          <w:i/>
        </w:rPr>
        <w:t>La autoridad oficiante proporcionó una respuesta incompleta a la solicitud de información 00029/CUAUTIT/IP/2020 ingresada vía (SAIMEX) ya que en el oficio TMC/BESL/185/2020, emitido por la tesorera municipal del H. Ayuntamiento de Cuatitlán, únicamente se limita a dar contestación a la primera pregunta y omite responder el cuestionamiento referente a ¿Cuánto dinero se le pago a cada artista (especificando su nombre) que se presento en el evento realizado con motivo de las fiestas patrias del quince de septiembre de dos mil diecinueve?</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C67437"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C67437">
        <w:rPr>
          <w:rFonts w:ascii="Palatino Linotype" w:hAnsi="Palatino Linotype"/>
          <w:sz w:val="24"/>
          <w:szCs w:val="24"/>
        </w:rPr>
        <w:t>diez</w:t>
      </w:r>
      <w:r w:rsidR="00F31E28">
        <w:rPr>
          <w:rFonts w:ascii="Palatino Linotype" w:hAnsi="Palatino Linotype"/>
          <w:sz w:val="24"/>
          <w:szCs w:val="24"/>
        </w:rPr>
        <w:t xml:space="preserve"> de marzo</w:t>
      </w:r>
      <w:r w:rsidR="00D6609B">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4D1E3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F23C77" w:rsidRDefault="00C67437" w:rsidP="0014447C">
      <w:pPr>
        <w:pStyle w:val="Sinespaciado"/>
        <w:spacing w:line="360" w:lineRule="auto"/>
        <w:jc w:val="both"/>
        <w:rPr>
          <w:rFonts w:ascii="Palatino Linotype" w:hAnsi="Palatino Linotype"/>
          <w:sz w:val="24"/>
          <w:szCs w:val="24"/>
        </w:rPr>
      </w:pPr>
      <w:r w:rsidRPr="00C67437">
        <w:rPr>
          <w:rFonts w:ascii="Palatino Linotype" w:hAnsi="Palatino Linotype"/>
          <w:sz w:val="24"/>
          <w:szCs w:val="24"/>
        </w:rPr>
        <w:t xml:space="preserve">Así, una vez abierta la etapa de instrucción, en el sumario se observa que el Sujeto Obligado, en fecha </w:t>
      </w:r>
      <w:r w:rsidR="00040F86">
        <w:rPr>
          <w:rFonts w:ascii="Palatino Linotype" w:hAnsi="Palatino Linotype"/>
          <w:sz w:val="24"/>
          <w:szCs w:val="24"/>
        </w:rPr>
        <w:t>nueve de mayo</w:t>
      </w:r>
      <w:r w:rsidRPr="00C67437">
        <w:rPr>
          <w:rFonts w:ascii="Palatino Linotype" w:hAnsi="Palatino Linotype"/>
          <w:sz w:val="24"/>
          <w:szCs w:val="24"/>
        </w:rPr>
        <w:t xml:space="preserve"> de dos mil veinte remitió su Informe Justificado, consistente de</w:t>
      </w:r>
      <w:r w:rsidR="00040F86">
        <w:rPr>
          <w:rFonts w:ascii="Palatino Linotype" w:hAnsi="Palatino Linotype"/>
          <w:sz w:val="24"/>
          <w:szCs w:val="24"/>
        </w:rPr>
        <w:t xml:space="preserve">l documento electrónico denominado </w:t>
      </w:r>
      <w:r w:rsidR="00040F86" w:rsidRPr="00040F86">
        <w:rPr>
          <w:rFonts w:ascii="Palatino Linotype" w:hAnsi="Palatino Linotype"/>
          <w:b/>
          <w:sz w:val="24"/>
          <w:szCs w:val="24"/>
        </w:rPr>
        <w:t>“MANIFESTACIÓN-01320-INFOEM.docx”</w:t>
      </w:r>
      <w:r w:rsidR="00A3097C">
        <w:rPr>
          <w:rFonts w:ascii="Palatino Linotype" w:hAnsi="Palatino Linotype"/>
          <w:sz w:val="24"/>
          <w:szCs w:val="24"/>
        </w:rPr>
        <w:t xml:space="preserve">. </w:t>
      </w:r>
      <w:r w:rsidRPr="00C67437">
        <w:rPr>
          <w:rFonts w:ascii="Palatino Linotype" w:hAnsi="Palatino Linotype"/>
          <w:sz w:val="24"/>
          <w:szCs w:val="24"/>
        </w:rPr>
        <w:t>Dicho documento fue puesto a la vista del Recur</w:t>
      </w:r>
      <w:r w:rsidR="00A02351">
        <w:rPr>
          <w:rFonts w:ascii="Palatino Linotype" w:hAnsi="Palatino Linotype"/>
          <w:sz w:val="24"/>
          <w:szCs w:val="24"/>
        </w:rPr>
        <w:t xml:space="preserve">rente mediante acuerdo de fecha cuatro de agosto </w:t>
      </w:r>
      <w:r w:rsidRPr="00C67437">
        <w:rPr>
          <w:rFonts w:ascii="Palatino Linotype" w:hAnsi="Palatino Linotype"/>
          <w:sz w:val="24"/>
          <w:szCs w:val="24"/>
        </w:rPr>
        <w:t xml:space="preserve">del año en curso en términos de la fracción III del artículo 185 de la Ley de Transparencia y Acceso a la Información Pública del Estado de México y Municipios, otorgando al Recurrente un término de tres días para </w:t>
      </w:r>
      <w:r w:rsidRPr="00C67437">
        <w:rPr>
          <w:rFonts w:ascii="Palatino Linotype" w:hAnsi="Palatino Linotype"/>
          <w:sz w:val="24"/>
          <w:szCs w:val="24"/>
        </w:rPr>
        <w:lastRenderedPageBreak/>
        <w:t>manifestar lo que a su derecho conviniera; el contenido de dicho documento será motivo de análisis más adelante. Por su parte, el Recurrente no realizó manifestaciones, vertió alegatos o presentó pruebas que a su derecho convinieran dentro del término previsto.</w:t>
      </w:r>
    </w:p>
    <w:p w:rsidR="00D63BE7"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4D1E3D">
        <w:rPr>
          <w:rFonts w:ascii="Palatino Linotype" w:hAnsi="Palatino Linotype"/>
          <w:b/>
          <w:sz w:val="26"/>
          <w:szCs w:val="26"/>
        </w:rPr>
        <w:t>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transcurrido el término legal, se decretó el</w:t>
      </w:r>
      <w:r w:rsidR="00A02351">
        <w:rPr>
          <w:rFonts w:ascii="Palatino Linotype" w:hAnsi="Palatino Linotype"/>
          <w:sz w:val="24"/>
          <w:szCs w:val="24"/>
        </w:rPr>
        <w:t xml:space="preserve"> cierre de instrucción en fecha diez de agosto de dos </w:t>
      </w:r>
      <w:r w:rsidR="00520358">
        <w:rPr>
          <w:rFonts w:ascii="Palatino Linotype" w:hAnsi="Palatino Linotype"/>
          <w:sz w:val="24"/>
          <w:szCs w:val="24"/>
        </w:rPr>
        <w:t>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14447C">
        <w:rPr>
          <w:rFonts w:ascii="Palatino Linotype" w:hAnsi="Palatino Linotype"/>
          <w:sz w:val="24"/>
          <w:szCs w:val="24"/>
        </w:rPr>
        <w:lastRenderedPageBreak/>
        <w:t>Instituto de Transparencia, Acceso a la Información Pública y Protección de Datos Personales del Estado de México.</w:t>
      </w:r>
    </w:p>
    <w:p w:rsidR="007E2E80"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sz w:val="24"/>
          <w:szCs w:val="24"/>
        </w:rPr>
        <w:lastRenderedPageBreak/>
        <w:t>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A06C23"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w:t>
      </w:r>
      <w:r w:rsidR="009B030D">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A06C23"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D6609B">
        <w:rPr>
          <w:rFonts w:ascii="Palatino Linotype" w:hAnsi="Palatino Linotype"/>
          <w:sz w:val="24"/>
          <w:szCs w:val="24"/>
        </w:rPr>
        <w:t>recordar que la</w:t>
      </w:r>
      <w:r w:rsidR="005B2B70">
        <w:rPr>
          <w:rFonts w:ascii="Palatino Linotype" w:hAnsi="Palatino Linotype"/>
          <w:sz w:val="24"/>
          <w:szCs w:val="24"/>
        </w:rPr>
        <w:t xml:space="preserve"> hoy Recurrente requirió del Sujeto Obligado </w:t>
      </w:r>
      <w:r w:rsidR="00A06C23">
        <w:rPr>
          <w:rFonts w:ascii="Palatino Linotype" w:hAnsi="Palatino Linotype"/>
          <w:sz w:val="24"/>
          <w:szCs w:val="24"/>
        </w:rPr>
        <w:t>lo siguiente:</w:t>
      </w:r>
    </w:p>
    <w:p w:rsidR="00A06C23" w:rsidRDefault="00A06C23" w:rsidP="0014447C">
      <w:pPr>
        <w:pStyle w:val="Sinespaciado"/>
        <w:spacing w:line="360" w:lineRule="auto"/>
        <w:jc w:val="both"/>
        <w:rPr>
          <w:rFonts w:ascii="Palatino Linotype" w:hAnsi="Palatino Linotype"/>
          <w:sz w:val="24"/>
          <w:szCs w:val="24"/>
        </w:rPr>
      </w:pPr>
    </w:p>
    <w:p w:rsidR="00A06C23" w:rsidRPr="00A06C23" w:rsidRDefault="00040F86" w:rsidP="00040F86">
      <w:pPr>
        <w:pStyle w:val="Sinespaciado"/>
        <w:numPr>
          <w:ilvl w:val="0"/>
          <w:numId w:val="37"/>
        </w:numPr>
        <w:spacing w:line="276" w:lineRule="auto"/>
        <w:jc w:val="both"/>
        <w:rPr>
          <w:rFonts w:ascii="Palatino Linotype" w:hAnsi="Palatino Linotype"/>
          <w:sz w:val="24"/>
          <w:szCs w:val="24"/>
        </w:rPr>
      </w:pPr>
      <w:r>
        <w:rPr>
          <w:rFonts w:ascii="Palatino Linotype" w:hAnsi="Palatino Linotype"/>
          <w:sz w:val="24"/>
          <w:szCs w:val="24"/>
        </w:rPr>
        <w:t>¿Cuánto dinero se erogó para realizar las fiestas patrias del quince de septiembre de dos mil diecinueve?</w:t>
      </w:r>
    </w:p>
    <w:p w:rsidR="00A06C23" w:rsidRPr="00A06C23" w:rsidRDefault="00040F86" w:rsidP="00040F86">
      <w:pPr>
        <w:pStyle w:val="Sinespaciado"/>
        <w:numPr>
          <w:ilvl w:val="0"/>
          <w:numId w:val="37"/>
        </w:numPr>
        <w:spacing w:line="276" w:lineRule="auto"/>
        <w:jc w:val="both"/>
        <w:rPr>
          <w:rFonts w:ascii="Palatino Linotype" w:hAnsi="Palatino Linotype"/>
          <w:sz w:val="24"/>
          <w:szCs w:val="24"/>
        </w:rPr>
      </w:pPr>
      <w:r>
        <w:rPr>
          <w:rFonts w:ascii="Palatino Linotype" w:hAnsi="Palatino Linotype"/>
          <w:sz w:val="24"/>
          <w:szCs w:val="24"/>
        </w:rPr>
        <w:t>¿Cuánto dinero se le pagó a cada artista que se presentó en el evento realizado con motivo de las fiestas patrias del quince de septiembre de dos mil diecinueve?</w:t>
      </w:r>
    </w:p>
    <w:p w:rsidR="00040F86" w:rsidRDefault="00040F86" w:rsidP="0014447C">
      <w:pPr>
        <w:pStyle w:val="Sinespaciado"/>
        <w:spacing w:line="360" w:lineRule="auto"/>
        <w:jc w:val="both"/>
        <w:rPr>
          <w:rFonts w:ascii="Palatino Linotype" w:hAnsi="Palatino Linotype"/>
          <w:sz w:val="24"/>
          <w:szCs w:val="24"/>
        </w:rPr>
      </w:pPr>
    </w:p>
    <w:p w:rsidR="00372796" w:rsidRDefault="00D60EF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Al respecto, el Sujeto Obligado res</w:t>
      </w:r>
      <w:r w:rsidR="00182591">
        <w:rPr>
          <w:rFonts w:ascii="Palatino Linotype" w:hAnsi="Palatino Linotype"/>
          <w:sz w:val="24"/>
          <w:szCs w:val="24"/>
        </w:rPr>
        <w:t xml:space="preserve">pondió mediante </w:t>
      </w:r>
      <w:r w:rsidR="002E2B48">
        <w:rPr>
          <w:rFonts w:ascii="Palatino Linotype" w:hAnsi="Palatino Linotype"/>
          <w:sz w:val="24"/>
          <w:szCs w:val="24"/>
        </w:rPr>
        <w:t>la presentación de</w:t>
      </w:r>
      <w:r w:rsidR="00307031">
        <w:rPr>
          <w:rFonts w:ascii="Palatino Linotype" w:hAnsi="Palatino Linotype"/>
          <w:sz w:val="24"/>
          <w:szCs w:val="24"/>
        </w:rPr>
        <w:t xml:space="preserve"> la</w:t>
      </w:r>
      <w:r w:rsidR="00897A82">
        <w:rPr>
          <w:rFonts w:ascii="Palatino Linotype" w:hAnsi="Palatino Linotype"/>
          <w:sz w:val="24"/>
          <w:szCs w:val="24"/>
        </w:rPr>
        <w:t xml:space="preserve"> </w:t>
      </w:r>
      <w:r w:rsidR="00307031">
        <w:rPr>
          <w:rFonts w:ascii="Palatino Linotype" w:hAnsi="Palatino Linotype"/>
          <w:sz w:val="24"/>
          <w:szCs w:val="24"/>
        </w:rPr>
        <w:t xml:space="preserve">carpeta digital denominada </w:t>
      </w:r>
      <w:r w:rsidR="00040F86">
        <w:rPr>
          <w:rFonts w:ascii="Palatino Linotype" w:hAnsi="Palatino Linotype"/>
          <w:b/>
          <w:sz w:val="24"/>
          <w:szCs w:val="24"/>
        </w:rPr>
        <w:t>“Contestación 00029</w:t>
      </w:r>
      <w:r w:rsidR="00307031">
        <w:rPr>
          <w:rFonts w:ascii="Palatino Linotype" w:hAnsi="Palatino Linotype"/>
          <w:b/>
          <w:sz w:val="24"/>
          <w:szCs w:val="24"/>
        </w:rPr>
        <w:t>-2020.zip</w:t>
      </w:r>
      <w:r w:rsidR="00307031" w:rsidRPr="009B0589">
        <w:rPr>
          <w:rFonts w:ascii="Palatino Linotype" w:hAnsi="Palatino Linotype"/>
          <w:b/>
          <w:sz w:val="24"/>
          <w:szCs w:val="24"/>
        </w:rPr>
        <w:t>”</w:t>
      </w:r>
      <w:r w:rsidR="00307031">
        <w:rPr>
          <w:rFonts w:ascii="Palatino Linotype" w:hAnsi="Palatino Linotype"/>
          <w:sz w:val="24"/>
          <w:szCs w:val="24"/>
        </w:rPr>
        <w:t>, que contiene los siguientes archivos:</w:t>
      </w:r>
    </w:p>
    <w:p w:rsidR="00307031" w:rsidRDefault="00307031" w:rsidP="0014447C">
      <w:pPr>
        <w:pStyle w:val="Sinespaciado"/>
        <w:spacing w:line="360" w:lineRule="auto"/>
        <w:jc w:val="both"/>
        <w:rPr>
          <w:rFonts w:ascii="Palatino Linotype" w:hAnsi="Palatino Linotype"/>
          <w:sz w:val="24"/>
          <w:szCs w:val="24"/>
        </w:rPr>
      </w:pPr>
    </w:p>
    <w:p w:rsidR="00307031" w:rsidRPr="00BD3F6D" w:rsidRDefault="001B41F7" w:rsidP="00307031">
      <w:pPr>
        <w:pStyle w:val="Sinespaciado"/>
        <w:numPr>
          <w:ilvl w:val="0"/>
          <w:numId w:val="38"/>
        </w:numPr>
        <w:spacing w:line="360" w:lineRule="auto"/>
        <w:jc w:val="both"/>
        <w:rPr>
          <w:rFonts w:ascii="Palatino Linotype" w:hAnsi="Palatino Linotype"/>
          <w:b/>
          <w:sz w:val="24"/>
          <w:szCs w:val="24"/>
        </w:rPr>
      </w:pPr>
      <w:r>
        <w:rPr>
          <w:rFonts w:ascii="Palatino Linotype" w:hAnsi="Palatino Linotype"/>
          <w:b/>
          <w:sz w:val="24"/>
          <w:szCs w:val="24"/>
        </w:rPr>
        <w:t>OFICIO DE CONTESTACIÓ DE TESORERIA.pdf</w:t>
      </w:r>
      <w:r w:rsidR="00307031" w:rsidRPr="00BD3F6D">
        <w:rPr>
          <w:rFonts w:ascii="Palatino Linotype" w:hAnsi="Palatino Linotype"/>
          <w:b/>
          <w:sz w:val="24"/>
          <w:szCs w:val="24"/>
        </w:rPr>
        <w:t>.</w:t>
      </w:r>
      <w:r w:rsidR="0027328F">
        <w:rPr>
          <w:rFonts w:ascii="Palatino Linotype" w:hAnsi="Palatino Linotype"/>
          <w:b/>
          <w:sz w:val="24"/>
          <w:szCs w:val="24"/>
        </w:rPr>
        <w:t xml:space="preserve"> </w:t>
      </w:r>
      <w:r>
        <w:rPr>
          <w:rFonts w:ascii="Palatino Linotype" w:hAnsi="Palatino Linotype"/>
          <w:sz w:val="24"/>
          <w:szCs w:val="24"/>
        </w:rPr>
        <w:t>Consta del oficio número TMC/BESL/185/2020 emitido por la Tesorería Municipal, con el cual se informó que, de acuerdo a los registros contables de esa Tesorería, se tiene un concepto de “Fiestas Patrias” por la cantidad de $4,998,996.80 (cuatro millones novecientos noventa y ocho mil novecientos noventa y seis pesos 80/100 M.N.).</w:t>
      </w:r>
    </w:p>
    <w:p w:rsidR="00BD3F6D" w:rsidRPr="00BD3F6D" w:rsidRDefault="000D21B7" w:rsidP="00001C48">
      <w:pPr>
        <w:pStyle w:val="Sinespaciado"/>
        <w:numPr>
          <w:ilvl w:val="0"/>
          <w:numId w:val="38"/>
        </w:numPr>
        <w:spacing w:line="360" w:lineRule="auto"/>
        <w:jc w:val="both"/>
        <w:rPr>
          <w:rFonts w:ascii="Palatino Linotype" w:hAnsi="Palatino Linotype"/>
          <w:b/>
          <w:sz w:val="24"/>
          <w:szCs w:val="24"/>
        </w:rPr>
      </w:pPr>
      <w:r>
        <w:rPr>
          <w:rFonts w:ascii="Palatino Linotype" w:hAnsi="Palatino Linotype"/>
          <w:b/>
          <w:sz w:val="24"/>
          <w:szCs w:val="24"/>
        </w:rPr>
        <w:t>OFICIO ENVIADO A TESORERIA</w:t>
      </w:r>
      <w:r w:rsidR="00C8124F" w:rsidRPr="00BD3F6D">
        <w:rPr>
          <w:rFonts w:ascii="Palatino Linotype" w:hAnsi="Palatino Linotype"/>
          <w:b/>
          <w:sz w:val="24"/>
          <w:szCs w:val="24"/>
        </w:rPr>
        <w:t>.pdf.</w:t>
      </w:r>
      <w:r w:rsidR="00E10DB9">
        <w:rPr>
          <w:rFonts w:ascii="Palatino Linotype" w:hAnsi="Palatino Linotype"/>
          <w:b/>
          <w:sz w:val="24"/>
          <w:szCs w:val="24"/>
        </w:rPr>
        <w:t xml:space="preserve"> </w:t>
      </w:r>
      <w:r w:rsidR="00E10DB9">
        <w:rPr>
          <w:rFonts w:ascii="Palatino Linotype" w:hAnsi="Palatino Linotype"/>
          <w:sz w:val="24"/>
          <w:szCs w:val="24"/>
        </w:rPr>
        <w:t>Oficio número UT</w:t>
      </w:r>
      <w:r>
        <w:rPr>
          <w:rFonts w:ascii="Palatino Linotype" w:hAnsi="Palatino Linotype"/>
          <w:sz w:val="24"/>
          <w:szCs w:val="24"/>
        </w:rPr>
        <w:t>/038</w:t>
      </w:r>
      <w:r w:rsidR="00E10DB9">
        <w:rPr>
          <w:rFonts w:ascii="Palatino Linotype" w:hAnsi="Palatino Linotype"/>
          <w:sz w:val="24"/>
          <w:szCs w:val="24"/>
        </w:rPr>
        <w:t>/2020 suscrito por la Coordinadora de la Unidad de Transparencia, con el cual solicita a</w:t>
      </w:r>
      <w:r>
        <w:rPr>
          <w:rFonts w:ascii="Palatino Linotype" w:hAnsi="Palatino Linotype"/>
          <w:sz w:val="24"/>
          <w:szCs w:val="24"/>
        </w:rPr>
        <w:t xml:space="preserve"> </w:t>
      </w:r>
      <w:r w:rsidR="00E10DB9">
        <w:rPr>
          <w:rFonts w:ascii="Palatino Linotype" w:hAnsi="Palatino Linotype"/>
          <w:sz w:val="24"/>
          <w:szCs w:val="24"/>
        </w:rPr>
        <w:t>l</w:t>
      </w:r>
      <w:r>
        <w:rPr>
          <w:rFonts w:ascii="Palatino Linotype" w:hAnsi="Palatino Linotype"/>
          <w:sz w:val="24"/>
          <w:szCs w:val="24"/>
        </w:rPr>
        <w:t>a</w:t>
      </w:r>
      <w:r w:rsidR="00E10DB9">
        <w:rPr>
          <w:rFonts w:ascii="Palatino Linotype" w:hAnsi="Palatino Linotype"/>
          <w:sz w:val="24"/>
          <w:szCs w:val="24"/>
        </w:rPr>
        <w:t xml:space="preserve"> </w:t>
      </w:r>
      <w:r>
        <w:rPr>
          <w:rFonts w:ascii="Palatino Linotype" w:hAnsi="Palatino Linotype"/>
          <w:sz w:val="24"/>
          <w:szCs w:val="24"/>
        </w:rPr>
        <w:t>Tesorera Municipal</w:t>
      </w:r>
      <w:r w:rsidR="00E10DB9">
        <w:rPr>
          <w:rFonts w:ascii="Palatino Linotype" w:hAnsi="Palatino Linotype"/>
          <w:sz w:val="24"/>
          <w:szCs w:val="24"/>
        </w:rPr>
        <w:t xml:space="preserve"> que le remita la información</w:t>
      </w:r>
      <w:r>
        <w:rPr>
          <w:rFonts w:ascii="Palatino Linotype" w:hAnsi="Palatino Linotype"/>
          <w:sz w:val="24"/>
          <w:szCs w:val="24"/>
        </w:rPr>
        <w:t xml:space="preserve"> requerida en la solicitud 00029</w:t>
      </w:r>
      <w:r w:rsidR="00E10DB9">
        <w:rPr>
          <w:rFonts w:ascii="Palatino Linotype" w:hAnsi="Palatino Linotype"/>
          <w:sz w:val="24"/>
          <w:szCs w:val="24"/>
        </w:rPr>
        <w:t>/CUAUTIT/IP/2020.</w:t>
      </w:r>
    </w:p>
    <w:p w:rsidR="00C8124F" w:rsidRPr="00BD3F6D" w:rsidRDefault="000D21B7" w:rsidP="00001C48">
      <w:pPr>
        <w:pStyle w:val="Sinespaciado"/>
        <w:numPr>
          <w:ilvl w:val="0"/>
          <w:numId w:val="38"/>
        </w:numPr>
        <w:spacing w:line="360" w:lineRule="auto"/>
        <w:jc w:val="both"/>
        <w:rPr>
          <w:rFonts w:ascii="Palatino Linotype" w:hAnsi="Palatino Linotype"/>
          <w:b/>
          <w:sz w:val="24"/>
          <w:szCs w:val="24"/>
        </w:rPr>
      </w:pPr>
      <w:r>
        <w:rPr>
          <w:rFonts w:ascii="Palatino Linotype" w:hAnsi="Palatino Linotype"/>
          <w:b/>
          <w:sz w:val="24"/>
          <w:szCs w:val="24"/>
        </w:rPr>
        <w:t>PRORROGA 029</w:t>
      </w:r>
      <w:r w:rsidR="00C8124F" w:rsidRPr="00BD3F6D">
        <w:rPr>
          <w:rFonts w:ascii="Palatino Linotype" w:hAnsi="Palatino Linotype"/>
          <w:b/>
          <w:sz w:val="24"/>
          <w:szCs w:val="24"/>
        </w:rPr>
        <w:t>.pdf</w:t>
      </w:r>
      <w:r w:rsidR="00E10DB9">
        <w:rPr>
          <w:rFonts w:ascii="Palatino Linotype" w:hAnsi="Palatino Linotype"/>
          <w:b/>
          <w:sz w:val="24"/>
          <w:szCs w:val="24"/>
        </w:rPr>
        <w:t xml:space="preserve">. </w:t>
      </w:r>
      <w:r>
        <w:rPr>
          <w:rFonts w:ascii="Palatino Linotype" w:hAnsi="Palatino Linotype"/>
          <w:sz w:val="24"/>
          <w:szCs w:val="24"/>
        </w:rPr>
        <w:t>Oficio número TMC/BESL/135</w:t>
      </w:r>
      <w:r w:rsidR="00E10DB9">
        <w:rPr>
          <w:rFonts w:ascii="Palatino Linotype" w:hAnsi="Palatino Linotype"/>
          <w:sz w:val="24"/>
          <w:szCs w:val="24"/>
        </w:rPr>
        <w:t>/2020 suscrito po</w:t>
      </w:r>
      <w:r>
        <w:rPr>
          <w:rFonts w:ascii="Palatino Linotype" w:hAnsi="Palatino Linotype"/>
          <w:sz w:val="24"/>
          <w:szCs w:val="24"/>
        </w:rPr>
        <w:t>r la Tesorera Municipal</w:t>
      </w:r>
      <w:r w:rsidR="00E10DB9">
        <w:rPr>
          <w:rFonts w:ascii="Palatino Linotype" w:hAnsi="Palatino Linotype"/>
          <w:sz w:val="24"/>
          <w:szCs w:val="24"/>
        </w:rPr>
        <w:t>, mediante el cual solicitó a la Coordinación de la Unidad de Transparencia una prórroga a fin de realizar las búsquedas necesarias e integrar la información solicitada.</w:t>
      </w:r>
    </w:p>
    <w:p w:rsidR="00307031" w:rsidRDefault="00307031" w:rsidP="0014447C">
      <w:pPr>
        <w:pStyle w:val="Sinespaciado"/>
        <w:spacing w:line="360" w:lineRule="auto"/>
        <w:jc w:val="both"/>
        <w:rPr>
          <w:rFonts w:ascii="Palatino Linotype" w:hAnsi="Palatino Linotype"/>
          <w:sz w:val="24"/>
          <w:szCs w:val="24"/>
        </w:rPr>
      </w:pPr>
    </w:p>
    <w:p w:rsidR="00A6010D"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E16D1C">
        <w:rPr>
          <w:rFonts w:ascii="Palatino Linotype" w:hAnsi="Palatino Linotype"/>
          <w:sz w:val="24"/>
          <w:szCs w:val="24"/>
        </w:rPr>
        <w:t>nte la r</w:t>
      </w:r>
      <w:r w:rsidR="002D7BEC">
        <w:rPr>
          <w:rFonts w:ascii="Palatino Linotype" w:hAnsi="Palatino Linotype"/>
          <w:sz w:val="24"/>
          <w:szCs w:val="24"/>
        </w:rPr>
        <w:t>espuesta del Sujeto Obligado,</w:t>
      </w:r>
      <w:r w:rsidR="000D21B7">
        <w:rPr>
          <w:rFonts w:ascii="Palatino Linotype" w:hAnsi="Palatino Linotype"/>
          <w:sz w:val="24"/>
          <w:szCs w:val="24"/>
        </w:rPr>
        <w:t xml:space="preserve">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sidR="00E16D1C">
        <w:rPr>
          <w:rFonts w:ascii="Palatino Linotype" w:hAnsi="Palatino Linotype"/>
          <w:sz w:val="24"/>
          <w:szCs w:val="24"/>
        </w:rPr>
        <w:t>impugnando</w:t>
      </w:r>
      <w:r w:rsidR="00407CF4">
        <w:rPr>
          <w:rFonts w:ascii="Palatino Linotype" w:hAnsi="Palatino Linotype"/>
          <w:sz w:val="24"/>
          <w:szCs w:val="24"/>
        </w:rPr>
        <w:t xml:space="preserve"> </w:t>
      </w:r>
      <w:r w:rsidR="00DB47E5">
        <w:rPr>
          <w:rFonts w:ascii="Palatino Linotype" w:hAnsi="Palatino Linotype"/>
          <w:sz w:val="24"/>
          <w:szCs w:val="24"/>
        </w:rPr>
        <w:t>el oficio de la Tesorería Municipal por el cual se dio respuesta a la solicitud de información</w:t>
      </w:r>
      <w:r w:rsidR="00726BB8">
        <w:rPr>
          <w:rFonts w:ascii="Palatino Linotype" w:hAnsi="Palatino Linotype"/>
          <w:sz w:val="24"/>
          <w:szCs w:val="24"/>
        </w:rPr>
        <w:t xml:space="preserve">; dando como razones o motivos de inconformidad que </w:t>
      </w:r>
      <w:r w:rsidR="00DB47E5">
        <w:rPr>
          <w:rFonts w:ascii="Palatino Linotype" w:hAnsi="Palatino Linotype"/>
          <w:sz w:val="24"/>
          <w:szCs w:val="24"/>
        </w:rPr>
        <w:t>la autoridad proporcion</w:t>
      </w:r>
      <w:r w:rsidR="002F48B3">
        <w:rPr>
          <w:rFonts w:ascii="Palatino Linotype" w:hAnsi="Palatino Linotype"/>
          <w:sz w:val="24"/>
          <w:szCs w:val="24"/>
        </w:rPr>
        <w:t>ó una respuesta incompleta, pues únicamente se respondió al primer cuestionamiento y omitió responder respecto al pago a cada artista (especificando su nombre) que se presentó en el evento realizado con motivo de las fiestas patrias del quince de septiembre de dos mil diecinueve.</w:t>
      </w:r>
    </w:p>
    <w:p w:rsidR="00A6010D" w:rsidRDefault="00A6010D" w:rsidP="0014447C">
      <w:pPr>
        <w:pStyle w:val="Sinespaciado"/>
        <w:spacing w:line="360" w:lineRule="auto"/>
        <w:jc w:val="both"/>
        <w:rPr>
          <w:rFonts w:ascii="Palatino Linotype" w:hAnsi="Palatino Linotype"/>
          <w:sz w:val="24"/>
          <w:szCs w:val="24"/>
        </w:rPr>
      </w:pPr>
    </w:p>
    <w:p w:rsidR="006146E7" w:rsidRPr="008B6D91" w:rsidRDefault="008A0BE6" w:rsidP="002F48B3">
      <w:pPr>
        <w:spacing w:after="0" w:line="360" w:lineRule="auto"/>
        <w:jc w:val="both"/>
        <w:rPr>
          <w:rFonts w:ascii="Palatino Linotype" w:hAnsi="Palatino Linotype"/>
          <w:sz w:val="24"/>
          <w:szCs w:val="24"/>
        </w:rPr>
      </w:pPr>
      <w:r w:rsidRPr="008B6D91">
        <w:rPr>
          <w:rFonts w:ascii="Palatino Linotype" w:hAnsi="Palatino Linotype"/>
          <w:sz w:val="24"/>
          <w:szCs w:val="24"/>
        </w:rPr>
        <w:lastRenderedPageBreak/>
        <w:t>Durante la etapa de instrucción</w:t>
      </w:r>
      <w:r w:rsidR="008B6D91" w:rsidRPr="008B6D91">
        <w:rPr>
          <w:rFonts w:ascii="Palatino Linotype" w:hAnsi="Palatino Linotype"/>
          <w:sz w:val="24"/>
          <w:szCs w:val="24"/>
        </w:rPr>
        <w:t xml:space="preserve">, </w:t>
      </w:r>
      <w:r w:rsidR="002F48B3">
        <w:rPr>
          <w:rFonts w:ascii="Palatino Linotype" w:eastAsia="Times New Roman" w:hAnsi="Palatino Linotype" w:cs="Times New Roman"/>
          <w:sz w:val="24"/>
          <w:szCs w:val="24"/>
          <w:lang w:eastAsia="es-ES"/>
        </w:rPr>
        <w:t>se tiene que el</w:t>
      </w:r>
      <w:r w:rsidR="008B6D91" w:rsidRPr="008B6D91">
        <w:rPr>
          <w:rFonts w:ascii="Palatino Linotype" w:eastAsia="Times New Roman" w:hAnsi="Palatino Linotype" w:cs="Times New Roman"/>
          <w:sz w:val="24"/>
          <w:szCs w:val="24"/>
          <w:lang w:eastAsia="es-ES"/>
        </w:rPr>
        <w:t xml:space="preserve"> Recurrente no realizó manifestaciones, vertió alegatos o presentó pruebas que a su derecho convinieran </w:t>
      </w:r>
      <w:r w:rsidR="002F48B3">
        <w:rPr>
          <w:rFonts w:ascii="Palatino Linotype" w:eastAsia="Times New Roman" w:hAnsi="Palatino Linotype" w:cs="Times New Roman"/>
          <w:sz w:val="24"/>
          <w:szCs w:val="24"/>
          <w:lang w:eastAsia="es-ES"/>
        </w:rPr>
        <w:t xml:space="preserve">durante la etapa de instrucción. Por su parte, </w:t>
      </w:r>
      <w:r w:rsidR="008B6D91" w:rsidRPr="008B6D91">
        <w:rPr>
          <w:rFonts w:ascii="Palatino Linotype" w:eastAsia="Times New Roman" w:hAnsi="Palatino Linotype" w:cs="Times New Roman"/>
          <w:sz w:val="24"/>
          <w:szCs w:val="24"/>
          <w:lang w:eastAsia="es-ES"/>
        </w:rPr>
        <w:t xml:space="preserve">el Sujeto Obligado </w:t>
      </w:r>
      <w:r w:rsidR="002F48B3">
        <w:rPr>
          <w:rFonts w:ascii="Palatino Linotype" w:eastAsia="Times New Roman" w:hAnsi="Palatino Linotype" w:cs="Times New Roman"/>
          <w:sz w:val="24"/>
          <w:szCs w:val="24"/>
          <w:lang w:eastAsia="es-ES"/>
        </w:rPr>
        <w:t xml:space="preserve">remitió el documento denominado </w:t>
      </w:r>
      <w:r w:rsidR="002F48B3" w:rsidRPr="002F48B3">
        <w:rPr>
          <w:rFonts w:ascii="Palatino Linotype" w:eastAsia="Times New Roman" w:hAnsi="Palatino Linotype" w:cs="Times New Roman"/>
          <w:b/>
          <w:sz w:val="24"/>
          <w:szCs w:val="24"/>
          <w:lang w:eastAsia="es-ES"/>
        </w:rPr>
        <w:t>“MANIFESTACIÓN-01320-INFOEM.docx”,</w:t>
      </w:r>
      <w:r w:rsidR="002F48B3">
        <w:rPr>
          <w:rFonts w:ascii="Palatino Linotype" w:eastAsia="Times New Roman" w:hAnsi="Palatino Linotype" w:cs="Times New Roman"/>
          <w:sz w:val="24"/>
          <w:szCs w:val="24"/>
          <w:lang w:eastAsia="es-ES"/>
        </w:rPr>
        <w:t xml:space="preserve"> mediante el cual, fundamentalmente, reiteró su respuesta primigenia. </w:t>
      </w:r>
    </w:p>
    <w:p w:rsidR="000E54D0" w:rsidRPr="008B6D91" w:rsidRDefault="000E54D0"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Ahora bien, quedando establecido lo anterior, este Órgano Garante considera viable realizar el est</w:t>
      </w:r>
      <w:r w:rsidR="00DC106B" w:rsidRPr="008B6D91">
        <w:rPr>
          <w:rFonts w:ascii="Palatino Linotype" w:hAnsi="Palatino Linotype" w:cs="Arial"/>
          <w:sz w:val="24"/>
          <w:szCs w:val="24"/>
        </w:rPr>
        <w:t xml:space="preserve">udio en aras de establecer si la respuesta del </w:t>
      </w:r>
      <w:r w:rsidRPr="008B6D91">
        <w:rPr>
          <w:rFonts w:ascii="Palatino Linotype" w:hAnsi="Palatino Linotype" w:cs="Arial"/>
          <w:sz w:val="24"/>
          <w:szCs w:val="24"/>
        </w:rPr>
        <w:t xml:space="preserve">Sujeto Obligado </w:t>
      </w:r>
      <w:r w:rsidR="00DC106B" w:rsidRPr="008B6D91">
        <w:rPr>
          <w:rFonts w:ascii="Palatino Linotype" w:hAnsi="Palatino Linotype" w:cs="Arial"/>
          <w:sz w:val="24"/>
          <w:szCs w:val="24"/>
        </w:rPr>
        <w:t>colma la</w:t>
      </w:r>
      <w:r w:rsidR="00DC106B">
        <w:rPr>
          <w:rFonts w:ascii="Palatino Linotype" w:hAnsi="Palatino Linotype" w:cs="Arial"/>
          <w:sz w:val="24"/>
          <w:szCs w:val="24"/>
        </w:rPr>
        <w:t xml:space="preserve"> pretensión de</w:t>
      </w:r>
      <w:r w:rsidR="006C0FAE">
        <w:rPr>
          <w:rFonts w:ascii="Palatino Linotype" w:hAnsi="Palatino Linotype" w:cs="Arial"/>
          <w:sz w:val="24"/>
          <w:szCs w:val="24"/>
        </w:rPr>
        <w:t xml:space="preserve"> </w:t>
      </w:r>
      <w:r w:rsidR="008B6D91">
        <w:rPr>
          <w:rFonts w:ascii="Palatino Linotype" w:hAnsi="Palatino Linotype" w:cs="Arial"/>
          <w:sz w:val="24"/>
          <w:szCs w:val="24"/>
        </w:rPr>
        <w:t>l</w:t>
      </w:r>
      <w:r w:rsidR="006C0FAE">
        <w:rPr>
          <w:rFonts w:ascii="Palatino Linotype" w:hAnsi="Palatino Linotype" w:cs="Arial"/>
          <w:sz w:val="24"/>
          <w:szCs w:val="24"/>
        </w:rPr>
        <w:t>a</w:t>
      </w:r>
      <w:r w:rsidR="00DC106B">
        <w:rPr>
          <w:rFonts w:ascii="Palatino Linotype" w:hAnsi="Palatino Linotype" w:cs="Arial"/>
          <w:sz w:val="24"/>
          <w:szCs w:val="24"/>
        </w:rPr>
        <w:t xml:space="preserve"> Recurrente, </w:t>
      </w:r>
      <w:r w:rsidR="005E3E34">
        <w:rPr>
          <w:rFonts w:ascii="Palatino Linotype" w:hAnsi="Palatino Linotype" w:cs="Arial"/>
          <w:sz w:val="24"/>
          <w:szCs w:val="24"/>
        </w:rPr>
        <w:t>así como calificar los motivos de inconformidad de</w:t>
      </w:r>
      <w:r w:rsidR="008C16A7">
        <w:rPr>
          <w:rFonts w:ascii="Palatino Linotype" w:hAnsi="Palatino Linotype" w:cs="Arial"/>
          <w:sz w:val="24"/>
          <w:szCs w:val="24"/>
        </w:rPr>
        <w:t xml:space="preserve"> </w:t>
      </w:r>
      <w:r w:rsidR="005E3E34">
        <w:rPr>
          <w:rFonts w:ascii="Palatino Linotype" w:hAnsi="Palatino Linotype" w:cs="Arial"/>
          <w:sz w:val="24"/>
          <w:szCs w:val="24"/>
        </w:rPr>
        <w:t>l</w:t>
      </w:r>
      <w:r w:rsidR="008C16A7">
        <w:rPr>
          <w:rFonts w:ascii="Palatino Linotype" w:hAnsi="Palatino Linotype" w:cs="Arial"/>
          <w:sz w:val="24"/>
          <w:szCs w:val="24"/>
        </w:rPr>
        <w:t>a</w:t>
      </w:r>
      <w:r w:rsidR="005E3E34">
        <w:rPr>
          <w:rFonts w:ascii="Palatino Linotype" w:hAnsi="Palatino Linotype" w:cs="Arial"/>
          <w:sz w:val="24"/>
          <w:szCs w:val="24"/>
        </w:rPr>
        <w:t xml:space="preserve">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En este sentido, es pertinente enfatizar lo </w:t>
      </w:r>
      <w:r w:rsidR="000944AF" w:rsidRPr="00EC3B60">
        <w:rPr>
          <w:rFonts w:ascii="Palatino Linotype" w:hAnsi="Palatino Linotype"/>
          <w:sz w:val="24"/>
          <w:szCs w:val="24"/>
        </w:rPr>
        <w:t>que,</w:t>
      </w:r>
      <w:r w:rsidRPr="00EC3B60">
        <w:rPr>
          <w:rFonts w:ascii="Palatino Linotype" w:hAnsi="Palatino Linotype"/>
          <w:sz w:val="24"/>
          <w:szCs w:val="24"/>
        </w:rPr>
        <w:t xml:space="preserv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35507D"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FF327E">
        <w:rPr>
          <w:rFonts w:ascii="Palatino Linotype" w:hAnsi="Palatino Linotype"/>
          <w:sz w:val="24"/>
          <w:szCs w:val="24"/>
        </w:rPr>
        <w:t>se debe resaltar que</w:t>
      </w:r>
      <w:r w:rsidR="00473374">
        <w:rPr>
          <w:rFonts w:ascii="Palatino Linotype" w:hAnsi="Palatino Linotype"/>
          <w:sz w:val="24"/>
          <w:szCs w:val="24"/>
        </w:rPr>
        <w:t xml:space="preserve"> el </w:t>
      </w:r>
      <w:r w:rsidR="0035507D">
        <w:rPr>
          <w:rFonts w:ascii="Palatino Linotype" w:hAnsi="Palatino Linotype"/>
          <w:sz w:val="24"/>
          <w:szCs w:val="24"/>
        </w:rPr>
        <w:t xml:space="preserve">Recurrente manifestó que su petición fue atendida parcialmente, pues textualmente señaló lo siguiente: “(…) </w:t>
      </w:r>
      <w:r w:rsidR="0035507D" w:rsidRPr="0035507D">
        <w:rPr>
          <w:rFonts w:ascii="Palatino Linotype" w:hAnsi="Palatino Linotype"/>
          <w:i/>
          <w:sz w:val="24"/>
          <w:szCs w:val="24"/>
        </w:rPr>
        <w:t xml:space="preserve">ya que en el oficio TMC/BESL/185/2020, emitido por la tesorera municipal del H. Ayuntamiento de Cuatitlán, </w:t>
      </w:r>
      <w:r w:rsidR="0035507D" w:rsidRPr="0035507D">
        <w:rPr>
          <w:rFonts w:ascii="Palatino Linotype" w:hAnsi="Palatino Linotype"/>
          <w:b/>
          <w:i/>
          <w:sz w:val="24"/>
          <w:szCs w:val="24"/>
          <w:u w:val="single"/>
        </w:rPr>
        <w:t>únicamente se limita a dar contestación a la primera pregunta</w:t>
      </w:r>
      <w:r w:rsidR="0035507D" w:rsidRPr="0035507D">
        <w:rPr>
          <w:rFonts w:ascii="Palatino Linotype" w:hAnsi="Palatino Linotype"/>
          <w:i/>
          <w:sz w:val="24"/>
          <w:szCs w:val="24"/>
        </w:rPr>
        <w:t xml:space="preserve"> y omite responder el cuestionamiento referente a ¿Cuánto dinero se le pago a cada artista (especificando su nombre) que se presento en el evento realizado con motivo de las fiestas patrias del quince de septiembre de dos mil diecinueve?” (Sic)</w:t>
      </w:r>
      <w:r w:rsidR="0035507D">
        <w:rPr>
          <w:rFonts w:ascii="Palatino Linotype" w:hAnsi="Palatino Linotype"/>
          <w:i/>
          <w:sz w:val="24"/>
          <w:szCs w:val="24"/>
        </w:rPr>
        <w:t>.</w:t>
      </w:r>
    </w:p>
    <w:p w:rsidR="0035507D" w:rsidRDefault="0035507D" w:rsidP="006A674A">
      <w:pPr>
        <w:spacing w:after="0" w:line="360" w:lineRule="auto"/>
        <w:jc w:val="both"/>
        <w:rPr>
          <w:rFonts w:ascii="Palatino Linotype" w:hAnsi="Palatino Linotype"/>
          <w:sz w:val="24"/>
          <w:szCs w:val="24"/>
        </w:rPr>
      </w:pPr>
    </w:p>
    <w:p w:rsidR="0035507D" w:rsidRDefault="0035507D" w:rsidP="0035507D">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 xml:space="preserve">Así, atendiendo las razones y motivos de la inconformidad del Recurrente se advierte que únicamente se duele respecto a lo solicitado con relación al monto pagado a cada uno de los artistas que se presentaron en el evento realizado con motivo de las fiestas patrias del quince de septiembre de dos mil diecinueve, sin que emitiera ninguna manifestación tocante a la respuesta otorgada a su primer cuestionamiento, por lo que se debe considerar que consintió parcialmente la respuesta relativa al resto de su solicitud. </w:t>
      </w:r>
      <w:r>
        <w:rPr>
          <w:rFonts w:ascii="Palatino Linotype" w:hAnsi="Palatino Linotype" w:cs="Arial"/>
          <w:sz w:val="24"/>
          <w:szCs w:val="24"/>
          <w:lang w:eastAsia="es-MX"/>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35507D" w:rsidRDefault="0035507D" w:rsidP="0035507D">
      <w:pPr>
        <w:pStyle w:val="Sinespaciado"/>
        <w:spacing w:line="360" w:lineRule="auto"/>
        <w:jc w:val="both"/>
        <w:rPr>
          <w:rFonts w:ascii="Palatino Linotype" w:hAnsi="Palatino Linotype" w:cs="Arial"/>
          <w:sz w:val="24"/>
          <w:szCs w:val="24"/>
        </w:rPr>
      </w:pPr>
    </w:p>
    <w:p w:rsidR="0035507D" w:rsidRDefault="0035507D" w:rsidP="0035507D">
      <w:pPr>
        <w:pStyle w:val="Sinespaciado"/>
        <w:ind w:left="567" w:right="567"/>
        <w:jc w:val="both"/>
        <w:rPr>
          <w:rFonts w:ascii="Palatino Linotype" w:hAnsi="Palatino Linotype"/>
          <w:i/>
          <w:lang w:eastAsia="es-MX"/>
        </w:rPr>
      </w:pPr>
      <w:r>
        <w:rPr>
          <w:rFonts w:ascii="Palatino Linotype" w:hAnsi="Palatino Linotype"/>
          <w:b/>
          <w:i/>
          <w:lang w:eastAsia="es-MX"/>
        </w:rPr>
        <w:t>REVISIÓN EN AMPARO. LOS RESOLUTIVOS NO COMBATIDOS DEBEN DECLARARSE FIRMES</w:t>
      </w:r>
      <w:r>
        <w:rPr>
          <w:rFonts w:ascii="Palatino Linotype" w:hAnsi="Palatino Linotype"/>
          <w:i/>
          <w:lang w:eastAsia="es-MX"/>
        </w:rPr>
        <w:t xml:space="preserve">. Cuando algún resolutivo de la sentencia impugnada afecta a la </w:t>
      </w:r>
      <w:r>
        <w:rPr>
          <w:rFonts w:ascii="Palatino Linotype" w:hAnsi="Palatino Linotype"/>
          <w:i/>
          <w:lang w:eastAsia="es-MX"/>
        </w:rPr>
        <w:lastRenderedPageBreak/>
        <w:t>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5507D" w:rsidRDefault="0035507D" w:rsidP="0035507D">
      <w:pPr>
        <w:pStyle w:val="Sinespaciado"/>
        <w:spacing w:line="360" w:lineRule="auto"/>
        <w:jc w:val="both"/>
        <w:rPr>
          <w:rFonts w:ascii="Palatino Linotype" w:hAnsi="Palatino Linotype"/>
          <w:sz w:val="24"/>
          <w:szCs w:val="24"/>
        </w:rPr>
      </w:pPr>
    </w:p>
    <w:p w:rsidR="0035507D" w:rsidRDefault="0035507D" w:rsidP="0035507D">
      <w:pPr>
        <w:pStyle w:val="Sinespaciado"/>
        <w:spacing w:line="360" w:lineRule="auto"/>
        <w:jc w:val="both"/>
        <w:rPr>
          <w:rFonts w:ascii="Palatino Linotype" w:hAnsi="Palatino Linotype"/>
          <w:sz w:val="24"/>
          <w:szCs w:val="24"/>
        </w:rPr>
      </w:pPr>
      <w:r>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35507D" w:rsidRDefault="0035507D" w:rsidP="0035507D">
      <w:pPr>
        <w:pStyle w:val="Sinespaciado"/>
        <w:spacing w:line="360" w:lineRule="auto"/>
        <w:jc w:val="both"/>
        <w:rPr>
          <w:rFonts w:ascii="Palatino Linotype" w:hAnsi="Palatino Linotype"/>
          <w:sz w:val="24"/>
          <w:szCs w:val="24"/>
        </w:rPr>
      </w:pPr>
    </w:p>
    <w:p w:rsidR="0035507D" w:rsidRDefault="0035507D" w:rsidP="0035507D">
      <w:pPr>
        <w:pStyle w:val="Sinespaciado"/>
        <w:ind w:left="567" w:right="567"/>
        <w:jc w:val="both"/>
        <w:rPr>
          <w:rFonts w:ascii="Palatino Linotype" w:hAnsi="Palatino Linotype"/>
          <w:sz w:val="24"/>
          <w:szCs w:val="24"/>
        </w:rPr>
      </w:pPr>
      <w:r>
        <w:rPr>
          <w:rFonts w:ascii="Palatino Linotype" w:hAnsi="Palatino Linotype"/>
          <w:b/>
          <w:i/>
        </w:rPr>
        <w:t>ACTOS CONSENTIDOS. SON LOS QUE NO SE IMPUGNAN MEDIANTE EL RECURSO IDÓNEO.</w:t>
      </w:r>
      <w:r>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5507D" w:rsidRDefault="0035507D" w:rsidP="0035507D">
      <w:pPr>
        <w:pStyle w:val="Sinespaciado"/>
        <w:spacing w:line="360" w:lineRule="auto"/>
        <w:jc w:val="both"/>
        <w:rPr>
          <w:rFonts w:ascii="Palatino Linotype" w:hAnsi="Palatino Linotype"/>
          <w:sz w:val="24"/>
          <w:szCs w:val="24"/>
        </w:rPr>
      </w:pPr>
    </w:p>
    <w:p w:rsidR="0035507D" w:rsidRDefault="0035507D" w:rsidP="0035507D">
      <w:pPr>
        <w:spacing w:after="0" w:line="360" w:lineRule="auto"/>
        <w:jc w:val="both"/>
        <w:rPr>
          <w:rFonts w:ascii="Palatino Linotype" w:hAnsi="Palatino Linotype"/>
          <w:sz w:val="24"/>
          <w:szCs w:val="24"/>
        </w:rPr>
      </w:pPr>
      <w:r>
        <w:rPr>
          <w:rFonts w:ascii="Palatino Linotype" w:hAnsi="Palatino Linotype"/>
          <w:sz w:val="24"/>
          <w:szCs w:val="24"/>
        </w:rPr>
        <w:t>Por tal motivo, el estudio únicam</w:t>
      </w:r>
      <w:r w:rsidR="00F851C9">
        <w:rPr>
          <w:rFonts w:ascii="Palatino Linotype" w:hAnsi="Palatino Linotype"/>
          <w:sz w:val="24"/>
          <w:szCs w:val="24"/>
        </w:rPr>
        <w:t>ente debe limitarse al segundo cuestionamiento realizado por el Recurrente.</w:t>
      </w:r>
    </w:p>
    <w:p w:rsidR="0035507D" w:rsidRDefault="0035507D" w:rsidP="006A674A">
      <w:pPr>
        <w:spacing w:after="0" w:line="360" w:lineRule="auto"/>
        <w:jc w:val="both"/>
        <w:rPr>
          <w:rFonts w:ascii="Palatino Linotype" w:hAnsi="Palatino Linotype"/>
          <w:sz w:val="24"/>
          <w:szCs w:val="24"/>
        </w:rPr>
      </w:pPr>
    </w:p>
    <w:p w:rsidR="0035507D" w:rsidRDefault="00F851C9"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ese sentido, es necesario señalar que, por parte del Sujeto Obligado, únicamente consta que se realizó el requerimiento de la información a la Tesorería Municipal, sin </w:t>
      </w:r>
      <w:r>
        <w:rPr>
          <w:rFonts w:ascii="Palatino Linotype" w:hAnsi="Palatino Linotype"/>
          <w:sz w:val="24"/>
          <w:szCs w:val="24"/>
        </w:rPr>
        <w:lastRenderedPageBreak/>
        <w:t xml:space="preserve">que </w:t>
      </w:r>
      <w:r w:rsidR="00643BBD">
        <w:rPr>
          <w:rFonts w:ascii="Palatino Linotype" w:hAnsi="Palatino Linotype"/>
          <w:sz w:val="24"/>
          <w:szCs w:val="24"/>
        </w:rPr>
        <w:t>se haya considerado que la información sol</w:t>
      </w:r>
      <w:r w:rsidR="002125FB">
        <w:rPr>
          <w:rFonts w:ascii="Palatino Linotype" w:hAnsi="Palatino Linotype"/>
          <w:sz w:val="24"/>
          <w:szCs w:val="24"/>
        </w:rPr>
        <w:t>icitada pueda encontrarse en los archivos de otras dependencias municipales que pudieran ser competentes para conocer de lo solicitado como lo dispone el artículo 162 de la Ley de Transparencia y Acceso a la Información Pública del Estado de México y Municipios, que a la letra establece lo siguiente:</w:t>
      </w:r>
    </w:p>
    <w:p w:rsidR="002125FB" w:rsidRDefault="002125FB" w:rsidP="006A674A">
      <w:pPr>
        <w:spacing w:after="0" w:line="360" w:lineRule="auto"/>
        <w:jc w:val="both"/>
        <w:rPr>
          <w:rFonts w:ascii="Palatino Linotype" w:hAnsi="Palatino Linotype"/>
          <w:sz w:val="24"/>
          <w:szCs w:val="24"/>
        </w:rPr>
      </w:pPr>
    </w:p>
    <w:p w:rsidR="002125FB" w:rsidRPr="002125FB" w:rsidRDefault="002125FB" w:rsidP="002125FB">
      <w:pPr>
        <w:spacing w:after="0" w:line="240" w:lineRule="auto"/>
        <w:ind w:left="567" w:right="567"/>
        <w:jc w:val="both"/>
        <w:rPr>
          <w:rFonts w:ascii="Palatino Linotype" w:hAnsi="Palatino Linotype"/>
          <w:i/>
          <w:sz w:val="20"/>
          <w:szCs w:val="20"/>
        </w:rPr>
      </w:pPr>
      <w:r w:rsidRPr="002125FB">
        <w:rPr>
          <w:rFonts w:ascii="Palatino Linotype" w:hAnsi="Palatino Linotype"/>
          <w:b/>
          <w:bCs/>
          <w:i/>
          <w:sz w:val="20"/>
          <w:szCs w:val="20"/>
        </w:rPr>
        <w:t xml:space="preserve">Artículo 162. </w:t>
      </w:r>
      <w:r w:rsidRPr="002125FB">
        <w:rPr>
          <w:rFonts w:ascii="Palatino Linotype" w:hAnsi="Palatino Linotype"/>
          <w:i/>
          <w:sz w:val="20"/>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F851C9" w:rsidRDefault="00F851C9" w:rsidP="006A674A">
      <w:pPr>
        <w:spacing w:after="0" w:line="360" w:lineRule="auto"/>
        <w:jc w:val="both"/>
        <w:rPr>
          <w:rFonts w:ascii="Palatino Linotype" w:hAnsi="Palatino Linotype"/>
          <w:sz w:val="24"/>
          <w:szCs w:val="24"/>
        </w:rPr>
      </w:pPr>
    </w:p>
    <w:p w:rsidR="0035507D" w:rsidRDefault="002125FB" w:rsidP="006A674A">
      <w:pPr>
        <w:spacing w:after="0" w:line="360" w:lineRule="auto"/>
        <w:jc w:val="both"/>
        <w:rPr>
          <w:rFonts w:ascii="Palatino Linotype" w:hAnsi="Palatino Linotype"/>
          <w:sz w:val="24"/>
          <w:szCs w:val="24"/>
        </w:rPr>
      </w:pPr>
      <w:r>
        <w:rPr>
          <w:rFonts w:ascii="Palatino Linotype" w:hAnsi="Palatino Linotype"/>
          <w:sz w:val="24"/>
          <w:szCs w:val="24"/>
        </w:rPr>
        <w:t>Bajo esa premisa, es conveniente verificar si el Sujeto Obligado cuenta entre sus dependencias y unidades administrativas con alguna que tenga entre sus facultades y atribuciones la contratación de servicios de grupos artísticos.</w:t>
      </w:r>
    </w:p>
    <w:p w:rsidR="002125FB" w:rsidRDefault="002125FB" w:rsidP="006A674A">
      <w:pPr>
        <w:spacing w:after="0" w:line="360" w:lineRule="auto"/>
        <w:jc w:val="both"/>
        <w:rPr>
          <w:rFonts w:ascii="Palatino Linotype" w:hAnsi="Palatino Linotype"/>
          <w:sz w:val="24"/>
          <w:szCs w:val="24"/>
        </w:rPr>
      </w:pPr>
    </w:p>
    <w:p w:rsidR="002125FB" w:rsidRDefault="002125FB"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esa tesitura, el Bando Municipal </w:t>
      </w:r>
      <w:r w:rsidR="009E0928">
        <w:rPr>
          <w:rFonts w:ascii="Palatino Linotype" w:hAnsi="Palatino Linotype"/>
          <w:sz w:val="24"/>
          <w:szCs w:val="24"/>
        </w:rPr>
        <w:t xml:space="preserve">de Cuautitlán, Estado de México </w:t>
      </w:r>
      <w:r>
        <w:rPr>
          <w:rFonts w:ascii="Palatino Linotype" w:hAnsi="Palatino Linotype"/>
          <w:sz w:val="24"/>
          <w:szCs w:val="24"/>
        </w:rPr>
        <w:t>2019</w:t>
      </w:r>
      <w:r w:rsidR="009E0928">
        <w:rPr>
          <w:rFonts w:ascii="Palatino Linotype" w:hAnsi="Palatino Linotype"/>
          <w:sz w:val="24"/>
          <w:szCs w:val="24"/>
        </w:rPr>
        <w:t>, establece en sus artículos 40, 41 fracción VI, inciso 1., 62 y 63 lo siguiente:</w:t>
      </w:r>
    </w:p>
    <w:p w:rsidR="002125FB" w:rsidRDefault="002125FB" w:rsidP="006A674A">
      <w:pPr>
        <w:spacing w:after="0" w:line="360" w:lineRule="auto"/>
        <w:jc w:val="both"/>
        <w:rPr>
          <w:rFonts w:ascii="Palatino Linotype" w:hAnsi="Palatino Linotype"/>
          <w:sz w:val="24"/>
          <w:szCs w:val="24"/>
        </w:rPr>
      </w:pPr>
    </w:p>
    <w:p w:rsidR="009E0928" w:rsidRPr="009E0928" w:rsidRDefault="009E0928" w:rsidP="009E0928">
      <w:pPr>
        <w:spacing w:after="0" w:line="240" w:lineRule="auto"/>
        <w:ind w:left="567" w:right="567"/>
        <w:jc w:val="both"/>
        <w:rPr>
          <w:rFonts w:ascii="Palatino Linotype" w:hAnsi="Palatino Linotype"/>
          <w:i/>
        </w:rPr>
      </w:pPr>
      <w:r w:rsidRPr="009E0928">
        <w:rPr>
          <w:rFonts w:ascii="Palatino Linotype" w:hAnsi="Palatino Linotype"/>
          <w:b/>
          <w:bCs/>
          <w:i/>
        </w:rPr>
        <w:t xml:space="preserve">Artículo 40. </w:t>
      </w:r>
      <w:r w:rsidRPr="009E0928">
        <w:rPr>
          <w:rFonts w:ascii="Palatino Linotype" w:hAnsi="Palatino Linotype"/>
          <w:i/>
        </w:rPr>
        <w:t>Para el ejercicio de sus atribuciones y responsabilidades ejecutivas, el Ayuntamiento se auxilia de las Dependencias Públicas Centralizadas, Descentralizadas y Desconcentradas que integran la Administración Pública Municipal, las cuales están subordinadas al presidente municipal.</w:t>
      </w:r>
    </w:p>
    <w:p w:rsidR="009E0928" w:rsidRPr="009E0928" w:rsidRDefault="009E0928" w:rsidP="009E0928">
      <w:pPr>
        <w:spacing w:after="0" w:line="240" w:lineRule="auto"/>
        <w:ind w:left="567" w:right="567"/>
        <w:jc w:val="both"/>
        <w:rPr>
          <w:rFonts w:ascii="Palatino Linotype" w:hAnsi="Palatino Linotype"/>
          <w:i/>
        </w:rPr>
      </w:pPr>
    </w:p>
    <w:p w:rsidR="009E0928" w:rsidRPr="009E0928" w:rsidRDefault="009E0928" w:rsidP="009E0928">
      <w:pPr>
        <w:spacing w:after="0" w:line="240" w:lineRule="auto"/>
        <w:ind w:left="567" w:right="567"/>
        <w:jc w:val="both"/>
        <w:rPr>
          <w:rFonts w:ascii="Palatino Linotype" w:hAnsi="Palatino Linotype"/>
          <w:i/>
        </w:rPr>
      </w:pPr>
      <w:r w:rsidRPr="009E0928">
        <w:rPr>
          <w:rFonts w:ascii="Palatino Linotype" w:hAnsi="Palatino Linotype"/>
          <w:b/>
          <w:bCs/>
          <w:i/>
        </w:rPr>
        <w:t xml:space="preserve">Artículo 41. </w:t>
      </w:r>
      <w:r w:rsidRPr="009E0928">
        <w:rPr>
          <w:rFonts w:ascii="Palatino Linotype" w:hAnsi="Palatino Linotype"/>
          <w:i/>
        </w:rPr>
        <w:t>Para el ejercicio de sus atribuciones el presidente municipal se auxiliará de las siguientes dependencias:</w:t>
      </w:r>
    </w:p>
    <w:p w:rsidR="009E0928" w:rsidRPr="009E0928" w:rsidRDefault="009E0928" w:rsidP="009E0928">
      <w:pPr>
        <w:spacing w:after="0" w:line="240" w:lineRule="auto"/>
        <w:ind w:left="567" w:right="567"/>
        <w:jc w:val="both"/>
        <w:rPr>
          <w:rFonts w:ascii="Palatino Linotype" w:hAnsi="Palatino Linotype"/>
          <w:i/>
        </w:rPr>
      </w:pPr>
      <w:r w:rsidRPr="009E0928">
        <w:rPr>
          <w:rFonts w:ascii="Palatino Linotype" w:hAnsi="Palatino Linotype"/>
          <w:i/>
        </w:rPr>
        <w:t>(…)</w:t>
      </w:r>
    </w:p>
    <w:p w:rsidR="009E0928" w:rsidRPr="009E0928" w:rsidRDefault="009E0928" w:rsidP="009E0928">
      <w:pPr>
        <w:spacing w:after="0" w:line="240" w:lineRule="auto"/>
        <w:ind w:left="567" w:right="567"/>
        <w:jc w:val="both"/>
        <w:rPr>
          <w:rFonts w:ascii="Palatino Linotype" w:hAnsi="Palatino Linotype"/>
          <w:i/>
        </w:rPr>
      </w:pPr>
      <w:r w:rsidRPr="009E0928">
        <w:rPr>
          <w:rFonts w:ascii="Palatino Linotype" w:hAnsi="Palatino Linotype"/>
          <w:b/>
          <w:bCs/>
          <w:i/>
        </w:rPr>
        <w:t xml:space="preserve">VI. </w:t>
      </w:r>
      <w:r w:rsidRPr="009E0928">
        <w:rPr>
          <w:rFonts w:ascii="Palatino Linotype" w:hAnsi="Palatino Linotype"/>
          <w:i/>
        </w:rPr>
        <w:t>Las Direcciones de:</w:t>
      </w:r>
    </w:p>
    <w:p w:rsidR="009E0928" w:rsidRPr="009E0928" w:rsidRDefault="009E0928" w:rsidP="009E0928">
      <w:pPr>
        <w:spacing w:after="0" w:line="240" w:lineRule="auto"/>
        <w:ind w:left="567" w:right="567"/>
        <w:jc w:val="both"/>
        <w:rPr>
          <w:rFonts w:ascii="Palatino Linotype" w:hAnsi="Palatino Linotype"/>
          <w:i/>
        </w:rPr>
      </w:pPr>
      <w:r w:rsidRPr="009E0928">
        <w:rPr>
          <w:rFonts w:ascii="Palatino Linotype" w:hAnsi="Palatino Linotype"/>
          <w:i/>
        </w:rPr>
        <w:t>1. Administración;</w:t>
      </w:r>
    </w:p>
    <w:p w:rsidR="009E0928" w:rsidRPr="009E0928" w:rsidRDefault="009E0928" w:rsidP="009E0928">
      <w:pPr>
        <w:spacing w:after="0" w:line="240" w:lineRule="auto"/>
        <w:ind w:left="567" w:right="567"/>
        <w:jc w:val="both"/>
        <w:rPr>
          <w:rFonts w:ascii="Palatino Linotype" w:hAnsi="Palatino Linotype"/>
          <w:i/>
        </w:rPr>
      </w:pPr>
      <w:r w:rsidRPr="009E0928">
        <w:rPr>
          <w:rFonts w:ascii="Palatino Linotype" w:hAnsi="Palatino Linotype"/>
          <w:i/>
        </w:rPr>
        <w:t>(…)</w:t>
      </w:r>
    </w:p>
    <w:p w:rsidR="009E0928" w:rsidRPr="009E0928" w:rsidRDefault="009E0928" w:rsidP="009E0928">
      <w:pPr>
        <w:spacing w:after="0" w:line="240" w:lineRule="auto"/>
        <w:ind w:left="567" w:right="567"/>
        <w:jc w:val="both"/>
        <w:rPr>
          <w:rFonts w:ascii="Palatino Linotype" w:hAnsi="Palatino Linotype"/>
          <w:i/>
        </w:rPr>
      </w:pPr>
    </w:p>
    <w:p w:rsidR="009E0928" w:rsidRPr="009E0928" w:rsidRDefault="009E0928" w:rsidP="009E0928">
      <w:pPr>
        <w:spacing w:after="0" w:line="240" w:lineRule="auto"/>
        <w:ind w:left="567" w:right="567"/>
        <w:jc w:val="both"/>
        <w:rPr>
          <w:rFonts w:ascii="Palatino Linotype" w:hAnsi="Palatino Linotype"/>
          <w:i/>
        </w:rPr>
      </w:pPr>
      <w:r w:rsidRPr="009E0928">
        <w:rPr>
          <w:rFonts w:ascii="Palatino Linotype" w:hAnsi="Palatino Linotype"/>
          <w:b/>
          <w:bCs/>
          <w:i/>
        </w:rPr>
        <w:lastRenderedPageBreak/>
        <w:t xml:space="preserve">Artículo 62. </w:t>
      </w:r>
      <w:r w:rsidRPr="009E0928">
        <w:rPr>
          <w:rFonts w:ascii="Palatino Linotype" w:hAnsi="Palatino Linotype"/>
          <w:i/>
        </w:rPr>
        <w:t>A la Dirección de Administración le corresponde la adecuada planeación, programación, organización, control, prevención y evaluación de los procesos y procedimientos de adquisición, arrendamiento y/ o prestación de servicios, conforme a la legislación y reglamentos que resulten aplicables, con la finalidad de tener un control eficiente y eficaz de los recursos humanos, materiales, tecnológicos y de servicios generales que se proporcionan a las dependencias administrativas; además de establecer las directrices, políticas de control y capacitación de los servidores públicos.</w:t>
      </w:r>
    </w:p>
    <w:p w:rsidR="009E0928" w:rsidRPr="009E0928" w:rsidRDefault="009E0928" w:rsidP="009E0928">
      <w:pPr>
        <w:spacing w:after="0" w:line="240" w:lineRule="auto"/>
        <w:ind w:left="567" w:right="567"/>
        <w:jc w:val="both"/>
        <w:rPr>
          <w:rFonts w:ascii="Palatino Linotype" w:hAnsi="Palatino Linotype"/>
          <w:i/>
        </w:rPr>
      </w:pPr>
    </w:p>
    <w:p w:rsidR="009E0928" w:rsidRPr="009E0928" w:rsidRDefault="009E0928" w:rsidP="009E0928">
      <w:pPr>
        <w:spacing w:after="0" w:line="240" w:lineRule="auto"/>
        <w:ind w:left="567" w:right="567"/>
        <w:jc w:val="both"/>
        <w:rPr>
          <w:rFonts w:ascii="Palatino Linotype" w:hAnsi="Palatino Linotype"/>
          <w:i/>
        </w:rPr>
      </w:pPr>
      <w:r w:rsidRPr="009E0928">
        <w:rPr>
          <w:rFonts w:ascii="Palatino Linotype" w:hAnsi="Palatino Linotype"/>
          <w:b/>
          <w:bCs/>
          <w:i/>
        </w:rPr>
        <w:t xml:space="preserve">Artículo 63. </w:t>
      </w:r>
      <w:r w:rsidRPr="009E0928">
        <w:rPr>
          <w:rFonts w:ascii="Palatino Linotype" w:hAnsi="Palatino Linotype"/>
          <w:i/>
        </w:rPr>
        <w:t>Son atribuciones de la Dirección de Administración las establecidas en el Reglamento Interno y los demás ordenamientos legales vigentes aplicables en la materia.</w:t>
      </w:r>
    </w:p>
    <w:p w:rsidR="009E0928" w:rsidRDefault="009E0928" w:rsidP="006A674A">
      <w:pPr>
        <w:spacing w:after="0" w:line="360" w:lineRule="auto"/>
        <w:jc w:val="both"/>
        <w:rPr>
          <w:rFonts w:ascii="Palatino Linotype" w:hAnsi="Palatino Linotype"/>
          <w:sz w:val="24"/>
          <w:szCs w:val="24"/>
        </w:rPr>
      </w:pPr>
    </w:p>
    <w:p w:rsidR="009E0928" w:rsidRDefault="00EF735D"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De tal forma que el Sujeto Obligado tiene entre sus unidades administrativas a la Dirección de Administración, la cual es la facultada para realizar la planeación, programación, organización, control, prevención y evaluación de los procesos y procedimientos de adquisición, arrendamiento y/o prestación de servicios, teniendo sus atribuciones en el Reglamento Interno. Este Reglamento </w:t>
      </w:r>
      <w:r w:rsidR="000474C9">
        <w:rPr>
          <w:rFonts w:ascii="Palatino Linotype" w:hAnsi="Palatino Linotype"/>
          <w:sz w:val="24"/>
          <w:szCs w:val="24"/>
        </w:rPr>
        <w:t>estipula en su artículo 6.1 fracciones XXII, XXIII y XXIV</w:t>
      </w:r>
      <w:r w:rsidR="00672684">
        <w:rPr>
          <w:rFonts w:ascii="Palatino Linotype" w:hAnsi="Palatino Linotype"/>
          <w:sz w:val="24"/>
          <w:szCs w:val="24"/>
        </w:rPr>
        <w:t>, 6.2 fracción I y 6.3 fracciones IX, XIV</w:t>
      </w:r>
      <w:r w:rsidR="000474C9">
        <w:rPr>
          <w:rFonts w:ascii="Palatino Linotype" w:hAnsi="Palatino Linotype"/>
          <w:sz w:val="24"/>
          <w:szCs w:val="24"/>
        </w:rPr>
        <w:t xml:space="preserve"> </w:t>
      </w:r>
      <w:r w:rsidR="00672684">
        <w:rPr>
          <w:rFonts w:ascii="Palatino Linotype" w:hAnsi="Palatino Linotype"/>
          <w:sz w:val="24"/>
          <w:szCs w:val="24"/>
        </w:rPr>
        <w:t xml:space="preserve">y XXIII </w:t>
      </w:r>
      <w:r w:rsidR="000474C9">
        <w:rPr>
          <w:rFonts w:ascii="Palatino Linotype" w:hAnsi="Palatino Linotype"/>
          <w:sz w:val="24"/>
          <w:szCs w:val="24"/>
        </w:rPr>
        <w:t>lo siguiente:</w:t>
      </w:r>
    </w:p>
    <w:p w:rsidR="000474C9" w:rsidRDefault="000474C9" w:rsidP="006A674A">
      <w:pPr>
        <w:spacing w:after="0" w:line="360" w:lineRule="auto"/>
        <w:jc w:val="both"/>
        <w:rPr>
          <w:rFonts w:ascii="Palatino Linotype" w:hAnsi="Palatino Linotype"/>
          <w:sz w:val="24"/>
          <w:szCs w:val="24"/>
        </w:rPr>
      </w:pPr>
    </w:p>
    <w:p w:rsidR="000474C9" w:rsidRPr="000474C9" w:rsidRDefault="000474C9" w:rsidP="000474C9">
      <w:pPr>
        <w:spacing w:after="0" w:line="240" w:lineRule="auto"/>
        <w:ind w:left="567" w:right="567"/>
        <w:jc w:val="both"/>
        <w:rPr>
          <w:rFonts w:ascii="Palatino Linotype" w:hAnsi="Palatino Linotype"/>
          <w:i/>
        </w:rPr>
      </w:pPr>
      <w:r w:rsidRPr="000474C9">
        <w:rPr>
          <w:rFonts w:ascii="Palatino Linotype" w:hAnsi="Palatino Linotype"/>
          <w:b/>
          <w:bCs/>
          <w:i/>
        </w:rPr>
        <w:t xml:space="preserve">Artículo 6.1.- </w:t>
      </w:r>
      <w:r w:rsidRPr="000474C9">
        <w:rPr>
          <w:rFonts w:ascii="Palatino Linotype" w:hAnsi="Palatino Linotype"/>
          <w:i/>
        </w:rPr>
        <w:t>Son facultades y obligaciones de la Dirección de Administración, las siguientes:</w:t>
      </w:r>
    </w:p>
    <w:p w:rsidR="000474C9" w:rsidRPr="000474C9" w:rsidRDefault="000474C9" w:rsidP="000474C9">
      <w:pPr>
        <w:spacing w:after="0" w:line="240" w:lineRule="auto"/>
        <w:ind w:left="567" w:right="567"/>
        <w:jc w:val="both"/>
        <w:rPr>
          <w:rFonts w:ascii="Palatino Linotype" w:hAnsi="Palatino Linotype"/>
          <w:i/>
        </w:rPr>
      </w:pPr>
      <w:r w:rsidRPr="000474C9">
        <w:rPr>
          <w:rFonts w:ascii="Palatino Linotype" w:hAnsi="Palatino Linotype"/>
          <w:i/>
        </w:rPr>
        <w:t>(…)</w:t>
      </w:r>
    </w:p>
    <w:p w:rsidR="000474C9" w:rsidRPr="000474C9" w:rsidRDefault="000474C9" w:rsidP="000474C9">
      <w:pPr>
        <w:spacing w:after="0" w:line="240" w:lineRule="auto"/>
        <w:ind w:left="567" w:right="567"/>
        <w:jc w:val="both"/>
        <w:rPr>
          <w:rFonts w:ascii="Palatino Linotype" w:hAnsi="Palatino Linotype"/>
          <w:i/>
        </w:rPr>
      </w:pPr>
      <w:r w:rsidRPr="000474C9">
        <w:rPr>
          <w:rFonts w:ascii="Palatino Linotype" w:hAnsi="Palatino Linotype"/>
          <w:b/>
          <w:bCs/>
          <w:i/>
        </w:rPr>
        <w:t xml:space="preserve">XXII. </w:t>
      </w:r>
      <w:r w:rsidRPr="000474C9">
        <w:rPr>
          <w:rFonts w:ascii="Palatino Linotype" w:hAnsi="Palatino Linotype"/>
          <w:i/>
        </w:rPr>
        <w:t xml:space="preserve">Avalar que las adquisiciones y contrataciones de servicios de las diversas dependencias de la Administración Pública Municipal se determinen con base a una planeación racional de sus necesidades y recursos, observando en todo tiempo las políticas de austeridad que señale el presupuesto de egresos; </w:t>
      </w:r>
    </w:p>
    <w:p w:rsidR="000474C9" w:rsidRPr="000474C9" w:rsidRDefault="000474C9" w:rsidP="000474C9">
      <w:pPr>
        <w:spacing w:after="0" w:line="240" w:lineRule="auto"/>
        <w:ind w:left="567" w:right="567"/>
        <w:jc w:val="both"/>
        <w:rPr>
          <w:rFonts w:ascii="Palatino Linotype" w:hAnsi="Palatino Linotype"/>
          <w:i/>
        </w:rPr>
      </w:pPr>
      <w:r w:rsidRPr="000474C9">
        <w:rPr>
          <w:rFonts w:ascii="Palatino Linotype" w:hAnsi="Palatino Linotype"/>
          <w:b/>
          <w:bCs/>
          <w:i/>
        </w:rPr>
        <w:t xml:space="preserve">XXIII. </w:t>
      </w:r>
      <w:r w:rsidRPr="000474C9">
        <w:rPr>
          <w:rFonts w:ascii="Palatino Linotype" w:hAnsi="Palatino Linotype"/>
          <w:i/>
        </w:rPr>
        <w:t xml:space="preserve">Sustanciar los procedimientos de adquisiciones y contrataciones de servicios en los términos de la Ley de Contratación Pública del Estado de México y Municipios y su Reglamento; </w:t>
      </w:r>
    </w:p>
    <w:p w:rsidR="000474C9" w:rsidRPr="000474C9" w:rsidRDefault="000474C9" w:rsidP="000474C9">
      <w:pPr>
        <w:spacing w:after="0" w:line="240" w:lineRule="auto"/>
        <w:ind w:left="567" w:right="567"/>
        <w:jc w:val="both"/>
        <w:rPr>
          <w:rFonts w:ascii="Palatino Linotype" w:hAnsi="Palatino Linotype"/>
          <w:i/>
        </w:rPr>
      </w:pPr>
      <w:r w:rsidRPr="000474C9">
        <w:rPr>
          <w:rFonts w:ascii="Palatino Linotype" w:hAnsi="Palatino Linotype"/>
          <w:b/>
          <w:bCs/>
          <w:i/>
        </w:rPr>
        <w:t xml:space="preserve">XXIV. </w:t>
      </w:r>
      <w:r w:rsidRPr="000474C9">
        <w:rPr>
          <w:rFonts w:ascii="Palatino Linotype" w:hAnsi="Palatino Linotype"/>
          <w:i/>
        </w:rPr>
        <w:t xml:space="preserve">Autorizar e implementar los trámites a pago de adquisiciones y contrataciones turnados a la Tesorería para la programación de pagos que se acuerde; </w:t>
      </w:r>
    </w:p>
    <w:p w:rsidR="000474C9" w:rsidRDefault="000474C9" w:rsidP="000474C9">
      <w:pPr>
        <w:spacing w:after="0" w:line="240" w:lineRule="auto"/>
        <w:ind w:left="567" w:right="567"/>
        <w:jc w:val="both"/>
        <w:rPr>
          <w:rFonts w:ascii="Palatino Linotype" w:hAnsi="Palatino Linotype"/>
          <w:i/>
        </w:rPr>
      </w:pPr>
      <w:r w:rsidRPr="000474C9">
        <w:rPr>
          <w:rFonts w:ascii="Palatino Linotype" w:hAnsi="Palatino Linotype"/>
          <w:i/>
        </w:rPr>
        <w:t>(…)</w:t>
      </w:r>
    </w:p>
    <w:p w:rsidR="00672684" w:rsidRDefault="00672684" w:rsidP="000474C9">
      <w:pPr>
        <w:spacing w:after="0" w:line="240" w:lineRule="auto"/>
        <w:ind w:left="567" w:right="567"/>
        <w:jc w:val="both"/>
        <w:rPr>
          <w:rFonts w:ascii="Palatino Linotype" w:hAnsi="Palatino Linotype"/>
          <w:i/>
        </w:rPr>
      </w:pPr>
    </w:p>
    <w:p w:rsidR="00672684" w:rsidRDefault="00672684" w:rsidP="00672684">
      <w:pPr>
        <w:spacing w:after="0" w:line="240" w:lineRule="auto"/>
        <w:ind w:left="567" w:right="567"/>
        <w:jc w:val="both"/>
        <w:rPr>
          <w:rFonts w:ascii="Palatino Linotype" w:hAnsi="Palatino Linotype"/>
          <w:i/>
        </w:rPr>
      </w:pPr>
      <w:r w:rsidRPr="00672684">
        <w:rPr>
          <w:rFonts w:ascii="Palatino Linotype" w:hAnsi="Palatino Linotype"/>
          <w:b/>
          <w:bCs/>
          <w:i/>
        </w:rPr>
        <w:lastRenderedPageBreak/>
        <w:t xml:space="preserve">Artículo 6.2.- </w:t>
      </w:r>
      <w:r w:rsidRPr="00672684">
        <w:rPr>
          <w:rFonts w:ascii="Palatino Linotype" w:hAnsi="Palatino Linotype"/>
          <w:i/>
        </w:rPr>
        <w:t>Para el desarrollo de sus atribuciones, la Dirección de Administración contará con un titular que será responsable de la conducción, supervisión y ejecución de las acciones a que se refiere el artículo que antecede y para su auxilio tendrá a su cargo las siguientes Unidades Administrativas:</w:t>
      </w:r>
    </w:p>
    <w:p w:rsidR="00672684" w:rsidRDefault="00672684" w:rsidP="00672684">
      <w:pPr>
        <w:spacing w:after="0" w:line="240" w:lineRule="auto"/>
        <w:ind w:left="567" w:right="567"/>
        <w:jc w:val="both"/>
        <w:rPr>
          <w:rFonts w:ascii="Palatino Linotype" w:hAnsi="Palatino Linotype"/>
          <w:bCs/>
          <w:i/>
        </w:rPr>
      </w:pPr>
      <w:r>
        <w:rPr>
          <w:rFonts w:ascii="Palatino Linotype" w:hAnsi="Palatino Linotype"/>
          <w:bCs/>
          <w:i/>
        </w:rPr>
        <w:t>I. Subdirección de Recursos Materiales;</w:t>
      </w:r>
    </w:p>
    <w:p w:rsidR="00672684" w:rsidRDefault="00672684" w:rsidP="00672684">
      <w:pPr>
        <w:spacing w:after="0" w:line="240" w:lineRule="auto"/>
        <w:ind w:left="567" w:right="567"/>
        <w:jc w:val="both"/>
        <w:rPr>
          <w:rFonts w:ascii="Palatino Linotype" w:hAnsi="Palatino Linotype"/>
          <w:bCs/>
          <w:i/>
        </w:rPr>
      </w:pPr>
      <w:r>
        <w:rPr>
          <w:rFonts w:ascii="Palatino Linotype" w:hAnsi="Palatino Linotype"/>
          <w:bCs/>
          <w:i/>
        </w:rPr>
        <w:t>(…)</w:t>
      </w:r>
    </w:p>
    <w:p w:rsidR="00672684" w:rsidRDefault="00672684" w:rsidP="00672684">
      <w:pPr>
        <w:spacing w:after="0" w:line="240" w:lineRule="auto"/>
        <w:ind w:left="567" w:right="567"/>
        <w:jc w:val="both"/>
        <w:rPr>
          <w:rFonts w:ascii="Palatino Linotype" w:hAnsi="Palatino Linotype"/>
          <w:bCs/>
          <w:i/>
        </w:rPr>
      </w:pPr>
    </w:p>
    <w:p w:rsidR="00672684" w:rsidRDefault="00672684" w:rsidP="00672684">
      <w:pPr>
        <w:spacing w:after="0" w:line="240" w:lineRule="auto"/>
        <w:ind w:left="567" w:right="567"/>
        <w:jc w:val="both"/>
        <w:rPr>
          <w:rFonts w:ascii="Palatino Linotype" w:hAnsi="Palatino Linotype"/>
          <w:i/>
        </w:rPr>
      </w:pPr>
      <w:r w:rsidRPr="00672684">
        <w:rPr>
          <w:rFonts w:ascii="Palatino Linotype" w:hAnsi="Palatino Linotype"/>
          <w:b/>
          <w:bCs/>
          <w:i/>
        </w:rPr>
        <w:t xml:space="preserve">Artículo 6.3.- </w:t>
      </w:r>
      <w:r w:rsidRPr="00672684">
        <w:rPr>
          <w:rFonts w:ascii="Palatino Linotype" w:hAnsi="Palatino Linotype"/>
          <w:i/>
        </w:rPr>
        <w:t>Son facultades y obligaciones de la Subdirección de Recursos Materiales, las siguientes:</w:t>
      </w:r>
    </w:p>
    <w:p w:rsidR="00672684" w:rsidRDefault="00672684" w:rsidP="00672684">
      <w:pPr>
        <w:spacing w:after="0" w:line="240" w:lineRule="auto"/>
        <w:ind w:left="567" w:right="567"/>
        <w:jc w:val="both"/>
        <w:rPr>
          <w:rFonts w:ascii="Palatino Linotype" w:hAnsi="Palatino Linotype"/>
          <w:i/>
        </w:rPr>
      </w:pPr>
      <w:r>
        <w:rPr>
          <w:rFonts w:ascii="Palatino Linotype" w:hAnsi="Palatino Linotype"/>
          <w:b/>
          <w:bCs/>
          <w:i/>
        </w:rPr>
        <w:t>(…</w:t>
      </w:r>
      <w:r>
        <w:rPr>
          <w:rFonts w:ascii="Palatino Linotype" w:hAnsi="Palatino Linotype"/>
          <w:i/>
        </w:rPr>
        <w:t>)</w:t>
      </w:r>
    </w:p>
    <w:p w:rsidR="00672684" w:rsidRPr="00672684" w:rsidRDefault="00672684" w:rsidP="00672684">
      <w:pPr>
        <w:spacing w:after="0" w:line="240" w:lineRule="auto"/>
        <w:ind w:left="567" w:right="567"/>
        <w:jc w:val="both"/>
        <w:rPr>
          <w:rFonts w:ascii="Palatino Linotype" w:hAnsi="Palatino Linotype"/>
          <w:bCs/>
          <w:i/>
        </w:rPr>
      </w:pPr>
      <w:r w:rsidRPr="00672684">
        <w:rPr>
          <w:rFonts w:ascii="Palatino Linotype" w:hAnsi="Palatino Linotype"/>
          <w:bCs/>
          <w:i/>
        </w:rPr>
        <w:t>IX. Suscribir las cédulas de proveedores y prestadores de servicios del Padrón de Proveedores;</w:t>
      </w:r>
    </w:p>
    <w:p w:rsidR="00672684" w:rsidRPr="00672684" w:rsidRDefault="00672684" w:rsidP="00672684">
      <w:pPr>
        <w:spacing w:after="0" w:line="240" w:lineRule="auto"/>
        <w:ind w:left="567" w:right="567"/>
        <w:jc w:val="both"/>
        <w:rPr>
          <w:rFonts w:ascii="Palatino Linotype" w:hAnsi="Palatino Linotype"/>
          <w:bCs/>
          <w:i/>
        </w:rPr>
      </w:pPr>
      <w:r w:rsidRPr="00672684">
        <w:rPr>
          <w:rFonts w:ascii="Palatino Linotype" w:hAnsi="Palatino Linotype"/>
          <w:bCs/>
          <w:i/>
        </w:rPr>
        <w:t>(…)</w:t>
      </w:r>
    </w:p>
    <w:p w:rsidR="00672684" w:rsidRDefault="00672684" w:rsidP="00672684">
      <w:pPr>
        <w:spacing w:after="0" w:line="240" w:lineRule="auto"/>
        <w:ind w:left="567" w:right="567"/>
        <w:jc w:val="both"/>
        <w:rPr>
          <w:rFonts w:ascii="Palatino Linotype" w:hAnsi="Palatino Linotype"/>
          <w:i/>
        </w:rPr>
      </w:pPr>
      <w:r>
        <w:rPr>
          <w:rFonts w:ascii="Palatino Linotype" w:hAnsi="Palatino Linotype"/>
          <w:i/>
        </w:rPr>
        <w:t>XIV. Integrar y enviar los expedientes de adquisiciones y contrataciones con información comprobatoria completa autorizados para el trámite de pagos a la Tesorería;</w:t>
      </w:r>
    </w:p>
    <w:p w:rsidR="00672684" w:rsidRDefault="00672684" w:rsidP="00672684">
      <w:pPr>
        <w:spacing w:after="0" w:line="240" w:lineRule="auto"/>
        <w:ind w:left="567" w:right="567"/>
        <w:jc w:val="both"/>
        <w:rPr>
          <w:rFonts w:ascii="Palatino Linotype" w:hAnsi="Palatino Linotype"/>
          <w:i/>
        </w:rPr>
      </w:pPr>
      <w:r>
        <w:rPr>
          <w:rFonts w:ascii="Palatino Linotype" w:hAnsi="Palatino Linotype"/>
          <w:i/>
        </w:rPr>
        <w:t>(…)</w:t>
      </w:r>
    </w:p>
    <w:p w:rsidR="00672684" w:rsidRDefault="00672684" w:rsidP="00672684">
      <w:pPr>
        <w:spacing w:after="0" w:line="240" w:lineRule="auto"/>
        <w:ind w:left="567" w:right="567"/>
        <w:jc w:val="both"/>
        <w:rPr>
          <w:rFonts w:ascii="Palatino Linotype" w:hAnsi="Palatino Linotype"/>
          <w:i/>
        </w:rPr>
      </w:pPr>
      <w:r>
        <w:rPr>
          <w:rFonts w:ascii="Palatino Linotype" w:hAnsi="Palatino Linotype"/>
          <w:i/>
        </w:rPr>
        <w:t>XXIII. Suscribir las Cédulas de Proveedores y Prestadores de Servicios</w:t>
      </w:r>
      <w:r w:rsidR="00F715C0">
        <w:rPr>
          <w:rFonts w:ascii="Palatino Linotype" w:hAnsi="Palatino Linotype"/>
          <w:i/>
        </w:rPr>
        <w:t>;</w:t>
      </w:r>
    </w:p>
    <w:p w:rsidR="00F715C0" w:rsidRPr="00672684" w:rsidRDefault="00F715C0" w:rsidP="00672684">
      <w:pPr>
        <w:spacing w:after="0" w:line="240" w:lineRule="auto"/>
        <w:ind w:left="567" w:right="567"/>
        <w:jc w:val="both"/>
        <w:rPr>
          <w:rFonts w:ascii="Palatino Linotype" w:hAnsi="Palatino Linotype"/>
          <w:i/>
        </w:rPr>
      </w:pPr>
      <w:r>
        <w:rPr>
          <w:rFonts w:ascii="Palatino Linotype" w:hAnsi="Palatino Linotype"/>
          <w:i/>
        </w:rPr>
        <w:t>(…)</w:t>
      </w:r>
    </w:p>
    <w:p w:rsidR="000474C9" w:rsidRDefault="000474C9" w:rsidP="006A674A">
      <w:pPr>
        <w:spacing w:after="0" w:line="360" w:lineRule="auto"/>
        <w:jc w:val="both"/>
        <w:rPr>
          <w:rFonts w:ascii="Palatino Linotype" w:hAnsi="Palatino Linotype"/>
          <w:sz w:val="24"/>
          <w:szCs w:val="24"/>
        </w:rPr>
      </w:pPr>
    </w:p>
    <w:p w:rsidR="000474C9" w:rsidRDefault="000474C9" w:rsidP="006A674A">
      <w:pPr>
        <w:spacing w:after="0" w:line="360" w:lineRule="auto"/>
        <w:jc w:val="both"/>
        <w:rPr>
          <w:rFonts w:ascii="Palatino Linotype" w:hAnsi="Palatino Linotype"/>
          <w:sz w:val="24"/>
          <w:szCs w:val="24"/>
        </w:rPr>
      </w:pPr>
      <w:r>
        <w:rPr>
          <w:rFonts w:ascii="Palatino Linotype" w:hAnsi="Palatino Linotype"/>
          <w:sz w:val="24"/>
          <w:szCs w:val="24"/>
        </w:rPr>
        <w:t>En concreto, la Dirección de Administración adscrita al Sujeto Obligado es la competente para sustanciar los procedimientos de adquisiciones y contrataciones de servicios de las diversas dependencias de la Administración Pública Municipal, así como autorizar e implementar los trámites de pago de dichos procedimientos turnados a la Tesorería Municipal para la prog</w:t>
      </w:r>
      <w:r w:rsidR="00F715C0">
        <w:rPr>
          <w:rFonts w:ascii="Palatino Linotype" w:hAnsi="Palatino Linotype"/>
          <w:sz w:val="24"/>
          <w:szCs w:val="24"/>
        </w:rPr>
        <w:t xml:space="preserve">ramación de los pagos acordados; además, a través de la Subdirección de Recursos Materiales, es la encargada de suscribir las Cédulas de Proveedores y Prestadores de Servicios que integran el Padrón de Proveedores y de integrar y enviar los expedientes de adquisiciones y contrataciones con su información comprobatoria </w:t>
      </w:r>
      <w:r w:rsidR="00461AE8">
        <w:rPr>
          <w:rFonts w:ascii="Palatino Linotype" w:hAnsi="Palatino Linotype"/>
          <w:sz w:val="24"/>
          <w:szCs w:val="24"/>
        </w:rPr>
        <w:t xml:space="preserve">completa autorizada para el trámite de pagos a la Tesorería. </w:t>
      </w:r>
    </w:p>
    <w:p w:rsidR="000474C9" w:rsidRPr="00461AE8" w:rsidRDefault="000474C9" w:rsidP="006A674A">
      <w:pPr>
        <w:spacing w:after="0" w:line="360" w:lineRule="auto"/>
        <w:jc w:val="both"/>
        <w:rPr>
          <w:rFonts w:ascii="Palatino Linotype" w:hAnsi="Palatino Linotype"/>
          <w:sz w:val="24"/>
          <w:szCs w:val="24"/>
        </w:rPr>
      </w:pPr>
    </w:p>
    <w:p w:rsidR="00461AE8" w:rsidRPr="00461AE8" w:rsidRDefault="00461AE8" w:rsidP="00461AE8">
      <w:pPr>
        <w:pStyle w:val="Sinespaciado"/>
        <w:spacing w:line="360" w:lineRule="auto"/>
        <w:jc w:val="both"/>
        <w:rPr>
          <w:rFonts w:ascii="Palatino Linotype" w:hAnsi="Palatino Linotype"/>
          <w:sz w:val="24"/>
          <w:szCs w:val="24"/>
        </w:rPr>
      </w:pPr>
      <w:r w:rsidRPr="00461AE8">
        <w:rPr>
          <w:rFonts w:ascii="Palatino Linotype" w:hAnsi="Palatino Linotype"/>
          <w:sz w:val="24"/>
          <w:szCs w:val="24"/>
        </w:rPr>
        <w:lastRenderedPageBreak/>
        <w:t>Dichas unidades administrativas, de acuerdo a lo establecido en los artículos 18 y 19 de la Ley de Trasparencia estatal, están obligadas a documentar todo acto que derive de sus facultades, por lo que dicha información se presume que existe por referirse a las facultades, competencias y funciones que le son otorgadas.</w:t>
      </w:r>
    </w:p>
    <w:p w:rsidR="00461AE8" w:rsidRPr="00461AE8" w:rsidRDefault="00461AE8" w:rsidP="00461AE8">
      <w:pPr>
        <w:pStyle w:val="Sinespaciado"/>
        <w:spacing w:line="360" w:lineRule="auto"/>
        <w:jc w:val="both"/>
        <w:rPr>
          <w:rFonts w:ascii="Palatino Linotype" w:hAnsi="Palatino Linotype"/>
          <w:sz w:val="24"/>
          <w:szCs w:val="24"/>
        </w:rPr>
      </w:pPr>
    </w:p>
    <w:p w:rsidR="00461AE8" w:rsidRPr="00461AE8" w:rsidRDefault="00461AE8" w:rsidP="00461AE8">
      <w:pPr>
        <w:pStyle w:val="Sinespaciado"/>
        <w:spacing w:line="360" w:lineRule="auto"/>
        <w:jc w:val="both"/>
        <w:rPr>
          <w:rFonts w:ascii="Palatino Linotype" w:hAnsi="Palatino Linotype"/>
          <w:sz w:val="24"/>
          <w:szCs w:val="24"/>
        </w:rPr>
      </w:pPr>
      <w:r w:rsidRPr="00461AE8">
        <w:rPr>
          <w:rFonts w:ascii="Palatino Linotype" w:hAnsi="Palatino Linotype"/>
          <w:sz w:val="24"/>
          <w:szCs w:val="24"/>
        </w:rPr>
        <w:t>Así las cosas, se puede advertir que el derecho del particular de acceder a los documentos que obran en posesión del Sujeto Obligado se encuentra limitado, en virtud de que no le fue</w:t>
      </w:r>
      <w:r>
        <w:rPr>
          <w:rFonts w:ascii="Palatino Linotype" w:hAnsi="Palatino Linotype"/>
          <w:sz w:val="24"/>
          <w:szCs w:val="24"/>
        </w:rPr>
        <w:t xml:space="preserve"> proporcionada la información relativa a los pagos realizados a los grupos artísticos que participaron en el evento de las fiestas patrias del quince de septiembre de dos mil diecinueve, </w:t>
      </w:r>
      <w:r w:rsidRPr="00461AE8">
        <w:rPr>
          <w:rFonts w:ascii="Palatino Linotype" w:hAnsi="Palatino Linotype"/>
          <w:sz w:val="24"/>
          <w:szCs w:val="24"/>
        </w:rPr>
        <w:t>incumpliendo así lo previsto en el artículo 4 de la Ley de Transparencia y Acceso a la Información Pública del Estado de México y Municipios,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p>
    <w:p w:rsidR="00461AE8" w:rsidRDefault="00461AE8" w:rsidP="00081C93">
      <w:pPr>
        <w:pStyle w:val="Sinespaciado"/>
        <w:spacing w:line="360" w:lineRule="auto"/>
        <w:jc w:val="both"/>
        <w:rPr>
          <w:rFonts w:ascii="Palatino Linotype" w:hAnsi="Palatino Linotype"/>
          <w:sz w:val="24"/>
          <w:szCs w:val="24"/>
        </w:rPr>
      </w:pPr>
    </w:p>
    <w:p w:rsidR="00117ABF" w:rsidRDefault="00117ABF" w:rsidP="00081C93">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Para mayor abundamiento, es aplicable la tesis emitida por la Segunda Sala de la Suprema Corte de Justicia de la Nación en la contradicción de tesis 333/2009, en la que se sostuvo el siguiente criterio:</w:t>
      </w:r>
    </w:p>
    <w:p w:rsidR="00117ABF" w:rsidRDefault="00117ABF" w:rsidP="00081C93">
      <w:pPr>
        <w:pStyle w:val="Sinespaciado"/>
        <w:spacing w:line="360" w:lineRule="auto"/>
        <w:jc w:val="both"/>
        <w:rPr>
          <w:rFonts w:ascii="Palatino Linotype" w:hAnsi="Palatino Linotype"/>
          <w:sz w:val="24"/>
          <w:szCs w:val="24"/>
        </w:rPr>
      </w:pPr>
    </w:p>
    <w:p w:rsidR="00B2131A" w:rsidRPr="00B2131A" w:rsidRDefault="00B2131A" w:rsidP="00B2131A">
      <w:pPr>
        <w:pStyle w:val="Sinespaciado"/>
        <w:ind w:left="567" w:right="567"/>
        <w:jc w:val="both"/>
        <w:rPr>
          <w:rFonts w:ascii="Palatino Linotype" w:hAnsi="Palatino Linotype"/>
          <w:b/>
          <w:i/>
        </w:rPr>
      </w:pPr>
      <w:r w:rsidRPr="00B2131A">
        <w:rPr>
          <w:rFonts w:ascii="Palatino Linotype" w:hAnsi="Palatino Linotype"/>
          <w:b/>
          <w:i/>
        </w:rPr>
        <w:t>INFORMACIÓN PÚBLICA. ES AQUELLA QUE SE ENCUENTRA EN POSESIÓN DE CUALQUIER AUTORIDAD, ENTIDAD, ÓRGANO Y ORGANISMO FEDERAL, ESTATAL Y MUNICIPAL, SIEMPRE QUE SE HAYA OBTENIDO POR CAUSA DEL EJERCICIO DE FUNCIONES DE DERECHO PÚBLICO.</w:t>
      </w:r>
    </w:p>
    <w:p w:rsidR="00B2131A" w:rsidRPr="00B2131A" w:rsidRDefault="00B2131A" w:rsidP="00B2131A">
      <w:pPr>
        <w:pStyle w:val="Sinespaciado"/>
        <w:ind w:left="567" w:right="567"/>
        <w:jc w:val="both"/>
        <w:rPr>
          <w:rFonts w:ascii="Palatino Linotype" w:hAnsi="Palatino Linotype"/>
          <w:i/>
        </w:rPr>
      </w:pPr>
    </w:p>
    <w:p w:rsidR="00117ABF" w:rsidRPr="00B2131A" w:rsidRDefault="00B2131A" w:rsidP="00B2131A">
      <w:pPr>
        <w:pStyle w:val="Sinespaciado"/>
        <w:ind w:left="567" w:right="567"/>
        <w:jc w:val="both"/>
        <w:rPr>
          <w:rFonts w:ascii="Palatino Linotype" w:hAnsi="Palatino Linotype"/>
          <w:sz w:val="24"/>
          <w:szCs w:val="24"/>
        </w:rPr>
      </w:pPr>
      <w:r w:rsidRPr="00B2131A">
        <w:rPr>
          <w:rFonts w:ascii="Palatino Linotype" w:hAnsi="Palatino Linotype"/>
          <w:i/>
        </w:rPr>
        <w:t>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w:t>
      </w:r>
      <w:r>
        <w:rPr>
          <w:rStyle w:val="Refdenotaalpie"/>
          <w:rFonts w:ascii="Palatino Linotype" w:hAnsi="Palatino Linotype"/>
          <w:i/>
        </w:rPr>
        <w:footnoteReference w:id="2"/>
      </w:r>
    </w:p>
    <w:p w:rsidR="00117ABF" w:rsidRDefault="00117ABF" w:rsidP="00081C93">
      <w:pPr>
        <w:pStyle w:val="Sinespaciado"/>
        <w:spacing w:line="360" w:lineRule="auto"/>
        <w:jc w:val="both"/>
        <w:rPr>
          <w:rFonts w:ascii="Palatino Linotype" w:hAnsi="Palatino Linotype"/>
          <w:sz w:val="24"/>
          <w:szCs w:val="24"/>
        </w:rPr>
      </w:pPr>
    </w:p>
    <w:p w:rsidR="00117ABF" w:rsidRDefault="00B2131A" w:rsidP="00081C93">
      <w:pPr>
        <w:pStyle w:val="Sinespaciado"/>
        <w:spacing w:line="360" w:lineRule="auto"/>
        <w:jc w:val="both"/>
        <w:rPr>
          <w:rFonts w:ascii="Palatino Linotype" w:hAnsi="Palatino Linotype"/>
          <w:sz w:val="24"/>
          <w:szCs w:val="24"/>
        </w:rPr>
      </w:pPr>
      <w:r>
        <w:rPr>
          <w:rFonts w:ascii="Palatino Linotype" w:hAnsi="Palatino Linotype"/>
          <w:sz w:val="24"/>
          <w:szCs w:val="24"/>
        </w:rPr>
        <w:t>De lo anterior se desprende que todo el conjunto de datos en posesión de cualquier autoridad que haya sido obtenida en el ejercicio de funciones de derecho público es información pública</w:t>
      </w:r>
      <w:r w:rsidR="001140AF">
        <w:rPr>
          <w:rFonts w:ascii="Palatino Linotype" w:hAnsi="Palatino Linotype"/>
          <w:sz w:val="24"/>
          <w:szCs w:val="24"/>
        </w:rPr>
        <w:t xml:space="preserve"> y debe ser puesta a disposición de la sociedad.</w:t>
      </w:r>
    </w:p>
    <w:p w:rsidR="00117ABF" w:rsidRPr="00081C93" w:rsidRDefault="00117ABF" w:rsidP="00081C93">
      <w:pPr>
        <w:pStyle w:val="Sinespaciado"/>
        <w:spacing w:line="360" w:lineRule="auto"/>
        <w:jc w:val="both"/>
        <w:rPr>
          <w:rFonts w:ascii="Palatino Linotype" w:hAnsi="Palatino Linotype"/>
          <w:sz w:val="24"/>
          <w:szCs w:val="24"/>
        </w:rPr>
      </w:pPr>
    </w:p>
    <w:p w:rsidR="00081C93" w:rsidRPr="00081C93" w:rsidRDefault="00081C93" w:rsidP="00081C93">
      <w:pPr>
        <w:pStyle w:val="Sinespaciado"/>
        <w:spacing w:line="360" w:lineRule="auto"/>
        <w:jc w:val="both"/>
        <w:rPr>
          <w:rFonts w:ascii="Palatino Linotype" w:hAnsi="Palatino Linotype"/>
          <w:sz w:val="24"/>
          <w:szCs w:val="24"/>
        </w:rPr>
      </w:pPr>
      <w:r w:rsidRPr="00081C93">
        <w:rPr>
          <w:rFonts w:ascii="Palatino Linotype" w:hAnsi="Palatino Linotype"/>
          <w:sz w:val="24"/>
          <w:szCs w:val="24"/>
        </w:rPr>
        <w:t>Consecuentemente, no es posible tener por satisfecho el derecho de acceso a la información del hoy Recurrente</w:t>
      </w:r>
      <w:r w:rsidRPr="00081C93">
        <w:rPr>
          <w:rFonts w:ascii="Palatino Linotype" w:hAnsi="Palatino Linotype"/>
          <w:b/>
          <w:i/>
          <w:sz w:val="24"/>
          <w:szCs w:val="24"/>
        </w:rPr>
        <w:t xml:space="preserve"> </w:t>
      </w:r>
      <w:r w:rsidRPr="00081C93">
        <w:rPr>
          <w:rFonts w:ascii="Palatino Linotype" w:hAnsi="Palatino Linotype"/>
          <w:sz w:val="24"/>
          <w:szCs w:val="24"/>
        </w:rPr>
        <w:t xml:space="preserve">en virtud de que en primer término es preciso referir </w:t>
      </w:r>
      <w:r w:rsidRPr="00081C93">
        <w:rPr>
          <w:rFonts w:ascii="Palatino Linotype" w:hAnsi="Palatino Linotype"/>
          <w:sz w:val="24"/>
          <w:szCs w:val="24"/>
        </w:rPr>
        <w:lastRenderedPageBreak/>
        <w:t>que estamos ante el escenario de documentos los cuales son considerados públicos, es decir, la naturaleza de los contratos y de los asuntos que se traten en éstos son así, es entonces debe contar en su poder, sirve de referencia los artículos 1, 2, 5 y 6 de la Ley de Documentos Administrativos e Históricos del Estado de México que a continuación se trascriben:</w:t>
      </w:r>
    </w:p>
    <w:p w:rsidR="00081C93" w:rsidRPr="00081C93" w:rsidRDefault="00081C93" w:rsidP="00081C93">
      <w:pPr>
        <w:pStyle w:val="Sinespaciado"/>
        <w:spacing w:line="360" w:lineRule="auto"/>
        <w:jc w:val="both"/>
        <w:rPr>
          <w:rFonts w:ascii="Palatino Linotype" w:hAnsi="Palatino Linotype"/>
          <w:sz w:val="24"/>
          <w:szCs w:val="24"/>
        </w:rPr>
      </w:pPr>
    </w:p>
    <w:p w:rsidR="00081C93" w:rsidRPr="00CF4850" w:rsidRDefault="00081C93" w:rsidP="00081C93">
      <w:pPr>
        <w:pStyle w:val="Sinespaciado"/>
        <w:ind w:left="567" w:right="567"/>
        <w:jc w:val="both"/>
        <w:rPr>
          <w:rFonts w:ascii="Palatino Linotype" w:hAnsi="Palatino Linotype"/>
          <w:i/>
        </w:rPr>
      </w:pPr>
      <w:r w:rsidRPr="00CF4850">
        <w:rPr>
          <w:rFonts w:ascii="Palatino Linotype" w:hAnsi="Palatino Linotype"/>
          <w:b/>
          <w:i/>
        </w:rPr>
        <w:t>Artículo 1.</w:t>
      </w:r>
      <w:r w:rsidRPr="00CF4850">
        <w:rPr>
          <w:rFonts w:ascii="Palatino Linotype" w:hAnsi="Palatino Linotype"/>
          <w:i/>
        </w:rPr>
        <w:t xml:space="preserve"> </w:t>
      </w:r>
      <w:r w:rsidRPr="00CF4850">
        <w:rPr>
          <w:rFonts w:ascii="Palatino Linotype" w:hAnsi="Palatino Linotype"/>
          <w:b/>
          <w:i/>
        </w:rPr>
        <w:t xml:space="preserve">La presente Ley, </w:t>
      </w:r>
      <w:r w:rsidRPr="00CF4850">
        <w:rPr>
          <w:rFonts w:ascii="Palatino Linotype" w:hAnsi="Palatino Linotype"/>
          <w:b/>
          <w:i/>
          <w:u w:val="single"/>
        </w:rPr>
        <w:t>es de orden público e interés social y tiene por objeto normar y regular la administración de documentos administrativos e históricos de las autoridades del Estado</w:t>
      </w:r>
      <w:r w:rsidRPr="00CF4850">
        <w:rPr>
          <w:rFonts w:ascii="Palatino Linotype" w:hAnsi="Palatino Linotype"/>
          <w:i/>
        </w:rPr>
        <w:t xml:space="preserve"> y los municipios en el ámbito de su competencia. Se entiende por documento, cualquier objeto o archivo electrónico o de cualquier otra tecnología existente que pueda dar constancia de un hecho.</w:t>
      </w:r>
    </w:p>
    <w:p w:rsidR="00081C93" w:rsidRPr="00CF4850" w:rsidRDefault="00081C93" w:rsidP="00081C93">
      <w:pPr>
        <w:pStyle w:val="Sinespaciado"/>
        <w:ind w:left="567" w:right="567"/>
        <w:jc w:val="both"/>
        <w:rPr>
          <w:rFonts w:ascii="Palatino Linotype" w:hAnsi="Palatino Linotype"/>
          <w:i/>
        </w:rPr>
      </w:pPr>
    </w:p>
    <w:p w:rsidR="00081C93" w:rsidRPr="00CF4850" w:rsidRDefault="00081C93" w:rsidP="00081C93">
      <w:pPr>
        <w:pStyle w:val="Sinespaciado"/>
        <w:ind w:left="567" w:right="567"/>
        <w:jc w:val="both"/>
        <w:rPr>
          <w:rFonts w:ascii="Palatino Linotype" w:hAnsi="Palatino Linotype"/>
          <w:i/>
          <w:u w:val="single"/>
        </w:rPr>
      </w:pPr>
      <w:r w:rsidRPr="00CF4850">
        <w:rPr>
          <w:rFonts w:ascii="Palatino Linotype" w:hAnsi="Palatino Linotype"/>
          <w:b/>
          <w:i/>
        </w:rPr>
        <w:t>Artículo 2.-</w:t>
      </w:r>
      <w:r w:rsidRPr="00CF4850">
        <w:rPr>
          <w:rFonts w:ascii="Palatino Linotype" w:hAnsi="Palatino Linotype"/>
          <w:i/>
        </w:rPr>
        <w:t xml:space="preserve"> Para los efectos de esta Ley, </w:t>
      </w:r>
      <w:r w:rsidRPr="00CF4850">
        <w:rPr>
          <w:rFonts w:ascii="Palatino Linotype" w:hAnsi="Palatino Linotype"/>
          <w:b/>
          <w:i/>
          <w:u w:val="single"/>
        </w:rPr>
        <w:t>se entiende por Administración de Documentos</w:t>
      </w:r>
      <w:r w:rsidRPr="00CF4850">
        <w:rPr>
          <w:rFonts w:ascii="Palatino Linotype" w:hAnsi="Palatino Linotype"/>
          <w:i/>
          <w:u w:val="single"/>
        </w:rPr>
        <w:t>:</w:t>
      </w:r>
    </w:p>
    <w:p w:rsidR="00081C93" w:rsidRPr="00CF4850" w:rsidRDefault="00081C93" w:rsidP="00081C93">
      <w:pPr>
        <w:pStyle w:val="Sinespaciado"/>
        <w:ind w:left="567" w:right="567"/>
        <w:jc w:val="both"/>
        <w:rPr>
          <w:rFonts w:ascii="Palatino Linotype" w:hAnsi="Palatino Linotype"/>
          <w:i/>
        </w:rPr>
      </w:pPr>
      <w:r w:rsidRPr="00CF4850">
        <w:rPr>
          <w:rFonts w:ascii="Palatino Linotype" w:hAnsi="Palatino Linotype"/>
          <w:i/>
        </w:rPr>
        <w:t xml:space="preserve"> </w:t>
      </w:r>
    </w:p>
    <w:p w:rsidR="00081C93" w:rsidRPr="00CF4850" w:rsidRDefault="00081C93" w:rsidP="00081C93">
      <w:pPr>
        <w:pStyle w:val="Sinespaciado"/>
        <w:ind w:left="567" w:right="567"/>
        <w:jc w:val="both"/>
        <w:rPr>
          <w:rFonts w:ascii="Palatino Linotype" w:hAnsi="Palatino Linotype"/>
          <w:i/>
        </w:rPr>
      </w:pPr>
      <w:r w:rsidRPr="00CF4850">
        <w:rPr>
          <w:rFonts w:ascii="Palatino Linotype" w:hAnsi="Palatino Linotype"/>
          <w:i/>
        </w:rPr>
        <w:t xml:space="preserve">a) </w:t>
      </w:r>
      <w:r w:rsidRPr="00CF4850">
        <w:rPr>
          <w:rFonts w:ascii="Palatino Linotype" w:hAnsi="Palatino Linotype"/>
          <w:b/>
          <w:i/>
          <w:u w:val="single"/>
        </w:rPr>
        <w:t>Los actos tendientes a inventariar, regular, coordinar y dinamizar el funcionamiento y uso de los documentos existentes</w:t>
      </w:r>
      <w:r w:rsidRPr="00CF4850">
        <w:rPr>
          <w:rFonts w:ascii="Palatino Linotype" w:hAnsi="Palatino Linotype"/>
          <w:i/>
        </w:rPr>
        <w:t xml:space="preserve"> en los Archivos Administrativos e Históricos de los Poderes del Estado, Municipios y Organismos Auxiliares y en su caso, los que posean particulares.</w:t>
      </w:r>
    </w:p>
    <w:p w:rsidR="00081C93" w:rsidRPr="00CF4850" w:rsidRDefault="00081C93" w:rsidP="00081C93">
      <w:pPr>
        <w:pStyle w:val="Sinespaciado"/>
        <w:ind w:left="567" w:right="567"/>
        <w:jc w:val="both"/>
        <w:rPr>
          <w:rFonts w:ascii="Palatino Linotype" w:hAnsi="Palatino Linotype"/>
          <w:i/>
        </w:rPr>
      </w:pPr>
      <w:r w:rsidRPr="00CF4850">
        <w:rPr>
          <w:rFonts w:ascii="Palatino Linotype" w:hAnsi="Palatino Linotype"/>
          <w:i/>
        </w:rPr>
        <w:t xml:space="preserve">b) </w:t>
      </w:r>
      <w:r w:rsidRPr="00CF4850">
        <w:rPr>
          <w:rFonts w:ascii="Palatino Linotype" w:hAnsi="Palatino Linotype"/>
          <w:b/>
          <w:i/>
          <w:u w:val="single"/>
        </w:rPr>
        <w:t>Los actos que se realicen para generar, recibir, mantener, custodiar, reconstruir, depurar o destruir Documentos Administrativos</w:t>
      </w:r>
      <w:r w:rsidRPr="00CF4850">
        <w:rPr>
          <w:rFonts w:ascii="Palatino Linotype" w:hAnsi="Palatino Linotype"/>
          <w:i/>
        </w:rPr>
        <w:t xml:space="preserve"> o Históricos, que por su importancia sean fuentes esenciales de información acerca del pasado y presente de la vida institucional del Estado.</w:t>
      </w:r>
    </w:p>
    <w:p w:rsidR="00081C93" w:rsidRPr="00CF4850" w:rsidRDefault="00081C93" w:rsidP="00081C93">
      <w:pPr>
        <w:pStyle w:val="Sinespaciado"/>
        <w:ind w:left="567" w:right="567"/>
        <w:jc w:val="both"/>
        <w:rPr>
          <w:rFonts w:ascii="Palatino Linotype" w:hAnsi="Palatino Linotype"/>
          <w:i/>
        </w:rPr>
      </w:pPr>
    </w:p>
    <w:p w:rsidR="00081C93" w:rsidRPr="00CF4850" w:rsidRDefault="00081C93" w:rsidP="00081C93">
      <w:pPr>
        <w:pStyle w:val="Sinespaciado"/>
        <w:ind w:left="567" w:right="567"/>
        <w:jc w:val="both"/>
        <w:rPr>
          <w:rFonts w:ascii="Palatino Linotype" w:hAnsi="Palatino Linotype"/>
          <w:i/>
        </w:rPr>
      </w:pPr>
      <w:r w:rsidRPr="00CF4850">
        <w:rPr>
          <w:rFonts w:ascii="Palatino Linotype" w:hAnsi="Palatino Linotype"/>
          <w:b/>
          <w:i/>
        </w:rPr>
        <w:t>Artículo 3.-</w:t>
      </w:r>
      <w:r w:rsidRPr="00CF4850">
        <w:rPr>
          <w:rFonts w:ascii="Palatino Linotype" w:hAnsi="Palatino Linotype"/>
          <w:i/>
        </w:rPr>
        <w:t xml:space="preserve"> Los sujetos públicos encargados de realizar los actos a que se refiere el artículo anterior, son los Poderes del Estado, Municipios y Organismos Auxiliares. Los usuarios, son aquellas personas, que reciben el beneficio del uso temporal y controlado de los Documentos que obran en los Archivos.</w:t>
      </w:r>
    </w:p>
    <w:p w:rsidR="00081C93" w:rsidRPr="00CF4850" w:rsidRDefault="00081C93" w:rsidP="00081C93">
      <w:pPr>
        <w:pStyle w:val="Sinespaciado"/>
        <w:ind w:left="567" w:right="567"/>
        <w:jc w:val="both"/>
        <w:rPr>
          <w:rFonts w:ascii="Palatino Linotype" w:hAnsi="Palatino Linotype"/>
          <w:i/>
        </w:rPr>
      </w:pPr>
    </w:p>
    <w:p w:rsidR="00081C93" w:rsidRPr="00CF4850" w:rsidRDefault="00081C93" w:rsidP="00081C93">
      <w:pPr>
        <w:pStyle w:val="Sinespaciado"/>
        <w:ind w:left="567" w:right="567"/>
        <w:jc w:val="both"/>
        <w:rPr>
          <w:rFonts w:ascii="Palatino Linotype" w:hAnsi="Palatino Linotype"/>
          <w:i/>
        </w:rPr>
      </w:pPr>
      <w:r w:rsidRPr="00CF4850">
        <w:rPr>
          <w:rFonts w:ascii="Palatino Linotype" w:hAnsi="Palatino Linotype"/>
          <w:b/>
          <w:i/>
        </w:rPr>
        <w:t>Artículo 5.-</w:t>
      </w:r>
      <w:r w:rsidRPr="00CF4850">
        <w:rPr>
          <w:rFonts w:ascii="Palatino Linotype" w:hAnsi="Palatino Linotype"/>
          <w:i/>
        </w:rPr>
        <w:t xml:space="preserve"> </w:t>
      </w:r>
      <w:r w:rsidRPr="00CF4850">
        <w:rPr>
          <w:rFonts w:ascii="Palatino Linotype" w:hAnsi="Palatino Linotype"/>
          <w:b/>
          <w:i/>
          <w:u w:val="single"/>
        </w:rPr>
        <w:t>El servidor público, encargado de recibir documentos, los registrará en el acto de su recepción, indicando el destino que deba darse a cada uno</w:t>
      </w:r>
      <w:r w:rsidRPr="00CF4850">
        <w:rPr>
          <w:rFonts w:ascii="Palatino Linotype" w:hAnsi="Palatino Linotype"/>
          <w:i/>
          <w:u w:val="single"/>
        </w:rPr>
        <w:t>.</w:t>
      </w:r>
    </w:p>
    <w:p w:rsidR="00081C93" w:rsidRPr="00CF4850" w:rsidRDefault="00081C93" w:rsidP="00081C93">
      <w:pPr>
        <w:pStyle w:val="Sinespaciado"/>
        <w:ind w:left="567" w:right="567"/>
        <w:jc w:val="both"/>
        <w:rPr>
          <w:rFonts w:ascii="Palatino Linotype" w:hAnsi="Palatino Linotype"/>
          <w:i/>
        </w:rPr>
      </w:pPr>
    </w:p>
    <w:p w:rsidR="00081C93" w:rsidRPr="00CF4850" w:rsidRDefault="00081C93" w:rsidP="00081C93">
      <w:pPr>
        <w:pStyle w:val="Sinespaciado"/>
        <w:ind w:left="567" w:right="567"/>
        <w:jc w:val="both"/>
        <w:rPr>
          <w:rFonts w:ascii="Palatino Linotype" w:hAnsi="Palatino Linotype"/>
          <w:i/>
        </w:rPr>
      </w:pPr>
      <w:r w:rsidRPr="00CF4850">
        <w:rPr>
          <w:rFonts w:ascii="Palatino Linotype" w:hAnsi="Palatino Linotype"/>
          <w:b/>
          <w:i/>
        </w:rPr>
        <w:t>Artículo 6.-</w:t>
      </w:r>
      <w:r w:rsidRPr="00CF4850">
        <w:rPr>
          <w:rFonts w:ascii="Palatino Linotype" w:hAnsi="Palatino Linotype"/>
          <w:i/>
        </w:rPr>
        <w:t xml:space="preserve"> </w:t>
      </w:r>
      <w:r w:rsidRPr="00CF4850">
        <w:rPr>
          <w:rFonts w:ascii="Palatino Linotype" w:hAnsi="Palatino Linotype"/>
          <w:b/>
          <w:i/>
          <w:u w:val="single"/>
        </w:rPr>
        <w:t>Los usuarios tendrán acceso a la información de los documentos, conforme a lo dispuesto por la ley de la materia</w:t>
      </w:r>
      <w:r w:rsidRPr="00CF4850">
        <w:rPr>
          <w:rFonts w:ascii="Palatino Linotype" w:hAnsi="Palatino Linotype"/>
          <w:i/>
          <w:u w:val="single"/>
        </w:rPr>
        <w:t>.</w:t>
      </w:r>
    </w:p>
    <w:p w:rsidR="00081C93" w:rsidRPr="00081C93" w:rsidRDefault="00081C93" w:rsidP="00081C93">
      <w:pPr>
        <w:pStyle w:val="Sinespaciado"/>
        <w:spacing w:line="360" w:lineRule="auto"/>
        <w:jc w:val="both"/>
        <w:rPr>
          <w:rFonts w:ascii="Palatino Linotype" w:hAnsi="Palatino Linotype"/>
          <w:i/>
          <w:sz w:val="24"/>
          <w:szCs w:val="24"/>
        </w:rPr>
      </w:pPr>
    </w:p>
    <w:p w:rsidR="00081C93" w:rsidRPr="00081C93" w:rsidRDefault="00081C93" w:rsidP="00081C93">
      <w:pPr>
        <w:pStyle w:val="Sinespaciado"/>
        <w:spacing w:line="360" w:lineRule="auto"/>
        <w:jc w:val="both"/>
        <w:rPr>
          <w:rFonts w:ascii="Palatino Linotype" w:hAnsi="Palatino Linotype"/>
          <w:sz w:val="24"/>
          <w:szCs w:val="24"/>
        </w:rPr>
      </w:pPr>
      <w:r w:rsidRPr="00081C93">
        <w:rPr>
          <w:rFonts w:ascii="Palatino Linotype" w:hAnsi="Palatino Linotype"/>
          <w:sz w:val="24"/>
          <w:szCs w:val="24"/>
        </w:rPr>
        <w:lastRenderedPageBreak/>
        <w:t>De los preceptos jurídicos invocados con anterioridad se desprende que la Ley que regula los documentos en el Estado indica que es de orden público e interés social, es decir, tiene efectos frente a todos (</w:t>
      </w:r>
      <w:r w:rsidRPr="00081C93">
        <w:rPr>
          <w:rFonts w:ascii="Palatino Linotype" w:hAnsi="Palatino Linotype"/>
          <w:i/>
          <w:sz w:val="24"/>
          <w:szCs w:val="24"/>
        </w:rPr>
        <w:t>erga omnes</w:t>
      </w:r>
      <w:r w:rsidRPr="00081C93">
        <w:rPr>
          <w:rFonts w:ascii="Palatino Linotype" w:hAnsi="Palatino Linotype"/>
          <w:sz w:val="24"/>
          <w:szCs w:val="24"/>
        </w:rPr>
        <w:t>), lo que implica que a todas aquellas autoridades que estén en el territorio mexiquense les aplica la Ley en cuestión tratándose en materia de documentos, asimismo como lo es el Sujeto Obligado, juega un papel de autoridad administrativa, es decir, se configura el hecho de que estamos ante una dependencia que realiza actos de autoridad y que estos mismos se deben documentar como la Ley de la materia lo señala.</w:t>
      </w:r>
    </w:p>
    <w:p w:rsidR="00081C93" w:rsidRPr="00081C93" w:rsidRDefault="00081C93" w:rsidP="00081C93">
      <w:pPr>
        <w:pStyle w:val="Sinespaciado"/>
        <w:spacing w:line="360" w:lineRule="auto"/>
        <w:jc w:val="both"/>
        <w:rPr>
          <w:rFonts w:ascii="Palatino Linotype" w:hAnsi="Palatino Linotype"/>
          <w:sz w:val="24"/>
          <w:szCs w:val="24"/>
        </w:rPr>
      </w:pPr>
    </w:p>
    <w:p w:rsidR="00081C93" w:rsidRPr="00081C93" w:rsidRDefault="00081C93" w:rsidP="00081C93">
      <w:pPr>
        <w:pStyle w:val="Sinespaciado"/>
        <w:spacing w:line="360" w:lineRule="auto"/>
        <w:jc w:val="both"/>
        <w:rPr>
          <w:rFonts w:ascii="Palatino Linotype" w:eastAsia="Calibri" w:hAnsi="Palatino Linotype" w:cs="Arial"/>
          <w:sz w:val="24"/>
          <w:szCs w:val="24"/>
        </w:rPr>
      </w:pPr>
      <w:r w:rsidRPr="00081C93">
        <w:rPr>
          <w:rFonts w:ascii="Palatino Linotype" w:hAnsi="Palatino Linotype"/>
          <w:sz w:val="24"/>
          <w:szCs w:val="24"/>
        </w:rPr>
        <w:t>En ese orden de ideas, se considera que el Sujeto Obligado tiene la obligación de contar con la información solicitada debido a que forma parte de las obligaciones comunes que se señalan en el artículo 92 de la Ley de Transparencia y Acceso a la Información Pública del Estado de México y Municipios, en razón del siguiente razonamiento</w:t>
      </w:r>
      <w:r w:rsidRPr="00081C93">
        <w:rPr>
          <w:rFonts w:ascii="Palatino Linotype" w:eastAsia="Calibri" w:hAnsi="Palatino Linotype" w:cs="Arial"/>
          <w:sz w:val="24"/>
          <w:szCs w:val="24"/>
        </w:rPr>
        <w:t xml:space="preserve">: </w:t>
      </w:r>
    </w:p>
    <w:p w:rsidR="00081C93" w:rsidRPr="00081C93" w:rsidRDefault="00081C93" w:rsidP="00081C93">
      <w:pPr>
        <w:pStyle w:val="Sinespaciado"/>
        <w:spacing w:line="360" w:lineRule="auto"/>
        <w:jc w:val="both"/>
        <w:rPr>
          <w:rFonts w:ascii="Palatino Linotype" w:eastAsia="Calibri" w:hAnsi="Palatino Linotype" w:cs="Arial"/>
          <w:sz w:val="24"/>
          <w:szCs w:val="24"/>
        </w:rPr>
      </w:pPr>
    </w:p>
    <w:p w:rsidR="00081C93" w:rsidRPr="00081C93" w:rsidRDefault="00081C93" w:rsidP="00081C93">
      <w:pPr>
        <w:pStyle w:val="Sinespaciado"/>
        <w:spacing w:line="360" w:lineRule="auto"/>
        <w:jc w:val="both"/>
        <w:rPr>
          <w:rFonts w:ascii="Palatino Linotype" w:eastAsia="Calibri" w:hAnsi="Palatino Linotype" w:cs="Arial"/>
          <w:sz w:val="24"/>
          <w:szCs w:val="24"/>
        </w:rPr>
      </w:pPr>
      <w:r w:rsidRPr="00081C93">
        <w:rPr>
          <w:rFonts w:ascii="Palatino Linotype" w:eastAsia="Calibri" w:hAnsi="Palatino Linotype" w:cs="Arial"/>
          <w:sz w:val="24"/>
          <w:szCs w:val="24"/>
        </w:rPr>
        <w:t>Los artículos 43, 48 fracción I y 49, dela Ley de Contratación Pública del Estado de México y Municipios, estipulan los procedimientos para la adquisición de bienes o servicios, a través de diversas modalidades, como se señala a continuación:</w:t>
      </w:r>
    </w:p>
    <w:p w:rsidR="00081C93" w:rsidRPr="00081C93" w:rsidRDefault="00081C93" w:rsidP="00081C93">
      <w:pPr>
        <w:pStyle w:val="Sinespaciado"/>
        <w:spacing w:line="360" w:lineRule="auto"/>
        <w:jc w:val="both"/>
        <w:rPr>
          <w:rFonts w:ascii="Palatino Linotype" w:eastAsia="Calibri" w:hAnsi="Palatino Linotype" w:cs="Arial"/>
          <w:sz w:val="24"/>
          <w:szCs w:val="24"/>
        </w:rPr>
      </w:pPr>
    </w:p>
    <w:p w:rsidR="00081C93" w:rsidRPr="00CF4850" w:rsidRDefault="00081C93" w:rsidP="00081C93">
      <w:pPr>
        <w:pStyle w:val="Sinespaciado"/>
        <w:tabs>
          <w:tab w:val="left" w:pos="8505"/>
        </w:tabs>
        <w:ind w:left="567" w:right="567"/>
        <w:jc w:val="center"/>
        <w:rPr>
          <w:rFonts w:ascii="Palatino Linotype" w:eastAsia="Calibri" w:hAnsi="Palatino Linotype" w:cstheme="minorHAnsi"/>
          <w:b/>
          <w:i/>
        </w:rPr>
      </w:pPr>
      <w:r w:rsidRPr="00CF4850">
        <w:rPr>
          <w:rFonts w:ascii="Palatino Linotype" w:eastAsia="Calibri" w:hAnsi="Palatino Linotype" w:cstheme="minorHAnsi"/>
          <w:b/>
          <w:i/>
        </w:rPr>
        <w:t>DE LAS EXCEPCIONES A LA LICITACIÓN PÚBLICA</w:t>
      </w:r>
    </w:p>
    <w:p w:rsidR="00081C93" w:rsidRPr="00CF4850" w:rsidRDefault="00081C93" w:rsidP="00081C93">
      <w:pPr>
        <w:pStyle w:val="Sinespaciado"/>
        <w:tabs>
          <w:tab w:val="left" w:pos="8505"/>
        </w:tabs>
        <w:ind w:left="567" w:right="567"/>
        <w:jc w:val="center"/>
        <w:rPr>
          <w:rFonts w:ascii="Palatino Linotype" w:eastAsia="Calibri" w:hAnsi="Palatino Linotype" w:cstheme="minorHAnsi"/>
          <w:i/>
        </w:rPr>
      </w:pPr>
    </w:p>
    <w:p w:rsidR="00081C93" w:rsidRPr="00CF4850" w:rsidRDefault="00081C93" w:rsidP="00081C93">
      <w:pPr>
        <w:pStyle w:val="Sinespaciado"/>
        <w:tabs>
          <w:tab w:val="left" w:pos="8505"/>
        </w:tabs>
        <w:ind w:left="567" w:right="567"/>
        <w:jc w:val="both"/>
        <w:rPr>
          <w:rFonts w:ascii="Palatino Linotype" w:eastAsia="Calibri" w:hAnsi="Palatino Linotype" w:cstheme="minorHAnsi"/>
          <w:b/>
          <w:i/>
          <w:u w:val="single"/>
        </w:rPr>
      </w:pPr>
      <w:r w:rsidRPr="00CF4850">
        <w:rPr>
          <w:rFonts w:ascii="Palatino Linotype" w:eastAsia="Calibri" w:hAnsi="Palatino Linotype" w:cstheme="minorHAnsi"/>
          <w:b/>
          <w:i/>
        </w:rPr>
        <w:t>Artículo 43.-</w:t>
      </w:r>
      <w:r w:rsidRPr="00CF4850">
        <w:rPr>
          <w:rFonts w:ascii="Palatino Linotype" w:eastAsia="Calibri" w:hAnsi="Palatino Linotype" w:cstheme="minorHAnsi"/>
          <w:i/>
        </w:rPr>
        <w:t xml:space="preserve"> La Secretaría, las entidades, tribunales administrativos y </w:t>
      </w:r>
      <w:r w:rsidRPr="00CF4850">
        <w:rPr>
          <w:rFonts w:ascii="Palatino Linotype" w:eastAsia="Calibri" w:hAnsi="Palatino Linotype" w:cstheme="minorHAnsi"/>
          <w:b/>
          <w:i/>
          <w:u w:val="single"/>
        </w:rPr>
        <w:t>los ayuntamientos, bajo su responsabilidad, podrán llevar a cabo procedimientos de adquisición de bienes o servicios a través de las modalidades de invitación restringida y adjudicación directa</w:t>
      </w:r>
    </w:p>
    <w:p w:rsidR="00081C93" w:rsidRPr="00CF4850" w:rsidRDefault="00081C93" w:rsidP="00081C93">
      <w:pPr>
        <w:pStyle w:val="Sinespaciado"/>
        <w:tabs>
          <w:tab w:val="left" w:pos="8505"/>
        </w:tabs>
        <w:ind w:left="567" w:right="567"/>
        <w:jc w:val="both"/>
        <w:rPr>
          <w:rFonts w:ascii="Palatino Linotype" w:eastAsia="Calibri" w:hAnsi="Palatino Linotype" w:cstheme="minorHAnsi"/>
          <w:b/>
        </w:rPr>
      </w:pPr>
    </w:p>
    <w:p w:rsidR="00081C93" w:rsidRPr="00CF4850" w:rsidRDefault="00081C93" w:rsidP="00081C93">
      <w:pPr>
        <w:pStyle w:val="Sinespaciado"/>
        <w:ind w:left="567" w:right="567"/>
        <w:jc w:val="both"/>
        <w:rPr>
          <w:rFonts w:ascii="Palatino Linotype" w:eastAsia="Calibri" w:hAnsi="Palatino Linotype" w:cstheme="minorHAnsi"/>
          <w:i/>
        </w:rPr>
      </w:pPr>
      <w:r w:rsidRPr="00CF4850">
        <w:rPr>
          <w:rFonts w:ascii="Palatino Linotype" w:eastAsia="Calibri" w:hAnsi="Palatino Linotype" w:cstheme="minorHAnsi"/>
          <w:i/>
        </w:rPr>
        <w:t xml:space="preserve">En todo caso, </w:t>
      </w:r>
      <w:r w:rsidRPr="00CF4850">
        <w:rPr>
          <w:rFonts w:ascii="Palatino Linotype" w:eastAsia="Calibri" w:hAnsi="Palatino Linotype" w:cstheme="minorHAnsi"/>
          <w:b/>
          <w:i/>
          <w:u w:val="single"/>
        </w:rPr>
        <w:t>se invitará, o adjudicará de manera directa, a personas que cuenten con capacidad de respuesta inmediata</w:t>
      </w:r>
      <w:r w:rsidRPr="00CF4850">
        <w:rPr>
          <w:rFonts w:ascii="Palatino Linotype" w:eastAsia="Calibri" w:hAnsi="Palatino Linotype" w:cstheme="minorHAnsi"/>
          <w:i/>
        </w:rPr>
        <w:t xml:space="preserve">, así como con los recursos técnicos, financieros </w:t>
      </w:r>
      <w:r w:rsidRPr="00CF4850">
        <w:rPr>
          <w:rFonts w:ascii="Palatino Linotype" w:eastAsia="Calibri" w:hAnsi="Palatino Linotype" w:cstheme="minorHAnsi"/>
          <w:i/>
        </w:rPr>
        <w:lastRenderedPageBreak/>
        <w:t>y demás que sean necesarios, de acuerdo con las características y magnitud de las adquisiciones.</w:t>
      </w:r>
    </w:p>
    <w:p w:rsidR="00081C93" w:rsidRPr="00CF4850" w:rsidRDefault="00081C93" w:rsidP="00081C93">
      <w:pPr>
        <w:pStyle w:val="Sinespaciado"/>
        <w:ind w:left="567" w:right="567"/>
        <w:jc w:val="both"/>
        <w:rPr>
          <w:rFonts w:ascii="Palatino Linotype" w:eastAsia="Calibri" w:hAnsi="Palatino Linotype" w:cstheme="minorHAnsi"/>
          <w:i/>
        </w:rPr>
      </w:pPr>
      <w:r w:rsidRPr="00CF4850">
        <w:rPr>
          <w:rFonts w:ascii="Palatino Linotype" w:eastAsia="Calibri" w:hAnsi="Palatino Linotype" w:cstheme="minorHAnsi"/>
          <w:i/>
        </w:rPr>
        <w:t>(…)</w:t>
      </w:r>
    </w:p>
    <w:p w:rsidR="00081C93" w:rsidRPr="00CF4850" w:rsidRDefault="00081C93" w:rsidP="00081C93">
      <w:pPr>
        <w:pStyle w:val="Sinespaciado"/>
        <w:ind w:left="567" w:right="567"/>
        <w:jc w:val="both"/>
        <w:rPr>
          <w:rFonts w:ascii="Palatino Linotype" w:eastAsia="Calibri" w:hAnsi="Palatino Linotype" w:cstheme="minorHAnsi"/>
          <w:i/>
        </w:rPr>
      </w:pPr>
      <w:r w:rsidRPr="00CF4850">
        <w:rPr>
          <w:rFonts w:ascii="Palatino Linotype" w:eastAsia="Calibri" w:hAnsi="Palatino Linotype" w:cstheme="minorHAnsi"/>
          <w:i/>
        </w:rPr>
        <w:t>Artículo 48.- La Secretaría, las entidades, los tribunales administrativos y los ayuntamientos podrán adquirir bienes, arrendar bienes muebles e inmuebles y contratar servicios, mediante adjudicación directa, cuando:</w:t>
      </w:r>
    </w:p>
    <w:p w:rsidR="00081C93" w:rsidRPr="00CF4850" w:rsidRDefault="00081C93" w:rsidP="00081C93">
      <w:pPr>
        <w:pStyle w:val="Sinespaciado"/>
        <w:ind w:left="567" w:right="567"/>
        <w:jc w:val="both"/>
        <w:rPr>
          <w:rFonts w:ascii="Palatino Linotype" w:eastAsia="Calibri" w:hAnsi="Palatino Linotype" w:cstheme="minorHAnsi"/>
          <w:i/>
        </w:rPr>
      </w:pPr>
    </w:p>
    <w:p w:rsidR="00081C93" w:rsidRPr="00CF4850" w:rsidRDefault="00081C93" w:rsidP="00081C93">
      <w:pPr>
        <w:pStyle w:val="Sinespaciado"/>
        <w:ind w:left="567" w:right="567"/>
        <w:jc w:val="both"/>
        <w:rPr>
          <w:rFonts w:ascii="Palatino Linotype" w:eastAsia="Calibri" w:hAnsi="Palatino Linotype" w:cstheme="minorHAnsi"/>
          <w:i/>
        </w:rPr>
      </w:pPr>
      <w:r w:rsidRPr="00CF4850">
        <w:rPr>
          <w:rFonts w:ascii="Palatino Linotype" w:eastAsia="Calibri" w:hAnsi="Palatino Linotype" w:cstheme="minorHAnsi"/>
          <w:i/>
        </w:rPr>
        <w:t xml:space="preserve">I. La adquisición o el servicio sólo puedan realizarse con una determinada persona, por tratarse de obras de arte, titularidad de patentes, registros, marcas específicas, </w:t>
      </w:r>
      <w:r w:rsidRPr="00CF4850">
        <w:rPr>
          <w:rFonts w:ascii="Palatino Linotype" w:eastAsia="Calibri" w:hAnsi="Palatino Linotype" w:cstheme="minorHAnsi"/>
          <w:b/>
          <w:i/>
          <w:u w:val="single"/>
        </w:rPr>
        <w:t>derechos de autor u otros derechos exclusivos</w:t>
      </w:r>
      <w:r w:rsidRPr="00CF4850">
        <w:rPr>
          <w:rFonts w:ascii="Palatino Linotype" w:eastAsia="Calibri" w:hAnsi="Palatino Linotype" w:cstheme="minorHAnsi"/>
          <w:i/>
        </w:rPr>
        <w:t>.</w:t>
      </w:r>
    </w:p>
    <w:p w:rsidR="00081C93" w:rsidRPr="00CF4850" w:rsidRDefault="00081C93" w:rsidP="00081C93">
      <w:pPr>
        <w:pStyle w:val="Sinespaciado"/>
        <w:ind w:left="567" w:right="567"/>
        <w:jc w:val="both"/>
        <w:rPr>
          <w:rFonts w:ascii="Palatino Linotype" w:eastAsia="Calibri" w:hAnsi="Palatino Linotype" w:cstheme="minorHAnsi"/>
          <w:i/>
        </w:rPr>
      </w:pPr>
      <w:r w:rsidRPr="00CF4850">
        <w:rPr>
          <w:rFonts w:ascii="Palatino Linotype" w:eastAsia="Calibri" w:hAnsi="Palatino Linotype" w:cstheme="minorHAnsi"/>
          <w:i/>
        </w:rPr>
        <w:t>(…)</w:t>
      </w:r>
    </w:p>
    <w:p w:rsidR="00081C93" w:rsidRPr="00CF4850" w:rsidRDefault="00081C93" w:rsidP="00081C93">
      <w:pPr>
        <w:pStyle w:val="Sinespaciado"/>
        <w:ind w:left="567" w:right="567"/>
        <w:jc w:val="both"/>
        <w:rPr>
          <w:rFonts w:ascii="Palatino Linotype" w:eastAsia="Calibri" w:hAnsi="Palatino Linotype" w:cstheme="minorHAnsi"/>
          <w:i/>
        </w:rPr>
      </w:pPr>
      <w:r w:rsidRPr="00CF4850">
        <w:rPr>
          <w:rFonts w:ascii="Palatino Linotype" w:eastAsia="Calibri" w:hAnsi="Palatino Linotype" w:cstheme="minorHAnsi"/>
          <w:i/>
        </w:rPr>
        <w:t>Artículo 49.- El procedimiento de adjudicación directa se substanciará con arreglo a el reglamento de esta Ley.</w:t>
      </w:r>
    </w:p>
    <w:p w:rsidR="00081C93" w:rsidRPr="00081C93" w:rsidRDefault="00081C93" w:rsidP="00081C93">
      <w:pPr>
        <w:pStyle w:val="Sinespaciado"/>
        <w:spacing w:line="360" w:lineRule="auto"/>
        <w:jc w:val="both"/>
        <w:rPr>
          <w:rFonts w:ascii="Palatino Linotype" w:eastAsia="Calibri" w:hAnsi="Palatino Linotype"/>
          <w:sz w:val="24"/>
          <w:szCs w:val="24"/>
        </w:rPr>
      </w:pPr>
    </w:p>
    <w:p w:rsidR="00081C93" w:rsidRPr="00081C93" w:rsidRDefault="00081C93" w:rsidP="00081C93">
      <w:pPr>
        <w:pStyle w:val="Sinespaciado"/>
        <w:spacing w:line="360" w:lineRule="auto"/>
        <w:jc w:val="both"/>
        <w:rPr>
          <w:rFonts w:ascii="Palatino Linotype" w:eastAsia="Calibri" w:hAnsi="Palatino Linotype"/>
          <w:sz w:val="24"/>
          <w:szCs w:val="24"/>
        </w:rPr>
      </w:pPr>
      <w:r w:rsidRPr="00081C93">
        <w:rPr>
          <w:rFonts w:ascii="Palatino Linotype" w:eastAsia="Calibri" w:hAnsi="Palatino Linotype"/>
          <w:sz w:val="24"/>
          <w:szCs w:val="24"/>
        </w:rPr>
        <w:t xml:space="preserve">Asimismo, el Reglamento de la Ley en comento establece las bases mediante las cuales, se deberá celebrar el contrato pedido en los términos establecidos por la Ley, de conformidad con los artículos 92, 94 y 95, como se indica a continuación: </w:t>
      </w:r>
    </w:p>
    <w:p w:rsidR="00081C93" w:rsidRPr="00081C93" w:rsidRDefault="00081C93" w:rsidP="00081C93">
      <w:pPr>
        <w:pStyle w:val="Sinespaciado"/>
        <w:spacing w:line="360" w:lineRule="auto"/>
        <w:jc w:val="both"/>
        <w:rPr>
          <w:rFonts w:ascii="Palatino Linotype" w:eastAsia="Calibri" w:hAnsi="Palatino Linotype"/>
          <w:sz w:val="24"/>
          <w:szCs w:val="24"/>
        </w:rPr>
      </w:pP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b/>
          <w:i/>
        </w:rPr>
        <w:t xml:space="preserve">Artículo 92.- </w:t>
      </w:r>
      <w:r w:rsidRPr="00CF4850">
        <w:rPr>
          <w:rFonts w:ascii="Palatino Linotype" w:eastAsia="Calibri" w:hAnsi="Palatino Linotype" w:cs="Arial"/>
          <w:b/>
          <w:i/>
          <w:u w:val="single"/>
        </w:rPr>
        <w:t>Para los procedimientos de adjudicación directa cuyo importe de la operación no rebase los montos establecidos en el Presupuesto de Egresos del Gobierno del Estado en el ejercicio correspondiente</w:t>
      </w:r>
      <w:r w:rsidRPr="00CF4850">
        <w:rPr>
          <w:rFonts w:ascii="Palatino Linotype" w:eastAsia="Calibri" w:hAnsi="Palatino Linotype" w:cs="Arial"/>
          <w:i/>
        </w:rPr>
        <w:t xml:space="preserve"> y, cuyo importe sea superior al monto determinado para el fondo fijo de caja; </w:t>
      </w:r>
      <w:r w:rsidRPr="00CF4850">
        <w:rPr>
          <w:rFonts w:ascii="Palatino Linotype" w:eastAsia="Calibri" w:hAnsi="Palatino Linotype" w:cs="Arial"/>
          <w:b/>
          <w:i/>
          <w:u w:val="single"/>
        </w:rPr>
        <w:t>se deberá celebrar contrato pedido, sin que sea necesario observar las disposiciones de los demás artículos de esta Sección</w:t>
      </w:r>
      <w:r w:rsidRPr="00CF4850">
        <w:rPr>
          <w:rFonts w:ascii="Palatino Linotype" w:eastAsia="Calibri" w:hAnsi="Palatino Linotype" w:cs="Arial"/>
          <w:i/>
        </w:rPr>
        <w:t>.</w:t>
      </w: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i/>
        </w:rPr>
        <w:t>(…)</w:t>
      </w: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b/>
          <w:i/>
          <w:u w:val="single"/>
        </w:rPr>
        <w:t>En el caso de los municipios, las cotizaciones deberán obtenerse a través de sus áreas de administración</w:t>
      </w:r>
      <w:r w:rsidRPr="00CF4850">
        <w:rPr>
          <w:rFonts w:ascii="Palatino Linotype" w:eastAsia="Calibri" w:hAnsi="Palatino Linotype" w:cs="Arial"/>
          <w:i/>
        </w:rPr>
        <w:t>.</w:t>
      </w: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b/>
          <w:i/>
        </w:rPr>
        <w:t>Artículo 94.-</w:t>
      </w:r>
      <w:r w:rsidRPr="00CF4850">
        <w:rPr>
          <w:rFonts w:ascii="Palatino Linotype" w:eastAsia="Calibri" w:hAnsi="Palatino Linotype" w:cs="Arial"/>
          <w:i/>
        </w:rPr>
        <w:t xml:space="preserve"> En el procedimiento de adjudicación directa se observará lo siguiente:</w:t>
      </w: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b/>
          <w:i/>
        </w:rPr>
        <w:t>I.</w:t>
      </w:r>
      <w:r w:rsidRPr="00CF4850">
        <w:rPr>
          <w:rFonts w:ascii="Palatino Linotype" w:eastAsia="Calibri" w:hAnsi="Palatino Linotype" w:cs="Arial"/>
          <w:i/>
        </w:rPr>
        <w:t xml:space="preserve"> Las adquisiciones de bienes y </w:t>
      </w:r>
      <w:r w:rsidRPr="00CF4850">
        <w:rPr>
          <w:rFonts w:ascii="Palatino Linotype" w:eastAsia="Calibri" w:hAnsi="Palatino Linotype" w:cs="Arial"/>
          <w:b/>
          <w:i/>
          <w:u w:val="single"/>
        </w:rPr>
        <w:t>la contratación de servicios, se efectuaran previa dictaminación del comité</w:t>
      </w:r>
      <w:r w:rsidRPr="00CF4850">
        <w:rPr>
          <w:rFonts w:ascii="Palatino Linotype" w:eastAsia="Calibri" w:hAnsi="Palatino Linotype" w:cs="Arial"/>
          <w:i/>
        </w:rPr>
        <w:t xml:space="preserve">, a excepción de los casos previstos en las fracciones IV, VII, IX y XI del artículo 48 de la Ley; las contrataciones que se realicen con fundamento en las fracciones IV y VII, deberán corresponder a lo estrictamente necesario para atender la </w:t>
      </w:r>
      <w:r w:rsidRPr="00CF4850">
        <w:rPr>
          <w:rFonts w:ascii="Palatino Linotype" w:eastAsia="Calibri" w:hAnsi="Palatino Linotype" w:cs="Arial"/>
          <w:i/>
        </w:rPr>
        <w:lastRenderedPageBreak/>
        <w:t xml:space="preserve">eventualidad o urgencia y </w:t>
      </w:r>
      <w:r w:rsidRPr="00CF4850">
        <w:rPr>
          <w:rFonts w:ascii="Palatino Linotype" w:eastAsia="Calibri" w:hAnsi="Palatino Linotype" w:cs="Arial"/>
          <w:b/>
          <w:i/>
          <w:u w:val="single"/>
        </w:rPr>
        <w:t>no deberán observar ninguna otra formalidad más que la suscripción del contrato respectivo</w:t>
      </w:r>
      <w:r w:rsidRPr="00CF4850">
        <w:rPr>
          <w:rFonts w:ascii="Palatino Linotype" w:eastAsia="Calibri" w:hAnsi="Palatino Linotype" w:cs="Arial"/>
          <w:i/>
        </w:rPr>
        <w:t>.</w:t>
      </w: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b/>
          <w:i/>
        </w:rPr>
        <w:t>II.</w:t>
      </w:r>
      <w:r w:rsidRPr="00CF4850">
        <w:rPr>
          <w:rFonts w:ascii="Palatino Linotype" w:eastAsia="Calibri" w:hAnsi="Palatino Linotype" w:cs="Arial"/>
          <w:i/>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b/>
          <w:i/>
        </w:rPr>
        <w:t>III.</w:t>
      </w:r>
      <w:r w:rsidRPr="00CF4850">
        <w:rPr>
          <w:rFonts w:ascii="Palatino Linotype" w:eastAsia="Calibri" w:hAnsi="Palatino Linotype" w:cs="Arial"/>
          <w:i/>
        </w:rPr>
        <w:t xml:space="preserve"> La solicitud de participación contendrá, como mínimo, la descripción y cantidad de los bienes o servicios requeridos, lugar, plazo de entrega o duración del servicio y forma de pago;</w:t>
      </w: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b/>
          <w:i/>
        </w:rPr>
        <w:t>IV.</w:t>
      </w:r>
      <w:r w:rsidRPr="00CF4850">
        <w:rPr>
          <w:rFonts w:ascii="Palatino Linotype" w:eastAsia="Calibri" w:hAnsi="Palatino Linotype" w:cs="Arial"/>
          <w:i/>
        </w:rPr>
        <w:t xml:space="preserve"> La solicitud de participación deberá señalar el día, hora y lugar en que tendrá verificativo el acto de presentación y apertura de ofertas;</w:t>
      </w: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b/>
          <w:i/>
        </w:rPr>
        <w:t>V.</w:t>
      </w:r>
      <w:r w:rsidRPr="00CF4850">
        <w:rPr>
          <w:rFonts w:ascii="Palatino Linotype" w:eastAsia="Calibri" w:hAnsi="Palatino Linotype" w:cs="Arial"/>
          <w:i/>
        </w:rPr>
        <w:t xml:space="preserve"> Atendiendo a la naturaleza de los bienes o servicios, la convocante podrá optar entre celebrar o no junta de aclaraciones, en términos de lo dispuesto por este Reglamento;</w:t>
      </w: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b/>
          <w:i/>
        </w:rPr>
        <w:t>VI.</w:t>
      </w:r>
      <w:r w:rsidRPr="00CF4850">
        <w:rPr>
          <w:rFonts w:ascii="Palatino Linotype" w:eastAsia="Calibri" w:hAnsi="Palatino Linotype" w:cs="Arial"/>
          <w:i/>
        </w:rPr>
        <w:t xml:space="preserve"> El servidor público designado por la convocante será el responsable de llevar a cabo el acto de presentación y apertura de propuestas;</w:t>
      </w: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b/>
          <w:i/>
        </w:rPr>
        <w:t>VII.</w:t>
      </w:r>
      <w:r w:rsidRPr="00CF4850">
        <w:rPr>
          <w:rFonts w:ascii="Palatino Linotype" w:eastAsia="Calibri" w:hAnsi="Palatino Linotype" w:cs="Arial"/>
          <w:i/>
        </w:rPr>
        <w:t xml:space="preserve"> Se observarán, en lo conducente, las disposiciones relativas a la contraoferta; y</w:t>
      </w: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b/>
          <w:i/>
        </w:rPr>
        <w:t>VIII.</w:t>
      </w:r>
      <w:r w:rsidRPr="00CF4850">
        <w:rPr>
          <w:rFonts w:ascii="Palatino Linotype" w:eastAsia="Calibri" w:hAnsi="Palatino Linotype" w:cs="Arial"/>
          <w:i/>
        </w:rPr>
        <w:t xml:space="preserve"> El comité será responsable de emitir el dictamen de adjudicación que servirá de base para el fallo de adjudicación; correspondiendo a la convocante emitir dicho fallo, quien lo hará del conocimiento de los licitantes.</w:t>
      </w: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i/>
        </w:rPr>
        <w:t>Los actos referidos en los incisos anteriores deberán documentarse en el acta correspondiente y publicarse en el sistema COMPRAMEX.</w:t>
      </w: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p>
    <w:p w:rsidR="00081C93" w:rsidRPr="00CF4850" w:rsidRDefault="00081C93" w:rsidP="00081C93">
      <w:pPr>
        <w:tabs>
          <w:tab w:val="left" w:pos="709"/>
        </w:tabs>
        <w:spacing w:after="0" w:line="240" w:lineRule="auto"/>
        <w:ind w:left="709" w:right="567"/>
        <w:jc w:val="both"/>
        <w:rPr>
          <w:rFonts w:ascii="Palatino Linotype" w:eastAsia="Calibri" w:hAnsi="Palatino Linotype" w:cs="Arial"/>
          <w:i/>
        </w:rPr>
      </w:pPr>
      <w:r w:rsidRPr="00CF4850">
        <w:rPr>
          <w:rFonts w:ascii="Palatino Linotype" w:eastAsia="Calibri" w:hAnsi="Palatino Linotype" w:cs="Arial"/>
          <w:b/>
          <w:i/>
        </w:rPr>
        <w:t>Artículo 95.-</w:t>
      </w:r>
      <w:r w:rsidRPr="00CF4850">
        <w:rPr>
          <w:rFonts w:ascii="Palatino Linotype" w:eastAsia="Calibri" w:hAnsi="Palatino Linotype" w:cs="Arial"/>
          <w:i/>
        </w:rPr>
        <w:t xml:space="preserve"> En los procedimientos de adjudicación directa, previa dictaminación del Comité respectivo, la convocante podrá adjudicar el contrato al oferente que reúna el mayor número de requisitos solicitados.”</w:t>
      </w:r>
    </w:p>
    <w:p w:rsidR="00081C93" w:rsidRPr="00081C93" w:rsidRDefault="00081C93" w:rsidP="00081C93">
      <w:pPr>
        <w:tabs>
          <w:tab w:val="left" w:pos="709"/>
        </w:tabs>
        <w:spacing w:after="0" w:line="360" w:lineRule="auto"/>
        <w:jc w:val="both"/>
        <w:rPr>
          <w:rFonts w:ascii="Palatino Linotype" w:eastAsia="Calibri" w:hAnsi="Palatino Linotype" w:cs="Arial"/>
          <w:sz w:val="24"/>
          <w:szCs w:val="24"/>
        </w:rPr>
      </w:pPr>
    </w:p>
    <w:p w:rsidR="00081C93" w:rsidRPr="00081C93" w:rsidRDefault="00081C93" w:rsidP="00081C93">
      <w:pPr>
        <w:tabs>
          <w:tab w:val="left" w:pos="709"/>
        </w:tabs>
        <w:spacing w:after="0" w:line="360" w:lineRule="auto"/>
        <w:jc w:val="both"/>
        <w:rPr>
          <w:rFonts w:ascii="Palatino Linotype" w:eastAsia="Calibri" w:hAnsi="Palatino Linotype" w:cs="Arial"/>
          <w:sz w:val="24"/>
          <w:szCs w:val="24"/>
        </w:rPr>
      </w:pPr>
      <w:r w:rsidRPr="00081C93">
        <w:rPr>
          <w:rFonts w:ascii="Palatino Linotype" w:eastAsia="Calibri" w:hAnsi="Palatino Linotype" w:cs="Arial"/>
          <w:sz w:val="24"/>
          <w:szCs w:val="24"/>
        </w:rPr>
        <w:t xml:space="preserve">De los preceptos legales citados con anterioridad se advierte que establecen como una obligación del Sujeto Obligado el de formalizar mediante contrato pedido, a través de sus áreas de administración y deberán documentarse en el acta correspondiente y publicarse en el sistema COMPRAMEX, como excepción al procedimiento de licitación pública para la adquisición de bienes, enajenación o arrendamiento de bienes, </w:t>
      </w:r>
      <w:r w:rsidRPr="00081C93">
        <w:rPr>
          <w:rFonts w:ascii="Palatino Linotype" w:eastAsia="Calibri" w:hAnsi="Palatino Linotype" w:cs="Arial"/>
          <w:b/>
          <w:sz w:val="24"/>
          <w:szCs w:val="24"/>
          <w:u w:val="single"/>
        </w:rPr>
        <w:t>o la contratación de servicios</w:t>
      </w:r>
      <w:r w:rsidRPr="00081C93">
        <w:rPr>
          <w:rFonts w:ascii="Palatino Linotype" w:eastAsia="Calibri" w:hAnsi="Palatino Linotype" w:cs="Arial"/>
          <w:sz w:val="24"/>
          <w:szCs w:val="24"/>
        </w:rPr>
        <w:t xml:space="preserve"> en el que la convocante, designa al proveedor de bienes, arrendador, comprador o prestador del servicio, con base en las mejores condiciones </w:t>
      </w:r>
      <w:r w:rsidRPr="00081C93">
        <w:rPr>
          <w:rFonts w:ascii="Palatino Linotype" w:eastAsia="Calibri" w:hAnsi="Palatino Linotype" w:cs="Arial"/>
          <w:sz w:val="24"/>
          <w:szCs w:val="24"/>
        </w:rPr>
        <w:lastRenderedPageBreak/>
        <w:t>en cuanto a precio, calidad, financiamiento, oportunidad y demás circunstancias pertinentes.</w:t>
      </w:r>
    </w:p>
    <w:p w:rsidR="00081C93" w:rsidRPr="00081C93" w:rsidRDefault="00081C93" w:rsidP="00081C93">
      <w:pPr>
        <w:tabs>
          <w:tab w:val="left" w:pos="709"/>
        </w:tabs>
        <w:spacing w:after="0" w:line="360" w:lineRule="auto"/>
        <w:jc w:val="both"/>
        <w:rPr>
          <w:rFonts w:ascii="Palatino Linotype" w:eastAsia="Calibri" w:hAnsi="Palatino Linotype" w:cs="Arial"/>
          <w:sz w:val="24"/>
          <w:szCs w:val="24"/>
        </w:rPr>
      </w:pPr>
    </w:p>
    <w:p w:rsidR="00081C93" w:rsidRPr="00081C93" w:rsidRDefault="00081C93" w:rsidP="00081C93">
      <w:pPr>
        <w:autoSpaceDE w:val="0"/>
        <w:autoSpaceDN w:val="0"/>
        <w:adjustRightInd w:val="0"/>
        <w:spacing w:after="0" w:line="360" w:lineRule="auto"/>
        <w:contextualSpacing/>
        <w:jc w:val="both"/>
        <w:rPr>
          <w:rFonts w:ascii="Palatino Linotype" w:eastAsia="MS Mincho" w:hAnsi="Palatino Linotype" w:cs="Arial"/>
          <w:sz w:val="24"/>
          <w:szCs w:val="24"/>
          <w:lang w:eastAsia="es-ES"/>
        </w:rPr>
      </w:pPr>
      <w:r w:rsidRPr="00081C93">
        <w:rPr>
          <w:rFonts w:ascii="Palatino Linotype" w:eastAsia="MS Mincho" w:hAnsi="Palatino Linotype" w:cs="Arial"/>
          <w:sz w:val="24"/>
          <w:szCs w:val="24"/>
          <w:lang w:eastAsia="es-ES"/>
        </w:rPr>
        <w:t xml:space="preserve">Fortaleciendo lo anterior, con fundamento en lo establecido en los artículos 4 y 160 de la Ley de la Materia, señala lo siguiente: </w:t>
      </w:r>
    </w:p>
    <w:p w:rsidR="00081C93" w:rsidRPr="00081C93" w:rsidRDefault="00081C93" w:rsidP="00081C93">
      <w:pPr>
        <w:autoSpaceDE w:val="0"/>
        <w:autoSpaceDN w:val="0"/>
        <w:adjustRightInd w:val="0"/>
        <w:spacing w:after="0" w:line="360" w:lineRule="auto"/>
        <w:contextualSpacing/>
        <w:jc w:val="both"/>
        <w:rPr>
          <w:rFonts w:ascii="Palatino Linotype" w:eastAsia="MS Mincho" w:hAnsi="Palatino Linotype" w:cs="Arial"/>
          <w:sz w:val="24"/>
          <w:szCs w:val="24"/>
          <w:lang w:eastAsia="es-ES"/>
        </w:rPr>
      </w:pPr>
    </w:p>
    <w:p w:rsidR="00081C93" w:rsidRPr="00CF4850" w:rsidRDefault="00081C93" w:rsidP="00081C93">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r w:rsidRPr="00CF4850">
        <w:rPr>
          <w:rFonts w:ascii="Palatino Linotype" w:eastAsia="MS Mincho" w:hAnsi="Palatino Linotype" w:cs="Arial"/>
          <w:b/>
          <w:i/>
          <w:szCs w:val="24"/>
          <w:lang w:eastAsia="es-ES"/>
        </w:rPr>
        <w:t>Artículo 4.</w:t>
      </w:r>
      <w:r w:rsidRPr="00CF4850">
        <w:rPr>
          <w:rFonts w:ascii="Palatino Linotype" w:eastAsia="MS Mincho" w:hAnsi="Palatino Linotype" w:cs="Arial"/>
          <w:i/>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81C93" w:rsidRPr="00CF4850" w:rsidRDefault="00081C93" w:rsidP="00081C93">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p>
    <w:p w:rsidR="00081C93" w:rsidRPr="00CF4850" w:rsidRDefault="00081C93" w:rsidP="00081C93">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r w:rsidRPr="00CF4850">
        <w:rPr>
          <w:rFonts w:ascii="Palatino Linotype" w:eastAsia="MS Mincho" w:hAnsi="Palatino Linotype" w:cs="Arial"/>
          <w:b/>
          <w:i/>
          <w:szCs w:val="24"/>
          <w:u w:val="single"/>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F4850">
        <w:rPr>
          <w:rFonts w:ascii="Palatino Linotype" w:eastAsia="MS Mincho" w:hAnsi="Palatino Linotype" w:cs="Arial"/>
          <w:i/>
          <w:szCs w:val="24"/>
          <w:lang w:eastAsia="es-ES"/>
        </w:rPr>
        <w:t xml:space="preserve">. Solo podrá ser clasificada excepcionalmente como reservada temporalmente por razones de interés público, en los términos de las causas legítimas y estrictamente necesarias previstas por esta Ley. </w:t>
      </w:r>
    </w:p>
    <w:p w:rsidR="00081C93" w:rsidRPr="00CF4850" w:rsidRDefault="00081C93" w:rsidP="00081C93">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p>
    <w:p w:rsidR="00081C93" w:rsidRPr="00CF4850" w:rsidRDefault="00081C93" w:rsidP="00081C93">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r w:rsidRPr="00CF4850">
        <w:rPr>
          <w:rFonts w:ascii="Palatino Linotype" w:eastAsia="MS Mincho" w:hAnsi="Palatino Linotype" w:cs="Arial"/>
          <w:i/>
          <w:szCs w:val="24"/>
          <w:lang w:eastAsia="es-ES"/>
        </w:rPr>
        <w:t>Los sujetos obligados deben poner en práctica, políticas y programas de acceso a la información que se apeguen a criterios de publicidad, veracidad, oportunidad, precisión y suficiencia en beneficio de los solicitantes.</w:t>
      </w:r>
    </w:p>
    <w:p w:rsidR="00081C93" w:rsidRPr="00CF4850" w:rsidRDefault="00081C93" w:rsidP="00081C93">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p>
    <w:p w:rsidR="00081C93" w:rsidRPr="00CF4850" w:rsidRDefault="00081C93" w:rsidP="00081C93">
      <w:pPr>
        <w:autoSpaceDE w:val="0"/>
        <w:autoSpaceDN w:val="0"/>
        <w:adjustRightInd w:val="0"/>
        <w:spacing w:after="0" w:line="240" w:lineRule="auto"/>
        <w:ind w:left="567" w:right="567"/>
        <w:contextualSpacing/>
        <w:jc w:val="both"/>
        <w:rPr>
          <w:rFonts w:ascii="Palatino Linotype" w:eastAsia="MS Mincho" w:hAnsi="Palatino Linotype" w:cs="Arial"/>
          <w:i/>
          <w:szCs w:val="24"/>
          <w:lang w:eastAsia="es-ES"/>
        </w:rPr>
      </w:pPr>
      <w:r w:rsidRPr="00CF4850">
        <w:rPr>
          <w:rFonts w:ascii="Palatino Linotype" w:eastAsia="MS Mincho" w:hAnsi="Palatino Linotype" w:cs="Arial"/>
          <w:b/>
          <w:i/>
          <w:szCs w:val="24"/>
          <w:lang w:eastAsia="es-ES"/>
        </w:rPr>
        <w:t>Artículo 160.</w:t>
      </w:r>
      <w:r w:rsidRPr="00CF4850">
        <w:rPr>
          <w:rFonts w:ascii="Palatino Linotype" w:eastAsia="MS Mincho" w:hAnsi="Palatino Linotype" w:cs="Arial"/>
          <w:i/>
          <w:szCs w:val="24"/>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p>
    <w:p w:rsidR="00081C93" w:rsidRPr="00081C93" w:rsidRDefault="00081C93" w:rsidP="00081C93">
      <w:pPr>
        <w:autoSpaceDE w:val="0"/>
        <w:autoSpaceDN w:val="0"/>
        <w:adjustRightInd w:val="0"/>
        <w:spacing w:line="360" w:lineRule="auto"/>
        <w:ind w:right="-91"/>
        <w:jc w:val="both"/>
        <w:rPr>
          <w:rFonts w:ascii="Palatino Linotype" w:eastAsia="Calibri" w:hAnsi="Palatino Linotype" w:cs="Arial"/>
          <w:sz w:val="24"/>
          <w:szCs w:val="24"/>
        </w:rPr>
      </w:pPr>
    </w:p>
    <w:p w:rsidR="00081C93" w:rsidRPr="00081C93" w:rsidRDefault="00081C93" w:rsidP="00081C93">
      <w:pPr>
        <w:spacing w:before="240" w:after="240" w:line="360" w:lineRule="auto"/>
        <w:jc w:val="both"/>
        <w:rPr>
          <w:rFonts w:ascii="Palatino Linotype" w:eastAsia="Calibri" w:hAnsi="Palatino Linotype" w:cs="Arial"/>
          <w:sz w:val="24"/>
          <w:szCs w:val="24"/>
        </w:rPr>
      </w:pPr>
      <w:r w:rsidRPr="00081C93">
        <w:rPr>
          <w:rFonts w:ascii="Palatino Linotype" w:eastAsia="Calibri" w:hAnsi="Palatino Linotype" w:cs="Arial"/>
          <w:sz w:val="24"/>
          <w:szCs w:val="24"/>
        </w:rPr>
        <w:t xml:space="preserve">Siguiendo con lo referente a la fundamentación de la solicitud, se precisa que de igual manera la información solicitada, las fracciones XXIX, XXXI y XXXVI del artículo 92 </w:t>
      </w:r>
      <w:r w:rsidRPr="00081C93">
        <w:rPr>
          <w:rFonts w:ascii="Palatino Linotype" w:eastAsia="Calibri" w:hAnsi="Palatino Linotype" w:cs="Arial"/>
          <w:sz w:val="24"/>
          <w:szCs w:val="24"/>
        </w:rPr>
        <w:lastRenderedPageBreak/>
        <w:t>de la multicitada Ley, estipulan las obligaciones de transparencia comunes, que a la letra indica:</w:t>
      </w:r>
    </w:p>
    <w:p w:rsidR="00081C93" w:rsidRPr="00CF4850" w:rsidRDefault="00081C93" w:rsidP="00081C93">
      <w:pPr>
        <w:spacing w:before="240" w:after="240" w:line="240" w:lineRule="auto"/>
        <w:ind w:left="993" w:right="992"/>
        <w:jc w:val="center"/>
        <w:rPr>
          <w:rFonts w:ascii="Palatino Linotype" w:eastAsia="Calibri" w:hAnsi="Palatino Linotype" w:cs="Arial"/>
          <w:b/>
          <w:i/>
          <w:szCs w:val="24"/>
        </w:rPr>
      </w:pPr>
      <w:r w:rsidRPr="00CF4850">
        <w:rPr>
          <w:rFonts w:ascii="Palatino Linotype" w:eastAsia="Calibri" w:hAnsi="Palatino Linotype" w:cs="Arial"/>
          <w:b/>
          <w:i/>
          <w:szCs w:val="24"/>
        </w:rPr>
        <w:t>Capítulo II De las Obligaciones de Transparencia Comunes</w:t>
      </w:r>
    </w:p>
    <w:p w:rsidR="00081C93" w:rsidRDefault="00081C93" w:rsidP="00574960">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b/>
          <w:i/>
          <w:szCs w:val="24"/>
        </w:rPr>
        <w:t>Artículo 92.</w:t>
      </w:r>
      <w:r w:rsidRPr="00CF4850">
        <w:rPr>
          <w:rFonts w:ascii="Palatino Linotype" w:eastAsia="Calibri" w:hAnsi="Palatino Linotype" w:cs="Arial"/>
          <w:i/>
          <w:szCs w:val="24"/>
        </w:rPr>
        <w:t xml:space="preserve"> Los sujetos obligados </w:t>
      </w:r>
      <w:r w:rsidRPr="00CF4850">
        <w:rPr>
          <w:rFonts w:ascii="Palatino Linotype" w:eastAsia="Calibri" w:hAnsi="Palatino Linotype" w:cs="Arial"/>
          <w:b/>
          <w:i/>
          <w:szCs w:val="24"/>
          <w:u w:val="single"/>
        </w:rPr>
        <w:t>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CF4850">
        <w:rPr>
          <w:rFonts w:ascii="Palatino Linotype" w:eastAsia="Calibri" w:hAnsi="Palatino Linotype" w:cs="Arial"/>
          <w:i/>
          <w:szCs w:val="24"/>
        </w:rPr>
        <w:t>:</w:t>
      </w:r>
    </w:p>
    <w:p w:rsidR="00574960" w:rsidRPr="00CF4850" w:rsidRDefault="00574960" w:rsidP="00574960">
      <w:pPr>
        <w:spacing w:after="0" w:line="240" w:lineRule="auto"/>
        <w:ind w:left="993" w:right="992"/>
        <w:jc w:val="both"/>
        <w:rPr>
          <w:rFonts w:ascii="Palatino Linotype" w:eastAsia="Calibri" w:hAnsi="Palatino Linotype" w:cs="Arial"/>
          <w:i/>
          <w:szCs w:val="24"/>
        </w:rPr>
      </w:pPr>
      <w:r>
        <w:rPr>
          <w:rFonts w:ascii="Palatino Linotype" w:eastAsia="Calibri" w:hAnsi="Palatino Linotype" w:cs="Arial"/>
          <w:b/>
          <w:i/>
          <w:szCs w:val="24"/>
        </w:rPr>
        <w:t>(…</w:t>
      </w:r>
      <w:r>
        <w:rPr>
          <w:rFonts w:ascii="Palatino Linotype" w:eastAsia="Calibri" w:hAnsi="Palatino Linotype" w:cs="Arial"/>
          <w:i/>
          <w:szCs w:val="24"/>
        </w:rPr>
        <w:t>)</w:t>
      </w:r>
    </w:p>
    <w:p w:rsidR="00081C93" w:rsidRPr="00CF4850" w:rsidRDefault="00081C93" w:rsidP="00574960">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b/>
          <w:i/>
          <w:szCs w:val="24"/>
        </w:rPr>
        <w:t>XXIX.</w:t>
      </w:r>
      <w:r w:rsidRPr="00CF4850">
        <w:rPr>
          <w:rFonts w:ascii="Palatino Linotype" w:eastAsia="Calibri" w:hAnsi="Palatino Linotype" w:cs="Arial"/>
          <w:i/>
          <w:szCs w:val="24"/>
        </w:rPr>
        <w:t xml:space="preserve"> </w:t>
      </w:r>
      <w:r w:rsidRPr="00CF4850">
        <w:rPr>
          <w:rFonts w:ascii="Palatino Linotype" w:eastAsia="Calibri" w:hAnsi="Palatino Linotype" w:cs="Arial"/>
          <w:b/>
          <w:i/>
          <w:szCs w:val="24"/>
          <w:u w:val="single"/>
        </w:rPr>
        <w:t>La información sobre los procesos y resultados sobre procedimientos de adjudicación directa</w:t>
      </w:r>
      <w:r w:rsidRPr="00CF4850">
        <w:rPr>
          <w:rFonts w:ascii="Palatino Linotype" w:eastAsia="Calibri" w:hAnsi="Palatino Linotype" w:cs="Arial"/>
          <w:i/>
          <w:szCs w:val="24"/>
        </w:rPr>
        <w:t xml:space="preserve">, invitación restringida y licitación de cualquier naturaleza, </w:t>
      </w:r>
      <w:r w:rsidRPr="00CF4850">
        <w:rPr>
          <w:rFonts w:ascii="Palatino Linotype" w:eastAsia="Calibri" w:hAnsi="Palatino Linotype" w:cs="Arial"/>
          <w:b/>
          <w:i/>
          <w:szCs w:val="24"/>
          <w:u w:val="single"/>
        </w:rPr>
        <w:t>incluyendo la versión pública del expediente respectivo y de los contratos celebrados, que deberán contener, por los menos, lo siguiente</w:t>
      </w:r>
      <w:r w:rsidRPr="00CF4850">
        <w:rPr>
          <w:rFonts w:ascii="Palatino Linotype" w:eastAsia="Calibri" w:hAnsi="Palatino Linotype" w:cs="Arial"/>
          <w:i/>
          <w:szCs w:val="24"/>
        </w:rPr>
        <w:t xml:space="preserve">: </w:t>
      </w:r>
    </w:p>
    <w:p w:rsidR="00081C93" w:rsidRPr="00CF4850" w:rsidRDefault="00081C93" w:rsidP="00574960">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b/>
          <w:i/>
          <w:szCs w:val="24"/>
        </w:rPr>
        <w:t xml:space="preserve">b) </w:t>
      </w:r>
      <w:r w:rsidRPr="00CF4850">
        <w:rPr>
          <w:rFonts w:ascii="Palatino Linotype" w:eastAsia="Calibri" w:hAnsi="Palatino Linotype" w:cs="Arial"/>
          <w:b/>
          <w:i/>
          <w:szCs w:val="24"/>
          <w:u w:val="single"/>
        </w:rPr>
        <w:t>De las adjudicaciones directas</w:t>
      </w:r>
      <w:r w:rsidRPr="00CF4850">
        <w:rPr>
          <w:rFonts w:ascii="Palatino Linotype" w:eastAsia="Calibri" w:hAnsi="Palatino Linotype" w:cs="Arial"/>
          <w:b/>
          <w:i/>
          <w:szCs w:val="24"/>
        </w:rPr>
        <w:t>:</w:t>
      </w:r>
      <w:r w:rsidRPr="00CF4850">
        <w:rPr>
          <w:rFonts w:ascii="Palatino Linotype" w:eastAsia="Calibri" w:hAnsi="Palatino Linotype" w:cs="Arial"/>
          <w:i/>
          <w:szCs w:val="24"/>
        </w:rPr>
        <w:t xml:space="preserve"> </w:t>
      </w:r>
    </w:p>
    <w:p w:rsidR="00081C93" w:rsidRPr="00CF4850" w:rsidRDefault="00081C93" w:rsidP="00574960">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i/>
          <w:szCs w:val="24"/>
        </w:rPr>
        <w:t>1) La propuesta enviada por el participante;</w:t>
      </w:r>
    </w:p>
    <w:p w:rsidR="00081C93" w:rsidRPr="00CF4850" w:rsidRDefault="00081C93" w:rsidP="00081C93">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i/>
          <w:szCs w:val="24"/>
        </w:rPr>
        <w:t>2) Los motivos y fundamentos legales aplicados para llevarla a cabo;</w:t>
      </w:r>
    </w:p>
    <w:p w:rsidR="00081C93" w:rsidRPr="00CF4850" w:rsidRDefault="00081C93" w:rsidP="00081C93">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i/>
          <w:szCs w:val="24"/>
        </w:rPr>
        <w:t>3) La autorización del ejercicio de la opción;</w:t>
      </w:r>
    </w:p>
    <w:p w:rsidR="00081C93" w:rsidRPr="00CF4850" w:rsidRDefault="00081C93" w:rsidP="00081C93">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i/>
          <w:szCs w:val="24"/>
        </w:rPr>
        <w:t xml:space="preserve">4) En su caso, las cotizaciones consideradas, especificando los nombres de los proveedores y sus montos; </w:t>
      </w:r>
    </w:p>
    <w:p w:rsidR="00081C93" w:rsidRPr="00CF4850" w:rsidRDefault="00081C93" w:rsidP="00081C93">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i/>
          <w:szCs w:val="24"/>
        </w:rPr>
        <w:t>5) El nombre de la persona física o jurídica colectiva adjudicada;</w:t>
      </w:r>
    </w:p>
    <w:p w:rsidR="00081C93" w:rsidRPr="00CF4850" w:rsidRDefault="00081C93" w:rsidP="00081C93">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i/>
          <w:szCs w:val="24"/>
        </w:rPr>
        <w:t>6) La unidad administrativa solicitante y la responsable de su ejecución;</w:t>
      </w:r>
    </w:p>
    <w:p w:rsidR="00081C93" w:rsidRPr="00CF4850" w:rsidRDefault="00081C93" w:rsidP="00081C93">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i/>
          <w:szCs w:val="24"/>
        </w:rPr>
        <w:t>7) El número, fecha, el monto del contrato y el plazo de entrega o de ejecución de los servicios u obra;</w:t>
      </w:r>
    </w:p>
    <w:p w:rsidR="00081C93" w:rsidRPr="00CF4850" w:rsidRDefault="00081C93" w:rsidP="00081C93">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i/>
          <w:szCs w:val="24"/>
        </w:rPr>
        <w:t>8) Los mecanismos de vigilancia y supervisión, incluyendo, en su caso, los estudios de impacto urbano y ambiental, según corresponda;</w:t>
      </w:r>
    </w:p>
    <w:p w:rsidR="00081C93" w:rsidRPr="00CF4850" w:rsidRDefault="00081C93" w:rsidP="00081C93">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i/>
          <w:szCs w:val="24"/>
        </w:rPr>
        <w:t>9) Los informes de avance sobre las obras o servicios contratados;</w:t>
      </w:r>
    </w:p>
    <w:p w:rsidR="00081C93" w:rsidRPr="00CF4850" w:rsidRDefault="00081C93" w:rsidP="00081C93">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i/>
          <w:szCs w:val="24"/>
        </w:rPr>
        <w:t>10) El convenio de terminación; y</w:t>
      </w:r>
    </w:p>
    <w:p w:rsidR="00081C93" w:rsidRPr="00CF4850" w:rsidRDefault="00081C93" w:rsidP="00081C93">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i/>
          <w:szCs w:val="24"/>
        </w:rPr>
        <w:t>11) El finiquito.</w:t>
      </w:r>
    </w:p>
    <w:p w:rsidR="00081C93" w:rsidRPr="00CF4850" w:rsidRDefault="00081C93" w:rsidP="00081C93">
      <w:pPr>
        <w:spacing w:after="0" w:line="240" w:lineRule="auto"/>
        <w:ind w:left="993" w:right="992"/>
        <w:jc w:val="both"/>
        <w:rPr>
          <w:rFonts w:ascii="Palatino Linotype" w:eastAsia="Calibri" w:hAnsi="Palatino Linotype" w:cs="Arial"/>
          <w:b/>
          <w:i/>
          <w:szCs w:val="24"/>
        </w:rPr>
      </w:pPr>
      <w:r w:rsidRPr="00CF4850">
        <w:rPr>
          <w:rFonts w:ascii="Palatino Linotype" w:eastAsia="Calibri" w:hAnsi="Palatino Linotype" w:cs="Arial"/>
          <w:b/>
          <w:i/>
          <w:szCs w:val="24"/>
        </w:rPr>
        <w:t xml:space="preserve"> (…)</w:t>
      </w:r>
    </w:p>
    <w:p w:rsidR="00081C93" w:rsidRPr="00CF4850" w:rsidRDefault="00081C93" w:rsidP="00081C93">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b/>
          <w:i/>
          <w:szCs w:val="24"/>
        </w:rPr>
        <w:t>XXXI.</w:t>
      </w:r>
      <w:r w:rsidRPr="00CF4850">
        <w:rPr>
          <w:rFonts w:ascii="Palatino Linotype" w:eastAsia="Calibri" w:hAnsi="Palatino Linotype" w:cs="Arial"/>
          <w:i/>
          <w:szCs w:val="24"/>
        </w:rPr>
        <w:t xml:space="preserve"> Los montos, criterios, convocatorias y listado de personas físicas o jurídicas colectivas, a quienes, por cualquier motivo, se les asigne o permita usar recursos públicos o, en los términos de las disposiciones jurídicas aplicables, realicen actos de autoridad. Asimismo, los informes que dichas personas les entreguen sobre el uso y destino de dichos recursos; </w:t>
      </w:r>
    </w:p>
    <w:p w:rsidR="00081C93" w:rsidRPr="00CF4850" w:rsidRDefault="00081C93" w:rsidP="00081C93">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b/>
          <w:i/>
          <w:szCs w:val="24"/>
        </w:rPr>
        <w:lastRenderedPageBreak/>
        <w:t>(…)</w:t>
      </w:r>
    </w:p>
    <w:p w:rsidR="00081C93" w:rsidRPr="00CF4850" w:rsidRDefault="00081C93" w:rsidP="00081C93">
      <w:pPr>
        <w:spacing w:after="0" w:line="240" w:lineRule="auto"/>
        <w:ind w:left="993" w:right="992"/>
        <w:jc w:val="both"/>
        <w:rPr>
          <w:rFonts w:ascii="Palatino Linotype" w:eastAsia="Calibri" w:hAnsi="Palatino Linotype" w:cs="Arial"/>
          <w:i/>
          <w:szCs w:val="24"/>
        </w:rPr>
      </w:pPr>
      <w:r w:rsidRPr="00CF4850">
        <w:rPr>
          <w:rFonts w:ascii="Palatino Linotype" w:eastAsia="Calibri" w:hAnsi="Palatino Linotype" w:cs="Arial"/>
          <w:b/>
          <w:i/>
          <w:szCs w:val="24"/>
        </w:rPr>
        <w:t>XXXVI.</w:t>
      </w:r>
      <w:r w:rsidRPr="00CF4850">
        <w:rPr>
          <w:rFonts w:ascii="Palatino Linotype" w:eastAsia="Calibri" w:hAnsi="Palatino Linotype" w:cs="Arial"/>
          <w:i/>
          <w:szCs w:val="24"/>
        </w:rPr>
        <w:t xml:space="preserve"> </w:t>
      </w:r>
      <w:r w:rsidRPr="00CF4850">
        <w:rPr>
          <w:rFonts w:ascii="Palatino Linotype" w:eastAsia="Calibri" w:hAnsi="Palatino Linotype" w:cs="Arial"/>
          <w:b/>
          <w:i/>
          <w:szCs w:val="24"/>
          <w:u w:val="single"/>
        </w:rPr>
        <w:t>Padrón de proveedores y contratistas</w:t>
      </w:r>
      <w:r w:rsidRPr="00CF4850">
        <w:rPr>
          <w:rFonts w:ascii="Palatino Linotype" w:eastAsia="Calibri" w:hAnsi="Palatino Linotype" w:cs="Arial"/>
          <w:i/>
          <w:szCs w:val="24"/>
        </w:rPr>
        <w:t>;</w:t>
      </w:r>
    </w:p>
    <w:p w:rsidR="00081C93" w:rsidRDefault="00081C93" w:rsidP="00081C93">
      <w:pPr>
        <w:spacing w:after="0" w:line="240" w:lineRule="auto"/>
        <w:ind w:left="993" w:right="992"/>
        <w:jc w:val="both"/>
        <w:rPr>
          <w:rFonts w:ascii="Palatino Linotype" w:eastAsia="Calibri" w:hAnsi="Palatino Linotype" w:cs="Arial"/>
          <w:b/>
          <w:i/>
          <w:szCs w:val="24"/>
        </w:rPr>
      </w:pPr>
      <w:r w:rsidRPr="00CF4850">
        <w:rPr>
          <w:rFonts w:ascii="Palatino Linotype" w:eastAsia="Calibri" w:hAnsi="Palatino Linotype" w:cs="Arial"/>
          <w:b/>
          <w:i/>
          <w:szCs w:val="24"/>
        </w:rPr>
        <w:t>(…)</w:t>
      </w:r>
    </w:p>
    <w:p w:rsidR="00081C93" w:rsidRPr="00081C93" w:rsidRDefault="00081C93" w:rsidP="00081C93">
      <w:pPr>
        <w:spacing w:after="0" w:line="240" w:lineRule="auto"/>
        <w:ind w:right="992"/>
        <w:jc w:val="both"/>
        <w:rPr>
          <w:rFonts w:ascii="Palatino Linotype" w:eastAsia="Calibri" w:hAnsi="Palatino Linotype" w:cs="Arial"/>
          <w:i/>
          <w:sz w:val="24"/>
          <w:szCs w:val="24"/>
        </w:rPr>
      </w:pPr>
    </w:p>
    <w:p w:rsidR="00081C93" w:rsidRPr="00081C93" w:rsidRDefault="00081C93" w:rsidP="00081C93">
      <w:pPr>
        <w:pStyle w:val="Sinespaciado"/>
        <w:spacing w:line="360" w:lineRule="auto"/>
        <w:jc w:val="both"/>
        <w:rPr>
          <w:rFonts w:ascii="Palatino Linotype" w:hAnsi="Palatino Linotype"/>
          <w:sz w:val="24"/>
          <w:szCs w:val="24"/>
        </w:rPr>
      </w:pPr>
      <w:r w:rsidRPr="00081C93">
        <w:rPr>
          <w:rFonts w:ascii="Palatino Linotype" w:hAnsi="Palatino Linotype"/>
          <w:sz w:val="24"/>
          <w:szCs w:val="24"/>
        </w:rPr>
        <w:t>Por lo anterior, toda vez que ha quedado establecida la facultad del Sujeto Obligado para realizar contrataciones de servicios mediante licitación pública o adjudicación directa, de personas o grupos que presenten espectáculos artísticos en los eventos organizados por el Sujeto Obligado; por lo que es procedente ordenar al Sujeto Obligado a entregar los referidos documento</w:t>
      </w:r>
      <w:r>
        <w:rPr>
          <w:rFonts w:ascii="Palatino Linotype" w:hAnsi="Palatino Linotype"/>
          <w:sz w:val="24"/>
          <w:szCs w:val="24"/>
        </w:rPr>
        <w:t>s</w:t>
      </w:r>
      <w:r w:rsidRPr="00081C93">
        <w:rPr>
          <w:rFonts w:ascii="Palatino Linotype" w:hAnsi="Palatino Linotype"/>
          <w:sz w:val="24"/>
          <w:szCs w:val="24"/>
        </w:rPr>
        <w:t xml:space="preserve"> en el que conste el pago</w:t>
      </w:r>
      <w:r>
        <w:rPr>
          <w:rFonts w:ascii="Palatino Linotype" w:hAnsi="Palatino Linotype"/>
          <w:sz w:val="24"/>
          <w:szCs w:val="24"/>
        </w:rPr>
        <w:t xml:space="preserve"> realizado a dichos proveedores, en el que se especifique el nombre del proveedor y monto pagado.</w:t>
      </w:r>
    </w:p>
    <w:p w:rsidR="00081C93" w:rsidRPr="00081C93" w:rsidRDefault="00081C93" w:rsidP="00081C93">
      <w:pPr>
        <w:pStyle w:val="Sinespaciado"/>
        <w:spacing w:line="360" w:lineRule="auto"/>
        <w:jc w:val="both"/>
        <w:rPr>
          <w:rFonts w:ascii="Palatino Linotype" w:hAnsi="Palatino Linotype"/>
          <w:sz w:val="24"/>
          <w:szCs w:val="24"/>
        </w:rPr>
      </w:pPr>
    </w:p>
    <w:p w:rsidR="00081C93" w:rsidRPr="00081C93" w:rsidRDefault="00081C93" w:rsidP="00081C93">
      <w:pPr>
        <w:pStyle w:val="Sinespaciado"/>
        <w:spacing w:line="360" w:lineRule="auto"/>
        <w:jc w:val="both"/>
        <w:rPr>
          <w:rFonts w:ascii="Palatino Linotype" w:hAnsi="Palatino Linotype"/>
          <w:sz w:val="24"/>
          <w:szCs w:val="24"/>
        </w:rPr>
      </w:pPr>
      <w:r w:rsidRPr="00081C93">
        <w:rPr>
          <w:rFonts w:ascii="Palatino Linotype" w:hAnsi="Palatino Linotype" w:cs="Arial"/>
          <w:sz w:val="24"/>
          <w:szCs w:val="24"/>
        </w:rPr>
        <w:t>En conclusión, este Órgano Garante estima que los motivos d</w:t>
      </w:r>
      <w:r>
        <w:rPr>
          <w:rFonts w:ascii="Palatino Linotype" w:hAnsi="Palatino Linotype" w:cs="Arial"/>
          <w:sz w:val="24"/>
          <w:szCs w:val="24"/>
        </w:rPr>
        <w:t>e inconformidad son</w:t>
      </w:r>
      <w:r w:rsidRPr="00081C93">
        <w:rPr>
          <w:rFonts w:ascii="Palatino Linotype" w:hAnsi="Palatino Linotype" w:cs="Arial"/>
          <w:sz w:val="24"/>
          <w:szCs w:val="24"/>
        </w:rPr>
        <w:t xml:space="preserve"> fundados, po</w:t>
      </w:r>
      <w:r>
        <w:rPr>
          <w:rFonts w:ascii="Palatino Linotype" w:hAnsi="Palatino Linotype" w:cs="Arial"/>
          <w:sz w:val="24"/>
          <w:szCs w:val="24"/>
        </w:rPr>
        <w:t>r lo que resulta procedente modifi</w:t>
      </w:r>
      <w:r w:rsidRPr="00081C93">
        <w:rPr>
          <w:rFonts w:ascii="Palatino Linotype" w:hAnsi="Palatino Linotype" w:cs="Arial"/>
          <w:sz w:val="24"/>
          <w:szCs w:val="24"/>
        </w:rPr>
        <w:t>car la respuesta del Sujeto Obligado y ordenar la entrega</w:t>
      </w:r>
      <w:r w:rsidR="00574960">
        <w:rPr>
          <w:rFonts w:ascii="Palatino Linotype" w:hAnsi="Palatino Linotype" w:cs="Arial"/>
          <w:sz w:val="24"/>
          <w:szCs w:val="24"/>
        </w:rPr>
        <w:t xml:space="preserve"> del documento en el que consten los montos pagados a cada uno de los artistas y el nombre de éstos, que participaron en el evento de las fiestas patrias celebrado el quince de septiembre de dos mil diecinueve, </w:t>
      </w:r>
      <w:r w:rsidRPr="00081C93">
        <w:rPr>
          <w:rFonts w:ascii="Palatino Linotype" w:hAnsi="Palatino Linotype" w:cs="Arial"/>
          <w:sz w:val="24"/>
          <w:szCs w:val="24"/>
        </w:rPr>
        <w:t>lo anterior en versión pública de ser necesario.</w:t>
      </w:r>
    </w:p>
    <w:p w:rsidR="00081C93" w:rsidRPr="00081C93" w:rsidRDefault="00081C93" w:rsidP="00081C93">
      <w:pPr>
        <w:pStyle w:val="Sinespaciado"/>
        <w:spacing w:line="360" w:lineRule="auto"/>
        <w:jc w:val="both"/>
        <w:rPr>
          <w:rFonts w:ascii="Palatino Linotype" w:hAnsi="Palatino Linotype"/>
          <w:sz w:val="24"/>
          <w:szCs w:val="24"/>
        </w:rPr>
      </w:pPr>
    </w:p>
    <w:p w:rsidR="007A3831" w:rsidRPr="00097B59" w:rsidRDefault="007A3831" w:rsidP="007A3831">
      <w:pPr>
        <w:spacing w:after="0" w:line="360" w:lineRule="auto"/>
        <w:jc w:val="both"/>
        <w:rPr>
          <w:rFonts w:ascii="Palatino Linotype" w:hAnsi="Palatino Linotype" w:cs="Arial"/>
          <w:b/>
          <w:i/>
          <w:sz w:val="26"/>
          <w:szCs w:val="26"/>
          <w:u w:val="single"/>
        </w:rPr>
      </w:pPr>
      <w:r w:rsidRPr="00097B59">
        <w:rPr>
          <w:rFonts w:ascii="Palatino Linotype" w:hAnsi="Palatino Linotype" w:cs="Arial"/>
          <w:b/>
          <w:i/>
          <w:sz w:val="26"/>
          <w:szCs w:val="26"/>
          <w:u w:val="single"/>
        </w:rPr>
        <w:t>DE LA VERSIÓN PÚBLICA.</w:t>
      </w: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3.</w:t>
      </w:r>
      <w:r w:rsidRPr="007A3831">
        <w:rPr>
          <w:rFonts w:ascii="Palatino Linotype" w:hAnsi="Palatino Linotype" w:cs="Arial"/>
          <w:i/>
        </w:rPr>
        <w:t xml:space="preserve"> Para los efectos de la presente Ley se entenderá por:</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lastRenderedPageBreak/>
        <w:t>IX. Datos personales:</w:t>
      </w:r>
      <w:r w:rsidRPr="007A383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w:t>
      </w:r>
      <w:r w:rsidRPr="007A3831">
        <w:rPr>
          <w:rFonts w:ascii="Palatino Linotype" w:hAnsi="Palatino Linotype" w:cs="Arial"/>
          <w:i/>
        </w:rPr>
        <w:t xml:space="preserve"> </w:t>
      </w:r>
      <w:r w:rsidRPr="007A3831">
        <w:rPr>
          <w:rFonts w:ascii="Palatino Linotype" w:hAnsi="Palatino Linotype" w:cs="Arial"/>
          <w:b/>
          <w:i/>
        </w:rPr>
        <w:t>Información clasificada:</w:t>
      </w:r>
      <w:r w:rsidRPr="007A3831">
        <w:rPr>
          <w:rFonts w:ascii="Palatino Linotype" w:hAnsi="Palatino Linotype" w:cs="Arial"/>
          <w:i/>
        </w:rPr>
        <w:t xml:space="preserve"> Aquella considerada por la presente Ley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XXI.</w:t>
      </w:r>
      <w:r w:rsidRPr="007A3831">
        <w:rPr>
          <w:rFonts w:ascii="Palatino Linotype" w:hAnsi="Palatino Linotype" w:cs="Arial"/>
          <w:i/>
        </w:rPr>
        <w:t xml:space="preserve"> </w:t>
      </w:r>
      <w:r w:rsidRPr="007A3831">
        <w:rPr>
          <w:rFonts w:ascii="Palatino Linotype" w:hAnsi="Palatino Linotype" w:cs="Arial"/>
          <w:b/>
          <w:i/>
        </w:rPr>
        <w:t>Información confidencial:</w:t>
      </w:r>
      <w:r w:rsidRPr="007A383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XLV.</w:t>
      </w:r>
      <w:r w:rsidRPr="007A3831">
        <w:rPr>
          <w:rFonts w:ascii="Palatino Linotype" w:hAnsi="Palatino Linotype" w:cs="Arial"/>
          <w:i/>
        </w:rPr>
        <w:t xml:space="preserve"> </w:t>
      </w:r>
      <w:r w:rsidRPr="007A3831">
        <w:rPr>
          <w:rFonts w:ascii="Palatino Linotype" w:hAnsi="Palatino Linotype" w:cs="Arial"/>
          <w:b/>
          <w:i/>
        </w:rPr>
        <w:t>Versión pública:</w:t>
      </w:r>
      <w:r w:rsidRPr="007A3831">
        <w:rPr>
          <w:rFonts w:ascii="Palatino Linotype" w:hAnsi="Palatino Linotype" w:cs="Arial"/>
          <w:i/>
        </w:rPr>
        <w:t xml:space="preserve"> Documento en el que se elimine, suprime o borra la información clasificada como reservada o confidencial para permitir su acceso.</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 xml:space="preserve">Artículo 91. </w:t>
      </w:r>
      <w:r w:rsidRPr="007A3831">
        <w:rPr>
          <w:rFonts w:ascii="Palatino Linotype" w:hAnsi="Palatino Linotype" w:cs="Arial"/>
          <w:i/>
        </w:rPr>
        <w:t>El acceso a la información pública será restringido excepcionalmente, cuando ésta sea clasificada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132.</w:t>
      </w:r>
      <w:r w:rsidRPr="007A3831">
        <w:rPr>
          <w:rFonts w:ascii="Palatino Linotype" w:hAnsi="Palatino Linotype" w:cs="Arial"/>
          <w:i/>
        </w:rPr>
        <w:t xml:space="preserve"> </w:t>
      </w:r>
      <w:r w:rsidRPr="007A3831">
        <w:rPr>
          <w:rFonts w:ascii="Palatino Linotype" w:hAnsi="Palatino Linotype" w:cs="Arial"/>
          <w:i/>
          <w:u w:val="single"/>
        </w:rPr>
        <w:t>La clasificación de la información se llevará a cabo en el momento en que</w:t>
      </w: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w:t>
      </w:r>
      <w:r w:rsidRPr="007A3831">
        <w:rPr>
          <w:rFonts w:ascii="Palatino Linotype" w:hAnsi="Palatino Linotype" w:cs="Arial"/>
          <w:i/>
        </w:rPr>
        <w:t xml:space="preserve"> Se reciba una solicitud de acceso a la información;</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II.</w:t>
      </w:r>
      <w:r w:rsidRPr="007A3831">
        <w:rPr>
          <w:rFonts w:ascii="Palatino Linotype" w:hAnsi="Palatino Linotype" w:cs="Arial"/>
          <w:i/>
        </w:rPr>
        <w:t xml:space="preserve"> </w:t>
      </w:r>
      <w:r w:rsidRPr="007A3831">
        <w:rPr>
          <w:rFonts w:ascii="Palatino Linotype" w:hAnsi="Palatino Linotype" w:cs="Arial"/>
          <w:i/>
          <w:u w:val="single"/>
        </w:rPr>
        <w:t>Se determine mediante resolución de autoridad competente; o</w:t>
      </w:r>
    </w:p>
    <w:p w:rsidR="007A3831" w:rsidRPr="007A3831" w:rsidRDefault="007A3831" w:rsidP="007A3831">
      <w:pPr>
        <w:spacing w:after="0" w:line="240" w:lineRule="auto"/>
        <w:ind w:left="567" w:right="567"/>
        <w:jc w:val="both"/>
        <w:rPr>
          <w:rFonts w:ascii="Palatino Linotype" w:hAnsi="Palatino Linotype" w:cs="Arial"/>
          <w:i/>
          <w:u w:val="single"/>
        </w:rPr>
      </w:pPr>
      <w:r w:rsidRPr="007A3831">
        <w:rPr>
          <w:rFonts w:ascii="Palatino Linotype" w:hAnsi="Palatino Linotype" w:cs="Arial"/>
          <w:b/>
          <w:i/>
        </w:rPr>
        <w:t>III.</w:t>
      </w:r>
      <w:r w:rsidRPr="007A3831">
        <w:rPr>
          <w:rFonts w:ascii="Palatino Linotype" w:hAnsi="Palatino Linotype" w:cs="Arial"/>
          <w:i/>
        </w:rPr>
        <w:t xml:space="preserve"> </w:t>
      </w:r>
      <w:r w:rsidRPr="007A3831">
        <w:rPr>
          <w:rFonts w:ascii="Palatino Linotype" w:hAnsi="Palatino Linotype" w:cs="Arial"/>
          <w:i/>
          <w:u w:val="single"/>
        </w:rPr>
        <w:t>Se generen versiones públicas para dar cumplimiento a las obligaciones de transparencia previstas en esta Ley.</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360" w:lineRule="auto"/>
        <w:jc w:val="both"/>
        <w:rPr>
          <w:rFonts w:ascii="Palatino Linotype" w:hAnsi="Palatino Linotype" w:cs="Arial"/>
          <w:i/>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otro lado, los </w:t>
      </w:r>
      <w:r w:rsidRPr="007A3831">
        <w:rPr>
          <w:rFonts w:ascii="Palatino Linotype" w:hAnsi="Palatino Linotype" w:cs="Arial"/>
          <w:i/>
          <w:sz w:val="24"/>
          <w:szCs w:val="24"/>
        </w:rPr>
        <w:t>Lineamientos Generales en Materia de Clasificación y Desclasificación de la Información, así como para la elaboración de Versiones Públicas</w:t>
      </w:r>
      <w:r w:rsidRPr="007A3831">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7A3831">
        <w:rPr>
          <w:rFonts w:ascii="Palatino Linotype" w:hAnsi="Palatino Linotype" w:cs="Arial"/>
          <w:sz w:val="24"/>
          <w:szCs w:val="24"/>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Entorno a lo que aquí nos interesa, los Lineamientos Quincuagésimo sexto, Quincuagésimo séptimo y Quincuagésimo octavo, establecen lo siguiente:</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sexto.</w:t>
      </w:r>
      <w:r w:rsidRPr="007A383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séptimo.</w:t>
      </w:r>
      <w:r w:rsidRPr="007A3831">
        <w:rPr>
          <w:rFonts w:ascii="Palatino Linotype" w:hAnsi="Palatino Linotype" w:cs="Arial"/>
          <w:i/>
        </w:rPr>
        <w:t xml:space="preserve"> Se considera, en principio, como información pública y no podrá omitirse de las versiones públicas la siguiente:</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 La relativa a las Obligaciones de Transparencia que contempla el Título V de la Ley General y las demás disposiciones legales aplicables;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octavo.</w:t>
      </w:r>
      <w:r w:rsidRPr="007A383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A3831" w:rsidRPr="007A3831" w:rsidRDefault="007A3831" w:rsidP="007A3831">
      <w:pPr>
        <w:spacing w:after="0" w:line="360" w:lineRule="auto"/>
        <w:jc w:val="both"/>
        <w:rPr>
          <w:rFonts w:ascii="Palatino Linotype" w:hAnsi="Palatino Linotype" w:cs="Arial"/>
          <w:i/>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w:t>
      </w:r>
      <w:r w:rsidRPr="007A3831">
        <w:rPr>
          <w:rFonts w:ascii="Palatino Linotype" w:hAnsi="Palatino Linotype" w:cs="Arial"/>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w:t>
      </w:r>
      <w:r w:rsidR="008C16A7">
        <w:rPr>
          <w:rFonts w:ascii="Palatino Linotype" w:hAnsi="Palatino Linotype" w:cs="Arial"/>
          <w:sz w:val="24"/>
          <w:szCs w:val="24"/>
        </w:rPr>
        <w:t xml:space="preserve"> </w:t>
      </w:r>
      <w:r w:rsidRPr="007A3831">
        <w:rPr>
          <w:rFonts w:ascii="Palatino Linotype" w:hAnsi="Palatino Linotype" w:cs="Arial"/>
          <w:sz w:val="24"/>
          <w:szCs w:val="24"/>
        </w:rPr>
        <w:t>l</w:t>
      </w:r>
      <w:r w:rsidR="008C16A7">
        <w:rPr>
          <w:rFonts w:ascii="Palatino Linotype" w:hAnsi="Palatino Linotype" w:cs="Arial"/>
          <w:sz w:val="24"/>
          <w:szCs w:val="24"/>
        </w:rPr>
        <w:t>a</w:t>
      </w:r>
      <w:r w:rsidRPr="007A3831">
        <w:rPr>
          <w:rFonts w:ascii="Palatino Linotype" w:hAnsi="Palatino Linotype" w:cs="Arial"/>
          <w:sz w:val="24"/>
          <w:szCs w:val="24"/>
        </w:rPr>
        <w:t xml:space="preserve"> solicitante en estado de incertidumbre, al no conocer o comprender porque no aparecen en la documentación respectiva.</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sz w:val="24"/>
          <w:szCs w:val="24"/>
        </w:rPr>
      </w:pPr>
      <w:r w:rsidRPr="007A3831">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7A3831">
        <w:rPr>
          <w:rFonts w:ascii="Palatino Linotype" w:hAnsi="Palatino Linotype" w:cs="Arial"/>
          <w:sz w:val="24"/>
          <w:szCs w:val="24"/>
        </w:rPr>
        <w:t xml:space="preserve">de la Ley de Transparencia y Acceso a la Información Pública del Estado de México y Municipios, </w:t>
      </w:r>
      <w:r w:rsidRPr="007A3831">
        <w:rPr>
          <w:rFonts w:ascii="Palatino Linotype" w:hAnsi="Palatino Linotype" w:cs="Arial"/>
          <w:bCs/>
          <w:sz w:val="24"/>
          <w:szCs w:val="24"/>
        </w:rPr>
        <w:t>a efecto de salvaguardar el derecho de acceso a la informació</w:t>
      </w:r>
      <w:r w:rsidR="007F2293">
        <w:rPr>
          <w:rFonts w:ascii="Palatino Linotype" w:hAnsi="Palatino Linotype" w:cs="Arial"/>
          <w:bCs/>
          <w:sz w:val="24"/>
          <w:szCs w:val="24"/>
        </w:rPr>
        <w:t>n pública consignado a favor de la</w:t>
      </w:r>
      <w:r w:rsidRPr="007A3831">
        <w:rPr>
          <w:rFonts w:ascii="Palatino Linotype" w:hAnsi="Palatino Linotype" w:cs="Arial"/>
          <w:bCs/>
          <w:sz w:val="24"/>
          <w:szCs w:val="24"/>
        </w:rPr>
        <w:t xml:space="preserve"> Recurrente.</w:t>
      </w:r>
    </w:p>
    <w:p w:rsidR="007A3831" w:rsidRDefault="007A3831" w:rsidP="00646E4D">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w:t>
      </w:r>
      <w:r w:rsidR="00574960">
        <w:rPr>
          <w:rFonts w:ascii="Palatino Linotype" w:hAnsi="Palatino Linotype"/>
          <w:sz w:val="24"/>
          <w:szCs w:val="24"/>
        </w:rPr>
        <w:t>f</w:t>
      </w:r>
      <w:r w:rsidRPr="00B81C51">
        <w:rPr>
          <w:rFonts w:ascii="Palatino Linotype" w:hAnsi="Palatino Linotype"/>
          <w:sz w:val="24"/>
          <w:szCs w:val="24"/>
        </w:rPr>
        <w:t>undados los motivos de inconformidad que arg</w:t>
      </w:r>
      <w:r w:rsidR="00574960">
        <w:rPr>
          <w:rFonts w:ascii="Palatino Linotype" w:hAnsi="Palatino Linotype"/>
          <w:sz w:val="24"/>
          <w:szCs w:val="24"/>
        </w:rPr>
        <w:t>uye el</w:t>
      </w:r>
      <w:r w:rsidRPr="00B81C51">
        <w:rPr>
          <w:rFonts w:ascii="Palatino Linotype" w:hAnsi="Palatino Linotype"/>
          <w:sz w:val="24"/>
          <w:szCs w:val="24"/>
        </w:rPr>
        <w:t xml:space="preserve"> Recurrente en su medio de impugnación que fue materia de estudio, por ello </w:t>
      </w:r>
      <w:r w:rsidR="0034396B">
        <w:rPr>
          <w:rFonts w:ascii="Palatino Linotype" w:hAnsi="Palatino Linotype" w:cs="Arial"/>
          <w:b/>
          <w:sz w:val="24"/>
          <w:szCs w:val="24"/>
        </w:rPr>
        <w:t xml:space="preserve">con fundamento en la </w:t>
      </w:r>
      <w:r w:rsidR="006C0FAE">
        <w:rPr>
          <w:rFonts w:ascii="Palatino Linotype" w:hAnsi="Palatino Linotype" w:cs="Arial"/>
          <w:b/>
          <w:sz w:val="24"/>
          <w:szCs w:val="24"/>
        </w:rPr>
        <w:t>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6C0FAE">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574960">
        <w:rPr>
          <w:rFonts w:ascii="Palatino Linotype" w:hAnsi="Palatino Linotype"/>
          <w:b/>
          <w:bCs/>
          <w:sz w:val="24"/>
          <w:szCs w:val="24"/>
        </w:rPr>
        <w:t>00029</w:t>
      </w:r>
      <w:r w:rsidR="006C0FAE" w:rsidRPr="006C0FAE">
        <w:rPr>
          <w:rFonts w:ascii="Palatino Linotype" w:hAnsi="Palatino Linotype"/>
          <w:b/>
          <w:bCs/>
          <w:sz w:val="24"/>
          <w:szCs w:val="24"/>
        </w:rPr>
        <w:t>/CUAUTIT/IP/2020</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6C0FAE">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574960">
        <w:rPr>
          <w:rFonts w:ascii="Palatino Linotype" w:hAnsi="Palatino Linotype"/>
          <w:b/>
          <w:bCs/>
          <w:sz w:val="24"/>
          <w:szCs w:val="24"/>
        </w:rPr>
        <w:t>00029</w:t>
      </w:r>
      <w:r w:rsidR="006C0FAE" w:rsidRPr="006C0FAE">
        <w:rPr>
          <w:rFonts w:ascii="Palatino Linotype" w:hAnsi="Palatino Linotype"/>
          <w:b/>
          <w:bCs/>
          <w:sz w:val="24"/>
          <w:szCs w:val="24"/>
        </w:rPr>
        <w:t>/CUAUTIT/IP/2020</w:t>
      </w:r>
      <w:r w:rsidR="00E43A2C">
        <w:rPr>
          <w:rFonts w:ascii="Palatino Linotype" w:eastAsia="Arial Unicode MS" w:hAnsi="Palatino Linotype" w:cs="Arial"/>
          <w:sz w:val="24"/>
          <w:szCs w:val="24"/>
        </w:rPr>
        <w:t>, por resultar</w:t>
      </w:r>
      <w:r w:rsidR="00FF2373">
        <w:rPr>
          <w:rFonts w:ascii="Palatino Linotype" w:eastAsia="Arial Unicode MS" w:hAnsi="Palatino Linotype" w:cs="Arial"/>
          <w:sz w:val="24"/>
          <w:szCs w:val="24"/>
        </w:rPr>
        <w:t xml:space="preserve">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FF2373">
        <w:rPr>
          <w:rFonts w:ascii="Palatino Linotype" w:eastAsia="Arial Unicode MS" w:hAnsi="Palatino Linotype" w:cs="Arial"/>
          <w:sz w:val="24"/>
          <w:szCs w:val="24"/>
        </w:rPr>
        <w:t>s de inconformi</w:t>
      </w:r>
      <w:r w:rsidR="004F6049">
        <w:rPr>
          <w:rFonts w:ascii="Palatino Linotype" w:eastAsia="Arial Unicode MS" w:hAnsi="Palatino Linotype" w:cs="Arial"/>
          <w:sz w:val="24"/>
          <w:szCs w:val="24"/>
        </w:rPr>
        <w:t>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6C0FAE">
        <w:rPr>
          <w:rFonts w:ascii="Palatino Linotype" w:hAnsi="Palatino Linotype" w:cs="Arial"/>
          <w:b/>
          <w:sz w:val="24"/>
          <w:szCs w:val="24"/>
        </w:rPr>
        <w:t>Considerando CUART</w:t>
      </w:r>
      <w:r w:rsidRPr="00350442">
        <w:rPr>
          <w:rFonts w:ascii="Palatino Linotype" w:hAnsi="Palatino Linotype" w:cs="Arial"/>
          <w:b/>
          <w:sz w:val="24"/>
          <w:szCs w:val="24"/>
        </w:rPr>
        <w:t xml:space="preserve">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sidR="004D339E">
        <w:rPr>
          <w:rFonts w:ascii="Palatino Linotype" w:hAnsi="Palatino Linotype" w:cs="Arial"/>
          <w:sz w:val="24"/>
          <w:szCs w:val="24"/>
        </w:rPr>
        <w:t>entrega a</w:t>
      </w:r>
      <w:r w:rsidR="004F6049">
        <w:rPr>
          <w:rFonts w:ascii="Palatino Linotype" w:hAnsi="Palatino Linotype" w:cs="Arial"/>
          <w:sz w:val="24"/>
          <w:szCs w:val="24"/>
        </w:rPr>
        <w:t>l</w:t>
      </w:r>
      <w:r w:rsidR="00E57C83">
        <w:rPr>
          <w:rFonts w:ascii="Palatino Linotype" w:hAnsi="Palatino Linotype" w:cs="Arial"/>
          <w:sz w:val="24"/>
          <w:szCs w:val="24"/>
        </w:rPr>
        <w:t xml:space="preserve"> Recurrente a tra</w:t>
      </w:r>
      <w:r w:rsidR="006D49FF">
        <w:rPr>
          <w:rFonts w:ascii="Palatino Linotype" w:hAnsi="Palatino Linotype" w:cs="Arial"/>
          <w:sz w:val="24"/>
          <w:szCs w:val="24"/>
        </w:rPr>
        <w:t>vés del SAIMEX y</w:t>
      </w:r>
      <w:r w:rsidR="00E57C83">
        <w:rPr>
          <w:rFonts w:ascii="Palatino Linotype" w:hAnsi="Palatino Linotype" w:cs="Arial"/>
          <w:sz w:val="24"/>
          <w:szCs w:val="24"/>
        </w:rPr>
        <w:t xml:space="preserve"> en versión pública</w:t>
      </w:r>
      <w:r w:rsidR="006C0FAE">
        <w:rPr>
          <w:rFonts w:ascii="Palatino Linotype" w:hAnsi="Palatino Linotype" w:cs="Arial"/>
          <w:sz w:val="24"/>
          <w:szCs w:val="24"/>
        </w:rPr>
        <w:t xml:space="preserve"> ser procedente</w:t>
      </w:r>
      <w:r w:rsidR="00097B59">
        <w:rPr>
          <w:rFonts w:ascii="Palatino Linotype" w:hAnsi="Palatino Linotype" w:cs="Arial"/>
          <w:sz w:val="24"/>
          <w:szCs w:val="24"/>
        </w:rPr>
        <w:t>,</w:t>
      </w:r>
      <w:r w:rsidR="00C226FC">
        <w:rPr>
          <w:rFonts w:ascii="Palatino Linotype" w:hAnsi="Palatino Linotype" w:cs="Arial"/>
          <w:sz w:val="24"/>
          <w:szCs w:val="24"/>
        </w:rPr>
        <w:t xml:space="preserve"> los documentos en donde conste</w:t>
      </w:r>
      <w:r w:rsidR="00BD09F3">
        <w:rPr>
          <w:rFonts w:ascii="Palatino Linotype" w:hAnsi="Palatino Linotype" w:cs="Arial"/>
          <w:sz w:val="24"/>
          <w:szCs w:val="24"/>
        </w:rPr>
        <w:t xml:space="preserv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Pr="00574960" w:rsidRDefault="00574960" w:rsidP="00574960">
      <w:pPr>
        <w:pStyle w:val="Sinespaciado"/>
        <w:numPr>
          <w:ilvl w:val="0"/>
          <w:numId w:val="42"/>
        </w:numPr>
        <w:spacing w:line="276" w:lineRule="auto"/>
        <w:jc w:val="both"/>
        <w:rPr>
          <w:rFonts w:ascii="Palatino Linotype" w:hAnsi="Palatino Linotype" w:cs="Arial"/>
          <w:i/>
          <w:sz w:val="24"/>
          <w:szCs w:val="24"/>
        </w:rPr>
      </w:pPr>
      <w:r w:rsidRPr="00574960">
        <w:rPr>
          <w:rFonts w:ascii="Palatino Linotype" w:hAnsi="Palatino Linotype" w:cs="Arial"/>
          <w:i/>
          <w:sz w:val="24"/>
          <w:szCs w:val="24"/>
        </w:rPr>
        <w:t>Nombre de los artistas que participaron en el evento de las fiestas patrias celebrado el quince de septiembre de dos mil diecinueve y el monto pagado a cada uno de ellos.</w:t>
      </w:r>
    </w:p>
    <w:p w:rsidR="00574960" w:rsidRDefault="00574960" w:rsidP="007A3831">
      <w:pPr>
        <w:spacing w:after="0" w:line="360" w:lineRule="auto"/>
        <w:jc w:val="both"/>
        <w:rPr>
          <w:rFonts w:ascii="Palatino Linotype" w:hAnsi="Palatino Linotype" w:cs="Arial"/>
          <w:sz w:val="24"/>
          <w:szCs w:val="24"/>
        </w:rPr>
      </w:pPr>
    </w:p>
    <w:p w:rsidR="007A3831" w:rsidRDefault="00BD09F3" w:rsidP="007A3831">
      <w:pPr>
        <w:spacing w:after="0" w:line="360" w:lineRule="auto"/>
        <w:jc w:val="both"/>
        <w:rPr>
          <w:rFonts w:ascii="Palatino Linotype" w:hAnsi="Palatino Linotype" w:cs="Arial"/>
          <w:sz w:val="24"/>
          <w:szCs w:val="24"/>
        </w:rPr>
      </w:pPr>
      <w:r>
        <w:rPr>
          <w:rFonts w:ascii="Palatino Linotype" w:hAnsi="Palatino Linotype" w:cs="Arial"/>
          <w:sz w:val="24"/>
          <w:szCs w:val="24"/>
        </w:rPr>
        <w:t>C</w:t>
      </w:r>
      <w:r w:rsidR="007A3831" w:rsidRPr="007A3831">
        <w:rPr>
          <w:rFonts w:ascii="Palatino Linotype" w:hAnsi="Palatino Linotype" w:cs="Arial"/>
          <w:sz w:val="24"/>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00D00FA4">
        <w:rPr>
          <w:rFonts w:ascii="Palatino Linotype" w:hAnsi="Palatino Linotype" w:cs="Arial"/>
          <w:sz w:val="24"/>
          <w:szCs w:val="24"/>
        </w:rPr>
        <w:t>.</w:t>
      </w:r>
    </w:p>
    <w:p w:rsidR="0036778A" w:rsidRDefault="0036778A" w:rsidP="007A3831">
      <w:pPr>
        <w:spacing w:after="0"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lastRenderedPageBreak/>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4F6049">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36778A">
        <w:rPr>
          <w:rFonts w:ascii="Palatino Linotype" w:hAnsi="Palatino Linotype"/>
          <w:sz w:val="24"/>
          <w:szCs w:val="24"/>
        </w:rPr>
        <w:t xml:space="preserve"> </w:t>
      </w:r>
      <w:r w:rsidR="0036778A" w:rsidRPr="009D689B">
        <w:rPr>
          <w:rFonts w:ascii="Palatino Linotype" w:hAnsi="Palatino Linotype"/>
          <w:sz w:val="24"/>
          <w:szCs w:val="24"/>
        </w:rPr>
        <w:t>CON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6D49FF">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w:t>
      </w:r>
      <w:r w:rsidR="007E2E80" w:rsidRPr="00A3097C">
        <w:rPr>
          <w:rFonts w:ascii="Palatino Linotype" w:hAnsi="Palatino Linotype"/>
          <w:color w:val="000000" w:themeColor="text1"/>
          <w:sz w:val="24"/>
          <w:szCs w:val="24"/>
        </w:rPr>
        <w:t xml:space="preserve">EN LA </w:t>
      </w:r>
      <w:r w:rsidR="00A3097C">
        <w:rPr>
          <w:rFonts w:ascii="Palatino Linotype" w:hAnsi="Palatino Linotype"/>
          <w:color w:val="000000" w:themeColor="text1"/>
          <w:sz w:val="24"/>
          <w:szCs w:val="24"/>
        </w:rPr>
        <w:t>DÉCIMA CUARTA</w:t>
      </w:r>
      <w:r w:rsidR="00D00FA4" w:rsidRPr="00A3097C">
        <w:rPr>
          <w:rFonts w:ascii="Palatino Linotype" w:hAnsi="Palatino Linotype"/>
          <w:color w:val="000000" w:themeColor="text1"/>
          <w:sz w:val="24"/>
          <w:szCs w:val="24"/>
        </w:rPr>
        <w:t xml:space="preserve"> SESION ORDINARIA CE</w:t>
      </w:r>
      <w:r w:rsidR="007E2E80" w:rsidRPr="00A3097C">
        <w:rPr>
          <w:rFonts w:ascii="Palatino Linotype" w:hAnsi="Palatino Linotype"/>
          <w:color w:val="000000" w:themeColor="text1"/>
          <w:sz w:val="24"/>
          <w:szCs w:val="24"/>
        </w:rPr>
        <w:t xml:space="preserve">LEBRADA EL </w:t>
      </w:r>
      <w:r w:rsidR="00A3097C">
        <w:rPr>
          <w:rFonts w:ascii="Palatino Linotype" w:hAnsi="Palatino Linotype"/>
          <w:color w:val="000000" w:themeColor="text1"/>
          <w:sz w:val="24"/>
          <w:szCs w:val="24"/>
        </w:rPr>
        <w:t>DIECINUEVE DE AGOSTO</w:t>
      </w:r>
      <w:r w:rsidR="00D00FA4" w:rsidRPr="00A3097C">
        <w:rPr>
          <w:rFonts w:ascii="Palatino Linotype" w:hAnsi="Palatino Linotype"/>
          <w:color w:val="000000" w:themeColor="text1"/>
          <w:sz w:val="24"/>
          <w:szCs w:val="24"/>
        </w:rPr>
        <w:t xml:space="preserve"> DE </w:t>
      </w:r>
      <w:r w:rsidR="00D00FA4">
        <w:rPr>
          <w:rFonts w:ascii="Palatino Linotype" w:hAnsi="Palatino Linotype"/>
          <w:sz w:val="24"/>
          <w:szCs w:val="24"/>
        </w:rPr>
        <w:t>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574960">
        <w:rPr>
          <w:rFonts w:ascii="Palatino Linotype" w:hAnsi="Palatino Linotype"/>
          <w:sz w:val="24"/>
          <w:szCs w:val="24"/>
        </w:rPr>
        <w:t>------------------------</w:t>
      </w:r>
      <w:r w:rsidR="001140AF">
        <w:rPr>
          <w:rFonts w:ascii="Palatino Linotype" w:hAnsi="Palatino Linotype"/>
          <w:sz w:val="24"/>
          <w:szCs w:val="24"/>
        </w:rPr>
        <w:t>---------------------------------------------------------------------------------</w:t>
      </w:r>
      <w:r w:rsidR="00A3097C">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2647D3" w:rsidP="00C10AAE">
            <w:pPr>
              <w:pStyle w:val="Sinespaciado"/>
              <w:jc w:val="center"/>
              <w:rPr>
                <w:rFonts w:ascii="Palatino Linotype" w:hAnsi="Palatino Linotype"/>
                <w:sz w:val="24"/>
                <w:szCs w:val="24"/>
              </w:rPr>
            </w:pPr>
            <w:r>
              <w:rPr>
                <w:rFonts w:ascii="Palatino Linotype" w:hAnsi="Palatino Linotype"/>
                <w:sz w:val="24"/>
                <w:szCs w:val="24"/>
              </w:rPr>
              <w:t>(</w:t>
            </w:r>
            <w:r w:rsidR="007A2FF1"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w:t>
            </w:r>
            <w:r w:rsidR="006D49FF">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 corre</w:t>
      </w:r>
      <w:r w:rsidR="00A3097C">
        <w:rPr>
          <w:rFonts w:ascii="Palatino Linotype" w:hAnsi="Palatino Linotype"/>
          <w:sz w:val="16"/>
          <w:szCs w:val="16"/>
        </w:rPr>
        <w:t xml:space="preserve">sponde a la resolución de fecha diecinueve de agosto </w:t>
      </w:r>
      <w:r w:rsidR="00D00FA4">
        <w:rPr>
          <w:rFonts w:ascii="Palatino Linotype" w:hAnsi="Palatino Linotype"/>
          <w:sz w:val="16"/>
          <w:szCs w:val="16"/>
        </w:rPr>
        <w:t>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A3097C">
        <w:rPr>
          <w:rFonts w:ascii="Palatino Linotype" w:hAnsi="Palatino Linotype"/>
          <w:bCs/>
          <w:sz w:val="16"/>
          <w:szCs w:val="16"/>
          <w:lang w:eastAsia="es-MX"/>
        </w:rPr>
        <w:t>01320</w:t>
      </w:r>
      <w:r w:rsidR="006D49FF">
        <w:rPr>
          <w:rFonts w:ascii="Palatino Linotype" w:hAnsi="Palatino Linotype"/>
          <w:bCs/>
          <w:sz w:val="16"/>
          <w:szCs w:val="16"/>
          <w:lang w:eastAsia="es-MX"/>
        </w:rPr>
        <w:t>/INFOEM/IP/RR/2020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2FF" w:rsidRDefault="000F12FF" w:rsidP="007E2E80">
      <w:pPr>
        <w:spacing w:after="0" w:line="240" w:lineRule="auto"/>
      </w:pPr>
      <w:r>
        <w:separator/>
      </w:r>
    </w:p>
  </w:endnote>
  <w:endnote w:type="continuationSeparator" w:id="0">
    <w:p w:rsidR="000F12FF" w:rsidRDefault="000F12F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4C9" w:rsidRPr="000B69FA" w:rsidRDefault="000474C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3CD7">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3CD7">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4C9" w:rsidRPr="000B69FA" w:rsidRDefault="000474C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3CD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3CD7">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2FF" w:rsidRDefault="000F12FF" w:rsidP="007E2E80">
      <w:pPr>
        <w:spacing w:after="0" w:line="240" w:lineRule="auto"/>
      </w:pPr>
      <w:r>
        <w:separator/>
      </w:r>
    </w:p>
  </w:footnote>
  <w:footnote w:type="continuationSeparator" w:id="0">
    <w:p w:rsidR="000F12FF" w:rsidRDefault="000F12FF" w:rsidP="007E2E80">
      <w:pPr>
        <w:spacing w:after="0" w:line="240" w:lineRule="auto"/>
      </w:pPr>
      <w:r>
        <w:continuationSeparator/>
      </w:r>
    </w:p>
  </w:footnote>
  <w:footnote w:id="1">
    <w:p w:rsidR="000474C9" w:rsidRPr="00615B4B" w:rsidRDefault="000474C9"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0474C9" w:rsidRPr="00615B4B" w:rsidRDefault="000474C9"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2131A" w:rsidRPr="00B2131A" w:rsidRDefault="00B2131A" w:rsidP="00B2131A">
      <w:pPr>
        <w:pStyle w:val="Textonotapie"/>
        <w:jc w:val="both"/>
        <w:rPr>
          <w:rFonts w:ascii="Palatino Linotype" w:hAnsi="Palatino Linotype"/>
          <w:sz w:val="18"/>
          <w:szCs w:val="18"/>
        </w:rPr>
      </w:pPr>
      <w:r w:rsidRPr="00B2131A">
        <w:rPr>
          <w:rStyle w:val="Refdenotaalpie"/>
          <w:rFonts w:ascii="Palatino Linotype" w:hAnsi="Palatino Linotype"/>
          <w:sz w:val="18"/>
          <w:szCs w:val="18"/>
        </w:rPr>
        <w:footnoteRef/>
      </w:r>
      <w:r w:rsidRPr="00B2131A">
        <w:rPr>
          <w:rFonts w:ascii="Palatino Linotype" w:hAnsi="Palatino Linotype"/>
          <w:sz w:val="18"/>
          <w:szCs w:val="18"/>
        </w:rPr>
        <w:t xml:space="preserve"> [T</w:t>
      </w:r>
      <w:r>
        <w:rPr>
          <w:rFonts w:ascii="Palatino Linotype" w:hAnsi="Palatino Linotype"/>
          <w:sz w:val="18"/>
          <w:szCs w:val="18"/>
        </w:rPr>
        <w:t>A]; 9ª Época; 2ª Sala; Seminario Judicial de la Federación y su Gaceta; Tomo XXXII, agosto de 2010; pág. 463.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4C9" w:rsidRDefault="000474C9">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0474C9" w:rsidTr="00182616">
      <w:trPr>
        <w:trHeight w:val="227"/>
      </w:trPr>
      <w:tc>
        <w:tcPr>
          <w:tcW w:w="5949" w:type="dxa"/>
          <w:hideMark/>
        </w:tcPr>
        <w:p w:rsidR="000474C9" w:rsidRDefault="000474C9"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0474C9" w:rsidRDefault="000474C9"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01320/INFOEM/IP/RR/2020</w:t>
          </w:r>
        </w:p>
      </w:tc>
    </w:tr>
    <w:tr w:rsidR="000474C9" w:rsidTr="00182616">
      <w:trPr>
        <w:trHeight w:val="242"/>
      </w:trPr>
      <w:tc>
        <w:tcPr>
          <w:tcW w:w="5949" w:type="dxa"/>
          <w:hideMark/>
        </w:tcPr>
        <w:p w:rsidR="000474C9" w:rsidRDefault="000474C9"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0474C9" w:rsidRPr="00DE7461" w:rsidRDefault="000474C9"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Cuautitlán</w:t>
          </w:r>
        </w:p>
      </w:tc>
    </w:tr>
    <w:tr w:rsidR="000474C9" w:rsidTr="00182616">
      <w:trPr>
        <w:trHeight w:val="342"/>
      </w:trPr>
      <w:tc>
        <w:tcPr>
          <w:tcW w:w="5949" w:type="dxa"/>
          <w:hideMark/>
        </w:tcPr>
        <w:p w:rsidR="000474C9" w:rsidRDefault="000474C9"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0474C9" w:rsidRDefault="000474C9"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0474C9" w:rsidRDefault="000474C9">
    <w:pPr>
      <w:pStyle w:val="Encabezado"/>
    </w:pPr>
  </w:p>
  <w:p w:rsidR="000474C9" w:rsidRDefault="000474C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0474C9" w:rsidTr="00182616">
      <w:trPr>
        <w:trHeight w:val="227"/>
      </w:trPr>
      <w:tc>
        <w:tcPr>
          <w:tcW w:w="5103" w:type="dxa"/>
          <w:hideMark/>
        </w:tcPr>
        <w:p w:rsidR="000474C9" w:rsidRDefault="000474C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0474C9" w:rsidRPr="00B4142F" w:rsidRDefault="000474C9"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01320/INFOEM/IP/RR/2020</w:t>
          </w:r>
        </w:p>
      </w:tc>
    </w:tr>
    <w:tr w:rsidR="000474C9" w:rsidTr="009D3CD7">
      <w:trPr>
        <w:trHeight w:val="196"/>
      </w:trPr>
      <w:tc>
        <w:tcPr>
          <w:tcW w:w="5103" w:type="dxa"/>
          <w:hideMark/>
        </w:tcPr>
        <w:p w:rsidR="000474C9" w:rsidRDefault="000474C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tcPr>
        <w:p w:rsidR="000474C9" w:rsidRPr="00F06FED" w:rsidRDefault="000474C9" w:rsidP="00212498">
          <w:pPr>
            <w:spacing w:after="120" w:line="256" w:lineRule="auto"/>
            <w:ind w:left="208" w:right="214"/>
            <w:jc w:val="right"/>
            <w:rPr>
              <w:rFonts w:ascii="Palatino Linotype" w:hAnsi="Palatino Linotype" w:cs="Arial"/>
            </w:rPr>
          </w:pPr>
        </w:p>
      </w:tc>
    </w:tr>
    <w:tr w:rsidR="000474C9" w:rsidTr="00182616">
      <w:trPr>
        <w:trHeight w:val="242"/>
      </w:trPr>
      <w:tc>
        <w:tcPr>
          <w:tcW w:w="5103" w:type="dxa"/>
          <w:hideMark/>
        </w:tcPr>
        <w:p w:rsidR="000474C9" w:rsidRDefault="000474C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0474C9" w:rsidRDefault="000474C9"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Cuautitlán</w:t>
          </w:r>
        </w:p>
      </w:tc>
    </w:tr>
    <w:tr w:rsidR="000474C9" w:rsidTr="00182616">
      <w:trPr>
        <w:trHeight w:val="342"/>
      </w:trPr>
      <w:tc>
        <w:tcPr>
          <w:tcW w:w="5103" w:type="dxa"/>
          <w:hideMark/>
        </w:tcPr>
        <w:p w:rsidR="000474C9" w:rsidRDefault="000474C9"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0474C9" w:rsidRDefault="000474C9"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0474C9" w:rsidRDefault="000474C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40C80E"/>
    <w:multiLevelType w:val="hybridMultilevel"/>
    <w:tmpl w:val="16DD7D0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0A286F"/>
    <w:multiLevelType w:val="hybridMultilevel"/>
    <w:tmpl w:val="F72A9398"/>
    <w:lvl w:ilvl="0" w:tplc="99164F2E">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9E5CC8"/>
    <w:multiLevelType w:val="hybridMultilevel"/>
    <w:tmpl w:val="570A94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C460D4"/>
    <w:multiLevelType w:val="hybridMultilevel"/>
    <w:tmpl w:val="03E85C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A210E5"/>
    <w:multiLevelType w:val="hybridMultilevel"/>
    <w:tmpl w:val="B2AE4B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F6405CE"/>
    <w:multiLevelType w:val="hybridMultilevel"/>
    <w:tmpl w:val="BE94BB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8B5A26"/>
    <w:multiLevelType w:val="hybridMultilevel"/>
    <w:tmpl w:val="EE9EA88A"/>
    <w:lvl w:ilvl="0" w:tplc="E96A3B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A0B7CCF"/>
    <w:multiLevelType w:val="hybridMultilevel"/>
    <w:tmpl w:val="DC2AC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
  </w:num>
  <w:num w:numId="2">
    <w:abstractNumId w:val="11"/>
  </w:num>
  <w:num w:numId="3">
    <w:abstractNumId w:val="4"/>
  </w:num>
  <w:num w:numId="4">
    <w:abstractNumId w:val="39"/>
  </w:num>
  <w:num w:numId="5">
    <w:abstractNumId w:val="9"/>
  </w:num>
  <w:num w:numId="6">
    <w:abstractNumId w:val="7"/>
  </w:num>
  <w:num w:numId="7">
    <w:abstractNumId w:val="22"/>
  </w:num>
  <w:num w:numId="8">
    <w:abstractNumId w:val="21"/>
  </w:num>
  <w:num w:numId="9">
    <w:abstractNumId w:val="32"/>
  </w:num>
  <w:num w:numId="10">
    <w:abstractNumId w:val="10"/>
  </w:num>
  <w:num w:numId="11">
    <w:abstractNumId w:val="33"/>
  </w:num>
  <w:num w:numId="12">
    <w:abstractNumId w:val="27"/>
  </w:num>
  <w:num w:numId="13">
    <w:abstractNumId w:val="24"/>
  </w:num>
  <w:num w:numId="14">
    <w:abstractNumId w:val="14"/>
  </w:num>
  <w:num w:numId="15">
    <w:abstractNumId w:val="6"/>
  </w:num>
  <w:num w:numId="16">
    <w:abstractNumId w:val="12"/>
  </w:num>
  <w:num w:numId="17">
    <w:abstractNumId w:val="18"/>
  </w:num>
  <w:num w:numId="18">
    <w:abstractNumId w:val="31"/>
  </w:num>
  <w:num w:numId="19">
    <w:abstractNumId w:val="37"/>
  </w:num>
  <w:num w:numId="20">
    <w:abstractNumId w:val="29"/>
  </w:num>
  <w:num w:numId="21">
    <w:abstractNumId w:val="15"/>
  </w:num>
  <w:num w:numId="22">
    <w:abstractNumId w:val="17"/>
  </w:num>
  <w:num w:numId="23">
    <w:abstractNumId w:val="28"/>
  </w:num>
  <w:num w:numId="24">
    <w:abstractNumId w:val="40"/>
  </w:num>
  <w:num w:numId="25">
    <w:abstractNumId w:val="20"/>
  </w:num>
  <w:num w:numId="26">
    <w:abstractNumId w:val="38"/>
  </w:num>
  <w:num w:numId="27">
    <w:abstractNumId w:val="36"/>
  </w:num>
  <w:num w:numId="28">
    <w:abstractNumId w:val="8"/>
  </w:num>
  <w:num w:numId="29">
    <w:abstractNumId w:val="5"/>
  </w:num>
  <w:num w:numId="30">
    <w:abstractNumId w:val="30"/>
  </w:num>
  <w:num w:numId="31">
    <w:abstractNumId w:val="26"/>
  </w:num>
  <w:num w:numId="32">
    <w:abstractNumId w:val="2"/>
  </w:num>
  <w:num w:numId="33">
    <w:abstractNumId w:val="16"/>
  </w:num>
  <w:num w:numId="34">
    <w:abstractNumId w:val="41"/>
  </w:num>
  <w:num w:numId="35">
    <w:abstractNumId w:val="34"/>
  </w:num>
  <w:num w:numId="36">
    <w:abstractNumId w:val="19"/>
  </w:num>
  <w:num w:numId="37">
    <w:abstractNumId w:val="23"/>
  </w:num>
  <w:num w:numId="38">
    <w:abstractNumId w:val="13"/>
  </w:num>
  <w:num w:numId="39">
    <w:abstractNumId w:val="25"/>
  </w:num>
  <w:num w:numId="40">
    <w:abstractNumId w:val="0"/>
  </w:num>
  <w:num w:numId="41">
    <w:abstractNumId w:val="3"/>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1C48"/>
    <w:rsid w:val="000044B4"/>
    <w:rsid w:val="00006849"/>
    <w:rsid w:val="00011DF7"/>
    <w:rsid w:val="00013A91"/>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0F86"/>
    <w:rsid w:val="00043018"/>
    <w:rsid w:val="000430A6"/>
    <w:rsid w:val="00043CE6"/>
    <w:rsid w:val="000474C9"/>
    <w:rsid w:val="00050A9C"/>
    <w:rsid w:val="00051311"/>
    <w:rsid w:val="00052ED4"/>
    <w:rsid w:val="00053C9B"/>
    <w:rsid w:val="000547F6"/>
    <w:rsid w:val="00056372"/>
    <w:rsid w:val="00057570"/>
    <w:rsid w:val="000674FE"/>
    <w:rsid w:val="0007328F"/>
    <w:rsid w:val="000738E9"/>
    <w:rsid w:val="00074EEE"/>
    <w:rsid w:val="00077284"/>
    <w:rsid w:val="0008042E"/>
    <w:rsid w:val="00081C93"/>
    <w:rsid w:val="00083079"/>
    <w:rsid w:val="00086FBE"/>
    <w:rsid w:val="00086FC0"/>
    <w:rsid w:val="0008795C"/>
    <w:rsid w:val="0009343E"/>
    <w:rsid w:val="000944AF"/>
    <w:rsid w:val="0009497C"/>
    <w:rsid w:val="00094B58"/>
    <w:rsid w:val="00094CA1"/>
    <w:rsid w:val="00094FA1"/>
    <w:rsid w:val="00095218"/>
    <w:rsid w:val="00097B59"/>
    <w:rsid w:val="000A153F"/>
    <w:rsid w:val="000A27C1"/>
    <w:rsid w:val="000A7540"/>
    <w:rsid w:val="000B5E2B"/>
    <w:rsid w:val="000B7E54"/>
    <w:rsid w:val="000C2ACC"/>
    <w:rsid w:val="000C674B"/>
    <w:rsid w:val="000C67E0"/>
    <w:rsid w:val="000D00D8"/>
    <w:rsid w:val="000D21B7"/>
    <w:rsid w:val="000D47AB"/>
    <w:rsid w:val="000D6982"/>
    <w:rsid w:val="000D756B"/>
    <w:rsid w:val="000E54D0"/>
    <w:rsid w:val="000E7C0A"/>
    <w:rsid w:val="000F12FF"/>
    <w:rsid w:val="000F199E"/>
    <w:rsid w:val="000F3722"/>
    <w:rsid w:val="000F4EB1"/>
    <w:rsid w:val="00106160"/>
    <w:rsid w:val="00106FF0"/>
    <w:rsid w:val="001129FF"/>
    <w:rsid w:val="001140AF"/>
    <w:rsid w:val="00114C3C"/>
    <w:rsid w:val="00117598"/>
    <w:rsid w:val="00117ABF"/>
    <w:rsid w:val="00121E46"/>
    <w:rsid w:val="00122CD0"/>
    <w:rsid w:val="0012508A"/>
    <w:rsid w:val="001322BF"/>
    <w:rsid w:val="00132E9F"/>
    <w:rsid w:val="0013459C"/>
    <w:rsid w:val="00135494"/>
    <w:rsid w:val="00140AE4"/>
    <w:rsid w:val="00140C2F"/>
    <w:rsid w:val="0014191F"/>
    <w:rsid w:val="00143727"/>
    <w:rsid w:val="00143AC6"/>
    <w:rsid w:val="0014447C"/>
    <w:rsid w:val="001510E8"/>
    <w:rsid w:val="001552E9"/>
    <w:rsid w:val="00162176"/>
    <w:rsid w:val="00165929"/>
    <w:rsid w:val="00166046"/>
    <w:rsid w:val="00166FB7"/>
    <w:rsid w:val="001706EC"/>
    <w:rsid w:val="001804DC"/>
    <w:rsid w:val="0018075A"/>
    <w:rsid w:val="00180F6B"/>
    <w:rsid w:val="00182591"/>
    <w:rsid w:val="00182616"/>
    <w:rsid w:val="0019302A"/>
    <w:rsid w:val="001A12A0"/>
    <w:rsid w:val="001A17B9"/>
    <w:rsid w:val="001A2F7E"/>
    <w:rsid w:val="001A4700"/>
    <w:rsid w:val="001B260E"/>
    <w:rsid w:val="001B41F7"/>
    <w:rsid w:val="001C0CE9"/>
    <w:rsid w:val="001C25AB"/>
    <w:rsid w:val="001C7007"/>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19D2"/>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25FB"/>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6191D"/>
    <w:rsid w:val="002647D3"/>
    <w:rsid w:val="00271762"/>
    <w:rsid w:val="00273014"/>
    <w:rsid w:val="0027328F"/>
    <w:rsid w:val="00274A93"/>
    <w:rsid w:val="002771A2"/>
    <w:rsid w:val="00277E0D"/>
    <w:rsid w:val="0028585E"/>
    <w:rsid w:val="00287072"/>
    <w:rsid w:val="00290397"/>
    <w:rsid w:val="00291370"/>
    <w:rsid w:val="002967E2"/>
    <w:rsid w:val="00296F49"/>
    <w:rsid w:val="002A1927"/>
    <w:rsid w:val="002A3167"/>
    <w:rsid w:val="002A4A72"/>
    <w:rsid w:val="002B0070"/>
    <w:rsid w:val="002B1519"/>
    <w:rsid w:val="002B2554"/>
    <w:rsid w:val="002B3AD4"/>
    <w:rsid w:val="002B58D4"/>
    <w:rsid w:val="002B5B14"/>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E7A92"/>
    <w:rsid w:val="002F044A"/>
    <w:rsid w:val="002F0481"/>
    <w:rsid w:val="002F0746"/>
    <w:rsid w:val="002F160B"/>
    <w:rsid w:val="002F17FB"/>
    <w:rsid w:val="002F33E9"/>
    <w:rsid w:val="002F48B3"/>
    <w:rsid w:val="003013E4"/>
    <w:rsid w:val="00301A01"/>
    <w:rsid w:val="003021C1"/>
    <w:rsid w:val="00303FAF"/>
    <w:rsid w:val="00304C91"/>
    <w:rsid w:val="00305364"/>
    <w:rsid w:val="00307031"/>
    <w:rsid w:val="00307784"/>
    <w:rsid w:val="00310760"/>
    <w:rsid w:val="00311191"/>
    <w:rsid w:val="00312E7E"/>
    <w:rsid w:val="00315192"/>
    <w:rsid w:val="0031531C"/>
    <w:rsid w:val="00316409"/>
    <w:rsid w:val="003255F3"/>
    <w:rsid w:val="00326D4D"/>
    <w:rsid w:val="00327932"/>
    <w:rsid w:val="00330BBC"/>
    <w:rsid w:val="00336EDF"/>
    <w:rsid w:val="00337468"/>
    <w:rsid w:val="0034396B"/>
    <w:rsid w:val="00350442"/>
    <w:rsid w:val="0035507D"/>
    <w:rsid w:val="00363308"/>
    <w:rsid w:val="00365ADF"/>
    <w:rsid w:val="0036778A"/>
    <w:rsid w:val="00367BDB"/>
    <w:rsid w:val="0037111B"/>
    <w:rsid w:val="0037149C"/>
    <w:rsid w:val="00372796"/>
    <w:rsid w:val="00374450"/>
    <w:rsid w:val="00374F22"/>
    <w:rsid w:val="003750D2"/>
    <w:rsid w:val="00375FF5"/>
    <w:rsid w:val="0037693A"/>
    <w:rsid w:val="00377E8A"/>
    <w:rsid w:val="0038150A"/>
    <w:rsid w:val="0038385D"/>
    <w:rsid w:val="003840C3"/>
    <w:rsid w:val="00386A8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5402"/>
    <w:rsid w:val="00400852"/>
    <w:rsid w:val="004008E7"/>
    <w:rsid w:val="00400C32"/>
    <w:rsid w:val="004033F4"/>
    <w:rsid w:val="00404F9D"/>
    <w:rsid w:val="00405574"/>
    <w:rsid w:val="00406B61"/>
    <w:rsid w:val="00407282"/>
    <w:rsid w:val="00407CF4"/>
    <w:rsid w:val="00410A41"/>
    <w:rsid w:val="004132B8"/>
    <w:rsid w:val="00413AD5"/>
    <w:rsid w:val="00417EBD"/>
    <w:rsid w:val="00423757"/>
    <w:rsid w:val="00423C27"/>
    <w:rsid w:val="00424A8A"/>
    <w:rsid w:val="00425199"/>
    <w:rsid w:val="00432BF1"/>
    <w:rsid w:val="00437846"/>
    <w:rsid w:val="00443826"/>
    <w:rsid w:val="004440A9"/>
    <w:rsid w:val="0045270C"/>
    <w:rsid w:val="0045396C"/>
    <w:rsid w:val="004572BE"/>
    <w:rsid w:val="004617C7"/>
    <w:rsid w:val="00461AE8"/>
    <w:rsid w:val="004625C1"/>
    <w:rsid w:val="00463048"/>
    <w:rsid w:val="004657BE"/>
    <w:rsid w:val="00473374"/>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404B"/>
    <w:rsid w:val="004C6A8F"/>
    <w:rsid w:val="004C7E18"/>
    <w:rsid w:val="004D1E3D"/>
    <w:rsid w:val="004D339E"/>
    <w:rsid w:val="004D7252"/>
    <w:rsid w:val="004D798F"/>
    <w:rsid w:val="004E2B2D"/>
    <w:rsid w:val="004E3718"/>
    <w:rsid w:val="004E3AAD"/>
    <w:rsid w:val="004F1436"/>
    <w:rsid w:val="004F483E"/>
    <w:rsid w:val="004F4B8F"/>
    <w:rsid w:val="004F6049"/>
    <w:rsid w:val="0050104C"/>
    <w:rsid w:val="005023F4"/>
    <w:rsid w:val="005033CC"/>
    <w:rsid w:val="00505786"/>
    <w:rsid w:val="00516BA8"/>
    <w:rsid w:val="00520358"/>
    <w:rsid w:val="0052393E"/>
    <w:rsid w:val="00524986"/>
    <w:rsid w:val="005328FB"/>
    <w:rsid w:val="0053370B"/>
    <w:rsid w:val="00537419"/>
    <w:rsid w:val="00537D90"/>
    <w:rsid w:val="00541B17"/>
    <w:rsid w:val="005421C7"/>
    <w:rsid w:val="00542206"/>
    <w:rsid w:val="005436F5"/>
    <w:rsid w:val="005448FA"/>
    <w:rsid w:val="005474C3"/>
    <w:rsid w:val="005533C9"/>
    <w:rsid w:val="00566699"/>
    <w:rsid w:val="00567C71"/>
    <w:rsid w:val="005733EB"/>
    <w:rsid w:val="00574960"/>
    <w:rsid w:val="0057534D"/>
    <w:rsid w:val="00587771"/>
    <w:rsid w:val="00590126"/>
    <w:rsid w:val="00591988"/>
    <w:rsid w:val="0059515F"/>
    <w:rsid w:val="00596856"/>
    <w:rsid w:val="005A05D5"/>
    <w:rsid w:val="005A117C"/>
    <w:rsid w:val="005A6F55"/>
    <w:rsid w:val="005B03A4"/>
    <w:rsid w:val="005B183B"/>
    <w:rsid w:val="005B2A31"/>
    <w:rsid w:val="005B2B70"/>
    <w:rsid w:val="005B4B01"/>
    <w:rsid w:val="005B7E58"/>
    <w:rsid w:val="005C057C"/>
    <w:rsid w:val="005C6758"/>
    <w:rsid w:val="005C76D5"/>
    <w:rsid w:val="005D02A8"/>
    <w:rsid w:val="005D5EEB"/>
    <w:rsid w:val="005D5FD3"/>
    <w:rsid w:val="005E3A32"/>
    <w:rsid w:val="005E3E34"/>
    <w:rsid w:val="005E3F88"/>
    <w:rsid w:val="005E4BEC"/>
    <w:rsid w:val="005E6F4D"/>
    <w:rsid w:val="005E7805"/>
    <w:rsid w:val="00600575"/>
    <w:rsid w:val="00600D67"/>
    <w:rsid w:val="006023A0"/>
    <w:rsid w:val="0060633A"/>
    <w:rsid w:val="006110C1"/>
    <w:rsid w:val="006146E7"/>
    <w:rsid w:val="006149F1"/>
    <w:rsid w:val="00614AB1"/>
    <w:rsid w:val="00617D1A"/>
    <w:rsid w:val="006208D3"/>
    <w:rsid w:val="00620FA6"/>
    <w:rsid w:val="006246A5"/>
    <w:rsid w:val="00625C69"/>
    <w:rsid w:val="0062686A"/>
    <w:rsid w:val="00627F9C"/>
    <w:rsid w:val="00631F1B"/>
    <w:rsid w:val="00631FF9"/>
    <w:rsid w:val="00632085"/>
    <w:rsid w:val="00633C3F"/>
    <w:rsid w:val="00635B6B"/>
    <w:rsid w:val="00635C5C"/>
    <w:rsid w:val="00640272"/>
    <w:rsid w:val="00640D07"/>
    <w:rsid w:val="00642541"/>
    <w:rsid w:val="00643BBD"/>
    <w:rsid w:val="00644363"/>
    <w:rsid w:val="006446F7"/>
    <w:rsid w:val="00645B02"/>
    <w:rsid w:val="00646E4D"/>
    <w:rsid w:val="00647067"/>
    <w:rsid w:val="00647B4C"/>
    <w:rsid w:val="00652906"/>
    <w:rsid w:val="006532DD"/>
    <w:rsid w:val="0065519D"/>
    <w:rsid w:val="00661204"/>
    <w:rsid w:val="006621E2"/>
    <w:rsid w:val="006640E4"/>
    <w:rsid w:val="0066610F"/>
    <w:rsid w:val="006661F4"/>
    <w:rsid w:val="00666796"/>
    <w:rsid w:val="00672684"/>
    <w:rsid w:val="0067376B"/>
    <w:rsid w:val="00673D7C"/>
    <w:rsid w:val="006740CD"/>
    <w:rsid w:val="006749FD"/>
    <w:rsid w:val="006753F6"/>
    <w:rsid w:val="00676C32"/>
    <w:rsid w:val="00677735"/>
    <w:rsid w:val="006808D8"/>
    <w:rsid w:val="00680D39"/>
    <w:rsid w:val="00686046"/>
    <w:rsid w:val="0068613E"/>
    <w:rsid w:val="006919CE"/>
    <w:rsid w:val="0069776E"/>
    <w:rsid w:val="006A0ADE"/>
    <w:rsid w:val="006A29C5"/>
    <w:rsid w:val="006A3A54"/>
    <w:rsid w:val="006A561E"/>
    <w:rsid w:val="006A674A"/>
    <w:rsid w:val="006A6AF8"/>
    <w:rsid w:val="006A7B74"/>
    <w:rsid w:val="006B42F4"/>
    <w:rsid w:val="006B5052"/>
    <w:rsid w:val="006B54F8"/>
    <w:rsid w:val="006C0FAE"/>
    <w:rsid w:val="006C24DF"/>
    <w:rsid w:val="006C43CE"/>
    <w:rsid w:val="006C510A"/>
    <w:rsid w:val="006C6176"/>
    <w:rsid w:val="006C6C1D"/>
    <w:rsid w:val="006D01DC"/>
    <w:rsid w:val="006D1136"/>
    <w:rsid w:val="006D254A"/>
    <w:rsid w:val="006D3184"/>
    <w:rsid w:val="006D49FF"/>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58BB"/>
    <w:rsid w:val="007218F2"/>
    <w:rsid w:val="00725286"/>
    <w:rsid w:val="007256EA"/>
    <w:rsid w:val="00726BB8"/>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812E7"/>
    <w:rsid w:val="00785145"/>
    <w:rsid w:val="00785340"/>
    <w:rsid w:val="00786497"/>
    <w:rsid w:val="0078766C"/>
    <w:rsid w:val="00790289"/>
    <w:rsid w:val="00793F03"/>
    <w:rsid w:val="00793FEA"/>
    <w:rsid w:val="0079496F"/>
    <w:rsid w:val="00794D57"/>
    <w:rsid w:val="00797BE3"/>
    <w:rsid w:val="007A0571"/>
    <w:rsid w:val="007A223B"/>
    <w:rsid w:val="007A2FF1"/>
    <w:rsid w:val="007A3831"/>
    <w:rsid w:val="007A4E13"/>
    <w:rsid w:val="007A7098"/>
    <w:rsid w:val="007B0292"/>
    <w:rsid w:val="007B0E30"/>
    <w:rsid w:val="007B1050"/>
    <w:rsid w:val="007C0E19"/>
    <w:rsid w:val="007C11C3"/>
    <w:rsid w:val="007D0CFF"/>
    <w:rsid w:val="007D29C5"/>
    <w:rsid w:val="007D3C8E"/>
    <w:rsid w:val="007D64E8"/>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0FD3"/>
    <w:rsid w:val="0081299A"/>
    <w:rsid w:val="00815EAB"/>
    <w:rsid w:val="00816AE5"/>
    <w:rsid w:val="0081732C"/>
    <w:rsid w:val="00821898"/>
    <w:rsid w:val="0082278A"/>
    <w:rsid w:val="00823454"/>
    <w:rsid w:val="00824894"/>
    <w:rsid w:val="0082750B"/>
    <w:rsid w:val="00830360"/>
    <w:rsid w:val="008307E5"/>
    <w:rsid w:val="00831395"/>
    <w:rsid w:val="00834E89"/>
    <w:rsid w:val="00843415"/>
    <w:rsid w:val="0084469C"/>
    <w:rsid w:val="008455DC"/>
    <w:rsid w:val="0085070E"/>
    <w:rsid w:val="00850F99"/>
    <w:rsid w:val="00853CC3"/>
    <w:rsid w:val="008543D2"/>
    <w:rsid w:val="00862A04"/>
    <w:rsid w:val="008659E5"/>
    <w:rsid w:val="00867D56"/>
    <w:rsid w:val="00870064"/>
    <w:rsid w:val="008715AD"/>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C19"/>
    <w:rsid w:val="008A29E6"/>
    <w:rsid w:val="008A46B7"/>
    <w:rsid w:val="008B480D"/>
    <w:rsid w:val="008B5486"/>
    <w:rsid w:val="008B5FD3"/>
    <w:rsid w:val="008B6D91"/>
    <w:rsid w:val="008B6FCC"/>
    <w:rsid w:val="008C0E72"/>
    <w:rsid w:val="008C0F70"/>
    <w:rsid w:val="008C16A7"/>
    <w:rsid w:val="008C651F"/>
    <w:rsid w:val="008C7CEB"/>
    <w:rsid w:val="008D17A8"/>
    <w:rsid w:val="008D3655"/>
    <w:rsid w:val="008D3EA1"/>
    <w:rsid w:val="008E572E"/>
    <w:rsid w:val="008E63C2"/>
    <w:rsid w:val="00902079"/>
    <w:rsid w:val="00902F45"/>
    <w:rsid w:val="00903599"/>
    <w:rsid w:val="0090362E"/>
    <w:rsid w:val="00905CE1"/>
    <w:rsid w:val="009151CF"/>
    <w:rsid w:val="00915709"/>
    <w:rsid w:val="00920256"/>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4387"/>
    <w:rsid w:val="00984CA8"/>
    <w:rsid w:val="0098562F"/>
    <w:rsid w:val="009859B8"/>
    <w:rsid w:val="00987D79"/>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3CD7"/>
    <w:rsid w:val="009D56AA"/>
    <w:rsid w:val="009D689B"/>
    <w:rsid w:val="009D7041"/>
    <w:rsid w:val="009D7C8F"/>
    <w:rsid w:val="009E0089"/>
    <w:rsid w:val="009E0928"/>
    <w:rsid w:val="009E396D"/>
    <w:rsid w:val="009E53C2"/>
    <w:rsid w:val="009E7128"/>
    <w:rsid w:val="009F223E"/>
    <w:rsid w:val="009F63A1"/>
    <w:rsid w:val="009F7B22"/>
    <w:rsid w:val="00A01F59"/>
    <w:rsid w:val="00A02257"/>
    <w:rsid w:val="00A02351"/>
    <w:rsid w:val="00A052EF"/>
    <w:rsid w:val="00A06551"/>
    <w:rsid w:val="00A06C23"/>
    <w:rsid w:val="00A077C1"/>
    <w:rsid w:val="00A10000"/>
    <w:rsid w:val="00A10775"/>
    <w:rsid w:val="00A112EB"/>
    <w:rsid w:val="00A1151E"/>
    <w:rsid w:val="00A121E4"/>
    <w:rsid w:val="00A12578"/>
    <w:rsid w:val="00A17B4D"/>
    <w:rsid w:val="00A20153"/>
    <w:rsid w:val="00A205A0"/>
    <w:rsid w:val="00A218A4"/>
    <w:rsid w:val="00A2199B"/>
    <w:rsid w:val="00A22469"/>
    <w:rsid w:val="00A24C0F"/>
    <w:rsid w:val="00A25EBC"/>
    <w:rsid w:val="00A26AC5"/>
    <w:rsid w:val="00A27B48"/>
    <w:rsid w:val="00A3097C"/>
    <w:rsid w:val="00A3134D"/>
    <w:rsid w:val="00A33B3A"/>
    <w:rsid w:val="00A34087"/>
    <w:rsid w:val="00A35B31"/>
    <w:rsid w:val="00A4214D"/>
    <w:rsid w:val="00A54113"/>
    <w:rsid w:val="00A6010D"/>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B1AF3"/>
    <w:rsid w:val="00AB481C"/>
    <w:rsid w:val="00AB53C8"/>
    <w:rsid w:val="00AB5B2C"/>
    <w:rsid w:val="00AB6FE4"/>
    <w:rsid w:val="00AC4795"/>
    <w:rsid w:val="00AC4C1B"/>
    <w:rsid w:val="00AD0168"/>
    <w:rsid w:val="00AD3C94"/>
    <w:rsid w:val="00AD4AD8"/>
    <w:rsid w:val="00AE26CD"/>
    <w:rsid w:val="00AE3377"/>
    <w:rsid w:val="00AE658B"/>
    <w:rsid w:val="00AF1F1C"/>
    <w:rsid w:val="00AF6AC3"/>
    <w:rsid w:val="00B00C15"/>
    <w:rsid w:val="00B0448E"/>
    <w:rsid w:val="00B05245"/>
    <w:rsid w:val="00B070F5"/>
    <w:rsid w:val="00B12CBA"/>
    <w:rsid w:val="00B16CAC"/>
    <w:rsid w:val="00B2131A"/>
    <w:rsid w:val="00B21DA1"/>
    <w:rsid w:val="00B26569"/>
    <w:rsid w:val="00B303EA"/>
    <w:rsid w:val="00B31ACE"/>
    <w:rsid w:val="00B31BB2"/>
    <w:rsid w:val="00B33A21"/>
    <w:rsid w:val="00B34950"/>
    <w:rsid w:val="00B34998"/>
    <w:rsid w:val="00B37149"/>
    <w:rsid w:val="00B37304"/>
    <w:rsid w:val="00B41C78"/>
    <w:rsid w:val="00B41D3D"/>
    <w:rsid w:val="00B432F1"/>
    <w:rsid w:val="00B453EE"/>
    <w:rsid w:val="00B501B2"/>
    <w:rsid w:val="00B5077D"/>
    <w:rsid w:val="00B50E01"/>
    <w:rsid w:val="00B512E7"/>
    <w:rsid w:val="00B51B2F"/>
    <w:rsid w:val="00B549E1"/>
    <w:rsid w:val="00B56587"/>
    <w:rsid w:val="00B56E95"/>
    <w:rsid w:val="00B649E6"/>
    <w:rsid w:val="00B64ADA"/>
    <w:rsid w:val="00B70242"/>
    <w:rsid w:val="00B70EE2"/>
    <w:rsid w:val="00B75842"/>
    <w:rsid w:val="00B762B2"/>
    <w:rsid w:val="00B83372"/>
    <w:rsid w:val="00B900A2"/>
    <w:rsid w:val="00B93BAA"/>
    <w:rsid w:val="00B93C5C"/>
    <w:rsid w:val="00B956F6"/>
    <w:rsid w:val="00B97CAC"/>
    <w:rsid w:val="00BA11F9"/>
    <w:rsid w:val="00BA5252"/>
    <w:rsid w:val="00BA6922"/>
    <w:rsid w:val="00BA69A0"/>
    <w:rsid w:val="00BA79BA"/>
    <w:rsid w:val="00BB2359"/>
    <w:rsid w:val="00BB2EBF"/>
    <w:rsid w:val="00BB4086"/>
    <w:rsid w:val="00BB6B0C"/>
    <w:rsid w:val="00BB6D01"/>
    <w:rsid w:val="00BC1A78"/>
    <w:rsid w:val="00BC270F"/>
    <w:rsid w:val="00BC5438"/>
    <w:rsid w:val="00BC55DA"/>
    <w:rsid w:val="00BC64D4"/>
    <w:rsid w:val="00BD01CF"/>
    <w:rsid w:val="00BD09F3"/>
    <w:rsid w:val="00BD1DE7"/>
    <w:rsid w:val="00BD20DA"/>
    <w:rsid w:val="00BD3F6D"/>
    <w:rsid w:val="00BE100C"/>
    <w:rsid w:val="00BE3CBD"/>
    <w:rsid w:val="00BE48F3"/>
    <w:rsid w:val="00BE6D77"/>
    <w:rsid w:val="00BE76C5"/>
    <w:rsid w:val="00BF0AEC"/>
    <w:rsid w:val="00BF123B"/>
    <w:rsid w:val="00BF123D"/>
    <w:rsid w:val="00BF3765"/>
    <w:rsid w:val="00BF5EE2"/>
    <w:rsid w:val="00BF69B1"/>
    <w:rsid w:val="00C01402"/>
    <w:rsid w:val="00C106DE"/>
    <w:rsid w:val="00C10AAE"/>
    <w:rsid w:val="00C115F4"/>
    <w:rsid w:val="00C13352"/>
    <w:rsid w:val="00C156D0"/>
    <w:rsid w:val="00C2107B"/>
    <w:rsid w:val="00C226FC"/>
    <w:rsid w:val="00C2473C"/>
    <w:rsid w:val="00C24DFC"/>
    <w:rsid w:val="00C25822"/>
    <w:rsid w:val="00C25B7C"/>
    <w:rsid w:val="00C25B89"/>
    <w:rsid w:val="00C275CC"/>
    <w:rsid w:val="00C277F4"/>
    <w:rsid w:val="00C27F4E"/>
    <w:rsid w:val="00C30D75"/>
    <w:rsid w:val="00C329F6"/>
    <w:rsid w:val="00C34B47"/>
    <w:rsid w:val="00C35F18"/>
    <w:rsid w:val="00C3685C"/>
    <w:rsid w:val="00C370FC"/>
    <w:rsid w:val="00C40345"/>
    <w:rsid w:val="00C41BDF"/>
    <w:rsid w:val="00C43191"/>
    <w:rsid w:val="00C47823"/>
    <w:rsid w:val="00C47BC9"/>
    <w:rsid w:val="00C5369B"/>
    <w:rsid w:val="00C53CB3"/>
    <w:rsid w:val="00C616D7"/>
    <w:rsid w:val="00C62015"/>
    <w:rsid w:val="00C67437"/>
    <w:rsid w:val="00C67A59"/>
    <w:rsid w:val="00C70ADA"/>
    <w:rsid w:val="00C73F42"/>
    <w:rsid w:val="00C74A5C"/>
    <w:rsid w:val="00C75A49"/>
    <w:rsid w:val="00C8124F"/>
    <w:rsid w:val="00C8573E"/>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D4230"/>
    <w:rsid w:val="00CD5716"/>
    <w:rsid w:val="00CD5D9E"/>
    <w:rsid w:val="00CE15C8"/>
    <w:rsid w:val="00CE1D19"/>
    <w:rsid w:val="00CE41D6"/>
    <w:rsid w:val="00CE79D5"/>
    <w:rsid w:val="00CF27C6"/>
    <w:rsid w:val="00CF32FD"/>
    <w:rsid w:val="00CF6075"/>
    <w:rsid w:val="00CF6361"/>
    <w:rsid w:val="00CF7E3D"/>
    <w:rsid w:val="00D00FA4"/>
    <w:rsid w:val="00D01B24"/>
    <w:rsid w:val="00D020E2"/>
    <w:rsid w:val="00D03B61"/>
    <w:rsid w:val="00D04234"/>
    <w:rsid w:val="00D04A07"/>
    <w:rsid w:val="00D04E44"/>
    <w:rsid w:val="00D0523B"/>
    <w:rsid w:val="00D0540D"/>
    <w:rsid w:val="00D060C5"/>
    <w:rsid w:val="00D0673B"/>
    <w:rsid w:val="00D07E79"/>
    <w:rsid w:val="00D12507"/>
    <w:rsid w:val="00D12707"/>
    <w:rsid w:val="00D13B83"/>
    <w:rsid w:val="00D14577"/>
    <w:rsid w:val="00D14D51"/>
    <w:rsid w:val="00D14E3B"/>
    <w:rsid w:val="00D21C2D"/>
    <w:rsid w:val="00D23F11"/>
    <w:rsid w:val="00D26D5C"/>
    <w:rsid w:val="00D31AAE"/>
    <w:rsid w:val="00D32449"/>
    <w:rsid w:val="00D32E6F"/>
    <w:rsid w:val="00D33D0C"/>
    <w:rsid w:val="00D42C52"/>
    <w:rsid w:val="00D46D29"/>
    <w:rsid w:val="00D4752D"/>
    <w:rsid w:val="00D50E23"/>
    <w:rsid w:val="00D5329C"/>
    <w:rsid w:val="00D54889"/>
    <w:rsid w:val="00D5545F"/>
    <w:rsid w:val="00D56520"/>
    <w:rsid w:val="00D57072"/>
    <w:rsid w:val="00D57A8D"/>
    <w:rsid w:val="00D60EF9"/>
    <w:rsid w:val="00D61A59"/>
    <w:rsid w:val="00D63294"/>
    <w:rsid w:val="00D633B6"/>
    <w:rsid w:val="00D63BE7"/>
    <w:rsid w:val="00D64F6D"/>
    <w:rsid w:val="00D6609B"/>
    <w:rsid w:val="00D70758"/>
    <w:rsid w:val="00D72377"/>
    <w:rsid w:val="00D75DD0"/>
    <w:rsid w:val="00D760EF"/>
    <w:rsid w:val="00D7616D"/>
    <w:rsid w:val="00D77889"/>
    <w:rsid w:val="00D77F62"/>
    <w:rsid w:val="00D80239"/>
    <w:rsid w:val="00D82C3F"/>
    <w:rsid w:val="00D84293"/>
    <w:rsid w:val="00D85C97"/>
    <w:rsid w:val="00DA0E70"/>
    <w:rsid w:val="00DA1B7C"/>
    <w:rsid w:val="00DA21DB"/>
    <w:rsid w:val="00DA3A25"/>
    <w:rsid w:val="00DA5A00"/>
    <w:rsid w:val="00DA6917"/>
    <w:rsid w:val="00DB01B2"/>
    <w:rsid w:val="00DB4192"/>
    <w:rsid w:val="00DB47E5"/>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22FB"/>
    <w:rsid w:val="00DE712C"/>
    <w:rsid w:val="00DE7461"/>
    <w:rsid w:val="00DF0AF9"/>
    <w:rsid w:val="00DF1527"/>
    <w:rsid w:val="00DF2F2C"/>
    <w:rsid w:val="00DF3485"/>
    <w:rsid w:val="00DF51C8"/>
    <w:rsid w:val="00DF55E3"/>
    <w:rsid w:val="00DF5C1F"/>
    <w:rsid w:val="00DF641D"/>
    <w:rsid w:val="00E014FE"/>
    <w:rsid w:val="00E04564"/>
    <w:rsid w:val="00E05D45"/>
    <w:rsid w:val="00E0776F"/>
    <w:rsid w:val="00E10DB9"/>
    <w:rsid w:val="00E114B1"/>
    <w:rsid w:val="00E1520C"/>
    <w:rsid w:val="00E16D1C"/>
    <w:rsid w:val="00E2314B"/>
    <w:rsid w:val="00E23E06"/>
    <w:rsid w:val="00E25492"/>
    <w:rsid w:val="00E264B7"/>
    <w:rsid w:val="00E31685"/>
    <w:rsid w:val="00E36C3F"/>
    <w:rsid w:val="00E37AA1"/>
    <w:rsid w:val="00E41B1E"/>
    <w:rsid w:val="00E426C9"/>
    <w:rsid w:val="00E43A2C"/>
    <w:rsid w:val="00E50BBA"/>
    <w:rsid w:val="00E50EFF"/>
    <w:rsid w:val="00E50F4B"/>
    <w:rsid w:val="00E51947"/>
    <w:rsid w:val="00E52335"/>
    <w:rsid w:val="00E53096"/>
    <w:rsid w:val="00E5372C"/>
    <w:rsid w:val="00E56111"/>
    <w:rsid w:val="00E57C83"/>
    <w:rsid w:val="00E60476"/>
    <w:rsid w:val="00E61468"/>
    <w:rsid w:val="00E61F0C"/>
    <w:rsid w:val="00E632CB"/>
    <w:rsid w:val="00E635C8"/>
    <w:rsid w:val="00E63CC2"/>
    <w:rsid w:val="00E65AE8"/>
    <w:rsid w:val="00E67E3C"/>
    <w:rsid w:val="00E70CAE"/>
    <w:rsid w:val="00E70CC2"/>
    <w:rsid w:val="00E70D08"/>
    <w:rsid w:val="00E726BA"/>
    <w:rsid w:val="00E72712"/>
    <w:rsid w:val="00E776D2"/>
    <w:rsid w:val="00E83DA0"/>
    <w:rsid w:val="00E863A3"/>
    <w:rsid w:val="00E93579"/>
    <w:rsid w:val="00E96447"/>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5CE9"/>
    <w:rsid w:val="00EF23E6"/>
    <w:rsid w:val="00EF2E12"/>
    <w:rsid w:val="00EF3939"/>
    <w:rsid w:val="00EF4D17"/>
    <w:rsid w:val="00EF6B28"/>
    <w:rsid w:val="00EF6CD7"/>
    <w:rsid w:val="00EF735D"/>
    <w:rsid w:val="00F00750"/>
    <w:rsid w:val="00F02F2E"/>
    <w:rsid w:val="00F041D9"/>
    <w:rsid w:val="00F05928"/>
    <w:rsid w:val="00F05BB1"/>
    <w:rsid w:val="00F06413"/>
    <w:rsid w:val="00F07833"/>
    <w:rsid w:val="00F07DC2"/>
    <w:rsid w:val="00F11CFC"/>
    <w:rsid w:val="00F1657E"/>
    <w:rsid w:val="00F1770B"/>
    <w:rsid w:val="00F17EC1"/>
    <w:rsid w:val="00F2178A"/>
    <w:rsid w:val="00F23233"/>
    <w:rsid w:val="00F2343A"/>
    <w:rsid w:val="00F23C77"/>
    <w:rsid w:val="00F31E28"/>
    <w:rsid w:val="00F36667"/>
    <w:rsid w:val="00F44637"/>
    <w:rsid w:val="00F44FE7"/>
    <w:rsid w:val="00F45389"/>
    <w:rsid w:val="00F46398"/>
    <w:rsid w:val="00F4708B"/>
    <w:rsid w:val="00F52D9E"/>
    <w:rsid w:val="00F53B53"/>
    <w:rsid w:val="00F612DC"/>
    <w:rsid w:val="00F66A72"/>
    <w:rsid w:val="00F67D84"/>
    <w:rsid w:val="00F70296"/>
    <w:rsid w:val="00F715C0"/>
    <w:rsid w:val="00F72BD1"/>
    <w:rsid w:val="00F7561F"/>
    <w:rsid w:val="00F7667E"/>
    <w:rsid w:val="00F766CF"/>
    <w:rsid w:val="00F8088C"/>
    <w:rsid w:val="00F81725"/>
    <w:rsid w:val="00F83F9F"/>
    <w:rsid w:val="00F851C9"/>
    <w:rsid w:val="00F8521C"/>
    <w:rsid w:val="00F855C1"/>
    <w:rsid w:val="00F86466"/>
    <w:rsid w:val="00F8666D"/>
    <w:rsid w:val="00F91340"/>
    <w:rsid w:val="00F91C8D"/>
    <w:rsid w:val="00F92D09"/>
    <w:rsid w:val="00F967F3"/>
    <w:rsid w:val="00F96AD5"/>
    <w:rsid w:val="00FA47E2"/>
    <w:rsid w:val="00FB2F77"/>
    <w:rsid w:val="00FB55E9"/>
    <w:rsid w:val="00FB63DF"/>
    <w:rsid w:val="00FB702F"/>
    <w:rsid w:val="00FB79CA"/>
    <w:rsid w:val="00FC029D"/>
    <w:rsid w:val="00FC5113"/>
    <w:rsid w:val="00FC58D0"/>
    <w:rsid w:val="00FC716A"/>
    <w:rsid w:val="00FC74C8"/>
    <w:rsid w:val="00FC7D8B"/>
    <w:rsid w:val="00FD0083"/>
    <w:rsid w:val="00FD3A3C"/>
    <w:rsid w:val="00FD3B96"/>
    <w:rsid w:val="00FD4EB1"/>
    <w:rsid w:val="00FD59F4"/>
    <w:rsid w:val="00FD7EE2"/>
    <w:rsid w:val="00FE26D9"/>
    <w:rsid w:val="00FF0836"/>
    <w:rsid w:val="00FF164A"/>
    <w:rsid w:val="00FF2373"/>
    <w:rsid w:val="00FF32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5A4CA"/>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48343691">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68864605">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4592086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6A5AA-7732-4B37-BB00-85F5DEDE5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8364</Words>
  <Characters>46007</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2019-12-13T16:14:00Z</cp:lastPrinted>
  <dcterms:created xsi:type="dcterms:W3CDTF">2020-09-09T18:41:00Z</dcterms:created>
  <dcterms:modified xsi:type="dcterms:W3CDTF">2020-09-09T18:41:00Z</dcterms:modified>
</cp:coreProperties>
</file>