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304" w:rsidRPr="00742998" w:rsidRDefault="00A37304" w:rsidP="00A37304">
      <w:pPr>
        <w:spacing w:before="240" w:after="240" w:line="360" w:lineRule="auto"/>
        <w:rPr>
          <w:rFonts w:ascii="Palatino Linotype" w:eastAsia="MS Mincho" w:hAnsi="Palatino Linotype" w:cs="Times New Roman"/>
          <w:b/>
          <w:sz w:val="24"/>
          <w:szCs w:val="24"/>
          <w:lang w:val="es-ES_tradnl" w:eastAsia="es-ES"/>
        </w:rPr>
      </w:pPr>
      <w:r w:rsidRPr="00742998">
        <w:rPr>
          <w:rFonts w:ascii="Palatino Linotype" w:eastAsia="MS Mincho" w:hAnsi="Palatino Linotype" w:cs="Times New Roman"/>
          <w:b/>
          <w:sz w:val="24"/>
          <w:szCs w:val="24"/>
          <w:lang w:val="es-ES_tradnl" w:eastAsia="es-ES"/>
        </w:rPr>
        <w:t>LÍNEA</w:t>
      </w:r>
      <w:bookmarkStart w:id="0" w:name="_GoBack"/>
      <w:bookmarkEnd w:id="0"/>
      <w:r w:rsidRPr="00742998">
        <w:rPr>
          <w:rFonts w:ascii="Palatino Linotype" w:eastAsia="MS Mincho" w:hAnsi="Palatino Linotype" w:cs="Times New Roman"/>
          <w:b/>
          <w:sz w:val="24"/>
          <w:szCs w:val="24"/>
          <w:lang w:val="es-ES_tradnl" w:eastAsia="es-ES"/>
        </w:rPr>
        <w:t>S ARGUMENTATIVAS.</w:t>
      </w:r>
    </w:p>
    <w:p w:rsidR="00A37304" w:rsidRPr="00742998" w:rsidRDefault="00A37304" w:rsidP="00A37304">
      <w:pPr>
        <w:spacing w:before="240" w:after="240" w:line="360" w:lineRule="auto"/>
        <w:jc w:val="both"/>
        <w:rPr>
          <w:rFonts w:ascii="Palatino Linotype" w:eastAsia="Times New Roman" w:hAnsi="Palatino Linotype"/>
          <w:sz w:val="24"/>
          <w:szCs w:val="24"/>
          <w:lang w:val="es-ES_tradnl" w:eastAsia="es-ES"/>
        </w:rPr>
      </w:pPr>
      <w:r w:rsidRPr="00742998">
        <w:rPr>
          <w:rFonts w:ascii="Palatino Linotype" w:eastAsia="Times New Roman" w:hAnsi="Palatino Linotype"/>
          <w:b/>
          <w:sz w:val="24"/>
          <w:szCs w:val="24"/>
          <w:lang w:val="es-ES_tradnl" w:eastAsia="es-ES"/>
        </w:rPr>
        <w:t>DEBERES DE LAS AUTORIDADES.</w:t>
      </w:r>
      <w:r w:rsidRPr="00742998">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581350" w:rsidRPr="00742998" w:rsidRDefault="00581350" w:rsidP="00581350">
      <w:pPr>
        <w:spacing w:before="240" w:after="240" w:line="360" w:lineRule="auto"/>
        <w:jc w:val="both"/>
        <w:rPr>
          <w:rFonts w:ascii="Palatino Linotype" w:eastAsia="MS Mincho" w:hAnsi="Palatino Linotype" w:cs="Arial"/>
          <w:sz w:val="24"/>
          <w:szCs w:val="24"/>
          <w:lang w:val="es-ES_tradnl" w:eastAsia="es-ES"/>
        </w:rPr>
      </w:pPr>
      <w:r w:rsidRPr="00742998">
        <w:rPr>
          <w:rFonts w:ascii="Palatino Linotype" w:eastAsia="MS Mincho" w:hAnsi="Palatino Linotype" w:cs="Arial"/>
          <w:b/>
          <w:sz w:val="24"/>
          <w:szCs w:val="24"/>
          <w:lang w:val="es-ES_tradnl" w:eastAsia="es-ES"/>
        </w:rPr>
        <w:t>DE LA GARANTÍA DE PROPORCIONAR LA INFORMACIÓN PÚBLICA GUBERNAMENTAL.</w:t>
      </w:r>
      <w:r w:rsidRPr="00742998">
        <w:rPr>
          <w:rFonts w:ascii="Palatino Linotype" w:eastAsia="MS Mincho" w:hAnsi="Palatino Linotype" w:cs="Arial"/>
          <w:sz w:val="24"/>
          <w:szCs w:val="24"/>
          <w:lang w:val="es-ES_tradnl" w:eastAsia="es-ES"/>
        </w:rPr>
        <w:t xml:space="preserve"> Los sujetos obligados tienen el deber de entregar la información solicitada en los términos en los que esta fue generada, poseída o administrada.</w:t>
      </w:r>
    </w:p>
    <w:p w:rsidR="00A37304" w:rsidRPr="00742998" w:rsidRDefault="00A37304" w:rsidP="00A37304">
      <w:pPr>
        <w:spacing w:before="240" w:after="240" w:line="360" w:lineRule="auto"/>
        <w:jc w:val="both"/>
        <w:rPr>
          <w:rFonts w:ascii="Palatino Linotype" w:eastAsia="MS Mincho" w:hAnsi="Palatino Linotype" w:cs="Arial"/>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Arial"/>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Arial"/>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Arial"/>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Arial"/>
          <w:sz w:val="24"/>
          <w:szCs w:val="24"/>
          <w:lang w:val="es-ES_tradnl" w:eastAsia="es-ES"/>
        </w:rPr>
      </w:pPr>
    </w:p>
    <w:p w:rsidR="00581350" w:rsidRPr="00742998" w:rsidRDefault="00581350" w:rsidP="00A37304">
      <w:pPr>
        <w:spacing w:before="240" w:after="240" w:line="360" w:lineRule="auto"/>
        <w:jc w:val="both"/>
        <w:rPr>
          <w:rFonts w:ascii="Palatino Linotype" w:eastAsia="MS Mincho" w:hAnsi="Palatino Linotype" w:cs="Arial"/>
          <w:sz w:val="24"/>
          <w:szCs w:val="24"/>
          <w:lang w:val="es-ES_tradnl" w:eastAsia="es-ES"/>
        </w:rPr>
      </w:pPr>
    </w:p>
    <w:p w:rsidR="00581350" w:rsidRPr="00742998" w:rsidRDefault="00581350" w:rsidP="00A37304">
      <w:pPr>
        <w:spacing w:before="240" w:after="240" w:line="360" w:lineRule="auto"/>
        <w:jc w:val="both"/>
        <w:rPr>
          <w:rFonts w:ascii="Palatino Linotype" w:eastAsia="MS Mincho" w:hAnsi="Palatino Linotype" w:cs="Arial"/>
          <w:sz w:val="24"/>
          <w:szCs w:val="24"/>
          <w:lang w:val="es-ES_tradnl" w:eastAsia="es-ES"/>
        </w:rPr>
      </w:pPr>
    </w:p>
    <w:p w:rsidR="00581350" w:rsidRPr="00742998" w:rsidRDefault="00581350" w:rsidP="00A37304">
      <w:pPr>
        <w:spacing w:before="240" w:after="240" w:line="360" w:lineRule="auto"/>
        <w:jc w:val="both"/>
        <w:rPr>
          <w:rFonts w:ascii="Palatino Linotype" w:eastAsia="MS Mincho" w:hAnsi="Palatino Linotype" w:cs="Arial"/>
          <w:sz w:val="24"/>
          <w:szCs w:val="24"/>
          <w:lang w:val="es-ES_tradnl" w:eastAsia="es-ES"/>
        </w:rPr>
      </w:pPr>
    </w:p>
    <w:p w:rsidR="00A37304" w:rsidRPr="00742998" w:rsidRDefault="00A37304" w:rsidP="00A37304">
      <w:pPr>
        <w:spacing w:before="240" w:after="240" w:line="360" w:lineRule="auto"/>
        <w:jc w:val="center"/>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b/>
          <w:sz w:val="24"/>
          <w:szCs w:val="24"/>
          <w:lang w:val="es-ES_tradnl" w:eastAsia="es-ES"/>
        </w:rPr>
        <w:lastRenderedPageBreak/>
        <w:t>Índice</w:t>
      </w:r>
      <w:r w:rsidRPr="00742998">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A37304" w:rsidRPr="00742998" w:rsidRDefault="00A37304" w:rsidP="003A7BF2">
          <w:pPr>
            <w:keepNext/>
            <w:keepLines/>
            <w:spacing w:before="240" w:after="0" w:line="360" w:lineRule="auto"/>
            <w:rPr>
              <w:rFonts w:asciiTheme="majorHAnsi" w:eastAsiaTheme="majorEastAsia" w:hAnsiTheme="majorHAnsi" w:cstheme="majorBidi"/>
              <w:color w:val="2E74B5" w:themeColor="accent1" w:themeShade="BF"/>
              <w:sz w:val="32"/>
              <w:szCs w:val="32"/>
              <w:lang w:eastAsia="es-MX"/>
            </w:rPr>
          </w:pPr>
        </w:p>
        <w:p w:rsidR="003A7BF2" w:rsidRPr="00742998" w:rsidRDefault="00A37304" w:rsidP="003A7BF2">
          <w:pPr>
            <w:pStyle w:val="TDC1"/>
            <w:tabs>
              <w:tab w:val="right" w:leader="dot" w:pos="8827"/>
            </w:tabs>
            <w:spacing w:line="360" w:lineRule="auto"/>
            <w:rPr>
              <w:rFonts w:eastAsiaTheme="minorEastAsia"/>
              <w:noProof/>
              <w:lang w:eastAsia="es-MX"/>
            </w:rPr>
          </w:pPr>
          <w:r w:rsidRPr="00742998">
            <w:fldChar w:fldCharType="begin"/>
          </w:r>
          <w:r w:rsidRPr="00742998">
            <w:instrText xml:space="preserve"> TOC \o "1-3" \h \z \u </w:instrText>
          </w:r>
          <w:r w:rsidRPr="00742998">
            <w:fldChar w:fldCharType="separate"/>
          </w:r>
          <w:hyperlink w:anchor="_Toc56165597" w:history="1">
            <w:r w:rsidR="003A7BF2" w:rsidRPr="00742998">
              <w:rPr>
                <w:rStyle w:val="Hipervnculo"/>
                <w:rFonts w:ascii="Palatino Linotype" w:eastAsia="MS Gothic" w:hAnsi="Palatino Linotype" w:cs="Times New Roman"/>
                <w:b/>
                <w:noProof/>
              </w:rPr>
              <w:t>A N T E C E D E N T E S</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_Toc56165597 \h </w:instrText>
            </w:r>
            <w:r w:rsidR="003A7BF2" w:rsidRPr="00742998">
              <w:rPr>
                <w:noProof/>
                <w:webHidden/>
              </w:rPr>
            </w:r>
            <w:r w:rsidR="003A7BF2" w:rsidRPr="00742998">
              <w:rPr>
                <w:noProof/>
                <w:webHidden/>
              </w:rPr>
              <w:fldChar w:fldCharType="separate"/>
            </w:r>
            <w:r w:rsidR="003A7BF2" w:rsidRPr="00742998">
              <w:rPr>
                <w:noProof/>
                <w:webHidden/>
              </w:rPr>
              <w:t>3</w:t>
            </w:r>
            <w:r w:rsidR="003A7BF2" w:rsidRPr="00742998">
              <w:rPr>
                <w:noProof/>
                <w:webHidden/>
              </w:rPr>
              <w:fldChar w:fldCharType="end"/>
            </w:r>
          </w:hyperlink>
        </w:p>
        <w:p w:rsidR="003A7BF2" w:rsidRPr="00742998" w:rsidRDefault="003E3139" w:rsidP="003A7BF2">
          <w:pPr>
            <w:pStyle w:val="TDC1"/>
            <w:tabs>
              <w:tab w:val="right" w:leader="dot" w:pos="8827"/>
            </w:tabs>
            <w:spacing w:line="360" w:lineRule="auto"/>
            <w:rPr>
              <w:rFonts w:eastAsiaTheme="minorEastAsia"/>
              <w:noProof/>
              <w:lang w:eastAsia="es-MX"/>
            </w:rPr>
          </w:pPr>
          <w:hyperlink w:anchor="_Toc56165598" w:history="1">
            <w:r w:rsidR="003A7BF2" w:rsidRPr="00742998">
              <w:rPr>
                <w:rStyle w:val="Hipervnculo"/>
                <w:rFonts w:ascii="Palatino Linotype" w:eastAsia="MS Mincho" w:hAnsi="Palatino Linotype" w:cs="Times New Roman"/>
                <w:b/>
                <w:noProof/>
                <w:lang w:val="es-ES_tradnl" w:eastAsia="es-ES"/>
              </w:rPr>
              <w:t>C O N S I D E R A N D O</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_Toc56165598 \h </w:instrText>
            </w:r>
            <w:r w:rsidR="003A7BF2" w:rsidRPr="00742998">
              <w:rPr>
                <w:noProof/>
                <w:webHidden/>
              </w:rPr>
            </w:r>
            <w:r w:rsidR="003A7BF2" w:rsidRPr="00742998">
              <w:rPr>
                <w:noProof/>
                <w:webHidden/>
              </w:rPr>
              <w:fldChar w:fldCharType="separate"/>
            </w:r>
            <w:r w:rsidR="003A7BF2" w:rsidRPr="00742998">
              <w:rPr>
                <w:noProof/>
                <w:webHidden/>
              </w:rPr>
              <w:t>8</w:t>
            </w:r>
            <w:r w:rsidR="003A7BF2" w:rsidRPr="00742998">
              <w:rPr>
                <w:noProof/>
                <w:webHidden/>
              </w:rPr>
              <w:fldChar w:fldCharType="end"/>
            </w:r>
          </w:hyperlink>
        </w:p>
        <w:p w:rsidR="003A7BF2" w:rsidRPr="00742998" w:rsidRDefault="003E3139" w:rsidP="003A7BF2">
          <w:pPr>
            <w:pStyle w:val="TDC2"/>
            <w:tabs>
              <w:tab w:val="right" w:leader="dot" w:pos="8827"/>
            </w:tabs>
            <w:spacing w:line="360" w:lineRule="auto"/>
            <w:ind w:left="0"/>
            <w:rPr>
              <w:rFonts w:eastAsiaTheme="minorEastAsia"/>
              <w:noProof/>
              <w:lang w:eastAsia="es-MX"/>
            </w:rPr>
          </w:pPr>
          <w:hyperlink w:anchor="_Toc56165599" w:history="1">
            <w:r w:rsidR="003A7BF2" w:rsidRPr="00742998">
              <w:rPr>
                <w:rStyle w:val="Hipervnculo"/>
                <w:rFonts w:ascii="Palatino Linotype" w:eastAsia="MS Gothic" w:hAnsi="Palatino Linotype" w:cs="Times New Roman"/>
                <w:b/>
                <w:noProof/>
              </w:rPr>
              <w:t>PRIMERO. De la competencia.</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_Toc56165599 \h </w:instrText>
            </w:r>
            <w:r w:rsidR="003A7BF2" w:rsidRPr="00742998">
              <w:rPr>
                <w:noProof/>
                <w:webHidden/>
              </w:rPr>
            </w:r>
            <w:r w:rsidR="003A7BF2" w:rsidRPr="00742998">
              <w:rPr>
                <w:noProof/>
                <w:webHidden/>
              </w:rPr>
              <w:fldChar w:fldCharType="separate"/>
            </w:r>
            <w:r w:rsidR="003A7BF2" w:rsidRPr="00742998">
              <w:rPr>
                <w:noProof/>
                <w:webHidden/>
              </w:rPr>
              <w:t>8</w:t>
            </w:r>
            <w:r w:rsidR="003A7BF2" w:rsidRPr="00742998">
              <w:rPr>
                <w:noProof/>
                <w:webHidden/>
              </w:rPr>
              <w:fldChar w:fldCharType="end"/>
            </w:r>
          </w:hyperlink>
        </w:p>
        <w:p w:rsidR="003A7BF2" w:rsidRPr="00742998" w:rsidRDefault="003E3139" w:rsidP="003A7BF2">
          <w:pPr>
            <w:pStyle w:val="TDC2"/>
            <w:tabs>
              <w:tab w:val="right" w:leader="dot" w:pos="8827"/>
            </w:tabs>
            <w:spacing w:line="360" w:lineRule="auto"/>
            <w:ind w:left="0"/>
            <w:rPr>
              <w:rFonts w:eastAsiaTheme="minorEastAsia"/>
              <w:noProof/>
              <w:lang w:eastAsia="es-MX"/>
            </w:rPr>
          </w:pPr>
          <w:hyperlink w:anchor="_Toc56165600" w:history="1">
            <w:r w:rsidR="003A7BF2" w:rsidRPr="00742998">
              <w:rPr>
                <w:rStyle w:val="Hipervnculo"/>
                <w:rFonts w:ascii="Palatino Linotype" w:eastAsia="MS Gothic" w:hAnsi="Palatino Linotype" w:cs="Times New Roman"/>
                <w:b/>
                <w:noProof/>
              </w:rPr>
              <w:t>SEGUNDO. De la oportunidad y procedencia.</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_Toc56165600 \h </w:instrText>
            </w:r>
            <w:r w:rsidR="003A7BF2" w:rsidRPr="00742998">
              <w:rPr>
                <w:noProof/>
                <w:webHidden/>
              </w:rPr>
            </w:r>
            <w:r w:rsidR="003A7BF2" w:rsidRPr="00742998">
              <w:rPr>
                <w:noProof/>
                <w:webHidden/>
              </w:rPr>
              <w:fldChar w:fldCharType="separate"/>
            </w:r>
            <w:r w:rsidR="003A7BF2" w:rsidRPr="00742998">
              <w:rPr>
                <w:noProof/>
                <w:webHidden/>
              </w:rPr>
              <w:t>9</w:t>
            </w:r>
            <w:r w:rsidR="003A7BF2" w:rsidRPr="00742998">
              <w:rPr>
                <w:noProof/>
                <w:webHidden/>
              </w:rPr>
              <w:fldChar w:fldCharType="end"/>
            </w:r>
          </w:hyperlink>
        </w:p>
        <w:p w:rsidR="003A7BF2" w:rsidRPr="00742998" w:rsidRDefault="003E3139" w:rsidP="003A7BF2">
          <w:pPr>
            <w:pStyle w:val="TDC1"/>
            <w:tabs>
              <w:tab w:val="right" w:leader="dot" w:pos="8827"/>
            </w:tabs>
            <w:spacing w:line="360" w:lineRule="auto"/>
            <w:rPr>
              <w:rFonts w:eastAsiaTheme="minorEastAsia"/>
              <w:noProof/>
              <w:lang w:eastAsia="es-MX"/>
            </w:rPr>
          </w:pPr>
          <w:hyperlink w:anchor="_Toc56165601" w:history="1">
            <w:r w:rsidR="003A7BF2" w:rsidRPr="00742998">
              <w:rPr>
                <w:rStyle w:val="Hipervnculo"/>
                <w:rFonts w:ascii="Palatino Linotype" w:eastAsia="MS Mincho" w:hAnsi="Palatino Linotype" w:cstheme="majorBidi"/>
                <w:b/>
                <w:noProof/>
                <w:lang w:val="es-ES_tradnl" w:eastAsia="es-ES"/>
              </w:rPr>
              <w:t>TERCERO. Del planteamiento de la Litis.</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_Toc56165601 \h </w:instrText>
            </w:r>
            <w:r w:rsidR="003A7BF2" w:rsidRPr="00742998">
              <w:rPr>
                <w:noProof/>
                <w:webHidden/>
              </w:rPr>
            </w:r>
            <w:r w:rsidR="003A7BF2" w:rsidRPr="00742998">
              <w:rPr>
                <w:noProof/>
                <w:webHidden/>
              </w:rPr>
              <w:fldChar w:fldCharType="separate"/>
            </w:r>
            <w:r w:rsidR="003A7BF2" w:rsidRPr="00742998">
              <w:rPr>
                <w:noProof/>
                <w:webHidden/>
              </w:rPr>
              <w:t>12</w:t>
            </w:r>
            <w:r w:rsidR="003A7BF2" w:rsidRPr="00742998">
              <w:rPr>
                <w:noProof/>
                <w:webHidden/>
              </w:rPr>
              <w:fldChar w:fldCharType="end"/>
            </w:r>
          </w:hyperlink>
        </w:p>
        <w:p w:rsidR="003A7BF2" w:rsidRPr="00742998" w:rsidRDefault="003E3139" w:rsidP="003A7BF2">
          <w:pPr>
            <w:pStyle w:val="TDC1"/>
            <w:tabs>
              <w:tab w:val="right" w:leader="dot" w:pos="8827"/>
            </w:tabs>
            <w:spacing w:line="360" w:lineRule="auto"/>
            <w:rPr>
              <w:rFonts w:eastAsiaTheme="minorEastAsia"/>
              <w:noProof/>
              <w:lang w:eastAsia="es-MX"/>
            </w:rPr>
          </w:pPr>
          <w:hyperlink w:anchor="_Toc56165602" w:history="1">
            <w:r w:rsidR="003A7BF2" w:rsidRPr="00742998">
              <w:rPr>
                <w:rStyle w:val="Hipervnculo"/>
                <w:rFonts w:ascii="Palatino Linotype" w:eastAsia="MS Mincho" w:hAnsi="Palatino Linotype" w:cs="Times New Roman"/>
                <w:b/>
                <w:noProof/>
                <w:lang w:eastAsia="es-ES"/>
              </w:rPr>
              <w:t>CUARTO. Estudio y resolución del asunto</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_Toc56165602 \h </w:instrText>
            </w:r>
            <w:r w:rsidR="003A7BF2" w:rsidRPr="00742998">
              <w:rPr>
                <w:noProof/>
                <w:webHidden/>
              </w:rPr>
            </w:r>
            <w:r w:rsidR="003A7BF2" w:rsidRPr="00742998">
              <w:rPr>
                <w:noProof/>
                <w:webHidden/>
              </w:rPr>
              <w:fldChar w:fldCharType="separate"/>
            </w:r>
            <w:r w:rsidR="003A7BF2" w:rsidRPr="00742998">
              <w:rPr>
                <w:noProof/>
                <w:webHidden/>
              </w:rPr>
              <w:t>13</w:t>
            </w:r>
            <w:r w:rsidR="003A7BF2" w:rsidRPr="00742998">
              <w:rPr>
                <w:noProof/>
                <w:webHidden/>
              </w:rPr>
              <w:fldChar w:fldCharType="end"/>
            </w:r>
          </w:hyperlink>
        </w:p>
        <w:p w:rsidR="003A7BF2" w:rsidRPr="00742998" w:rsidRDefault="003E3139" w:rsidP="003A7BF2">
          <w:pPr>
            <w:pStyle w:val="TDC1"/>
            <w:tabs>
              <w:tab w:val="left" w:pos="440"/>
              <w:tab w:val="right" w:leader="dot" w:pos="8827"/>
            </w:tabs>
            <w:spacing w:line="360" w:lineRule="auto"/>
            <w:rPr>
              <w:rFonts w:eastAsiaTheme="minorEastAsia"/>
              <w:noProof/>
              <w:lang w:eastAsia="es-MX"/>
            </w:rPr>
          </w:pPr>
          <w:hyperlink w:anchor="_Toc56165603" w:history="1">
            <w:r w:rsidR="003A7BF2" w:rsidRPr="00742998">
              <w:rPr>
                <w:rStyle w:val="Hipervnculo"/>
                <w:rFonts w:ascii="Palatino Linotype" w:eastAsia="MS Mincho" w:hAnsi="Palatino Linotype" w:cs="Times New Roman"/>
                <w:b/>
                <w:noProof/>
                <w:lang w:val="es-ES_tradnl" w:eastAsia="es-ES"/>
              </w:rPr>
              <w:t>I.</w:t>
            </w:r>
            <w:r w:rsidR="003A7BF2" w:rsidRPr="00742998">
              <w:rPr>
                <w:rFonts w:eastAsiaTheme="minorEastAsia"/>
                <w:noProof/>
                <w:lang w:eastAsia="es-MX"/>
              </w:rPr>
              <w:tab/>
            </w:r>
            <w:r w:rsidR="003A7BF2" w:rsidRPr="00742998">
              <w:rPr>
                <w:rStyle w:val="Hipervnculo"/>
                <w:rFonts w:ascii="Palatino Linotype" w:eastAsia="MS Mincho" w:hAnsi="Palatino Linotype" w:cs="Times New Roman"/>
                <w:b/>
                <w:noProof/>
                <w:lang w:val="es-ES_tradnl" w:eastAsia="es-ES"/>
              </w:rPr>
              <w:t>De la respuesta del SUJETO OBLIGADO</w:t>
            </w:r>
            <w:r w:rsidR="003A7BF2" w:rsidRPr="00742998">
              <w:rPr>
                <w:rStyle w:val="Hipervnculo"/>
                <w:rFonts w:ascii="Palatino Linotype" w:eastAsia="MS Mincho" w:hAnsi="Palatino Linotype" w:cs="Times New Roman"/>
                <w:noProof/>
                <w:lang w:val="es-ES_tradnl" w:eastAsia="es-ES"/>
              </w:rPr>
              <w:t>.</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_Toc56165603 \h </w:instrText>
            </w:r>
            <w:r w:rsidR="003A7BF2" w:rsidRPr="00742998">
              <w:rPr>
                <w:noProof/>
                <w:webHidden/>
              </w:rPr>
            </w:r>
            <w:r w:rsidR="003A7BF2" w:rsidRPr="00742998">
              <w:rPr>
                <w:noProof/>
                <w:webHidden/>
              </w:rPr>
              <w:fldChar w:fldCharType="separate"/>
            </w:r>
            <w:r w:rsidR="003A7BF2" w:rsidRPr="00742998">
              <w:rPr>
                <w:noProof/>
                <w:webHidden/>
              </w:rPr>
              <w:t>15</w:t>
            </w:r>
            <w:r w:rsidR="003A7BF2" w:rsidRPr="00742998">
              <w:rPr>
                <w:noProof/>
                <w:webHidden/>
              </w:rPr>
              <w:fldChar w:fldCharType="end"/>
            </w:r>
          </w:hyperlink>
        </w:p>
        <w:p w:rsidR="003A7BF2" w:rsidRPr="00742998" w:rsidRDefault="003E3139" w:rsidP="003A7BF2">
          <w:pPr>
            <w:pStyle w:val="TDC1"/>
            <w:tabs>
              <w:tab w:val="left" w:pos="660"/>
              <w:tab w:val="right" w:leader="dot" w:pos="8827"/>
            </w:tabs>
            <w:spacing w:line="360" w:lineRule="auto"/>
            <w:rPr>
              <w:rFonts w:eastAsiaTheme="minorEastAsia"/>
              <w:noProof/>
              <w:lang w:eastAsia="es-MX"/>
            </w:rPr>
          </w:pPr>
          <w:hyperlink w:anchor="_Toc56165604" w:history="1">
            <w:r w:rsidR="003A7BF2" w:rsidRPr="00742998">
              <w:rPr>
                <w:rStyle w:val="Hipervnculo"/>
                <w:rFonts w:ascii="Palatino Linotype" w:eastAsia="MS Mincho" w:hAnsi="Palatino Linotype" w:cs="Times New Roman"/>
                <w:b/>
                <w:noProof/>
                <w:lang w:val="es-ES_tradnl" w:eastAsia="es-ES"/>
              </w:rPr>
              <w:t>II.</w:t>
            </w:r>
            <w:r w:rsidR="003A7BF2" w:rsidRPr="00742998">
              <w:rPr>
                <w:rFonts w:eastAsiaTheme="minorEastAsia"/>
                <w:noProof/>
                <w:lang w:eastAsia="es-MX"/>
              </w:rPr>
              <w:tab/>
            </w:r>
            <w:r w:rsidR="003A7BF2" w:rsidRPr="00742998">
              <w:rPr>
                <w:rStyle w:val="Hipervnculo"/>
                <w:rFonts w:ascii="Palatino Linotype" w:eastAsia="MS Mincho" w:hAnsi="Palatino Linotype" w:cs="Times New Roman"/>
                <w:b/>
                <w:noProof/>
                <w:lang w:val="es-ES_tradnl" w:eastAsia="es-ES"/>
              </w:rPr>
              <w:t>De las manifestaciones subjetivas contenidas en la solicitud de información.</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_Toc56165604 \h </w:instrText>
            </w:r>
            <w:r w:rsidR="003A7BF2" w:rsidRPr="00742998">
              <w:rPr>
                <w:noProof/>
                <w:webHidden/>
              </w:rPr>
            </w:r>
            <w:r w:rsidR="003A7BF2" w:rsidRPr="00742998">
              <w:rPr>
                <w:noProof/>
                <w:webHidden/>
              </w:rPr>
              <w:fldChar w:fldCharType="separate"/>
            </w:r>
            <w:r w:rsidR="003A7BF2" w:rsidRPr="00742998">
              <w:rPr>
                <w:noProof/>
                <w:webHidden/>
              </w:rPr>
              <w:t>18</w:t>
            </w:r>
            <w:r w:rsidR="003A7BF2" w:rsidRPr="00742998">
              <w:rPr>
                <w:noProof/>
                <w:webHidden/>
              </w:rPr>
              <w:fldChar w:fldCharType="end"/>
            </w:r>
          </w:hyperlink>
        </w:p>
        <w:p w:rsidR="003A7BF2" w:rsidRPr="00742998" w:rsidRDefault="003E3139" w:rsidP="003A7BF2">
          <w:pPr>
            <w:pStyle w:val="TDC1"/>
            <w:tabs>
              <w:tab w:val="left" w:pos="660"/>
              <w:tab w:val="right" w:leader="dot" w:pos="8827"/>
            </w:tabs>
            <w:spacing w:line="360" w:lineRule="auto"/>
            <w:rPr>
              <w:rFonts w:eastAsiaTheme="minorEastAsia"/>
              <w:noProof/>
              <w:lang w:eastAsia="es-MX"/>
            </w:rPr>
          </w:pPr>
          <w:hyperlink w:anchor="_Toc56165605" w:history="1">
            <w:r w:rsidR="003A7BF2" w:rsidRPr="00742998">
              <w:rPr>
                <w:rStyle w:val="Hipervnculo"/>
                <w:rFonts w:ascii="Palatino Linotype" w:eastAsia="MS Mincho" w:hAnsi="Palatino Linotype" w:cs="Times New Roman"/>
                <w:b/>
                <w:noProof/>
                <w:lang w:val="es-ES_tradnl" w:eastAsia="es-ES"/>
              </w:rPr>
              <w:t>III.</w:t>
            </w:r>
            <w:r w:rsidR="003A7BF2" w:rsidRPr="00742998">
              <w:rPr>
                <w:rFonts w:eastAsiaTheme="minorEastAsia"/>
                <w:noProof/>
                <w:lang w:eastAsia="es-MX"/>
              </w:rPr>
              <w:tab/>
            </w:r>
            <w:r w:rsidR="003A7BF2" w:rsidRPr="00742998">
              <w:rPr>
                <w:rStyle w:val="Hipervnculo"/>
                <w:rFonts w:ascii="Palatino Linotype" w:eastAsia="MS Mincho" w:hAnsi="Palatino Linotype" w:cs="Times New Roman"/>
                <w:b/>
                <w:noProof/>
                <w:lang w:val="es-ES_tradnl" w:eastAsia="es-ES"/>
              </w:rPr>
              <w:t>Derecho de petición</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_Toc56165605 \h </w:instrText>
            </w:r>
            <w:r w:rsidR="003A7BF2" w:rsidRPr="00742998">
              <w:rPr>
                <w:noProof/>
                <w:webHidden/>
              </w:rPr>
            </w:r>
            <w:r w:rsidR="003A7BF2" w:rsidRPr="00742998">
              <w:rPr>
                <w:noProof/>
                <w:webHidden/>
              </w:rPr>
              <w:fldChar w:fldCharType="separate"/>
            </w:r>
            <w:r w:rsidR="003A7BF2" w:rsidRPr="00742998">
              <w:rPr>
                <w:noProof/>
                <w:webHidden/>
              </w:rPr>
              <w:t>19</w:t>
            </w:r>
            <w:r w:rsidR="003A7BF2" w:rsidRPr="00742998">
              <w:rPr>
                <w:noProof/>
                <w:webHidden/>
              </w:rPr>
              <w:fldChar w:fldCharType="end"/>
            </w:r>
          </w:hyperlink>
        </w:p>
        <w:p w:rsidR="003A7BF2" w:rsidRPr="00742998" w:rsidRDefault="003E3139" w:rsidP="003A7BF2">
          <w:pPr>
            <w:pStyle w:val="TDC1"/>
            <w:tabs>
              <w:tab w:val="right" w:leader="dot" w:pos="8827"/>
            </w:tabs>
            <w:spacing w:line="360" w:lineRule="auto"/>
            <w:rPr>
              <w:rFonts w:eastAsiaTheme="minorEastAsia"/>
              <w:noProof/>
              <w:lang w:eastAsia="es-MX"/>
            </w:rPr>
          </w:pPr>
          <w:hyperlink w:anchor="_Toc56165606" w:history="1">
            <w:r w:rsidR="003A7BF2" w:rsidRPr="00742998">
              <w:rPr>
                <w:rStyle w:val="Hipervnculo"/>
                <w:rFonts w:ascii="Palatino Linotype" w:eastAsia="Calibri" w:hAnsi="Palatino Linotype" w:cs="Times New Roman"/>
                <w:b/>
                <w:noProof/>
                <w:lang w:val="es-ES" w:eastAsia="es-ES"/>
              </w:rPr>
              <w:t>R E S O L U T I V O S</w:t>
            </w:r>
            <w:r w:rsidR="003A7BF2" w:rsidRPr="00742998">
              <w:rPr>
                <w:noProof/>
                <w:webHidden/>
              </w:rPr>
              <w:tab/>
            </w:r>
            <w:r w:rsidR="003A7BF2" w:rsidRPr="00742998">
              <w:rPr>
                <w:noProof/>
                <w:webHidden/>
              </w:rPr>
              <w:fldChar w:fldCharType="begin"/>
            </w:r>
            <w:r w:rsidR="003A7BF2" w:rsidRPr="00742998">
              <w:rPr>
                <w:noProof/>
                <w:webHidden/>
              </w:rPr>
              <w:instrText xml:space="preserve"> PAGEREF _Toc56165606 \h </w:instrText>
            </w:r>
            <w:r w:rsidR="003A7BF2" w:rsidRPr="00742998">
              <w:rPr>
                <w:noProof/>
                <w:webHidden/>
              </w:rPr>
            </w:r>
            <w:r w:rsidR="003A7BF2" w:rsidRPr="00742998">
              <w:rPr>
                <w:noProof/>
                <w:webHidden/>
              </w:rPr>
              <w:fldChar w:fldCharType="separate"/>
            </w:r>
            <w:r w:rsidR="003A7BF2" w:rsidRPr="00742998">
              <w:rPr>
                <w:noProof/>
                <w:webHidden/>
              </w:rPr>
              <w:t>23</w:t>
            </w:r>
            <w:r w:rsidR="003A7BF2" w:rsidRPr="00742998">
              <w:rPr>
                <w:noProof/>
                <w:webHidden/>
              </w:rPr>
              <w:fldChar w:fldCharType="end"/>
            </w:r>
          </w:hyperlink>
        </w:p>
        <w:p w:rsidR="00A37304" w:rsidRPr="00742998" w:rsidRDefault="00A37304" w:rsidP="003A7BF2">
          <w:pPr>
            <w:spacing w:line="360" w:lineRule="auto"/>
          </w:pPr>
          <w:r w:rsidRPr="00742998">
            <w:rPr>
              <w:b/>
              <w:bCs/>
              <w:lang w:val="es-ES"/>
            </w:rPr>
            <w:fldChar w:fldCharType="end"/>
          </w:r>
        </w:p>
      </w:sdtContent>
    </w:sdt>
    <w:p w:rsidR="00A37304" w:rsidRPr="00742998" w:rsidRDefault="00A37304" w:rsidP="00A37304">
      <w:pPr>
        <w:spacing w:before="240" w:after="240" w:line="360" w:lineRule="auto"/>
        <w:jc w:val="both"/>
        <w:rPr>
          <w:rFonts w:ascii="Palatino Linotype" w:eastAsia="MS Mincho" w:hAnsi="Palatino Linotype" w:cs="Times New Roman"/>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Times New Roman"/>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Times New Roman"/>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Times New Roman"/>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Times New Roman"/>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Times New Roman"/>
          <w:sz w:val="24"/>
          <w:szCs w:val="24"/>
          <w:lang w:val="es-ES_tradnl" w:eastAsia="es-ES"/>
        </w:rPr>
      </w:pPr>
    </w:p>
    <w:p w:rsidR="00A37304" w:rsidRPr="00742998" w:rsidRDefault="00A37304" w:rsidP="00A37304">
      <w:pPr>
        <w:spacing w:before="240" w:after="240" w:line="360" w:lineRule="auto"/>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diecinueve (19) de noviembre de dos mil veinte.</w:t>
      </w:r>
    </w:p>
    <w:p w:rsidR="00A37304" w:rsidRPr="00742998" w:rsidRDefault="00A37304" w:rsidP="00A37304">
      <w:pPr>
        <w:spacing w:before="240" w:after="360" w:line="360" w:lineRule="auto"/>
        <w:jc w:val="both"/>
        <w:rPr>
          <w:rFonts w:ascii="Palatino Linotype" w:eastAsia="MS Mincho" w:hAnsi="Palatino Linotype" w:cs="Arial"/>
          <w:sz w:val="24"/>
          <w:szCs w:val="24"/>
          <w:lang w:val="es-ES_tradnl" w:eastAsia="es-ES"/>
        </w:rPr>
      </w:pPr>
      <w:r w:rsidRPr="00742998">
        <w:rPr>
          <w:rFonts w:ascii="Palatino Linotype" w:eastAsia="MS Mincho" w:hAnsi="Palatino Linotype" w:cs="Times New Roman"/>
          <w:b/>
          <w:sz w:val="24"/>
          <w:szCs w:val="24"/>
          <w:lang w:val="es-ES_tradnl" w:eastAsia="es-ES"/>
        </w:rPr>
        <w:t>VISTO</w:t>
      </w:r>
      <w:r w:rsidRPr="00742998">
        <w:rPr>
          <w:rFonts w:ascii="Palatino Linotype" w:eastAsia="MS Mincho" w:hAnsi="Palatino Linotype" w:cs="Times New Roman"/>
          <w:sz w:val="24"/>
          <w:szCs w:val="24"/>
          <w:lang w:val="es-ES_tradnl" w:eastAsia="es-ES"/>
        </w:rPr>
        <w:t xml:space="preserve"> el expediente electrónico formado con motivo del recurso de revisión</w:t>
      </w:r>
      <w:r w:rsidRPr="00742998">
        <w:rPr>
          <w:rFonts w:ascii="Palatino Linotype" w:eastAsia="MS Mincho" w:hAnsi="Palatino Linotype" w:cs="Arial"/>
          <w:b/>
          <w:bCs/>
          <w:sz w:val="24"/>
          <w:szCs w:val="24"/>
          <w:lang w:val="es-ES_tradnl" w:eastAsia="es-ES"/>
        </w:rPr>
        <w:t xml:space="preserve">, 04033/INFOEM/IP/RR/2020, </w:t>
      </w:r>
      <w:r w:rsidRPr="00742998">
        <w:rPr>
          <w:rFonts w:ascii="Palatino Linotype" w:eastAsia="MS Mincho" w:hAnsi="Palatino Linotype" w:cs="Times New Roman"/>
          <w:sz w:val="24"/>
          <w:szCs w:val="24"/>
          <w:lang w:val="es-ES_tradnl" w:eastAsia="es-ES"/>
        </w:rPr>
        <w:t xml:space="preserve">promovido por </w:t>
      </w:r>
      <w:r w:rsidRPr="00742998">
        <w:rPr>
          <w:rFonts w:ascii="Palatino Linotype" w:eastAsia="MS Mincho" w:hAnsi="Palatino Linotype" w:cs="Times New Roman"/>
          <w:bCs/>
          <w:sz w:val="24"/>
          <w:szCs w:val="24"/>
          <w:lang w:eastAsia="es-ES"/>
        </w:rPr>
        <w:t>una persona usuaria del Sistema de Acceso a la Información Mexiquense</w:t>
      </w:r>
      <w:r w:rsidRPr="00742998">
        <w:rPr>
          <w:rFonts w:ascii="Palatino Linotype" w:eastAsia="MS Mincho" w:hAnsi="Palatino Linotype" w:cs="Times New Roman"/>
          <w:b/>
          <w:bCs/>
          <w:sz w:val="24"/>
          <w:szCs w:val="24"/>
          <w:lang w:eastAsia="es-ES"/>
        </w:rPr>
        <w:t xml:space="preserve"> (SAIMEX), </w:t>
      </w:r>
      <w:r w:rsidRPr="00742998">
        <w:rPr>
          <w:rFonts w:ascii="Palatino Linotype" w:eastAsia="MS Mincho" w:hAnsi="Palatino Linotype" w:cs="Times New Roman"/>
          <w:bCs/>
          <w:sz w:val="24"/>
          <w:szCs w:val="24"/>
          <w:lang w:eastAsia="es-ES"/>
        </w:rPr>
        <w:t>quien no proporciono ningún nombre, seudónimo o carácter para poder ser identificado</w:t>
      </w:r>
      <w:r w:rsidRPr="00742998">
        <w:rPr>
          <w:rFonts w:ascii="Palatino Linotype" w:eastAsia="MS Mincho" w:hAnsi="Palatino Linotype" w:cs="Times New Roman"/>
          <w:sz w:val="24"/>
          <w:szCs w:val="24"/>
          <w:lang w:eastAsia="es-ES"/>
        </w:rPr>
        <w:t>, por lo que en lo sucesivo será identificado en su calidad</w:t>
      </w:r>
      <w:r w:rsidRPr="00742998">
        <w:rPr>
          <w:rFonts w:ascii="Palatino Linotype" w:eastAsia="MS Mincho" w:hAnsi="Palatino Linotype" w:cs="Times New Roman"/>
          <w:sz w:val="24"/>
          <w:szCs w:val="24"/>
          <w:lang w:val="es-ES_tradnl" w:eastAsia="es-ES"/>
        </w:rPr>
        <w:t xml:space="preserve"> </w:t>
      </w:r>
      <w:r w:rsidRPr="00742998">
        <w:rPr>
          <w:rFonts w:ascii="Palatino Linotype" w:eastAsia="MS Mincho" w:hAnsi="Palatino Linotype" w:cs="Times New Roman"/>
          <w:sz w:val="24"/>
          <w:szCs w:val="24"/>
          <w:lang w:eastAsia="es-ES"/>
        </w:rPr>
        <w:t xml:space="preserve">de </w:t>
      </w:r>
      <w:r w:rsidRPr="00742998">
        <w:rPr>
          <w:rFonts w:ascii="Palatino Linotype" w:eastAsia="MS Mincho" w:hAnsi="Palatino Linotype" w:cs="Times New Roman"/>
          <w:b/>
          <w:sz w:val="24"/>
          <w:szCs w:val="24"/>
          <w:lang w:eastAsia="es-ES"/>
        </w:rPr>
        <w:t>RECURRENTE</w:t>
      </w:r>
      <w:r w:rsidRPr="00742998">
        <w:rPr>
          <w:rFonts w:ascii="Palatino Linotype" w:eastAsia="MS Mincho" w:hAnsi="Palatino Linotype" w:cs="Times New Roman"/>
          <w:sz w:val="24"/>
          <w:szCs w:val="24"/>
          <w:lang w:val="es-ES_tradnl" w:eastAsia="es-ES"/>
        </w:rPr>
        <w:t xml:space="preserve">, </w:t>
      </w:r>
      <w:r w:rsidRPr="00742998">
        <w:rPr>
          <w:rFonts w:ascii="Palatino Linotype" w:eastAsia="MS Mincho" w:hAnsi="Palatino Linotype" w:cs="Arial"/>
          <w:sz w:val="24"/>
          <w:szCs w:val="24"/>
          <w:lang w:val="es-ES_tradnl" w:eastAsia="es-ES"/>
        </w:rPr>
        <w:t>en contra de la respuesta del</w:t>
      </w:r>
      <w:r w:rsidRPr="00742998">
        <w:rPr>
          <w:rFonts w:ascii="Palatino Linotype" w:hAnsi="Palatino Linotype"/>
          <w:b/>
        </w:rPr>
        <w:t xml:space="preserve"> </w:t>
      </w:r>
      <w:r w:rsidRPr="00742998">
        <w:rPr>
          <w:rFonts w:ascii="Palatino Linotype" w:eastAsia="MS Mincho" w:hAnsi="Palatino Linotype" w:cs="Arial"/>
          <w:b/>
          <w:sz w:val="24"/>
          <w:szCs w:val="24"/>
          <w:lang w:eastAsia="es-ES"/>
        </w:rPr>
        <w:t>Instituto de Transparencia, Acceso a la Información Pública y Protección de Datos Personales del Estado de México y Municipios</w:t>
      </w:r>
      <w:r w:rsidRPr="00742998">
        <w:rPr>
          <w:rFonts w:ascii="Palatino Linotype" w:eastAsia="MS Mincho" w:hAnsi="Palatino Linotype" w:cs="Arial"/>
          <w:b/>
          <w:bCs/>
          <w:sz w:val="24"/>
          <w:szCs w:val="24"/>
          <w:lang w:eastAsia="es-ES"/>
        </w:rPr>
        <w:t>,</w:t>
      </w:r>
      <w:r w:rsidRPr="00742998">
        <w:rPr>
          <w:rFonts w:ascii="Palatino Linotype" w:eastAsia="MS Mincho" w:hAnsi="Palatino Linotype" w:cs="Arial"/>
          <w:sz w:val="24"/>
          <w:szCs w:val="24"/>
          <w:lang w:val="es-ES_tradnl" w:eastAsia="es-ES"/>
        </w:rPr>
        <w:t xml:space="preserve"> </w:t>
      </w:r>
      <w:r w:rsidRPr="00742998">
        <w:rPr>
          <w:rFonts w:ascii="Palatino Linotype" w:eastAsia="MS Mincho" w:hAnsi="Palatino Linotype" w:cs="Times New Roman"/>
          <w:sz w:val="24"/>
          <w:szCs w:val="24"/>
          <w:lang w:val="es-ES_tradnl" w:eastAsia="es-ES"/>
        </w:rPr>
        <w:t>en lo sucesivo el</w:t>
      </w:r>
      <w:r w:rsidRPr="00742998">
        <w:rPr>
          <w:rFonts w:ascii="Palatino Linotype" w:eastAsia="MS Mincho" w:hAnsi="Palatino Linotype" w:cs="Times New Roman"/>
          <w:b/>
          <w:sz w:val="24"/>
          <w:szCs w:val="24"/>
          <w:lang w:val="es-ES_tradnl" w:eastAsia="es-ES"/>
        </w:rPr>
        <w:t xml:space="preserve"> SUJETO OBLIGADO, </w:t>
      </w:r>
      <w:r w:rsidRPr="00742998">
        <w:rPr>
          <w:rFonts w:ascii="Palatino Linotype" w:eastAsia="MS Mincho" w:hAnsi="Palatino Linotype" w:cs="Times New Roman"/>
          <w:sz w:val="24"/>
          <w:szCs w:val="24"/>
          <w:lang w:val="es-ES_tradnl" w:eastAsia="es-ES"/>
        </w:rPr>
        <w:t>se procede a dictar la presente resolución, con base en los siguientes:</w:t>
      </w:r>
    </w:p>
    <w:p w:rsidR="00A37304" w:rsidRPr="00742998" w:rsidRDefault="00A37304" w:rsidP="00A37304">
      <w:pPr>
        <w:keepNext/>
        <w:keepLines/>
        <w:spacing w:before="240" w:after="0" w:line="360" w:lineRule="auto"/>
        <w:jc w:val="center"/>
        <w:outlineLvl w:val="0"/>
        <w:rPr>
          <w:rFonts w:ascii="Palatino Linotype" w:eastAsia="MS Gothic" w:hAnsi="Palatino Linotype" w:cs="Times New Roman"/>
          <w:b/>
          <w:sz w:val="24"/>
          <w:szCs w:val="32"/>
        </w:rPr>
      </w:pPr>
      <w:r w:rsidRPr="00742998">
        <w:rPr>
          <w:rFonts w:ascii="Palatino Linotype" w:eastAsia="MS Gothic" w:hAnsi="Palatino Linotype" w:cs="Times New Roman"/>
          <w:b/>
          <w:sz w:val="24"/>
          <w:szCs w:val="32"/>
        </w:rPr>
        <w:t xml:space="preserve"> </w:t>
      </w:r>
      <w:bookmarkStart w:id="1" w:name="_Toc56165597"/>
      <w:r w:rsidRPr="00742998">
        <w:rPr>
          <w:rFonts w:ascii="Palatino Linotype" w:eastAsia="MS Gothic" w:hAnsi="Palatino Linotype" w:cs="Times New Roman"/>
          <w:b/>
          <w:sz w:val="24"/>
          <w:szCs w:val="32"/>
        </w:rPr>
        <w:t>A N T E C E D E N T E S</w:t>
      </w:r>
      <w:bookmarkEnd w:id="1"/>
    </w:p>
    <w:p w:rsidR="00A37304" w:rsidRPr="00742998" w:rsidRDefault="00A37304" w:rsidP="00A37304">
      <w:pPr>
        <w:spacing w:before="240" w:after="240" w:line="360" w:lineRule="auto"/>
        <w:contextualSpacing/>
        <w:jc w:val="both"/>
        <w:rPr>
          <w:rFonts w:ascii="Palatino Linotype" w:eastAsia="Calibri" w:hAnsi="Palatino Linotype" w:cs="Arial"/>
          <w:sz w:val="24"/>
          <w:szCs w:val="24"/>
          <w:lang w:val="es-ES" w:eastAsia="es-ES"/>
        </w:rPr>
      </w:pPr>
    </w:p>
    <w:p w:rsidR="00A37304" w:rsidRPr="00742998" w:rsidRDefault="00A37304" w:rsidP="00A3730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42998">
        <w:rPr>
          <w:rFonts w:ascii="Palatino Linotype" w:eastAsia="Calibri" w:hAnsi="Palatino Linotype" w:cs="Arial"/>
          <w:sz w:val="24"/>
          <w:szCs w:val="24"/>
          <w:lang w:val="es-ES" w:eastAsia="es-ES"/>
        </w:rPr>
        <w:t xml:space="preserve">El día </w:t>
      </w:r>
      <w:r w:rsidRPr="00742998">
        <w:rPr>
          <w:rFonts w:ascii="Palatino Linotype" w:eastAsia="Calibri" w:hAnsi="Palatino Linotype" w:cs="Arial"/>
          <w:b/>
          <w:sz w:val="24"/>
          <w:szCs w:val="24"/>
          <w:lang w:val="es-ES" w:eastAsia="es-ES"/>
        </w:rPr>
        <w:t xml:space="preserve">quince (15) </w:t>
      </w:r>
      <w:r w:rsidRPr="00742998">
        <w:rPr>
          <w:rFonts w:ascii="Palatino Linotype" w:eastAsia="Times New Roman" w:hAnsi="Palatino Linotype" w:cs="Arial"/>
          <w:b/>
          <w:sz w:val="24"/>
          <w:szCs w:val="24"/>
          <w:lang w:val="es-ES" w:eastAsia="es-ES"/>
        </w:rPr>
        <w:t xml:space="preserve">de septiembre </w:t>
      </w:r>
      <w:r w:rsidRPr="00742998">
        <w:rPr>
          <w:rFonts w:ascii="Palatino Linotype" w:eastAsia="Calibri" w:hAnsi="Palatino Linotype" w:cs="Arial"/>
          <w:sz w:val="24"/>
          <w:szCs w:val="24"/>
          <w:lang w:val="es-ES" w:eastAsia="es-ES"/>
        </w:rPr>
        <w:t>de dos mil veinte,</w:t>
      </w:r>
      <w:r w:rsidRPr="00742998">
        <w:rPr>
          <w:rFonts w:ascii="Palatino Linotype" w:eastAsia="Calibri" w:hAnsi="Palatino Linotype" w:cs="Times New Roman"/>
          <w:sz w:val="24"/>
          <w:szCs w:val="24"/>
          <w:lang w:val="es-ES" w:eastAsia="es-ES"/>
        </w:rPr>
        <w:t xml:space="preserve"> se presentó </w:t>
      </w:r>
      <w:r w:rsidRPr="00742998">
        <w:rPr>
          <w:rFonts w:ascii="Palatino Linotype" w:eastAsia="Calibri" w:hAnsi="Palatino Linotype" w:cs="Arial"/>
          <w:sz w:val="24"/>
          <w:szCs w:val="24"/>
          <w:lang w:val="es-ES" w:eastAsia="es-ES"/>
        </w:rPr>
        <w:t xml:space="preserve">ante el </w:t>
      </w:r>
      <w:r w:rsidRPr="00742998">
        <w:rPr>
          <w:rFonts w:ascii="Palatino Linotype" w:eastAsia="Calibri" w:hAnsi="Palatino Linotype" w:cs="Arial"/>
          <w:b/>
          <w:sz w:val="24"/>
          <w:szCs w:val="24"/>
          <w:lang w:val="es-ES" w:eastAsia="es-ES"/>
        </w:rPr>
        <w:t>SUJETO OBLIGADO</w:t>
      </w:r>
      <w:r w:rsidRPr="00742998">
        <w:rPr>
          <w:rFonts w:ascii="Palatino Linotype" w:eastAsia="Calibri" w:hAnsi="Palatino Linotype" w:cs="Arial"/>
          <w:sz w:val="24"/>
          <w:szCs w:val="24"/>
          <w:lang w:val="es-ES_tradnl" w:eastAsia="es-ES"/>
        </w:rPr>
        <w:t xml:space="preserve"> vía </w:t>
      </w:r>
      <w:r w:rsidRPr="00742998">
        <w:rPr>
          <w:rFonts w:ascii="Palatino Linotype" w:eastAsia="Calibri" w:hAnsi="Palatino Linotype" w:cs="Arial"/>
          <w:sz w:val="24"/>
          <w:szCs w:val="24"/>
          <w:lang w:val="es-ES" w:eastAsia="es-ES"/>
        </w:rPr>
        <w:t xml:space="preserve">Sistema de Acceso a la Información Mexiquense </w:t>
      </w:r>
      <w:r w:rsidRPr="00742998">
        <w:rPr>
          <w:rFonts w:ascii="Palatino Linotype" w:eastAsia="Calibri" w:hAnsi="Palatino Linotype" w:cs="Arial"/>
          <w:b/>
          <w:sz w:val="24"/>
          <w:szCs w:val="24"/>
          <w:lang w:val="es-ES" w:eastAsia="es-ES"/>
        </w:rPr>
        <w:t>(SAIMEX)</w:t>
      </w:r>
      <w:r w:rsidRPr="00742998">
        <w:rPr>
          <w:rFonts w:ascii="Palatino Linotype" w:eastAsia="Calibri" w:hAnsi="Palatino Linotype" w:cs="Arial"/>
          <w:sz w:val="24"/>
          <w:szCs w:val="24"/>
          <w:lang w:val="es-ES" w:eastAsia="es-ES"/>
        </w:rPr>
        <w:t>, la solicitud de información pública, registrada con el número</w:t>
      </w:r>
      <w:r w:rsidRPr="00742998">
        <w:rPr>
          <w:rFonts w:ascii="Palatino Linotype" w:eastAsia="Times New Roman" w:hAnsi="Palatino Linotype" w:cs="Arial"/>
          <w:b/>
          <w:sz w:val="24"/>
          <w:szCs w:val="24"/>
          <w:lang w:val="es-ES" w:eastAsia="es-ES"/>
        </w:rPr>
        <w:t xml:space="preserve"> </w:t>
      </w:r>
      <w:r w:rsidRPr="00742998">
        <w:rPr>
          <w:rFonts w:ascii="Palatino Linotype" w:hAnsi="Palatino Linotype"/>
          <w:b/>
          <w:bCs/>
          <w:sz w:val="24"/>
          <w:szCs w:val="24"/>
        </w:rPr>
        <w:t>00765/INFOEM/IP/2020</w:t>
      </w:r>
      <w:r w:rsidRPr="00742998">
        <w:rPr>
          <w:rFonts w:ascii="Palatino Linotype" w:eastAsia="Calibri" w:hAnsi="Palatino Linotype" w:cs="Arial"/>
          <w:sz w:val="24"/>
          <w:szCs w:val="24"/>
          <w:lang w:val="es-ES" w:eastAsia="es-ES"/>
        </w:rPr>
        <w:t xml:space="preserve"> mediante la cual se requirió:</w:t>
      </w:r>
    </w:p>
    <w:p w:rsidR="00A37304" w:rsidRPr="00742998" w:rsidRDefault="00A37304" w:rsidP="00A37304">
      <w:pPr>
        <w:spacing w:before="240" w:after="240" w:line="360" w:lineRule="auto"/>
        <w:contextualSpacing/>
        <w:jc w:val="both"/>
        <w:rPr>
          <w:rFonts w:ascii="Palatino Linotype" w:eastAsia="Calibri" w:hAnsi="Palatino Linotype" w:cs="Arial"/>
          <w:sz w:val="24"/>
          <w:szCs w:val="24"/>
          <w:lang w:val="es-ES" w:eastAsia="es-ES"/>
        </w:rPr>
      </w:pPr>
    </w:p>
    <w:p w:rsidR="00A37304" w:rsidRPr="00742998" w:rsidRDefault="00A37304" w:rsidP="00A37304">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742998">
        <w:rPr>
          <w:rFonts w:ascii="Palatino Linotype" w:eastAsia="Calibri" w:hAnsi="Palatino Linotype" w:cs="Arial"/>
          <w:i/>
          <w:sz w:val="24"/>
          <w:szCs w:val="24"/>
          <w:lang w:val="es-ES" w:eastAsia="es-ES"/>
        </w:rPr>
        <w:t>“</w:t>
      </w:r>
      <w:r w:rsidRPr="00742998">
        <w:rPr>
          <w:rFonts w:ascii="Palatino Linotype" w:eastAsia="Calibri" w:hAnsi="Palatino Linotype" w:cs="Arial"/>
          <w:i/>
          <w:sz w:val="24"/>
          <w:szCs w:val="24"/>
          <w:lang w:eastAsia="es-ES"/>
        </w:rPr>
        <w:t xml:space="preserve">En que gastan su salario los comisionados, es decir si hacen donaciones, se lo gastan en autos, salud. </w:t>
      </w:r>
      <w:proofErr w:type="gramStart"/>
      <w:r w:rsidRPr="00742998">
        <w:rPr>
          <w:rFonts w:ascii="Palatino Linotype" w:eastAsia="Calibri" w:hAnsi="Palatino Linotype" w:cs="Arial"/>
          <w:i/>
          <w:sz w:val="24"/>
          <w:szCs w:val="24"/>
          <w:lang w:eastAsia="es-ES"/>
        </w:rPr>
        <w:t>solicito</w:t>
      </w:r>
      <w:proofErr w:type="gramEnd"/>
      <w:r w:rsidRPr="00742998">
        <w:rPr>
          <w:rFonts w:ascii="Palatino Linotype" w:eastAsia="Calibri" w:hAnsi="Palatino Linotype" w:cs="Arial"/>
          <w:i/>
          <w:sz w:val="24"/>
          <w:szCs w:val="24"/>
          <w:lang w:eastAsia="es-ES"/>
        </w:rPr>
        <w:t xml:space="preserve"> expediente clínico de cada comisionado.</w:t>
      </w:r>
      <w:r w:rsidRPr="00742998">
        <w:rPr>
          <w:rFonts w:ascii="Palatino Linotype" w:eastAsia="Calibri" w:hAnsi="Palatino Linotype" w:cs="Arial"/>
          <w:i/>
          <w:sz w:val="24"/>
          <w:szCs w:val="24"/>
          <w:lang w:val="es-ES" w:eastAsia="es-ES"/>
        </w:rPr>
        <w:t>” (Sic)</w:t>
      </w:r>
    </w:p>
    <w:p w:rsidR="00A37304" w:rsidRPr="00742998" w:rsidRDefault="00A37304" w:rsidP="00A37304">
      <w:pPr>
        <w:spacing w:before="240" w:after="240" w:line="360" w:lineRule="auto"/>
        <w:contextualSpacing/>
        <w:jc w:val="both"/>
        <w:rPr>
          <w:rFonts w:ascii="Palatino Linotype" w:eastAsia="Calibri" w:hAnsi="Palatino Linotype" w:cs="Arial"/>
          <w:i/>
          <w:sz w:val="24"/>
          <w:szCs w:val="24"/>
          <w:lang w:val="es-ES" w:eastAsia="es-ES"/>
        </w:rPr>
      </w:pPr>
    </w:p>
    <w:p w:rsidR="00A37304" w:rsidRPr="00742998" w:rsidRDefault="00A37304" w:rsidP="00A3730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742998">
        <w:rPr>
          <w:rFonts w:ascii="Palatino Linotype" w:eastAsia="Times New Roman" w:hAnsi="Palatino Linotype" w:cs="Arial"/>
          <w:sz w:val="24"/>
          <w:szCs w:val="24"/>
          <w:lang w:val="es-ES" w:eastAsia="es-ES"/>
        </w:rPr>
        <w:lastRenderedPageBreak/>
        <w:t>Señaló como modalidad de entrega de la información</w:t>
      </w:r>
      <w:r w:rsidRPr="00742998">
        <w:rPr>
          <w:rFonts w:ascii="Palatino Linotype" w:eastAsia="Times New Roman" w:hAnsi="Palatino Linotype" w:cs="Arial"/>
          <w:b/>
          <w:sz w:val="24"/>
          <w:szCs w:val="24"/>
          <w:lang w:val="es-ES" w:eastAsia="es-ES"/>
        </w:rPr>
        <w:t>:</w:t>
      </w:r>
      <w:r w:rsidRPr="00742998">
        <w:rPr>
          <w:rFonts w:ascii="Palatino Linotype" w:eastAsia="Times New Roman" w:hAnsi="Palatino Linotype" w:cs="Arial"/>
          <w:sz w:val="24"/>
          <w:szCs w:val="24"/>
          <w:lang w:val="es-ES" w:eastAsia="es-ES"/>
        </w:rPr>
        <w:t xml:space="preserve"> </w:t>
      </w:r>
      <w:r w:rsidRPr="00742998">
        <w:rPr>
          <w:rFonts w:ascii="Palatino Linotype" w:eastAsia="Times New Roman" w:hAnsi="Palatino Linotype" w:cs="Arial"/>
          <w:b/>
          <w:sz w:val="24"/>
          <w:szCs w:val="24"/>
          <w:lang w:val="es-ES" w:eastAsia="es-ES"/>
        </w:rPr>
        <w:t>a través de SAIMEX.</w:t>
      </w:r>
    </w:p>
    <w:p w:rsidR="00A37304" w:rsidRPr="00742998" w:rsidRDefault="00A37304" w:rsidP="00A37304">
      <w:pPr>
        <w:spacing w:before="240" w:after="240" w:line="360" w:lineRule="auto"/>
        <w:contextualSpacing/>
        <w:jc w:val="both"/>
        <w:rPr>
          <w:rFonts w:ascii="Palatino Linotype" w:hAnsi="Palatino Linotype"/>
          <w:b/>
          <w:sz w:val="24"/>
          <w:szCs w:val="24"/>
          <w:lang w:val="es-ES" w:eastAsia="es-ES"/>
        </w:rPr>
      </w:pPr>
    </w:p>
    <w:p w:rsidR="00A37304" w:rsidRPr="00742998" w:rsidRDefault="00A37304" w:rsidP="00A37304">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742998">
        <w:rPr>
          <w:rFonts w:ascii="Palatino Linotype" w:hAnsi="Palatino Linotype"/>
          <w:sz w:val="24"/>
          <w:szCs w:val="24"/>
          <w:lang w:val="es-ES" w:eastAsia="es-ES"/>
        </w:rPr>
        <w:t xml:space="preserve">El día </w:t>
      </w:r>
      <w:r w:rsidRPr="00742998">
        <w:rPr>
          <w:rFonts w:ascii="Palatino Linotype" w:hAnsi="Palatino Linotype"/>
          <w:b/>
          <w:sz w:val="24"/>
          <w:szCs w:val="24"/>
          <w:lang w:val="es-ES" w:eastAsia="es-ES"/>
        </w:rPr>
        <w:t xml:space="preserve">veintitrés (23) de septiembre </w:t>
      </w:r>
      <w:r w:rsidRPr="00742998">
        <w:rPr>
          <w:rFonts w:ascii="Palatino Linotype" w:hAnsi="Palatino Linotype"/>
          <w:sz w:val="24"/>
          <w:szCs w:val="24"/>
          <w:lang w:val="es-ES" w:eastAsia="es-ES"/>
        </w:rPr>
        <w:t xml:space="preserve">de dos mil veinte el </w:t>
      </w:r>
      <w:r w:rsidRPr="00742998">
        <w:rPr>
          <w:rFonts w:ascii="Palatino Linotype" w:hAnsi="Palatino Linotype"/>
          <w:b/>
          <w:sz w:val="24"/>
          <w:szCs w:val="24"/>
          <w:lang w:val="es-ES" w:eastAsia="es-ES"/>
        </w:rPr>
        <w:t>SUJETO OBLIGADO</w:t>
      </w:r>
      <w:r w:rsidRPr="00742998">
        <w:rPr>
          <w:rFonts w:ascii="Palatino Linotype" w:hAnsi="Palatino Linotype"/>
          <w:sz w:val="24"/>
          <w:szCs w:val="24"/>
          <w:lang w:val="es-ES" w:eastAsia="es-ES"/>
        </w:rPr>
        <w:t xml:space="preserve"> emitió su respectiva respuesta, a la cual adjunto el archivo electrónico </w:t>
      </w:r>
      <w:r w:rsidRPr="00742998">
        <w:rPr>
          <w:rFonts w:ascii="Palatino Linotype" w:hAnsi="Palatino Linotype"/>
          <w:b/>
          <w:sz w:val="24"/>
          <w:szCs w:val="24"/>
          <w:lang w:val="es-ES" w:eastAsia="es-ES"/>
        </w:rPr>
        <w:t>RESPUESTA 0765-2020 UT.pdf</w:t>
      </w:r>
      <w:r w:rsidRPr="00742998">
        <w:rPr>
          <w:rFonts w:ascii="Palatino Linotype" w:hAnsi="Palatino Linotype"/>
          <w:sz w:val="24"/>
          <w:szCs w:val="24"/>
          <w:lang w:val="es-ES" w:eastAsia="es-ES"/>
        </w:rPr>
        <w:t>, a través del cual se informa que</w:t>
      </w:r>
      <w:r w:rsidR="009A4759" w:rsidRPr="00742998">
        <w:rPr>
          <w:rFonts w:ascii="Palatino Linotype" w:hAnsi="Palatino Linotype"/>
          <w:sz w:val="24"/>
          <w:szCs w:val="24"/>
          <w:lang w:val="es-ES" w:eastAsia="es-ES"/>
        </w:rPr>
        <w:t xml:space="preserve"> la información solicitada n</w:t>
      </w:r>
      <w:r w:rsidR="009A4759" w:rsidRPr="00742998">
        <w:rPr>
          <w:rFonts w:ascii="Palatino Linotype" w:hAnsi="Palatino Linotype"/>
          <w:sz w:val="24"/>
          <w:szCs w:val="24"/>
          <w:lang w:eastAsia="es-ES"/>
        </w:rPr>
        <w:t xml:space="preserve">o estriba en el ejercicio del derecho humano de acceso a la información pública, con la finalidad de obtener algún documento o similar, generado por este Sujeto Obligado en razón del cúmulo de funciones y atribuciones que le son conferidas en las Leyes de la materia; que el requerimiento de información en análisis, se refiere al hecho de pretender obtener información basado en manifestaciones de carácter subjetivo, que en nada tienen que ver con el derecho de acceso a la información pública, con motivo de las actividades y funciones que lleva a cabo este Instituto de Transparencia, Acceso a la Información Pública y Protección de Datos Personales del Estado de México y Municipios de conformidad con las diversas leyes de la materia; </w:t>
      </w:r>
      <w:r w:rsidR="007B1D4B" w:rsidRPr="00742998">
        <w:rPr>
          <w:rFonts w:ascii="Palatino Linotype" w:hAnsi="Palatino Linotype"/>
          <w:sz w:val="24"/>
          <w:szCs w:val="24"/>
          <w:lang w:eastAsia="es-ES"/>
        </w:rPr>
        <w:t>en relación a lo solicitado “…solicito expediente clínico de cada comisionado”, se trae a colación el artículo 31 de la Ley de Transparencia y Acceso a la información Pública del Estado de México y Municipios, el cual establece los requisitos para ser Comisionado.</w:t>
      </w:r>
    </w:p>
    <w:p w:rsidR="00A37304" w:rsidRPr="00742998" w:rsidRDefault="00A37304" w:rsidP="007B1D4B">
      <w:pPr>
        <w:spacing w:before="240" w:after="240" w:line="360" w:lineRule="auto"/>
        <w:contextualSpacing/>
        <w:jc w:val="both"/>
        <w:rPr>
          <w:rFonts w:ascii="Palatino Linotype" w:hAnsi="Palatino Linotype"/>
          <w:b/>
          <w:sz w:val="24"/>
          <w:szCs w:val="24"/>
          <w:lang w:val="es-ES" w:eastAsia="es-ES"/>
        </w:rPr>
      </w:pPr>
    </w:p>
    <w:p w:rsidR="00A37304" w:rsidRPr="00742998" w:rsidRDefault="00A37304" w:rsidP="00A3730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42998">
        <w:rPr>
          <w:rFonts w:ascii="Palatino Linotype" w:eastAsia="Times New Roman" w:hAnsi="Palatino Linotype" w:cs="Arial"/>
          <w:sz w:val="24"/>
          <w:szCs w:val="24"/>
          <w:lang w:val="es-ES" w:eastAsia="es-ES"/>
        </w:rPr>
        <w:t xml:space="preserve">El día </w:t>
      </w:r>
      <w:r w:rsidR="007B1D4B" w:rsidRPr="00742998">
        <w:rPr>
          <w:rFonts w:ascii="Palatino Linotype" w:eastAsia="Times New Roman" w:hAnsi="Palatino Linotype" w:cs="Arial"/>
          <w:b/>
          <w:sz w:val="24"/>
          <w:szCs w:val="24"/>
          <w:lang w:val="es-ES" w:eastAsia="es-ES"/>
        </w:rPr>
        <w:t>veinticinco (25) de septiembre</w:t>
      </w:r>
      <w:r w:rsidRPr="00742998">
        <w:rPr>
          <w:rFonts w:ascii="Palatino Linotype" w:eastAsia="Times New Roman" w:hAnsi="Palatino Linotype" w:cs="Arial"/>
          <w:b/>
          <w:sz w:val="24"/>
          <w:szCs w:val="24"/>
          <w:lang w:val="es-ES" w:eastAsia="es-ES"/>
        </w:rPr>
        <w:t xml:space="preserve"> </w:t>
      </w:r>
      <w:r w:rsidRPr="00742998">
        <w:rPr>
          <w:rFonts w:ascii="Palatino Linotype" w:eastAsia="Times New Roman" w:hAnsi="Palatino Linotype" w:cs="Arial"/>
          <w:sz w:val="24"/>
          <w:szCs w:val="24"/>
          <w:lang w:val="es-ES" w:eastAsia="es-ES"/>
        </w:rPr>
        <w:t xml:space="preserve">de dos mil veinte, el particular </w:t>
      </w:r>
      <w:r w:rsidRPr="00742998">
        <w:rPr>
          <w:rFonts w:ascii="Palatino Linotype" w:eastAsia="MS Mincho" w:hAnsi="Palatino Linotype"/>
          <w:sz w:val="24"/>
          <w:szCs w:val="24"/>
          <w:lang w:val="es-ES_tradnl" w:eastAsia="es-ES"/>
        </w:rPr>
        <w:t xml:space="preserve">interpuso el recurso de revisión en contra de la respuesta, señalando lo siguiente: </w:t>
      </w:r>
    </w:p>
    <w:p w:rsidR="00A37304" w:rsidRPr="00742998" w:rsidRDefault="00A37304" w:rsidP="00A37304">
      <w:pPr>
        <w:spacing w:before="240" w:after="240" w:line="360" w:lineRule="auto"/>
        <w:contextualSpacing/>
        <w:jc w:val="both"/>
        <w:rPr>
          <w:rFonts w:ascii="Palatino Linotype" w:eastAsia="Calibri" w:hAnsi="Palatino Linotype" w:cs="Arial"/>
          <w:sz w:val="24"/>
          <w:szCs w:val="24"/>
          <w:lang w:val="es-ES" w:eastAsia="es-ES"/>
        </w:rPr>
      </w:pPr>
    </w:p>
    <w:p w:rsidR="00A37304" w:rsidRPr="00742998" w:rsidRDefault="00A37304" w:rsidP="00A37304">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742998">
        <w:rPr>
          <w:rFonts w:ascii="Palatino Linotype" w:eastAsia="MS Gothic" w:hAnsi="Palatino Linotype" w:cs="Times New Roman"/>
          <w:b/>
          <w:sz w:val="24"/>
          <w:szCs w:val="26"/>
          <w:lang w:val="es-ES"/>
        </w:rPr>
        <w:t>Acto impugnado</w:t>
      </w:r>
      <w:r w:rsidRPr="00742998">
        <w:rPr>
          <w:rFonts w:ascii="Palatino Linotype" w:eastAsia="MS Mincho" w:hAnsi="Palatino Linotype" w:cs="Times New Roman"/>
          <w:i/>
          <w:lang w:val="es-ES_tradnl" w:eastAsia="es-ES"/>
        </w:rPr>
        <w:t xml:space="preserve">: </w:t>
      </w:r>
    </w:p>
    <w:p w:rsidR="00A37304" w:rsidRPr="00742998" w:rsidRDefault="00A37304" w:rsidP="00A37304">
      <w:pPr>
        <w:spacing w:after="0" w:line="360" w:lineRule="auto"/>
        <w:ind w:left="567" w:right="567"/>
        <w:contextualSpacing/>
        <w:jc w:val="both"/>
        <w:rPr>
          <w:rFonts w:ascii="Palatino Linotype" w:eastAsia="MS Mincho" w:hAnsi="Palatino Linotype" w:cs="Times New Roman"/>
          <w:i/>
          <w:lang w:val="es-ES" w:eastAsia="es-ES"/>
        </w:rPr>
      </w:pPr>
      <w:r w:rsidRPr="00742998">
        <w:rPr>
          <w:rFonts w:ascii="Palatino Linotype" w:eastAsia="MS Mincho" w:hAnsi="Palatino Linotype" w:cs="Times New Roman"/>
          <w:i/>
          <w:lang w:val="es-ES_tradnl" w:eastAsia="es-ES"/>
        </w:rPr>
        <w:lastRenderedPageBreak/>
        <w:t>“</w:t>
      </w:r>
      <w:r w:rsidR="007B1D4B" w:rsidRPr="00742998">
        <w:rPr>
          <w:rFonts w:ascii="Palatino Linotype" w:eastAsia="MS Mincho" w:hAnsi="Palatino Linotype" w:cs="Times New Roman"/>
          <w:i/>
          <w:lang w:eastAsia="es-ES"/>
        </w:rPr>
        <w:t>NO HACE ENTREGA DE LA INFORMACIÓN ARGUMENTADO QUE SON DECLARACIONES SUBJETIVAS, NI PRTOPORCIONA SU EXPEDINETE CLINICO O INDICA DONDE OBTENERLO</w:t>
      </w:r>
      <w:r w:rsidRPr="00742998">
        <w:rPr>
          <w:rFonts w:ascii="Palatino Linotype" w:eastAsia="MS Mincho" w:hAnsi="Palatino Linotype" w:cs="Times New Roman"/>
          <w:i/>
          <w:lang w:eastAsia="es-ES"/>
        </w:rPr>
        <w:t>.</w:t>
      </w:r>
      <w:r w:rsidRPr="00742998">
        <w:rPr>
          <w:rFonts w:ascii="Palatino Linotype" w:eastAsia="MS Mincho" w:hAnsi="Palatino Linotype" w:cs="Times New Roman"/>
          <w:i/>
          <w:lang w:val="es-ES_tradnl" w:eastAsia="es-ES"/>
        </w:rPr>
        <w:t xml:space="preserve">” (Sic);  </w:t>
      </w:r>
      <w:r w:rsidRPr="00742998">
        <w:rPr>
          <w:rFonts w:ascii="Palatino Linotype" w:eastAsia="MS Mincho" w:hAnsi="Palatino Linotype" w:cs="Times New Roman"/>
          <w:b/>
          <w:sz w:val="24"/>
          <w:szCs w:val="24"/>
          <w:lang w:val="es-ES_tradnl" w:eastAsia="es-ES"/>
        </w:rPr>
        <w:t>y como</w:t>
      </w:r>
    </w:p>
    <w:p w:rsidR="00A37304" w:rsidRPr="00742998" w:rsidRDefault="00A37304" w:rsidP="00A37304">
      <w:pPr>
        <w:spacing w:after="0" w:line="360" w:lineRule="auto"/>
        <w:contextualSpacing/>
        <w:jc w:val="both"/>
        <w:rPr>
          <w:rFonts w:ascii="Palatino Linotype" w:eastAsia="MS Mincho" w:hAnsi="Palatino Linotype" w:cs="Times New Roman"/>
          <w:i/>
          <w:lang w:val="es-ES_tradnl" w:eastAsia="es-ES"/>
        </w:rPr>
      </w:pPr>
    </w:p>
    <w:p w:rsidR="00A37304" w:rsidRPr="00742998" w:rsidRDefault="00A37304" w:rsidP="00A37304">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742998">
        <w:rPr>
          <w:rFonts w:ascii="Palatino Linotype" w:eastAsia="MS Gothic" w:hAnsi="Palatino Linotype" w:cs="Times New Roman"/>
          <w:b/>
          <w:sz w:val="24"/>
          <w:szCs w:val="26"/>
          <w:lang w:val="es-ES"/>
        </w:rPr>
        <w:t>Razones o Motivos de inconformidad</w:t>
      </w:r>
      <w:r w:rsidRPr="00742998">
        <w:rPr>
          <w:rFonts w:ascii="Palatino Linotype" w:eastAsia="MS Mincho" w:hAnsi="Palatino Linotype" w:cs="Times New Roman"/>
          <w:i/>
          <w:lang w:val="es-ES_tradnl" w:eastAsia="es-ES"/>
        </w:rPr>
        <w:t xml:space="preserve">: </w:t>
      </w:r>
    </w:p>
    <w:p w:rsidR="00A37304" w:rsidRPr="00742998" w:rsidRDefault="00A37304" w:rsidP="00A37304">
      <w:pPr>
        <w:spacing w:after="0" w:line="360" w:lineRule="auto"/>
        <w:ind w:left="567" w:right="567"/>
        <w:contextualSpacing/>
        <w:jc w:val="both"/>
        <w:rPr>
          <w:rFonts w:ascii="Palatino Linotype" w:eastAsia="MS Mincho" w:hAnsi="Palatino Linotype" w:cs="Times New Roman"/>
          <w:i/>
          <w:lang w:val="es-ES_tradnl" w:eastAsia="es-ES"/>
        </w:rPr>
      </w:pPr>
      <w:r w:rsidRPr="00742998">
        <w:rPr>
          <w:rFonts w:ascii="Palatino Linotype" w:eastAsia="MS Mincho" w:hAnsi="Palatino Linotype" w:cs="Times New Roman"/>
          <w:i/>
          <w:lang w:val="es-ES_tradnl" w:eastAsia="es-ES"/>
        </w:rPr>
        <w:t>“</w:t>
      </w:r>
      <w:r w:rsidRPr="00742998">
        <w:rPr>
          <w:rFonts w:ascii="Palatino Linotype" w:eastAsia="MS Mincho" w:hAnsi="Palatino Linotype" w:cs="Times New Roman"/>
          <w:i/>
          <w:lang w:eastAsia="es-ES"/>
        </w:rPr>
        <w:t>.</w:t>
      </w:r>
      <w:r w:rsidR="007B1D4B" w:rsidRPr="00742998">
        <w:rPr>
          <w:rFonts w:ascii="Palatino Linotype" w:eastAsia="MS Mincho" w:hAnsi="Palatino Linotype" w:cs="Times New Roman"/>
          <w:i/>
          <w:lang w:eastAsia="es-ES"/>
        </w:rPr>
        <w:t>NO HACE ENTREGA DE LA INFORMACIÓN ARGUMENTADO QUE SON DECLARACIONES SUBJETIVAS, NI PRTOPORCIONA SU EXPEDINETE CLINICO O INDICA DONDE OBTENERLO</w:t>
      </w:r>
      <w:r w:rsidRPr="00742998">
        <w:rPr>
          <w:rFonts w:ascii="Palatino Linotype" w:eastAsia="MS Mincho" w:hAnsi="Palatino Linotype" w:cs="Times New Roman"/>
          <w:i/>
          <w:lang w:val="es-ES_tradnl" w:eastAsia="es-ES"/>
        </w:rPr>
        <w:t>” (Sic)</w:t>
      </w:r>
    </w:p>
    <w:p w:rsidR="00A37304" w:rsidRPr="00742998" w:rsidRDefault="00A37304" w:rsidP="00A37304">
      <w:pPr>
        <w:spacing w:after="0" w:line="360" w:lineRule="auto"/>
        <w:ind w:left="567" w:right="567"/>
        <w:contextualSpacing/>
        <w:jc w:val="both"/>
        <w:rPr>
          <w:rFonts w:ascii="Palatino Linotype" w:eastAsia="MS Mincho" w:hAnsi="Palatino Linotype" w:cs="Times New Roman"/>
          <w:i/>
          <w:lang w:val="es-ES_tradnl" w:eastAsia="es-ES"/>
        </w:rPr>
      </w:pPr>
    </w:p>
    <w:p w:rsidR="00A37304" w:rsidRPr="00742998" w:rsidRDefault="00A37304" w:rsidP="00A37304">
      <w:pPr>
        <w:spacing w:after="0" w:line="360" w:lineRule="auto"/>
        <w:contextualSpacing/>
        <w:jc w:val="both"/>
        <w:rPr>
          <w:rFonts w:ascii="Palatino Linotype" w:eastAsia="MS Mincho" w:hAnsi="Palatino Linotype" w:cs="Times New Roman"/>
          <w:i/>
          <w:lang w:val="es-ES_tradnl" w:eastAsia="es-ES"/>
        </w:rPr>
      </w:pPr>
    </w:p>
    <w:p w:rsidR="00A37304" w:rsidRPr="00742998" w:rsidRDefault="00A37304" w:rsidP="00A37304">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742998">
        <w:rPr>
          <w:rFonts w:ascii="Palatino Linotype" w:eastAsiaTheme="minorEastAsia" w:hAnsi="Palatino Linotype" w:cs="Arial"/>
          <w:bCs/>
          <w:sz w:val="24"/>
          <w:szCs w:val="24"/>
          <w:lang w:val="es-ES_tradnl" w:eastAsia="es-ES"/>
        </w:rPr>
        <w:t xml:space="preserve">Con fundamento en lo dispuesto por el </w:t>
      </w:r>
      <w:r w:rsidRPr="00742998">
        <w:rPr>
          <w:rFonts w:ascii="Palatino Linotype" w:eastAsia="Calibri" w:hAnsi="Palatino Linotype" w:cs="Arial"/>
          <w:sz w:val="24"/>
          <w:szCs w:val="24"/>
          <w:lang w:val="es-ES" w:eastAsia="es-ES"/>
        </w:rPr>
        <w:t xml:space="preserve">artículo 185 fracción I de la </w:t>
      </w:r>
      <w:r w:rsidRPr="0074299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42998">
        <w:rPr>
          <w:rFonts w:ascii="Palatino Linotype" w:eastAsia="Times New Roman" w:hAnsi="Palatino Linotype" w:cs="Arial"/>
          <w:sz w:val="24"/>
          <w:szCs w:val="24"/>
          <w:lang w:val="es-ES" w:eastAsia="es-ES"/>
        </w:rPr>
        <w:t xml:space="preserve">se turnó al </w:t>
      </w:r>
      <w:r w:rsidRPr="00742998">
        <w:rPr>
          <w:rFonts w:ascii="Palatino Linotype" w:eastAsia="Times New Roman" w:hAnsi="Palatino Linotype" w:cs="Arial"/>
          <w:b/>
          <w:sz w:val="24"/>
          <w:szCs w:val="24"/>
          <w:lang w:val="es-ES" w:eastAsia="es-ES"/>
        </w:rPr>
        <w:t xml:space="preserve">Comisionado José Guadalupe Luna Hernández </w:t>
      </w:r>
      <w:r w:rsidRPr="00742998">
        <w:rPr>
          <w:rFonts w:ascii="Palatino Linotype" w:eastAsia="Times New Roman" w:hAnsi="Palatino Linotype" w:cs="Arial"/>
          <w:sz w:val="24"/>
          <w:szCs w:val="24"/>
          <w:lang w:val="es-ES" w:eastAsia="es-ES"/>
        </w:rPr>
        <w:t xml:space="preserve">con el objeto de </w:t>
      </w:r>
      <w:r w:rsidRPr="00742998">
        <w:rPr>
          <w:rFonts w:ascii="Palatino Linotype" w:eastAsia="Times New Roman" w:hAnsi="Palatino Linotype" w:cs="Arial"/>
          <w:sz w:val="24"/>
          <w:szCs w:val="24"/>
          <w:lang w:eastAsia="es-ES"/>
        </w:rPr>
        <w:t>su análisis.</w:t>
      </w:r>
    </w:p>
    <w:p w:rsidR="00A37304" w:rsidRPr="00742998" w:rsidRDefault="00A37304" w:rsidP="00A37304">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A37304" w:rsidRPr="00742998" w:rsidRDefault="00A37304" w:rsidP="00A37304">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7B1D4B" w:rsidRPr="00742998">
        <w:rPr>
          <w:rFonts w:ascii="Palatino Linotype" w:eastAsia="Calibri" w:hAnsi="Palatino Linotype" w:cs="Arial"/>
          <w:b/>
          <w:color w:val="000000" w:themeColor="text1"/>
          <w:sz w:val="24"/>
          <w:szCs w:val="24"/>
          <w:lang w:val="es-ES" w:eastAsia="es-ES"/>
        </w:rPr>
        <w:t>primero</w:t>
      </w:r>
      <w:r w:rsidRPr="00742998">
        <w:rPr>
          <w:rFonts w:ascii="Palatino Linotype" w:eastAsia="Calibri" w:hAnsi="Palatino Linotype" w:cs="Arial"/>
          <w:b/>
          <w:color w:val="000000" w:themeColor="text1"/>
          <w:sz w:val="24"/>
          <w:szCs w:val="24"/>
          <w:lang w:val="es-ES" w:eastAsia="es-ES"/>
        </w:rPr>
        <w:t xml:space="preserve"> (</w:t>
      </w:r>
      <w:r w:rsidR="007B1D4B" w:rsidRPr="00742998">
        <w:rPr>
          <w:rFonts w:ascii="Palatino Linotype" w:eastAsia="Calibri" w:hAnsi="Palatino Linotype" w:cs="Arial"/>
          <w:b/>
          <w:color w:val="000000" w:themeColor="text1"/>
          <w:sz w:val="24"/>
          <w:szCs w:val="24"/>
          <w:lang w:val="es-ES" w:eastAsia="es-ES"/>
        </w:rPr>
        <w:t>0</w:t>
      </w:r>
      <w:r w:rsidRPr="00742998">
        <w:rPr>
          <w:rFonts w:ascii="Palatino Linotype" w:eastAsia="Calibri" w:hAnsi="Palatino Linotype" w:cs="Arial"/>
          <w:b/>
          <w:color w:val="000000" w:themeColor="text1"/>
          <w:sz w:val="24"/>
          <w:szCs w:val="24"/>
          <w:lang w:val="es-ES" w:eastAsia="es-ES"/>
        </w:rPr>
        <w:t>1</w:t>
      </w:r>
      <w:r w:rsidR="007B1D4B" w:rsidRPr="00742998">
        <w:rPr>
          <w:rFonts w:ascii="Palatino Linotype" w:eastAsia="Calibri" w:hAnsi="Palatino Linotype" w:cs="Arial"/>
          <w:b/>
          <w:color w:val="000000" w:themeColor="text1"/>
          <w:sz w:val="24"/>
          <w:szCs w:val="24"/>
          <w:lang w:val="es-ES" w:eastAsia="es-ES"/>
        </w:rPr>
        <w:t>) de octubre</w:t>
      </w:r>
      <w:r w:rsidRPr="00742998">
        <w:rPr>
          <w:rFonts w:ascii="Palatino Linotype" w:eastAsia="Calibri" w:hAnsi="Palatino Linotype" w:cs="Arial"/>
          <w:b/>
          <w:color w:val="000000" w:themeColor="text1"/>
          <w:sz w:val="24"/>
          <w:szCs w:val="24"/>
          <w:lang w:val="es-ES" w:eastAsia="es-ES"/>
        </w:rPr>
        <w:t xml:space="preserve"> </w:t>
      </w:r>
      <w:r w:rsidRPr="00742998">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742998">
        <w:rPr>
          <w:rFonts w:ascii="Palatino Linotype" w:eastAsia="Calibri" w:hAnsi="Palatino Linotype" w:cs="Arial"/>
          <w:color w:val="000000" w:themeColor="text1"/>
          <w:sz w:val="24"/>
          <w:szCs w:val="24"/>
          <w:lang w:val="es-ES_tradnl" w:eastAsia="es-ES"/>
        </w:rPr>
        <w:t xml:space="preserve">vía </w:t>
      </w:r>
      <w:r w:rsidRPr="00742998">
        <w:rPr>
          <w:rFonts w:ascii="Palatino Linotype" w:eastAsia="Calibri" w:hAnsi="Palatino Linotype" w:cs="Arial"/>
          <w:color w:val="000000" w:themeColor="text1"/>
          <w:sz w:val="24"/>
          <w:szCs w:val="24"/>
          <w:lang w:val="es-ES" w:eastAsia="es-ES"/>
        </w:rPr>
        <w:t>Sistema de Acceso a la Información Mexiquense (</w:t>
      </w:r>
      <w:r w:rsidRPr="00742998">
        <w:rPr>
          <w:rFonts w:ascii="Palatino Linotype" w:eastAsia="Calibri" w:hAnsi="Palatino Linotype" w:cs="Arial"/>
          <w:b/>
          <w:color w:val="000000" w:themeColor="text1"/>
          <w:sz w:val="24"/>
          <w:szCs w:val="24"/>
          <w:lang w:val="es-ES" w:eastAsia="es-ES"/>
        </w:rPr>
        <w:t xml:space="preserve">SAIMEX), </w:t>
      </w:r>
      <w:r w:rsidRPr="00742998">
        <w:rPr>
          <w:rFonts w:ascii="Palatino Linotype" w:eastAsia="Calibri" w:hAnsi="Palatino Linotype" w:cs="Arial"/>
          <w:color w:val="000000" w:themeColor="text1"/>
          <w:sz w:val="24"/>
          <w:szCs w:val="24"/>
          <w:lang w:val="es-ES" w:eastAsia="es-ES"/>
        </w:rPr>
        <w:t xml:space="preserve">que en un plazo máximo de siete días manifiesten lo que a su derecho convengan, ofrezcan pruebas y alegatos según corresponda al caso concreto, de esta forma para que el </w:t>
      </w:r>
      <w:r w:rsidRPr="00742998">
        <w:rPr>
          <w:rFonts w:ascii="Palatino Linotype" w:eastAsia="Calibri" w:hAnsi="Palatino Linotype" w:cs="Arial"/>
          <w:b/>
          <w:color w:val="000000" w:themeColor="text1"/>
          <w:sz w:val="24"/>
          <w:szCs w:val="24"/>
          <w:lang w:val="es-ES" w:eastAsia="es-ES"/>
        </w:rPr>
        <w:t>SUJETO OBLIGADO</w:t>
      </w:r>
      <w:r w:rsidRPr="00742998">
        <w:rPr>
          <w:rFonts w:ascii="Palatino Linotype" w:eastAsia="Calibri" w:hAnsi="Palatino Linotype" w:cs="Arial"/>
          <w:color w:val="000000" w:themeColor="text1"/>
          <w:sz w:val="24"/>
          <w:szCs w:val="24"/>
          <w:lang w:val="es-ES" w:eastAsia="es-ES"/>
        </w:rPr>
        <w:t xml:space="preserve"> presente su Informe Justificado procedente.</w:t>
      </w:r>
    </w:p>
    <w:p w:rsidR="00A37304" w:rsidRPr="00742998" w:rsidRDefault="00A37304" w:rsidP="00A37304">
      <w:pPr>
        <w:contextualSpacing/>
        <w:rPr>
          <w:rFonts w:ascii="Palatino Linotype" w:eastAsia="Calibri" w:hAnsi="Palatino Linotype" w:cs="Arial"/>
          <w:color w:val="000000" w:themeColor="text1"/>
          <w:sz w:val="24"/>
          <w:szCs w:val="24"/>
          <w:lang w:val="es-ES" w:eastAsia="es-ES"/>
        </w:rPr>
      </w:pPr>
    </w:p>
    <w:p w:rsidR="00A37304" w:rsidRPr="00742998" w:rsidRDefault="00A37304" w:rsidP="00A37304">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742998">
        <w:rPr>
          <w:rFonts w:ascii="Palatino Linotype" w:eastAsia="Calibri" w:hAnsi="Palatino Linotype" w:cs="Arial"/>
          <w:color w:val="000000" w:themeColor="text1"/>
          <w:sz w:val="24"/>
          <w:szCs w:val="24"/>
          <w:lang w:val="es-ES" w:eastAsia="es-ES"/>
        </w:rPr>
        <w:lastRenderedPageBreak/>
        <w:t xml:space="preserve">En fecha </w:t>
      </w:r>
      <w:r w:rsidR="007B1D4B" w:rsidRPr="00742998">
        <w:rPr>
          <w:rFonts w:ascii="Palatino Linotype" w:eastAsia="Calibri" w:hAnsi="Palatino Linotype" w:cs="Arial"/>
          <w:b/>
          <w:color w:val="000000" w:themeColor="text1"/>
          <w:sz w:val="24"/>
          <w:szCs w:val="24"/>
          <w:lang w:val="es-ES" w:eastAsia="es-ES"/>
        </w:rPr>
        <w:t>siete (07</w:t>
      </w:r>
      <w:r w:rsidRPr="00742998">
        <w:rPr>
          <w:rFonts w:ascii="Palatino Linotype" w:eastAsia="Calibri" w:hAnsi="Palatino Linotype" w:cs="Arial"/>
          <w:b/>
          <w:color w:val="000000" w:themeColor="text1"/>
          <w:sz w:val="24"/>
          <w:szCs w:val="24"/>
          <w:lang w:val="es-ES" w:eastAsia="es-ES"/>
        </w:rPr>
        <w:t xml:space="preserve">) de </w:t>
      </w:r>
      <w:r w:rsidR="007B1D4B" w:rsidRPr="00742998">
        <w:rPr>
          <w:rFonts w:ascii="Palatino Linotype" w:eastAsia="Calibri" w:hAnsi="Palatino Linotype" w:cs="Arial"/>
          <w:b/>
          <w:color w:val="000000" w:themeColor="text1"/>
          <w:sz w:val="24"/>
          <w:szCs w:val="24"/>
          <w:lang w:val="es-ES" w:eastAsia="es-ES"/>
        </w:rPr>
        <w:t>octubre</w:t>
      </w:r>
      <w:r w:rsidRPr="00742998">
        <w:rPr>
          <w:rFonts w:ascii="Palatino Linotype" w:eastAsia="Calibri" w:hAnsi="Palatino Linotype" w:cs="Arial"/>
          <w:b/>
          <w:color w:val="000000" w:themeColor="text1"/>
          <w:sz w:val="24"/>
          <w:szCs w:val="24"/>
          <w:lang w:val="es-ES" w:eastAsia="es-ES"/>
        </w:rPr>
        <w:t xml:space="preserve"> </w:t>
      </w:r>
      <w:r w:rsidRPr="00742998">
        <w:rPr>
          <w:rFonts w:ascii="Palatino Linotype" w:eastAsia="Calibri" w:hAnsi="Palatino Linotype" w:cs="Arial"/>
          <w:color w:val="000000" w:themeColor="text1"/>
          <w:sz w:val="24"/>
          <w:szCs w:val="24"/>
          <w:lang w:val="es-ES" w:eastAsia="es-ES"/>
        </w:rPr>
        <w:t xml:space="preserve">de la presente anualidad, el </w:t>
      </w:r>
      <w:r w:rsidRPr="00742998">
        <w:rPr>
          <w:rFonts w:ascii="Palatino Linotype" w:eastAsia="Calibri" w:hAnsi="Palatino Linotype" w:cs="Arial"/>
          <w:b/>
          <w:color w:val="000000" w:themeColor="text1"/>
          <w:sz w:val="24"/>
          <w:szCs w:val="24"/>
          <w:lang w:val="es-ES" w:eastAsia="es-ES"/>
        </w:rPr>
        <w:t>SUJETO OBLIGADO</w:t>
      </w:r>
      <w:r w:rsidRPr="00742998">
        <w:rPr>
          <w:rFonts w:ascii="Palatino Linotype" w:eastAsia="Calibri" w:hAnsi="Palatino Linotype" w:cs="Arial"/>
          <w:color w:val="000000" w:themeColor="text1"/>
          <w:sz w:val="24"/>
          <w:szCs w:val="24"/>
          <w:lang w:val="es-ES" w:eastAsia="es-ES"/>
        </w:rPr>
        <w:t xml:space="preserve"> presentó su respectivo informe justificado, mismo que  fue del conocimiento del particular,</w:t>
      </w:r>
      <w:r w:rsidR="007B1D4B" w:rsidRPr="00742998">
        <w:rPr>
          <w:rFonts w:ascii="Palatino Linotype" w:eastAsia="Calibri" w:hAnsi="Palatino Linotype" w:cs="Arial"/>
          <w:color w:val="000000" w:themeColor="text1"/>
          <w:sz w:val="24"/>
          <w:szCs w:val="24"/>
          <w:lang w:val="es-ES" w:eastAsia="es-ES"/>
        </w:rPr>
        <w:t xml:space="preserve"> el cual refiere en lo medular lo siguiente:</w:t>
      </w:r>
    </w:p>
    <w:p w:rsidR="007B1D4B" w:rsidRPr="00742998" w:rsidRDefault="007B1D4B" w:rsidP="007B1D4B">
      <w:pPr>
        <w:pStyle w:val="Prrafodelista"/>
        <w:rPr>
          <w:rFonts w:ascii="Palatino Linotype" w:eastAsiaTheme="minorEastAsia" w:hAnsi="Palatino Linotype"/>
          <w:sz w:val="24"/>
          <w:szCs w:val="24"/>
          <w:lang w:val="es-ES_tradnl" w:eastAsia="es-ES"/>
        </w:rPr>
      </w:pPr>
    </w:p>
    <w:p w:rsidR="007B1D4B" w:rsidRPr="00742998" w:rsidRDefault="007B1D4B" w:rsidP="007B1D4B">
      <w:pPr>
        <w:jc w:val="both"/>
        <w:rPr>
          <w:rFonts w:ascii="Palatino Linotype" w:eastAsiaTheme="minorEastAsia" w:hAnsi="Palatino Linotype"/>
          <w:sz w:val="24"/>
          <w:szCs w:val="24"/>
          <w:lang w:eastAsia="es-ES"/>
        </w:rPr>
      </w:pPr>
      <w:r w:rsidRPr="00742998">
        <w:rPr>
          <w:rFonts w:ascii="Palatino Linotype" w:eastAsiaTheme="minorEastAsia" w:hAnsi="Palatino Linotype"/>
          <w:b/>
          <w:sz w:val="24"/>
          <w:szCs w:val="24"/>
          <w:lang w:val="es-ES_tradnl" w:eastAsia="es-ES"/>
        </w:rPr>
        <w:t>INFORME.JUSTIFICADO.RR.04033.pdf</w:t>
      </w:r>
      <w:r w:rsidRPr="00742998">
        <w:rPr>
          <w:rFonts w:ascii="Palatino Linotype" w:eastAsiaTheme="minorEastAsia" w:hAnsi="Palatino Linotype"/>
          <w:sz w:val="24"/>
          <w:szCs w:val="24"/>
          <w:lang w:val="es-ES_tradnl" w:eastAsia="es-ES"/>
        </w:rPr>
        <w:t>: escrito de fecha siete de octubre de 2020, por medio del cual se informa que l</w:t>
      </w:r>
      <w:r w:rsidRPr="00742998">
        <w:rPr>
          <w:rFonts w:ascii="Palatino Linotype" w:eastAsiaTheme="minorEastAsia" w:hAnsi="Palatino Linotype"/>
          <w:sz w:val="24"/>
          <w:szCs w:val="24"/>
          <w:lang w:eastAsia="es-ES"/>
        </w:rPr>
        <w:t>a respuesta al solicitante la cual consistió esencialmente en un análisis en donde se menciona que la misma no consistía al ejercicio del derecho humano de acceso a la información pública ya que el derecho humano es la prerrogativa de las personas para buscar, difundir, investigar, recabar y recibir información pública sin necesidad de acreditar personalidad ni interés jurídico y ya que el requerimiento de información se refiere a documentos alejados de las actividades y funciones que lleva a cabo este Instituto de Transparencia, Acceso a la Información Pública y Protección de Datos Personales del Estado de México y Municipios de conformidad con las diversas leyes de la materia.</w:t>
      </w:r>
    </w:p>
    <w:p w:rsidR="007B1D4B" w:rsidRPr="00742998" w:rsidRDefault="007B1D4B" w:rsidP="007B1D4B">
      <w:pPr>
        <w:jc w:val="both"/>
      </w:pPr>
      <w:r w:rsidRPr="00742998">
        <w:rPr>
          <w:rFonts w:ascii="Palatino Linotype" w:eastAsiaTheme="minorEastAsia" w:hAnsi="Palatino Linotype"/>
          <w:sz w:val="24"/>
          <w:szCs w:val="24"/>
          <w:lang w:eastAsia="es-ES"/>
        </w:rPr>
        <w:t xml:space="preserve">Del análisis exhaustivo de las razones o motivos de inconformidad vertidos en razón del acto impugnado que señala el recurrente, al respecto le menciono lo siguiente: el derecho de acceso a la información pública se reconoce como la prerrogativa que tienen las personas para buscar, difundir, investigar, recabar, recibir y solicitar información pública, </w:t>
      </w:r>
      <w:r w:rsidRPr="00742998">
        <w:t xml:space="preserve">sin acreditar personalidad ni interés jurídico, esto según lo reconoce el artículo 4 de la Ley en la materia, también define la información pública como aquella obtenida, adquirida, transformada, administrada o en posesión de los sujetos obligados. </w:t>
      </w:r>
      <w:r w:rsidR="00341DBF" w:rsidRPr="00742998">
        <w:t>No existe una transgresión al derecho de acceso a la información que amerite ser reparado, pues de acuerdo con la información a la que pretendía tener acceso, derivado de que el pago que se realiza a las y los Comisionados de este Instituto, se encuentra publicado, disponible para cualquier persona, como una de las obligaciones de transparencia, en la página del Sistema de Información Pública de Oficio Mexiquense (</w:t>
      </w:r>
      <w:proofErr w:type="spellStart"/>
      <w:r w:rsidR="00341DBF" w:rsidRPr="00742998">
        <w:t>Ipomex</w:t>
      </w:r>
      <w:proofErr w:type="spellEnd"/>
      <w:r w:rsidR="00341DBF" w:rsidRPr="00742998">
        <w:t xml:space="preserve">), dentro del artículo 92 fracción VIII, denominada “Remuneraciones”, una vez efectuado el pago, las cuentas y los gastos que ellos realicen no se encuentran sujetas al escrutinio público, toda vez que los recursos públicos, una vez entregados al servidor público, como parte de las remuneraciones al trabajo desempeñado, se convierte en información privada, de conformidad con la fracción XXIII, del artículo 3 de la Ley de Transparencia y Acceso a la Información Pública del Estado de México y Municipios, ya que refieren a la vida privada y/o a los datos personales, únicamente concerniente a sus titulares, alejado de lo mandatado por la Ley de Transparencia y </w:t>
      </w:r>
      <w:r w:rsidR="00341DBF" w:rsidRPr="00742998">
        <w:lastRenderedPageBreak/>
        <w:t>Acceso a la Información Pública del Estado de México y Municipios, y a consecuencia, se encuentran protegidos por la Ley de Protección de Datos Personales en Posesión de Sujetos Obligados del Estado de México y Municipios.</w:t>
      </w:r>
    </w:p>
    <w:p w:rsidR="00341DBF" w:rsidRPr="00742998" w:rsidRDefault="00341DBF" w:rsidP="007B1D4B">
      <w:pPr>
        <w:jc w:val="both"/>
        <w:rPr>
          <w:rFonts w:ascii="Palatino Linotype" w:eastAsiaTheme="minorEastAsia" w:hAnsi="Palatino Linotype"/>
          <w:sz w:val="24"/>
          <w:szCs w:val="24"/>
          <w:lang w:eastAsia="es-ES"/>
        </w:rPr>
      </w:pPr>
      <w:r w:rsidRPr="00742998">
        <w:rPr>
          <w:rFonts w:ascii="Palatino Linotype" w:eastAsiaTheme="minorEastAsia" w:hAnsi="Palatino Linotype"/>
          <w:sz w:val="24"/>
          <w:szCs w:val="24"/>
          <w:lang w:eastAsia="es-ES"/>
        </w:rPr>
        <w:t>Respecto del expediente clínico, esta Unidad de Transparencia advierte que los mismos contienen información relacionada con el estado de salud del titular de los datos personales contenidos en ellos, por lo que dicha información se ubica dentro de la definición de datos personales que establece la fracción IX del artículo 3 de la Ley de Transparencia y Acceso a la</w:t>
      </w:r>
      <w:r w:rsidR="008B470D" w:rsidRPr="00742998">
        <w:t xml:space="preserve"> i</w:t>
      </w:r>
      <w:r w:rsidR="008B470D" w:rsidRPr="00742998">
        <w:rPr>
          <w:rFonts w:ascii="Palatino Linotype" w:eastAsiaTheme="minorEastAsia" w:hAnsi="Palatino Linotype"/>
          <w:sz w:val="24"/>
          <w:szCs w:val="24"/>
          <w:lang w:eastAsia="es-ES"/>
        </w:rPr>
        <w:t>nformación Pública del Estado de México y Municipios, en relación con la fracción XI del artículo 4 de la Ley de Protección de Datos Personales en Posesión de Sujetos Obligados del Estado de México y Municipios, ya que éstas no se generaron de forma abstracta, sino en clara relación con el estado de salud del paciente y su evolución. En este sentido, este Instituto no genera, no posee, no administra tal información, de conformidad con las atribuciones y funciones establecidas en la normatividad que regula su funcionamiento, en ese sentido, es que no se informa al particular la manera en que puede consultarlo ya que, como se ha señalado, es información que únicamente interesa a su titular o representante legal, ya que son precisamente estos últimos quienes tienen derecho a solicitar su acceso o alguno de otro de los derechos ARCO, por tratarse de información personal concerniente a su persona y por lo tanto información de la que únicamente ellos pueden disponer.</w:t>
      </w:r>
    </w:p>
    <w:p w:rsidR="008B470D" w:rsidRPr="00742998" w:rsidRDefault="008B470D" w:rsidP="007B1D4B">
      <w:pPr>
        <w:jc w:val="both"/>
        <w:rPr>
          <w:rFonts w:ascii="Palatino Linotype" w:eastAsiaTheme="minorEastAsia" w:hAnsi="Palatino Linotype"/>
          <w:sz w:val="24"/>
          <w:szCs w:val="24"/>
          <w:lang w:val="es-ES_tradnl" w:eastAsia="es-ES"/>
        </w:rPr>
      </w:pPr>
      <w:r w:rsidRPr="00742998">
        <w:rPr>
          <w:rFonts w:ascii="Palatino Linotype" w:eastAsiaTheme="minorEastAsia" w:hAnsi="Palatino Linotype"/>
          <w:sz w:val="24"/>
          <w:szCs w:val="24"/>
          <w:lang w:eastAsia="es-ES"/>
        </w:rPr>
        <w:t>Ahora bien, de un análisis exhaustivo de las razones o motivos de inconformidad vertidos en el acuse de Recuso de Revisión, analizados con antelación, en razón del acto impugnado que señala el recurrente, es que, esta Unidad de Transparencia considera que el sentido de la respuesta otorgada a la solicitud de acceso a la información pública bajo el número 00765/INFOEM/IP/2020, debe seguir prevaleciendo, al haber sido emitida de manera congruente, exhaustiva y completa respecto de los requerimientos expuestos por el ahora recurrente, debiendo considerarse, por este Organismo Garante, infundados los argumentos del recurrente que propuso como motivos o razones de inconformidad, procediendo en consecuencia a CONFIRMAR la respuesta otorgada por este Sujeto Obligado.</w:t>
      </w:r>
    </w:p>
    <w:p w:rsidR="007B1D4B" w:rsidRPr="00742998" w:rsidRDefault="007B1D4B" w:rsidP="007B1D4B">
      <w:pPr>
        <w:spacing w:after="0" w:line="360" w:lineRule="auto"/>
        <w:contextualSpacing/>
        <w:jc w:val="both"/>
        <w:rPr>
          <w:rFonts w:ascii="Palatino Linotype" w:eastAsiaTheme="minorEastAsia" w:hAnsi="Palatino Linotype"/>
          <w:sz w:val="24"/>
          <w:szCs w:val="24"/>
          <w:lang w:val="es-ES_tradnl" w:eastAsia="es-ES"/>
        </w:rPr>
      </w:pPr>
    </w:p>
    <w:p w:rsidR="008B470D" w:rsidRPr="00742998" w:rsidRDefault="008B470D" w:rsidP="008B470D">
      <w:pPr>
        <w:numPr>
          <w:ilvl w:val="0"/>
          <w:numId w:val="2"/>
        </w:numPr>
        <w:spacing w:after="0" w:line="360" w:lineRule="auto"/>
        <w:ind w:left="0" w:firstLine="0"/>
        <w:contextualSpacing/>
        <w:jc w:val="both"/>
        <w:rPr>
          <w:rFonts w:ascii="Palatino Linotype" w:eastAsia="Times New Roman" w:hAnsi="Palatino Linotype" w:cs="Arial"/>
          <w:i/>
          <w:lang w:eastAsia="es-MX"/>
        </w:rPr>
      </w:pPr>
      <w:r w:rsidRPr="00742998">
        <w:rPr>
          <w:rFonts w:ascii="Palatino Linotype" w:eastAsia="MS Mincho" w:hAnsi="Palatino Linotype" w:cs="Times New Roman"/>
          <w:sz w:val="24"/>
          <w:szCs w:val="24"/>
          <w:lang w:val="es-ES" w:eastAsia="es-ES"/>
        </w:rPr>
        <w:lastRenderedPageBreak/>
        <w:t xml:space="preserve">El Comisionado Ponente decretó el cierre de instrucción mediante acuerdo de </w:t>
      </w:r>
      <w:r w:rsidRPr="00742998">
        <w:rPr>
          <w:rFonts w:ascii="Palatino Linotype" w:eastAsia="MS Mincho" w:hAnsi="Palatino Linotype" w:cs="Times New Roman"/>
          <w:sz w:val="24"/>
          <w:szCs w:val="24"/>
          <w:lang w:val="es-ES_tradnl" w:eastAsia="es-ES"/>
        </w:rPr>
        <w:t xml:space="preserve">fecha </w:t>
      </w:r>
      <w:r w:rsidRPr="00742998">
        <w:rPr>
          <w:rFonts w:ascii="Palatino Linotype" w:eastAsia="MS Mincho" w:hAnsi="Palatino Linotype" w:cs="Times New Roman"/>
          <w:b/>
          <w:sz w:val="24"/>
          <w:szCs w:val="24"/>
          <w:lang w:val="es-ES_tradnl" w:eastAsia="es-ES"/>
        </w:rPr>
        <w:t xml:space="preserve">veintiocho (28) de octubre </w:t>
      </w:r>
      <w:r w:rsidRPr="00742998">
        <w:rPr>
          <w:rFonts w:ascii="Palatino Linotype" w:eastAsia="MS Mincho" w:hAnsi="Palatino Linotype" w:cs="Times New Roman"/>
          <w:sz w:val="24"/>
          <w:szCs w:val="24"/>
          <w:lang w:val="es-ES" w:eastAsia="es-ES"/>
        </w:rPr>
        <w:t>de dos mil veinte, por lo que, ordenó turnar el expediente a resolución,</w:t>
      </w:r>
      <w:r w:rsidRPr="00742998">
        <w:rPr>
          <w:rFonts w:ascii="Palatino Linotype" w:eastAsia="MS Mincho" w:hAnsi="Palatino Linotype" w:cs="Times New Roman"/>
          <w:sz w:val="24"/>
          <w:szCs w:val="24"/>
          <w:lang w:val="es-ES_tradnl" w:eastAsia="es-ES"/>
        </w:rPr>
        <w:t xml:space="preserve"> misma que ahora se pronuncia. -</w:t>
      </w:r>
    </w:p>
    <w:p w:rsidR="008B470D" w:rsidRPr="00742998" w:rsidRDefault="008B470D" w:rsidP="008B470D">
      <w:pPr>
        <w:spacing w:after="0" w:line="360" w:lineRule="auto"/>
        <w:contextualSpacing/>
        <w:jc w:val="both"/>
        <w:rPr>
          <w:rFonts w:ascii="Palatino Linotype" w:eastAsia="Times New Roman" w:hAnsi="Palatino Linotype" w:cs="Arial"/>
          <w:i/>
          <w:lang w:eastAsia="es-MX"/>
        </w:rPr>
      </w:pPr>
    </w:p>
    <w:p w:rsidR="008B470D" w:rsidRPr="00742998" w:rsidRDefault="00A37304" w:rsidP="008B470D">
      <w:pPr>
        <w:numPr>
          <w:ilvl w:val="0"/>
          <w:numId w:val="2"/>
        </w:numPr>
        <w:spacing w:after="0" w:line="360" w:lineRule="auto"/>
        <w:ind w:left="0" w:firstLine="0"/>
        <w:contextualSpacing/>
        <w:jc w:val="both"/>
        <w:rPr>
          <w:rFonts w:ascii="Palatino Linotype" w:eastAsia="Times New Roman" w:hAnsi="Palatino Linotype" w:cs="Arial"/>
          <w:i/>
          <w:lang w:eastAsia="es-MX"/>
        </w:rPr>
      </w:pPr>
      <w:r w:rsidRPr="00742998">
        <w:rPr>
          <w:rFonts w:ascii="Palatino Linotype" w:eastAsia="MS Mincho" w:hAnsi="Palatino Linotype" w:cs="Times New Roman"/>
          <w:sz w:val="24"/>
          <w:szCs w:val="24"/>
          <w:lang w:val="es-ES_tradnl" w:eastAsia="es-ES"/>
        </w:rPr>
        <w:t xml:space="preserve">El día </w:t>
      </w:r>
      <w:r w:rsidR="008B470D" w:rsidRPr="00742998">
        <w:rPr>
          <w:rFonts w:ascii="Palatino Linotype" w:eastAsia="Calibri" w:hAnsi="Palatino Linotype" w:cs="Arial"/>
          <w:b/>
          <w:sz w:val="24"/>
          <w:szCs w:val="24"/>
          <w:lang w:val="es-ES_tradnl" w:eastAsia="es-ES"/>
        </w:rPr>
        <w:t>trece (13</w:t>
      </w:r>
      <w:r w:rsidRPr="00742998">
        <w:rPr>
          <w:rFonts w:ascii="Palatino Linotype" w:eastAsia="Calibri" w:hAnsi="Palatino Linotype" w:cs="Arial"/>
          <w:b/>
          <w:sz w:val="24"/>
          <w:szCs w:val="24"/>
          <w:lang w:val="es-ES_tradnl" w:eastAsia="es-ES"/>
        </w:rPr>
        <w:t xml:space="preserve">) </w:t>
      </w:r>
      <w:r w:rsidRPr="00742998">
        <w:rPr>
          <w:rFonts w:ascii="Palatino Linotype" w:eastAsia="MS Mincho" w:hAnsi="Palatino Linotype" w:cs="Times New Roman"/>
          <w:b/>
          <w:sz w:val="24"/>
          <w:szCs w:val="24"/>
          <w:lang w:val="es-ES_tradnl" w:eastAsia="es-ES"/>
        </w:rPr>
        <w:t xml:space="preserve">de </w:t>
      </w:r>
      <w:r w:rsidR="008B470D" w:rsidRPr="00742998">
        <w:rPr>
          <w:rFonts w:ascii="Palatino Linotype" w:eastAsia="MS Mincho" w:hAnsi="Palatino Linotype" w:cs="Times New Roman"/>
          <w:b/>
          <w:sz w:val="24"/>
          <w:szCs w:val="24"/>
          <w:lang w:val="es-ES_tradnl" w:eastAsia="es-ES"/>
        </w:rPr>
        <w:t>noviembre</w:t>
      </w:r>
      <w:r w:rsidRPr="00742998">
        <w:rPr>
          <w:rFonts w:ascii="Palatino Linotype" w:eastAsia="MS Mincho" w:hAnsi="Palatino Linotype" w:cs="Times New Roman"/>
          <w:b/>
          <w:sz w:val="24"/>
          <w:szCs w:val="24"/>
          <w:lang w:val="es-ES_tradnl" w:eastAsia="es-ES"/>
        </w:rPr>
        <w:t xml:space="preserve"> </w:t>
      </w:r>
      <w:r w:rsidRPr="00742998">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742998">
        <w:rPr>
          <w:rFonts w:ascii="Palatino Linotype" w:eastAsia="MS Mincho" w:hAnsi="Palatino Linotype" w:cs="Times New Roman"/>
          <w:sz w:val="24"/>
          <w:szCs w:val="24"/>
          <w:lang w:val="es-ES_tradnl" w:eastAsia="es-ES"/>
        </w:rPr>
        <w:br/>
        <w:t>Información Pública del Estado de México y Municipios, se acordó el</w:t>
      </w:r>
      <w:r w:rsidRPr="00742998">
        <w:rPr>
          <w:rFonts w:ascii="Palatino Linotype" w:eastAsia="MS Mincho" w:hAnsi="Palatino Linotype" w:cs="Times New Roman"/>
          <w:sz w:val="24"/>
          <w:szCs w:val="24"/>
          <w:lang w:val="es-ES_tradnl" w:eastAsia="es-ES"/>
        </w:rPr>
        <w:br/>
        <w:t>plazo de treinta (30) días para resolver los recurso de revisión, sería ampliado por un periodo de quince</w:t>
      </w:r>
      <w:r w:rsidR="008B470D" w:rsidRPr="00742998">
        <w:rPr>
          <w:rFonts w:ascii="Palatino Linotype" w:eastAsia="MS Mincho" w:hAnsi="Palatino Linotype" w:cs="Times New Roman"/>
          <w:sz w:val="24"/>
          <w:szCs w:val="24"/>
          <w:lang w:val="es-ES_tradnl" w:eastAsia="es-ES"/>
        </w:rPr>
        <w:t xml:space="preserve"> (15) días hábiles adicionales; y - - - - - - - - - - - - - - - - - - - - - - -</w:t>
      </w:r>
    </w:p>
    <w:p w:rsidR="008B470D" w:rsidRPr="00742998" w:rsidRDefault="008B470D" w:rsidP="008B470D">
      <w:pPr>
        <w:spacing w:before="240" w:after="240" w:line="360" w:lineRule="auto"/>
        <w:ind w:right="758"/>
        <w:contextualSpacing/>
        <w:jc w:val="both"/>
        <w:rPr>
          <w:rFonts w:ascii="Palatino Linotype" w:eastAsia="Times New Roman" w:hAnsi="Palatino Linotype" w:cs="Arial"/>
          <w:i/>
          <w:lang w:eastAsia="es-MX"/>
        </w:rPr>
      </w:pPr>
    </w:p>
    <w:p w:rsidR="00A37304" w:rsidRPr="00742998" w:rsidRDefault="00A37304" w:rsidP="00A37304">
      <w:pPr>
        <w:rPr>
          <w:rFonts w:ascii="Palatino Linotype" w:eastAsia="MS Mincho" w:hAnsi="Palatino Linotype" w:cs="Times New Roman"/>
          <w:sz w:val="24"/>
          <w:szCs w:val="24"/>
          <w:lang w:val="es-ES_tradnl" w:eastAsia="es-ES"/>
        </w:rPr>
      </w:pPr>
    </w:p>
    <w:p w:rsidR="00A37304" w:rsidRPr="00742998" w:rsidRDefault="00A37304" w:rsidP="00A37304">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2" w:name="_Toc56165598"/>
      <w:r w:rsidRPr="00742998">
        <w:rPr>
          <w:rFonts w:ascii="Palatino Linotype" w:eastAsia="MS Mincho" w:hAnsi="Palatino Linotype" w:cs="Times New Roman"/>
          <w:b/>
          <w:sz w:val="24"/>
          <w:szCs w:val="24"/>
          <w:lang w:val="es-ES_tradnl" w:eastAsia="es-ES"/>
        </w:rPr>
        <w:t>C O N S I D E R A N D O</w:t>
      </w:r>
      <w:bookmarkEnd w:id="2"/>
      <w:r w:rsidRPr="00742998">
        <w:rPr>
          <w:rFonts w:ascii="Palatino Linotype" w:eastAsia="MS Mincho" w:hAnsi="Palatino Linotype" w:cs="Times New Roman"/>
          <w:b/>
          <w:sz w:val="24"/>
          <w:szCs w:val="24"/>
          <w:lang w:val="es-ES_tradnl" w:eastAsia="es-ES"/>
        </w:rPr>
        <w:t xml:space="preserve"> </w:t>
      </w:r>
    </w:p>
    <w:p w:rsidR="00A37304" w:rsidRPr="00742998" w:rsidRDefault="00A37304" w:rsidP="00A37304">
      <w:pPr>
        <w:spacing w:after="0" w:line="360" w:lineRule="auto"/>
        <w:rPr>
          <w:rFonts w:ascii="Palatino Linotype" w:eastAsia="MS Mincho" w:hAnsi="Palatino Linotype" w:cs="Times New Roman"/>
          <w:sz w:val="24"/>
          <w:szCs w:val="24"/>
        </w:rPr>
      </w:pPr>
    </w:p>
    <w:p w:rsidR="00A37304" w:rsidRPr="00742998" w:rsidRDefault="00A37304" w:rsidP="00A37304">
      <w:pPr>
        <w:keepNext/>
        <w:keepLines/>
        <w:spacing w:before="40" w:after="0" w:line="360" w:lineRule="auto"/>
        <w:outlineLvl w:val="1"/>
        <w:rPr>
          <w:rFonts w:ascii="Palatino Linotype" w:eastAsia="MS Gothic" w:hAnsi="Palatino Linotype" w:cs="Times New Roman"/>
          <w:b/>
          <w:sz w:val="24"/>
          <w:szCs w:val="26"/>
        </w:rPr>
      </w:pPr>
      <w:bookmarkStart w:id="3" w:name="_Toc56165599"/>
      <w:r w:rsidRPr="00742998">
        <w:rPr>
          <w:rFonts w:ascii="Palatino Linotype" w:eastAsia="MS Gothic" w:hAnsi="Palatino Linotype" w:cs="Times New Roman"/>
          <w:b/>
          <w:sz w:val="24"/>
          <w:szCs w:val="26"/>
        </w:rPr>
        <w:t>PRIMERO. De la competencia.</w:t>
      </w:r>
      <w:bookmarkEnd w:id="3"/>
    </w:p>
    <w:p w:rsidR="00A37304" w:rsidRPr="00742998" w:rsidRDefault="00A37304" w:rsidP="00A37304">
      <w:pPr>
        <w:keepNext/>
        <w:keepLines/>
        <w:spacing w:before="40" w:after="0" w:line="360" w:lineRule="auto"/>
        <w:outlineLvl w:val="1"/>
        <w:rPr>
          <w:rFonts w:ascii="Palatino Linotype" w:eastAsia="MS Gothic" w:hAnsi="Palatino Linotype" w:cs="Times New Roman"/>
          <w:b/>
          <w:sz w:val="24"/>
          <w:szCs w:val="26"/>
        </w:rPr>
      </w:pPr>
    </w:p>
    <w:p w:rsidR="00A37304" w:rsidRPr="00742998" w:rsidRDefault="00A37304" w:rsidP="00A37304">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42998">
        <w:rPr>
          <w:rFonts w:ascii="Palatino Linotype" w:eastAsia="Calibri" w:hAnsi="Palatino Linotype" w:cs="Times New Roman"/>
          <w:b/>
          <w:sz w:val="24"/>
          <w:szCs w:val="24"/>
          <w:lang w:val="es-ES" w:eastAsia="es-ES"/>
        </w:rPr>
        <w:t>Constitución Política de los Estados Unidos Mexicanos</w:t>
      </w:r>
      <w:r w:rsidRPr="00742998">
        <w:rPr>
          <w:rFonts w:ascii="Palatino Linotype" w:eastAsia="Calibri" w:hAnsi="Palatino Linotype" w:cs="Times New Roman"/>
          <w:sz w:val="24"/>
          <w:szCs w:val="24"/>
          <w:lang w:val="es-ES" w:eastAsia="es-ES"/>
        </w:rPr>
        <w:t xml:space="preserve">; </w:t>
      </w:r>
      <w:r w:rsidRPr="00742998">
        <w:rPr>
          <w:rFonts w:ascii="Palatino Linotype" w:hAnsi="Palatino Linotype" w:cs="Arial"/>
          <w:bCs/>
          <w:color w:val="222222"/>
          <w:sz w:val="24"/>
          <w:szCs w:val="24"/>
          <w:lang w:val="es-ES"/>
        </w:rPr>
        <w:t>5, párrafos vigésimo segundo, vigésimo tercero y vigésimo cuarto fracciones IV y V </w:t>
      </w:r>
      <w:r w:rsidRPr="00742998">
        <w:rPr>
          <w:rFonts w:ascii="Palatino Linotype" w:eastAsia="Calibri" w:hAnsi="Palatino Linotype" w:cs="Times New Roman"/>
          <w:sz w:val="24"/>
          <w:szCs w:val="24"/>
          <w:lang w:val="es-ES" w:eastAsia="es-ES"/>
        </w:rPr>
        <w:t xml:space="preserve"> de la </w:t>
      </w:r>
      <w:r w:rsidRPr="00742998">
        <w:rPr>
          <w:rFonts w:ascii="Palatino Linotype" w:eastAsia="Calibri" w:hAnsi="Palatino Linotype" w:cs="Times New Roman"/>
          <w:b/>
          <w:sz w:val="24"/>
          <w:szCs w:val="24"/>
          <w:lang w:val="es-ES" w:eastAsia="es-ES"/>
        </w:rPr>
        <w:t>Constitución Política del Estado Libre y Soberano de México</w:t>
      </w:r>
      <w:r w:rsidRPr="0074299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42998">
        <w:rPr>
          <w:rFonts w:ascii="Palatino Linotype" w:eastAsia="Calibri" w:hAnsi="Palatino Linotype" w:cs="Arial"/>
          <w:sz w:val="24"/>
          <w:szCs w:val="24"/>
          <w:lang w:val="es-ES" w:eastAsia="es-ES"/>
        </w:rPr>
        <w:t xml:space="preserve">de la </w:t>
      </w:r>
      <w:r w:rsidRPr="00742998">
        <w:rPr>
          <w:rFonts w:ascii="Palatino Linotype" w:eastAsia="Calibri" w:hAnsi="Palatino Linotype" w:cs="Arial"/>
          <w:b/>
          <w:sz w:val="24"/>
          <w:szCs w:val="24"/>
          <w:lang w:val="es-ES" w:eastAsia="es-ES"/>
        </w:rPr>
        <w:t xml:space="preserve">Ley de Transparencia y Acceso a la Información Pública del Estado de México y </w:t>
      </w:r>
      <w:r w:rsidRPr="00742998">
        <w:rPr>
          <w:rFonts w:ascii="Palatino Linotype" w:eastAsia="Calibri" w:hAnsi="Palatino Linotype" w:cs="Arial"/>
          <w:b/>
          <w:sz w:val="24"/>
          <w:szCs w:val="24"/>
          <w:lang w:val="es-ES" w:eastAsia="es-ES"/>
        </w:rPr>
        <w:lastRenderedPageBreak/>
        <w:t>Municipios</w:t>
      </w:r>
      <w:r w:rsidRPr="00742998">
        <w:rPr>
          <w:rFonts w:ascii="Palatino Linotype" w:eastAsia="Calibri" w:hAnsi="Palatino Linotype" w:cs="Arial"/>
          <w:sz w:val="24"/>
          <w:szCs w:val="24"/>
          <w:lang w:val="es-ES" w:eastAsia="es-ES"/>
        </w:rPr>
        <w:t xml:space="preserve">; </w:t>
      </w:r>
      <w:r w:rsidRPr="00742998">
        <w:rPr>
          <w:rFonts w:ascii="Palatino Linotype" w:eastAsia="Calibri" w:hAnsi="Palatino Linotype" w:cs="Arial"/>
          <w:b/>
          <w:sz w:val="24"/>
          <w:szCs w:val="24"/>
          <w:lang w:val="es-ES" w:eastAsia="es-ES"/>
        </w:rPr>
        <w:t>7, 9 fracciones I y XXIV, y 11</w:t>
      </w:r>
      <w:r w:rsidRPr="00742998">
        <w:rPr>
          <w:rFonts w:ascii="Palatino Linotype" w:eastAsia="Calibri" w:hAnsi="Palatino Linotype" w:cs="Arial"/>
          <w:sz w:val="24"/>
          <w:szCs w:val="24"/>
          <w:lang w:val="es-ES" w:eastAsia="es-ES"/>
        </w:rPr>
        <w:t xml:space="preserve"> del </w:t>
      </w:r>
      <w:r w:rsidRPr="0074299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42998">
        <w:rPr>
          <w:rFonts w:ascii="Palatino Linotype" w:eastAsia="MS Mincho" w:hAnsi="Palatino Linotype" w:cs="Times New Roman"/>
          <w:sz w:val="24"/>
          <w:szCs w:val="24"/>
          <w:lang w:val="es-ES_tradnl" w:eastAsia="es-ES"/>
        </w:rPr>
        <w:t>.</w:t>
      </w:r>
    </w:p>
    <w:p w:rsidR="00A37304" w:rsidRPr="00742998" w:rsidRDefault="00A37304" w:rsidP="00A37304">
      <w:pPr>
        <w:spacing w:before="240" w:after="240" w:line="360" w:lineRule="auto"/>
        <w:contextualSpacing/>
        <w:jc w:val="both"/>
        <w:rPr>
          <w:rFonts w:ascii="Palatino Linotype" w:eastAsia="MS Mincho" w:hAnsi="Palatino Linotype" w:cs="Times New Roman"/>
          <w:sz w:val="24"/>
          <w:szCs w:val="24"/>
          <w:lang w:val="es-ES_tradnl" w:eastAsia="es-ES"/>
        </w:rPr>
      </w:pPr>
    </w:p>
    <w:p w:rsidR="00A37304" w:rsidRPr="00742998" w:rsidRDefault="00A37304" w:rsidP="00A37304">
      <w:pPr>
        <w:keepNext/>
        <w:keepLines/>
        <w:spacing w:before="40" w:after="0" w:line="360" w:lineRule="auto"/>
        <w:outlineLvl w:val="1"/>
        <w:rPr>
          <w:rFonts w:ascii="Palatino Linotype" w:eastAsia="MS Gothic" w:hAnsi="Palatino Linotype" w:cs="Times New Roman"/>
          <w:b/>
          <w:sz w:val="24"/>
          <w:szCs w:val="26"/>
        </w:rPr>
      </w:pPr>
      <w:bookmarkStart w:id="4" w:name="_Toc56165600"/>
      <w:r w:rsidRPr="00742998">
        <w:rPr>
          <w:rFonts w:ascii="Palatino Linotype" w:eastAsia="MS Gothic" w:hAnsi="Palatino Linotype" w:cs="Times New Roman"/>
          <w:b/>
          <w:sz w:val="24"/>
          <w:szCs w:val="26"/>
        </w:rPr>
        <w:t>SEGUNDO. De la oportunidad y procedencia.</w:t>
      </w:r>
      <w:bookmarkEnd w:id="4"/>
    </w:p>
    <w:p w:rsidR="00A37304" w:rsidRPr="00742998" w:rsidRDefault="00A37304" w:rsidP="00A37304">
      <w:pPr>
        <w:keepNext/>
        <w:keepLines/>
        <w:spacing w:before="40" w:after="0"/>
        <w:outlineLvl w:val="1"/>
        <w:rPr>
          <w:rFonts w:ascii="Palatino Linotype" w:eastAsia="MS Gothic" w:hAnsi="Palatino Linotype" w:cs="Times New Roman"/>
          <w:b/>
          <w:color w:val="2E74B5" w:themeColor="accent1" w:themeShade="BF"/>
          <w:sz w:val="24"/>
          <w:szCs w:val="26"/>
        </w:rPr>
      </w:pPr>
    </w:p>
    <w:p w:rsidR="00A37304" w:rsidRPr="00742998" w:rsidRDefault="00A37304" w:rsidP="00A3730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42998">
        <w:rPr>
          <w:rFonts w:ascii="Palatino Linotype" w:eastAsia="Calibri" w:hAnsi="Palatino Linotype" w:cs="Arial"/>
          <w:sz w:val="24"/>
          <w:szCs w:val="24"/>
        </w:rPr>
        <w:t xml:space="preserve">El medio de impugnación fue presentado a través del </w:t>
      </w:r>
      <w:r w:rsidRPr="00742998">
        <w:rPr>
          <w:rFonts w:ascii="Palatino Linotype" w:eastAsia="Calibri" w:hAnsi="Palatino Linotype" w:cs="Arial"/>
          <w:b/>
          <w:sz w:val="24"/>
          <w:szCs w:val="24"/>
        </w:rPr>
        <w:t>SAIMEX,</w:t>
      </w:r>
      <w:r w:rsidRPr="00742998">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42998">
        <w:rPr>
          <w:rFonts w:ascii="Palatino Linotype" w:eastAsia="Calibri" w:hAnsi="Palatino Linotype" w:cs="Arial"/>
          <w:b/>
          <w:sz w:val="24"/>
          <w:szCs w:val="24"/>
        </w:rPr>
        <w:t>SUJETO OBLIGADO</w:t>
      </w:r>
      <w:r w:rsidRPr="00742998">
        <w:rPr>
          <w:rFonts w:ascii="Palatino Linotype" w:eastAsia="Calibri" w:hAnsi="Palatino Linotype" w:cs="Arial"/>
          <w:sz w:val="24"/>
          <w:szCs w:val="24"/>
        </w:rPr>
        <w:t xml:space="preserve"> entregó la respuesta el </w:t>
      </w:r>
      <w:r w:rsidR="008B470D" w:rsidRPr="00742998">
        <w:rPr>
          <w:rFonts w:ascii="Palatino Linotype" w:eastAsia="Calibri" w:hAnsi="Palatino Linotype" w:cs="Arial"/>
          <w:b/>
          <w:sz w:val="24"/>
          <w:szCs w:val="24"/>
        </w:rPr>
        <w:t>veintitrés (23</w:t>
      </w:r>
      <w:r w:rsidRPr="00742998">
        <w:rPr>
          <w:rFonts w:ascii="Palatino Linotype" w:eastAsia="Calibri" w:hAnsi="Palatino Linotype" w:cs="Arial"/>
          <w:b/>
          <w:sz w:val="24"/>
          <w:szCs w:val="24"/>
        </w:rPr>
        <w:t xml:space="preserve">) de </w:t>
      </w:r>
      <w:r w:rsidR="008B470D" w:rsidRPr="00742998">
        <w:rPr>
          <w:rFonts w:ascii="Palatino Linotype" w:eastAsia="Calibri" w:hAnsi="Palatino Linotype" w:cs="Arial"/>
          <w:b/>
          <w:sz w:val="24"/>
          <w:szCs w:val="24"/>
        </w:rPr>
        <w:t>septiembre</w:t>
      </w:r>
      <w:r w:rsidRPr="00742998">
        <w:rPr>
          <w:rFonts w:ascii="Palatino Linotype" w:eastAsia="Calibri" w:hAnsi="Palatino Linotype" w:cs="Arial"/>
          <w:b/>
          <w:sz w:val="24"/>
          <w:szCs w:val="24"/>
        </w:rPr>
        <w:t xml:space="preserve"> </w:t>
      </w:r>
      <w:r w:rsidR="008B470D" w:rsidRPr="00742998">
        <w:rPr>
          <w:rFonts w:ascii="Palatino Linotype" w:eastAsia="Calibri" w:hAnsi="Palatino Linotype" w:cs="Arial"/>
          <w:sz w:val="24"/>
          <w:szCs w:val="24"/>
        </w:rPr>
        <w:t>de dos mil veinte</w:t>
      </w:r>
      <w:r w:rsidRPr="00742998">
        <w:rPr>
          <w:rFonts w:ascii="Palatino Linotype" w:eastAsia="Calibri" w:hAnsi="Palatino Linotype" w:cs="Arial"/>
          <w:sz w:val="24"/>
          <w:szCs w:val="24"/>
        </w:rPr>
        <w:t xml:space="preserve">, </w:t>
      </w:r>
      <w:r w:rsidRPr="00742998">
        <w:rPr>
          <w:rFonts w:ascii="Palatino Linotype" w:hAnsi="Palatino Linotype" w:cs="Arial"/>
          <w:sz w:val="24"/>
          <w:szCs w:val="24"/>
        </w:rPr>
        <w:t xml:space="preserve">de tal forma que el plazo para interponer el recurso transcurrió del día </w:t>
      </w:r>
      <w:r w:rsidR="008B470D" w:rsidRPr="00742998">
        <w:rPr>
          <w:rFonts w:ascii="Palatino Linotype" w:hAnsi="Palatino Linotype" w:cs="Arial"/>
          <w:b/>
          <w:sz w:val="24"/>
          <w:szCs w:val="24"/>
        </w:rPr>
        <w:t>veinticuatro (24</w:t>
      </w:r>
      <w:r w:rsidRPr="00742998">
        <w:rPr>
          <w:rFonts w:ascii="Palatino Linotype" w:hAnsi="Palatino Linotype" w:cs="Arial"/>
          <w:b/>
          <w:sz w:val="24"/>
          <w:szCs w:val="24"/>
        </w:rPr>
        <w:t xml:space="preserve">) de </w:t>
      </w:r>
      <w:r w:rsidR="008B470D" w:rsidRPr="00742998">
        <w:rPr>
          <w:rFonts w:ascii="Palatino Linotype" w:hAnsi="Palatino Linotype" w:cs="Arial"/>
          <w:b/>
          <w:sz w:val="24"/>
          <w:szCs w:val="24"/>
        </w:rPr>
        <w:t>septiembre</w:t>
      </w:r>
      <w:r w:rsidRPr="00742998">
        <w:rPr>
          <w:rFonts w:ascii="Palatino Linotype" w:hAnsi="Palatino Linotype" w:cs="Arial"/>
          <w:b/>
          <w:sz w:val="24"/>
          <w:szCs w:val="24"/>
        </w:rPr>
        <w:t xml:space="preserve"> al </w:t>
      </w:r>
      <w:r w:rsidR="008B470D" w:rsidRPr="00742998">
        <w:rPr>
          <w:rFonts w:ascii="Palatino Linotype" w:hAnsi="Palatino Linotype" w:cs="Arial"/>
          <w:b/>
          <w:sz w:val="24"/>
          <w:szCs w:val="24"/>
        </w:rPr>
        <w:t>catorce</w:t>
      </w:r>
      <w:r w:rsidRPr="00742998">
        <w:rPr>
          <w:rFonts w:ascii="Palatino Linotype" w:hAnsi="Palatino Linotype" w:cs="Arial"/>
          <w:b/>
          <w:sz w:val="24"/>
          <w:szCs w:val="24"/>
        </w:rPr>
        <w:t xml:space="preserve"> (</w:t>
      </w:r>
      <w:r w:rsidR="008B470D" w:rsidRPr="00742998">
        <w:rPr>
          <w:rFonts w:ascii="Palatino Linotype" w:hAnsi="Palatino Linotype" w:cs="Arial"/>
          <w:b/>
          <w:sz w:val="24"/>
          <w:szCs w:val="24"/>
        </w:rPr>
        <w:t>14</w:t>
      </w:r>
      <w:r w:rsidRPr="00742998">
        <w:rPr>
          <w:rFonts w:ascii="Palatino Linotype" w:hAnsi="Palatino Linotype" w:cs="Arial"/>
          <w:b/>
          <w:sz w:val="24"/>
          <w:szCs w:val="24"/>
        </w:rPr>
        <w:t xml:space="preserve">) de </w:t>
      </w:r>
      <w:r w:rsidR="008B470D" w:rsidRPr="00742998">
        <w:rPr>
          <w:rFonts w:ascii="Palatino Linotype" w:hAnsi="Palatino Linotype" w:cs="Arial"/>
          <w:b/>
          <w:sz w:val="24"/>
          <w:szCs w:val="24"/>
        </w:rPr>
        <w:t xml:space="preserve">octubre </w:t>
      </w:r>
      <w:r w:rsidRPr="00742998">
        <w:rPr>
          <w:rFonts w:ascii="Palatino Linotype" w:hAnsi="Palatino Linotype" w:cs="Arial"/>
          <w:sz w:val="24"/>
          <w:szCs w:val="24"/>
        </w:rPr>
        <w:t xml:space="preserve">de dos mil veinte; en consecuencia, presentó su inconformidad el día </w:t>
      </w:r>
      <w:r w:rsidR="008B470D" w:rsidRPr="00742998">
        <w:rPr>
          <w:rFonts w:ascii="Palatino Linotype" w:hAnsi="Palatino Linotype" w:cs="Arial"/>
          <w:b/>
          <w:sz w:val="24"/>
          <w:szCs w:val="24"/>
        </w:rPr>
        <w:t>veinticinco</w:t>
      </w:r>
      <w:r w:rsidRPr="00742998">
        <w:rPr>
          <w:rFonts w:ascii="Palatino Linotype" w:hAnsi="Palatino Linotype" w:cs="Arial"/>
          <w:b/>
          <w:sz w:val="24"/>
          <w:szCs w:val="24"/>
        </w:rPr>
        <w:t xml:space="preserve"> (</w:t>
      </w:r>
      <w:r w:rsidR="008B470D" w:rsidRPr="00742998">
        <w:rPr>
          <w:rFonts w:ascii="Palatino Linotype" w:hAnsi="Palatino Linotype" w:cs="Arial"/>
          <w:b/>
          <w:sz w:val="24"/>
          <w:szCs w:val="24"/>
        </w:rPr>
        <w:t>25) de septiembre</w:t>
      </w:r>
      <w:r w:rsidRPr="00742998">
        <w:rPr>
          <w:rFonts w:ascii="Palatino Linotype" w:hAnsi="Palatino Linotype" w:cs="Arial"/>
          <w:b/>
          <w:sz w:val="24"/>
          <w:szCs w:val="24"/>
        </w:rPr>
        <w:t xml:space="preserve"> </w:t>
      </w:r>
      <w:r w:rsidRPr="00742998">
        <w:rPr>
          <w:rFonts w:ascii="Palatino Linotype" w:hAnsi="Palatino Linotype" w:cs="Arial"/>
          <w:sz w:val="24"/>
          <w:szCs w:val="24"/>
        </w:rPr>
        <w:t xml:space="preserve">de dos mil veinte, éste se encuentra dentro de los márgenes temporales previstos en el artículo 178 de la </w:t>
      </w:r>
      <w:r w:rsidRPr="00742998">
        <w:rPr>
          <w:rFonts w:ascii="Palatino Linotype" w:hAnsi="Palatino Linotype" w:cs="Arial"/>
          <w:b/>
          <w:sz w:val="24"/>
          <w:szCs w:val="24"/>
        </w:rPr>
        <w:t>Ley de Transparencia y Acceso a la Información Pública del Estado de México y Municipios</w:t>
      </w:r>
      <w:r w:rsidRPr="00742998">
        <w:rPr>
          <w:rFonts w:ascii="Palatino Linotype" w:hAnsi="Palatino Linotype" w:cs="Arial"/>
          <w:sz w:val="24"/>
          <w:szCs w:val="24"/>
        </w:rPr>
        <w:t>.</w:t>
      </w:r>
    </w:p>
    <w:p w:rsidR="00A37304" w:rsidRPr="00742998" w:rsidRDefault="00A37304" w:rsidP="00A37304">
      <w:pPr>
        <w:tabs>
          <w:tab w:val="left" w:pos="0"/>
        </w:tabs>
        <w:spacing w:before="240" w:after="240" w:line="360" w:lineRule="auto"/>
        <w:contextualSpacing/>
        <w:jc w:val="both"/>
        <w:rPr>
          <w:rFonts w:ascii="Palatino Linotype" w:hAnsi="Palatino Linotype"/>
          <w:sz w:val="24"/>
          <w:szCs w:val="24"/>
        </w:rPr>
      </w:pPr>
    </w:p>
    <w:p w:rsidR="00A37304" w:rsidRPr="00742998" w:rsidRDefault="00A37304" w:rsidP="00A37304">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742998">
        <w:rPr>
          <w:rFonts w:ascii="Palatino Linotype" w:hAnsi="Palatino Linotype" w:cs="Arial"/>
          <w:sz w:val="24"/>
          <w:szCs w:val="24"/>
        </w:rPr>
        <w:t xml:space="preserve">Ahora bien, de la </w:t>
      </w:r>
      <w:r w:rsidRPr="00742998">
        <w:rPr>
          <w:rFonts w:ascii="Palatino Linotype" w:eastAsia="Calibri" w:hAnsi="Palatino Linotype" w:cs="Times New Roman"/>
          <w:sz w:val="24"/>
          <w:szCs w:val="24"/>
          <w:lang w:val="es-ES"/>
        </w:rPr>
        <w:t xml:space="preserve">revisión al expediente electrónico del </w:t>
      </w:r>
      <w:r w:rsidRPr="00742998">
        <w:rPr>
          <w:rFonts w:ascii="Palatino Linotype" w:eastAsia="Calibri" w:hAnsi="Palatino Linotype" w:cs="Times New Roman"/>
          <w:i/>
          <w:sz w:val="24"/>
          <w:szCs w:val="24"/>
          <w:lang w:val="es-ES"/>
        </w:rPr>
        <w:t>SAIMEX,</w:t>
      </w:r>
      <w:r w:rsidRPr="00742998">
        <w:rPr>
          <w:rFonts w:ascii="Palatino Linotype" w:eastAsia="Calibri" w:hAnsi="Palatino Linotype" w:cs="Times New Roman"/>
          <w:sz w:val="24"/>
          <w:szCs w:val="24"/>
          <w:lang w:val="es-ES"/>
        </w:rPr>
        <w:t xml:space="preserve"> se desprende que la parte </w:t>
      </w:r>
      <w:r w:rsidRPr="00742998">
        <w:rPr>
          <w:rFonts w:ascii="Palatino Linotype" w:eastAsia="Calibri" w:hAnsi="Palatino Linotype" w:cs="Times New Roman"/>
          <w:b/>
          <w:sz w:val="24"/>
          <w:szCs w:val="24"/>
          <w:lang w:val="es-ES"/>
        </w:rPr>
        <w:t>SOLICITANTE</w:t>
      </w:r>
      <w:r w:rsidRPr="00742998">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742998">
        <w:rPr>
          <w:rFonts w:ascii="Palatino Linotype" w:eastAsia="Calibri" w:hAnsi="Palatino Linotype" w:cs="Times New Roman"/>
          <w:b/>
          <w:sz w:val="24"/>
          <w:szCs w:val="24"/>
          <w:lang w:val="es-ES"/>
        </w:rPr>
        <w:t xml:space="preserve">no proporcionó su nombre para que sea </w:t>
      </w:r>
      <w:r w:rsidRPr="00742998">
        <w:rPr>
          <w:rFonts w:ascii="Palatino Linotype" w:eastAsia="Calibri" w:hAnsi="Palatino Linotype" w:cs="Times New Roman"/>
          <w:b/>
          <w:sz w:val="24"/>
          <w:szCs w:val="24"/>
          <w:u w:val="single"/>
          <w:lang w:val="es-ES"/>
        </w:rPr>
        <w:t>identificado</w:t>
      </w:r>
      <w:r w:rsidRPr="00742998">
        <w:rPr>
          <w:rFonts w:ascii="Palatino Linotype" w:eastAsia="Calibri" w:hAnsi="Palatino Linotype" w:cs="Times New Roman"/>
          <w:b/>
          <w:sz w:val="24"/>
          <w:szCs w:val="24"/>
          <w:lang w:val="es-ES"/>
        </w:rPr>
        <w:t>,</w:t>
      </w:r>
      <w:r w:rsidRPr="00742998">
        <w:rPr>
          <w:rFonts w:ascii="Palatino Linotype" w:eastAsia="Calibri" w:hAnsi="Palatino Linotype" w:cs="Times New Roman"/>
          <w:sz w:val="24"/>
          <w:szCs w:val="24"/>
          <w:lang w:val="es-ES"/>
        </w:rPr>
        <w:t xml:space="preserve"> ni se tiene la certeza sobre su identidad; sin embargo, es importante señalar también que </w:t>
      </w:r>
      <w:r w:rsidRPr="00742998">
        <w:rPr>
          <w:rFonts w:ascii="Palatino Linotype" w:hAnsi="Palatino Linotype" w:cs="Arial"/>
          <w:sz w:val="24"/>
          <w:szCs w:val="24"/>
        </w:rPr>
        <w:t xml:space="preserve">el nombre de los Solicitantes y Recurrentes no es un requisito </w:t>
      </w:r>
      <w:r w:rsidRPr="00742998">
        <w:rPr>
          <w:rFonts w:ascii="Palatino Linotype" w:hAnsi="Palatino Linotype" w:cs="Arial"/>
          <w:sz w:val="24"/>
          <w:szCs w:val="24"/>
        </w:rPr>
        <w:lastRenderedPageBreak/>
        <w:t>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A37304" w:rsidRPr="00742998" w:rsidRDefault="00A37304" w:rsidP="00A37304">
      <w:pPr>
        <w:tabs>
          <w:tab w:val="left" w:pos="142"/>
          <w:tab w:val="left" w:pos="284"/>
          <w:tab w:val="left" w:pos="426"/>
        </w:tabs>
        <w:spacing w:before="240" w:after="240" w:line="360" w:lineRule="auto"/>
        <w:contextualSpacing/>
        <w:jc w:val="both"/>
        <w:rPr>
          <w:rFonts w:ascii="Palatino Linotype" w:hAnsi="Palatino Linotype"/>
          <w:sz w:val="24"/>
          <w:szCs w:val="24"/>
        </w:rPr>
      </w:pPr>
    </w:p>
    <w:p w:rsidR="00A37304" w:rsidRPr="00742998" w:rsidRDefault="00A37304" w:rsidP="00A37304">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742998">
        <w:rPr>
          <w:rFonts w:ascii="Palatino Linotype" w:hAnsi="Palatino Linotype" w:cs="Arial"/>
          <w:sz w:val="24"/>
          <w:szCs w:val="24"/>
        </w:rPr>
        <w:t xml:space="preserve">Esto </w:t>
      </w:r>
      <w:r w:rsidRPr="00742998">
        <w:rPr>
          <w:rFonts w:ascii="Palatino Linotype" w:eastAsia="Calibri" w:hAnsi="Palatino Linotype" w:cs="Times New Roman"/>
          <w:sz w:val="24"/>
          <w:szCs w:val="24"/>
          <w:lang w:val="es-ES"/>
        </w:rPr>
        <w:t xml:space="preserve">es así, ya que de conformidad con los artículos 6, apartado A, fracciones III y IV de la </w:t>
      </w:r>
      <w:r w:rsidRPr="00742998">
        <w:rPr>
          <w:rFonts w:ascii="Palatino Linotype" w:eastAsia="Calibri" w:hAnsi="Palatino Linotype" w:cs="Times New Roman"/>
          <w:b/>
          <w:sz w:val="24"/>
          <w:szCs w:val="24"/>
          <w:lang w:val="es-ES"/>
        </w:rPr>
        <w:t>Constitución Política de los Estados Unidos Mexicanos</w:t>
      </w:r>
      <w:r w:rsidRPr="00742998">
        <w:rPr>
          <w:rFonts w:ascii="Palatino Linotype" w:eastAsia="Calibri" w:hAnsi="Palatino Linotype" w:cs="Times New Roman"/>
          <w:sz w:val="24"/>
          <w:szCs w:val="24"/>
          <w:lang w:val="es-ES"/>
        </w:rPr>
        <w:t xml:space="preserve">; 5, párrafos vigésimo segundo, vigésimo tercero y vigésimo cuarto fracciones III, IV y V de la </w:t>
      </w:r>
      <w:r w:rsidRPr="00742998">
        <w:rPr>
          <w:rFonts w:ascii="Palatino Linotype" w:eastAsia="Calibri" w:hAnsi="Palatino Linotype" w:cs="Times New Roman"/>
          <w:b/>
          <w:sz w:val="24"/>
          <w:szCs w:val="24"/>
          <w:lang w:val="es-ES"/>
        </w:rPr>
        <w:t>Constitución Política del Estado Libre y Soberano de México</w:t>
      </w:r>
      <w:r w:rsidRPr="00742998">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37304" w:rsidRPr="00742998" w:rsidRDefault="00A37304" w:rsidP="00A37304">
      <w:pPr>
        <w:tabs>
          <w:tab w:val="left" w:pos="142"/>
          <w:tab w:val="left" w:pos="284"/>
          <w:tab w:val="left" w:pos="426"/>
        </w:tabs>
        <w:spacing w:before="240" w:after="240" w:line="360" w:lineRule="auto"/>
        <w:contextualSpacing/>
        <w:jc w:val="both"/>
        <w:rPr>
          <w:rFonts w:ascii="Palatino Linotype" w:hAnsi="Palatino Linotype"/>
          <w:sz w:val="24"/>
          <w:szCs w:val="24"/>
        </w:rPr>
      </w:pPr>
    </w:p>
    <w:p w:rsidR="00A37304" w:rsidRPr="00742998" w:rsidRDefault="00A37304" w:rsidP="00A37304">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742998">
        <w:rPr>
          <w:rFonts w:ascii="Palatino Linotype" w:hAnsi="Palatino Linotype" w:cs="Arial"/>
          <w:sz w:val="24"/>
          <w:szCs w:val="24"/>
        </w:rPr>
        <w:t xml:space="preserve">Por </w:t>
      </w:r>
      <w:r w:rsidRPr="00742998">
        <w:rPr>
          <w:rFonts w:ascii="Palatino Linotype" w:eastAsia="Calibri" w:hAnsi="Palatino Linotype" w:cs="Arial"/>
          <w:sz w:val="24"/>
          <w:szCs w:val="24"/>
        </w:rPr>
        <w:t xml:space="preserve">lo cual, </w:t>
      </w:r>
      <w:r w:rsidRPr="00742998">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w:t>
      </w:r>
      <w:r w:rsidRPr="00742998">
        <w:rPr>
          <w:rFonts w:ascii="Palatino Linotype" w:eastAsia="Calibri" w:hAnsi="Palatino Linotype" w:cs="Times New Roman"/>
          <w:sz w:val="24"/>
          <w:szCs w:val="24"/>
          <w:lang w:val="es-ES"/>
        </w:rPr>
        <w:lastRenderedPageBreak/>
        <w:t>ser anónima o no contener un nombre que identifique al solicitante o que permita tener certeza sobre su identidad</w:t>
      </w:r>
      <w:r w:rsidRPr="00742998">
        <w:rPr>
          <w:rFonts w:ascii="Palatino Linotype" w:eastAsia="Calibri" w:hAnsi="Palatino Linotype" w:cs="Arial"/>
          <w:sz w:val="24"/>
          <w:szCs w:val="24"/>
        </w:rPr>
        <w:t>.</w:t>
      </w:r>
    </w:p>
    <w:p w:rsidR="00A37304" w:rsidRPr="00742998" w:rsidRDefault="00A37304" w:rsidP="00A37304">
      <w:pPr>
        <w:tabs>
          <w:tab w:val="left" w:pos="142"/>
          <w:tab w:val="left" w:pos="284"/>
          <w:tab w:val="left" w:pos="426"/>
        </w:tabs>
        <w:spacing w:before="240" w:after="240" w:line="360" w:lineRule="auto"/>
        <w:contextualSpacing/>
        <w:jc w:val="both"/>
        <w:rPr>
          <w:rFonts w:ascii="Palatino Linotype" w:hAnsi="Palatino Linotype"/>
          <w:sz w:val="24"/>
          <w:szCs w:val="24"/>
        </w:rPr>
      </w:pPr>
    </w:p>
    <w:p w:rsidR="00A37304" w:rsidRPr="00742998" w:rsidRDefault="00A37304" w:rsidP="00A37304">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742998">
        <w:rPr>
          <w:rFonts w:ascii="Palatino Linotype" w:hAnsi="Palatino Linotype" w:cs="Arial"/>
          <w:sz w:val="24"/>
          <w:szCs w:val="24"/>
        </w:rPr>
        <w:t xml:space="preserve">Asimismo, </w:t>
      </w:r>
      <w:r w:rsidRPr="00742998">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A37304" w:rsidRPr="00742998" w:rsidRDefault="00A37304" w:rsidP="00A37304">
      <w:pPr>
        <w:tabs>
          <w:tab w:val="left" w:pos="142"/>
          <w:tab w:val="left" w:pos="284"/>
          <w:tab w:val="left" w:pos="426"/>
        </w:tabs>
        <w:spacing w:before="240" w:after="240" w:line="360" w:lineRule="auto"/>
        <w:contextualSpacing/>
        <w:jc w:val="both"/>
        <w:rPr>
          <w:rFonts w:ascii="Palatino Linotype" w:hAnsi="Palatino Linotype"/>
          <w:sz w:val="24"/>
          <w:szCs w:val="24"/>
        </w:rPr>
      </w:pPr>
    </w:p>
    <w:p w:rsidR="00A37304" w:rsidRPr="00742998" w:rsidRDefault="00A37304" w:rsidP="00A37304">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742998">
        <w:rPr>
          <w:rFonts w:ascii="Palatino Linotype" w:hAnsi="Palatino Linotype" w:cs="Arial"/>
          <w:sz w:val="24"/>
          <w:szCs w:val="24"/>
        </w:rPr>
        <w:t xml:space="preserve">De </w:t>
      </w:r>
      <w:r w:rsidRPr="00742998">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A37304" w:rsidRPr="00742998" w:rsidRDefault="00A37304" w:rsidP="00A37304">
      <w:pPr>
        <w:contextualSpacing/>
        <w:rPr>
          <w:rFonts w:ascii="Palatino Linotype" w:hAnsi="Palatino Linotype" w:cs="Arial"/>
          <w:sz w:val="24"/>
          <w:szCs w:val="24"/>
        </w:rPr>
      </w:pPr>
    </w:p>
    <w:p w:rsidR="00A37304" w:rsidRPr="00742998" w:rsidRDefault="00A37304" w:rsidP="00A37304">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742998">
        <w:rPr>
          <w:rFonts w:ascii="Palatino Linotype" w:hAnsi="Palatino Linotype" w:cs="Arial"/>
          <w:sz w:val="24"/>
          <w:szCs w:val="24"/>
        </w:rPr>
        <w:t xml:space="preserve">En ese </w:t>
      </w:r>
      <w:r w:rsidRPr="00742998">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A37304" w:rsidRPr="00742998" w:rsidRDefault="00A37304" w:rsidP="00A37304">
      <w:pPr>
        <w:pStyle w:val="Prrafodelista"/>
        <w:rPr>
          <w:rFonts w:ascii="Palatino Linotype" w:hAnsi="Palatino Linotype" w:cs="Arial"/>
          <w:sz w:val="24"/>
          <w:szCs w:val="24"/>
        </w:rPr>
      </w:pPr>
    </w:p>
    <w:p w:rsidR="00A37304" w:rsidRPr="00742998" w:rsidRDefault="00A37304" w:rsidP="00A37304">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742998">
        <w:rPr>
          <w:rFonts w:ascii="Palatino Linotype" w:eastAsia="Times New Roman" w:hAnsi="Palatino Linotype" w:cs="Arial"/>
          <w:sz w:val="24"/>
          <w:szCs w:val="24"/>
          <w:lang w:val="es-ES"/>
        </w:rPr>
        <w:t xml:space="preserve">El nombre del </w:t>
      </w:r>
      <w:r w:rsidRPr="00742998">
        <w:rPr>
          <w:rFonts w:ascii="Palatino Linotype" w:eastAsia="Times New Roman" w:hAnsi="Palatino Linotype" w:cs="Arial"/>
          <w:b/>
          <w:sz w:val="24"/>
          <w:szCs w:val="24"/>
          <w:lang w:val="es-ES"/>
        </w:rPr>
        <w:t>SOLICITANTE</w:t>
      </w:r>
      <w:r w:rsidRPr="00742998">
        <w:rPr>
          <w:rFonts w:ascii="Palatino Linotype" w:eastAsia="Times New Roman" w:hAnsi="Palatino Linotype" w:cs="Arial"/>
          <w:sz w:val="24"/>
          <w:szCs w:val="24"/>
          <w:lang w:val="es-ES"/>
        </w:rPr>
        <w:t xml:space="preserve"> y subsecuente </w:t>
      </w:r>
      <w:r w:rsidRPr="00742998">
        <w:rPr>
          <w:rFonts w:ascii="Palatino Linotype" w:eastAsia="Times New Roman" w:hAnsi="Palatino Linotype" w:cs="Arial"/>
          <w:b/>
          <w:sz w:val="24"/>
          <w:szCs w:val="24"/>
          <w:lang w:val="es-ES"/>
        </w:rPr>
        <w:t>RECURRENTE</w:t>
      </w:r>
      <w:r w:rsidRPr="00742998">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742998">
        <w:rPr>
          <w:rFonts w:ascii="Palatino Linotype" w:eastAsia="Times New Roman" w:hAnsi="Palatino Linotype" w:cs="Arial"/>
          <w:sz w:val="24"/>
          <w:szCs w:val="24"/>
          <w:lang w:val="es-ES"/>
        </w:rPr>
        <w:t>Resolutor</w:t>
      </w:r>
      <w:proofErr w:type="spellEnd"/>
      <w:r w:rsidRPr="00742998">
        <w:rPr>
          <w:rFonts w:ascii="Palatino Linotype" w:eastAsia="Times New Roman" w:hAnsi="Palatino Linotype" w:cs="Arial"/>
          <w:sz w:val="24"/>
          <w:szCs w:val="24"/>
          <w:lang w:val="es-ES"/>
        </w:rPr>
        <w:t>.</w:t>
      </w:r>
    </w:p>
    <w:p w:rsidR="00A37304" w:rsidRPr="00742998" w:rsidRDefault="00A37304" w:rsidP="00A37304">
      <w:pPr>
        <w:spacing w:after="0" w:line="240" w:lineRule="auto"/>
        <w:contextualSpacing/>
        <w:rPr>
          <w:rFonts w:ascii="Palatino Linotype" w:eastAsiaTheme="minorEastAsia" w:hAnsi="Palatino Linotype"/>
          <w:sz w:val="24"/>
          <w:szCs w:val="24"/>
          <w:lang w:val="es-ES_tradnl" w:eastAsia="es-ES"/>
        </w:rPr>
      </w:pPr>
    </w:p>
    <w:p w:rsidR="00A37304" w:rsidRPr="00742998" w:rsidRDefault="00A37304" w:rsidP="00A3730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742998">
        <w:rPr>
          <w:rFonts w:ascii="Palatino Linotype" w:eastAsia="Calibri" w:hAnsi="Palatino Linotype" w:cs="Arial"/>
          <w:sz w:val="24"/>
          <w:szCs w:val="24"/>
          <w:lang w:val="es-ES_tradnl" w:eastAsia="es-ES"/>
        </w:rPr>
        <w:lastRenderedPageBreak/>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A37304" w:rsidRPr="00742998" w:rsidRDefault="00A37304" w:rsidP="00A37304">
      <w:pPr>
        <w:contextualSpacing/>
        <w:rPr>
          <w:rFonts w:ascii="Palatino Linotype" w:hAnsi="Palatino Linotype"/>
          <w:sz w:val="24"/>
          <w:szCs w:val="24"/>
        </w:rPr>
      </w:pPr>
    </w:p>
    <w:p w:rsidR="00A37304" w:rsidRPr="00742998" w:rsidRDefault="008B470D" w:rsidP="00A37304">
      <w:pPr>
        <w:keepNext/>
        <w:keepLines/>
        <w:spacing w:before="240" w:after="0"/>
        <w:outlineLvl w:val="0"/>
        <w:rPr>
          <w:rFonts w:ascii="Palatino Linotype" w:eastAsia="MS Mincho" w:hAnsi="Palatino Linotype" w:cs="Times New Roman"/>
          <w:b/>
          <w:sz w:val="24"/>
          <w:szCs w:val="24"/>
          <w:lang w:val="es-ES_tradnl" w:eastAsia="es-ES"/>
        </w:rPr>
      </w:pPr>
      <w:bookmarkStart w:id="5" w:name="_Toc56165601"/>
      <w:r w:rsidRPr="00742998">
        <w:rPr>
          <w:rFonts w:ascii="Palatino Linotype" w:eastAsia="MS Mincho" w:hAnsi="Palatino Linotype" w:cstheme="majorBidi"/>
          <w:b/>
          <w:sz w:val="24"/>
          <w:szCs w:val="24"/>
          <w:lang w:val="es-ES_tradnl" w:eastAsia="es-ES"/>
        </w:rPr>
        <w:t>TERCERO. Del planteamiento de</w:t>
      </w:r>
      <w:r w:rsidR="00A37304" w:rsidRPr="00742998">
        <w:rPr>
          <w:rFonts w:ascii="Palatino Linotype" w:eastAsia="MS Mincho" w:hAnsi="Palatino Linotype" w:cstheme="majorBidi"/>
          <w:b/>
          <w:sz w:val="24"/>
          <w:szCs w:val="24"/>
          <w:lang w:val="es-ES_tradnl" w:eastAsia="es-ES"/>
        </w:rPr>
        <w:t xml:space="preserve"> </w:t>
      </w:r>
      <w:r w:rsidRPr="00742998">
        <w:rPr>
          <w:rFonts w:ascii="Palatino Linotype" w:eastAsia="MS Mincho" w:hAnsi="Palatino Linotype" w:cstheme="majorBidi"/>
          <w:b/>
          <w:sz w:val="24"/>
          <w:szCs w:val="24"/>
          <w:lang w:val="es-ES_tradnl" w:eastAsia="es-ES"/>
        </w:rPr>
        <w:t>la Litis.</w:t>
      </w:r>
      <w:bookmarkEnd w:id="5"/>
    </w:p>
    <w:p w:rsidR="00A37304" w:rsidRPr="00742998" w:rsidRDefault="00A37304" w:rsidP="00A37304">
      <w:pPr>
        <w:spacing w:after="0" w:line="360" w:lineRule="auto"/>
        <w:contextualSpacing/>
        <w:jc w:val="both"/>
        <w:rPr>
          <w:rFonts w:ascii="Palatino Linotype" w:eastAsia="MS Mincho" w:hAnsi="Palatino Linotype" w:cs="Times New Roman"/>
          <w:sz w:val="24"/>
          <w:szCs w:val="24"/>
          <w:lang w:val="es-ES_tradnl" w:eastAsia="es-ES"/>
        </w:rPr>
      </w:pPr>
    </w:p>
    <w:p w:rsidR="008B470D" w:rsidRPr="00742998" w:rsidRDefault="008B470D" w:rsidP="004263E9">
      <w:pPr>
        <w:numPr>
          <w:ilvl w:val="0"/>
          <w:numId w:val="2"/>
        </w:numPr>
        <w:spacing w:after="0" w:line="360" w:lineRule="auto"/>
        <w:ind w:left="0" w:firstLine="0"/>
        <w:contextualSpacing/>
        <w:jc w:val="both"/>
        <w:rPr>
          <w:rFonts w:ascii="Palatino Linotype" w:eastAsia="MS Mincho" w:hAnsi="Palatino Linotype" w:cs="Times New Roman"/>
          <w:bCs/>
          <w:sz w:val="24"/>
          <w:szCs w:val="24"/>
          <w:lang w:val="es-ES_tradnl" w:eastAsia="es-ES"/>
        </w:rPr>
      </w:pPr>
      <w:r w:rsidRPr="00742998">
        <w:rPr>
          <w:rFonts w:ascii="Palatino Linotype" w:eastAsia="MS Mincho" w:hAnsi="Palatino Linotype" w:cs="Times New Roman"/>
          <w:bCs/>
          <w:sz w:val="24"/>
          <w:szCs w:val="24"/>
          <w:lang w:val="es-ES_tradnl" w:eastAsia="es-ES"/>
        </w:rPr>
        <w:t xml:space="preserve">El recurrente solicitó al </w:t>
      </w:r>
      <w:r w:rsidRPr="00742998">
        <w:rPr>
          <w:rFonts w:ascii="Palatino Linotype" w:eastAsia="MS Mincho" w:hAnsi="Palatino Linotype" w:cs="Times New Roman"/>
          <w:b/>
          <w:bCs/>
          <w:sz w:val="24"/>
          <w:szCs w:val="24"/>
          <w:lang w:val="es-ES_tradnl" w:eastAsia="es-ES"/>
        </w:rPr>
        <w:t xml:space="preserve">SUJETO OBLIGADO </w:t>
      </w:r>
      <w:r w:rsidRPr="00742998">
        <w:rPr>
          <w:rFonts w:ascii="Palatino Linotype" w:eastAsia="MS Mincho" w:hAnsi="Palatino Linotype" w:cs="Times New Roman"/>
          <w:bCs/>
          <w:sz w:val="24"/>
          <w:szCs w:val="24"/>
          <w:lang w:val="es-ES_tradnl" w:eastAsia="es-ES"/>
        </w:rPr>
        <w:t xml:space="preserve">información correspondiente </w:t>
      </w:r>
      <w:r w:rsidR="00B77B68" w:rsidRPr="00742998">
        <w:rPr>
          <w:rFonts w:ascii="Palatino Linotype" w:eastAsia="MS Mincho" w:hAnsi="Palatino Linotype" w:cs="Times New Roman"/>
          <w:bCs/>
          <w:sz w:val="24"/>
          <w:szCs w:val="24"/>
          <w:lang w:val="es-ES_tradnl" w:eastAsia="es-ES"/>
        </w:rPr>
        <w:t>al salario de los comisionados en que los gastan y el expediente clínico de cada uno; en respuesta se informó que la solicitud no es atendible en razón de que no corresponde al ejercicio del derecho de acceso a la información, sino a manifestaciones subjetivas; situación por la cual el</w:t>
      </w:r>
      <w:r w:rsidRPr="00742998">
        <w:rPr>
          <w:rFonts w:ascii="Palatino Linotype" w:eastAsia="MS Mincho" w:hAnsi="Palatino Linotype" w:cs="Times New Roman"/>
          <w:bCs/>
          <w:sz w:val="24"/>
          <w:szCs w:val="24"/>
          <w:lang w:val="es-ES_tradnl" w:eastAsia="es-ES"/>
        </w:rPr>
        <w:t xml:space="preserve"> recurrente se inconformó por el cambio de modalidad.</w:t>
      </w:r>
    </w:p>
    <w:p w:rsidR="008B470D" w:rsidRPr="00742998" w:rsidRDefault="008B470D" w:rsidP="008B470D">
      <w:pPr>
        <w:spacing w:after="0" w:line="360" w:lineRule="auto"/>
        <w:contextualSpacing/>
        <w:jc w:val="both"/>
        <w:rPr>
          <w:rFonts w:ascii="Palatino Linotype" w:eastAsia="MS Mincho" w:hAnsi="Palatino Linotype" w:cs="Times New Roman"/>
          <w:bCs/>
          <w:sz w:val="24"/>
          <w:szCs w:val="24"/>
          <w:lang w:val="es-ES_tradnl" w:eastAsia="es-ES"/>
        </w:rPr>
      </w:pPr>
    </w:p>
    <w:p w:rsidR="008B470D" w:rsidRPr="00742998" w:rsidRDefault="008B470D" w:rsidP="008B470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En consecuencia, la Litis del presente asunto, corresponde en verificar si la información contenida en respuesta se deja colmado el derecho acceso a la información del particular, de no ser el caso se ordenara la reparación de la afectación en que se haya incurrido.</w:t>
      </w:r>
    </w:p>
    <w:p w:rsidR="008B470D" w:rsidRPr="00742998" w:rsidRDefault="008B470D" w:rsidP="008B470D">
      <w:pPr>
        <w:spacing w:after="0" w:line="360" w:lineRule="auto"/>
        <w:contextualSpacing/>
        <w:jc w:val="both"/>
        <w:rPr>
          <w:rFonts w:ascii="Palatino Linotype" w:eastAsia="MS Mincho" w:hAnsi="Palatino Linotype" w:cs="Times New Roman"/>
          <w:sz w:val="24"/>
          <w:szCs w:val="24"/>
          <w:lang w:val="es-ES_tradnl" w:eastAsia="es-ES"/>
        </w:rPr>
      </w:pPr>
    </w:p>
    <w:p w:rsidR="008B470D" w:rsidRPr="00742998" w:rsidRDefault="008B470D" w:rsidP="008B470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 xml:space="preserve">Por lo anterior, en el presente recurso de revisión del que se trata se circunscribe en determinar si se actualizan las hipótesis previstas en </w:t>
      </w:r>
      <w:proofErr w:type="gramStart"/>
      <w:r w:rsidRPr="00742998">
        <w:rPr>
          <w:rFonts w:ascii="Palatino Linotype" w:eastAsia="MS Mincho" w:hAnsi="Palatino Linotype" w:cs="Times New Roman"/>
          <w:sz w:val="24"/>
          <w:szCs w:val="24"/>
          <w:lang w:val="es-ES_tradnl" w:eastAsia="es-ES"/>
        </w:rPr>
        <w:t xml:space="preserve">las </w:t>
      </w:r>
      <w:r w:rsidR="00B77B68" w:rsidRPr="00742998">
        <w:rPr>
          <w:rFonts w:ascii="Palatino Linotype" w:eastAsia="MS Mincho" w:hAnsi="Palatino Linotype" w:cs="Times New Roman"/>
          <w:b/>
          <w:sz w:val="24"/>
          <w:szCs w:val="24"/>
          <w:lang w:val="es-ES_tradnl" w:eastAsia="es-ES"/>
        </w:rPr>
        <w:t>fracción</w:t>
      </w:r>
      <w:proofErr w:type="gramEnd"/>
      <w:r w:rsidRPr="00742998">
        <w:rPr>
          <w:rFonts w:ascii="Palatino Linotype" w:eastAsia="MS Mincho" w:hAnsi="Palatino Linotype" w:cs="Times New Roman"/>
          <w:b/>
          <w:sz w:val="24"/>
          <w:szCs w:val="24"/>
          <w:lang w:val="es-ES_tradnl" w:eastAsia="es-ES"/>
        </w:rPr>
        <w:t xml:space="preserve"> I, del artículo 179 de la Ley de Transparencia y Acceso a la Información Pública del Estado de México y Municipio</w:t>
      </w:r>
      <w:r w:rsidRPr="00742998">
        <w:rPr>
          <w:rFonts w:ascii="Palatino Linotype" w:eastAsia="MS Mincho" w:hAnsi="Palatino Linotype" w:cs="Times New Roman"/>
          <w:sz w:val="24"/>
          <w:szCs w:val="24"/>
          <w:lang w:val="es-ES_tradnl" w:eastAsia="es-ES"/>
        </w:rPr>
        <w:t>.</w:t>
      </w:r>
    </w:p>
    <w:p w:rsidR="008B470D" w:rsidRPr="00742998" w:rsidRDefault="008B470D" w:rsidP="008B470D">
      <w:pPr>
        <w:spacing w:after="0" w:line="360" w:lineRule="auto"/>
        <w:contextualSpacing/>
        <w:jc w:val="both"/>
        <w:rPr>
          <w:rFonts w:ascii="Palatino Linotype" w:eastAsia="MS Mincho" w:hAnsi="Palatino Linotype" w:cs="Times New Roman"/>
          <w:sz w:val="24"/>
          <w:szCs w:val="24"/>
          <w:lang w:val="es-ES_tradnl" w:eastAsia="es-ES"/>
        </w:rPr>
      </w:pPr>
    </w:p>
    <w:p w:rsidR="008B470D" w:rsidRPr="00742998" w:rsidRDefault="008B470D" w:rsidP="00B77B68">
      <w:pPr>
        <w:spacing w:after="0" w:line="360" w:lineRule="auto"/>
        <w:ind w:left="567"/>
        <w:contextualSpacing/>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 xml:space="preserve">Artículo 179. El recurso de revisión es un medio de protección que la Ley otorga a los particulares, para hacer valer su derecho de acceso a la información pública, y procederá en contra de las siguientes causas: </w:t>
      </w:r>
    </w:p>
    <w:p w:rsidR="008B470D" w:rsidRPr="00742998" w:rsidRDefault="008B470D" w:rsidP="00B77B68">
      <w:pPr>
        <w:spacing w:after="0" w:line="360" w:lineRule="auto"/>
        <w:ind w:left="567"/>
        <w:contextualSpacing/>
        <w:jc w:val="both"/>
        <w:rPr>
          <w:rFonts w:ascii="Palatino Linotype" w:eastAsia="MS Mincho" w:hAnsi="Palatino Linotype" w:cs="Times New Roman"/>
          <w:i/>
          <w:sz w:val="24"/>
          <w:szCs w:val="24"/>
          <w:lang w:val="es-ES_tradnl" w:eastAsia="es-ES"/>
        </w:rPr>
      </w:pPr>
    </w:p>
    <w:p w:rsidR="008B470D" w:rsidRPr="00742998" w:rsidRDefault="008B470D" w:rsidP="00B77B68">
      <w:pPr>
        <w:pStyle w:val="Prrafodelista"/>
        <w:numPr>
          <w:ilvl w:val="0"/>
          <w:numId w:val="6"/>
        </w:numPr>
        <w:spacing w:after="0" w:line="360" w:lineRule="auto"/>
        <w:ind w:left="567" w:firstLine="0"/>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b/>
          <w:i/>
          <w:sz w:val="24"/>
          <w:szCs w:val="24"/>
          <w:lang w:val="es-ES_tradnl" w:eastAsia="es-ES"/>
        </w:rPr>
        <w:t>La negativa a la información solicitada</w:t>
      </w:r>
      <w:r w:rsidRPr="00742998">
        <w:rPr>
          <w:rFonts w:ascii="Palatino Linotype" w:eastAsia="MS Mincho" w:hAnsi="Palatino Linotype" w:cs="Times New Roman"/>
          <w:i/>
          <w:sz w:val="24"/>
          <w:szCs w:val="24"/>
          <w:lang w:val="es-ES_tradnl" w:eastAsia="es-ES"/>
        </w:rPr>
        <w:t>;</w:t>
      </w:r>
    </w:p>
    <w:p w:rsidR="008B470D" w:rsidRPr="00742998" w:rsidRDefault="00B77B68" w:rsidP="00B77B68">
      <w:pPr>
        <w:spacing w:after="0" w:line="360" w:lineRule="auto"/>
        <w:ind w:left="567"/>
        <w:contextualSpacing/>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 xml:space="preserve"> II a la</w:t>
      </w:r>
      <w:r w:rsidR="008B470D" w:rsidRPr="00742998">
        <w:rPr>
          <w:rFonts w:ascii="Palatino Linotype" w:eastAsia="MS Mincho" w:hAnsi="Palatino Linotype" w:cs="Times New Roman"/>
          <w:i/>
          <w:sz w:val="24"/>
          <w:szCs w:val="24"/>
          <w:lang w:val="es-ES_tradnl" w:eastAsia="es-ES"/>
        </w:rPr>
        <w:t xml:space="preserve"> XIV…</w:t>
      </w:r>
    </w:p>
    <w:p w:rsidR="008B470D" w:rsidRPr="00742998" w:rsidRDefault="008B470D" w:rsidP="00B77B68">
      <w:pPr>
        <w:spacing w:after="0" w:line="360" w:lineRule="auto"/>
        <w:contextualSpacing/>
        <w:jc w:val="both"/>
        <w:rPr>
          <w:rFonts w:ascii="Palatino Linotype" w:eastAsia="MS Mincho" w:hAnsi="Palatino Linotype" w:cs="Times New Roman"/>
          <w:sz w:val="24"/>
          <w:szCs w:val="24"/>
          <w:lang w:val="es-ES_tradnl" w:eastAsia="es-ES"/>
        </w:rPr>
      </w:pPr>
    </w:p>
    <w:p w:rsidR="00B77B68" w:rsidRPr="00742998" w:rsidRDefault="00B77B68" w:rsidP="00B77B68">
      <w:pPr>
        <w:pStyle w:val="Ttulo1"/>
        <w:rPr>
          <w:rFonts w:ascii="Palatino Linotype" w:eastAsia="MS Mincho" w:hAnsi="Palatino Linotype" w:cs="Times New Roman"/>
          <w:b/>
          <w:color w:val="auto"/>
          <w:sz w:val="24"/>
          <w:szCs w:val="24"/>
          <w:lang w:eastAsia="es-ES"/>
        </w:rPr>
      </w:pPr>
      <w:bookmarkStart w:id="6" w:name="_Toc52401414"/>
      <w:bookmarkStart w:id="7" w:name="_Toc56165602"/>
      <w:r w:rsidRPr="00742998">
        <w:rPr>
          <w:rFonts w:ascii="Palatino Linotype" w:eastAsia="MS Mincho" w:hAnsi="Palatino Linotype" w:cs="Times New Roman"/>
          <w:b/>
          <w:color w:val="auto"/>
          <w:sz w:val="24"/>
          <w:szCs w:val="24"/>
          <w:lang w:eastAsia="es-ES"/>
        </w:rPr>
        <w:t>CUARTO. Estudio y resolución del asunto</w:t>
      </w:r>
      <w:bookmarkEnd w:id="6"/>
      <w:bookmarkEnd w:id="7"/>
    </w:p>
    <w:p w:rsidR="008B470D" w:rsidRPr="00742998" w:rsidRDefault="008B470D" w:rsidP="00B77B68">
      <w:pPr>
        <w:spacing w:after="0" w:line="360" w:lineRule="auto"/>
        <w:contextualSpacing/>
        <w:jc w:val="both"/>
        <w:rPr>
          <w:rFonts w:ascii="Palatino Linotype" w:eastAsia="MS Mincho" w:hAnsi="Palatino Linotype" w:cs="Times New Roman"/>
          <w:sz w:val="24"/>
          <w:szCs w:val="24"/>
          <w:lang w:val="es-ES_tradnl" w:eastAsia="es-ES"/>
        </w:rPr>
      </w:pPr>
    </w:p>
    <w:p w:rsidR="00B77B68" w:rsidRPr="00742998" w:rsidRDefault="00B77B68" w:rsidP="00B77B6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En términos generales, la Ley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B77B68" w:rsidRPr="00742998" w:rsidRDefault="00B77B68" w:rsidP="00B77B68">
      <w:pPr>
        <w:spacing w:after="0" w:line="360" w:lineRule="auto"/>
        <w:ind w:left="142"/>
        <w:contextualSpacing/>
        <w:jc w:val="both"/>
        <w:rPr>
          <w:rFonts w:ascii="Palatino Linotype" w:eastAsia="MS Mincho" w:hAnsi="Palatino Linotype" w:cs="Times New Roman"/>
          <w:sz w:val="24"/>
          <w:szCs w:val="24"/>
          <w:lang w:val="es-ES_tradnl" w:eastAsia="es-ES"/>
        </w:rPr>
      </w:pPr>
    </w:p>
    <w:p w:rsidR="00B77B68" w:rsidRPr="00742998" w:rsidRDefault="00B77B68" w:rsidP="00B77B6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77B68" w:rsidRPr="00742998" w:rsidRDefault="00B77B68" w:rsidP="00B77B68">
      <w:pPr>
        <w:spacing w:after="0" w:line="360" w:lineRule="auto"/>
        <w:contextualSpacing/>
        <w:jc w:val="both"/>
        <w:rPr>
          <w:rFonts w:ascii="Palatino Linotype" w:eastAsia="MS Mincho" w:hAnsi="Palatino Linotype" w:cs="Times New Roman"/>
          <w:sz w:val="24"/>
          <w:szCs w:val="24"/>
          <w:lang w:val="es-ES_tradnl" w:eastAsia="es-ES"/>
        </w:rPr>
      </w:pPr>
    </w:p>
    <w:p w:rsidR="00B77B68" w:rsidRPr="00742998" w:rsidRDefault="00B77B68" w:rsidP="00B77B6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B77B68" w:rsidRPr="00742998" w:rsidRDefault="00B77B68" w:rsidP="00B77B68">
      <w:pPr>
        <w:spacing w:after="0" w:line="360" w:lineRule="auto"/>
        <w:contextualSpacing/>
        <w:jc w:val="both"/>
        <w:rPr>
          <w:rFonts w:ascii="Palatino Linotype" w:eastAsia="MS Mincho" w:hAnsi="Palatino Linotype" w:cs="Times New Roman"/>
          <w:sz w:val="24"/>
          <w:szCs w:val="24"/>
          <w:lang w:val="es-ES_tradnl" w:eastAsia="es-ES"/>
        </w:rPr>
      </w:pPr>
    </w:p>
    <w:p w:rsidR="00B77B68" w:rsidRPr="00742998" w:rsidRDefault="00B77B68" w:rsidP="00B77B68">
      <w:pPr>
        <w:numPr>
          <w:ilvl w:val="0"/>
          <w:numId w:val="2"/>
        </w:numPr>
        <w:spacing w:after="0" w:line="360" w:lineRule="auto"/>
        <w:ind w:left="0" w:firstLine="0"/>
        <w:contextualSpacing/>
        <w:jc w:val="both"/>
        <w:rPr>
          <w:rFonts w:ascii="Palatino Linotype" w:eastAsia="MS Mincho" w:hAnsi="Palatino Linotype" w:cs="Times New Roman"/>
          <w:bCs/>
          <w:sz w:val="24"/>
          <w:szCs w:val="24"/>
          <w:lang w:val="es-ES_tradnl" w:eastAsia="es-ES"/>
        </w:rPr>
      </w:pPr>
      <w:r w:rsidRPr="00742998">
        <w:rPr>
          <w:rFonts w:ascii="Palatino Linotype" w:eastAsia="MS Mincho" w:hAnsi="Palatino Linotype" w:cs="Times New Roman"/>
          <w:sz w:val="24"/>
          <w:szCs w:val="24"/>
          <w:lang w:val="es-ES_tradnl" w:eastAsia="es-ES"/>
        </w:rPr>
        <w:t>En ese sentido, no hay que perder de vista el principio de máxima publicidad establecido en el artículo 8 de la Ley de Transparencia y Acceso a la Información Pública del Estado de México y Municipios que señala:</w:t>
      </w:r>
    </w:p>
    <w:p w:rsidR="00B77B68" w:rsidRPr="00742998" w:rsidRDefault="00B77B68" w:rsidP="00B77B68">
      <w:pPr>
        <w:spacing w:after="0" w:line="360" w:lineRule="auto"/>
        <w:contextualSpacing/>
        <w:jc w:val="both"/>
        <w:rPr>
          <w:rFonts w:ascii="Palatino Linotype" w:eastAsia="MS Mincho" w:hAnsi="Palatino Linotype" w:cs="Times New Roman"/>
          <w:bCs/>
          <w:sz w:val="24"/>
          <w:szCs w:val="24"/>
          <w:lang w:val="es-ES_tradnl" w:eastAsia="es-ES"/>
        </w:rPr>
      </w:pPr>
    </w:p>
    <w:p w:rsidR="00B77B68" w:rsidRPr="00742998" w:rsidRDefault="00B77B68" w:rsidP="00B77B68">
      <w:pPr>
        <w:spacing w:after="0" w:line="360" w:lineRule="auto"/>
        <w:ind w:left="567" w:right="615"/>
        <w:contextualSpacing/>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w:t>
      </w:r>
      <w:r w:rsidRPr="00742998">
        <w:rPr>
          <w:rFonts w:ascii="Palatino Linotype" w:eastAsia="MS Mincho" w:hAnsi="Palatino Linotype" w:cs="Times New Roman"/>
          <w:b/>
          <w:i/>
          <w:sz w:val="24"/>
          <w:szCs w:val="24"/>
          <w:lang w:val="es-ES_tradnl" w:eastAsia="es-ES"/>
        </w:rPr>
        <w:t>Artículo 8</w:t>
      </w:r>
      <w:r w:rsidRPr="00742998">
        <w:rPr>
          <w:rFonts w:ascii="Palatino Linotype" w:eastAsia="MS Mincho" w:hAnsi="Palatino Linotype" w:cs="Times New Roman"/>
          <w:i/>
          <w:sz w:val="24"/>
          <w:szCs w:val="24"/>
          <w:lang w:val="es-ES_tradnl" w:eastAsia="es-ES"/>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77B68" w:rsidRPr="00742998" w:rsidRDefault="00B77B68" w:rsidP="00B77B68">
      <w:pPr>
        <w:spacing w:after="0" w:line="360" w:lineRule="auto"/>
        <w:ind w:left="567" w:right="615"/>
        <w:contextualSpacing/>
        <w:jc w:val="both"/>
        <w:rPr>
          <w:rFonts w:ascii="Palatino Linotype" w:eastAsia="MS Mincho" w:hAnsi="Palatino Linotype" w:cs="Times New Roman"/>
          <w:i/>
          <w:sz w:val="24"/>
          <w:szCs w:val="24"/>
          <w:lang w:val="es-ES_tradnl" w:eastAsia="es-ES"/>
        </w:rPr>
      </w:pPr>
    </w:p>
    <w:p w:rsidR="00B77B68" w:rsidRPr="00742998" w:rsidRDefault="00B77B68" w:rsidP="00B77B68">
      <w:pPr>
        <w:spacing w:after="0" w:line="360" w:lineRule="auto"/>
        <w:ind w:left="567" w:right="615"/>
        <w:contextualSpacing/>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B77B68" w:rsidRPr="00742998" w:rsidRDefault="00B77B68" w:rsidP="00B77B68">
      <w:pPr>
        <w:spacing w:after="0" w:line="360" w:lineRule="auto"/>
        <w:contextualSpacing/>
        <w:jc w:val="both"/>
        <w:rPr>
          <w:rFonts w:ascii="Palatino Linotype" w:eastAsia="MS Mincho" w:hAnsi="Palatino Linotype" w:cs="Times New Roman"/>
          <w:i/>
          <w:sz w:val="24"/>
          <w:szCs w:val="24"/>
          <w:lang w:val="es-ES_tradnl" w:eastAsia="es-ES"/>
        </w:rPr>
      </w:pPr>
    </w:p>
    <w:p w:rsidR="00B77B68" w:rsidRPr="00742998" w:rsidRDefault="00B77B68" w:rsidP="00B77B6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lastRenderedPageBreak/>
        <w:t xml:space="preserve">En consecuencia se tiene que toda aquella información que posean, administran y generen los Sujetos Obligados </w:t>
      </w:r>
      <w:r w:rsidRPr="00742998">
        <w:rPr>
          <w:rFonts w:ascii="Palatino Linotype" w:eastAsia="MS Mincho" w:hAnsi="Palatino Linotype" w:cs="Times New Roman"/>
          <w:b/>
          <w:sz w:val="24"/>
          <w:szCs w:val="24"/>
          <w:lang w:val="es-ES_tradnl" w:eastAsia="es-ES"/>
        </w:rPr>
        <w:t>con motivo del ejercicio de sus atribuciones, se encuentra sujeta a la consulta de los ciudadanos que la requiera</w:t>
      </w:r>
      <w:r w:rsidRPr="00742998">
        <w:rPr>
          <w:rFonts w:ascii="Palatino Linotype" w:eastAsia="MS Mincho" w:hAnsi="Palatino Linotype" w:cs="Times New Roman"/>
          <w:sz w:val="24"/>
          <w:szCs w:val="24"/>
          <w:lang w:val="es-ES_tradnl" w:eastAsia="es-ES"/>
        </w:rPr>
        <w:t>n. Luego entonces, se procede al análisis del contenido de la información remitida en la respuesta con la finalidad verificar si efectivamente de trata de manifestaciones subjetivas, y cumple con los requisitos que la Ley establece para tal determinación  y así dar cumplimiento a lo establecido por  el artículo 11 de la Ley en la materia, que a la letra dice:</w:t>
      </w:r>
    </w:p>
    <w:p w:rsidR="00B77B68" w:rsidRPr="00742998" w:rsidRDefault="00B77B68" w:rsidP="00B77B68">
      <w:pPr>
        <w:spacing w:after="0" w:line="360" w:lineRule="auto"/>
        <w:contextualSpacing/>
        <w:jc w:val="both"/>
        <w:rPr>
          <w:rFonts w:ascii="Palatino Linotype" w:eastAsia="MS Mincho" w:hAnsi="Palatino Linotype" w:cs="Times New Roman"/>
          <w:sz w:val="24"/>
          <w:szCs w:val="24"/>
          <w:lang w:val="es-ES_tradnl" w:eastAsia="es-ES"/>
        </w:rPr>
      </w:pPr>
    </w:p>
    <w:p w:rsidR="00B77B68" w:rsidRPr="00742998" w:rsidRDefault="00B77B68" w:rsidP="00B77B68">
      <w:pPr>
        <w:spacing w:after="0" w:line="360" w:lineRule="auto"/>
        <w:ind w:left="567" w:right="757"/>
        <w:contextualSpacing/>
        <w:jc w:val="both"/>
        <w:rPr>
          <w:rFonts w:ascii="Palatino Linotype" w:eastAsia="MS Mincho" w:hAnsi="Palatino Linotype" w:cs="Times New Roman"/>
          <w:i/>
          <w:sz w:val="24"/>
          <w:szCs w:val="24"/>
          <w:lang w:eastAsia="es-ES"/>
        </w:rPr>
      </w:pPr>
      <w:r w:rsidRPr="00742998">
        <w:rPr>
          <w:rFonts w:ascii="Palatino Linotype" w:eastAsia="MS Mincho" w:hAnsi="Palatino Linotype" w:cs="Times New Roman"/>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B77B68" w:rsidRPr="00742998" w:rsidRDefault="00B77B68" w:rsidP="00B77B68">
      <w:pPr>
        <w:spacing w:after="0" w:line="360" w:lineRule="auto"/>
        <w:ind w:left="567" w:right="757"/>
        <w:contextualSpacing/>
        <w:jc w:val="both"/>
        <w:rPr>
          <w:rFonts w:ascii="Palatino Linotype" w:eastAsia="MS Mincho" w:hAnsi="Palatino Linotype" w:cs="Times New Roman"/>
          <w:i/>
          <w:sz w:val="24"/>
          <w:szCs w:val="24"/>
          <w:lang w:eastAsia="es-ES"/>
        </w:rPr>
      </w:pPr>
      <w:r w:rsidRPr="00742998">
        <w:rPr>
          <w:rFonts w:ascii="Palatino Linotype" w:eastAsia="MS Mincho" w:hAnsi="Palatino Linotype" w:cs="Times New Roman"/>
          <w:i/>
          <w:sz w:val="24"/>
          <w:szCs w:val="24"/>
          <w:lang w:eastAsia="es-ES"/>
        </w:rPr>
        <w:t xml:space="preserve">       …”</w:t>
      </w:r>
    </w:p>
    <w:p w:rsidR="00B77B68" w:rsidRPr="00742998" w:rsidRDefault="00B77B68" w:rsidP="00B77B68">
      <w:pPr>
        <w:spacing w:after="0" w:line="360" w:lineRule="auto"/>
        <w:contextualSpacing/>
        <w:jc w:val="both"/>
        <w:rPr>
          <w:rFonts w:ascii="Palatino Linotype" w:eastAsia="MS Mincho" w:hAnsi="Palatino Linotype" w:cs="Times New Roman"/>
          <w:sz w:val="24"/>
          <w:szCs w:val="24"/>
          <w:lang w:eastAsia="es-ES"/>
        </w:rPr>
      </w:pPr>
    </w:p>
    <w:p w:rsidR="00B77B68" w:rsidRPr="00742998" w:rsidRDefault="00B77B68" w:rsidP="00E155CC">
      <w:pPr>
        <w:pStyle w:val="Prrafodelista"/>
        <w:numPr>
          <w:ilvl w:val="0"/>
          <w:numId w:val="7"/>
        </w:numPr>
        <w:spacing w:after="0" w:line="360" w:lineRule="auto"/>
        <w:ind w:left="709"/>
        <w:jc w:val="both"/>
        <w:outlineLvl w:val="0"/>
        <w:rPr>
          <w:rFonts w:ascii="Palatino Linotype" w:eastAsia="MS Mincho" w:hAnsi="Palatino Linotype" w:cs="Times New Roman"/>
          <w:sz w:val="24"/>
          <w:szCs w:val="24"/>
          <w:lang w:val="es-ES_tradnl" w:eastAsia="es-ES"/>
        </w:rPr>
      </w:pPr>
      <w:bookmarkStart w:id="8" w:name="_Toc56165603"/>
      <w:r w:rsidRPr="00742998">
        <w:rPr>
          <w:rFonts w:ascii="Palatino Linotype" w:eastAsia="MS Mincho" w:hAnsi="Palatino Linotype" w:cs="Times New Roman"/>
          <w:b/>
          <w:sz w:val="24"/>
          <w:szCs w:val="24"/>
          <w:lang w:val="es-ES_tradnl" w:eastAsia="es-ES"/>
        </w:rPr>
        <w:t>De la respuesta del SUJETO OBLIGADO</w:t>
      </w:r>
      <w:r w:rsidRPr="00742998">
        <w:rPr>
          <w:rFonts w:ascii="Palatino Linotype" w:eastAsia="MS Mincho" w:hAnsi="Palatino Linotype" w:cs="Times New Roman"/>
          <w:sz w:val="24"/>
          <w:szCs w:val="24"/>
          <w:lang w:val="es-ES_tradnl" w:eastAsia="es-ES"/>
        </w:rPr>
        <w:t>.</w:t>
      </w:r>
      <w:bookmarkEnd w:id="8"/>
    </w:p>
    <w:p w:rsidR="00B77B68" w:rsidRPr="00742998" w:rsidRDefault="00B77B68" w:rsidP="00B77B68">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B77B68" w:rsidRPr="00742998" w:rsidRDefault="00B77B68" w:rsidP="00B77B68">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De la información solicitada por el particular la cual consiste en saber en que gastan el salario percibido por cada comisionada(o) adscrito al Sujeto Obligado, como de igual manera se pido el expediente clínico de cada uno.</w:t>
      </w:r>
    </w:p>
    <w:p w:rsidR="00B77B68" w:rsidRPr="00742998" w:rsidRDefault="00B77B68" w:rsidP="00B77B68">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B77B68" w:rsidRPr="00742998" w:rsidRDefault="00B77B68" w:rsidP="00B77B68">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lastRenderedPageBreak/>
        <w:t xml:space="preserve">En respuesta el SUJETO OBLIGADO informó que </w:t>
      </w:r>
      <w:r w:rsidR="00E155CC" w:rsidRPr="00742998">
        <w:rPr>
          <w:rFonts w:ascii="Palatino Linotype" w:eastAsia="MS Mincho" w:hAnsi="Palatino Linotype" w:cs="Times New Roman"/>
          <w:sz w:val="24"/>
          <w:szCs w:val="24"/>
          <w:lang w:val="es-ES" w:eastAsia="es-ES"/>
        </w:rPr>
        <w:t>la información solicitada n</w:t>
      </w:r>
      <w:r w:rsidR="00E155CC" w:rsidRPr="00742998">
        <w:rPr>
          <w:rFonts w:ascii="Palatino Linotype" w:eastAsia="MS Mincho" w:hAnsi="Palatino Linotype" w:cs="Times New Roman"/>
          <w:sz w:val="24"/>
          <w:szCs w:val="24"/>
          <w:lang w:eastAsia="es-ES"/>
        </w:rPr>
        <w:t>o estriba en el ejercicio del derecho humano de acceso a la información pública, con la finalidad de obtener algún documento o similar, generado por este Sujeto Obligado en razón del cúmulo de funciones y atribuciones que le son conferidas en las Leyes de la materia; que el requerimiento de información en análisis, se refiere al hecho de pretender obtener información basado en manifestaciones de carácter subjetivo, que en nada tienen que ver con el derecho de acceso a la información pública, con motivo de las actividades y funciones que lleva a cabo este Instituto de Transparencia, Acceso a la Información Pública y Protección de Datos Personales del Estado de México y Municipios de conformidad con las diversas leyes de la materia; en relación a lo solicitado “…solicito expediente clínico de cada comisionado”, se trae a colación el artículo 31 de la Ley de Transparencia y Acceso a la información Pública del Estado de México y Municipios, el cual establece los requisitos para ser Comisionado.</w:t>
      </w:r>
    </w:p>
    <w:p w:rsidR="00E155CC" w:rsidRPr="00742998" w:rsidRDefault="00E155CC" w:rsidP="00E155CC">
      <w:pPr>
        <w:pStyle w:val="Prrafodelista"/>
        <w:rPr>
          <w:rFonts w:ascii="Palatino Linotype" w:eastAsia="MS Mincho" w:hAnsi="Palatino Linotype" w:cs="Times New Roman"/>
          <w:sz w:val="24"/>
          <w:szCs w:val="24"/>
          <w:lang w:val="es-ES_tradnl" w:eastAsia="es-ES"/>
        </w:rPr>
      </w:pPr>
    </w:p>
    <w:p w:rsidR="00E155CC" w:rsidRPr="00742998" w:rsidRDefault="00E155CC" w:rsidP="00E155C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 w:eastAsia="es-ES"/>
        </w:rPr>
      </w:pPr>
      <w:r w:rsidRPr="00742998">
        <w:rPr>
          <w:rFonts w:ascii="Palatino Linotype" w:eastAsia="MS Mincho" w:hAnsi="Palatino Linotype" w:cs="Times New Roman"/>
          <w:sz w:val="24"/>
          <w:szCs w:val="24"/>
          <w:lang w:val="es-ES" w:eastAsia="es-ES"/>
        </w:rPr>
        <w:t>Empero lo anterior, es menester recordar que este Órgano Garante no se encuentra facultado para dudar de la veracidad</w:t>
      </w:r>
      <w:r w:rsidRPr="00742998">
        <w:rPr>
          <w:rFonts w:ascii="Palatino Linotype" w:eastAsia="MS Mincho" w:hAnsi="Palatino Linotype" w:cs="Times New Roman"/>
          <w:sz w:val="24"/>
          <w:szCs w:val="24"/>
          <w:lang w:eastAsia="es-ES"/>
        </w:rPr>
        <w:t xml:space="preserve"> ni de la información que pone los Sujetos Obligados a disposición de los solicitantes; situación que se aleja de las atribuciones de este Instituto, máxime que al momento que ponen a disposición ésta, la misma tiene el carácter oficial y se presume veraz, tan es así que queda registrada en el Sistema de Acceso a la Información Mexiquense (</w:t>
      </w:r>
      <w:r w:rsidRPr="00742998">
        <w:rPr>
          <w:rFonts w:ascii="Palatino Linotype" w:eastAsia="MS Mincho" w:hAnsi="Palatino Linotype" w:cs="Times New Roman"/>
          <w:b/>
          <w:sz w:val="24"/>
          <w:szCs w:val="24"/>
          <w:lang w:eastAsia="es-ES"/>
        </w:rPr>
        <w:t>SAIMEX</w:t>
      </w:r>
      <w:r w:rsidRPr="00742998">
        <w:rPr>
          <w:rFonts w:ascii="Palatino Linotype" w:eastAsia="MS Mincho" w:hAnsi="Palatino Linotype" w:cs="Times New Roman"/>
          <w:sz w:val="24"/>
          <w:szCs w:val="24"/>
          <w:lang w:eastAsia="es-ES"/>
        </w:rPr>
        <w:t>).</w:t>
      </w:r>
    </w:p>
    <w:p w:rsidR="00E155CC" w:rsidRPr="00742998" w:rsidRDefault="00E155CC" w:rsidP="00E155CC">
      <w:pPr>
        <w:pStyle w:val="Prrafodelista"/>
        <w:rPr>
          <w:rFonts w:ascii="Palatino Linotype" w:eastAsia="MS Mincho" w:hAnsi="Palatino Linotype" w:cs="Times New Roman"/>
          <w:sz w:val="24"/>
          <w:szCs w:val="24"/>
          <w:lang w:val="es-ES" w:eastAsia="es-ES"/>
        </w:rPr>
      </w:pPr>
    </w:p>
    <w:p w:rsidR="00E155CC" w:rsidRPr="00742998" w:rsidRDefault="00E155CC" w:rsidP="00E155C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 w:eastAsia="es-ES"/>
        </w:rPr>
      </w:pPr>
      <w:r w:rsidRPr="00742998">
        <w:rPr>
          <w:rFonts w:ascii="Palatino Linotype" w:eastAsia="MS Mincho" w:hAnsi="Palatino Linotype" w:cs="Times New Roman"/>
          <w:sz w:val="24"/>
          <w:szCs w:val="24"/>
          <w:lang w:val="es-ES" w:eastAsia="es-ES"/>
        </w:rPr>
        <w:lastRenderedPageBreak/>
        <w:t xml:space="preserve">Sirve de apoyo a lo anterior por analogía, </w:t>
      </w:r>
      <w:r w:rsidRPr="00742998">
        <w:rPr>
          <w:rFonts w:ascii="Palatino Linotype" w:eastAsia="MS Mincho" w:hAnsi="Palatino Linotype" w:cs="Times New Roman"/>
          <w:sz w:val="24"/>
          <w:szCs w:val="24"/>
          <w:lang w:eastAsia="es-ES"/>
        </w:rPr>
        <w:t>el criterio 31-10 emitido por el ahora Instituto Nacional de Transparencia, Acceso a la Información y Protección de Datos Personales, que a la letra dice:</w:t>
      </w:r>
    </w:p>
    <w:p w:rsidR="00E155CC" w:rsidRPr="00742998" w:rsidRDefault="00E155CC" w:rsidP="00E155CC">
      <w:pPr>
        <w:pStyle w:val="Prrafodelista"/>
        <w:spacing w:after="0" w:line="360" w:lineRule="auto"/>
        <w:ind w:left="0"/>
        <w:jc w:val="both"/>
        <w:rPr>
          <w:rFonts w:ascii="Palatino Linotype" w:eastAsia="MS Mincho" w:hAnsi="Palatino Linotype" w:cs="Times New Roman"/>
          <w:sz w:val="24"/>
          <w:szCs w:val="24"/>
          <w:lang w:val="es-ES" w:eastAsia="es-ES"/>
        </w:rPr>
      </w:pPr>
    </w:p>
    <w:p w:rsidR="00E155CC" w:rsidRPr="00742998" w:rsidRDefault="00E155CC" w:rsidP="00E155CC">
      <w:pPr>
        <w:pStyle w:val="Prrafodelista"/>
        <w:spacing w:line="360" w:lineRule="auto"/>
        <w:ind w:left="567" w:right="615"/>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w:t>
      </w:r>
      <w:r w:rsidRPr="00742998">
        <w:rPr>
          <w:rFonts w:ascii="Palatino Linotype" w:eastAsia="MS Mincho" w:hAnsi="Palatino Linotype" w:cs="Times New Roman"/>
          <w:b/>
          <w:i/>
          <w:sz w:val="24"/>
          <w:szCs w:val="24"/>
          <w:lang w:val="es-ES_tradnl" w:eastAsia="es-ES"/>
        </w:rPr>
        <w:t>El Instituto Federal de Acceso a la Información y Protección de Datos no cuenta con facultades para pronunciarse respecto de la veracidad de los documentos proporcionados por los sujetos obligados.</w:t>
      </w:r>
      <w:r w:rsidRPr="00742998">
        <w:rPr>
          <w:rFonts w:ascii="Palatino Linotype" w:eastAsia="MS Mincho" w:hAnsi="Palatino Linotype" w:cs="Times New Roman"/>
          <w:i/>
          <w:sz w:val="24"/>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155CC" w:rsidRPr="00742998" w:rsidRDefault="00E155CC" w:rsidP="00E155CC">
      <w:pPr>
        <w:pStyle w:val="Prrafodelista"/>
        <w:spacing w:line="360" w:lineRule="auto"/>
        <w:ind w:left="567"/>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(Énfasis añadido)</w:t>
      </w:r>
    </w:p>
    <w:p w:rsidR="00E155CC" w:rsidRPr="00742998" w:rsidRDefault="00E155CC" w:rsidP="00E155CC">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B77B68" w:rsidRPr="00742998" w:rsidRDefault="00267F5B" w:rsidP="004263E9">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lastRenderedPageBreak/>
        <w:t>De lo anterior, se tiene que resultan  infundados los motivos de inconformidad hechos valer por el particular, por la siguiente razones de hecho y derecho.</w:t>
      </w:r>
    </w:p>
    <w:p w:rsidR="00267F5B" w:rsidRPr="00742998" w:rsidRDefault="00267F5B" w:rsidP="00267F5B">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B77B68" w:rsidRPr="00742998" w:rsidRDefault="00E155CC" w:rsidP="00E155CC">
      <w:pPr>
        <w:pStyle w:val="Prrafodelista"/>
        <w:numPr>
          <w:ilvl w:val="0"/>
          <w:numId w:val="6"/>
        </w:numPr>
        <w:spacing w:after="0" w:line="360" w:lineRule="auto"/>
        <w:jc w:val="both"/>
        <w:outlineLvl w:val="0"/>
        <w:rPr>
          <w:rFonts w:ascii="Palatino Linotype" w:eastAsia="MS Mincho" w:hAnsi="Palatino Linotype" w:cs="Times New Roman"/>
          <w:b/>
          <w:sz w:val="24"/>
          <w:szCs w:val="24"/>
          <w:lang w:val="es-ES_tradnl" w:eastAsia="es-ES"/>
        </w:rPr>
      </w:pPr>
      <w:bookmarkStart w:id="9" w:name="_Toc56165604"/>
      <w:r w:rsidRPr="00742998">
        <w:rPr>
          <w:rFonts w:ascii="Palatino Linotype" w:eastAsia="MS Mincho" w:hAnsi="Palatino Linotype" w:cs="Times New Roman"/>
          <w:b/>
          <w:sz w:val="24"/>
          <w:szCs w:val="24"/>
          <w:lang w:val="es-ES_tradnl" w:eastAsia="es-ES"/>
        </w:rPr>
        <w:t>De las manifestaciones subjetivas</w:t>
      </w:r>
      <w:r w:rsidR="00267F5B" w:rsidRPr="00742998">
        <w:rPr>
          <w:rFonts w:ascii="Palatino Linotype" w:eastAsia="MS Mincho" w:hAnsi="Palatino Linotype" w:cs="Times New Roman"/>
          <w:b/>
          <w:sz w:val="24"/>
          <w:szCs w:val="24"/>
          <w:lang w:val="es-ES_tradnl" w:eastAsia="es-ES"/>
        </w:rPr>
        <w:t xml:space="preserve"> contenidas en la solicitud de información</w:t>
      </w:r>
      <w:r w:rsidRPr="00742998">
        <w:rPr>
          <w:rFonts w:ascii="Palatino Linotype" w:eastAsia="MS Mincho" w:hAnsi="Palatino Linotype" w:cs="Times New Roman"/>
          <w:b/>
          <w:sz w:val="24"/>
          <w:szCs w:val="24"/>
          <w:lang w:val="es-ES_tradnl" w:eastAsia="es-ES"/>
        </w:rPr>
        <w:t>.</w:t>
      </w:r>
      <w:bookmarkEnd w:id="9"/>
    </w:p>
    <w:p w:rsidR="00E155CC" w:rsidRPr="00742998" w:rsidRDefault="00E155CC" w:rsidP="00E155CC">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 xml:space="preserve">Del requerimiento formulado en la solicitud se precisó que </w:t>
      </w:r>
      <w:r w:rsidRPr="00742998">
        <w:rPr>
          <w:rFonts w:ascii="Palatino Linotype" w:eastAsia="Calibri" w:hAnsi="Palatino Linotype" w:cs="Arial"/>
          <w:i/>
          <w:sz w:val="24"/>
          <w:szCs w:val="24"/>
          <w:lang w:eastAsia="es-ES"/>
        </w:rPr>
        <w:t>“</w:t>
      </w:r>
      <w:r w:rsidRPr="00742998">
        <w:rPr>
          <w:rFonts w:ascii="Palatino Linotype" w:eastAsia="MS Mincho" w:hAnsi="Palatino Linotype" w:cs="Times New Roman"/>
          <w:i/>
          <w:sz w:val="24"/>
          <w:szCs w:val="24"/>
          <w:lang w:eastAsia="es-ES"/>
        </w:rPr>
        <w:t>En que gastan su salario los comisionados, es decir si hacen donaciones, se lo gastan en autos, salud. solicito expediente clínico de cada comisionado.”</w:t>
      </w:r>
      <w:r w:rsidRPr="00742998">
        <w:rPr>
          <w:rFonts w:ascii="Palatino Linotype" w:eastAsia="MS Mincho" w:hAnsi="Palatino Linotype" w:cs="Times New Roman"/>
          <w:sz w:val="24"/>
          <w:szCs w:val="24"/>
          <w:lang w:val="es-ES_tradnl" w:eastAsia="es-ES"/>
        </w:rPr>
        <w:t xml:space="preserve"> (sic)</w:t>
      </w:r>
    </w:p>
    <w:p w:rsidR="00267F5B" w:rsidRPr="00742998" w:rsidRDefault="00267F5B" w:rsidP="00267F5B">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De lo anteriormente expuesto, se puede apreciar a simple vista que el requerimiento efectivamente no constituyen un derecho de acceso a la información pública y por lo tanto no es atendible mediante una solicitud de Acceso a la Información o bien mediante la presentación del medio de impugnación, porque se tratan de manifestaciones subjetivas vertidas por el particular, interrogantes y declaraciones que no se colman con la entrega de documentos, situación que conlleva a afirmar que se está en presencia del ejercicio del derecho de petición.</w:t>
      </w:r>
    </w:p>
    <w:p w:rsidR="00267F5B" w:rsidRPr="00742998" w:rsidRDefault="00267F5B" w:rsidP="00267F5B">
      <w:pPr>
        <w:pStyle w:val="Prrafodelista"/>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267F5B" w:rsidRPr="00742998" w:rsidRDefault="00267F5B" w:rsidP="00267F5B">
      <w:pPr>
        <w:pStyle w:val="Prrafodelista"/>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Luego entonces, es importante dejar en claro lo que debe entenderse por derecho de petición y por derecho de acceso a la información pública.</w:t>
      </w:r>
    </w:p>
    <w:p w:rsidR="00267F5B" w:rsidRPr="00742998" w:rsidRDefault="00267F5B" w:rsidP="00267F5B">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267F5B" w:rsidRPr="00742998" w:rsidRDefault="00267F5B" w:rsidP="00C52FBF">
      <w:pPr>
        <w:pStyle w:val="Prrafodelista"/>
        <w:numPr>
          <w:ilvl w:val="0"/>
          <w:numId w:val="6"/>
        </w:numPr>
        <w:spacing w:line="360" w:lineRule="auto"/>
        <w:jc w:val="both"/>
        <w:outlineLvl w:val="0"/>
        <w:rPr>
          <w:rFonts w:ascii="Palatino Linotype" w:eastAsia="MS Mincho" w:hAnsi="Palatino Linotype" w:cs="Times New Roman"/>
          <w:b/>
          <w:sz w:val="24"/>
          <w:szCs w:val="24"/>
          <w:lang w:val="es-ES_tradnl" w:eastAsia="es-ES"/>
        </w:rPr>
      </w:pPr>
      <w:bookmarkStart w:id="10" w:name="_Toc5815500"/>
      <w:bookmarkStart w:id="11" w:name="_Toc26300725"/>
      <w:bookmarkStart w:id="12" w:name="_Toc29474650"/>
      <w:bookmarkStart w:id="13" w:name="_Toc56165605"/>
      <w:r w:rsidRPr="00742998">
        <w:rPr>
          <w:rFonts w:ascii="Palatino Linotype" w:eastAsia="MS Mincho" w:hAnsi="Palatino Linotype" w:cs="Times New Roman"/>
          <w:b/>
          <w:sz w:val="24"/>
          <w:szCs w:val="24"/>
          <w:lang w:val="es-ES_tradnl" w:eastAsia="es-ES"/>
        </w:rPr>
        <w:t>Derecho de petición</w:t>
      </w:r>
      <w:bookmarkEnd w:id="10"/>
      <w:bookmarkEnd w:id="11"/>
      <w:bookmarkEnd w:id="12"/>
      <w:bookmarkEnd w:id="13"/>
      <w:r w:rsidRPr="00742998">
        <w:rPr>
          <w:rFonts w:ascii="Palatino Linotype" w:eastAsia="MS Mincho" w:hAnsi="Palatino Linotype" w:cs="Times New Roman"/>
          <w:b/>
          <w:sz w:val="24"/>
          <w:szCs w:val="24"/>
          <w:lang w:val="es-ES_tradnl" w:eastAsia="es-ES"/>
        </w:rPr>
        <w:t xml:space="preserve"> </w:t>
      </w:r>
    </w:p>
    <w:p w:rsidR="00C52FBF" w:rsidRPr="00742998" w:rsidRDefault="00C52FBF" w:rsidP="00C52FBF">
      <w:pPr>
        <w:pStyle w:val="Prrafodelista"/>
        <w:spacing w:line="360" w:lineRule="auto"/>
        <w:jc w:val="both"/>
        <w:outlineLvl w:val="0"/>
        <w:rPr>
          <w:rFonts w:ascii="Palatino Linotype" w:eastAsia="MS Mincho" w:hAnsi="Palatino Linotype" w:cs="Times New Roman"/>
          <w:b/>
          <w:sz w:val="24"/>
          <w:szCs w:val="24"/>
          <w:lang w:val="es-ES_tradnl" w:eastAsia="es-ES"/>
        </w:rPr>
      </w:pPr>
    </w:p>
    <w:p w:rsidR="00267F5B" w:rsidRPr="00742998" w:rsidRDefault="00267F5B" w:rsidP="00267F5B">
      <w:pPr>
        <w:pStyle w:val="Prrafodelista"/>
        <w:numPr>
          <w:ilvl w:val="0"/>
          <w:numId w:val="2"/>
        </w:numPr>
        <w:spacing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42998">
        <w:rPr>
          <w:rFonts w:ascii="Palatino Linotype" w:eastAsia="MS Mincho" w:hAnsi="Palatino Linotype" w:cs="Times New Roman"/>
          <w:i/>
          <w:sz w:val="24"/>
          <w:szCs w:val="24"/>
          <w:vertAlign w:val="superscript"/>
          <w:lang w:val="es-ES_tradnl" w:eastAsia="es-ES"/>
        </w:rPr>
        <w:t xml:space="preserve"> </w:t>
      </w:r>
      <w:r w:rsidRPr="00742998">
        <w:rPr>
          <w:i/>
          <w:vertAlign w:val="superscript"/>
          <w:lang w:val="es-ES_tradnl" w:eastAsia="es-ES"/>
        </w:rPr>
        <w:footnoteReference w:id="1"/>
      </w:r>
      <w:r w:rsidRPr="00742998">
        <w:rPr>
          <w:rFonts w:ascii="Palatino Linotype" w:eastAsia="MS Mincho" w:hAnsi="Palatino Linotype" w:cs="Times New Roman"/>
          <w:sz w:val="24"/>
          <w:szCs w:val="24"/>
          <w:lang w:val="es-ES_tradnl" w:eastAsia="es-ES"/>
        </w:rPr>
        <w:t xml:space="preserve">   “(Sic)</w:t>
      </w:r>
    </w:p>
    <w:p w:rsidR="00267F5B" w:rsidRPr="00742998" w:rsidRDefault="00267F5B" w:rsidP="00267F5B">
      <w:pPr>
        <w:pStyle w:val="Prrafodelista"/>
        <w:spacing w:line="360" w:lineRule="auto"/>
        <w:ind w:left="0"/>
        <w:jc w:val="both"/>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 xml:space="preserve">Por su parte, David Cienfuegos Salgado, concibe al derecho de petición como </w:t>
      </w:r>
      <w:r w:rsidRPr="00742998">
        <w:rPr>
          <w:rFonts w:ascii="Palatino Linotype" w:eastAsia="MS Mincho" w:hAnsi="Palatino Linotype" w:cs="Times New Roman"/>
          <w:i/>
          <w:sz w:val="24"/>
          <w:szCs w:val="24"/>
          <w:lang w:val="es-ES_tradnl" w:eastAsia="es-ES"/>
        </w:rPr>
        <w:t>“el derecho de toda persona a ser escuchado por quienes ejercen el poder público</w:t>
      </w:r>
      <w:proofErr w:type="gramStart"/>
      <w:r w:rsidRPr="00742998">
        <w:rPr>
          <w:rFonts w:ascii="Palatino Linotype" w:eastAsia="MS Mincho" w:hAnsi="Palatino Linotype" w:cs="Times New Roman"/>
          <w:i/>
          <w:sz w:val="24"/>
          <w:szCs w:val="24"/>
          <w:lang w:val="es-ES_tradnl" w:eastAsia="es-ES"/>
        </w:rPr>
        <w:t xml:space="preserve">. </w:t>
      </w:r>
      <w:proofErr w:type="gramEnd"/>
      <w:r w:rsidRPr="00742998">
        <w:rPr>
          <w:vertAlign w:val="superscript"/>
          <w:lang w:val="es-ES_tradnl" w:eastAsia="es-ES"/>
        </w:rPr>
        <w:footnoteReference w:id="2"/>
      </w:r>
      <w:r w:rsidRPr="00742998">
        <w:rPr>
          <w:rFonts w:ascii="Palatino Linotype" w:eastAsia="MS Mincho" w:hAnsi="Palatino Linotype" w:cs="Times New Roman"/>
          <w:i/>
          <w:sz w:val="24"/>
          <w:szCs w:val="24"/>
          <w:lang w:val="es-ES_tradnl" w:eastAsia="es-ES"/>
        </w:rPr>
        <w:t xml:space="preserve">” (Sic) </w:t>
      </w:r>
    </w:p>
    <w:p w:rsidR="00267F5B" w:rsidRPr="00742998" w:rsidRDefault="00267F5B" w:rsidP="00267F5B">
      <w:pPr>
        <w:pStyle w:val="Prrafodelista"/>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Luego entonces, para diferenciar el derecho de petición al derecho de acceso a la información, resulta conducente señalar que José Guadalupe Robles, conceptualiza el derecho a la información como “</w:t>
      </w:r>
      <w:r w:rsidRPr="00742998">
        <w:rPr>
          <w:rFonts w:ascii="Palatino Linotype" w:eastAsia="MS Mincho" w:hAnsi="Palatino Linotype" w:cs="Times New Roman"/>
          <w:i/>
          <w:sz w:val="24"/>
          <w:szCs w:val="24"/>
          <w:lang w:val="es-ES_tradnl" w:eastAsia="es-ES"/>
        </w:rPr>
        <w:t xml:space="preserve">un derecho fundamental tanto de carácter individual como colectivo, cuyas limitaciones deben estar establecidas en la ley, así como una garantía de que la información sea transmitida con claridad y objetividad, por </w:t>
      </w:r>
      <w:r w:rsidRPr="00742998">
        <w:rPr>
          <w:rFonts w:ascii="Palatino Linotype" w:eastAsia="MS Mincho" w:hAnsi="Palatino Linotype" w:cs="Times New Roman"/>
          <w:i/>
          <w:sz w:val="24"/>
          <w:szCs w:val="24"/>
          <w:lang w:val="es-ES_tradnl" w:eastAsia="es-ES"/>
        </w:rPr>
        <w:lastRenderedPageBreak/>
        <w:t xml:space="preserve">cuanto a que es un bien jurídico que coadyuva al desarrollo de las personas y a la formación de opinión pública de calidad para poder participar y luego influir en la vida pública. </w:t>
      </w:r>
      <w:r w:rsidRPr="00742998">
        <w:rPr>
          <w:i/>
          <w:vertAlign w:val="superscript"/>
          <w:lang w:val="es-ES_tradnl" w:eastAsia="es-ES"/>
        </w:rPr>
        <w:footnoteReference w:id="3"/>
      </w:r>
      <w:r w:rsidRPr="00742998">
        <w:rPr>
          <w:rFonts w:ascii="Palatino Linotype" w:eastAsia="MS Mincho" w:hAnsi="Palatino Linotype" w:cs="Times New Roman"/>
          <w:i/>
          <w:sz w:val="24"/>
          <w:szCs w:val="24"/>
          <w:lang w:val="es-ES_tradnl" w:eastAsia="es-ES"/>
        </w:rPr>
        <w:t xml:space="preserve"> “(Sic)</w:t>
      </w:r>
    </w:p>
    <w:p w:rsidR="00267F5B" w:rsidRPr="00742998" w:rsidRDefault="00267F5B" w:rsidP="00267F5B">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742998">
        <w:rPr>
          <w:rFonts w:ascii="Palatino Linotype" w:eastAsia="MS Mincho" w:hAnsi="Palatino Linotype" w:cs="Times New Roman"/>
          <w:sz w:val="24"/>
          <w:szCs w:val="24"/>
          <w:lang w:val="es-ES_tradnl" w:eastAsia="es-ES"/>
        </w:rPr>
        <w:t>Villanueva</w:t>
      </w:r>
      <w:proofErr w:type="spellEnd"/>
      <w:r w:rsidRPr="00742998">
        <w:rPr>
          <w:rFonts w:ascii="Palatino Linotype" w:eastAsia="MS Mincho" w:hAnsi="Palatino Linotype" w:cs="Times New Roman"/>
          <w:sz w:val="24"/>
          <w:szCs w:val="24"/>
          <w:lang w:val="es-ES_tradnl" w:eastAsia="es-ES"/>
        </w:rPr>
        <w:t xml:space="preserve"> que dice: </w:t>
      </w:r>
      <w:r w:rsidRPr="00742998">
        <w:rPr>
          <w:rFonts w:ascii="Palatino Linotype" w:eastAsia="MS Mincho" w:hAnsi="Palatino Linotype" w:cs="Times New Roman"/>
          <w:i/>
          <w:sz w:val="24"/>
          <w:szCs w:val="24"/>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742998">
        <w:rPr>
          <w:rFonts w:ascii="Palatino Linotype" w:eastAsia="MS Mincho" w:hAnsi="Palatino Linotype" w:cs="Times New Roman"/>
          <w:i/>
          <w:sz w:val="24"/>
          <w:szCs w:val="24"/>
          <w:lang w:val="es-ES_tradnl" w:eastAsia="es-ES"/>
        </w:rPr>
        <w:t>.</w:t>
      </w:r>
      <w:r w:rsidRPr="00742998">
        <w:rPr>
          <w:rFonts w:ascii="Palatino Linotype" w:eastAsia="MS Mincho" w:hAnsi="Palatino Linotype" w:cs="Times New Roman"/>
          <w:i/>
          <w:sz w:val="24"/>
          <w:szCs w:val="24"/>
          <w:vertAlign w:val="superscript"/>
          <w:lang w:val="es-ES_tradnl" w:eastAsia="es-ES"/>
        </w:rPr>
        <w:t xml:space="preserve"> </w:t>
      </w:r>
      <w:proofErr w:type="gramEnd"/>
      <w:r w:rsidRPr="00742998">
        <w:rPr>
          <w:i/>
          <w:vertAlign w:val="superscript"/>
          <w:lang w:val="es-ES_tradnl" w:eastAsia="es-ES"/>
        </w:rPr>
        <w:footnoteReference w:id="4"/>
      </w:r>
      <w:r w:rsidRPr="00742998">
        <w:rPr>
          <w:rFonts w:ascii="Palatino Linotype" w:eastAsia="MS Mincho" w:hAnsi="Palatino Linotype" w:cs="Times New Roman"/>
          <w:i/>
          <w:sz w:val="24"/>
          <w:szCs w:val="24"/>
          <w:lang w:val="es-ES_tradnl" w:eastAsia="es-ES"/>
        </w:rPr>
        <w:t>” (Sic)</w:t>
      </w:r>
      <w:r w:rsidRPr="00742998">
        <w:rPr>
          <w:rFonts w:ascii="Palatino Linotype" w:eastAsia="MS Mincho" w:hAnsi="Palatino Linotype" w:cs="Times New Roman"/>
          <w:sz w:val="24"/>
          <w:szCs w:val="24"/>
          <w:lang w:val="es-ES_tradnl" w:eastAsia="es-ES"/>
        </w:rPr>
        <w:t xml:space="preserve">  </w:t>
      </w:r>
    </w:p>
    <w:p w:rsidR="00267F5B" w:rsidRPr="00742998" w:rsidRDefault="00267F5B" w:rsidP="00267F5B">
      <w:pPr>
        <w:pStyle w:val="Prrafodelista"/>
        <w:spacing w:line="360" w:lineRule="auto"/>
        <w:ind w:left="0"/>
        <w:jc w:val="both"/>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67F5B" w:rsidRPr="00742998" w:rsidRDefault="00267F5B" w:rsidP="00267F5B">
      <w:pPr>
        <w:pStyle w:val="Prrafodelista"/>
        <w:spacing w:after="0"/>
        <w:ind w:left="0"/>
        <w:rPr>
          <w:rFonts w:ascii="Palatino Linotype" w:eastAsia="MS Mincho" w:hAnsi="Palatino Linotype" w:cs="Times New Roman"/>
          <w:i/>
          <w:sz w:val="24"/>
          <w:szCs w:val="24"/>
          <w:lang w:val="es-ES_tradnl" w:eastAsia="es-ES"/>
        </w:rPr>
      </w:pPr>
    </w:p>
    <w:p w:rsidR="00267F5B" w:rsidRPr="00742998" w:rsidRDefault="00267F5B" w:rsidP="00267F5B">
      <w:pPr>
        <w:pStyle w:val="Prrafodelista"/>
        <w:spacing w:after="0"/>
        <w:ind w:left="0"/>
        <w:jc w:val="center"/>
        <w:rPr>
          <w:rFonts w:ascii="Palatino Linotype" w:eastAsia="MS Mincho" w:hAnsi="Palatino Linotype" w:cs="Times New Roman"/>
          <w:b/>
          <w:i/>
          <w:sz w:val="24"/>
          <w:szCs w:val="24"/>
          <w:lang w:val="es-ES_tradnl" w:eastAsia="es-ES"/>
        </w:rPr>
      </w:pPr>
      <w:r w:rsidRPr="00742998">
        <w:rPr>
          <w:rFonts w:ascii="Palatino Linotype" w:eastAsia="MS Mincho" w:hAnsi="Palatino Linotype" w:cs="Times New Roman"/>
          <w:b/>
          <w:i/>
          <w:sz w:val="24"/>
          <w:szCs w:val="24"/>
          <w:lang w:val="es-ES_tradnl" w:eastAsia="es-ES"/>
        </w:rPr>
        <w:t>“CRITERIO 0002-11</w:t>
      </w: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b/>
          <w:i/>
          <w:sz w:val="24"/>
          <w:szCs w:val="24"/>
          <w:lang w:val="es-ES_tradnl" w:eastAsia="es-ES"/>
        </w:rPr>
        <w:lastRenderedPageBreak/>
        <w:t>INFORMACIÓN PÚBLICA, CONCEPTO DE, EN MATERIA DE TRANSPARENCIA. INTERPRETACIÓN TEMÁTICA DE LOS ARTÍCULOS 2, FRACCIÓN V, XV, Y XVI, 3, 4, 11 Y 41</w:t>
      </w:r>
      <w:r w:rsidRPr="00742998">
        <w:rPr>
          <w:rFonts w:ascii="Palatino Linotype" w:eastAsia="MS Mincho" w:hAnsi="Palatino Linotype" w:cs="Times New Roman"/>
          <w:i/>
          <w:sz w:val="24"/>
          <w:szCs w:val="24"/>
          <w:lang w:val="es-ES_tradnl" w:eastAsia="es-ES"/>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En consecuencia el acceso a la información se refiere a que se cumplan cualquiera de los siguientes tres supuestos:</w:t>
      </w: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Que se trate de información registrada en cualquier soporte documental, que en ejercicio de las atribuciones conferidas, sea generada por los Sujetos Obligados;</w:t>
      </w: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Que se trate de información registrada en cualquier soporte documental, que en ejercicio de las atribuciones conferidas, sea administrada por los Sujetos Obligados, y</w:t>
      </w: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p>
    <w:p w:rsidR="00267F5B" w:rsidRPr="00742998" w:rsidRDefault="00267F5B" w:rsidP="00267F5B">
      <w:pPr>
        <w:pStyle w:val="Prrafodelista"/>
        <w:spacing w:line="360" w:lineRule="auto"/>
        <w:ind w:left="567" w:right="615"/>
        <w:jc w:val="both"/>
        <w:rPr>
          <w:rFonts w:ascii="Palatino Linotype" w:eastAsia="MS Mincho" w:hAnsi="Palatino Linotype" w:cs="Times New Roman"/>
          <w:i/>
          <w:sz w:val="24"/>
          <w:szCs w:val="24"/>
          <w:lang w:val="es-ES_tradnl" w:eastAsia="es-ES"/>
        </w:rPr>
      </w:pPr>
      <w:r w:rsidRPr="00742998">
        <w:rPr>
          <w:rFonts w:ascii="Palatino Linotype" w:eastAsia="MS Mincho" w:hAnsi="Palatino Linotype" w:cs="Times New Roman"/>
          <w:i/>
          <w:sz w:val="24"/>
          <w:szCs w:val="24"/>
          <w:lang w:val="es-ES_tradnl" w:eastAsia="es-ES"/>
        </w:rPr>
        <w:t>Que se trate de información registrada en cualquier soporte documental, que en ejercicio de las atribuciones conferidas, se encuentre en posesión de los Sujetos Obligados.”</w:t>
      </w:r>
    </w:p>
    <w:p w:rsidR="00267F5B" w:rsidRPr="00742998" w:rsidRDefault="00267F5B" w:rsidP="00267F5B">
      <w:pPr>
        <w:pStyle w:val="Prrafodelista"/>
        <w:spacing w:after="0" w:line="360" w:lineRule="auto"/>
        <w:ind w:left="0"/>
        <w:rPr>
          <w:rFonts w:ascii="Palatino Linotype" w:eastAsia="MS Mincho" w:hAnsi="Palatino Linotype" w:cs="Times New Roman"/>
          <w:i/>
          <w:sz w:val="24"/>
          <w:szCs w:val="24"/>
          <w:lang w:val="es-ES_tradnl" w:eastAsia="es-ES"/>
        </w:rPr>
      </w:pPr>
    </w:p>
    <w:p w:rsidR="00267F5B" w:rsidRPr="00742998" w:rsidRDefault="00267F5B" w:rsidP="00267F5B">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lastRenderedPageBreak/>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 </w:t>
      </w:r>
    </w:p>
    <w:p w:rsidR="00267F5B" w:rsidRPr="00742998" w:rsidRDefault="00267F5B" w:rsidP="00267F5B">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267F5B" w:rsidRPr="00742998" w:rsidRDefault="00267F5B" w:rsidP="00267F5B">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Resulta evidente que el particular tiene interés en acceder a la información correspondiente a en que gastan su salario los Comisionada(o)s, así como el expediente clínico de cada uno, la cual no es susceptible de ser entrega por la razones antes referidas.</w:t>
      </w:r>
    </w:p>
    <w:p w:rsidR="00E155CC" w:rsidRPr="00742998" w:rsidRDefault="00E155CC" w:rsidP="00267F5B">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A37304" w:rsidRPr="00742998" w:rsidRDefault="00A37304" w:rsidP="00B77B68">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 xml:space="preserve">Consecuentemente, en términos del artículo </w:t>
      </w:r>
      <w:r w:rsidRPr="00742998">
        <w:rPr>
          <w:rFonts w:ascii="Palatino Linotype" w:eastAsia="MS Mincho" w:hAnsi="Palatino Linotype" w:cs="Times New Roman"/>
          <w:b/>
          <w:sz w:val="24"/>
          <w:szCs w:val="24"/>
          <w:lang w:val="es-ES_tradnl" w:eastAsia="es-ES"/>
        </w:rPr>
        <w:t xml:space="preserve">186 fracción </w:t>
      </w:r>
      <w:r w:rsidR="004263E9" w:rsidRPr="00742998">
        <w:rPr>
          <w:rFonts w:ascii="Palatino Linotype" w:eastAsia="MS Mincho" w:hAnsi="Palatino Linotype" w:cs="Times New Roman"/>
          <w:b/>
          <w:sz w:val="24"/>
          <w:szCs w:val="24"/>
          <w:lang w:val="es-ES_tradnl" w:eastAsia="es-ES"/>
        </w:rPr>
        <w:t>I</w:t>
      </w:r>
      <w:r w:rsidRPr="00742998">
        <w:rPr>
          <w:rFonts w:ascii="Palatino Linotype" w:eastAsia="MS Mincho" w:hAnsi="Palatino Linotype" w:cs="Times New Roman"/>
          <w:b/>
          <w:sz w:val="24"/>
          <w:szCs w:val="24"/>
          <w:lang w:val="es-ES_tradnl" w:eastAsia="es-ES"/>
        </w:rPr>
        <w:t>I</w:t>
      </w:r>
      <w:r w:rsidR="004263E9" w:rsidRPr="00742998">
        <w:rPr>
          <w:rFonts w:ascii="Palatino Linotype" w:eastAsia="MS Mincho" w:hAnsi="Palatino Linotype" w:cs="Times New Roman"/>
          <w:sz w:val="24"/>
          <w:szCs w:val="24"/>
          <w:lang w:val="es-ES_tradnl" w:eastAsia="es-ES"/>
        </w:rPr>
        <w:t xml:space="preserve"> este Pleno determina</w:t>
      </w:r>
      <w:r w:rsidRPr="00742998">
        <w:rPr>
          <w:rFonts w:ascii="Palatino Linotype" w:eastAsia="MS Mincho" w:hAnsi="Palatino Linotype" w:cs="Times New Roman"/>
          <w:sz w:val="24"/>
          <w:szCs w:val="24"/>
          <w:lang w:val="es-ES_tradnl" w:eastAsia="es-ES"/>
        </w:rPr>
        <w:t xml:space="preserve"> </w:t>
      </w:r>
      <w:r w:rsidR="004263E9" w:rsidRPr="00742998">
        <w:rPr>
          <w:rFonts w:ascii="Palatino Linotype" w:eastAsia="MS Mincho" w:hAnsi="Palatino Linotype" w:cs="Times New Roman"/>
          <w:b/>
          <w:sz w:val="24"/>
          <w:szCs w:val="24"/>
          <w:lang w:val="es-ES_tradnl" w:eastAsia="es-ES"/>
        </w:rPr>
        <w:t>CONFIRMA</w:t>
      </w:r>
      <w:r w:rsidRPr="00742998">
        <w:rPr>
          <w:rFonts w:ascii="Palatino Linotype" w:eastAsia="MS Mincho" w:hAnsi="Palatino Linotype" w:cs="Times New Roman"/>
          <w:sz w:val="24"/>
          <w:szCs w:val="24"/>
          <w:lang w:val="es-ES_tradnl" w:eastAsia="es-ES"/>
        </w:rPr>
        <w:t xml:space="preserve"> </w:t>
      </w:r>
      <w:r w:rsidR="004263E9" w:rsidRPr="00742998">
        <w:rPr>
          <w:rFonts w:ascii="Palatino Linotype" w:eastAsia="MS Mincho" w:hAnsi="Palatino Linotype" w:cs="Times New Roman"/>
          <w:sz w:val="24"/>
          <w:szCs w:val="24"/>
          <w:lang w:val="es-ES_tradnl" w:eastAsia="es-ES"/>
        </w:rPr>
        <w:t>la respuesta, toda vez la información requerida no constituye de derecho de acceso a la información pública y expediente clínico se integra de información personal que solo es del interés de cada persona, titular de los derechos</w:t>
      </w:r>
      <w:r w:rsidRPr="00742998">
        <w:rPr>
          <w:rFonts w:ascii="Palatino Linotype" w:eastAsia="MS Mincho" w:hAnsi="Palatino Linotype" w:cs="Times New Roman"/>
          <w:sz w:val="24"/>
          <w:szCs w:val="24"/>
          <w:lang w:val="es-ES_tradnl" w:eastAsia="es-ES"/>
        </w:rPr>
        <w:t>.</w:t>
      </w:r>
    </w:p>
    <w:p w:rsidR="00A37304" w:rsidRPr="00742998" w:rsidRDefault="00A37304" w:rsidP="00A37304">
      <w:pPr>
        <w:spacing w:after="0" w:line="360" w:lineRule="auto"/>
        <w:contextualSpacing/>
        <w:jc w:val="both"/>
        <w:rPr>
          <w:rFonts w:ascii="Palatino Linotype" w:eastAsia="MS Mincho" w:hAnsi="Palatino Linotype" w:cs="Times New Roman"/>
          <w:sz w:val="24"/>
          <w:szCs w:val="24"/>
          <w:lang w:val="es-ES_tradnl" w:eastAsia="es-ES"/>
        </w:rPr>
      </w:pPr>
    </w:p>
    <w:p w:rsidR="00A37304" w:rsidRPr="00742998" w:rsidRDefault="00A37304" w:rsidP="00B77B6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42998">
        <w:rPr>
          <w:rFonts w:ascii="Palatino Linotype" w:eastAsia="MS Mincho" w:hAnsi="Palatino Linotype" w:cs="Times New Roman"/>
          <w:sz w:val="24"/>
          <w:szCs w:val="24"/>
          <w:lang w:val="es-ES_tradnl" w:eastAsia="es-ES"/>
        </w:rPr>
        <w:t xml:space="preserve">Por lo anteriormente expuesto y fundado este </w:t>
      </w:r>
      <w:r w:rsidRPr="00742998">
        <w:rPr>
          <w:rFonts w:ascii="Palatino Linotype" w:eastAsia="MS Mincho" w:hAnsi="Palatino Linotype" w:cs="Times New Roman"/>
          <w:b/>
          <w:sz w:val="24"/>
          <w:szCs w:val="24"/>
          <w:lang w:val="es-ES_tradnl" w:eastAsia="es-ES"/>
        </w:rPr>
        <w:t>ÓRGANO GARANTE</w:t>
      </w:r>
      <w:r w:rsidRPr="00742998">
        <w:rPr>
          <w:rFonts w:ascii="Palatino Linotype" w:eastAsia="MS Mincho" w:hAnsi="Palatino Linotype" w:cs="Times New Roman"/>
          <w:sz w:val="24"/>
          <w:szCs w:val="24"/>
          <w:lang w:val="es-ES_tradnl" w:eastAsia="es-ES"/>
        </w:rPr>
        <w:t xml:space="preserve"> emite los siguientes.</w:t>
      </w:r>
    </w:p>
    <w:p w:rsidR="00A37304" w:rsidRPr="00742998" w:rsidRDefault="00A37304" w:rsidP="00A37304">
      <w:pPr>
        <w:pStyle w:val="Prrafodelista"/>
        <w:rPr>
          <w:rFonts w:ascii="Palatino Linotype" w:eastAsia="MS Mincho" w:hAnsi="Palatino Linotype" w:cs="Times New Roman"/>
          <w:sz w:val="24"/>
          <w:szCs w:val="24"/>
          <w:lang w:val="es-ES_tradnl" w:eastAsia="es-ES"/>
        </w:rPr>
      </w:pPr>
    </w:p>
    <w:p w:rsidR="00A37304" w:rsidRPr="00742998" w:rsidRDefault="00A37304" w:rsidP="00A37304">
      <w:pPr>
        <w:spacing w:after="0" w:line="360" w:lineRule="auto"/>
        <w:contextualSpacing/>
        <w:jc w:val="both"/>
        <w:rPr>
          <w:rFonts w:ascii="Palatino Linotype" w:eastAsia="MS Mincho" w:hAnsi="Palatino Linotype" w:cs="Times New Roman"/>
          <w:sz w:val="24"/>
          <w:szCs w:val="24"/>
          <w:lang w:val="es-ES_tradnl" w:eastAsia="es-ES"/>
        </w:rPr>
      </w:pPr>
    </w:p>
    <w:p w:rsidR="00A37304" w:rsidRPr="00742998" w:rsidRDefault="00A37304" w:rsidP="00A37304">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4" w:name="_Toc467083028"/>
      <w:bookmarkStart w:id="15" w:name="_Toc56165606"/>
      <w:r w:rsidRPr="00742998">
        <w:rPr>
          <w:rFonts w:ascii="Palatino Linotype" w:eastAsia="Calibri" w:hAnsi="Palatino Linotype" w:cs="Times New Roman"/>
          <w:b/>
          <w:sz w:val="24"/>
          <w:szCs w:val="24"/>
          <w:lang w:val="es-ES" w:eastAsia="es-ES"/>
        </w:rPr>
        <w:lastRenderedPageBreak/>
        <w:t>R E S O L U T I V O S</w:t>
      </w:r>
      <w:bookmarkEnd w:id="14"/>
      <w:bookmarkEnd w:id="15"/>
    </w:p>
    <w:p w:rsidR="004263E9" w:rsidRPr="00742998" w:rsidRDefault="00A37304" w:rsidP="004263E9">
      <w:pPr>
        <w:spacing w:before="240" w:after="360" w:line="360" w:lineRule="auto"/>
        <w:jc w:val="both"/>
        <w:rPr>
          <w:rFonts w:ascii="Palatino Linotype" w:hAnsi="Palatino Linotype" w:cs="Arial"/>
          <w:sz w:val="24"/>
          <w:szCs w:val="24"/>
          <w:lang w:val="es-ES_tradnl"/>
        </w:rPr>
      </w:pPr>
      <w:bookmarkStart w:id="16" w:name="_Toc452722829"/>
      <w:bookmarkStart w:id="17" w:name="_Toc454373811"/>
      <w:bookmarkStart w:id="18" w:name="_Toc476675991"/>
      <w:r w:rsidRPr="00742998">
        <w:rPr>
          <w:rFonts w:ascii="Palatino Linotype" w:hAnsi="Palatino Linotype" w:cs="Arial"/>
          <w:b/>
          <w:sz w:val="24"/>
          <w:szCs w:val="24"/>
        </w:rPr>
        <w:t>PRIMERO.</w:t>
      </w:r>
      <w:r w:rsidR="004263E9" w:rsidRPr="00742998">
        <w:rPr>
          <w:rFonts w:ascii="Palatino Linotype" w:eastAsia="Times New Roman" w:hAnsi="Palatino Linotype" w:cs="Arial"/>
          <w:sz w:val="24"/>
          <w:szCs w:val="24"/>
          <w:lang w:val="es-ES_tradnl" w:eastAsia="es-ES"/>
        </w:rPr>
        <w:t xml:space="preserve"> </w:t>
      </w:r>
      <w:r w:rsidR="004263E9" w:rsidRPr="00742998">
        <w:rPr>
          <w:rFonts w:ascii="Palatino Linotype" w:hAnsi="Palatino Linotype" w:cs="Arial"/>
          <w:sz w:val="24"/>
          <w:szCs w:val="24"/>
          <w:lang w:val="es-ES_tradnl"/>
        </w:rPr>
        <w:t xml:space="preserve">Resultan infundadas las </w:t>
      </w:r>
      <w:r w:rsidR="004263E9" w:rsidRPr="00742998">
        <w:rPr>
          <w:rFonts w:ascii="Palatino Linotype" w:hAnsi="Palatino Linotype" w:cs="Arial"/>
          <w:sz w:val="24"/>
          <w:szCs w:val="24"/>
          <w:lang w:val="es-ES"/>
        </w:rPr>
        <w:t xml:space="preserve">razones o motivos de inconformidad hechos valer en el recurso de revisión </w:t>
      </w:r>
      <w:r w:rsidR="004263E9" w:rsidRPr="00742998">
        <w:rPr>
          <w:rFonts w:ascii="Palatino Linotype" w:hAnsi="Palatino Linotype" w:cs="Arial"/>
          <w:b/>
          <w:bCs/>
          <w:sz w:val="24"/>
          <w:szCs w:val="24"/>
          <w:lang w:val="es-ES_tradnl"/>
        </w:rPr>
        <w:t>04033/INFOEM/IP/RR/2020</w:t>
      </w:r>
      <w:r w:rsidR="004263E9" w:rsidRPr="00742998">
        <w:rPr>
          <w:rFonts w:ascii="Palatino Linotype" w:hAnsi="Palatino Linotype" w:cs="Arial"/>
          <w:bCs/>
          <w:sz w:val="24"/>
          <w:szCs w:val="24"/>
          <w:lang w:val="es-ES_tradnl"/>
        </w:rPr>
        <w:t xml:space="preserve"> en términos del considerando </w:t>
      </w:r>
      <w:r w:rsidR="004263E9" w:rsidRPr="00742998">
        <w:rPr>
          <w:rFonts w:ascii="Palatino Linotype" w:hAnsi="Palatino Linotype" w:cs="Arial"/>
          <w:b/>
          <w:bCs/>
          <w:sz w:val="24"/>
          <w:szCs w:val="24"/>
          <w:lang w:val="es-ES_tradnl"/>
        </w:rPr>
        <w:t>CUARTO</w:t>
      </w:r>
      <w:r w:rsidR="004263E9" w:rsidRPr="00742998">
        <w:rPr>
          <w:rFonts w:ascii="Palatino Linotype" w:hAnsi="Palatino Linotype" w:cs="Arial"/>
          <w:bCs/>
          <w:sz w:val="24"/>
          <w:szCs w:val="24"/>
          <w:lang w:val="es-ES_tradnl"/>
        </w:rPr>
        <w:t xml:space="preserve"> de la presente resolución. </w:t>
      </w:r>
    </w:p>
    <w:p w:rsidR="00A37304" w:rsidRPr="00742998" w:rsidRDefault="00A37304" w:rsidP="004263E9">
      <w:pPr>
        <w:spacing w:before="240" w:after="360" w:line="360" w:lineRule="auto"/>
        <w:jc w:val="both"/>
        <w:rPr>
          <w:rFonts w:ascii="Palatino Linotype" w:eastAsia="Calibri" w:hAnsi="Palatino Linotype" w:cs="Arial"/>
          <w:sz w:val="24"/>
          <w:szCs w:val="24"/>
          <w:lang w:val="es-ES" w:eastAsia="es-ES"/>
        </w:rPr>
      </w:pPr>
      <w:r w:rsidRPr="00742998">
        <w:rPr>
          <w:rFonts w:ascii="Palatino Linotype" w:hAnsi="Palatino Linotype" w:cs="Arial"/>
          <w:b/>
          <w:sz w:val="24"/>
          <w:szCs w:val="24"/>
        </w:rPr>
        <w:t xml:space="preserve"> </w:t>
      </w:r>
      <w:r w:rsidRPr="00742998">
        <w:rPr>
          <w:rFonts w:ascii="Palatino Linotype" w:eastAsia="Calibri" w:hAnsi="Palatino Linotype" w:cs="Arial"/>
          <w:b/>
          <w:bCs/>
          <w:sz w:val="24"/>
          <w:szCs w:val="24"/>
          <w:lang w:val="es-ES" w:eastAsia="es-ES"/>
        </w:rPr>
        <w:t xml:space="preserve">SEGUNDO. </w:t>
      </w:r>
      <w:r w:rsidR="004263E9" w:rsidRPr="00742998">
        <w:rPr>
          <w:rFonts w:ascii="Palatino Linotype" w:eastAsia="Calibri" w:hAnsi="Palatino Linotype" w:cs="Arial"/>
          <w:bCs/>
          <w:sz w:val="24"/>
          <w:szCs w:val="24"/>
          <w:lang w:val="es-ES" w:eastAsia="es-ES"/>
        </w:rPr>
        <w:t>Se</w:t>
      </w:r>
      <w:r w:rsidR="00040019" w:rsidRPr="00742998">
        <w:rPr>
          <w:rFonts w:ascii="Palatino Linotype" w:eastAsia="Calibri" w:hAnsi="Palatino Linotype" w:cs="Arial"/>
          <w:b/>
          <w:bCs/>
          <w:sz w:val="24"/>
          <w:szCs w:val="24"/>
          <w:lang w:val="es-ES" w:eastAsia="es-ES"/>
        </w:rPr>
        <w:t xml:space="preserve"> CONFIRMA</w:t>
      </w:r>
      <w:r w:rsidR="004263E9" w:rsidRPr="00742998">
        <w:rPr>
          <w:rFonts w:ascii="Palatino Linotype" w:eastAsia="Calibri" w:hAnsi="Palatino Linotype" w:cs="Arial"/>
          <w:b/>
          <w:bCs/>
          <w:sz w:val="24"/>
          <w:szCs w:val="24"/>
          <w:lang w:val="es-ES" w:eastAsia="es-ES"/>
        </w:rPr>
        <w:t xml:space="preserve"> </w:t>
      </w:r>
      <w:r w:rsidR="00040019" w:rsidRPr="00742998">
        <w:rPr>
          <w:rFonts w:ascii="Palatino Linotype" w:eastAsia="Calibri" w:hAnsi="Palatino Linotype" w:cs="Arial"/>
          <w:bCs/>
          <w:sz w:val="24"/>
          <w:szCs w:val="24"/>
          <w:lang w:val="es-ES" w:eastAsia="es-ES"/>
        </w:rPr>
        <w:t>la respuesta emitida</w:t>
      </w:r>
      <w:r w:rsidR="004263E9" w:rsidRPr="00742998">
        <w:rPr>
          <w:rFonts w:ascii="Palatino Linotype" w:eastAsia="Calibri" w:hAnsi="Palatino Linotype" w:cs="Arial"/>
          <w:bCs/>
          <w:sz w:val="24"/>
          <w:szCs w:val="24"/>
          <w:lang w:val="es-ES" w:eastAsia="es-ES"/>
        </w:rPr>
        <w:t xml:space="preserve"> por el</w:t>
      </w:r>
      <w:r w:rsidR="004263E9" w:rsidRPr="00742998">
        <w:rPr>
          <w:rFonts w:ascii="Palatino Linotype" w:hAnsi="Palatino Linotype"/>
          <w:b/>
        </w:rPr>
        <w:t xml:space="preserve"> </w:t>
      </w:r>
      <w:r w:rsidR="004263E9" w:rsidRPr="00742998">
        <w:rPr>
          <w:rFonts w:ascii="Palatino Linotype" w:eastAsia="Calibri" w:hAnsi="Palatino Linotype" w:cs="Arial"/>
          <w:b/>
          <w:bCs/>
          <w:sz w:val="24"/>
          <w:szCs w:val="24"/>
          <w:lang w:eastAsia="es-ES"/>
        </w:rPr>
        <w:t xml:space="preserve">Instituto de Transparencia, Acceso a la Información Pública y Protección de Datos Personales del Estado de México y Municipios </w:t>
      </w:r>
      <w:r w:rsidR="004263E9" w:rsidRPr="00742998">
        <w:rPr>
          <w:rFonts w:ascii="Palatino Linotype" w:eastAsia="Calibri" w:hAnsi="Palatino Linotype" w:cs="Arial"/>
          <w:bCs/>
          <w:sz w:val="24"/>
          <w:szCs w:val="24"/>
          <w:lang w:eastAsia="es-ES"/>
        </w:rPr>
        <w:t xml:space="preserve">a la solicitud </w:t>
      </w:r>
      <w:r w:rsidR="004263E9" w:rsidRPr="00742998">
        <w:rPr>
          <w:rFonts w:ascii="Palatino Linotype" w:eastAsia="Calibri" w:hAnsi="Palatino Linotype" w:cs="Arial"/>
          <w:b/>
          <w:bCs/>
          <w:sz w:val="24"/>
          <w:szCs w:val="24"/>
          <w:lang w:eastAsia="es-ES"/>
        </w:rPr>
        <w:t>00765/INFOEM/IP/2020.</w:t>
      </w:r>
    </w:p>
    <w:p w:rsidR="004263E9" w:rsidRPr="00742998" w:rsidRDefault="00A37304" w:rsidP="004263E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42998">
        <w:rPr>
          <w:rFonts w:ascii="Palatino Linotype" w:eastAsia="Palatino Linotype" w:hAnsi="Palatino Linotype" w:cs="Palatino Linotype"/>
          <w:b/>
          <w:sz w:val="24"/>
          <w:szCs w:val="24"/>
          <w:lang w:val="es-ES_tradnl"/>
        </w:rPr>
        <w:t>TERCERO.</w:t>
      </w:r>
      <w:r w:rsidR="004263E9" w:rsidRPr="00742998">
        <w:rPr>
          <w:rFonts w:ascii="Palatino Linotype" w:eastAsia="Palatino Linotype" w:hAnsi="Palatino Linotype" w:cs="Palatino Linotype"/>
          <w:sz w:val="24"/>
          <w:szCs w:val="24"/>
          <w:lang w:val="es-ES_tradnl" w:eastAsia="es-ES"/>
        </w:rPr>
        <w:t xml:space="preserve"> </w:t>
      </w:r>
      <w:r w:rsidR="004263E9" w:rsidRPr="00742998">
        <w:rPr>
          <w:rFonts w:ascii="Palatino Linotype" w:eastAsia="Palatino Linotype" w:hAnsi="Palatino Linotype" w:cs="Palatino Linotype"/>
          <w:b/>
          <w:sz w:val="24"/>
          <w:szCs w:val="24"/>
          <w:lang w:val="es-ES_tradnl" w:eastAsia="es-ES"/>
        </w:rPr>
        <w:t xml:space="preserve">REMÍTASE, </w:t>
      </w:r>
      <w:r w:rsidR="004263E9" w:rsidRPr="00742998">
        <w:rPr>
          <w:rFonts w:ascii="Palatino Linotype" w:eastAsia="Palatino Linotype" w:hAnsi="Palatino Linotype" w:cs="Palatino Linotype"/>
          <w:sz w:val="24"/>
          <w:szCs w:val="24"/>
          <w:lang w:val="es-ES_tradnl" w:eastAsia="es-ES"/>
        </w:rPr>
        <w:t xml:space="preserve">vía Sistema de Acceso a la Información Mexiquense </w:t>
      </w:r>
      <w:r w:rsidR="004263E9" w:rsidRPr="00742998">
        <w:rPr>
          <w:rFonts w:ascii="Palatino Linotype" w:eastAsia="Palatino Linotype" w:hAnsi="Palatino Linotype" w:cs="Palatino Linotype"/>
          <w:b/>
          <w:sz w:val="24"/>
          <w:szCs w:val="24"/>
          <w:lang w:val="es-ES_tradnl" w:eastAsia="es-ES"/>
        </w:rPr>
        <w:t>(SAIMEX)</w:t>
      </w:r>
      <w:r w:rsidR="004263E9" w:rsidRPr="00742998">
        <w:rPr>
          <w:rFonts w:ascii="Palatino Linotype" w:eastAsia="Palatino Linotype" w:hAnsi="Palatino Linotype" w:cs="Palatino Linotype"/>
          <w:sz w:val="24"/>
          <w:szCs w:val="24"/>
          <w:lang w:val="es-ES_tradnl" w:eastAsia="es-ES"/>
        </w:rPr>
        <w:t xml:space="preserve">, la presente resolución al Titular de la Unidad de Transparencia del </w:t>
      </w:r>
      <w:r w:rsidR="004263E9" w:rsidRPr="00742998">
        <w:rPr>
          <w:rFonts w:ascii="Palatino Linotype" w:eastAsia="Palatino Linotype" w:hAnsi="Palatino Linotype" w:cs="Palatino Linotype"/>
          <w:b/>
          <w:sz w:val="24"/>
          <w:szCs w:val="24"/>
          <w:lang w:val="es-ES_tradnl" w:eastAsia="es-ES"/>
        </w:rPr>
        <w:t>SUJETO OBLIGADO.</w:t>
      </w:r>
    </w:p>
    <w:p w:rsidR="00A37304" w:rsidRPr="00742998" w:rsidRDefault="004263E9" w:rsidP="00A37304">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eastAsia="es-ES"/>
        </w:rPr>
      </w:pPr>
      <w:r w:rsidRPr="00742998">
        <w:rPr>
          <w:rFonts w:ascii="Palatino Linotype" w:eastAsia="Palatino Linotype" w:hAnsi="Palatino Linotype" w:cs="Palatino Linotype"/>
          <w:b/>
          <w:sz w:val="24"/>
          <w:szCs w:val="24"/>
          <w:lang w:val="es-ES_tradnl"/>
        </w:rPr>
        <w:t xml:space="preserve"> </w:t>
      </w:r>
    </w:p>
    <w:p w:rsidR="00A37304" w:rsidRPr="00742998" w:rsidRDefault="00A37304" w:rsidP="00A37304">
      <w:pPr>
        <w:shd w:val="clear" w:color="auto" w:fill="FFFFFF"/>
        <w:spacing w:before="240" w:after="360" w:line="360" w:lineRule="auto"/>
        <w:jc w:val="both"/>
        <w:rPr>
          <w:rFonts w:ascii="Palatino Linotype" w:eastAsia="MS Gothic" w:hAnsi="Palatino Linotype" w:cs="Times New Roman"/>
          <w:sz w:val="24"/>
          <w:szCs w:val="24"/>
          <w:lang w:val="es-ES"/>
        </w:rPr>
      </w:pPr>
      <w:bookmarkStart w:id="19" w:name="_Toc462307694"/>
      <w:bookmarkStart w:id="20" w:name="_Toc473806819"/>
      <w:bookmarkStart w:id="21" w:name="_Toc477345211"/>
      <w:bookmarkStart w:id="22" w:name="_Toc480987181"/>
      <w:bookmarkStart w:id="23" w:name="_Toc480996314"/>
      <w:bookmarkStart w:id="24" w:name="_Toc485145214"/>
      <w:bookmarkStart w:id="25" w:name="_Toc489442407"/>
      <w:bookmarkStart w:id="26" w:name="_Toc491350213"/>
      <w:bookmarkStart w:id="27" w:name="_Toc491353103"/>
      <w:bookmarkStart w:id="28" w:name="_Toc491868487"/>
      <w:r w:rsidRPr="00742998">
        <w:rPr>
          <w:rFonts w:ascii="Palatino Linotype" w:eastAsia="MS Gothic" w:hAnsi="Palatino Linotype" w:cs="Times New Roman"/>
          <w:b/>
          <w:sz w:val="24"/>
          <w:szCs w:val="24"/>
        </w:rPr>
        <w:t xml:space="preserve">CUARTO. </w:t>
      </w:r>
      <w:bookmarkEnd w:id="19"/>
      <w:bookmarkEnd w:id="20"/>
      <w:bookmarkEnd w:id="21"/>
      <w:bookmarkEnd w:id="22"/>
      <w:bookmarkEnd w:id="23"/>
      <w:bookmarkEnd w:id="24"/>
      <w:bookmarkEnd w:id="25"/>
      <w:bookmarkEnd w:id="26"/>
      <w:bookmarkEnd w:id="27"/>
      <w:bookmarkEnd w:id="28"/>
      <w:r w:rsidR="004263E9" w:rsidRPr="00742998">
        <w:rPr>
          <w:rFonts w:ascii="Palatino Linotype" w:eastAsia="MS Gothic" w:hAnsi="Palatino Linotype" w:cs="Times New Roman"/>
          <w:b/>
          <w:sz w:val="24"/>
          <w:szCs w:val="24"/>
          <w:lang w:val="es-ES_tradnl"/>
        </w:rPr>
        <w:t xml:space="preserve">Notifíquese al RECURRENTE, </w:t>
      </w:r>
      <w:r w:rsidR="004263E9" w:rsidRPr="00742998">
        <w:rPr>
          <w:rFonts w:ascii="Palatino Linotype" w:eastAsia="MS Gothic" w:hAnsi="Palatino Linotype" w:cs="Times New Roman"/>
          <w:sz w:val="24"/>
          <w:szCs w:val="24"/>
          <w:lang w:val="es-ES_tradnl"/>
        </w:rPr>
        <w:t>la presente</w:t>
      </w:r>
      <w:r w:rsidR="004263E9" w:rsidRPr="00742998">
        <w:rPr>
          <w:rFonts w:ascii="Palatino Linotype" w:eastAsia="MS Gothic" w:hAnsi="Palatino Linotype" w:cs="Times New Roman"/>
          <w:sz w:val="24"/>
          <w:szCs w:val="24"/>
          <w:lang w:val="es-ES"/>
        </w:rPr>
        <w:t xml:space="preserve"> resolución</w:t>
      </w:r>
      <w:r w:rsidR="000514CF" w:rsidRPr="00742998">
        <w:rPr>
          <w:rFonts w:ascii="Palatino Linotype" w:eastAsia="MS Gothic" w:hAnsi="Palatino Linotype" w:cs="Times New Roman"/>
          <w:sz w:val="24"/>
          <w:szCs w:val="24"/>
          <w:lang w:val="es-ES"/>
        </w:rPr>
        <w:t>.</w:t>
      </w:r>
    </w:p>
    <w:p w:rsidR="00822CE4" w:rsidRPr="00742998" w:rsidRDefault="000514CF" w:rsidP="00822CE4">
      <w:pPr>
        <w:spacing w:before="240" w:after="360" w:line="360" w:lineRule="auto"/>
        <w:jc w:val="both"/>
        <w:rPr>
          <w:rFonts w:ascii="Palatino Linotype" w:eastAsia="MS Mincho" w:hAnsi="Palatino Linotype" w:cs="Times New Roman"/>
          <w:sz w:val="24"/>
          <w:szCs w:val="24"/>
          <w:lang w:val="es-ES"/>
        </w:rPr>
      </w:pPr>
      <w:r w:rsidRPr="00742998">
        <w:rPr>
          <w:rFonts w:ascii="Palatino Linotype" w:eastAsia="MS Gothic" w:hAnsi="Palatino Linotype" w:cs="Times New Roman"/>
          <w:b/>
          <w:sz w:val="24"/>
          <w:szCs w:val="24"/>
          <w:lang w:val="es-ES"/>
        </w:rPr>
        <w:t>QUINTO.</w:t>
      </w:r>
      <w:r w:rsidRPr="00742998">
        <w:rPr>
          <w:rFonts w:ascii="Palatino Linotype" w:eastAsia="MS Gothic" w:hAnsi="Palatino Linotype" w:cs="Times New Roman"/>
          <w:sz w:val="24"/>
          <w:szCs w:val="24"/>
          <w:lang w:val="es-ES"/>
        </w:rPr>
        <w:t xml:space="preserve"> </w:t>
      </w:r>
      <w:bookmarkEnd w:id="16"/>
      <w:bookmarkEnd w:id="17"/>
      <w:bookmarkEnd w:id="18"/>
      <w:r w:rsidR="00822CE4" w:rsidRPr="00742998">
        <w:rPr>
          <w:rFonts w:ascii="Palatino Linotype" w:eastAsia="MS Mincho" w:hAnsi="Palatino Linotype" w:cs="Times New Roman"/>
          <w:color w:val="000000" w:themeColor="text1"/>
          <w:sz w:val="24"/>
          <w:szCs w:val="24"/>
        </w:rPr>
        <w:t xml:space="preserve">Se hace del conocimiento del </w:t>
      </w:r>
      <w:r w:rsidR="00822CE4" w:rsidRPr="00742998">
        <w:rPr>
          <w:rFonts w:ascii="Palatino Linotype" w:eastAsia="MS Mincho" w:hAnsi="Palatino Linotype" w:cs="Times New Roman"/>
          <w:b/>
          <w:color w:val="000000" w:themeColor="text1"/>
          <w:sz w:val="24"/>
          <w:szCs w:val="24"/>
        </w:rPr>
        <w:t xml:space="preserve">RECURRENTE </w:t>
      </w:r>
      <w:r w:rsidR="00822CE4" w:rsidRPr="00742998">
        <w:rPr>
          <w:rFonts w:ascii="Palatino Linotype" w:eastAsia="MS Mincho" w:hAnsi="Palatino Linotype" w:cs="Times New Roman"/>
          <w:color w:val="000000" w:themeColor="text1"/>
          <w:sz w:val="24"/>
          <w:szCs w:val="24"/>
        </w:rPr>
        <w:t xml:space="preserve">que, </w:t>
      </w:r>
      <w:r w:rsidR="00822CE4" w:rsidRPr="00742998">
        <w:rPr>
          <w:rFonts w:ascii="Palatino Linotype" w:eastAsia="MS Mincho" w:hAnsi="Palatino Linotype" w:cs="Times New Roman"/>
          <w:sz w:val="24"/>
          <w:szCs w:val="24"/>
          <w:lang w:val="es-ES"/>
        </w:rPr>
        <w:t xml:space="preserve">de conformidad con lo establecido en el artículo 196 de la Ley de Transparencia y Acceso a la Información Pública del Estado de México y Municipios, </w:t>
      </w:r>
      <w:r w:rsidR="00822CE4" w:rsidRPr="00742998">
        <w:rPr>
          <w:rFonts w:ascii="Palatino Linotype" w:hAnsi="Palatino Linotype"/>
          <w:color w:val="000000"/>
          <w:sz w:val="24"/>
          <w:szCs w:val="24"/>
        </w:rPr>
        <w:t xml:space="preserve">y en lo dispuesto en los artículos </w:t>
      </w:r>
      <w:r w:rsidR="00822CE4" w:rsidRPr="00742998">
        <w:rPr>
          <w:rStyle w:val="il"/>
          <w:rFonts w:ascii="Palatino Linotype" w:hAnsi="Palatino Linotype"/>
          <w:color w:val="000000"/>
          <w:sz w:val="24"/>
          <w:szCs w:val="24"/>
        </w:rPr>
        <w:t xml:space="preserve">159 </w:t>
      </w:r>
      <w:r w:rsidR="00822CE4" w:rsidRPr="00742998">
        <w:rPr>
          <w:rFonts w:ascii="Palatino Linotype" w:hAnsi="Palatino Linotype"/>
          <w:color w:val="000000"/>
          <w:sz w:val="24"/>
          <w:szCs w:val="24"/>
        </w:rPr>
        <w:t>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822CE4" w:rsidRPr="00742998">
        <w:rPr>
          <w:rFonts w:ascii="Palatino Linotype" w:eastAsia="MS Mincho" w:hAnsi="Palatino Linotype" w:cs="Times New Roman"/>
          <w:sz w:val="24"/>
          <w:szCs w:val="24"/>
          <w:lang w:val="es-ES"/>
        </w:rPr>
        <w:t xml:space="preserve">, o bien, </w:t>
      </w:r>
      <w:r w:rsidR="00822CE4" w:rsidRPr="00742998">
        <w:rPr>
          <w:rFonts w:ascii="Palatino Linotype" w:eastAsia="MS Mincho" w:hAnsi="Palatino Linotype" w:cs="Times New Roman"/>
          <w:bCs/>
          <w:sz w:val="24"/>
          <w:szCs w:val="24"/>
          <w:lang w:val="es-ES"/>
        </w:rPr>
        <w:t>vía juicio de amparo</w:t>
      </w:r>
      <w:r w:rsidR="00822CE4" w:rsidRPr="00742998">
        <w:rPr>
          <w:rFonts w:ascii="Palatino Linotype" w:eastAsia="MS Mincho" w:hAnsi="Palatino Linotype" w:cs="Times New Roman"/>
          <w:sz w:val="24"/>
          <w:szCs w:val="24"/>
          <w:lang w:val="es-ES"/>
        </w:rPr>
        <w:t> en los términos de las leyes aplicables.</w:t>
      </w:r>
    </w:p>
    <w:p w:rsidR="00A37304" w:rsidRPr="00742998" w:rsidRDefault="00A37304" w:rsidP="00822CE4">
      <w:pPr>
        <w:shd w:val="clear" w:color="auto" w:fill="FFFFFF"/>
        <w:spacing w:before="240" w:after="360" w:line="360" w:lineRule="auto"/>
        <w:jc w:val="both"/>
        <w:rPr>
          <w:rFonts w:ascii="Palatino Linotype" w:hAnsi="Palatino Linotype" w:cs="Arial"/>
          <w:sz w:val="24"/>
          <w:szCs w:val="24"/>
        </w:rPr>
      </w:pPr>
      <w:r w:rsidRPr="00742998">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742998">
        <w:rPr>
          <w:rFonts w:ascii="Palatino Linotype" w:eastAsiaTheme="minorEastAsia" w:hAnsi="Palatino Linotype"/>
          <w:sz w:val="24"/>
          <w:szCs w:val="24"/>
          <w:lang w:val="es-ES_tradnl" w:eastAsia="es-ES"/>
        </w:rPr>
        <w:t>Y LUIS GUSTAVO PARRA NORIEGA</w:t>
      </w:r>
      <w:r w:rsidRPr="00742998">
        <w:rPr>
          <w:rFonts w:ascii="Palatino Linotype" w:hAnsi="Palatino Linotype"/>
          <w:sz w:val="24"/>
          <w:szCs w:val="24"/>
        </w:rPr>
        <w:t xml:space="preserve">; EN LA </w:t>
      </w:r>
      <w:r w:rsidR="00742998">
        <w:rPr>
          <w:rFonts w:ascii="Palatino Linotype" w:hAnsi="Palatino Linotype"/>
          <w:sz w:val="24"/>
          <w:szCs w:val="24"/>
        </w:rPr>
        <w:t>VIGÉSIMA</w:t>
      </w:r>
      <w:r w:rsidR="006148CA" w:rsidRPr="00742998">
        <w:rPr>
          <w:rFonts w:ascii="Palatino Linotype" w:hAnsi="Palatino Linotype"/>
          <w:sz w:val="24"/>
          <w:szCs w:val="24"/>
        </w:rPr>
        <w:t xml:space="preserve"> SÉPTIMA</w:t>
      </w:r>
      <w:r w:rsidRPr="00742998">
        <w:rPr>
          <w:rFonts w:ascii="Palatino Linotype" w:hAnsi="Palatino Linotype"/>
          <w:sz w:val="24"/>
          <w:szCs w:val="24"/>
        </w:rPr>
        <w:t xml:space="preserve"> ORDINARIA CELEBRADA </w:t>
      </w:r>
      <w:r w:rsidR="004263E9" w:rsidRPr="00742998">
        <w:rPr>
          <w:rFonts w:ascii="Palatino Linotype" w:hAnsi="Palatino Linotype"/>
          <w:sz w:val="24"/>
          <w:szCs w:val="24"/>
        </w:rPr>
        <w:t>EL DIECINUEVE (19</w:t>
      </w:r>
      <w:r w:rsidRPr="00742998">
        <w:rPr>
          <w:rFonts w:ascii="Palatino Linotype" w:hAnsi="Palatino Linotype"/>
          <w:sz w:val="24"/>
          <w:szCs w:val="24"/>
        </w:rPr>
        <w:t xml:space="preserve">) DE </w:t>
      </w:r>
      <w:r w:rsidR="006148CA" w:rsidRPr="00742998">
        <w:rPr>
          <w:rFonts w:ascii="Palatino Linotype" w:hAnsi="Palatino Linotype"/>
          <w:sz w:val="24"/>
          <w:szCs w:val="24"/>
        </w:rPr>
        <w:t>NOVIEMBRE</w:t>
      </w:r>
      <w:r w:rsidRPr="00742998">
        <w:rPr>
          <w:rFonts w:ascii="Palatino Linotype" w:hAnsi="Palatino Linotype"/>
          <w:sz w:val="24"/>
          <w:szCs w:val="24"/>
        </w:rPr>
        <w:t xml:space="preserve"> DE DOS MIL VEINTE, ANTE EL SECRETARIO TÉCNICO DEL PLENO ALEXIS TAPIA </w:t>
      </w:r>
      <w:r w:rsidR="00742998" w:rsidRPr="00742998">
        <w:rPr>
          <w:rFonts w:ascii="Palatino Linotype" w:hAnsi="Palatino Linotype"/>
          <w:sz w:val="24"/>
          <w:szCs w:val="24"/>
        </w:rPr>
        <w:t>RAMÍREZ</w:t>
      </w:r>
      <w:r w:rsidRPr="00742998">
        <w:rPr>
          <w:rFonts w:ascii="Palatino Linotype" w:hAnsi="Palatino Linotype"/>
          <w:sz w:val="24"/>
          <w:szCs w:val="24"/>
        </w:rPr>
        <w:t>.</w:t>
      </w:r>
      <w:r w:rsidRPr="00742998">
        <w:rPr>
          <w:rFonts w:ascii="Palatino Linotype" w:hAnsi="Palatino Linotype" w:cs="Arial"/>
          <w:sz w:val="24"/>
          <w:szCs w:val="24"/>
        </w:rPr>
        <w:t xml:space="preserve"> </w:t>
      </w:r>
    </w:p>
    <w:p w:rsidR="00A37304" w:rsidRPr="00742998" w:rsidRDefault="00A37304" w:rsidP="00A37304"/>
    <w:tbl>
      <w:tblPr>
        <w:tblW w:w="0" w:type="auto"/>
        <w:tblLook w:val="04A0" w:firstRow="1" w:lastRow="0" w:firstColumn="1" w:lastColumn="0" w:noHBand="0" w:noVBand="1"/>
      </w:tblPr>
      <w:tblGrid>
        <w:gridCol w:w="4348"/>
        <w:gridCol w:w="4349"/>
      </w:tblGrid>
      <w:tr w:rsidR="00A37304" w:rsidRPr="00742998" w:rsidTr="004263E9">
        <w:trPr>
          <w:trHeight w:val="1168"/>
        </w:trPr>
        <w:tc>
          <w:tcPr>
            <w:tcW w:w="8697" w:type="dxa"/>
            <w:gridSpan w:val="2"/>
            <w:vAlign w:val="center"/>
          </w:tcPr>
          <w:p w:rsidR="00A37304" w:rsidRPr="00742998" w:rsidRDefault="00A37304" w:rsidP="004263E9">
            <w:pPr>
              <w:rPr>
                <w:rFonts w:ascii="Palatino Linotype" w:hAnsi="Palatino Linotype"/>
                <w:b/>
                <w:sz w:val="24"/>
                <w:szCs w:val="24"/>
                <w:lang w:val="es-ES_tradnl"/>
              </w:rPr>
            </w:pPr>
          </w:p>
          <w:p w:rsidR="00A37304" w:rsidRPr="00742998" w:rsidRDefault="00A37304" w:rsidP="004263E9">
            <w:pPr>
              <w:jc w:val="center"/>
              <w:rPr>
                <w:rFonts w:ascii="Palatino Linotype" w:hAnsi="Palatino Linotype"/>
                <w:b/>
                <w:sz w:val="24"/>
                <w:szCs w:val="24"/>
                <w:lang w:val="es-ES_tradnl"/>
              </w:rPr>
            </w:pPr>
            <w:r w:rsidRPr="00742998">
              <w:rPr>
                <w:rFonts w:ascii="Palatino Linotype" w:hAnsi="Palatino Linotype"/>
                <w:b/>
                <w:sz w:val="24"/>
                <w:szCs w:val="24"/>
                <w:lang w:val="es-ES_tradnl"/>
              </w:rPr>
              <w:t>Zulema Martínez Sánchez</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Comisionada Presidenta</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(Rúbrica)</w:t>
            </w:r>
          </w:p>
        </w:tc>
      </w:tr>
      <w:tr w:rsidR="00A37304" w:rsidRPr="00742998" w:rsidTr="004263E9">
        <w:trPr>
          <w:trHeight w:val="1395"/>
        </w:trPr>
        <w:tc>
          <w:tcPr>
            <w:tcW w:w="4348" w:type="dxa"/>
            <w:vAlign w:val="center"/>
          </w:tcPr>
          <w:p w:rsidR="00A37304" w:rsidRPr="00742998" w:rsidRDefault="00A37304" w:rsidP="004263E9">
            <w:pPr>
              <w:rPr>
                <w:rFonts w:ascii="Palatino Linotype" w:hAnsi="Palatino Linotype"/>
                <w:b/>
                <w:sz w:val="24"/>
                <w:szCs w:val="24"/>
                <w:lang w:val="es-ES_tradnl"/>
              </w:rPr>
            </w:pPr>
          </w:p>
          <w:p w:rsidR="00A37304" w:rsidRPr="00742998" w:rsidRDefault="00A37304" w:rsidP="004263E9">
            <w:pPr>
              <w:rPr>
                <w:rFonts w:ascii="Palatino Linotype" w:hAnsi="Palatino Linotype"/>
                <w:b/>
                <w:sz w:val="24"/>
                <w:szCs w:val="24"/>
                <w:lang w:val="es-ES_tradnl"/>
              </w:rPr>
            </w:pPr>
          </w:p>
          <w:p w:rsidR="00A37304" w:rsidRPr="00742998" w:rsidRDefault="00A37304" w:rsidP="004263E9">
            <w:pPr>
              <w:rPr>
                <w:rFonts w:ascii="Palatino Linotype" w:hAnsi="Palatino Linotype"/>
                <w:b/>
                <w:sz w:val="24"/>
                <w:szCs w:val="24"/>
                <w:lang w:val="es-ES_tradnl"/>
              </w:rPr>
            </w:pPr>
          </w:p>
          <w:p w:rsidR="00A37304" w:rsidRPr="00742998" w:rsidRDefault="00A37304" w:rsidP="004263E9">
            <w:pPr>
              <w:jc w:val="center"/>
              <w:rPr>
                <w:rFonts w:ascii="Palatino Linotype" w:hAnsi="Palatino Linotype"/>
                <w:b/>
                <w:sz w:val="24"/>
                <w:szCs w:val="24"/>
                <w:lang w:val="es-ES_tradnl"/>
              </w:rPr>
            </w:pPr>
            <w:r w:rsidRPr="00742998">
              <w:rPr>
                <w:rFonts w:ascii="Palatino Linotype" w:hAnsi="Palatino Linotype"/>
                <w:b/>
                <w:sz w:val="24"/>
                <w:szCs w:val="24"/>
                <w:lang w:val="es-ES_tradnl"/>
              </w:rPr>
              <w:t xml:space="preserve">Eva </w:t>
            </w:r>
            <w:proofErr w:type="spellStart"/>
            <w:r w:rsidRPr="00742998">
              <w:rPr>
                <w:rFonts w:ascii="Palatino Linotype" w:hAnsi="Palatino Linotype"/>
                <w:b/>
                <w:sz w:val="24"/>
                <w:szCs w:val="24"/>
                <w:lang w:val="es-ES_tradnl"/>
              </w:rPr>
              <w:t>Abaid</w:t>
            </w:r>
            <w:proofErr w:type="spellEnd"/>
            <w:r w:rsidRPr="00742998">
              <w:rPr>
                <w:rFonts w:ascii="Palatino Linotype" w:hAnsi="Palatino Linotype"/>
                <w:b/>
                <w:sz w:val="24"/>
                <w:szCs w:val="24"/>
                <w:lang w:val="es-ES_tradnl"/>
              </w:rPr>
              <w:t xml:space="preserve"> </w:t>
            </w:r>
            <w:proofErr w:type="spellStart"/>
            <w:r w:rsidRPr="00742998">
              <w:rPr>
                <w:rFonts w:ascii="Palatino Linotype" w:hAnsi="Palatino Linotype"/>
                <w:b/>
                <w:sz w:val="24"/>
                <w:szCs w:val="24"/>
                <w:lang w:val="es-ES_tradnl"/>
              </w:rPr>
              <w:t>Yapur</w:t>
            </w:r>
            <w:proofErr w:type="spellEnd"/>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Comisionada</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(Rúbrica)</w:t>
            </w:r>
          </w:p>
        </w:tc>
        <w:tc>
          <w:tcPr>
            <w:tcW w:w="4349" w:type="dxa"/>
            <w:vAlign w:val="center"/>
          </w:tcPr>
          <w:p w:rsidR="00A37304" w:rsidRPr="00742998" w:rsidRDefault="00A37304" w:rsidP="004263E9">
            <w:pPr>
              <w:rPr>
                <w:rFonts w:ascii="Palatino Linotype" w:hAnsi="Palatino Linotype"/>
                <w:b/>
                <w:sz w:val="24"/>
                <w:szCs w:val="24"/>
                <w:lang w:val="es-ES_tradnl"/>
              </w:rPr>
            </w:pPr>
          </w:p>
          <w:p w:rsidR="00A37304" w:rsidRPr="00742998" w:rsidRDefault="00A37304" w:rsidP="004263E9">
            <w:pPr>
              <w:jc w:val="center"/>
              <w:rPr>
                <w:rFonts w:ascii="Palatino Linotype" w:hAnsi="Palatino Linotype"/>
                <w:b/>
                <w:sz w:val="24"/>
                <w:szCs w:val="24"/>
                <w:lang w:val="es-ES_tradnl"/>
              </w:rPr>
            </w:pPr>
          </w:p>
          <w:p w:rsidR="00A37304" w:rsidRPr="00742998" w:rsidRDefault="00A37304" w:rsidP="004263E9">
            <w:pPr>
              <w:jc w:val="center"/>
              <w:rPr>
                <w:rFonts w:ascii="Palatino Linotype" w:hAnsi="Palatino Linotype"/>
                <w:b/>
                <w:sz w:val="24"/>
                <w:szCs w:val="24"/>
                <w:lang w:val="es-ES_tradnl"/>
              </w:rPr>
            </w:pPr>
            <w:r w:rsidRPr="00742998">
              <w:rPr>
                <w:rFonts w:ascii="Palatino Linotype" w:hAnsi="Palatino Linotype"/>
                <w:b/>
                <w:sz w:val="24"/>
                <w:szCs w:val="24"/>
                <w:lang w:val="es-ES_tradnl"/>
              </w:rPr>
              <w:t>José Guadalupe Luna Hernández</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Comisionado</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(Rúbrica)</w:t>
            </w:r>
          </w:p>
        </w:tc>
      </w:tr>
      <w:tr w:rsidR="00A37304" w:rsidRPr="00742998" w:rsidTr="004263E9">
        <w:trPr>
          <w:trHeight w:val="1451"/>
        </w:trPr>
        <w:tc>
          <w:tcPr>
            <w:tcW w:w="4348" w:type="dxa"/>
            <w:vAlign w:val="center"/>
          </w:tcPr>
          <w:p w:rsidR="00A37304" w:rsidRPr="00742998" w:rsidRDefault="00A37304" w:rsidP="004263E9">
            <w:pPr>
              <w:jc w:val="center"/>
              <w:rPr>
                <w:rFonts w:ascii="Palatino Linotype" w:hAnsi="Palatino Linotype"/>
                <w:b/>
                <w:sz w:val="24"/>
                <w:szCs w:val="24"/>
                <w:lang w:val="es-ES_tradnl"/>
              </w:rPr>
            </w:pPr>
          </w:p>
          <w:p w:rsidR="00A37304" w:rsidRDefault="00A37304" w:rsidP="004263E9">
            <w:pPr>
              <w:jc w:val="center"/>
              <w:rPr>
                <w:rFonts w:ascii="Palatino Linotype" w:hAnsi="Palatino Linotype"/>
                <w:b/>
                <w:sz w:val="24"/>
                <w:szCs w:val="24"/>
                <w:lang w:val="es-ES_tradnl"/>
              </w:rPr>
            </w:pPr>
          </w:p>
          <w:p w:rsidR="00742998" w:rsidRDefault="00742998" w:rsidP="004263E9">
            <w:pPr>
              <w:jc w:val="center"/>
              <w:rPr>
                <w:rFonts w:ascii="Palatino Linotype" w:hAnsi="Palatino Linotype"/>
                <w:b/>
                <w:sz w:val="24"/>
                <w:szCs w:val="24"/>
                <w:lang w:val="es-ES_tradnl"/>
              </w:rPr>
            </w:pPr>
          </w:p>
          <w:p w:rsidR="00742998" w:rsidRPr="00742998" w:rsidRDefault="00742998" w:rsidP="004263E9">
            <w:pPr>
              <w:jc w:val="center"/>
              <w:rPr>
                <w:rFonts w:ascii="Palatino Linotype" w:hAnsi="Palatino Linotype"/>
                <w:b/>
                <w:sz w:val="24"/>
                <w:szCs w:val="24"/>
                <w:lang w:val="es-ES_tradnl"/>
              </w:rPr>
            </w:pPr>
          </w:p>
          <w:p w:rsidR="00A37304" w:rsidRPr="00742998" w:rsidRDefault="00A37304" w:rsidP="004263E9">
            <w:pPr>
              <w:jc w:val="center"/>
              <w:rPr>
                <w:rFonts w:ascii="Palatino Linotype" w:hAnsi="Palatino Linotype"/>
                <w:b/>
                <w:sz w:val="24"/>
                <w:szCs w:val="24"/>
                <w:lang w:val="es-ES_tradnl"/>
              </w:rPr>
            </w:pPr>
            <w:r w:rsidRPr="00742998">
              <w:rPr>
                <w:rFonts w:ascii="Palatino Linotype" w:hAnsi="Palatino Linotype"/>
                <w:b/>
                <w:sz w:val="24"/>
                <w:szCs w:val="24"/>
                <w:lang w:val="es-ES_tradnl"/>
              </w:rPr>
              <w:t>Javier Martínez Cruz</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Comisionado</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(Rúbrica)</w:t>
            </w:r>
          </w:p>
        </w:tc>
        <w:tc>
          <w:tcPr>
            <w:tcW w:w="4349" w:type="dxa"/>
            <w:vAlign w:val="center"/>
          </w:tcPr>
          <w:p w:rsidR="00A37304" w:rsidRPr="00742998" w:rsidRDefault="00A37304" w:rsidP="004263E9">
            <w:pPr>
              <w:jc w:val="center"/>
              <w:rPr>
                <w:rFonts w:ascii="Palatino Linotype" w:hAnsi="Palatino Linotype"/>
                <w:b/>
                <w:sz w:val="24"/>
                <w:szCs w:val="24"/>
                <w:lang w:val="es-ES_tradnl"/>
              </w:rPr>
            </w:pPr>
          </w:p>
          <w:p w:rsidR="00A37304" w:rsidRDefault="00A37304" w:rsidP="004263E9">
            <w:pPr>
              <w:jc w:val="center"/>
              <w:rPr>
                <w:rFonts w:ascii="Palatino Linotype" w:hAnsi="Palatino Linotype"/>
                <w:b/>
                <w:sz w:val="24"/>
                <w:szCs w:val="24"/>
                <w:lang w:val="es-ES_tradnl"/>
              </w:rPr>
            </w:pPr>
          </w:p>
          <w:p w:rsidR="00742998" w:rsidRDefault="00742998" w:rsidP="004263E9">
            <w:pPr>
              <w:jc w:val="center"/>
              <w:rPr>
                <w:rFonts w:ascii="Palatino Linotype" w:hAnsi="Palatino Linotype"/>
                <w:b/>
                <w:sz w:val="24"/>
                <w:szCs w:val="24"/>
                <w:lang w:val="es-ES_tradnl"/>
              </w:rPr>
            </w:pPr>
          </w:p>
          <w:p w:rsidR="00742998" w:rsidRPr="00742998" w:rsidRDefault="00742998" w:rsidP="004263E9">
            <w:pPr>
              <w:jc w:val="center"/>
              <w:rPr>
                <w:rFonts w:ascii="Palatino Linotype" w:hAnsi="Palatino Linotype"/>
                <w:b/>
                <w:sz w:val="24"/>
                <w:szCs w:val="24"/>
                <w:lang w:val="es-ES_tradnl"/>
              </w:rPr>
            </w:pPr>
          </w:p>
          <w:p w:rsidR="00A37304" w:rsidRPr="00742998" w:rsidRDefault="00A37304" w:rsidP="004263E9">
            <w:pPr>
              <w:jc w:val="center"/>
              <w:rPr>
                <w:rFonts w:ascii="Palatino Linotype" w:hAnsi="Palatino Linotype"/>
                <w:b/>
                <w:sz w:val="24"/>
                <w:szCs w:val="24"/>
                <w:lang w:val="es-ES_tradnl"/>
              </w:rPr>
            </w:pPr>
            <w:r w:rsidRPr="00742998">
              <w:rPr>
                <w:rFonts w:ascii="Palatino Linotype" w:hAnsi="Palatino Linotype"/>
                <w:b/>
                <w:sz w:val="24"/>
                <w:szCs w:val="24"/>
                <w:lang w:val="es-ES_tradnl"/>
              </w:rPr>
              <w:t>Luis Gustavo Parra Noriega</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Comisionado</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(Rúbrica)</w:t>
            </w:r>
          </w:p>
        </w:tc>
      </w:tr>
      <w:tr w:rsidR="00A37304" w:rsidRPr="00742998" w:rsidTr="004263E9">
        <w:trPr>
          <w:trHeight w:val="1263"/>
        </w:trPr>
        <w:tc>
          <w:tcPr>
            <w:tcW w:w="8697" w:type="dxa"/>
            <w:gridSpan w:val="2"/>
            <w:vAlign w:val="center"/>
          </w:tcPr>
          <w:p w:rsidR="00A37304" w:rsidRPr="00742998" w:rsidRDefault="00A37304" w:rsidP="004263E9">
            <w:pPr>
              <w:rPr>
                <w:rFonts w:ascii="Palatino Linotype" w:hAnsi="Palatino Linotype"/>
                <w:b/>
                <w:sz w:val="24"/>
                <w:szCs w:val="24"/>
                <w:lang w:val="es-ES_tradnl"/>
              </w:rPr>
            </w:pPr>
          </w:p>
          <w:p w:rsidR="00A37304" w:rsidRPr="00742998" w:rsidRDefault="00A37304" w:rsidP="004263E9">
            <w:pPr>
              <w:rPr>
                <w:rFonts w:ascii="Palatino Linotype" w:hAnsi="Palatino Linotype"/>
                <w:b/>
                <w:sz w:val="24"/>
                <w:szCs w:val="24"/>
                <w:lang w:val="es-ES_tradnl"/>
              </w:rPr>
            </w:pPr>
          </w:p>
          <w:p w:rsidR="00A37304" w:rsidRPr="00742998" w:rsidRDefault="00A37304" w:rsidP="004263E9">
            <w:pPr>
              <w:rPr>
                <w:rFonts w:ascii="Palatino Linotype" w:hAnsi="Palatino Linotype"/>
                <w:b/>
                <w:sz w:val="24"/>
                <w:szCs w:val="24"/>
                <w:lang w:val="es-ES_tradnl"/>
              </w:rPr>
            </w:pPr>
          </w:p>
          <w:p w:rsidR="00A37304" w:rsidRPr="00742998" w:rsidRDefault="00A37304" w:rsidP="004263E9">
            <w:pPr>
              <w:rPr>
                <w:rFonts w:ascii="Palatino Linotype" w:hAnsi="Palatino Linotype"/>
                <w:b/>
                <w:sz w:val="24"/>
                <w:szCs w:val="24"/>
                <w:lang w:val="es-ES_tradnl"/>
              </w:rPr>
            </w:pPr>
          </w:p>
          <w:p w:rsidR="00A37304" w:rsidRPr="00742998" w:rsidRDefault="00A37304" w:rsidP="004263E9">
            <w:pPr>
              <w:jc w:val="center"/>
              <w:rPr>
                <w:rFonts w:ascii="Palatino Linotype" w:hAnsi="Palatino Linotype"/>
                <w:b/>
                <w:sz w:val="24"/>
                <w:szCs w:val="24"/>
                <w:lang w:val="es-ES_tradnl"/>
              </w:rPr>
            </w:pPr>
            <w:r w:rsidRPr="00742998">
              <w:rPr>
                <w:rFonts w:ascii="Palatino Linotype" w:hAnsi="Palatino Linotype"/>
                <w:b/>
                <w:sz w:val="24"/>
                <w:szCs w:val="24"/>
                <w:lang w:val="es-ES_tradnl"/>
              </w:rPr>
              <w:t>Alexis Tapia Ramírez</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Secretario Técnico del Pleno</w:t>
            </w:r>
          </w:p>
          <w:p w:rsidR="00A37304" w:rsidRPr="00742998" w:rsidRDefault="00A37304" w:rsidP="004263E9">
            <w:pPr>
              <w:jc w:val="center"/>
              <w:rPr>
                <w:rFonts w:ascii="Palatino Linotype" w:hAnsi="Palatino Linotype"/>
                <w:sz w:val="24"/>
                <w:szCs w:val="24"/>
                <w:lang w:val="es-ES_tradnl"/>
              </w:rPr>
            </w:pPr>
            <w:r w:rsidRPr="00742998">
              <w:rPr>
                <w:rFonts w:ascii="Palatino Linotype" w:hAnsi="Palatino Linotype"/>
                <w:sz w:val="24"/>
                <w:szCs w:val="24"/>
                <w:lang w:val="es-ES_tradnl"/>
              </w:rPr>
              <w:t>(Rúbrica)</w:t>
            </w:r>
          </w:p>
        </w:tc>
      </w:tr>
    </w:tbl>
    <w:p w:rsidR="00A37304" w:rsidRPr="00742998" w:rsidRDefault="00A37304" w:rsidP="00A37304"/>
    <w:p w:rsidR="00A37304" w:rsidRPr="00650862" w:rsidRDefault="00A37304" w:rsidP="00581350">
      <w:pPr>
        <w:jc w:val="both"/>
        <w:rPr>
          <w:rFonts w:ascii="Palatino Linotype" w:hAnsi="Palatino Linotype"/>
          <w:sz w:val="24"/>
          <w:szCs w:val="24"/>
        </w:rPr>
      </w:pPr>
      <w:r w:rsidRPr="00742998">
        <w:rPr>
          <w:rFonts w:ascii="Palatino Linotype" w:hAnsi="Palatino Linotype"/>
          <w:sz w:val="24"/>
          <w:szCs w:val="24"/>
          <w:lang w:val="es-ES_tradnl"/>
        </w:rPr>
        <w:t xml:space="preserve">Esta hoja corresponde a la resolución de fecha </w:t>
      </w:r>
      <w:r w:rsidR="006148CA" w:rsidRPr="00742998">
        <w:rPr>
          <w:rFonts w:ascii="Palatino Linotype" w:hAnsi="Palatino Linotype"/>
          <w:b/>
          <w:sz w:val="24"/>
          <w:szCs w:val="24"/>
          <w:lang w:val="es-ES_tradnl"/>
        </w:rPr>
        <w:t>diecinueve</w:t>
      </w:r>
      <w:r w:rsidRPr="00742998">
        <w:rPr>
          <w:rFonts w:ascii="Palatino Linotype" w:hAnsi="Palatino Linotype"/>
          <w:b/>
          <w:sz w:val="24"/>
          <w:szCs w:val="24"/>
          <w:lang w:val="es-ES_tradnl"/>
        </w:rPr>
        <w:t xml:space="preserve"> (1</w:t>
      </w:r>
      <w:r w:rsidR="006148CA" w:rsidRPr="00742998">
        <w:rPr>
          <w:rFonts w:ascii="Palatino Linotype" w:hAnsi="Palatino Linotype"/>
          <w:b/>
          <w:sz w:val="24"/>
          <w:szCs w:val="24"/>
          <w:lang w:val="es-ES_tradnl"/>
        </w:rPr>
        <w:t>9) de noviembre</w:t>
      </w:r>
      <w:r w:rsidRPr="00742998">
        <w:rPr>
          <w:rFonts w:ascii="Palatino Linotype" w:hAnsi="Palatino Linotype"/>
          <w:sz w:val="24"/>
          <w:szCs w:val="24"/>
          <w:lang w:val="es-ES_tradnl"/>
        </w:rPr>
        <w:t xml:space="preserve"> de dos mil veinte, emitida en el recurso de revisión </w:t>
      </w:r>
      <w:r w:rsidR="006148CA" w:rsidRPr="00742998">
        <w:rPr>
          <w:rFonts w:ascii="Palatino Linotype" w:hAnsi="Palatino Linotype"/>
          <w:b/>
          <w:sz w:val="24"/>
          <w:szCs w:val="24"/>
          <w:lang w:val="es-ES_tradnl"/>
        </w:rPr>
        <w:t>04033</w:t>
      </w:r>
      <w:r w:rsidRPr="00742998">
        <w:rPr>
          <w:rFonts w:ascii="Palatino Linotype" w:hAnsi="Palatino Linotype"/>
          <w:b/>
          <w:sz w:val="24"/>
          <w:szCs w:val="24"/>
          <w:lang w:val="es-ES_tradnl"/>
        </w:rPr>
        <w:t>/INFOEM/IP/RR/2020</w:t>
      </w:r>
    </w:p>
    <w:p w:rsidR="00A37304" w:rsidRPr="00650862" w:rsidRDefault="00A37304" w:rsidP="00A37304">
      <w:pPr>
        <w:rPr>
          <w:rFonts w:ascii="Palatino Linotype" w:hAnsi="Palatino Linotype"/>
          <w:sz w:val="24"/>
          <w:szCs w:val="24"/>
        </w:rPr>
      </w:pPr>
    </w:p>
    <w:p w:rsidR="00A37304" w:rsidRPr="00773331" w:rsidRDefault="00A37304" w:rsidP="00A37304"/>
    <w:p w:rsidR="00A37304" w:rsidRDefault="00A37304" w:rsidP="00A37304"/>
    <w:p w:rsidR="00A37304" w:rsidRDefault="00A37304" w:rsidP="00A37304"/>
    <w:p w:rsidR="003E010B" w:rsidRDefault="003E010B"/>
    <w:sectPr w:rsidR="003E010B" w:rsidSect="004263E9">
      <w:headerReference w:type="even" r:id="rId8"/>
      <w:headerReference w:type="default" r:id="rId9"/>
      <w:footerReference w:type="default" r:id="rId10"/>
      <w:headerReference w:type="first" r:id="rId11"/>
      <w:footerReference w:type="first" r:id="rId12"/>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BC3" w:rsidRDefault="00B86BC3" w:rsidP="00A37304">
      <w:pPr>
        <w:spacing w:after="0" w:line="240" w:lineRule="auto"/>
      </w:pPr>
      <w:r>
        <w:separator/>
      </w:r>
    </w:p>
  </w:endnote>
  <w:endnote w:type="continuationSeparator" w:id="0">
    <w:p w:rsidR="00B86BC3" w:rsidRDefault="00B86BC3" w:rsidP="00A3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4263E9" w:rsidRPr="00883450" w:rsidRDefault="004263E9">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E3139">
              <w:rPr>
                <w:rFonts w:ascii="Palatino Linotype" w:hAnsi="Palatino Linotype"/>
                <w:b/>
                <w:bCs/>
                <w:noProof/>
                <w:szCs w:val="20"/>
              </w:rPr>
              <w:t>24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E3139">
              <w:rPr>
                <w:rFonts w:ascii="Palatino Linotype" w:hAnsi="Palatino Linotype"/>
                <w:b/>
                <w:bCs/>
                <w:noProof/>
                <w:szCs w:val="20"/>
              </w:rPr>
              <w:t>25</w:t>
            </w:r>
            <w:r w:rsidRPr="00883450">
              <w:rPr>
                <w:rFonts w:ascii="Palatino Linotype" w:hAnsi="Palatino Linotype"/>
                <w:b/>
                <w:bCs/>
                <w:szCs w:val="20"/>
              </w:rPr>
              <w:fldChar w:fldCharType="end"/>
            </w:r>
          </w:p>
        </w:sdtContent>
      </w:sdt>
    </w:sdtContent>
  </w:sdt>
  <w:p w:rsidR="004263E9" w:rsidRDefault="00426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E9" w:rsidRPr="00883450" w:rsidRDefault="004263E9" w:rsidP="004263E9">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E3139" w:rsidRPr="003E313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E3139" w:rsidRPr="003E3139">
      <w:rPr>
        <w:rFonts w:ascii="Palatino Linotype" w:hAnsi="Palatino Linotype"/>
        <w:noProof/>
        <w:lang w:val="es-ES"/>
      </w:rPr>
      <w:t>25</w:t>
    </w:r>
    <w:r w:rsidRPr="00883450">
      <w:rPr>
        <w:rFonts w:ascii="Palatino Linotype" w:hAnsi="Palatino Linotype"/>
      </w:rPr>
      <w:fldChar w:fldCharType="end"/>
    </w:r>
  </w:p>
  <w:p w:rsidR="004263E9" w:rsidRPr="00883450" w:rsidRDefault="004263E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BC3" w:rsidRDefault="00B86BC3" w:rsidP="00A37304">
      <w:pPr>
        <w:spacing w:after="0" w:line="240" w:lineRule="auto"/>
      </w:pPr>
      <w:r>
        <w:separator/>
      </w:r>
    </w:p>
  </w:footnote>
  <w:footnote w:type="continuationSeparator" w:id="0">
    <w:p w:rsidR="00B86BC3" w:rsidRDefault="00B86BC3" w:rsidP="00A37304">
      <w:pPr>
        <w:spacing w:after="0" w:line="240" w:lineRule="auto"/>
      </w:pPr>
      <w:r>
        <w:continuationSeparator/>
      </w:r>
    </w:p>
  </w:footnote>
  <w:footnote w:id="1">
    <w:p w:rsidR="004263E9" w:rsidRDefault="004263E9" w:rsidP="00267F5B">
      <w:pPr>
        <w:pStyle w:val="Textonotapie"/>
        <w:rPr>
          <w:rFonts w:ascii="Calibri" w:eastAsia="Times New Roman" w:hAnsi="Calibri"/>
          <w:lang w:val="es-ES_tradnl" w:eastAsia="es-ES"/>
        </w:rPr>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rsidR="004263E9" w:rsidRDefault="004263E9" w:rsidP="00267F5B">
      <w:pPr>
        <w:pStyle w:val="Textonotapie"/>
      </w:pPr>
      <w:r>
        <w:rPr>
          <w:rStyle w:val="Refdenotaalpie"/>
        </w:rPr>
        <w:footnoteRef/>
      </w:r>
      <w:r>
        <w:t xml:space="preserve"> </w:t>
      </w:r>
      <w:r>
        <w:rPr>
          <w:rFonts w:ascii="Palatino Linotype" w:eastAsia="MS Mincho" w:hAnsi="Palatino Linotype" w:cs="Arial"/>
          <w:sz w:val="16"/>
          <w:szCs w:val="16"/>
        </w:rPr>
        <w:t xml:space="preserve">CIENFUEGOS SALGADO David. </w:t>
      </w:r>
      <w:r>
        <w:rPr>
          <w:rFonts w:ascii="Palatino Linotype" w:eastAsia="MS Mincho" w:hAnsi="Palatino Linotype" w:cs="Arial"/>
          <w:i/>
          <w:sz w:val="16"/>
          <w:szCs w:val="16"/>
        </w:rPr>
        <w:t xml:space="preserve">El Derecho de Petición en México. </w:t>
      </w:r>
      <w:r>
        <w:rPr>
          <w:rFonts w:ascii="Palatino Linotype" w:eastAsia="MS Mincho" w:hAnsi="Palatino Linotype" w:cs="Arial"/>
          <w:sz w:val="16"/>
          <w:szCs w:val="16"/>
        </w:rPr>
        <w:t>Ed. Instituto de Investigaciones Jurídica UNAM. México 2004. p. 31</w:t>
      </w:r>
    </w:p>
  </w:footnote>
  <w:footnote w:id="3">
    <w:p w:rsidR="004263E9" w:rsidRDefault="004263E9" w:rsidP="00267F5B">
      <w:pPr>
        <w:pStyle w:val="Textonotapie"/>
      </w:pPr>
      <w:r>
        <w:rPr>
          <w:rStyle w:val="Refdenotaalpie"/>
        </w:rPr>
        <w:footnoteRef/>
      </w:r>
      <w:r>
        <w:t xml:space="preserve"> </w:t>
      </w:r>
      <w:r>
        <w:rPr>
          <w:rFonts w:ascii="Palatino Linotype" w:eastAsia="MS Mincho" w:hAnsi="Palatino Linotype" w:cs="Arial"/>
          <w:sz w:val="16"/>
          <w:szCs w:val="16"/>
        </w:rPr>
        <w:t xml:space="preserve">ROBLES HERNÁNDEZ José Guadalupe. </w:t>
      </w:r>
      <w:r>
        <w:rPr>
          <w:rFonts w:ascii="Palatino Linotype" w:eastAsia="MS Mincho" w:hAnsi="Palatino Linotype" w:cs="Arial"/>
          <w:i/>
          <w:sz w:val="16"/>
          <w:szCs w:val="16"/>
        </w:rPr>
        <w:t xml:space="preserve">Derecho de la Información y Comunicación Pública. </w:t>
      </w:r>
      <w:r>
        <w:rPr>
          <w:rFonts w:ascii="Palatino Linotype" w:eastAsia="MS Mincho" w:hAnsi="Palatino Linotype" w:cs="Arial"/>
          <w:sz w:val="16"/>
          <w:szCs w:val="16"/>
        </w:rPr>
        <w:t>Ed. Universidad de Occidente. México. 2004, p. 72</w:t>
      </w:r>
    </w:p>
  </w:footnote>
  <w:footnote w:id="4">
    <w:p w:rsidR="004263E9" w:rsidRDefault="004263E9" w:rsidP="00267F5B">
      <w:pPr>
        <w:pStyle w:val="Textonotapie"/>
      </w:pPr>
      <w:r>
        <w:rPr>
          <w:rStyle w:val="Refdenotaalpie"/>
        </w:rPr>
        <w:footnoteRef/>
      </w:r>
      <w:r>
        <w:t xml:space="preserve"> </w:t>
      </w:r>
      <w:r>
        <w:rPr>
          <w:rFonts w:ascii="Palatino Linotype" w:eastAsia="MS Mincho" w:hAnsi="Palatino Linotype" w:cs="Arial"/>
          <w:sz w:val="16"/>
          <w:szCs w:val="16"/>
        </w:rPr>
        <w:t xml:space="preserve">VILLANUEVA </w:t>
      </w:r>
      <w:proofErr w:type="spellStart"/>
      <w:r>
        <w:rPr>
          <w:rFonts w:ascii="Palatino Linotype" w:eastAsia="MS Mincho" w:hAnsi="Palatino Linotype" w:cs="Arial"/>
          <w:sz w:val="16"/>
          <w:szCs w:val="16"/>
        </w:rPr>
        <w:t>VILLANUEVA</w:t>
      </w:r>
      <w:proofErr w:type="spellEnd"/>
      <w:r>
        <w:rPr>
          <w:rFonts w:ascii="Palatino Linotype" w:eastAsia="MS Mincho" w:hAnsi="Palatino Linotype" w:cs="Arial"/>
          <w:sz w:val="16"/>
          <w:szCs w:val="16"/>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998" w:rsidRDefault="003E313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014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E9" w:rsidRDefault="003E3139" w:rsidP="004263E9">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01470" o:spid="_x0000_s2051" type="#_x0000_t75" style="position:absolute;margin-left:-101.2pt;margin-top:-153.1pt;width:609.4pt;height:793.75pt;z-index:-251656192;mso-position-horizontal-relative:margin;mso-position-vertical-relative:margin" o:allowincell="f">
          <v:imagedata r:id="rId1" o:title="resolución"/>
          <w10:wrap anchorx="margin" anchory="margin"/>
        </v:shape>
      </w:pict>
    </w:r>
    <w:r w:rsidR="004263E9">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263E9" w:rsidRPr="00EF13C1" w:rsidTr="004263E9">
      <w:trPr>
        <w:trHeight w:val="138"/>
        <w:jc w:val="right"/>
      </w:trPr>
      <w:tc>
        <w:tcPr>
          <w:tcW w:w="2552" w:type="dxa"/>
          <w:vAlign w:val="center"/>
        </w:tcPr>
        <w:p w:rsidR="004263E9" w:rsidRPr="00EF13C1" w:rsidRDefault="004263E9" w:rsidP="004263E9">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263E9" w:rsidRPr="00EF13C1" w:rsidRDefault="004263E9" w:rsidP="00A37304">
          <w:pPr>
            <w:pStyle w:val="Encabezado"/>
            <w:jc w:val="right"/>
            <w:rPr>
              <w:rFonts w:ascii="Palatino Linotype" w:hAnsi="Palatino Linotype"/>
              <w:b/>
              <w:sz w:val="22"/>
              <w:szCs w:val="22"/>
            </w:rPr>
          </w:pPr>
          <w:r>
            <w:rPr>
              <w:rFonts w:ascii="Palatino Linotype" w:hAnsi="Palatino Linotype"/>
              <w:b/>
              <w:sz w:val="22"/>
              <w:szCs w:val="22"/>
            </w:rPr>
            <w:t>04033/INFOEM/IP/RR/2020</w:t>
          </w:r>
        </w:p>
      </w:tc>
    </w:tr>
    <w:tr w:rsidR="004263E9" w:rsidRPr="00EF13C1" w:rsidTr="004263E9">
      <w:trPr>
        <w:trHeight w:val="321"/>
        <w:jc w:val="right"/>
      </w:trPr>
      <w:tc>
        <w:tcPr>
          <w:tcW w:w="2552" w:type="dxa"/>
          <w:vAlign w:val="center"/>
        </w:tcPr>
        <w:p w:rsidR="004263E9" w:rsidRPr="00EF13C1" w:rsidRDefault="004263E9" w:rsidP="004263E9">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263E9" w:rsidRPr="00043A38" w:rsidRDefault="004263E9" w:rsidP="00A37304">
          <w:pPr>
            <w:pStyle w:val="Encabezado"/>
            <w:jc w:val="right"/>
            <w:rPr>
              <w:rFonts w:ascii="Palatino Linotype" w:hAnsi="Palatino Linotype"/>
              <w:b/>
              <w:sz w:val="22"/>
              <w:szCs w:val="22"/>
            </w:rPr>
          </w:pPr>
          <w:r w:rsidRPr="00A37304">
            <w:rPr>
              <w:rFonts w:ascii="Palatino Linotype" w:hAnsi="Palatino Linotype"/>
              <w:b/>
              <w:sz w:val="22"/>
              <w:szCs w:val="22"/>
              <w:lang w:val="es-MX"/>
            </w:rPr>
            <w:t>Instituto de Transparencia, Acceso a la Información Pública y Protección de Datos Personales del Estado de México y Municipios</w:t>
          </w:r>
        </w:p>
      </w:tc>
    </w:tr>
    <w:tr w:rsidR="004263E9" w:rsidRPr="00EF13C1" w:rsidTr="004263E9">
      <w:trPr>
        <w:trHeight w:val="321"/>
        <w:jc w:val="right"/>
      </w:trPr>
      <w:tc>
        <w:tcPr>
          <w:tcW w:w="2552" w:type="dxa"/>
          <w:vAlign w:val="center"/>
        </w:tcPr>
        <w:p w:rsidR="004263E9" w:rsidRPr="00EF13C1" w:rsidRDefault="004263E9" w:rsidP="004263E9">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263E9" w:rsidRPr="00EF13C1" w:rsidRDefault="004263E9" w:rsidP="00A3730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263E9" w:rsidRDefault="004263E9" w:rsidP="004263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E9" w:rsidRDefault="003E3139" w:rsidP="004263E9">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01468"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263E9">
      <w:tab/>
    </w:r>
    <w:r w:rsidR="004263E9">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4263E9" w:rsidRPr="00182113" w:rsidTr="004263E9">
      <w:trPr>
        <w:trHeight w:val="138"/>
      </w:trPr>
      <w:tc>
        <w:tcPr>
          <w:tcW w:w="2835" w:type="dxa"/>
          <w:vAlign w:val="center"/>
        </w:tcPr>
        <w:p w:rsidR="004263E9" w:rsidRPr="00182113" w:rsidRDefault="004263E9" w:rsidP="004263E9">
          <w:pPr>
            <w:rPr>
              <w:rFonts w:ascii="Palatino Linotype" w:hAnsi="Palatino Linotype"/>
              <w:b/>
            </w:rPr>
          </w:pPr>
          <w:r w:rsidRPr="00182113">
            <w:rPr>
              <w:rFonts w:ascii="Palatino Linotype" w:hAnsi="Palatino Linotype"/>
              <w:b/>
            </w:rPr>
            <w:t>Recurso de revisión:</w:t>
          </w:r>
        </w:p>
      </w:tc>
      <w:tc>
        <w:tcPr>
          <w:tcW w:w="303" w:type="dxa"/>
          <w:vAlign w:val="center"/>
        </w:tcPr>
        <w:p w:rsidR="004263E9" w:rsidRPr="00182113" w:rsidRDefault="004263E9" w:rsidP="004263E9">
          <w:pPr>
            <w:pStyle w:val="Encabezado"/>
            <w:jc w:val="center"/>
            <w:rPr>
              <w:rFonts w:ascii="Palatino Linotype" w:hAnsi="Palatino Linotype"/>
              <w:b/>
            </w:rPr>
          </w:pPr>
        </w:p>
      </w:tc>
      <w:tc>
        <w:tcPr>
          <w:tcW w:w="3894" w:type="dxa"/>
          <w:vAlign w:val="center"/>
        </w:tcPr>
        <w:p w:rsidR="004263E9" w:rsidRPr="00182113" w:rsidRDefault="004263E9" w:rsidP="00A37304">
          <w:pPr>
            <w:pStyle w:val="Encabezado"/>
            <w:jc w:val="right"/>
            <w:rPr>
              <w:rFonts w:ascii="Palatino Linotype" w:hAnsi="Palatino Linotype"/>
              <w:b/>
            </w:rPr>
          </w:pPr>
          <w:r>
            <w:rPr>
              <w:rFonts w:ascii="Palatino Linotype" w:hAnsi="Palatino Linotype" w:cs="Arial"/>
              <w:b/>
              <w:bCs/>
              <w:lang w:eastAsia="es-MX"/>
            </w:rPr>
            <w:t>04033/INFOEM/IP/RR/2020</w:t>
          </w:r>
        </w:p>
      </w:tc>
    </w:tr>
    <w:tr w:rsidR="004263E9" w:rsidRPr="00182113" w:rsidTr="004263E9">
      <w:trPr>
        <w:trHeight w:val="227"/>
      </w:trPr>
      <w:tc>
        <w:tcPr>
          <w:tcW w:w="2835" w:type="dxa"/>
          <w:vAlign w:val="center"/>
        </w:tcPr>
        <w:p w:rsidR="004263E9" w:rsidRPr="00182113" w:rsidRDefault="004263E9" w:rsidP="004263E9">
          <w:pPr>
            <w:rPr>
              <w:rFonts w:ascii="Palatino Linotype" w:hAnsi="Palatino Linotype"/>
              <w:b/>
            </w:rPr>
          </w:pPr>
          <w:r w:rsidRPr="00182113">
            <w:rPr>
              <w:rFonts w:ascii="Palatino Linotype" w:hAnsi="Palatino Linotype"/>
              <w:b/>
            </w:rPr>
            <w:t>Recurrente:</w:t>
          </w:r>
        </w:p>
      </w:tc>
      <w:tc>
        <w:tcPr>
          <w:tcW w:w="303" w:type="dxa"/>
          <w:vAlign w:val="center"/>
        </w:tcPr>
        <w:p w:rsidR="004263E9" w:rsidRPr="00182113" w:rsidRDefault="004263E9" w:rsidP="004263E9">
          <w:pPr>
            <w:pStyle w:val="Encabezado"/>
            <w:jc w:val="center"/>
            <w:rPr>
              <w:rFonts w:ascii="Palatino Linotype" w:hAnsi="Palatino Linotype"/>
              <w:b/>
            </w:rPr>
          </w:pPr>
        </w:p>
      </w:tc>
      <w:tc>
        <w:tcPr>
          <w:tcW w:w="3894" w:type="dxa"/>
          <w:vAlign w:val="center"/>
        </w:tcPr>
        <w:p w:rsidR="004263E9" w:rsidRPr="00D5005A" w:rsidRDefault="004263E9" w:rsidP="00A37304">
          <w:pPr>
            <w:pStyle w:val="Encabezado"/>
            <w:jc w:val="right"/>
            <w:rPr>
              <w:rFonts w:ascii="Palatino Linotype" w:hAnsi="Palatino Linotype"/>
              <w:b/>
              <w:sz w:val="22"/>
              <w:szCs w:val="22"/>
            </w:rPr>
          </w:pPr>
        </w:p>
      </w:tc>
    </w:tr>
    <w:tr w:rsidR="004263E9" w:rsidRPr="00182113" w:rsidTr="004263E9">
      <w:trPr>
        <w:trHeight w:val="232"/>
      </w:trPr>
      <w:tc>
        <w:tcPr>
          <w:tcW w:w="2835" w:type="dxa"/>
          <w:vAlign w:val="center"/>
        </w:tcPr>
        <w:p w:rsidR="004263E9" w:rsidRPr="00182113" w:rsidRDefault="004263E9" w:rsidP="004263E9">
          <w:pPr>
            <w:rPr>
              <w:rFonts w:ascii="Palatino Linotype" w:hAnsi="Palatino Linotype"/>
              <w:b/>
            </w:rPr>
          </w:pPr>
          <w:r w:rsidRPr="00182113">
            <w:rPr>
              <w:rFonts w:ascii="Palatino Linotype" w:hAnsi="Palatino Linotype"/>
              <w:b/>
            </w:rPr>
            <w:t>Sujeto obligado:</w:t>
          </w:r>
        </w:p>
      </w:tc>
      <w:tc>
        <w:tcPr>
          <w:tcW w:w="303" w:type="dxa"/>
          <w:vAlign w:val="center"/>
        </w:tcPr>
        <w:p w:rsidR="004263E9" w:rsidRPr="00182113" w:rsidRDefault="004263E9" w:rsidP="004263E9">
          <w:pPr>
            <w:pStyle w:val="Encabezado"/>
            <w:jc w:val="center"/>
            <w:rPr>
              <w:rFonts w:ascii="Palatino Linotype" w:hAnsi="Palatino Linotype"/>
              <w:b/>
            </w:rPr>
          </w:pPr>
        </w:p>
      </w:tc>
      <w:tc>
        <w:tcPr>
          <w:tcW w:w="3894" w:type="dxa"/>
          <w:vAlign w:val="center"/>
        </w:tcPr>
        <w:p w:rsidR="004263E9" w:rsidRPr="00182113" w:rsidRDefault="004263E9" w:rsidP="00A37304">
          <w:pPr>
            <w:pStyle w:val="Encabezado"/>
            <w:jc w:val="right"/>
            <w:rPr>
              <w:rFonts w:ascii="Palatino Linotype" w:hAnsi="Palatino Linotype"/>
              <w:b/>
            </w:rPr>
          </w:pPr>
          <w:r>
            <w:rPr>
              <w:rFonts w:ascii="Palatino Linotype" w:hAnsi="Palatino Linotype"/>
              <w:b/>
              <w:sz w:val="22"/>
              <w:szCs w:val="22"/>
            </w:rPr>
            <w:t>Instituto de Transparencia, Acceso a la Información Pública y Protección de Datos Personales del Estado de México y Municipios</w:t>
          </w:r>
        </w:p>
      </w:tc>
    </w:tr>
    <w:tr w:rsidR="004263E9" w:rsidRPr="00182113" w:rsidTr="004263E9">
      <w:trPr>
        <w:trHeight w:val="320"/>
      </w:trPr>
      <w:tc>
        <w:tcPr>
          <w:tcW w:w="2835" w:type="dxa"/>
          <w:vAlign w:val="center"/>
        </w:tcPr>
        <w:p w:rsidR="004263E9" w:rsidRPr="00182113" w:rsidRDefault="004263E9" w:rsidP="004263E9">
          <w:pPr>
            <w:rPr>
              <w:rFonts w:ascii="Palatino Linotype" w:hAnsi="Palatino Linotype"/>
              <w:b/>
            </w:rPr>
          </w:pPr>
          <w:r w:rsidRPr="00182113">
            <w:rPr>
              <w:rFonts w:ascii="Palatino Linotype" w:hAnsi="Palatino Linotype"/>
              <w:b/>
            </w:rPr>
            <w:t>Comisionado ponente:</w:t>
          </w:r>
        </w:p>
      </w:tc>
      <w:tc>
        <w:tcPr>
          <w:tcW w:w="303" w:type="dxa"/>
          <w:vAlign w:val="center"/>
        </w:tcPr>
        <w:p w:rsidR="004263E9" w:rsidRPr="00182113" w:rsidRDefault="004263E9" w:rsidP="004263E9">
          <w:pPr>
            <w:pStyle w:val="Encabezado"/>
            <w:jc w:val="center"/>
            <w:rPr>
              <w:rFonts w:ascii="Palatino Linotype" w:hAnsi="Palatino Linotype"/>
              <w:b/>
            </w:rPr>
          </w:pPr>
        </w:p>
      </w:tc>
      <w:tc>
        <w:tcPr>
          <w:tcW w:w="3894" w:type="dxa"/>
          <w:vAlign w:val="center"/>
        </w:tcPr>
        <w:p w:rsidR="004263E9" w:rsidRPr="00182113" w:rsidRDefault="004263E9" w:rsidP="00A37304">
          <w:pPr>
            <w:pStyle w:val="Encabezado"/>
            <w:jc w:val="right"/>
            <w:rPr>
              <w:rFonts w:ascii="Palatino Linotype" w:hAnsi="Palatino Linotype"/>
              <w:b/>
            </w:rPr>
          </w:pPr>
          <w:r>
            <w:rPr>
              <w:rFonts w:ascii="Palatino Linotype" w:hAnsi="Palatino Linotype"/>
              <w:b/>
            </w:rPr>
            <w:t>José Guadalupe Luna Hernández</w:t>
          </w:r>
        </w:p>
      </w:tc>
    </w:tr>
  </w:tbl>
  <w:p w:rsidR="004263E9" w:rsidRDefault="004263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185EA6"/>
    <w:multiLevelType w:val="hybridMultilevel"/>
    <w:tmpl w:val="96EC89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6B194F"/>
    <w:multiLevelType w:val="hybridMultilevel"/>
    <w:tmpl w:val="FBC0BC56"/>
    <w:lvl w:ilvl="0" w:tplc="E93AE6A6">
      <w:start w:val="1"/>
      <w:numFmt w:val="upperRoman"/>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481232CA"/>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DC33057"/>
    <w:multiLevelType w:val="hybridMultilevel"/>
    <w:tmpl w:val="15CECF74"/>
    <w:lvl w:ilvl="0" w:tplc="6A0E03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04"/>
    <w:rsid w:val="00040019"/>
    <w:rsid w:val="000514CF"/>
    <w:rsid w:val="00267F5B"/>
    <w:rsid w:val="00341DBF"/>
    <w:rsid w:val="003A7BF2"/>
    <w:rsid w:val="003E010B"/>
    <w:rsid w:val="003E3139"/>
    <w:rsid w:val="004263E9"/>
    <w:rsid w:val="00512612"/>
    <w:rsid w:val="00581350"/>
    <w:rsid w:val="006148CA"/>
    <w:rsid w:val="00742998"/>
    <w:rsid w:val="007B1D4B"/>
    <w:rsid w:val="00822CE4"/>
    <w:rsid w:val="00834D6F"/>
    <w:rsid w:val="008B470D"/>
    <w:rsid w:val="008C4A70"/>
    <w:rsid w:val="00931468"/>
    <w:rsid w:val="009A4759"/>
    <w:rsid w:val="00A37304"/>
    <w:rsid w:val="00A838B0"/>
    <w:rsid w:val="00B77B68"/>
    <w:rsid w:val="00B86BC3"/>
    <w:rsid w:val="00C52FBF"/>
    <w:rsid w:val="00DE1531"/>
    <w:rsid w:val="00E15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36B1982-97C2-4356-81E5-0412ED9A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04"/>
  </w:style>
  <w:style w:type="paragraph" w:styleId="Ttulo1">
    <w:name w:val="heading 1"/>
    <w:basedOn w:val="Normal"/>
    <w:next w:val="Normal"/>
    <w:link w:val="Ttulo1Car"/>
    <w:uiPriority w:val="9"/>
    <w:qFormat/>
    <w:rsid w:val="00B77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73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7304"/>
  </w:style>
  <w:style w:type="paragraph" w:styleId="Piedepgina">
    <w:name w:val="footer"/>
    <w:basedOn w:val="Normal"/>
    <w:link w:val="PiedepginaCar"/>
    <w:uiPriority w:val="99"/>
    <w:unhideWhenUsed/>
    <w:rsid w:val="00A373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7304"/>
  </w:style>
  <w:style w:type="table" w:styleId="Tablaconcuadrcula">
    <w:name w:val="Table Grid"/>
    <w:basedOn w:val="Tablanormal"/>
    <w:uiPriority w:val="39"/>
    <w:rsid w:val="00A3730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37304"/>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373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37304"/>
  </w:style>
  <w:style w:type="paragraph" w:styleId="TDC1">
    <w:name w:val="toc 1"/>
    <w:basedOn w:val="Normal"/>
    <w:next w:val="Normal"/>
    <w:autoRedefine/>
    <w:uiPriority w:val="39"/>
    <w:unhideWhenUsed/>
    <w:rsid w:val="00A37304"/>
    <w:pPr>
      <w:spacing w:after="100"/>
    </w:pPr>
  </w:style>
  <w:style w:type="paragraph" w:styleId="TDC2">
    <w:name w:val="toc 2"/>
    <w:basedOn w:val="Normal"/>
    <w:next w:val="Normal"/>
    <w:autoRedefine/>
    <w:uiPriority w:val="39"/>
    <w:unhideWhenUsed/>
    <w:rsid w:val="00A37304"/>
    <w:pPr>
      <w:spacing w:after="100"/>
      <w:ind w:left="220"/>
    </w:pPr>
  </w:style>
  <w:style w:type="character" w:customStyle="1" w:styleId="Ttulo1Car">
    <w:name w:val="Título 1 Car"/>
    <w:basedOn w:val="Fuentedeprrafopredeter"/>
    <w:link w:val="Ttulo1"/>
    <w:uiPriority w:val="9"/>
    <w:rsid w:val="00B77B68"/>
    <w:rPr>
      <w:rFonts w:asciiTheme="majorHAnsi" w:eastAsiaTheme="majorEastAsia" w:hAnsiTheme="majorHAnsi" w:cstheme="majorBidi"/>
      <w:color w:val="2E74B5" w:themeColor="accent1" w:themeShade="BF"/>
      <w:sz w:val="32"/>
      <w:szCs w:val="32"/>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67F5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67F5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67F5B"/>
    <w:rPr>
      <w:sz w:val="20"/>
      <w:szCs w:val="20"/>
    </w:rPr>
  </w:style>
  <w:style w:type="character" w:customStyle="1" w:styleId="il">
    <w:name w:val="il"/>
    <w:basedOn w:val="Fuentedeprrafopredeter"/>
    <w:rsid w:val="0082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82993-5007-4F2F-AF7F-28F39FFC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4998</Words>
  <Characters>27492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6</cp:revision>
  <dcterms:created xsi:type="dcterms:W3CDTF">2020-11-20T00:20:00Z</dcterms:created>
  <dcterms:modified xsi:type="dcterms:W3CDTF">2020-12-03T02:38:00Z</dcterms:modified>
</cp:coreProperties>
</file>