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DF" w:rsidRDefault="001A6C71">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3222DF" w:rsidRDefault="001A6C71">
      <w:pPr>
        <w:spacing w:beforeAutospacing="1" w:afterAutospacing="1" w:line="360" w:lineRule="auto"/>
        <w:jc w:val="both"/>
        <w:rPr>
          <w:rFonts w:ascii="Palatino Linotype" w:hAnsi="Palatino Linotype"/>
        </w:rPr>
      </w:pPr>
      <w:r>
        <w:rPr>
          <w:rFonts w:ascii="Palatino Linotype" w:hAnsi="Palatino Linotype"/>
          <w:b/>
        </w:rPr>
        <w:t>VISTOS</w:t>
      </w:r>
      <w:r>
        <w:rPr>
          <w:rFonts w:ascii="Palatino Linotype" w:hAnsi="Palatino Linotype"/>
        </w:rPr>
        <w:t xml:space="preserve"> los expedientes formados con motivo de los Recursos de Revisión </w:t>
      </w:r>
      <w:r>
        <w:rPr>
          <w:rFonts w:ascii="Palatino Linotype" w:hAnsi="Palatino Linotype"/>
          <w:b/>
          <w:spacing w:val="-20"/>
        </w:rPr>
        <w:t xml:space="preserve">01097/INFOEM/IP/RR/2020, 01098/INFOEM/IP/RR/2020, 01099/INFOEM/IP/RR/2020, 01100/INFOEM/IP/RR/2020, 01102/INFOEM/IP/RR/2020, 01103/INFOEM/IP/RR/2020, 01105/INFOEM/IP/RR/2020, 01106/INFOEM/IP/RR/2020, 01107/INFOEM/IP/RR/2020, 01108/INFOEM/IP/RR/2020 </w:t>
      </w:r>
      <w:r>
        <w:rPr>
          <w:rFonts w:ascii="Palatino Linotype" w:hAnsi="Palatino Linotype"/>
          <w:spacing w:val="-20"/>
        </w:rPr>
        <w:t xml:space="preserve">y </w:t>
      </w:r>
      <w:r>
        <w:rPr>
          <w:rFonts w:ascii="Palatino Linotype" w:hAnsi="Palatino Linotype"/>
          <w:b/>
          <w:spacing w:val="-20"/>
        </w:rPr>
        <w:t>01110/INFOEM/IP/RR/2020 acumulados</w:t>
      </w:r>
      <w:r>
        <w:rPr>
          <w:rFonts w:ascii="Palatino Linotype" w:hAnsi="Palatino Linotype"/>
        </w:rPr>
        <w:t xml:space="preserve">, promovidos por el </w:t>
      </w:r>
      <w:r>
        <w:rPr>
          <w:rFonts w:ascii="Palatino Linotype" w:hAnsi="Palatino Linotype"/>
          <w:b/>
        </w:rPr>
        <w:t xml:space="preserve">C. </w:t>
      </w:r>
      <w:bookmarkStart w:id="0" w:name="_GoBack"/>
      <w:proofErr w:type="spellStart"/>
      <w:r w:rsidR="006F7DB6" w:rsidRPr="006F7DB6">
        <w:rPr>
          <w:rFonts w:ascii="Palatino Linotype" w:hAnsi="Palatino Linotype"/>
          <w:b/>
          <w:bCs/>
        </w:rPr>
        <w:t>Xxxxxxx</w:t>
      </w:r>
      <w:proofErr w:type="spellEnd"/>
      <w:r w:rsidR="006F7DB6" w:rsidRPr="006F7DB6">
        <w:rPr>
          <w:rFonts w:ascii="Palatino Linotype" w:hAnsi="Palatino Linotype"/>
          <w:b/>
          <w:bCs/>
        </w:rPr>
        <w:t xml:space="preserve"> </w:t>
      </w:r>
      <w:proofErr w:type="spellStart"/>
      <w:r w:rsidR="006F7DB6" w:rsidRPr="006F7DB6">
        <w:rPr>
          <w:rFonts w:ascii="Palatino Linotype" w:hAnsi="Palatino Linotype"/>
          <w:b/>
          <w:bCs/>
        </w:rPr>
        <w:t>Xxxxx</w:t>
      </w:r>
      <w:proofErr w:type="spellEnd"/>
      <w:r w:rsidR="006F7DB6" w:rsidRPr="006F7DB6">
        <w:rPr>
          <w:rFonts w:ascii="Palatino Linotype" w:hAnsi="Palatino Linotype"/>
          <w:b/>
          <w:bCs/>
        </w:rPr>
        <w:t xml:space="preserve"> X</w:t>
      </w:r>
      <w:bookmarkEnd w:id="0"/>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las respuestas del </w:t>
      </w:r>
      <w:r>
        <w:rPr>
          <w:rFonts w:ascii="Palatino Linotype" w:hAnsi="Palatino Linotype"/>
          <w:b/>
          <w:bCs/>
        </w:rPr>
        <w:t>Ayuntamiento de Huixquilucan</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3222DF" w:rsidRDefault="001A6C71">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3222DF" w:rsidRDefault="001A6C71">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 veinte de enero</w:t>
      </w:r>
      <w:r>
        <w:rPr>
          <w:rFonts w:ascii="Palatino Linotype" w:hAnsi="Palatino Linotype"/>
        </w:rPr>
        <w:t xml:space="preserve">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las solicitudes de acceso a la información pública, a las que se les asignó los números </w:t>
      </w:r>
      <w:r>
        <w:rPr>
          <w:rFonts w:ascii="Palatino Linotype" w:hAnsi="Palatino Linotype"/>
          <w:b/>
          <w:bCs/>
        </w:rPr>
        <w:t>00021/HUIXQUIL/IP/2020, 00022/HUIXQUIL/IP/2020, 00023/HUIXQUIL/IP/2020, 00024/HUIXQUIL/IP/2020, 00025/HUIXQUIL/IP/2020, 00026/HUIXQUIL/IP/2020, 00027/HUIXQUIL/IP/2020, 00028/HUIXQUIL/IP/2020, 00029/HUIXQUIL/IP/2020, 00030/HUIXQUIL/IP/2020, y 00031/HUIXQUIL/IP/2020</w:t>
      </w:r>
      <w:r>
        <w:rPr>
          <w:rFonts w:ascii="Palatino Linotype" w:hAnsi="Palatino Linotype"/>
        </w:rPr>
        <w:t xml:space="preserve">, mediante las cuales requirió de los ejercicios fiscales 2010 a 2020 vía </w:t>
      </w:r>
      <w:r>
        <w:rPr>
          <w:rFonts w:ascii="Palatino Linotype" w:hAnsi="Palatino Linotype"/>
          <w:b/>
        </w:rPr>
        <w:t>SAIMEX</w:t>
      </w:r>
      <w:r>
        <w:rPr>
          <w:rFonts w:ascii="Palatino Linotype" w:hAnsi="Palatino Linotype"/>
        </w:rPr>
        <w:t>, lo siguiente:</w:t>
      </w:r>
    </w:p>
    <w:p w:rsidR="003222DF" w:rsidRDefault="001A6C71">
      <w:pPr>
        <w:spacing w:beforeAutospacing="1" w:afterAutospacing="1"/>
        <w:ind w:left="851" w:right="709"/>
        <w:jc w:val="both"/>
        <w:rPr>
          <w:rFonts w:ascii="Palatino Linotype" w:hAnsi="Palatino Linotype" w:cs="Arial"/>
          <w:i/>
          <w:sz w:val="22"/>
          <w:szCs w:val="22"/>
        </w:rPr>
      </w:pPr>
      <w:r>
        <w:rPr>
          <w:rFonts w:ascii="Palatino Linotype" w:hAnsi="Palatino Linotype" w:cs="Arial"/>
          <w:i/>
          <w:sz w:val="22"/>
          <w:szCs w:val="22"/>
        </w:rPr>
        <w:lastRenderedPageBreak/>
        <w:t>“Se solicita al Ayuntamiento de Huixquilucan la información documental que consten los pagos que fueron realizados por concepto de Impuesto predial para la Clave Catastral 095-10-056-64-000000.” (Sic)</w:t>
      </w:r>
    </w:p>
    <w:p w:rsidR="003222DF" w:rsidRDefault="001A6C71">
      <w:pPr>
        <w:spacing w:beforeAutospacing="1" w:afterAutospacing="1"/>
        <w:ind w:right="709"/>
        <w:jc w:val="both"/>
        <w:rPr>
          <w:rFonts w:ascii="Palatino Linotype" w:hAnsi="Palatino Linotype"/>
          <w:sz w:val="22"/>
          <w:szCs w:val="22"/>
        </w:rPr>
      </w:pPr>
      <w:r>
        <w:rPr>
          <w:rFonts w:ascii="Palatino Linotype" w:hAnsi="Palatino Linotype" w:cs="Arial"/>
          <w:b/>
          <w:sz w:val="22"/>
          <w:szCs w:val="22"/>
        </w:rPr>
        <w:t>MODALIDAD DE ENETREGA</w:t>
      </w:r>
      <w:r>
        <w:rPr>
          <w:rFonts w:ascii="Palatino Linotype" w:hAnsi="Palatino Linotype" w:cs="Arial"/>
          <w:sz w:val="22"/>
          <w:szCs w:val="22"/>
        </w:rPr>
        <w:t xml:space="preserve">: Vía </w:t>
      </w:r>
      <w:r>
        <w:rPr>
          <w:rFonts w:ascii="Palatino Linotype" w:hAnsi="Palatino Linotype" w:cs="Arial"/>
          <w:b/>
          <w:sz w:val="22"/>
          <w:szCs w:val="22"/>
        </w:rPr>
        <w:t>SAIMEX</w:t>
      </w:r>
      <w:r>
        <w:rPr>
          <w:rFonts w:ascii="Palatino Linotype" w:hAnsi="Palatino Linotype" w:cs="Arial"/>
          <w:sz w:val="22"/>
          <w:szCs w:val="22"/>
        </w:rPr>
        <w:t xml:space="preserve"> </w:t>
      </w:r>
    </w:p>
    <w:p w:rsidR="003222DF" w:rsidRDefault="001A6C71">
      <w:pPr>
        <w:pStyle w:val="Prrafodelista"/>
        <w:spacing w:beforeAutospacing="1" w:afterAutospacing="1" w:line="360" w:lineRule="auto"/>
        <w:ind w:left="0"/>
        <w:jc w:val="both"/>
        <w:rPr>
          <w:rFonts w:ascii="Palatino Linotype" w:hAnsi="Palatino Linotype" w:cs="Arial"/>
        </w:rPr>
      </w:pPr>
      <w:bookmarkStart w:id="1" w:name="_Ref516764469"/>
      <w:bookmarkStart w:id="2" w:name="_Ref531692384"/>
      <w:r>
        <w:rPr>
          <w:rFonts w:ascii="Palatino Linotype" w:hAnsi="Palatino Linotype" w:cs="Arial"/>
          <w:b/>
          <w:sz w:val="28"/>
          <w:szCs w:val="28"/>
        </w:rPr>
        <w:t>II.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en fecha veintiuno de enero de dos mil veinte, el Titular de la Unidad de Transparencia del </w:t>
      </w:r>
      <w:r>
        <w:rPr>
          <w:rFonts w:ascii="Palatino Linotype" w:hAnsi="Palatino Linotype" w:cs="Arial"/>
          <w:b/>
        </w:rPr>
        <w:t>SUJETO OBLIGADO,</w:t>
      </w:r>
      <w:r>
        <w:rPr>
          <w:rFonts w:ascii="Palatino Linotype" w:hAnsi="Palatino Linotype" w:cs="Arial"/>
        </w:rPr>
        <w:t xml:space="preserve"> turnó las solicitudes de información al Servidor Público Habilitado que estimó pertinente, a fin de colmar el derecho de acceso a la información de la particular; toda vez que se trata del mismo servidor público únicamente se inserta como referencia el turno de la solicitud correspondiente a la solicitud de información </w:t>
      </w:r>
      <w:r>
        <w:rPr>
          <w:rFonts w:ascii="Palatino Linotype" w:hAnsi="Palatino Linotype"/>
          <w:b/>
          <w:bCs/>
        </w:rPr>
        <w:t xml:space="preserve">00021/HUIXQUIL/IP/2020; </w:t>
      </w:r>
      <w:r>
        <w:rPr>
          <w:rFonts w:ascii="Palatino Linotype" w:hAnsi="Palatino Linotype" w:cs="Arial"/>
        </w:rPr>
        <w:t xml:space="preserve"> tal y como, se aprecia en la imagen siguiente:</w:t>
      </w:r>
    </w:p>
    <w:p w:rsidR="003222DF" w:rsidRDefault="001A6C71">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extent cx="5667375" cy="666750"/>
            <wp:effectExtent l="0" t="0" r="0" b="0"/>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pic:cNvPicPr>
                      <a:picLocks noChangeAspect="1" noChangeArrowheads="1"/>
                    </pic:cNvPicPr>
                  </pic:nvPicPr>
                  <pic:blipFill>
                    <a:blip r:embed="rId8"/>
                    <a:srcRect l="1476" t="30497" r="672" b="57702"/>
                    <a:stretch>
                      <a:fillRect/>
                    </a:stretch>
                  </pic:blipFill>
                  <pic:spPr bwMode="auto">
                    <a:xfrm>
                      <a:off x="0" y="0"/>
                      <a:ext cx="5667375" cy="666750"/>
                    </a:xfrm>
                    <a:prstGeom prst="rect">
                      <a:avLst/>
                    </a:prstGeom>
                  </pic:spPr>
                </pic:pic>
              </a:graphicData>
            </a:graphic>
          </wp:inline>
        </w:drawing>
      </w:r>
    </w:p>
    <w:p w:rsidR="003222DF" w:rsidRDefault="001A6C71">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De las constancias que integran los expedientes electrónicos del </w:t>
      </w:r>
      <w:r>
        <w:rPr>
          <w:rFonts w:ascii="Palatino Linotype" w:hAnsi="Palatino Linotype" w:cs="Arial"/>
          <w:b/>
        </w:rPr>
        <w:t>SAIMEX</w:t>
      </w:r>
      <w:r>
        <w:rPr>
          <w:rFonts w:ascii="Palatino Linotype" w:hAnsi="Palatino Linotype" w:cs="Arial"/>
        </w:rPr>
        <w:t xml:space="preserve">, se advierte que en fecha once de febrero de dos mil veinte, el Responsable de la Unidad de Transparencia del </w:t>
      </w:r>
      <w:r>
        <w:rPr>
          <w:rFonts w:ascii="Palatino Linotype" w:hAnsi="Palatino Linotype" w:cs="Arial"/>
          <w:b/>
        </w:rPr>
        <w:t xml:space="preserve">SUJETO OBLIGADO </w:t>
      </w:r>
      <w:r>
        <w:rPr>
          <w:rFonts w:ascii="Palatino Linotype" w:hAnsi="Palatino Linotype" w:cs="Arial"/>
        </w:rPr>
        <w:t xml:space="preserve">dio respuesta a las solicitudes de mérito, en los mismos términos: </w:t>
      </w:r>
    </w:p>
    <w:p w:rsidR="003222DF" w:rsidRDefault="001A6C71">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w:t>
      </w:r>
      <w:r>
        <w:rPr>
          <w:rFonts w:ascii="Palatino Linotype" w:hAnsi="Palatino Linotype" w:cs="Arial"/>
          <w:i/>
          <w:sz w:val="22"/>
          <w:szCs w:val="22"/>
        </w:rPr>
        <w:lastRenderedPageBreak/>
        <w:t>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00023/HUIXQUIL/IP/2020, que a letra dice: “Se solicita al Ayuntamiento de Huixquilucan la información documental que conste los pagos que fueron realizados en el año 2012 por concepto de Impuesto predial para la Clave Catastral 095-10-056-64-000000” (SIC). Sobre el particular, esta Unidad de Transparencia en ejercicio de las atribuciones que la Ley le confiere, turnó su solicitud de información a la siguiente área administrativa: Tesorería Municipal que, conforme al Reglamento Orgánico de la Administración Pública Municipal de Huixquilucan, Estado de México 2020, es competente para dar contestación a su requerimiento, por lo que manifestó lo siguiente: Tesorería Municipal “SE ADJUNTA EN FORMATO PDF. EL ARCHIVO CON LA RESPUESTA A LA SOLICITUD DE INFORMACIÓN NÚMERO 00023/HUIXQUIL/IP/2020.SE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(Sic)</w:t>
      </w:r>
    </w:p>
    <w:p w:rsidR="003222DF" w:rsidRDefault="001A6C71">
      <w:pPr>
        <w:pStyle w:val="Prrafodelista"/>
        <w:spacing w:before="240" w:after="240" w:line="360" w:lineRule="auto"/>
        <w:ind w:left="0"/>
        <w:jc w:val="both"/>
        <w:rPr>
          <w:rFonts w:ascii="Palatino Linotype" w:hAnsi="Palatino Linotype" w:cs="Arial"/>
          <w:i/>
        </w:rPr>
      </w:pPr>
      <w:r>
        <w:rPr>
          <w:rFonts w:ascii="Palatino Linotype" w:hAnsi="Palatino Linotype" w:cs="Arial"/>
        </w:rPr>
        <w:t xml:space="preserve">Así mismo adjunto un archivo electrónico denominado RESPUESTA.pdf el cual contiene la respuesta del servidor público habilitado competente siendo el tesorero municipal quien le informó al particular que </w:t>
      </w:r>
      <w:r>
        <w:rPr>
          <w:rFonts w:ascii="Palatino Linotype" w:hAnsi="Palatino Linotype" w:cs="Arial"/>
          <w:i/>
        </w:rPr>
        <w:t xml:space="preserve">“no es posible cumplir con lo solicitado ya que para proporcionar dicha información es necesario acreditar la personalidad jurídica, tal y como </w:t>
      </w:r>
      <w:r>
        <w:rPr>
          <w:rFonts w:ascii="Palatino Linotype" w:hAnsi="Palatino Linotype" w:cs="Arial"/>
          <w:i/>
        </w:rPr>
        <w:lastRenderedPageBreak/>
        <w:t>los disponen los artículos 118 y 232 del Código de Procedimientos Administrativos del Estado de México en vigor”. (Sic)</w:t>
      </w:r>
      <w:bookmarkStart w:id="3" w:name="_Ref507070922"/>
      <w:bookmarkEnd w:id="1"/>
      <w:bookmarkEnd w:id="2"/>
    </w:p>
    <w:p w:rsidR="003222DF" w:rsidRDefault="001A6C71">
      <w:pPr>
        <w:pStyle w:val="Prrafodelista"/>
        <w:spacing w:beforeAutospacing="1" w:afterAutospacing="1" w:line="360" w:lineRule="auto"/>
        <w:ind w:left="0" w:right="51"/>
        <w:jc w:val="both"/>
        <w:rPr>
          <w:rFonts w:ascii="Palatino Linotype" w:hAnsi="Palatino Linotype" w:cs="Arial"/>
        </w:rPr>
      </w:pPr>
      <w:r>
        <w:rPr>
          <w:rFonts w:ascii="Palatino Linotype" w:hAnsi="Palatino Linotype"/>
          <w:b/>
          <w:sz w:val="28"/>
          <w:szCs w:val="28"/>
        </w:rPr>
        <w:t>IV</w:t>
      </w:r>
      <w:r>
        <w:rPr>
          <w:rFonts w:ascii="Palatino Linotype" w:hAnsi="Palatino Linotype"/>
        </w:rPr>
        <w:t xml:space="preserve">. </w:t>
      </w:r>
      <w:r>
        <w:rPr>
          <w:rFonts w:ascii="Palatino Linotype" w:hAnsi="Palatino Linotype" w:cs="Arial"/>
        </w:rPr>
        <w:t xml:space="preserve">Inconforme con las respuestas, en fecha diecinueve de febrero de dos mil veinte,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a través del </w:t>
      </w:r>
      <w:r>
        <w:rPr>
          <w:rFonts w:ascii="Palatino Linotype" w:hAnsi="Palatino Linotype" w:cs="Arial"/>
          <w:b/>
        </w:rPr>
        <w:t>SAIMEX</w:t>
      </w:r>
      <w:r>
        <w:rPr>
          <w:rFonts w:ascii="Palatino Linotype" w:hAnsi="Palatino Linotype" w:cs="Arial"/>
        </w:rPr>
        <w:t>, interpuso los recursos de revisión objeto del presente estudio, a los que se les asignaron los números citados en el proemio de la presente resolución, en los que señaló como acto impugnado, lo siguiente:</w:t>
      </w:r>
      <w:bookmarkEnd w:id="3"/>
    </w:p>
    <w:p w:rsidR="003222DF" w:rsidRDefault="001A6C71">
      <w:pPr>
        <w:spacing w:beforeAutospacing="1" w:afterAutospacing="1"/>
        <w:ind w:left="851" w:right="-93"/>
        <w:jc w:val="both"/>
        <w:rPr>
          <w:rFonts w:ascii="Palatino Linotype" w:hAnsi="Palatino Linotype" w:cs="Arial"/>
          <w:i/>
          <w:sz w:val="22"/>
          <w:szCs w:val="22"/>
        </w:rPr>
      </w:pPr>
      <w:r>
        <w:rPr>
          <w:rFonts w:ascii="Palatino Linotype" w:hAnsi="Palatino Linotype" w:cs="Arial"/>
          <w:i/>
          <w:sz w:val="22"/>
          <w:szCs w:val="22"/>
        </w:rPr>
        <w:t>“LA RESPUESTA RECIBIDA”. (Sic)</w:t>
      </w:r>
    </w:p>
    <w:p w:rsidR="003222DF" w:rsidRDefault="001A6C71">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 en todos los recursos de revisión:</w:t>
      </w:r>
    </w:p>
    <w:p w:rsidR="003222DF" w:rsidRDefault="001A6C71">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 xml:space="preserve">“Mediante la presente solicitud de información se le solicitó al Ayuntamiento de Huixquilucan la información documental que conste los pagos que fueron realizados en el año 2010 por concepto de Impuesto predial para la Clave Catastral 095-10-056-64-000000. Como respuesta se me informa que “no es posible cumplir con lo solicitado ya que para proporcionar dicha información es necesario acreditar la personalidad jurídica”. Se presenta el recurso de revisión debido a que la respuesta recibida no es correcta. La información que se solicita es de carácter público y no existe justificación válida alguna para que no sea entregada. La Ley de Transparencia jamás especifica que para solicitar información uno deba acreditar “la personalidad jurídica”. El acceso a la información es un derecho humano vinculado a otros más como puede ser el derecho a la libertad de expresión, como tal debe ser garantizado a los ciudadanos. Es evidente que la respuesta otorgada por el sujeto obligado es una violación directa al derecho al acceso a la información pública. Es por lo anteriormente expuesto que se solicita a este H. Instituto tome en cuenta el recurso de revisión y de considerarlo procedente, instruya al sujeto obligado a entregar la información solicitada. </w:t>
      </w:r>
      <w:proofErr w:type="gramStart"/>
      <w:r>
        <w:rPr>
          <w:rFonts w:ascii="Palatino Linotype" w:hAnsi="Palatino Linotype" w:cs="Arial"/>
          <w:i/>
          <w:sz w:val="22"/>
          <w:szCs w:val="22"/>
        </w:rPr>
        <w:t>Gracias.</w:t>
      </w:r>
      <w:proofErr w:type="gramEnd"/>
      <w:r>
        <w:rPr>
          <w:rFonts w:ascii="Palatino Linotype" w:hAnsi="Palatino Linotype" w:cs="Arial"/>
          <w:i/>
          <w:sz w:val="22"/>
          <w:szCs w:val="22"/>
        </w:rPr>
        <w:t>”. (Sic)</w:t>
      </w:r>
    </w:p>
    <w:p w:rsidR="003222DF" w:rsidRDefault="001A6C71">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V</w:t>
      </w:r>
      <w:r>
        <w:rPr>
          <w:rFonts w:ascii="Palatino Linotype" w:hAnsi="Palatino Linotype" w:cs="Arial"/>
        </w:rPr>
        <w:t>. En fecha diecinueve</w:t>
      </w:r>
      <w:r>
        <w:rPr>
          <w:rFonts w:ascii="Palatino Linotype" w:hAnsi="Palatino Linotype"/>
        </w:rPr>
        <w:t xml:space="preserve"> de febrero de dos mil veinte</w:t>
      </w:r>
      <w:r>
        <w:rPr>
          <w:rFonts w:ascii="Palatino Linotype" w:hAnsi="Palatino Linotype" w:cs="Arial"/>
        </w:rPr>
        <w:t xml:space="preserve">, los recursos de que se trata se enviaron electrónicamente al Instituto de Transparencia, Acceso a la Información </w:t>
      </w:r>
      <w:r>
        <w:rPr>
          <w:rFonts w:ascii="Palatino Linotype" w:hAnsi="Palatino Linotype" w:cs="Arial"/>
        </w:rPr>
        <w:lastRenderedPageBreak/>
        <w:t>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turnándose,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los recursos de revisión </w:t>
      </w:r>
      <w:r>
        <w:rPr>
          <w:rFonts w:ascii="Palatino Linotype" w:hAnsi="Palatino Linotype"/>
          <w:b/>
        </w:rPr>
        <w:t>01097/INFOEM/IP/RR/2020, 01102/INFOEM/IP/RR/2020 y 01107/INFOEM/IP/RR/2020</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el </w:t>
      </w:r>
      <w:r>
        <w:rPr>
          <w:rFonts w:ascii="Palatino Linotype" w:hAnsi="Palatino Linotype"/>
          <w:b/>
        </w:rPr>
        <w:t xml:space="preserve">01098/INFOEM/IP/RR/2020, 01103/INFOEM/IP/RR/2020 y 01108/INFOEM/IP/RR/2020 </w:t>
      </w:r>
      <w:r>
        <w:rPr>
          <w:rFonts w:ascii="Palatino Linotype" w:hAnsi="Palatino Linotype"/>
        </w:rPr>
        <w:t xml:space="preserve">al Comisionado </w:t>
      </w:r>
      <w:r>
        <w:rPr>
          <w:rFonts w:ascii="Palatino Linotype" w:hAnsi="Palatino Linotype"/>
          <w:b/>
        </w:rPr>
        <w:t xml:space="preserve">JOSÉ GUADALUPE LUNA HERNÁNDEZ; </w:t>
      </w:r>
      <w:r>
        <w:rPr>
          <w:rFonts w:ascii="Palatino Linotype" w:hAnsi="Palatino Linotype"/>
        </w:rPr>
        <w:t xml:space="preserve">el </w:t>
      </w:r>
      <w:r>
        <w:rPr>
          <w:rFonts w:ascii="Palatino Linotype" w:hAnsi="Palatino Linotype"/>
          <w:b/>
        </w:rPr>
        <w:t>01099/INFOEM/IP/RR/2020</w:t>
      </w:r>
      <w:r>
        <w:rPr>
          <w:rFonts w:ascii="Palatino Linotype" w:hAnsi="Palatino Linotype"/>
        </w:rPr>
        <w:t xml:space="preserve"> al Comisionado </w:t>
      </w:r>
      <w:r>
        <w:rPr>
          <w:rFonts w:ascii="Palatino Linotype" w:hAnsi="Palatino Linotype"/>
          <w:b/>
        </w:rPr>
        <w:t xml:space="preserve">JAVIER MARTÍNEZ CRUZ; </w:t>
      </w:r>
      <w:r>
        <w:rPr>
          <w:rFonts w:ascii="Palatino Linotype" w:hAnsi="Palatino Linotype"/>
        </w:rPr>
        <w:t xml:space="preserve">el </w:t>
      </w:r>
      <w:r>
        <w:rPr>
          <w:rFonts w:ascii="Palatino Linotype" w:hAnsi="Palatino Linotype"/>
          <w:b/>
        </w:rPr>
        <w:t>01106/INFOEM/IP/RR/2020</w:t>
      </w:r>
      <w:r>
        <w:rPr>
          <w:rFonts w:ascii="Palatino Linotype" w:hAnsi="Palatino Linotype"/>
        </w:rPr>
        <w:t xml:space="preserve"> al Comisionado </w:t>
      </w:r>
      <w:r>
        <w:rPr>
          <w:rFonts w:ascii="Palatino Linotype" w:hAnsi="Palatino Linotype"/>
          <w:b/>
        </w:rPr>
        <w:t>LUIS GUSTAVO PARRA NORIEGA</w:t>
      </w:r>
      <w:r>
        <w:rPr>
          <w:rFonts w:ascii="Palatino Linotype" w:hAnsi="Palatino Linotype"/>
        </w:rPr>
        <w:t xml:space="preserve"> y el </w:t>
      </w:r>
      <w:r>
        <w:rPr>
          <w:rFonts w:ascii="Palatino Linotype" w:hAnsi="Palatino Linotype"/>
          <w:b/>
        </w:rPr>
        <w:t xml:space="preserve">01100/INFOEM/IP/RR/2020, 01105/INFOEM/IP/RR/2020 y 01110/INFOEM/IP/RR/2020 </w:t>
      </w:r>
      <w:r>
        <w:rPr>
          <w:rFonts w:ascii="Palatino Linotype" w:hAnsi="Palatino Linotype" w:cs="Arial"/>
          <w:lang w:val="es-ES_tradnl"/>
        </w:rPr>
        <w:t xml:space="preserve">a la Comisionada Presidenta </w:t>
      </w:r>
      <w:r>
        <w:rPr>
          <w:rFonts w:ascii="Palatino Linotype" w:hAnsi="Palatino Linotype" w:cs="Arial"/>
          <w:b/>
          <w:lang w:val="es-ES_tradnl"/>
        </w:rPr>
        <w:t>ZULEMA MARTÍNEZ SÁNCHEZ</w:t>
      </w:r>
      <w:r>
        <w:rPr>
          <w:rFonts w:ascii="Palatino Linotype" w:hAnsi="Palatino Linotype" w:cs="Arial"/>
          <w:lang w:val="es-ES_tradnl"/>
        </w:rPr>
        <w:t xml:space="preserve"> a efecto de que decretara su admisión o </w:t>
      </w:r>
      <w:proofErr w:type="spellStart"/>
      <w:r>
        <w:rPr>
          <w:rFonts w:ascii="Palatino Linotype" w:hAnsi="Palatino Linotype" w:cs="Arial"/>
          <w:lang w:val="es-ES_tradnl"/>
        </w:rPr>
        <w:t>desechamiento</w:t>
      </w:r>
      <w:proofErr w:type="spellEnd"/>
      <w:r>
        <w:rPr>
          <w:rFonts w:ascii="Palatino Linotype" w:hAnsi="Palatino Linotype" w:cs="Arial"/>
          <w:lang w:val="es-ES_tradnl"/>
        </w:rPr>
        <w:t>.</w:t>
      </w:r>
    </w:p>
    <w:p w:rsidR="003222DF" w:rsidRDefault="001A6C71">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w:t>
      </w:r>
      <w:r>
        <w:rPr>
          <w:rFonts w:ascii="Palatino Linotype" w:hAnsi="Palatino Linotype"/>
        </w:rPr>
        <w:t xml:space="preserve">Por economía procesal y a fin de evitar la emisión de resoluciones contradictorias, el Pleno de este Instituto determinó la acumulación de los recursos de revisión </w:t>
      </w:r>
      <w:r>
        <w:rPr>
          <w:rFonts w:ascii="Palatino Linotype" w:hAnsi="Palatino Linotype"/>
          <w:b/>
          <w:spacing w:val="-20"/>
        </w:rPr>
        <w:t xml:space="preserve">01097/INFOEM/IP/RR/2020, 01098/INFOEM/IP/RR/2020, 01099/INFOEM/IP/RR/2020, 01100/INFOEM/IP/RR/2020, 01102/INFOEM/IP/RR/2020, 01103/INFOEM/IP/RR/2020, 01105/INFOEM/IP/RR/2020, 01106/INFOEM/IP/RR/2020, 01107/INFOEM/IP/RR/2020, 01108/INFOEM/IP/RR/2020 </w:t>
      </w:r>
      <w:r>
        <w:rPr>
          <w:rFonts w:ascii="Palatino Linotype" w:hAnsi="Palatino Linotype"/>
          <w:spacing w:val="-20"/>
        </w:rPr>
        <w:t xml:space="preserve">y </w:t>
      </w:r>
      <w:r>
        <w:rPr>
          <w:rFonts w:ascii="Palatino Linotype" w:hAnsi="Palatino Linotype"/>
          <w:b/>
          <w:spacing w:val="-20"/>
        </w:rPr>
        <w:t>01110/INFOEM/IP/RR/2020 acumulados</w:t>
      </w:r>
      <w:r>
        <w:rPr>
          <w:rFonts w:ascii="Palatino Linotype" w:hAnsi="Palatino Linotype" w:cs="Arial"/>
          <w:b/>
          <w:bCs/>
          <w:spacing w:val="-20"/>
        </w:rPr>
        <w:t>,</w:t>
      </w:r>
      <w:r>
        <w:rPr>
          <w:rFonts w:ascii="Palatino Linotype" w:hAnsi="Palatino Linotype" w:cs="Arial"/>
          <w:b/>
          <w:bCs/>
        </w:rPr>
        <w:t xml:space="preserve"> </w:t>
      </w:r>
      <w:r>
        <w:rPr>
          <w:rFonts w:ascii="Palatino Linotype" w:hAnsi="Palatino Linotype"/>
        </w:rPr>
        <w:t xml:space="preserve">en la Octava Sesión Ordinaria del cinco de marzo de dos mil veinte, el Pleno de este Órgano Garante determinó la acumulación de los Recursos del presente año, turnándose a la Comisionada </w:t>
      </w:r>
      <w:r>
        <w:rPr>
          <w:rFonts w:ascii="Palatino Linotype" w:hAnsi="Palatino Linotype"/>
          <w:b/>
        </w:rPr>
        <w:t>EVA ABAID YAPUR</w:t>
      </w:r>
      <w:r>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w:t>
      </w:r>
      <w:r>
        <w:rPr>
          <w:rFonts w:ascii="Palatino Linotype" w:hAnsi="Palatino Linotype"/>
        </w:rPr>
        <w:lastRenderedPageBreak/>
        <w:t>supletoria en términos del artículo 195 de la Ley de Transparencia y Acceso a la Información Pública del Estado de México y Municipios.</w:t>
      </w:r>
    </w:p>
    <w:p w:rsidR="003222DF" w:rsidRDefault="001A6C71">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En fecha </w:t>
      </w:r>
      <w:r>
        <w:rPr>
          <w:rFonts w:ascii="Palatino Linotype" w:hAnsi="Palatino Linotype"/>
        </w:rPr>
        <w:t>veinticinco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 los referidos recursos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 los expedientes respectivos, mismos que se pusieron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los Informes Justificados correspondientes.</w:t>
      </w:r>
    </w:p>
    <w:p w:rsidR="003222DF" w:rsidRDefault="001A6C71">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VIII</w:t>
      </w:r>
      <w:r>
        <w:rPr>
          <w:rFonts w:ascii="Palatino Linotype" w:hAnsi="Palatino Linotype" w:cs="Arial"/>
        </w:rPr>
        <w:t xml:space="preserve">. De las constancias que obran en los expedientes electrónicos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sus Informes Justificados;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3222DF" w:rsidRDefault="001A6C71">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IX</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guardaban los expedientes, en fecha trece de marzo y seis de mayo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 los mismos a efecto </w:t>
      </w:r>
      <w:r>
        <w:rPr>
          <w:rFonts w:ascii="Palatino Linotype" w:hAnsi="Palatino Linotype" w:cs="Arial"/>
          <w:lang w:val="es-ES_tradnl"/>
        </w:rPr>
        <w:t>de</w:t>
      </w:r>
      <w:r>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 </w:t>
      </w:r>
      <w:r>
        <w:rPr>
          <w:rFonts w:ascii="Palatino Linotype" w:hAnsi="Palatino Linotype"/>
        </w:rPr>
        <w:t>y,</w:t>
      </w:r>
    </w:p>
    <w:p w:rsidR="00D24100" w:rsidRDefault="00D24100">
      <w:pPr>
        <w:pStyle w:val="Prrafodelista"/>
        <w:spacing w:beforeAutospacing="1" w:afterAutospacing="1" w:line="360" w:lineRule="auto"/>
        <w:ind w:left="0"/>
        <w:jc w:val="center"/>
        <w:rPr>
          <w:rFonts w:ascii="Palatino Linotype" w:hAnsi="Palatino Linotype"/>
          <w:b/>
          <w:bCs/>
          <w:spacing w:val="60"/>
          <w:sz w:val="28"/>
        </w:rPr>
      </w:pPr>
    </w:p>
    <w:p w:rsidR="003222DF" w:rsidRDefault="001A6C71">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lastRenderedPageBreak/>
        <w:t>CONSIDERANDO</w:t>
      </w:r>
    </w:p>
    <w:p w:rsidR="003222DF" w:rsidRDefault="001A6C71">
      <w:pPr>
        <w:pStyle w:val="Prrafodelista"/>
        <w:widowControl w:val="0"/>
        <w:tabs>
          <w:tab w:val="left" w:pos="1701"/>
          <w:tab w:val="left" w:pos="1843"/>
        </w:tabs>
        <w:spacing w:before="240" w:afterAutospacing="1" w:line="360" w:lineRule="auto"/>
        <w:ind w:left="0"/>
        <w:jc w:val="both"/>
        <w:rPr>
          <w:rFonts w:ascii="Palatino Linotype" w:hAnsi="Palatino Linotype" w:cs="Arial"/>
        </w:rPr>
      </w:pPr>
      <w:r>
        <w:rPr>
          <w:rFonts w:ascii="Palatino Linotype" w:hAnsi="Palatino Linotype"/>
          <w:b/>
          <w:sz w:val="28"/>
          <w:szCs w:val="28"/>
        </w:rPr>
        <w:t>PRIMERO</w:t>
      </w:r>
      <w:r>
        <w:rPr>
          <w:rFonts w:ascii="Palatino Linotype" w:hAnsi="Palatino Linotype"/>
          <w:b/>
        </w:rPr>
        <w:t>. 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3222DF" w:rsidRDefault="001A6C71">
      <w:pPr>
        <w:pStyle w:val="Prrafodelista"/>
        <w:widowControl w:val="0"/>
        <w:tabs>
          <w:tab w:val="left" w:pos="1701"/>
          <w:tab w:val="left" w:pos="1843"/>
        </w:tabs>
        <w:spacing w:before="240" w:afterAutospacing="1" w:line="360" w:lineRule="auto"/>
        <w:ind w:left="0"/>
        <w:jc w:val="both"/>
        <w:rPr>
          <w:rFonts w:ascii="Palatino Linotype" w:hAnsi="Palatino Linotype" w:cs="Arial"/>
          <w:lang w:val="es-ES_tradnl"/>
        </w:rPr>
      </w:pPr>
      <w:r>
        <w:rPr>
          <w:rFonts w:ascii="Palatino Linotype" w:hAnsi="Palatino Linotype" w:cs="Arial"/>
          <w:b/>
          <w:sz w:val="28"/>
          <w:szCs w:val="28"/>
        </w:rPr>
        <w:t>SEGUNDO</w:t>
      </w:r>
      <w:r>
        <w:rPr>
          <w:rFonts w:ascii="Palatino Linotype" w:hAnsi="Palatino Linotype" w:cs="Arial"/>
          <w:b/>
        </w:rPr>
        <w:t>. Interés.</w:t>
      </w:r>
      <w:r>
        <w:rPr>
          <w:rFonts w:ascii="Palatino Linotype" w:hAnsi="Palatino Linotype" w:cs="Arial"/>
        </w:rPr>
        <w:t xml:space="preserve"> Los </w:t>
      </w:r>
      <w:r>
        <w:rPr>
          <w:rFonts w:ascii="Palatino Linotype" w:hAnsi="Palatino Linotype"/>
        </w:rPr>
        <w:t>recursos</w:t>
      </w:r>
      <w:r>
        <w:rPr>
          <w:rFonts w:ascii="Palatino Linotype" w:hAnsi="Palatino Linotype" w:cs="Arial"/>
        </w:rPr>
        <w:t xml:space="preserve"> de revisión fueron </w:t>
      </w:r>
      <w:r>
        <w:rPr>
          <w:rFonts w:ascii="Palatino Linotype" w:hAnsi="Palatino Linotype"/>
        </w:rPr>
        <w:t>interpuestos</w:t>
      </w:r>
      <w:r>
        <w:rPr>
          <w:rFonts w:ascii="Palatino Linotype" w:hAnsi="Palatino Linotype" w:cs="Arial"/>
        </w:rPr>
        <w:t xml:space="preserve"> por parte legítima en atención a que fueron </w:t>
      </w:r>
      <w:r>
        <w:rPr>
          <w:rFonts w:ascii="Palatino Linotype" w:hAnsi="Palatino Linotype"/>
        </w:rPr>
        <w:t>presentados</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las solicitudes de información pública</w:t>
      </w:r>
      <w:r>
        <w:rPr>
          <w:rFonts w:ascii="Palatino Linotype" w:hAnsi="Palatino Linotype" w:cs="Arial"/>
          <w:lang w:val="es-ES_tradnl"/>
        </w:rPr>
        <w:t>.</w:t>
      </w:r>
    </w:p>
    <w:p w:rsidR="003222DF" w:rsidRDefault="001A6C71">
      <w:pPr>
        <w:pStyle w:val="Prrafodelista"/>
        <w:widowControl w:val="0"/>
        <w:tabs>
          <w:tab w:val="left" w:pos="1701"/>
          <w:tab w:val="left" w:pos="1843"/>
        </w:tabs>
        <w:spacing w:before="240" w:afterAutospacing="1" w:line="360" w:lineRule="auto"/>
        <w:ind w:left="0"/>
        <w:jc w:val="both"/>
        <w:rPr>
          <w:rFonts w:ascii="Palatino Linotype" w:hAnsi="Palatino Linotype" w:cs="Arial"/>
          <w:lang w:val="es-ES_tradnl"/>
        </w:rPr>
      </w:pPr>
      <w:r>
        <w:rPr>
          <w:rFonts w:ascii="Palatino Linotype" w:hAnsi="Palatino Linotype" w:cs="Arial"/>
          <w:b/>
          <w:sz w:val="28"/>
          <w:szCs w:val="28"/>
        </w:rPr>
        <w:t>TERCERO</w:t>
      </w:r>
      <w:r>
        <w:rPr>
          <w:rFonts w:ascii="Palatino Linotype" w:hAnsi="Palatino Linotype" w:cs="Arial"/>
          <w:b/>
        </w:rPr>
        <w:t>. Justificación de la Acumulación de los recursos.</w:t>
      </w:r>
      <w:r>
        <w:rPr>
          <w:rFonts w:ascii="Palatino Linotype" w:hAnsi="Palatino Linotype" w:cs="Arial"/>
        </w:rPr>
        <w:t xml:space="preserve"> De las constancias que obran en los expedientes, se advierte que los recursos de revisión</w:t>
      </w:r>
      <w:r>
        <w:rPr>
          <w:rFonts w:ascii="Palatino Linotype" w:hAnsi="Palatino Linotype"/>
        </w:rPr>
        <w:t xml:space="preserve"> </w:t>
      </w:r>
      <w:r>
        <w:rPr>
          <w:rFonts w:ascii="Palatino Linotype" w:hAnsi="Palatino Linotype" w:cs="Arial"/>
        </w:rPr>
        <w:t xml:space="preserve">fueron presentados por el mismo </w:t>
      </w:r>
      <w:r>
        <w:rPr>
          <w:rFonts w:ascii="Palatino Linotype" w:hAnsi="Palatino Linotype" w:cs="Arial"/>
          <w:b/>
        </w:rPr>
        <w:t xml:space="preserve">RECURRENTE </w:t>
      </w:r>
      <w:r>
        <w:rPr>
          <w:rFonts w:ascii="Palatino Linotype" w:hAnsi="Palatino Linotype" w:cs="Arial"/>
        </w:rPr>
        <w:t xml:space="preserve">ante el mismo </w:t>
      </w:r>
      <w:r>
        <w:rPr>
          <w:rFonts w:ascii="Palatino Linotype" w:hAnsi="Palatino Linotype" w:cs="Arial"/>
          <w:b/>
        </w:rPr>
        <w:t>SUJETO OBLIGADO</w:t>
      </w:r>
      <w:r>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w:t>
      </w:r>
      <w:r>
        <w:rPr>
          <w:rFonts w:ascii="Palatino Linotype" w:hAnsi="Palatino Linotype" w:cs="Arial"/>
        </w:rPr>
        <w:lastRenderedPageBreak/>
        <w:t xml:space="preserve">de Procedimientos Administrativos del Estado de México, de aplicación supletoria en términos del ordinal 195 de </w:t>
      </w:r>
      <w:r>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222DF" w:rsidRDefault="001A6C71">
      <w:pPr>
        <w:tabs>
          <w:tab w:val="center" w:pos="4252"/>
          <w:tab w:val="right" w:pos="8504"/>
        </w:tabs>
        <w:spacing w:beforeAutospacing="1" w:afterAutospacing="1" w:line="360" w:lineRule="auto"/>
        <w:jc w:val="both"/>
        <w:rPr>
          <w:rFonts w:ascii="Palatino Linotype" w:eastAsiaTheme="minorEastAsia" w:hAnsi="Palatino Linotype" w:cs="Arial"/>
        </w:rPr>
      </w:pPr>
      <w:r>
        <w:rPr>
          <w:rFonts w:ascii="Palatino Linotype" w:eastAsiaTheme="minorEastAsia" w:hAnsi="Palatino Linotype" w:cs="Arial"/>
          <w:sz w:val="22"/>
          <w:szCs w:val="22"/>
        </w:rPr>
        <w:t xml:space="preserve">De </w:t>
      </w:r>
      <w:r>
        <w:rPr>
          <w:rFonts w:ascii="Palatino Linotype" w:eastAsiaTheme="minorEastAsia" w:hAnsi="Palatino Linotype" w:cs="Arial"/>
        </w:rPr>
        <w:t>lo dispuesto en la normativa anterior, dicha acumulación procede cuando:</w:t>
      </w:r>
    </w:p>
    <w:p w:rsidR="003222DF" w:rsidRDefault="001A6C71">
      <w:pPr>
        <w:numPr>
          <w:ilvl w:val="0"/>
          <w:numId w:val="1"/>
        </w:numPr>
        <w:tabs>
          <w:tab w:val="center" w:pos="4252"/>
          <w:tab w:val="right" w:pos="8504"/>
        </w:tabs>
        <w:spacing w:beforeAutospacing="1" w:line="360" w:lineRule="auto"/>
        <w:ind w:left="851" w:hanging="142"/>
        <w:jc w:val="both"/>
        <w:rPr>
          <w:rFonts w:ascii="Palatino Linotype" w:eastAsiaTheme="minorEastAsia" w:hAnsi="Palatino Linotype" w:cs="Arial"/>
        </w:rPr>
      </w:pPr>
      <w:r>
        <w:rPr>
          <w:rFonts w:ascii="Palatino Linotype" w:eastAsiaTheme="minorEastAsia" w:hAnsi="Palatino Linotype" w:cs="Arial"/>
        </w:rPr>
        <w:t>El solicitante y la información referida sean las mismas;</w:t>
      </w:r>
    </w:p>
    <w:p w:rsidR="003222DF" w:rsidRDefault="001A6C71">
      <w:pPr>
        <w:numPr>
          <w:ilvl w:val="0"/>
          <w:numId w:val="1"/>
        </w:numPr>
        <w:tabs>
          <w:tab w:val="center" w:pos="4252"/>
          <w:tab w:val="right" w:pos="8504"/>
        </w:tabs>
        <w:spacing w:line="360" w:lineRule="auto"/>
        <w:ind w:left="851" w:hanging="142"/>
        <w:jc w:val="both"/>
        <w:rPr>
          <w:rFonts w:ascii="Palatino Linotype" w:eastAsiaTheme="minorEastAsia" w:hAnsi="Palatino Linotype" w:cs="Arial"/>
        </w:rPr>
      </w:pPr>
      <w:r>
        <w:rPr>
          <w:rFonts w:ascii="Palatino Linotype" w:eastAsiaTheme="minorEastAsia" w:hAnsi="Palatino Linotype" w:cs="Arial"/>
          <w:b/>
        </w:rPr>
        <w:t>Las partes o los actos impugnados sean iguales</w:t>
      </w:r>
      <w:r>
        <w:rPr>
          <w:rFonts w:ascii="Palatino Linotype" w:eastAsiaTheme="minorEastAsia" w:hAnsi="Palatino Linotype" w:cs="Arial"/>
        </w:rPr>
        <w:t>;</w:t>
      </w:r>
    </w:p>
    <w:p w:rsidR="003222DF" w:rsidRDefault="001A6C71">
      <w:pPr>
        <w:numPr>
          <w:ilvl w:val="0"/>
          <w:numId w:val="1"/>
        </w:numPr>
        <w:tabs>
          <w:tab w:val="center" w:pos="4252"/>
          <w:tab w:val="right" w:pos="8504"/>
        </w:tabs>
        <w:spacing w:line="360" w:lineRule="auto"/>
        <w:ind w:left="851" w:hanging="142"/>
        <w:jc w:val="both"/>
        <w:rPr>
          <w:rFonts w:ascii="Palatino Linotype" w:eastAsiaTheme="minorEastAsia" w:hAnsi="Palatino Linotype" w:cs="Arial"/>
        </w:rPr>
      </w:pPr>
      <w:r>
        <w:rPr>
          <w:rFonts w:ascii="Palatino Linotype" w:eastAsiaTheme="minorEastAsia" w:hAnsi="Palatino Linotype" w:cs="Arial"/>
        </w:rPr>
        <w:t>Cuando se trate del mismo solicitante, el mismo Sujeto Obligado, aunque se trate de solicitudes diversas; y,</w:t>
      </w:r>
    </w:p>
    <w:p w:rsidR="003222DF" w:rsidRDefault="001A6C71">
      <w:pPr>
        <w:numPr>
          <w:ilvl w:val="0"/>
          <w:numId w:val="1"/>
        </w:numPr>
        <w:tabs>
          <w:tab w:val="center" w:pos="4252"/>
          <w:tab w:val="right" w:pos="8504"/>
        </w:tabs>
        <w:spacing w:afterAutospacing="1" w:line="360" w:lineRule="auto"/>
        <w:ind w:left="851" w:hanging="142"/>
        <w:jc w:val="both"/>
        <w:rPr>
          <w:rFonts w:ascii="Palatino Linotype" w:eastAsiaTheme="minorEastAsia" w:hAnsi="Palatino Linotype" w:cs="Arial"/>
        </w:rPr>
      </w:pPr>
      <w:r>
        <w:rPr>
          <w:rFonts w:ascii="Palatino Linotype" w:eastAsiaTheme="minorEastAsia" w:hAnsi="Palatino Linotype" w:cs="Arial"/>
          <w:b/>
        </w:rPr>
        <w:t>Resulte conveniente la resolución unificada de los asuntos</w:t>
      </w:r>
      <w:r>
        <w:rPr>
          <w:rFonts w:ascii="Palatino Linotype" w:eastAsiaTheme="minorEastAsia" w:hAnsi="Palatino Linotype" w:cs="Arial"/>
          <w:i/>
        </w:rPr>
        <w:t>.</w:t>
      </w:r>
    </w:p>
    <w:p w:rsidR="003222DF" w:rsidRDefault="001A6C71">
      <w:pPr>
        <w:tabs>
          <w:tab w:val="center" w:pos="4252"/>
          <w:tab w:val="right" w:pos="8504"/>
        </w:tabs>
        <w:spacing w:beforeAutospacing="1" w:afterAutospacing="1" w:line="360" w:lineRule="auto"/>
        <w:jc w:val="both"/>
        <w:rPr>
          <w:rFonts w:ascii="Palatino Linotype" w:eastAsiaTheme="minorEastAsia" w:hAnsi="Palatino Linotype" w:cs="Arial"/>
        </w:rPr>
      </w:pPr>
      <w:r>
        <w:rPr>
          <w:rFonts w:ascii="Palatino Linotype" w:eastAsiaTheme="minorEastAsia" w:hAnsi="Palatino Linotype" w:cs="Arial"/>
        </w:rPr>
        <w:t xml:space="preserve">Así, tal y como se mencionó anteriormente, los recursos de revisión que nos ocupan fueron interpuestos por el mismo </w:t>
      </w:r>
      <w:r>
        <w:rPr>
          <w:rFonts w:ascii="Palatino Linotype" w:eastAsiaTheme="minorEastAsia" w:hAnsi="Palatino Linotype" w:cs="Arial"/>
          <w:b/>
        </w:rPr>
        <w:t>RECURRENTE</w:t>
      </w:r>
      <w:r>
        <w:rPr>
          <w:rFonts w:ascii="Palatino Linotype" w:eastAsiaTheme="minorEastAsia" w:hAnsi="Palatino Linotype" w:cs="Arial"/>
        </w:rPr>
        <w:t xml:space="preserve"> ante el mismo </w:t>
      </w:r>
      <w:r>
        <w:rPr>
          <w:rFonts w:ascii="Palatino Linotype" w:eastAsiaTheme="minorEastAsia" w:hAnsi="Palatino Linotype" w:cs="Arial"/>
          <w:b/>
        </w:rPr>
        <w:t>SUJETO OBLIGADO</w:t>
      </w:r>
      <w:r>
        <w:rPr>
          <w:rFonts w:ascii="Palatino Linotype" w:eastAsiaTheme="minorEastAsia" w:hAnsi="Palatino Linotype" w:cs="Arial"/>
        </w:rPr>
        <w:t xml:space="preserve">; por lo que, resulta conveniente su resolución conjunta. </w:t>
      </w:r>
    </w:p>
    <w:p w:rsidR="003222DF" w:rsidRDefault="001A6C71">
      <w:pPr>
        <w:pStyle w:val="Prrafodelista"/>
        <w:widowControl w:val="0"/>
        <w:tabs>
          <w:tab w:val="left" w:pos="993"/>
          <w:tab w:val="left" w:pos="1701"/>
        </w:tabs>
        <w:spacing w:before="240" w:afterAutospacing="1" w:line="360" w:lineRule="auto"/>
        <w:ind w:left="0" w:right="49"/>
        <w:jc w:val="both"/>
        <w:rPr>
          <w:rFonts w:ascii="Palatino Linotype" w:hAnsi="Palatino Linotype" w:cs="Arial"/>
        </w:rPr>
      </w:pPr>
      <w:r>
        <w:rPr>
          <w:rFonts w:ascii="Palatino Linotype" w:hAnsi="Palatino Linotype" w:cs="Arial"/>
          <w:b/>
          <w:color w:val="000000"/>
          <w:sz w:val="28"/>
          <w:szCs w:val="28"/>
        </w:rPr>
        <w:t>CUARTO</w:t>
      </w:r>
      <w:r>
        <w:rPr>
          <w:rFonts w:ascii="Palatino Linotype" w:hAnsi="Palatino Linotype" w:cs="Arial"/>
          <w:b/>
          <w:color w:val="000000"/>
        </w:rPr>
        <w:t>. Oportunidad.</w:t>
      </w:r>
      <w:r>
        <w:rPr>
          <w:rFonts w:ascii="Palatino Linotype" w:hAnsi="Palatino Linotype" w:cs="Arial"/>
          <w:color w:val="000000"/>
        </w:rPr>
        <w:t xml:space="preserve"> Los recursos de revisión fueron interpuestos dentro del plazo de quince días hábiles contados a partir del día siguiente en que </w:t>
      </w:r>
      <w:r>
        <w:rPr>
          <w:rFonts w:ascii="Palatino Linotype" w:hAnsi="Palatino Linotype" w:cs="Arial"/>
          <w:b/>
          <w:color w:val="000000"/>
        </w:rPr>
        <w:t>EL RECURRENTE</w:t>
      </w:r>
      <w:r>
        <w:rPr>
          <w:rFonts w:ascii="Palatino Linotype" w:hAnsi="Palatino Linotype" w:cs="Arial"/>
          <w:color w:val="000000"/>
        </w:rPr>
        <w:t xml:space="preserve"> tuvo conocimiento de las respuestas impugnadas, tal y como lo prevé el artículo 178 de la Ley de Transparencia y Acceso a la Información Pública del Estado de México y Municipios, que establece: </w:t>
      </w:r>
    </w:p>
    <w:p w:rsidR="003222DF" w:rsidRDefault="001A6C71">
      <w:pPr>
        <w:pStyle w:val="Prrafodelista"/>
        <w:ind w:left="851" w:right="899"/>
        <w:jc w:val="both"/>
        <w:rPr>
          <w:rFonts w:ascii="Palatino Linotype" w:hAnsi="Palatino Linotype" w:cs="Arial"/>
          <w:i/>
          <w:sz w:val="22"/>
        </w:rPr>
      </w:pPr>
      <w:r>
        <w:rPr>
          <w:rFonts w:ascii="Palatino Linotype" w:hAnsi="Palatino Linotype" w:cs="Arial"/>
          <w:i/>
          <w:sz w:val="22"/>
        </w:rPr>
        <w:lastRenderedPageBreak/>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222DF" w:rsidRDefault="003222DF">
      <w:pPr>
        <w:pStyle w:val="Prrafodelista"/>
        <w:ind w:left="851" w:right="899"/>
        <w:jc w:val="both"/>
        <w:rPr>
          <w:rFonts w:ascii="Palatino Linotype" w:hAnsi="Palatino Linotype" w:cs="Arial"/>
          <w:i/>
          <w:sz w:val="22"/>
        </w:rPr>
      </w:pPr>
    </w:p>
    <w:p w:rsidR="003222DF" w:rsidRDefault="001A6C71">
      <w:pPr>
        <w:pStyle w:val="Prrafodelista"/>
        <w:ind w:left="851" w:right="899"/>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222DF" w:rsidRDefault="001A6C71">
      <w:pPr>
        <w:pStyle w:val="Prrafodelista"/>
        <w:ind w:left="851" w:right="89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3222DF" w:rsidRDefault="003222DF">
      <w:pPr>
        <w:pStyle w:val="Prrafodelista"/>
        <w:spacing w:line="360" w:lineRule="auto"/>
        <w:ind w:left="502" w:right="709"/>
        <w:jc w:val="both"/>
        <w:rPr>
          <w:rFonts w:ascii="Palatino Linotype" w:hAnsi="Palatino Linotype" w:cs="Arial"/>
          <w:i/>
        </w:rPr>
      </w:pPr>
    </w:p>
    <w:p w:rsidR="003222DF" w:rsidRDefault="001A6C71">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las respuestas a las solicitudes anteriormente citadas</w:t>
      </w:r>
      <w:r>
        <w:rPr>
          <w:rFonts w:ascii="Palatino Linotype" w:hAnsi="Palatino Linotype"/>
          <w:b/>
          <w:bCs/>
        </w:rPr>
        <w:t xml:space="preserve"> </w:t>
      </w:r>
      <w:r>
        <w:rPr>
          <w:rFonts w:ascii="Palatino Linotype" w:hAnsi="Palatino Linotype" w:cs="Arial"/>
        </w:rPr>
        <w:t>el día</w:t>
      </w:r>
      <w:r>
        <w:rPr>
          <w:rFonts w:ascii="Palatino Linotype" w:hAnsi="Palatino Linotype" w:cs="Arial"/>
          <w:b/>
        </w:rPr>
        <w:t xml:space="preserve"> once de febrero de dos mil diecinueve</w:t>
      </w:r>
      <w:r>
        <w:rPr>
          <w:rFonts w:ascii="Palatino Linotype" w:hAnsi="Palatino Linotype" w:cs="Arial"/>
        </w:rPr>
        <w:t>; así,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los respectivos recursos de revisión, transcurrió del </w:t>
      </w:r>
      <w:r>
        <w:rPr>
          <w:rFonts w:ascii="Palatino Linotype" w:hAnsi="Palatino Linotype" w:cs="Arial"/>
          <w:b/>
        </w:rPr>
        <w:t>doce de febrero al cuatro de marzo de dos mil veinte</w:t>
      </w:r>
      <w:r>
        <w:rPr>
          <w:rFonts w:ascii="Palatino Linotype" w:hAnsi="Palatino Linotype" w:cs="Arial"/>
        </w:rPr>
        <w:t xml:space="preserve">; sin contemplar en el cómputo los días quince, dieciséis, veintidós, veintitrés y veintinueve de febrero y uno de marzo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así como, el día dos de marzo del presente año por tratarse de un día de suspensión de labores de conformidad con el Calendario Oficial en Materia de Transparencia, Acceso a la Información Pública y Protección de Datos Personales del Estado de México y Municipios, para el año dos mil veinte y enero dos mil veintiuno, publicado en el Periódico Oficial “Gaceta del Gobierno”, el diecinueve de diciembre de dos mil diecinueve.</w:t>
      </w:r>
    </w:p>
    <w:p w:rsidR="003222DF" w:rsidRDefault="001A6C71">
      <w:pPr>
        <w:widowControl w:val="0"/>
        <w:tabs>
          <w:tab w:val="left" w:pos="993"/>
          <w:tab w:val="left" w:pos="1701"/>
        </w:tabs>
        <w:spacing w:before="240" w:afterAutospacing="1" w:line="360" w:lineRule="auto"/>
        <w:ind w:right="49"/>
        <w:jc w:val="both"/>
        <w:rPr>
          <w:rFonts w:ascii="Palatino Linotype" w:hAnsi="Palatino Linotype" w:cs="Arial"/>
          <w:b/>
          <w:color w:val="000000"/>
        </w:rPr>
      </w:pPr>
      <w:r>
        <w:rPr>
          <w:rFonts w:ascii="Palatino Linotype" w:hAnsi="Palatino Linotype" w:cs="Arial"/>
        </w:rPr>
        <w:t>En ese tenor, si los recursos de revisión que nos ocupan, se interpusieron el</w:t>
      </w:r>
      <w:r>
        <w:rPr>
          <w:rFonts w:ascii="Palatino Linotype" w:hAnsi="Palatino Linotype" w:cs="Arial"/>
          <w:b/>
        </w:rPr>
        <w:t xml:space="preserve"> diecinueve </w:t>
      </w:r>
      <w:r>
        <w:rPr>
          <w:rFonts w:ascii="Palatino Linotype" w:hAnsi="Palatino Linotype" w:cs="Arial"/>
          <w:b/>
        </w:rPr>
        <w:lastRenderedPageBreak/>
        <w:t>de febrero de dos mil veinte</w:t>
      </w:r>
      <w:r>
        <w:rPr>
          <w:rFonts w:ascii="Palatino Linotype" w:hAnsi="Palatino Linotype" w:cs="Arial"/>
        </w:rPr>
        <w:t>, éstos se encuentran dentro de los márgenes temporales previstos en el precepto legal citado en el párrafo anterior y, por tanto, su interposición se considera oportuna.</w:t>
      </w:r>
    </w:p>
    <w:p w:rsidR="003222DF" w:rsidRDefault="001A6C71">
      <w:pPr>
        <w:pStyle w:val="Prrafodelista"/>
        <w:widowControl w:val="0"/>
        <w:tabs>
          <w:tab w:val="left" w:pos="1701"/>
          <w:tab w:val="left" w:pos="1843"/>
        </w:tabs>
        <w:spacing w:before="240" w:afterAutospacing="1" w:line="360" w:lineRule="auto"/>
        <w:ind w:left="0"/>
        <w:jc w:val="both"/>
        <w:rPr>
          <w:rFonts w:ascii="Palatino Linotype" w:hAnsi="Palatino Linotype"/>
          <w:lang w:val="es-ES"/>
        </w:rPr>
      </w:pPr>
      <w:r>
        <w:rPr>
          <w:rFonts w:ascii="Palatino Linotype" w:hAnsi="Palatino Linotype" w:cs="Arial"/>
          <w:b/>
          <w:sz w:val="28"/>
          <w:szCs w:val="28"/>
        </w:rPr>
        <w:t>QUINTO</w:t>
      </w:r>
      <w:r>
        <w:rPr>
          <w:rFonts w:ascii="Palatino Linotype" w:hAnsi="Palatino Linotype" w:cs="Arial"/>
          <w:b/>
        </w:rPr>
        <w:t xml:space="preserve">. </w:t>
      </w:r>
      <w:proofErr w:type="spellStart"/>
      <w:r>
        <w:rPr>
          <w:rFonts w:ascii="Palatino Linotype" w:hAnsi="Palatino Linotype" w:cs="Arial"/>
          <w:b/>
        </w:rPr>
        <w:t>Procedibilidad</w:t>
      </w:r>
      <w:proofErr w:type="spellEnd"/>
      <w:r>
        <w:rPr>
          <w:rFonts w:ascii="Palatino Linotype" w:hAnsi="Palatino Linotype" w:cs="Arial"/>
          <w:b/>
        </w:rPr>
        <w:t xml:space="preserve">.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3222DF" w:rsidRDefault="001A6C71">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b/>
          <w:sz w:val="28"/>
          <w:szCs w:val="28"/>
        </w:rPr>
        <w:t>SEXTO</w:t>
      </w:r>
      <w:r>
        <w:rPr>
          <w:rFonts w:ascii="Palatino Linotype" w:hAnsi="Palatino Linotype" w:cs="Arial"/>
          <w:b/>
        </w:rPr>
        <w:t>. Estudio y resolución del asunto</w:t>
      </w:r>
      <w:r>
        <w:rPr>
          <w:rFonts w:ascii="Palatino Linotype" w:hAnsi="Palatino Linotype" w:cs="Arial"/>
          <w:b/>
          <w:color w:val="000000" w:themeColor="text1"/>
        </w:rPr>
        <w:t>.</w:t>
      </w:r>
      <w:r>
        <w:rPr>
          <w:rFonts w:ascii="Palatino Linotype" w:hAnsi="Palatino Linotype" w:cs="Arial"/>
        </w:rPr>
        <w:t xml:space="preserve"> Tal y como quedó precisado en los resultandos de la presente resolución, el particular requirió del </w:t>
      </w:r>
      <w:r>
        <w:rPr>
          <w:rFonts w:ascii="Palatino Linotype" w:hAnsi="Palatino Linotype" w:cs="Arial"/>
          <w:b/>
        </w:rPr>
        <w:t>SUJETO OBLIGADO</w:t>
      </w:r>
      <w:r>
        <w:rPr>
          <w:rFonts w:ascii="Palatino Linotype" w:hAnsi="Palatino Linotype" w:cs="Arial"/>
        </w:rPr>
        <w:t xml:space="preserve">, la documentación en que consten los pagos realizados por concepto de Impuesto Predial en relación a la clave catastral referida por el solicitante en sus solicitudes de información de los </w:t>
      </w:r>
      <w:r>
        <w:rPr>
          <w:rFonts w:ascii="Palatino Linotype" w:hAnsi="Palatino Linotype"/>
        </w:rPr>
        <w:t>ejercicios fiscales 2010 a 2020.</w:t>
      </w:r>
    </w:p>
    <w:p w:rsidR="003222DF" w:rsidRDefault="001A6C7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Al respecto, </w:t>
      </w:r>
      <w:r>
        <w:rPr>
          <w:rFonts w:ascii="Palatino Linotype" w:hAnsi="Palatino Linotype" w:cs="Arial"/>
          <w:b/>
        </w:rPr>
        <w:t xml:space="preserve">EL SUJETO OBLIGADO </w:t>
      </w:r>
      <w:r>
        <w:rPr>
          <w:rFonts w:ascii="Palatino Linotype" w:hAnsi="Palatino Linotype" w:cs="Arial"/>
        </w:rPr>
        <w:t>respondió al particular que tras haber turnado sus solicitudes de información a la Tesorería Municipal de conformidad con lo establecido en el Reglamento Orgánico de la Administración Pública Municipal de Huixquilucan, manifestó que no era posible hacer entrega de lo solicitado ya que para poder proporcionar la documentación requerida es necesario acreditar la personalidad jurídica del solicitante de conformidad con los artículos 118 y 232 del Código de Procedimientos Administrativos del Estado de México.</w:t>
      </w:r>
    </w:p>
    <w:p w:rsidR="003222DF" w:rsidRDefault="001A6C7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Inconforme con dichas respuestas, el hoy </w:t>
      </w:r>
      <w:r>
        <w:rPr>
          <w:rFonts w:ascii="Palatino Linotype" w:hAnsi="Palatino Linotype" w:cs="Arial"/>
          <w:b/>
        </w:rPr>
        <w:t>RECURRENTE</w:t>
      </w:r>
      <w:r>
        <w:rPr>
          <w:rFonts w:ascii="Palatino Linotype" w:hAnsi="Palatino Linotype" w:cs="Arial"/>
        </w:rPr>
        <w:t xml:space="preserve"> interpuso los medios de </w:t>
      </w:r>
      <w:r>
        <w:rPr>
          <w:rFonts w:ascii="Palatino Linotype" w:hAnsi="Palatino Linotype" w:cs="Arial"/>
        </w:rPr>
        <w:lastRenderedPageBreak/>
        <w:t xml:space="preserve">defensa en análisis, doliéndose medularmente de la negativa del </w:t>
      </w:r>
      <w:r>
        <w:rPr>
          <w:rFonts w:ascii="Palatino Linotype" w:hAnsi="Palatino Linotype" w:cs="Arial"/>
          <w:b/>
        </w:rPr>
        <w:t xml:space="preserve">SUJETO OBLIGADO </w:t>
      </w:r>
      <w:r>
        <w:rPr>
          <w:rFonts w:ascii="Palatino Linotype" w:hAnsi="Palatino Linotype" w:cs="Arial"/>
        </w:rPr>
        <w:t xml:space="preserve">para hacer entrega de la información solicitada refiriendo que con dicha  respuesta resultaba evidente </w:t>
      </w:r>
      <w:r>
        <w:rPr>
          <w:rFonts w:ascii="Palatino Linotype" w:hAnsi="Palatino Linotype" w:cs="Arial"/>
          <w:i/>
        </w:rPr>
        <w:t xml:space="preserve">“…una violación directa al derecho al acceso a la información pública…” (sic) </w:t>
      </w:r>
      <w:r>
        <w:rPr>
          <w:rFonts w:ascii="Palatino Linotype" w:hAnsi="Palatino Linotype" w:cs="Arial"/>
        </w:rPr>
        <w:t>manifestaciones subjetivas de las que este Órgano Garante no puede emitir un pronunciamiento debido a que no se encuentra facultado para ello de conformidad con lo establecido en el artículo 36 de la Ley de la materia.</w:t>
      </w:r>
    </w:p>
    <w:p w:rsidR="003222DF" w:rsidRDefault="001A6C71">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Cabe destacar, que </w:t>
      </w:r>
      <w:r>
        <w:rPr>
          <w:rFonts w:ascii="Palatino Linotype" w:hAnsi="Palatino Linotype" w:cs="Arial"/>
          <w:b/>
        </w:rPr>
        <w:t xml:space="preserve">EL SUJETO OBLIGADO </w:t>
      </w:r>
      <w:r>
        <w:rPr>
          <w:rFonts w:ascii="Palatino Linotype" w:hAnsi="Palatino Linotype" w:cs="Arial"/>
        </w:rPr>
        <w:t>rindió los Informes Justificados correspondientes, mediante los cuales señaló que los comprobantes de pago o también conocidos como CFDI que se emiten, contienen datos personales como nombre completo del contribuyente, domicilio del bien inmueble, Registro Federal de Contribuyentes del propietario de dicho inmueble; motivo por el cual, de conformidad con lo establecido en los artículos 6, 18, 20, 22, fracción I, 38, 40, 62 y 165, fracción X de la Ley de Protección de Datos Personales en Posesión de los Sujetos Obligados del Estado de México y Municipios, no le era posible hacer la entrega de la información solicitada pues para ello se requiere que el titular de los datos acredite su consentimiento; agregando que, no existen pagos realizados durante los ejercicios fiscales solicitados.</w:t>
      </w:r>
    </w:p>
    <w:p w:rsidR="003222DF" w:rsidRDefault="003222DF">
      <w:pPr>
        <w:widowControl w:val="0"/>
        <w:tabs>
          <w:tab w:val="left" w:pos="1701"/>
          <w:tab w:val="left" w:pos="1843"/>
        </w:tabs>
        <w:spacing w:line="360" w:lineRule="auto"/>
        <w:jc w:val="both"/>
        <w:rPr>
          <w:rFonts w:ascii="Palatino Linotype" w:hAnsi="Palatino Linotype" w:cs="Arial"/>
        </w:rPr>
      </w:pPr>
    </w:p>
    <w:p w:rsidR="003222DF" w:rsidRDefault="001A6C71">
      <w:pPr>
        <w:widowControl w:val="0"/>
        <w:tabs>
          <w:tab w:val="left" w:pos="1701"/>
          <w:tab w:val="left" w:pos="1843"/>
        </w:tabs>
        <w:spacing w:line="360" w:lineRule="auto"/>
        <w:jc w:val="both"/>
        <w:rPr>
          <w:rFonts w:ascii="Palatino Linotype" w:hAnsi="Palatino Linotype" w:cs="Arial"/>
          <w:sz w:val="20"/>
          <w:szCs w:val="20"/>
        </w:rPr>
      </w:pPr>
      <w:r>
        <w:rPr>
          <w:rFonts w:ascii="Palatino Linotype" w:hAnsi="Palatino Linotype" w:cs="Arial"/>
        </w:rPr>
        <w:t xml:space="preserve">Por su parte, </w:t>
      </w:r>
      <w:r>
        <w:rPr>
          <w:rFonts w:ascii="Palatino Linotype" w:hAnsi="Palatino Linotype" w:cs="Arial"/>
          <w:b/>
        </w:rPr>
        <w:t>EL RECURRENTE</w:t>
      </w:r>
      <w:r>
        <w:rPr>
          <w:rFonts w:ascii="Palatino Linotype" w:hAnsi="Palatino Linotype" w:cs="Arial"/>
        </w:rPr>
        <w:t xml:space="preserve"> no presentó manifestaciones tendentes a robustecer sus razones o motivos de inconformidad.</w:t>
      </w:r>
    </w:p>
    <w:p w:rsidR="003222DF" w:rsidRDefault="003222DF">
      <w:pPr>
        <w:widowControl w:val="0"/>
        <w:tabs>
          <w:tab w:val="left" w:pos="1701"/>
          <w:tab w:val="left" w:pos="1843"/>
        </w:tabs>
        <w:jc w:val="both"/>
        <w:rPr>
          <w:rFonts w:ascii="Palatino Linotype" w:hAnsi="Palatino Linotype" w:cs="Arial"/>
          <w:sz w:val="20"/>
          <w:szCs w:val="20"/>
        </w:rPr>
      </w:pPr>
    </w:p>
    <w:p w:rsidR="003222DF" w:rsidRDefault="001A6C71">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Bajo ese contexto, este Instituto analizó la totalidad de constancias que integran los expedientes electrónicos del </w:t>
      </w:r>
      <w:r>
        <w:rPr>
          <w:rFonts w:ascii="Palatino Linotype" w:hAnsi="Palatino Linotype" w:cs="Arial"/>
          <w:b/>
        </w:rPr>
        <w:t>SAIMEX</w:t>
      </w:r>
      <w:r>
        <w:rPr>
          <w:rFonts w:ascii="Palatino Linotype" w:hAnsi="Palatino Linotype" w:cs="Arial"/>
        </w:rPr>
        <w:t xml:space="preserve"> y advirtió que las razones o motivos de inconformidad hechos valer por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devienen</w:t>
      </w:r>
      <w:r>
        <w:rPr>
          <w:rFonts w:ascii="Palatino Linotype" w:hAnsi="Palatino Linotype" w:cs="Arial"/>
          <w:b/>
        </w:rPr>
        <w:t xml:space="preserve"> parcialmente fundados </w:t>
      </w:r>
      <w:r>
        <w:rPr>
          <w:rFonts w:ascii="Palatino Linotype" w:hAnsi="Palatino Linotype" w:cs="Arial"/>
        </w:rPr>
        <w:lastRenderedPageBreak/>
        <w:t xml:space="preserve">y suficientes para </w:t>
      </w:r>
      <w:r>
        <w:rPr>
          <w:rFonts w:ascii="Palatino Linotype" w:hAnsi="Palatino Linotype" w:cs="Arial"/>
          <w:b/>
        </w:rPr>
        <w:t>MODIFICAR</w:t>
      </w:r>
      <w:r>
        <w:rPr>
          <w:rFonts w:ascii="Palatino Linotype" w:hAnsi="Palatino Linotype" w:cs="Arial"/>
        </w:rPr>
        <w:t xml:space="preserve"> las respuestas del </w:t>
      </w:r>
      <w:r>
        <w:rPr>
          <w:rFonts w:ascii="Palatino Linotype" w:hAnsi="Palatino Linotype" w:cs="Arial"/>
          <w:b/>
        </w:rPr>
        <w:t>SUJETO OBLIGADO</w:t>
      </w:r>
      <w:r>
        <w:rPr>
          <w:rFonts w:ascii="Palatino Linotype" w:hAnsi="Palatino Linotype" w:cs="Arial"/>
        </w:rPr>
        <w:t>, en atención a las Consideraciones de hecho y de derecho siguientes:</w:t>
      </w:r>
    </w:p>
    <w:p w:rsidR="003222DF" w:rsidRDefault="001A6C71">
      <w:pPr>
        <w:spacing w:before="360" w:after="360" w:line="360" w:lineRule="auto"/>
        <w:jc w:val="both"/>
        <w:rPr>
          <w:rFonts w:ascii="Palatino Linotype" w:hAnsi="Palatino Linotype" w:cs="Arial"/>
        </w:rPr>
      </w:pPr>
      <w:r>
        <w:rPr>
          <w:rFonts w:ascii="Palatino Linotype" w:hAnsi="Palatino Linotype"/>
        </w:rPr>
        <w:t xml:space="preserve">En primer término, </w:t>
      </w:r>
      <w:r>
        <w:rPr>
          <w:rFonts w:ascii="Palatino Linotype" w:hAnsi="Palatino Linotype" w:cs="Arial"/>
        </w:rPr>
        <w:t xml:space="preserve">se considera pertinente analizar si </w:t>
      </w:r>
      <w:r>
        <w:rPr>
          <w:rFonts w:ascii="Palatino Linotype" w:hAnsi="Palatino Linotype" w:cs="Arial"/>
          <w:b/>
        </w:rPr>
        <w:t>EL SUJETO OBLIGADO</w:t>
      </w:r>
      <w:r>
        <w:rPr>
          <w:rFonts w:ascii="Palatino Linotype" w:hAnsi="Palatino Linotype" w:cs="Arial"/>
        </w:rPr>
        <w:t xml:space="preserve">, es la </w:t>
      </w:r>
      <w:r>
        <w:rPr>
          <w:rFonts w:ascii="Palatino Linotype" w:hAnsi="Palatino Linotype"/>
          <w:szCs w:val="17"/>
          <w:lang w:eastAsia="es-ES_tradnl"/>
        </w:rPr>
        <w:t>autoridad</w:t>
      </w:r>
      <w:r>
        <w:rPr>
          <w:rFonts w:ascii="Palatino Linotype" w:hAnsi="Palatino Linotype" w:cs="Arial"/>
        </w:rPr>
        <w:t xml:space="preserve"> competente para generar, administrar o poseer dicha información, con relación al ámbito de sus atribuciones, funciones, facultades o competencias.</w:t>
      </w:r>
    </w:p>
    <w:p w:rsidR="003222DF" w:rsidRDefault="001A6C71">
      <w:pPr>
        <w:spacing w:before="360" w:after="360" w:line="360" w:lineRule="auto"/>
        <w:jc w:val="both"/>
        <w:rPr>
          <w:rFonts w:ascii="Palatino Linotype" w:hAnsi="Palatino Linotype"/>
        </w:rPr>
      </w:pPr>
      <w:r>
        <w:rPr>
          <w:rFonts w:ascii="Palatino Linotype" w:hAnsi="Palatino Linotype" w:cs="Arial"/>
        </w:rPr>
        <w:t xml:space="preserve">No obstante, </w:t>
      </w:r>
      <w:r>
        <w:rPr>
          <w:rFonts w:ascii="Palatino Linotype" w:hAnsi="Palatino Linotype"/>
        </w:rPr>
        <w:t xml:space="preserve">en aquellos casos en que los Sujetos Obligados hayan asumido que cuentan con la información </w:t>
      </w:r>
      <w:r>
        <w:rPr>
          <w:rFonts w:ascii="Palatino Linotype" w:hAnsi="Palatino Linotype" w:cs="Arial"/>
        </w:rPr>
        <w:t>requerida</w:t>
      </w:r>
      <w:r>
        <w:rPr>
          <w:rFonts w:ascii="Palatino Linotype" w:hAnsi="Palatino Linotype"/>
        </w:rPr>
        <w:t xml:space="preserve">, ello se traduce en que la generan, poseen o administran. Así, en el presente caso, </w:t>
      </w:r>
      <w:r>
        <w:rPr>
          <w:rFonts w:ascii="Palatino Linotype" w:hAnsi="Palatino Linotype"/>
          <w:b/>
        </w:rPr>
        <w:t>EL SUJETO OBLIGADO</w:t>
      </w:r>
      <w:r>
        <w:rPr>
          <w:rFonts w:ascii="Palatino Linotype" w:hAnsi="Palatino Linotype"/>
        </w:rPr>
        <w:t xml:space="preserve"> asumió tal situación al afirmar en sus respuestas que, </w:t>
      </w:r>
      <w:r>
        <w:rPr>
          <w:rFonts w:ascii="Palatino Linotype" w:hAnsi="Palatino Linotype" w:cs="Arial"/>
          <w:lang w:val="es-ES_tradnl"/>
        </w:rPr>
        <w:t>la información solicitada no podía ser entregada al solicitante necesitaba pues este necesitaba acreditar su personalidad jurídica</w:t>
      </w:r>
      <w:r>
        <w:rPr>
          <w:rFonts w:ascii="Palatino Linotype" w:hAnsi="Palatino Linotype"/>
        </w:rPr>
        <w:t xml:space="preserve">; lo que, implica necesariamente que, cuenta con la misma; sin embargo, se encuentra impedido para hacer entrega de esta al </w:t>
      </w:r>
      <w:r>
        <w:rPr>
          <w:rFonts w:ascii="Palatino Linotype" w:hAnsi="Palatino Linotype"/>
          <w:b/>
        </w:rPr>
        <w:t>RECURRENTE</w:t>
      </w:r>
      <w:r>
        <w:rPr>
          <w:rFonts w:ascii="Palatino Linotype" w:hAnsi="Palatino Linotype"/>
        </w:rPr>
        <w:t>, por tales razones.</w:t>
      </w:r>
    </w:p>
    <w:p w:rsidR="003222DF" w:rsidRDefault="001A6C71">
      <w:pPr>
        <w:spacing w:beforeAutospacing="1" w:afterAutospacing="1"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3222DF" w:rsidRDefault="001A6C71">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w:t>
      </w:r>
      <w:r>
        <w:rPr>
          <w:rFonts w:ascii="Palatino Linotype" w:hAnsi="Palatino Linotype" w:cs="Arial"/>
        </w:rPr>
        <w:lastRenderedPageBreak/>
        <w:t xml:space="preserve">Transparencia, Acceso a la Información y Protección de Datos Personales (INAI), el cual refiere: </w:t>
      </w:r>
    </w:p>
    <w:p w:rsidR="003222DF" w:rsidRDefault="001A6C71">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3222DF" w:rsidRDefault="003222DF">
      <w:pPr>
        <w:ind w:left="709" w:right="760"/>
        <w:jc w:val="both"/>
        <w:rPr>
          <w:rFonts w:ascii="Palatino Linotype" w:hAnsi="Palatino Linotype" w:cs="Arial"/>
          <w:i/>
          <w:sz w:val="22"/>
        </w:rPr>
      </w:pPr>
    </w:p>
    <w:p w:rsidR="003222DF" w:rsidRDefault="001A6C71">
      <w:pPr>
        <w:ind w:left="709" w:right="760"/>
        <w:jc w:val="both"/>
        <w:rPr>
          <w:rFonts w:ascii="Palatino Linotype" w:hAnsi="Palatino Linotype" w:cs="Arial"/>
          <w:b/>
          <w:i/>
          <w:sz w:val="22"/>
        </w:rPr>
      </w:pPr>
      <w:r>
        <w:rPr>
          <w:rFonts w:ascii="Palatino Linotype" w:hAnsi="Palatino Linotype" w:cs="Arial"/>
          <w:i/>
          <w:sz w:val="22"/>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2395/09 Secretaría de Economía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0837/10 Administración Portuaria Integral de Veracruz, S.A. de C.V. – María </w:t>
      </w:r>
      <w:proofErr w:type="spellStart"/>
      <w:r>
        <w:rPr>
          <w:rFonts w:ascii="Palatino Linotype" w:hAnsi="Palatino Linotype" w:cs="Arial"/>
          <w:i/>
          <w:sz w:val="22"/>
        </w:rPr>
        <w:t>Marván</w:t>
      </w:r>
      <w:proofErr w:type="spellEnd"/>
      <w:r>
        <w:rPr>
          <w:rFonts w:ascii="Palatino Linotype" w:hAnsi="Palatino Linotype" w:cs="Arial"/>
          <w:i/>
          <w:sz w:val="22"/>
        </w:rPr>
        <w:t xml:space="preserve"> Laborde Criterio 31/10</w:t>
      </w:r>
      <w:r>
        <w:rPr>
          <w:rFonts w:ascii="Palatino Linotype" w:hAnsi="Palatino Linotype" w:cs="Arial"/>
          <w:b/>
          <w:i/>
          <w:sz w:val="22"/>
        </w:rPr>
        <w:t>”</w:t>
      </w:r>
      <w:r>
        <w:rPr>
          <w:rFonts w:ascii="Palatino Linotype" w:hAnsi="Palatino Linotype" w:cs="Arial"/>
          <w:i/>
          <w:sz w:val="22"/>
        </w:rPr>
        <w:t xml:space="preserve"> (sic)</w:t>
      </w:r>
    </w:p>
    <w:p w:rsidR="003222DF" w:rsidRDefault="001A6C71">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Así, esta Autoridad advirtió que las respuestas otorgadas por </w:t>
      </w:r>
      <w:r>
        <w:rPr>
          <w:rFonts w:ascii="Palatino Linotype" w:eastAsia="Calibri" w:hAnsi="Palatino Linotype" w:cs="Arial"/>
          <w:b/>
        </w:rPr>
        <w:t>EL SUJETO OBLIGADO</w:t>
      </w:r>
      <w:r>
        <w:rPr>
          <w:rFonts w:ascii="Palatino Linotype" w:eastAsia="Calibri" w:hAnsi="Palatino Linotype" w:cs="Arial"/>
        </w:rPr>
        <w:t xml:space="preserve"> se encuentran indebidamente fundadas y motivadas, en atención a que si bien es cierto que se indicó que la información solicitada para ser entrega necesitaba ser acreditada la personalidad jurídica del particular, lo cierto es que no indico el fundamento legal y el motivo para ello, también lo es que, se omitió hacer entrega del Acuerdo de Clasificación correspondiente; por lo que, en relación a </w:t>
      </w:r>
      <w:r>
        <w:rPr>
          <w:rFonts w:ascii="Palatino Linotype" w:hAnsi="Palatino Linotype" w:cs="Arial"/>
        </w:rPr>
        <w:t xml:space="preserve">la fundamentación y motivación es de señalar que el máximo tribunal del país ha establecido </w:t>
      </w:r>
      <w:r>
        <w:rPr>
          <w:rFonts w:ascii="Palatino Linotype" w:hAnsi="Palatino Linotype" w:cs="Arial"/>
        </w:rPr>
        <w:lastRenderedPageBreak/>
        <w:t>jurisprudencia respecto a qué debe entenderse por fundamentación y motivación, en los siguientes términos:</w:t>
      </w:r>
    </w:p>
    <w:p w:rsidR="003222DF" w:rsidRDefault="001A6C71">
      <w:pPr>
        <w:widowControl w:val="0"/>
        <w:tabs>
          <w:tab w:val="left" w:pos="1276"/>
        </w:tabs>
        <w:spacing w:before="240" w:afterAutospacing="1"/>
        <w:ind w:left="851" w:right="899"/>
        <w:jc w:val="both"/>
        <w:rPr>
          <w:rFonts w:ascii="Palatino Linotype" w:hAnsi="Palatino Linotype" w:cs="Arial"/>
          <w:i/>
          <w:sz w:val="22"/>
        </w:rPr>
      </w:pPr>
      <w:r>
        <w:rPr>
          <w:rFonts w:ascii="Palatino Linotype" w:hAnsi="Palatino Linotype" w:cs="Arial"/>
          <w:b/>
          <w:i/>
          <w:sz w:val="22"/>
        </w:rPr>
        <w:t>“FUNDAMENTACIÓN Y MOTIVACIÓN.</w:t>
      </w:r>
      <w:r>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222DF" w:rsidRDefault="001A6C71">
      <w:pPr>
        <w:widowControl w:val="0"/>
        <w:tabs>
          <w:tab w:val="left" w:pos="1276"/>
        </w:tabs>
        <w:spacing w:before="240" w:afterAutospacing="1" w:line="360" w:lineRule="auto"/>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3222DF" w:rsidRDefault="001A6C71">
      <w:pPr>
        <w:widowControl w:val="0"/>
        <w:tabs>
          <w:tab w:val="left" w:pos="1276"/>
        </w:tabs>
        <w:spacing w:before="240" w:afterAutospacing="1"/>
        <w:ind w:left="851" w:right="899"/>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w:t>
      </w:r>
      <w:r>
        <w:rPr>
          <w:rFonts w:ascii="Palatino Linotype" w:hAnsi="Palatino Linotype" w:cs="Arial"/>
          <w:i/>
          <w:sz w:val="22"/>
        </w:rPr>
        <w:lastRenderedPageBreak/>
        <w:t>los hechos relevantes para decidir, citando la norma habilitante y un argumento mínimo pero suficiente para acreditar el razonamiento del que se deduzca la relación de pertenencia lógica de los hechos al derecho invocado, que es la subsunción.”(Sic)</w:t>
      </w:r>
    </w:p>
    <w:p w:rsidR="003222DF" w:rsidRDefault="001A6C71">
      <w:pPr>
        <w:widowControl w:val="0"/>
        <w:tabs>
          <w:tab w:val="left" w:pos="1276"/>
        </w:tabs>
        <w:spacing w:before="240" w:afterAutospacing="1" w:line="360" w:lineRule="auto"/>
        <w:jc w:val="both"/>
        <w:rPr>
          <w:rFonts w:ascii="Palatino Linotype" w:hAnsi="Palatino Linotype" w:cs="Arial"/>
        </w:rPr>
      </w:pPr>
      <w:r>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222DF" w:rsidRDefault="001A6C71">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Ahora bien, como se mencionó en líneas que anteceden, </w:t>
      </w:r>
      <w:r>
        <w:rPr>
          <w:rFonts w:ascii="Palatino Linotype" w:eastAsia="Calibri" w:hAnsi="Palatino Linotype" w:cs="Arial"/>
          <w:b/>
        </w:rPr>
        <w:t xml:space="preserve">EL RECURRENTE </w:t>
      </w:r>
      <w:r>
        <w:rPr>
          <w:rFonts w:ascii="Palatino Linotype" w:eastAsia="Calibri" w:hAnsi="Palatino Linotype" w:cs="Arial"/>
        </w:rPr>
        <w:t xml:space="preserve">solicitó la documentación que acredite los pagos de impuesto predial de una clave catastral en específico de los ejercicios fiscales de 2010 2020; documentos que a decir del </w:t>
      </w:r>
      <w:r>
        <w:rPr>
          <w:rFonts w:ascii="Palatino Linotype" w:eastAsia="Calibri" w:hAnsi="Palatino Linotype" w:cs="Arial"/>
          <w:b/>
        </w:rPr>
        <w:t xml:space="preserve">SUJETO OBLIGADO </w:t>
      </w:r>
      <w:r>
        <w:rPr>
          <w:rFonts w:ascii="Palatino Linotype" w:eastAsia="Calibri" w:hAnsi="Palatino Linotype" w:cs="Arial"/>
        </w:rPr>
        <w:t xml:space="preserve">en Informe Justificado contienen datos personales como el nombre completo del contribuyente, el domicilio donde se ubica el bien inmueble y el RFC de dicho contribuyente; por lo que, es importante referir a las partes que </w:t>
      </w:r>
      <w:r>
        <w:rPr>
          <w:rFonts w:ascii="Palatino Linotype" w:hAnsi="Palatino Linotype"/>
          <w:lang w:eastAsia="es-MX"/>
        </w:rPr>
        <w:t>de conformidad con el Código Civil del Estado de México, en su Libro Segundo denominado de las Personas, en cuyo Título Segundo establece los Derechos de la Personalidad, reconociendo como un atributo de la está entre otros el nombre y el domicilio al respecto conviene citar los artículos 2.3 y 2.5 que a la letra señalan lo siguiente:</w:t>
      </w:r>
    </w:p>
    <w:p w:rsidR="003222DF" w:rsidRDefault="001A6C71">
      <w:pPr>
        <w:widowControl w:val="0"/>
        <w:ind w:left="851" w:right="902"/>
        <w:jc w:val="center"/>
        <w:rPr>
          <w:rFonts w:ascii="Palatino Linotype" w:hAnsi="Palatino Linotype"/>
          <w:b/>
          <w:i/>
          <w:sz w:val="22"/>
          <w:szCs w:val="22"/>
        </w:rPr>
      </w:pPr>
      <w:r>
        <w:rPr>
          <w:rFonts w:ascii="Palatino Linotype" w:hAnsi="Palatino Linotype"/>
          <w:b/>
          <w:i/>
          <w:sz w:val="22"/>
          <w:szCs w:val="22"/>
        </w:rPr>
        <w:t>“TITULO SEGUNDO</w:t>
      </w:r>
    </w:p>
    <w:p w:rsidR="003222DF" w:rsidRDefault="001A6C71">
      <w:pPr>
        <w:widowControl w:val="0"/>
        <w:ind w:left="851" w:right="902"/>
        <w:jc w:val="center"/>
        <w:rPr>
          <w:rFonts w:ascii="Palatino Linotype" w:hAnsi="Palatino Linotype"/>
          <w:b/>
          <w:i/>
          <w:sz w:val="22"/>
          <w:szCs w:val="22"/>
        </w:rPr>
      </w:pPr>
      <w:r>
        <w:rPr>
          <w:rFonts w:ascii="Palatino Linotype" w:hAnsi="Palatino Linotype"/>
          <w:b/>
          <w:i/>
          <w:sz w:val="22"/>
          <w:szCs w:val="22"/>
        </w:rPr>
        <w:t>De los Derechos de la Personalidad</w:t>
      </w:r>
    </w:p>
    <w:p w:rsidR="003222DF" w:rsidRDefault="003222DF">
      <w:pPr>
        <w:widowControl w:val="0"/>
        <w:ind w:left="851" w:right="902"/>
        <w:jc w:val="both"/>
        <w:rPr>
          <w:rFonts w:ascii="Palatino Linotype" w:hAnsi="Palatino Linotype"/>
          <w:b/>
          <w:i/>
          <w:sz w:val="22"/>
          <w:szCs w:val="22"/>
        </w:rPr>
      </w:pPr>
    </w:p>
    <w:p w:rsidR="003222DF" w:rsidRDefault="001A6C71">
      <w:pPr>
        <w:widowControl w:val="0"/>
        <w:ind w:left="851" w:right="902"/>
        <w:jc w:val="both"/>
        <w:rPr>
          <w:rFonts w:ascii="Palatino Linotype" w:hAnsi="Palatino Linotype"/>
          <w:b/>
          <w:i/>
          <w:sz w:val="22"/>
          <w:szCs w:val="22"/>
        </w:rPr>
      </w:pPr>
      <w:r>
        <w:rPr>
          <w:rFonts w:ascii="Palatino Linotype" w:hAnsi="Palatino Linotype"/>
          <w:b/>
          <w:i/>
          <w:sz w:val="22"/>
          <w:szCs w:val="22"/>
        </w:rPr>
        <w:t xml:space="preserve">Atributos de la personalidad </w:t>
      </w:r>
    </w:p>
    <w:p w:rsidR="003222DF" w:rsidRDefault="003222DF">
      <w:pPr>
        <w:widowControl w:val="0"/>
        <w:ind w:left="851" w:right="902"/>
        <w:jc w:val="both"/>
        <w:rPr>
          <w:rFonts w:ascii="Palatino Linotype" w:hAnsi="Palatino Linotype"/>
          <w:b/>
          <w:i/>
          <w:sz w:val="22"/>
          <w:szCs w:val="22"/>
        </w:rPr>
      </w:pPr>
    </w:p>
    <w:p w:rsidR="003222DF" w:rsidRDefault="001A6C71">
      <w:pPr>
        <w:widowControl w:val="0"/>
        <w:ind w:left="851" w:right="902"/>
        <w:jc w:val="both"/>
        <w:rPr>
          <w:rFonts w:ascii="Palatino Linotype" w:hAnsi="Palatino Linotype"/>
          <w:i/>
          <w:sz w:val="22"/>
          <w:szCs w:val="22"/>
        </w:rPr>
      </w:pPr>
      <w:r>
        <w:rPr>
          <w:rFonts w:ascii="Palatino Linotype" w:hAnsi="Palatino Linotype"/>
          <w:b/>
          <w:i/>
          <w:sz w:val="22"/>
          <w:szCs w:val="22"/>
        </w:rPr>
        <w:t>Artículo 2.3.-</w:t>
      </w:r>
      <w:r>
        <w:rPr>
          <w:rFonts w:ascii="Palatino Linotype" w:hAnsi="Palatino Linotype"/>
          <w:i/>
          <w:sz w:val="22"/>
          <w:szCs w:val="22"/>
        </w:rPr>
        <w:t xml:space="preserve"> Los </w:t>
      </w:r>
      <w:r>
        <w:rPr>
          <w:rFonts w:ascii="Palatino Linotype" w:hAnsi="Palatino Linotype"/>
          <w:b/>
          <w:i/>
          <w:sz w:val="22"/>
          <w:szCs w:val="22"/>
        </w:rPr>
        <w:t>atributos de la personalidad son el nombre</w:t>
      </w:r>
      <w:r>
        <w:rPr>
          <w:rFonts w:ascii="Palatino Linotype" w:hAnsi="Palatino Linotype"/>
          <w:i/>
          <w:sz w:val="22"/>
          <w:szCs w:val="22"/>
        </w:rPr>
        <w:t>, domicilio, estado civil y patrimonio.”</w:t>
      </w:r>
    </w:p>
    <w:p w:rsidR="003222DF" w:rsidRDefault="003222DF">
      <w:pPr>
        <w:widowControl w:val="0"/>
        <w:ind w:left="851" w:right="902"/>
        <w:jc w:val="both"/>
        <w:rPr>
          <w:rFonts w:ascii="Palatino Linotype" w:hAnsi="Palatino Linotype"/>
          <w:i/>
          <w:sz w:val="22"/>
          <w:szCs w:val="22"/>
        </w:rPr>
      </w:pPr>
    </w:p>
    <w:p w:rsidR="003222DF" w:rsidRDefault="001A6C71">
      <w:pPr>
        <w:widowControl w:val="0"/>
        <w:ind w:left="851" w:right="902"/>
        <w:jc w:val="both"/>
        <w:rPr>
          <w:rFonts w:ascii="Palatino Linotype" w:hAnsi="Palatino Linotype"/>
          <w:b/>
          <w:i/>
          <w:sz w:val="22"/>
          <w:szCs w:val="22"/>
        </w:rPr>
      </w:pPr>
      <w:r>
        <w:rPr>
          <w:rFonts w:ascii="Palatino Linotype" w:hAnsi="Palatino Linotype"/>
          <w:b/>
          <w:i/>
          <w:sz w:val="22"/>
          <w:szCs w:val="22"/>
        </w:rPr>
        <w:lastRenderedPageBreak/>
        <w:t>Derechos de las personas</w:t>
      </w:r>
    </w:p>
    <w:p w:rsidR="003222DF" w:rsidRDefault="001A6C71">
      <w:pPr>
        <w:widowControl w:val="0"/>
        <w:ind w:left="851" w:right="902"/>
        <w:jc w:val="both"/>
        <w:rPr>
          <w:rFonts w:ascii="Palatino Linotype" w:hAnsi="Palatino Linotype"/>
          <w:b/>
          <w:i/>
          <w:sz w:val="22"/>
          <w:szCs w:val="22"/>
        </w:rPr>
      </w:pPr>
      <w:r>
        <w:rPr>
          <w:rFonts w:ascii="Palatino Linotype" w:hAnsi="Palatino Linotype"/>
          <w:b/>
          <w:i/>
          <w:sz w:val="22"/>
          <w:szCs w:val="22"/>
        </w:rPr>
        <w:t xml:space="preserve">Artículo 2.5.- De manera enunciativa y no limitativa, los derechos de las personas físicas y colectivas en lo que sea compatible con su naturaleza son los siguientes: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 xml:space="preserve">I. El honor, la dignidad, el crédito y el prestigio;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II. El aseguramiento de una vida privada y familiar libre de violencia;</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 xml:space="preserve">III. El respeto a la reproducción de la imagen y voz;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 xml:space="preserve">IV. Los derivados del nombre o del seudónimo, de la nacionalidad, de la pertenencia cultural, de la filiación, de su origen y de su identidad. </w:t>
      </w:r>
    </w:p>
    <w:p w:rsidR="003222DF" w:rsidRDefault="001A6C71">
      <w:pPr>
        <w:widowControl w:val="0"/>
        <w:ind w:left="851" w:right="902"/>
        <w:jc w:val="both"/>
        <w:rPr>
          <w:rFonts w:ascii="Palatino Linotype" w:hAnsi="Palatino Linotype"/>
          <w:b/>
          <w:i/>
          <w:sz w:val="22"/>
          <w:szCs w:val="22"/>
        </w:rPr>
      </w:pPr>
      <w:r>
        <w:rPr>
          <w:rFonts w:ascii="Palatino Linotype" w:hAnsi="Palatino Linotype"/>
          <w:b/>
          <w:i/>
          <w:sz w:val="22"/>
          <w:szCs w:val="22"/>
        </w:rPr>
        <w:t xml:space="preserve">V. El domicilio;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 xml:space="preserve">VI. La presencia estética;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 xml:space="preserve">VII. Los afectivos derivados de la familia, la amistad y los bienes; </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VIII. El respeto, salvaguarda y protección de la integridad física, psicológica y patrimonial.</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(Énfasis añadido)</w:t>
      </w:r>
    </w:p>
    <w:p w:rsidR="003222DF" w:rsidRDefault="001A6C71">
      <w:pPr>
        <w:pStyle w:val="Prrafodelista"/>
        <w:spacing w:beforeAutospacing="1" w:afterAutospacing="1" w:line="360" w:lineRule="auto"/>
        <w:ind w:left="0"/>
        <w:contextualSpacing/>
        <w:jc w:val="both"/>
        <w:rPr>
          <w:rFonts w:ascii="Palatino Linotype" w:eastAsia="Calibri" w:hAnsi="Palatino Linotype" w:cs="Arial"/>
        </w:rPr>
      </w:pPr>
      <w:r>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3222DF" w:rsidRDefault="001A6C71">
      <w:pPr>
        <w:widowControl w:val="0"/>
        <w:ind w:left="851" w:right="902"/>
        <w:jc w:val="both"/>
        <w:rPr>
          <w:rFonts w:ascii="Palatino Linotype" w:hAnsi="Palatino Linotype"/>
          <w:i/>
          <w:sz w:val="22"/>
          <w:szCs w:val="22"/>
        </w:rPr>
      </w:pPr>
      <w:r>
        <w:rPr>
          <w:rFonts w:ascii="Palatino Linotype" w:hAnsi="Palatino Linotype"/>
          <w:b/>
          <w:i/>
          <w:sz w:val="22"/>
          <w:szCs w:val="22"/>
        </w:rPr>
        <w:t>“Artículo 4</w:t>
      </w:r>
      <w:r>
        <w:rPr>
          <w:rFonts w:ascii="Palatino Linotype" w:hAnsi="Palatino Linotype"/>
          <w:i/>
          <w:sz w:val="22"/>
          <w:szCs w:val="22"/>
        </w:rPr>
        <w:t>. Para los efectos de esta Ley se entenderá por:</w:t>
      </w: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w:t>
      </w:r>
    </w:p>
    <w:p w:rsidR="003222DF" w:rsidRDefault="001A6C71">
      <w:pPr>
        <w:widowControl w:val="0"/>
        <w:ind w:left="851" w:right="902"/>
        <w:jc w:val="both"/>
        <w:rPr>
          <w:rFonts w:ascii="Palatino Linotype" w:hAnsi="Palatino Linotype"/>
          <w:i/>
          <w:sz w:val="22"/>
          <w:szCs w:val="22"/>
        </w:rPr>
      </w:pPr>
      <w:r>
        <w:rPr>
          <w:rFonts w:ascii="Palatino Linotype" w:hAnsi="Palatino Linotype"/>
          <w:b/>
          <w:i/>
          <w:sz w:val="22"/>
          <w:szCs w:val="22"/>
        </w:rPr>
        <w:t>XI. Datos personales:</w:t>
      </w:r>
      <w:r>
        <w:rPr>
          <w:rFonts w:ascii="Palatino Linotype" w:hAnsi="Palatino Linotype"/>
          <w:i/>
          <w:sz w:val="22"/>
          <w:szCs w:val="22"/>
        </w:rPr>
        <w:t xml:space="preserve"> a la </w:t>
      </w:r>
      <w:r>
        <w:rPr>
          <w:rFonts w:ascii="Palatino Linotype" w:hAnsi="Palatino Linotype"/>
          <w:b/>
          <w:i/>
          <w:sz w:val="22"/>
          <w:szCs w:val="22"/>
        </w:rPr>
        <w:t>información concerniente a una persona física</w:t>
      </w:r>
      <w:r>
        <w:rPr>
          <w:rFonts w:ascii="Palatino Linotype" w:hAnsi="Palatino Linotype"/>
          <w:i/>
          <w:sz w:val="22"/>
          <w:szCs w:val="22"/>
        </w:rPr>
        <w:t xml:space="preserve"> o jurídica colectiva identificada o identificable, establecida en cualquier formato o modalidad, y que esté almacenada en los sistemas y bases de datos, </w:t>
      </w:r>
      <w:r>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Pr>
          <w:rFonts w:ascii="Palatino Linotype" w:hAnsi="Palatino Linotype"/>
          <w:i/>
          <w:sz w:val="22"/>
          <w:szCs w:val="22"/>
        </w:rPr>
        <w:t xml:space="preserve">.” </w:t>
      </w:r>
    </w:p>
    <w:p w:rsidR="003222DF" w:rsidRDefault="003222DF">
      <w:pPr>
        <w:widowControl w:val="0"/>
        <w:ind w:left="851" w:right="902"/>
        <w:jc w:val="both"/>
        <w:rPr>
          <w:rFonts w:ascii="Palatino Linotype" w:hAnsi="Palatino Linotype"/>
          <w:i/>
          <w:sz w:val="22"/>
          <w:szCs w:val="22"/>
        </w:rPr>
      </w:pPr>
    </w:p>
    <w:p w:rsidR="003222DF" w:rsidRDefault="001A6C71">
      <w:pPr>
        <w:widowControl w:val="0"/>
        <w:ind w:left="851" w:right="902"/>
        <w:jc w:val="both"/>
        <w:rPr>
          <w:rFonts w:ascii="Palatino Linotype" w:hAnsi="Palatino Linotype"/>
          <w:i/>
          <w:sz w:val="22"/>
          <w:szCs w:val="22"/>
        </w:rPr>
      </w:pPr>
      <w:r>
        <w:rPr>
          <w:rFonts w:ascii="Palatino Linotype" w:hAnsi="Palatino Linotype"/>
          <w:i/>
          <w:sz w:val="22"/>
          <w:szCs w:val="22"/>
        </w:rPr>
        <w:t>(Énfasis añadido)</w:t>
      </w:r>
    </w:p>
    <w:p w:rsidR="003222DF" w:rsidRDefault="001A6C71">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En ese tenor, es preciso referir que </w:t>
      </w:r>
      <w:r>
        <w:rPr>
          <w:rFonts w:ascii="Palatino Linotype" w:eastAsia="Calibri" w:hAnsi="Palatino Linotype" w:cs="Arial"/>
          <w:b/>
        </w:rPr>
        <w:t xml:space="preserve">EL SUJETO OBLIGADO </w:t>
      </w:r>
      <w:r>
        <w:rPr>
          <w:rFonts w:ascii="Palatino Linotype" w:eastAsia="Calibri" w:hAnsi="Palatino Linotype" w:cs="Arial"/>
        </w:rPr>
        <w:t xml:space="preserve">omitió remitir y </w:t>
      </w:r>
      <w:proofErr w:type="spellStart"/>
      <w:r>
        <w:rPr>
          <w:rFonts w:ascii="Palatino Linotype" w:eastAsia="Calibri" w:hAnsi="Palatino Linotype" w:cs="Arial"/>
        </w:rPr>
        <w:t>refirir</w:t>
      </w:r>
      <w:proofErr w:type="spellEnd"/>
      <w:r>
        <w:rPr>
          <w:rFonts w:ascii="Palatino Linotype" w:eastAsia="Calibri" w:hAnsi="Palatino Linotype" w:cs="Arial"/>
        </w:rPr>
        <w:t xml:space="preserve"> el Acuerdo de Clasificación como Confidencial de la información solicitada; por lo que, </w:t>
      </w:r>
      <w:r>
        <w:rPr>
          <w:rFonts w:ascii="Palatino Linotype" w:hAnsi="Palatino Linotype"/>
          <w:color w:val="000000"/>
        </w:rPr>
        <w:t xml:space="preserve">en términos del artículo 143, fracción I de la Ley de Transparencia y Acceso a la </w:t>
      </w:r>
      <w:r>
        <w:rPr>
          <w:rFonts w:ascii="Palatino Linotype" w:hAnsi="Palatino Linotype"/>
          <w:color w:val="000000"/>
        </w:rPr>
        <w:lastRenderedPageBreak/>
        <w:t xml:space="preserve">Información Pública del Estado de México y Municipios, deberá proceder a clasificar dicha información </w:t>
      </w:r>
      <w:r>
        <w:rPr>
          <w:rFonts w:ascii="Palatino Linotype" w:hAnsi="Palatino Linotype" w:cs="Arial"/>
          <w:lang w:val="es-ES_tradnl"/>
        </w:rPr>
        <w:t>mediante las formalidades de Ley, es decir,</w:t>
      </w:r>
      <w:r>
        <w:rPr>
          <w:rFonts w:ascii="Palatino Linotype" w:hAnsi="Palatino Linotype" w:cs="Arial"/>
        </w:rPr>
        <w:t xml:space="preserve"> que su Comité de Transparencia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3222DF" w:rsidRDefault="001A6C71">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3222DF" w:rsidRDefault="003222DF">
      <w:pPr>
        <w:ind w:left="709" w:right="709"/>
        <w:jc w:val="center"/>
        <w:rPr>
          <w:rFonts w:ascii="Palatino Linotype" w:hAnsi="Palatino Linotype" w:cs="Arial"/>
          <w:b/>
          <w:i/>
          <w:sz w:val="22"/>
          <w:szCs w:val="22"/>
          <w:lang w:eastAsia="es-MX"/>
        </w:rPr>
      </w:pPr>
    </w:p>
    <w:p w:rsidR="003222DF" w:rsidRDefault="001A6C71">
      <w:pPr>
        <w:ind w:left="709" w:right="709"/>
        <w:jc w:val="center"/>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3222DF" w:rsidRDefault="003222DF">
      <w:pPr>
        <w:ind w:left="709" w:right="709"/>
        <w:jc w:val="center"/>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w:t>
      </w:r>
      <w:r>
        <w:rPr>
          <w:rFonts w:ascii="Palatino Linotype" w:hAnsi="Palatino Linotype" w:cs="Arial"/>
          <w:b/>
          <w:i/>
          <w:sz w:val="22"/>
          <w:szCs w:val="22"/>
          <w:u w:val="single"/>
          <w:lang w:eastAsia="es-MX"/>
        </w:rPr>
        <w:lastRenderedPageBreak/>
        <w:t>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3222DF" w:rsidRDefault="001A6C71">
      <w:pPr>
        <w:ind w:left="709" w:right="709"/>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3222DF" w:rsidRDefault="001A6C71">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3222DF" w:rsidRDefault="003222DF">
      <w:pPr>
        <w:ind w:left="709" w:right="709"/>
        <w:jc w:val="both"/>
        <w:rPr>
          <w:rFonts w:ascii="Palatino Linotype" w:hAnsi="Palatino Linotype" w:cs="Arial"/>
          <w:b/>
          <w:i/>
          <w:sz w:val="22"/>
          <w:szCs w:val="22"/>
          <w:lang w:eastAsia="es-MX"/>
        </w:rPr>
      </w:pP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222DF" w:rsidRDefault="001A6C71">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222DF" w:rsidRDefault="001A6C71">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8"/>
        <w:gridCol w:w="4533"/>
      </w:tblGrid>
      <w:tr w:rsidR="003222DF">
        <w:trPr>
          <w:jc w:val="center"/>
        </w:trPr>
        <w:tc>
          <w:tcPr>
            <w:tcW w:w="1129" w:type="dxa"/>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i/>
              </w:rPr>
            </w:pPr>
            <w:r>
              <w:rPr>
                <w:rFonts w:ascii="Palatino Linotype" w:eastAsiaTheme="minorHAnsi" w:hAnsi="Palatino Linotype"/>
                <w:i/>
                <w:sz w:val="22"/>
                <w:szCs w:val="22"/>
                <w:lang w:eastAsia="en-US"/>
              </w:rPr>
              <w:t>Concepto</w:t>
            </w:r>
          </w:p>
        </w:tc>
        <w:tc>
          <w:tcPr>
            <w:tcW w:w="4533" w:type="dxa"/>
          </w:tcPr>
          <w:p w:rsidR="003222DF" w:rsidRDefault="001A6C71">
            <w:pPr>
              <w:jc w:val="center"/>
              <w:rPr>
                <w:rFonts w:ascii="Palatino Linotype" w:hAnsi="Palatino Linotype"/>
                <w:i/>
              </w:rPr>
            </w:pPr>
            <w:r>
              <w:rPr>
                <w:rFonts w:ascii="Palatino Linotype" w:eastAsiaTheme="minorHAnsi" w:hAnsi="Palatino Linotype"/>
                <w:i/>
                <w:sz w:val="22"/>
                <w:szCs w:val="22"/>
                <w:lang w:eastAsia="en-US"/>
              </w:rPr>
              <w:t>Dónde:</w:t>
            </w:r>
          </w:p>
        </w:tc>
      </w:tr>
      <w:tr w:rsidR="003222DF">
        <w:trPr>
          <w:jc w:val="center"/>
        </w:trPr>
        <w:tc>
          <w:tcPr>
            <w:tcW w:w="1129" w:type="dxa"/>
            <w:vMerge w:val="restart"/>
            <w:vAlign w:val="center"/>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Sello oficial o logotipo del sujeto obligado</w:t>
            </w: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área del cual es titular quien clasifica.</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eastAsiaTheme="minorHAnsi" w:hAnsi="Palatino Linotype" w:cs="Arial"/>
                <w:i/>
                <w:sz w:val="22"/>
                <w:szCs w:val="22"/>
                <w:lang w:eastAsia="es-MX"/>
              </w:rPr>
              <w:t>anotarán</w:t>
            </w:r>
            <w:proofErr w:type="gramEnd"/>
            <w:r>
              <w:rPr>
                <w:rFonts w:ascii="Palatino Linotype" w:eastAsiaTheme="minorHAnsi" w:hAnsi="Palatino Linotype" w:cs="Arial"/>
                <w:i/>
                <w:sz w:val="22"/>
                <w:szCs w:val="22"/>
                <w:lang w:eastAsia="es-MX"/>
              </w:rPr>
              <w:t xml:space="preserve"> todas las páginas que lo conforman. Si el documento no contiene información reservada, se tachará este apartado.</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u w:val="single"/>
                <w:lang w:eastAsia="es-MX"/>
              </w:rPr>
            </w:pPr>
            <w:r>
              <w:rPr>
                <w:rFonts w:ascii="Palatino Linotype" w:eastAsiaTheme="minorHAnsi" w:hAnsi="Palatino Linotype" w:cs="Arial"/>
                <w:i/>
                <w:sz w:val="22"/>
                <w:szCs w:val="22"/>
                <w:u w:val="single"/>
                <w:lang w:eastAsia="es-MX"/>
              </w:rPr>
              <w:t>Confidencial</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las partes o páginas del documento que se clasifica como confidencial. </w:t>
            </w:r>
            <w:r>
              <w:rPr>
                <w:rFonts w:ascii="Palatino Linotype" w:eastAsiaTheme="minorHAnsi" w:hAnsi="Palatino Linotype" w:cs="Arial"/>
                <w:i/>
                <w:sz w:val="22"/>
                <w:szCs w:val="22"/>
                <w:u w:val="single"/>
                <w:lang w:eastAsia="es-MX"/>
              </w:rPr>
              <w:t>Si el documento fuera confidencial en su totalidad, se anotarán todas las 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4533" w:type="dxa"/>
          </w:tcPr>
          <w:p w:rsidR="003222DF" w:rsidRDefault="001A6C71">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3222DF">
        <w:trPr>
          <w:jc w:val="center"/>
        </w:trPr>
        <w:tc>
          <w:tcPr>
            <w:tcW w:w="1129" w:type="dxa"/>
            <w:vMerge/>
          </w:tcPr>
          <w:p w:rsidR="003222DF" w:rsidRDefault="003222DF">
            <w:pPr>
              <w:jc w:val="both"/>
              <w:rPr>
                <w:rFonts w:ascii="Palatino Linotype" w:hAnsi="Palatino Linotype" w:cs="Arial"/>
                <w:i/>
                <w:lang w:eastAsia="es-MX"/>
              </w:rPr>
            </w:pPr>
          </w:p>
        </w:tc>
        <w:tc>
          <w:tcPr>
            <w:tcW w:w="1988" w:type="dxa"/>
          </w:tcPr>
          <w:p w:rsidR="003222DF" w:rsidRDefault="001A6C71">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4533" w:type="dxa"/>
            <w:vAlign w:val="center"/>
          </w:tcPr>
          <w:p w:rsidR="003222DF" w:rsidRDefault="001A6C71">
            <w:pPr>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rsidR="003222DF" w:rsidRDefault="001A6C71">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222DF" w:rsidRDefault="001A6C71">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3222DF" w:rsidRDefault="001A6C71">
      <w:pPr>
        <w:spacing w:beforeAutospacing="1" w:afterAutospacing="1"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rsidR="003222DF" w:rsidRDefault="001A6C71">
      <w:pPr>
        <w:spacing w:beforeAutospacing="1" w:afterAutospacing="1" w:line="360" w:lineRule="auto"/>
        <w:jc w:val="both"/>
        <w:rPr>
          <w:rFonts w:ascii="Palatino Linotype" w:hAnsi="Palatino Linotype" w:cs="Arial"/>
        </w:rPr>
      </w:pPr>
      <w:r>
        <w:rPr>
          <w:rFonts w:ascii="Palatino Linotype" w:hAnsi="Palatino Linotype" w:cs="Arial"/>
        </w:rPr>
        <w:t xml:space="preserve">En consecuencia, y en atención a las consideraciones antes señaladas, esta Ponencia </w:t>
      </w:r>
      <w:proofErr w:type="spellStart"/>
      <w:r>
        <w:rPr>
          <w:rFonts w:ascii="Palatino Linotype" w:hAnsi="Palatino Linotype" w:cs="Arial"/>
        </w:rPr>
        <w:t>Resolutora</w:t>
      </w:r>
      <w:proofErr w:type="spellEnd"/>
      <w:r>
        <w:rPr>
          <w:rFonts w:ascii="Palatino Linotype" w:hAnsi="Palatino Linotype" w:cs="Arial"/>
        </w:rPr>
        <w:t xml:space="preserve">, en términos del artículo 186, fracción III de la Ley de Transparencia y Acceso a la </w:t>
      </w:r>
      <w:r>
        <w:rPr>
          <w:rFonts w:ascii="Palatino Linotype" w:hAnsi="Palatino Linotype"/>
        </w:rPr>
        <w:t>Información</w:t>
      </w:r>
      <w:r>
        <w:rPr>
          <w:rFonts w:ascii="Palatino Linotype" w:hAnsi="Palatino Linotype" w:cs="Arial"/>
        </w:rPr>
        <w:t xml:space="preserve"> Pública del Estado de México y Municipios, determina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rsidR="003222DF" w:rsidRDefault="001A6C71">
      <w:pPr>
        <w:pStyle w:val="Prrafodelista"/>
        <w:widowControl w:val="0"/>
        <w:tabs>
          <w:tab w:val="left" w:pos="1276"/>
        </w:tabs>
        <w:spacing w:before="240" w:afterAutospacing="1" w:line="360" w:lineRule="auto"/>
        <w:ind w:left="0"/>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3222DF" w:rsidRDefault="001A6C71">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3222DF" w:rsidRDefault="001A6C71">
      <w:pPr>
        <w:pStyle w:val="Prrafodelista"/>
        <w:widowControl w:val="0"/>
        <w:numPr>
          <w:ilvl w:val="0"/>
          <w:numId w:val="2"/>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parcialmente 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hAnsi="Palatino Linotype"/>
          <w:b/>
        </w:rPr>
        <w:t>EL</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rPr>
        <w:t xml:space="preserve">SEXTO </w:t>
      </w:r>
      <w:r>
        <w:rPr>
          <w:rFonts w:ascii="Palatino Linotype" w:hAnsi="Palatino Linotype" w:cs="Arial"/>
        </w:rPr>
        <w:t>de la presente resolución.</w:t>
      </w:r>
    </w:p>
    <w:p w:rsidR="003222DF" w:rsidRDefault="001A6C71">
      <w:pPr>
        <w:pStyle w:val="Prrafodelista"/>
        <w:widowControl w:val="0"/>
        <w:numPr>
          <w:ilvl w:val="0"/>
          <w:numId w:val="2"/>
        </w:numPr>
        <w:tabs>
          <w:tab w:val="left" w:pos="1701"/>
        </w:tabs>
        <w:spacing w:before="360" w:after="240" w:line="360" w:lineRule="auto"/>
        <w:ind w:left="0" w:firstLine="0"/>
        <w:jc w:val="both"/>
        <w:rPr>
          <w:rFonts w:ascii="Palatino Linotype" w:hAnsi="Palatino Linotype" w:cs="Arial"/>
        </w:rPr>
      </w:pPr>
      <w:r>
        <w:rPr>
          <w:rFonts w:ascii="Palatino Linotype" w:hAnsi="Palatino Linotype" w:cs="Arial"/>
        </w:rPr>
        <w:t xml:space="preserve">Se </w:t>
      </w:r>
      <w:r>
        <w:rPr>
          <w:rFonts w:ascii="Palatino Linotype" w:hAnsi="Palatino Linotype" w:cs="Arial"/>
          <w:b/>
        </w:rPr>
        <w:t xml:space="preserve">REVOCAN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y se </w:t>
      </w:r>
      <w:r>
        <w:rPr>
          <w:rFonts w:ascii="Palatino Linotype" w:hAnsi="Palatino Linotype" w:cs="Arial"/>
          <w:b/>
        </w:rPr>
        <w:t>ordena</w:t>
      </w:r>
      <w:r>
        <w:rPr>
          <w:rFonts w:ascii="Palatino Linotype" w:hAnsi="Palatino Linotype" w:cs="Arial"/>
        </w:rPr>
        <w:t xml:space="preserve"> </w:t>
      </w:r>
      <w:r>
        <w:rPr>
          <w:rFonts w:ascii="Palatino Linotype" w:hAnsi="Palatino Linotype" w:cs="Arial"/>
        </w:rPr>
        <w:lastRenderedPageBreak/>
        <w:t xml:space="preserve">atienda las solicitudes de información pública que dieron origen a los recursos de revisión </w:t>
      </w:r>
      <w:r>
        <w:rPr>
          <w:rFonts w:ascii="Palatino Linotype" w:hAnsi="Palatino Linotype"/>
          <w:b/>
          <w:spacing w:val="-20"/>
        </w:rPr>
        <w:t xml:space="preserve">01097/INFOEM/IP/RR/2020, 01098/INFOEM/IP/RR/2020, 01099/INFOEM/IP/RR/2020, 01100/INFOEM/IP/RR/2020, 01102/INFOEM/IP/RR/2020, 01103/INFOEM/IP/RR/2020, 01105/INFOEM/IP/RR/2020, 01106/INFOEM/IP/RR/2020, 01107/INFOEM/IP/RR/2020, 01108/INFOEM/IP/RR/2020 </w:t>
      </w:r>
      <w:r>
        <w:rPr>
          <w:rFonts w:ascii="Palatino Linotype" w:hAnsi="Palatino Linotype"/>
          <w:spacing w:val="-20"/>
        </w:rPr>
        <w:t xml:space="preserve">y </w:t>
      </w:r>
      <w:r>
        <w:rPr>
          <w:rFonts w:ascii="Palatino Linotype" w:hAnsi="Palatino Linotype"/>
          <w:b/>
          <w:spacing w:val="-20"/>
        </w:rPr>
        <w:t>01110/INFOEM/IP/RR/2020 acumulados</w:t>
      </w:r>
      <w:r>
        <w:rPr>
          <w:rFonts w:ascii="Palatino Linotype" w:hAnsi="Palatino Linotype" w:cs="Arial"/>
        </w:rPr>
        <w:t xml:space="preserve">, en términos del Considerando </w:t>
      </w:r>
      <w:r>
        <w:rPr>
          <w:rFonts w:ascii="Palatino Linotype" w:hAnsi="Palatino Linotype" w:cs="Arial"/>
          <w:b/>
        </w:rPr>
        <w:t>SEXTO</w:t>
      </w:r>
      <w:r>
        <w:rPr>
          <w:rFonts w:ascii="Palatino Linotype" w:hAnsi="Palatino Linotype" w:cs="Arial"/>
        </w:rPr>
        <w:t xml:space="preserve"> de la presente resolución, y haga entrega al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SAIMEX</w:t>
      </w:r>
      <w:r>
        <w:rPr>
          <w:rFonts w:ascii="Palatino Linotype" w:hAnsi="Palatino Linotype" w:cs="Arial"/>
        </w:rPr>
        <w:t>, lo siguiente:</w:t>
      </w:r>
    </w:p>
    <w:p w:rsidR="003222DF" w:rsidRDefault="001A6C71">
      <w:pPr>
        <w:tabs>
          <w:tab w:val="left" w:pos="709"/>
        </w:tabs>
        <w:ind w:left="709" w:right="709" w:hanging="142"/>
        <w:jc w:val="both"/>
        <w:rPr>
          <w:rFonts w:ascii="Palatino Linotype" w:hAnsi="Palatino Linotype"/>
          <w:bCs/>
          <w:i/>
          <w:sz w:val="22"/>
          <w:szCs w:val="22"/>
        </w:rPr>
      </w:pPr>
      <w:r>
        <w:rPr>
          <w:rFonts w:ascii="Palatino Linotype" w:hAnsi="Palatino Linotype"/>
          <w:bCs/>
          <w:i/>
          <w:sz w:val="22"/>
          <w:szCs w:val="22"/>
        </w:rPr>
        <w:t xml:space="preserve">“El Acuerdo de Clasificación como confidencial, que apruebe el Comité de Transparencia, en términos de los artículos 122 y 143 de la Ley de Transparencia y Acceso a la Información Pública del Estado de México y Municipios, respecto de la información relacionada con el impuesto predial de la clave catastral referida en las solicitudes de información pública de los ejercicios fiscales de 2010 a 2020.” </w:t>
      </w:r>
    </w:p>
    <w:p w:rsidR="003222DF" w:rsidRDefault="001A6C71">
      <w:pPr>
        <w:pStyle w:val="Prrafodelista"/>
        <w:widowControl w:val="0"/>
        <w:numPr>
          <w:ilvl w:val="0"/>
          <w:numId w:val="2"/>
        </w:numPr>
        <w:tabs>
          <w:tab w:val="left" w:pos="1701"/>
        </w:tabs>
        <w:spacing w:before="240" w:line="360" w:lineRule="auto"/>
        <w:ind w:left="0" w:firstLine="0"/>
        <w:jc w:val="both"/>
        <w:rPr>
          <w:rFonts w:ascii="Palatino Linotype" w:eastAsiaTheme="minorEastAsia" w:hAnsi="Palatino Linotype" w:cstheme="minorBidi"/>
          <w:color w:val="222222"/>
          <w:highlight w:val="white"/>
          <w:lang w:val="es-ES_tradnl"/>
        </w:rPr>
      </w:pPr>
      <w:r>
        <w:rPr>
          <w:rFonts w:ascii="Palatino Linotype" w:hAnsi="Palatino Linotype"/>
          <w:b/>
          <w:szCs w:val="17"/>
          <w:lang w:eastAsia="es-ES_tradnl"/>
        </w:rPr>
        <w:t xml:space="preserve">Notifíquese </w:t>
      </w:r>
      <w:r>
        <w:rPr>
          <w:rFonts w:ascii="Palatino Linotype" w:eastAsiaTheme="minorEastAsia" w:hAnsi="Palatino Linotype" w:cstheme="minorBidi"/>
          <w:color w:val="222222"/>
          <w:shd w:val="clear" w:color="auto" w:fill="FFFFFF"/>
          <w:lang w:val="es-ES_tradnl"/>
        </w:rPr>
        <w:t xml:space="preserve">al Titular de la Unidad de Transparencia del </w:t>
      </w:r>
      <w:r>
        <w:rPr>
          <w:rFonts w:ascii="Palatino Linotype" w:eastAsiaTheme="minorEastAsia" w:hAnsi="Palatino Linotype" w:cstheme="minorBidi"/>
          <w:b/>
          <w:color w:val="222222"/>
          <w:shd w:val="clear" w:color="auto" w:fill="FFFFFF"/>
          <w:lang w:val="es-ES_tradnl"/>
        </w:rPr>
        <w:t>SUJETO OBLIGADO</w:t>
      </w:r>
      <w:r>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3222DF" w:rsidRDefault="001A6C71">
      <w:pPr>
        <w:pStyle w:val="Prrafodelista"/>
        <w:widowControl w:val="0"/>
        <w:numPr>
          <w:ilvl w:val="0"/>
          <w:numId w:val="2"/>
        </w:numPr>
        <w:tabs>
          <w:tab w:val="left" w:pos="1701"/>
        </w:tabs>
        <w:spacing w:before="360" w:after="240" w:line="360" w:lineRule="auto"/>
        <w:ind w:left="0" w:firstLine="0"/>
        <w:jc w:val="both"/>
        <w:rPr>
          <w:rFonts w:ascii="Palatino Linotype" w:eastAsiaTheme="minorEastAsia" w:hAnsi="Palatino Linotype" w:cstheme="minorBidi"/>
          <w:color w:val="222222"/>
          <w:highlight w:val="white"/>
          <w:lang w:val="es-ES_tradnl"/>
        </w:rPr>
      </w:pPr>
      <w:r>
        <w:rPr>
          <w:rFonts w:ascii="Palatino Linotype" w:eastAsiaTheme="minorEastAsia" w:hAnsi="Palatino Linotype" w:cstheme="minorBidi"/>
          <w:color w:val="222222"/>
          <w:shd w:val="clear" w:color="auto" w:fill="FFFFFF"/>
          <w:lang w:val="es-ES_tradnl"/>
        </w:rPr>
        <w:t xml:space="preserve">Con fundamento en el artículo 198 de la Ley de Transparencia y Acceso a la Información Pública del Estado de México y Municipios, se apercibe al </w:t>
      </w:r>
      <w:r>
        <w:rPr>
          <w:rFonts w:ascii="Palatino Linotype" w:eastAsiaTheme="minorEastAsia" w:hAnsi="Palatino Linotype" w:cstheme="minorBidi"/>
          <w:b/>
          <w:color w:val="222222"/>
          <w:shd w:val="clear" w:color="auto" w:fill="FFFFFF"/>
          <w:lang w:val="es-ES_tradnl"/>
        </w:rPr>
        <w:t xml:space="preserve">SUJETO OBLIGADO </w:t>
      </w:r>
      <w:r>
        <w:rPr>
          <w:rFonts w:ascii="Palatino Linotype" w:eastAsiaTheme="minorEastAsia" w:hAnsi="Palatino Linotype" w:cstheme="minorBidi"/>
          <w:color w:val="222222"/>
          <w:shd w:val="clear" w:color="auto" w:fill="FFFFFF"/>
          <w:lang w:val="es-ES_tradnl"/>
        </w:rPr>
        <w:t xml:space="preserve">que, en caso de negarse a cumplir la presente resolución o hacerlo de manera parcial se actuará de conformidad con lo previsto en los artículos 213, 214, 216 y 217 de dicha Ley. </w:t>
      </w:r>
    </w:p>
    <w:p w:rsidR="003222DF" w:rsidRDefault="001A6C71">
      <w:pPr>
        <w:pStyle w:val="Prrafodelista"/>
        <w:widowControl w:val="0"/>
        <w:numPr>
          <w:ilvl w:val="0"/>
          <w:numId w:val="2"/>
        </w:numPr>
        <w:tabs>
          <w:tab w:val="left" w:pos="1701"/>
        </w:tabs>
        <w:spacing w:before="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lastRenderedPageBreak/>
        <w:t>Notifíquese</w:t>
      </w:r>
      <w:r>
        <w:rPr>
          <w:rFonts w:ascii="Palatino Linotype" w:hAnsi="Palatino Linotype"/>
          <w:szCs w:val="17"/>
          <w:lang w:eastAsia="es-ES_tradnl"/>
        </w:rPr>
        <w:t xml:space="preserve"> al</w:t>
      </w:r>
      <w:r>
        <w:rPr>
          <w:rFonts w:ascii="Palatino Linotype" w:hAnsi="Palatino Linotype" w:cs="Arial"/>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3222DF" w:rsidRDefault="001A6C71">
      <w:pPr>
        <w:pStyle w:val="Prrafodelista"/>
        <w:widowControl w:val="0"/>
        <w:numPr>
          <w:ilvl w:val="0"/>
          <w:numId w:val="2"/>
        </w:numPr>
        <w:tabs>
          <w:tab w:val="left" w:pos="1701"/>
        </w:tabs>
        <w:spacing w:before="240" w:afterAutospacing="1"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cs="Arial"/>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3222DF" w:rsidRDefault="001A6C71">
      <w:pPr>
        <w:tabs>
          <w:tab w:val="left" w:pos="709"/>
        </w:tabs>
        <w:spacing w:line="360" w:lineRule="auto"/>
        <w:ind w:right="51"/>
        <w:jc w:val="both"/>
        <w:rPr>
          <w:rFonts w:ascii="Palatino Linotype" w:hAnsi="Palatino Linotype"/>
          <w:color w:val="222222"/>
          <w:szCs w:val="17"/>
          <w:lang w:eastAsia="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DE FECHA DIECINUEVE DE </w:t>
      </w:r>
      <w:r>
        <w:rPr>
          <w:rFonts w:ascii="Palatino Linotype" w:hAnsi="Palatino Linotype" w:cs="Arial"/>
          <w:color w:val="000000"/>
        </w:rPr>
        <w:t>AGOSTO</w:t>
      </w:r>
      <w:r>
        <w:rPr>
          <w:rFonts w:ascii="Palatino Linotype" w:hAnsi="Palatino Linotype" w:cs="Arial"/>
        </w:rPr>
        <w:t xml:space="preserve">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3222DF">
        <w:trPr>
          <w:jc w:val="center"/>
        </w:trPr>
        <w:tc>
          <w:tcPr>
            <w:tcW w:w="9213" w:type="dxa"/>
            <w:gridSpan w:val="2"/>
            <w:shd w:val="clear" w:color="auto" w:fill="auto"/>
          </w:tcPr>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Zulema Martínez Sánchez</w:t>
            </w:r>
          </w:p>
          <w:p w:rsidR="003222DF" w:rsidRDefault="001A6C71">
            <w:pPr>
              <w:jc w:val="center"/>
              <w:rPr>
                <w:rFonts w:ascii="Palatino Linotype" w:hAnsi="Palatino Linotype" w:cs="Arial"/>
                <w:b/>
                <w:lang w:val="es-ES_tradnl"/>
              </w:rPr>
            </w:pPr>
            <w:r>
              <w:rPr>
                <w:rFonts w:ascii="Palatino Linotype" w:hAnsi="Palatino Linotype" w:cs="Arial"/>
                <w:lang w:val="es-ES_tradnl"/>
              </w:rPr>
              <w:t>Comisionada Presidenta</w:t>
            </w:r>
          </w:p>
          <w:p w:rsidR="003222DF" w:rsidRDefault="001A6C71" w:rsidP="00D24100">
            <w:pPr>
              <w:jc w:val="center"/>
              <w:rPr>
                <w:rFonts w:ascii="Palatino Linotype" w:hAnsi="Palatino Linotype" w:cs="Arial"/>
                <w:b/>
                <w:lang w:val="es-ES_tradnl"/>
              </w:rPr>
            </w:pPr>
            <w:r>
              <w:rPr>
                <w:rFonts w:ascii="Palatino Linotype" w:hAnsi="Palatino Linotype" w:cs="Arial"/>
                <w:b/>
                <w:lang w:val="es-ES_tradnl"/>
              </w:rPr>
              <w:t>(RÚBRICA)</w:t>
            </w:r>
          </w:p>
        </w:tc>
      </w:tr>
      <w:tr w:rsidR="003222DF">
        <w:trPr>
          <w:jc w:val="center"/>
        </w:trPr>
        <w:tc>
          <w:tcPr>
            <w:tcW w:w="4756" w:type="dxa"/>
            <w:shd w:val="clear" w:color="auto" w:fill="auto"/>
          </w:tcPr>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Pr>
                <w:rFonts w:ascii="Palatino Linotype" w:hAnsi="Palatino Linotype" w:cs="Arial"/>
                <w:b/>
                <w:lang w:val="es-ES_tradnl"/>
              </w:rPr>
              <w:t>Yapur</w:t>
            </w:r>
            <w:proofErr w:type="spellEnd"/>
          </w:p>
          <w:p w:rsidR="003222DF" w:rsidRDefault="001A6C71">
            <w:pPr>
              <w:jc w:val="center"/>
              <w:rPr>
                <w:rFonts w:ascii="Palatino Linotype" w:hAnsi="Palatino Linotype" w:cs="Arial"/>
                <w:lang w:val="es-ES_tradnl"/>
              </w:rPr>
            </w:pPr>
            <w:r>
              <w:rPr>
                <w:rFonts w:ascii="Palatino Linotype" w:hAnsi="Palatino Linotype" w:cs="Arial"/>
                <w:lang w:val="es-ES_tradnl"/>
              </w:rPr>
              <w:t>Comisionada</w:t>
            </w:r>
          </w:p>
          <w:p w:rsidR="003222DF" w:rsidRDefault="001A6C71">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3222DF" w:rsidRDefault="001A6C71">
            <w:pPr>
              <w:jc w:val="center"/>
              <w:rPr>
                <w:rFonts w:ascii="Palatino Linotype" w:hAnsi="Palatino Linotype" w:cs="Arial"/>
                <w:lang w:val="es-ES_tradnl"/>
              </w:rPr>
            </w:pPr>
            <w:r>
              <w:rPr>
                <w:rFonts w:ascii="Palatino Linotype" w:hAnsi="Palatino Linotype" w:cs="Arial"/>
                <w:lang w:val="es-ES_tradnl"/>
              </w:rPr>
              <w:t>Comisionado</w:t>
            </w:r>
          </w:p>
          <w:p w:rsidR="003222DF" w:rsidRDefault="001A6C71">
            <w:pPr>
              <w:jc w:val="center"/>
              <w:rPr>
                <w:rFonts w:ascii="Palatino Linotype" w:hAnsi="Palatino Linotype" w:cs="Arial"/>
                <w:b/>
                <w:lang w:val="es-ES_tradnl"/>
              </w:rPr>
            </w:pPr>
            <w:r>
              <w:rPr>
                <w:rFonts w:ascii="Palatino Linotype" w:hAnsi="Palatino Linotype" w:cs="Arial"/>
                <w:b/>
                <w:lang w:val="es-ES_tradnl"/>
              </w:rPr>
              <w:t>(RÚBRICA)</w:t>
            </w:r>
          </w:p>
        </w:tc>
      </w:tr>
      <w:tr w:rsidR="003222DF">
        <w:trPr>
          <w:jc w:val="center"/>
        </w:trPr>
        <w:tc>
          <w:tcPr>
            <w:tcW w:w="4756" w:type="dxa"/>
            <w:shd w:val="clear" w:color="auto" w:fill="auto"/>
          </w:tcPr>
          <w:p w:rsidR="003222DF" w:rsidRDefault="003222DF">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3222DF">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Javier Martínez Cruz</w:t>
            </w:r>
          </w:p>
          <w:p w:rsidR="003222DF" w:rsidRDefault="001A6C71">
            <w:pPr>
              <w:jc w:val="center"/>
              <w:rPr>
                <w:rFonts w:ascii="Palatino Linotype" w:hAnsi="Palatino Linotype" w:cs="Arial"/>
                <w:lang w:val="es-ES_tradnl"/>
              </w:rPr>
            </w:pPr>
            <w:r>
              <w:rPr>
                <w:rFonts w:ascii="Palatino Linotype" w:hAnsi="Palatino Linotype" w:cs="Arial"/>
                <w:lang w:val="es-ES_tradnl"/>
              </w:rPr>
              <w:t>Comisionado</w:t>
            </w:r>
          </w:p>
          <w:p w:rsidR="003222DF" w:rsidRDefault="001A6C71">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3222DF" w:rsidRDefault="003222DF">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3222DF">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Luis Gustavo Parra Noriega</w:t>
            </w:r>
          </w:p>
          <w:p w:rsidR="003222DF" w:rsidRDefault="001A6C71">
            <w:pPr>
              <w:jc w:val="center"/>
              <w:rPr>
                <w:rFonts w:ascii="Palatino Linotype" w:hAnsi="Palatino Linotype" w:cs="Arial"/>
                <w:lang w:val="es-ES_tradnl"/>
              </w:rPr>
            </w:pPr>
            <w:r>
              <w:rPr>
                <w:rFonts w:ascii="Palatino Linotype" w:hAnsi="Palatino Linotype" w:cs="Arial"/>
                <w:lang w:val="es-ES_tradnl"/>
              </w:rPr>
              <w:t>Comisionado</w:t>
            </w:r>
          </w:p>
          <w:p w:rsidR="003222DF" w:rsidRDefault="001A6C71">
            <w:pPr>
              <w:jc w:val="center"/>
              <w:rPr>
                <w:rFonts w:ascii="Palatino Linotype" w:hAnsi="Palatino Linotype" w:cs="Arial"/>
                <w:b/>
                <w:lang w:val="es-ES_tradnl"/>
              </w:rPr>
            </w:pPr>
            <w:r>
              <w:rPr>
                <w:rFonts w:ascii="Palatino Linotype" w:hAnsi="Palatino Linotype" w:cs="Arial"/>
                <w:b/>
                <w:lang w:val="es-ES_tradnl"/>
              </w:rPr>
              <w:t>(RÚBRICA)</w:t>
            </w:r>
          </w:p>
        </w:tc>
      </w:tr>
      <w:tr w:rsidR="003222DF">
        <w:trPr>
          <w:jc w:val="center"/>
        </w:trPr>
        <w:tc>
          <w:tcPr>
            <w:tcW w:w="9213" w:type="dxa"/>
            <w:gridSpan w:val="2"/>
            <w:shd w:val="clear" w:color="auto" w:fill="auto"/>
          </w:tcPr>
          <w:p w:rsidR="003222DF" w:rsidRDefault="003222DF">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D24100" w:rsidRDefault="00D24100">
            <w:pPr>
              <w:jc w:val="center"/>
              <w:rPr>
                <w:rFonts w:ascii="Palatino Linotype" w:hAnsi="Palatino Linotype" w:cs="Arial"/>
                <w:b/>
                <w:lang w:val="es-ES_tradnl"/>
              </w:rPr>
            </w:pPr>
          </w:p>
          <w:p w:rsidR="003222DF" w:rsidRDefault="001A6C71">
            <w:pPr>
              <w:jc w:val="center"/>
              <w:rPr>
                <w:rFonts w:ascii="Palatino Linotype" w:hAnsi="Palatino Linotype" w:cs="Arial"/>
                <w:b/>
                <w:lang w:val="es-ES_tradnl"/>
              </w:rPr>
            </w:pPr>
            <w:r>
              <w:rPr>
                <w:rFonts w:ascii="Palatino Linotype" w:hAnsi="Palatino Linotype" w:cs="Arial"/>
                <w:b/>
                <w:lang w:val="es-ES_tradnl"/>
              </w:rPr>
              <w:t>Alexis Tapia Ramírez</w:t>
            </w:r>
          </w:p>
          <w:p w:rsidR="003222DF" w:rsidRDefault="001A6C71">
            <w:pPr>
              <w:jc w:val="center"/>
              <w:rPr>
                <w:rFonts w:ascii="Palatino Linotype" w:hAnsi="Palatino Linotype" w:cs="Arial"/>
                <w:lang w:val="es-ES_tradnl"/>
              </w:rPr>
            </w:pPr>
            <w:r>
              <w:rPr>
                <w:rFonts w:ascii="Palatino Linotype" w:hAnsi="Palatino Linotype" w:cs="Arial"/>
                <w:lang w:val="es-ES_tradnl"/>
              </w:rPr>
              <w:t>Secretario Técnico del Pleno</w:t>
            </w:r>
          </w:p>
          <w:p w:rsidR="003222DF" w:rsidRDefault="001A6C71">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rsidR="003222DF" w:rsidRDefault="003222DF">
            <w:pPr>
              <w:jc w:val="center"/>
              <w:rPr>
                <w:rFonts w:ascii="Palatino Linotype" w:hAnsi="Palatino Linotype" w:cs="Arial"/>
                <w:lang w:val="es-ES_tradnl"/>
              </w:rPr>
            </w:pPr>
          </w:p>
        </w:tc>
      </w:tr>
    </w:tbl>
    <w:p w:rsidR="00D24100" w:rsidRDefault="00D24100">
      <w:pPr>
        <w:spacing w:beforeAutospacing="1" w:afterAutospacing="1" w:line="360" w:lineRule="auto"/>
        <w:jc w:val="both"/>
        <w:rPr>
          <w:rFonts w:ascii="Palatino Linotype" w:hAnsi="Palatino Linotype" w:cs="Arial"/>
          <w:sz w:val="22"/>
          <w:szCs w:val="22"/>
          <w:lang w:val="es-ES"/>
        </w:rPr>
      </w:pPr>
    </w:p>
    <w:p w:rsidR="00D24100" w:rsidRDefault="001A6C71">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Esta hoja corresponde a la resolución de fec</w:t>
      </w:r>
      <w:r>
        <w:rPr>
          <w:rFonts w:ascii="Palatino Linotype" w:hAnsi="Palatino Linotype" w:cs="Arial"/>
          <w:color w:val="000000"/>
          <w:sz w:val="22"/>
          <w:szCs w:val="22"/>
          <w:lang w:val="es-ES"/>
        </w:rPr>
        <w:t>ha diecinueve de agosto de dos mil veinte, emi</w:t>
      </w:r>
      <w:r>
        <w:rPr>
          <w:rFonts w:ascii="Palatino Linotype" w:hAnsi="Palatino Linotype" w:cs="Arial"/>
          <w:sz w:val="22"/>
          <w:szCs w:val="22"/>
          <w:lang w:val="es-ES"/>
        </w:rPr>
        <w:t xml:space="preserve">tida en los recursos de revisión números 01097/INFOEM/IP/RR/2020 y acumulados. </w:t>
      </w:r>
    </w:p>
    <w:p w:rsidR="003222DF" w:rsidRDefault="001A6C71">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YSM/AMV</w:t>
      </w:r>
    </w:p>
    <w:sectPr w:rsidR="003222DF">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71" w:rsidRDefault="001A6C71">
      <w:r>
        <w:separator/>
      </w:r>
    </w:p>
  </w:endnote>
  <w:endnote w:type="continuationSeparator" w:id="0">
    <w:p w:rsidR="001A6C71" w:rsidRDefault="001A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DF" w:rsidRDefault="001A6C7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F7DB6">
      <w:rPr>
        <w:rFonts w:ascii="Palatino Linotype" w:hAnsi="Palatino Linotype" w:cs="Arial"/>
        <w:bCs/>
        <w:noProof/>
        <w:sz w:val="22"/>
        <w:szCs w:val="22"/>
      </w:rPr>
      <w:t>23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F7DB6">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DF" w:rsidRDefault="001A6C7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F7DB6">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F7DB6">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71" w:rsidRDefault="001A6C71">
      <w:r>
        <w:separator/>
      </w:r>
    </w:p>
  </w:footnote>
  <w:footnote w:type="continuationSeparator" w:id="0">
    <w:p w:rsidR="001A6C71" w:rsidRDefault="001A6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DF" w:rsidRDefault="001A6C7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1" behindDoc="1" locked="0" layoutInCell="1" allowOverlap="1">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4"/>
      <w:gridCol w:w="2556"/>
      <w:gridCol w:w="3724"/>
    </w:tblGrid>
    <w:tr w:rsidR="003222DF">
      <w:tc>
        <w:tcPr>
          <w:tcW w:w="3254" w:type="dxa"/>
          <w:vMerge w:val="restart"/>
        </w:tcPr>
        <w:p w:rsidR="003222DF" w:rsidRDefault="001A6C7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3222DF" w:rsidRDefault="001A6C71">
          <w:pPr>
            <w:jc w:val="both"/>
            <w:rPr>
              <w:rFonts w:ascii="Palatino Linotype" w:hAnsi="Palatino Linotype"/>
              <w:b/>
              <w:sz w:val="22"/>
              <w:szCs w:val="22"/>
              <w:lang w:val="es-ES_tradnl"/>
            </w:rPr>
          </w:pPr>
          <w:r>
            <w:rPr>
              <w:rFonts w:ascii="Palatino Linotype" w:hAnsi="Palatino Linotype"/>
              <w:b/>
              <w:sz w:val="22"/>
              <w:szCs w:val="22"/>
              <w:lang w:val="es-ES_tradnl"/>
            </w:rPr>
            <w:t>01097/INFOEM/IP/RR/2020 y acumulados</w:t>
          </w:r>
        </w:p>
      </w:tc>
    </w:tr>
    <w:tr w:rsidR="003222DF">
      <w:tc>
        <w:tcPr>
          <w:tcW w:w="3254" w:type="dxa"/>
          <w:vMerge/>
        </w:tcPr>
        <w:p w:rsidR="003222DF" w:rsidRDefault="003222DF">
          <w:pPr>
            <w:rPr>
              <w:rFonts w:ascii="Palatino Linotype" w:hAnsi="Palatino Linotype"/>
              <w:b/>
              <w:sz w:val="22"/>
              <w:szCs w:val="22"/>
              <w:lang w:val="es-ES_tradnl"/>
            </w:rPr>
          </w:pPr>
        </w:p>
      </w:tc>
      <w:tc>
        <w:tcPr>
          <w:tcW w:w="2556"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3222DF" w:rsidRDefault="001A6C71">
          <w:pPr>
            <w:jc w:val="both"/>
            <w:rPr>
              <w:rFonts w:ascii="Palatino Linotype" w:hAnsi="Palatino Linotype"/>
              <w:b/>
              <w:sz w:val="22"/>
              <w:szCs w:val="22"/>
            </w:rPr>
          </w:pPr>
          <w:r>
            <w:rPr>
              <w:rFonts w:ascii="Palatino Linotype" w:hAnsi="Palatino Linotype"/>
              <w:b/>
              <w:bCs/>
              <w:sz w:val="22"/>
              <w:szCs w:val="22"/>
            </w:rPr>
            <w:t>Ayuntamiento de Huixquilucan</w:t>
          </w:r>
        </w:p>
      </w:tc>
    </w:tr>
    <w:tr w:rsidR="003222DF">
      <w:trPr>
        <w:trHeight w:val="228"/>
      </w:trPr>
      <w:tc>
        <w:tcPr>
          <w:tcW w:w="3254" w:type="dxa"/>
          <w:vMerge/>
        </w:tcPr>
        <w:p w:rsidR="003222DF" w:rsidRDefault="003222DF">
          <w:pPr>
            <w:rPr>
              <w:rFonts w:ascii="Palatino Linotype" w:hAnsi="Palatino Linotype"/>
              <w:b/>
              <w:sz w:val="22"/>
              <w:szCs w:val="22"/>
              <w:lang w:val="es-ES_tradnl"/>
            </w:rPr>
          </w:pPr>
        </w:p>
      </w:tc>
      <w:tc>
        <w:tcPr>
          <w:tcW w:w="2556"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3222DF" w:rsidRDefault="001A6C71">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3222DF" w:rsidRDefault="003222D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DF" w:rsidRDefault="001A6C7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2"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3222DF">
      <w:tc>
        <w:tcPr>
          <w:tcW w:w="4250" w:type="dxa"/>
          <w:vMerge w:val="restart"/>
          <w:shd w:val="clear" w:color="auto" w:fill="auto"/>
        </w:tcPr>
        <w:p w:rsidR="003222DF" w:rsidRDefault="001A6C7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3222DF" w:rsidRDefault="001A6C71">
          <w:pPr>
            <w:jc w:val="both"/>
            <w:rPr>
              <w:rFonts w:ascii="Palatino Linotype" w:hAnsi="Palatino Linotype"/>
              <w:b/>
              <w:sz w:val="22"/>
              <w:szCs w:val="22"/>
              <w:lang w:val="es-ES_tradnl"/>
            </w:rPr>
          </w:pPr>
          <w:r>
            <w:rPr>
              <w:rFonts w:ascii="Palatino Linotype" w:hAnsi="Palatino Linotype"/>
              <w:b/>
              <w:sz w:val="22"/>
              <w:szCs w:val="22"/>
              <w:lang w:val="es-ES_tradnl"/>
            </w:rPr>
            <w:t>01097/INFOEM/IP/RR/2020 y acumulados</w:t>
          </w:r>
        </w:p>
      </w:tc>
    </w:tr>
    <w:tr w:rsidR="003222DF">
      <w:tc>
        <w:tcPr>
          <w:tcW w:w="4250" w:type="dxa"/>
          <w:vMerge/>
          <w:shd w:val="clear" w:color="auto" w:fill="auto"/>
        </w:tcPr>
        <w:p w:rsidR="003222DF" w:rsidRDefault="003222DF">
          <w:pPr>
            <w:rPr>
              <w:rFonts w:ascii="Palatino Linotype" w:hAnsi="Palatino Linotype"/>
              <w:b/>
              <w:sz w:val="22"/>
              <w:szCs w:val="22"/>
              <w:lang w:val="es-ES_tradnl"/>
            </w:rPr>
          </w:pPr>
        </w:p>
      </w:tc>
      <w:tc>
        <w:tcPr>
          <w:tcW w:w="2548"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3222DF" w:rsidRDefault="006F7DB6" w:rsidP="006F7DB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1A6C7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1A6C71">
            <w:rPr>
              <w:rFonts w:ascii="Palatino Linotype" w:hAnsi="Palatino Linotype"/>
              <w:b/>
              <w:sz w:val="22"/>
              <w:szCs w:val="22"/>
              <w:lang w:val="es-ES_tradnl"/>
            </w:rPr>
            <w:t xml:space="preserve"> </w:t>
          </w:r>
          <w:r>
            <w:rPr>
              <w:rFonts w:ascii="Palatino Linotype" w:hAnsi="Palatino Linotype"/>
              <w:b/>
              <w:sz w:val="22"/>
              <w:szCs w:val="22"/>
              <w:lang w:val="es-ES_tradnl"/>
            </w:rPr>
            <w:t>X</w:t>
          </w:r>
        </w:p>
      </w:tc>
    </w:tr>
    <w:tr w:rsidR="003222DF">
      <w:trPr>
        <w:trHeight w:val="228"/>
      </w:trPr>
      <w:tc>
        <w:tcPr>
          <w:tcW w:w="4250" w:type="dxa"/>
          <w:vMerge/>
          <w:shd w:val="clear" w:color="auto" w:fill="auto"/>
        </w:tcPr>
        <w:p w:rsidR="003222DF" w:rsidRDefault="003222DF">
          <w:pPr>
            <w:rPr>
              <w:rFonts w:ascii="Palatino Linotype" w:hAnsi="Palatino Linotype"/>
              <w:b/>
              <w:sz w:val="22"/>
              <w:szCs w:val="22"/>
              <w:lang w:val="es-ES_tradnl"/>
            </w:rPr>
          </w:pPr>
        </w:p>
      </w:tc>
      <w:tc>
        <w:tcPr>
          <w:tcW w:w="2548"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3222DF" w:rsidRDefault="001A6C71">
          <w:pPr>
            <w:jc w:val="both"/>
            <w:rPr>
              <w:rFonts w:ascii="Palatino Linotype" w:hAnsi="Palatino Linotype"/>
              <w:b/>
              <w:sz w:val="22"/>
              <w:szCs w:val="22"/>
            </w:rPr>
          </w:pPr>
          <w:r>
            <w:rPr>
              <w:rFonts w:ascii="Palatino Linotype" w:hAnsi="Palatino Linotype"/>
              <w:b/>
              <w:bCs/>
              <w:sz w:val="22"/>
              <w:szCs w:val="22"/>
            </w:rPr>
            <w:t>Ayuntamiento de Huixquilucan</w:t>
          </w:r>
        </w:p>
      </w:tc>
    </w:tr>
    <w:tr w:rsidR="003222DF">
      <w:tc>
        <w:tcPr>
          <w:tcW w:w="4250" w:type="dxa"/>
          <w:vMerge/>
          <w:shd w:val="clear" w:color="auto" w:fill="auto"/>
        </w:tcPr>
        <w:p w:rsidR="003222DF" w:rsidRDefault="003222DF">
          <w:pPr>
            <w:rPr>
              <w:rFonts w:ascii="Palatino Linotype" w:hAnsi="Palatino Linotype"/>
              <w:b/>
              <w:sz w:val="22"/>
              <w:szCs w:val="22"/>
              <w:lang w:val="es-ES_tradnl"/>
            </w:rPr>
          </w:pPr>
        </w:p>
      </w:tc>
      <w:tc>
        <w:tcPr>
          <w:tcW w:w="2548" w:type="dxa"/>
          <w:shd w:val="clear" w:color="auto" w:fill="auto"/>
        </w:tcPr>
        <w:p w:rsidR="003222DF" w:rsidRDefault="001A6C7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3222DF" w:rsidRDefault="001A6C71">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3222DF" w:rsidRDefault="003222D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E64"/>
    <w:multiLevelType w:val="multilevel"/>
    <w:tmpl w:val="DB62E902"/>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A36305"/>
    <w:multiLevelType w:val="multilevel"/>
    <w:tmpl w:val="EB7813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54661122"/>
    <w:multiLevelType w:val="multilevel"/>
    <w:tmpl w:val="FD24ED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DF"/>
    <w:rsid w:val="001A6C71"/>
    <w:rsid w:val="003222DF"/>
    <w:rsid w:val="006F7DB6"/>
    <w:rsid w:val="00D24100"/>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E4F4A8-211F-4B1D-B085-ECD94DA6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965A-F75B-40B8-BAC6-B8BEBA44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6351</Words>
  <Characters>34935</Characters>
  <Application>Microsoft Office Word</Application>
  <DocSecurity>0</DocSecurity>
  <Lines>291</Lines>
  <Paragraphs>82</Paragraphs>
  <ScaleCrop>false</ScaleCrop>
  <Company>INFOEM</Company>
  <LinksUpToDate>false</LinksUpToDate>
  <CharactersWithSpaces>41204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25</cp:revision>
  <cp:lastPrinted>2020-01-22T19:55:00Z</cp:lastPrinted>
  <dcterms:created xsi:type="dcterms:W3CDTF">2020-03-20T16:10:00Z</dcterms:created>
  <dcterms:modified xsi:type="dcterms:W3CDTF">2020-09-24T14:11:00Z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