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F34DE" w14:textId="77777777" w:rsidR="00282FC7" w:rsidRDefault="00A022C2">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14:paraId="10BC00D8" w14:textId="02E9BC23" w:rsidR="00282FC7" w:rsidRDefault="00A022C2">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00832/</w:t>
      </w:r>
      <w:proofErr w:type="spellStart"/>
      <w:r>
        <w:rPr>
          <w:rFonts w:ascii="Palatino Linotype" w:hAnsi="Palatino Linotype"/>
          <w:b/>
        </w:rPr>
        <w:t>INFOEM</w:t>
      </w:r>
      <w:proofErr w:type="spellEnd"/>
      <w:r>
        <w:rPr>
          <w:rFonts w:ascii="Palatino Linotype" w:hAnsi="Palatino Linotype"/>
          <w:b/>
        </w:rPr>
        <w:t>/IP/</w:t>
      </w:r>
      <w:proofErr w:type="spellStart"/>
      <w:r>
        <w:rPr>
          <w:rFonts w:ascii="Palatino Linotype" w:hAnsi="Palatino Linotype"/>
          <w:b/>
        </w:rPr>
        <w:t>RR</w:t>
      </w:r>
      <w:proofErr w:type="spellEnd"/>
      <w:r>
        <w:rPr>
          <w:rFonts w:ascii="Palatino Linotype" w:hAnsi="Palatino Linotype"/>
          <w:b/>
        </w:rPr>
        <w:t>/2020</w:t>
      </w:r>
      <w:r>
        <w:rPr>
          <w:rFonts w:ascii="Palatino Linotype" w:hAnsi="Palatino Linotype"/>
        </w:rPr>
        <w:t xml:space="preserve">, promovido por la </w:t>
      </w:r>
      <w:r>
        <w:rPr>
          <w:rFonts w:ascii="Palatino Linotype" w:hAnsi="Palatino Linotype"/>
          <w:b/>
        </w:rPr>
        <w:t xml:space="preserve">C. </w:t>
      </w:r>
      <w:proofErr w:type="spellStart"/>
      <w:r w:rsidR="00814EC7" w:rsidRPr="00814EC7">
        <w:rPr>
          <w:rFonts w:ascii="Palatino Linotype" w:hAnsi="Palatino Linotype"/>
          <w:b/>
        </w:rPr>
        <w:t>Xxxxx</w:t>
      </w:r>
      <w:proofErr w:type="spellEnd"/>
      <w:r w:rsidR="00814EC7" w:rsidRPr="00814EC7">
        <w:rPr>
          <w:rFonts w:ascii="Palatino Linotype" w:hAnsi="Palatino Linotype"/>
          <w:b/>
        </w:rPr>
        <w:t xml:space="preserve"> </w:t>
      </w:r>
      <w:proofErr w:type="spellStart"/>
      <w:r w:rsidR="00814EC7" w:rsidRPr="00814EC7">
        <w:rPr>
          <w:rFonts w:ascii="Palatino Linotype" w:hAnsi="Palatino Linotype"/>
          <w:b/>
        </w:rPr>
        <w:t>Xxxxx</w:t>
      </w:r>
      <w:proofErr w:type="spellEnd"/>
      <w:r w:rsidR="00814EC7" w:rsidRPr="00814EC7">
        <w:rPr>
          <w:rFonts w:ascii="Palatino Linotype" w:hAnsi="Palatino Linotype"/>
          <w:b/>
        </w:rPr>
        <w:t xml:space="preserve"> </w:t>
      </w:r>
      <w:proofErr w:type="spellStart"/>
      <w:r w:rsidR="00814EC7" w:rsidRPr="00814EC7">
        <w:rPr>
          <w:rFonts w:ascii="Palatino Linotype" w:hAnsi="Palatino Linotype"/>
          <w:b/>
        </w:rPr>
        <w:t>Xxxx</w:t>
      </w:r>
      <w:proofErr w:type="spellEnd"/>
      <w:r>
        <w:rPr>
          <w:rFonts w:ascii="Palatino Linotype" w:hAnsi="Palatino Linotype"/>
          <w:b/>
        </w:rPr>
        <w:t xml:space="preserve">, </w:t>
      </w:r>
      <w:r>
        <w:rPr>
          <w:rFonts w:ascii="Palatino Linotype" w:hAnsi="Palatino Linotype"/>
        </w:rPr>
        <w:t xml:space="preserve">en lo sucesivo </w:t>
      </w:r>
      <w:r>
        <w:rPr>
          <w:rFonts w:ascii="Palatino Linotype" w:hAnsi="Palatino Linotype"/>
          <w:b/>
        </w:rPr>
        <w:t>LA RECURRENTE,</w:t>
      </w:r>
      <w:r>
        <w:rPr>
          <w:rFonts w:ascii="Palatino Linotype" w:hAnsi="Palatino Linotype"/>
        </w:rPr>
        <w:t xml:space="preserve"> en contra de la respuesta emitida por el </w:t>
      </w:r>
      <w:r>
        <w:rPr>
          <w:rFonts w:ascii="Palatino Linotype" w:hAnsi="Palatino Linotype"/>
          <w:b/>
        </w:rPr>
        <w:t>Ayuntamiento de Jaltenco</w:t>
      </w:r>
      <w:r>
        <w:rPr>
          <w:rFonts w:ascii="Palatino Linotype" w:hAnsi="Palatino Linotype"/>
        </w:rPr>
        <w:t xml:space="preserve">, en lo subsecuente </w:t>
      </w:r>
      <w:r>
        <w:rPr>
          <w:rFonts w:ascii="Palatino Linotype" w:hAnsi="Palatino Linotype"/>
          <w:b/>
        </w:rPr>
        <w:t>EL SUJETO OBLIGADO</w:t>
      </w:r>
      <w:r>
        <w:rPr>
          <w:rFonts w:ascii="Palatino Linotype" w:hAnsi="Palatino Linotype"/>
        </w:rPr>
        <w:t xml:space="preserve">, se procede a dictar la presente resolución con base en lo siguiente: </w:t>
      </w:r>
    </w:p>
    <w:p w14:paraId="177909EE" w14:textId="77777777" w:rsidR="00282FC7" w:rsidRDefault="00A022C2">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14:paraId="197EB06D"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I.</w:t>
      </w:r>
      <w:r>
        <w:rPr>
          <w:rFonts w:ascii="Palatino Linotype" w:hAnsi="Palatino Linotype"/>
        </w:rPr>
        <w:t xml:space="preserve"> En fecha veintiuno de enero de dos mil veinte, </w:t>
      </w:r>
      <w:r>
        <w:rPr>
          <w:rFonts w:ascii="Palatino Linotype" w:hAnsi="Palatino Linotype"/>
          <w:b/>
        </w:rPr>
        <w:t>LA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 xml:space="preserve">EL </w:t>
      </w:r>
      <w:proofErr w:type="spellStart"/>
      <w:r>
        <w:rPr>
          <w:rFonts w:ascii="Palatino Linotype" w:hAnsi="Palatino Linotype"/>
          <w:b/>
        </w:rPr>
        <w:t>SAIMEX</w:t>
      </w:r>
      <w:proofErr w:type="spellEnd"/>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00009/JALTENCO/IP/2020,</w:t>
      </w:r>
      <w:r>
        <w:rPr>
          <w:rFonts w:ascii="Palatino Linotype" w:hAnsi="Palatino Linotype"/>
        </w:rPr>
        <w:t xml:space="preserve"> mediante la cual requirió: </w:t>
      </w:r>
    </w:p>
    <w:p w14:paraId="2C430B95" w14:textId="77777777" w:rsidR="00282FC7" w:rsidRDefault="00A022C2">
      <w:pPr>
        <w:pStyle w:val="Prrafodelista"/>
        <w:ind w:left="851" w:right="899"/>
        <w:jc w:val="both"/>
        <w:rPr>
          <w:rFonts w:ascii="Palatino Linotype" w:hAnsi="Palatino Linotype"/>
          <w:i/>
          <w:sz w:val="22"/>
        </w:rPr>
      </w:pPr>
      <w:r>
        <w:rPr>
          <w:rFonts w:ascii="Palatino Linotype" w:hAnsi="Palatino Linotype"/>
          <w:i/>
          <w:sz w:val="22"/>
        </w:rPr>
        <w:t xml:space="preserve">“A través de la presente vengo a solicitar la lista de los nombres completos y cargos que desempeñan los ciudadanos electos como delegados, subdelegados y/o en su caso </w:t>
      </w:r>
      <w:proofErr w:type="spellStart"/>
      <w:r>
        <w:rPr>
          <w:rFonts w:ascii="Palatino Linotype" w:hAnsi="Palatino Linotype"/>
          <w:i/>
          <w:sz w:val="22"/>
        </w:rPr>
        <w:t>COPACIS</w:t>
      </w:r>
      <w:proofErr w:type="spellEnd"/>
      <w:r>
        <w:rPr>
          <w:rFonts w:ascii="Palatino Linotype" w:hAnsi="Palatino Linotype"/>
          <w:i/>
          <w:sz w:val="22"/>
        </w:rPr>
        <w:t xml:space="preserve"> para el periodo 2019-2022, que las delegaciones y subdelegaciones que integran el municipio de Jaltenco, Estado de México. San Andrés Jaltenco comprende: Barrio de </w:t>
      </w:r>
      <w:proofErr w:type="spellStart"/>
      <w:r>
        <w:rPr>
          <w:rFonts w:ascii="Palatino Linotype" w:hAnsi="Palatino Linotype"/>
          <w:i/>
          <w:sz w:val="22"/>
        </w:rPr>
        <w:t>Cahualco</w:t>
      </w:r>
      <w:proofErr w:type="spellEnd"/>
      <w:r>
        <w:rPr>
          <w:rFonts w:ascii="Palatino Linotype" w:hAnsi="Palatino Linotype"/>
          <w:i/>
          <w:sz w:val="22"/>
        </w:rPr>
        <w:t xml:space="preserve">· Barrio de San Sebastián· Colonia San Martín· Colonia </w:t>
      </w:r>
      <w:proofErr w:type="spellStart"/>
      <w:r>
        <w:rPr>
          <w:rFonts w:ascii="Palatino Linotype" w:hAnsi="Palatino Linotype"/>
          <w:i/>
          <w:sz w:val="22"/>
        </w:rPr>
        <w:t>Atxopilco</w:t>
      </w:r>
      <w:proofErr w:type="spellEnd"/>
      <w:r>
        <w:rPr>
          <w:rFonts w:ascii="Palatino Linotype" w:hAnsi="Palatino Linotype"/>
          <w:i/>
          <w:sz w:val="22"/>
        </w:rPr>
        <w:t xml:space="preserve">· Colonia Compuerta Oriente· Colonia La Lagunilla· Colonia Lázaro Cárdenas· Colonia López Mateos· Colonia San Antonio de las Arenas· Colonia San Isidro· Granja Los Pirules· Granja María Clara (Gavilanes)· Granja </w:t>
      </w:r>
      <w:proofErr w:type="spellStart"/>
      <w:r>
        <w:rPr>
          <w:rFonts w:ascii="Palatino Linotype" w:hAnsi="Palatino Linotype"/>
          <w:i/>
          <w:sz w:val="22"/>
        </w:rPr>
        <w:t>Alferes</w:t>
      </w:r>
      <w:proofErr w:type="spellEnd"/>
      <w:r>
        <w:rPr>
          <w:rFonts w:ascii="Palatino Linotype" w:hAnsi="Palatino Linotype"/>
          <w:i/>
          <w:sz w:val="22"/>
        </w:rPr>
        <w:t xml:space="preserve">. · Granja la Montaña· Granja La Cruz (antes las Margaritas)· Rancho La Encarnación· Rancho Buenos Aires· Rancho Guadalupe (palo grande)· Rancho Los Aguirre· Rancho Los Gutiérrez· Rancho Labra· Rancho Los Márquez· Rancho Los Ramírez· Rancho Cerro del Venado· Rancho Los Aguiluchos· Fracción de la Laguna de Zumpango· Fracción XVII En la comunidad de Alborada Jaltenco CTM XI se </w:t>
      </w:r>
      <w:r>
        <w:rPr>
          <w:rFonts w:ascii="Palatino Linotype" w:hAnsi="Palatino Linotype"/>
          <w:i/>
          <w:sz w:val="22"/>
        </w:rPr>
        <w:lastRenderedPageBreak/>
        <w:t xml:space="preserve">encuentran: Unidad Habitacional Alborada Jaltenco CTM XII· Fraccionamiento Bahías de Jaltenco· Colonia Unión </w:t>
      </w:r>
      <w:proofErr w:type="spellStart"/>
      <w:r>
        <w:rPr>
          <w:rFonts w:ascii="Palatino Linotype" w:hAnsi="Palatino Linotype"/>
          <w:i/>
          <w:sz w:val="22"/>
        </w:rPr>
        <w:t>Pro-vivienda</w:t>
      </w:r>
      <w:proofErr w:type="spellEnd"/>
      <w:r>
        <w:rPr>
          <w:rFonts w:ascii="Palatino Linotype" w:hAnsi="Palatino Linotype"/>
          <w:i/>
          <w:sz w:val="22"/>
        </w:rPr>
        <w:t xml:space="preserve">· Fraccionamiento Privadas del </w:t>
      </w:r>
      <w:proofErr w:type="spellStart"/>
      <w:r>
        <w:rPr>
          <w:rFonts w:ascii="Palatino Linotype" w:hAnsi="Palatino Linotype"/>
          <w:i/>
          <w:sz w:val="22"/>
        </w:rPr>
        <w:t>SolNúcleos</w:t>
      </w:r>
      <w:proofErr w:type="spellEnd"/>
      <w:r>
        <w:rPr>
          <w:rFonts w:ascii="Palatino Linotype" w:hAnsi="Palatino Linotype"/>
          <w:i/>
          <w:sz w:val="22"/>
        </w:rPr>
        <w:t xml:space="preserve"> Ejidales ubicadas en las tierras de la Ex -Hacienda de Santa Inés:· Ejido de San Andrés· Ejido de Santa Ana Nextlalpan· Ejido de Visitación· Ejido de </w:t>
      </w:r>
      <w:proofErr w:type="spellStart"/>
      <w:r>
        <w:rPr>
          <w:rFonts w:ascii="Palatino Linotype" w:hAnsi="Palatino Linotype"/>
          <w:i/>
          <w:sz w:val="22"/>
        </w:rPr>
        <w:t>Tenopalco</w:t>
      </w:r>
      <w:proofErr w:type="spellEnd"/>
      <w:r>
        <w:rPr>
          <w:rFonts w:ascii="Palatino Linotype" w:hAnsi="Palatino Linotype"/>
          <w:i/>
          <w:sz w:val="22"/>
        </w:rPr>
        <w:t xml:space="preserve">· Ejido de Tultepec· Ejido de </w:t>
      </w:r>
      <w:proofErr w:type="spellStart"/>
      <w:r>
        <w:rPr>
          <w:rFonts w:ascii="Palatino Linotype" w:hAnsi="Palatino Linotype"/>
          <w:i/>
          <w:sz w:val="22"/>
        </w:rPr>
        <w:t>Tonanitla</w:t>
      </w:r>
      <w:proofErr w:type="spellEnd"/>
      <w:r>
        <w:rPr>
          <w:rFonts w:ascii="Palatino Linotype" w:hAnsi="Palatino Linotype"/>
          <w:i/>
          <w:sz w:val="22"/>
        </w:rPr>
        <w:t>· Y las pequeñas propiedades de la Ex Hacienda de Santa Inés.” (Sic)</w:t>
      </w:r>
    </w:p>
    <w:p w14:paraId="23201FA2" w14:textId="77777777" w:rsidR="00282FC7" w:rsidRDefault="00A022C2">
      <w:pPr>
        <w:pStyle w:val="Prrafodelista"/>
        <w:spacing w:beforeAutospacing="1" w:afterAutospacing="1" w:line="360" w:lineRule="auto"/>
        <w:ind w:left="0"/>
        <w:jc w:val="both"/>
        <w:rPr>
          <w:rFonts w:ascii="Palatino Linotype" w:hAnsi="Palatino Linotype" w:cs="Arial"/>
          <w:b/>
        </w:rPr>
      </w:pPr>
      <w:r>
        <w:rPr>
          <w:rFonts w:ascii="Palatino Linotype" w:hAnsi="Palatino Linotype" w:cs="Arial"/>
          <w:b/>
        </w:rPr>
        <w:t>Modalidad de entrega:</w:t>
      </w:r>
      <w:r>
        <w:rPr>
          <w:rFonts w:ascii="Palatino Linotype" w:hAnsi="Palatino Linotype" w:cs="Arial"/>
        </w:rPr>
        <w:t xml:space="preserve"> vía </w:t>
      </w:r>
      <w:proofErr w:type="spellStart"/>
      <w:r>
        <w:rPr>
          <w:rFonts w:ascii="Palatino Linotype" w:hAnsi="Palatino Linotype" w:cs="Arial"/>
          <w:b/>
        </w:rPr>
        <w:t>SAIMEX</w:t>
      </w:r>
      <w:proofErr w:type="spellEnd"/>
      <w:r>
        <w:rPr>
          <w:rFonts w:ascii="Palatino Linotype" w:hAnsi="Palatino Linotype" w:cs="Arial"/>
        </w:rPr>
        <w:t>.</w:t>
      </w:r>
    </w:p>
    <w:p w14:paraId="226A4ECA"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II.</w:t>
      </w:r>
      <w:r>
        <w:rPr>
          <w:rFonts w:ascii="Palatino Linotype" w:hAnsi="Palatino Linotype" w:cs="Arial"/>
        </w:rPr>
        <w:t xml:space="preserve"> De las constancias que obran en el expediente electrónico del </w:t>
      </w:r>
      <w:proofErr w:type="spellStart"/>
      <w:r>
        <w:rPr>
          <w:rFonts w:ascii="Palatino Linotype" w:hAnsi="Palatino Linotype" w:cs="Arial"/>
          <w:b/>
        </w:rPr>
        <w:t>SAIMEX</w:t>
      </w:r>
      <w:proofErr w:type="spellEnd"/>
      <w:r>
        <w:rPr>
          <w:rFonts w:ascii="Palatino Linotype" w:hAnsi="Palatino Linotype" w:cs="Arial"/>
          <w:b/>
        </w:rPr>
        <w:t>,</w:t>
      </w:r>
      <w:r>
        <w:rPr>
          <w:rFonts w:ascii="Palatino Linotype" w:hAnsi="Palatino Linotype" w:cs="Arial"/>
        </w:rPr>
        <w:t xml:space="preserve"> en fecha veintiuno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turnó la solicitud de información al Servidor Público Habilitado que estimó pertinente, a fin de colmar el derecho de acceso a la información de la particular; tal y como, se aprecia en la imagen siguiente:</w:t>
      </w:r>
    </w:p>
    <w:p w14:paraId="635D530D" w14:textId="77777777" w:rsidR="00282FC7" w:rsidRDefault="00A022C2">
      <w:pPr>
        <w:pStyle w:val="Prrafodelista"/>
        <w:spacing w:beforeAutospacing="1" w:afterAutospacing="1" w:line="360" w:lineRule="auto"/>
        <w:ind w:left="0"/>
        <w:jc w:val="center"/>
        <w:rPr>
          <w:rFonts w:ascii="Palatino Linotype" w:hAnsi="Palatino Linotype" w:cs="Arial"/>
        </w:rPr>
      </w:pPr>
      <w:r>
        <w:rPr>
          <w:noProof/>
          <w:lang w:eastAsia="es-MX"/>
        </w:rPr>
        <w:drawing>
          <wp:inline distT="0" distB="0" distL="0" distR="0" wp14:anchorId="4DBF629D" wp14:editId="42370B22">
            <wp:extent cx="5576570" cy="733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rcRect l="2532" t="31191" r="1100" b="55330"/>
                    <a:stretch>
                      <a:fillRect/>
                    </a:stretch>
                  </pic:blipFill>
                  <pic:spPr bwMode="auto">
                    <a:xfrm>
                      <a:off x="0" y="0"/>
                      <a:ext cx="5576570" cy="733425"/>
                    </a:xfrm>
                    <a:prstGeom prst="rect">
                      <a:avLst/>
                    </a:prstGeom>
                  </pic:spPr>
                </pic:pic>
              </a:graphicData>
            </a:graphic>
          </wp:inline>
        </w:drawing>
      </w:r>
    </w:p>
    <w:p w14:paraId="0E48185B"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III</w:t>
      </w:r>
      <w:r>
        <w:rPr>
          <w:rFonts w:ascii="Palatino Linotype" w:hAnsi="Palatino Linotype" w:cs="Arial"/>
        </w:rPr>
        <w:t xml:space="preserve">. En fecha treinta de enero de dos mil veinte, </w:t>
      </w:r>
      <w:r>
        <w:rPr>
          <w:rFonts w:ascii="Palatino Linotype" w:hAnsi="Palatino Linotype" w:cs="Arial"/>
          <w:b/>
        </w:rPr>
        <w:t>EL SUJETO OBLIGADO</w:t>
      </w:r>
      <w:r>
        <w:rPr>
          <w:rFonts w:ascii="Palatino Linotype" w:hAnsi="Palatino Linotype" w:cs="Arial"/>
        </w:rPr>
        <w:t xml:space="preserve"> dio respuesta a la solicitud de acceso a la información pública requerida por </w:t>
      </w:r>
      <w:r>
        <w:rPr>
          <w:rFonts w:ascii="Palatino Linotype" w:hAnsi="Palatino Linotype" w:cs="Arial"/>
          <w:b/>
        </w:rPr>
        <w:t>LA RECURRENTE</w:t>
      </w:r>
      <w:r>
        <w:rPr>
          <w:rFonts w:ascii="Palatino Linotype" w:hAnsi="Palatino Linotype" w:cs="Arial"/>
        </w:rPr>
        <w:t>, en los términos siguientes:</w:t>
      </w:r>
    </w:p>
    <w:p w14:paraId="7EDB0D7B" w14:textId="77777777" w:rsidR="00282FC7" w:rsidRDefault="00A022C2">
      <w:pPr>
        <w:pStyle w:val="Prrafodelista"/>
        <w:ind w:left="851" w:right="899"/>
        <w:jc w:val="both"/>
        <w:rPr>
          <w:rFonts w:ascii="Palatino Linotype" w:hAnsi="Palatino Linotype"/>
          <w:i/>
          <w:sz w:val="22"/>
        </w:rPr>
      </w:pPr>
      <w:r>
        <w:rPr>
          <w:rFonts w:ascii="Palatino Linotype" w:hAnsi="Palatino Linotype"/>
          <w:i/>
          <w:sz w:val="22"/>
        </w:rPr>
        <w:t xml:space="preserve">“A través de la presente se da respuesta a la solicitud de información 00009/JALTENCO/IP/2020. </w:t>
      </w:r>
      <w:proofErr w:type="gramStart"/>
      <w:r>
        <w:rPr>
          <w:rFonts w:ascii="Palatino Linotype" w:hAnsi="Palatino Linotype"/>
          <w:i/>
          <w:sz w:val="22"/>
        </w:rPr>
        <w:t>Haciendo mención de</w:t>
      </w:r>
      <w:proofErr w:type="gramEnd"/>
      <w:r>
        <w:rPr>
          <w:rFonts w:ascii="Palatino Linotype" w:hAnsi="Palatino Linotype"/>
          <w:i/>
          <w:sz w:val="22"/>
        </w:rPr>
        <w:t xml:space="preserve"> los nombres completos y cargos que desempeñan los ciudadanos electos como delegados, subdelegados y </w:t>
      </w:r>
      <w:proofErr w:type="spellStart"/>
      <w:r>
        <w:rPr>
          <w:rFonts w:ascii="Palatino Linotype" w:hAnsi="Palatino Linotype"/>
          <w:i/>
          <w:sz w:val="22"/>
        </w:rPr>
        <w:t>COPACIS</w:t>
      </w:r>
      <w:proofErr w:type="spellEnd"/>
      <w:r>
        <w:rPr>
          <w:rFonts w:ascii="Palatino Linotype" w:hAnsi="Palatino Linotype"/>
          <w:i/>
          <w:sz w:val="22"/>
        </w:rPr>
        <w:t xml:space="preserve"> para el periodo 2019-2022.” (Sic)</w:t>
      </w:r>
    </w:p>
    <w:p w14:paraId="34A13141"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lastRenderedPageBreak/>
        <w:t xml:space="preserve">Adjuntando a su respuesta el archivo electrónico denominado </w:t>
      </w:r>
      <w:hyperlink r:id="rId8" w:tgtFrame="_blank">
        <w:r>
          <w:rPr>
            <w:rFonts w:ascii="Palatino Linotype" w:hAnsi="Palatino Linotype"/>
            <w:b/>
          </w:rPr>
          <w:t>autoridades auxiliares 2019.xlsx</w:t>
        </w:r>
      </w:hyperlink>
      <w:r>
        <w:rPr>
          <w:rFonts w:ascii="Palatino Linotype" w:hAnsi="Palatino Linotype" w:cs="Arial"/>
          <w:b/>
        </w:rPr>
        <w:t>,</w:t>
      </w:r>
      <w:r>
        <w:rPr>
          <w:rFonts w:ascii="Palatino Linotype" w:hAnsi="Palatino Linotype" w:cs="Arial"/>
        </w:rPr>
        <w:t xml:space="preserve"> mediante el cual hizo llegar un listado con el nombre y el cargo de las autoridades auxiliares del Municipio de Jaltenco.</w:t>
      </w:r>
    </w:p>
    <w:p w14:paraId="26EB50F9" w14:textId="77777777" w:rsidR="00282FC7" w:rsidRDefault="00282FC7">
      <w:pPr>
        <w:pStyle w:val="Prrafodelista"/>
        <w:spacing w:beforeAutospacing="1" w:afterAutospacing="1" w:line="360" w:lineRule="auto"/>
        <w:ind w:left="0"/>
        <w:jc w:val="both"/>
        <w:rPr>
          <w:rFonts w:ascii="Palatino Linotype" w:hAnsi="Palatino Linotype" w:cs="Arial"/>
        </w:rPr>
      </w:pPr>
    </w:p>
    <w:p w14:paraId="2C8E2970"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IV</w:t>
      </w:r>
      <w:r>
        <w:rPr>
          <w:rFonts w:ascii="Palatino Linotype" w:hAnsi="Palatino Linotype" w:cs="Arial"/>
        </w:rPr>
        <w:t xml:space="preserve">. </w:t>
      </w: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treinta y uno de enero de dos mil veinte, </w:t>
      </w:r>
      <w:r>
        <w:rPr>
          <w:rFonts w:ascii="Palatino Linotype" w:hAnsi="Palatino Linotype"/>
          <w:b/>
        </w:rPr>
        <w:t>LA RECURRENTE</w:t>
      </w:r>
      <w:r>
        <w:rPr>
          <w:rFonts w:ascii="Palatino Linotype" w:hAnsi="Palatino Linotype"/>
        </w:rPr>
        <w:t xml:space="preserve"> interpuso el recurso de revisión objeto del presente estudio, el cual fue registrado en </w:t>
      </w:r>
      <w:r>
        <w:rPr>
          <w:rFonts w:ascii="Palatino Linotype" w:hAnsi="Palatino Linotype"/>
          <w:b/>
        </w:rPr>
        <w:t xml:space="preserve">EL </w:t>
      </w:r>
      <w:proofErr w:type="spellStart"/>
      <w:r>
        <w:rPr>
          <w:rFonts w:ascii="Palatino Linotype" w:hAnsi="Palatino Linotype"/>
          <w:b/>
        </w:rPr>
        <w:t>SAIMEX</w:t>
      </w:r>
      <w:proofErr w:type="spellEnd"/>
      <w:r>
        <w:rPr>
          <w:rFonts w:ascii="Palatino Linotype" w:hAnsi="Palatino Linotype"/>
        </w:rPr>
        <w:t xml:space="preserve"> y se le asignó el número de expediente </w:t>
      </w:r>
      <w:r>
        <w:rPr>
          <w:rFonts w:ascii="Palatino Linotype" w:hAnsi="Palatino Linotype" w:cs="Arial"/>
          <w:b/>
          <w:bCs/>
        </w:rPr>
        <w:t>00832/</w:t>
      </w:r>
      <w:proofErr w:type="spellStart"/>
      <w:r>
        <w:rPr>
          <w:rFonts w:ascii="Palatino Linotype" w:hAnsi="Palatino Linotype" w:cs="Arial"/>
          <w:b/>
          <w:bCs/>
        </w:rPr>
        <w:t>INFOEM</w:t>
      </w:r>
      <w:proofErr w:type="spellEnd"/>
      <w:r>
        <w:rPr>
          <w:rFonts w:ascii="Palatino Linotype" w:hAnsi="Palatino Linotype" w:cs="Arial"/>
          <w:b/>
          <w:bCs/>
        </w:rPr>
        <w:t>/IP/</w:t>
      </w:r>
      <w:proofErr w:type="spellStart"/>
      <w:r>
        <w:rPr>
          <w:rFonts w:ascii="Palatino Linotype" w:hAnsi="Palatino Linotype" w:cs="Arial"/>
          <w:b/>
          <w:bCs/>
        </w:rPr>
        <w:t>RR</w:t>
      </w:r>
      <w:proofErr w:type="spellEnd"/>
      <w:r>
        <w:rPr>
          <w:rFonts w:ascii="Palatino Linotype" w:hAnsi="Palatino Linotype" w:cs="Arial"/>
          <w:b/>
          <w:bCs/>
        </w:rPr>
        <w:t>/2020</w:t>
      </w:r>
      <w:r>
        <w:rPr>
          <w:rFonts w:ascii="Palatino Linotype" w:hAnsi="Palatino Linotype" w:cs="Arial"/>
        </w:rPr>
        <w:t>, en el que señaló como acto impugnado lo siguiente:</w:t>
      </w:r>
    </w:p>
    <w:p w14:paraId="64D88461" w14:textId="77777777" w:rsidR="00282FC7" w:rsidRDefault="00A022C2">
      <w:pPr>
        <w:pStyle w:val="Prrafodelista"/>
        <w:ind w:left="851" w:right="899"/>
        <w:jc w:val="both"/>
        <w:rPr>
          <w:rFonts w:ascii="Palatino Linotype" w:hAnsi="Palatino Linotype"/>
          <w:i/>
          <w:color w:val="000000"/>
          <w:sz w:val="22"/>
        </w:rPr>
      </w:pPr>
      <w:r>
        <w:rPr>
          <w:rFonts w:ascii="Palatino Linotype" w:hAnsi="Palatino Linotype"/>
          <w:i/>
          <w:color w:val="000000"/>
          <w:sz w:val="22"/>
        </w:rPr>
        <w:t>“LA RESPUESTA DADA A LA SOLICITUD 00009/JALTENCO/IP/2020 A TRAVÉS DE LA QUE SE DA RESPUESTA A LO SOLICITADO.” (Sic)</w:t>
      </w:r>
    </w:p>
    <w:p w14:paraId="615B5D25"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t xml:space="preserve">Asimismo, como razones o motivos de inconformidad: </w:t>
      </w:r>
    </w:p>
    <w:p w14:paraId="09114177" w14:textId="77777777" w:rsidR="00282FC7" w:rsidRDefault="00A022C2">
      <w:pPr>
        <w:pStyle w:val="Prrafodelista"/>
        <w:ind w:left="851" w:right="899"/>
        <w:jc w:val="both"/>
        <w:rPr>
          <w:rFonts w:ascii="Palatino Linotype" w:hAnsi="Palatino Linotype"/>
          <w:i/>
          <w:color w:val="000000"/>
          <w:sz w:val="22"/>
        </w:rPr>
      </w:pPr>
      <w:r>
        <w:rPr>
          <w:rFonts w:ascii="Palatino Linotype" w:hAnsi="Palatino Linotype"/>
          <w:i/>
          <w:color w:val="000000"/>
          <w:sz w:val="22"/>
        </w:rPr>
        <w:t xml:space="preserve">“LA INFORMACIÓN ES INCOMPLETA </w:t>
      </w:r>
      <w:proofErr w:type="gramStart"/>
      <w:r>
        <w:rPr>
          <w:rFonts w:ascii="Palatino Linotype" w:hAnsi="Palatino Linotype"/>
          <w:i/>
          <w:color w:val="000000"/>
          <w:sz w:val="22"/>
        </w:rPr>
        <w:t>EN RAZÓN DE</w:t>
      </w:r>
      <w:proofErr w:type="gramEnd"/>
      <w:r>
        <w:rPr>
          <w:rFonts w:ascii="Palatino Linotype" w:hAnsi="Palatino Linotype"/>
          <w:i/>
          <w:color w:val="000000"/>
          <w:sz w:val="22"/>
        </w:rPr>
        <w:t xml:space="preserve"> QUE SOLO ENVÍAN ALGUNOS NOMBRES SIN COLOCAR DE QUE LOCALIDAD SON DELEGADOS Y/O </w:t>
      </w:r>
      <w:proofErr w:type="spellStart"/>
      <w:r>
        <w:rPr>
          <w:rFonts w:ascii="Palatino Linotype" w:hAnsi="Palatino Linotype"/>
          <w:i/>
          <w:color w:val="000000"/>
          <w:sz w:val="22"/>
        </w:rPr>
        <w:t>COPACIS</w:t>
      </w:r>
      <w:proofErr w:type="spellEnd"/>
      <w:r>
        <w:rPr>
          <w:rFonts w:ascii="Palatino Linotype" w:hAnsi="Palatino Linotype"/>
          <w:i/>
          <w:color w:val="000000"/>
          <w:sz w:val="22"/>
        </w:rPr>
        <w:t xml:space="preserve"> EN SU CASO, Y EN OTRO CASO ENVÍAN DATOS DE UNA LOCALIDAD, POR LO QUE CONSIDERO QUE LA INFORMACIÓN ES INCOMPLETA DE ACUERDO A LO CONTENIDO EN EL BANDO MUNICIPAL DEL MUNICIPIO DE JALTENCO.” (Sic)</w:t>
      </w:r>
    </w:p>
    <w:p w14:paraId="760930B8"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V.</w:t>
      </w:r>
      <w:r>
        <w:rPr>
          <w:rFonts w:ascii="Palatino Linotype" w:hAnsi="Palatino Linotype" w:cs="Arial"/>
        </w:rPr>
        <w:t xml:space="preserv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treinta y uno de enero de dos mil veinte y con fundamento en el artículo 185, fracción I de la </w:t>
      </w:r>
      <w:r>
        <w:rPr>
          <w:rFonts w:ascii="Palatino Linotype" w:hAnsi="Palatino Linotype"/>
        </w:rPr>
        <w:t xml:space="preserve">Ley de Transparencia y Acceso a la Información Pública </w:t>
      </w:r>
      <w:r>
        <w:rPr>
          <w:rFonts w:ascii="Palatino Linotype" w:hAnsi="Palatino Linotype"/>
        </w:rPr>
        <w:lastRenderedPageBreak/>
        <w:t>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proofErr w:type="spellStart"/>
      <w:r>
        <w:rPr>
          <w:rFonts w:ascii="Palatino Linotype" w:eastAsia="Arial Unicode MS" w:hAnsi="Palatino Linotype" w:cs="Arial"/>
          <w:b/>
        </w:rPr>
        <w:t>SAIMEX</w:t>
      </w:r>
      <w:proofErr w:type="spellEnd"/>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r>
        <w:rPr>
          <w:rFonts w:ascii="Palatino Linotype" w:hAnsi="Palatino Linotype" w:cs="Arial"/>
        </w:rPr>
        <w:t xml:space="preserve">, a efecto de que decretara su admisión o </w:t>
      </w:r>
      <w:proofErr w:type="spellStart"/>
      <w:r>
        <w:rPr>
          <w:rFonts w:ascii="Palatino Linotype" w:hAnsi="Palatino Linotype" w:cs="Arial"/>
        </w:rPr>
        <w:t>desechamiento</w:t>
      </w:r>
      <w:proofErr w:type="spellEnd"/>
      <w:r>
        <w:rPr>
          <w:rFonts w:ascii="Palatino Linotype" w:hAnsi="Palatino Linotype" w:cs="Arial"/>
        </w:rPr>
        <w:t>.</w:t>
      </w:r>
    </w:p>
    <w:p w14:paraId="599EEF6A"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b/>
          <w:sz w:val="28"/>
          <w:szCs w:val="28"/>
        </w:rPr>
        <w:t>VI.</w:t>
      </w:r>
      <w:r>
        <w:rPr>
          <w:rFonts w:ascii="Palatino Linotype" w:hAnsi="Palatino Linotype"/>
        </w:rPr>
        <w:t xml:space="preserve"> </w:t>
      </w:r>
      <w:r>
        <w:rPr>
          <w:rFonts w:ascii="Palatino Linotype" w:hAnsi="Palatino Linotype" w:cs="Arial"/>
        </w:rPr>
        <w:t xml:space="preserve">En fecha siete de febrero de dos mil veinte,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LA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14:paraId="415396FD"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VII.</w:t>
      </w:r>
      <w:r>
        <w:rPr>
          <w:rFonts w:ascii="Palatino Linotype" w:hAnsi="Palatino Linotype" w:cs="Arial"/>
        </w:rPr>
        <w:t xml:space="preserve"> De las constancias que obran en el </w:t>
      </w:r>
      <w:proofErr w:type="spellStart"/>
      <w:r>
        <w:rPr>
          <w:rFonts w:ascii="Palatino Linotype" w:hAnsi="Palatino Linotype" w:cs="Arial"/>
          <w:b/>
        </w:rPr>
        <w:t>SAIMEX</w:t>
      </w:r>
      <w:proofErr w:type="spellEnd"/>
      <w:r>
        <w:rPr>
          <w:rFonts w:ascii="Palatino Linotype" w:hAnsi="Palatino Linotype" w:cs="Arial"/>
          <w:b/>
        </w:rPr>
        <w:t>,</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en fecha diez de febrero de dos mil veinte, rindió el Informe Justificado correspondiente, mismo que si bien no modificó su respuesta se considera que si la amplió, por lo que al no haberlo puesto a disposición de la solicitante se inserta a continuación:</w:t>
      </w:r>
    </w:p>
    <w:p w14:paraId="3ED44DD0" w14:textId="77777777" w:rsidR="00282FC7" w:rsidRDefault="00A022C2">
      <w:pPr>
        <w:pStyle w:val="Prrafodelista"/>
        <w:spacing w:beforeAutospacing="1" w:afterAutospacing="1" w:line="360" w:lineRule="auto"/>
        <w:ind w:left="0"/>
        <w:jc w:val="center"/>
        <w:rPr>
          <w:rFonts w:ascii="Palatino Linotype" w:hAnsi="Palatino Linotype" w:cs="Arial"/>
        </w:rPr>
      </w:pPr>
      <w:r>
        <w:rPr>
          <w:noProof/>
          <w:lang w:eastAsia="es-MX"/>
        </w:rPr>
        <w:lastRenderedPageBreak/>
        <w:drawing>
          <wp:inline distT="0" distB="0" distL="0" distR="0" wp14:anchorId="54B2F8FB" wp14:editId="7106A905">
            <wp:extent cx="5544185" cy="4356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rcRect l="11763" t="12520" r="31942" b="34469"/>
                    <a:stretch>
                      <a:fillRect/>
                    </a:stretch>
                  </pic:blipFill>
                  <pic:spPr bwMode="auto">
                    <a:xfrm>
                      <a:off x="0" y="0"/>
                      <a:ext cx="5544185" cy="4356100"/>
                    </a:xfrm>
                    <a:prstGeom prst="rect">
                      <a:avLst/>
                    </a:prstGeom>
                  </pic:spPr>
                </pic:pic>
              </a:graphicData>
            </a:graphic>
          </wp:inline>
        </w:drawing>
      </w:r>
    </w:p>
    <w:p w14:paraId="71B9FF99" w14:textId="77777777" w:rsidR="00282FC7" w:rsidRDefault="00A022C2">
      <w:pPr>
        <w:pStyle w:val="Prrafodelista"/>
        <w:spacing w:beforeAutospacing="1" w:afterAutospacing="1" w:line="360" w:lineRule="auto"/>
        <w:ind w:left="0"/>
        <w:jc w:val="center"/>
        <w:rPr>
          <w:rFonts w:ascii="Palatino Linotype" w:hAnsi="Palatino Linotype" w:cs="Arial"/>
        </w:rPr>
      </w:pPr>
      <w:r>
        <w:rPr>
          <w:noProof/>
          <w:lang w:eastAsia="es-MX"/>
        </w:rPr>
        <w:lastRenderedPageBreak/>
        <w:drawing>
          <wp:inline distT="0" distB="0" distL="0" distR="0" wp14:anchorId="278F1DFA" wp14:editId="387DCEB8">
            <wp:extent cx="4487545" cy="3009900"/>
            <wp:effectExtent l="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pic:cNvPicPr>
                      <a:picLocks noChangeAspect="1" noChangeArrowheads="1"/>
                    </pic:cNvPicPr>
                  </pic:nvPicPr>
                  <pic:blipFill>
                    <a:blip r:embed="rId10"/>
                    <a:srcRect l="18470" t="21649" r="32687" b="34680"/>
                    <a:stretch>
                      <a:fillRect/>
                    </a:stretch>
                  </pic:blipFill>
                  <pic:spPr bwMode="auto">
                    <a:xfrm>
                      <a:off x="0" y="0"/>
                      <a:ext cx="4487545" cy="3009900"/>
                    </a:xfrm>
                    <a:prstGeom prst="rect">
                      <a:avLst/>
                    </a:prstGeom>
                  </pic:spPr>
                </pic:pic>
              </a:graphicData>
            </a:graphic>
          </wp:inline>
        </w:drawing>
      </w:r>
    </w:p>
    <w:p w14:paraId="078F8506" w14:textId="77777777" w:rsidR="00282FC7" w:rsidRDefault="00A022C2">
      <w:pPr>
        <w:pStyle w:val="Prrafodelista"/>
        <w:spacing w:beforeAutospacing="1" w:afterAutospacing="1" w:line="360" w:lineRule="auto"/>
        <w:ind w:left="0"/>
        <w:jc w:val="center"/>
        <w:rPr>
          <w:rFonts w:ascii="Palatino Linotype" w:hAnsi="Palatino Linotype" w:cs="Arial"/>
        </w:rPr>
      </w:pPr>
      <w:r>
        <w:rPr>
          <w:noProof/>
          <w:lang w:eastAsia="es-MX"/>
        </w:rPr>
        <w:drawing>
          <wp:inline distT="0" distB="0" distL="0" distR="0" wp14:anchorId="4D704CF3" wp14:editId="6844D387">
            <wp:extent cx="4653915" cy="3943350"/>
            <wp:effectExtent l="0" t="0" r="0" b="0"/>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11"/>
                    <a:srcRect l="10578" t="10128" r="31484" b="16196"/>
                    <a:stretch>
                      <a:fillRect/>
                    </a:stretch>
                  </pic:blipFill>
                  <pic:spPr bwMode="auto">
                    <a:xfrm>
                      <a:off x="0" y="0"/>
                      <a:ext cx="4653915" cy="3943350"/>
                    </a:xfrm>
                    <a:prstGeom prst="rect">
                      <a:avLst/>
                    </a:prstGeom>
                  </pic:spPr>
                </pic:pic>
              </a:graphicData>
            </a:graphic>
          </wp:inline>
        </w:drawing>
      </w:r>
    </w:p>
    <w:p w14:paraId="27EEF526" w14:textId="77777777" w:rsidR="00282FC7" w:rsidRDefault="00A022C2">
      <w:pPr>
        <w:pStyle w:val="Prrafodelista"/>
        <w:spacing w:beforeAutospacing="1" w:afterAutospacing="1" w:line="360" w:lineRule="auto"/>
        <w:ind w:left="0"/>
        <w:jc w:val="both"/>
        <w:rPr>
          <w:rFonts w:ascii="Palatino Linotype" w:hAnsi="Palatino Linotype" w:cs="Arial"/>
        </w:rPr>
      </w:pPr>
      <w:r>
        <w:rPr>
          <w:rFonts w:ascii="Palatino Linotype" w:hAnsi="Palatino Linotype" w:cs="Arial"/>
        </w:rPr>
        <w:lastRenderedPageBreak/>
        <w:t xml:space="preserve">Por su parte, </w:t>
      </w:r>
      <w:r>
        <w:rPr>
          <w:rFonts w:ascii="Palatino Linotype" w:hAnsi="Palatino Linotype" w:cs="Arial"/>
          <w:b/>
        </w:rPr>
        <w:t xml:space="preserve">LA RECURRENTE </w:t>
      </w:r>
      <w:r>
        <w:rPr>
          <w:rFonts w:ascii="Palatino Linotype" w:hAnsi="Palatino Linotype" w:cs="Arial"/>
        </w:rPr>
        <w:t xml:space="preserve">fue omisa en rendir las manifestaciones que a su derecho convinieran. </w:t>
      </w:r>
    </w:p>
    <w:p w14:paraId="153F6E9A" w14:textId="77777777" w:rsidR="00282FC7" w:rsidRDefault="00A022C2">
      <w:pPr>
        <w:pStyle w:val="Prrafodelista"/>
        <w:spacing w:beforeAutospacing="1" w:afterAutospacing="1" w:line="360" w:lineRule="auto"/>
        <w:ind w:left="0"/>
        <w:jc w:val="both"/>
        <w:rPr>
          <w:rFonts w:ascii="Palatino Linotype" w:hAnsi="Palatino Linotype"/>
        </w:rPr>
      </w:pPr>
      <w:r>
        <w:rPr>
          <w:rFonts w:ascii="Palatino Linotype" w:hAnsi="Palatino Linotype" w:cs="Arial"/>
          <w:b/>
          <w:sz w:val="28"/>
          <w:szCs w:val="28"/>
        </w:rPr>
        <w:t>VIII.</w:t>
      </w:r>
      <w:r>
        <w:rPr>
          <w:rFonts w:ascii="Palatino Linotype" w:hAnsi="Palatino Linotype" w:cs="Arial"/>
        </w:rPr>
        <w:t xml:space="preserve"> Transcurrido el plazo señalado en el párrafo anterior y, una vez analizado el estado procesal que guardaba el expediente, en fecha veinte de febrero de dos mil veinte, la Comisionada Ponente acordó el cierre de instrucción, así como la remisión </w:t>
      </w:r>
      <w:proofErr w:type="gramStart"/>
      <w:r>
        <w:rPr>
          <w:rFonts w:ascii="Palatino Linotype" w:hAnsi="Palatino Linotype" w:cs="Arial"/>
        </w:rPr>
        <w:t>del mismo</w:t>
      </w:r>
      <w:proofErr w:type="gramEnd"/>
      <w:r>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r>
        <w:rPr>
          <w:rFonts w:ascii="Palatino Linotype" w:hAnsi="Palatino Linotype"/>
        </w:rPr>
        <w:t>.</w:t>
      </w:r>
    </w:p>
    <w:p w14:paraId="3D82BB79" w14:textId="77777777" w:rsidR="00282FC7" w:rsidRDefault="00A022C2">
      <w:pPr>
        <w:pStyle w:val="Prrafodelista"/>
        <w:spacing w:beforeAutospacing="1" w:afterAutospacing="1" w:line="360" w:lineRule="auto"/>
        <w:ind w:left="0"/>
        <w:jc w:val="both"/>
        <w:rPr>
          <w:rFonts w:ascii="Palatino Linotype" w:hAnsi="Palatino Linotype"/>
        </w:rPr>
      </w:pPr>
      <w:r>
        <w:rPr>
          <w:rFonts w:ascii="Palatino Linotype" w:hAnsi="Palatino Linotype" w:cs="Arial"/>
          <w:b/>
          <w:sz w:val="28"/>
          <w:szCs w:val="28"/>
        </w:rPr>
        <w:t>IX.</w:t>
      </w:r>
      <w:r>
        <w:rPr>
          <w:rFonts w:ascii="Palatino Linotype" w:hAnsi="Palatino Linotype" w:cs="Arial"/>
        </w:rPr>
        <w:t xml:space="preserve"> </w:t>
      </w:r>
      <w:r>
        <w:rPr>
          <w:rFonts w:ascii="Palatino Linotype" w:hAnsi="Palatino Linotype"/>
        </w:rPr>
        <w:t>En fecha veintiuno de abril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B5EED44" w14:textId="77777777" w:rsidR="00282FC7" w:rsidRDefault="00A022C2">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14:paraId="63C14183" w14:textId="77777777" w:rsidR="00282FC7" w:rsidRDefault="00A022C2">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b/>
        </w:rPr>
        <w:t>. Competencia.</w:t>
      </w:r>
      <w:r>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Pr>
          <w:rFonts w:ascii="Palatino Linotype" w:hAnsi="Palatino Linotype" w:cs="Arial"/>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07FB2971" w14:textId="77777777" w:rsidR="00282FC7" w:rsidRDefault="00A022C2">
      <w:pPr>
        <w:pStyle w:val="Prrafodelista"/>
        <w:widowControl w:val="0"/>
        <w:spacing w:beforeAutospacing="1" w:afterAutospacing="1" w:line="360" w:lineRule="auto"/>
        <w:ind w:left="0"/>
        <w:jc w:val="both"/>
        <w:rPr>
          <w:rFonts w:ascii="Palatino Linotype" w:hAnsi="Palatino Linotype" w:cs="Arial"/>
        </w:rPr>
      </w:pPr>
      <w:r>
        <w:rPr>
          <w:rFonts w:ascii="Palatino Linotype" w:hAnsi="Palatino Linotype" w:cs="Arial"/>
          <w:b/>
          <w:sz w:val="28"/>
          <w:szCs w:val="28"/>
        </w:rPr>
        <w:t>SEGUNDO</w:t>
      </w:r>
      <w:r>
        <w:rPr>
          <w:rFonts w:ascii="Palatino Linotype" w:hAnsi="Palatino Linotype" w:cs="Arial"/>
          <w:b/>
        </w:rPr>
        <w:t>. 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LA RECURRENTE</w:t>
      </w:r>
      <w:r>
        <w:rPr>
          <w:rFonts w:ascii="Palatino Linotype" w:hAnsi="Palatino Linotype" w:cs="Arial"/>
        </w:rPr>
        <w:t>, quien es la misma persona que formuló la solicitud de información pública al</w:t>
      </w:r>
      <w:r>
        <w:rPr>
          <w:rFonts w:ascii="Palatino Linotype" w:hAnsi="Palatino Linotype" w:cs="Arial"/>
          <w:b/>
        </w:rPr>
        <w:t xml:space="preserve"> SUJETO OBLIGADO</w:t>
      </w:r>
      <w:r>
        <w:rPr>
          <w:rFonts w:ascii="Palatino Linotype" w:hAnsi="Palatino Linotype" w:cs="Arial"/>
        </w:rPr>
        <w:t>.</w:t>
      </w:r>
    </w:p>
    <w:p w14:paraId="49718847" w14:textId="77777777" w:rsidR="00282FC7" w:rsidRDefault="00A022C2">
      <w:pPr>
        <w:widowControl w:val="0"/>
        <w:spacing w:beforeAutospacing="1" w:afterAutospacing="1" w:line="360" w:lineRule="auto"/>
        <w:jc w:val="both"/>
        <w:rPr>
          <w:rFonts w:ascii="Palatino Linotype" w:hAnsi="Palatino Linotype" w:cs="Arial"/>
        </w:rPr>
      </w:pPr>
      <w:r>
        <w:rPr>
          <w:rFonts w:ascii="Palatino Linotype" w:hAnsi="Palatino Linotype" w:cs="Arial"/>
          <w:b/>
          <w:sz w:val="28"/>
          <w:szCs w:val="28"/>
        </w:rPr>
        <w:t>TERCERO</w:t>
      </w:r>
      <w:r>
        <w:rPr>
          <w:rFonts w:ascii="Palatino Linotype" w:hAnsi="Palatino Linotype" w:cs="Arial"/>
          <w:b/>
        </w:rPr>
        <w:t xml:space="preserve">. Oportunidad. </w:t>
      </w:r>
      <w:r>
        <w:rPr>
          <w:rFonts w:ascii="Palatino Linotype" w:hAnsi="Palatino Linotype" w:cs="Arial"/>
        </w:rPr>
        <w:t xml:space="preserve">El recurso de revisión fue interpuesto dentro del plazo de quince días hábiles contados a partir del día siguiente a aquel en que </w:t>
      </w:r>
      <w:r>
        <w:rPr>
          <w:rFonts w:ascii="Palatino Linotype" w:hAnsi="Palatino Linotype" w:cs="Arial"/>
          <w:b/>
        </w:rPr>
        <w:t xml:space="preserve">LA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385D66C" w14:textId="77777777" w:rsidR="00282FC7" w:rsidRDefault="00A022C2">
      <w:pPr>
        <w:ind w:left="851" w:right="902"/>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7FC3C6" w14:textId="77777777" w:rsidR="00282FC7" w:rsidRDefault="00A022C2">
      <w:pPr>
        <w:ind w:left="851" w:right="902"/>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0867B44" w14:textId="77777777" w:rsidR="00282FC7" w:rsidRDefault="00A022C2">
      <w:pPr>
        <w:ind w:left="851" w:right="902"/>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 (Sic)</w:t>
      </w:r>
    </w:p>
    <w:p w14:paraId="6233AE9A" w14:textId="77777777" w:rsidR="00282FC7" w:rsidRDefault="00A022C2">
      <w:pPr>
        <w:pStyle w:val="Prrafodelista"/>
        <w:widowControl w:val="0"/>
        <w:tabs>
          <w:tab w:val="left" w:pos="1701"/>
          <w:tab w:val="left" w:pos="1843"/>
        </w:tabs>
        <w:spacing w:before="300" w:after="240" w:line="360" w:lineRule="auto"/>
        <w:ind w:left="0"/>
        <w:jc w:val="both"/>
        <w:rPr>
          <w:rFonts w:ascii="Palatino Linotype" w:hAnsi="Palatino Linotype" w:cs="Arial"/>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w:t>
      </w:r>
      <w:r>
        <w:rPr>
          <w:rFonts w:ascii="Palatino Linotype" w:hAnsi="Palatino Linotype" w:cs="Arial"/>
          <w:b/>
        </w:rPr>
        <w:t xml:space="preserve"> treinta de enero de dos mil veinte;</w:t>
      </w:r>
      <w:r>
        <w:rPr>
          <w:rFonts w:ascii="Palatino Linotype" w:hAnsi="Palatino Linotype" w:cs="Arial"/>
        </w:rPr>
        <w:t xml:space="preserve"> sí, el plazo </w:t>
      </w:r>
      <w:r>
        <w:rPr>
          <w:rFonts w:ascii="Palatino Linotype" w:hAnsi="Palatino Linotype" w:cs="Arial"/>
        </w:rPr>
        <w:lastRenderedPageBreak/>
        <w:t>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 xml:space="preserve">treinta y uno de enero al veintiuno de febrero de dos mil veinte, </w:t>
      </w:r>
      <w:r>
        <w:rPr>
          <w:rFonts w:ascii="Palatino Linotype" w:hAnsi="Palatino Linotype" w:cs="Arial"/>
        </w:rPr>
        <w:t xml:space="preserve">sin contemplar en el cómputo los días uno dos, ocho, nueve, quince y dieciséis de febrero dos mil veinte; por corresponder a sábados y domingos, considerados como días inhábiles, en términos del artículo 3, fracción X de la </w:t>
      </w:r>
      <w:r>
        <w:rPr>
          <w:rFonts w:ascii="Palatino Linotype" w:hAnsi="Palatino Linotype"/>
        </w:rPr>
        <w:t xml:space="preserve">Ley de Transparencia y Acceso a la Información Pública del Estado de México y Municipios; </w:t>
      </w:r>
      <w:r>
        <w:rPr>
          <w:rFonts w:ascii="Palatino Linotype" w:hAnsi="Palatino Linotype" w:cs="Arial"/>
        </w:rPr>
        <w:t>así como, de conformidad con el Calendario Oficial en Materia de Transparencia, Acceso a la Información Pública y Protección de Datos Personales del Estado de México y Municipios, para el año dos mil veinte y enero dos mil veintiuno, publicado en el Periódico Oficial “Gaceta del Gobierno”, el diecinueve de diciembre de dos mil diecinueve.</w:t>
      </w:r>
    </w:p>
    <w:p w14:paraId="73BE2E0C" w14:textId="77777777" w:rsidR="00282FC7" w:rsidRDefault="00A022C2">
      <w:pPr>
        <w:pStyle w:val="Prrafodelista"/>
        <w:widowControl w:val="0"/>
        <w:tabs>
          <w:tab w:val="left" w:pos="1701"/>
          <w:tab w:val="left" w:pos="1843"/>
        </w:tabs>
        <w:spacing w:before="300" w:after="240" w:line="360" w:lineRule="auto"/>
        <w:ind w:left="0"/>
        <w:jc w:val="both"/>
        <w:rPr>
          <w:rFonts w:ascii="Palatino Linotype" w:hAnsi="Palatino Linotype" w:cs="Arial"/>
          <w:b/>
        </w:rPr>
      </w:pPr>
      <w:r>
        <w:rPr>
          <w:rFonts w:ascii="Palatino Linotype" w:hAnsi="Palatino Linotype" w:cs="Arial"/>
        </w:rPr>
        <w:t>En ese tenor, si el recurso de revisión que nos ocupa, se interpuso el</w:t>
      </w:r>
      <w:r>
        <w:rPr>
          <w:rFonts w:ascii="Palatino Linotype" w:hAnsi="Palatino Linotype" w:cs="Arial"/>
          <w:b/>
        </w:rPr>
        <w:t xml:space="preserve"> treinta y uno </w:t>
      </w:r>
      <w:proofErr w:type="gramStart"/>
      <w:r>
        <w:rPr>
          <w:rFonts w:ascii="Palatino Linotype" w:hAnsi="Palatino Linotype" w:cs="Arial"/>
          <w:b/>
        </w:rPr>
        <w:t>de  enero</w:t>
      </w:r>
      <w:proofErr w:type="gramEnd"/>
      <w:r>
        <w:rPr>
          <w:rFonts w:ascii="Palatino Linotype" w:hAnsi="Palatino Linotype" w:cs="Arial"/>
          <w:b/>
        </w:rPr>
        <w:t xml:space="preserve"> de dos mil veinte</w:t>
      </w:r>
      <w:r>
        <w:rPr>
          <w:rFonts w:ascii="Palatino Linotype" w:hAnsi="Palatino Linotype" w:cs="Arial"/>
        </w:rPr>
        <w:t>, éste se encuentra dentro de los márgenes temporales previstos en el precepto legal citado en el párrafo anterior y, por tanto, su interposición se considera oportuna.</w:t>
      </w:r>
    </w:p>
    <w:p w14:paraId="61F975F9" w14:textId="77777777" w:rsidR="00282FC7" w:rsidRDefault="00A022C2">
      <w:pPr>
        <w:widowControl w:val="0"/>
        <w:spacing w:beforeAutospacing="1" w:afterAutospacing="1" w:line="360" w:lineRule="auto"/>
        <w:jc w:val="both"/>
        <w:rPr>
          <w:rFonts w:ascii="Palatino Linotype" w:hAnsi="Palatino Linotype"/>
        </w:rPr>
      </w:pPr>
      <w:r>
        <w:rPr>
          <w:rFonts w:ascii="Palatino Linotype" w:hAnsi="Palatino Linotype" w:cs="Arial"/>
          <w:b/>
          <w:sz w:val="28"/>
          <w:szCs w:val="28"/>
        </w:rPr>
        <w:t>CUARTO</w:t>
      </w:r>
      <w:r>
        <w:rPr>
          <w:rFonts w:ascii="Palatino Linotype" w:hAnsi="Palatino Linotype" w:cs="Arial"/>
          <w:b/>
        </w:rPr>
        <w:t>. Procedibilidad.</w:t>
      </w:r>
      <w:r>
        <w:rPr>
          <w:rFonts w:ascii="Palatino Linotype" w:hAnsi="Palatino Linotype" w:cs="Arial"/>
        </w:rPr>
        <w:t xml:space="preserve"> Del análisis efectuado, se advierte la procedibilidad del presente recurso de revisión, </w:t>
      </w:r>
      <w:proofErr w:type="gramStart"/>
      <w:r>
        <w:rPr>
          <w:rFonts w:ascii="Palatino Linotype" w:hAnsi="Palatino Linotype" w:cs="Arial"/>
        </w:rPr>
        <w:t>en razón de</w:t>
      </w:r>
      <w:proofErr w:type="gramEnd"/>
      <w:r>
        <w:rPr>
          <w:rFonts w:ascii="Palatino Linotype" w:hAnsi="Palatino Linotype" w:cs="Arial"/>
        </w:rPr>
        <w:t xml:space="preserv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 xml:space="preserve">EL </w:t>
      </w:r>
      <w:proofErr w:type="spellStart"/>
      <w:r>
        <w:rPr>
          <w:rFonts w:ascii="Palatino Linotype" w:hAnsi="Palatino Linotype"/>
          <w:b/>
        </w:rPr>
        <w:t>SAIMEX</w:t>
      </w:r>
      <w:proofErr w:type="spellEnd"/>
      <w:r>
        <w:rPr>
          <w:rFonts w:ascii="Palatino Linotype" w:hAnsi="Palatino Linotype"/>
        </w:rPr>
        <w:t>.</w:t>
      </w:r>
    </w:p>
    <w:p w14:paraId="3A2FB5C9" w14:textId="77777777" w:rsidR="00282FC7" w:rsidRDefault="00A022C2">
      <w:pPr>
        <w:spacing w:beforeAutospacing="1" w:afterAutospacing="1" w:line="360" w:lineRule="auto"/>
        <w:ind w:right="49"/>
        <w:jc w:val="both"/>
        <w:rPr>
          <w:rFonts w:ascii="Palatino Linotype" w:hAnsi="Palatino Linotype"/>
        </w:rPr>
      </w:pPr>
      <w:r>
        <w:rPr>
          <w:rFonts w:ascii="Palatino Linotype" w:hAnsi="Palatino Linotype" w:cs="Arial"/>
          <w:b/>
          <w:sz w:val="28"/>
          <w:szCs w:val="28"/>
          <w:lang w:val="es-ES"/>
        </w:rPr>
        <w:t>QUINTO</w:t>
      </w:r>
      <w:r>
        <w:rPr>
          <w:rFonts w:ascii="Palatino Linotype" w:hAnsi="Palatino Linotype" w:cs="Arial"/>
          <w:b/>
          <w:lang w:val="es-ES"/>
        </w:rPr>
        <w:t xml:space="preserve">. </w:t>
      </w:r>
      <w:r>
        <w:rPr>
          <w:rFonts w:ascii="Palatino Linotype" w:hAnsi="Palatino Linotype" w:cs="Arial"/>
          <w:b/>
          <w:color w:val="000000" w:themeColor="text1"/>
          <w:lang w:val="es-ES"/>
        </w:rPr>
        <w:t xml:space="preserve">Estudio y resolución del asunto. </w:t>
      </w:r>
      <w:r>
        <w:rPr>
          <w:rFonts w:ascii="Palatino Linotype" w:hAnsi="Palatino Linotype"/>
        </w:rPr>
        <w:t xml:space="preserve">Una vez determinada la vía sobre la que versará el presente recurso y previa revisión del expediente electrónico formado en </w:t>
      </w:r>
      <w:r>
        <w:rPr>
          <w:rFonts w:ascii="Palatino Linotype" w:hAnsi="Palatino Linotype"/>
          <w:b/>
        </w:rPr>
        <w:t xml:space="preserve">EL </w:t>
      </w:r>
      <w:proofErr w:type="spellStart"/>
      <w:r>
        <w:rPr>
          <w:rFonts w:ascii="Palatino Linotype" w:hAnsi="Palatino Linotype"/>
          <w:b/>
        </w:rPr>
        <w:lastRenderedPageBreak/>
        <w:t>SAIMEX</w:t>
      </w:r>
      <w:proofErr w:type="spellEnd"/>
      <w:r>
        <w:rPr>
          <w:rFonts w:ascii="Palatino Linotype" w:hAnsi="Palatino Linotype"/>
        </w:rPr>
        <w:t xml:space="preserve"> motivo de la solicitud de información, se precisa que </w:t>
      </w:r>
      <w:r>
        <w:rPr>
          <w:rFonts w:ascii="Palatino Linotype" w:hAnsi="Palatino Linotype"/>
          <w:b/>
        </w:rPr>
        <w:t>LA RECURRENTE</w:t>
      </w:r>
      <w:r>
        <w:rPr>
          <w:rFonts w:ascii="Palatino Linotype" w:hAnsi="Palatino Linotype"/>
        </w:rPr>
        <w:t xml:space="preserve"> solicitó al </w:t>
      </w:r>
      <w:r>
        <w:rPr>
          <w:rFonts w:ascii="Palatino Linotype" w:hAnsi="Palatino Linotype" w:cs="Arial"/>
          <w:b/>
        </w:rPr>
        <w:t>SUJETO OBLIGADO</w:t>
      </w:r>
      <w:r>
        <w:rPr>
          <w:rFonts w:ascii="Palatino Linotype" w:hAnsi="Palatino Linotype"/>
        </w:rPr>
        <w:t xml:space="preserve"> conocer los nombres completos y cargos de los Delegados, Subdelegados y/o Comités de Participación Ciudadana (</w:t>
      </w:r>
      <w:proofErr w:type="spellStart"/>
      <w:r>
        <w:rPr>
          <w:rFonts w:ascii="Palatino Linotype" w:hAnsi="Palatino Linotype"/>
        </w:rPr>
        <w:t>COPACIS</w:t>
      </w:r>
      <w:proofErr w:type="spellEnd"/>
      <w:r>
        <w:rPr>
          <w:rFonts w:ascii="Palatino Linotype" w:hAnsi="Palatino Linotype"/>
        </w:rPr>
        <w:t>) para el periodo 2019-2022, debiendo destacar que la particular indicó el nombre de las delegaciones y subdelegaciones que conforman al Municipio de Jaltenco.</w:t>
      </w:r>
    </w:p>
    <w:p w14:paraId="535DC22D" w14:textId="77777777" w:rsidR="00282FC7" w:rsidRDefault="00A022C2">
      <w:pPr>
        <w:spacing w:beforeAutospacing="1" w:afterAutospacing="1" w:line="360" w:lineRule="auto"/>
        <w:ind w:right="49"/>
        <w:jc w:val="both"/>
        <w:rPr>
          <w:rFonts w:ascii="Palatino Linotype" w:hAnsi="Palatino Linotype"/>
        </w:rPr>
      </w:pPr>
      <w:r>
        <w:rPr>
          <w:rFonts w:ascii="Palatino Linotype" w:hAnsi="Palatino Linotype"/>
        </w:rPr>
        <w:t xml:space="preserve">Así, en respuesta </w:t>
      </w:r>
      <w:r>
        <w:rPr>
          <w:rFonts w:ascii="Palatino Linotype" w:hAnsi="Palatino Linotype"/>
          <w:b/>
        </w:rPr>
        <w:t xml:space="preserve">EL SUJETO OBLIGADO </w:t>
      </w:r>
      <w:r>
        <w:rPr>
          <w:rFonts w:ascii="Palatino Linotype" w:hAnsi="Palatino Linotype"/>
        </w:rPr>
        <w:t>hizo entrega de un archivo electrónico en el que únicamente listo el nombre y el cargo de 24 autoridades auxiliares correspondientes a las comunidades de Jaltenco y Alborada, respectivamente.</w:t>
      </w:r>
    </w:p>
    <w:p w14:paraId="4EEF103D" w14:textId="77777777" w:rsidR="00282FC7" w:rsidRDefault="00A022C2">
      <w:pPr>
        <w:spacing w:beforeAutospacing="1" w:afterAutospacing="1" w:line="360" w:lineRule="auto"/>
        <w:ind w:right="49"/>
        <w:jc w:val="both"/>
        <w:rPr>
          <w:rFonts w:ascii="Palatino Linotype" w:hAnsi="Palatino Linotype"/>
        </w:rPr>
      </w:pPr>
      <w:r>
        <w:rPr>
          <w:rFonts w:ascii="Palatino Linotype" w:hAnsi="Palatino Linotype"/>
        </w:rPr>
        <w:t xml:space="preserve">Inconforme con dicha respuesta </w:t>
      </w:r>
      <w:r>
        <w:rPr>
          <w:rFonts w:ascii="Palatino Linotype" w:hAnsi="Palatino Linotype"/>
          <w:b/>
        </w:rPr>
        <w:t xml:space="preserve">LA RECURRENTE </w:t>
      </w:r>
      <w:r>
        <w:rPr>
          <w:rFonts w:ascii="Palatino Linotype" w:hAnsi="Palatino Linotype"/>
        </w:rPr>
        <w:t xml:space="preserve">interpuso el presente medio de impugnación doliéndose medularmente de que </w:t>
      </w:r>
      <w:r>
        <w:rPr>
          <w:rFonts w:ascii="Palatino Linotype" w:hAnsi="Palatino Linotype"/>
          <w:b/>
        </w:rPr>
        <w:t xml:space="preserve">EL SUJETO OBLIGADO </w:t>
      </w:r>
      <w:r>
        <w:rPr>
          <w:rFonts w:ascii="Palatino Linotype" w:hAnsi="Palatino Linotype"/>
        </w:rPr>
        <w:t>le hiciera entrega de la información incompleta pues indicó que en el Bando Municipal de Jaltenco existen otras comunidades de las que no se emitió pronunciamiento alguno.</w:t>
      </w:r>
    </w:p>
    <w:p w14:paraId="444ED079" w14:textId="77777777" w:rsidR="00282FC7" w:rsidRDefault="00A022C2">
      <w:pPr>
        <w:spacing w:beforeAutospacing="1" w:afterAutospacing="1" w:line="360" w:lineRule="auto"/>
        <w:ind w:right="49"/>
        <w:jc w:val="both"/>
        <w:rPr>
          <w:rFonts w:ascii="Palatino Linotype" w:hAnsi="Palatino Linotype"/>
        </w:rPr>
      </w:pPr>
      <w:r>
        <w:rPr>
          <w:rFonts w:ascii="Palatino Linotype" w:hAnsi="Palatino Linotype"/>
        </w:rPr>
        <w:t xml:space="preserve">Debiendo </w:t>
      </w:r>
      <w:proofErr w:type="gramStart"/>
      <w:r>
        <w:rPr>
          <w:rFonts w:ascii="Palatino Linotype" w:hAnsi="Palatino Linotype"/>
        </w:rPr>
        <w:t>destacar</w:t>
      </w:r>
      <w:proofErr w:type="gramEnd"/>
      <w:r>
        <w:rPr>
          <w:rFonts w:ascii="Palatino Linotype" w:hAnsi="Palatino Linotype"/>
        </w:rPr>
        <w:t xml:space="preserve"> en este punto que </w:t>
      </w:r>
      <w:r>
        <w:rPr>
          <w:rFonts w:ascii="Palatino Linotype" w:hAnsi="Palatino Linotype"/>
          <w:b/>
        </w:rPr>
        <w:t xml:space="preserve">EL SUJETO OBLIGADO </w:t>
      </w:r>
      <w:r>
        <w:rPr>
          <w:rFonts w:ascii="Palatino Linotype" w:hAnsi="Palatino Linotype"/>
        </w:rPr>
        <w:t>mediante Informe Justificado indicó que la información entrega en respuesta corresponde a la correcta y con la única con la que cuenta el Municipio de Jaltenco; pues las autoridades auxiliares de San Andrés Jaltenco y Alborada son las únicas que existen en dicho Municipio agregando que anexa nuevamente el listado con el nombre y los cargos de las personas que fungen como autoridades auxiliares.</w:t>
      </w:r>
    </w:p>
    <w:p w14:paraId="1EA08368" w14:textId="77777777" w:rsidR="00282FC7" w:rsidRDefault="00A022C2">
      <w:pPr>
        <w:spacing w:before="360" w:after="240" w:line="360" w:lineRule="auto"/>
        <w:jc w:val="both"/>
        <w:rPr>
          <w:rFonts w:ascii="Palatino Linotype" w:hAnsi="Palatino Linotype" w:cs="Arial"/>
          <w:lang w:eastAsia="es-MX"/>
        </w:rPr>
      </w:pPr>
      <w:r>
        <w:rPr>
          <w:rFonts w:ascii="Palatino Linotype" w:eastAsia="Calibri" w:hAnsi="Palatino Linotype" w:cs="Arial"/>
        </w:rPr>
        <w:t xml:space="preserve">Hechas las precisiones anteriores, </w:t>
      </w:r>
      <w:r>
        <w:rPr>
          <w:rFonts w:ascii="Palatino Linotype" w:hAnsi="Palatino Linotype" w:cs="Arial"/>
        </w:rPr>
        <w:t xml:space="preserve">esta Ponencia Resolutora considera pertinente </w:t>
      </w:r>
      <w:r>
        <w:rPr>
          <w:rFonts w:ascii="Palatino Linotype" w:hAnsi="Palatino Linotype" w:cs="Arial"/>
          <w:lang w:eastAsia="es-MX"/>
        </w:rPr>
        <w:t xml:space="preserve">señalar </w:t>
      </w:r>
      <w:proofErr w:type="gramStart"/>
      <w:r>
        <w:rPr>
          <w:rFonts w:ascii="Palatino Linotype" w:hAnsi="Palatino Linotype" w:cs="Arial"/>
          <w:lang w:eastAsia="es-MX"/>
        </w:rPr>
        <w:t>que</w:t>
      </w:r>
      <w:proofErr w:type="gramEnd"/>
      <w:r>
        <w:rPr>
          <w:rFonts w:ascii="Palatino Linotype" w:hAnsi="Palatino Linotype" w:cs="Arial"/>
          <w:lang w:eastAsia="es-MX"/>
        </w:rPr>
        <w:t xml:space="preserve"> al haber existido un pronunciamiento </w:t>
      </w:r>
      <w:r>
        <w:rPr>
          <w:rFonts w:ascii="Palatino Linotype" w:hAnsi="Palatino Linotype" w:cs="Arial"/>
        </w:rPr>
        <w:t xml:space="preserve">del </w:t>
      </w:r>
      <w:r>
        <w:rPr>
          <w:rFonts w:ascii="Palatino Linotype" w:hAnsi="Palatino Linotype" w:cs="Arial"/>
          <w:b/>
        </w:rPr>
        <w:t xml:space="preserve">SUJETO OBLIGADO </w:t>
      </w:r>
      <w:r>
        <w:rPr>
          <w:rFonts w:ascii="Palatino Linotype" w:hAnsi="Palatino Linotype" w:cs="Arial"/>
        </w:rPr>
        <w:t xml:space="preserve">en Informe Justificado, </w:t>
      </w:r>
      <w:r>
        <w:rPr>
          <w:rFonts w:ascii="Palatino Linotype" w:hAnsi="Palatino Linotype"/>
          <w:color w:val="222222"/>
        </w:rPr>
        <w:t xml:space="preserve">este Instituto no está facultado para manifestarse sobre la </w:t>
      </w:r>
      <w:r>
        <w:rPr>
          <w:rFonts w:ascii="Palatino Linotype" w:hAnsi="Palatino Linotype"/>
          <w:color w:val="222222"/>
        </w:rPr>
        <w:lastRenderedPageBreak/>
        <w:t xml:space="preserve">veracidad del mismo, pues no existe precepto legal alguno en la Ley de la materia que lo faculte para, vía recurso de revisión, pronunciarse al respecto. </w:t>
      </w:r>
    </w:p>
    <w:p w14:paraId="0EDDF145" w14:textId="77777777" w:rsidR="00282FC7" w:rsidRDefault="00A022C2">
      <w:pPr>
        <w:shd w:val="clear" w:color="auto" w:fill="FFFFFF"/>
        <w:spacing w:before="240" w:after="240" w:line="360" w:lineRule="auto"/>
        <w:jc w:val="both"/>
        <w:rPr>
          <w:rFonts w:ascii="Palatino Linotype" w:hAnsi="Palatino Linotype"/>
          <w:color w:val="222222"/>
        </w:rPr>
      </w:pPr>
      <w:r>
        <w:rPr>
          <w:rFonts w:ascii="Palatino Linotype" w:hAnsi="Palatino Linotype"/>
          <w:color w:val="222222"/>
        </w:rPr>
        <w:t>Sirve de apoyo a lo anterior, por analogía, el criterio 31-10 emitido por el entonces Instituto Federal de Acceso a la Información que a la letra dice:</w:t>
      </w:r>
    </w:p>
    <w:p w14:paraId="737D984A" w14:textId="77777777" w:rsidR="00282FC7" w:rsidRDefault="00A022C2">
      <w:pPr>
        <w:shd w:val="clear" w:color="auto" w:fill="FFFFFF"/>
        <w:ind w:left="851" w:right="1276"/>
        <w:jc w:val="both"/>
        <w:rPr>
          <w:rFonts w:ascii="Palatino Linotype" w:hAnsi="Palatino Linotype"/>
          <w:i/>
          <w:iCs/>
          <w:color w:val="222222"/>
          <w:sz w:val="22"/>
          <w:szCs w:val="22"/>
        </w:rPr>
      </w:pPr>
      <w:r>
        <w:rPr>
          <w:rFonts w:ascii="Palatino Linotype" w:hAnsi="Palatino Linotype"/>
          <w:b/>
          <w:i/>
          <w:iCs/>
          <w:color w:val="222222"/>
          <w:sz w:val="22"/>
          <w:szCs w:val="22"/>
        </w:rPr>
        <w:t>“</w:t>
      </w:r>
      <w:r>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4483FE0" w14:textId="77777777" w:rsidR="00282FC7" w:rsidRDefault="00A022C2">
      <w:pPr>
        <w:spacing w:before="360" w:after="240" w:line="360" w:lineRule="auto"/>
        <w:jc w:val="both"/>
        <w:rPr>
          <w:rFonts w:ascii="Palatino Linotype" w:hAnsi="Palatino Linotype" w:cs="Arial"/>
        </w:rPr>
      </w:pPr>
      <w:r>
        <w:rPr>
          <w:rFonts w:ascii="Palatino Linotype" w:hAnsi="Palatino Linotype" w:cs="Arial"/>
          <w:lang w:eastAsia="es-MX"/>
        </w:rPr>
        <w:t xml:space="preserve">Bajo ese tenor, </w:t>
      </w:r>
      <w:r>
        <w:rPr>
          <w:rFonts w:ascii="Palatino Linotype" w:hAnsi="Palatino Linotype" w:cs="Arial"/>
        </w:rPr>
        <w:t xml:space="preserve">conviene destacar que </w:t>
      </w:r>
      <w:r>
        <w:rPr>
          <w:rFonts w:ascii="Palatino Linotype" w:eastAsia="Calibri" w:hAnsi="Palatino Linotype"/>
        </w:rPr>
        <w:t>el artículo 31, fracción XII de la Ley Orgánica Municipal del Estado de México el Ayuntamiento tiene la atribución de convocar a elección de delegados y subdelegados municipales y de los miembros de los consejos de participación ciudadana, precepto que a la letra dice:</w:t>
      </w:r>
    </w:p>
    <w:p w14:paraId="52C74AEB" w14:textId="77777777" w:rsidR="00282FC7" w:rsidRDefault="00A022C2">
      <w:pPr>
        <w:ind w:left="851" w:right="902"/>
        <w:jc w:val="both"/>
        <w:rPr>
          <w:rFonts w:ascii="Palatino Linotype" w:eastAsia="Calibri" w:hAnsi="Palatino Linotype"/>
          <w:i/>
          <w:sz w:val="22"/>
        </w:rPr>
      </w:pPr>
      <w:r>
        <w:rPr>
          <w:rFonts w:ascii="Palatino Linotype" w:eastAsia="Calibri" w:hAnsi="Palatino Linotype"/>
          <w:b/>
          <w:i/>
        </w:rPr>
        <w:t>“</w:t>
      </w:r>
      <w:r>
        <w:rPr>
          <w:rFonts w:ascii="Palatino Linotype" w:eastAsia="Calibri" w:hAnsi="Palatino Linotype"/>
          <w:b/>
          <w:i/>
          <w:sz w:val="22"/>
        </w:rPr>
        <w:t>Artículo 31.-</w:t>
      </w:r>
      <w:r>
        <w:rPr>
          <w:rFonts w:ascii="Palatino Linotype" w:eastAsia="Calibri" w:hAnsi="Palatino Linotype"/>
          <w:i/>
          <w:sz w:val="22"/>
        </w:rPr>
        <w:t xml:space="preserve"> Son atribuciones de los ayuntamientos:</w:t>
      </w:r>
    </w:p>
    <w:p w14:paraId="4291EB58" w14:textId="77777777" w:rsidR="00282FC7" w:rsidRDefault="00A022C2">
      <w:pPr>
        <w:ind w:left="851" w:right="902"/>
        <w:jc w:val="both"/>
        <w:rPr>
          <w:rFonts w:ascii="Palatino Linotype" w:eastAsia="Calibri" w:hAnsi="Palatino Linotype"/>
          <w:i/>
          <w:sz w:val="22"/>
        </w:rPr>
      </w:pPr>
      <w:r>
        <w:rPr>
          <w:rFonts w:ascii="Palatino Linotype" w:eastAsia="Calibri" w:hAnsi="Palatino Linotype"/>
          <w:i/>
          <w:sz w:val="22"/>
        </w:rPr>
        <w:t>…</w:t>
      </w:r>
    </w:p>
    <w:p w14:paraId="72FE5DDE" w14:textId="77777777" w:rsidR="00282FC7" w:rsidRDefault="00A022C2">
      <w:pPr>
        <w:ind w:left="851" w:right="902"/>
        <w:jc w:val="both"/>
        <w:rPr>
          <w:rFonts w:ascii="Palatino Linotype" w:eastAsia="Calibri" w:hAnsi="Palatino Linotype"/>
          <w:i/>
          <w:sz w:val="22"/>
        </w:rPr>
      </w:pPr>
      <w:r>
        <w:rPr>
          <w:rFonts w:ascii="Palatino Linotype" w:eastAsia="Calibri" w:hAnsi="Palatino Linotype"/>
          <w:i/>
          <w:sz w:val="22"/>
        </w:rPr>
        <w:t>XII. Convocar a elección de delegados y subdelegados municipales, y de los miembros de los consejos de participación ciudadana;</w:t>
      </w:r>
      <w:r>
        <w:rPr>
          <w:rFonts w:ascii="Palatino Linotype" w:eastAsia="Calibri" w:hAnsi="Palatino Linotype"/>
          <w:i/>
        </w:rPr>
        <w:t>”</w:t>
      </w:r>
    </w:p>
    <w:p w14:paraId="2363F1C1" w14:textId="77777777" w:rsidR="00282FC7" w:rsidRDefault="00A022C2">
      <w:pPr>
        <w:spacing w:beforeAutospacing="1" w:afterAutospacing="1" w:line="360" w:lineRule="auto"/>
        <w:jc w:val="both"/>
        <w:rPr>
          <w:rFonts w:ascii="Palatino Linotype" w:eastAsia="Calibri" w:hAnsi="Palatino Linotype"/>
        </w:rPr>
      </w:pPr>
      <w:r>
        <w:rPr>
          <w:rFonts w:ascii="Palatino Linotype" w:eastAsia="Calibri" w:hAnsi="Palatino Linotype"/>
        </w:rPr>
        <w:t xml:space="preserve">Así, los diversos artículos 56 y 57 de la legislación en cita establecen que son autoridades auxiliares municipales, los delegados y subdelegados y los jefes de sector </w:t>
      </w:r>
      <w:r>
        <w:rPr>
          <w:rFonts w:ascii="Palatino Linotype" w:eastAsia="Calibri" w:hAnsi="Palatino Linotype"/>
        </w:rPr>
        <w:lastRenderedPageBreak/>
        <w:t>o de sección y jefes de manzana que designe el ayuntamiento; asimismo las autoridades auxiliares municipales ejercen, en sus respectivas jurisdicciones, las atribuciones que les delegue el ayuntamiento, para mantener el orden, la tranquilidad, la paz social, la seguridad y la protección de los vecinos, conforme a lo establecido en dicha Ley, el Bando Municipal y los reglamentos respectivos.</w:t>
      </w:r>
    </w:p>
    <w:p w14:paraId="4C3E465D" w14:textId="77777777" w:rsidR="00282FC7" w:rsidRDefault="00A022C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 xml:space="preserve">Bajo esa óptica, el artículo 59 de la normativa en cita dicta que la elección de </w:t>
      </w:r>
      <w:proofErr w:type="gramStart"/>
      <w:r>
        <w:rPr>
          <w:rFonts w:ascii="Palatino Linotype" w:eastAsia="Calibri" w:hAnsi="Palatino Linotype"/>
          <w:lang w:eastAsia="en-US"/>
        </w:rPr>
        <w:t>Delegados</w:t>
      </w:r>
      <w:proofErr w:type="gramEnd"/>
      <w:r>
        <w:rPr>
          <w:rFonts w:ascii="Palatino Linotype" w:eastAsia="Calibri" w:hAnsi="Palatino Linotype"/>
          <w:lang w:eastAsia="en-US"/>
        </w:rPr>
        <w:t xml:space="preserve"> y Subdelegados se sujetará al procedimiento establecido en la convocatoria que al efecto expida el Ayuntamiento y que por cada delegado y subdelegado deberá elegirse un suplente; que la elección se realizará en la fecha señalada en la convocatoria, entre el segundo domingo de marzo y el 30 de ese mes, del primer año de gobierno del Ayuntamiento. </w:t>
      </w:r>
    </w:p>
    <w:p w14:paraId="0C1E420B" w14:textId="77777777" w:rsidR="00282FC7" w:rsidRDefault="00A022C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 xml:space="preserve">Así, la convocatoria debe expedirse cuando menos 10 días antes de la elección, los nombramientos serán firmados por el Presidente Municipal y el </w:t>
      </w:r>
      <w:proofErr w:type="gramStart"/>
      <w:r>
        <w:rPr>
          <w:rFonts w:ascii="Palatino Linotype" w:eastAsia="Calibri" w:hAnsi="Palatino Linotype"/>
          <w:lang w:eastAsia="en-US"/>
        </w:rPr>
        <w:t>Secretario</w:t>
      </w:r>
      <w:proofErr w:type="gramEnd"/>
      <w:r>
        <w:rPr>
          <w:rFonts w:ascii="Palatino Linotype" w:eastAsia="Calibri" w:hAnsi="Palatino Linotype"/>
          <w:lang w:eastAsia="en-US"/>
        </w:rPr>
        <w:t xml:space="preserve"> del Ayuntamiento, entregándose a los electos, a más tardar el día en que entren en funciones, que será el 15 de abril del mismo año.</w:t>
      </w:r>
    </w:p>
    <w:p w14:paraId="7FD854D1" w14:textId="77777777" w:rsidR="00282FC7" w:rsidRDefault="00A022C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Finalmente, el diverso artículo 60 de la legislación orgánica en comento prevé que para ser delegado o subdelegado municipal o jefe de manzana se requiere: (i) Ser ciudadano mexicano, en pleno ejercicio de sus derechos políticos y civiles; (</w:t>
      </w:r>
      <w:proofErr w:type="spellStart"/>
      <w:r>
        <w:rPr>
          <w:rFonts w:ascii="Palatino Linotype" w:eastAsia="Calibri" w:hAnsi="Palatino Linotype"/>
          <w:lang w:eastAsia="en-US"/>
        </w:rPr>
        <w:t>ii</w:t>
      </w:r>
      <w:proofErr w:type="spellEnd"/>
      <w:r>
        <w:rPr>
          <w:rFonts w:ascii="Palatino Linotype" w:eastAsia="Calibri" w:hAnsi="Palatino Linotype"/>
          <w:lang w:eastAsia="en-US"/>
        </w:rPr>
        <w:t>) Ser vecino, en términos de dicha Ley, de la delegación, subdelegación municipal o manzana respectiva; y, (</w:t>
      </w:r>
      <w:proofErr w:type="spellStart"/>
      <w:r>
        <w:rPr>
          <w:rFonts w:ascii="Palatino Linotype" w:eastAsia="Calibri" w:hAnsi="Palatino Linotype"/>
          <w:lang w:eastAsia="en-US"/>
        </w:rPr>
        <w:t>iii</w:t>
      </w:r>
      <w:proofErr w:type="spellEnd"/>
      <w:r>
        <w:rPr>
          <w:rFonts w:ascii="Palatino Linotype" w:eastAsia="Calibri" w:hAnsi="Palatino Linotype"/>
          <w:lang w:eastAsia="en-US"/>
        </w:rPr>
        <w:t>) Ser de reconocida probidad.</w:t>
      </w:r>
    </w:p>
    <w:p w14:paraId="293AD84D" w14:textId="77777777" w:rsidR="00282FC7" w:rsidRDefault="00A022C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lastRenderedPageBreak/>
        <w:t>Por su parte, el artículo 62 del Bando Municipal de Jaltenco, establece como autoridades auxiliares a los Delegados Municipales y a los Consejos de Participación Ciudadana, mismos que serán determinados por el Ayuntamiento de acuerdo a las necesidades del Municipio para el desempeño del servicio público y para coordinar las acciones en materia de participación ciudadana, protección civil, ecología, seguridad pública, desarrollo urbano, obras públicas, servicios públicos, desarrollo económico, desarrollo social, medio ambiente, derechos humanos, mejora regulatoria, equidad de género, así como en otros de su competencia.</w:t>
      </w:r>
    </w:p>
    <w:p w14:paraId="5188DDE9" w14:textId="77777777" w:rsidR="00282FC7" w:rsidRDefault="00A022C2">
      <w:pPr>
        <w:spacing w:beforeAutospacing="1" w:afterAutospacing="1" w:line="360" w:lineRule="auto"/>
        <w:jc w:val="both"/>
        <w:rPr>
          <w:rFonts w:ascii="Palatino Linotype" w:eastAsia="Calibri" w:hAnsi="Palatino Linotype"/>
        </w:rPr>
      </w:pPr>
      <w:r>
        <w:rPr>
          <w:rFonts w:ascii="Palatino Linotype" w:eastAsia="Calibri" w:hAnsi="Palatino Linotype"/>
        </w:rPr>
        <w:t>La elección, designación y remoción, así como las atribuciones e impedimentos de las autoridades auxiliares municipales se sujetará a lo dispuesto por la Ley Orgánica. Las autoridades auxiliares ejercerán el cargo conferido por la ciudadanía que tendrá carácter honorario</w:t>
      </w:r>
      <w:r>
        <w:rPr>
          <w:rFonts w:ascii="Palatino Linotype" w:eastAsia="Calibri" w:hAnsi="Palatino Linotype"/>
          <w:lang w:eastAsia="en-US"/>
        </w:rPr>
        <w:t>.</w:t>
      </w:r>
    </w:p>
    <w:p w14:paraId="0AB6089E" w14:textId="77777777" w:rsidR="00282FC7" w:rsidRDefault="00A022C2">
      <w:pPr>
        <w:spacing w:beforeAutospacing="1" w:afterAutospacing="1" w:line="360" w:lineRule="auto"/>
        <w:jc w:val="both"/>
        <w:rPr>
          <w:rFonts w:ascii="Palatino Linotype" w:eastAsia="Calibri" w:hAnsi="Palatino Linotype"/>
        </w:rPr>
      </w:pPr>
      <w:r>
        <w:rPr>
          <w:rFonts w:ascii="Palatino Linotype" w:eastAsia="Calibri" w:hAnsi="Palatino Linotype"/>
        </w:rPr>
        <w:t>Las delegaciones estarán conformadas por tres delegados propietarios con sus respectivos suplentes y se renovarán cada tres años. Los que tengan el carácter de propietarios no podrán ser electos para el periodo inmediato siguiente.</w:t>
      </w:r>
    </w:p>
    <w:p w14:paraId="04754821" w14:textId="77777777" w:rsidR="00282FC7" w:rsidRDefault="00A022C2">
      <w:pPr>
        <w:spacing w:beforeAutospacing="1" w:afterAutospacing="1" w:line="360" w:lineRule="auto"/>
        <w:jc w:val="both"/>
        <w:rPr>
          <w:rFonts w:ascii="Palatino Linotype" w:eastAsia="Calibri" w:hAnsi="Palatino Linotype"/>
        </w:rPr>
      </w:pPr>
      <w:r>
        <w:rPr>
          <w:rFonts w:ascii="Palatino Linotype" w:eastAsia="Calibri" w:hAnsi="Palatino Linotype"/>
        </w:rPr>
        <w:t>Establecido lo anterior, conviene señalar que el Municipio de Jaltenco de conformidad con el numeral 12 del Bando Municipal establece la integración del Municipio; de la manera siguiente:</w:t>
      </w:r>
    </w:p>
    <w:p w14:paraId="225CCC58"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“ARTÍCULO 12.- El municipio para su organización territorial y administrativa comprende </w:t>
      </w:r>
    </w:p>
    <w:p w14:paraId="5D1801D7" w14:textId="77777777" w:rsidR="00282FC7" w:rsidRDefault="00282FC7">
      <w:pPr>
        <w:ind w:left="851" w:right="899"/>
        <w:jc w:val="both"/>
        <w:rPr>
          <w:rFonts w:ascii="Palatino Linotype" w:hAnsi="Palatino Linotype"/>
          <w:i/>
          <w:sz w:val="22"/>
          <w:szCs w:val="22"/>
        </w:rPr>
      </w:pPr>
    </w:p>
    <w:p w14:paraId="7D0B85F2"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I. Los Barrios: </w:t>
      </w:r>
    </w:p>
    <w:p w14:paraId="3E1E83E2"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w:t>
      </w:r>
      <w:proofErr w:type="spellStart"/>
      <w:r>
        <w:rPr>
          <w:rFonts w:ascii="Palatino Linotype" w:hAnsi="Palatino Linotype"/>
          <w:i/>
          <w:sz w:val="22"/>
          <w:szCs w:val="22"/>
        </w:rPr>
        <w:t>Cahualco</w:t>
      </w:r>
      <w:proofErr w:type="spellEnd"/>
      <w:r>
        <w:rPr>
          <w:rFonts w:ascii="Palatino Linotype" w:hAnsi="Palatino Linotype"/>
          <w:i/>
          <w:sz w:val="22"/>
          <w:szCs w:val="22"/>
        </w:rPr>
        <w:t xml:space="preserve">, y </w:t>
      </w:r>
    </w:p>
    <w:p w14:paraId="33B64F64"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lastRenderedPageBreak/>
        <w:t>b) San Sebastián.</w:t>
      </w:r>
    </w:p>
    <w:p w14:paraId="74108472" w14:textId="77777777" w:rsidR="00282FC7" w:rsidRDefault="00282FC7">
      <w:pPr>
        <w:ind w:left="851" w:right="899"/>
        <w:jc w:val="both"/>
        <w:rPr>
          <w:rFonts w:ascii="Palatino Linotype" w:hAnsi="Palatino Linotype"/>
          <w:i/>
          <w:sz w:val="22"/>
          <w:szCs w:val="22"/>
        </w:rPr>
      </w:pPr>
    </w:p>
    <w:p w14:paraId="38B5F071"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II. Los Fraccionamientos Urbanos </w:t>
      </w:r>
    </w:p>
    <w:p w14:paraId="36D5EF9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Bahías de Jaltenco, y </w:t>
      </w:r>
    </w:p>
    <w:p w14:paraId="4855A48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Privadas del Sol. </w:t>
      </w:r>
    </w:p>
    <w:p w14:paraId="18960173"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III. Las Colonias Urbanas: </w:t>
      </w:r>
    </w:p>
    <w:p w14:paraId="4DC25EE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San Martín, </w:t>
      </w:r>
    </w:p>
    <w:p w14:paraId="34BFEB16"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w:t>
      </w:r>
      <w:proofErr w:type="spellStart"/>
      <w:r>
        <w:rPr>
          <w:rFonts w:ascii="Palatino Linotype" w:hAnsi="Palatino Linotype"/>
          <w:i/>
          <w:sz w:val="22"/>
          <w:szCs w:val="22"/>
        </w:rPr>
        <w:t>Atxopilco</w:t>
      </w:r>
      <w:proofErr w:type="spellEnd"/>
      <w:r>
        <w:rPr>
          <w:rFonts w:ascii="Palatino Linotype" w:hAnsi="Palatino Linotype"/>
          <w:i/>
          <w:sz w:val="22"/>
          <w:szCs w:val="22"/>
        </w:rPr>
        <w:t xml:space="preserve">, </w:t>
      </w:r>
    </w:p>
    <w:p w14:paraId="41AA67AF"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c) La Lagunilla, </w:t>
      </w:r>
    </w:p>
    <w:p w14:paraId="4158835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d) Compuerta Oriente 5,</w:t>
      </w:r>
    </w:p>
    <w:p w14:paraId="7BB431A4"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e) Lázaro Cárdenas, </w:t>
      </w:r>
    </w:p>
    <w:p w14:paraId="4AE15CE2"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f) Adolfo López Mateos, </w:t>
      </w:r>
    </w:p>
    <w:p w14:paraId="42B53121"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g) San Antonio de las Arenas, </w:t>
      </w:r>
    </w:p>
    <w:p w14:paraId="3C2A8F76"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h) San Isidro, </w:t>
      </w:r>
    </w:p>
    <w:p w14:paraId="47CE7EDA"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i) Unión Pro -Vivienda,</w:t>
      </w:r>
    </w:p>
    <w:p w14:paraId="57E55AFE" w14:textId="77777777" w:rsidR="00282FC7" w:rsidRDefault="00282FC7">
      <w:pPr>
        <w:ind w:left="851" w:right="899"/>
        <w:jc w:val="both"/>
        <w:rPr>
          <w:rFonts w:ascii="Palatino Linotype" w:hAnsi="Palatino Linotype"/>
          <w:i/>
          <w:sz w:val="22"/>
          <w:szCs w:val="22"/>
        </w:rPr>
      </w:pPr>
    </w:p>
    <w:p w14:paraId="14E0AE66" w14:textId="77777777" w:rsidR="00282FC7" w:rsidRDefault="00A022C2">
      <w:pPr>
        <w:ind w:left="851" w:right="899"/>
        <w:jc w:val="both"/>
        <w:rPr>
          <w:rFonts w:ascii="Palatino Linotype" w:hAnsi="Palatino Linotype"/>
          <w:b/>
          <w:i/>
          <w:sz w:val="22"/>
          <w:szCs w:val="22"/>
        </w:rPr>
      </w:pPr>
      <w:r>
        <w:rPr>
          <w:rFonts w:ascii="Palatino Linotype" w:hAnsi="Palatino Linotype"/>
          <w:b/>
          <w:i/>
          <w:sz w:val="22"/>
          <w:szCs w:val="22"/>
        </w:rPr>
        <w:t>IV. Las Unidades en Condominio:</w:t>
      </w:r>
    </w:p>
    <w:p w14:paraId="0A8F36A8" w14:textId="77777777" w:rsidR="00282FC7" w:rsidRDefault="00A022C2">
      <w:pPr>
        <w:ind w:left="851" w:right="899" w:firstLine="565"/>
        <w:jc w:val="both"/>
        <w:rPr>
          <w:rFonts w:ascii="Palatino Linotype" w:hAnsi="Palatino Linotype"/>
          <w:b/>
          <w:i/>
          <w:sz w:val="22"/>
          <w:szCs w:val="22"/>
        </w:rPr>
      </w:pPr>
      <w:r>
        <w:rPr>
          <w:rFonts w:ascii="Palatino Linotype" w:hAnsi="Palatino Linotype"/>
          <w:b/>
          <w:i/>
          <w:sz w:val="22"/>
          <w:szCs w:val="22"/>
        </w:rPr>
        <w:t>a) Unidad Habitacional Alborada Jaltenco CTM XI.</w:t>
      </w:r>
    </w:p>
    <w:p w14:paraId="333075F7" w14:textId="77777777" w:rsidR="00282FC7" w:rsidRDefault="00282FC7">
      <w:pPr>
        <w:ind w:left="851" w:right="899"/>
        <w:jc w:val="both"/>
        <w:rPr>
          <w:rFonts w:ascii="Palatino Linotype" w:hAnsi="Palatino Linotype"/>
          <w:i/>
          <w:sz w:val="22"/>
          <w:szCs w:val="22"/>
        </w:rPr>
      </w:pPr>
    </w:p>
    <w:p w14:paraId="652A61A4"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V. Las Granjas: </w:t>
      </w:r>
    </w:p>
    <w:p w14:paraId="25F0B36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Los Pirules, </w:t>
      </w:r>
    </w:p>
    <w:p w14:paraId="1E1F8D07"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María Clara (Gavilanes), </w:t>
      </w:r>
    </w:p>
    <w:p w14:paraId="3B71FCC4"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c) Alférez, d) La Montaña, </w:t>
      </w:r>
    </w:p>
    <w:p w14:paraId="1EFAC006"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e) La Cruz (antes Rancho la Asunción)</w:t>
      </w:r>
    </w:p>
    <w:p w14:paraId="14A57156" w14:textId="77777777" w:rsidR="00282FC7" w:rsidRDefault="00282FC7">
      <w:pPr>
        <w:ind w:left="851" w:right="899"/>
        <w:jc w:val="both"/>
        <w:rPr>
          <w:rFonts w:ascii="Palatino Linotype" w:hAnsi="Palatino Linotype"/>
          <w:i/>
          <w:sz w:val="22"/>
          <w:szCs w:val="22"/>
        </w:rPr>
      </w:pPr>
    </w:p>
    <w:p w14:paraId="29F9AAD6"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VI. Los Ranchos: </w:t>
      </w:r>
    </w:p>
    <w:p w14:paraId="6A1BAF3A"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La Encarnación; </w:t>
      </w:r>
    </w:p>
    <w:p w14:paraId="431E3BF5"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Buenos Aires; </w:t>
      </w:r>
    </w:p>
    <w:p w14:paraId="79EEF174"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c) Guadalupe (Palo Grande); </w:t>
      </w:r>
    </w:p>
    <w:p w14:paraId="5EB1EBF8"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d) Los Aguirre; </w:t>
      </w:r>
    </w:p>
    <w:p w14:paraId="6AB67A9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e) Los Gutiérrez; </w:t>
      </w:r>
    </w:p>
    <w:p w14:paraId="758A93A0"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f) Labra; </w:t>
      </w:r>
    </w:p>
    <w:p w14:paraId="604E62F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g) Los Márquez; </w:t>
      </w:r>
    </w:p>
    <w:p w14:paraId="3A37E26B"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h) Los Ramírez; </w:t>
      </w:r>
    </w:p>
    <w:p w14:paraId="0CF5F54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i) La Purísima; </w:t>
      </w:r>
    </w:p>
    <w:p w14:paraId="52D01097"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j) Cerro del Venado; </w:t>
      </w:r>
    </w:p>
    <w:p w14:paraId="1319629A"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k) Los Aguiluchos; y </w:t>
      </w:r>
    </w:p>
    <w:p w14:paraId="4FE85715"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l) Ex Hacienda Santa Inés.</w:t>
      </w:r>
    </w:p>
    <w:p w14:paraId="1F618FC1" w14:textId="77777777" w:rsidR="00282FC7" w:rsidRDefault="00282FC7">
      <w:pPr>
        <w:ind w:left="851" w:right="899"/>
        <w:jc w:val="both"/>
        <w:rPr>
          <w:rFonts w:ascii="Palatino Linotype" w:hAnsi="Palatino Linotype"/>
          <w:i/>
          <w:sz w:val="22"/>
          <w:szCs w:val="22"/>
        </w:rPr>
      </w:pPr>
    </w:p>
    <w:p w14:paraId="7CD4B1C1"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lastRenderedPageBreak/>
        <w:t xml:space="preserve">VII. Los Ejidos: </w:t>
      </w:r>
    </w:p>
    <w:p w14:paraId="06B446BB" w14:textId="77777777" w:rsidR="00282FC7" w:rsidRDefault="00A022C2">
      <w:pPr>
        <w:ind w:left="851" w:right="899" w:firstLine="565"/>
        <w:jc w:val="both"/>
        <w:rPr>
          <w:rFonts w:ascii="Palatino Linotype" w:hAnsi="Palatino Linotype"/>
          <w:b/>
          <w:i/>
          <w:sz w:val="22"/>
          <w:szCs w:val="22"/>
        </w:rPr>
      </w:pPr>
      <w:r>
        <w:rPr>
          <w:rFonts w:ascii="Palatino Linotype" w:hAnsi="Palatino Linotype"/>
          <w:b/>
          <w:i/>
          <w:sz w:val="22"/>
          <w:szCs w:val="22"/>
        </w:rPr>
        <w:t xml:space="preserve">a) San Andrés, </w:t>
      </w:r>
    </w:p>
    <w:p w14:paraId="4D0A331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Santa Ana Nextlalpan, </w:t>
      </w:r>
    </w:p>
    <w:p w14:paraId="1B5724A5"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c) Visitación, </w:t>
      </w:r>
    </w:p>
    <w:p w14:paraId="79258A41"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d) </w:t>
      </w:r>
      <w:proofErr w:type="spellStart"/>
      <w:r>
        <w:rPr>
          <w:rFonts w:ascii="Palatino Linotype" w:hAnsi="Palatino Linotype"/>
          <w:i/>
          <w:sz w:val="22"/>
          <w:szCs w:val="22"/>
        </w:rPr>
        <w:t>Tenopalco</w:t>
      </w:r>
      <w:proofErr w:type="spellEnd"/>
      <w:r>
        <w:rPr>
          <w:rFonts w:ascii="Palatino Linotype" w:hAnsi="Palatino Linotype"/>
          <w:i/>
          <w:sz w:val="22"/>
          <w:szCs w:val="22"/>
        </w:rPr>
        <w:t xml:space="preserve">, </w:t>
      </w:r>
    </w:p>
    <w:p w14:paraId="3035E849"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e) Tultepec, </w:t>
      </w:r>
    </w:p>
    <w:p w14:paraId="1F1CF7F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f) </w:t>
      </w:r>
      <w:proofErr w:type="spellStart"/>
      <w:r>
        <w:rPr>
          <w:rFonts w:ascii="Palatino Linotype" w:hAnsi="Palatino Linotype"/>
          <w:i/>
          <w:sz w:val="22"/>
          <w:szCs w:val="22"/>
        </w:rPr>
        <w:t>Tonanitla</w:t>
      </w:r>
      <w:proofErr w:type="spellEnd"/>
      <w:r>
        <w:rPr>
          <w:rFonts w:ascii="Palatino Linotype" w:hAnsi="Palatino Linotype"/>
          <w:i/>
          <w:sz w:val="22"/>
          <w:szCs w:val="22"/>
        </w:rPr>
        <w:t>,</w:t>
      </w:r>
    </w:p>
    <w:p w14:paraId="3562529E"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g) </w:t>
      </w:r>
      <w:proofErr w:type="spellStart"/>
      <w:r>
        <w:rPr>
          <w:rFonts w:ascii="Palatino Linotype" w:hAnsi="Palatino Linotype"/>
          <w:i/>
          <w:sz w:val="22"/>
          <w:szCs w:val="22"/>
        </w:rPr>
        <w:t>Xahuento</w:t>
      </w:r>
      <w:proofErr w:type="spellEnd"/>
      <w:r>
        <w:rPr>
          <w:rFonts w:ascii="Palatino Linotype" w:hAnsi="Palatino Linotype"/>
          <w:i/>
          <w:sz w:val="22"/>
          <w:szCs w:val="22"/>
        </w:rPr>
        <w:t xml:space="preserve">. </w:t>
      </w:r>
    </w:p>
    <w:p w14:paraId="18084999" w14:textId="77777777" w:rsidR="00282FC7" w:rsidRDefault="00282FC7">
      <w:pPr>
        <w:ind w:left="851" w:right="899"/>
        <w:jc w:val="both"/>
        <w:rPr>
          <w:rFonts w:ascii="Palatino Linotype" w:hAnsi="Palatino Linotype"/>
          <w:i/>
          <w:sz w:val="22"/>
          <w:szCs w:val="22"/>
        </w:rPr>
      </w:pPr>
    </w:p>
    <w:p w14:paraId="10FC3007"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 xml:space="preserve">VIII. Los Asentamientos: </w:t>
      </w:r>
    </w:p>
    <w:p w14:paraId="35CB2DE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a) Fracción de la Laguna de Zumpango; </w:t>
      </w:r>
    </w:p>
    <w:p w14:paraId="4EAD851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b) Fracción XVII, </w:t>
      </w:r>
    </w:p>
    <w:p w14:paraId="71D85CDC"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 xml:space="preserve">c) Desarrollo Urbano “Lomas de Jaltenco “, y </w:t>
      </w:r>
    </w:p>
    <w:p w14:paraId="146F4E06" w14:textId="77777777" w:rsidR="00282FC7" w:rsidRDefault="00A022C2">
      <w:pPr>
        <w:ind w:left="851" w:right="899" w:firstLine="565"/>
        <w:jc w:val="both"/>
        <w:rPr>
          <w:rFonts w:ascii="Palatino Linotype" w:hAnsi="Palatino Linotype"/>
          <w:i/>
          <w:sz w:val="22"/>
          <w:szCs w:val="22"/>
        </w:rPr>
      </w:pPr>
      <w:r>
        <w:rPr>
          <w:rFonts w:ascii="Palatino Linotype" w:hAnsi="Palatino Linotype"/>
          <w:i/>
          <w:sz w:val="22"/>
          <w:szCs w:val="22"/>
        </w:rPr>
        <w:t>d) Pequeña Propiedad de la Ex Hacienda de Santa Inés.”</w:t>
      </w:r>
    </w:p>
    <w:p w14:paraId="0D10F774" w14:textId="77777777" w:rsidR="00282FC7" w:rsidRDefault="00282FC7">
      <w:pPr>
        <w:ind w:left="851" w:right="899"/>
        <w:jc w:val="both"/>
        <w:rPr>
          <w:rFonts w:ascii="Palatino Linotype" w:hAnsi="Palatino Linotype"/>
          <w:i/>
          <w:sz w:val="22"/>
          <w:szCs w:val="22"/>
        </w:rPr>
      </w:pPr>
    </w:p>
    <w:p w14:paraId="5EF1C440" w14:textId="77777777" w:rsidR="00282FC7" w:rsidRDefault="00A022C2">
      <w:pPr>
        <w:ind w:left="851" w:right="899"/>
        <w:jc w:val="both"/>
        <w:rPr>
          <w:rFonts w:ascii="Palatino Linotype" w:hAnsi="Palatino Linotype"/>
          <w:i/>
          <w:sz w:val="22"/>
          <w:szCs w:val="22"/>
        </w:rPr>
      </w:pPr>
      <w:r>
        <w:rPr>
          <w:rFonts w:ascii="Palatino Linotype" w:hAnsi="Palatino Linotype"/>
          <w:i/>
          <w:sz w:val="22"/>
          <w:szCs w:val="22"/>
        </w:rPr>
        <w:t>(Énfasis añadido)</w:t>
      </w:r>
    </w:p>
    <w:p w14:paraId="7C02C468" w14:textId="77777777" w:rsidR="00282FC7" w:rsidRDefault="00A022C2">
      <w:pPr>
        <w:spacing w:beforeAutospacing="1" w:afterAutospacing="1" w:line="360" w:lineRule="auto"/>
        <w:jc w:val="both"/>
        <w:rPr>
          <w:rFonts w:ascii="Palatino Linotype" w:eastAsia="Calibri" w:hAnsi="Palatino Linotype"/>
        </w:rPr>
      </w:pPr>
      <w:r>
        <w:rPr>
          <w:rFonts w:ascii="Palatino Linotype" w:eastAsia="Calibri" w:hAnsi="Palatino Linotype"/>
        </w:rPr>
        <w:t xml:space="preserve">De la normativa en comento y de lo hasta aquí expuesto, es claro que existe fuente obligacional que constriñe al </w:t>
      </w:r>
      <w:r>
        <w:rPr>
          <w:rFonts w:ascii="Palatino Linotype" w:eastAsia="Calibri" w:hAnsi="Palatino Linotype"/>
          <w:b/>
        </w:rPr>
        <w:t>SUJETO</w:t>
      </w:r>
      <w:r>
        <w:rPr>
          <w:rFonts w:ascii="Palatino Linotype" w:eastAsia="Calibri" w:hAnsi="Palatino Linotype"/>
        </w:rPr>
        <w:t xml:space="preserve"> </w:t>
      </w:r>
      <w:r>
        <w:rPr>
          <w:rFonts w:ascii="Palatino Linotype" w:eastAsia="Calibri" w:hAnsi="Palatino Linotype"/>
          <w:b/>
        </w:rPr>
        <w:t>OBLIGADO</w:t>
      </w:r>
      <w:r>
        <w:rPr>
          <w:rFonts w:ascii="Palatino Linotype" w:eastAsia="Calibri" w:hAnsi="Palatino Linotype"/>
        </w:rPr>
        <w:t xml:space="preserve"> a contar con la información solicitada; sin embargo, de las manifestaciones expuestas en por éste en Informe Justificado puede advertirse que no cuenta con más autoridades auxiliares que las correspondientes a las comunidades de San Andrés y Alborada; por ello, esta Ponencia Resolutora con la finalidad de dar certeza jurídica a la solicitante acerca del porque </w:t>
      </w:r>
      <w:r>
        <w:rPr>
          <w:rFonts w:ascii="Palatino Linotype" w:eastAsia="Calibri" w:hAnsi="Palatino Linotype"/>
          <w:b/>
        </w:rPr>
        <w:t xml:space="preserve">EL SUJETO OBLIGADO </w:t>
      </w:r>
      <w:r>
        <w:rPr>
          <w:rFonts w:ascii="Palatino Linotype" w:eastAsia="Calibri" w:hAnsi="Palatino Linotype"/>
        </w:rPr>
        <w:t xml:space="preserve">no cuenta con el resto de la información, determina procedente ordenarle haga entrega del Acuerdo de Inexistencia correspondiente el cual </w:t>
      </w:r>
      <w:r>
        <w:rPr>
          <w:rFonts w:ascii="Palatino Linotype" w:hAnsi="Palatino Linotype" w:cs="Arial"/>
        </w:rPr>
        <w:t>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14:paraId="1135BEF9"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lastRenderedPageBreak/>
        <w:t xml:space="preserve">“Artículo 19. </w:t>
      </w:r>
      <w:r>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14:paraId="55EC0D3B" w14:textId="77777777" w:rsidR="00282FC7" w:rsidRDefault="00A022C2">
      <w:pPr>
        <w:ind w:left="851" w:right="902"/>
        <w:jc w:val="both"/>
        <w:rPr>
          <w:rFonts w:ascii="Palatino Linotype" w:hAnsi="Palatino Linotype" w:cs="Arial"/>
          <w:i/>
          <w:sz w:val="22"/>
          <w:szCs w:val="22"/>
        </w:rPr>
      </w:pPr>
      <w:r>
        <w:rPr>
          <w:rFonts w:ascii="Palatino Linotype" w:hAnsi="Palatino Linotype" w:cs="Arial"/>
          <w:i/>
          <w:sz w:val="22"/>
          <w:szCs w:val="22"/>
        </w:rPr>
        <w:t>…</w:t>
      </w:r>
    </w:p>
    <w:p w14:paraId="5BC461CE"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rPr>
        <w:t xml:space="preserve">Si el sujeto obligado, </w:t>
      </w:r>
      <w:r>
        <w:rPr>
          <w:rFonts w:ascii="Palatino Linotype" w:hAnsi="Palatino Linotype" w:cs="Arial"/>
          <w:b/>
          <w:i/>
          <w:sz w:val="22"/>
          <w:szCs w:val="22"/>
        </w:rPr>
        <w:t>en el ejercicio de sus atribuciones, debía generar, poseer o administrar la información, pero ésta no se encuentra</w:t>
      </w:r>
      <w:r>
        <w:rPr>
          <w:rFonts w:ascii="Palatino Linotype" w:hAnsi="Palatino Linotype" w:cs="Arial"/>
          <w:i/>
          <w:sz w:val="22"/>
          <w:szCs w:val="22"/>
        </w:rPr>
        <w:t xml:space="preserve">, </w:t>
      </w:r>
      <w:r>
        <w:rPr>
          <w:rFonts w:ascii="Palatino Linotype" w:hAnsi="Palatino Linotype" w:cs="Arial"/>
          <w:i/>
          <w:sz w:val="22"/>
          <w:szCs w:val="22"/>
          <w:u w:val="single"/>
        </w:rPr>
        <w:t>el Comité de transparencia deberá emitir un acuerdo de inexistencia, debidamente fundado y motivado, en el que detalle las razones del por qué no obra en sus archivos.</w:t>
      </w:r>
    </w:p>
    <w:p w14:paraId="17E8FFB8"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Artículo 49.</w:t>
      </w:r>
      <w:r>
        <w:rPr>
          <w:rFonts w:ascii="Palatino Linotype" w:hAnsi="Palatino Linotype" w:cs="Arial"/>
          <w:i/>
          <w:sz w:val="22"/>
          <w:szCs w:val="22"/>
        </w:rPr>
        <w:t xml:space="preserve"> Los </w:t>
      </w:r>
      <w:r>
        <w:rPr>
          <w:rFonts w:ascii="Palatino Linotype" w:hAnsi="Palatino Linotype" w:cs="Arial"/>
          <w:i/>
          <w:sz w:val="22"/>
          <w:szCs w:val="22"/>
          <w:u w:val="single"/>
        </w:rPr>
        <w:t>Comités de Transparencia</w:t>
      </w:r>
      <w:r>
        <w:rPr>
          <w:rFonts w:ascii="Palatino Linotype" w:hAnsi="Palatino Linotype" w:cs="Arial"/>
          <w:i/>
          <w:sz w:val="22"/>
          <w:szCs w:val="22"/>
        </w:rPr>
        <w:t xml:space="preserve"> tendrán las siguientes atribuciones:</w:t>
      </w:r>
    </w:p>
    <w:p w14:paraId="60A6EE30"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w:t>
      </w:r>
    </w:p>
    <w:p w14:paraId="7F0C980D"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II.</w:t>
      </w:r>
      <w:r>
        <w:rPr>
          <w:rFonts w:ascii="Palatino Linotype" w:hAnsi="Palatino Linotype" w:cs="Arial"/>
          <w:i/>
          <w:sz w:val="22"/>
          <w:szCs w:val="22"/>
          <w:u w:val="single"/>
        </w:rPr>
        <w:t xml:space="preserve"> Confirmar, modificar o revocar las determinaciones </w:t>
      </w:r>
      <w:proofErr w:type="gramStart"/>
      <w:r>
        <w:rPr>
          <w:rFonts w:ascii="Palatino Linotype" w:hAnsi="Palatino Linotype" w:cs="Arial"/>
          <w:i/>
          <w:sz w:val="22"/>
          <w:szCs w:val="22"/>
          <w:u w:val="single"/>
        </w:rPr>
        <w:t>que</w:t>
      </w:r>
      <w:proofErr w:type="gramEnd"/>
      <w:r>
        <w:rPr>
          <w:rFonts w:ascii="Palatino Linotype" w:hAnsi="Palatino Linotype" w:cs="Arial"/>
          <w:i/>
          <w:sz w:val="22"/>
          <w:szCs w:val="22"/>
          <w:u w:val="single"/>
        </w:rPr>
        <w:t xml:space="preserve"> en materia de ampliación del plazo de respuesta, clasificación de la información y declaración de inexistencia o de incompetencia realicen los titulares de las áreas de los sujetos obligados;</w:t>
      </w:r>
    </w:p>
    <w:p w14:paraId="21322B27"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w:t>
      </w:r>
    </w:p>
    <w:p w14:paraId="1CAE3789"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XIII.</w:t>
      </w:r>
      <w:r>
        <w:rPr>
          <w:rFonts w:ascii="Palatino Linotype" w:hAnsi="Palatino Linotype" w:cs="Arial"/>
          <w:i/>
          <w:sz w:val="22"/>
          <w:szCs w:val="22"/>
        </w:rPr>
        <w:t xml:space="preserve"> </w:t>
      </w:r>
      <w:r>
        <w:rPr>
          <w:rFonts w:ascii="Palatino Linotype" w:hAnsi="Palatino Linotype" w:cs="Arial"/>
          <w:i/>
          <w:sz w:val="22"/>
          <w:szCs w:val="22"/>
          <w:u w:val="single"/>
        </w:rPr>
        <w:t>Dictaminar las declaratorias de inexistencia de la información que les remitan las unidades administrativas y resolver en consecuencia;</w:t>
      </w:r>
    </w:p>
    <w:p w14:paraId="6295375E"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w:t>
      </w:r>
    </w:p>
    <w:p w14:paraId="1179FE9F"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Artículo 169.</w:t>
      </w:r>
      <w:r>
        <w:rPr>
          <w:rFonts w:ascii="Palatino Linotype" w:hAnsi="Palatino Linotype" w:cs="Arial"/>
          <w:i/>
          <w:sz w:val="22"/>
          <w:szCs w:val="22"/>
        </w:rPr>
        <w:t xml:space="preserve"> </w:t>
      </w:r>
      <w:r>
        <w:rPr>
          <w:rFonts w:ascii="Palatino Linotype" w:hAnsi="Palatino Linotype" w:cs="Arial"/>
          <w:i/>
          <w:sz w:val="22"/>
          <w:szCs w:val="22"/>
          <w:u w:val="single"/>
        </w:rPr>
        <w:t>Cuando la información no se encuentre en los archivos del sujeto obligado, el Comité de Transparencia:</w:t>
      </w:r>
    </w:p>
    <w:p w14:paraId="1029DBB4"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I. Analizará el caso y tomará las medidas necesarias para localizar la información;</w:t>
      </w:r>
    </w:p>
    <w:p w14:paraId="30DE35E0"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II. Expedirá una resolución que confirme la inexistencia del documento;</w:t>
      </w:r>
    </w:p>
    <w:p w14:paraId="57C58FAA"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1255CED"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IV. Notificará al órgano interno de control o equivalente del sujeto obligado quien, en su caso, deberá iniciar el procedimiento de responsabilidad administrativa que corresponda.</w:t>
      </w:r>
    </w:p>
    <w:p w14:paraId="216AC6B8"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i/>
          <w:sz w:val="22"/>
          <w:szCs w:val="22"/>
          <w:u w:val="single"/>
        </w:rPr>
        <w:t>La Unidad de Transparencia deberá notificarlo al solicitante por escrito, en un plazo que no exceda de quince días hábiles contados a partir del día siguiente a la presentación de la solicitud.</w:t>
      </w:r>
    </w:p>
    <w:p w14:paraId="1856336C" w14:textId="77777777" w:rsidR="00282FC7" w:rsidRDefault="00A022C2">
      <w:pPr>
        <w:ind w:left="851" w:right="902"/>
        <w:jc w:val="both"/>
        <w:rPr>
          <w:rFonts w:ascii="Palatino Linotype" w:hAnsi="Palatino Linotype" w:cs="Arial"/>
          <w:b/>
          <w:i/>
          <w:sz w:val="22"/>
          <w:szCs w:val="22"/>
          <w:u w:val="single"/>
        </w:rPr>
      </w:pPr>
      <w:r>
        <w:rPr>
          <w:rFonts w:ascii="Palatino Linotype" w:hAnsi="Palatino Linotype" w:cs="Arial"/>
          <w:i/>
          <w:sz w:val="22"/>
          <w:szCs w:val="22"/>
          <w:u w:val="single"/>
        </w:rPr>
        <w:t>Este plazo podrá ampliarse hasta por otros siete días hábiles, siempre que existan razones para ello, debiendo notificarse por escrito al solicitante.</w:t>
      </w:r>
      <w:r>
        <w:rPr>
          <w:rFonts w:ascii="Palatino Linotype" w:hAnsi="Palatino Linotype" w:cs="Arial"/>
          <w:b/>
          <w:i/>
          <w:sz w:val="22"/>
          <w:szCs w:val="22"/>
          <w:u w:val="single"/>
        </w:rPr>
        <w:t xml:space="preserve"> </w:t>
      </w:r>
    </w:p>
    <w:p w14:paraId="3DFF8103" w14:textId="77777777" w:rsidR="00282FC7" w:rsidRDefault="00A022C2">
      <w:pPr>
        <w:ind w:left="851" w:right="902"/>
        <w:jc w:val="both"/>
        <w:rPr>
          <w:rFonts w:ascii="Palatino Linotype" w:hAnsi="Palatino Linotype" w:cs="Arial"/>
          <w:i/>
          <w:sz w:val="22"/>
          <w:szCs w:val="22"/>
          <w:u w:val="single"/>
        </w:rPr>
      </w:pPr>
      <w:r>
        <w:rPr>
          <w:rFonts w:ascii="Palatino Linotype" w:hAnsi="Palatino Linotype" w:cs="Arial"/>
          <w:b/>
          <w:i/>
          <w:sz w:val="22"/>
          <w:szCs w:val="22"/>
        </w:rPr>
        <w:t>Artículo 170.</w:t>
      </w:r>
      <w:r>
        <w:rPr>
          <w:rFonts w:ascii="Palatino Linotype" w:hAnsi="Palatino Linotype" w:cs="Arial"/>
          <w:i/>
          <w:sz w:val="22"/>
          <w:szCs w:val="22"/>
        </w:rPr>
        <w:t xml:space="preserve"> </w:t>
      </w:r>
      <w:r>
        <w:rPr>
          <w:rFonts w:ascii="Palatino Linotype" w:hAnsi="Palatino Linotype" w:cs="Arial"/>
          <w:i/>
          <w:sz w:val="22"/>
          <w:szCs w:val="22"/>
          <w:u w:val="single"/>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w:t>
      </w:r>
      <w:r>
        <w:rPr>
          <w:rFonts w:ascii="Palatino Linotype" w:hAnsi="Palatino Linotype" w:cs="Arial"/>
          <w:i/>
          <w:sz w:val="22"/>
          <w:szCs w:val="22"/>
          <w:u w:val="single"/>
        </w:rPr>
        <w:lastRenderedPageBreak/>
        <w:t>generaron la existencia en cuestión y señalará al servidor público responsable de contar con la misma.”</w:t>
      </w:r>
    </w:p>
    <w:p w14:paraId="0E053492" w14:textId="77777777" w:rsidR="00282FC7" w:rsidRDefault="00A022C2">
      <w:pPr>
        <w:ind w:left="851" w:right="902"/>
        <w:jc w:val="both"/>
        <w:rPr>
          <w:rFonts w:ascii="Palatino Linotype" w:hAnsi="Palatino Linotype" w:cs="Arial"/>
        </w:rPr>
      </w:pPr>
      <w:r>
        <w:rPr>
          <w:rFonts w:ascii="Palatino Linotype" w:hAnsi="Palatino Linotype" w:cs="Arial"/>
        </w:rPr>
        <w:t>(Énfasis añadido)</w:t>
      </w:r>
    </w:p>
    <w:p w14:paraId="78BE8EC4" w14:textId="77777777" w:rsidR="00282FC7" w:rsidRDefault="00A022C2">
      <w:pPr>
        <w:spacing w:before="240" w:after="240" w:line="360" w:lineRule="auto"/>
        <w:jc w:val="both"/>
        <w:rPr>
          <w:rFonts w:ascii="Palatino Linotype" w:hAnsi="Palatino Linotype" w:cs="Arial"/>
        </w:rPr>
      </w:pPr>
      <w:r>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4177EB37" w14:textId="77777777" w:rsidR="00282FC7" w:rsidRDefault="00A022C2">
      <w:pPr>
        <w:ind w:left="851" w:right="902"/>
        <w:jc w:val="center"/>
        <w:rPr>
          <w:rFonts w:ascii="Palatino Linotype" w:hAnsi="Palatino Linotype" w:cs="Arial"/>
          <w:b/>
          <w:bCs/>
          <w:i/>
          <w:sz w:val="22"/>
          <w:szCs w:val="22"/>
        </w:rPr>
      </w:pPr>
      <w:r>
        <w:rPr>
          <w:rFonts w:ascii="Palatino Linotype" w:hAnsi="Palatino Linotype" w:cs="Arial"/>
          <w:b/>
          <w:bCs/>
          <w:i/>
          <w:sz w:val="22"/>
          <w:szCs w:val="22"/>
        </w:rPr>
        <w:t>“CRITERIO 003-11.</w:t>
      </w:r>
    </w:p>
    <w:p w14:paraId="30877A1E" w14:textId="77777777" w:rsidR="00282FC7" w:rsidRDefault="00A022C2">
      <w:pPr>
        <w:ind w:left="851" w:right="902"/>
        <w:jc w:val="both"/>
        <w:rPr>
          <w:rFonts w:ascii="Palatino Linotype" w:hAnsi="Palatino Linotype" w:cs="Arial"/>
          <w:bCs/>
          <w:i/>
          <w:sz w:val="22"/>
          <w:szCs w:val="22"/>
          <w:u w:val="single"/>
        </w:rPr>
      </w:pPr>
      <w:r>
        <w:rPr>
          <w:rFonts w:ascii="Palatino Linotype" w:hAnsi="Palatino Linotype" w:cs="Arial"/>
          <w:b/>
          <w:bCs/>
          <w:i/>
          <w:sz w:val="22"/>
          <w:szCs w:val="22"/>
        </w:rPr>
        <w:t xml:space="preserve">“INEXISTENCIA, CONCEPTO DE, EN MATERIA DE TRANSPARENCIA. </w:t>
      </w:r>
      <w:r>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Pr>
          <w:rFonts w:ascii="Palatino Linotype" w:hAnsi="Palatino Linotype" w:cs="Arial"/>
          <w:bCs/>
          <w:i/>
          <w:sz w:val="22"/>
          <w:szCs w:val="22"/>
          <w:u w:val="single"/>
        </w:rPr>
        <w:t>información</w:t>
      </w:r>
      <w:r>
        <w:rPr>
          <w:rFonts w:ascii="Palatino Linotype" w:hAnsi="Palatino Linotype" w:cs="Arial"/>
          <w:bCs/>
          <w:i/>
          <w:sz w:val="22"/>
          <w:szCs w:val="22"/>
        </w:rPr>
        <w:t xml:space="preserve"> en el derecho de acceso a la información pública</w:t>
      </w:r>
      <w:r>
        <w:rPr>
          <w:rFonts w:ascii="Palatino Linotype" w:hAnsi="Palatino Linotype" w:cs="Arial"/>
          <w:bCs/>
          <w:i/>
          <w:sz w:val="22"/>
          <w:szCs w:val="22"/>
          <w:u w:val="single"/>
        </w:rPr>
        <w:t xml:space="preserve"> conlleva necesariamente a los siguientes supuestos:</w:t>
      </w:r>
    </w:p>
    <w:p w14:paraId="5864A245"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7B214F3" w14:textId="77777777" w:rsidR="00282FC7" w:rsidRDefault="00A022C2">
      <w:pPr>
        <w:ind w:left="851" w:right="902"/>
        <w:jc w:val="both"/>
        <w:rPr>
          <w:rFonts w:ascii="Palatino Linotype" w:hAnsi="Palatino Linotype" w:cs="Arial"/>
          <w:b/>
          <w:bCs/>
          <w:i/>
          <w:sz w:val="22"/>
          <w:szCs w:val="22"/>
          <w:u w:val="single"/>
        </w:rPr>
      </w:pPr>
      <w:r>
        <w:rPr>
          <w:rFonts w:ascii="Palatino Linotype" w:hAnsi="Palatino Linotype" w:cs="Arial"/>
          <w:bCs/>
          <w:i/>
          <w:sz w:val="22"/>
          <w:szCs w:val="22"/>
        </w:rPr>
        <w:t xml:space="preserve">b) </w:t>
      </w:r>
      <w:r>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75DA669F"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69FD261" w14:textId="77777777" w:rsidR="00282FC7" w:rsidRDefault="00A022C2">
      <w:pPr>
        <w:ind w:left="851" w:right="902"/>
        <w:jc w:val="center"/>
        <w:rPr>
          <w:rFonts w:ascii="Palatino Linotype" w:hAnsi="Palatino Linotype" w:cs="Arial"/>
          <w:b/>
          <w:bCs/>
          <w:i/>
          <w:sz w:val="22"/>
          <w:szCs w:val="22"/>
        </w:rPr>
      </w:pPr>
      <w:r>
        <w:rPr>
          <w:rFonts w:ascii="Palatino Linotype" w:hAnsi="Palatino Linotype" w:cs="Arial"/>
          <w:b/>
          <w:bCs/>
          <w:i/>
          <w:sz w:val="22"/>
          <w:szCs w:val="22"/>
        </w:rPr>
        <w:t>CRITERIO 004/2011</w:t>
      </w:r>
    </w:p>
    <w:p w14:paraId="4C56AD60"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
          <w:bCs/>
          <w:i/>
          <w:sz w:val="22"/>
          <w:szCs w:val="22"/>
        </w:rPr>
        <w:t xml:space="preserve">INEXISTENCIA. DECLARATORIA DE LA. ALCANCES Y PROCEDIMIENTOS. </w:t>
      </w:r>
      <w:r>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Pr>
          <w:rFonts w:ascii="Palatino Linotype" w:hAnsi="Palatino Linotype" w:cs="Arial"/>
          <w:bCs/>
          <w:i/>
          <w:sz w:val="22"/>
          <w:szCs w:val="22"/>
          <w:u w:val="single"/>
        </w:rPr>
        <w:t xml:space="preserve">que cuando el Titular de la Unidad de Información no localice la documentación solicitada, a pesar de haber sido </w:t>
      </w:r>
      <w:r>
        <w:rPr>
          <w:rFonts w:ascii="Palatino Linotype" w:hAnsi="Palatino Linotype" w:cs="Arial"/>
          <w:bCs/>
          <w:i/>
          <w:sz w:val="22"/>
          <w:szCs w:val="22"/>
        </w:rPr>
        <w:t>generada, poseída o</w:t>
      </w:r>
      <w:r>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Pr>
          <w:rFonts w:ascii="Palatino Linotype" w:hAnsi="Palatino Linotype" w:cs="Arial"/>
          <w:bCs/>
          <w:i/>
          <w:sz w:val="22"/>
          <w:szCs w:val="22"/>
        </w:rPr>
        <w:t xml:space="preserve">, la cual tiene como propósito que el </w:t>
      </w:r>
      <w:r>
        <w:rPr>
          <w:rFonts w:ascii="Palatino Linotype" w:hAnsi="Palatino Linotype" w:cs="Arial"/>
          <w:bCs/>
          <w:i/>
          <w:sz w:val="22"/>
          <w:szCs w:val="22"/>
        </w:rPr>
        <w:lastRenderedPageBreak/>
        <w:t xml:space="preserve">particular tenga la certeza jurídica de que el Sujeto Obligado realizó una búsqueda exhaustiva y minuciosa de la información en los archivos a cargo. En consecuencia, </w:t>
      </w:r>
      <w:r>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446296C"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Cs/>
          <w:i/>
          <w:sz w:val="22"/>
          <w:szCs w:val="22"/>
        </w:rPr>
        <w:t>Bajo el entendido de que dicha búsqueda exhaustiva permitirá dos determinaciones:</w:t>
      </w:r>
    </w:p>
    <w:p w14:paraId="02AFDD25"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2FC37DCE" w14:textId="77777777" w:rsidR="00282FC7" w:rsidRDefault="00A022C2">
      <w:pPr>
        <w:ind w:left="851" w:right="902"/>
        <w:jc w:val="both"/>
        <w:rPr>
          <w:rFonts w:ascii="Palatino Linotype" w:hAnsi="Palatino Linotype" w:cs="Arial"/>
          <w:bCs/>
          <w:i/>
          <w:sz w:val="22"/>
          <w:szCs w:val="22"/>
          <w:u w:val="single"/>
        </w:rPr>
      </w:pPr>
      <w:r>
        <w:rPr>
          <w:rFonts w:ascii="Palatino Linotype" w:hAnsi="Palatino Linotype" w:cs="Arial"/>
          <w:bCs/>
          <w:i/>
          <w:sz w:val="22"/>
          <w:szCs w:val="22"/>
        </w:rPr>
        <w:t>b</w:t>
      </w:r>
      <w:r>
        <w:rPr>
          <w:rFonts w:ascii="Palatino Linotype" w:hAnsi="Palatino Linotype" w:cs="Arial"/>
          <w:bCs/>
          <w:i/>
          <w:sz w:val="22"/>
          <w:szCs w:val="22"/>
          <w:u w:val="single"/>
        </w:rPr>
        <w:t xml:space="preserve">) Que no se haya encontrado documento alguno que contenga la información requerida, por lo </w:t>
      </w:r>
      <w:proofErr w:type="gramStart"/>
      <w:r>
        <w:rPr>
          <w:rFonts w:ascii="Palatino Linotype" w:hAnsi="Palatino Linotype" w:cs="Arial"/>
          <w:bCs/>
          <w:i/>
          <w:sz w:val="22"/>
          <w:szCs w:val="22"/>
          <w:u w:val="single"/>
        </w:rPr>
        <w:t>que</w:t>
      </w:r>
      <w:proofErr w:type="gramEnd"/>
      <w:r>
        <w:rPr>
          <w:rFonts w:ascii="Palatino Linotype" w:hAnsi="Palatino Linotype" w:cs="Arial"/>
          <w:bCs/>
          <w:i/>
          <w:sz w:val="22"/>
          <w:szCs w:val="22"/>
          <w:u w:val="single"/>
        </w:rPr>
        <w:t xml:space="preserve"> agotadas las medidas necesarias de búsqueda de la información y de no encontrarla, el Comité de Información deba emitir el dictamen de declaratoria de inexistencia y notificarlo al interesado.</w:t>
      </w:r>
    </w:p>
    <w:p w14:paraId="79BE0580" w14:textId="77777777" w:rsidR="00282FC7" w:rsidRDefault="00A022C2">
      <w:pPr>
        <w:ind w:left="851" w:right="902"/>
        <w:jc w:val="both"/>
        <w:rPr>
          <w:rFonts w:ascii="Palatino Linotype" w:hAnsi="Palatino Linotype" w:cs="Arial"/>
          <w:bCs/>
          <w:i/>
          <w:sz w:val="22"/>
          <w:szCs w:val="22"/>
        </w:rPr>
      </w:pPr>
      <w:r>
        <w:rPr>
          <w:rFonts w:ascii="Palatino Linotype" w:hAnsi="Palatino Linotype" w:cs="Arial"/>
          <w:bCs/>
          <w:i/>
          <w:sz w:val="22"/>
          <w:szCs w:val="22"/>
          <w:u w:val="single"/>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Pr>
          <w:rFonts w:ascii="Palatino Linotype" w:hAnsi="Palatino Linotype" w:cs="Arial"/>
          <w:bCs/>
          <w:i/>
          <w:sz w:val="22"/>
          <w:szCs w:val="22"/>
          <w:u w:val="single"/>
        </w:rPr>
        <w:t>aquéllas</w:t>
      </w:r>
      <w:proofErr w:type="gramEnd"/>
      <w:r>
        <w:rPr>
          <w:rFonts w:ascii="Palatino Linotype" w:hAnsi="Palatino Linotype" w:cs="Arial"/>
          <w:bCs/>
          <w:i/>
          <w:sz w:val="22"/>
          <w:szCs w:val="22"/>
          <w:u w:val="single"/>
        </w:rPr>
        <w:t xml:space="preserve"> circunstancias que se tomaron en cuenta para llegar a determinar que la información requerida no obra en los archivos a cargo</w:t>
      </w:r>
      <w:r>
        <w:rPr>
          <w:rFonts w:ascii="Palatino Linotype" w:hAnsi="Palatino Linotype" w:cs="Arial"/>
          <w:bCs/>
          <w:i/>
          <w:sz w:val="22"/>
          <w:szCs w:val="22"/>
        </w:rPr>
        <w:t>.”</w:t>
      </w:r>
    </w:p>
    <w:p w14:paraId="09E60327" w14:textId="77777777" w:rsidR="00282FC7" w:rsidRDefault="00A022C2">
      <w:pPr>
        <w:ind w:left="851" w:right="902"/>
        <w:jc w:val="both"/>
        <w:rPr>
          <w:rFonts w:ascii="Palatino Linotype" w:eastAsia="Calibri" w:hAnsi="Palatino Linotype" w:cs="Arial"/>
        </w:rPr>
      </w:pPr>
      <w:r>
        <w:rPr>
          <w:rFonts w:ascii="Palatino Linotype" w:eastAsia="Calibri" w:hAnsi="Palatino Linotype" w:cs="Arial"/>
        </w:rPr>
        <w:t>(Énfasis añadido)</w:t>
      </w:r>
    </w:p>
    <w:p w14:paraId="5813A830" w14:textId="77777777" w:rsidR="00282FC7" w:rsidRDefault="00A022C2">
      <w:pPr>
        <w:spacing w:before="240" w:after="240" w:line="360" w:lineRule="auto"/>
        <w:ind w:right="49"/>
        <w:jc w:val="both"/>
        <w:rPr>
          <w:rFonts w:ascii="Palatino Linotype" w:eastAsia="Calibri" w:hAnsi="Palatino Linotype" w:cs="Arial"/>
        </w:rPr>
      </w:pPr>
      <w:r>
        <w:rPr>
          <w:rFonts w:ascii="Palatino Linotype" w:eastAsia="Calibri" w:hAnsi="Palatino Linotype" w:cs="Arial"/>
        </w:rPr>
        <w:t xml:space="preserve">Lo anterior, atendiendo a que como se adujo anteriormente, existe obligatoriedad por parte del </w:t>
      </w:r>
      <w:r>
        <w:rPr>
          <w:rFonts w:ascii="Palatino Linotype" w:eastAsia="Calibri" w:hAnsi="Palatino Linotype" w:cs="Arial"/>
          <w:b/>
        </w:rPr>
        <w:t>SUJETO OBLIGADO</w:t>
      </w:r>
      <w:r>
        <w:rPr>
          <w:rFonts w:ascii="Palatino Linotype" w:eastAsia="Calibri" w:hAnsi="Palatino Linotype" w:cs="Arial"/>
        </w:rPr>
        <w:t xml:space="preserve"> para contar con la información solicitada por </w:t>
      </w:r>
      <w:r>
        <w:rPr>
          <w:rFonts w:ascii="Palatino Linotype" w:eastAsia="Calibri" w:hAnsi="Palatino Linotype" w:cs="Arial"/>
          <w:b/>
          <w:bCs/>
          <w:color w:val="0D0D0D"/>
          <w:lang w:eastAsia="en-US"/>
        </w:rPr>
        <w:t>LA RECURRENTE</w:t>
      </w:r>
      <w:r>
        <w:rPr>
          <w:rFonts w:ascii="Palatino Linotype" w:eastAsia="Calibri" w:hAnsi="Palatino Linotype" w:cs="Arial"/>
        </w:rPr>
        <w:t xml:space="preserve">, </w:t>
      </w:r>
      <w:r>
        <w:rPr>
          <w:rFonts w:ascii="Palatino Linotype" w:eastAsia="Calibri" w:hAnsi="Palatino Linotype" w:cs="Arial"/>
          <w:color w:val="000000"/>
          <w:lang w:eastAsia="es-MX"/>
        </w:rPr>
        <w:t>por lo que, de no contar con ella, deberá fundar y motivar mediante el Acuerdo en el que se declare la inexistencia de la información.</w:t>
      </w:r>
    </w:p>
    <w:p w14:paraId="05281C0C" w14:textId="77777777" w:rsidR="00282FC7" w:rsidRDefault="00A022C2">
      <w:pPr>
        <w:spacing w:beforeAutospacing="1" w:afterAutospacing="1" w:line="360" w:lineRule="auto"/>
        <w:jc w:val="both"/>
        <w:rPr>
          <w:rFonts w:ascii="Palatino Linotype" w:hAnsi="Palatino Linotype" w:cs="Arial"/>
        </w:rPr>
      </w:pPr>
      <w:r>
        <w:rPr>
          <w:rFonts w:ascii="Palatino Linotype" w:hAnsi="Palatino Linotype" w:cs="Arial"/>
        </w:rPr>
        <w:t xml:space="preserve">En mérito de lo ya expuesto, el Pleno de este Instituto determina que las razones o motivos de inconformidad devienen </w:t>
      </w:r>
      <w:r>
        <w:rPr>
          <w:rFonts w:ascii="Palatino Linotype" w:hAnsi="Palatino Linotype" w:cs="Arial"/>
          <w:b/>
        </w:rPr>
        <w:t>parcialmente fundadas</w:t>
      </w:r>
      <w:r>
        <w:rPr>
          <w:rFonts w:ascii="Palatino Linotype" w:hAnsi="Palatino Linotype" w:cs="Arial"/>
        </w:rPr>
        <w:t xml:space="preserve">, toda vez que, </w:t>
      </w:r>
      <w:r>
        <w:rPr>
          <w:rFonts w:ascii="Palatino Linotype" w:hAnsi="Palatino Linotype" w:cs="Arial"/>
          <w:b/>
        </w:rPr>
        <w:t xml:space="preserve">LA RECURRENTE </w:t>
      </w:r>
      <w:r>
        <w:rPr>
          <w:rFonts w:ascii="Palatino Linotype" w:hAnsi="Palatino Linotype" w:cs="Arial"/>
        </w:rPr>
        <w:t xml:space="preserve">duda de la veracidad de la información de la que </w:t>
      </w:r>
      <w:r>
        <w:rPr>
          <w:rFonts w:ascii="Palatino Linotype" w:hAnsi="Palatino Linotype" w:cs="Arial"/>
          <w:b/>
        </w:rPr>
        <w:t xml:space="preserve">EL SUJETO </w:t>
      </w:r>
      <w:r>
        <w:rPr>
          <w:rFonts w:ascii="Palatino Linotype" w:hAnsi="Palatino Linotype" w:cs="Arial"/>
          <w:b/>
        </w:rPr>
        <w:lastRenderedPageBreak/>
        <w:t xml:space="preserve">OBLIGADO </w:t>
      </w:r>
      <w:r>
        <w:rPr>
          <w:rFonts w:ascii="Palatino Linotype" w:hAnsi="Palatino Linotype" w:cs="Arial"/>
        </w:rPr>
        <w:t xml:space="preserve">le hizo entrega; por ello, conforme al estudio realizado se actualiza la causal de procedencia enunciada en la fracción XIII del numeral 179 de la Ley de Transparencia y Acceso a la Información Pública del Estado de México y Municipios, por lo que se determina </w:t>
      </w:r>
      <w:r>
        <w:rPr>
          <w:rFonts w:ascii="Palatino Linotype" w:hAnsi="Palatino Linotype" w:cs="Arial"/>
          <w:b/>
        </w:rPr>
        <w:t>MODIFICAR</w:t>
      </w:r>
      <w:r>
        <w:rPr>
          <w:rFonts w:ascii="Palatino Linotype" w:hAnsi="Palatino Linotype" w:cs="Arial"/>
        </w:rPr>
        <w:t xml:space="preserve"> la respuesta del </w:t>
      </w:r>
      <w:r>
        <w:rPr>
          <w:rFonts w:ascii="Palatino Linotype" w:hAnsi="Palatino Linotype" w:cs="Arial"/>
          <w:b/>
        </w:rPr>
        <w:t xml:space="preserve">SUJETO OBLIGADO </w:t>
      </w:r>
      <w:r>
        <w:rPr>
          <w:rFonts w:ascii="Palatino Linotype" w:hAnsi="Palatino Linotype" w:cs="Arial"/>
        </w:rPr>
        <w:t>y en su caso ordenarle la entrega de la información que ha quedado precisada en el presente considerando.</w:t>
      </w:r>
    </w:p>
    <w:p w14:paraId="6EC8AD55" w14:textId="77777777" w:rsidR="00282FC7" w:rsidRDefault="00A022C2">
      <w:pPr>
        <w:pStyle w:val="Prrafodelista"/>
        <w:widowControl w:val="0"/>
        <w:spacing w:beforeAutospacing="1"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 </w:t>
      </w:r>
    </w:p>
    <w:p w14:paraId="23AE7FD4" w14:textId="77777777" w:rsidR="00282FC7" w:rsidRDefault="00A022C2">
      <w:pPr>
        <w:spacing w:before="240" w:after="120" w:line="360" w:lineRule="auto"/>
        <w:jc w:val="center"/>
        <w:rPr>
          <w:rFonts w:ascii="Palatino Linotype" w:hAnsi="Palatino Linotype" w:cs="Arial"/>
          <w:b/>
          <w:bCs/>
          <w:spacing w:val="40"/>
          <w:sz w:val="28"/>
          <w:szCs w:val="28"/>
          <w:lang w:val="es-ES_tradnl"/>
        </w:rPr>
      </w:pPr>
      <w:r>
        <w:rPr>
          <w:rFonts w:ascii="Palatino Linotype" w:hAnsi="Palatino Linotype" w:cs="Arial"/>
          <w:b/>
          <w:bCs/>
          <w:spacing w:val="40"/>
          <w:sz w:val="28"/>
          <w:szCs w:val="28"/>
          <w:lang w:val="es-ES_tradnl"/>
        </w:rPr>
        <w:t>RESUELVE</w:t>
      </w:r>
    </w:p>
    <w:p w14:paraId="786ABBDB" w14:textId="77777777" w:rsidR="00282FC7" w:rsidRDefault="00A022C2">
      <w:pPr>
        <w:pStyle w:val="Prrafodelista"/>
        <w:widowControl w:val="0"/>
        <w:tabs>
          <w:tab w:val="left" w:pos="1701"/>
        </w:tabs>
        <w:spacing w:before="240" w:afterAutospacing="1" w:line="360" w:lineRule="auto"/>
        <w:ind w:left="0"/>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rPr>
        <w:t xml:space="preserve"> 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cs="Arial"/>
          <w:b/>
        </w:rPr>
        <w:t>LA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14:paraId="31B5CA94" w14:textId="77777777" w:rsidR="00282FC7" w:rsidRDefault="00A022C2">
      <w:pPr>
        <w:pStyle w:val="Prrafodelista"/>
        <w:widowControl w:val="0"/>
        <w:tabs>
          <w:tab w:val="left" w:pos="1701"/>
        </w:tabs>
        <w:spacing w:before="240" w:afterAutospacing="1" w:line="360" w:lineRule="auto"/>
        <w:ind w:left="0"/>
        <w:jc w:val="both"/>
        <w:rPr>
          <w:rFonts w:ascii="Palatino Linotype" w:hAnsi="Palatino Linotype" w:cs="Arial"/>
        </w:rPr>
      </w:pPr>
      <w:r>
        <w:rPr>
          <w:rFonts w:ascii="Palatino Linotype" w:hAnsi="Palatino Linotype" w:cs="Arial"/>
          <w:b/>
          <w:sz w:val="28"/>
          <w:szCs w:val="28"/>
        </w:rPr>
        <w:t>SEGUNDO</w:t>
      </w:r>
      <w:r>
        <w:rPr>
          <w:rFonts w:ascii="Palatino Linotype" w:hAnsi="Palatino Linotype" w:cs="Arial"/>
          <w:b/>
        </w:rPr>
        <w:t xml:space="preserve">. </w:t>
      </w:r>
      <w:r>
        <w:rPr>
          <w:rFonts w:ascii="Palatino Linotype" w:hAnsi="Palatino Linotype" w:cs="Arial"/>
        </w:rPr>
        <w:t xml:space="preserve">Se </w:t>
      </w:r>
      <w:r>
        <w:rPr>
          <w:rFonts w:ascii="Palatino Linotype" w:hAnsi="Palatino Linotype" w:cs="Arial"/>
          <w:b/>
        </w:rPr>
        <w:t xml:space="preserve">MODIFICA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se ordena atienda la solicitud de información que dio origen al recurso de revisión </w:t>
      </w:r>
      <w:r>
        <w:rPr>
          <w:rFonts w:ascii="Palatino Linotype" w:hAnsi="Palatino Linotype"/>
          <w:b/>
          <w:lang w:val="es-ES_tradnl"/>
        </w:rPr>
        <w:t>00832/</w:t>
      </w:r>
      <w:proofErr w:type="spellStart"/>
      <w:r>
        <w:rPr>
          <w:rFonts w:ascii="Palatino Linotype" w:hAnsi="Palatino Linotype"/>
          <w:b/>
          <w:lang w:val="es-ES_tradnl"/>
        </w:rPr>
        <w:t>INFOEM</w:t>
      </w:r>
      <w:proofErr w:type="spellEnd"/>
      <w:r>
        <w:rPr>
          <w:rFonts w:ascii="Palatino Linotype" w:hAnsi="Palatino Linotype"/>
          <w:b/>
          <w:lang w:val="es-ES_tradnl"/>
        </w:rPr>
        <w:t>/IP/</w:t>
      </w:r>
      <w:proofErr w:type="spellStart"/>
      <w:r>
        <w:rPr>
          <w:rFonts w:ascii="Palatino Linotype" w:hAnsi="Palatino Linotype"/>
          <w:b/>
          <w:lang w:val="es-ES_tradnl"/>
        </w:rPr>
        <w:t>RR</w:t>
      </w:r>
      <w:proofErr w:type="spellEnd"/>
      <w:r>
        <w:rPr>
          <w:rFonts w:ascii="Palatino Linotype" w:hAnsi="Palatino Linotype"/>
          <w:b/>
          <w:lang w:val="es-ES_tradnl"/>
        </w:rPr>
        <w:t>/2020</w:t>
      </w:r>
      <w:r>
        <w:rPr>
          <w:rFonts w:ascii="Palatino Linotype" w:hAnsi="Palatino Linotype"/>
        </w:rPr>
        <w:t xml:space="preserve">, </w:t>
      </w:r>
      <w:r>
        <w:rPr>
          <w:rFonts w:ascii="Palatino Linotype" w:hAnsi="Palatino Linotype" w:cs="Arial"/>
        </w:rPr>
        <w:t xml:space="preserve">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rPr>
        <w:t xml:space="preserve">de la presente resolución </w:t>
      </w:r>
      <w:r>
        <w:rPr>
          <w:rFonts w:ascii="Palatino Linotype" w:hAnsi="Palatino Linotype" w:cs="Arial"/>
        </w:rPr>
        <w:t xml:space="preserve">y haga entrega a </w:t>
      </w:r>
      <w:r>
        <w:rPr>
          <w:rFonts w:ascii="Palatino Linotype" w:hAnsi="Palatino Linotype" w:cs="Arial"/>
          <w:b/>
        </w:rPr>
        <w:t>LA</w:t>
      </w:r>
      <w:r>
        <w:rPr>
          <w:rFonts w:ascii="Palatino Linotype" w:hAnsi="Palatino Linotype" w:cs="Arial"/>
        </w:rPr>
        <w:t xml:space="preserve">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EL</w:t>
      </w:r>
      <w:r>
        <w:rPr>
          <w:rFonts w:ascii="Palatino Linotype" w:hAnsi="Palatino Linotype" w:cs="Arial"/>
        </w:rPr>
        <w:t xml:space="preserve"> </w:t>
      </w:r>
      <w:proofErr w:type="spellStart"/>
      <w:r>
        <w:rPr>
          <w:rFonts w:ascii="Palatino Linotype" w:hAnsi="Palatino Linotype" w:cs="Arial"/>
          <w:b/>
        </w:rPr>
        <w:t>SAIMEX</w:t>
      </w:r>
      <w:proofErr w:type="spellEnd"/>
      <w:r>
        <w:rPr>
          <w:rFonts w:ascii="Palatino Linotype" w:hAnsi="Palatino Linotype" w:cs="Arial"/>
          <w:b/>
        </w:rPr>
        <w:t xml:space="preserve"> </w:t>
      </w:r>
      <w:r>
        <w:rPr>
          <w:rFonts w:ascii="Palatino Linotype" w:hAnsi="Palatino Linotype" w:cs="Arial"/>
        </w:rPr>
        <w:t>de lo siguiente</w:t>
      </w:r>
      <w:r>
        <w:rPr>
          <w:rFonts w:ascii="Palatino Linotype" w:hAnsi="Palatino Linotype"/>
          <w:shd w:val="clear" w:color="auto" w:fill="FFFFFF"/>
        </w:rPr>
        <w:t>:</w:t>
      </w:r>
    </w:p>
    <w:p w14:paraId="262959B9" w14:textId="77777777" w:rsidR="00282FC7" w:rsidRDefault="00A022C2">
      <w:pPr>
        <w:pStyle w:val="Prrafodelista"/>
        <w:spacing w:before="240" w:after="240"/>
        <w:ind w:left="851" w:right="902"/>
        <w:jc w:val="both"/>
        <w:rPr>
          <w:rFonts w:ascii="Palatino Linotype" w:hAnsi="Palatino Linotype"/>
          <w:i/>
          <w:sz w:val="22"/>
          <w:szCs w:val="22"/>
        </w:rPr>
      </w:pPr>
      <w:r>
        <w:rPr>
          <w:rFonts w:ascii="Palatino Linotype" w:hAnsi="Palatino Linotype"/>
          <w:i/>
          <w:iCs/>
          <w:color w:val="222222"/>
          <w:sz w:val="22"/>
          <w:szCs w:val="22"/>
          <w:lang w:eastAsia="es-MX"/>
        </w:rPr>
        <w:t>“</w:t>
      </w:r>
      <w:r>
        <w:rPr>
          <w:rFonts w:ascii="Palatino Linotype" w:hAnsi="Palatino Linotype"/>
          <w:i/>
          <w:sz w:val="22"/>
          <w:szCs w:val="22"/>
        </w:rPr>
        <w:t xml:space="preserve">El Acuerdo de Inexistencia </w:t>
      </w:r>
      <w:r>
        <w:rPr>
          <w:rFonts w:ascii="Palatino Linotype" w:hAnsi="Palatino Linotype" w:cs="Arial"/>
          <w:i/>
          <w:sz w:val="22"/>
          <w:szCs w:val="22"/>
        </w:rPr>
        <w:t>que apruebe el Comité de Transparencia</w:t>
      </w:r>
      <w:r>
        <w:rPr>
          <w:rFonts w:ascii="Palatino Linotype" w:hAnsi="Palatino Linotype"/>
          <w:i/>
          <w:sz w:val="22"/>
          <w:szCs w:val="22"/>
        </w:rPr>
        <w:t xml:space="preserve"> de la información referente a los nombres y cargos de las Autoridades Auxiliares de las </w:t>
      </w:r>
      <w:r>
        <w:rPr>
          <w:rFonts w:ascii="Palatino Linotype" w:hAnsi="Palatino Linotype"/>
          <w:i/>
          <w:sz w:val="22"/>
          <w:szCs w:val="22"/>
        </w:rPr>
        <w:lastRenderedPageBreak/>
        <w:t xml:space="preserve">comunidades consideradas faltantes en el Municipio de Jaltenco, al veintiuno de enero de dos mil veinte, </w:t>
      </w:r>
      <w:r>
        <w:rPr>
          <w:rFonts w:ascii="Palatino Linotype" w:hAnsi="Palatino Linotype"/>
          <w:bCs/>
          <w:i/>
          <w:sz w:val="22"/>
          <w:szCs w:val="22"/>
        </w:rPr>
        <w:t xml:space="preserve">en términos de los artículos 49 fracciones II  y XIII, 169 y 170 de la Ley de Transparencia y Acceso a la Información Pública del Estado de México y Municipios, debiendo notificarlo a </w:t>
      </w:r>
      <w:r>
        <w:rPr>
          <w:rFonts w:ascii="Palatino Linotype" w:hAnsi="Palatino Linotype"/>
          <w:b/>
          <w:bCs/>
          <w:i/>
          <w:sz w:val="22"/>
          <w:szCs w:val="22"/>
        </w:rPr>
        <w:t>LA</w:t>
      </w:r>
      <w:r>
        <w:rPr>
          <w:rFonts w:ascii="Palatino Linotype" w:hAnsi="Palatino Linotype"/>
          <w:bCs/>
          <w:i/>
          <w:sz w:val="22"/>
          <w:szCs w:val="22"/>
        </w:rPr>
        <w:t xml:space="preserve"> </w:t>
      </w:r>
      <w:r>
        <w:rPr>
          <w:rFonts w:ascii="Palatino Linotype" w:hAnsi="Palatino Linotype"/>
          <w:b/>
          <w:bCs/>
          <w:i/>
          <w:sz w:val="22"/>
          <w:szCs w:val="22"/>
        </w:rPr>
        <w:t>RECURRENTE</w:t>
      </w:r>
      <w:r>
        <w:rPr>
          <w:rFonts w:ascii="Palatino Linotype" w:hAnsi="Palatino Linotype"/>
          <w:bCs/>
          <w:i/>
          <w:sz w:val="22"/>
          <w:szCs w:val="22"/>
        </w:rPr>
        <w:t xml:space="preserve"> al momento de dar cumplimiento a la presente resolución.</w:t>
      </w:r>
      <w:r>
        <w:rPr>
          <w:rFonts w:ascii="Palatino Linotype" w:hAnsi="Palatino Linotype"/>
          <w:b/>
          <w:i/>
          <w:sz w:val="22"/>
          <w:szCs w:val="22"/>
        </w:rPr>
        <w:t>”</w:t>
      </w:r>
    </w:p>
    <w:p w14:paraId="1B63CC66" w14:textId="77777777" w:rsidR="00282FC7" w:rsidRDefault="00A022C2">
      <w:pPr>
        <w:pStyle w:val="Prrafodelista"/>
        <w:widowControl w:val="0"/>
        <w:tabs>
          <w:tab w:val="left" w:pos="1701"/>
        </w:tabs>
        <w:spacing w:before="240" w:afterAutospacing="1" w:line="360" w:lineRule="auto"/>
        <w:ind w:left="0"/>
        <w:jc w:val="both"/>
        <w:rPr>
          <w:rFonts w:ascii="Palatino Linotype" w:hAnsi="Palatino Linotype"/>
          <w:highlight w:val="white"/>
        </w:rPr>
      </w:pPr>
      <w:r>
        <w:rPr>
          <w:rFonts w:ascii="Palatino Linotype" w:hAnsi="Palatino Linotype"/>
          <w:b/>
          <w:sz w:val="28"/>
          <w:szCs w:val="28"/>
          <w:lang w:eastAsia="es-ES_tradnl"/>
        </w:rPr>
        <w:t>TERCERO</w:t>
      </w:r>
      <w:r>
        <w:rPr>
          <w:rFonts w:ascii="Palatino Linotype" w:hAnsi="Palatino Linotype"/>
          <w:szCs w:val="17"/>
          <w:lang w:eastAsia="es-ES_tradnl"/>
        </w:rPr>
        <w:t xml:space="preserve">. </w:t>
      </w: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14:paraId="5EA535C0" w14:textId="77777777" w:rsidR="00282FC7" w:rsidRDefault="00A022C2">
      <w:pPr>
        <w:pStyle w:val="Prrafodelista"/>
        <w:spacing w:line="360" w:lineRule="auto"/>
        <w:ind w:left="0"/>
        <w:jc w:val="both"/>
        <w:rPr>
          <w:rFonts w:ascii="Palatino Linotype" w:hAnsi="Palatino Linotype"/>
          <w:color w:val="222222"/>
          <w:highlight w:val="white"/>
        </w:rPr>
      </w:pPr>
      <w:r>
        <w:rPr>
          <w:rFonts w:ascii="Palatino Linotype" w:hAnsi="Palatino Linotype"/>
          <w:b/>
          <w:color w:val="222222"/>
          <w:sz w:val="28"/>
          <w:szCs w:val="28"/>
          <w:shd w:val="clear" w:color="auto" w:fill="FFFFFF"/>
        </w:rPr>
        <w:t>CUARTO</w:t>
      </w:r>
      <w:r>
        <w:rPr>
          <w:rFonts w:ascii="Palatino Linotype" w:hAnsi="Palatino Linotype"/>
          <w:color w:val="222222"/>
          <w:shd w:val="clear" w:color="auto" w:fill="FFFFFF"/>
        </w:rPr>
        <w:t xml:space="preserve">. Con fundamento en el artículo 198 de la Ley de Transparencia y Acceso a la Información Pública del Estado de México y Municipios, se apercibe al </w:t>
      </w:r>
      <w:r>
        <w:rPr>
          <w:rFonts w:ascii="Palatino Linotype" w:hAnsi="Palatino Linotype"/>
          <w:b/>
          <w:color w:val="222222"/>
          <w:shd w:val="clear" w:color="auto" w:fill="FFFFFF"/>
        </w:rPr>
        <w:t>SUJETO OBLIGADO</w:t>
      </w:r>
      <w:r>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030BF8A5" w14:textId="77777777" w:rsidR="00282FC7" w:rsidRDefault="00A022C2">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QUINTO</w:t>
      </w:r>
      <w:r>
        <w:rPr>
          <w:rFonts w:ascii="Palatino Linotype" w:hAnsi="Palatino Linotype"/>
          <w:b/>
          <w:szCs w:val="17"/>
          <w:lang w:eastAsia="es-ES_tradnl"/>
        </w:rPr>
        <w:t>. Notifíquese</w:t>
      </w:r>
      <w:r>
        <w:rPr>
          <w:rFonts w:ascii="Palatino Linotype" w:hAnsi="Palatino Linotype"/>
          <w:szCs w:val="17"/>
          <w:lang w:eastAsia="es-ES_tradnl"/>
        </w:rPr>
        <w:t xml:space="preserve"> a </w:t>
      </w:r>
      <w:r>
        <w:rPr>
          <w:rFonts w:ascii="Palatino Linotype" w:hAnsi="Palatino Linotype"/>
          <w:b/>
          <w:szCs w:val="17"/>
          <w:lang w:eastAsia="es-ES_tradnl"/>
        </w:rPr>
        <w:t>LA</w:t>
      </w:r>
      <w:r>
        <w:rPr>
          <w:rFonts w:ascii="Palatino Linotype" w:hAnsi="Palatino Linotype"/>
          <w:szCs w:val="17"/>
          <w:lang w:eastAsia="es-ES_tradnl"/>
        </w:rPr>
        <w:t xml:space="preserve"> </w:t>
      </w:r>
      <w:r>
        <w:rPr>
          <w:rFonts w:ascii="Palatino Linotype" w:hAnsi="Palatino Linotype" w:cs="Arial"/>
          <w:b/>
        </w:rPr>
        <w:t>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14:paraId="7D4E8903" w14:textId="77777777" w:rsidR="00282FC7" w:rsidRDefault="00A022C2">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b/>
          <w:sz w:val="28"/>
          <w:szCs w:val="28"/>
          <w:lang w:eastAsia="es-ES_tradnl"/>
        </w:rPr>
        <w:t>SEXTO</w:t>
      </w:r>
      <w:r>
        <w:rPr>
          <w:rFonts w:ascii="Palatino Linotype" w:hAnsi="Palatino Linotype"/>
          <w:b/>
          <w:szCs w:val="17"/>
          <w:lang w:eastAsia="es-ES_tradnl"/>
        </w:rPr>
        <w:t>. 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 xml:space="preserve">de </w:t>
      </w:r>
      <w:r>
        <w:rPr>
          <w:rFonts w:ascii="Palatino Linotype" w:hAnsi="Palatino Linotype"/>
          <w:b/>
        </w:rPr>
        <w:t>LA</w:t>
      </w:r>
      <w:r>
        <w:rPr>
          <w:rFonts w:ascii="Palatino Linotype" w:hAnsi="Palatino Linotype"/>
        </w:rPr>
        <w:t xml:space="preserve"> </w:t>
      </w:r>
      <w:r>
        <w:rPr>
          <w:rFonts w:ascii="Palatino Linotype" w:hAnsi="Palatino Linotype" w:cs="Arial"/>
          <w:b/>
        </w:rPr>
        <w:t>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14:paraId="48EB2556" w14:textId="77777777" w:rsidR="00282FC7" w:rsidRDefault="00A022C2">
      <w:pPr>
        <w:spacing w:line="360" w:lineRule="auto"/>
        <w:jc w:val="both"/>
        <w:rPr>
          <w:rFonts w:ascii="Palatino Linotype" w:hAnsi="Palatino Linotype" w:cs="Arial"/>
        </w:rPr>
      </w:pPr>
      <w:r>
        <w:rPr>
          <w:rFonts w:ascii="Palatino Linotype" w:hAnsi="Palatino Linotype" w:cs="Arial"/>
          <w:lang w:val="es-ES"/>
        </w:rPr>
        <w:lastRenderedPageBreak/>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w:t>
      </w:r>
      <w:proofErr w:type="spellStart"/>
      <w:r>
        <w:rPr>
          <w:rFonts w:ascii="Palatino Linotype" w:hAnsi="Palatino Linotype" w:cs="Arial"/>
          <w:lang w:val="es-ES"/>
        </w:rPr>
        <w:t>ABAID</w:t>
      </w:r>
      <w:proofErr w:type="spellEnd"/>
      <w:r>
        <w:rPr>
          <w:rFonts w:ascii="Palatino Linotype" w:hAnsi="Palatino Linotype" w:cs="Arial"/>
          <w:lang w:val="es-ES"/>
        </w:rPr>
        <w:t xml:space="preserve"> YAPUR; JOSÉ GUADALUPE LUNA HERNÁNDEZ EMITIENDO VOTO PARTICULAR, JAVIER MARTÍNEZ CRUZ Y LUIS GUSTAVO PARRA NORIEGA; </w:t>
      </w:r>
      <w:r>
        <w:rPr>
          <w:rFonts w:ascii="Palatino Linotype" w:hAnsi="Palatino Linotype" w:cs="Arial"/>
          <w:shd w:val="clear" w:color="auto" w:fill="FFFFFF"/>
          <w:lang w:val="es-ES"/>
        </w:rPr>
        <w:t xml:space="preserve">EN LA DÉCIMA TERCERA </w:t>
      </w:r>
      <w:r>
        <w:rPr>
          <w:rFonts w:ascii="Palatino Linotype" w:hAnsi="Palatino Linotype" w:cs="Arial"/>
          <w:lang w:val="es-ES"/>
        </w:rPr>
        <w:t xml:space="preserve">SESIÓN ORDINARIA CELEBRADA EL </w:t>
      </w:r>
      <w:r>
        <w:rPr>
          <w:rFonts w:ascii="Palatino Linotype" w:hAnsi="Palatino Linotype" w:cs="Arial"/>
          <w:caps/>
          <w:lang w:val="es-ES"/>
        </w:rPr>
        <w:t>DOCE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10365" w:type="dxa"/>
        <w:jc w:val="center"/>
        <w:tblLook w:val="04A0" w:firstRow="1" w:lastRow="0" w:firstColumn="1" w:lastColumn="0" w:noHBand="0" w:noVBand="1"/>
      </w:tblPr>
      <w:tblGrid>
        <w:gridCol w:w="5182"/>
        <w:gridCol w:w="5183"/>
      </w:tblGrid>
      <w:tr w:rsidR="00282FC7" w14:paraId="0EA95C45" w14:textId="77777777">
        <w:trPr>
          <w:jc w:val="center"/>
        </w:trPr>
        <w:tc>
          <w:tcPr>
            <w:tcW w:w="10364" w:type="dxa"/>
            <w:gridSpan w:val="2"/>
          </w:tcPr>
          <w:p w14:paraId="00043EB8" w14:textId="77777777" w:rsidR="00282FC7" w:rsidRDefault="00282FC7">
            <w:pPr>
              <w:jc w:val="center"/>
              <w:rPr>
                <w:rFonts w:ascii="Palatino Linotype" w:hAnsi="Palatino Linotype" w:cs="Arial"/>
                <w:b/>
              </w:rPr>
            </w:pPr>
          </w:p>
          <w:p w14:paraId="3DE6D097" w14:textId="77777777" w:rsidR="00282FC7" w:rsidRDefault="00282FC7">
            <w:pPr>
              <w:jc w:val="center"/>
              <w:rPr>
                <w:rFonts w:ascii="Palatino Linotype" w:hAnsi="Palatino Linotype" w:cs="Arial"/>
                <w:b/>
              </w:rPr>
            </w:pPr>
          </w:p>
          <w:p w14:paraId="5ADD1017" w14:textId="77777777" w:rsidR="00282FC7" w:rsidRDefault="00282FC7">
            <w:pPr>
              <w:jc w:val="center"/>
              <w:rPr>
                <w:rFonts w:ascii="Palatino Linotype" w:hAnsi="Palatino Linotype" w:cs="Arial"/>
                <w:b/>
              </w:rPr>
            </w:pPr>
          </w:p>
          <w:p w14:paraId="6DBF24E2" w14:textId="77777777" w:rsidR="0061108E" w:rsidRDefault="0061108E">
            <w:pPr>
              <w:jc w:val="center"/>
              <w:rPr>
                <w:rFonts w:ascii="Palatino Linotype" w:hAnsi="Palatino Linotype" w:cs="Arial"/>
                <w:b/>
              </w:rPr>
            </w:pPr>
          </w:p>
          <w:p w14:paraId="58F6ECD5" w14:textId="77777777" w:rsidR="0061108E" w:rsidRDefault="0061108E">
            <w:pPr>
              <w:jc w:val="center"/>
              <w:rPr>
                <w:rFonts w:ascii="Palatino Linotype" w:hAnsi="Palatino Linotype" w:cs="Arial"/>
                <w:b/>
              </w:rPr>
            </w:pPr>
          </w:p>
          <w:p w14:paraId="13E8959A" w14:textId="77777777" w:rsidR="0061108E" w:rsidRDefault="0061108E">
            <w:pPr>
              <w:jc w:val="center"/>
              <w:rPr>
                <w:rFonts w:ascii="Palatino Linotype" w:hAnsi="Palatino Linotype" w:cs="Arial"/>
                <w:b/>
              </w:rPr>
            </w:pPr>
          </w:p>
          <w:p w14:paraId="5CBFEFD6" w14:textId="77777777" w:rsidR="0061108E" w:rsidRDefault="0061108E">
            <w:pPr>
              <w:jc w:val="center"/>
              <w:rPr>
                <w:rFonts w:ascii="Palatino Linotype" w:hAnsi="Palatino Linotype" w:cs="Arial"/>
                <w:b/>
              </w:rPr>
            </w:pPr>
          </w:p>
          <w:p w14:paraId="4A60DC1A" w14:textId="77777777" w:rsidR="00282FC7" w:rsidRDefault="00282FC7">
            <w:pPr>
              <w:jc w:val="center"/>
              <w:rPr>
                <w:rFonts w:ascii="Palatino Linotype" w:hAnsi="Palatino Linotype" w:cs="Arial"/>
                <w:b/>
              </w:rPr>
            </w:pPr>
          </w:p>
          <w:p w14:paraId="00E8B8DA" w14:textId="77777777" w:rsidR="00282FC7" w:rsidRDefault="00A022C2">
            <w:pPr>
              <w:jc w:val="center"/>
              <w:rPr>
                <w:rFonts w:ascii="Palatino Linotype" w:hAnsi="Palatino Linotype" w:cs="Arial"/>
                <w:b/>
              </w:rPr>
            </w:pPr>
            <w:r>
              <w:rPr>
                <w:rFonts w:ascii="Palatino Linotype" w:hAnsi="Palatino Linotype" w:cs="Arial"/>
                <w:b/>
              </w:rPr>
              <w:t>Zulema Martínez Sánchez</w:t>
            </w:r>
          </w:p>
          <w:p w14:paraId="7B0829C8" w14:textId="77777777" w:rsidR="00282FC7" w:rsidRDefault="00A022C2">
            <w:pPr>
              <w:jc w:val="center"/>
              <w:rPr>
                <w:rFonts w:ascii="Palatino Linotype" w:hAnsi="Palatino Linotype" w:cs="Arial"/>
                <w:b/>
              </w:rPr>
            </w:pPr>
            <w:r>
              <w:rPr>
                <w:rFonts w:ascii="Palatino Linotype" w:hAnsi="Palatino Linotype" w:cs="Arial"/>
              </w:rPr>
              <w:t xml:space="preserve">Comisionada </w:t>
            </w:r>
            <w:proofErr w:type="gramStart"/>
            <w:r>
              <w:rPr>
                <w:rFonts w:ascii="Palatino Linotype" w:hAnsi="Palatino Linotype" w:cs="Arial"/>
              </w:rPr>
              <w:t>Presidenta</w:t>
            </w:r>
            <w:proofErr w:type="gramEnd"/>
          </w:p>
          <w:p w14:paraId="0337CC68" w14:textId="77777777" w:rsidR="00282FC7" w:rsidRDefault="00A022C2">
            <w:pPr>
              <w:jc w:val="center"/>
              <w:rPr>
                <w:rFonts w:ascii="Palatino Linotype" w:hAnsi="Palatino Linotype" w:cs="Arial"/>
                <w:b/>
              </w:rPr>
            </w:pPr>
            <w:r>
              <w:rPr>
                <w:rFonts w:ascii="Palatino Linotype" w:hAnsi="Palatino Linotype" w:cs="Arial"/>
                <w:b/>
              </w:rPr>
              <w:t xml:space="preserve">(RÚBRICA) </w:t>
            </w:r>
          </w:p>
        </w:tc>
      </w:tr>
      <w:tr w:rsidR="00282FC7" w14:paraId="43751CD1" w14:textId="77777777">
        <w:trPr>
          <w:jc w:val="center"/>
        </w:trPr>
        <w:tc>
          <w:tcPr>
            <w:tcW w:w="5182" w:type="dxa"/>
          </w:tcPr>
          <w:p w14:paraId="1245762C" w14:textId="77777777" w:rsidR="00282FC7" w:rsidRDefault="00282FC7">
            <w:pPr>
              <w:jc w:val="center"/>
              <w:rPr>
                <w:rFonts w:ascii="Palatino Linotype" w:hAnsi="Palatino Linotype" w:cs="Arial"/>
                <w:b/>
              </w:rPr>
            </w:pPr>
          </w:p>
          <w:p w14:paraId="0DD33BD2" w14:textId="77777777" w:rsidR="00282FC7" w:rsidRDefault="00282FC7">
            <w:pPr>
              <w:jc w:val="center"/>
              <w:rPr>
                <w:rFonts w:ascii="Palatino Linotype" w:hAnsi="Palatino Linotype" w:cs="Arial"/>
                <w:b/>
              </w:rPr>
            </w:pPr>
          </w:p>
          <w:p w14:paraId="7BAAA5DA" w14:textId="77777777" w:rsidR="00282FC7" w:rsidRDefault="00282FC7">
            <w:pPr>
              <w:jc w:val="center"/>
              <w:rPr>
                <w:rFonts w:ascii="Palatino Linotype" w:hAnsi="Palatino Linotype" w:cs="Arial"/>
                <w:b/>
              </w:rPr>
            </w:pPr>
          </w:p>
          <w:p w14:paraId="5CA98FBC" w14:textId="77777777" w:rsidR="00282FC7" w:rsidRDefault="00282FC7">
            <w:pPr>
              <w:jc w:val="center"/>
              <w:rPr>
                <w:rFonts w:ascii="Palatino Linotype" w:hAnsi="Palatino Linotype" w:cs="Arial"/>
                <w:b/>
              </w:rPr>
            </w:pPr>
          </w:p>
          <w:p w14:paraId="6FFBFCBB" w14:textId="77777777" w:rsidR="0061108E" w:rsidRDefault="0061108E">
            <w:pPr>
              <w:jc w:val="center"/>
              <w:rPr>
                <w:rFonts w:ascii="Palatino Linotype" w:hAnsi="Palatino Linotype" w:cs="Arial"/>
                <w:b/>
              </w:rPr>
            </w:pPr>
          </w:p>
          <w:p w14:paraId="311B7F2E" w14:textId="77777777" w:rsidR="0061108E" w:rsidRDefault="0061108E">
            <w:pPr>
              <w:jc w:val="center"/>
              <w:rPr>
                <w:rFonts w:ascii="Palatino Linotype" w:hAnsi="Palatino Linotype" w:cs="Arial"/>
                <w:b/>
              </w:rPr>
            </w:pPr>
          </w:p>
          <w:p w14:paraId="06EADB43" w14:textId="77777777" w:rsidR="0061108E" w:rsidRDefault="0061108E">
            <w:pPr>
              <w:jc w:val="center"/>
              <w:rPr>
                <w:rFonts w:ascii="Palatino Linotype" w:hAnsi="Palatino Linotype" w:cs="Arial"/>
                <w:b/>
              </w:rPr>
            </w:pPr>
          </w:p>
          <w:p w14:paraId="7AEA3AC1" w14:textId="77777777" w:rsidR="00282FC7" w:rsidRDefault="00282FC7">
            <w:pPr>
              <w:jc w:val="center"/>
              <w:rPr>
                <w:rFonts w:ascii="Palatino Linotype" w:hAnsi="Palatino Linotype" w:cs="Arial"/>
                <w:b/>
              </w:rPr>
            </w:pPr>
          </w:p>
          <w:p w14:paraId="06DCFEC5" w14:textId="77777777" w:rsidR="00282FC7" w:rsidRDefault="00A022C2">
            <w:pPr>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p>
          <w:p w14:paraId="67267A65" w14:textId="77777777" w:rsidR="00282FC7" w:rsidRDefault="00A022C2">
            <w:pPr>
              <w:jc w:val="center"/>
              <w:rPr>
                <w:rFonts w:ascii="Palatino Linotype" w:hAnsi="Palatino Linotype" w:cs="Arial"/>
              </w:rPr>
            </w:pPr>
            <w:r>
              <w:rPr>
                <w:rFonts w:ascii="Palatino Linotype" w:hAnsi="Palatino Linotype" w:cs="Arial"/>
              </w:rPr>
              <w:t>Comisionada</w:t>
            </w:r>
          </w:p>
          <w:p w14:paraId="4A3262B0" w14:textId="77777777" w:rsidR="00282FC7" w:rsidRDefault="00A022C2">
            <w:pPr>
              <w:jc w:val="center"/>
              <w:rPr>
                <w:rFonts w:ascii="Palatino Linotype" w:hAnsi="Palatino Linotype" w:cs="Arial"/>
                <w:b/>
              </w:rPr>
            </w:pPr>
            <w:r>
              <w:rPr>
                <w:rFonts w:ascii="Palatino Linotype" w:hAnsi="Palatino Linotype" w:cs="Arial"/>
                <w:b/>
              </w:rPr>
              <w:t>(RÚBRICA)</w:t>
            </w:r>
          </w:p>
        </w:tc>
        <w:tc>
          <w:tcPr>
            <w:tcW w:w="5182" w:type="dxa"/>
          </w:tcPr>
          <w:p w14:paraId="0A00C64B" w14:textId="77777777" w:rsidR="00282FC7" w:rsidRDefault="00282FC7">
            <w:pPr>
              <w:jc w:val="center"/>
              <w:rPr>
                <w:rFonts w:ascii="Palatino Linotype" w:hAnsi="Palatino Linotype" w:cs="Arial"/>
                <w:b/>
              </w:rPr>
            </w:pPr>
          </w:p>
          <w:p w14:paraId="5AC3E23E" w14:textId="77777777" w:rsidR="00282FC7" w:rsidRDefault="00282FC7">
            <w:pPr>
              <w:jc w:val="center"/>
              <w:rPr>
                <w:rFonts w:ascii="Palatino Linotype" w:hAnsi="Palatino Linotype" w:cs="Arial"/>
                <w:b/>
              </w:rPr>
            </w:pPr>
          </w:p>
          <w:p w14:paraId="27CB4ACD" w14:textId="77777777" w:rsidR="0061108E" w:rsidRDefault="0061108E">
            <w:pPr>
              <w:jc w:val="center"/>
              <w:rPr>
                <w:rFonts w:ascii="Palatino Linotype" w:hAnsi="Palatino Linotype" w:cs="Arial"/>
                <w:b/>
              </w:rPr>
            </w:pPr>
          </w:p>
          <w:p w14:paraId="3D0171FD" w14:textId="77777777" w:rsidR="0061108E" w:rsidRDefault="0061108E">
            <w:pPr>
              <w:jc w:val="center"/>
              <w:rPr>
                <w:rFonts w:ascii="Palatino Linotype" w:hAnsi="Palatino Linotype" w:cs="Arial"/>
                <w:b/>
              </w:rPr>
            </w:pPr>
          </w:p>
          <w:p w14:paraId="7B7ED6BD" w14:textId="77777777" w:rsidR="0061108E" w:rsidRDefault="0061108E">
            <w:pPr>
              <w:jc w:val="center"/>
              <w:rPr>
                <w:rFonts w:ascii="Palatino Linotype" w:hAnsi="Palatino Linotype" w:cs="Arial"/>
                <w:b/>
              </w:rPr>
            </w:pPr>
          </w:p>
          <w:p w14:paraId="4C011D13" w14:textId="77777777" w:rsidR="00282FC7" w:rsidRDefault="00282FC7">
            <w:pPr>
              <w:jc w:val="center"/>
              <w:rPr>
                <w:rFonts w:ascii="Palatino Linotype" w:hAnsi="Palatino Linotype" w:cs="Arial"/>
                <w:b/>
              </w:rPr>
            </w:pPr>
          </w:p>
          <w:p w14:paraId="61C54B06" w14:textId="77777777" w:rsidR="00282FC7" w:rsidRDefault="00282FC7">
            <w:pPr>
              <w:jc w:val="center"/>
              <w:rPr>
                <w:rFonts w:ascii="Palatino Linotype" w:hAnsi="Palatino Linotype" w:cs="Arial"/>
                <w:b/>
              </w:rPr>
            </w:pPr>
          </w:p>
          <w:p w14:paraId="68DC1F50" w14:textId="77777777" w:rsidR="00282FC7" w:rsidRDefault="00282FC7">
            <w:pPr>
              <w:jc w:val="center"/>
              <w:rPr>
                <w:rFonts w:ascii="Palatino Linotype" w:hAnsi="Palatino Linotype" w:cs="Arial"/>
                <w:b/>
              </w:rPr>
            </w:pPr>
          </w:p>
          <w:p w14:paraId="5FAA1CBF" w14:textId="77777777" w:rsidR="00282FC7" w:rsidRDefault="00A022C2">
            <w:pPr>
              <w:jc w:val="center"/>
              <w:rPr>
                <w:rFonts w:ascii="Palatino Linotype" w:hAnsi="Palatino Linotype" w:cs="Arial"/>
                <w:b/>
              </w:rPr>
            </w:pPr>
            <w:r>
              <w:rPr>
                <w:rFonts w:ascii="Palatino Linotype" w:hAnsi="Palatino Linotype" w:cs="Arial"/>
                <w:b/>
              </w:rPr>
              <w:t>José Guadalupe Luna Hernández</w:t>
            </w:r>
          </w:p>
          <w:p w14:paraId="1C1DBFAE" w14:textId="77777777" w:rsidR="00282FC7" w:rsidRDefault="00A022C2">
            <w:pPr>
              <w:jc w:val="center"/>
              <w:rPr>
                <w:rFonts w:ascii="Palatino Linotype" w:hAnsi="Palatino Linotype" w:cs="Arial"/>
              </w:rPr>
            </w:pPr>
            <w:r>
              <w:rPr>
                <w:rFonts w:ascii="Palatino Linotype" w:hAnsi="Palatino Linotype" w:cs="Arial"/>
              </w:rPr>
              <w:t>Comisionado</w:t>
            </w:r>
          </w:p>
          <w:p w14:paraId="3C4F2617" w14:textId="77777777" w:rsidR="00282FC7" w:rsidRDefault="00A022C2">
            <w:pPr>
              <w:jc w:val="center"/>
              <w:rPr>
                <w:rFonts w:ascii="Palatino Linotype" w:hAnsi="Palatino Linotype" w:cs="Arial"/>
                <w:b/>
              </w:rPr>
            </w:pPr>
            <w:r>
              <w:rPr>
                <w:rFonts w:ascii="Palatino Linotype" w:hAnsi="Palatino Linotype" w:cs="Arial"/>
                <w:b/>
              </w:rPr>
              <w:t>(RÚBRICA)</w:t>
            </w:r>
          </w:p>
        </w:tc>
      </w:tr>
      <w:tr w:rsidR="00282FC7" w14:paraId="7563B668" w14:textId="77777777">
        <w:trPr>
          <w:jc w:val="center"/>
        </w:trPr>
        <w:tc>
          <w:tcPr>
            <w:tcW w:w="5182" w:type="dxa"/>
          </w:tcPr>
          <w:p w14:paraId="7EDF5D4E" w14:textId="77777777" w:rsidR="00282FC7" w:rsidRDefault="00282FC7">
            <w:pPr>
              <w:jc w:val="center"/>
              <w:rPr>
                <w:rFonts w:ascii="Palatino Linotype" w:hAnsi="Palatino Linotype" w:cs="Arial"/>
                <w:b/>
              </w:rPr>
            </w:pPr>
          </w:p>
          <w:p w14:paraId="5A0B824E" w14:textId="77777777" w:rsidR="00282FC7" w:rsidRDefault="00282FC7">
            <w:pPr>
              <w:jc w:val="center"/>
              <w:rPr>
                <w:rFonts w:ascii="Palatino Linotype" w:hAnsi="Palatino Linotype" w:cs="Arial"/>
                <w:b/>
              </w:rPr>
            </w:pPr>
          </w:p>
          <w:p w14:paraId="0692C5AD" w14:textId="77777777" w:rsidR="00282FC7" w:rsidRDefault="00282FC7">
            <w:pPr>
              <w:jc w:val="center"/>
              <w:rPr>
                <w:rFonts w:ascii="Palatino Linotype" w:hAnsi="Palatino Linotype" w:cs="Arial"/>
                <w:b/>
              </w:rPr>
            </w:pPr>
          </w:p>
          <w:p w14:paraId="47B6416F" w14:textId="77777777" w:rsidR="0061108E" w:rsidRDefault="0061108E">
            <w:pPr>
              <w:jc w:val="center"/>
              <w:rPr>
                <w:rFonts w:ascii="Palatino Linotype" w:hAnsi="Palatino Linotype" w:cs="Arial"/>
                <w:b/>
              </w:rPr>
            </w:pPr>
          </w:p>
          <w:p w14:paraId="35F91305" w14:textId="77777777" w:rsidR="0061108E" w:rsidRDefault="0061108E">
            <w:pPr>
              <w:jc w:val="center"/>
              <w:rPr>
                <w:rFonts w:ascii="Palatino Linotype" w:hAnsi="Palatino Linotype" w:cs="Arial"/>
                <w:b/>
              </w:rPr>
            </w:pPr>
          </w:p>
          <w:p w14:paraId="2F5B7C89" w14:textId="77777777" w:rsidR="0061108E" w:rsidRDefault="0061108E">
            <w:pPr>
              <w:jc w:val="center"/>
              <w:rPr>
                <w:rFonts w:ascii="Palatino Linotype" w:hAnsi="Palatino Linotype" w:cs="Arial"/>
                <w:b/>
              </w:rPr>
            </w:pPr>
          </w:p>
          <w:p w14:paraId="63C565D0" w14:textId="77777777" w:rsidR="0061108E" w:rsidRDefault="0061108E">
            <w:pPr>
              <w:jc w:val="center"/>
              <w:rPr>
                <w:rFonts w:ascii="Palatino Linotype" w:hAnsi="Palatino Linotype" w:cs="Arial"/>
                <w:b/>
              </w:rPr>
            </w:pPr>
          </w:p>
          <w:p w14:paraId="26DFD8CC" w14:textId="77777777" w:rsidR="00282FC7" w:rsidRDefault="00282FC7">
            <w:pPr>
              <w:jc w:val="center"/>
              <w:rPr>
                <w:rFonts w:ascii="Palatino Linotype" w:hAnsi="Palatino Linotype" w:cs="Arial"/>
                <w:b/>
              </w:rPr>
            </w:pPr>
          </w:p>
          <w:p w14:paraId="748CC3BA" w14:textId="77777777" w:rsidR="00282FC7" w:rsidRDefault="00282FC7">
            <w:pPr>
              <w:jc w:val="center"/>
              <w:rPr>
                <w:rFonts w:ascii="Palatino Linotype" w:hAnsi="Palatino Linotype" w:cs="Arial"/>
                <w:b/>
              </w:rPr>
            </w:pPr>
          </w:p>
          <w:p w14:paraId="573DAA8F" w14:textId="77777777" w:rsidR="00282FC7" w:rsidRDefault="00282FC7">
            <w:pPr>
              <w:jc w:val="center"/>
              <w:rPr>
                <w:rFonts w:ascii="Palatino Linotype" w:hAnsi="Palatino Linotype" w:cs="Arial"/>
                <w:b/>
              </w:rPr>
            </w:pPr>
          </w:p>
          <w:p w14:paraId="73C510AE" w14:textId="77777777" w:rsidR="00282FC7" w:rsidRDefault="00A022C2">
            <w:pPr>
              <w:jc w:val="center"/>
              <w:rPr>
                <w:rFonts w:ascii="Palatino Linotype" w:hAnsi="Palatino Linotype" w:cs="Arial"/>
                <w:b/>
              </w:rPr>
            </w:pPr>
            <w:r>
              <w:rPr>
                <w:rFonts w:ascii="Palatino Linotype" w:hAnsi="Palatino Linotype" w:cs="Arial"/>
                <w:b/>
              </w:rPr>
              <w:t>Javier Martínez Cruz</w:t>
            </w:r>
          </w:p>
          <w:p w14:paraId="6A1DD028" w14:textId="77777777" w:rsidR="00282FC7" w:rsidRDefault="00A022C2">
            <w:pPr>
              <w:jc w:val="center"/>
              <w:rPr>
                <w:rFonts w:ascii="Palatino Linotype" w:hAnsi="Palatino Linotype" w:cs="Arial"/>
              </w:rPr>
            </w:pPr>
            <w:r>
              <w:rPr>
                <w:rFonts w:ascii="Palatino Linotype" w:hAnsi="Palatino Linotype" w:cs="Arial"/>
              </w:rPr>
              <w:t>Comisionado</w:t>
            </w:r>
          </w:p>
          <w:p w14:paraId="14C76C92" w14:textId="77777777" w:rsidR="00282FC7" w:rsidRDefault="00A022C2">
            <w:pPr>
              <w:jc w:val="center"/>
              <w:rPr>
                <w:rFonts w:ascii="Palatino Linotype" w:hAnsi="Palatino Linotype" w:cs="Arial"/>
              </w:rPr>
            </w:pPr>
            <w:r>
              <w:rPr>
                <w:rFonts w:ascii="Palatino Linotype" w:hAnsi="Palatino Linotype" w:cs="Arial"/>
                <w:b/>
              </w:rPr>
              <w:t>(RÚBRICA)</w:t>
            </w:r>
          </w:p>
        </w:tc>
        <w:tc>
          <w:tcPr>
            <w:tcW w:w="5182" w:type="dxa"/>
          </w:tcPr>
          <w:p w14:paraId="419CCEF1" w14:textId="77777777" w:rsidR="00282FC7" w:rsidRDefault="00282FC7">
            <w:pPr>
              <w:jc w:val="center"/>
              <w:rPr>
                <w:rFonts w:ascii="Palatino Linotype" w:hAnsi="Palatino Linotype" w:cs="Arial"/>
                <w:b/>
              </w:rPr>
            </w:pPr>
          </w:p>
          <w:p w14:paraId="37BBCC57" w14:textId="77777777" w:rsidR="00282FC7" w:rsidRDefault="00282FC7">
            <w:pPr>
              <w:jc w:val="center"/>
              <w:rPr>
                <w:rFonts w:ascii="Palatino Linotype" w:hAnsi="Palatino Linotype" w:cs="Arial"/>
                <w:b/>
              </w:rPr>
            </w:pPr>
          </w:p>
          <w:p w14:paraId="3A9B08D0" w14:textId="77777777" w:rsidR="00282FC7" w:rsidRDefault="00282FC7">
            <w:pPr>
              <w:jc w:val="center"/>
              <w:rPr>
                <w:rFonts w:ascii="Palatino Linotype" w:hAnsi="Palatino Linotype" w:cs="Arial"/>
                <w:b/>
              </w:rPr>
            </w:pPr>
          </w:p>
          <w:p w14:paraId="68ADD9EB" w14:textId="77777777" w:rsidR="0061108E" w:rsidRDefault="0061108E">
            <w:pPr>
              <w:jc w:val="center"/>
              <w:rPr>
                <w:rFonts w:ascii="Palatino Linotype" w:hAnsi="Palatino Linotype" w:cs="Arial"/>
                <w:b/>
              </w:rPr>
            </w:pPr>
          </w:p>
          <w:p w14:paraId="708DFBB6" w14:textId="77777777" w:rsidR="0061108E" w:rsidRDefault="0061108E">
            <w:pPr>
              <w:jc w:val="center"/>
              <w:rPr>
                <w:rFonts w:ascii="Palatino Linotype" w:hAnsi="Palatino Linotype" w:cs="Arial"/>
                <w:b/>
              </w:rPr>
            </w:pPr>
          </w:p>
          <w:p w14:paraId="11FE722D" w14:textId="77777777" w:rsidR="00282FC7" w:rsidRDefault="00282FC7">
            <w:pPr>
              <w:jc w:val="center"/>
              <w:rPr>
                <w:rFonts w:ascii="Palatino Linotype" w:hAnsi="Palatino Linotype" w:cs="Arial"/>
                <w:b/>
              </w:rPr>
            </w:pPr>
          </w:p>
          <w:p w14:paraId="696EE1F7" w14:textId="77777777" w:rsidR="00282FC7" w:rsidRDefault="00282FC7">
            <w:pPr>
              <w:jc w:val="center"/>
              <w:rPr>
                <w:rFonts w:ascii="Palatino Linotype" w:hAnsi="Palatino Linotype" w:cs="Arial"/>
                <w:b/>
              </w:rPr>
            </w:pPr>
          </w:p>
          <w:p w14:paraId="5DDFB4B8" w14:textId="77777777" w:rsidR="0061108E" w:rsidRDefault="0061108E">
            <w:pPr>
              <w:jc w:val="center"/>
              <w:rPr>
                <w:rFonts w:ascii="Palatino Linotype" w:hAnsi="Palatino Linotype" w:cs="Arial"/>
                <w:b/>
              </w:rPr>
            </w:pPr>
          </w:p>
          <w:p w14:paraId="6A24D793" w14:textId="77777777" w:rsidR="0061108E" w:rsidRDefault="0061108E">
            <w:pPr>
              <w:jc w:val="center"/>
              <w:rPr>
                <w:rFonts w:ascii="Palatino Linotype" w:hAnsi="Palatino Linotype" w:cs="Arial"/>
                <w:b/>
              </w:rPr>
            </w:pPr>
          </w:p>
          <w:p w14:paraId="226F0F5A" w14:textId="77777777" w:rsidR="00282FC7" w:rsidRDefault="00282FC7">
            <w:pPr>
              <w:jc w:val="center"/>
              <w:rPr>
                <w:rFonts w:ascii="Palatino Linotype" w:hAnsi="Palatino Linotype" w:cs="Arial"/>
                <w:b/>
              </w:rPr>
            </w:pPr>
          </w:p>
          <w:p w14:paraId="19ACA738" w14:textId="77777777" w:rsidR="00282FC7" w:rsidRDefault="00A022C2">
            <w:pPr>
              <w:jc w:val="center"/>
              <w:rPr>
                <w:rFonts w:ascii="Palatino Linotype" w:hAnsi="Palatino Linotype" w:cs="Arial"/>
                <w:b/>
              </w:rPr>
            </w:pPr>
            <w:r>
              <w:rPr>
                <w:rFonts w:ascii="Palatino Linotype" w:hAnsi="Palatino Linotype" w:cs="Arial"/>
                <w:b/>
              </w:rPr>
              <w:t>Luis Gustavo Parra Noriega</w:t>
            </w:r>
          </w:p>
          <w:p w14:paraId="0F97D9AD" w14:textId="77777777" w:rsidR="00282FC7" w:rsidRDefault="00A022C2">
            <w:pPr>
              <w:jc w:val="center"/>
              <w:rPr>
                <w:rFonts w:ascii="Palatino Linotype" w:hAnsi="Palatino Linotype" w:cs="Arial"/>
              </w:rPr>
            </w:pPr>
            <w:r>
              <w:rPr>
                <w:rFonts w:ascii="Palatino Linotype" w:hAnsi="Palatino Linotype" w:cs="Arial"/>
              </w:rPr>
              <w:t>Comisionado</w:t>
            </w:r>
          </w:p>
          <w:p w14:paraId="4F867C84" w14:textId="77777777" w:rsidR="00282FC7" w:rsidRDefault="00A022C2">
            <w:pPr>
              <w:jc w:val="center"/>
              <w:rPr>
                <w:rFonts w:ascii="Palatino Linotype" w:hAnsi="Palatino Linotype" w:cs="Arial"/>
                <w:b/>
              </w:rPr>
            </w:pPr>
            <w:r>
              <w:rPr>
                <w:rFonts w:ascii="Palatino Linotype" w:hAnsi="Palatino Linotype" w:cs="Arial"/>
                <w:b/>
              </w:rPr>
              <w:t>(RÚBRICA)</w:t>
            </w:r>
          </w:p>
        </w:tc>
      </w:tr>
      <w:tr w:rsidR="00282FC7" w14:paraId="681F7842" w14:textId="77777777">
        <w:trPr>
          <w:jc w:val="center"/>
        </w:trPr>
        <w:tc>
          <w:tcPr>
            <w:tcW w:w="10364" w:type="dxa"/>
            <w:gridSpan w:val="2"/>
          </w:tcPr>
          <w:p w14:paraId="0D59A78D" w14:textId="77777777" w:rsidR="00282FC7" w:rsidRDefault="00282FC7">
            <w:pPr>
              <w:jc w:val="center"/>
              <w:rPr>
                <w:rFonts w:ascii="Palatino Linotype" w:hAnsi="Palatino Linotype" w:cs="Arial"/>
                <w:b/>
              </w:rPr>
            </w:pPr>
          </w:p>
          <w:p w14:paraId="437D71C3" w14:textId="77777777" w:rsidR="00282FC7" w:rsidRDefault="00282FC7">
            <w:pPr>
              <w:jc w:val="center"/>
              <w:rPr>
                <w:rFonts w:ascii="Palatino Linotype" w:hAnsi="Palatino Linotype" w:cs="Arial"/>
                <w:b/>
              </w:rPr>
            </w:pPr>
          </w:p>
          <w:p w14:paraId="3E821FC1" w14:textId="77777777" w:rsidR="00282FC7" w:rsidRDefault="00282FC7">
            <w:pPr>
              <w:jc w:val="center"/>
              <w:rPr>
                <w:rFonts w:ascii="Palatino Linotype" w:hAnsi="Palatino Linotype" w:cs="Arial"/>
                <w:b/>
              </w:rPr>
            </w:pPr>
          </w:p>
          <w:p w14:paraId="210907C1" w14:textId="77777777" w:rsidR="00282FC7" w:rsidRDefault="00282FC7">
            <w:pPr>
              <w:jc w:val="center"/>
              <w:rPr>
                <w:rFonts w:ascii="Palatino Linotype" w:hAnsi="Palatino Linotype" w:cs="Arial"/>
                <w:b/>
              </w:rPr>
            </w:pPr>
          </w:p>
          <w:p w14:paraId="727B4C61" w14:textId="77777777" w:rsidR="00282FC7" w:rsidRDefault="00282FC7">
            <w:pPr>
              <w:jc w:val="center"/>
              <w:rPr>
                <w:rFonts w:ascii="Palatino Linotype" w:hAnsi="Palatino Linotype" w:cs="Arial"/>
                <w:b/>
              </w:rPr>
            </w:pPr>
          </w:p>
          <w:p w14:paraId="7F2E1A33" w14:textId="77777777" w:rsidR="0061108E" w:rsidRDefault="0061108E">
            <w:pPr>
              <w:jc w:val="center"/>
              <w:rPr>
                <w:rFonts w:ascii="Palatino Linotype" w:hAnsi="Palatino Linotype" w:cs="Arial"/>
                <w:b/>
              </w:rPr>
            </w:pPr>
          </w:p>
          <w:p w14:paraId="26B00533" w14:textId="77777777" w:rsidR="0061108E" w:rsidRDefault="0061108E">
            <w:pPr>
              <w:jc w:val="center"/>
              <w:rPr>
                <w:rFonts w:ascii="Palatino Linotype" w:hAnsi="Palatino Linotype" w:cs="Arial"/>
                <w:b/>
              </w:rPr>
            </w:pPr>
          </w:p>
          <w:p w14:paraId="49C433F1" w14:textId="77777777" w:rsidR="0061108E" w:rsidRDefault="0061108E">
            <w:pPr>
              <w:jc w:val="center"/>
              <w:rPr>
                <w:rFonts w:ascii="Palatino Linotype" w:hAnsi="Palatino Linotype" w:cs="Arial"/>
                <w:b/>
              </w:rPr>
            </w:pPr>
          </w:p>
          <w:p w14:paraId="07098A28" w14:textId="77777777" w:rsidR="00282FC7" w:rsidRDefault="00282FC7">
            <w:pPr>
              <w:jc w:val="center"/>
              <w:rPr>
                <w:rFonts w:ascii="Palatino Linotype" w:hAnsi="Palatino Linotype" w:cs="Arial"/>
                <w:b/>
              </w:rPr>
            </w:pPr>
          </w:p>
          <w:p w14:paraId="1405DFB3" w14:textId="77777777" w:rsidR="00282FC7" w:rsidRDefault="00282FC7">
            <w:pPr>
              <w:jc w:val="center"/>
              <w:rPr>
                <w:rFonts w:ascii="Palatino Linotype" w:hAnsi="Palatino Linotype" w:cs="Arial"/>
                <w:b/>
              </w:rPr>
            </w:pPr>
          </w:p>
          <w:p w14:paraId="40638E39" w14:textId="77777777" w:rsidR="00282FC7" w:rsidRDefault="00282FC7">
            <w:pPr>
              <w:jc w:val="center"/>
              <w:rPr>
                <w:rFonts w:ascii="Palatino Linotype" w:hAnsi="Palatino Linotype" w:cs="Arial"/>
                <w:b/>
              </w:rPr>
            </w:pPr>
          </w:p>
          <w:p w14:paraId="46540363" w14:textId="77777777" w:rsidR="00282FC7" w:rsidRDefault="00A022C2">
            <w:pPr>
              <w:jc w:val="center"/>
              <w:rPr>
                <w:rFonts w:ascii="Palatino Linotype" w:hAnsi="Palatino Linotype" w:cs="Arial"/>
                <w:b/>
              </w:rPr>
            </w:pPr>
            <w:r>
              <w:rPr>
                <w:rFonts w:ascii="Palatino Linotype" w:hAnsi="Palatino Linotype" w:cs="Arial"/>
                <w:b/>
              </w:rPr>
              <w:t>Alexis Tapia Ramírez</w:t>
            </w:r>
          </w:p>
          <w:p w14:paraId="2012CF46" w14:textId="77777777" w:rsidR="00282FC7" w:rsidRDefault="00A022C2">
            <w:pPr>
              <w:jc w:val="center"/>
              <w:rPr>
                <w:rFonts w:ascii="Palatino Linotype" w:hAnsi="Palatino Linotype" w:cs="Arial"/>
              </w:rPr>
            </w:pPr>
            <w:r>
              <w:rPr>
                <w:rFonts w:ascii="Palatino Linotype" w:hAnsi="Palatino Linotype" w:cs="Arial"/>
              </w:rPr>
              <w:t>Secretario Técnico del Pleno</w:t>
            </w:r>
          </w:p>
          <w:p w14:paraId="0CA66FE6" w14:textId="77777777" w:rsidR="00282FC7" w:rsidRDefault="00A022C2">
            <w:pPr>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14:paraId="1A55748A" w14:textId="77777777" w:rsidR="00282FC7" w:rsidRDefault="00282FC7">
      <w:pPr>
        <w:jc w:val="both"/>
        <w:rPr>
          <w:rFonts w:ascii="Palatino Linotype" w:hAnsi="Palatino Linotype" w:cs="Arial"/>
          <w:sz w:val="20"/>
          <w:szCs w:val="20"/>
        </w:rPr>
      </w:pPr>
    </w:p>
    <w:p w14:paraId="5B648F93" w14:textId="77777777" w:rsidR="00282FC7" w:rsidRDefault="00282FC7">
      <w:pPr>
        <w:jc w:val="both"/>
        <w:rPr>
          <w:rFonts w:ascii="Palatino Linotype" w:hAnsi="Palatino Linotype" w:cs="Arial"/>
          <w:sz w:val="20"/>
          <w:szCs w:val="20"/>
        </w:rPr>
      </w:pPr>
    </w:p>
    <w:p w14:paraId="3BE4D225" w14:textId="77777777" w:rsidR="00282FC7" w:rsidRDefault="00A022C2">
      <w:pPr>
        <w:jc w:val="both"/>
        <w:rPr>
          <w:rFonts w:ascii="Palatino Linotype" w:hAnsi="Palatino Linotype" w:cs="Arial"/>
          <w:sz w:val="20"/>
          <w:szCs w:val="20"/>
        </w:rPr>
      </w:pPr>
      <w:r>
        <w:rPr>
          <w:rFonts w:ascii="Palatino Linotype" w:hAnsi="Palatino Linotype" w:cs="Arial"/>
          <w:sz w:val="20"/>
          <w:szCs w:val="20"/>
        </w:rPr>
        <w:t>Esta hoja corresponde a la resolución de fecha doce de agosto de dos mil veinte, emitida en el recurso de revisión número 00832/</w:t>
      </w:r>
      <w:proofErr w:type="spellStart"/>
      <w:r>
        <w:rPr>
          <w:rFonts w:ascii="Palatino Linotype" w:hAnsi="Palatino Linotype" w:cs="Arial"/>
          <w:sz w:val="20"/>
          <w:szCs w:val="20"/>
        </w:rPr>
        <w:t>INFOEM</w:t>
      </w:r>
      <w:proofErr w:type="spellEnd"/>
      <w:r>
        <w:rPr>
          <w:rFonts w:ascii="Palatino Linotype" w:hAnsi="Palatino Linotype" w:cs="Arial"/>
          <w:sz w:val="20"/>
          <w:szCs w:val="20"/>
        </w:rPr>
        <w:t>/IP/</w:t>
      </w:r>
      <w:proofErr w:type="spellStart"/>
      <w:r>
        <w:rPr>
          <w:rFonts w:ascii="Palatino Linotype" w:hAnsi="Palatino Linotype" w:cs="Arial"/>
          <w:sz w:val="20"/>
          <w:szCs w:val="20"/>
        </w:rPr>
        <w:t>RR</w:t>
      </w:r>
      <w:proofErr w:type="spellEnd"/>
      <w:r>
        <w:rPr>
          <w:rFonts w:ascii="Palatino Linotype" w:hAnsi="Palatino Linotype" w:cs="Arial"/>
          <w:sz w:val="20"/>
          <w:szCs w:val="20"/>
        </w:rPr>
        <w:t xml:space="preserve">/2020. </w:t>
      </w:r>
    </w:p>
    <w:p w14:paraId="545EA3D1" w14:textId="77777777" w:rsidR="00282FC7" w:rsidRDefault="00A022C2">
      <w:pPr>
        <w:spacing w:line="360" w:lineRule="auto"/>
        <w:jc w:val="both"/>
        <w:rPr>
          <w:rFonts w:ascii="Palatino Linotype" w:hAnsi="Palatino Linotype"/>
        </w:rPr>
      </w:pPr>
      <w:proofErr w:type="spellStart"/>
      <w:r>
        <w:rPr>
          <w:rFonts w:ascii="Palatino Linotype" w:hAnsi="Palatino Linotype" w:cs="Arial"/>
          <w:sz w:val="20"/>
          <w:szCs w:val="20"/>
        </w:rPr>
        <w:t>YSM</w:t>
      </w:r>
      <w:proofErr w:type="spellEnd"/>
      <w:r>
        <w:rPr>
          <w:rFonts w:ascii="Palatino Linotype" w:hAnsi="Palatino Linotype" w:cs="Arial"/>
          <w:sz w:val="20"/>
          <w:szCs w:val="20"/>
        </w:rPr>
        <w:t>/</w:t>
      </w:r>
      <w:proofErr w:type="spellStart"/>
      <w:r>
        <w:rPr>
          <w:rFonts w:ascii="Palatino Linotype" w:hAnsi="Palatino Linotype" w:cs="Arial"/>
          <w:sz w:val="20"/>
          <w:szCs w:val="20"/>
        </w:rPr>
        <w:t>AMV</w:t>
      </w:r>
      <w:proofErr w:type="spellEnd"/>
    </w:p>
    <w:sectPr w:rsidR="00282FC7">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11441" w14:textId="77777777" w:rsidR="00E82D2B" w:rsidRDefault="00E82D2B">
      <w:r>
        <w:separator/>
      </w:r>
    </w:p>
  </w:endnote>
  <w:endnote w:type="continuationSeparator" w:id="0">
    <w:p w14:paraId="2F767D45" w14:textId="77777777" w:rsidR="00E82D2B" w:rsidRDefault="00E82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7A74F" w14:textId="77777777" w:rsidR="00282FC7" w:rsidRDefault="00A022C2">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1108E">
      <w:rPr>
        <w:rFonts w:ascii="Palatino Linotype" w:hAnsi="Palatino Linotype" w:cs="Arial"/>
        <w:bCs/>
        <w:noProof/>
        <w:sz w:val="22"/>
        <w:szCs w:val="22"/>
      </w:rPr>
      <w:t>22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1108E">
      <w:rPr>
        <w:rFonts w:ascii="Palatino Linotype" w:hAnsi="Palatino Linotype" w:cs="Arial"/>
        <w:bCs/>
        <w:noProof/>
        <w:sz w:val="22"/>
        <w:szCs w:val="22"/>
      </w:rPr>
      <w:t>22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66F2" w14:textId="77777777" w:rsidR="00282FC7" w:rsidRDefault="00A022C2">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1108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1108E">
      <w:rPr>
        <w:rFonts w:ascii="Palatino Linotype" w:hAnsi="Palatino Linotype" w:cs="Arial"/>
        <w:bCs/>
        <w:noProof/>
        <w:sz w:val="22"/>
        <w:szCs w:val="22"/>
      </w:rPr>
      <w:t>22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601AF" w14:textId="77777777" w:rsidR="00E82D2B" w:rsidRDefault="00E82D2B">
      <w:r>
        <w:separator/>
      </w:r>
    </w:p>
  </w:footnote>
  <w:footnote w:type="continuationSeparator" w:id="0">
    <w:p w14:paraId="7700BD36" w14:textId="77777777" w:rsidR="00E82D2B" w:rsidRDefault="00E82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603DC" w14:textId="77777777" w:rsidR="00282FC7" w:rsidRDefault="00A022C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4" behindDoc="1" locked="0" layoutInCell="1" allowOverlap="1" wp14:anchorId="33742A32" wp14:editId="0A8398BC">
          <wp:simplePos x="0" y="0"/>
          <wp:positionH relativeFrom="column">
            <wp:align>center</wp:align>
          </wp:positionH>
          <wp:positionV relativeFrom="margin">
            <wp:align>center</wp:align>
          </wp:positionV>
          <wp:extent cx="6858635" cy="9144635"/>
          <wp:effectExtent l="0" t="0" r="0" b="0"/>
          <wp:wrapNone/>
          <wp:docPr id="6"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282FC7" w14:paraId="21C40588" w14:textId="77777777">
      <w:tc>
        <w:tcPr>
          <w:tcW w:w="3259" w:type="dxa"/>
          <w:vMerge w:val="restart"/>
        </w:tcPr>
        <w:p w14:paraId="58FEF6D9" w14:textId="77777777" w:rsidR="00282FC7" w:rsidRDefault="00A022C2">
          <w:pPr>
            <w:rPr>
              <w:rFonts w:ascii="Palatino Linotype" w:hAnsi="Palatino Linotype"/>
              <w:b/>
              <w:sz w:val="22"/>
              <w:szCs w:val="22"/>
              <w:lang w:val="es-ES_tradnl"/>
            </w:rPr>
          </w:pPr>
          <w:r>
            <w:rPr>
              <w:noProof/>
              <w:lang w:eastAsia="es-MX"/>
            </w:rPr>
            <w:drawing>
              <wp:inline distT="0" distB="0" distL="0" distR="0" wp14:anchorId="75870C3B" wp14:editId="58ED2C84">
                <wp:extent cx="1663700" cy="838200"/>
                <wp:effectExtent l="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4850BA33"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5C04086C" w14:textId="77777777" w:rsidR="00282FC7" w:rsidRDefault="00A022C2">
          <w:pPr>
            <w:ind w:left="33" w:right="-249"/>
            <w:jc w:val="both"/>
            <w:rPr>
              <w:rFonts w:ascii="Palatino Linotype" w:hAnsi="Palatino Linotype"/>
              <w:b/>
              <w:lang w:val="es-ES_tradnl"/>
            </w:rPr>
          </w:pPr>
          <w:r>
            <w:rPr>
              <w:rFonts w:ascii="Palatino Linotype" w:hAnsi="Palatino Linotype"/>
              <w:b/>
              <w:sz w:val="22"/>
              <w:szCs w:val="22"/>
              <w:lang w:val="es-ES_tradnl"/>
            </w:rPr>
            <w:t>00832/</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282FC7" w14:paraId="0CB62FB1" w14:textId="77777777">
      <w:tc>
        <w:tcPr>
          <w:tcW w:w="3259" w:type="dxa"/>
          <w:vMerge/>
        </w:tcPr>
        <w:p w14:paraId="7814F444" w14:textId="77777777" w:rsidR="00282FC7" w:rsidRDefault="00282FC7">
          <w:pPr>
            <w:rPr>
              <w:rFonts w:ascii="Palatino Linotype" w:hAnsi="Palatino Linotype"/>
              <w:b/>
              <w:sz w:val="22"/>
              <w:szCs w:val="22"/>
              <w:lang w:val="es-ES_tradnl"/>
            </w:rPr>
          </w:pPr>
        </w:p>
      </w:tc>
      <w:tc>
        <w:tcPr>
          <w:tcW w:w="2551" w:type="dxa"/>
          <w:shd w:val="clear" w:color="auto" w:fill="auto"/>
        </w:tcPr>
        <w:p w14:paraId="56EBC7F1"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2E62507A" w14:textId="77777777" w:rsidR="00282FC7" w:rsidRDefault="00A022C2">
          <w:pPr>
            <w:ind w:right="601"/>
            <w:jc w:val="both"/>
            <w:rPr>
              <w:rFonts w:ascii="Palatino Linotype" w:hAnsi="Palatino Linotype"/>
              <w:b/>
              <w:lang w:val="es-ES_tradnl"/>
            </w:rPr>
          </w:pPr>
          <w:r>
            <w:rPr>
              <w:rFonts w:ascii="Palatino Linotype" w:hAnsi="Palatino Linotype"/>
              <w:b/>
              <w:sz w:val="22"/>
              <w:szCs w:val="22"/>
              <w:lang w:val="es-ES_tradnl"/>
            </w:rPr>
            <w:t>Ayuntamiento de Jaltenco</w:t>
          </w:r>
        </w:p>
      </w:tc>
    </w:tr>
    <w:tr w:rsidR="00282FC7" w14:paraId="2625FDFF" w14:textId="77777777">
      <w:trPr>
        <w:trHeight w:val="228"/>
      </w:trPr>
      <w:tc>
        <w:tcPr>
          <w:tcW w:w="3259" w:type="dxa"/>
          <w:vMerge/>
        </w:tcPr>
        <w:p w14:paraId="445044D6" w14:textId="77777777" w:rsidR="00282FC7" w:rsidRDefault="00282FC7">
          <w:pPr>
            <w:rPr>
              <w:rFonts w:ascii="Palatino Linotype" w:hAnsi="Palatino Linotype"/>
              <w:b/>
              <w:sz w:val="22"/>
              <w:szCs w:val="22"/>
              <w:lang w:val="es-ES_tradnl"/>
            </w:rPr>
          </w:pPr>
        </w:p>
      </w:tc>
      <w:tc>
        <w:tcPr>
          <w:tcW w:w="2551" w:type="dxa"/>
          <w:shd w:val="clear" w:color="auto" w:fill="auto"/>
        </w:tcPr>
        <w:p w14:paraId="566D8DAC"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43E0E7B6" w14:textId="77777777" w:rsidR="00282FC7" w:rsidRDefault="00A022C2">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Yapur</w:t>
          </w:r>
        </w:p>
      </w:tc>
    </w:tr>
  </w:tbl>
  <w:p w14:paraId="1A8DE10D" w14:textId="77777777" w:rsidR="00282FC7" w:rsidRDefault="00282FC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ACF01" w14:textId="77777777" w:rsidR="00282FC7" w:rsidRDefault="00A022C2">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14:anchorId="1DD1B22D" wp14:editId="10AD233F">
          <wp:simplePos x="0" y="0"/>
          <wp:positionH relativeFrom="column">
            <wp:align>center</wp:align>
          </wp:positionH>
          <wp:positionV relativeFrom="margin">
            <wp:align>center</wp:align>
          </wp:positionV>
          <wp:extent cx="6858635" cy="9144635"/>
          <wp:effectExtent l="0" t="0" r="0" b="0"/>
          <wp:wrapNone/>
          <wp:docPr id="8"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282FC7" w14:paraId="66F0F80F" w14:textId="77777777">
      <w:tc>
        <w:tcPr>
          <w:tcW w:w="4251" w:type="dxa"/>
          <w:vMerge w:val="restart"/>
          <w:shd w:val="clear" w:color="auto" w:fill="auto"/>
        </w:tcPr>
        <w:p w14:paraId="0EB44F74" w14:textId="77777777" w:rsidR="00282FC7" w:rsidRDefault="00A022C2">
          <w:pPr>
            <w:rPr>
              <w:rFonts w:ascii="Palatino Linotype" w:hAnsi="Palatino Linotype"/>
              <w:b/>
              <w:sz w:val="22"/>
              <w:szCs w:val="22"/>
              <w:lang w:val="es-ES_tradnl"/>
            </w:rPr>
          </w:pPr>
          <w:r>
            <w:rPr>
              <w:noProof/>
              <w:lang w:eastAsia="es-MX"/>
            </w:rPr>
            <w:drawing>
              <wp:inline distT="0" distB="0" distL="0" distR="0" wp14:anchorId="5D2DD285" wp14:editId="41F21FB8">
                <wp:extent cx="166370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658D2CF"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089C157C" w14:textId="77777777" w:rsidR="00282FC7" w:rsidRDefault="00A022C2">
          <w:pPr>
            <w:ind w:left="176" w:right="34"/>
            <w:jc w:val="both"/>
            <w:rPr>
              <w:rFonts w:ascii="Palatino Linotype" w:hAnsi="Palatino Linotype"/>
              <w:b/>
              <w:lang w:val="es-ES_tradnl"/>
            </w:rPr>
          </w:pPr>
          <w:r>
            <w:rPr>
              <w:rFonts w:ascii="Palatino Linotype" w:hAnsi="Palatino Linotype"/>
              <w:b/>
              <w:sz w:val="22"/>
              <w:szCs w:val="22"/>
              <w:lang w:val="es-ES_tradnl"/>
            </w:rPr>
            <w:t>00832/</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282FC7" w14:paraId="229B14D5" w14:textId="77777777">
      <w:tc>
        <w:tcPr>
          <w:tcW w:w="4251" w:type="dxa"/>
          <w:vMerge/>
          <w:shd w:val="clear" w:color="auto" w:fill="auto"/>
        </w:tcPr>
        <w:p w14:paraId="45693243" w14:textId="77777777" w:rsidR="00282FC7" w:rsidRDefault="00282FC7">
          <w:pPr>
            <w:rPr>
              <w:rFonts w:ascii="Palatino Linotype" w:hAnsi="Palatino Linotype"/>
              <w:b/>
              <w:sz w:val="22"/>
              <w:szCs w:val="22"/>
              <w:lang w:val="es-ES_tradnl"/>
            </w:rPr>
          </w:pPr>
        </w:p>
      </w:tc>
      <w:tc>
        <w:tcPr>
          <w:tcW w:w="2552" w:type="dxa"/>
          <w:shd w:val="clear" w:color="auto" w:fill="auto"/>
        </w:tcPr>
        <w:p w14:paraId="6FBA13DF"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099428E" w14:textId="76BB5EDA" w:rsidR="00282FC7" w:rsidRDefault="00814EC7">
          <w:pPr>
            <w:ind w:left="176" w:right="34"/>
            <w:jc w:val="both"/>
            <w:rPr>
              <w:rFonts w:ascii="Palatino Linotype" w:hAnsi="Palatino Linotype"/>
              <w:b/>
              <w:lang w:val="es-ES_tradnl"/>
            </w:rPr>
          </w:pPr>
          <w:proofErr w:type="spellStart"/>
          <w:r>
            <w:rPr>
              <w:rFonts w:ascii="Palatino Linotype" w:hAnsi="Palatino Linotype"/>
              <w:b/>
              <w:sz w:val="22"/>
              <w:szCs w:val="22"/>
              <w:lang w:val="es-ES_tradnl"/>
            </w:rPr>
            <w:t>Xxxxx</w:t>
          </w:r>
          <w:proofErr w:type="spellEnd"/>
          <w:r w:rsidR="00A022C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A022C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282FC7" w14:paraId="5DD48537" w14:textId="77777777">
      <w:trPr>
        <w:trHeight w:val="228"/>
      </w:trPr>
      <w:tc>
        <w:tcPr>
          <w:tcW w:w="4251" w:type="dxa"/>
          <w:vMerge/>
          <w:shd w:val="clear" w:color="auto" w:fill="auto"/>
        </w:tcPr>
        <w:p w14:paraId="327B01A7" w14:textId="77777777" w:rsidR="00282FC7" w:rsidRDefault="00282FC7">
          <w:pPr>
            <w:rPr>
              <w:rFonts w:ascii="Palatino Linotype" w:hAnsi="Palatino Linotype"/>
              <w:b/>
              <w:sz w:val="22"/>
              <w:szCs w:val="22"/>
              <w:lang w:val="es-ES_tradnl"/>
            </w:rPr>
          </w:pPr>
        </w:p>
      </w:tc>
      <w:tc>
        <w:tcPr>
          <w:tcW w:w="2552" w:type="dxa"/>
          <w:shd w:val="clear" w:color="auto" w:fill="auto"/>
        </w:tcPr>
        <w:p w14:paraId="33FB2814"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453D5AE3" w14:textId="77777777" w:rsidR="00282FC7" w:rsidRDefault="00A022C2">
          <w:pPr>
            <w:ind w:left="176" w:right="317"/>
            <w:jc w:val="both"/>
            <w:rPr>
              <w:rFonts w:ascii="Palatino Linotype" w:hAnsi="Palatino Linotype"/>
              <w:b/>
              <w:lang w:val="es-ES_tradnl"/>
            </w:rPr>
          </w:pPr>
          <w:r>
            <w:rPr>
              <w:rFonts w:ascii="Palatino Linotype" w:hAnsi="Palatino Linotype"/>
              <w:b/>
              <w:sz w:val="22"/>
              <w:szCs w:val="22"/>
              <w:lang w:val="es-ES_tradnl"/>
            </w:rPr>
            <w:t>Ayuntamiento de Jaltenco</w:t>
          </w:r>
        </w:p>
      </w:tc>
    </w:tr>
    <w:tr w:rsidR="00282FC7" w14:paraId="6CB0FDC4" w14:textId="77777777">
      <w:tc>
        <w:tcPr>
          <w:tcW w:w="4251" w:type="dxa"/>
          <w:vMerge/>
          <w:shd w:val="clear" w:color="auto" w:fill="auto"/>
        </w:tcPr>
        <w:p w14:paraId="3D076526" w14:textId="77777777" w:rsidR="00282FC7" w:rsidRDefault="00282FC7">
          <w:pPr>
            <w:rPr>
              <w:rFonts w:ascii="Palatino Linotype" w:hAnsi="Palatino Linotype"/>
              <w:b/>
              <w:sz w:val="22"/>
              <w:szCs w:val="22"/>
              <w:lang w:val="es-ES_tradnl"/>
            </w:rPr>
          </w:pPr>
        </w:p>
      </w:tc>
      <w:tc>
        <w:tcPr>
          <w:tcW w:w="2552" w:type="dxa"/>
          <w:shd w:val="clear" w:color="auto" w:fill="auto"/>
        </w:tcPr>
        <w:p w14:paraId="5FC0384C" w14:textId="77777777" w:rsidR="00282FC7" w:rsidRDefault="00A022C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6C3C9F1D" w14:textId="77777777" w:rsidR="00282FC7" w:rsidRDefault="00A022C2">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Yapur</w:t>
          </w:r>
        </w:p>
      </w:tc>
    </w:tr>
  </w:tbl>
  <w:p w14:paraId="5D042723" w14:textId="77777777" w:rsidR="00282FC7" w:rsidRDefault="00282FC7">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C7"/>
    <w:rsid w:val="00282FC7"/>
    <w:rsid w:val="0061108E"/>
    <w:rsid w:val="00814EC7"/>
    <w:rsid w:val="00A022C2"/>
    <w:rsid w:val="00E82D2B"/>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347E"/>
  <w15:docId w15:val="{BCD424E3-6A39-42AE-846F-F076E38F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69328.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B0228-E965-4CD6-B05F-275750D6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4753</Words>
  <Characters>26142</Characters>
  <Application>Microsoft Office Word</Application>
  <DocSecurity>0</DocSecurity>
  <Lines>217</Lines>
  <Paragraphs>61</Paragraphs>
  <ScaleCrop>false</ScaleCrop>
  <Company>INFOEM</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de Windows</cp:lastModifiedBy>
  <cp:revision>2</cp:revision>
  <cp:lastPrinted>2020-01-22T19:55:00Z</cp:lastPrinted>
  <dcterms:created xsi:type="dcterms:W3CDTF">2020-09-10T16:02:00Z</dcterms:created>
  <dcterms:modified xsi:type="dcterms:W3CDTF">2020-09-10T16:02:00Z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