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D945B" w14:textId="77777777" w:rsidR="00831B95" w:rsidRPr="00610DC3" w:rsidRDefault="003A4241" w:rsidP="00831B95">
      <w:pPr>
        <w:spacing w:before="240" w:after="240" w:line="360" w:lineRule="auto"/>
        <w:jc w:val="center"/>
        <w:rPr>
          <w:rFonts w:ascii="Palatino Linotype" w:hAnsi="Palatino Linotype"/>
          <w:b/>
        </w:rPr>
      </w:pPr>
      <w:r w:rsidRPr="009D4C07">
        <w:rPr>
          <w:rFonts w:ascii="Palatino Linotype" w:hAnsi="Palatino Linotype"/>
          <w:b/>
        </w:rPr>
        <w:tab/>
      </w:r>
      <w:r w:rsidR="00831B95" w:rsidRPr="00610DC3">
        <w:rPr>
          <w:rFonts w:ascii="Palatino Linotype" w:hAnsi="Palatino Linotype"/>
          <w:b/>
        </w:rPr>
        <w:t>SINOPSIS.</w:t>
      </w:r>
    </w:p>
    <w:p w14:paraId="5B11161D" w14:textId="77777777" w:rsidR="00831B95" w:rsidRPr="00610DC3" w:rsidRDefault="00831B95" w:rsidP="00831B95">
      <w:pPr>
        <w:spacing w:line="360" w:lineRule="auto"/>
        <w:jc w:val="both"/>
        <w:rPr>
          <w:rFonts w:ascii="Palatino Linotype" w:eastAsia="Calibri" w:hAnsi="Palatino Linotype" w:cs="Times New Roman"/>
        </w:rPr>
      </w:pPr>
      <w:r w:rsidRPr="00610DC3">
        <w:rPr>
          <w:rFonts w:ascii="Palatino Linotype" w:eastAsia="Calibri" w:hAnsi="Palatino Linotype" w:cs="Times New Roman"/>
        </w:rPr>
        <w:t xml:space="preserve">Debido a que las solicitudes de información formuladas por la </w:t>
      </w:r>
      <w:r w:rsidRPr="00610DC3">
        <w:rPr>
          <w:rFonts w:ascii="Palatino Linotype" w:eastAsia="Calibri" w:hAnsi="Palatino Linotype" w:cs="Times New Roman"/>
          <w:b/>
        </w:rPr>
        <w:t>RECURRENTE</w:t>
      </w:r>
      <w:r w:rsidRPr="00610DC3">
        <w:rPr>
          <w:rFonts w:ascii="Palatino Linotype" w:eastAsia="Calibri" w:hAnsi="Palatino Linotype" w:cs="Times New Roman"/>
        </w:rPr>
        <w:t xml:space="preserve"> fueron atendidas por el </w:t>
      </w:r>
      <w:r w:rsidRPr="00610DC3">
        <w:rPr>
          <w:rFonts w:ascii="Palatino Linotype" w:eastAsia="Calibri" w:hAnsi="Palatino Linotype" w:cs="Times New Roman"/>
          <w:b/>
        </w:rPr>
        <w:t>SUJETO OBLIGADO</w:t>
      </w:r>
      <w:r w:rsidRPr="00610DC3">
        <w:rPr>
          <w:rFonts w:ascii="Palatino Linotype" w:eastAsia="Calibri" w:hAnsi="Palatino Linotype" w:cs="Times New Roman"/>
        </w:rPr>
        <w:t xml:space="preserve">, este Órgano Garante determina infundados los motivos o razones de inconformidad que dieron origen a los recursos de revisión que se resuelven y, lo procedente es </w:t>
      </w:r>
      <w:r w:rsidRPr="00610DC3">
        <w:rPr>
          <w:rFonts w:ascii="Palatino Linotype" w:eastAsia="Calibri" w:hAnsi="Palatino Linotype" w:cs="Times New Roman"/>
          <w:b/>
        </w:rPr>
        <w:t>CONFIRMAR</w:t>
      </w:r>
      <w:r w:rsidRPr="00610DC3">
        <w:rPr>
          <w:rFonts w:ascii="Palatino Linotype" w:eastAsia="Calibri" w:hAnsi="Palatino Linotype" w:cs="Times New Roman"/>
        </w:rPr>
        <w:t xml:space="preserve"> las respuestas emitidas a las solicitudes de información. </w:t>
      </w:r>
    </w:p>
    <w:p w14:paraId="398A3313" w14:textId="77777777" w:rsidR="00831B95" w:rsidRPr="00610DC3" w:rsidRDefault="00831B95" w:rsidP="00831B95">
      <w:pPr>
        <w:rPr>
          <w:rFonts w:ascii="Palatino Linotype" w:eastAsia="Times New Roman" w:hAnsi="Palatino Linotype"/>
          <w:color w:val="000000" w:themeColor="text1"/>
        </w:rPr>
      </w:pPr>
      <w:r w:rsidRPr="00610DC3">
        <w:rPr>
          <w:rFonts w:ascii="Palatino Linotype" w:eastAsia="Times New Roman" w:hAnsi="Palatino Linotype"/>
          <w:color w:val="000000" w:themeColor="text1"/>
        </w:rPr>
        <w:br w:type="page"/>
      </w:r>
    </w:p>
    <w:p w14:paraId="2DBB6724" w14:textId="35FDAE69" w:rsidR="00F509B9" w:rsidRPr="00610DC3" w:rsidRDefault="003A4241" w:rsidP="00DD3B59">
      <w:pPr>
        <w:tabs>
          <w:tab w:val="center" w:pos="4419"/>
          <w:tab w:val="right" w:pos="8838"/>
        </w:tabs>
        <w:spacing w:before="240" w:after="240" w:line="360" w:lineRule="auto"/>
        <w:rPr>
          <w:rFonts w:ascii="Palatino Linotype" w:hAnsi="Palatino Linotype"/>
          <w:b/>
        </w:rPr>
      </w:pPr>
      <w:r w:rsidRPr="00610DC3">
        <w:rPr>
          <w:rFonts w:ascii="Palatino Linotype" w:hAnsi="Palatino Linotype"/>
          <w:b/>
        </w:rPr>
        <w:lastRenderedPageBreak/>
        <w:tab/>
      </w:r>
    </w:p>
    <w:p w14:paraId="16CF6752" w14:textId="69B2C6A3" w:rsidR="00F509B9" w:rsidRPr="00610DC3" w:rsidRDefault="00A20B1F" w:rsidP="0003760B">
      <w:pPr>
        <w:spacing w:line="360" w:lineRule="auto"/>
        <w:jc w:val="center"/>
        <w:rPr>
          <w:rFonts w:ascii="Palatino Linotype" w:eastAsia="Times New Roman" w:hAnsi="Palatino Linotype" w:cs="Times New Roman"/>
          <w:b/>
        </w:rPr>
      </w:pPr>
      <w:r w:rsidRPr="00610DC3">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610DC3" w:rsidRDefault="00DA7E2F" w:rsidP="00F509B9">
          <w:pPr>
            <w:pStyle w:val="TtulodeTDC"/>
            <w:spacing w:before="0" w:line="276" w:lineRule="auto"/>
            <w:rPr>
              <w:szCs w:val="24"/>
            </w:rPr>
          </w:pPr>
        </w:p>
        <w:p w14:paraId="5A85B7B9" w14:textId="77777777" w:rsidR="00DD3B59" w:rsidRPr="00610DC3" w:rsidRDefault="00DA7E2F">
          <w:pPr>
            <w:pStyle w:val="TDC1"/>
            <w:rPr>
              <w:rFonts w:ascii="Palatino Linotype" w:hAnsi="Palatino Linotype"/>
              <w:b/>
              <w:noProof/>
              <w:sz w:val="22"/>
              <w:szCs w:val="22"/>
              <w:lang w:val="es-MX" w:eastAsia="es-MX"/>
            </w:rPr>
          </w:pPr>
          <w:r w:rsidRPr="00610DC3">
            <w:rPr>
              <w:rFonts w:ascii="Palatino Linotype" w:hAnsi="Palatino Linotype"/>
              <w:b/>
            </w:rPr>
            <w:fldChar w:fldCharType="begin"/>
          </w:r>
          <w:r w:rsidRPr="00610DC3">
            <w:rPr>
              <w:rFonts w:ascii="Palatino Linotype" w:hAnsi="Palatino Linotype"/>
              <w:b/>
            </w:rPr>
            <w:instrText xml:space="preserve"> TOC \o "1-3" \h \z \u </w:instrText>
          </w:r>
          <w:r w:rsidRPr="00610DC3">
            <w:rPr>
              <w:rFonts w:ascii="Palatino Linotype" w:hAnsi="Palatino Linotype"/>
              <w:b/>
            </w:rPr>
            <w:fldChar w:fldCharType="separate"/>
          </w:r>
          <w:hyperlink w:anchor="_Toc53009711" w:history="1">
            <w:r w:rsidR="00DD3B59" w:rsidRPr="00610DC3">
              <w:rPr>
                <w:rStyle w:val="Hipervnculo"/>
                <w:rFonts w:ascii="Palatino Linotype" w:hAnsi="Palatino Linotype"/>
                <w:b/>
                <w:noProof/>
              </w:rPr>
              <w:t>ANTECEDENTES</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_Toc53009711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5</w:t>
            </w:r>
            <w:r w:rsidR="00DD3B59" w:rsidRPr="00610DC3">
              <w:rPr>
                <w:rFonts w:ascii="Palatino Linotype" w:hAnsi="Palatino Linotype"/>
                <w:b/>
                <w:noProof/>
                <w:webHidden/>
              </w:rPr>
              <w:fldChar w:fldCharType="end"/>
            </w:r>
          </w:hyperlink>
        </w:p>
        <w:p w14:paraId="5E5889D6" w14:textId="77777777" w:rsidR="00DD3B59" w:rsidRPr="00610DC3" w:rsidRDefault="00CE6AC4">
          <w:pPr>
            <w:pStyle w:val="TDC1"/>
            <w:rPr>
              <w:rFonts w:ascii="Palatino Linotype" w:hAnsi="Palatino Linotype"/>
              <w:b/>
              <w:noProof/>
              <w:sz w:val="22"/>
              <w:szCs w:val="22"/>
              <w:lang w:val="es-MX" w:eastAsia="es-MX"/>
            </w:rPr>
          </w:pPr>
          <w:hyperlink w:anchor="_Toc53009714" w:history="1">
            <w:r w:rsidR="00DD3B59" w:rsidRPr="00610DC3">
              <w:rPr>
                <w:rStyle w:val="Hipervnculo"/>
                <w:rFonts w:ascii="Palatino Linotype" w:hAnsi="Palatino Linotype"/>
                <w:b/>
                <w:noProof/>
              </w:rPr>
              <w:t>CONSIDERANDO</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_Toc53009714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11</w:t>
            </w:r>
            <w:r w:rsidR="00DD3B59" w:rsidRPr="00610DC3">
              <w:rPr>
                <w:rFonts w:ascii="Palatino Linotype" w:hAnsi="Palatino Linotype"/>
                <w:b/>
                <w:noProof/>
                <w:webHidden/>
              </w:rPr>
              <w:fldChar w:fldCharType="end"/>
            </w:r>
          </w:hyperlink>
        </w:p>
        <w:p w14:paraId="05ACB2E8" w14:textId="77777777" w:rsidR="00DD3B59" w:rsidRPr="00610DC3" w:rsidRDefault="00CE6AC4">
          <w:pPr>
            <w:pStyle w:val="TDC2"/>
            <w:rPr>
              <w:rFonts w:ascii="Palatino Linotype" w:hAnsi="Palatino Linotype"/>
              <w:b/>
              <w:noProof/>
              <w:sz w:val="22"/>
              <w:szCs w:val="22"/>
              <w:lang w:val="es-MX" w:eastAsia="es-MX"/>
            </w:rPr>
          </w:pPr>
          <w:hyperlink w:anchor="_Toc53009715" w:history="1">
            <w:r w:rsidR="00DD3B59" w:rsidRPr="00610DC3">
              <w:rPr>
                <w:rStyle w:val="Hipervnculo"/>
                <w:rFonts w:ascii="Palatino Linotype" w:hAnsi="Palatino Linotype"/>
                <w:b/>
                <w:noProof/>
              </w:rPr>
              <w:t>PRIMERO. De la competencia</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_Toc53009715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11</w:t>
            </w:r>
            <w:r w:rsidR="00DD3B59" w:rsidRPr="00610DC3">
              <w:rPr>
                <w:rFonts w:ascii="Palatino Linotype" w:hAnsi="Palatino Linotype"/>
                <w:b/>
                <w:noProof/>
                <w:webHidden/>
              </w:rPr>
              <w:fldChar w:fldCharType="end"/>
            </w:r>
          </w:hyperlink>
        </w:p>
        <w:p w14:paraId="4D5831CB" w14:textId="77777777" w:rsidR="00DD3B59" w:rsidRPr="00610DC3" w:rsidRDefault="00CE6AC4">
          <w:pPr>
            <w:pStyle w:val="TDC2"/>
            <w:rPr>
              <w:rFonts w:ascii="Palatino Linotype" w:hAnsi="Palatino Linotype"/>
              <w:b/>
              <w:noProof/>
              <w:sz w:val="22"/>
              <w:szCs w:val="22"/>
              <w:lang w:val="es-MX" w:eastAsia="es-MX"/>
            </w:rPr>
          </w:pPr>
          <w:hyperlink w:anchor="_Toc53009716" w:history="1">
            <w:r w:rsidR="00DD3B59" w:rsidRPr="00610DC3">
              <w:rPr>
                <w:rStyle w:val="Hipervnculo"/>
                <w:rFonts w:ascii="Palatino Linotype" w:hAnsi="Palatino Linotype"/>
                <w:b/>
                <w:noProof/>
              </w:rPr>
              <w:t>SEGUNDO. De la oportunidad y procedencia.</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_Toc53009716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12</w:t>
            </w:r>
            <w:r w:rsidR="00DD3B59" w:rsidRPr="00610DC3">
              <w:rPr>
                <w:rFonts w:ascii="Palatino Linotype" w:hAnsi="Palatino Linotype"/>
                <w:b/>
                <w:noProof/>
                <w:webHidden/>
              </w:rPr>
              <w:fldChar w:fldCharType="end"/>
            </w:r>
          </w:hyperlink>
        </w:p>
        <w:p w14:paraId="4B7B0579" w14:textId="77777777" w:rsidR="00DD3B59" w:rsidRPr="00610DC3" w:rsidRDefault="00CE6AC4">
          <w:pPr>
            <w:pStyle w:val="TDC1"/>
            <w:rPr>
              <w:rFonts w:ascii="Palatino Linotype" w:hAnsi="Palatino Linotype"/>
              <w:b/>
              <w:noProof/>
              <w:sz w:val="22"/>
              <w:szCs w:val="22"/>
              <w:lang w:val="es-MX" w:eastAsia="es-MX"/>
            </w:rPr>
          </w:pPr>
          <w:hyperlink w:anchor="_Toc53009717" w:history="1">
            <w:r w:rsidR="00DD3B59" w:rsidRPr="00610DC3">
              <w:rPr>
                <w:rStyle w:val="Hipervnculo"/>
                <w:rFonts w:ascii="Palatino Linotype" w:hAnsi="Palatino Linotype"/>
                <w:b/>
                <w:noProof/>
              </w:rPr>
              <w:t xml:space="preserve">TERCERO. Del planteamiento de la </w:t>
            </w:r>
            <w:r w:rsidR="00DD3B59" w:rsidRPr="00610DC3">
              <w:rPr>
                <w:rStyle w:val="Hipervnculo"/>
                <w:rFonts w:ascii="Palatino Linotype" w:hAnsi="Palatino Linotype"/>
                <w:b/>
                <w:i/>
                <w:noProof/>
              </w:rPr>
              <w:t>Litis.</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_Toc53009717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13</w:t>
            </w:r>
            <w:r w:rsidR="00DD3B59" w:rsidRPr="00610DC3">
              <w:rPr>
                <w:rFonts w:ascii="Palatino Linotype" w:hAnsi="Palatino Linotype"/>
                <w:b/>
                <w:noProof/>
                <w:webHidden/>
              </w:rPr>
              <w:fldChar w:fldCharType="end"/>
            </w:r>
          </w:hyperlink>
        </w:p>
        <w:p w14:paraId="16B05DDE" w14:textId="77777777" w:rsidR="00DD3B59" w:rsidRPr="00610DC3" w:rsidRDefault="00CE6AC4">
          <w:pPr>
            <w:pStyle w:val="TDC1"/>
            <w:rPr>
              <w:rFonts w:ascii="Palatino Linotype" w:hAnsi="Palatino Linotype"/>
              <w:b/>
              <w:noProof/>
              <w:sz w:val="22"/>
              <w:szCs w:val="22"/>
              <w:lang w:val="es-MX" w:eastAsia="es-MX"/>
            </w:rPr>
          </w:pPr>
          <w:hyperlink w:anchor="_Toc53009723" w:history="1">
            <w:r w:rsidR="00DD3B59" w:rsidRPr="00610DC3">
              <w:rPr>
                <w:rStyle w:val="Hipervnculo"/>
                <w:rFonts w:ascii="Palatino Linotype" w:hAnsi="Palatino Linotype"/>
                <w:b/>
                <w:noProof/>
              </w:rPr>
              <w:t>CUARTO. Del estudio y resolución del asunto.</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_Toc53009723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15</w:t>
            </w:r>
            <w:r w:rsidR="00DD3B59" w:rsidRPr="00610DC3">
              <w:rPr>
                <w:rFonts w:ascii="Palatino Linotype" w:hAnsi="Palatino Linotype"/>
                <w:b/>
                <w:noProof/>
                <w:webHidden/>
              </w:rPr>
              <w:fldChar w:fldCharType="end"/>
            </w:r>
          </w:hyperlink>
        </w:p>
        <w:p w14:paraId="070DC82C" w14:textId="77777777" w:rsidR="00DD3B59" w:rsidRPr="00610DC3" w:rsidRDefault="00CE6AC4">
          <w:pPr>
            <w:pStyle w:val="TDC1"/>
            <w:tabs>
              <w:tab w:val="left" w:pos="1100"/>
            </w:tabs>
            <w:rPr>
              <w:rFonts w:ascii="Palatino Linotype" w:hAnsi="Palatino Linotype"/>
              <w:b/>
              <w:noProof/>
              <w:sz w:val="22"/>
              <w:szCs w:val="22"/>
              <w:lang w:val="es-MX" w:eastAsia="es-MX"/>
            </w:rPr>
          </w:pPr>
          <w:hyperlink w:anchor="_Toc53009724" w:history="1">
            <w:r w:rsidR="00DD3B59" w:rsidRPr="00610DC3">
              <w:rPr>
                <w:rStyle w:val="Hipervnculo"/>
                <w:rFonts w:ascii="Palatino Linotype" w:hAnsi="Palatino Linotype"/>
                <w:b/>
                <w:noProof/>
              </w:rPr>
              <w:t>I.</w:t>
            </w:r>
            <w:r w:rsidR="00DD3B59" w:rsidRPr="00610DC3">
              <w:rPr>
                <w:rFonts w:ascii="Palatino Linotype" w:hAnsi="Palatino Linotype"/>
                <w:b/>
                <w:noProof/>
                <w:sz w:val="22"/>
                <w:szCs w:val="22"/>
                <w:lang w:val="es-MX" w:eastAsia="es-MX"/>
              </w:rPr>
              <w:tab/>
            </w:r>
            <w:r w:rsidR="00DD3B59" w:rsidRPr="00610DC3">
              <w:rPr>
                <w:rStyle w:val="Hipervnculo"/>
                <w:rFonts w:ascii="Palatino Linotype" w:hAnsi="Palatino Linotype"/>
                <w:b/>
                <w:noProof/>
              </w:rPr>
              <w:t>De las respuestas otorgadas.</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_Toc53009724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19</w:t>
            </w:r>
            <w:r w:rsidR="00DD3B59" w:rsidRPr="00610DC3">
              <w:rPr>
                <w:rFonts w:ascii="Palatino Linotype" w:hAnsi="Palatino Linotype"/>
                <w:b/>
                <w:noProof/>
                <w:webHidden/>
              </w:rPr>
              <w:fldChar w:fldCharType="end"/>
            </w:r>
          </w:hyperlink>
        </w:p>
        <w:p w14:paraId="36C4EE24" w14:textId="77777777" w:rsidR="00DD3B59" w:rsidRPr="00610DC3" w:rsidRDefault="00CE6AC4">
          <w:pPr>
            <w:pStyle w:val="TDC1"/>
            <w:rPr>
              <w:rFonts w:ascii="Palatino Linotype" w:hAnsi="Palatino Linotype"/>
              <w:b/>
              <w:noProof/>
              <w:sz w:val="22"/>
              <w:szCs w:val="22"/>
              <w:lang w:val="es-MX" w:eastAsia="es-MX"/>
            </w:rPr>
          </w:pPr>
          <w:hyperlink w:anchor="_Toc53009725" w:history="1">
            <w:r w:rsidR="00DD3B59" w:rsidRPr="00610DC3">
              <w:rPr>
                <w:rStyle w:val="Hipervnculo"/>
                <w:rFonts w:ascii="Palatino Linotype" w:hAnsi="Palatino Linotype"/>
                <w:b/>
                <w:noProof/>
              </w:rPr>
              <w:t>II. Del cambio de modalidad de entrega de la información.</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_Toc53009725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26</w:t>
            </w:r>
            <w:r w:rsidR="00DD3B59" w:rsidRPr="00610DC3">
              <w:rPr>
                <w:rFonts w:ascii="Palatino Linotype" w:hAnsi="Palatino Linotype"/>
                <w:b/>
                <w:noProof/>
                <w:webHidden/>
              </w:rPr>
              <w:fldChar w:fldCharType="end"/>
            </w:r>
          </w:hyperlink>
        </w:p>
        <w:p w14:paraId="3BF0B0B9" w14:textId="77777777" w:rsidR="00DD3B59" w:rsidRPr="00610DC3" w:rsidRDefault="00CE6AC4">
          <w:pPr>
            <w:pStyle w:val="TDC1"/>
            <w:rPr>
              <w:rFonts w:ascii="Palatino Linotype" w:hAnsi="Palatino Linotype"/>
              <w:b/>
              <w:noProof/>
              <w:sz w:val="22"/>
              <w:szCs w:val="22"/>
              <w:lang w:val="es-MX" w:eastAsia="es-MX"/>
            </w:rPr>
          </w:pPr>
          <w:hyperlink w:anchor="_Toc53009726" w:history="1">
            <w:r w:rsidR="00DD3B59" w:rsidRPr="00610DC3">
              <w:rPr>
                <w:rStyle w:val="Hipervnculo"/>
                <w:rFonts w:ascii="Palatino Linotype" w:hAnsi="Palatino Linotype"/>
                <w:b/>
                <w:noProof/>
              </w:rPr>
              <w:t>III. De las razones o motivos de inconformidad expuestos en los recursos de revisión</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_Toc53009726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36</w:t>
            </w:r>
            <w:r w:rsidR="00DD3B59" w:rsidRPr="00610DC3">
              <w:rPr>
                <w:rFonts w:ascii="Palatino Linotype" w:hAnsi="Palatino Linotype"/>
                <w:b/>
                <w:noProof/>
                <w:webHidden/>
              </w:rPr>
              <w:fldChar w:fldCharType="end"/>
            </w:r>
          </w:hyperlink>
        </w:p>
        <w:p w14:paraId="1BB8744A" w14:textId="77777777" w:rsidR="00DD3B59" w:rsidRPr="00610DC3" w:rsidRDefault="00CE6AC4">
          <w:pPr>
            <w:pStyle w:val="TDC1"/>
            <w:rPr>
              <w:rFonts w:ascii="Palatino Linotype" w:hAnsi="Palatino Linotype"/>
              <w:b/>
              <w:noProof/>
              <w:sz w:val="22"/>
              <w:szCs w:val="22"/>
              <w:lang w:val="es-MX" w:eastAsia="es-MX"/>
            </w:rPr>
          </w:pPr>
          <w:hyperlink w:anchor="_Toc53009727" w:history="1">
            <w:r w:rsidR="00DD3B59" w:rsidRPr="00610DC3">
              <w:rPr>
                <w:rStyle w:val="Hipervnculo"/>
                <w:rFonts w:ascii="Palatino Linotype" w:hAnsi="Palatino Linotype"/>
                <w:b/>
                <w:noProof/>
              </w:rPr>
              <w:t>R E S O L U T I V O S</w:t>
            </w:r>
            <w:r w:rsidR="00DD3B59" w:rsidRPr="00610DC3">
              <w:rPr>
                <w:rFonts w:ascii="Palatino Linotype" w:hAnsi="Palatino Linotype"/>
                <w:b/>
                <w:noProof/>
                <w:webHidden/>
              </w:rPr>
              <w:tab/>
            </w:r>
            <w:r w:rsidR="00DD3B59" w:rsidRPr="00610DC3">
              <w:rPr>
                <w:rFonts w:ascii="Palatino Linotype" w:hAnsi="Palatino Linotype"/>
                <w:b/>
                <w:noProof/>
                <w:webHidden/>
              </w:rPr>
              <w:fldChar w:fldCharType="begin"/>
            </w:r>
            <w:r w:rsidR="00DD3B59" w:rsidRPr="00610DC3">
              <w:rPr>
                <w:rFonts w:ascii="Palatino Linotype" w:hAnsi="Palatino Linotype"/>
                <w:b/>
                <w:noProof/>
                <w:webHidden/>
              </w:rPr>
              <w:instrText xml:space="preserve"> PAGEREF _Toc53009727 \h </w:instrText>
            </w:r>
            <w:r w:rsidR="00DD3B59" w:rsidRPr="00610DC3">
              <w:rPr>
                <w:rFonts w:ascii="Palatino Linotype" w:hAnsi="Palatino Linotype"/>
                <w:b/>
                <w:noProof/>
                <w:webHidden/>
              </w:rPr>
            </w:r>
            <w:r w:rsidR="00DD3B59" w:rsidRPr="00610DC3">
              <w:rPr>
                <w:rFonts w:ascii="Palatino Linotype" w:hAnsi="Palatino Linotype"/>
                <w:b/>
                <w:noProof/>
                <w:webHidden/>
              </w:rPr>
              <w:fldChar w:fldCharType="separate"/>
            </w:r>
            <w:r w:rsidR="00DD3B59" w:rsidRPr="00610DC3">
              <w:rPr>
                <w:rFonts w:ascii="Palatino Linotype" w:hAnsi="Palatino Linotype"/>
                <w:b/>
                <w:noProof/>
                <w:webHidden/>
              </w:rPr>
              <w:t>43</w:t>
            </w:r>
            <w:r w:rsidR="00DD3B59" w:rsidRPr="00610DC3">
              <w:rPr>
                <w:rFonts w:ascii="Palatino Linotype" w:hAnsi="Palatino Linotype"/>
                <w:b/>
                <w:noProof/>
                <w:webHidden/>
              </w:rPr>
              <w:fldChar w:fldCharType="end"/>
            </w:r>
          </w:hyperlink>
        </w:p>
        <w:p w14:paraId="1C007A8D" w14:textId="77777777" w:rsidR="002C504D" w:rsidRPr="00610DC3" w:rsidRDefault="00DA7E2F" w:rsidP="002C504D">
          <w:pPr>
            <w:spacing w:line="276" w:lineRule="auto"/>
            <w:rPr>
              <w:rFonts w:ascii="Palatino Linotype" w:hAnsi="Palatino Linotype"/>
              <w:b/>
              <w:bCs/>
              <w:lang w:val="es-ES"/>
            </w:rPr>
          </w:pPr>
          <w:r w:rsidRPr="00610DC3">
            <w:rPr>
              <w:rFonts w:ascii="Palatino Linotype" w:hAnsi="Palatino Linotype"/>
              <w:b/>
              <w:bCs/>
              <w:lang w:val="es-ES"/>
            </w:rPr>
            <w:fldChar w:fldCharType="end"/>
          </w:r>
        </w:p>
      </w:sdtContent>
    </w:sdt>
    <w:p w14:paraId="1B2B5456" w14:textId="77777777" w:rsidR="00B53811" w:rsidRPr="00610DC3" w:rsidRDefault="00B53811" w:rsidP="002C504D">
      <w:pPr>
        <w:spacing w:line="360" w:lineRule="auto"/>
        <w:jc w:val="both"/>
        <w:rPr>
          <w:rFonts w:ascii="Palatino Linotype" w:hAnsi="Palatino Linotype"/>
        </w:rPr>
      </w:pPr>
    </w:p>
    <w:p w14:paraId="684F2A60" w14:textId="77777777" w:rsidR="00B53811" w:rsidRPr="00610DC3" w:rsidRDefault="00B53811" w:rsidP="002C504D">
      <w:pPr>
        <w:spacing w:line="360" w:lineRule="auto"/>
        <w:jc w:val="both"/>
        <w:rPr>
          <w:rFonts w:ascii="Palatino Linotype" w:hAnsi="Palatino Linotype"/>
        </w:rPr>
      </w:pPr>
    </w:p>
    <w:p w14:paraId="5C91F82A" w14:textId="77777777" w:rsidR="009D4C07" w:rsidRPr="00610DC3" w:rsidRDefault="009D4C07" w:rsidP="002C504D">
      <w:pPr>
        <w:spacing w:line="360" w:lineRule="auto"/>
        <w:jc w:val="both"/>
        <w:rPr>
          <w:rFonts w:ascii="Palatino Linotype" w:hAnsi="Palatino Linotype"/>
        </w:rPr>
      </w:pPr>
    </w:p>
    <w:p w14:paraId="73F7F940" w14:textId="2BBDE1EC" w:rsidR="00662C69" w:rsidRPr="00610DC3" w:rsidRDefault="009B11D6" w:rsidP="002C504D">
      <w:pPr>
        <w:spacing w:line="360" w:lineRule="auto"/>
        <w:jc w:val="both"/>
        <w:rPr>
          <w:rFonts w:ascii="Palatino Linotype" w:hAnsi="Palatino Linotype"/>
        </w:rPr>
      </w:pPr>
      <w:r w:rsidRPr="00610DC3">
        <w:rPr>
          <w:rFonts w:ascii="Palatino Linotype" w:hAnsi="Palatino Linotype"/>
        </w:rPr>
        <w:lastRenderedPageBreak/>
        <w:t>R</w:t>
      </w:r>
      <w:r w:rsidR="00662C69" w:rsidRPr="00610DC3">
        <w:rPr>
          <w:rFonts w:ascii="Palatino Linotype" w:hAnsi="Palatino Linotype"/>
        </w:rPr>
        <w:t>esolución del Pleno del Instituto de Transparencia, Acceso a la Información Pública y Protección de Datos Personales del Estado de México y Mun</w:t>
      </w:r>
      <w:r w:rsidR="000D5A1D" w:rsidRPr="00610DC3">
        <w:rPr>
          <w:rFonts w:ascii="Palatino Linotype" w:hAnsi="Palatino Linotype"/>
        </w:rPr>
        <w:t>icipios, con</w:t>
      </w:r>
      <w:r w:rsidR="00662C69" w:rsidRPr="00610DC3">
        <w:rPr>
          <w:rFonts w:ascii="Palatino Linotype" w:hAnsi="Palatino Linotype"/>
        </w:rPr>
        <w:t xml:space="preserve"> </w:t>
      </w:r>
      <w:r w:rsidR="00485DB6" w:rsidRPr="00610DC3">
        <w:rPr>
          <w:rFonts w:ascii="Palatino Linotype" w:hAnsi="Palatino Linotype"/>
        </w:rPr>
        <w:t xml:space="preserve">domicilio </w:t>
      </w:r>
      <w:r w:rsidR="00662C69" w:rsidRPr="00610DC3">
        <w:rPr>
          <w:rFonts w:ascii="Palatino Linotype" w:hAnsi="Palatino Linotype"/>
        </w:rPr>
        <w:t xml:space="preserve">en Metepec, Estado de México; de </w:t>
      </w:r>
      <w:r w:rsidR="005348F5" w:rsidRPr="00610DC3">
        <w:rPr>
          <w:rFonts w:ascii="Palatino Linotype" w:hAnsi="Palatino Linotype"/>
        </w:rPr>
        <w:t xml:space="preserve">fecha </w:t>
      </w:r>
      <w:r w:rsidR="00F52828" w:rsidRPr="00610DC3">
        <w:rPr>
          <w:rFonts w:ascii="Palatino Linotype" w:hAnsi="Palatino Linotype"/>
        </w:rPr>
        <w:t>catorce</w:t>
      </w:r>
      <w:r w:rsidR="009D2556" w:rsidRPr="00610DC3">
        <w:rPr>
          <w:rFonts w:ascii="Palatino Linotype" w:hAnsi="Palatino Linotype"/>
        </w:rPr>
        <w:t xml:space="preserve"> </w:t>
      </w:r>
      <w:r w:rsidR="00662C69" w:rsidRPr="00610DC3">
        <w:rPr>
          <w:rFonts w:ascii="Palatino Linotype" w:hAnsi="Palatino Linotype"/>
        </w:rPr>
        <w:t>(</w:t>
      </w:r>
      <w:r w:rsidR="00F52828" w:rsidRPr="00610DC3">
        <w:rPr>
          <w:rFonts w:ascii="Palatino Linotype" w:hAnsi="Palatino Linotype"/>
        </w:rPr>
        <w:t>14</w:t>
      </w:r>
      <w:r w:rsidR="00662C69" w:rsidRPr="00610DC3">
        <w:rPr>
          <w:rFonts w:ascii="Palatino Linotype" w:hAnsi="Palatino Linotype"/>
        </w:rPr>
        <w:t>) de</w:t>
      </w:r>
      <w:r w:rsidR="006D1BFA" w:rsidRPr="00610DC3">
        <w:rPr>
          <w:rFonts w:ascii="Palatino Linotype" w:hAnsi="Palatino Linotype"/>
        </w:rPr>
        <w:t xml:space="preserve"> octubre</w:t>
      </w:r>
      <w:r w:rsidR="00E529E5" w:rsidRPr="00610DC3">
        <w:rPr>
          <w:rFonts w:ascii="Palatino Linotype" w:hAnsi="Palatino Linotype"/>
        </w:rPr>
        <w:t xml:space="preserve"> </w:t>
      </w:r>
      <w:r w:rsidR="0010486E" w:rsidRPr="00610DC3">
        <w:rPr>
          <w:rFonts w:ascii="Palatino Linotype" w:hAnsi="Palatino Linotype"/>
        </w:rPr>
        <w:t>de dos mil veinte</w:t>
      </w:r>
      <w:r w:rsidR="00662C69" w:rsidRPr="00610DC3">
        <w:rPr>
          <w:rFonts w:ascii="Palatino Linotype" w:hAnsi="Palatino Linotype"/>
        </w:rPr>
        <w:t>.</w:t>
      </w:r>
    </w:p>
    <w:p w14:paraId="2171CFE0" w14:textId="41C9B2D1" w:rsidR="00DA2F64" w:rsidRPr="00610DC3" w:rsidRDefault="00662C69" w:rsidP="001E74A5">
      <w:pPr>
        <w:spacing w:before="240" w:after="360" w:line="360" w:lineRule="auto"/>
        <w:jc w:val="both"/>
        <w:rPr>
          <w:rFonts w:ascii="Palatino Linotype" w:hAnsi="Palatino Linotype"/>
        </w:rPr>
      </w:pPr>
      <w:r w:rsidRPr="00610DC3">
        <w:rPr>
          <w:rFonts w:ascii="Palatino Linotype" w:hAnsi="Palatino Linotype"/>
          <w:b/>
        </w:rPr>
        <w:t>VISTO</w:t>
      </w:r>
      <w:r w:rsidR="002E118F" w:rsidRPr="00610DC3">
        <w:rPr>
          <w:rFonts w:ascii="Palatino Linotype" w:hAnsi="Palatino Linotype"/>
          <w:b/>
        </w:rPr>
        <w:t>S</w:t>
      </w:r>
      <w:r w:rsidRPr="00610DC3">
        <w:rPr>
          <w:rFonts w:ascii="Palatino Linotype" w:hAnsi="Palatino Linotype"/>
        </w:rPr>
        <w:t xml:space="preserve"> l</w:t>
      </w:r>
      <w:r w:rsidR="002E118F" w:rsidRPr="00610DC3">
        <w:rPr>
          <w:rFonts w:ascii="Palatino Linotype" w:hAnsi="Palatino Linotype"/>
        </w:rPr>
        <w:t>os</w:t>
      </w:r>
      <w:r w:rsidRPr="00610DC3">
        <w:rPr>
          <w:rFonts w:ascii="Palatino Linotype" w:hAnsi="Palatino Linotype"/>
        </w:rPr>
        <w:t xml:space="preserve"> expediente</w:t>
      </w:r>
      <w:r w:rsidR="002E118F" w:rsidRPr="00610DC3">
        <w:rPr>
          <w:rFonts w:ascii="Palatino Linotype" w:hAnsi="Palatino Linotype"/>
        </w:rPr>
        <w:t>s</w:t>
      </w:r>
      <w:r w:rsidRPr="00610DC3">
        <w:rPr>
          <w:rFonts w:ascii="Palatino Linotype" w:hAnsi="Palatino Linotype"/>
        </w:rPr>
        <w:t xml:space="preserve"> electrónico</w:t>
      </w:r>
      <w:r w:rsidR="002E118F" w:rsidRPr="00610DC3">
        <w:rPr>
          <w:rFonts w:ascii="Palatino Linotype" w:hAnsi="Palatino Linotype"/>
        </w:rPr>
        <w:t>s</w:t>
      </w:r>
      <w:r w:rsidRPr="00610DC3">
        <w:rPr>
          <w:rFonts w:ascii="Palatino Linotype" w:hAnsi="Palatino Linotype"/>
        </w:rPr>
        <w:t xml:space="preserve"> for</w:t>
      </w:r>
      <w:r w:rsidR="00335BFE" w:rsidRPr="00610DC3">
        <w:rPr>
          <w:rFonts w:ascii="Palatino Linotype" w:hAnsi="Palatino Linotype"/>
        </w:rPr>
        <w:t>mado</w:t>
      </w:r>
      <w:r w:rsidR="002E118F" w:rsidRPr="00610DC3">
        <w:rPr>
          <w:rFonts w:ascii="Palatino Linotype" w:hAnsi="Palatino Linotype"/>
        </w:rPr>
        <w:t>s</w:t>
      </w:r>
      <w:r w:rsidR="00335BFE" w:rsidRPr="00610DC3">
        <w:rPr>
          <w:rFonts w:ascii="Palatino Linotype" w:hAnsi="Palatino Linotype"/>
        </w:rPr>
        <w:t xml:space="preserve"> con motivo de los</w:t>
      </w:r>
      <w:r w:rsidRPr="00610DC3">
        <w:rPr>
          <w:rFonts w:ascii="Palatino Linotype" w:hAnsi="Palatino Linotype"/>
        </w:rPr>
        <w:t xml:space="preserve"> recurso</w:t>
      </w:r>
      <w:r w:rsidR="00335BFE" w:rsidRPr="00610DC3">
        <w:rPr>
          <w:rFonts w:ascii="Palatino Linotype" w:hAnsi="Palatino Linotype"/>
        </w:rPr>
        <w:t>s</w:t>
      </w:r>
      <w:r w:rsidR="004B5C6B" w:rsidRPr="00610DC3">
        <w:rPr>
          <w:rFonts w:ascii="Palatino Linotype" w:hAnsi="Palatino Linotype"/>
        </w:rPr>
        <w:t xml:space="preserve"> de revisión </w:t>
      </w:r>
      <w:r w:rsidR="00900701" w:rsidRPr="00610DC3">
        <w:rPr>
          <w:rFonts w:ascii="Palatino Linotype" w:hAnsi="Palatino Linotype"/>
          <w:b/>
        </w:rPr>
        <w:t>02223/</w:t>
      </w:r>
      <w:r w:rsidR="007B32C0" w:rsidRPr="00610DC3">
        <w:rPr>
          <w:rFonts w:ascii="Palatino Linotype" w:hAnsi="Palatino Linotype"/>
          <w:b/>
        </w:rPr>
        <w:t>INFOEM/IP/RR/20</w:t>
      </w:r>
      <w:r w:rsidR="002C504D" w:rsidRPr="00610DC3">
        <w:rPr>
          <w:rFonts w:ascii="Palatino Linotype" w:hAnsi="Palatino Linotype"/>
          <w:b/>
        </w:rPr>
        <w:t>20</w:t>
      </w:r>
      <w:r w:rsidR="00900701" w:rsidRPr="00610DC3">
        <w:rPr>
          <w:rFonts w:ascii="Palatino Linotype" w:hAnsi="Palatino Linotype"/>
          <w:b/>
        </w:rPr>
        <w:t>, 02241</w:t>
      </w:r>
      <w:r w:rsidR="0010486E" w:rsidRPr="00610DC3">
        <w:rPr>
          <w:rFonts w:ascii="Palatino Linotype" w:hAnsi="Palatino Linotype"/>
          <w:b/>
        </w:rPr>
        <w:t>/INFOEM/IP/RR/20</w:t>
      </w:r>
      <w:r w:rsidR="002C504D" w:rsidRPr="00610DC3">
        <w:rPr>
          <w:rFonts w:ascii="Palatino Linotype" w:hAnsi="Palatino Linotype"/>
          <w:b/>
        </w:rPr>
        <w:t>20</w:t>
      </w:r>
      <w:r w:rsidR="009D2556" w:rsidRPr="00610DC3">
        <w:rPr>
          <w:rFonts w:ascii="Palatino Linotype" w:hAnsi="Palatino Linotype"/>
          <w:b/>
        </w:rPr>
        <w:t>,</w:t>
      </w:r>
      <w:r w:rsidR="00900701" w:rsidRPr="00610DC3">
        <w:rPr>
          <w:rFonts w:ascii="Palatino Linotype" w:hAnsi="Palatino Linotype"/>
          <w:b/>
        </w:rPr>
        <w:t xml:space="preserve"> 02272</w:t>
      </w:r>
      <w:r w:rsidR="006D1BFA" w:rsidRPr="00610DC3">
        <w:rPr>
          <w:rFonts w:ascii="Palatino Linotype" w:hAnsi="Palatino Linotype"/>
          <w:b/>
        </w:rPr>
        <w:t>/INFOEM/IP/RR/20</w:t>
      </w:r>
      <w:r w:rsidR="00900701" w:rsidRPr="00610DC3">
        <w:rPr>
          <w:rFonts w:ascii="Palatino Linotype" w:hAnsi="Palatino Linotype"/>
          <w:b/>
        </w:rPr>
        <w:t>20 y 02273</w:t>
      </w:r>
      <w:r w:rsidR="006D1BFA" w:rsidRPr="00610DC3">
        <w:rPr>
          <w:rFonts w:ascii="Palatino Linotype" w:hAnsi="Palatino Linotype"/>
          <w:b/>
        </w:rPr>
        <w:t>/INFOEM/IP/RR/2020</w:t>
      </w:r>
      <w:r w:rsidR="005348F5" w:rsidRPr="00610DC3">
        <w:rPr>
          <w:rFonts w:ascii="Palatino Linotype" w:hAnsi="Palatino Linotype"/>
          <w:b/>
        </w:rPr>
        <w:t xml:space="preserve"> </w:t>
      </w:r>
      <w:r w:rsidR="00C63FAC" w:rsidRPr="00610DC3">
        <w:rPr>
          <w:rFonts w:ascii="Palatino Linotype" w:hAnsi="Palatino Linotype"/>
        </w:rPr>
        <w:t>promovido por</w:t>
      </w:r>
      <w:r w:rsidR="006D1BFA" w:rsidRPr="00610DC3">
        <w:rPr>
          <w:rFonts w:ascii="Palatino Linotype" w:hAnsi="Palatino Linotype"/>
          <w:b/>
          <w:bCs/>
        </w:rPr>
        <w:t xml:space="preserve"> </w:t>
      </w:r>
      <w:r w:rsidR="00CE6AC4" w:rsidRPr="00CE6AC4">
        <w:rPr>
          <w:rFonts w:ascii="Palatino Linotype" w:hAnsi="Palatino Linotype"/>
          <w:b/>
          <w:bCs/>
          <w:highlight w:val="black"/>
        </w:rPr>
        <w:t>------</w:t>
      </w:r>
      <w:r w:rsidR="006D1BFA" w:rsidRPr="00CE6AC4">
        <w:rPr>
          <w:rFonts w:ascii="Palatino Linotype" w:hAnsi="Palatino Linotype"/>
          <w:b/>
          <w:bCs/>
          <w:highlight w:val="black"/>
        </w:rPr>
        <w:t xml:space="preserve"> </w:t>
      </w:r>
      <w:r w:rsidR="00CE6AC4" w:rsidRPr="00CE6AC4">
        <w:rPr>
          <w:rFonts w:ascii="Palatino Linotype" w:hAnsi="Palatino Linotype"/>
          <w:b/>
          <w:bCs/>
          <w:highlight w:val="black"/>
        </w:rPr>
        <w:t>-----------------------</w:t>
      </w:r>
      <w:r w:rsidR="00C63FAC" w:rsidRPr="00610DC3">
        <w:rPr>
          <w:rFonts w:ascii="Palatino Linotype" w:hAnsi="Palatino Linotype"/>
        </w:rPr>
        <w:t xml:space="preserve">, en contra de la respuesta del </w:t>
      </w:r>
      <w:r w:rsidR="005348F5" w:rsidRPr="00610DC3">
        <w:rPr>
          <w:rFonts w:ascii="Palatino Linotype" w:hAnsi="Palatino Linotype"/>
          <w:b/>
        </w:rPr>
        <w:t xml:space="preserve">Ayuntamiento de </w:t>
      </w:r>
      <w:r w:rsidR="006D1BFA" w:rsidRPr="00610DC3">
        <w:rPr>
          <w:rFonts w:ascii="Palatino Linotype" w:hAnsi="Palatino Linotype"/>
          <w:b/>
        </w:rPr>
        <w:t>Ixtapan de la Sal</w:t>
      </w:r>
      <w:r w:rsidR="00CD04AC" w:rsidRPr="00610DC3">
        <w:rPr>
          <w:rFonts w:ascii="Palatino Linotype" w:hAnsi="Palatino Linotype"/>
          <w:b/>
        </w:rPr>
        <w:t xml:space="preserve"> </w:t>
      </w:r>
      <w:r w:rsidR="00C63FAC" w:rsidRPr="00610DC3">
        <w:rPr>
          <w:rFonts w:ascii="Palatino Linotype" w:hAnsi="Palatino Linotype"/>
        </w:rPr>
        <w:t>en lo sucesivo el</w:t>
      </w:r>
      <w:r w:rsidR="00C63FAC" w:rsidRPr="00610DC3">
        <w:rPr>
          <w:rFonts w:ascii="Palatino Linotype" w:hAnsi="Palatino Linotype"/>
          <w:b/>
        </w:rPr>
        <w:t xml:space="preserve"> SUJETO OBLIGADO, </w:t>
      </w:r>
      <w:r w:rsidR="00C63FAC" w:rsidRPr="00610DC3">
        <w:rPr>
          <w:rFonts w:ascii="Palatino Linotype" w:hAnsi="Palatino Linotype"/>
        </w:rPr>
        <w:t>se procede a dictar la presente resolució</w:t>
      </w:r>
      <w:r w:rsidR="00186ABE" w:rsidRPr="00610DC3">
        <w:rPr>
          <w:rFonts w:ascii="Palatino Linotype" w:hAnsi="Palatino Linotype"/>
        </w:rPr>
        <w:t xml:space="preserve">n, con base en los siguientes: </w:t>
      </w:r>
    </w:p>
    <w:p w14:paraId="769E1410" w14:textId="5740327F" w:rsidR="00587366" w:rsidRPr="00610DC3" w:rsidRDefault="00662C69" w:rsidP="001E74A5">
      <w:pPr>
        <w:pStyle w:val="Ttulo1"/>
        <w:spacing w:line="360" w:lineRule="auto"/>
        <w:jc w:val="center"/>
        <w:rPr>
          <w:b/>
          <w:szCs w:val="24"/>
        </w:rPr>
      </w:pPr>
      <w:bookmarkStart w:id="0" w:name="_Toc461555884"/>
      <w:bookmarkStart w:id="1" w:name="_Toc466371847"/>
      <w:bookmarkStart w:id="2" w:name="_Toc53009711"/>
      <w:r w:rsidRPr="00610DC3">
        <w:rPr>
          <w:b/>
          <w:szCs w:val="24"/>
        </w:rPr>
        <w:t>ANTECEDENTES</w:t>
      </w:r>
      <w:bookmarkEnd w:id="0"/>
      <w:bookmarkEnd w:id="1"/>
      <w:bookmarkEnd w:id="2"/>
    </w:p>
    <w:p w14:paraId="4F797A84" w14:textId="4926670A" w:rsidR="00A40EF1" w:rsidRPr="00610DC3" w:rsidRDefault="00900701" w:rsidP="00C84673">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10DC3">
        <w:rPr>
          <w:rFonts w:ascii="Palatino Linotype" w:eastAsia="Calibri" w:hAnsi="Palatino Linotype" w:cs="Arial"/>
          <w:lang w:val="es-MX"/>
        </w:rPr>
        <w:t xml:space="preserve">Los días </w:t>
      </w:r>
      <w:r w:rsidR="00A82C0E" w:rsidRPr="00610DC3">
        <w:rPr>
          <w:rFonts w:ascii="Palatino Linotype" w:eastAsia="Calibri" w:hAnsi="Palatino Linotype" w:cs="Arial"/>
          <w:lang w:val="es-MX"/>
        </w:rPr>
        <w:t xml:space="preserve">trece (13), veinticuatro (24) y </w:t>
      </w:r>
      <w:r w:rsidRPr="00610DC3">
        <w:rPr>
          <w:rFonts w:ascii="Palatino Linotype" w:eastAsia="Calibri" w:hAnsi="Palatino Linotype" w:cs="Arial"/>
          <w:lang w:val="es-MX"/>
        </w:rPr>
        <w:t xml:space="preserve">veintisiete </w:t>
      </w:r>
      <w:r w:rsidR="00B7273B" w:rsidRPr="00610DC3">
        <w:rPr>
          <w:rFonts w:ascii="Palatino Linotype" w:eastAsia="Calibri" w:hAnsi="Palatino Linotype" w:cs="Arial"/>
          <w:lang w:val="es-ES"/>
        </w:rPr>
        <w:t>(</w:t>
      </w:r>
      <w:r w:rsidRPr="00610DC3">
        <w:rPr>
          <w:rFonts w:ascii="Palatino Linotype" w:eastAsia="Calibri" w:hAnsi="Palatino Linotype" w:cs="Arial"/>
          <w:lang w:val="es-ES"/>
        </w:rPr>
        <w:t>27</w:t>
      </w:r>
      <w:r w:rsidR="00B7273B" w:rsidRPr="00610DC3">
        <w:rPr>
          <w:rFonts w:ascii="Palatino Linotype" w:eastAsia="Calibri" w:hAnsi="Palatino Linotype" w:cs="Arial"/>
          <w:lang w:val="es-ES"/>
        </w:rPr>
        <w:t>)</w:t>
      </w:r>
      <w:r w:rsidR="00C84673" w:rsidRPr="00610DC3">
        <w:rPr>
          <w:rFonts w:ascii="Palatino Linotype" w:eastAsia="Calibri" w:hAnsi="Palatino Linotype" w:cs="Arial"/>
          <w:lang w:val="es-ES"/>
        </w:rPr>
        <w:t xml:space="preserve"> </w:t>
      </w:r>
      <w:r w:rsidR="0010486E" w:rsidRPr="00610DC3">
        <w:rPr>
          <w:rFonts w:ascii="Palatino Linotype" w:eastAsia="Calibri" w:hAnsi="Palatino Linotype" w:cs="Arial"/>
          <w:lang w:val="es-ES"/>
        </w:rPr>
        <w:t>de</w:t>
      </w:r>
      <w:r w:rsidRPr="00610DC3">
        <w:rPr>
          <w:rFonts w:ascii="Palatino Linotype" w:eastAsia="Calibri" w:hAnsi="Palatino Linotype" w:cs="Arial"/>
          <w:lang w:val="es-ES"/>
        </w:rPr>
        <w:t xml:space="preserve"> abril</w:t>
      </w:r>
      <w:r w:rsidR="006D1BFA" w:rsidRPr="00610DC3">
        <w:rPr>
          <w:rFonts w:ascii="Palatino Linotype" w:eastAsia="Calibri" w:hAnsi="Palatino Linotype" w:cs="Arial"/>
          <w:lang w:val="es-ES"/>
        </w:rPr>
        <w:t xml:space="preserve"> </w:t>
      </w:r>
      <w:r w:rsidR="0010486E" w:rsidRPr="00610DC3">
        <w:rPr>
          <w:rFonts w:ascii="Palatino Linotype" w:eastAsia="Calibri" w:hAnsi="Palatino Linotype" w:cs="Arial"/>
          <w:lang w:val="es-ES"/>
        </w:rPr>
        <w:t>de dos mil</w:t>
      </w:r>
      <w:r w:rsidR="006D1BFA" w:rsidRPr="00610DC3">
        <w:rPr>
          <w:rFonts w:ascii="Palatino Linotype" w:eastAsia="Calibri" w:hAnsi="Palatino Linotype" w:cs="Arial"/>
          <w:lang w:val="es-ES"/>
        </w:rPr>
        <w:t xml:space="preserve"> veinte</w:t>
      </w:r>
      <w:r w:rsidR="00DB4BEF" w:rsidRPr="00610DC3">
        <w:rPr>
          <w:rFonts w:ascii="Palatino Linotype" w:eastAsia="Calibri" w:hAnsi="Palatino Linotype" w:cs="Arial"/>
          <w:lang w:val="es-ES"/>
        </w:rPr>
        <w:t>,</w:t>
      </w:r>
      <w:r w:rsidR="00DB4BEF" w:rsidRPr="00610DC3">
        <w:rPr>
          <w:rFonts w:ascii="Palatino Linotype" w:eastAsia="Calibri" w:hAnsi="Palatino Linotype" w:cs="Times New Roman"/>
          <w:lang w:val="es-ES"/>
        </w:rPr>
        <w:t xml:space="preserve"> </w:t>
      </w:r>
      <w:r w:rsidR="0010486E" w:rsidRPr="00610DC3">
        <w:rPr>
          <w:rFonts w:ascii="Palatino Linotype" w:eastAsia="Calibri" w:hAnsi="Palatino Linotype" w:cs="Times New Roman"/>
          <w:lang w:val="es-ES"/>
        </w:rPr>
        <w:t xml:space="preserve">el </w:t>
      </w:r>
      <w:r w:rsidR="00E62303" w:rsidRPr="00610DC3">
        <w:rPr>
          <w:rFonts w:ascii="Palatino Linotype" w:hAnsi="Palatino Linotype"/>
          <w:b/>
        </w:rPr>
        <w:t>RECURRENTE</w:t>
      </w:r>
      <w:r w:rsidR="00AB274F" w:rsidRPr="00610DC3">
        <w:rPr>
          <w:rFonts w:ascii="Palatino Linotype" w:hAnsi="Palatino Linotype"/>
          <w:b/>
        </w:rPr>
        <w:t xml:space="preserve"> </w:t>
      </w:r>
      <w:r w:rsidR="003116A6" w:rsidRPr="00610DC3">
        <w:rPr>
          <w:rFonts w:ascii="Palatino Linotype" w:eastAsia="Calibri" w:hAnsi="Palatino Linotype" w:cs="Arial"/>
          <w:lang w:val="es-ES"/>
        </w:rPr>
        <w:t xml:space="preserve">presentó </w:t>
      </w:r>
      <w:r w:rsidR="00C84673" w:rsidRPr="00610DC3">
        <w:rPr>
          <w:rFonts w:ascii="Palatino Linotype" w:eastAsia="Calibri" w:hAnsi="Palatino Linotype" w:cs="Arial"/>
          <w:lang w:val="es-ES"/>
        </w:rPr>
        <w:t>a través de</w:t>
      </w:r>
      <w:r w:rsidR="006D1BFA" w:rsidRPr="00610DC3">
        <w:rPr>
          <w:rFonts w:ascii="Palatino Linotype" w:eastAsia="Calibri" w:hAnsi="Palatino Linotype" w:cs="Arial"/>
          <w:lang w:val="es-ES"/>
        </w:rPr>
        <w:t>l Sistema de Acceso a la Información Mexiquense</w:t>
      </w:r>
      <w:r w:rsidR="00DB4BEF" w:rsidRPr="00610DC3">
        <w:rPr>
          <w:rFonts w:ascii="Palatino Linotype" w:eastAsia="Calibri" w:hAnsi="Palatino Linotype" w:cs="Arial"/>
          <w:lang w:val="es-ES"/>
        </w:rPr>
        <w:t>, la</w:t>
      </w:r>
      <w:r w:rsidR="003940F6" w:rsidRPr="00610DC3">
        <w:rPr>
          <w:rFonts w:ascii="Palatino Linotype" w:eastAsia="Calibri" w:hAnsi="Palatino Linotype" w:cs="Arial"/>
          <w:lang w:val="es-ES"/>
        </w:rPr>
        <w:t>s</w:t>
      </w:r>
      <w:r w:rsidR="00DB4BEF" w:rsidRPr="00610DC3">
        <w:rPr>
          <w:rFonts w:ascii="Palatino Linotype" w:eastAsia="Calibri" w:hAnsi="Palatino Linotype" w:cs="Arial"/>
          <w:lang w:val="es-ES"/>
        </w:rPr>
        <w:t xml:space="preserve"> solicitud</w:t>
      </w:r>
      <w:r w:rsidR="004B5C6B" w:rsidRPr="00610DC3">
        <w:rPr>
          <w:rFonts w:ascii="Palatino Linotype" w:eastAsia="Calibri" w:hAnsi="Palatino Linotype" w:cs="Arial"/>
          <w:lang w:val="es-ES"/>
        </w:rPr>
        <w:t>es</w:t>
      </w:r>
      <w:r w:rsidR="00DB4BEF" w:rsidRPr="00610DC3">
        <w:rPr>
          <w:rFonts w:ascii="Palatino Linotype" w:eastAsia="Calibri" w:hAnsi="Palatino Linotype" w:cs="Arial"/>
          <w:lang w:val="es-ES"/>
        </w:rPr>
        <w:t xml:space="preserve"> de información pública</w:t>
      </w:r>
      <w:r w:rsidR="004B5C6B" w:rsidRPr="00610DC3">
        <w:rPr>
          <w:rFonts w:ascii="Palatino Linotype" w:eastAsia="Calibri" w:hAnsi="Palatino Linotype" w:cs="Arial"/>
          <w:lang w:val="es-ES"/>
        </w:rPr>
        <w:t xml:space="preserve">, </w:t>
      </w:r>
      <w:r w:rsidR="00B5559A" w:rsidRPr="00610DC3">
        <w:rPr>
          <w:rFonts w:ascii="Palatino Linotype" w:eastAsia="Calibri" w:hAnsi="Palatino Linotype" w:cs="Arial"/>
          <w:lang w:val="es-ES"/>
        </w:rPr>
        <w:t>registradas con los números</w:t>
      </w:r>
      <w:r w:rsidR="00814C84" w:rsidRPr="00610DC3">
        <w:rPr>
          <w:rFonts w:ascii="Palatino Linotype" w:eastAsia="Calibri" w:hAnsi="Palatino Linotype" w:cs="Arial"/>
          <w:lang w:val="es-ES"/>
        </w:rPr>
        <w:t xml:space="preserve"> </w:t>
      </w:r>
      <w:hyperlink r:id="rId8" w:history="1"/>
      <w:bookmarkStart w:id="3" w:name="_Hlk48153538"/>
      <w:r w:rsidR="00C84673" w:rsidRPr="00610DC3">
        <w:rPr>
          <w:rFonts w:ascii="Palatino Linotype" w:eastAsia="Calibri" w:hAnsi="Palatino Linotype" w:cs="Arial"/>
          <w:b/>
          <w:bCs/>
          <w:color w:val="000000" w:themeColor="text1"/>
        </w:rPr>
        <w:t xml:space="preserve"> </w:t>
      </w:r>
      <w:r w:rsidR="00A82C0E" w:rsidRPr="00610DC3">
        <w:rPr>
          <w:rFonts w:ascii="Palatino Linotype" w:eastAsia="Calibri" w:hAnsi="Palatino Linotype" w:cs="Arial"/>
          <w:b/>
          <w:bCs/>
          <w:color w:val="000000" w:themeColor="text1"/>
        </w:rPr>
        <w:t>00297</w:t>
      </w:r>
      <w:r w:rsidR="00770847" w:rsidRPr="00610DC3">
        <w:rPr>
          <w:rFonts w:ascii="Palatino Linotype" w:eastAsia="Calibri" w:hAnsi="Palatino Linotype" w:cs="Arial"/>
          <w:b/>
          <w:bCs/>
          <w:color w:val="000000" w:themeColor="text1"/>
        </w:rPr>
        <w:t xml:space="preserve">/IXTASAL/IP/2020, </w:t>
      </w:r>
      <w:r w:rsidR="00A82C0E" w:rsidRPr="00610DC3">
        <w:rPr>
          <w:rFonts w:ascii="Palatino Linotype" w:eastAsia="Calibri" w:hAnsi="Palatino Linotype" w:cs="Arial"/>
          <w:b/>
          <w:bCs/>
          <w:color w:val="000000" w:themeColor="text1"/>
        </w:rPr>
        <w:t>00364</w:t>
      </w:r>
      <w:r w:rsidR="00770847" w:rsidRPr="00610DC3">
        <w:rPr>
          <w:rFonts w:ascii="Palatino Linotype" w:eastAsia="Calibri" w:hAnsi="Palatino Linotype" w:cs="Arial"/>
          <w:b/>
          <w:bCs/>
          <w:color w:val="000000" w:themeColor="text1"/>
        </w:rPr>
        <w:t xml:space="preserve">/IXTASAL/IP/2020, </w:t>
      </w:r>
      <w:r w:rsidR="00A82C0E" w:rsidRPr="00610DC3">
        <w:rPr>
          <w:rFonts w:ascii="Palatino Linotype" w:eastAsia="Calibri" w:hAnsi="Palatino Linotype" w:cs="Arial"/>
          <w:b/>
          <w:bCs/>
          <w:color w:val="000000" w:themeColor="text1"/>
        </w:rPr>
        <w:t>00369</w:t>
      </w:r>
      <w:r w:rsidR="00770847" w:rsidRPr="00610DC3">
        <w:rPr>
          <w:rFonts w:ascii="Palatino Linotype" w:eastAsia="Calibri" w:hAnsi="Palatino Linotype" w:cs="Arial"/>
          <w:b/>
          <w:bCs/>
          <w:color w:val="000000" w:themeColor="text1"/>
        </w:rPr>
        <w:t>/IXTASAL/IP/2020</w:t>
      </w:r>
      <w:r w:rsidR="00A82C0E" w:rsidRPr="00610DC3">
        <w:rPr>
          <w:rFonts w:ascii="Palatino Linotype" w:eastAsia="Calibri" w:hAnsi="Palatino Linotype" w:cs="Arial"/>
          <w:b/>
          <w:bCs/>
          <w:color w:val="000000" w:themeColor="text1"/>
        </w:rPr>
        <w:t xml:space="preserve"> y 00370</w:t>
      </w:r>
      <w:r w:rsidR="00B85B4F" w:rsidRPr="00610DC3">
        <w:rPr>
          <w:rFonts w:ascii="Palatino Linotype" w:eastAsia="Calibri" w:hAnsi="Palatino Linotype" w:cs="Arial"/>
          <w:b/>
          <w:bCs/>
          <w:color w:val="000000" w:themeColor="text1"/>
        </w:rPr>
        <w:t xml:space="preserve">/IXTASAL/IP/2020. </w:t>
      </w:r>
    </w:p>
    <w:bookmarkEnd w:id="3"/>
    <w:p w14:paraId="49EACD2C" w14:textId="77777777" w:rsidR="005B1B6A" w:rsidRPr="00610DC3"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6FD2949B" w:rsidR="00D617B7" w:rsidRPr="00610DC3" w:rsidRDefault="0042490C" w:rsidP="00D038BF">
      <w:pPr>
        <w:pStyle w:val="Prrafodelista"/>
        <w:numPr>
          <w:ilvl w:val="0"/>
          <w:numId w:val="1"/>
        </w:numPr>
        <w:spacing w:before="240" w:after="240"/>
        <w:ind w:left="0" w:firstLine="0"/>
        <w:jc w:val="both"/>
        <w:rPr>
          <w:rFonts w:ascii="Palatino Linotype" w:eastAsia="Calibri" w:hAnsi="Palatino Linotype" w:cs="Arial"/>
          <w:lang w:val="es-ES"/>
        </w:rPr>
      </w:pPr>
      <w:r w:rsidRPr="00610DC3">
        <w:rPr>
          <w:rFonts w:ascii="Palatino Linotype" w:eastAsia="Calibri" w:hAnsi="Palatino Linotype" w:cs="Arial"/>
          <w:lang w:val="es-ES"/>
        </w:rPr>
        <w:t>Solicitudes de información mediante</w:t>
      </w:r>
      <w:r w:rsidR="00DB4BEF" w:rsidRPr="00610DC3">
        <w:rPr>
          <w:rFonts w:ascii="Palatino Linotype" w:eastAsia="Calibri" w:hAnsi="Palatino Linotype" w:cs="Arial"/>
          <w:lang w:val="es-ES"/>
        </w:rPr>
        <w:t xml:space="preserve"> la</w:t>
      </w:r>
      <w:r w:rsidR="00DC301A" w:rsidRPr="00610DC3">
        <w:rPr>
          <w:rFonts w:ascii="Palatino Linotype" w:eastAsia="Calibri" w:hAnsi="Palatino Linotype" w:cs="Arial"/>
          <w:lang w:val="es-ES"/>
        </w:rPr>
        <w:t>s</w:t>
      </w:r>
      <w:r w:rsidR="00DB4BEF" w:rsidRPr="00610DC3">
        <w:rPr>
          <w:rFonts w:ascii="Palatino Linotype" w:eastAsia="Calibri" w:hAnsi="Palatino Linotype" w:cs="Arial"/>
          <w:lang w:val="es-ES"/>
        </w:rPr>
        <w:t xml:space="preserve"> cual</w:t>
      </w:r>
      <w:r w:rsidR="00DC301A" w:rsidRPr="00610DC3">
        <w:rPr>
          <w:rFonts w:ascii="Palatino Linotype" w:eastAsia="Calibri" w:hAnsi="Palatino Linotype" w:cs="Arial"/>
          <w:lang w:val="es-ES"/>
        </w:rPr>
        <w:t>es</w:t>
      </w:r>
      <w:r w:rsidR="00AD7314" w:rsidRPr="00610DC3">
        <w:rPr>
          <w:rFonts w:ascii="Palatino Linotype" w:eastAsia="Calibri" w:hAnsi="Palatino Linotype" w:cs="Arial"/>
          <w:lang w:val="es-ES"/>
        </w:rPr>
        <w:t xml:space="preserve"> requirió </w:t>
      </w:r>
      <w:r w:rsidR="00B5559A" w:rsidRPr="00610DC3">
        <w:rPr>
          <w:rFonts w:ascii="Palatino Linotype" w:eastAsia="Calibri" w:hAnsi="Palatino Linotype" w:cs="Arial"/>
          <w:lang w:val="es-ES"/>
        </w:rPr>
        <w:t>lo siguiente</w:t>
      </w:r>
      <w:r w:rsidR="00DB4BEF" w:rsidRPr="00610DC3">
        <w:rPr>
          <w:rFonts w:ascii="Palatino Linotype" w:eastAsia="Calibri" w:hAnsi="Palatino Linotype" w:cs="Arial"/>
          <w:lang w:val="es-ES"/>
        </w:rPr>
        <w:t>:</w:t>
      </w:r>
    </w:p>
    <w:p w14:paraId="52051320" w14:textId="77777777" w:rsidR="005846AD" w:rsidRPr="00610DC3" w:rsidRDefault="005846AD" w:rsidP="005846AD">
      <w:pPr>
        <w:pStyle w:val="Prrafodelista"/>
        <w:rPr>
          <w:rFonts w:ascii="Palatino Linotype" w:eastAsia="Calibri" w:hAnsi="Palatino Linotype" w:cs="Arial"/>
          <w:lang w:val="es-ES"/>
        </w:rPr>
      </w:pPr>
    </w:p>
    <w:p w14:paraId="10C68512" w14:textId="757E2255" w:rsidR="005846AD" w:rsidRPr="00610DC3" w:rsidRDefault="00A82C0E" w:rsidP="00B53811">
      <w:pPr>
        <w:spacing w:before="240" w:after="240" w:line="360" w:lineRule="auto"/>
        <w:ind w:left="567" w:right="616"/>
        <w:jc w:val="both"/>
        <w:rPr>
          <w:rFonts w:ascii="Palatino Linotype" w:eastAsia="Calibri" w:hAnsi="Palatino Linotype" w:cs="Arial"/>
          <w:bCs/>
          <w:i/>
        </w:rPr>
      </w:pPr>
      <w:r w:rsidRPr="00610DC3">
        <w:rPr>
          <w:rFonts w:ascii="Palatino Linotype" w:eastAsia="Calibri" w:hAnsi="Palatino Linotype" w:cs="Arial"/>
          <w:b/>
          <w:bCs/>
        </w:rPr>
        <w:t>00297</w:t>
      </w:r>
      <w:r w:rsidR="005846AD" w:rsidRPr="00610DC3">
        <w:rPr>
          <w:rFonts w:ascii="Palatino Linotype" w:eastAsia="Calibri" w:hAnsi="Palatino Linotype" w:cs="Arial"/>
          <w:b/>
          <w:bCs/>
        </w:rPr>
        <w:t xml:space="preserve">/IXTASAL/IP/2020: </w:t>
      </w:r>
      <w:r w:rsidR="005846AD" w:rsidRPr="00610DC3">
        <w:rPr>
          <w:rFonts w:ascii="Palatino Linotype" w:eastAsia="Calibri" w:hAnsi="Palatino Linotype" w:cs="Arial"/>
          <w:bCs/>
          <w:i/>
        </w:rPr>
        <w:t>“</w:t>
      </w:r>
      <w:r w:rsidRPr="00610DC3">
        <w:rPr>
          <w:rFonts w:ascii="Palatino Linotype" w:eastAsia="Calibri" w:hAnsi="Palatino Linotype" w:cs="Arial"/>
          <w:bCs/>
          <w:i/>
        </w:rPr>
        <w:t>El padrón de contratistas de obra pública del Municipio</w:t>
      </w:r>
      <w:r w:rsidR="005846AD" w:rsidRPr="00610DC3">
        <w:rPr>
          <w:rFonts w:ascii="Palatino Linotype" w:eastAsia="Calibri" w:hAnsi="Palatino Linotype" w:cs="Arial"/>
          <w:bCs/>
          <w:i/>
        </w:rPr>
        <w:t>.”</w:t>
      </w:r>
      <w:r w:rsidRPr="00610DC3">
        <w:rPr>
          <w:rFonts w:ascii="Palatino Linotype" w:eastAsia="Calibri" w:hAnsi="Palatino Linotype" w:cs="Arial"/>
          <w:bCs/>
          <w:i/>
        </w:rPr>
        <w:t xml:space="preserve"> (Sic)</w:t>
      </w:r>
    </w:p>
    <w:p w14:paraId="174457B5" w14:textId="77777777" w:rsidR="005846AD" w:rsidRPr="00610DC3" w:rsidRDefault="005846AD" w:rsidP="00B53811">
      <w:pPr>
        <w:spacing w:before="240" w:after="240"/>
        <w:ind w:left="567" w:right="616"/>
        <w:jc w:val="both"/>
        <w:rPr>
          <w:rFonts w:ascii="Palatino Linotype" w:eastAsia="Calibri" w:hAnsi="Palatino Linotype" w:cs="Arial"/>
          <w:b/>
          <w:bCs/>
        </w:rPr>
      </w:pPr>
    </w:p>
    <w:p w14:paraId="74658FE9" w14:textId="7DBD15EF" w:rsidR="005846AD" w:rsidRPr="00610DC3" w:rsidRDefault="00A82C0E" w:rsidP="00B53811">
      <w:pPr>
        <w:spacing w:before="240" w:after="240" w:line="360" w:lineRule="auto"/>
        <w:ind w:left="567" w:right="616"/>
        <w:jc w:val="both"/>
        <w:rPr>
          <w:rFonts w:ascii="Palatino Linotype" w:eastAsia="Calibri" w:hAnsi="Palatino Linotype" w:cs="Arial"/>
          <w:b/>
          <w:bCs/>
        </w:rPr>
      </w:pPr>
      <w:r w:rsidRPr="00610DC3">
        <w:rPr>
          <w:rFonts w:ascii="Palatino Linotype" w:eastAsia="Calibri" w:hAnsi="Palatino Linotype" w:cs="Arial"/>
          <w:b/>
          <w:bCs/>
        </w:rPr>
        <w:lastRenderedPageBreak/>
        <w:t xml:space="preserve"> 00364</w:t>
      </w:r>
      <w:r w:rsidR="005846AD" w:rsidRPr="00610DC3">
        <w:rPr>
          <w:rFonts w:ascii="Palatino Linotype" w:eastAsia="Calibri" w:hAnsi="Palatino Linotype" w:cs="Arial"/>
          <w:b/>
          <w:bCs/>
        </w:rPr>
        <w:t xml:space="preserve">/IXTASAL/IP/2020: </w:t>
      </w:r>
      <w:r w:rsidR="005846AD" w:rsidRPr="00610DC3">
        <w:rPr>
          <w:rFonts w:ascii="Palatino Linotype" w:eastAsia="Calibri" w:hAnsi="Palatino Linotype" w:cs="Arial"/>
          <w:bCs/>
          <w:i/>
        </w:rPr>
        <w:t>“</w:t>
      </w:r>
      <w:r w:rsidRPr="00610DC3">
        <w:rPr>
          <w:rFonts w:ascii="Palatino Linotype" w:eastAsia="Calibri" w:hAnsi="Palatino Linotype" w:cs="Arial"/>
          <w:bCs/>
          <w:i/>
        </w:rPr>
        <w:t>Del Presidente Municipal, Director de Desarrollo Social, Tesorero Municipal, solicito, La relación de todos los beneficiarios de obras públicas, programas sociales, subsidios en dinero y en especie, incluyendo los beneficios que les fueron otorgados, cuartos, despensas, descuentos en el pago de contribuciones, apoyos o subsidios en efectivo, etc.</w:t>
      </w:r>
      <w:r w:rsidR="005846AD" w:rsidRPr="00610DC3">
        <w:rPr>
          <w:rFonts w:ascii="Palatino Linotype" w:eastAsia="Calibri" w:hAnsi="Palatino Linotype" w:cs="Arial"/>
          <w:bCs/>
          <w:i/>
        </w:rPr>
        <w:t>.”</w:t>
      </w:r>
      <w:r w:rsidRPr="00610DC3">
        <w:rPr>
          <w:rFonts w:ascii="Palatino Linotype" w:eastAsia="Calibri" w:hAnsi="Palatino Linotype" w:cs="Arial"/>
          <w:bCs/>
          <w:i/>
        </w:rPr>
        <w:t xml:space="preserve"> (Sic)</w:t>
      </w:r>
    </w:p>
    <w:p w14:paraId="0B8A23D0" w14:textId="77777777" w:rsidR="005846AD" w:rsidRPr="00610DC3" w:rsidRDefault="005846AD" w:rsidP="00B53811">
      <w:pPr>
        <w:spacing w:before="240" w:after="240"/>
        <w:ind w:left="567" w:right="616"/>
        <w:jc w:val="both"/>
        <w:rPr>
          <w:rFonts w:ascii="Palatino Linotype" w:eastAsia="Calibri" w:hAnsi="Palatino Linotype" w:cs="Arial"/>
          <w:b/>
          <w:bCs/>
        </w:rPr>
      </w:pPr>
    </w:p>
    <w:p w14:paraId="55F2115F" w14:textId="2A9EA027" w:rsidR="00841618" w:rsidRPr="00610DC3" w:rsidRDefault="00A82C0E" w:rsidP="00B53811">
      <w:pPr>
        <w:spacing w:before="240" w:after="240" w:line="360" w:lineRule="auto"/>
        <w:ind w:left="567" w:right="616"/>
        <w:jc w:val="both"/>
        <w:rPr>
          <w:rFonts w:ascii="Palatino Linotype" w:eastAsia="Calibri" w:hAnsi="Palatino Linotype" w:cs="Arial"/>
          <w:bCs/>
          <w:i/>
        </w:rPr>
      </w:pPr>
      <w:r w:rsidRPr="00610DC3">
        <w:rPr>
          <w:rFonts w:ascii="Palatino Linotype" w:eastAsia="Calibri" w:hAnsi="Palatino Linotype" w:cs="Arial"/>
          <w:b/>
          <w:bCs/>
        </w:rPr>
        <w:t>00369</w:t>
      </w:r>
      <w:r w:rsidR="005846AD" w:rsidRPr="00610DC3">
        <w:rPr>
          <w:rFonts w:ascii="Palatino Linotype" w:eastAsia="Calibri" w:hAnsi="Palatino Linotype" w:cs="Arial"/>
          <w:b/>
          <w:bCs/>
        </w:rPr>
        <w:t xml:space="preserve">/IXTASAL/IP/2020: </w:t>
      </w:r>
      <w:r w:rsidR="005846AD" w:rsidRPr="00610DC3">
        <w:rPr>
          <w:rFonts w:ascii="Palatino Linotype" w:eastAsia="Calibri" w:hAnsi="Palatino Linotype" w:cs="Arial"/>
          <w:bCs/>
          <w:i/>
        </w:rPr>
        <w:t>“</w:t>
      </w:r>
      <w:r w:rsidRPr="00610DC3">
        <w:rPr>
          <w:rFonts w:ascii="Palatino Linotype" w:eastAsia="Calibri" w:hAnsi="Palatino Linotype" w:cs="Arial"/>
          <w:bCs/>
          <w:i/>
        </w:rPr>
        <w:t>Del Presidente Municipal, Director de Desarrollo Social, Tesorero Municipal y Sistema Municipal DIF, solicito, La relación de todos los beneficiarios de obras públicas, programas sociales, subsidios en dinero y en especie, incluyendo los beneficios que les fueron otorgados, cuartos, despensas, descuentos en el pago de contribuciones, apoyos o subsidios en efectivo, etc.</w:t>
      </w:r>
      <w:r w:rsidR="005846AD" w:rsidRPr="00610DC3">
        <w:rPr>
          <w:rFonts w:ascii="Palatino Linotype" w:eastAsia="Calibri" w:hAnsi="Palatino Linotype" w:cs="Arial"/>
          <w:bCs/>
          <w:i/>
        </w:rPr>
        <w:t>.”</w:t>
      </w:r>
      <w:r w:rsidRPr="00610DC3">
        <w:rPr>
          <w:rFonts w:ascii="Palatino Linotype" w:eastAsia="Calibri" w:hAnsi="Palatino Linotype" w:cs="Arial"/>
          <w:bCs/>
          <w:i/>
        </w:rPr>
        <w:t xml:space="preserve"> (Sic)</w:t>
      </w:r>
    </w:p>
    <w:p w14:paraId="5C0B609B" w14:textId="06A4A87C" w:rsidR="00D2386B" w:rsidRPr="00610DC3" w:rsidRDefault="00A82C0E" w:rsidP="00B53811">
      <w:pPr>
        <w:spacing w:before="240" w:after="240" w:line="360" w:lineRule="auto"/>
        <w:ind w:left="567" w:right="616"/>
        <w:jc w:val="both"/>
        <w:rPr>
          <w:rFonts w:ascii="Palatino Linotype" w:eastAsia="Calibri" w:hAnsi="Palatino Linotype" w:cs="Arial"/>
          <w:bCs/>
          <w:i/>
        </w:rPr>
      </w:pPr>
      <w:r w:rsidRPr="00610DC3">
        <w:rPr>
          <w:rFonts w:ascii="Palatino Linotype" w:eastAsia="Calibri" w:hAnsi="Palatino Linotype" w:cs="Arial"/>
          <w:b/>
          <w:bCs/>
        </w:rPr>
        <w:t>00370</w:t>
      </w:r>
      <w:r w:rsidR="005846AD" w:rsidRPr="00610DC3">
        <w:rPr>
          <w:rFonts w:ascii="Palatino Linotype" w:eastAsia="Calibri" w:hAnsi="Palatino Linotype" w:cs="Arial"/>
          <w:b/>
          <w:bCs/>
        </w:rPr>
        <w:t>/IXTASAL/IP/2020:</w:t>
      </w:r>
      <w:r w:rsidR="005846AD" w:rsidRPr="00610DC3">
        <w:rPr>
          <w:rFonts w:ascii="Palatino Linotype" w:hAnsi="Palatino Linotype"/>
        </w:rPr>
        <w:t xml:space="preserve"> </w:t>
      </w:r>
      <w:r w:rsidR="005846AD" w:rsidRPr="00610DC3">
        <w:rPr>
          <w:rFonts w:ascii="Palatino Linotype" w:hAnsi="Palatino Linotype"/>
          <w:i/>
        </w:rPr>
        <w:t>“</w:t>
      </w:r>
      <w:r w:rsidRPr="00610DC3">
        <w:rPr>
          <w:rFonts w:ascii="Palatino Linotype" w:hAnsi="Palatino Linotype"/>
          <w:i/>
        </w:rPr>
        <w:t>Del Sistema Municipal DIF, solicito, la relación de todos los beneficiarios de los programas que ha ejecutado durante 2019 y 2020.</w:t>
      </w:r>
      <w:r w:rsidRPr="00610DC3">
        <w:rPr>
          <w:rFonts w:ascii="Palatino Linotype" w:eastAsia="Calibri" w:hAnsi="Palatino Linotype" w:cs="Arial"/>
          <w:bCs/>
          <w:i/>
        </w:rPr>
        <w:t>"</w:t>
      </w:r>
      <w:r w:rsidR="005846AD" w:rsidRPr="00610DC3">
        <w:rPr>
          <w:rFonts w:ascii="Palatino Linotype" w:eastAsia="Calibri" w:hAnsi="Palatino Linotype" w:cs="Arial"/>
          <w:bCs/>
          <w:i/>
        </w:rPr>
        <w:t>(Sic)</w:t>
      </w:r>
    </w:p>
    <w:p w14:paraId="1AA07536" w14:textId="7C9BFD15" w:rsidR="003B6B27" w:rsidRPr="00610DC3" w:rsidRDefault="003B6B27" w:rsidP="003B6B27">
      <w:pPr>
        <w:pStyle w:val="Prrafodelista"/>
        <w:rPr>
          <w:rFonts w:ascii="Palatino Linotype" w:eastAsia="Calibri" w:hAnsi="Palatino Linotype" w:cs="Arial"/>
          <w:lang w:val="es-ES"/>
        </w:rPr>
      </w:pPr>
    </w:p>
    <w:p w14:paraId="44B924B1" w14:textId="27B46128" w:rsidR="00A550DC" w:rsidRPr="00610DC3" w:rsidRDefault="00EF758E" w:rsidP="00C759CD">
      <w:pPr>
        <w:pStyle w:val="Prrafodelista"/>
        <w:numPr>
          <w:ilvl w:val="0"/>
          <w:numId w:val="1"/>
        </w:numPr>
        <w:spacing w:before="240" w:after="240" w:line="360" w:lineRule="auto"/>
        <w:ind w:left="0" w:right="49" w:firstLine="0"/>
        <w:jc w:val="both"/>
        <w:rPr>
          <w:rFonts w:ascii="Palatino Linotype" w:hAnsi="Palatino Linotype"/>
          <w:color w:val="000000"/>
        </w:rPr>
      </w:pPr>
      <w:r w:rsidRPr="00610DC3">
        <w:rPr>
          <w:rFonts w:ascii="Palatino Linotype" w:eastAsia="Calibri" w:hAnsi="Palatino Linotype" w:cs="Times New Roman"/>
          <w:lang w:val="es-ES"/>
        </w:rPr>
        <w:t>Se hace constar que en</w:t>
      </w:r>
      <w:r w:rsidR="00DC2579" w:rsidRPr="00610DC3">
        <w:rPr>
          <w:rFonts w:ascii="Palatino Linotype" w:eastAsia="Calibri" w:hAnsi="Palatino Linotype" w:cs="Times New Roman"/>
          <w:lang w:val="es-ES"/>
        </w:rPr>
        <w:t xml:space="preserve"> ambas</w:t>
      </w:r>
      <w:r w:rsidRPr="00610DC3">
        <w:rPr>
          <w:rFonts w:ascii="Palatino Linotype" w:eastAsia="Calibri" w:hAnsi="Palatino Linotype" w:cs="Times New Roman"/>
          <w:lang w:val="es-ES"/>
        </w:rPr>
        <w:t xml:space="preserve"> solicitudes se s</w:t>
      </w:r>
      <w:r w:rsidR="005E570D" w:rsidRPr="00610DC3">
        <w:rPr>
          <w:rFonts w:ascii="Palatino Linotype" w:eastAsia="Calibri" w:hAnsi="Palatino Linotype" w:cs="Times New Roman"/>
          <w:lang w:val="es-ES"/>
        </w:rPr>
        <w:t>eñaló como modalid</w:t>
      </w:r>
      <w:r w:rsidRPr="00610DC3">
        <w:rPr>
          <w:rFonts w:ascii="Palatino Linotype" w:eastAsia="Calibri" w:hAnsi="Palatino Linotype" w:cs="Times New Roman"/>
          <w:lang w:val="es-ES"/>
        </w:rPr>
        <w:t>ad de entrega de l</w:t>
      </w:r>
      <w:r w:rsidR="00A40EF1" w:rsidRPr="00610DC3">
        <w:rPr>
          <w:rFonts w:ascii="Palatino Linotype" w:eastAsia="Calibri" w:hAnsi="Palatino Linotype" w:cs="Times New Roman"/>
          <w:lang w:val="es-ES"/>
        </w:rPr>
        <w:t>a información</w:t>
      </w:r>
      <w:r w:rsidRPr="00610DC3">
        <w:rPr>
          <w:rFonts w:ascii="Palatino Linotype" w:eastAsia="Calibri" w:hAnsi="Palatino Linotype" w:cs="Times New Roman"/>
          <w:lang w:val="es-ES"/>
        </w:rPr>
        <w:t xml:space="preserve"> a través del Sistema de Acceso a la Información Mexiquense </w:t>
      </w:r>
      <w:r w:rsidRPr="00610DC3">
        <w:rPr>
          <w:rFonts w:ascii="Palatino Linotype" w:eastAsia="Calibri" w:hAnsi="Palatino Linotype" w:cs="Times New Roman"/>
          <w:b/>
          <w:lang w:val="es-ES"/>
        </w:rPr>
        <w:t>(SAIMEX).</w:t>
      </w:r>
    </w:p>
    <w:p w14:paraId="409E46C9" w14:textId="77777777" w:rsidR="00DC2579" w:rsidRPr="00610DC3" w:rsidRDefault="00DC2579" w:rsidP="00DC2579">
      <w:pPr>
        <w:pStyle w:val="Prrafodelista"/>
        <w:spacing w:before="240" w:after="240" w:line="360" w:lineRule="auto"/>
        <w:ind w:left="0" w:right="616"/>
        <w:jc w:val="both"/>
        <w:rPr>
          <w:rFonts w:ascii="Palatino Linotype" w:hAnsi="Palatino Linotype"/>
          <w:color w:val="000000"/>
        </w:rPr>
      </w:pPr>
    </w:p>
    <w:p w14:paraId="260655FF" w14:textId="505F1831" w:rsidR="00FA424F" w:rsidRPr="00610DC3" w:rsidRDefault="005E570D" w:rsidP="00C759CD">
      <w:pPr>
        <w:pStyle w:val="Prrafodelista"/>
        <w:numPr>
          <w:ilvl w:val="0"/>
          <w:numId w:val="1"/>
        </w:numPr>
        <w:tabs>
          <w:tab w:val="left" w:pos="0"/>
        </w:tabs>
        <w:spacing w:line="360" w:lineRule="auto"/>
        <w:ind w:left="0" w:firstLine="0"/>
        <w:jc w:val="both"/>
        <w:rPr>
          <w:rFonts w:ascii="Palatino Linotype" w:hAnsi="Palatino Linotype"/>
          <w:color w:val="000000"/>
        </w:rPr>
      </w:pPr>
      <w:r w:rsidRPr="00610DC3">
        <w:rPr>
          <w:rFonts w:ascii="Palatino Linotype" w:eastAsia="Calibri" w:hAnsi="Palatino Linotype" w:cs="Times New Roman"/>
        </w:rPr>
        <w:t>E</w:t>
      </w:r>
      <w:r w:rsidR="00FA424F" w:rsidRPr="00610DC3">
        <w:rPr>
          <w:rFonts w:ascii="Palatino Linotype" w:eastAsia="Calibri" w:hAnsi="Palatino Linotype" w:cs="Times New Roman"/>
        </w:rPr>
        <w:t xml:space="preserve">l </w:t>
      </w:r>
      <w:r w:rsidR="00FA424F" w:rsidRPr="00610DC3">
        <w:rPr>
          <w:rFonts w:ascii="Palatino Linotype" w:eastAsia="Calibri" w:hAnsi="Palatino Linotype" w:cs="Times New Roman"/>
          <w:b/>
          <w:bCs/>
        </w:rPr>
        <w:t xml:space="preserve">SUJETO OBLIGADO </w:t>
      </w:r>
      <w:r w:rsidR="00015015" w:rsidRPr="00610DC3">
        <w:rPr>
          <w:rFonts w:ascii="Palatino Linotype" w:eastAsia="Calibri" w:hAnsi="Palatino Linotype" w:cs="Times New Roman"/>
          <w:bCs/>
        </w:rPr>
        <w:t>emitió respuesta</w:t>
      </w:r>
      <w:r w:rsidR="00830C60" w:rsidRPr="00610DC3">
        <w:rPr>
          <w:rFonts w:ascii="Palatino Linotype" w:eastAsia="Calibri" w:hAnsi="Palatino Linotype" w:cs="Times New Roman"/>
          <w:bCs/>
        </w:rPr>
        <w:t xml:space="preserve"> a todas las solicitudes de información</w:t>
      </w:r>
      <w:r w:rsidR="00015015" w:rsidRPr="00610DC3">
        <w:rPr>
          <w:rFonts w:ascii="Palatino Linotype" w:eastAsia="Calibri" w:hAnsi="Palatino Linotype" w:cs="Times New Roman"/>
          <w:bCs/>
        </w:rPr>
        <w:t xml:space="preserve"> en fecha</w:t>
      </w:r>
      <w:r w:rsidR="00C759CD" w:rsidRPr="00610DC3">
        <w:rPr>
          <w:rFonts w:ascii="Palatino Linotype" w:eastAsia="Calibri" w:hAnsi="Palatino Linotype" w:cs="Times New Roman"/>
          <w:bCs/>
        </w:rPr>
        <w:t xml:space="preserve"> </w:t>
      </w:r>
      <w:r w:rsidR="00015015" w:rsidRPr="00610DC3">
        <w:rPr>
          <w:rFonts w:ascii="Palatino Linotype" w:eastAsia="Calibri" w:hAnsi="Palatino Linotype" w:cs="Times New Roman"/>
          <w:bCs/>
        </w:rPr>
        <w:t>treinta (30</w:t>
      </w:r>
      <w:r w:rsidR="000450D5" w:rsidRPr="00610DC3">
        <w:rPr>
          <w:rFonts w:ascii="Palatino Linotype" w:eastAsia="Calibri" w:hAnsi="Palatino Linotype" w:cs="Times New Roman"/>
          <w:bCs/>
        </w:rPr>
        <w:t>) de</w:t>
      </w:r>
      <w:r w:rsidR="00015015" w:rsidRPr="00610DC3">
        <w:rPr>
          <w:rFonts w:ascii="Palatino Linotype" w:eastAsia="Calibri" w:hAnsi="Palatino Linotype" w:cs="Times New Roman"/>
          <w:bCs/>
        </w:rPr>
        <w:t xml:space="preserve"> junio</w:t>
      </w:r>
      <w:r w:rsidR="000450D5" w:rsidRPr="00610DC3">
        <w:rPr>
          <w:rFonts w:ascii="Palatino Linotype" w:eastAsia="Calibri" w:hAnsi="Palatino Linotype" w:cs="Times New Roman"/>
          <w:bCs/>
        </w:rPr>
        <w:t xml:space="preserve"> </w:t>
      </w:r>
      <w:r w:rsidR="00015015" w:rsidRPr="00610DC3">
        <w:rPr>
          <w:rFonts w:ascii="Palatino Linotype" w:eastAsia="Calibri" w:hAnsi="Palatino Linotype" w:cs="Times New Roman"/>
        </w:rPr>
        <w:t>a través del</w:t>
      </w:r>
      <w:r w:rsidR="000450D5" w:rsidRPr="00610DC3">
        <w:rPr>
          <w:rFonts w:ascii="Palatino Linotype" w:eastAsia="Calibri" w:hAnsi="Palatino Linotype" w:cs="Times New Roman"/>
        </w:rPr>
        <w:t xml:space="preserve"> siguiente</w:t>
      </w:r>
      <w:r w:rsidR="00015015" w:rsidRPr="00610DC3">
        <w:rPr>
          <w:rFonts w:ascii="Palatino Linotype" w:eastAsia="Calibri" w:hAnsi="Palatino Linotype" w:cs="Times New Roman"/>
        </w:rPr>
        <w:t xml:space="preserve"> documento</w:t>
      </w:r>
      <w:r w:rsidR="00C54B63" w:rsidRPr="00610DC3">
        <w:rPr>
          <w:rFonts w:ascii="Palatino Linotype" w:eastAsia="Calibri" w:hAnsi="Palatino Linotype" w:cs="Times New Roman"/>
        </w:rPr>
        <w:t>:</w:t>
      </w:r>
      <w:r w:rsidRPr="00610DC3">
        <w:rPr>
          <w:rFonts w:ascii="Palatino Linotype" w:eastAsia="Calibri" w:hAnsi="Palatino Linotype" w:cs="Times New Roman"/>
        </w:rPr>
        <w:t xml:space="preserve"> </w:t>
      </w:r>
    </w:p>
    <w:p w14:paraId="5BBB8212" w14:textId="77777777" w:rsidR="000450D5" w:rsidRPr="00610DC3" w:rsidRDefault="000450D5" w:rsidP="000450D5">
      <w:pPr>
        <w:rPr>
          <w:rFonts w:ascii="Palatino Linotype" w:hAnsi="Palatino Linotype"/>
          <w:color w:val="000000"/>
        </w:rPr>
      </w:pPr>
    </w:p>
    <w:p w14:paraId="70D7A280" w14:textId="07D9E0D4" w:rsidR="00142512" w:rsidRPr="00610DC3" w:rsidRDefault="00CE6AC4" w:rsidP="00C54B63">
      <w:pPr>
        <w:pStyle w:val="Prrafodelista"/>
        <w:numPr>
          <w:ilvl w:val="0"/>
          <w:numId w:val="16"/>
        </w:numPr>
        <w:spacing w:before="240" w:after="240" w:line="360" w:lineRule="auto"/>
        <w:jc w:val="both"/>
        <w:rPr>
          <w:rFonts w:ascii="Palatino Linotype" w:eastAsia="Calibri" w:hAnsi="Palatino Linotype" w:cs="Arial"/>
          <w:b/>
          <w:bCs/>
        </w:rPr>
      </w:pPr>
      <w:hyperlink r:id="rId9" w:tgtFrame="_blank" w:history="1">
        <w:r w:rsidR="00C54B63" w:rsidRPr="00610DC3">
          <w:rPr>
            <w:rStyle w:val="Hipervnculo"/>
            <w:rFonts w:ascii="Palatino Linotype" w:eastAsia="Calibri" w:hAnsi="Palatino Linotype" w:cs="Arial"/>
            <w:b/>
            <w:bCs/>
            <w:color w:val="auto"/>
            <w:u w:val="none"/>
          </w:rPr>
          <w:t>Acta de la 11va Sesión Extraordinaria.pdf</w:t>
        </w:r>
      </w:hyperlink>
      <w:r w:rsidR="00015015" w:rsidRPr="00610DC3">
        <w:rPr>
          <w:rFonts w:ascii="Palatino Linotype" w:eastAsia="Calibri" w:hAnsi="Palatino Linotype" w:cs="Arial"/>
          <w:b/>
          <w:bCs/>
        </w:rPr>
        <w:t xml:space="preserve">: </w:t>
      </w:r>
      <w:r w:rsidR="00015015" w:rsidRPr="00610DC3">
        <w:rPr>
          <w:rFonts w:ascii="Palatino Linotype" w:eastAsia="Calibri" w:hAnsi="Palatino Linotype" w:cs="Arial"/>
          <w:bCs/>
        </w:rPr>
        <w:t>Documento</w:t>
      </w:r>
      <w:r w:rsidR="00C54B63" w:rsidRPr="00610DC3">
        <w:rPr>
          <w:rFonts w:ascii="Palatino Linotype" w:eastAsia="Calibri" w:hAnsi="Palatino Linotype" w:cs="Arial"/>
          <w:bCs/>
        </w:rPr>
        <w:t xml:space="preserve"> electrónico que en diecinueve (19) hojas contiene el </w:t>
      </w:r>
      <w:r w:rsidR="00C54B63" w:rsidRPr="00610DC3">
        <w:rPr>
          <w:rFonts w:ascii="Palatino Linotype" w:eastAsia="Calibri" w:hAnsi="Palatino Linotype" w:cs="Arial"/>
          <w:bCs/>
          <w:i/>
        </w:rPr>
        <w:t xml:space="preserve">“ACTA DE LA ONCEAVA SESIÓN EXTRAORDINARIA DEL COMITÉ DE TRANSPARENCIA DEL 15 DE JUNIO DE 2020” </w:t>
      </w:r>
      <w:r w:rsidR="00C54B63" w:rsidRPr="00610DC3">
        <w:rPr>
          <w:rFonts w:ascii="Palatino Linotype" w:eastAsia="Calibri" w:hAnsi="Palatino Linotype" w:cs="Arial"/>
          <w:bCs/>
        </w:rPr>
        <w:t>mediante la cual se aprueba el cambio de modalidad de entrega de información (in situ), de los documentos con</w:t>
      </w:r>
      <w:r w:rsidR="00015015" w:rsidRPr="00610DC3">
        <w:rPr>
          <w:rFonts w:ascii="Palatino Linotype" w:eastAsia="Calibri" w:hAnsi="Palatino Linotype" w:cs="Arial"/>
          <w:bCs/>
        </w:rPr>
        <w:t xml:space="preserve"> los cuales se dará respuesta a diversas solicitudes de información, dentro de las cuales se encuentran las solicitudes en comento. </w:t>
      </w:r>
    </w:p>
    <w:p w14:paraId="782720EE" w14:textId="652ED3B2" w:rsidR="0084448A" w:rsidRPr="00610DC3" w:rsidRDefault="00740C84" w:rsidP="0062382C">
      <w:pPr>
        <w:pStyle w:val="Prrafodelista"/>
        <w:spacing w:before="240" w:after="240" w:line="360" w:lineRule="auto"/>
        <w:jc w:val="both"/>
        <w:rPr>
          <w:rFonts w:ascii="Palatino Linotype" w:eastAsia="Calibri" w:hAnsi="Palatino Linotype" w:cs="Arial"/>
          <w:b/>
          <w:bCs/>
          <w:i/>
          <w:color w:val="000000" w:themeColor="text1"/>
        </w:rPr>
      </w:pPr>
      <w:r w:rsidRPr="00610DC3">
        <w:rPr>
          <w:rFonts w:ascii="Palatino Linotype" w:hAnsi="Palatino Linotype"/>
          <w:b/>
          <w:color w:val="000000" w:themeColor="text1"/>
        </w:rPr>
        <w:t xml:space="preserve">                                                                                                                                                                                                                                                                                                                                                                                                                                                                                                                                                                                                                                                                                                                                                                                                                                                                                                                                                                                                                                                                                                                                                                                                                                                                                                                                                                                                                                                                                                                                                                                                                                                                                                                                                                                                                                                                                                                                                                                                                                                                                                                                                                        </w:t>
      </w:r>
    </w:p>
    <w:p w14:paraId="0A10ACE5" w14:textId="23A324C0" w:rsidR="00A45546" w:rsidRPr="00610DC3" w:rsidRDefault="00743741" w:rsidP="00F53B41">
      <w:pPr>
        <w:pStyle w:val="Prrafodelista"/>
        <w:numPr>
          <w:ilvl w:val="0"/>
          <w:numId w:val="1"/>
        </w:numPr>
        <w:spacing w:line="360" w:lineRule="auto"/>
        <w:ind w:left="0" w:firstLine="0"/>
        <w:jc w:val="both"/>
        <w:rPr>
          <w:rFonts w:ascii="Palatino Linotype" w:hAnsi="Palatino Linotype"/>
          <w:b/>
          <w:i/>
        </w:rPr>
      </w:pPr>
      <w:r w:rsidRPr="00610DC3">
        <w:rPr>
          <w:rFonts w:ascii="Palatino Linotype" w:eastAsia="Times New Roman" w:hAnsi="Palatino Linotype" w:cs="Arial"/>
        </w:rPr>
        <w:t>Así las cosas e</w:t>
      </w:r>
      <w:r w:rsidR="00F53B41" w:rsidRPr="00610DC3">
        <w:rPr>
          <w:rFonts w:ascii="Palatino Linotype" w:eastAsia="Times New Roman" w:hAnsi="Palatino Linotype" w:cs="Arial"/>
        </w:rPr>
        <w:t>n fecha</w:t>
      </w:r>
      <w:r w:rsidR="00015015" w:rsidRPr="00610DC3">
        <w:rPr>
          <w:rFonts w:ascii="Palatino Linotype" w:eastAsia="Times New Roman" w:hAnsi="Palatino Linotype" w:cs="Arial"/>
        </w:rPr>
        <w:t xml:space="preserve"> (17) de agosto</w:t>
      </w:r>
      <w:r w:rsidR="00DD3B6D" w:rsidRPr="00610DC3">
        <w:rPr>
          <w:rFonts w:ascii="Palatino Linotype" w:eastAsia="Times New Roman" w:hAnsi="Palatino Linotype" w:cs="Arial"/>
        </w:rPr>
        <w:t xml:space="preserve"> </w:t>
      </w:r>
      <w:r w:rsidR="00F53B41" w:rsidRPr="00610DC3">
        <w:rPr>
          <w:rFonts w:ascii="Palatino Linotype" w:eastAsia="Times New Roman" w:hAnsi="Palatino Linotype" w:cs="Arial"/>
        </w:rPr>
        <w:t>de dos mil veinte</w:t>
      </w:r>
      <w:r w:rsidR="00D408B6" w:rsidRPr="00610DC3">
        <w:rPr>
          <w:rFonts w:ascii="Palatino Linotype" w:eastAsia="Times New Roman" w:hAnsi="Palatino Linotype" w:cs="Arial"/>
          <w:lang w:val="es-ES"/>
        </w:rPr>
        <w:t xml:space="preserve">, se </w:t>
      </w:r>
      <w:r w:rsidR="00664106" w:rsidRPr="00610DC3">
        <w:rPr>
          <w:rFonts w:ascii="Palatino Linotype" w:eastAsia="Times New Roman" w:hAnsi="Palatino Linotype" w:cs="Arial"/>
          <w:lang w:val="es-ES"/>
        </w:rPr>
        <w:t xml:space="preserve">interpusieron </w:t>
      </w:r>
      <w:r w:rsidR="003A68EE" w:rsidRPr="00610DC3">
        <w:rPr>
          <w:rFonts w:ascii="Palatino Linotype" w:eastAsia="Times New Roman" w:hAnsi="Palatino Linotype" w:cs="Arial"/>
          <w:lang w:val="es-ES"/>
        </w:rPr>
        <w:t xml:space="preserve">por la parte </w:t>
      </w:r>
      <w:r w:rsidR="00C9715E" w:rsidRPr="00610DC3">
        <w:rPr>
          <w:rFonts w:ascii="Palatino Linotype" w:eastAsia="Times New Roman" w:hAnsi="Palatino Linotype" w:cs="Arial"/>
          <w:b/>
          <w:lang w:val="es-ES"/>
        </w:rPr>
        <w:t>RECURRENTE</w:t>
      </w:r>
      <w:r w:rsidR="00D408B6" w:rsidRPr="00610DC3">
        <w:rPr>
          <w:rFonts w:ascii="Palatino Linotype" w:eastAsia="Times New Roman" w:hAnsi="Palatino Linotype" w:cs="Arial"/>
          <w:lang w:val="es-ES"/>
        </w:rPr>
        <w:t xml:space="preserve">, </w:t>
      </w:r>
      <w:r w:rsidR="00C64BCF" w:rsidRPr="00610DC3">
        <w:rPr>
          <w:rFonts w:ascii="Palatino Linotype" w:eastAsia="Times New Roman" w:hAnsi="Palatino Linotype" w:cs="Arial"/>
          <w:lang w:val="es-ES"/>
        </w:rPr>
        <w:t>l</w:t>
      </w:r>
      <w:r w:rsidR="00D408B6" w:rsidRPr="00610DC3">
        <w:rPr>
          <w:rFonts w:ascii="Palatino Linotype" w:eastAsia="Times New Roman" w:hAnsi="Palatino Linotype" w:cs="Arial"/>
          <w:lang w:val="es-ES"/>
        </w:rPr>
        <w:t>os</w:t>
      </w:r>
      <w:r w:rsidR="00C64BCF" w:rsidRPr="00610DC3">
        <w:rPr>
          <w:rFonts w:ascii="Palatino Linotype" w:eastAsia="Times New Roman" w:hAnsi="Palatino Linotype" w:cs="Arial"/>
          <w:lang w:val="es-ES"/>
        </w:rPr>
        <w:t xml:space="preserve"> recurso</w:t>
      </w:r>
      <w:r w:rsidR="00D408B6" w:rsidRPr="00610DC3">
        <w:rPr>
          <w:rFonts w:ascii="Palatino Linotype" w:eastAsia="Times New Roman" w:hAnsi="Palatino Linotype" w:cs="Arial"/>
          <w:lang w:val="es-ES"/>
        </w:rPr>
        <w:t>s</w:t>
      </w:r>
      <w:r w:rsidR="00C64BCF" w:rsidRPr="00610DC3">
        <w:rPr>
          <w:rFonts w:ascii="Palatino Linotype" w:eastAsia="Times New Roman" w:hAnsi="Palatino Linotype" w:cs="Arial"/>
          <w:lang w:val="es-ES"/>
        </w:rPr>
        <w:t xml:space="preserve"> de revisión</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r w:rsidR="00DF7935" w:rsidRPr="00610DC3">
        <w:rPr>
          <w:rFonts w:ascii="Palatino Linotype" w:eastAsia="Times New Roman" w:hAnsi="Palatino Linotype" w:cs="Arial"/>
          <w:lang w:val="es-ES"/>
        </w:rPr>
        <w:t xml:space="preserve"> </w:t>
      </w:r>
      <w:r w:rsidR="00DF7935" w:rsidRPr="00610DC3">
        <w:rPr>
          <w:rFonts w:ascii="Palatino Linotype" w:eastAsia="Times New Roman" w:hAnsi="Palatino Linotype" w:cs="Arial"/>
          <w:b/>
        </w:rPr>
        <w:t xml:space="preserve">02223/INFOEM/IP/RR/2020, 02241/INFOEM/IP/RR/2020, 02272/INFOEM/IP/RR/2020 y 02273/INFOEM/IP/RR/2020 </w:t>
      </w:r>
      <w:r w:rsidR="00DF7935" w:rsidRPr="00610DC3">
        <w:rPr>
          <w:rFonts w:ascii="Palatino Linotype" w:eastAsia="Times New Roman" w:hAnsi="Palatino Linotype" w:cs="Arial"/>
          <w:lang w:val="es-ES"/>
        </w:rPr>
        <w:t xml:space="preserve"> </w:t>
      </w:r>
      <w:r w:rsidR="00F53B41" w:rsidRPr="00610DC3">
        <w:rPr>
          <w:rFonts w:ascii="Palatino Linotype" w:hAnsi="Palatino Linotype"/>
          <w:b/>
        </w:rPr>
        <w:t xml:space="preserve"> </w:t>
      </w:r>
      <w:r w:rsidR="00E17882" w:rsidRPr="00610DC3">
        <w:rPr>
          <w:rFonts w:ascii="Palatino Linotype" w:hAnsi="Palatino Linotype"/>
          <w:bCs/>
        </w:rPr>
        <w:t xml:space="preserve">señalando como acto impugnado y </w:t>
      </w:r>
      <w:r w:rsidR="00C90879" w:rsidRPr="00610DC3">
        <w:rPr>
          <w:rFonts w:ascii="Palatino Linotype" w:eastAsia="Times New Roman" w:hAnsi="Palatino Linotype" w:cs="Arial"/>
          <w:lang w:val="es-ES"/>
        </w:rPr>
        <w:t xml:space="preserve">razones o motivos de inconformidad </w:t>
      </w:r>
      <w:r w:rsidR="00DF7935" w:rsidRPr="00610DC3">
        <w:rPr>
          <w:rFonts w:ascii="Palatino Linotype" w:eastAsia="Times New Roman" w:hAnsi="Palatino Linotype" w:cs="Arial"/>
          <w:lang w:val="es-ES"/>
        </w:rPr>
        <w:t xml:space="preserve"> en todos los casos </w:t>
      </w:r>
      <w:r w:rsidR="00E17882" w:rsidRPr="00610DC3">
        <w:rPr>
          <w:rFonts w:ascii="Palatino Linotype" w:eastAsia="Times New Roman" w:hAnsi="Palatino Linotype" w:cs="Arial"/>
          <w:lang w:val="es-ES"/>
        </w:rPr>
        <w:t xml:space="preserve">los </w:t>
      </w:r>
      <w:r w:rsidR="00C90879" w:rsidRPr="00610DC3">
        <w:rPr>
          <w:rFonts w:ascii="Palatino Linotype" w:eastAsia="Times New Roman" w:hAnsi="Palatino Linotype" w:cs="Arial"/>
          <w:lang w:val="es-ES"/>
        </w:rPr>
        <w:t>siguientes:</w:t>
      </w:r>
    </w:p>
    <w:p w14:paraId="654B6FE9" w14:textId="77777777" w:rsidR="00F53B41" w:rsidRPr="00610DC3" w:rsidRDefault="00F53B41" w:rsidP="00DF7935">
      <w:pPr>
        <w:spacing w:line="360" w:lineRule="auto"/>
        <w:ind w:right="616"/>
        <w:jc w:val="both"/>
        <w:rPr>
          <w:rFonts w:ascii="Palatino Linotype" w:eastAsia="Calibri" w:hAnsi="Palatino Linotype" w:cs="Arial"/>
          <w:b/>
        </w:rPr>
      </w:pPr>
      <w:bookmarkStart w:id="16" w:name="_Toc491971186"/>
      <w:bookmarkStart w:id="17" w:name="_Toc495043348"/>
      <w:bookmarkStart w:id="18" w:name="_Toc495490222"/>
      <w:bookmarkStart w:id="19" w:name="_Toc495490292"/>
      <w:bookmarkStart w:id="20" w:name="_Toc503989305"/>
      <w:bookmarkStart w:id="21" w:name="_Toc503989327"/>
      <w:bookmarkStart w:id="22" w:name="_Toc504070934"/>
      <w:bookmarkStart w:id="23" w:name="_Toc507607100"/>
      <w:bookmarkStart w:id="24" w:name="_Toc513637193"/>
      <w:bookmarkStart w:id="25" w:name="_Toc517374347"/>
      <w:bookmarkStart w:id="26" w:name="_Toc517426507"/>
      <w:bookmarkStart w:id="27" w:name="_Toc517426552"/>
      <w:bookmarkStart w:id="28" w:name="_Toc520879413"/>
      <w:bookmarkStart w:id="29" w:name="_Toc520914922"/>
      <w:bookmarkStart w:id="30" w:name="_Toc520930776"/>
      <w:bookmarkStart w:id="31" w:name="_Toc520932703"/>
    </w:p>
    <w:p w14:paraId="6E0E3603" w14:textId="4F2BF9CB" w:rsidR="00F53B41" w:rsidRPr="00610DC3" w:rsidRDefault="00F53B41" w:rsidP="00DF7935">
      <w:pPr>
        <w:pStyle w:val="Prrafodelista"/>
        <w:numPr>
          <w:ilvl w:val="0"/>
          <w:numId w:val="2"/>
        </w:numPr>
        <w:spacing w:line="360" w:lineRule="auto"/>
        <w:ind w:right="616"/>
        <w:jc w:val="both"/>
        <w:rPr>
          <w:rFonts w:ascii="Palatino Linotype" w:eastAsia="Calibri" w:hAnsi="Palatino Linotype" w:cs="Arial"/>
          <w:lang w:val="es-ES"/>
        </w:rPr>
      </w:pPr>
      <w:bookmarkStart w:id="32" w:name="_Toc52423783"/>
      <w:bookmarkStart w:id="33" w:name="_Toc52423975"/>
      <w:bookmarkStart w:id="34" w:name="_Toc53008751"/>
      <w:bookmarkStart w:id="35" w:name="_Toc53009712"/>
      <w:r w:rsidRPr="00610DC3">
        <w:rPr>
          <w:rStyle w:val="Ttulo2Car"/>
          <w:rFonts w:ascii="Palatino Linotype" w:hAnsi="Palatino Linotype"/>
          <w:b/>
          <w:color w:val="auto"/>
          <w:sz w:val="24"/>
          <w:szCs w:val="24"/>
          <w:lang w:val="es-ES"/>
        </w:rPr>
        <w:t xml:space="preserve">Acto </w:t>
      </w:r>
      <w:bookmarkEnd w:id="32"/>
      <w:bookmarkEnd w:id="33"/>
      <w:r w:rsidR="00DF7935" w:rsidRPr="00610DC3">
        <w:rPr>
          <w:rStyle w:val="Ttulo2Car"/>
          <w:rFonts w:ascii="Palatino Linotype" w:hAnsi="Palatino Linotype"/>
          <w:b/>
          <w:color w:val="auto"/>
          <w:sz w:val="24"/>
          <w:szCs w:val="24"/>
          <w:lang w:val="es-ES"/>
        </w:rPr>
        <w:t xml:space="preserve">impugnado: </w:t>
      </w:r>
      <w:r w:rsidR="00DF7935" w:rsidRPr="00610DC3">
        <w:rPr>
          <w:rStyle w:val="Ttulo2Car"/>
          <w:rFonts w:ascii="Palatino Linotype" w:hAnsi="Palatino Linotype"/>
          <w:i/>
          <w:color w:val="auto"/>
          <w:sz w:val="24"/>
          <w:szCs w:val="24"/>
          <w:lang w:val="es-ES"/>
        </w:rPr>
        <w:t>“La indebida respuesta y arbitraria acta del comité de transparencia.</w:t>
      </w:r>
      <w:bookmarkEnd w:id="34"/>
      <w:bookmarkEnd w:id="35"/>
      <w:r w:rsidRPr="00610DC3">
        <w:rPr>
          <w:rFonts w:ascii="Palatino Linotype" w:eastAsia="Calibri" w:hAnsi="Palatino Linotype" w:cs="Arial"/>
          <w:i/>
          <w:lang w:val="es-ES"/>
        </w:rPr>
        <w:t>”</w:t>
      </w:r>
      <w:r w:rsidRPr="00610DC3">
        <w:rPr>
          <w:rFonts w:ascii="Palatino Linotype" w:eastAsia="Calibri" w:hAnsi="Palatino Linotype" w:cs="Arial"/>
          <w:lang w:val="es-ES"/>
        </w:rPr>
        <w:t xml:space="preserve"> (Sic).</w:t>
      </w:r>
    </w:p>
    <w:p w14:paraId="323B13D7" w14:textId="77777777" w:rsidR="00F53B41" w:rsidRPr="00610DC3" w:rsidRDefault="00F53B41" w:rsidP="00F53B41">
      <w:pPr>
        <w:pStyle w:val="Prrafodelista"/>
        <w:spacing w:line="360" w:lineRule="auto"/>
        <w:ind w:right="616" w:hanging="153"/>
        <w:jc w:val="both"/>
        <w:rPr>
          <w:rFonts w:ascii="Palatino Linotype" w:eastAsia="Calibri" w:hAnsi="Palatino Linotype" w:cs="Arial"/>
          <w:b/>
          <w:lang w:val="es-ES"/>
        </w:rPr>
      </w:pPr>
    </w:p>
    <w:p w14:paraId="1F74F799" w14:textId="593A0C33" w:rsidR="00F53B41" w:rsidRPr="00610DC3" w:rsidRDefault="00F53B41" w:rsidP="00DF7935">
      <w:pPr>
        <w:pStyle w:val="Prrafodelista"/>
        <w:numPr>
          <w:ilvl w:val="0"/>
          <w:numId w:val="2"/>
        </w:numPr>
        <w:spacing w:line="360" w:lineRule="auto"/>
        <w:jc w:val="both"/>
        <w:rPr>
          <w:rFonts w:ascii="Palatino Linotype" w:eastAsia="Times New Roman" w:hAnsi="Palatino Linotype" w:cs="Times New Roman"/>
          <w:iCs/>
          <w:lang w:val="es-MX" w:eastAsia="es-MX"/>
        </w:rPr>
      </w:pPr>
      <w:bookmarkStart w:id="36" w:name="_Toc52423784"/>
      <w:bookmarkStart w:id="37" w:name="_Toc52423976"/>
      <w:bookmarkStart w:id="38" w:name="_Toc53008752"/>
      <w:bookmarkStart w:id="39" w:name="_Toc53009713"/>
      <w:r w:rsidRPr="00610DC3">
        <w:rPr>
          <w:rStyle w:val="Ttulo2Car"/>
          <w:rFonts w:ascii="Palatino Linotype" w:hAnsi="Palatino Linotype"/>
          <w:b/>
          <w:color w:val="auto"/>
          <w:sz w:val="24"/>
          <w:szCs w:val="24"/>
          <w:lang w:val="es-ES"/>
        </w:rPr>
        <w:t xml:space="preserve">Razones o Motivos de inconformidad: </w:t>
      </w:r>
      <w:r w:rsidRPr="00610DC3">
        <w:rPr>
          <w:rStyle w:val="Ttulo2Car"/>
          <w:rFonts w:ascii="Palatino Linotype" w:hAnsi="Palatino Linotype"/>
          <w:i/>
          <w:color w:val="auto"/>
          <w:sz w:val="24"/>
          <w:szCs w:val="24"/>
          <w:lang w:val="es-ES"/>
        </w:rPr>
        <w:t>“</w:t>
      </w:r>
      <w:r w:rsidR="00DF7935" w:rsidRPr="00610DC3">
        <w:rPr>
          <w:rStyle w:val="Ttulo2Car"/>
          <w:rFonts w:ascii="Palatino Linotype" w:hAnsi="Palatino Linotype"/>
          <w:i/>
          <w:color w:val="auto"/>
          <w:sz w:val="24"/>
          <w:szCs w:val="24"/>
          <w:lang w:val="es-ES"/>
        </w:rPr>
        <w:t xml:space="preserve">Se transgrede en mi perjuicio el principio de legalidad constitucional, conforme al cual, las autoridades sólo pueden hacer lo que la ley les faculta, cuenta habida, que el comité de transparencia no cuenta con atribuciones para cambiar la modalidad de la entrega de la información solicitada, tal y como se desprende de lo previsto en el artículo 49 de la Ley de Transparencia y Acceso a la Información Pública del Estado de México y Municipios, que establece las atribuciones de los comités de transparencia, apreciándose de su contenido que el </w:t>
      </w:r>
      <w:r w:rsidR="00DF7935" w:rsidRPr="00610DC3">
        <w:rPr>
          <w:rStyle w:val="Ttulo2Car"/>
          <w:rFonts w:ascii="Palatino Linotype" w:hAnsi="Palatino Linotype"/>
          <w:i/>
          <w:color w:val="auto"/>
          <w:sz w:val="24"/>
          <w:szCs w:val="24"/>
          <w:lang w:val="es-ES"/>
        </w:rPr>
        <w:lastRenderedPageBreak/>
        <w:t xml:space="preserve">legislador no le otorgó atribuciones a dicho comité para cambiar la modalidad de entrega de información. De igual manera, el acto impugnado, vulnera en mi perjuicio el derecho humano de acceso a información de manera anónima en el sistema implementado para ello, así como, el derecho humano de acceso a la información de manera gratuita al pretender cobrarme la información; aunado a que dicho acto, no se encuentra debidamente fundado y motivado, 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w:t>
      </w:r>
      <w:proofErr w:type="spellStart"/>
      <w:r w:rsidR="00DF7935" w:rsidRPr="00610DC3">
        <w:rPr>
          <w:rStyle w:val="Ttulo2Car"/>
          <w:rFonts w:ascii="Palatino Linotype" w:hAnsi="Palatino Linotype"/>
          <w:i/>
          <w:color w:val="auto"/>
          <w:sz w:val="24"/>
          <w:szCs w:val="24"/>
          <w:lang w:val="es-ES"/>
        </w:rPr>
        <w:t>checador</w:t>
      </w:r>
      <w:proofErr w:type="spellEnd"/>
      <w:r w:rsidR="00DF7935" w:rsidRPr="00610DC3">
        <w:rPr>
          <w:rStyle w:val="Ttulo2Car"/>
          <w:rFonts w:ascii="Palatino Linotype" w:hAnsi="Palatino Linotype"/>
          <w:i/>
          <w:color w:val="auto"/>
          <w:sz w:val="24"/>
          <w:szCs w:val="24"/>
          <w:lang w:val="es-ES"/>
        </w:rPr>
        <w:t xml:space="preserve">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Pr="00610DC3">
        <w:rPr>
          <w:rStyle w:val="Ttulo2Car"/>
          <w:rFonts w:ascii="Palatino Linotype" w:hAnsi="Palatino Linotype"/>
          <w:i/>
          <w:color w:val="auto"/>
          <w:sz w:val="24"/>
          <w:szCs w:val="24"/>
          <w:lang w:val="es-ES"/>
        </w:rPr>
        <w:t>.”</w:t>
      </w:r>
      <w:bookmarkEnd w:id="36"/>
      <w:bookmarkEnd w:id="37"/>
      <w:bookmarkEnd w:id="38"/>
      <w:bookmarkEnd w:id="39"/>
      <w:r w:rsidRPr="00610DC3">
        <w:rPr>
          <w:rFonts w:ascii="Palatino Linotype" w:hAnsi="Palatino Linotype"/>
          <w:i/>
        </w:rPr>
        <w:t xml:space="preserve"> (Sic)</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761F0A5A" w14:textId="77777777" w:rsidR="00E17882" w:rsidRPr="00610DC3" w:rsidRDefault="00E17882" w:rsidP="00876471">
      <w:pPr>
        <w:jc w:val="both"/>
        <w:rPr>
          <w:rFonts w:ascii="Palatino Linotype" w:eastAsia="Times New Roman" w:hAnsi="Palatino Linotype" w:cs="Times New Roman"/>
          <w:iCs/>
          <w:lang w:val="es-MX" w:eastAsia="es-MX"/>
        </w:rPr>
      </w:pPr>
    </w:p>
    <w:p w14:paraId="2D721437" w14:textId="11BDCB60" w:rsidR="00664106" w:rsidRPr="00610DC3" w:rsidRDefault="00664106" w:rsidP="00743741">
      <w:pPr>
        <w:pStyle w:val="Prrafodelista"/>
        <w:numPr>
          <w:ilvl w:val="0"/>
          <w:numId w:val="1"/>
        </w:numPr>
        <w:spacing w:before="240" w:after="240" w:line="360" w:lineRule="auto"/>
        <w:ind w:left="0" w:firstLine="0"/>
        <w:jc w:val="both"/>
        <w:rPr>
          <w:rFonts w:ascii="Palatino Linotype" w:eastAsia="Times New Roman" w:hAnsi="Palatino Linotype" w:cs="Arial"/>
        </w:rPr>
      </w:pPr>
      <w:r w:rsidRPr="00610DC3">
        <w:rPr>
          <w:rFonts w:ascii="Palatino Linotype" w:hAnsi="Palatino Linotype" w:cs="Arial"/>
          <w:bCs/>
        </w:rPr>
        <w:t xml:space="preserve">Asimismo con fundamento en lo dispuesto por el </w:t>
      </w:r>
      <w:r w:rsidRPr="00610DC3">
        <w:rPr>
          <w:rFonts w:ascii="Palatino Linotype" w:eastAsia="Calibri" w:hAnsi="Palatino Linotype" w:cs="Arial"/>
        </w:rPr>
        <w:t xml:space="preserve">artículo 185 fracción I de la </w:t>
      </w:r>
      <w:r w:rsidRPr="00610DC3">
        <w:rPr>
          <w:rFonts w:ascii="Palatino Linotype" w:eastAsia="Calibri" w:hAnsi="Palatino Linotype" w:cs="Arial"/>
          <w:b/>
        </w:rPr>
        <w:t>Ley de Transparencia y Acceso a la Información Pública del Estado de México y Municipios,</w:t>
      </w:r>
      <w:r w:rsidRPr="00610DC3">
        <w:rPr>
          <w:rFonts w:ascii="Palatino Linotype" w:hAnsi="Palatino Linotype" w:cs="Arial"/>
        </w:rPr>
        <w:t xml:space="preserve"> </w:t>
      </w:r>
      <w:r w:rsidR="005964F0" w:rsidRPr="00610DC3">
        <w:rPr>
          <w:rFonts w:ascii="Palatino Linotype" w:hAnsi="Palatino Linotype" w:cs="Arial"/>
        </w:rPr>
        <w:t>los</w:t>
      </w:r>
      <w:r w:rsidR="00AE0514" w:rsidRPr="00610DC3">
        <w:rPr>
          <w:rFonts w:ascii="Palatino Linotype" w:hAnsi="Palatino Linotype" w:cs="Arial"/>
        </w:rPr>
        <w:t xml:space="preserve"> </w:t>
      </w:r>
      <w:r w:rsidR="00AE0514" w:rsidRPr="00610DC3">
        <w:rPr>
          <w:rFonts w:ascii="Palatino Linotype" w:eastAsia="Times New Roman" w:hAnsi="Palatino Linotype" w:cs="Arial"/>
        </w:rPr>
        <w:t>recurso</w:t>
      </w:r>
      <w:r w:rsidR="005964F0" w:rsidRPr="00610DC3">
        <w:rPr>
          <w:rFonts w:ascii="Palatino Linotype" w:eastAsia="Times New Roman" w:hAnsi="Palatino Linotype" w:cs="Arial"/>
        </w:rPr>
        <w:t>s</w:t>
      </w:r>
      <w:r w:rsidRPr="00610DC3">
        <w:rPr>
          <w:rFonts w:ascii="Palatino Linotype" w:eastAsia="Times New Roman" w:hAnsi="Palatino Linotype" w:cs="Arial"/>
        </w:rPr>
        <w:t xml:space="preserve"> de revisión con número </w:t>
      </w:r>
      <w:r w:rsidR="00DF7935" w:rsidRPr="00610DC3">
        <w:rPr>
          <w:rFonts w:ascii="Palatino Linotype" w:hAnsi="Palatino Linotype"/>
          <w:b/>
        </w:rPr>
        <w:t>02223</w:t>
      </w:r>
      <w:r w:rsidR="00FC649E" w:rsidRPr="00610DC3">
        <w:rPr>
          <w:rFonts w:ascii="Palatino Linotype" w:hAnsi="Palatino Linotype"/>
          <w:b/>
        </w:rPr>
        <w:t>/INFOEM/IP/RR/20</w:t>
      </w:r>
      <w:r w:rsidR="00E17882" w:rsidRPr="00610DC3">
        <w:rPr>
          <w:rFonts w:ascii="Palatino Linotype" w:hAnsi="Palatino Linotype"/>
          <w:b/>
        </w:rPr>
        <w:t>20</w:t>
      </w:r>
      <w:r w:rsidR="00DF7935" w:rsidRPr="00610DC3">
        <w:rPr>
          <w:rFonts w:ascii="Palatino Linotype" w:eastAsia="Times New Roman" w:hAnsi="Palatino Linotype" w:cs="Arial"/>
          <w:b/>
        </w:rPr>
        <w:t xml:space="preserve"> </w:t>
      </w:r>
      <w:r w:rsidR="005964F0" w:rsidRPr="00610DC3">
        <w:rPr>
          <w:rFonts w:ascii="Palatino Linotype" w:eastAsia="Times New Roman" w:hAnsi="Palatino Linotype" w:cs="Arial"/>
          <w:b/>
        </w:rPr>
        <w:t xml:space="preserve">y </w:t>
      </w:r>
      <w:r w:rsidR="00DF7935" w:rsidRPr="00610DC3">
        <w:rPr>
          <w:rFonts w:ascii="Palatino Linotype" w:eastAsia="Times New Roman" w:hAnsi="Palatino Linotype" w:cs="Arial"/>
          <w:b/>
        </w:rPr>
        <w:lastRenderedPageBreak/>
        <w:t>02273</w:t>
      </w:r>
      <w:r w:rsidR="005964F0" w:rsidRPr="00610DC3">
        <w:rPr>
          <w:rFonts w:ascii="Palatino Linotype" w:eastAsia="Times New Roman" w:hAnsi="Palatino Linotype" w:cs="Arial"/>
          <w:b/>
        </w:rPr>
        <w:t xml:space="preserve">/INFOEM/IP/RR/2020 </w:t>
      </w:r>
      <w:r w:rsidR="007857A6" w:rsidRPr="00610DC3">
        <w:rPr>
          <w:rFonts w:ascii="Palatino Linotype" w:eastAsia="Times New Roman" w:hAnsi="Palatino Linotype" w:cs="Arial"/>
        </w:rPr>
        <w:t>fue</w:t>
      </w:r>
      <w:r w:rsidR="005964F0" w:rsidRPr="00610DC3">
        <w:rPr>
          <w:rFonts w:ascii="Palatino Linotype" w:eastAsia="Times New Roman" w:hAnsi="Palatino Linotype" w:cs="Arial"/>
        </w:rPr>
        <w:t>ron</w:t>
      </w:r>
      <w:r w:rsidR="007857A6" w:rsidRPr="00610DC3">
        <w:rPr>
          <w:rFonts w:ascii="Palatino Linotype" w:eastAsia="Times New Roman" w:hAnsi="Palatino Linotype" w:cs="Arial"/>
        </w:rPr>
        <w:t xml:space="preserve"> turnado</w:t>
      </w:r>
      <w:r w:rsidR="005964F0" w:rsidRPr="00610DC3">
        <w:rPr>
          <w:rFonts w:ascii="Palatino Linotype" w:eastAsia="Times New Roman" w:hAnsi="Palatino Linotype" w:cs="Arial"/>
        </w:rPr>
        <w:t>s</w:t>
      </w:r>
      <w:r w:rsidRPr="00610DC3">
        <w:rPr>
          <w:rFonts w:ascii="Palatino Linotype" w:eastAsia="Calibri" w:hAnsi="Palatino Linotype" w:cs="Arial"/>
          <w:b/>
        </w:rPr>
        <w:t xml:space="preserve"> </w:t>
      </w:r>
      <w:r w:rsidRPr="00610DC3">
        <w:rPr>
          <w:rFonts w:ascii="Palatino Linotype" w:eastAsia="Times New Roman" w:hAnsi="Palatino Linotype" w:cs="Arial"/>
        </w:rPr>
        <w:t xml:space="preserve">al </w:t>
      </w:r>
      <w:r w:rsidRPr="00610DC3">
        <w:rPr>
          <w:rFonts w:ascii="Palatino Linotype" w:eastAsia="Times New Roman" w:hAnsi="Palatino Linotype" w:cs="Arial"/>
          <w:b/>
        </w:rPr>
        <w:t xml:space="preserve">Comisionado José Guadalupe Luna Hernández </w:t>
      </w:r>
      <w:r w:rsidRPr="00610DC3">
        <w:rPr>
          <w:rFonts w:ascii="Palatino Linotype" w:eastAsia="Times New Roman" w:hAnsi="Palatino Linotype" w:cs="Arial"/>
        </w:rPr>
        <w:t xml:space="preserve">con el objeto de su análisis, posteriormente el Pleno </w:t>
      </w:r>
      <w:r w:rsidRPr="00610DC3">
        <w:rPr>
          <w:rFonts w:ascii="Palatino Linotype" w:eastAsia="MS Mincho" w:hAnsi="Palatino Linotype" w:cs="Arial"/>
        </w:rPr>
        <w:t>de este Órgano Autónomo,</w:t>
      </w:r>
      <w:r w:rsidR="00F52A34" w:rsidRPr="00610DC3">
        <w:rPr>
          <w:rFonts w:ascii="Palatino Linotype" w:eastAsia="MS Mincho" w:hAnsi="Palatino Linotype" w:cs="Arial"/>
        </w:rPr>
        <w:t xml:space="preserve"> ordenó la acumulación de</w:t>
      </w:r>
      <w:r w:rsidR="005964F0" w:rsidRPr="00610DC3">
        <w:rPr>
          <w:rFonts w:ascii="Palatino Linotype" w:eastAsia="MS Mincho" w:hAnsi="Palatino Linotype" w:cs="Arial"/>
        </w:rPr>
        <w:t xml:space="preserve"> </w:t>
      </w:r>
      <w:r w:rsidR="00F52A34" w:rsidRPr="00610DC3">
        <w:rPr>
          <w:rFonts w:ascii="Palatino Linotype" w:eastAsia="MS Mincho" w:hAnsi="Palatino Linotype" w:cs="Arial"/>
        </w:rPr>
        <w:t>l</w:t>
      </w:r>
      <w:r w:rsidR="005964F0" w:rsidRPr="00610DC3">
        <w:rPr>
          <w:rFonts w:ascii="Palatino Linotype" w:eastAsia="MS Mincho" w:hAnsi="Palatino Linotype" w:cs="Arial"/>
        </w:rPr>
        <w:t>os</w:t>
      </w:r>
      <w:r w:rsidRPr="00610DC3">
        <w:rPr>
          <w:rFonts w:ascii="Palatino Linotype" w:eastAsia="MS Mincho" w:hAnsi="Palatino Linotype" w:cs="Arial"/>
        </w:rPr>
        <w:t xml:space="preserve"> </w:t>
      </w:r>
      <w:r w:rsidR="00F52A34" w:rsidRPr="00610DC3">
        <w:rPr>
          <w:rFonts w:ascii="Palatino Linotype" w:eastAsia="Times New Roman" w:hAnsi="Palatino Linotype" w:cs="Arial"/>
        </w:rPr>
        <w:t>recurso</w:t>
      </w:r>
      <w:r w:rsidR="005964F0" w:rsidRPr="00610DC3">
        <w:rPr>
          <w:rFonts w:ascii="Palatino Linotype" w:eastAsia="Times New Roman" w:hAnsi="Palatino Linotype" w:cs="Arial"/>
        </w:rPr>
        <w:t>s</w:t>
      </w:r>
      <w:r w:rsidRPr="00610DC3">
        <w:rPr>
          <w:rFonts w:ascii="Palatino Linotype" w:eastAsia="Times New Roman" w:hAnsi="Palatino Linotype" w:cs="Arial"/>
        </w:rPr>
        <w:t xml:space="preserve"> de revisión</w:t>
      </w:r>
      <w:r w:rsidR="005964F0" w:rsidRPr="00610DC3">
        <w:rPr>
          <w:rFonts w:ascii="Palatino Linotype" w:hAnsi="Palatino Linotype"/>
          <w:b/>
        </w:rPr>
        <w:t xml:space="preserve"> </w:t>
      </w:r>
      <w:r w:rsidR="00DF7935" w:rsidRPr="00610DC3">
        <w:rPr>
          <w:rFonts w:ascii="Palatino Linotype" w:hAnsi="Palatino Linotype"/>
          <w:b/>
        </w:rPr>
        <w:t>02241</w:t>
      </w:r>
      <w:r w:rsidR="005964F0" w:rsidRPr="00610DC3">
        <w:rPr>
          <w:rFonts w:ascii="Palatino Linotype" w:hAnsi="Palatino Linotype"/>
          <w:b/>
        </w:rPr>
        <w:t>/INFOEM/IP/RR/2020</w:t>
      </w:r>
      <w:r w:rsidR="00BA6B83" w:rsidRPr="00610DC3">
        <w:rPr>
          <w:rFonts w:ascii="Palatino Linotype" w:hAnsi="Palatino Linotype"/>
          <w:b/>
        </w:rPr>
        <w:t xml:space="preserve"> </w:t>
      </w:r>
      <w:r w:rsidR="00A34D33" w:rsidRPr="00610DC3">
        <w:rPr>
          <w:rFonts w:ascii="Palatino Linotype" w:eastAsia="MS Mincho" w:hAnsi="Palatino Linotype" w:cs="Arial"/>
          <w:bCs/>
        </w:rPr>
        <w:t>de</w:t>
      </w:r>
      <w:r w:rsidR="005964F0" w:rsidRPr="00610DC3">
        <w:rPr>
          <w:rFonts w:ascii="Palatino Linotype" w:eastAsia="MS Mincho" w:hAnsi="Palatino Linotype" w:cs="Arial"/>
          <w:bCs/>
        </w:rPr>
        <w:t xml:space="preserve">l Comisionado </w:t>
      </w:r>
      <w:r w:rsidR="00DF7935" w:rsidRPr="00610DC3">
        <w:rPr>
          <w:rFonts w:ascii="Palatino Linotype" w:eastAsia="MS Mincho" w:hAnsi="Palatino Linotype" w:cs="Arial"/>
          <w:b/>
          <w:bCs/>
        </w:rPr>
        <w:t>Luis Gustavo Parra Noriega</w:t>
      </w:r>
      <w:r w:rsidR="00DF7935" w:rsidRPr="00610DC3">
        <w:rPr>
          <w:rFonts w:ascii="Palatino Linotype" w:eastAsia="MS Mincho" w:hAnsi="Palatino Linotype" w:cs="Arial"/>
          <w:bCs/>
        </w:rPr>
        <w:t xml:space="preserve"> </w:t>
      </w:r>
      <w:r w:rsidR="005964F0" w:rsidRPr="00610DC3">
        <w:rPr>
          <w:rFonts w:ascii="Palatino Linotype" w:eastAsia="MS Mincho" w:hAnsi="Palatino Linotype" w:cs="Arial"/>
          <w:bCs/>
        </w:rPr>
        <w:t xml:space="preserve">y </w:t>
      </w:r>
      <w:r w:rsidR="00DF7935" w:rsidRPr="00610DC3">
        <w:rPr>
          <w:rFonts w:ascii="Palatino Linotype" w:eastAsia="MS Mincho" w:hAnsi="Palatino Linotype" w:cs="Arial"/>
          <w:b/>
          <w:bCs/>
        </w:rPr>
        <w:t>0227</w:t>
      </w:r>
      <w:r w:rsidR="00BA6B83" w:rsidRPr="00610DC3">
        <w:rPr>
          <w:rFonts w:ascii="Palatino Linotype" w:eastAsia="MS Mincho" w:hAnsi="Palatino Linotype" w:cs="Arial"/>
          <w:b/>
          <w:bCs/>
        </w:rPr>
        <w:t>2</w:t>
      </w:r>
      <w:r w:rsidR="005964F0" w:rsidRPr="00610DC3">
        <w:rPr>
          <w:rFonts w:ascii="Palatino Linotype" w:eastAsia="MS Mincho" w:hAnsi="Palatino Linotype" w:cs="Arial"/>
          <w:b/>
          <w:bCs/>
        </w:rPr>
        <w:t xml:space="preserve">/INFOEM/IP/RR/2020 de </w:t>
      </w:r>
      <w:r w:rsidR="003F546F" w:rsidRPr="00610DC3">
        <w:rPr>
          <w:rFonts w:ascii="Palatino Linotype" w:eastAsia="MS Mincho" w:hAnsi="Palatino Linotype" w:cs="Arial"/>
          <w:bCs/>
        </w:rPr>
        <w:t xml:space="preserve">la Comisionada </w:t>
      </w:r>
      <w:r w:rsidR="005964F0" w:rsidRPr="00610DC3">
        <w:rPr>
          <w:rFonts w:ascii="Palatino Linotype" w:eastAsia="MS Mincho" w:hAnsi="Palatino Linotype" w:cs="Arial"/>
          <w:b/>
          <w:bCs/>
        </w:rPr>
        <w:t xml:space="preserve">Eva </w:t>
      </w:r>
      <w:proofErr w:type="spellStart"/>
      <w:r w:rsidR="005964F0" w:rsidRPr="00610DC3">
        <w:rPr>
          <w:rFonts w:ascii="Palatino Linotype" w:eastAsia="MS Mincho" w:hAnsi="Palatino Linotype" w:cs="Arial"/>
          <w:b/>
          <w:bCs/>
        </w:rPr>
        <w:t>Abaid</w:t>
      </w:r>
      <w:proofErr w:type="spellEnd"/>
      <w:r w:rsidR="005964F0" w:rsidRPr="00610DC3">
        <w:rPr>
          <w:rFonts w:ascii="Palatino Linotype" w:eastAsia="MS Mincho" w:hAnsi="Palatino Linotype" w:cs="Arial"/>
          <w:b/>
          <w:bCs/>
        </w:rPr>
        <w:t xml:space="preserve"> </w:t>
      </w:r>
      <w:proofErr w:type="spellStart"/>
      <w:r w:rsidR="005964F0" w:rsidRPr="00610DC3">
        <w:rPr>
          <w:rFonts w:ascii="Palatino Linotype" w:eastAsia="MS Mincho" w:hAnsi="Palatino Linotype" w:cs="Arial"/>
          <w:b/>
          <w:bCs/>
        </w:rPr>
        <w:t>Yapur</w:t>
      </w:r>
      <w:proofErr w:type="spellEnd"/>
      <w:r w:rsidRPr="00610DC3">
        <w:rPr>
          <w:rFonts w:ascii="Palatino Linotype" w:eastAsia="Times New Roman" w:hAnsi="Palatino Linotype" w:cs="Arial"/>
          <w:b/>
        </w:rPr>
        <w:t xml:space="preserve">;  </w:t>
      </w:r>
      <w:r w:rsidRPr="00610DC3">
        <w:rPr>
          <w:rFonts w:ascii="Palatino Linotype" w:eastAsia="MS Mincho" w:hAnsi="Palatino Linotype" w:cs="Arial"/>
        </w:rPr>
        <w:t>a efecto de que ésta Ponencia formulara y presentara el proyecto de resolución correspondiente</w:t>
      </w:r>
      <w:r w:rsidRPr="00610DC3">
        <w:rPr>
          <w:rFonts w:ascii="Palatino Linotype" w:eastAsia="Times New Roman" w:hAnsi="Palatino Linotype" w:cs="Arial"/>
        </w:rPr>
        <w:t xml:space="preserve"> de conformidad con el numeral ONCE incisos b) y c) de los </w:t>
      </w:r>
      <w:r w:rsidRPr="00610DC3">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610DC3">
        <w:rPr>
          <w:rFonts w:ascii="Palatino Linotype" w:hAnsi="Palatino Linotype"/>
          <w:i/>
          <w:vertAlign w:val="superscript"/>
        </w:rPr>
        <w:footnoteReference w:id="1"/>
      </w:r>
      <w:r w:rsidRPr="00610DC3">
        <w:rPr>
          <w:rFonts w:ascii="Palatino Linotype" w:eastAsia="Times New Roman" w:hAnsi="Palatino Linotype" w:cs="Arial"/>
        </w:rPr>
        <w:t>, que señala:</w:t>
      </w:r>
    </w:p>
    <w:p w14:paraId="0604C49D" w14:textId="77777777" w:rsidR="00831B95" w:rsidRPr="00610DC3" w:rsidRDefault="00831B95" w:rsidP="00831B95">
      <w:pPr>
        <w:pStyle w:val="Prrafodelista"/>
        <w:spacing w:before="240" w:after="240" w:line="360" w:lineRule="auto"/>
        <w:ind w:left="0"/>
        <w:jc w:val="both"/>
        <w:rPr>
          <w:rFonts w:ascii="Palatino Linotype" w:eastAsia="Times New Roman" w:hAnsi="Palatino Linotype" w:cs="Arial"/>
        </w:rPr>
      </w:pPr>
    </w:p>
    <w:p w14:paraId="0C7E5E12" w14:textId="77777777" w:rsidR="00664106" w:rsidRPr="00610DC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610DC3">
        <w:rPr>
          <w:rFonts w:ascii="Palatino Linotype" w:eastAsia="Times New Roman" w:hAnsi="Palatino Linotype" w:cs="Arial"/>
          <w:b/>
          <w:i/>
        </w:rPr>
        <w:t>ONCE.</w:t>
      </w:r>
      <w:r w:rsidRPr="00610DC3">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610DC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610DC3">
        <w:rPr>
          <w:rFonts w:ascii="Palatino Linotype" w:eastAsia="Times New Roman" w:hAnsi="Palatino Linotype" w:cs="Arial"/>
          <w:i/>
        </w:rPr>
        <w:t>…</w:t>
      </w:r>
    </w:p>
    <w:p w14:paraId="76C31779" w14:textId="77777777" w:rsidR="00664106" w:rsidRPr="00610DC3" w:rsidRDefault="00664106" w:rsidP="00664106">
      <w:pPr>
        <w:spacing w:before="240" w:after="240" w:line="360" w:lineRule="auto"/>
        <w:ind w:left="567" w:right="567"/>
        <w:jc w:val="both"/>
        <w:rPr>
          <w:rFonts w:ascii="Palatino Linotype" w:eastAsia="Times New Roman" w:hAnsi="Palatino Linotype" w:cs="Times New Roman"/>
          <w:i/>
          <w:color w:val="000000"/>
        </w:rPr>
      </w:pPr>
      <w:r w:rsidRPr="00610DC3">
        <w:rPr>
          <w:rFonts w:ascii="Palatino Linotype" w:eastAsia="Times New Roman" w:hAnsi="Palatino Linotype" w:cs="Times New Roman"/>
          <w:i/>
          <w:color w:val="000000"/>
        </w:rPr>
        <w:t>b) Las partes o los actos impugnados sean iguales</w:t>
      </w:r>
    </w:p>
    <w:p w14:paraId="35687CC9" w14:textId="77777777" w:rsidR="00664106" w:rsidRPr="00610DC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610DC3">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610DC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610DC3">
        <w:rPr>
          <w:rFonts w:ascii="Palatino Linotype" w:eastAsia="Times New Roman" w:hAnsi="Palatino Linotype" w:cs="Arial"/>
          <w:i/>
        </w:rPr>
        <w:t>(…)</w:t>
      </w:r>
    </w:p>
    <w:p w14:paraId="351E17EB" w14:textId="77777777" w:rsidR="00831B95" w:rsidRPr="00610DC3" w:rsidRDefault="00831B95" w:rsidP="00831B95">
      <w:pPr>
        <w:autoSpaceDE w:val="0"/>
        <w:autoSpaceDN w:val="0"/>
        <w:adjustRightInd w:val="0"/>
        <w:spacing w:before="240" w:after="240" w:line="360" w:lineRule="auto"/>
        <w:ind w:right="567"/>
        <w:contextualSpacing/>
        <w:jc w:val="both"/>
        <w:rPr>
          <w:rFonts w:ascii="Palatino Linotype" w:eastAsia="Times New Roman" w:hAnsi="Palatino Linotype" w:cs="Arial"/>
          <w:i/>
        </w:rPr>
      </w:pPr>
    </w:p>
    <w:p w14:paraId="7082C55A" w14:textId="455C9342" w:rsidR="00664106" w:rsidRPr="00610DC3" w:rsidRDefault="00F762D0" w:rsidP="00743741">
      <w:pPr>
        <w:pStyle w:val="Prrafodelista"/>
        <w:numPr>
          <w:ilvl w:val="0"/>
          <w:numId w:val="1"/>
        </w:numPr>
        <w:spacing w:before="240" w:after="240" w:line="360" w:lineRule="auto"/>
        <w:ind w:left="0" w:firstLine="0"/>
        <w:jc w:val="both"/>
        <w:rPr>
          <w:rFonts w:ascii="Palatino Linotype" w:hAnsi="Palatino Linotype"/>
        </w:rPr>
      </w:pPr>
      <w:r w:rsidRPr="00610DC3">
        <w:rPr>
          <w:rFonts w:ascii="Palatino Linotype" w:hAnsi="Palatino Linotype"/>
        </w:rPr>
        <w:lastRenderedPageBreak/>
        <w:t xml:space="preserve">En ese tenor </w:t>
      </w:r>
      <w:r w:rsidR="00664106" w:rsidRPr="00610DC3">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610DC3" w:rsidRDefault="00664106" w:rsidP="00664106">
      <w:pPr>
        <w:spacing w:before="240" w:after="240" w:line="360" w:lineRule="auto"/>
        <w:ind w:left="709" w:right="616"/>
        <w:contextualSpacing/>
        <w:jc w:val="center"/>
        <w:rPr>
          <w:rFonts w:ascii="Palatino Linotype" w:hAnsi="Palatino Linotype"/>
          <w:b/>
          <w:i/>
        </w:rPr>
      </w:pPr>
      <w:r w:rsidRPr="00610DC3">
        <w:rPr>
          <w:rFonts w:ascii="Palatino Linotype" w:hAnsi="Palatino Linotype"/>
          <w:b/>
          <w:i/>
        </w:rPr>
        <w:t>Código de Procedimientos Administrativos del Estado de México.</w:t>
      </w:r>
    </w:p>
    <w:p w14:paraId="3C1267CE" w14:textId="77777777" w:rsidR="00664106" w:rsidRPr="00610DC3" w:rsidRDefault="00664106" w:rsidP="00664106">
      <w:pPr>
        <w:spacing w:before="240" w:after="240" w:line="360" w:lineRule="auto"/>
        <w:ind w:left="709" w:right="616"/>
        <w:contextualSpacing/>
        <w:jc w:val="center"/>
        <w:rPr>
          <w:rFonts w:ascii="Palatino Linotype" w:hAnsi="Palatino Linotype"/>
          <w:b/>
          <w:i/>
        </w:rPr>
      </w:pPr>
    </w:p>
    <w:p w14:paraId="2925300A" w14:textId="77777777" w:rsidR="00664106" w:rsidRPr="00610DC3" w:rsidRDefault="00664106" w:rsidP="00664106">
      <w:pPr>
        <w:spacing w:before="240" w:after="240" w:line="360" w:lineRule="auto"/>
        <w:ind w:left="709" w:right="616"/>
        <w:contextualSpacing/>
        <w:jc w:val="both"/>
        <w:rPr>
          <w:rFonts w:ascii="Palatino Linotype" w:hAnsi="Palatino Linotype"/>
          <w:i/>
        </w:rPr>
      </w:pPr>
      <w:r w:rsidRPr="00610DC3">
        <w:rPr>
          <w:rFonts w:ascii="Palatino Linotype" w:hAnsi="Palatino Linotype"/>
          <w:b/>
          <w:i/>
        </w:rPr>
        <w:t>“Artículo 18.-</w:t>
      </w:r>
      <w:r w:rsidRPr="00610DC3">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610DC3" w:rsidRDefault="00664106" w:rsidP="00664106">
      <w:pPr>
        <w:spacing w:before="240" w:after="240" w:line="360" w:lineRule="auto"/>
        <w:ind w:left="709" w:right="616"/>
        <w:contextualSpacing/>
        <w:jc w:val="both"/>
        <w:rPr>
          <w:rFonts w:ascii="Palatino Linotype" w:hAnsi="Palatino Linotype"/>
          <w:i/>
        </w:rPr>
      </w:pPr>
    </w:p>
    <w:p w14:paraId="21C988AB" w14:textId="77777777" w:rsidR="00664106" w:rsidRPr="00610DC3" w:rsidRDefault="00664106" w:rsidP="00664106">
      <w:pPr>
        <w:spacing w:before="240" w:after="240" w:line="360" w:lineRule="auto"/>
        <w:ind w:left="709" w:right="616"/>
        <w:contextualSpacing/>
        <w:jc w:val="center"/>
        <w:rPr>
          <w:rFonts w:ascii="Palatino Linotype" w:hAnsi="Palatino Linotype"/>
          <w:b/>
          <w:i/>
        </w:rPr>
      </w:pPr>
      <w:r w:rsidRPr="00610DC3">
        <w:rPr>
          <w:rFonts w:ascii="Palatino Linotype" w:hAnsi="Palatino Linotype"/>
          <w:b/>
          <w:i/>
        </w:rPr>
        <w:t>Ley de Transparencia y Acceso a la Información Pública del Estado de México y Municipios</w:t>
      </w:r>
    </w:p>
    <w:p w14:paraId="4B8CC76F" w14:textId="77777777" w:rsidR="00664106" w:rsidRPr="00610DC3" w:rsidRDefault="00664106" w:rsidP="00664106">
      <w:pPr>
        <w:spacing w:before="240" w:after="240" w:line="360" w:lineRule="auto"/>
        <w:ind w:left="709" w:right="616"/>
        <w:contextualSpacing/>
        <w:jc w:val="both"/>
        <w:rPr>
          <w:rFonts w:ascii="Palatino Linotype" w:hAnsi="Palatino Linotype"/>
          <w:i/>
        </w:rPr>
      </w:pPr>
      <w:r w:rsidRPr="00610DC3">
        <w:rPr>
          <w:rFonts w:ascii="Palatino Linotype" w:hAnsi="Palatino Linotype"/>
          <w:b/>
          <w:i/>
        </w:rPr>
        <w:t>“Artículo 195.</w:t>
      </w:r>
      <w:r w:rsidRPr="00610DC3">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B344FE7" w14:textId="291314C0" w:rsidR="00F13FA5" w:rsidRPr="00610DC3" w:rsidRDefault="006F0635" w:rsidP="0074374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10DC3">
        <w:rPr>
          <w:rFonts w:ascii="Palatino Linotype" w:eastAsia="Calibri" w:hAnsi="Palatino Linotype" w:cs="Arial"/>
          <w:lang w:val="es-ES"/>
        </w:rPr>
        <w:lastRenderedPageBreak/>
        <w:t>Los</w:t>
      </w:r>
      <w:r w:rsidR="00FE49E3" w:rsidRPr="00610DC3">
        <w:rPr>
          <w:rFonts w:ascii="Palatino Linotype" w:eastAsia="Calibri" w:hAnsi="Palatino Linotype" w:cs="Arial"/>
          <w:lang w:val="es-ES"/>
        </w:rPr>
        <w:t xml:space="preserve"> </w:t>
      </w:r>
      <w:r w:rsidR="0004686A" w:rsidRPr="00610DC3">
        <w:rPr>
          <w:rFonts w:ascii="Palatino Linotype" w:eastAsia="Calibri" w:hAnsi="Palatino Linotype" w:cs="Arial"/>
          <w:lang w:val="es-ES"/>
        </w:rPr>
        <w:t>Comisionado</w:t>
      </w:r>
      <w:r w:rsidRPr="00610DC3">
        <w:rPr>
          <w:rFonts w:ascii="Palatino Linotype" w:eastAsia="Calibri" w:hAnsi="Palatino Linotype" w:cs="Arial"/>
          <w:lang w:val="es-ES"/>
        </w:rPr>
        <w:t>s</w:t>
      </w:r>
      <w:r w:rsidR="0004686A" w:rsidRPr="00610DC3">
        <w:rPr>
          <w:rFonts w:ascii="Palatino Linotype" w:eastAsia="Calibri" w:hAnsi="Palatino Linotype" w:cs="Arial"/>
          <w:lang w:val="es-ES"/>
        </w:rPr>
        <w:t xml:space="preserve"> Ponente</w:t>
      </w:r>
      <w:r w:rsidRPr="00610DC3">
        <w:rPr>
          <w:rFonts w:ascii="Palatino Linotype" w:eastAsia="Calibri" w:hAnsi="Palatino Linotype" w:cs="Arial"/>
          <w:lang w:val="es-ES"/>
        </w:rPr>
        <w:t>s</w:t>
      </w:r>
      <w:r w:rsidR="0004686A" w:rsidRPr="00610DC3">
        <w:rPr>
          <w:rFonts w:ascii="Palatino Linotype" w:eastAsia="Calibri" w:hAnsi="Palatino Linotype" w:cs="Arial"/>
          <w:lang w:val="es-ES"/>
        </w:rPr>
        <w:t xml:space="preserve"> con fundamento en lo dispuesto por el artículo 185 fracción II de la ley de la materia, a través </w:t>
      </w:r>
      <w:r w:rsidR="00664106" w:rsidRPr="00610DC3">
        <w:rPr>
          <w:rFonts w:ascii="Palatino Linotype" w:eastAsia="Calibri" w:hAnsi="Palatino Linotype" w:cs="Arial"/>
          <w:lang w:val="es-ES"/>
        </w:rPr>
        <w:t>de los</w:t>
      </w:r>
      <w:r w:rsidR="0004686A" w:rsidRPr="00610DC3">
        <w:rPr>
          <w:rFonts w:ascii="Palatino Linotype" w:eastAsia="Calibri" w:hAnsi="Palatino Linotype" w:cs="Arial"/>
          <w:lang w:val="es-ES"/>
        </w:rPr>
        <w:t xml:space="preserve"> </w:t>
      </w:r>
      <w:r w:rsidR="00B81371" w:rsidRPr="00610DC3">
        <w:rPr>
          <w:rFonts w:ascii="Palatino Linotype" w:eastAsia="Calibri" w:hAnsi="Palatino Linotype" w:cs="Arial"/>
          <w:lang w:val="es-ES"/>
        </w:rPr>
        <w:t>acuerdo</w:t>
      </w:r>
      <w:r w:rsidR="00664106" w:rsidRPr="00610DC3">
        <w:rPr>
          <w:rFonts w:ascii="Palatino Linotype" w:eastAsia="Calibri" w:hAnsi="Palatino Linotype" w:cs="Arial"/>
          <w:lang w:val="es-ES"/>
        </w:rPr>
        <w:t>s</w:t>
      </w:r>
      <w:r w:rsidR="00B81371" w:rsidRPr="00610DC3">
        <w:rPr>
          <w:rFonts w:ascii="Palatino Linotype" w:eastAsia="Calibri" w:hAnsi="Palatino Linotype" w:cs="Arial"/>
          <w:lang w:val="es-ES"/>
        </w:rPr>
        <w:t xml:space="preserve"> </w:t>
      </w:r>
      <w:r w:rsidR="00F147C6" w:rsidRPr="00610DC3">
        <w:rPr>
          <w:rFonts w:ascii="Palatino Linotype" w:eastAsia="Calibri" w:hAnsi="Palatino Linotype" w:cs="Arial"/>
          <w:lang w:val="es-ES"/>
        </w:rPr>
        <w:t xml:space="preserve">de admisión </w:t>
      </w:r>
      <w:r w:rsidR="00B81371" w:rsidRPr="00610DC3">
        <w:rPr>
          <w:rFonts w:ascii="Palatino Linotype" w:eastAsia="Calibri" w:hAnsi="Palatino Linotype" w:cs="Arial"/>
          <w:lang w:val="es-ES"/>
        </w:rPr>
        <w:t>de fecha</w:t>
      </w:r>
      <w:r w:rsidR="0011039C" w:rsidRPr="00610DC3">
        <w:rPr>
          <w:rFonts w:ascii="Palatino Linotype" w:eastAsia="Calibri" w:hAnsi="Palatino Linotype" w:cs="Arial"/>
          <w:lang w:val="es-ES"/>
        </w:rPr>
        <w:t xml:space="preserve"> </w:t>
      </w:r>
      <w:r w:rsidR="00DF7935" w:rsidRPr="00610DC3">
        <w:rPr>
          <w:rFonts w:ascii="Palatino Linotype" w:eastAsia="Calibri" w:hAnsi="Palatino Linotype" w:cs="Arial"/>
          <w:lang w:val="es-ES"/>
        </w:rPr>
        <w:t xml:space="preserve">veintiuno </w:t>
      </w:r>
      <w:r w:rsidR="0011039C" w:rsidRPr="00610DC3">
        <w:rPr>
          <w:rFonts w:ascii="Palatino Linotype" w:eastAsia="Calibri" w:hAnsi="Palatino Linotype" w:cs="Arial"/>
          <w:lang w:val="es-ES"/>
        </w:rPr>
        <w:t>(</w:t>
      </w:r>
      <w:r w:rsidR="00DF7935" w:rsidRPr="00610DC3">
        <w:rPr>
          <w:rFonts w:ascii="Palatino Linotype" w:eastAsia="Calibri" w:hAnsi="Palatino Linotype" w:cs="Arial"/>
          <w:lang w:val="es-ES"/>
        </w:rPr>
        <w:t>21</w:t>
      </w:r>
      <w:r w:rsidR="00F52A34" w:rsidRPr="00610DC3">
        <w:rPr>
          <w:rFonts w:ascii="Palatino Linotype" w:eastAsia="Calibri" w:hAnsi="Palatino Linotype" w:cs="Arial"/>
          <w:lang w:val="es-ES"/>
        </w:rPr>
        <w:t xml:space="preserve">) </w:t>
      </w:r>
      <w:r w:rsidR="006E7D23" w:rsidRPr="00610DC3">
        <w:rPr>
          <w:rFonts w:ascii="Palatino Linotype" w:eastAsia="Calibri" w:hAnsi="Palatino Linotype" w:cs="Arial"/>
          <w:lang w:val="es-ES"/>
        </w:rPr>
        <w:t>de</w:t>
      </w:r>
      <w:r w:rsidR="006B7A9E" w:rsidRPr="00610DC3">
        <w:rPr>
          <w:rFonts w:ascii="Palatino Linotype" w:eastAsia="Calibri" w:hAnsi="Palatino Linotype" w:cs="Arial"/>
          <w:lang w:val="es-ES"/>
        </w:rPr>
        <w:t xml:space="preserve"> agosto </w:t>
      </w:r>
      <w:r w:rsidR="006B12CA" w:rsidRPr="00610DC3">
        <w:rPr>
          <w:rFonts w:ascii="Palatino Linotype" w:eastAsia="Calibri" w:hAnsi="Palatino Linotype" w:cs="Arial"/>
          <w:lang w:val="es-ES"/>
        </w:rPr>
        <w:t>del año</w:t>
      </w:r>
      <w:r w:rsidR="006E7D23" w:rsidRPr="00610DC3">
        <w:rPr>
          <w:rFonts w:ascii="Palatino Linotype" w:eastAsia="Calibri" w:hAnsi="Palatino Linotype" w:cs="Arial"/>
          <w:lang w:val="es-ES"/>
        </w:rPr>
        <w:t xml:space="preserve"> dos mil</w:t>
      </w:r>
      <w:r w:rsidR="003F546F" w:rsidRPr="00610DC3">
        <w:rPr>
          <w:rFonts w:ascii="Palatino Linotype" w:eastAsia="Calibri" w:hAnsi="Palatino Linotype" w:cs="Arial"/>
          <w:lang w:val="es-ES"/>
        </w:rPr>
        <w:t xml:space="preserve"> veinte</w:t>
      </w:r>
      <w:r w:rsidR="006A1047" w:rsidRPr="00610DC3">
        <w:rPr>
          <w:rFonts w:ascii="Palatino Linotype" w:eastAsia="Calibri" w:hAnsi="Palatino Linotype" w:cs="Arial"/>
          <w:lang w:val="es-ES"/>
        </w:rPr>
        <w:t xml:space="preserve">, </w:t>
      </w:r>
      <w:r w:rsidRPr="00610DC3">
        <w:rPr>
          <w:rFonts w:ascii="Palatino Linotype" w:eastAsia="Calibri" w:hAnsi="Palatino Linotype" w:cs="Arial"/>
          <w:lang w:val="es-ES"/>
        </w:rPr>
        <w:t>pusieron</w:t>
      </w:r>
      <w:r w:rsidR="006E7D23" w:rsidRPr="00610DC3">
        <w:rPr>
          <w:rFonts w:ascii="Palatino Linotype" w:eastAsia="Calibri" w:hAnsi="Palatino Linotype" w:cs="Arial"/>
          <w:lang w:val="es-ES"/>
        </w:rPr>
        <w:t xml:space="preserve"> a </w:t>
      </w:r>
      <w:r w:rsidR="00B81371" w:rsidRPr="00610DC3">
        <w:rPr>
          <w:rFonts w:ascii="Palatino Linotype" w:eastAsia="Calibri" w:hAnsi="Palatino Linotype" w:cs="Arial"/>
          <w:lang w:val="es-ES"/>
        </w:rPr>
        <w:t xml:space="preserve"> </w:t>
      </w:r>
      <w:r w:rsidR="00875167" w:rsidRPr="00610DC3">
        <w:rPr>
          <w:rFonts w:ascii="Palatino Linotype" w:eastAsia="Calibri" w:hAnsi="Palatino Linotype" w:cs="Arial"/>
          <w:lang w:val="es-ES"/>
        </w:rPr>
        <w:t>disposición</w:t>
      </w:r>
      <w:r w:rsidR="00B81371" w:rsidRPr="00610DC3">
        <w:rPr>
          <w:rFonts w:ascii="Palatino Linotype" w:eastAsia="Calibri" w:hAnsi="Palatino Linotype" w:cs="Arial"/>
          <w:lang w:val="es-ES"/>
        </w:rPr>
        <w:t xml:space="preserve"> de las partes l</w:t>
      </w:r>
      <w:r w:rsidR="001D0E73" w:rsidRPr="00610DC3">
        <w:rPr>
          <w:rFonts w:ascii="Palatino Linotype" w:eastAsia="Calibri" w:hAnsi="Palatino Linotype" w:cs="Arial"/>
          <w:lang w:val="es-ES"/>
        </w:rPr>
        <w:t>os</w:t>
      </w:r>
      <w:r w:rsidR="00B81371" w:rsidRPr="00610DC3">
        <w:rPr>
          <w:rFonts w:ascii="Palatino Linotype" w:eastAsia="Calibri" w:hAnsi="Palatino Linotype" w:cs="Arial"/>
          <w:lang w:val="es-ES"/>
        </w:rPr>
        <w:t xml:space="preserve"> expediente</w:t>
      </w:r>
      <w:r w:rsidR="001D0E73" w:rsidRPr="00610DC3">
        <w:rPr>
          <w:rFonts w:ascii="Palatino Linotype" w:eastAsia="Calibri" w:hAnsi="Palatino Linotype" w:cs="Arial"/>
          <w:lang w:val="es-ES"/>
        </w:rPr>
        <w:t>s</w:t>
      </w:r>
      <w:r w:rsidR="00B81371" w:rsidRPr="00610DC3">
        <w:rPr>
          <w:rFonts w:ascii="Palatino Linotype" w:eastAsia="Calibri" w:hAnsi="Palatino Linotype" w:cs="Arial"/>
          <w:lang w:val="es-ES"/>
        </w:rPr>
        <w:t xml:space="preserve"> electrónico</w:t>
      </w:r>
      <w:r w:rsidR="001D0E73" w:rsidRPr="00610DC3">
        <w:rPr>
          <w:rFonts w:ascii="Palatino Linotype" w:eastAsia="Calibri" w:hAnsi="Palatino Linotype" w:cs="Arial"/>
          <w:lang w:val="es-ES"/>
        </w:rPr>
        <w:t>s</w:t>
      </w:r>
      <w:r w:rsidR="00B81371" w:rsidRPr="00610DC3">
        <w:rPr>
          <w:rFonts w:ascii="Palatino Linotype" w:eastAsia="Calibri" w:hAnsi="Palatino Linotype" w:cs="Arial"/>
          <w:lang w:val="es-ES"/>
        </w:rPr>
        <w:t xml:space="preserve"> </w:t>
      </w:r>
      <w:r w:rsidR="00B81371" w:rsidRPr="00610DC3">
        <w:rPr>
          <w:rFonts w:ascii="Palatino Linotype" w:eastAsia="Calibri" w:hAnsi="Palatino Linotype" w:cs="Arial"/>
        </w:rPr>
        <w:t xml:space="preserve">vía </w:t>
      </w:r>
      <w:r w:rsidR="00B81371" w:rsidRPr="00610DC3">
        <w:rPr>
          <w:rFonts w:ascii="Palatino Linotype" w:eastAsia="Calibri" w:hAnsi="Palatino Linotype" w:cs="Arial"/>
          <w:lang w:val="es-ES"/>
        </w:rPr>
        <w:t xml:space="preserve">Sistema de Acceso a la Información Mexiquense </w:t>
      </w:r>
      <w:r w:rsidR="00B81371" w:rsidRPr="00610DC3">
        <w:rPr>
          <w:rFonts w:ascii="Palatino Linotype" w:eastAsia="Calibri" w:hAnsi="Palatino Linotype" w:cs="Arial"/>
          <w:b/>
          <w:lang w:val="es-ES"/>
        </w:rPr>
        <w:t xml:space="preserve">SAIMEX </w:t>
      </w:r>
      <w:r w:rsidR="00B81371" w:rsidRPr="00610DC3">
        <w:rPr>
          <w:rFonts w:ascii="Palatino Linotype" w:eastAsia="Calibri" w:hAnsi="Palatino Linotype" w:cs="Arial"/>
          <w:lang w:val="es-ES"/>
        </w:rPr>
        <w:t xml:space="preserve">a efecto de que en un plazo máximo de siete días </w:t>
      </w:r>
      <w:r w:rsidR="00875167" w:rsidRPr="00610DC3">
        <w:rPr>
          <w:rFonts w:ascii="Palatino Linotype" w:eastAsia="Calibri" w:hAnsi="Palatino Linotype" w:cs="Arial"/>
          <w:lang w:val="es-ES"/>
        </w:rPr>
        <w:t>manifestaran</w:t>
      </w:r>
      <w:r w:rsidR="00B81371" w:rsidRPr="00610DC3">
        <w:rPr>
          <w:rFonts w:ascii="Palatino Linotype" w:eastAsia="Calibri" w:hAnsi="Palatino Linotype" w:cs="Arial"/>
          <w:lang w:val="es-ES"/>
        </w:rPr>
        <w:t xml:space="preserve"> lo que a</w:t>
      </w:r>
      <w:r w:rsidR="003A2029" w:rsidRPr="00610DC3">
        <w:rPr>
          <w:rFonts w:ascii="Palatino Linotype" w:eastAsia="Calibri" w:hAnsi="Palatino Linotype" w:cs="Arial"/>
          <w:lang w:val="es-ES"/>
        </w:rPr>
        <w:t xml:space="preserve"> su</w:t>
      </w:r>
      <w:r w:rsidR="00B81371" w:rsidRPr="00610DC3">
        <w:rPr>
          <w:rFonts w:ascii="Palatino Linotype" w:eastAsia="Calibri" w:hAnsi="Palatino Linotype" w:cs="Arial"/>
          <w:lang w:val="es-ES"/>
        </w:rPr>
        <w:t xml:space="preserve"> derecho conviniera</w:t>
      </w:r>
      <w:r w:rsidR="00875167" w:rsidRPr="00610DC3">
        <w:rPr>
          <w:rFonts w:ascii="Palatino Linotype" w:eastAsia="Calibri" w:hAnsi="Palatino Linotype" w:cs="Arial"/>
          <w:lang w:val="es-ES"/>
        </w:rPr>
        <w:t>n</w:t>
      </w:r>
      <w:r w:rsidR="00032493" w:rsidRPr="00610DC3">
        <w:rPr>
          <w:rFonts w:ascii="Palatino Linotype" w:eastAsia="Calibri" w:hAnsi="Palatino Linotype" w:cs="Arial"/>
          <w:lang w:val="es-ES"/>
        </w:rPr>
        <w:t>,</w:t>
      </w:r>
      <w:r w:rsidR="00B81371" w:rsidRPr="00610DC3">
        <w:rPr>
          <w:rFonts w:ascii="Palatino Linotype" w:eastAsia="Calibri" w:hAnsi="Palatino Linotype" w:cs="Arial"/>
          <w:lang w:val="es-ES"/>
        </w:rPr>
        <w:t xml:space="preserve"> </w:t>
      </w:r>
      <w:r w:rsidR="00875167" w:rsidRPr="00610DC3">
        <w:rPr>
          <w:rFonts w:ascii="Palatino Linotype" w:eastAsia="Calibri" w:hAnsi="Palatino Linotype" w:cs="Arial"/>
          <w:lang w:val="es-ES"/>
        </w:rPr>
        <w:t>ofrecieran pruebas y</w:t>
      </w:r>
      <w:r w:rsidR="00132C06" w:rsidRPr="00610DC3">
        <w:rPr>
          <w:rFonts w:ascii="Palatino Linotype" w:eastAsia="Calibri" w:hAnsi="Palatino Linotype" w:cs="Arial"/>
          <w:lang w:val="es-ES"/>
        </w:rPr>
        <w:t xml:space="preserve"> </w:t>
      </w:r>
      <w:r w:rsidR="00875167" w:rsidRPr="00610DC3">
        <w:rPr>
          <w:rFonts w:ascii="Palatino Linotype" w:eastAsia="Calibri" w:hAnsi="Palatino Linotype" w:cs="Arial"/>
          <w:lang w:val="es-ES"/>
        </w:rPr>
        <w:t>alegatos según corresponda a</w:t>
      </w:r>
      <w:r w:rsidR="004C20F2" w:rsidRPr="00610DC3">
        <w:rPr>
          <w:rFonts w:ascii="Palatino Linotype" w:eastAsia="Calibri" w:hAnsi="Palatino Linotype" w:cs="Arial"/>
          <w:lang w:val="es-ES"/>
        </w:rPr>
        <w:t xml:space="preserve"> </w:t>
      </w:r>
      <w:r w:rsidR="00875167" w:rsidRPr="00610DC3">
        <w:rPr>
          <w:rFonts w:ascii="Palatino Linotype" w:eastAsia="Calibri" w:hAnsi="Palatino Linotype" w:cs="Arial"/>
          <w:lang w:val="es-ES"/>
        </w:rPr>
        <w:t>l</w:t>
      </w:r>
      <w:r w:rsidR="004C20F2" w:rsidRPr="00610DC3">
        <w:rPr>
          <w:rFonts w:ascii="Palatino Linotype" w:eastAsia="Calibri" w:hAnsi="Palatino Linotype" w:cs="Arial"/>
          <w:lang w:val="es-ES"/>
        </w:rPr>
        <w:t>os</w:t>
      </w:r>
      <w:r w:rsidR="00875167" w:rsidRPr="00610DC3">
        <w:rPr>
          <w:rFonts w:ascii="Palatino Linotype" w:eastAsia="Calibri" w:hAnsi="Palatino Linotype" w:cs="Arial"/>
          <w:lang w:val="es-ES"/>
        </w:rPr>
        <w:t xml:space="preserve"> caso</w:t>
      </w:r>
      <w:r w:rsidR="004C20F2" w:rsidRPr="00610DC3">
        <w:rPr>
          <w:rFonts w:ascii="Palatino Linotype" w:eastAsia="Calibri" w:hAnsi="Palatino Linotype" w:cs="Arial"/>
          <w:lang w:val="es-ES"/>
        </w:rPr>
        <w:t>s</w:t>
      </w:r>
      <w:r w:rsidR="00875167" w:rsidRPr="00610DC3">
        <w:rPr>
          <w:rFonts w:ascii="Palatino Linotype" w:eastAsia="Calibri" w:hAnsi="Palatino Linotype" w:cs="Arial"/>
          <w:lang w:val="es-ES"/>
        </w:rPr>
        <w:t xml:space="preserve"> concreto</w:t>
      </w:r>
      <w:r w:rsidR="006B7A9E" w:rsidRPr="00610DC3">
        <w:rPr>
          <w:rFonts w:ascii="Palatino Linotype" w:eastAsia="Calibri" w:hAnsi="Palatino Linotype" w:cs="Arial"/>
          <w:lang w:val="es-ES"/>
        </w:rPr>
        <w:t xml:space="preserve">s, situación que no concurrió por las partes. </w:t>
      </w:r>
    </w:p>
    <w:p w14:paraId="6388A1B7" w14:textId="77777777" w:rsidR="005D336E" w:rsidRPr="00610DC3" w:rsidRDefault="005D336E" w:rsidP="005D336E">
      <w:pPr>
        <w:pStyle w:val="Prrafodelista"/>
        <w:spacing w:before="240" w:after="240" w:line="360" w:lineRule="auto"/>
        <w:ind w:left="0"/>
        <w:jc w:val="both"/>
        <w:rPr>
          <w:rFonts w:ascii="Palatino Linotype" w:eastAsia="Times New Roman" w:hAnsi="Palatino Linotype" w:cs="Times New Roman"/>
          <w:color w:val="FF0000"/>
        </w:rPr>
      </w:pPr>
    </w:p>
    <w:p w14:paraId="0D3CAB57" w14:textId="15C01A21" w:rsidR="00664106" w:rsidRPr="00610DC3" w:rsidRDefault="00861622" w:rsidP="00743741">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610DC3">
        <w:rPr>
          <w:rFonts w:ascii="Palatino Linotype" w:hAnsi="Palatino Linotype"/>
        </w:rPr>
        <w:t xml:space="preserve">El Comisionado Ponente decretó </w:t>
      </w:r>
      <w:r w:rsidR="00512F22" w:rsidRPr="00610DC3">
        <w:rPr>
          <w:rFonts w:ascii="Palatino Linotype" w:hAnsi="Palatino Linotype"/>
        </w:rPr>
        <w:t>l</w:t>
      </w:r>
      <w:r w:rsidR="00E34501" w:rsidRPr="00610DC3">
        <w:rPr>
          <w:rFonts w:ascii="Palatino Linotype" w:hAnsi="Palatino Linotype"/>
        </w:rPr>
        <w:t>os</w:t>
      </w:r>
      <w:r w:rsidR="00512F22" w:rsidRPr="00610DC3">
        <w:rPr>
          <w:rFonts w:ascii="Palatino Linotype" w:hAnsi="Palatino Linotype"/>
        </w:rPr>
        <w:t xml:space="preserve"> cierre</w:t>
      </w:r>
      <w:r w:rsidR="00E34501" w:rsidRPr="00610DC3">
        <w:rPr>
          <w:rFonts w:ascii="Palatino Linotype" w:hAnsi="Palatino Linotype"/>
        </w:rPr>
        <w:t>s</w:t>
      </w:r>
      <w:r w:rsidR="00512F22" w:rsidRPr="00610DC3">
        <w:rPr>
          <w:rFonts w:ascii="Palatino Linotype" w:hAnsi="Palatino Linotype"/>
        </w:rPr>
        <w:t xml:space="preserve"> de instrucción</w:t>
      </w:r>
      <w:r w:rsidR="00512F22" w:rsidRPr="00610DC3">
        <w:rPr>
          <w:rFonts w:ascii="Palatino Linotype" w:hAnsi="Palatino Linotype" w:cs="Arial"/>
        </w:rPr>
        <w:t xml:space="preserve"> </w:t>
      </w:r>
      <w:r w:rsidR="00BF1B7F" w:rsidRPr="00610DC3">
        <w:rPr>
          <w:rFonts w:ascii="Palatino Linotype" w:hAnsi="Palatino Linotype" w:cs="Arial"/>
        </w:rPr>
        <w:t xml:space="preserve">de </w:t>
      </w:r>
      <w:r w:rsidR="0050309F" w:rsidRPr="00610DC3">
        <w:rPr>
          <w:rFonts w:ascii="Palatino Linotype" w:hAnsi="Palatino Linotype" w:cs="Arial"/>
        </w:rPr>
        <w:t>l</w:t>
      </w:r>
      <w:r w:rsidR="006D42C5" w:rsidRPr="00610DC3">
        <w:rPr>
          <w:rFonts w:ascii="Palatino Linotype" w:hAnsi="Palatino Linotype" w:cs="Arial"/>
        </w:rPr>
        <w:t>os</w:t>
      </w:r>
      <w:r w:rsidR="00BF1B7F" w:rsidRPr="00610DC3">
        <w:rPr>
          <w:rFonts w:ascii="Palatino Linotype" w:hAnsi="Palatino Linotype" w:cs="Arial"/>
        </w:rPr>
        <w:t xml:space="preserve"> recursos de revisión </w:t>
      </w:r>
      <w:r w:rsidR="00512F22" w:rsidRPr="00610DC3">
        <w:rPr>
          <w:rFonts w:ascii="Palatino Linotype" w:hAnsi="Palatino Linotype"/>
        </w:rPr>
        <w:t>mediante acuerdo</w:t>
      </w:r>
      <w:r w:rsidR="004C20F2" w:rsidRPr="00610DC3">
        <w:rPr>
          <w:rFonts w:ascii="Palatino Linotype" w:hAnsi="Palatino Linotype"/>
        </w:rPr>
        <w:t>s</w:t>
      </w:r>
      <w:r w:rsidR="00BF1B7F" w:rsidRPr="00610DC3">
        <w:rPr>
          <w:rFonts w:ascii="Palatino Linotype" w:hAnsi="Palatino Linotype"/>
        </w:rPr>
        <w:t xml:space="preserve"> de fecha</w:t>
      </w:r>
      <w:r w:rsidR="006B7A9E" w:rsidRPr="00610DC3">
        <w:rPr>
          <w:rFonts w:ascii="Palatino Linotype" w:hAnsi="Palatino Linotype"/>
        </w:rPr>
        <w:t xml:space="preserve"> veintiuno (21)</w:t>
      </w:r>
      <w:r w:rsidR="00E44FA8" w:rsidRPr="00610DC3">
        <w:rPr>
          <w:rFonts w:ascii="Palatino Linotype" w:hAnsi="Palatino Linotype"/>
        </w:rPr>
        <w:t xml:space="preserve"> </w:t>
      </w:r>
      <w:r w:rsidR="009E3847" w:rsidRPr="00610DC3">
        <w:rPr>
          <w:rFonts w:ascii="Palatino Linotype" w:hAnsi="Palatino Linotype"/>
        </w:rPr>
        <w:t>de</w:t>
      </w:r>
      <w:r w:rsidR="00333BA4" w:rsidRPr="00610DC3">
        <w:rPr>
          <w:rFonts w:ascii="Palatino Linotype" w:hAnsi="Palatino Linotype"/>
        </w:rPr>
        <w:t xml:space="preserve"> septiembre</w:t>
      </w:r>
      <w:r w:rsidR="003F546F" w:rsidRPr="00610DC3">
        <w:rPr>
          <w:rFonts w:ascii="Palatino Linotype" w:hAnsi="Palatino Linotype"/>
        </w:rPr>
        <w:t xml:space="preserve"> </w:t>
      </w:r>
      <w:r w:rsidR="00E07BCC" w:rsidRPr="00610DC3">
        <w:rPr>
          <w:rFonts w:ascii="Palatino Linotype" w:hAnsi="Palatino Linotype"/>
        </w:rPr>
        <w:t>de dos mil</w:t>
      </w:r>
      <w:r w:rsidR="006E7D23" w:rsidRPr="00610DC3">
        <w:rPr>
          <w:rFonts w:ascii="Palatino Linotype" w:hAnsi="Palatino Linotype"/>
        </w:rPr>
        <w:t xml:space="preserve"> veinte</w:t>
      </w:r>
      <w:r w:rsidR="00C862C4" w:rsidRPr="00610DC3">
        <w:rPr>
          <w:rFonts w:ascii="Palatino Linotype" w:hAnsi="Palatino Linotype"/>
        </w:rPr>
        <w:t xml:space="preserve">, </w:t>
      </w:r>
      <w:r w:rsidR="006B12CA" w:rsidRPr="00610DC3">
        <w:rPr>
          <w:rFonts w:ascii="Palatino Linotype" w:hAnsi="Palatino Linotype" w:cs="Arial"/>
        </w:rPr>
        <w:t>por lo que</w:t>
      </w:r>
      <w:r w:rsidR="00702482" w:rsidRPr="00610DC3">
        <w:rPr>
          <w:rFonts w:ascii="Palatino Linotype" w:hAnsi="Palatino Linotype" w:cs="Arial"/>
        </w:rPr>
        <w:t xml:space="preserve">, ordenó turnar el expediente a resolución, misma que ahora se pronuncia. </w:t>
      </w:r>
      <w:bookmarkStart w:id="40" w:name="_Toc461555889"/>
      <w:bookmarkStart w:id="41" w:name="_Toc466371858"/>
    </w:p>
    <w:p w14:paraId="4DDBCB97" w14:textId="77777777" w:rsidR="00CE79A9" w:rsidRPr="00610DC3" w:rsidRDefault="00CE79A9" w:rsidP="00CE79A9">
      <w:pPr>
        <w:pStyle w:val="Prrafodelista"/>
        <w:spacing w:before="240" w:after="240" w:line="360" w:lineRule="auto"/>
        <w:ind w:left="0"/>
        <w:jc w:val="both"/>
        <w:rPr>
          <w:rFonts w:ascii="Palatino Linotype" w:eastAsia="Times New Roman" w:hAnsi="Palatino Linotype" w:cs="Times New Roman"/>
        </w:rPr>
      </w:pPr>
    </w:p>
    <w:p w14:paraId="02B6D55A" w14:textId="0C4D73DF" w:rsidR="006E7D23" w:rsidRPr="00610DC3" w:rsidRDefault="00CE79A9" w:rsidP="00743741">
      <w:pPr>
        <w:pStyle w:val="Prrafodelista"/>
        <w:numPr>
          <w:ilvl w:val="0"/>
          <w:numId w:val="1"/>
        </w:numPr>
        <w:spacing w:before="240" w:after="240" w:line="360" w:lineRule="auto"/>
        <w:ind w:left="0" w:firstLine="0"/>
        <w:jc w:val="both"/>
        <w:rPr>
          <w:rFonts w:ascii="Palatino Linotype" w:hAnsi="Palatino Linotype"/>
        </w:rPr>
      </w:pPr>
      <w:r w:rsidRPr="00610DC3">
        <w:rPr>
          <w:rFonts w:ascii="Palatino Linotype" w:eastAsia="Calibri" w:hAnsi="Palatino Linotype" w:cs="Arial"/>
          <w:color w:val="000000" w:themeColor="text1"/>
        </w:rPr>
        <w:t xml:space="preserve">El día </w:t>
      </w:r>
      <w:r w:rsidR="00333BA4" w:rsidRPr="00610DC3">
        <w:rPr>
          <w:rFonts w:ascii="Palatino Linotype" w:eastAsia="Calibri" w:hAnsi="Palatino Linotype" w:cs="Arial"/>
          <w:color w:val="000000" w:themeColor="text1"/>
        </w:rPr>
        <w:t>siete</w:t>
      </w:r>
      <w:r w:rsidR="00830C60" w:rsidRPr="00610DC3">
        <w:rPr>
          <w:rFonts w:ascii="Palatino Linotype" w:eastAsia="Calibri" w:hAnsi="Palatino Linotype" w:cs="Arial"/>
          <w:color w:val="000000" w:themeColor="text1"/>
        </w:rPr>
        <w:t xml:space="preserve"> (08</w:t>
      </w:r>
      <w:r w:rsidRPr="00610DC3">
        <w:rPr>
          <w:rFonts w:ascii="Palatino Linotype" w:eastAsia="Calibri" w:hAnsi="Palatino Linotype" w:cs="Arial"/>
          <w:color w:val="000000" w:themeColor="text1"/>
        </w:rPr>
        <w:t>) de</w:t>
      </w:r>
      <w:r w:rsidR="006B7A9E" w:rsidRPr="00610DC3">
        <w:rPr>
          <w:rFonts w:ascii="Palatino Linotype" w:eastAsia="Calibri" w:hAnsi="Palatino Linotype" w:cs="Arial"/>
          <w:color w:val="000000" w:themeColor="text1"/>
        </w:rPr>
        <w:t xml:space="preserve"> </w:t>
      </w:r>
      <w:r w:rsidR="00333BA4" w:rsidRPr="00610DC3">
        <w:rPr>
          <w:rFonts w:ascii="Palatino Linotype" w:eastAsia="Calibri" w:hAnsi="Palatino Linotype" w:cs="Arial"/>
          <w:color w:val="000000" w:themeColor="text1"/>
        </w:rPr>
        <w:t>octubre</w:t>
      </w:r>
      <w:r w:rsidR="006B7A9E" w:rsidRPr="00610DC3">
        <w:rPr>
          <w:rFonts w:ascii="Palatino Linotype" w:eastAsia="Calibri" w:hAnsi="Palatino Linotype" w:cs="Arial"/>
          <w:color w:val="000000" w:themeColor="text1"/>
        </w:rPr>
        <w:t xml:space="preserve"> </w:t>
      </w:r>
      <w:r w:rsidRPr="00610DC3">
        <w:rPr>
          <w:rFonts w:ascii="Palatino Linotype" w:eastAsia="Calibri" w:hAnsi="Palatino Linotype" w:cs="Arial"/>
          <w:color w:val="000000" w:themeColor="text1"/>
        </w:rPr>
        <w:t>de dos mil veinte y con fundamento en el artículo 181 tercer párrafo de la </w:t>
      </w:r>
      <w:r w:rsidRPr="00610DC3">
        <w:rPr>
          <w:rFonts w:ascii="Palatino Linotype" w:eastAsia="Calibri" w:hAnsi="Palatino Linotype" w:cs="Arial"/>
          <w:b/>
          <w:bCs/>
          <w:color w:val="000000" w:themeColor="text1"/>
        </w:rPr>
        <w:t>Ley de Transparencia y Acceso a la Información Pública del Estado de México y Municipios, </w:t>
      </w:r>
      <w:r w:rsidRPr="00610DC3">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7D031EB0" w14:textId="77777777" w:rsidR="00DD3B59" w:rsidRPr="00610DC3" w:rsidRDefault="00DD3B59" w:rsidP="00DD3B59">
      <w:pPr>
        <w:pStyle w:val="Prrafodelista"/>
        <w:rPr>
          <w:rFonts w:ascii="Palatino Linotype" w:hAnsi="Palatino Linotype"/>
        </w:rPr>
      </w:pPr>
    </w:p>
    <w:p w14:paraId="42C59F8F" w14:textId="77777777" w:rsidR="00DD3B59" w:rsidRPr="00610DC3" w:rsidRDefault="00DD3B59" w:rsidP="00DD3B59">
      <w:pPr>
        <w:pStyle w:val="Prrafodelista"/>
        <w:spacing w:before="240" w:after="240" w:line="360" w:lineRule="auto"/>
        <w:ind w:left="0"/>
        <w:jc w:val="both"/>
        <w:rPr>
          <w:rFonts w:ascii="Palatino Linotype" w:hAnsi="Palatino Linotype"/>
        </w:rPr>
      </w:pPr>
    </w:p>
    <w:p w14:paraId="1C4B1F3E" w14:textId="37471692" w:rsidR="00236140" w:rsidRPr="00610DC3" w:rsidRDefault="007C0013" w:rsidP="006E7D23">
      <w:pPr>
        <w:pStyle w:val="Ttulo1"/>
        <w:jc w:val="center"/>
        <w:rPr>
          <w:b/>
          <w:szCs w:val="24"/>
        </w:rPr>
      </w:pPr>
      <w:bookmarkStart w:id="42" w:name="_Toc53009714"/>
      <w:r w:rsidRPr="00610DC3">
        <w:rPr>
          <w:b/>
          <w:szCs w:val="24"/>
        </w:rPr>
        <w:t>CONSIDERANDO</w:t>
      </w:r>
      <w:bookmarkEnd w:id="40"/>
      <w:bookmarkEnd w:id="41"/>
      <w:bookmarkEnd w:id="42"/>
    </w:p>
    <w:p w14:paraId="1388D096" w14:textId="77777777" w:rsidR="006E7D23" w:rsidRPr="00610DC3" w:rsidRDefault="006E7D23" w:rsidP="006E7D23">
      <w:pPr>
        <w:rPr>
          <w:rFonts w:ascii="Palatino Linotype" w:hAnsi="Palatino Linotype"/>
          <w:lang w:val="es-MX" w:eastAsia="en-US"/>
        </w:rPr>
      </w:pPr>
    </w:p>
    <w:p w14:paraId="629A5BE2" w14:textId="56C3E7D5" w:rsidR="007C0013" w:rsidRPr="00610DC3" w:rsidRDefault="007C0013" w:rsidP="00092287">
      <w:pPr>
        <w:pStyle w:val="Ttulo2"/>
        <w:spacing w:line="360" w:lineRule="auto"/>
        <w:ind w:left="567" w:hanging="567"/>
        <w:rPr>
          <w:rFonts w:ascii="Palatino Linotype" w:hAnsi="Palatino Linotype"/>
          <w:b/>
          <w:color w:val="auto"/>
          <w:sz w:val="24"/>
          <w:szCs w:val="24"/>
        </w:rPr>
      </w:pPr>
      <w:bookmarkStart w:id="43" w:name="_Toc461555890"/>
      <w:bookmarkStart w:id="44" w:name="_Toc466371859"/>
      <w:bookmarkStart w:id="45" w:name="_Toc53009715"/>
      <w:r w:rsidRPr="00610DC3">
        <w:rPr>
          <w:rFonts w:ascii="Palatino Linotype" w:hAnsi="Palatino Linotype"/>
          <w:b/>
          <w:color w:val="auto"/>
          <w:sz w:val="24"/>
          <w:szCs w:val="24"/>
        </w:rPr>
        <w:t>PRIMERO. De la competencia</w:t>
      </w:r>
      <w:bookmarkEnd w:id="43"/>
      <w:bookmarkEnd w:id="44"/>
      <w:bookmarkEnd w:id="45"/>
    </w:p>
    <w:p w14:paraId="7796F3C8" w14:textId="77777777" w:rsidR="006D0DAE" w:rsidRPr="00610DC3" w:rsidRDefault="006D0DAE" w:rsidP="006D0DAE">
      <w:pPr>
        <w:rPr>
          <w:rFonts w:ascii="Palatino Linotype" w:hAnsi="Palatino Linotype"/>
          <w:lang w:val="es-MX" w:eastAsia="en-US"/>
        </w:rPr>
      </w:pPr>
    </w:p>
    <w:p w14:paraId="0BF52B18" w14:textId="1CB28478" w:rsidR="005A228F" w:rsidRPr="00610DC3" w:rsidRDefault="00A45546" w:rsidP="00743741">
      <w:pPr>
        <w:pStyle w:val="Prrafodelista"/>
        <w:numPr>
          <w:ilvl w:val="0"/>
          <w:numId w:val="1"/>
        </w:numPr>
        <w:spacing w:line="360" w:lineRule="auto"/>
        <w:ind w:left="0" w:firstLine="0"/>
        <w:jc w:val="both"/>
        <w:rPr>
          <w:rFonts w:ascii="Palatino Linotype" w:eastAsia="Calibri" w:hAnsi="Palatino Linotype" w:cs="Times New Roman"/>
          <w:b/>
          <w:lang w:val="es-ES"/>
        </w:rPr>
      </w:pPr>
      <w:r w:rsidRPr="00610DC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610DC3">
        <w:rPr>
          <w:rFonts w:ascii="Palatino Linotype" w:eastAsia="Calibri" w:hAnsi="Palatino Linotype" w:cs="Times New Roman"/>
          <w:lang w:val="es-ES"/>
        </w:rPr>
        <w:lastRenderedPageBreak/>
        <w:t xml:space="preserve">y resolver del presente recurso de conformidad con el artículo: 6, apartado A, fracción IV de la </w:t>
      </w:r>
      <w:r w:rsidRPr="00610DC3">
        <w:rPr>
          <w:rFonts w:ascii="Palatino Linotype" w:eastAsia="Calibri" w:hAnsi="Palatino Linotype" w:cs="Times New Roman"/>
          <w:b/>
          <w:lang w:val="es-ES"/>
        </w:rPr>
        <w:t>Constitución Política de los Estados Unidos Mexicanos</w:t>
      </w:r>
      <w:r w:rsidRPr="00610DC3">
        <w:rPr>
          <w:rFonts w:ascii="Palatino Linotype" w:eastAsia="Calibri" w:hAnsi="Palatino Linotype" w:cs="Times New Roman"/>
          <w:lang w:val="es-ES"/>
        </w:rPr>
        <w:t xml:space="preserve">; 5, párrafos vigésimo, vigésimo primero y vigésimo segundo fracciones IV y V de la </w:t>
      </w:r>
      <w:r w:rsidRPr="00610DC3">
        <w:rPr>
          <w:rFonts w:ascii="Palatino Linotype" w:eastAsia="Calibri" w:hAnsi="Palatino Linotype" w:cs="Times New Roman"/>
          <w:b/>
          <w:lang w:val="es-ES"/>
        </w:rPr>
        <w:t>Constitución Política del Estado Libre y Soberano de México</w:t>
      </w:r>
      <w:r w:rsidRPr="00610DC3">
        <w:rPr>
          <w:rFonts w:ascii="Palatino Linotype" w:eastAsia="Calibri" w:hAnsi="Palatino Linotype" w:cs="Times New Roman"/>
          <w:lang w:val="es-ES"/>
        </w:rPr>
        <w:t xml:space="preserve">; artículos 1, 2 fracción II, 13, 29, 36 fracciones I y II, 176, 178, 179, 181 párrafo tercero y 185 </w:t>
      </w:r>
      <w:r w:rsidRPr="00610DC3">
        <w:rPr>
          <w:rFonts w:ascii="Palatino Linotype" w:eastAsia="Calibri" w:hAnsi="Palatino Linotype" w:cs="Arial"/>
          <w:lang w:val="es-ES"/>
        </w:rPr>
        <w:t xml:space="preserve">de la </w:t>
      </w:r>
      <w:r w:rsidRPr="00610DC3">
        <w:rPr>
          <w:rFonts w:ascii="Palatino Linotype" w:eastAsia="Calibri" w:hAnsi="Palatino Linotype" w:cs="Arial"/>
          <w:b/>
          <w:lang w:val="es-ES"/>
        </w:rPr>
        <w:t>Ley de Transparencia y Acceso a la Información Pública del Estado de México y Municipios</w:t>
      </w:r>
      <w:r w:rsidR="00DA73EE" w:rsidRPr="00610DC3">
        <w:rPr>
          <w:rFonts w:ascii="Palatino Linotype" w:eastAsia="Calibri" w:hAnsi="Palatino Linotype" w:cs="Arial"/>
          <w:lang w:val="es-ES"/>
        </w:rPr>
        <w:t>;</w:t>
      </w:r>
      <w:r w:rsidRPr="00610DC3">
        <w:rPr>
          <w:rFonts w:ascii="Palatino Linotype" w:eastAsia="Calibri" w:hAnsi="Palatino Linotype" w:cs="Arial"/>
          <w:lang w:val="es-ES"/>
        </w:rPr>
        <w:t xml:space="preserve"> y 10, 7, 9 fracciones I y XXIV, y 11 del </w:t>
      </w:r>
      <w:r w:rsidRPr="00610DC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610DC3"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610DC3" w:rsidRDefault="007C0013" w:rsidP="001E74A5">
      <w:pPr>
        <w:pStyle w:val="Ttulo2"/>
        <w:spacing w:line="360" w:lineRule="auto"/>
        <w:rPr>
          <w:rFonts w:ascii="Palatino Linotype" w:hAnsi="Palatino Linotype"/>
          <w:b/>
          <w:color w:val="auto"/>
          <w:sz w:val="24"/>
          <w:szCs w:val="24"/>
        </w:rPr>
      </w:pPr>
      <w:bookmarkStart w:id="46" w:name="_Toc461555891"/>
      <w:bookmarkStart w:id="47" w:name="_Toc466371860"/>
      <w:bookmarkStart w:id="48" w:name="_Toc53009716"/>
      <w:r w:rsidRPr="00610DC3">
        <w:rPr>
          <w:rFonts w:ascii="Palatino Linotype" w:hAnsi="Palatino Linotype"/>
          <w:b/>
          <w:color w:val="auto"/>
          <w:sz w:val="24"/>
          <w:szCs w:val="24"/>
        </w:rPr>
        <w:t>SEGUNDO. De la oportunidad y proced</w:t>
      </w:r>
      <w:r w:rsidR="00F35C44" w:rsidRPr="00610DC3">
        <w:rPr>
          <w:rFonts w:ascii="Palatino Linotype" w:hAnsi="Palatino Linotype"/>
          <w:b/>
          <w:color w:val="auto"/>
          <w:sz w:val="24"/>
          <w:szCs w:val="24"/>
        </w:rPr>
        <w:t>encia</w:t>
      </w:r>
      <w:r w:rsidRPr="00610DC3">
        <w:rPr>
          <w:rFonts w:ascii="Palatino Linotype" w:hAnsi="Palatino Linotype"/>
          <w:b/>
          <w:color w:val="auto"/>
          <w:sz w:val="24"/>
          <w:szCs w:val="24"/>
        </w:rPr>
        <w:t>.</w:t>
      </w:r>
      <w:bookmarkEnd w:id="46"/>
      <w:bookmarkEnd w:id="47"/>
      <w:bookmarkEnd w:id="48"/>
    </w:p>
    <w:p w14:paraId="57072F51" w14:textId="0DD06DA9" w:rsidR="00876471" w:rsidRPr="00610DC3" w:rsidRDefault="00876471" w:rsidP="00876471">
      <w:pPr>
        <w:pStyle w:val="Prrafodelista"/>
        <w:numPr>
          <w:ilvl w:val="0"/>
          <w:numId w:val="1"/>
        </w:numPr>
        <w:spacing w:before="240" w:after="240" w:line="360" w:lineRule="auto"/>
        <w:ind w:left="0" w:right="49" w:firstLine="0"/>
        <w:jc w:val="both"/>
        <w:rPr>
          <w:rFonts w:ascii="Palatino Linotype" w:eastAsia="Times New Roman" w:hAnsi="Palatino Linotype" w:cs="Times New Roman"/>
        </w:rPr>
      </w:pPr>
      <w:r w:rsidRPr="00610DC3">
        <w:rPr>
          <w:rFonts w:ascii="Palatino Linotype" w:eastAsia="Calibri" w:hAnsi="Palatino Linotype" w:cs="Arial"/>
        </w:rPr>
        <w:t xml:space="preserve">Los medios de impugnación fueron presentados a través del </w:t>
      </w:r>
      <w:r w:rsidRPr="00610DC3">
        <w:rPr>
          <w:rFonts w:ascii="Palatino Linotype" w:eastAsia="Calibri" w:hAnsi="Palatino Linotype" w:cs="Arial"/>
          <w:b/>
        </w:rPr>
        <w:t>SAIMEX,</w:t>
      </w:r>
      <w:r w:rsidRPr="00610DC3">
        <w:rPr>
          <w:rFonts w:ascii="Palatino Linotype" w:eastAsia="Calibri" w:hAnsi="Palatino Linotype" w:cs="Arial"/>
        </w:rPr>
        <w:t xml:space="preserve"> en el formato previamente aprobado para tal efecto y dentro del plazo legal de quince días hábiles otorgados; siendo así que el </w:t>
      </w:r>
      <w:r w:rsidRPr="00610DC3">
        <w:rPr>
          <w:rFonts w:ascii="Palatino Linotype" w:eastAsia="Calibri" w:hAnsi="Palatino Linotype" w:cs="Arial"/>
          <w:b/>
        </w:rPr>
        <w:t>SUJETO OBLIGADO</w:t>
      </w:r>
      <w:r w:rsidRPr="00610DC3">
        <w:rPr>
          <w:rFonts w:ascii="Palatino Linotype" w:eastAsia="Calibri" w:hAnsi="Palatino Linotype" w:cs="Arial"/>
        </w:rPr>
        <w:t xml:space="preserve"> entregó respuestas el </w:t>
      </w:r>
      <w:r w:rsidR="00333BA4" w:rsidRPr="00610DC3">
        <w:rPr>
          <w:rFonts w:ascii="Palatino Linotype" w:eastAsia="Calibri" w:hAnsi="Palatino Linotype" w:cs="Arial"/>
        </w:rPr>
        <w:t>treinta (30</w:t>
      </w:r>
      <w:r w:rsidRPr="00610DC3">
        <w:rPr>
          <w:rFonts w:ascii="Palatino Linotype" w:eastAsia="Calibri" w:hAnsi="Palatino Linotype" w:cs="Arial"/>
        </w:rPr>
        <w:t>)</w:t>
      </w:r>
      <w:r w:rsidR="00333BA4" w:rsidRPr="00610DC3">
        <w:rPr>
          <w:rFonts w:ascii="Palatino Linotype" w:eastAsia="Calibri" w:hAnsi="Palatino Linotype" w:cs="Arial"/>
        </w:rPr>
        <w:t xml:space="preserve"> de junio</w:t>
      </w:r>
      <w:r w:rsidR="00E364EE" w:rsidRPr="00610DC3">
        <w:rPr>
          <w:rFonts w:ascii="Palatino Linotype" w:eastAsia="Calibri" w:hAnsi="Palatino Linotype" w:cs="Arial"/>
        </w:rPr>
        <w:t xml:space="preserve"> de dos mil veinte</w:t>
      </w:r>
      <w:r w:rsidRPr="00610DC3">
        <w:rPr>
          <w:rFonts w:ascii="Palatino Linotype" w:eastAsia="Calibri" w:hAnsi="Palatino Linotype" w:cs="Arial"/>
        </w:rPr>
        <w:t xml:space="preserve">, </w:t>
      </w:r>
      <w:r w:rsidRPr="00610DC3">
        <w:rPr>
          <w:rFonts w:ascii="Palatino Linotype" w:eastAsia="Times New Roman" w:hAnsi="Palatino Linotype" w:cs="Arial"/>
        </w:rPr>
        <w:t xml:space="preserve">de tal forma que el plazo para interponer los recursos </w:t>
      </w:r>
      <w:r w:rsidR="00333BA4" w:rsidRPr="00610DC3">
        <w:rPr>
          <w:rFonts w:ascii="Palatino Linotype" w:eastAsia="Times New Roman" w:hAnsi="Palatino Linotype" w:cs="Arial"/>
        </w:rPr>
        <w:t>de revisión transcurrió del día cuatro (04</w:t>
      </w:r>
      <w:r w:rsidR="00E364EE" w:rsidRPr="00610DC3">
        <w:rPr>
          <w:rFonts w:ascii="Palatino Linotype" w:eastAsia="Times New Roman" w:hAnsi="Palatino Linotype" w:cs="Arial"/>
        </w:rPr>
        <w:t>)</w:t>
      </w:r>
      <w:r w:rsidR="00333BA4" w:rsidRPr="00610DC3">
        <w:rPr>
          <w:rFonts w:ascii="Palatino Linotype" w:eastAsia="Times New Roman" w:hAnsi="Palatino Linotype" w:cs="Arial"/>
        </w:rPr>
        <w:t xml:space="preserve"> al veinticuatro (24)</w:t>
      </w:r>
      <w:r w:rsidR="00E364EE" w:rsidRPr="00610DC3">
        <w:rPr>
          <w:rFonts w:ascii="Palatino Linotype" w:eastAsia="Times New Roman" w:hAnsi="Palatino Linotype" w:cs="Arial"/>
        </w:rPr>
        <w:t xml:space="preserve"> de</w:t>
      </w:r>
      <w:r w:rsidR="00333BA4" w:rsidRPr="00610DC3">
        <w:rPr>
          <w:rFonts w:ascii="Palatino Linotype" w:eastAsia="Times New Roman" w:hAnsi="Palatino Linotype" w:cs="Arial"/>
        </w:rPr>
        <w:t xml:space="preserve"> agosto</w:t>
      </w:r>
      <w:r w:rsidR="00E364EE" w:rsidRPr="00610DC3">
        <w:rPr>
          <w:rFonts w:ascii="Palatino Linotype" w:eastAsia="Times New Roman" w:hAnsi="Palatino Linotype" w:cs="Arial"/>
        </w:rPr>
        <w:t xml:space="preserve"> de dos mil veinte</w:t>
      </w:r>
      <w:r w:rsidRPr="00610DC3">
        <w:rPr>
          <w:rFonts w:ascii="Palatino Linotype" w:eastAsia="Times New Roman" w:hAnsi="Palatino Linotype" w:cs="Arial"/>
        </w:rPr>
        <w:t xml:space="preserve">; sin contemplar en el cómputo los días del veintitrés (23) de marzo al diecisiete (17) de julio; así como, del veinte (20) al treinta y uno (31)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w:t>
      </w:r>
      <w:r w:rsidRPr="00610DC3">
        <w:rPr>
          <w:rFonts w:ascii="Palatino Linotype" w:eastAsia="Times New Roman" w:hAnsi="Palatino Linotype" w:cs="Arial"/>
        </w:rPr>
        <w:lastRenderedPageBreak/>
        <w:t>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veinte y enero dos mil veintiuno, aprobado por el Pleno de este Instituto.</w:t>
      </w:r>
    </w:p>
    <w:p w14:paraId="3C2A10E8" w14:textId="3A643427" w:rsidR="00876471" w:rsidRPr="00610DC3" w:rsidRDefault="00876471" w:rsidP="00E364EE">
      <w:pPr>
        <w:numPr>
          <w:ilvl w:val="0"/>
          <w:numId w:val="1"/>
        </w:numPr>
        <w:spacing w:before="240" w:after="240" w:line="360" w:lineRule="auto"/>
        <w:ind w:left="0" w:right="49" w:firstLine="0"/>
        <w:contextualSpacing/>
        <w:jc w:val="both"/>
        <w:rPr>
          <w:rFonts w:ascii="Palatino Linotype" w:eastAsia="Calibri" w:hAnsi="Palatino Linotype" w:cs="Arial"/>
        </w:rPr>
      </w:pPr>
      <w:r w:rsidRPr="00610DC3">
        <w:rPr>
          <w:rFonts w:ascii="Palatino Linotype" w:eastAsia="Times New Roman" w:hAnsi="Palatino Linotype" w:cs="Times New Roman"/>
        </w:rPr>
        <w:t>En consecuencia, si el particular presentó su</w:t>
      </w:r>
      <w:r w:rsidR="00E364EE" w:rsidRPr="00610DC3">
        <w:rPr>
          <w:rFonts w:ascii="Palatino Linotype" w:eastAsia="Times New Roman" w:hAnsi="Palatino Linotype" w:cs="Times New Roman"/>
        </w:rPr>
        <w:t>s</w:t>
      </w:r>
      <w:r w:rsidRPr="00610DC3">
        <w:rPr>
          <w:rFonts w:ascii="Palatino Linotype" w:eastAsia="Times New Roman" w:hAnsi="Palatino Linotype" w:cs="Times New Roman"/>
        </w:rPr>
        <w:t xml:space="preserve"> inconformidad</w:t>
      </w:r>
      <w:r w:rsidR="00E364EE" w:rsidRPr="00610DC3">
        <w:rPr>
          <w:rFonts w:ascii="Palatino Linotype" w:eastAsia="Times New Roman" w:hAnsi="Palatino Linotype" w:cs="Times New Roman"/>
        </w:rPr>
        <w:t xml:space="preserve">es </w:t>
      </w:r>
      <w:r w:rsidR="00333BA4" w:rsidRPr="00610DC3">
        <w:rPr>
          <w:rFonts w:ascii="Palatino Linotype" w:eastAsia="Times New Roman" w:hAnsi="Palatino Linotype" w:cs="Times New Roman"/>
        </w:rPr>
        <w:t>el día diecisiete (17</w:t>
      </w:r>
      <w:r w:rsidR="00E364EE" w:rsidRPr="00610DC3">
        <w:rPr>
          <w:rFonts w:ascii="Palatino Linotype" w:eastAsia="Times New Roman" w:hAnsi="Palatino Linotype" w:cs="Times New Roman"/>
        </w:rPr>
        <w:t>)</w:t>
      </w:r>
      <w:r w:rsidR="00333BA4" w:rsidRPr="00610DC3">
        <w:rPr>
          <w:rFonts w:ascii="Palatino Linotype" w:eastAsia="Times New Roman" w:hAnsi="Palatino Linotype" w:cs="Times New Roman"/>
        </w:rPr>
        <w:t xml:space="preserve"> </w:t>
      </w:r>
      <w:r w:rsidR="00E364EE" w:rsidRPr="00610DC3">
        <w:rPr>
          <w:rFonts w:ascii="Palatino Linotype" w:eastAsia="Times New Roman" w:hAnsi="Palatino Linotype" w:cs="Times New Roman"/>
        </w:rPr>
        <w:t>de agosto de dos mil veinte,</w:t>
      </w:r>
      <w:r w:rsidRPr="00610DC3">
        <w:rPr>
          <w:rFonts w:ascii="Palatino Linotype" w:eastAsia="Times New Roman" w:hAnsi="Palatino Linotype" w:cs="Times New Roman"/>
        </w:rPr>
        <w:t xml:space="preserve"> </w:t>
      </w:r>
      <w:r w:rsidR="00E364EE" w:rsidRPr="00610DC3">
        <w:rPr>
          <w:rFonts w:ascii="Palatino Linotype" w:eastAsia="Calibri" w:hAnsi="Palatino Linotype" w:cs="Arial"/>
        </w:rPr>
        <w:t xml:space="preserve">se encuentran dentro del plazo establecido por la Ley. </w:t>
      </w:r>
    </w:p>
    <w:p w14:paraId="6C46521E" w14:textId="77777777" w:rsidR="00E364EE" w:rsidRPr="00610DC3" w:rsidRDefault="00E364EE" w:rsidP="00E364EE">
      <w:pPr>
        <w:spacing w:before="240" w:after="240" w:line="360" w:lineRule="auto"/>
        <w:ind w:right="49"/>
        <w:contextualSpacing/>
        <w:jc w:val="both"/>
        <w:rPr>
          <w:rFonts w:ascii="Palatino Linotype" w:eastAsia="Calibri" w:hAnsi="Palatino Linotype" w:cs="Arial"/>
        </w:rPr>
      </w:pPr>
    </w:p>
    <w:p w14:paraId="34D7673A" w14:textId="77777777" w:rsidR="00876471" w:rsidRPr="00610DC3" w:rsidRDefault="00876471" w:rsidP="00876471">
      <w:pPr>
        <w:numPr>
          <w:ilvl w:val="0"/>
          <w:numId w:val="1"/>
        </w:numPr>
        <w:spacing w:before="240" w:after="240" w:line="360" w:lineRule="auto"/>
        <w:ind w:left="0" w:right="49" w:firstLine="0"/>
        <w:contextualSpacing/>
        <w:jc w:val="both"/>
        <w:rPr>
          <w:rFonts w:ascii="Palatino Linotype" w:eastAsia="Times New Roman" w:hAnsi="Palatino Linotype" w:cs="Times New Roman"/>
        </w:rPr>
      </w:pPr>
      <w:r w:rsidRPr="00610DC3">
        <w:rPr>
          <w:rFonts w:ascii="Palatino Linotype" w:eastAsia="Calibri" w:hAnsi="Palatino Linotype" w:cs="Arial"/>
        </w:rPr>
        <w:t>Así las cosas,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EEDC16F" w14:textId="77777777" w:rsidR="006D0DAE" w:rsidRPr="00610DC3" w:rsidRDefault="006D0DAE" w:rsidP="006D0DAE">
      <w:pPr>
        <w:rPr>
          <w:rFonts w:ascii="Palatino Linotype" w:hAnsi="Palatino Linotype"/>
          <w:lang w:val="es-MX" w:eastAsia="en-US"/>
        </w:rPr>
      </w:pPr>
    </w:p>
    <w:p w14:paraId="315486E8" w14:textId="77777777" w:rsidR="00092287" w:rsidRPr="00610DC3" w:rsidRDefault="0044176A" w:rsidP="00B07CD9">
      <w:pPr>
        <w:pStyle w:val="Ttulo1"/>
        <w:spacing w:line="360" w:lineRule="auto"/>
        <w:rPr>
          <w:b/>
          <w:i/>
          <w:color w:val="000000" w:themeColor="text1"/>
          <w:szCs w:val="24"/>
        </w:rPr>
      </w:pPr>
      <w:bookmarkStart w:id="49" w:name="_Toc503862490"/>
      <w:bookmarkStart w:id="50" w:name="_Toc509403241"/>
      <w:bookmarkStart w:id="51" w:name="_Toc53009717"/>
      <w:r w:rsidRPr="00610DC3">
        <w:rPr>
          <w:b/>
          <w:color w:val="000000" w:themeColor="text1"/>
          <w:szCs w:val="24"/>
        </w:rPr>
        <w:t>TERCERO</w:t>
      </w:r>
      <w:r w:rsidR="006A4F64" w:rsidRPr="00610DC3">
        <w:rPr>
          <w:b/>
          <w:color w:val="000000" w:themeColor="text1"/>
          <w:szCs w:val="24"/>
        </w:rPr>
        <w:t xml:space="preserve">. </w:t>
      </w:r>
      <w:bookmarkEnd w:id="49"/>
      <w:bookmarkEnd w:id="50"/>
      <w:r w:rsidR="00327323" w:rsidRPr="00610DC3">
        <w:rPr>
          <w:b/>
          <w:color w:val="000000" w:themeColor="text1"/>
          <w:szCs w:val="24"/>
        </w:rPr>
        <w:t xml:space="preserve">Del planteamiento de la </w:t>
      </w:r>
      <w:r w:rsidR="00327323" w:rsidRPr="00610DC3">
        <w:rPr>
          <w:b/>
          <w:i/>
          <w:color w:val="000000" w:themeColor="text1"/>
          <w:szCs w:val="24"/>
        </w:rPr>
        <w:t>Litis.</w:t>
      </w:r>
      <w:bookmarkStart w:id="52" w:name="_Toc467081898"/>
      <w:bookmarkStart w:id="53" w:name="_Toc454968928"/>
      <w:bookmarkStart w:id="54" w:name="_Toc455743517"/>
      <w:bookmarkStart w:id="55" w:name="_Toc458016386"/>
      <w:bookmarkStart w:id="56" w:name="_Toc461555893"/>
      <w:bookmarkEnd w:id="51"/>
    </w:p>
    <w:p w14:paraId="243B9790" w14:textId="1BADCC81" w:rsidR="00092287" w:rsidRPr="00610DC3" w:rsidRDefault="00092287" w:rsidP="00743741">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610DC3">
        <w:rPr>
          <w:rFonts w:ascii="Palatino Linotype" w:eastAsia="Times New Roman" w:hAnsi="Palatino Linotype" w:cs="Arial"/>
        </w:rPr>
        <w:t xml:space="preserve">El </w:t>
      </w:r>
      <w:r w:rsidR="00BB7329" w:rsidRPr="00610DC3">
        <w:rPr>
          <w:rFonts w:ascii="Palatino Linotype" w:eastAsia="Times New Roman" w:hAnsi="Palatino Linotype" w:cs="Arial"/>
        </w:rPr>
        <w:t>r</w:t>
      </w:r>
      <w:r w:rsidRPr="00610DC3">
        <w:rPr>
          <w:rFonts w:ascii="Palatino Linotype" w:eastAsia="Times New Roman" w:hAnsi="Palatino Linotype" w:cs="Arial"/>
        </w:rPr>
        <w:t xml:space="preserve">ecurso </w:t>
      </w:r>
      <w:r w:rsidR="00BB7329" w:rsidRPr="00610DC3">
        <w:rPr>
          <w:rFonts w:ascii="Palatino Linotype" w:eastAsia="Times New Roman" w:hAnsi="Palatino Linotype" w:cs="Arial"/>
        </w:rPr>
        <w:t>r</w:t>
      </w:r>
      <w:r w:rsidRPr="00610DC3">
        <w:rPr>
          <w:rFonts w:ascii="Palatino Linotype" w:eastAsia="Times New Roman" w:hAnsi="Palatino Linotype" w:cs="Arial"/>
        </w:rPr>
        <w:t xml:space="preserve">evisión tiene como finalidad reparar cualquier posible afectación al derecho de acceso a la información pública en términos del Título Octavo de la </w:t>
      </w:r>
      <w:r w:rsidRPr="00610DC3">
        <w:rPr>
          <w:rFonts w:ascii="Palatino Linotype" w:eastAsia="Calibri" w:hAnsi="Palatino Linotype" w:cs="Arial"/>
          <w:b/>
          <w:lang w:val="es-ES"/>
        </w:rPr>
        <w:t>Ley de Transparencia y Acceso a la Información Pública del Estado de México y Municipios</w:t>
      </w:r>
      <w:r w:rsidRPr="00610DC3">
        <w:rPr>
          <w:rFonts w:ascii="Palatino Linotype" w:eastAsia="Times New Roman" w:hAnsi="Palatino Linotype" w:cs="Arial"/>
        </w:rPr>
        <w:t xml:space="preserve"> y determinar la confirmación; revocación o modificación; </w:t>
      </w:r>
      <w:proofErr w:type="spellStart"/>
      <w:r w:rsidRPr="00610DC3">
        <w:rPr>
          <w:rFonts w:ascii="Palatino Linotype" w:eastAsia="Times New Roman" w:hAnsi="Palatino Linotype" w:cs="Arial"/>
        </w:rPr>
        <w:t>desechamiento</w:t>
      </w:r>
      <w:proofErr w:type="spellEnd"/>
      <w:r w:rsidRPr="00610DC3">
        <w:rPr>
          <w:rFonts w:ascii="Palatino Linotype" w:eastAsia="Times New Roman" w:hAnsi="Palatino Linotype" w:cs="Arial"/>
        </w:rPr>
        <w:t xml:space="preserve"> o sobreseimiento; y en su </w:t>
      </w:r>
      <w:r w:rsidRPr="00610DC3">
        <w:rPr>
          <w:rFonts w:ascii="Palatino Linotype" w:eastAsia="Times New Roman" w:hAnsi="Palatino Linotype" w:cs="Arial"/>
          <w:b/>
          <w:u w:val="single"/>
        </w:rPr>
        <w:t>caso ordenar la entrega de la información,</w:t>
      </w:r>
      <w:r w:rsidR="00B8572C" w:rsidRPr="00610DC3">
        <w:rPr>
          <w:rFonts w:ascii="Palatino Linotype" w:eastAsia="Times New Roman" w:hAnsi="Palatino Linotype" w:cs="Arial"/>
        </w:rPr>
        <w:t xml:space="preserve"> </w:t>
      </w:r>
      <w:r w:rsidRPr="00610DC3">
        <w:rPr>
          <w:rFonts w:ascii="Palatino Linotype" w:eastAsia="Times New Roman" w:hAnsi="Palatino Linotype" w:cs="Arial"/>
        </w:rPr>
        <w:t xml:space="preserve">respecto a las respuestas o falta de ellas de los Sujetos Obligados. </w:t>
      </w:r>
    </w:p>
    <w:p w14:paraId="758B2B9B" w14:textId="77777777" w:rsidR="00B8572C" w:rsidRPr="00610DC3" w:rsidRDefault="00B8572C" w:rsidP="00B8572C">
      <w:pPr>
        <w:pStyle w:val="Prrafodelista"/>
        <w:spacing w:before="240" w:after="240" w:line="360" w:lineRule="auto"/>
        <w:ind w:left="0"/>
        <w:jc w:val="both"/>
        <w:rPr>
          <w:rFonts w:ascii="Palatino Linotype" w:eastAsia="Times New Roman" w:hAnsi="Palatino Linotype" w:cs="Times New Roman"/>
          <w:i/>
        </w:rPr>
      </w:pPr>
    </w:p>
    <w:p w14:paraId="5BB3DCA9" w14:textId="481E3554" w:rsidR="00616531" w:rsidRPr="00610DC3" w:rsidRDefault="00092287" w:rsidP="00616531">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610DC3">
        <w:rPr>
          <w:rFonts w:ascii="Palatino Linotype" w:eastAsia="Times New Roman" w:hAnsi="Palatino Linotype" w:cs="Arial"/>
        </w:rPr>
        <w:t xml:space="preserve">De las constancias </w:t>
      </w:r>
      <w:r w:rsidR="00695C4B" w:rsidRPr="00610DC3">
        <w:rPr>
          <w:rFonts w:ascii="Palatino Linotype" w:eastAsia="Times New Roman" w:hAnsi="Palatino Linotype" w:cs="Arial"/>
        </w:rPr>
        <w:t xml:space="preserve">de los expedientes </w:t>
      </w:r>
      <w:r w:rsidRPr="00610DC3">
        <w:rPr>
          <w:rFonts w:ascii="Palatino Linotype" w:eastAsia="Times New Roman" w:hAnsi="Palatino Linotype" w:cs="Arial"/>
        </w:rPr>
        <w:t>en el expediente al r</w:t>
      </w:r>
      <w:r w:rsidR="005B6B94" w:rsidRPr="00610DC3">
        <w:rPr>
          <w:rFonts w:ascii="Palatino Linotype" w:eastAsia="Times New Roman" w:hAnsi="Palatino Linotype" w:cs="Arial"/>
        </w:rPr>
        <w:t xml:space="preserve">ubro indicado, se desprende que </w:t>
      </w:r>
      <w:r w:rsidRPr="00610DC3">
        <w:rPr>
          <w:rFonts w:ascii="Palatino Linotype" w:eastAsia="Times New Roman" w:hAnsi="Palatino Linotype" w:cs="Times New Roman"/>
        </w:rPr>
        <w:t>el particular solicitó información relacionada con</w:t>
      </w:r>
      <w:r w:rsidR="005B6B94" w:rsidRPr="00610DC3">
        <w:rPr>
          <w:rFonts w:ascii="Palatino Linotype" w:eastAsia="Times New Roman" w:hAnsi="Palatino Linotype" w:cs="Times New Roman"/>
        </w:rPr>
        <w:t xml:space="preserve"> programas sociales y padrón de contratistas</w:t>
      </w:r>
      <w:r w:rsidR="00841618" w:rsidRPr="00610DC3">
        <w:rPr>
          <w:rFonts w:ascii="Palatino Linotype" w:eastAsia="Times New Roman" w:hAnsi="Palatino Linotype" w:cs="Times New Roman"/>
        </w:rPr>
        <w:t>. El</w:t>
      </w:r>
      <w:r w:rsidR="005B6B94" w:rsidRPr="00610DC3">
        <w:rPr>
          <w:rFonts w:ascii="Palatino Linotype" w:eastAsia="Times New Roman" w:hAnsi="Palatino Linotype" w:cs="Times New Roman"/>
          <w:b/>
        </w:rPr>
        <w:t xml:space="preserve"> </w:t>
      </w:r>
      <w:r w:rsidR="00841618" w:rsidRPr="00610DC3">
        <w:rPr>
          <w:rFonts w:ascii="Palatino Linotype" w:eastAsia="Times New Roman" w:hAnsi="Palatino Linotype" w:cs="Times New Roman"/>
          <w:b/>
        </w:rPr>
        <w:t>SUJETO OBLIGADO</w:t>
      </w:r>
      <w:r w:rsidR="00D2386B" w:rsidRPr="00610DC3">
        <w:rPr>
          <w:rFonts w:ascii="Palatino Linotype" w:eastAsia="Times New Roman" w:hAnsi="Palatino Linotype" w:cs="Times New Roman"/>
          <w:b/>
        </w:rPr>
        <w:t xml:space="preserve"> </w:t>
      </w:r>
      <w:r w:rsidR="00D2386B" w:rsidRPr="00610DC3">
        <w:rPr>
          <w:rFonts w:ascii="Palatino Linotype" w:eastAsia="Times New Roman" w:hAnsi="Palatino Linotype" w:cs="Times New Roman"/>
        </w:rPr>
        <w:t xml:space="preserve">realizó </w:t>
      </w:r>
      <w:r w:rsidR="00616531" w:rsidRPr="00610DC3">
        <w:rPr>
          <w:rFonts w:ascii="Palatino Linotype" w:eastAsia="Times New Roman" w:hAnsi="Palatino Linotype" w:cs="Times New Roman"/>
        </w:rPr>
        <w:t>entrega del Acta de la  Onceaba Sesión Extraordinaria de su</w:t>
      </w:r>
      <w:r w:rsidR="005B6B94" w:rsidRPr="00610DC3">
        <w:rPr>
          <w:rFonts w:ascii="Palatino Linotype" w:eastAsia="Times New Roman" w:hAnsi="Palatino Linotype" w:cs="Times New Roman"/>
        </w:rPr>
        <w:t xml:space="preserve"> Comité de Transparencia, por la</w:t>
      </w:r>
      <w:r w:rsidR="00616531" w:rsidRPr="00610DC3">
        <w:rPr>
          <w:rFonts w:ascii="Palatino Linotype" w:eastAsia="Times New Roman" w:hAnsi="Palatino Linotype" w:cs="Times New Roman"/>
        </w:rPr>
        <w:t xml:space="preserve"> que aprobó el cambio de modalidad de entrega de la información a consulta directa</w:t>
      </w:r>
      <w:r w:rsidR="005B6B94" w:rsidRPr="00610DC3">
        <w:rPr>
          <w:rFonts w:ascii="Palatino Linotype" w:eastAsia="Times New Roman" w:hAnsi="Palatino Linotype" w:cs="Times New Roman"/>
        </w:rPr>
        <w:t>,</w:t>
      </w:r>
      <w:r w:rsidRPr="00610DC3">
        <w:rPr>
          <w:rFonts w:ascii="Palatino Linotype" w:eastAsia="Times New Roman" w:hAnsi="Palatino Linotype" w:cs="Arial"/>
        </w:rPr>
        <w:t xml:space="preserve"> </w:t>
      </w:r>
      <w:r w:rsidR="00BB7329" w:rsidRPr="00610DC3">
        <w:rPr>
          <w:rFonts w:ascii="Palatino Linotype" w:eastAsia="Times New Roman" w:hAnsi="Palatino Linotype" w:cs="Times New Roman"/>
        </w:rPr>
        <w:t>el</w:t>
      </w:r>
      <w:r w:rsidRPr="00610DC3">
        <w:rPr>
          <w:rFonts w:ascii="Palatino Linotype" w:eastAsia="Times New Roman" w:hAnsi="Palatino Linotype" w:cs="Times New Roman"/>
        </w:rPr>
        <w:t xml:space="preserve"> particular se inconforma e</w:t>
      </w:r>
      <w:r w:rsidR="00616531" w:rsidRPr="00610DC3">
        <w:rPr>
          <w:rFonts w:ascii="Palatino Linotype" w:eastAsia="Times New Roman" w:hAnsi="Palatino Linotype" w:cs="Times New Roman"/>
          <w:i/>
        </w:rPr>
        <w:t xml:space="preserve"> </w:t>
      </w:r>
      <w:r w:rsidR="00616531" w:rsidRPr="00610DC3">
        <w:rPr>
          <w:rFonts w:ascii="Palatino Linotype" w:hAnsi="Palatino Linotype" w:cs="Arial"/>
          <w:color w:val="000000" w:themeColor="text1"/>
        </w:rPr>
        <w:t xml:space="preserve">impugna el cambio de modalidad de entrega de la información mediante recursos de revisión, señalando por agravios que el </w:t>
      </w:r>
      <w:r w:rsidR="00616531" w:rsidRPr="00610DC3">
        <w:rPr>
          <w:rFonts w:ascii="Palatino Linotype" w:hAnsi="Palatino Linotype" w:cs="Arial"/>
          <w:b/>
          <w:bCs/>
          <w:color w:val="000000" w:themeColor="text1"/>
        </w:rPr>
        <w:t>SUJETO OBLIGADO</w:t>
      </w:r>
      <w:r w:rsidR="00616531" w:rsidRPr="00610DC3">
        <w:rPr>
          <w:rFonts w:ascii="Palatino Linotype" w:hAnsi="Palatino Linotype" w:cs="Arial"/>
          <w:color w:val="000000" w:themeColor="text1"/>
        </w:rPr>
        <w:t xml:space="preserve"> transgredía el principio de legalidad constitucional, así como su derecho de acceso a la información pública de manera gratuita y anónima.</w:t>
      </w:r>
    </w:p>
    <w:p w14:paraId="1E252E84" w14:textId="77777777" w:rsidR="00616531" w:rsidRPr="00610DC3" w:rsidRDefault="00616531" w:rsidP="00616531">
      <w:pPr>
        <w:pStyle w:val="Prrafodelista"/>
        <w:rPr>
          <w:rFonts w:ascii="Palatino Linotype" w:eastAsia="Times New Roman" w:hAnsi="Palatino Linotype" w:cs="Times New Roman"/>
        </w:rPr>
      </w:pPr>
    </w:p>
    <w:p w14:paraId="21686D4B" w14:textId="77777777" w:rsidR="00BB7329" w:rsidRPr="00610DC3" w:rsidRDefault="00BB7329" w:rsidP="00BB7329">
      <w:pPr>
        <w:pStyle w:val="Prrafodelista"/>
        <w:rPr>
          <w:rFonts w:ascii="Palatino Linotype" w:eastAsia="Times New Roman" w:hAnsi="Palatino Linotype" w:cs="Times New Roman"/>
          <w:i/>
        </w:rPr>
      </w:pPr>
    </w:p>
    <w:p w14:paraId="2FFDB35F" w14:textId="77777777" w:rsidR="00287050" w:rsidRPr="00610DC3" w:rsidRDefault="00BB7329" w:rsidP="00287050">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bookmarkStart w:id="57" w:name="_Hlk45015053"/>
      <w:r w:rsidRPr="00610DC3">
        <w:rPr>
          <w:rFonts w:ascii="Palatino Linotype" w:hAnsi="Palatino Linotype"/>
        </w:rPr>
        <w:t xml:space="preserve">En ese sentido, el agravio del recurrente apunta a que la respuesta proporcionada por el </w:t>
      </w:r>
      <w:r w:rsidRPr="00610DC3">
        <w:rPr>
          <w:rFonts w:ascii="Palatino Linotype" w:hAnsi="Palatino Linotype"/>
          <w:b/>
          <w:bCs/>
        </w:rPr>
        <w:t xml:space="preserve">SUJETO OBLIGADO </w:t>
      </w:r>
      <w:r w:rsidRPr="00610DC3">
        <w:rPr>
          <w:rFonts w:ascii="Palatino Linotype" w:hAnsi="Palatino Linotype"/>
        </w:rPr>
        <w:t>no garantizo el principio contenido en el artículo 11 de la Ley de Transparencia y Acceso a la Información Pública del Estado de México y Municipios, el cual señala que en la generación, publicación y entrega de información se deberá garantizar que sea</w:t>
      </w:r>
      <w:r w:rsidR="002F5EF2" w:rsidRPr="00610DC3">
        <w:rPr>
          <w:rFonts w:ascii="Palatino Linotype" w:hAnsi="Palatino Linotype"/>
        </w:rPr>
        <w:t xml:space="preserve"> congruente y</w:t>
      </w:r>
      <w:bookmarkEnd w:id="57"/>
      <w:r w:rsidR="005B6B94" w:rsidRPr="00610DC3">
        <w:rPr>
          <w:rFonts w:ascii="Palatino Linotype" w:hAnsi="Palatino Linotype"/>
        </w:rPr>
        <w:t xml:space="preserve"> </w:t>
      </w:r>
      <w:r w:rsidR="00616531" w:rsidRPr="00610DC3">
        <w:rPr>
          <w:rFonts w:ascii="Palatino Linotype" w:hAnsi="Palatino Linotype"/>
          <w:b/>
          <w:bCs/>
        </w:rPr>
        <w:t>sujeta a un régimen limitado de restricciones</w:t>
      </w:r>
      <w:r w:rsidR="00616531" w:rsidRPr="00610DC3">
        <w:rPr>
          <w:rFonts w:ascii="Palatino Linotype" w:hAnsi="Palatino Linotype"/>
        </w:rPr>
        <w:t>.</w:t>
      </w:r>
    </w:p>
    <w:p w14:paraId="7D88C5AA" w14:textId="77777777" w:rsidR="00287050" w:rsidRPr="00610DC3" w:rsidRDefault="00287050" w:rsidP="00287050">
      <w:pPr>
        <w:pStyle w:val="Prrafodelista"/>
        <w:shd w:val="clear" w:color="auto" w:fill="FFFFFF"/>
        <w:spacing w:before="240" w:after="240" w:line="360" w:lineRule="auto"/>
        <w:ind w:left="0" w:right="49"/>
        <w:jc w:val="both"/>
        <w:rPr>
          <w:rFonts w:ascii="Palatino Linotype" w:hAnsi="Palatino Linotype"/>
        </w:rPr>
      </w:pPr>
    </w:p>
    <w:p w14:paraId="796662DA" w14:textId="32D70287" w:rsidR="00287050" w:rsidRPr="00610DC3" w:rsidRDefault="00287050" w:rsidP="00287050">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610DC3">
        <w:rPr>
          <w:rFonts w:ascii="Palatino Linotype" w:hAnsi="Palatino Linotype"/>
        </w:rPr>
        <w:t xml:space="preserve">Por lo anterior, la Litis a resolver en el presente asunto se circunscribe en determinar si el </w:t>
      </w:r>
      <w:r w:rsidRPr="00610DC3">
        <w:rPr>
          <w:rFonts w:ascii="Palatino Linotype" w:hAnsi="Palatino Linotype"/>
          <w:b/>
        </w:rPr>
        <w:t>SUJETO OBLIGADO</w:t>
      </w:r>
      <w:r w:rsidRPr="00610DC3">
        <w:rPr>
          <w:rFonts w:ascii="Palatino Linotype" w:hAnsi="Palatino Linotype"/>
        </w:rPr>
        <w:t xml:space="preserve"> atendió adecuadamente el derecho de acceso a la información ejercido por la particular o, si por el contrario, se actualizan las causales de procedencia del recurso de revisión establecidas en el artículo 179 fracciones I y VIII de la Ley de Transparencia y Acceso a la Información Pública del Estado de México y Municipios, y que se transcriben a continuación:</w:t>
      </w:r>
    </w:p>
    <w:p w14:paraId="67EB300A" w14:textId="77777777" w:rsidR="00287050" w:rsidRPr="00610DC3" w:rsidRDefault="00287050" w:rsidP="00287050">
      <w:pPr>
        <w:pStyle w:val="Ttulo1"/>
        <w:spacing w:line="360" w:lineRule="auto"/>
        <w:ind w:left="567" w:right="616"/>
        <w:rPr>
          <w:b/>
          <w:szCs w:val="24"/>
        </w:rPr>
      </w:pPr>
      <w:bookmarkStart w:id="58" w:name="_Toc53008757"/>
      <w:bookmarkStart w:id="59" w:name="_Toc53009718"/>
      <w:r w:rsidRPr="00610DC3">
        <w:rPr>
          <w:b/>
          <w:szCs w:val="24"/>
        </w:rPr>
        <w:lastRenderedPageBreak/>
        <w:t>“Artículo 179. El recurso de revisión es un medio de protección que la Ley otorga a los particulares, para hacer valer su derecho de acceso a la información pública, y procederá en contra de las siguientes causas:</w:t>
      </w:r>
      <w:bookmarkEnd w:id="58"/>
      <w:bookmarkEnd w:id="59"/>
    </w:p>
    <w:p w14:paraId="449EF0BC" w14:textId="77777777" w:rsidR="00287050" w:rsidRPr="00610DC3" w:rsidRDefault="00287050" w:rsidP="00287050">
      <w:pPr>
        <w:pStyle w:val="Ttulo1"/>
        <w:spacing w:line="360" w:lineRule="auto"/>
        <w:ind w:left="567" w:right="616"/>
        <w:rPr>
          <w:b/>
          <w:szCs w:val="24"/>
        </w:rPr>
      </w:pPr>
      <w:bookmarkStart w:id="60" w:name="_Toc53008758"/>
      <w:bookmarkStart w:id="61" w:name="_Toc53009719"/>
      <w:r w:rsidRPr="00610DC3">
        <w:rPr>
          <w:b/>
          <w:szCs w:val="24"/>
        </w:rPr>
        <w:t>I. La negativa a la información solicitada;</w:t>
      </w:r>
      <w:bookmarkEnd w:id="60"/>
      <w:bookmarkEnd w:id="61"/>
    </w:p>
    <w:p w14:paraId="208634DD" w14:textId="77777777" w:rsidR="00287050" w:rsidRPr="00610DC3" w:rsidRDefault="00287050" w:rsidP="00287050">
      <w:pPr>
        <w:pStyle w:val="Ttulo1"/>
        <w:spacing w:line="360" w:lineRule="auto"/>
        <w:ind w:left="567" w:right="616"/>
        <w:rPr>
          <w:b/>
          <w:szCs w:val="24"/>
        </w:rPr>
      </w:pPr>
      <w:bookmarkStart w:id="62" w:name="_Toc53008759"/>
      <w:bookmarkStart w:id="63" w:name="_Toc53009720"/>
      <w:r w:rsidRPr="00610DC3">
        <w:rPr>
          <w:b/>
          <w:szCs w:val="24"/>
        </w:rPr>
        <w:t>(…)</w:t>
      </w:r>
      <w:bookmarkEnd w:id="62"/>
      <w:bookmarkEnd w:id="63"/>
    </w:p>
    <w:p w14:paraId="57A6D096" w14:textId="77777777" w:rsidR="00287050" w:rsidRPr="00610DC3" w:rsidRDefault="00287050" w:rsidP="00287050">
      <w:pPr>
        <w:pStyle w:val="Ttulo1"/>
        <w:spacing w:line="360" w:lineRule="auto"/>
        <w:ind w:left="567" w:right="616"/>
        <w:rPr>
          <w:b/>
          <w:szCs w:val="24"/>
        </w:rPr>
      </w:pPr>
      <w:bookmarkStart w:id="64" w:name="_Toc53008760"/>
      <w:bookmarkStart w:id="65" w:name="_Toc53009721"/>
      <w:r w:rsidRPr="00610DC3">
        <w:rPr>
          <w:b/>
          <w:szCs w:val="24"/>
        </w:rPr>
        <w:t>VIII. La notificación, entrega o puesta a disposición de información en una modalidad o formato distinto al solicitado;</w:t>
      </w:r>
      <w:bookmarkEnd w:id="64"/>
      <w:bookmarkEnd w:id="65"/>
    </w:p>
    <w:p w14:paraId="332A9BEF" w14:textId="359CDD37" w:rsidR="00334447" w:rsidRPr="00610DC3" w:rsidRDefault="00287050" w:rsidP="00287050">
      <w:pPr>
        <w:pStyle w:val="Ttulo1"/>
        <w:spacing w:line="360" w:lineRule="auto"/>
        <w:ind w:left="567" w:right="616"/>
        <w:rPr>
          <w:b/>
          <w:szCs w:val="24"/>
        </w:rPr>
      </w:pPr>
      <w:bookmarkStart w:id="66" w:name="_Toc53008761"/>
      <w:bookmarkStart w:id="67" w:name="_Toc53009722"/>
      <w:r w:rsidRPr="00610DC3">
        <w:rPr>
          <w:b/>
          <w:szCs w:val="24"/>
        </w:rPr>
        <w:t>(…)”</w:t>
      </w:r>
      <w:bookmarkEnd w:id="66"/>
      <w:bookmarkEnd w:id="67"/>
    </w:p>
    <w:p w14:paraId="375986D9" w14:textId="1378AB95" w:rsidR="00E82278" w:rsidRPr="00610DC3" w:rsidRDefault="0044176A" w:rsidP="00E82278">
      <w:pPr>
        <w:pStyle w:val="Ttulo1"/>
        <w:spacing w:line="360" w:lineRule="auto"/>
        <w:rPr>
          <w:b/>
          <w:szCs w:val="24"/>
        </w:rPr>
      </w:pPr>
      <w:bookmarkStart w:id="68" w:name="_Toc53009723"/>
      <w:r w:rsidRPr="00610DC3">
        <w:rPr>
          <w:b/>
          <w:szCs w:val="24"/>
        </w:rPr>
        <w:t>CUARTO</w:t>
      </w:r>
      <w:r w:rsidR="00007E8A" w:rsidRPr="00610DC3">
        <w:rPr>
          <w:b/>
          <w:szCs w:val="24"/>
        </w:rPr>
        <w:t>.</w:t>
      </w:r>
      <w:r w:rsidR="00007E8A" w:rsidRPr="00610DC3">
        <w:rPr>
          <w:szCs w:val="24"/>
        </w:rPr>
        <w:t xml:space="preserve"> </w:t>
      </w:r>
      <w:bookmarkEnd w:id="52"/>
      <w:r w:rsidR="002B6755" w:rsidRPr="00610DC3">
        <w:rPr>
          <w:b/>
          <w:szCs w:val="24"/>
        </w:rPr>
        <w:t>Del estudio y resolución del asunto.</w:t>
      </w:r>
      <w:bookmarkEnd w:id="68"/>
    </w:p>
    <w:p w14:paraId="0096F3F3" w14:textId="3DE09F18" w:rsidR="00E82278" w:rsidRPr="00610DC3" w:rsidRDefault="00E82278" w:rsidP="00E82278">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610DC3">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610DC3">
        <w:rPr>
          <w:rFonts w:ascii="Palatino Linotype" w:eastAsia="Calibri" w:hAnsi="Palatino Linotype" w:cs="Arial"/>
          <w:b/>
          <w:lang w:val="es-ES" w:eastAsia="en-US"/>
        </w:rPr>
        <w:t>Ley de Transparencia y Acceso a la Información Pública del Estado de México y Municipios</w:t>
      </w:r>
      <w:r w:rsidRPr="00610DC3">
        <w:rPr>
          <w:rFonts w:ascii="Palatino Linotype" w:eastAsia="Times New Roman" w:hAnsi="Palatino Linotype" w:cs="Arial"/>
          <w:lang w:val="es-ES" w:eastAsia="es-MX"/>
        </w:rPr>
        <w:t>.</w:t>
      </w:r>
    </w:p>
    <w:p w14:paraId="11E90D05" w14:textId="77777777" w:rsidR="00E82278" w:rsidRPr="00610DC3" w:rsidRDefault="00E82278" w:rsidP="00E82278">
      <w:pPr>
        <w:spacing w:before="240" w:after="360" w:line="360" w:lineRule="auto"/>
        <w:contextualSpacing/>
        <w:jc w:val="both"/>
        <w:rPr>
          <w:rFonts w:ascii="Palatino Linotype" w:eastAsia="MS Mincho" w:hAnsi="Palatino Linotype" w:cs="Arial"/>
          <w:i/>
          <w:lang w:val="es-MX"/>
        </w:rPr>
      </w:pPr>
    </w:p>
    <w:p w14:paraId="3A195ED6" w14:textId="77777777" w:rsidR="00E82278" w:rsidRPr="00610DC3" w:rsidRDefault="00E82278" w:rsidP="00E82278">
      <w:pPr>
        <w:numPr>
          <w:ilvl w:val="0"/>
          <w:numId w:val="1"/>
        </w:numPr>
        <w:spacing w:before="240" w:after="360" w:line="360" w:lineRule="auto"/>
        <w:ind w:left="0" w:firstLine="0"/>
        <w:contextualSpacing/>
        <w:jc w:val="both"/>
        <w:rPr>
          <w:rFonts w:ascii="Palatino Linotype" w:eastAsia="Times New Roman" w:hAnsi="Palatino Linotype" w:cs="Arial"/>
          <w:lang w:val="es-ES" w:eastAsia="en-US"/>
        </w:rPr>
      </w:pPr>
      <w:r w:rsidRPr="00610DC3">
        <w:rPr>
          <w:rFonts w:ascii="Palatino Linotype" w:eastAsia="Calibri" w:hAnsi="Palatino Linotype" w:cs="Times New Roman"/>
          <w:lang w:val="es-MX" w:eastAsia="en-US"/>
        </w:rPr>
        <w:t>Así las cosas es pertinente mencionar que</w:t>
      </w:r>
      <w:r w:rsidRPr="00610DC3">
        <w:rPr>
          <w:rFonts w:ascii="Palatino Linotype" w:eastAsia="Times New Roman" w:hAnsi="Palatino Linotype" w:cs="Arial"/>
          <w:lang w:val="es-ES" w:eastAsia="en-US"/>
        </w:rPr>
        <w:t xml:space="preserve">, </w:t>
      </w:r>
      <w:r w:rsidRPr="00610DC3">
        <w:rPr>
          <w:rFonts w:ascii="Palatino Linotype" w:eastAsia="Calibri" w:hAnsi="Palatino Linotype" w:cs="Arial"/>
          <w:color w:val="000000"/>
          <w:lang w:val="es-MX" w:eastAsia="en-US"/>
        </w:rPr>
        <w:t xml:space="preserve">el artículo 18 de Ley de Transparencia y Acceso a la Información Pública del Estado de México y Municipios establece que los Sujetos Obligados tienen el ineludible compromiso de documentar </w:t>
      </w:r>
      <w:r w:rsidRPr="00610DC3">
        <w:rPr>
          <w:rFonts w:ascii="Palatino Linotype" w:eastAsia="Calibri" w:hAnsi="Palatino Linotype" w:cs="Arial"/>
          <w:color w:val="000000"/>
          <w:lang w:val="es-MX" w:eastAsia="en-US"/>
        </w:rPr>
        <w:lastRenderedPageBreak/>
        <w:t>todos los actos que deriven de sus atribuciones, funciones y competencias considerando desde su origen la eventual publicidad de la información como a continuación se observa:</w:t>
      </w:r>
    </w:p>
    <w:p w14:paraId="7A57FC00" w14:textId="77777777" w:rsidR="00E82278" w:rsidRPr="00610DC3" w:rsidRDefault="00E82278" w:rsidP="00E82278">
      <w:pPr>
        <w:widowControl w:val="0"/>
        <w:autoSpaceDE w:val="0"/>
        <w:autoSpaceDN w:val="0"/>
        <w:adjustRightInd w:val="0"/>
        <w:spacing w:before="240" w:after="240" w:line="360" w:lineRule="auto"/>
        <w:ind w:left="567" w:right="567"/>
        <w:contextualSpacing/>
        <w:jc w:val="both"/>
        <w:rPr>
          <w:rFonts w:ascii="Palatino Linotype" w:eastAsia="Calibri" w:hAnsi="Palatino Linotype" w:cs="Times New Roman"/>
          <w:lang w:val="es-MX" w:eastAsia="es-ES_tradnl"/>
        </w:rPr>
      </w:pPr>
    </w:p>
    <w:p w14:paraId="1C6B8383" w14:textId="77777777" w:rsidR="00E82278" w:rsidRPr="00610DC3" w:rsidRDefault="00E82278" w:rsidP="00E82278">
      <w:pPr>
        <w:widowControl w:val="0"/>
        <w:autoSpaceDE w:val="0"/>
        <w:autoSpaceDN w:val="0"/>
        <w:adjustRightInd w:val="0"/>
        <w:spacing w:before="240" w:after="240" w:line="360" w:lineRule="auto"/>
        <w:ind w:left="567" w:right="567"/>
        <w:jc w:val="both"/>
        <w:rPr>
          <w:rFonts w:ascii="Palatino Linotype" w:eastAsia="Calibri" w:hAnsi="Palatino Linotype" w:cs="Times New Roman"/>
          <w:i/>
          <w:lang w:val="es-MX" w:eastAsia="es-ES_tradnl"/>
        </w:rPr>
      </w:pPr>
      <w:r w:rsidRPr="00610DC3">
        <w:rPr>
          <w:rFonts w:ascii="Palatino Linotype" w:eastAsia="Calibri" w:hAnsi="Palatino Linotype" w:cs="Times New Roman"/>
          <w:b/>
          <w:i/>
          <w:lang w:val="es-MX" w:eastAsia="es-ES_tradnl"/>
        </w:rPr>
        <w:t>“Artículo 18.</w:t>
      </w:r>
      <w:r w:rsidRPr="00610DC3">
        <w:rPr>
          <w:rFonts w:ascii="Palatino Linotype" w:eastAsia="Calibri" w:hAnsi="Palatino Linotype" w:cs="Times New Roman"/>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AF48CF6" w14:textId="77777777" w:rsidR="00E82278" w:rsidRPr="00610DC3" w:rsidRDefault="00E82278" w:rsidP="00E82278">
      <w:pPr>
        <w:widowControl w:val="0"/>
        <w:autoSpaceDE w:val="0"/>
        <w:autoSpaceDN w:val="0"/>
        <w:adjustRightInd w:val="0"/>
        <w:spacing w:before="240" w:after="240" w:line="360" w:lineRule="auto"/>
        <w:ind w:left="567" w:right="567"/>
        <w:jc w:val="both"/>
        <w:rPr>
          <w:rFonts w:ascii="Palatino Linotype" w:eastAsia="Calibri" w:hAnsi="Palatino Linotype" w:cs="Times New Roman"/>
          <w:i/>
          <w:lang w:val="es-MX" w:eastAsia="es-ES_tradnl"/>
        </w:rPr>
      </w:pPr>
    </w:p>
    <w:p w14:paraId="63A107A3" w14:textId="77777777" w:rsidR="00E82278" w:rsidRPr="00610DC3" w:rsidRDefault="00E82278" w:rsidP="00E82278">
      <w:pPr>
        <w:numPr>
          <w:ilvl w:val="0"/>
          <w:numId w:val="1"/>
        </w:numPr>
        <w:spacing w:before="240" w:after="240" w:line="360" w:lineRule="auto"/>
        <w:ind w:left="0" w:right="49" w:firstLine="0"/>
        <w:contextualSpacing/>
        <w:jc w:val="both"/>
        <w:rPr>
          <w:rFonts w:ascii="Palatino Linotype" w:eastAsia="Calibri" w:hAnsi="Palatino Linotype" w:cs="Arial"/>
          <w:lang w:val="es-MX" w:eastAsia="en-US"/>
        </w:rPr>
      </w:pPr>
      <w:r w:rsidRPr="00610DC3">
        <w:rPr>
          <w:rFonts w:ascii="Palatino Linotype" w:eastAsia="Calibri" w:hAnsi="Palatino Linotype" w:cs="Arial"/>
          <w:lang w:val="es-MX" w:eastAsia="en-US"/>
        </w:rPr>
        <w:t xml:space="preserve">Por otro lado, </w:t>
      </w:r>
      <w:r w:rsidRPr="00610DC3">
        <w:rPr>
          <w:rFonts w:ascii="Palatino Linotype" w:eastAsia="Times New Roman" w:hAnsi="Palatino Linotype" w:cs="Times New Roman"/>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610DC3">
        <w:rPr>
          <w:rFonts w:ascii="Palatino Linotype" w:eastAsia="Times New Roman" w:hAnsi="Palatino Linotype" w:cs="Times New Roman"/>
          <w:b/>
          <w:lang w:val="es-MX" w:eastAsia="es-MX"/>
        </w:rPr>
        <w:t>SUJETOS OBLIGADOS</w:t>
      </w:r>
      <w:r w:rsidRPr="00610DC3">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33AEEA42" w14:textId="77777777" w:rsidR="00E82278" w:rsidRPr="00610DC3" w:rsidRDefault="00E82278" w:rsidP="00E82278">
      <w:pPr>
        <w:spacing w:before="240" w:after="240" w:line="360" w:lineRule="auto"/>
        <w:ind w:right="49"/>
        <w:contextualSpacing/>
        <w:jc w:val="both"/>
        <w:rPr>
          <w:rFonts w:ascii="Palatino Linotype" w:eastAsia="Calibri" w:hAnsi="Palatino Linotype" w:cs="Arial"/>
          <w:lang w:val="es-MX" w:eastAsia="en-US"/>
        </w:rPr>
      </w:pPr>
    </w:p>
    <w:p w14:paraId="1C756A8D" w14:textId="00B3D002" w:rsidR="00E82278" w:rsidRPr="00610DC3" w:rsidRDefault="00E82278" w:rsidP="00B53811">
      <w:pPr>
        <w:spacing w:after="160" w:line="360" w:lineRule="auto"/>
        <w:ind w:left="567" w:right="567"/>
        <w:jc w:val="both"/>
        <w:rPr>
          <w:rFonts w:ascii="Palatino Linotype" w:eastAsia="Times New Roman" w:hAnsi="Palatino Linotype" w:cs="Times New Roman"/>
          <w:i/>
          <w:lang w:val="es-ES" w:eastAsia="en-US"/>
        </w:rPr>
      </w:pPr>
      <w:r w:rsidRPr="00610DC3">
        <w:rPr>
          <w:rFonts w:ascii="Palatino Linotype" w:eastAsia="Times New Roman" w:hAnsi="Palatino Linotype" w:cs="Times New Roman"/>
          <w:i/>
          <w:lang w:val="es-ES" w:eastAsia="en-US"/>
        </w:rPr>
        <w:t>“</w:t>
      </w:r>
      <w:r w:rsidRPr="00610DC3">
        <w:rPr>
          <w:rFonts w:ascii="Palatino Linotype" w:eastAsia="Times New Roman" w:hAnsi="Palatino Linotype" w:cs="Times New Roman"/>
          <w:b/>
          <w:i/>
          <w:lang w:val="es-ES" w:eastAsia="en-US"/>
        </w:rPr>
        <w:t>Artículo 4.</w:t>
      </w:r>
      <w:r w:rsidR="00B53811" w:rsidRPr="00610DC3">
        <w:rPr>
          <w:rFonts w:ascii="Palatino Linotype" w:eastAsia="Times New Roman" w:hAnsi="Palatino Linotype" w:cs="Times New Roman"/>
          <w:i/>
          <w:lang w:val="es-ES" w:eastAsia="en-US"/>
        </w:rPr>
        <w:t xml:space="preserve"> (…)</w:t>
      </w:r>
    </w:p>
    <w:p w14:paraId="1E412A51" w14:textId="1625D914" w:rsidR="00E82278" w:rsidRPr="00610DC3" w:rsidRDefault="00E82278" w:rsidP="00B53811">
      <w:pPr>
        <w:spacing w:after="160" w:line="360" w:lineRule="auto"/>
        <w:ind w:left="567" w:right="567"/>
        <w:jc w:val="both"/>
        <w:rPr>
          <w:rFonts w:ascii="Palatino Linotype" w:eastAsia="Times New Roman" w:hAnsi="Palatino Linotype" w:cs="Times New Roman"/>
          <w:i/>
          <w:lang w:val="es-ES" w:eastAsia="en-US"/>
        </w:rPr>
      </w:pPr>
      <w:r w:rsidRPr="00610DC3">
        <w:rPr>
          <w:rFonts w:ascii="Palatino Linotype" w:eastAsia="Times New Roman" w:hAnsi="Palatino Linotype" w:cs="Times New Roman"/>
          <w:b/>
          <w:i/>
          <w:lang w:val="es-ES" w:eastAsia="en-US"/>
        </w:rPr>
        <w:t>Toda la información generada, obtenida, adquirida, transformada, administrada o en posesión de los sujetos obligados es pública y accesible de manera permanente a cualquier persona,</w:t>
      </w:r>
      <w:r w:rsidRPr="00610DC3">
        <w:rPr>
          <w:rFonts w:ascii="Palatino Linotype" w:eastAsia="Times New Roman" w:hAnsi="Palatino Linotype" w:cs="Times New Roman"/>
          <w:i/>
          <w:lang w:val="es-ES" w:eastAsia="en-US"/>
        </w:rPr>
        <w:t xml:space="preserve"> en los términos y condiciones que se establezcan en los tratados internacionales de los que el Estado mexicano sea parte, en la Ley General, la presente Ley y demás disposiciones de la materia, privilegiando el </w:t>
      </w:r>
      <w:r w:rsidRPr="00610DC3">
        <w:rPr>
          <w:rFonts w:ascii="Palatino Linotype" w:eastAsia="Times New Roman" w:hAnsi="Palatino Linotype" w:cs="Times New Roman"/>
          <w:b/>
          <w:i/>
          <w:lang w:val="es-ES" w:eastAsia="en-US"/>
        </w:rPr>
        <w:t>principio de máxima publicidad</w:t>
      </w:r>
      <w:r w:rsidRPr="00610DC3">
        <w:rPr>
          <w:rFonts w:ascii="Palatino Linotype" w:eastAsia="Times New Roman" w:hAnsi="Palatino Linotype" w:cs="Times New Roman"/>
          <w:i/>
          <w:lang w:val="es-ES" w:eastAsia="en-US"/>
        </w:rPr>
        <w:t xml:space="preserve"> de la información. Solo podrá ser clasificada excepcionalmente como reservada temporalmente por </w:t>
      </w:r>
      <w:r w:rsidRPr="00610DC3">
        <w:rPr>
          <w:rFonts w:ascii="Palatino Linotype" w:eastAsia="Times New Roman" w:hAnsi="Palatino Linotype" w:cs="Times New Roman"/>
          <w:i/>
          <w:lang w:val="es-ES" w:eastAsia="en-US"/>
        </w:rPr>
        <w:lastRenderedPageBreak/>
        <w:t>razones de interés público, en los términos de las causas legítimas y estrictamente nece</w:t>
      </w:r>
      <w:r w:rsidR="00B53811" w:rsidRPr="00610DC3">
        <w:rPr>
          <w:rFonts w:ascii="Palatino Linotype" w:eastAsia="Times New Roman" w:hAnsi="Palatino Linotype" w:cs="Times New Roman"/>
          <w:i/>
          <w:lang w:val="es-ES" w:eastAsia="en-US"/>
        </w:rPr>
        <w:t>sarias previstas por esta Ley.”</w:t>
      </w:r>
    </w:p>
    <w:p w14:paraId="57055D80" w14:textId="303CFF04" w:rsidR="00E82278" w:rsidRPr="00610DC3" w:rsidRDefault="00B53811" w:rsidP="00B53811">
      <w:pPr>
        <w:spacing w:after="160" w:line="360" w:lineRule="auto"/>
        <w:ind w:left="567" w:right="567"/>
        <w:jc w:val="both"/>
        <w:rPr>
          <w:rFonts w:ascii="Palatino Linotype" w:eastAsia="Times New Roman" w:hAnsi="Palatino Linotype" w:cs="Times New Roman"/>
          <w:b/>
          <w:i/>
          <w:lang w:val="es-ES" w:eastAsia="en-US"/>
        </w:rPr>
      </w:pPr>
      <w:r w:rsidRPr="00610DC3">
        <w:rPr>
          <w:rFonts w:ascii="Palatino Linotype" w:eastAsia="Times New Roman" w:hAnsi="Palatino Linotype" w:cs="Times New Roman"/>
          <w:b/>
          <w:i/>
          <w:lang w:val="es-ES" w:eastAsia="en-US"/>
        </w:rPr>
        <w:t>(…)</w:t>
      </w:r>
    </w:p>
    <w:p w14:paraId="664C9FED" w14:textId="0D3F9A3F" w:rsidR="00E82278" w:rsidRPr="00610DC3" w:rsidRDefault="00B53811" w:rsidP="00B53811">
      <w:pPr>
        <w:spacing w:after="160" w:line="360" w:lineRule="auto"/>
        <w:ind w:left="567" w:right="567"/>
        <w:jc w:val="both"/>
        <w:rPr>
          <w:rFonts w:ascii="Palatino Linotype" w:eastAsia="Times New Roman" w:hAnsi="Palatino Linotype" w:cs="Times New Roman"/>
          <w:i/>
          <w:lang w:val="es-ES" w:eastAsia="en-US"/>
        </w:rPr>
      </w:pPr>
      <w:r w:rsidRPr="00610DC3">
        <w:rPr>
          <w:rFonts w:ascii="Palatino Linotype" w:eastAsia="Times New Roman" w:hAnsi="Palatino Linotype" w:cs="Times New Roman"/>
          <w:i/>
          <w:lang w:val="es-ES" w:eastAsia="en-US"/>
        </w:rPr>
        <w:t>(Énfasis añadido)</w:t>
      </w:r>
    </w:p>
    <w:p w14:paraId="24A03312" w14:textId="77777777" w:rsidR="00E82278" w:rsidRPr="00610DC3" w:rsidRDefault="00E82278" w:rsidP="00E82278">
      <w:pPr>
        <w:numPr>
          <w:ilvl w:val="0"/>
          <w:numId w:val="1"/>
        </w:numPr>
        <w:spacing w:before="240" w:after="240" w:line="360" w:lineRule="auto"/>
        <w:ind w:left="0" w:right="49" w:firstLine="0"/>
        <w:contextualSpacing/>
        <w:jc w:val="both"/>
        <w:rPr>
          <w:rFonts w:ascii="Palatino Linotype" w:eastAsia="Calibri" w:hAnsi="Palatino Linotype" w:cs="Arial"/>
          <w:lang w:val="es-MX" w:eastAsia="en-US"/>
        </w:rPr>
      </w:pPr>
      <w:r w:rsidRPr="00610DC3">
        <w:rPr>
          <w:rFonts w:ascii="Palatino Linotype" w:eastAsia="Calibri" w:hAnsi="Palatino Linotype" w:cs="Arial"/>
          <w:lang w:val="es-MX" w:eastAsia="en-US"/>
        </w:rPr>
        <w:t xml:space="preserve">En ese sentido, no debe de pasar de vista para el </w:t>
      </w:r>
      <w:r w:rsidRPr="00610DC3">
        <w:rPr>
          <w:rFonts w:ascii="Palatino Linotype" w:eastAsia="Calibri" w:hAnsi="Palatino Linotype" w:cs="Arial"/>
          <w:b/>
          <w:lang w:val="es-MX" w:eastAsia="en-US"/>
        </w:rPr>
        <w:t>SUJETO OBLIGADO</w:t>
      </w:r>
      <w:r w:rsidRPr="00610DC3">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30D40990" w14:textId="77777777" w:rsidR="00E82278" w:rsidRPr="00610DC3" w:rsidRDefault="00E82278" w:rsidP="00E82278">
      <w:pPr>
        <w:spacing w:before="240" w:after="240" w:line="360" w:lineRule="auto"/>
        <w:ind w:left="567" w:right="567"/>
        <w:contextualSpacing/>
        <w:jc w:val="both"/>
        <w:rPr>
          <w:rFonts w:ascii="Palatino Linotype" w:eastAsia="Calibri" w:hAnsi="Palatino Linotype" w:cs="Arial"/>
          <w:lang w:val="es-MX" w:eastAsia="en-US"/>
        </w:rPr>
      </w:pPr>
    </w:p>
    <w:p w14:paraId="517FB2DA" w14:textId="77777777" w:rsidR="00E82278" w:rsidRPr="00610DC3" w:rsidRDefault="00E82278" w:rsidP="00E82278">
      <w:pPr>
        <w:spacing w:after="160" w:line="360" w:lineRule="auto"/>
        <w:ind w:left="567" w:right="567"/>
        <w:jc w:val="both"/>
        <w:rPr>
          <w:rFonts w:ascii="Palatino Linotype" w:eastAsia="Calibri" w:hAnsi="Palatino Linotype" w:cs="Times New Roman"/>
          <w:i/>
          <w:lang w:val="es-MX" w:eastAsia="en-US"/>
        </w:rPr>
      </w:pPr>
      <w:r w:rsidRPr="00610DC3">
        <w:rPr>
          <w:rFonts w:ascii="Palatino Linotype" w:eastAsia="Calibri" w:hAnsi="Palatino Linotype" w:cs="Times New Roman"/>
          <w:i/>
          <w:lang w:val="es-MX" w:eastAsia="en-US"/>
        </w:rPr>
        <w:t>“</w:t>
      </w:r>
      <w:r w:rsidRPr="00610DC3">
        <w:rPr>
          <w:rFonts w:ascii="Palatino Linotype" w:eastAsia="Calibri" w:hAnsi="Palatino Linotype" w:cs="Times New Roman"/>
          <w:b/>
          <w:i/>
          <w:lang w:val="es-MX" w:eastAsia="en-US"/>
        </w:rPr>
        <w:t>Artículo 8.</w:t>
      </w:r>
      <w:r w:rsidRPr="00610DC3">
        <w:rPr>
          <w:rFonts w:ascii="Palatino Linotype" w:eastAsia="Calibri" w:hAnsi="Palatino Linotype" w:cs="Times New Roman"/>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AFD315C" w14:textId="77777777" w:rsidR="00E82278" w:rsidRPr="00610DC3" w:rsidRDefault="00E82278" w:rsidP="00E82278">
      <w:pPr>
        <w:spacing w:after="160" w:line="360" w:lineRule="auto"/>
        <w:ind w:left="567" w:right="567"/>
        <w:jc w:val="both"/>
        <w:rPr>
          <w:rFonts w:ascii="Palatino Linotype" w:eastAsia="Calibri" w:hAnsi="Palatino Linotype" w:cs="Times New Roman"/>
          <w:i/>
          <w:lang w:val="es-MX" w:eastAsia="en-US"/>
        </w:rPr>
      </w:pPr>
    </w:p>
    <w:p w14:paraId="4E5B59EF" w14:textId="77777777" w:rsidR="00E82278" w:rsidRPr="00610DC3" w:rsidRDefault="00E82278" w:rsidP="00E82278">
      <w:pPr>
        <w:spacing w:after="160" w:line="360" w:lineRule="auto"/>
        <w:ind w:left="567" w:right="567"/>
        <w:jc w:val="both"/>
        <w:rPr>
          <w:rFonts w:ascii="Palatino Linotype" w:eastAsia="Calibri" w:hAnsi="Palatino Linotype" w:cs="Times New Roman"/>
          <w:i/>
          <w:lang w:val="es-MX" w:eastAsia="en-US"/>
        </w:rPr>
      </w:pPr>
      <w:r w:rsidRPr="00610DC3">
        <w:rPr>
          <w:rFonts w:ascii="Palatino Linotype" w:eastAsia="Calibri" w:hAnsi="Palatino Linotype" w:cs="Times New Roman"/>
          <w:b/>
          <w:i/>
          <w:lang w:val="es-MX" w:eastAsia="en-US"/>
        </w:rPr>
        <w:t>En la aplicación e interpretación de la presente Ley deberá prevalecer el principio de máxima publicidad,</w:t>
      </w:r>
      <w:r w:rsidRPr="00610DC3">
        <w:rPr>
          <w:rFonts w:ascii="Palatino Linotype" w:eastAsia="Calibri" w:hAnsi="Palatino Linotype" w:cs="Times New Roman"/>
          <w:i/>
          <w:lang w:val="es-MX" w:eastAsia="en-US"/>
        </w:rPr>
        <w:t xml:space="preserve"> conforme a lo dispuesto en la Constitución Federal, en los tratados internacionales de los que el Estado mexicano sea parte, </w:t>
      </w:r>
      <w:r w:rsidRPr="00610DC3">
        <w:rPr>
          <w:rFonts w:ascii="Palatino Linotype" w:eastAsia="Calibri" w:hAnsi="Palatino Linotype" w:cs="Times New Roman"/>
          <w:i/>
          <w:lang w:val="es-MX" w:eastAsia="en-US"/>
        </w:rPr>
        <w:lastRenderedPageBreak/>
        <w:t>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195F28E" w14:textId="77777777" w:rsidR="00E82278" w:rsidRPr="00610DC3" w:rsidRDefault="00E82278" w:rsidP="00E82278">
      <w:pPr>
        <w:spacing w:after="160" w:line="360" w:lineRule="auto"/>
        <w:ind w:left="567" w:right="567"/>
        <w:jc w:val="both"/>
        <w:rPr>
          <w:rFonts w:ascii="Palatino Linotype" w:eastAsia="Calibri" w:hAnsi="Palatino Linotype" w:cs="Times New Roman"/>
          <w:i/>
          <w:lang w:val="es-MX" w:eastAsia="en-US"/>
        </w:rPr>
      </w:pPr>
    </w:p>
    <w:p w14:paraId="1086E511" w14:textId="77777777" w:rsidR="00E82278" w:rsidRPr="00610DC3" w:rsidRDefault="00E82278" w:rsidP="00E82278">
      <w:pPr>
        <w:spacing w:after="160" w:line="360" w:lineRule="auto"/>
        <w:ind w:left="567" w:right="567"/>
        <w:jc w:val="both"/>
        <w:rPr>
          <w:rFonts w:ascii="Palatino Linotype" w:eastAsia="Calibri" w:hAnsi="Palatino Linotype" w:cs="Times New Roman"/>
          <w:i/>
          <w:lang w:val="es-MX" w:eastAsia="en-US"/>
        </w:rPr>
      </w:pPr>
      <w:r w:rsidRPr="00610DC3">
        <w:rPr>
          <w:rFonts w:ascii="Palatino Linotype" w:eastAsia="Calibri" w:hAnsi="Palatino Linotype" w:cs="Times New Roman"/>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20E687D" w14:textId="77777777" w:rsidR="00E82278" w:rsidRPr="00610DC3" w:rsidRDefault="00E82278" w:rsidP="00E82278">
      <w:pPr>
        <w:spacing w:after="160" w:line="360" w:lineRule="auto"/>
        <w:ind w:left="567" w:right="567"/>
        <w:jc w:val="both"/>
        <w:rPr>
          <w:rFonts w:ascii="Palatino Linotype" w:eastAsia="Calibri" w:hAnsi="Palatino Linotype" w:cs="Times New Roman"/>
          <w:i/>
          <w:lang w:val="es-MX" w:eastAsia="en-US"/>
        </w:rPr>
      </w:pPr>
    </w:p>
    <w:p w14:paraId="1DCB3670" w14:textId="77777777" w:rsidR="00E82278" w:rsidRPr="00610DC3" w:rsidRDefault="00E82278" w:rsidP="00E82278">
      <w:pPr>
        <w:spacing w:after="160" w:line="360" w:lineRule="auto"/>
        <w:ind w:left="567" w:right="567"/>
        <w:jc w:val="both"/>
        <w:rPr>
          <w:rFonts w:ascii="Palatino Linotype" w:eastAsia="Calibri" w:hAnsi="Palatino Linotype" w:cs="Times New Roman"/>
          <w:i/>
          <w:lang w:val="es-MX" w:eastAsia="en-US"/>
        </w:rPr>
      </w:pPr>
      <w:r w:rsidRPr="00610DC3">
        <w:rPr>
          <w:rFonts w:ascii="Palatino Linotype" w:eastAsia="Calibri" w:hAnsi="Palatino Linotype" w:cs="Times New Roman"/>
          <w:i/>
          <w:lang w:val="es-MX" w:eastAsia="en-US"/>
        </w:rPr>
        <w:t>(Énfasis añadido)</w:t>
      </w:r>
    </w:p>
    <w:p w14:paraId="17F434EA" w14:textId="77777777" w:rsidR="00E82278" w:rsidRPr="00610DC3" w:rsidRDefault="00E82278" w:rsidP="00E82278">
      <w:pPr>
        <w:spacing w:after="160" w:line="360" w:lineRule="auto"/>
        <w:ind w:left="567" w:right="567"/>
        <w:jc w:val="both"/>
        <w:rPr>
          <w:rFonts w:ascii="Palatino Linotype" w:eastAsia="Calibri" w:hAnsi="Palatino Linotype" w:cs="Times New Roman"/>
          <w:i/>
          <w:lang w:val="es-MX" w:eastAsia="en-US"/>
        </w:rPr>
      </w:pPr>
    </w:p>
    <w:p w14:paraId="0E9EC0C3" w14:textId="77777777" w:rsidR="00E82278" w:rsidRPr="00610DC3" w:rsidRDefault="00E82278" w:rsidP="00E82278">
      <w:pPr>
        <w:numPr>
          <w:ilvl w:val="0"/>
          <w:numId w:val="1"/>
        </w:numPr>
        <w:spacing w:before="240" w:after="240" w:line="360" w:lineRule="auto"/>
        <w:ind w:left="0" w:right="49" w:firstLine="0"/>
        <w:contextualSpacing/>
        <w:jc w:val="both"/>
        <w:rPr>
          <w:rFonts w:ascii="Palatino Linotype" w:eastAsia="MS Mincho" w:hAnsi="Palatino Linotype" w:cs="Arial"/>
          <w:lang w:val="es-MX" w:eastAsia="en-US"/>
        </w:rPr>
      </w:pPr>
      <w:r w:rsidRPr="00610DC3">
        <w:rPr>
          <w:rFonts w:ascii="Palatino Linotype" w:eastAsia="MS Mincho" w:hAnsi="Palatino Linotype" w:cs="Times New Roman"/>
          <w:lang w:val="es-MX" w:eastAsia="en-US"/>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7B55C4D0" w14:textId="77777777" w:rsidR="00E82278" w:rsidRPr="00610DC3" w:rsidRDefault="00E82278" w:rsidP="00E82278">
      <w:pPr>
        <w:spacing w:before="240" w:after="240" w:line="360" w:lineRule="auto"/>
        <w:ind w:right="567"/>
        <w:contextualSpacing/>
        <w:jc w:val="both"/>
        <w:rPr>
          <w:rFonts w:ascii="Palatino Linotype" w:eastAsia="MS Mincho" w:hAnsi="Palatino Linotype" w:cs="Arial"/>
          <w:lang w:val="es-MX" w:eastAsia="en-US"/>
        </w:rPr>
      </w:pPr>
    </w:p>
    <w:p w14:paraId="246C66CF" w14:textId="77777777" w:rsidR="00E82278" w:rsidRPr="00610DC3" w:rsidRDefault="00E82278" w:rsidP="00E82278">
      <w:pPr>
        <w:spacing w:before="240" w:after="240" w:line="360" w:lineRule="auto"/>
        <w:ind w:left="567" w:right="567"/>
        <w:contextualSpacing/>
        <w:jc w:val="both"/>
        <w:rPr>
          <w:rFonts w:ascii="Palatino Linotype" w:eastAsia="Calibri" w:hAnsi="Palatino Linotype" w:cs="Times New Roman"/>
          <w:i/>
          <w:lang w:val="es-MX" w:eastAsia="en-US"/>
        </w:rPr>
      </w:pPr>
      <w:r w:rsidRPr="00610DC3">
        <w:rPr>
          <w:rFonts w:ascii="Palatino Linotype" w:eastAsia="Calibri" w:hAnsi="Palatino Linotype" w:cs="Times New Roman"/>
          <w:i/>
          <w:lang w:val="es-MX" w:eastAsia="en-US"/>
        </w:rPr>
        <w:t>“</w:t>
      </w:r>
      <w:r w:rsidRPr="00610DC3">
        <w:rPr>
          <w:rFonts w:ascii="Palatino Linotype" w:eastAsia="Calibri" w:hAnsi="Palatino Linotype" w:cs="Times New Roman"/>
          <w:b/>
          <w:i/>
          <w:lang w:val="es-MX" w:eastAsia="en-US"/>
        </w:rPr>
        <w:t>Artículo 12.</w:t>
      </w:r>
      <w:r w:rsidRPr="00610DC3">
        <w:rPr>
          <w:rFonts w:ascii="Palatino Linotype" w:eastAsia="Calibri" w:hAnsi="Palatino Linotype" w:cs="Times New Roman"/>
          <w:i/>
          <w:lang w:val="es-MX" w:eastAsia="en-US"/>
        </w:rPr>
        <w:t xml:space="preserve"> Quienes generen, recopilen, administren, manejen, procesen, archiven o conserven información pública serán responsables de la misma en los términos de las disposiciones jurídicas aplicables. </w:t>
      </w:r>
    </w:p>
    <w:p w14:paraId="6DB0E7CA" w14:textId="77777777" w:rsidR="00E82278" w:rsidRPr="00610DC3" w:rsidRDefault="00E82278" w:rsidP="00E82278">
      <w:pPr>
        <w:spacing w:before="240" w:after="240" w:line="360" w:lineRule="auto"/>
        <w:ind w:left="567" w:right="567"/>
        <w:contextualSpacing/>
        <w:jc w:val="both"/>
        <w:rPr>
          <w:rFonts w:ascii="Palatino Linotype" w:eastAsia="Calibri" w:hAnsi="Palatino Linotype" w:cs="Times New Roman"/>
          <w:i/>
          <w:lang w:val="es-MX" w:eastAsia="en-US"/>
        </w:rPr>
      </w:pPr>
    </w:p>
    <w:p w14:paraId="36B9335C" w14:textId="77777777" w:rsidR="00E82278" w:rsidRPr="00610DC3" w:rsidRDefault="00E82278" w:rsidP="00E82278">
      <w:pPr>
        <w:spacing w:before="240" w:after="240" w:line="360" w:lineRule="auto"/>
        <w:ind w:left="567" w:right="567"/>
        <w:contextualSpacing/>
        <w:jc w:val="both"/>
        <w:rPr>
          <w:rFonts w:ascii="Palatino Linotype" w:eastAsia="Times New Roman" w:hAnsi="Palatino Linotype" w:cs="Arial"/>
          <w:i/>
          <w:lang w:val="es-MX" w:eastAsia="es-MX"/>
        </w:rPr>
      </w:pPr>
      <w:r w:rsidRPr="00610DC3">
        <w:rPr>
          <w:rFonts w:ascii="Palatino Linotype" w:eastAsia="Calibri" w:hAnsi="Palatino Linotype" w:cs="Times New Roman"/>
          <w:i/>
          <w:lang w:val="es-MX" w:eastAsia="en-US"/>
        </w:rPr>
        <w:t xml:space="preserve">Los sujetos obligados sólo proporcionarán la información pública que se les requiera y que obre en sus archivos y en el estado en que ésta se encuentre. La </w:t>
      </w:r>
      <w:r w:rsidRPr="00610DC3">
        <w:rPr>
          <w:rFonts w:ascii="Palatino Linotype" w:eastAsia="Calibri" w:hAnsi="Palatino Linotype" w:cs="Times New Roman"/>
          <w:i/>
          <w:lang w:val="es-MX" w:eastAsia="en-US"/>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79F41760" w14:textId="77777777" w:rsidR="00E82278" w:rsidRPr="00610DC3" w:rsidRDefault="00E82278" w:rsidP="00E82278">
      <w:pPr>
        <w:spacing w:after="160" w:line="360" w:lineRule="auto"/>
        <w:ind w:left="851" w:right="616"/>
        <w:contextualSpacing/>
        <w:jc w:val="both"/>
        <w:rPr>
          <w:rFonts w:ascii="Palatino Linotype" w:eastAsia="Times New Roman" w:hAnsi="Palatino Linotype" w:cs="Arial"/>
          <w:i/>
          <w:lang w:val="es-MX" w:eastAsia="gl-ES"/>
        </w:rPr>
      </w:pPr>
    </w:p>
    <w:p w14:paraId="2431BE9B" w14:textId="77777777" w:rsidR="00E82278" w:rsidRPr="00610DC3" w:rsidRDefault="00E82278" w:rsidP="00E82278">
      <w:pPr>
        <w:numPr>
          <w:ilvl w:val="0"/>
          <w:numId w:val="1"/>
        </w:numPr>
        <w:spacing w:after="160" w:line="360" w:lineRule="auto"/>
        <w:ind w:left="0" w:firstLine="0"/>
        <w:contextualSpacing/>
        <w:jc w:val="both"/>
        <w:rPr>
          <w:rFonts w:ascii="Palatino Linotype" w:eastAsia="MS Mincho" w:hAnsi="Palatino Linotype" w:cs="Times New Roman"/>
          <w:lang w:val="es-MX" w:eastAsia="en-US"/>
        </w:rPr>
      </w:pPr>
      <w:r w:rsidRPr="00610DC3">
        <w:rPr>
          <w:rFonts w:ascii="Palatino Linotype" w:eastAsia="Calibri" w:hAnsi="Palatino Linotype" w:cs="Arial"/>
          <w:bCs/>
          <w:lang w:val="es-MX" w:eastAsia="en-US"/>
        </w:rPr>
        <w:t xml:space="preserve">Además, </w:t>
      </w:r>
      <w:r w:rsidRPr="00610DC3">
        <w:rPr>
          <w:rFonts w:ascii="Palatino Linotype" w:eastAsia="Times New Roman"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369F62F" w14:textId="77777777" w:rsidR="00E82278" w:rsidRPr="00610DC3" w:rsidRDefault="00E82278" w:rsidP="00E82278">
      <w:pPr>
        <w:spacing w:before="240" w:after="240" w:line="360" w:lineRule="auto"/>
        <w:ind w:left="567" w:right="616"/>
        <w:contextualSpacing/>
        <w:jc w:val="both"/>
        <w:rPr>
          <w:rFonts w:ascii="Palatino Linotype" w:eastAsia="MS Mincho" w:hAnsi="Palatino Linotype" w:cs="Arial"/>
          <w:b/>
          <w:lang w:val="es-MX" w:eastAsia="en-US"/>
        </w:rPr>
      </w:pPr>
    </w:p>
    <w:p w14:paraId="3316338E" w14:textId="77777777" w:rsidR="00E82278" w:rsidRPr="00610DC3" w:rsidRDefault="00E82278" w:rsidP="00E82278">
      <w:pPr>
        <w:spacing w:before="240" w:after="240" w:line="360" w:lineRule="auto"/>
        <w:ind w:left="567" w:right="616"/>
        <w:contextualSpacing/>
        <w:jc w:val="both"/>
        <w:rPr>
          <w:rFonts w:ascii="Palatino Linotype" w:eastAsia="MS Mincho" w:hAnsi="Palatino Linotype" w:cs="Arial"/>
          <w:b/>
          <w:i/>
          <w:lang w:val="es-MX" w:eastAsia="en-US"/>
        </w:rPr>
      </w:pPr>
      <w:r w:rsidRPr="00610DC3">
        <w:rPr>
          <w:rFonts w:ascii="Palatino Linotype" w:eastAsia="MS Mincho" w:hAnsi="Palatino Linotype" w:cs="Arial"/>
          <w:b/>
          <w:i/>
          <w:lang w:val="es-MX" w:eastAsia="en-US"/>
        </w:rPr>
        <w:t>IV. Los ayuntamientos y las dependencias, organismos, órganos y entidades de la administración municipal;</w:t>
      </w:r>
    </w:p>
    <w:p w14:paraId="22D0A1AB" w14:textId="77777777" w:rsidR="00E82278" w:rsidRPr="00610DC3" w:rsidRDefault="00E82278" w:rsidP="00E82278">
      <w:pPr>
        <w:spacing w:before="240" w:after="240" w:line="360" w:lineRule="auto"/>
        <w:ind w:left="567" w:right="616"/>
        <w:contextualSpacing/>
        <w:jc w:val="both"/>
        <w:rPr>
          <w:rFonts w:ascii="Palatino Linotype" w:eastAsia="MS Mincho" w:hAnsi="Palatino Linotype" w:cs="Arial"/>
          <w:b/>
          <w:i/>
          <w:lang w:val="es-MX" w:eastAsia="en-US"/>
        </w:rPr>
      </w:pPr>
    </w:p>
    <w:p w14:paraId="5C989D0D" w14:textId="3839E2A4" w:rsidR="00E50D7C" w:rsidRPr="00610DC3" w:rsidRDefault="00E82278" w:rsidP="00E82278">
      <w:pPr>
        <w:numPr>
          <w:ilvl w:val="0"/>
          <w:numId w:val="1"/>
        </w:numPr>
        <w:spacing w:before="240" w:after="240" w:line="360" w:lineRule="auto"/>
        <w:ind w:left="0" w:right="616" w:firstLine="0"/>
        <w:contextualSpacing/>
        <w:jc w:val="both"/>
        <w:rPr>
          <w:rFonts w:ascii="Palatino Linotype" w:eastAsia="MS Mincho" w:hAnsi="Palatino Linotype" w:cs="Arial"/>
          <w:lang w:val="es-ES" w:eastAsia="en-US"/>
        </w:rPr>
      </w:pPr>
      <w:r w:rsidRPr="00610DC3">
        <w:rPr>
          <w:rFonts w:ascii="Palatino Linotype" w:eastAsia="MS Mincho" w:hAnsi="Palatino Linotype" w:cs="Arial"/>
          <w:lang w:val="es-MX" w:eastAsia="en-US"/>
        </w:rPr>
        <w:t>En efecto,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D5250A6" w14:textId="77777777" w:rsidR="00DD3B59" w:rsidRPr="00610DC3" w:rsidRDefault="00DD3B59" w:rsidP="00DD3B59">
      <w:pPr>
        <w:spacing w:before="240" w:after="240" w:line="360" w:lineRule="auto"/>
        <w:ind w:right="616"/>
        <w:contextualSpacing/>
        <w:jc w:val="both"/>
        <w:rPr>
          <w:rFonts w:ascii="Palatino Linotype" w:eastAsia="MS Mincho" w:hAnsi="Palatino Linotype" w:cs="Arial"/>
          <w:lang w:val="es-ES" w:eastAsia="en-US"/>
        </w:rPr>
      </w:pPr>
    </w:p>
    <w:p w14:paraId="707FD496" w14:textId="5FC4ED76" w:rsidR="00DD3B59" w:rsidRPr="00610DC3" w:rsidRDefault="00DD3B59" w:rsidP="00DD3B59">
      <w:pPr>
        <w:pStyle w:val="Ttulo1"/>
        <w:numPr>
          <w:ilvl w:val="0"/>
          <w:numId w:val="36"/>
        </w:numPr>
        <w:ind w:left="0" w:firstLine="0"/>
        <w:rPr>
          <w:b/>
        </w:rPr>
      </w:pPr>
      <w:bookmarkStart w:id="69" w:name="_Toc53009724"/>
      <w:r w:rsidRPr="00610DC3">
        <w:rPr>
          <w:b/>
        </w:rPr>
        <w:t>De las respuestas otorgadas.</w:t>
      </w:r>
      <w:bookmarkEnd w:id="69"/>
      <w:r w:rsidRPr="00610DC3">
        <w:rPr>
          <w:b/>
        </w:rPr>
        <w:t xml:space="preserve"> </w:t>
      </w:r>
    </w:p>
    <w:p w14:paraId="79B91B1E" w14:textId="77777777" w:rsidR="00DD3B59" w:rsidRPr="00610DC3" w:rsidRDefault="00DD3B59" w:rsidP="00DD3B59">
      <w:pPr>
        <w:rPr>
          <w:lang w:val="es-MX" w:eastAsia="en-US"/>
        </w:rPr>
      </w:pPr>
    </w:p>
    <w:p w14:paraId="12A39F90" w14:textId="3CA349E3" w:rsidR="009621AA" w:rsidRPr="00610DC3" w:rsidRDefault="00E82278" w:rsidP="00E82278">
      <w:pPr>
        <w:pStyle w:val="Prrafodelista"/>
        <w:numPr>
          <w:ilvl w:val="0"/>
          <w:numId w:val="1"/>
        </w:numPr>
        <w:spacing w:before="240" w:after="240" w:line="360" w:lineRule="auto"/>
        <w:ind w:left="0" w:firstLine="0"/>
        <w:jc w:val="both"/>
        <w:rPr>
          <w:rFonts w:ascii="Palatino Linotype" w:eastAsia="Calibri" w:hAnsi="Palatino Linotype" w:cs="Times New Roman"/>
        </w:rPr>
      </w:pPr>
      <w:r w:rsidRPr="00610DC3">
        <w:rPr>
          <w:rFonts w:ascii="Palatino Linotype" w:hAnsi="Palatino Linotype" w:cs="Arial"/>
          <w:lang w:val="es-MX"/>
        </w:rPr>
        <w:t>Precisado lo anterior se analizará por cuerda separada cada una de las solicitudes de información</w:t>
      </w:r>
      <w:r w:rsidRPr="00610DC3">
        <w:rPr>
          <w:rFonts w:ascii="Palatino Linotype" w:eastAsia="Calibri" w:hAnsi="Palatino Linotype" w:cs="Times New Roman"/>
        </w:rPr>
        <w:t xml:space="preserve"> por lo que </w:t>
      </w:r>
      <w:r w:rsidR="009621AA" w:rsidRPr="00610DC3">
        <w:rPr>
          <w:rFonts w:ascii="Palatino Linotype" w:eastAsia="Calibri" w:hAnsi="Palatino Linotype" w:cs="Times New Roman"/>
        </w:rPr>
        <w:t xml:space="preserve"> </w:t>
      </w:r>
      <w:r w:rsidR="009621AA" w:rsidRPr="00610DC3">
        <w:rPr>
          <w:rFonts w:ascii="Palatino Linotype" w:eastAsia="Calibri" w:hAnsi="Palatino Linotype" w:cs="Times New Roman"/>
          <w:lang w:val="es-ES" w:eastAsia="en-US"/>
        </w:rPr>
        <w:t xml:space="preserve">este Pleno considera necesario </w:t>
      </w:r>
      <w:r w:rsidR="009621AA" w:rsidRPr="00610DC3">
        <w:rPr>
          <w:rFonts w:ascii="Palatino Linotype" w:eastAsia="Calibri" w:hAnsi="Palatino Linotype" w:cs="Arial"/>
          <w:lang w:val="es-ES" w:eastAsia="en-US"/>
        </w:rPr>
        <w:t xml:space="preserve">mencionar que </w:t>
      </w:r>
      <w:r w:rsidR="009621AA" w:rsidRPr="00610DC3">
        <w:rPr>
          <w:rFonts w:ascii="Palatino Linotype" w:eastAsia="Calibri" w:hAnsi="Palatino Linotype" w:cs="Arial"/>
          <w:lang w:val="es-ES" w:eastAsia="en-US"/>
        </w:rPr>
        <w:lastRenderedPageBreak/>
        <w:t xml:space="preserve">por cuestiones de técnica jurídica, así como para determinar si </w:t>
      </w:r>
      <w:r w:rsidR="009621AA" w:rsidRPr="00610DC3">
        <w:rPr>
          <w:rFonts w:ascii="Palatino Linotype" w:eastAsia="Calibri" w:hAnsi="Palatino Linotype" w:cs="Times New Roman"/>
          <w:lang w:val="es-ES" w:eastAsia="en-US"/>
        </w:rPr>
        <w:t xml:space="preserve">la información emitida en calidad de respuesta por el </w:t>
      </w:r>
      <w:r w:rsidR="009621AA" w:rsidRPr="00610DC3">
        <w:rPr>
          <w:rFonts w:ascii="Palatino Linotype" w:eastAsia="Calibri" w:hAnsi="Palatino Linotype" w:cs="Times New Roman"/>
          <w:b/>
          <w:lang w:val="es-ES" w:eastAsia="en-US"/>
        </w:rPr>
        <w:t>SUJETO OBLIGADO</w:t>
      </w:r>
      <w:r w:rsidR="009621AA" w:rsidRPr="00610DC3">
        <w:rPr>
          <w:rFonts w:ascii="Palatino Linotype" w:eastAsia="Calibri" w:hAnsi="Palatino Linotype" w:cs="Times New Roman"/>
          <w:lang w:val="es-ES" w:eastAsia="en-US"/>
        </w:rPr>
        <w:t xml:space="preserve">, atendió de manera puntual a todos y cada uno de los requerimientos formulados por el recurrente, </w:t>
      </w:r>
      <w:r w:rsidR="009621AA" w:rsidRPr="00610DC3">
        <w:rPr>
          <w:rFonts w:ascii="Palatino Linotype" w:eastAsia="Calibri" w:hAnsi="Palatino Linotype" w:cs="Times New Roman"/>
          <w:color w:val="000000"/>
          <w:lang w:val="es-ES" w:eastAsia="en-US"/>
        </w:rPr>
        <w:t>se considera pertinente elaborar un cuadro de análisis</w:t>
      </w:r>
      <w:r w:rsidR="009621AA" w:rsidRPr="00610DC3">
        <w:rPr>
          <w:rFonts w:ascii="Palatino Linotype" w:hAnsi="Palatino Linotype"/>
          <w:color w:val="000000"/>
          <w:vertAlign w:val="superscript"/>
          <w:lang w:val="es-ES" w:eastAsia="en-US"/>
        </w:rPr>
        <w:footnoteReference w:id="2"/>
      </w:r>
      <w:r w:rsidR="009621AA" w:rsidRPr="00610DC3">
        <w:rPr>
          <w:rFonts w:ascii="Palatino Linotype" w:eastAsia="Calibri" w:hAnsi="Palatino Linotype" w:cs="Times New Roman"/>
          <w:color w:val="000000"/>
          <w:lang w:val="es-ES" w:eastAsia="en-US"/>
        </w:rPr>
        <w:t>, mismo que se inserta a continuación:</w:t>
      </w:r>
    </w:p>
    <w:p w14:paraId="2A2D0D6A" w14:textId="77777777" w:rsidR="009621AA" w:rsidRPr="00610DC3" w:rsidRDefault="009621AA" w:rsidP="009621AA">
      <w:pPr>
        <w:spacing w:before="240" w:after="240" w:line="360" w:lineRule="auto"/>
        <w:ind w:left="360" w:right="49"/>
        <w:contextualSpacing/>
        <w:jc w:val="both"/>
        <w:rPr>
          <w:rFonts w:ascii="Palatino Linotype" w:eastAsia="Calibri" w:hAnsi="Palatino Linotype" w:cs="Arial"/>
          <w:lang w:val="es-ES" w:eastAsia="en-US"/>
        </w:rPr>
      </w:pPr>
    </w:p>
    <w:p w14:paraId="69ECC8CB" w14:textId="77777777" w:rsidR="00DD3B59" w:rsidRPr="00610DC3" w:rsidRDefault="00DD3B59" w:rsidP="009621AA">
      <w:pPr>
        <w:spacing w:before="240" w:after="240" w:line="360" w:lineRule="auto"/>
        <w:ind w:left="360" w:right="49"/>
        <w:contextualSpacing/>
        <w:jc w:val="both"/>
        <w:rPr>
          <w:rFonts w:ascii="Palatino Linotype" w:eastAsia="Calibri" w:hAnsi="Palatino Linotype" w:cs="Arial"/>
          <w:lang w:val="es-ES" w:eastAsia="en-US"/>
        </w:rPr>
      </w:pPr>
    </w:p>
    <w:tbl>
      <w:tblPr>
        <w:tblStyle w:val="Tablaconcuadrcula211"/>
        <w:tblW w:w="9073" w:type="dxa"/>
        <w:tblInd w:w="-147" w:type="dxa"/>
        <w:tblLayout w:type="fixed"/>
        <w:tblLook w:val="04A0" w:firstRow="1" w:lastRow="0" w:firstColumn="1" w:lastColumn="0" w:noHBand="0" w:noVBand="1"/>
      </w:tblPr>
      <w:tblGrid>
        <w:gridCol w:w="1135"/>
        <w:gridCol w:w="2833"/>
        <w:gridCol w:w="3545"/>
        <w:gridCol w:w="1560"/>
      </w:tblGrid>
      <w:tr w:rsidR="009621AA" w:rsidRPr="00610DC3" w14:paraId="44AED587" w14:textId="77777777" w:rsidTr="009621AA">
        <w:trPr>
          <w:trHeight w:val="581"/>
        </w:trPr>
        <w:tc>
          <w:tcPr>
            <w:tcW w:w="9073" w:type="dxa"/>
            <w:gridSpan w:val="4"/>
            <w:shd w:val="clear" w:color="auto" w:fill="auto"/>
          </w:tcPr>
          <w:p w14:paraId="0A2E1557" w14:textId="77777777" w:rsidR="009621AA" w:rsidRPr="00610DC3" w:rsidRDefault="009621AA" w:rsidP="009621AA">
            <w:pPr>
              <w:spacing w:line="360" w:lineRule="auto"/>
              <w:jc w:val="center"/>
              <w:rPr>
                <w:rFonts w:ascii="Palatino Linotype" w:hAnsi="Palatino Linotype" w:cs="Times New Roman"/>
                <w:b/>
                <w:bCs/>
                <w:sz w:val="24"/>
                <w:szCs w:val="24"/>
                <w:lang w:val="es-ES_tradnl"/>
              </w:rPr>
            </w:pPr>
          </w:p>
          <w:p w14:paraId="296938A5" w14:textId="1E3DABBC" w:rsidR="009621AA" w:rsidRPr="00610DC3" w:rsidRDefault="009621AA" w:rsidP="00287050">
            <w:pPr>
              <w:spacing w:line="360" w:lineRule="auto"/>
              <w:jc w:val="center"/>
              <w:rPr>
                <w:rFonts w:ascii="Palatino Linotype" w:hAnsi="Palatino Linotype" w:cs="Times New Roman"/>
                <w:sz w:val="24"/>
                <w:szCs w:val="24"/>
              </w:rPr>
            </w:pPr>
            <w:r w:rsidRPr="00610DC3">
              <w:rPr>
                <w:rFonts w:ascii="Palatino Linotype" w:hAnsi="Palatino Linotype" w:cs="Times New Roman"/>
                <w:b/>
                <w:bCs/>
                <w:sz w:val="24"/>
                <w:szCs w:val="24"/>
                <w:lang w:val="es-ES_tradnl"/>
              </w:rPr>
              <w:t>Solicitud</w:t>
            </w:r>
            <w:r w:rsidR="00287050" w:rsidRPr="00610DC3">
              <w:rPr>
                <w:rFonts w:ascii="Palatino Linotype" w:hAnsi="Palatino Linotype" w:cs="Times New Roman"/>
                <w:b/>
                <w:bCs/>
                <w:sz w:val="24"/>
                <w:szCs w:val="24"/>
                <w:lang w:val="es-ES_tradnl"/>
              </w:rPr>
              <w:t xml:space="preserve"> </w:t>
            </w:r>
            <w:r w:rsidR="00287050" w:rsidRPr="00610DC3">
              <w:rPr>
                <w:rFonts w:ascii="Palatino Linotype" w:hAnsi="Palatino Linotype" w:cs="Arial"/>
                <w:b/>
                <w:bCs/>
                <w:sz w:val="24"/>
                <w:szCs w:val="24"/>
                <w:lang w:val="es-ES_tradnl" w:eastAsia="es-ES"/>
              </w:rPr>
              <w:t>00297/IXTASAL/IP/2020</w:t>
            </w:r>
            <w:r w:rsidR="00E82278" w:rsidRPr="00610DC3">
              <w:rPr>
                <w:rFonts w:ascii="Palatino Linotype" w:hAnsi="Palatino Linotype" w:cs="Arial"/>
                <w:b/>
                <w:bCs/>
                <w:sz w:val="24"/>
                <w:szCs w:val="24"/>
                <w:lang w:val="es-ES_tradnl" w:eastAsia="es-ES"/>
              </w:rPr>
              <w:t>:</w:t>
            </w:r>
          </w:p>
        </w:tc>
      </w:tr>
      <w:tr w:rsidR="009621AA" w:rsidRPr="00610DC3" w14:paraId="6ED60D4F" w14:textId="77777777" w:rsidTr="009621AA">
        <w:trPr>
          <w:trHeight w:val="582"/>
        </w:trPr>
        <w:tc>
          <w:tcPr>
            <w:tcW w:w="1135" w:type="dxa"/>
            <w:shd w:val="clear" w:color="auto" w:fill="DBDBDB"/>
          </w:tcPr>
          <w:p w14:paraId="02426FBE" w14:textId="77777777" w:rsidR="009621AA" w:rsidRPr="00610DC3" w:rsidRDefault="009621AA" w:rsidP="009621AA">
            <w:pPr>
              <w:spacing w:line="360" w:lineRule="auto"/>
              <w:rPr>
                <w:rFonts w:ascii="Palatino Linotype" w:hAnsi="Palatino Linotype" w:cs="Times New Roman"/>
                <w:sz w:val="24"/>
                <w:szCs w:val="24"/>
              </w:rPr>
            </w:pPr>
          </w:p>
          <w:p w14:paraId="49C57B61"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Número</w:t>
            </w:r>
          </w:p>
        </w:tc>
        <w:tc>
          <w:tcPr>
            <w:tcW w:w="2833" w:type="dxa"/>
            <w:shd w:val="clear" w:color="auto" w:fill="DBDBDB"/>
          </w:tcPr>
          <w:p w14:paraId="381B0A4A" w14:textId="77777777" w:rsidR="009621AA" w:rsidRPr="00610DC3" w:rsidRDefault="009621AA" w:rsidP="009621AA">
            <w:pPr>
              <w:spacing w:line="360" w:lineRule="auto"/>
              <w:jc w:val="center"/>
              <w:rPr>
                <w:rFonts w:ascii="Palatino Linotype" w:hAnsi="Palatino Linotype" w:cs="Times New Roman"/>
                <w:sz w:val="24"/>
                <w:szCs w:val="24"/>
              </w:rPr>
            </w:pPr>
          </w:p>
          <w:p w14:paraId="00667F65"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Información Requerida:</w:t>
            </w:r>
          </w:p>
        </w:tc>
        <w:tc>
          <w:tcPr>
            <w:tcW w:w="3545" w:type="dxa"/>
            <w:shd w:val="clear" w:color="auto" w:fill="DBDBDB"/>
          </w:tcPr>
          <w:p w14:paraId="7731F63E" w14:textId="77777777" w:rsidR="009621AA" w:rsidRPr="00610DC3" w:rsidRDefault="009621AA" w:rsidP="009621AA">
            <w:pPr>
              <w:spacing w:line="360" w:lineRule="auto"/>
              <w:jc w:val="center"/>
              <w:rPr>
                <w:rFonts w:ascii="Palatino Linotype" w:hAnsi="Palatino Linotype" w:cs="Times New Roman"/>
                <w:sz w:val="24"/>
                <w:szCs w:val="24"/>
              </w:rPr>
            </w:pPr>
          </w:p>
          <w:p w14:paraId="52C09D56"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Información entregada:</w:t>
            </w:r>
          </w:p>
        </w:tc>
        <w:tc>
          <w:tcPr>
            <w:tcW w:w="1560" w:type="dxa"/>
            <w:shd w:val="clear" w:color="auto" w:fill="DBDBDB"/>
          </w:tcPr>
          <w:p w14:paraId="4260DB5C" w14:textId="77777777" w:rsidR="009621AA" w:rsidRPr="00610DC3" w:rsidRDefault="009621AA" w:rsidP="009621AA">
            <w:pPr>
              <w:spacing w:line="360" w:lineRule="auto"/>
              <w:jc w:val="center"/>
              <w:rPr>
                <w:rFonts w:ascii="Palatino Linotype" w:hAnsi="Palatino Linotype" w:cs="Times New Roman"/>
                <w:sz w:val="24"/>
                <w:szCs w:val="24"/>
              </w:rPr>
            </w:pPr>
          </w:p>
          <w:p w14:paraId="18CC4093"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¿Satisface la solicitud?</w:t>
            </w:r>
          </w:p>
        </w:tc>
      </w:tr>
      <w:tr w:rsidR="009621AA" w:rsidRPr="00610DC3" w14:paraId="480FB250" w14:textId="77777777" w:rsidTr="009621AA">
        <w:trPr>
          <w:trHeight w:val="1337"/>
        </w:trPr>
        <w:tc>
          <w:tcPr>
            <w:tcW w:w="1135" w:type="dxa"/>
            <w:shd w:val="clear" w:color="auto" w:fill="auto"/>
          </w:tcPr>
          <w:p w14:paraId="24C97B99" w14:textId="77777777" w:rsidR="009621AA" w:rsidRPr="00610DC3" w:rsidRDefault="009621AA" w:rsidP="009621AA">
            <w:pPr>
              <w:tabs>
                <w:tab w:val="left" w:pos="1627"/>
              </w:tabs>
              <w:spacing w:line="360" w:lineRule="auto"/>
              <w:jc w:val="center"/>
              <w:rPr>
                <w:rFonts w:ascii="Palatino Linotype" w:hAnsi="Palatino Linotype" w:cs="Times New Roman"/>
                <w:b/>
                <w:sz w:val="24"/>
                <w:szCs w:val="24"/>
              </w:rPr>
            </w:pPr>
          </w:p>
          <w:p w14:paraId="609765A3" w14:textId="77777777" w:rsidR="009621AA" w:rsidRPr="00610DC3" w:rsidRDefault="009621AA" w:rsidP="009621AA">
            <w:pPr>
              <w:tabs>
                <w:tab w:val="left" w:pos="1627"/>
              </w:tabs>
              <w:spacing w:line="360" w:lineRule="auto"/>
              <w:jc w:val="center"/>
              <w:rPr>
                <w:rFonts w:ascii="Palatino Linotype" w:hAnsi="Palatino Linotype" w:cs="Times New Roman"/>
                <w:b/>
                <w:sz w:val="24"/>
                <w:szCs w:val="24"/>
              </w:rPr>
            </w:pPr>
          </w:p>
          <w:p w14:paraId="2B22FBE0" w14:textId="77777777" w:rsidR="009621AA" w:rsidRPr="00610DC3" w:rsidRDefault="009621AA" w:rsidP="009621AA">
            <w:pPr>
              <w:tabs>
                <w:tab w:val="left" w:pos="1627"/>
              </w:tabs>
              <w:spacing w:line="360" w:lineRule="auto"/>
              <w:jc w:val="center"/>
              <w:rPr>
                <w:rFonts w:ascii="Palatino Linotype" w:hAnsi="Palatino Linotype" w:cs="Times New Roman"/>
                <w:b/>
                <w:sz w:val="24"/>
                <w:szCs w:val="24"/>
              </w:rPr>
            </w:pPr>
          </w:p>
          <w:p w14:paraId="78259C29" w14:textId="77777777" w:rsidR="009621AA" w:rsidRPr="00610DC3" w:rsidRDefault="009621AA" w:rsidP="009621AA">
            <w:pPr>
              <w:tabs>
                <w:tab w:val="left" w:pos="1627"/>
              </w:tabs>
              <w:spacing w:line="360" w:lineRule="auto"/>
              <w:jc w:val="center"/>
              <w:rPr>
                <w:rFonts w:ascii="Palatino Linotype" w:hAnsi="Palatino Linotype" w:cs="Times New Roman"/>
                <w:b/>
                <w:sz w:val="24"/>
                <w:szCs w:val="24"/>
              </w:rPr>
            </w:pPr>
          </w:p>
          <w:p w14:paraId="55E4BE4A" w14:textId="77777777" w:rsidR="009621AA" w:rsidRPr="00610DC3" w:rsidRDefault="009621AA" w:rsidP="009621AA">
            <w:pPr>
              <w:tabs>
                <w:tab w:val="left" w:pos="1627"/>
              </w:tabs>
              <w:spacing w:line="360" w:lineRule="auto"/>
              <w:jc w:val="center"/>
              <w:rPr>
                <w:rFonts w:ascii="Palatino Linotype" w:hAnsi="Palatino Linotype" w:cs="Times New Roman"/>
                <w:b/>
                <w:sz w:val="24"/>
                <w:szCs w:val="24"/>
              </w:rPr>
            </w:pPr>
          </w:p>
          <w:p w14:paraId="4364FE37" w14:textId="77777777" w:rsidR="009621AA" w:rsidRPr="00610DC3" w:rsidRDefault="009621AA" w:rsidP="009621AA">
            <w:pPr>
              <w:tabs>
                <w:tab w:val="left" w:pos="1627"/>
              </w:tabs>
              <w:spacing w:line="360" w:lineRule="auto"/>
              <w:jc w:val="center"/>
              <w:rPr>
                <w:rFonts w:ascii="Palatino Linotype" w:hAnsi="Palatino Linotype" w:cs="Times New Roman"/>
                <w:b/>
                <w:sz w:val="24"/>
                <w:szCs w:val="24"/>
              </w:rPr>
            </w:pPr>
          </w:p>
          <w:p w14:paraId="14795BF3" w14:textId="77777777" w:rsidR="009621AA" w:rsidRPr="00610DC3" w:rsidRDefault="009621AA" w:rsidP="009621AA">
            <w:pPr>
              <w:tabs>
                <w:tab w:val="left" w:pos="1627"/>
              </w:tabs>
              <w:spacing w:line="360" w:lineRule="auto"/>
              <w:jc w:val="center"/>
              <w:rPr>
                <w:rFonts w:ascii="Palatino Linotype" w:hAnsi="Palatino Linotype" w:cs="Times New Roman"/>
                <w:b/>
                <w:sz w:val="24"/>
                <w:szCs w:val="24"/>
              </w:rPr>
            </w:pPr>
            <w:r w:rsidRPr="00610DC3">
              <w:rPr>
                <w:rFonts w:ascii="Palatino Linotype" w:hAnsi="Palatino Linotype" w:cs="Times New Roman"/>
                <w:b/>
                <w:sz w:val="24"/>
                <w:szCs w:val="24"/>
              </w:rPr>
              <w:t>1</w:t>
            </w:r>
          </w:p>
        </w:tc>
        <w:tc>
          <w:tcPr>
            <w:tcW w:w="2833" w:type="dxa"/>
            <w:shd w:val="clear" w:color="auto" w:fill="auto"/>
          </w:tcPr>
          <w:p w14:paraId="376D18D9" w14:textId="77777777" w:rsidR="00AB68B6" w:rsidRPr="00610DC3" w:rsidRDefault="00AB68B6" w:rsidP="00E82278">
            <w:pPr>
              <w:spacing w:line="360" w:lineRule="auto"/>
              <w:contextualSpacing/>
              <w:jc w:val="both"/>
              <w:rPr>
                <w:rFonts w:ascii="Palatino Linotype" w:hAnsi="Palatino Linotype" w:cs="Arial"/>
                <w:bCs/>
                <w:i/>
                <w:sz w:val="24"/>
                <w:szCs w:val="24"/>
                <w:lang w:val="es-ES_tradnl" w:eastAsia="es-ES"/>
              </w:rPr>
            </w:pPr>
          </w:p>
          <w:p w14:paraId="5830E97D" w14:textId="1DAA3829" w:rsidR="009621AA" w:rsidRPr="00610DC3" w:rsidRDefault="00287050" w:rsidP="00E82278">
            <w:pPr>
              <w:spacing w:line="360" w:lineRule="auto"/>
              <w:contextualSpacing/>
              <w:jc w:val="both"/>
              <w:rPr>
                <w:rFonts w:ascii="Palatino Linotype" w:eastAsia="Times New Roman" w:hAnsi="Palatino Linotype" w:cs="Times New Roman"/>
                <w:color w:val="000000"/>
                <w:sz w:val="24"/>
                <w:szCs w:val="24"/>
              </w:rPr>
            </w:pPr>
            <w:r w:rsidRPr="00610DC3">
              <w:rPr>
                <w:rFonts w:ascii="Palatino Linotype" w:hAnsi="Palatino Linotype" w:cs="Arial"/>
                <w:bCs/>
                <w:i/>
                <w:sz w:val="24"/>
                <w:szCs w:val="24"/>
                <w:lang w:val="es-ES_tradnl" w:eastAsia="es-ES"/>
              </w:rPr>
              <w:t>“El padrón de contratistas de obra pública del Municipio.” (Sic)</w:t>
            </w:r>
          </w:p>
        </w:tc>
        <w:tc>
          <w:tcPr>
            <w:tcW w:w="3545" w:type="dxa"/>
            <w:shd w:val="clear" w:color="auto" w:fill="auto"/>
          </w:tcPr>
          <w:p w14:paraId="227B4D25" w14:textId="77777777" w:rsidR="00AB68B6" w:rsidRPr="00610DC3" w:rsidRDefault="00AB68B6" w:rsidP="00263675">
            <w:pPr>
              <w:spacing w:line="360" w:lineRule="auto"/>
              <w:jc w:val="both"/>
              <w:rPr>
                <w:rFonts w:ascii="Palatino Linotype" w:hAnsi="Palatino Linotype" w:cs="Arial"/>
                <w:b/>
                <w:bCs/>
                <w:sz w:val="24"/>
                <w:szCs w:val="24"/>
              </w:rPr>
            </w:pPr>
          </w:p>
          <w:p w14:paraId="03AF661B" w14:textId="77777777" w:rsidR="00811414" w:rsidRPr="00610DC3" w:rsidRDefault="00CE6AC4" w:rsidP="00811414">
            <w:pPr>
              <w:spacing w:before="240" w:after="240" w:line="360" w:lineRule="auto"/>
              <w:contextualSpacing/>
              <w:jc w:val="both"/>
              <w:rPr>
                <w:rFonts w:ascii="Palatino Linotype" w:hAnsi="Palatino Linotype" w:cs="Arial"/>
                <w:b/>
                <w:bCs/>
                <w:sz w:val="24"/>
                <w:szCs w:val="24"/>
              </w:rPr>
            </w:pPr>
            <w:hyperlink r:id="rId10" w:tgtFrame="_blank" w:history="1">
              <w:r w:rsidR="00811414" w:rsidRPr="00610DC3">
                <w:rPr>
                  <w:rFonts w:ascii="Palatino Linotype" w:hAnsi="Palatino Linotype" w:cs="Arial"/>
                  <w:b/>
                  <w:bCs/>
                  <w:sz w:val="24"/>
                  <w:szCs w:val="24"/>
                </w:rPr>
                <w:t>Acta de la 11va Sesión Extraordinaria.pdf</w:t>
              </w:r>
            </w:hyperlink>
            <w:r w:rsidR="00811414" w:rsidRPr="00610DC3">
              <w:rPr>
                <w:rFonts w:ascii="Palatino Linotype" w:hAnsi="Palatino Linotype" w:cs="Arial"/>
                <w:b/>
                <w:bCs/>
                <w:sz w:val="24"/>
                <w:szCs w:val="24"/>
              </w:rPr>
              <w:t xml:space="preserve">: </w:t>
            </w:r>
            <w:r w:rsidR="00811414" w:rsidRPr="00610DC3">
              <w:rPr>
                <w:rFonts w:ascii="Palatino Linotype" w:hAnsi="Palatino Linotype" w:cs="Arial"/>
                <w:bCs/>
                <w:sz w:val="24"/>
                <w:szCs w:val="24"/>
              </w:rPr>
              <w:t xml:space="preserve">Documento electrónico que en diecinueve (19) hojas contiene el </w:t>
            </w:r>
            <w:r w:rsidR="00811414" w:rsidRPr="00610DC3">
              <w:rPr>
                <w:rFonts w:ascii="Palatino Linotype" w:hAnsi="Palatino Linotype" w:cs="Arial"/>
                <w:bCs/>
                <w:i/>
                <w:sz w:val="24"/>
                <w:szCs w:val="24"/>
              </w:rPr>
              <w:t xml:space="preserve">“ACTA DE LA ONCEAVA SESIÓN EXTRAORDINARIA DEL COMITÉ DE </w:t>
            </w:r>
            <w:r w:rsidR="00811414" w:rsidRPr="00610DC3">
              <w:rPr>
                <w:rFonts w:ascii="Palatino Linotype" w:hAnsi="Palatino Linotype" w:cs="Arial"/>
                <w:bCs/>
                <w:i/>
                <w:sz w:val="24"/>
                <w:szCs w:val="24"/>
              </w:rPr>
              <w:lastRenderedPageBreak/>
              <w:t xml:space="preserve">TRANSPARENCIA DEL 15 DE JUNIO DE 2020” </w:t>
            </w:r>
            <w:r w:rsidR="00811414" w:rsidRPr="00610DC3">
              <w:rPr>
                <w:rFonts w:ascii="Palatino Linotype" w:hAnsi="Palatino Linotype" w:cs="Arial"/>
                <w:bCs/>
                <w:sz w:val="24"/>
                <w:szCs w:val="24"/>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775D7FC1" w14:textId="74A08063" w:rsidR="00AB68B6" w:rsidRPr="00610DC3" w:rsidRDefault="00AB68B6" w:rsidP="00EA2332">
            <w:pPr>
              <w:spacing w:line="360" w:lineRule="auto"/>
              <w:jc w:val="both"/>
              <w:rPr>
                <w:rFonts w:ascii="Palatino Linotype" w:eastAsiaTheme="minorEastAsia" w:hAnsi="Palatino Linotype"/>
                <w:color w:val="000000" w:themeColor="text1"/>
                <w:sz w:val="24"/>
                <w:szCs w:val="24"/>
                <w:lang w:val="es-ES_tradnl" w:eastAsia="es-ES"/>
              </w:rPr>
            </w:pPr>
          </w:p>
        </w:tc>
        <w:tc>
          <w:tcPr>
            <w:tcW w:w="1560" w:type="dxa"/>
            <w:shd w:val="clear" w:color="auto" w:fill="auto"/>
          </w:tcPr>
          <w:p w14:paraId="58FB0DE4" w14:textId="77777777" w:rsidR="009621AA" w:rsidRPr="00610DC3" w:rsidRDefault="009621AA" w:rsidP="009621AA">
            <w:pPr>
              <w:spacing w:line="360" w:lineRule="auto"/>
              <w:jc w:val="center"/>
              <w:rPr>
                <w:rFonts w:ascii="Palatino Linotype" w:hAnsi="Palatino Linotype" w:cs="Times New Roman"/>
                <w:sz w:val="24"/>
                <w:szCs w:val="24"/>
              </w:rPr>
            </w:pPr>
          </w:p>
          <w:p w14:paraId="3250CA8E" w14:textId="77777777" w:rsidR="009621AA" w:rsidRPr="00610DC3" w:rsidRDefault="009621AA" w:rsidP="009621AA">
            <w:pPr>
              <w:spacing w:line="360" w:lineRule="auto"/>
              <w:jc w:val="center"/>
              <w:rPr>
                <w:rFonts w:ascii="Palatino Linotype" w:hAnsi="Palatino Linotype" w:cs="Times New Roman"/>
                <w:sz w:val="24"/>
                <w:szCs w:val="24"/>
              </w:rPr>
            </w:pPr>
          </w:p>
          <w:p w14:paraId="6077848C" w14:textId="77777777" w:rsidR="009621AA" w:rsidRPr="00610DC3" w:rsidRDefault="009621AA" w:rsidP="009621AA">
            <w:pPr>
              <w:spacing w:line="360" w:lineRule="auto"/>
              <w:jc w:val="center"/>
              <w:rPr>
                <w:rFonts w:ascii="Palatino Linotype" w:hAnsi="Palatino Linotype" w:cs="Times New Roman"/>
                <w:sz w:val="24"/>
                <w:szCs w:val="24"/>
              </w:rPr>
            </w:pPr>
          </w:p>
          <w:p w14:paraId="6424DC54" w14:textId="77777777" w:rsidR="009621AA" w:rsidRPr="00610DC3" w:rsidRDefault="009621AA" w:rsidP="009621AA">
            <w:pPr>
              <w:spacing w:line="360" w:lineRule="auto"/>
              <w:jc w:val="center"/>
              <w:rPr>
                <w:rFonts w:ascii="Palatino Linotype" w:hAnsi="Palatino Linotype" w:cs="Times New Roman"/>
                <w:sz w:val="24"/>
                <w:szCs w:val="24"/>
              </w:rPr>
            </w:pPr>
          </w:p>
          <w:p w14:paraId="75256AD0" w14:textId="77777777" w:rsidR="009621AA" w:rsidRPr="00610DC3" w:rsidRDefault="009621AA" w:rsidP="009621AA">
            <w:pPr>
              <w:spacing w:line="360" w:lineRule="auto"/>
              <w:jc w:val="center"/>
              <w:rPr>
                <w:rFonts w:ascii="Palatino Linotype" w:hAnsi="Palatino Linotype" w:cs="Times New Roman"/>
                <w:sz w:val="24"/>
                <w:szCs w:val="24"/>
              </w:rPr>
            </w:pPr>
          </w:p>
          <w:p w14:paraId="377FA7C5" w14:textId="4B8A1B95"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 xml:space="preserve"> </w:t>
            </w:r>
          </w:p>
          <w:p w14:paraId="3754144C" w14:textId="77777777" w:rsidR="009621AA" w:rsidRPr="00610DC3" w:rsidRDefault="009621AA" w:rsidP="009621AA">
            <w:pPr>
              <w:spacing w:line="360" w:lineRule="auto"/>
              <w:jc w:val="center"/>
              <w:rPr>
                <w:rFonts w:ascii="Palatino Linotype" w:hAnsi="Palatino Linotype" w:cs="Times New Roman"/>
                <w:sz w:val="24"/>
                <w:szCs w:val="24"/>
              </w:rPr>
            </w:pPr>
          </w:p>
          <w:p w14:paraId="2F9B7862" w14:textId="77777777" w:rsidR="009621AA" w:rsidRPr="00610DC3" w:rsidRDefault="009621AA" w:rsidP="009621AA">
            <w:pPr>
              <w:spacing w:line="360" w:lineRule="auto"/>
              <w:jc w:val="center"/>
              <w:rPr>
                <w:rFonts w:ascii="Palatino Linotype" w:hAnsi="Palatino Linotype" w:cs="Times New Roman"/>
                <w:sz w:val="24"/>
                <w:szCs w:val="24"/>
              </w:rPr>
            </w:pPr>
          </w:p>
          <w:p w14:paraId="7A661A18"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lastRenderedPageBreak/>
              <w:t xml:space="preserve"> </w:t>
            </w:r>
          </w:p>
          <w:p w14:paraId="3A040A66" w14:textId="60F57FF2" w:rsidR="009621AA" w:rsidRPr="00610DC3" w:rsidRDefault="00AB68B6" w:rsidP="00B61613">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 xml:space="preserve">Sí </w:t>
            </w:r>
          </w:p>
        </w:tc>
      </w:tr>
      <w:tr w:rsidR="009621AA" w:rsidRPr="00610DC3" w14:paraId="160FED73" w14:textId="77777777" w:rsidTr="009621AA">
        <w:trPr>
          <w:trHeight w:val="807"/>
        </w:trPr>
        <w:tc>
          <w:tcPr>
            <w:tcW w:w="9073" w:type="dxa"/>
            <w:gridSpan w:val="4"/>
            <w:shd w:val="clear" w:color="auto" w:fill="auto"/>
          </w:tcPr>
          <w:p w14:paraId="07868272" w14:textId="77777777" w:rsidR="009621AA" w:rsidRPr="00610DC3" w:rsidRDefault="009621AA" w:rsidP="009621AA">
            <w:pPr>
              <w:spacing w:line="360" w:lineRule="auto"/>
              <w:jc w:val="center"/>
              <w:rPr>
                <w:rFonts w:ascii="Palatino Linotype" w:hAnsi="Palatino Linotype" w:cs="Times New Roman"/>
                <w:b/>
                <w:sz w:val="24"/>
                <w:szCs w:val="24"/>
              </w:rPr>
            </w:pPr>
          </w:p>
          <w:p w14:paraId="4E470822" w14:textId="7DBBF7C8" w:rsidR="009621AA" w:rsidRPr="00610DC3" w:rsidRDefault="009621AA" w:rsidP="00287050">
            <w:pPr>
              <w:spacing w:line="360" w:lineRule="auto"/>
              <w:jc w:val="center"/>
              <w:rPr>
                <w:rFonts w:ascii="Palatino Linotype" w:hAnsi="Palatino Linotype" w:cs="Times New Roman"/>
                <w:b/>
                <w:sz w:val="24"/>
                <w:szCs w:val="24"/>
              </w:rPr>
            </w:pPr>
            <w:r w:rsidRPr="00610DC3">
              <w:rPr>
                <w:rFonts w:ascii="Palatino Linotype" w:hAnsi="Palatino Linotype" w:cs="Times New Roman"/>
                <w:b/>
                <w:sz w:val="24"/>
                <w:szCs w:val="24"/>
              </w:rPr>
              <w:t xml:space="preserve">Solicitud </w:t>
            </w:r>
            <w:r w:rsidR="00287050" w:rsidRPr="00610DC3">
              <w:rPr>
                <w:rFonts w:ascii="Palatino Linotype" w:hAnsi="Palatino Linotype" w:cs="Arial"/>
                <w:b/>
                <w:bCs/>
                <w:sz w:val="24"/>
                <w:szCs w:val="24"/>
                <w:lang w:val="es-ES_tradnl" w:eastAsia="es-ES"/>
              </w:rPr>
              <w:t xml:space="preserve"> 00364/IXTASAL/IP/2020</w:t>
            </w:r>
            <w:r w:rsidR="00AB68B6" w:rsidRPr="00610DC3">
              <w:rPr>
                <w:rFonts w:ascii="Palatino Linotype" w:hAnsi="Palatino Linotype" w:cs="Arial"/>
                <w:b/>
                <w:bCs/>
                <w:sz w:val="24"/>
                <w:szCs w:val="24"/>
                <w:lang w:val="es-ES_tradnl" w:eastAsia="es-ES"/>
              </w:rPr>
              <w:t>:</w:t>
            </w:r>
          </w:p>
        </w:tc>
      </w:tr>
      <w:tr w:rsidR="009621AA" w:rsidRPr="00610DC3" w14:paraId="4115BD17" w14:textId="77777777" w:rsidTr="009621AA">
        <w:trPr>
          <w:trHeight w:val="582"/>
        </w:trPr>
        <w:tc>
          <w:tcPr>
            <w:tcW w:w="1135" w:type="dxa"/>
            <w:shd w:val="clear" w:color="auto" w:fill="DBDBDB"/>
          </w:tcPr>
          <w:p w14:paraId="7C151A3C" w14:textId="77777777" w:rsidR="009621AA" w:rsidRPr="00610DC3" w:rsidRDefault="009621AA" w:rsidP="009621AA">
            <w:pPr>
              <w:spacing w:line="360" w:lineRule="auto"/>
              <w:rPr>
                <w:rFonts w:ascii="Palatino Linotype" w:hAnsi="Palatino Linotype" w:cs="Times New Roman"/>
                <w:sz w:val="24"/>
                <w:szCs w:val="24"/>
              </w:rPr>
            </w:pPr>
          </w:p>
          <w:p w14:paraId="509C583F"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No:</w:t>
            </w:r>
          </w:p>
        </w:tc>
        <w:tc>
          <w:tcPr>
            <w:tcW w:w="2833" w:type="dxa"/>
            <w:shd w:val="clear" w:color="auto" w:fill="DBDBDB"/>
          </w:tcPr>
          <w:p w14:paraId="18F24AD2" w14:textId="77777777" w:rsidR="009621AA" w:rsidRPr="00610DC3" w:rsidRDefault="009621AA" w:rsidP="009621AA">
            <w:pPr>
              <w:spacing w:line="360" w:lineRule="auto"/>
              <w:jc w:val="center"/>
              <w:rPr>
                <w:rFonts w:ascii="Palatino Linotype" w:hAnsi="Palatino Linotype" w:cs="Times New Roman"/>
                <w:sz w:val="24"/>
                <w:szCs w:val="24"/>
              </w:rPr>
            </w:pPr>
          </w:p>
          <w:p w14:paraId="222D1D47"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Información Requerida:</w:t>
            </w:r>
          </w:p>
        </w:tc>
        <w:tc>
          <w:tcPr>
            <w:tcW w:w="3545" w:type="dxa"/>
            <w:shd w:val="clear" w:color="auto" w:fill="DBDBDB"/>
          </w:tcPr>
          <w:p w14:paraId="37C8EF1B" w14:textId="77777777" w:rsidR="009621AA" w:rsidRPr="00610DC3" w:rsidRDefault="009621AA" w:rsidP="009621AA">
            <w:pPr>
              <w:spacing w:line="360" w:lineRule="auto"/>
              <w:jc w:val="center"/>
              <w:rPr>
                <w:rFonts w:ascii="Palatino Linotype" w:hAnsi="Palatino Linotype" w:cs="Times New Roman"/>
                <w:sz w:val="24"/>
                <w:szCs w:val="24"/>
              </w:rPr>
            </w:pPr>
          </w:p>
          <w:p w14:paraId="3289AF22"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Información entregada:</w:t>
            </w:r>
          </w:p>
        </w:tc>
        <w:tc>
          <w:tcPr>
            <w:tcW w:w="1560" w:type="dxa"/>
            <w:shd w:val="clear" w:color="auto" w:fill="DBDBDB"/>
          </w:tcPr>
          <w:p w14:paraId="67107A66" w14:textId="77777777" w:rsidR="009621AA" w:rsidRPr="00610DC3" w:rsidRDefault="009621AA" w:rsidP="009621AA">
            <w:pPr>
              <w:spacing w:line="360" w:lineRule="auto"/>
              <w:jc w:val="center"/>
              <w:rPr>
                <w:rFonts w:ascii="Palatino Linotype" w:hAnsi="Palatino Linotype" w:cs="Times New Roman"/>
                <w:sz w:val="24"/>
                <w:szCs w:val="24"/>
              </w:rPr>
            </w:pPr>
          </w:p>
          <w:p w14:paraId="7E348D18" w14:textId="77777777"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¿Satisface la solicitud?</w:t>
            </w:r>
          </w:p>
        </w:tc>
      </w:tr>
      <w:tr w:rsidR="009621AA" w:rsidRPr="00610DC3" w14:paraId="5BC2B2B5" w14:textId="77777777" w:rsidTr="009621AA">
        <w:trPr>
          <w:trHeight w:val="582"/>
        </w:trPr>
        <w:tc>
          <w:tcPr>
            <w:tcW w:w="1135" w:type="dxa"/>
            <w:shd w:val="clear" w:color="auto" w:fill="auto"/>
          </w:tcPr>
          <w:p w14:paraId="7A04006E" w14:textId="77777777" w:rsidR="009621AA" w:rsidRPr="00610DC3" w:rsidRDefault="009621AA" w:rsidP="009621AA">
            <w:pPr>
              <w:spacing w:line="360" w:lineRule="auto"/>
              <w:jc w:val="center"/>
              <w:rPr>
                <w:rFonts w:ascii="Palatino Linotype" w:hAnsi="Palatino Linotype" w:cs="Times New Roman"/>
                <w:b/>
                <w:sz w:val="24"/>
                <w:szCs w:val="24"/>
              </w:rPr>
            </w:pPr>
          </w:p>
          <w:p w14:paraId="06917D71" w14:textId="77777777" w:rsidR="009621AA" w:rsidRPr="00610DC3" w:rsidRDefault="009621AA" w:rsidP="009621AA">
            <w:pPr>
              <w:spacing w:line="360" w:lineRule="auto"/>
              <w:jc w:val="center"/>
              <w:rPr>
                <w:rFonts w:ascii="Palatino Linotype" w:hAnsi="Palatino Linotype" w:cs="Times New Roman"/>
                <w:b/>
                <w:sz w:val="24"/>
                <w:szCs w:val="24"/>
              </w:rPr>
            </w:pPr>
          </w:p>
          <w:p w14:paraId="168606BC" w14:textId="3E3157AD" w:rsidR="009621AA" w:rsidRPr="00610DC3" w:rsidRDefault="00263675" w:rsidP="009621AA">
            <w:pPr>
              <w:spacing w:line="360" w:lineRule="auto"/>
              <w:jc w:val="center"/>
              <w:rPr>
                <w:rFonts w:ascii="Palatino Linotype" w:hAnsi="Palatino Linotype" w:cs="Times New Roman"/>
                <w:b/>
                <w:sz w:val="24"/>
                <w:szCs w:val="24"/>
              </w:rPr>
            </w:pPr>
            <w:r w:rsidRPr="00610DC3">
              <w:rPr>
                <w:rFonts w:ascii="Palatino Linotype" w:hAnsi="Palatino Linotype" w:cs="Times New Roman"/>
                <w:b/>
                <w:sz w:val="24"/>
                <w:szCs w:val="24"/>
              </w:rPr>
              <w:t>2</w:t>
            </w:r>
          </w:p>
        </w:tc>
        <w:tc>
          <w:tcPr>
            <w:tcW w:w="2833" w:type="dxa"/>
            <w:shd w:val="clear" w:color="auto" w:fill="auto"/>
          </w:tcPr>
          <w:p w14:paraId="4D7F72BC" w14:textId="77777777" w:rsidR="00AB68B6" w:rsidRPr="00610DC3" w:rsidRDefault="00AB68B6" w:rsidP="009621AA">
            <w:pPr>
              <w:spacing w:line="360" w:lineRule="auto"/>
              <w:contextualSpacing/>
              <w:jc w:val="both"/>
              <w:rPr>
                <w:rFonts w:ascii="Palatino Linotype" w:hAnsi="Palatino Linotype" w:cs="Arial"/>
                <w:bCs/>
                <w:i/>
                <w:sz w:val="24"/>
                <w:szCs w:val="24"/>
                <w:lang w:val="es-ES_tradnl" w:eastAsia="es-ES"/>
              </w:rPr>
            </w:pPr>
          </w:p>
          <w:p w14:paraId="00FDE044" w14:textId="484E7DEE" w:rsidR="009621AA" w:rsidRPr="00610DC3" w:rsidRDefault="00AB68B6" w:rsidP="00287050">
            <w:pPr>
              <w:spacing w:line="360" w:lineRule="auto"/>
              <w:contextualSpacing/>
              <w:jc w:val="both"/>
              <w:rPr>
                <w:rFonts w:ascii="Palatino Linotype" w:eastAsia="Times New Roman" w:hAnsi="Palatino Linotype" w:cs="Times New Roman"/>
                <w:i/>
                <w:color w:val="000000"/>
                <w:sz w:val="24"/>
                <w:szCs w:val="24"/>
              </w:rPr>
            </w:pPr>
            <w:r w:rsidRPr="00610DC3">
              <w:rPr>
                <w:rFonts w:ascii="Palatino Linotype" w:hAnsi="Palatino Linotype" w:cs="Arial"/>
                <w:bCs/>
                <w:i/>
                <w:sz w:val="24"/>
                <w:szCs w:val="24"/>
                <w:lang w:val="es-ES_tradnl" w:eastAsia="es-ES"/>
              </w:rPr>
              <w:t>“</w:t>
            </w:r>
            <w:r w:rsidR="00287050" w:rsidRPr="00610DC3">
              <w:rPr>
                <w:rFonts w:ascii="Palatino Linotype" w:hAnsi="Palatino Linotype" w:cs="Arial"/>
                <w:bCs/>
                <w:i/>
                <w:sz w:val="24"/>
                <w:szCs w:val="24"/>
                <w:lang w:val="es-ES_tradnl" w:eastAsia="es-ES"/>
              </w:rPr>
              <w:t xml:space="preserve">Del Presidente Municipal, Director de Desarrollo Social, Tesorero Municipal, solicito, La relación de todos los </w:t>
            </w:r>
            <w:r w:rsidR="00287050" w:rsidRPr="00610DC3">
              <w:rPr>
                <w:rFonts w:ascii="Palatino Linotype" w:hAnsi="Palatino Linotype" w:cs="Arial"/>
                <w:bCs/>
                <w:i/>
                <w:sz w:val="24"/>
                <w:szCs w:val="24"/>
                <w:lang w:val="es-ES_tradnl" w:eastAsia="es-ES"/>
              </w:rPr>
              <w:lastRenderedPageBreak/>
              <w:t>beneficiarios de obras públicas, programas sociales, subsidios en dinero y en especie, incluyendo los beneficios que les fueron otorgados, cuartos, despensas, descuentos en el pago de contribuciones, apoyos o subsidios en efectivo, etc.” (Sic).</w:t>
            </w:r>
          </w:p>
        </w:tc>
        <w:tc>
          <w:tcPr>
            <w:tcW w:w="3545" w:type="dxa"/>
            <w:shd w:val="clear" w:color="auto" w:fill="auto"/>
          </w:tcPr>
          <w:p w14:paraId="203C89CE" w14:textId="77777777" w:rsidR="00AB68B6" w:rsidRPr="00610DC3" w:rsidRDefault="00AB68B6" w:rsidP="00AB68B6">
            <w:pPr>
              <w:tabs>
                <w:tab w:val="left" w:pos="1085"/>
                <w:tab w:val="left" w:pos="1178"/>
              </w:tabs>
              <w:spacing w:line="360" w:lineRule="auto"/>
              <w:jc w:val="both"/>
              <w:rPr>
                <w:rFonts w:ascii="Palatino Linotype" w:hAnsi="Palatino Linotype" w:cs="Times New Roman"/>
                <w:b/>
                <w:bCs/>
                <w:sz w:val="24"/>
                <w:szCs w:val="24"/>
                <w:lang w:val="es-ES_tradnl"/>
              </w:rPr>
            </w:pPr>
          </w:p>
          <w:p w14:paraId="711F6387" w14:textId="77777777" w:rsidR="00811414" w:rsidRPr="00610DC3" w:rsidRDefault="00CE6AC4" w:rsidP="00811414">
            <w:pPr>
              <w:spacing w:before="240" w:after="240" w:line="360" w:lineRule="auto"/>
              <w:contextualSpacing/>
              <w:jc w:val="both"/>
              <w:rPr>
                <w:rFonts w:ascii="Palatino Linotype" w:hAnsi="Palatino Linotype" w:cs="Arial"/>
                <w:b/>
                <w:bCs/>
                <w:sz w:val="24"/>
                <w:szCs w:val="24"/>
              </w:rPr>
            </w:pPr>
            <w:hyperlink r:id="rId11" w:tgtFrame="_blank" w:history="1">
              <w:r w:rsidR="00811414" w:rsidRPr="00610DC3">
                <w:rPr>
                  <w:rFonts w:ascii="Palatino Linotype" w:hAnsi="Palatino Linotype" w:cs="Arial"/>
                  <w:b/>
                  <w:bCs/>
                  <w:sz w:val="24"/>
                  <w:szCs w:val="24"/>
                </w:rPr>
                <w:t>Acta de la 11va Sesión Extraordinaria.pdf</w:t>
              </w:r>
            </w:hyperlink>
            <w:r w:rsidR="00811414" w:rsidRPr="00610DC3">
              <w:rPr>
                <w:rFonts w:ascii="Palatino Linotype" w:hAnsi="Palatino Linotype" w:cs="Arial"/>
                <w:b/>
                <w:bCs/>
                <w:sz w:val="24"/>
                <w:szCs w:val="24"/>
              </w:rPr>
              <w:t xml:space="preserve">: </w:t>
            </w:r>
            <w:r w:rsidR="00811414" w:rsidRPr="00610DC3">
              <w:rPr>
                <w:rFonts w:ascii="Palatino Linotype" w:hAnsi="Palatino Linotype" w:cs="Arial"/>
                <w:bCs/>
                <w:sz w:val="24"/>
                <w:szCs w:val="24"/>
              </w:rPr>
              <w:t xml:space="preserve">Documento electrónico que en diecinueve (19) hojas contiene el </w:t>
            </w:r>
            <w:r w:rsidR="00811414" w:rsidRPr="00610DC3">
              <w:rPr>
                <w:rFonts w:ascii="Palatino Linotype" w:hAnsi="Palatino Linotype" w:cs="Arial"/>
                <w:bCs/>
                <w:i/>
                <w:sz w:val="24"/>
                <w:szCs w:val="24"/>
              </w:rPr>
              <w:t xml:space="preserve">“ACTA DE LA ONCEAVA </w:t>
            </w:r>
            <w:r w:rsidR="00811414" w:rsidRPr="00610DC3">
              <w:rPr>
                <w:rFonts w:ascii="Palatino Linotype" w:hAnsi="Palatino Linotype" w:cs="Arial"/>
                <w:bCs/>
                <w:i/>
                <w:sz w:val="24"/>
                <w:szCs w:val="24"/>
              </w:rPr>
              <w:lastRenderedPageBreak/>
              <w:t xml:space="preserve">SESIÓN EXTRAORDINARIA DEL COMITÉ DE TRANSPARENCIA DEL 15 DE JUNIO DE 2020” </w:t>
            </w:r>
            <w:r w:rsidR="00811414" w:rsidRPr="00610DC3">
              <w:rPr>
                <w:rFonts w:ascii="Palatino Linotype" w:hAnsi="Palatino Linotype" w:cs="Arial"/>
                <w:bCs/>
                <w:sz w:val="24"/>
                <w:szCs w:val="24"/>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74018A94" w14:textId="453A580E" w:rsidR="00103B41" w:rsidRPr="00610DC3" w:rsidRDefault="00103B41" w:rsidP="00811414">
            <w:pPr>
              <w:tabs>
                <w:tab w:val="left" w:pos="1085"/>
                <w:tab w:val="left" w:pos="1178"/>
              </w:tabs>
              <w:spacing w:line="360" w:lineRule="auto"/>
              <w:jc w:val="both"/>
              <w:rPr>
                <w:rFonts w:ascii="Palatino Linotype" w:hAnsi="Palatino Linotype" w:cs="Times New Roman"/>
                <w:color w:val="000000" w:themeColor="text1"/>
                <w:sz w:val="24"/>
                <w:szCs w:val="24"/>
              </w:rPr>
            </w:pPr>
          </w:p>
        </w:tc>
        <w:tc>
          <w:tcPr>
            <w:tcW w:w="1560" w:type="dxa"/>
            <w:shd w:val="clear" w:color="auto" w:fill="auto"/>
          </w:tcPr>
          <w:p w14:paraId="2B1D0AFA" w14:textId="77777777" w:rsidR="009621AA" w:rsidRPr="00610DC3" w:rsidRDefault="009621AA" w:rsidP="009621AA">
            <w:pPr>
              <w:spacing w:line="360" w:lineRule="auto"/>
              <w:jc w:val="center"/>
              <w:rPr>
                <w:rFonts w:ascii="Palatino Linotype" w:hAnsi="Palatino Linotype" w:cs="Times New Roman"/>
                <w:sz w:val="24"/>
                <w:szCs w:val="24"/>
              </w:rPr>
            </w:pPr>
          </w:p>
          <w:p w14:paraId="143ADA0C" w14:textId="41E123B9" w:rsidR="009621AA" w:rsidRPr="00610DC3" w:rsidRDefault="009621AA" w:rsidP="009621AA">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 xml:space="preserve"> </w:t>
            </w:r>
          </w:p>
          <w:p w14:paraId="15D1E575" w14:textId="77777777" w:rsidR="00D1084D" w:rsidRPr="00610DC3" w:rsidRDefault="00D1084D" w:rsidP="009621AA">
            <w:pPr>
              <w:spacing w:line="360" w:lineRule="auto"/>
              <w:jc w:val="center"/>
              <w:rPr>
                <w:rFonts w:ascii="Palatino Linotype" w:hAnsi="Palatino Linotype" w:cs="Times New Roman"/>
                <w:sz w:val="24"/>
                <w:szCs w:val="24"/>
              </w:rPr>
            </w:pPr>
          </w:p>
          <w:p w14:paraId="305C79B8" w14:textId="7BE2BE5C" w:rsidR="00D1084D" w:rsidRPr="00610DC3" w:rsidRDefault="00D1084D" w:rsidP="00D1084D">
            <w:pPr>
              <w:spacing w:line="360" w:lineRule="auto"/>
              <w:rPr>
                <w:rFonts w:ascii="Palatino Linotype" w:hAnsi="Palatino Linotype" w:cs="Times New Roman"/>
                <w:sz w:val="24"/>
                <w:szCs w:val="24"/>
              </w:rPr>
            </w:pPr>
          </w:p>
          <w:p w14:paraId="4C84A2AF" w14:textId="77777777" w:rsidR="00EA2332" w:rsidRPr="00610DC3" w:rsidRDefault="00EA2332" w:rsidP="00CE4010">
            <w:pPr>
              <w:spacing w:line="360" w:lineRule="auto"/>
              <w:rPr>
                <w:rFonts w:ascii="Palatino Linotype" w:hAnsi="Palatino Linotype" w:cs="Times New Roman"/>
                <w:sz w:val="24"/>
                <w:szCs w:val="24"/>
              </w:rPr>
            </w:pPr>
          </w:p>
          <w:p w14:paraId="1761F728" w14:textId="77777777" w:rsidR="00EA2332" w:rsidRPr="00610DC3" w:rsidRDefault="00EA2332" w:rsidP="00CE4010">
            <w:pPr>
              <w:spacing w:line="360" w:lineRule="auto"/>
              <w:rPr>
                <w:rFonts w:ascii="Palatino Linotype" w:hAnsi="Palatino Linotype" w:cs="Times New Roman"/>
                <w:sz w:val="24"/>
                <w:szCs w:val="24"/>
              </w:rPr>
            </w:pPr>
          </w:p>
          <w:p w14:paraId="24537C5F" w14:textId="77777777" w:rsidR="00EA2332" w:rsidRPr="00610DC3" w:rsidRDefault="00EA2332" w:rsidP="00CE4010">
            <w:pPr>
              <w:spacing w:line="360" w:lineRule="auto"/>
              <w:rPr>
                <w:rFonts w:ascii="Palatino Linotype" w:hAnsi="Palatino Linotype" w:cs="Times New Roman"/>
                <w:sz w:val="24"/>
                <w:szCs w:val="24"/>
              </w:rPr>
            </w:pPr>
          </w:p>
          <w:p w14:paraId="30CBC98D" w14:textId="2C5FFF59" w:rsidR="009621AA" w:rsidRPr="00610DC3" w:rsidRDefault="00811414" w:rsidP="00811414">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Sí</w:t>
            </w:r>
          </w:p>
          <w:p w14:paraId="14FFF77C" w14:textId="77777777" w:rsidR="009621AA" w:rsidRPr="00610DC3" w:rsidRDefault="009621AA" w:rsidP="009621AA">
            <w:pPr>
              <w:spacing w:line="360" w:lineRule="auto"/>
              <w:jc w:val="center"/>
              <w:rPr>
                <w:rFonts w:ascii="Palatino Linotype" w:hAnsi="Palatino Linotype" w:cs="Times New Roman"/>
                <w:sz w:val="24"/>
                <w:szCs w:val="24"/>
              </w:rPr>
            </w:pPr>
          </w:p>
          <w:p w14:paraId="3AC6164B" w14:textId="77777777" w:rsidR="009621AA" w:rsidRPr="00610DC3" w:rsidRDefault="009621AA" w:rsidP="009621AA">
            <w:pPr>
              <w:spacing w:line="360" w:lineRule="auto"/>
              <w:jc w:val="center"/>
              <w:rPr>
                <w:rFonts w:ascii="Palatino Linotype" w:hAnsi="Palatino Linotype" w:cs="Times New Roman"/>
                <w:sz w:val="24"/>
                <w:szCs w:val="24"/>
              </w:rPr>
            </w:pPr>
          </w:p>
          <w:p w14:paraId="5C520CF4" w14:textId="77777777" w:rsidR="009621AA" w:rsidRPr="00610DC3" w:rsidRDefault="009621AA" w:rsidP="009621AA">
            <w:pPr>
              <w:spacing w:line="360" w:lineRule="auto"/>
              <w:jc w:val="center"/>
              <w:rPr>
                <w:rFonts w:ascii="Palatino Linotype" w:hAnsi="Palatino Linotype" w:cs="Times New Roman"/>
                <w:sz w:val="24"/>
                <w:szCs w:val="24"/>
              </w:rPr>
            </w:pPr>
          </w:p>
          <w:p w14:paraId="52C7DCBC" w14:textId="77777777" w:rsidR="009621AA" w:rsidRPr="00610DC3" w:rsidRDefault="009621AA" w:rsidP="009621AA">
            <w:pPr>
              <w:spacing w:line="360" w:lineRule="auto"/>
              <w:jc w:val="center"/>
              <w:rPr>
                <w:rFonts w:ascii="Palatino Linotype" w:hAnsi="Palatino Linotype" w:cs="Times New Roman"/>
                <w:sz w:val="24"/>
                <w:szCs w:val="24"/>
              </w:rPr>
            </w:pPr>
          </w:p>
          <w:p w14:paraId="586BE7F2" w14:textId="77777777" w:rsidR="009621AA" w:rsidRPr="00610DC3" w:rsidRDefault="009621AA" w:rsidP="009621AA">
            <w:pPr>
              <w:spacing w:line="360" w:lineRule="auto"/>
              <w:jc w:val="center"/>
              <w:rPr>
                <w:rFonts w:ascii="Palatino Linotype" w:hAnsi="Palatino Linotype" w:cs="Times New Roman"/>
                <w:sz w:val="24"/>
                <w:szCs w:val="24"/>
              </w:rPr>
            </w:pPr>
          </w:p>
          <w:p w14:paraId="3EAE0BFA" w14:textId="77777777" w:rsidR="009621AA" w:rsidRPr="00610DC3" w:rsidRDefault="009621AA" w:rsidP="009621AA">
            <w:pPr>
              <w:spacing w:line="360" w:lineRule="auto"/>
              <w:jc w:val="center"/>
              <w:rPr>
                <w:rFonts w:ascii="Palatino Linotype" w:hAnsi="Palatino Linotype" w:cs="Times New Roman"/>
                <w:sz w:val="24"/>
                <w:szCs w:val="24"/>
              </w:rPr>
            </w:pPr>
          </w:p>
          <w:p w14:paraId="360E403A" w14:textId="77777777" w:rsidR="009621AA" w:rsidRPr="00610DC3" w:rsidRDefault="009621AA" w:rsidP="009621AA">
            <w:pPr>
              <w:spacing w:line="360" w:lineRule="auto"/>
              <w:jc w:val="center"/>
              <w:rPr>
                <w:rFonts w:ascii="Palatino Linotype" w:hAnsi="Palatino Linotype" w:cs="Times New Roman"/>
                <w:sz w:val="24"/>
                <w:szCs w:val="24"/>
              </w:rPr>
            </w:pPr>
          </w:p>
        </w:tc>
      </w:tr>
      <w:tr w:rsidR="00AB68B6" w:rsidRPr="00610DC3" w14:paraId="29D54775" w14:textId="77777777" w:rsidTr="00DB3AC5">
        <w:trPr>
          <w:trHeight w:val="581"/>
        </w:trPr>
        <w:tc>
          <w:tcPr>
            <w:tcW w:w="9073" w:type="dxa"/>
            <w:gridSpan w:val="4"/>
            <w:shd w:val="clear" w:color="auto" w:fill="auto"/>
          </w:tcPr>
          <w:p w14:paraId="2DDE9EB6" w14:textId="77777777" w:rsidR="00AB68B6" w:rsidRPr="00610DC3" w:rsidRDefault="00AB68B6" w:rsidP="00DB3AC5">
            <w:pPr>
              <w:spacing w:line="360" w:lineRule="auto"/>
              <w:jc w:val="center"/>
              <w:rPr>
                <w:rFonts w:ascii="Palatino Linotype" w:hAnsi="Palatino Linotype" w:cs="Times New Roman"/>
                <w:b/>
                <w:bCs/>
                <w:sz w:val="24"/>
                <w:szCs w:val="24"/>
                <w:lang w:val="es-ES_tradnl"/>
              </w:rPr>
            </w:pPr>
          </w:p>
          <w:p w14:paraId="507B6B6E" w14:textId="29AE0196" w:rsidR="00AB68B6" w:rsidRPr="00610DC3" w:rsidRDefault="00AB68B6" w:rsidP="00287050">
            <w:pPr>
              <w:spacing w:line="360" w:lineRule="auto"/>
              <w:jc w:val="center"/>
              <w:rPr>
                <w:rFonts w:ascii="Palatino Linotype" w:hAnsi="Palatino Linotype" w:cs="Times New Roman"/>
                <w:sz w:val="24"/>
                <w:szCs w:val="24"/>
              </w:rPr>
            </w:pPr>
            <w:r w:rsidRPr="00610DC3">
              <w:rPr>
                <w:rFonts w:ascii="Palatino Linotype" w:hAnsi="Palatino Linotype" w:cs="Times New Roman"/>
                <w:b/>
                <w:bCs/>
                <w:sz w:val="24"/>
                <w:szCs w:val="24"/>
                <w:lang w:val="es-ES_tradnl"/>
              </w:rPr>
              <w:t>Solicitud</w:t>
            </w:r>
            <w:r w:rsidR="00287050" w:rsidRPr="00610DC3">
              <w:rPr>
                <w:rFonts w:ascii="Palatino Linotype" w:hAnsi="Palatino Linotype" w:cs="Arial"/>
                <w:b/>
                <w:bCs/>
                <w:sz w:val="24"/>
                <w:szCs w:val="24"/>
                <w:lang w:val="es-ES_tradnl" w:eastAsia="es-ES"/>
              </w:rPr>
              <w:t xml:space="preserve"> 00369/IXTASAL/IP/2020</w:t>
            </w:r>
            <w:r w:rsidRPr="00610DC3">
              <w:rPr>
                <w:rFonts w:ascii="Palatino Linotype" w:hAnsi="Palatino Linotype" w:cs="Arial"/>
                <w:b/>
                <w:bCs/>
                <w:sz w:val="24"/>
                <w:szCs w:val="24"/>
                <w:lang w:val="es-ES_tradnl" w:eastAsia="es-ES"/>
              </w:rPr>
              <w:t>:</w:t>
            </w:r>
          </w:p>
        </w:tc>
      </w:tr>
      <w:tr w:rsidR="00AB68B6" w:rsidRPr="00610DC3" w14:paraId="0D153777" w14:textId="77777777" w:rsidTr="00DB3AC5">
        <w:trPr>
          <w:trHeight w:val="582"/>
        </w:trPr>
        <w:tc>
          <w:tcPr>
            <w:tcW w:w="1135" w:type="dxa"/>
            <w:shd w:val="clear" w:color="auto" w:fill="DBDBDB"/>
          </w:tcPr>
          <w:p w14:paraId="76232DF0" w14:textId="77777777" w:rsidR="00AB68B6" w:rsidRPr="00610DC3" w:rsidRDefault="00AB68B6" w:rsidP="00DB3AC5">
            <w:pPr>
              <w:spacing w:line="360" w:lineRule="auto"/>
              <w:rPr>
                <w:rFonts w:ascii="Palatino Linotype" w:hAnsi="Palatino Linotype" w:cs="Times New Roman"/>
                <w:sz w:val="24"/>
                <w:szCs w:val="24"/>
              </w:rPr>
            </w:pPr>
          </w:p>
          <w:p w14:paraId="3EA6599B"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Número</w:t>
            </w:r>
          </w:p>
        </w:tc>
        <w:tc>
          <w:tcPr>
            <w:tcW w:w="2833" w:type="dxa"/>
            <w:shd w:val="clear" w:color="auto" w:fill="DBDBDB"/>
          </w:tcPr>
          <w:p w14:paraId="0EC86E3F" w14:textId="77777777" w:rsidR="00AB68B6" w:rsidRPr="00610DC3" w:rsidRDefault="00AB68B6" w:rsidP="00DB3AC5">
            <w:pPr>
              <w:spacing w:line="360" w:lineRule="auto"/>
              <w:jc w:val="center"/>
              <w:rPr>
                <w:rFonts w:ascii="Palatino Linotype" w:hAnsi="Palatino Linotype" w:cs="Times New Roman"/>
                <w:sz w:val="24"/>
                <w:szCs w:val="24"/>
              </w:rPr>
            </w:pPr>
          </w:p>
          <w:p w14:paraId="3A3A1FAF"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Información Requerida:</w:t>
            </w:r>
          </w:p>
        </w:tc>
        <w:tc>
          <w:tcPr>
            <w:tcW w:w="3545" w:type="dxa"/>
            <w:shd w:val="clear" w:color="auto" w:fill="DBDBDB"/>
          </w:tcPr>
          <w:p w14:paraId="62DE4A46" w14:textId="77777777" w:rsidR="00AB68B6" w:rsidRPr="00610DC3" w:rsidRDefault="00AB68B6" w:rsidP="00DB3AC5">
            <w:pPr>
              <w:spacing w:line="360" w:lineRule="auto"/>
              <w:jc w:val="center"/>
              <w:rPr>
                <w:rFonts w:ascii="Palatino Linotype" w:hAnsi="Palatino Linotype" w:cs="Times New Roman"/>
                <w:sz w:val="24"/>
                <w:szCs w:val="24"/>
              </w:rPr>
            </w:pPr>
          </w:p>
          <w:p w14:paraId="04D44722"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Información entregada:</w:t>
            </w:r>
          </w:p>
        </w:tc>
        <w:tc>
          <w:tcPr>
            <w:tcW w:w="1560" w:type="dxa"/>
            <w:shd w:val="clear" w:color="auto" w:fill="DBDBDB"/>
          </w:tcPr>
          <w:p w14:paraId="5EB9A5D0" w14:textId="77777777" w:rsidR="00AB68B6" w:rsidRPr="00610DC3" w:rsidRDefault="00AB68B6" w:rsidP="00DB3AC5">
            <w:pPr>
              <w:spacing w:line="360" w:lineRule="auto"/>
              <w:jc w:val="center"/>
              <w:rPr>
                <w:rFonts w:ascii="Palatino Linotype" w:hAnsi="Palatino Linotype" w:cs="Times New Roman"/>
                <w:sz w:val="24"/>
                <w:szCs w:val="24"/>
              </w:rPr>
            </w:pPr>
          </w:p>
          <w:p w14:paraId="131AFAD3"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¿Satisface la solicitud?</w:t>
            </w:r>
          </w:p>
        </w:tc>
      </w:tr>
      <w:tr w:rsidR="00AB68B6" w:rsidRPr="00610DC3" w14:paraId="15F2CF91" w14:textId="77777777" w:rsidTr="00DB3AC5">
        <w:trPr>
          <w:trHeight w:val="1337"/>
        </w:trPr>
        <w:tc>
          <w:tcPr>
            <w:tcW w:w="1135" w:type="dxa"/>
            <w:shd w:val="clear" w:color="auto" w:fill="auto"/>
          </w:tcPr>
          <w:p w14:paraId="01FD764C" w14:textId="77777777" w:rsidR="00AB68B6" w:rsidRPr="00610DC3" w:rsidRDefault="00AB68B6" w:rsidP="00DB3AC5">
            <w:pPr>
              <w:tabs>
                <w:tab w:val="left" w:pos="1627"/>
              </w:tabs>
              <w:spacing w:line="360" w:lineRule="auto"/>
              <w:jc w:val="center"/>
              <w:rPr>
                <w:rFonts w:ascii="Palatino Linotype" w:hAnsi="Palatino Linotype" w:cs="Times New Roman"/>
                <w:b/>
                <w:sz w:val="24"/>
                <w:szCs w:val="24"/>
              </w:rPr>
            </w:pPr>
          </w:p>
          <w:p w14:paraId="73AFFF92" w14:textId="77777777" w:rsidR="00AB68B6" w:rsidRPr="00610DC3" w:rsidRDefault="00AB68B6" w:rsidP="00DB3AC5">
            <w:pPr>
              <w:tabs>
                <w:tab w:val="left" w:pos="1627"/>
              </w:tabs>
              <w:spacing w:line="360" w:lineRule="auto"/>
              <w:jc w:val="center"/>
              <w:rPr>
                <w:rFonts w:ascii="Palatino Linotype" w:hAnsi="Palatino Linotype" w:cs="Times New Roman"/>
                <w:b/>
                <w:sz w:val="24"/>
                <w:szCs w:val="24"/>
              </w:rPr>
            </w:pPr>
          </w:p>
          <w:p w14:paraId="41EC8C90" w14:textId="77777777" w:rsidR="00AB68B6" w:rsidRPr="00610DC3" w:rsidRDefault="00AB68B6" w:rsidP="00DB3AC5">
            <w:pPr>
              <w:tabs>
                <w:tab w:val="left" w:pos="1627"/>
              </w:tabs>
              <w:spacing w:line="360" w:lineRule="auto"/>
              <w:jc w:val="center"/>
              <w:rPr>
                <w:rFonts w:ascii="Palatino Linotype" w:hAnsi="Palatino Linotype" w:cs="Times New Roman"/>
                <w:b/>
                <w:sz w:val="24"/>
                <w:szCs w:val="24"/>
              </w:rPr>
            </w:pPr>
          </w:p>
          <w:p w14:paraId="2AD938EB" w14:textId="77777777" w:rsidR="00AB68B6" w:rsidRPr="00610DC3" w:rsidRDefault="00AB68B6" w:rsidP="00DB3AC5">
            <w:pPr>
              <w:tabs>
                <w:tab w:val="left" w:pos="1627"/>
              </w:tabs>
              <w:spacing w:line="360" w:lineRule="auto"/>
              <w:jc w:val="center"/>
              <w:rPr>
                <w:rFonts w:ascii="Palatino Linotype" w:hAnsi="Palatino Linotype" w:cs="Times New Roman"/>
                <w:b/>
                <w:sz w:val="24"/>
                <w:szCs w:val="24"/>
              </w:rPr>
            </w:pPr>
          </w:p>
          <w:p w14:paraId="6A696995" w14:textId="77777777" w:rsidR="00AB68B6" w:rsidRPr="00610DC3" w:rsidRDefault="00AB68B6" w:rsidP="00DB3AC5">
            <w:pPr>
              <w:tabs>
                <w:tab w:val="left" w:pos="1627"/>
              </w:tabs>
              <w:spacing w:line="360" w:lineRule="auto"/>
              <w:jc w:val="center"/>
              <w:rPr>
                <w:rFonts w:ascii="Palatino Linotype" w:hAnsi="Palatino Linotype" w:cs="Times New Roman"/>
                <w:b/>
                <w:sz w:val="24"/>
                <w:szCs w:val="24"/>
              </w:rPr>
            </w:pPr>
          </w:p>
          <w:p w14:paraId="69046DA4" w14:textId="77777777" w:rsidR="00AB68B6" w:rsidRPr="00610DC3" w:rsidRDefault="00AB68B6" w:rsidP="00DB3AC5">
            <w:pPr>
              <w:tabs>
                <w:tab w:val="left" w:pos="1627"/>
              </w:tabs>
              <w:spacing w:line="360" w:lineRule="auto"/>
              <w:jc w:val="center"/>
              <w:rPr>
                <w:rFonts w:ascii="Palatino Linotype" w:hAnsi="Palatino Linotype" w:cs="Times New Roman"/>
                <w:b/>
                <w:sz w:val="24"/>
                <w:szCs w:val="24"/>
              </w:rPr>
            </w:pPr>
          </w:p>
          <w:p w14:paraId="69EF17B9" w14:textId="636B167A" w:rsidR="00AB68B6" w:rsidRPr="00610DC3" w:rsidRDefault="00AB68B6" w:rsidP="00DB3AC5">
            <w:pPr>
              <w:tabs>
                <w:tab w:val="left" w:pos="1627"/>
              </w:tabs>
              <w:spacing w:line="360" w:lineRule="auto"/>
              <w:jc w:val="center"/>
              <w:rPr>
                <w:rFonts w:ascii="Palatino Linotype" w:hAnsi="Palatino Linotype" w:cs="Times New Roman"/>
                <w:b/>
                <w:sz w:val="24"/>
                <w:szCs w:val="24"/>
              </w:rPr>
            </w:pPr>
            <w:r w:rsidRPr="00610DC3">
              <w:rPr>
                <w:rFonts w:ascii="Palatino Linotype" w:hAnsi="Palatino Linotype" w:cs="Times New Roman"/>
                <w:b/>
                <w:sz w:val="24"/>
                <w:szCs w:val="24"/>
              </w:rPr>
              <w:t>3</w:t>
            </w:r>
          </w:p>
        </w:tc>
        <w:tc>
          <w:tcPr>
            <w:tcW w:w="2833" w:type="dxa"/>
            <w:shd w:val="clear" w:color="auto" w:fill="auto"/>
          </w:tcPr>
          <w:p w14:paraId="146E0AAC" w14:textId="70F09628" w:rsidR="00AB68B6" w:rsidRPr="00610DC3" w:rsidRDefault="00287050" w:rsidP="00287050">
            <w:pPr>
              <w:spacing w:line="360" w:lineRule="auto"/>
              <w:contextualSpacing/>
              <w:jc w:val="both"/>
              <w:rPr>
                <w:rFonts w:ascii="Palatino Linotype" w:eastAsia="Times New Roman" w:hAnsi="Palatino Linotype" w:cs="Times New Roman"/>
                <w:color w:val="000000"/>
                <w:sz w:val="24"/>
                <w:szCs w:val="24"/>
              </w:rPr>
            </w:pPr>
            <w:r w:rsidRPr="00610DC3">
              <w:rPr>
                <w:rFonts w:ascii="Palatino Linotype" w:hAnsi="Palatino Linotype" w:cs="Arial"/>
                <w:bCs/>
                <w:i/>
                <w:sz w:val="24"/>
                <w:szCs w:val="24"/>
                <w:lang w:val="es-ES_tradnl" w:eastAsia="es-ES"/>
              </w:rPr>
              <w:lastRenderedPageBreak/>
              <w:t xml:space="preserve">“Del Presidente Municipal, Director de Desarrollo Social, Tesorero Municipal y Sistema </w:t>
            </w:r>
            <w:r w:rsidRPr="00610DC3">
              <w:rPr>
                <w:rFonts w:ascii="Palatino Linotype" w:hAnsi="Palatino Linotype" w:cs="Arial"/>
                <w:bCs/>
                <w:i/>
                <w:sz w:val="24"/>
                <w:szCs w:val="24"/>
                <w:lang w:val="es-ES_tradnl" w:eastAsia="es-ES"/>
              </w:rPr>
              <w:lastRenderedPageBreak/>
              <w:t>Municipal DIF, solicito, La relación de todos los beneficiarios de obras públicas, programas sociales, subsidios en dinero y en especie, incluyendo los beneficios que les fueron otorgados, cuartos, despensas, descuentos en el pago de contribuciones, apoyos o subsidios en efectivo, etc..” (Sic)</w:t>
            </w:r>
          </w:p>
        </w:tc>
        <w:tc>
          <w:tcPr>
            <w:tcW w:w="3545" w:type="dxa"/>
            <w:shd w:val="clear" w:color="auto" w:fill="auto"/>
          </w:tcPr>
          <w:p w14:paraId="5C3A1FF6" w14:textId="77777777" w:rsidR="00811414" w:rsidRPr="00610DC3" w:rsidRDefault="00CE6AC4" w:rsidP="00811414">
            <w:pPr>
              <w:spacing w:before="240" w:after="240" w:line="360" w:lineRule="auto"/>
              <w:contextualSpacing/>
              <w:jc w:val="both"/>
              <w:rPr>
                <w:rFonts w:ascii="Palatino Linotype" w:hAnsi="Palatino Linotype" w:cs="Arial"/>
                <w:b/>
                <w:bCs/>
                <w:sz w:val="24"/>
                <w:szCs w:val="24"/>
              </w:rPr>
            </w:pPr>
            <w:hyperlink r:id="rId12" w:tgtFrame="_blank" w:history="1">
              <w:r w:rsidR="00811414" w:rsidRPr="00610DC3">
                <w:rPr>
                  <w:rFonts w:ascii="Palatino Linotype" w:hAnsi="Palatino Linotype" w:cs="Arial"/>
                  <w:b/>
                  <w:bCs/>
                  <w:sz w:val="24"/>
                  <w:szCs w:val="24"/>
                </w:rPr>
                <w:t>Acta de la 11va Sesión Extraordinaria.pdf</w:t>
              </w:r>
            </w:hyperlink>
            <w:r w:rsidR="00811414" w:rsidRPr="00610DC3">
              <w:rPr>
                <w:rFonts w:ascii="Palatino Linotype" w:hAnsi="Palatino Linotype" w:cs="Arial"/>
                <w:b/>
                <w:bCs/>
                <w:sz w:val="24"/>
                <w:szCs w:val="24"/>
              </w:rPr>
              <w:t xml:space="preserve">: </w:t>
            </w:r>
            <w:r w:rsidR="00811414" w:rsidRPr="00610DC3">
              <w:rPr>
                <w:rFonts w:ascii="Palatino Linotype" w:hAnsi="Palatino Linotype" w:cs="Arial"/>
                <w:bCs/>
                <w:sz w:val="24"/>
                <w:szCs w:val="24"/>
              </w:rPr>
              <w:t xml:space="preserve">Documento electrónico que en diecinueve (19) hojas contiene </w:t>
            </w:r>
            <w:r w:rsidR="00811414" w:rsidRPr="00610DC3">
              <w:rPr>
                <w:rFonts w:ascii="Palatino Linotype" w:hAnsi="Palatino Linotype" w:cs="Arial"/>
                <w:bCs/>
                <w:sz w:val="24"/>
                <w:szCs w:val="24"/>
              </w:rPr>
              <w:lastRenderedPageBreak/>
              <w:t xml:space="preserve">el </w:t>
            </w:r>
            <w:r w:rsidR="00811414" w:rsidRPr="00610DC3">
              <w:rPr>
                <w:rFonts w:ascii="Palatino Linotype" w:hAnsi="Palatino Linotype" w:cs="Arial"/>
                <w:bCs/>
                <w:i/>
                <w:sz w:val="24"/>
                <w:szCs w:val="24"/>
              </w:rPr>
              <w:t xml:space="preserve">“ACTA DE LA ONCEAVA SESIÓN EXTRAORDINARIA DEL COMITÉ DE TRANSPARENCIA DEL 15 DE JUNIO DE 2020” </w:t>
            </w:r>
            <w:r w:rsidR="00811414" w:rsidRPr="00610DC3">
              <w:rPr>
                <w:rFonts w:ascii="Palatino Linotype" w:hAnsi="Palatino Linotype" w:cs="Arial"/>
                <w:bCs/>
                <w:sz w:val="24"/>
                <w:szCs w:val="24"/>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1E4A3B36" w14:textId="77777777" w:rsidR="00AB68B6" w:rsidRPr="00610DC3" w:rsidRDefault="00AB68B6" w:rsidP="00DB3AC5">
            <w:pPr>
              <w:spacing w:line="360" w:lineRule="auto"/>
              <w:jc w:val="both"/>
              <w:rPr>
                <w:rFonts w:ascii="Palatino Linotype" w:hAnsi="Palatino Linotype" w:cs="Times New Roman"/>
                <w:bCs/>
                <w:i/>
                <w:color w:val="000000" w:themeColor="text1"/>
                <w:sz w:val="24"/>
                <w:szCs w:val="24"/>
                <w:lang w:val="es-ES_tradnl"/>
              </w:rPr>
            </w:pPr>
          </w:p>
          <w:p w14:paraId="3DB89634" w14:textId="77777777" w:rsidR="00AB68B6" w:rsidRPr="00610DC3" w:rsidRDefault="00AB68B6" w:rsidP="00DB3AC5">
            <w:pPr>
              <w:spacing w:line="360" w:lineRule="auto"/>
              <w:jc w:val="both"/>
              <w:rPr>
                <w:rFonts w:ascii="Palatino Linotype" w:eastAsiaTheme="minorEastAsia" w:hAnsi="Palatino Linotype"/>
                <w:color w:val="000000" w:themeColor="text1"/>
                <w:sz w:val="24"/>
                <w:szCs w:val="24"/>
                <w:lang w:val="es-ES_tradnl" w:eastAsia="es-ES"/>
              </w:rPr>
            </w:pPr>
          </w:p>
          <w:p w14:paraId="6D67116B" w14:textId="77777777" w:rsidR="00AB68B6" w:rsidRPr="00610DC3" w:rsidRDefault="00AB68B6" w:rsidP="00DB3AC5">
            <w:pPr>
              <w:spacing w:line="360" w:lineRule="auto"/>
              <w:jc w:val="both"/>
              <w:rPr>
                <w:rFonts w:ascii="Palatino Linotype" w:hAnsi="Palatino Linotype" w:cs="Times New Roman"/>
                <w:bCs/>
                <w:i/>
                <w:color w:val="000000" w:themeColor="text1"/>
                <w:sz w:val="24"/>
                <w:szCs w:val="24"/>
                <w:lang w:val="es-ES_tradnl"/>
              </w:rPr>
            </w:pPr>
          </w:p>
        </w:tc>
        <w:tc>
          <w:tcPr>
            <w:tcW w:w="1560" w:type="dxa"/>
            <w:shd w:val="clear" w:color="auto" w:fill="auto"/>
          </w:tcPr>
          <w:p w14:paraId="26142F7B" w14:textId="77777777" w:rsidR="00AB68B6" w:rsidRPr="00610DC3" w:rsidRDefault="00AB68B6" w:rsidP="00DB3AC5">
            <w:pPr>
              <w:spacing w:line="360" w:lineRule="auto"/>
              <w:jc w:val="center"/>
              <w:rPr>
                <w:rFonts w:ascii="Palatino Linotype" w:hAnsi="Palatino Linotype" w:cs="Times New Roman"/>
                <w:sz w:val="24"/>
                <w:szCs w:val="24"/>
              </w:rPr>
            </w:pPr>
          </w:p>
          <w:p w14:paraId="6F6E5407" w14:textId="77777777" w:rsidR="00AB68B6" w:rsidRPr="00610DC3" w:rsidRDefault="00AB68B6" w:rsidP="00DB3AC5">
            <w:pPr>
              <w:spacing w:line="360" w:lineRule="auto"/>
              <w:jc w:val="center"/>
              <w:rPr>
                <w:rFonts w:ascii="Palatino Linotype" w:hAnsi="Palatino Linotype" w:cs="Times New Roman"/>
                <w:sz w:val="24"/>
                <w:szCs w:val="24"/>
              </w:rPr>
            </w:pPr>
          </w:p>
          <w:p w14:paraId="769A8248" w14:textId="77777777" w:rsidR="00AB68B6" w:rsidRPr="00610DC3" w:rsidRDefault="00AB68B6" w:rsidP="00DB3AC5">
            <w:pPr>
              <w:spacing w:line="360" w:lineRule="auto"/>
              <w:jc w:val="center"/>
              <w:rPr>
                <w:rFonts w:ascii="Palatino Linotype" w:hAnsi="Palatino Linotype" w:cs="Times New Roman"/>
                <w:sz w:val="24"/>
                <w:szCs w:val="24"/>
              </w:rPr>
            </w:pPr>
          </w:p>
          <w:p w14:paraId="2084FA2C" w14:textId="77777777" w:rsidR="00AB68B6" w:rsidRPr="00610DC3" w:rsidRDefault="00AB68B6" w:rsidP="00DB3AC5">
            <w:pPr>
              <w:spacing w:line="360" w:lineRule="auto"/>
              <w:jc w:val="center"/>
              <w:rPr>
                <w:rFonts w:ascii="Palatino Linotype" w:hAnsi="Palatino Linotype" w:cs="Times New Roman"/>
                <w:sz w:val="24"/>
                <w:szCs w:val="24"/>
              </w:rPr>
            </w:pPr>
          </w:p>
          <w:p w14:paraId="287E20C2" w14:textId="77777777" w:rsidR="00AB68B6" w:rsidRPr="00610DC3" w:rsidRDefault="00AB68B6" w:rsidP="00DB3AC5">
            <w:pPr>
              <w:spacing w:line="360" w:lineRule="auto"/>
              <w:jc w:val="center"/>
              <w:rPr>
                <w:rFonts w:ascii="Palatino Linotype" w:hAnsi="Palatino Linotype" w:cs="Times New Roman"/>
                <w:sz w:val="24"/>
                <w:szCs w:val="24"/>
              </w:rPr>
            </w:pPr>
          </w:p>
          <w:p w14:paraId="09BB83DA"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 xml:space="preserve"> </w:t>
            </w:r>
          </w:p>
          <w:p w14:paraId="79BDFFB5" w14:textId="77777777" w:rsidR="00AB68B6" w:rsidRPr="00610DC3" w:rsidRDefault="00AB68B6" w:rsidP="00DB3AC5">
            <w:pPr>
              <w:spacing w:line="360" w:lineRule="auto"/>
              <w:jc w:val="center"/>
              <w:rPr>
                <w:rFonts w:ascii="Palatino Linotype" w:hAnsi="Palatino Linotype" w:cs="Times New Roman"/>
                <w:sz w:val="24"/>
                <w:szCs w:val="24"/>
              </w:rPr>
            </w:pPr>
          </w:p>
          <w:p w14:paraId="0907C7D5" w14:textId="77777777" w:rsidR="00AB68B6" w:rsidRPr="00610DC3" w:rsidRDefault="00AB68B6" w:rsidP="00DB3AC5">
            <w:pPr>
              <w:spacing w:line="360" w:lineRule="auto"/>
              <w:jc w:val="center"/>
              <w:rPr>
                <w:rFonts w:ascii="Palatino Linotype" w:hAnsi="Palatino Linotype" w:cs="Times New Roman"/>
                <w:sz w:val="24"/>
                <w:szCs w:val="24"/>
              </w:rPr>
            </w:pPr>
          </w:p>
          <w:p w14:paraId="0A89DA46"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 xml:space="preserve"> </w:t>
            </w:r>
          </w:p>
          <w:p w14:paraId="65876321" w14:textId="4A066272" w:rsidR="00AB68B6" w:rsidRPr="00610DC3" w:rsidRDefault="00811414" w:rsidP="00811414">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Sí</w:t>
            </w:r>
          </w:p>
        </w:tc>
      </w:tr>
      <w:tr w:rsidR="00AB68B6" w:rsidRPr="00610DC3" w14:paraId="2189EC37" w14:textId="77777777" w:rsidTr="00DB3AC5">
        <w:trPr>
          <w:trHeight w:val="807"/>
        </w:trPr>
        <w:tc>
          <w:tcPr>
            <w:tcW w:w="9073" w:type="dxa"/>
            <w:gridSpan w:val="4"/>
            <w:shd w:val="clear" w:color="auto" w:fill="auto"/>
          </w:tcPr>
          <w:p w14:paraId="1F11BAB4" w14:textId="77777777" w:rsidR="00AB68B6" w:rsidRPr="00610DC3" w:rsidRDefault="00AB68B6" w:rsidP="00DB3AC5">
            <w:pPr>
              <w:spacing w:line="360" w:lineRule="auto"/>
              <w:jc w:val="center"/>
              <w:rPr>
                <w:rFonts w:ascii="Palatino Linotype" w:hAnsi="Palatino Linotype" w:cs="Times New Roman"/>
                <w:b/>
                <w:sz w:val="24"/>
                <w:szCs w:val="24"/>
              </w:rPr>
            </w:pPr>
          </w:p>
          <w:p w14:paraId="06345ABE" w14:textId="2F8C2FB2" w:rsidR="00AB68B6" w:rsidRPr="00610DC3" w:rsidRDefault="00AB68B6" w:rsidP="00811414">
            <w:pPr>
              <w:spacing w:line="360" w:lineRule="auto"/>
              <w:jc w:val="center"/>
              <w:rPr>
                <w:rFonts w:ascii="Palatino Linotype" w:hAnsi="Palatino Linotype" w:cs="Times New Roman"/>
                <w:b/>
                <w:sz w:val="24"/>
                <w:szCs w:val="24"/>
              </w:rPr>
            </w:pPr>
            <w:r w:rsidRPr="00610DC3">
              <w:rPr>
                <w:rFonts w:ascii="Palatino Linotype" w:hAnsi="Palatino Linotype" w:cs="Times New Roman"/>
                <w:b/>
                <w:sz w:val="24"/>
                <w:szCs w:val="24"/>
              </w:rPr>
              <w:t xml:space="preserve">Solicitud </w:t>
            </w:r>
            <w:r w:rsidR="00811414" w:rsidRPr="00610DC3">
              <w:rPr>
                <w:rFonts w:ascii="Palatino Linotype" w:hAnsi="Palatino Linotype" w:cs="Arial"/>
                <w:b/>
                <w:bCs/>
                <w:sz w:val="24"/>
                <w:szCs w:val="24"/>
                <w:lang w:val="es-ES_tradnl" w:eastAsia="es-ES"/>
              </w:rPr>
              <w:t>00370/IXTASAL/IP/2020</w:t>
            </w:r>
            <w:r w:rsidRPr="00610DC3">
              <w:rPr>
                <w:rFonts w:ascii="Palatino Linotype" w:hAnsi="Palatino Linotype" w:cs="Arial"/>
                <w:b/>
                <w:bCs/>
                <w:sz w:val="24"/>
                <w:szCs w:val="24"/>
                <w:lang w:val="es-ES_tradnl" w:eastAsia="es-ES"/>
              </w:rPr>
              <w:t>:</w:t>
            </w:r>
            <w:r w:rsidRPr="00610DC3">
              <w:rPr>
                <w:rFonts w:ascii="Palatino Linotype" w:eastAsia="MS Mincho" w:hAnsi="Palatino Linotype" w:cs="Times New Roman"/>
                <w:sz w:val="24"/>
                <w:szCs w:val="24"/>
                <w:lang w:val="es-ES_tradnl" w:eastAsia="es-ES"/>
              </w:rPr>
              <w:t xml:space="preserve">  </w:t>
            </w:r>
          </w:p>
        </w:tc>
      </w:tr>
      <w:tr w:rsidR="00AB68B6" w:rsidRPr="00610DC3" w14:paraId="096CD2EB" w14:textId="77777777" w:rsidTr="00DB3AC5">
        <w:trPr>
          <w:trHeight w:val="582"/>
        </w:trPr>
        <w:tc>
          <w:tcPr>
            <w:tcW w:w="1135" w:type="dxa"/>
            <w:shd w:val="clear" w:color="auto" w:fill="DBDBDB"/>
          </w:tcPr>
          <w:p w14:paraId="4337AE81" w14:textId="77777777" w:rsidR="00AB68B6" w:rsidRPr="00610DC3" w:rsidRDefault="00AB68B6" w:rsidP="00DB3AC5">
            <w:pPr>
              <w:spacing w:line="360" w:lineRule="auto"/>
              <w:rPr>
                <w:rFonts w:ascii="Palatino Linotype" w:hAnsi="Palatino Linotype" w:cs="Times New Roman"/>
                <w:sz w:val="24"/>
                <w:szCs w:val="24"/>
              </w:rPr>
            </w:pPr>
          </w:p>
          <w:p w14:paraId="4A2E715D"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No:</w:t>
            </w:r>
          </w:p>
        </w:tc>
        <w:tc>
          <w:tcPr>
            <w:tcW w:w="2833" w:type="dxa"/>
            <w:shd w:val="clear" w:color="auto" w:fill="DBDBDB"/>
          </w:tcPr>
          <w:p w14:paraId="72BFE934" w14:textId="77777777" w:rsidR="00AB68B6" w:rsidRPr="00610DC3" w:rsidRDefault="00AB68B6" w:rsidP="00DB3AC5">
            <w:pPr>
              <w:spacing w:line="360" w:lineRule="auto"/>
              <w:jc w:val="center"/>
              <w:rPr>
                <w:rFonts w:ascii="Palatino Linotype" w:hAnsi="Palatino Linotype" w:cs="Times New Roman"/>
                <w:sz w:val="24"/>
                <w:szCs w:val="24"/>
              </w:rPr>
            </w:pPr>
          </w:p>
          <w:p w14:paraId="476269B9"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Información Requerida:</w:t>
            </w:r>
          </w:p>
        </w:tc>
        <w:tc>
          <w:tcPr>
            <w:tcW w:w="3545" w:type="dxa"/>
            <w:shd w:val="clear" w:color="auto" w:fill="DBDBDB"/>
          </w:tcPr>
          <w:p w14:paraId="257EC589" w14:textId="77777777" w:rsidR="00AB68B6" w:rsidRPr="00610DC3" w:rsidRDefault="00AB68B6" w:rsidP="00DB3AC5">
            <w:pPr>
              <w:spacing w:line="360" w:lineRule="auto"/>
              <w:jc w:val="center"/>
              <w:rPr>
                <w:rFonts w:ascii="Palatino Linotype" w:hAnsi="Palatino Linotype" w:cs="Times New Roman"/>
                <w:sz w:val="24"/>
                <w:szCs w:val="24"/>
              </w:rPr>
            </w:pPr>
          </w:p>
          <w:p w14:paraId="0B6CDEC2"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Información entregada:</w:t>
            </w:r>
          </w:p>
        </w:tc>
        <w:tc>
          <w:tcPr>
            <w:tcW w:w="1560" w:type="dxa"/>
            <w:shd w:val="clear" w:color="auto" w:fill="DBDBDB"/>
          </w:tcPr>
          <w:p w14:paraId="6AAA5E9D" w14:textId="77777777" w:rsidR="00AB68B6" w:rsidRPr="00610DC3" w:rsidRDefault="00AB68B6" w:rsidP="00DB3AC5">
            <w:pPr>
              <w:spacing w:line="360" w:lineRule="auto"/>
              <w:jc w:val="center"/>
              <w:rPr>
                <w:rFonts w:ascii="Palatino Linotype" w:hAnsi="Palatino Linotype" w:cs="Times New Roman"/>
                <w:sz w:val="24"/>
                <w:szCs w:val="24"/>
              </w:rPr>
            </w:pPr>
          </w:p>
          <w:p w14:paraId="24FC9856"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¿Satisface la solicitud?</w:t>
            </w:r>
          </w:p>
        </w:tc>
      </w:tr>
      <w:tr w:rsidR="00AB68B6" w:rsidRPr="00610DC3" w14:paraId="03D3CE73" w14:textId="77777777" w:rsidTr="00DB3AC5">
        <w:trPr>
          <w:trHeight w:val="582"/>
        </w:trPr>
        <w:tc>
          <w:tcPr>
            <w:tcW w:w="1135" w:type="dxa"/>
            <w:shd w:val="clear" w:color="auto" w:fill="auto"/>
          </w:tcPr>
          <w:p w14:paraId="2EE43346" w14:textId="77777777" w:rsidR="00AB68B6" w:rsidRPr="00610DC3" w:rsidRDefault="00AB68B6" w:rsidP="00DB3AC5">
            <w:pPr>
              <w:spacing w:line="360" w:lineRule="auto"/>
              <w:jc w:val="center"/>
              <w:rPr>
                <w:rFonts w:ascii="Palatino Linotype" w:hAnsi="Palatino Linotype" w:cs="Times New Roman"/>
                <w:b/>
                <w:sz w:val="24"/>
                <w:szCs w:val="24"/>
              </w:rPr>
            </w:pPr>
          </w:p>
          <w:p w14:paraId="038FDD39" w14:textId="77777777" w:rsidR="00AB68B6" w:rsidRPr="00610DC3" w:rsidRDefault="00AB68B6" w:rsidP="00DB3AC5">
            <w:pPr>
              <w:spacing w:line="360" w:lineRule="auto"/>
              <w:jc w:val="center"/>
              <w:rPr>
                <w:rFonts w:ascii="Palatino Linotype" w:hAnsi="Palatino Linotype" w:cs="Times New Roman"/>
                <w:b/>
                <w:sz w:val="24"/>
                <w:szCs w:val="24"/>
              </w:rPr>
            </w:pPr>
          </w:p>
          <w:p w14:paraId="4126908D" w14:textId="699ECFC7" w:rsidR="00AB68B6" w:rsidRPr="00610DC3" w:rsidRDefault="00AB68B6" w:rsidP="00DB3AC5">
            <w:pPr>
              <w:spacing w:line="360" w:lineRule="auto"/>
              <w:jc w:val="center"/>
              <w:rPr>
                <w:rFonts w:ascii="Palatino Linotype" w:hAnsi="Palatino Linotype" w:cs="Times New Roman"/>
                <w:b/>
                <w:sz w:val="24"/>
                <w:szCs w:val="24"/>
              </w:rPr>
            </w:pPr>
            <w:r w:rsidRPr="00610DC3">
              <w:rPr>
                <w:rFonts w:ascii="Palatino Linotype" w:hAnsi="Palatino Linotype" w:cs="Times New Roman"/>
                <w:b/>
                <w:sz w:val="24"/>
                <w:szCs w:val="24"/>
              </w:rPr>
              <w:t>4</w:t>
            </w:r>
          </w:p>
        </w:tc>
        <w:tc>
          <w:tcPr>
            <w:tcW w:w="2833" w:type="dxa"/>
            <w:shd w:val="clear" w:color="auto" w:fill="auto"/>
          </w:tcPr>
          <w:p w14:paraId="7F843794" w14:textId="532FEA7B" w:rsidR="00AB68B6" w:rsidRPr="00610DC3" w:rsidRDefault="00287050" w:rsidP="00287050">
            <w:pPr>
              <w:spacing w:line="360" w:lineRule="auto"/>
              <w:contextualSpacing/>
              <w:jc w:val="both"/>
              <w:rPr>
                <w:rFonts w:ascii="Palatino Linotype" w:eastAsia="Times New Roman" w:hAnsi="Palatino Linotype" w:cs="Times New Roman"/>
                <w:i/>
                <w:color w:val="000000"/>
                <w:sz w:val="24"/>
                <w:szCs w:val="24"/>
              </w:rPr>
            </w:pPr>
            <w:r w:rsidRPr="00610DC3">
              <w:rPr>
                <w:rFonts w:ascii="Palatino Linotype" w:eastAsia="MS Mincho" w:hAnsi="Palatino Linotype" w:cs="Times New Roman"/>
                <w:i/>
                <w:sz w:val="24"/>
                <w:szCs w:val="24"/>
                <w:lang w:val="es-ES_tradnl" w:eastAsia="es-ES"/>
              </w:rPr>
              <w:t>“Del Sistema Municipal DIF, solicito, la relación de todos los beneficiarios de los programas que ha ejecutado durante 2019 y 2020.</w:t>
            </w:r>
            <w:r w:rsidRPr="00610DC3">
              <w:rPr>
                <w:rFonts w:ascii="Palatino Linotype" w:hAnsi="Palatino Linotype" w:cs="Arial"/>
                <w:bCs/>
                <w:i/>
                <w:sz w:val="24"/>
                <w:szCs w:val="24"/>
                <w:lang w:val="es-ES_tradnl" w:eastAsia="es-ES"/>
              </w:rPr>
              <w:t>"(Sic)</w:t>
            </w:r>
          </w:p>
        </w:tc>
        <w:tc>
          <w:tcPr>
            <w:tcW w:w="3545" w:type="dxa"/>
            <w:shd w:val="clear" w:color="auto" w:fill="auto"/>
          </w:tcPr>
          <w:p w14:paraId="0E31473D" w14:textId="77777777" w:rsidR="00811414" w:rsidRPr="00610DC3" w:rsidRDefault="00CE6AC4" w:rsidP="00811414">
            <w:pPr>
              <w:spacing w:before="240" w:after="240" w:line="360" w:lineRule="auto"/>
              <w:contextualSpacing/>
              <w:jc w:val="both"/>
              <w:rPr>
                <w:rFonts w:ascii="Palatino Linotype" w:hAnsi="Palatino Linotype" w:cs="Arial"/>
                <w:b/>
                <w:bCs/>
                <w:sz w:val="24"/>
                <w:szCs w:val="24"/>
              </w:rPr>
            </w:pPr>
            <w:hyperlink r:id="rId13" w:tgtFrame="_blank" w:history="1">
              <w:r w:rsidR="00811414" w:rsidRPr="00610DC3">
                <w:rPr>
                  <w:rFonts w:ascii="Palatino Linotype" w:hAnsi="Palatino Linotype" w:cs="Arial"/>
                  <w:b/>
                  <w:bCs/>
                  <w:sz w:val="24"/>
                  <w:szCs w:val="24"/>
                </w:rPr>
                <w:t>Acta de la 11va Sesión Extraordinaria.pdf</w:t>
              </w:r>
            </w:hyperlink>
            <w:r w:rsidR="00811414" w:rsidRPr="00610DC3">
              <w:rPr>
                <w:rFonts w:ascii="Palatino Linotype" w:hAnsi="Palatino Linotype" w:cs="Arial"/>
                <w:b/>
                <w:bCs/>
                <w:sz w:val="24"/>
                <w:szCs w:val="24"/>
              </w:rPr>
              <w:t xml:space="preserve">: </w:t>
            </w:r>
            <w:r w:rsidR="00811414" w:rsidRPr="00610DC3">
              <w:rPr>
                <w:rFonts w:ascii="Palatino Linotype" w:hAnsi="Palatino Linotype" w:cs="Arial"/>
                <w:bCs/>
                <w:sz w:val="24"/>
                <w:szCs w:val="24"/>
              </w:rPr>
              <w:t xml:space="preserve">Documento electrónico que en diecinueve (19) hojas contiene el </w:t>
            </w:r>
            <w:r w:rsidR="00811414" w:rsidRPr="00610DC3">
              <w:rPr>
                <w:rFonts w:ascii="Palatino Linotype" w:hAnsi="Palatino Linotype" w:cs="Arial"/>
                <w:bCs/>
                <w:i/>
                <w:sz w:val="24"/>
                <w:szCs w:val="24"/>
              </w:rPr>
              <w:t xml:space="preserve">“ACTA DE LA ONCEAVA SESIÓN EXTRAORDINARIA DEL COMITÉ DE TRANSPARENCIA DEL 15 DE JUNIO DE 2020” </w:t>
            </w:r>
            <w:r w:rsidR="00811414" w:rsidRPr="00610DC3">
              <w:rPr>
                <w:rFonts w:ascii="Palatino Linotype" w:hAnsi="Palatino Linotype" w:cs="Arial"/>
                <w:bCs/>
                <w:sz w:val="24"/>
                <w:szCs w:val="24"/>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00095483" w14:textId="34752C4D" w:rsidR="00AB68B6" w:rsidRPr="00610DC3" w:rsidRDefault="00AB68B6" w:rsidP="00811414">
            <w:pPr>
              <w:spacing w:before="240" w:after="240" w:line="360" w:lineRule="auto"/>
              <w:contextualSpacing/>
              <w:jc w:val="both"/>
              <w:rPr>
                <w:rFonts w:ascii="Palatino Linotype" w:hAnsi="Palatino Linotype" w:cs="Times New Roman"/>
                <w:color w:val="000000" w:themeColor="text1"/>
                <w:sz w:val="24"/>
                <w:szCs w:val="24"/>
              </w:rPr>
            </w:pPr>
          </w:p>
        </w:tc>
        <w:tc>
          <w:tcPr>
            <w:tcW w:w="1560" w:type="dxa"/>
            <w:shd w:val="clear" w:color="auto" w:fill="auto"/>
          </w:tcPr>
          <w:p w14:paraId="00FBD7DF" w14:textId="77777777" w:rsidR="00AB68B6" w:rsidRPr="00610DC3" w:rsidRDefault="00AB68B6" w:rsidP="00DB3AC5">
            <w:pPr>
              <w:spacing w:line="360" w:lineRule="auto"/>
              <w:jc w:val="center"/>
              <w:rPr>
                <w:rFonts w:ascii="Palatino Linotype" w:hAnsi="Palatino Linotype" w:cs="Times New Roman"/>
                <w:sz w:val="24"/>
                <w:szCs w:val="24"/>
              </w:rPr>
            </w:pPr>
          </w:p>
          <w:p w14:paraId="589534EB" w14:textId="77777777" w:rsidR="00AB68B6" w:rsidRPr="00610DC3" w:rsidRDefault="00AB68B6" w:rsidP="00DB3AC5">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 xml:space="preserve"> </w:t>
            </w:r>
          </w:p>
          <w:p w14:paraId="6F1BF79F" w14:textId="77777777" w:rsidR="00AB68B6" w:rsidRPr="00610DC3" w:rsidRDefault="00AB68B6" w:rsidP="00DB3AC5">
            <w:pPr>
              <w:spacing w:line="360" w:lineRule="auto"/>
              <w:jc w:val="center"/>
              <w:rPr>
                <w:rFonts w:ascii="Palatino Linotype" w:hAnsi="Palatino Linotype" w:cs="Times New Roman"/>
                <w:sz w:val="24"/>
                <w:szCs w:val="24"/>
              </w:rPr>
            </w:pPr>
          </w:p>
          <w:p w14:paraId="1EF792A3" w14:textId="77777777" w:rsidR="00AB68B6" w:rsidRPr="00610DC3" w:rsidRDefault="00AB68B6" w:rsidP="00DB3AC5">
            <w:pPr>
              <w:spacing w:line="360" w:lineRule="auto"/>
              <w:rPr>
                <w:rFonts w:ascii="Palatino Linotype" w:hAnsi="Palatino Linotype" w:cs="Times New Roman"/>
                <w:sz w:val="24"/>
                <w:szCs w:val="24"/>
              </w:rPr>
            </w:pPr>
          </w:p>
          <w:p w14:paraId="1AC14511" w14:textId="5BCCFD44" w:rsidR="00AB68B6" w:rsidRPr="00610DC3" w:rsidRDefault="00811414" w:rsidP="001E4EA4">
            <w:pPr>
              <w:spacing w:line="360" w:lineRule="auto"/>
              <w:jc w:val="center"/>
              <w:rPr>
                <w:rFonts w:ascii="Palatino Linotype" w:hAnsi="Palatino Linotype" w:cs="Times New Roman"/>
                <w:sz w:val="24"/>
                <w:szCs w:val="24"/>
              </w:rPr>
            </w:pPr>
            <w:r w:rsidRPr="00610DC3">
              <w:rPr>
                <w:rFonts w:ascii="Palatino Linotype" w:hAnsi="Palatino Linotype" w:cs="Times New Roman"/>
                <w:sz w:val="24"/>
                <w:szCs w:val="24"/>
              </w:rPr>
              <w:t>Sí</w:t>
            </w:r>
          </w:p>
          <w:p w14:paraId="03836C74" w14:textId="77777777" w:rsidR="00AB68B6" w:rsidRPr="00610DC3" w:rsidRDefault="00AB68B6" w:rsidP="00DB3AC5">
            <w:pPr>
              <w:spacing w:line="360" w:lineRule="auto"/>
              <w:jc w:val="center"/>
              <w:rPr>
                <w:rFonts w:ascii="Palatino Linotype" w:hAnsi="Palatino Linotype" w:cs="Times New Roman"/>
                <w:sz w:val="24"/>
                <w:szCs w:val="24"/>
              </w:rPr>
            </w:pPr>
          </w:p>
          <w:p w14:paraId="63E4585C" w14:textId="77777777" w:rsidR="00AB68B6" w:rsidRPr="00610DC3" w:rsidRDefault="00AB68B6" w:rsidP="00DB3AC5">
            <w:pPr>
              <w:spacing w:line="360" w:lineRule="auto"/>
              <w:jc w:val="center"/>
              <w:rPr>
                <w:rFonts w:ascii="Palatino Linotype" w:hAnsi="Palatino Linotype" w:cs="Times New Roman"/>
                <w:sz w:val="24"/>
                <w:szCs w:val="24"/>
              </w:rPr>
            </w:pPr>
          </w:p>
          <w:p w14:paraId="4A1EA06E" w14:textId="77777777" w:rsidR="00AB68B6" w:rsidRPr="00610DC3" w:rsidRDefault="00AB68B6" w:rsidP="00DB3AC5">
            <w:pPr>
              <w:spacing w:line="360" w:lineRule="auto"/>
              <w:jc w:val="center"/>
              <w:rPr>
                <w:rFonts w:ascii="Palatino Linotype" w:hAnsi="Palatino Linotype" w:cs="Times New Roman"/>
                <w:sz w:val="24"/>
                <w:szCs w:val="24"/>
              </w:rPr>
            </w:pPr>
          </w:p>
          <w:p w14:paraId="13FD8217" w14:textId="77777777" w:rsidR="00AB68B6" w:rsidRPr="00610DC3" w:rsidRDefault="00AB68B6" w:rsidP="00DB3AC5">
            <w:pPr>
              <w:spacing w:line="360" w:lineRule="auto"/>
              <w:jc w:val="center"/>
              <w:rPr>
                <w:rFonts w:ascii="Palatino Linotype" w:hAnsi="Palatino Linotype" w:cs="Times New Roman"/>
                <w:sz w:val="24"/>
                <w:szCs w:val="24"/>
              </w:rPr>
            </w:pPr>
          </w:p>
          <w:p w14:paraId="7F7475EE" w14:textId="77777777" w:rsidR="00AB68B6" w:rsidRPr="00610DC3" w:rsidRDefault="00AB68B6" w:rsidP="00DB3AC5">
            <w:pPr>
              <w:spacing w:line="360" w:lineRule="auto"/>
              <w:jc w:val="center"/>
              <w:rPr>
                <w:rFonts w:ascii="Palatino Linotype" w:hAnsi="Palatino Linotype" w:cs="Times New Roman"/>
                <w:sz w:val="24"/>
                <w:szCs w:val="24"/>
              </w:rPr>
            </w:pPr>
          </w:p>
          <w:p w14:paraId="31DD39E7" w14:textId="77777777" w:rsidR="00AB68B6" w:rsidRPr="00610DC3" w:rsidRDefault="00AB68B6" w:rsidP="00DB3AC5">
            <w:pPr>
              <w:spacing w:line="360" w:lineRule="auto"/>
              <w:jc w:val="center"/>
              <w:rPr>
                <w:rFonts w:ascii="Palatino Linotype" w:hAnsi="Palatino Linotype" w:cs="Times New Roman"/>
                <w:sz w:val="24"/>
                <w:szCs w:val="24"/>
              </w:rPr>
            </w:pPr>
          </w:p>
          <w:p w14:paraId="0F0311F0" w14:textId="77777777" w:rsidR="00AB68B6" w:rsidRPr="00610DC3" w:rsidRDefault="00AB68B6" w:rsidP="00DB3AC5">
            <w:pPr>
              <w:spacing w:line="360" w:lineRule="auto"/>
              <w:jc w:val="center"/>
              <w:rPr>
                <w:rFonts w:ascii="Palatino Linotype" w:hAnsi="Palatino Linotype" w:cs="Times New Roman"/>
                <w:sz w:val="24"/>
                <w:szCs w:val="24"/>
              </w:rPr>
            </w:pPr>
          </w:p>
        </w:tc>
      </w:tr>
    </w:tbl>
    <w:p w14:paraId="00C46A0F" w14:textId="77777777" w:rsidR="00AB68B6" w:rsidRPr="00610DC3" w:rsidRDefault="00AB68B6" w:rsidP="00CE4010">
      <w:pPr>
        <w:spacing w:after="160" w:line="360" w:lineRule="auto"/>
        <w:contextualSpacing/>
        <w:jc w:val="both"/>
        <w:rPr>
          <w:rFonts w:ascii="Palatino Linotype" w:eastAsia="Times New Roman" w:hAnsi="Palatino Linotype" w:cs="Arial"/>
          <w:lang w:val="es-ES" w:eastAsia="en-US"/>
        </w:rPr>
      </w:pPr>
    </w:p>
    <w:p w14:paraId="7B21F013" w14:textId="527F161A" w:rsidR="00811414" w:rsidRPr="00610DC3" w:rsidRDefault="009621AA" w:rsidP="00811414">
      <w:pPr>
        <w:numPr>
          <w:ilvl w:val="0"/>
          <w:numId w:val="1"/>
        </w:numPr>
        <w:spacing w:after="160" w:line="360" w:lineRule="auto"/>
        <w:ind w:left="0" w:firstLine="0"/>
        <w:contextualSpacing/>
        <w:jc w:val="both"/>
        <w:rPr>
          <w:rFonts w:ascii="Palatino Linotype" w:eastAsia="Times New Roman" w:hAnsi="Palatino Linotype" w:cs="Arial"/>
          <w:lang w:val="es-ES" w:eastAsia="en-US"/>
        </w:rPr>
      </w:pPr>
      <w:r w:rsidRPr="00610DC3">
        <w:rPr>
          <w:rFonts w:ascii="Palatino Linotype" w:eastAsia="Times New Roman" w:hAnsi="Palatino Linotype" w:cs="Arial"/>
          <w:lang w:val="es-ES" w:eastAsia="en-US"/>
        </w:rPr>
        <w:t>Así</w:t>
      </w:r>
      <w:r w:rsidR="00811414" w:rsidRPr="00610DC3">
        <w:rPr>
          <w:rFonts w:ascii="Palatino Linotype" w:eastAsia="Times New Roman" w:hAnsi="Palatino Linotype" w:cs="Arial"/>
          <w:lang w:val="es-ES" w:eastAsia="en-US"/>
        </w:rPr>
        <w:t xml:space="preserve">, el </w:t>
      </w:r>
      <w:r w:rsidR="00811414" w:rsidRPr="00610DC3">
        <w:rPr>
          <w:rFonts w:ascii="Palatino Linotype" w:eastAsia="Times New Roman" w:hAnsi="Palatino Linotype" w:cs="Arial"/>
          <w:b/>
          <w:lang w:val="es-ES" w:eastAsia="en-US"/>
        </w:rPr>
        <w:t>SUJETO OBLIGADO</w:t>
      </w:r>
      <w:r w:rsidR="00811414" w:rsidRPr="00610DC3">
        <w:rPr>
          <w:rFonts w:ascii="Palatino Linotype" w:eastAsia="Times New Roman" w:hAnsi="Palatino Linotype" w:cs="Arial"/>
          <w:lang w:val="es-ES" w:eastAsia="en-US"/>
        </w:rPr>
        <w:t xml:space="preserve"> entregó a modo de respuesta para cada una de las solicitudes de información el Acta de la Onceava Sesión Extraordinaria de su Comité de Transparencia, celebrada el quince (15) de junio de dos mil veinte, a través del cual, esencialmente, se decretó lo siguiente:</w:t>
      </w:r>
    </w:p>
    <w:p w14:paraId="200E60C5" w14:textId="77777777" w:rsidR="00EC0FA1" w:rsidRPr="00610DC3" w:rsidRDefault="00EC0FA1" w:rsidP="00EC0FA1">
      <w:pPr>
        <w:spacing w:after="160" w:line="360" w:lineRule="auto"/>
        <w:contextualSpacing/>
        <w:jc w:val="both"/>
        <w:rPr>
          <w:rFonts w:ascii="Palatino Linotype" w:eastAsia="Times New Roman" w:hAnsi="Palatino Linotype" w:cs="Arial"/>
          <w:lang w:val="es-ES" w:eastAsia="en-US"/>
        </w:rPr>
      </w:pPr>
    </w:p>
    <w:p w14:paraId="70B40695" w14:textId="5E1FD44F" w:rsidR="00EC0FA1" w:rsidRPr="00610DC3" w:rsidRDefault="00EC0FA1" w:rsidP="00EA2332">
      <w:pPr>
        <w:numPr>
          <w:ilvl w:val="0"/>
          <w:numId w:val="1"/>
        </w:numPr>
        <w:spacing w:after="160" w:line="360" w:lineRule="auto"/>
        <w:ind w:left="0" w:firstLine="0"/>
        <w:contextualSpacing/>
        <w:jc w:val="both"/>
        <w:rPr>
          <w:rFonts w:ascii="Palatino Linotype" w:eastAsia="Times New Roman" w:hAnsi="Palatino Linotype" w:cs="Arial"/>
          <w:lang w:val="es-ES" w:eastAsia="en-US"/>
        </w:rPr>
      </w:pPr>
      <w:r w:rsidRPr="00610DC3">
        <w:rPr>
          <w:rFonts w:ascii="Palatino Linotype" w:eastAsia="Times New Roman" w:hAnsi="Palatino Linotype" w:cs="Arial"/>
          <w:lang w:val="es-ES" w:eastAsia="en-US"/>
        </w:rPr>
        <w:t xml:space="preserve">Apuntado lo anterior, por cuanto hace a los puntos 1 y 5 del cuadro de análisis antes referido el particular requiere acceso a diversos recibos de pago a lo cual el </w:t>
      </w:r>
      <w:r w:rsidRPr="00610DC3">
        <w:rPr>
          <w:rFonts w:ascii="Palatino Linotype" w:eastAsia="Times New Roman" w:hAnsi="Palatino Linotype" w:cs="Arial"/>
          <w:b/>
          <w:lang w:val="es-ES" w:eastAsia="en-US"/>
        </w:rPr>
        <w:t xml:space="preserve">SUJETO OBLIGADO </w:t>
      </w:r>
      <w:r w:rsidRPr="00610DC3">
        <w:rPr>
          <w:rFonts w:ascii="Palatino Linotype" w:eastAsia="Times New Roman" w:hAnsi="Palatino Linotype" w:cs="Arial"/>
          <w:lang w:val="es-ES" w:eastAsia="en-US"/>
        </w:rPr>
        <w:t>entregó en calidad de respuesta el Acta de la Onceava Sesión Extraordinaria de su Comité de Transparencia, celebrada el quince (15) de junio de dos</w:t>
      </w:r>
      <w:r w:rsidR="00A43652" w:rsidRPr="00610DC3">
        <w:rPr>
          <w:rFonts w:ascii="Palatino Linotype" w:eastAsia="Times New Roman" w:hAnsi="Palatino Linotype" w:cs="Arial"/>
          <w:lang w:val="es-ES" w:eastAsia="en-US"/>
        </w:rPr>
        <w:t xml:space="preserve"> mil veinte, a través de la cual, esencialmente, se decretó lo siguiente: </w:t>
      </w:r>
    </w:p>
    <w:p w14:paraId="70438BE1" w14:textId="77777777" w:rsidR="00A43652" w:rsidRPr="00610DC3" w:rsidRDefault="00A43652" w:rsidP="00A43652">
      <w:pPr>
        <w:spacing w:after="160" w:line="360" w:lineRule="auto"/>
        <w:contextualSpacing/>
        <w:jc w:val="both"/>
        <w:rPr>
          <w:rFonts w:ascii="Palatino Linotype" w:eastAsia="Times New Roman" w:hAnsi="Palatino Linotype" w:cs="Arial"/>
          <w:lang w:eastAsia="en-US"/>
        </w:rPr>
      </w:pPr>
    </w:p>
    <w:p w14:paraId="6A5A2628" w14:textId="555D7003" w:rsidR="00A43652" w:rsidRPr="00610DC3" w:rsidRDefault="00A43652" w:rsidP="00A43652">
      <w:pPr>
        <w:spacing w:after="160" w:line="360" w:lineRule="auto"/>
        <w:ind w:left="567" w:right="616"/>
        <w:contextualSpacing/>
        <w:jc w:val="both"/>
        <w:rPr>
          <w:rFonts w:ascii="Palatino Linotype" w:eastAsia="Times New Roman" w:hAnsi="Palatino Linotype" w:cs="Arial"/>
          <w:lang w:eastAsia="en-US"/>
        </w:rPr>
      </w:pPr>
      <w:r w:rsidRPr="00610DC3">
        <w:rPr>
          <w:rFonts w:ascii="Palatino Linotype" w:eastAsia="Times New Roman" w:hAnsi="Palatino Linotype" w:cs="Arial"/>
          <w:i/>
          <w:iCs/>
          <w:lang w:eastAsia="en-US"/>
        </w:rPr>
        <w:t xml:space="preserve">“Se tiene aprobado por </w:t>
      </w:r>
      <w:r w:rsidRPr="00610DC3">
        <w:rPr>
          <w:rFonts w:ascii="Palatino Linotype" w:eastAsia="Times New Roman" w:hAnsi="Palatino Linotype" w:cs="Arial"/>
          <w:b/>
          <w:bCs/>
          <w:i/>
          <w:iCs/>
          <w:lang w:eastAsia="en-US"/>
        </w:rPr>
        <w:t>unanimidad de votos</w:t>
      </w:r>
      <w:r w:rsidRPr="00610DC3">
        <w:rPr>
          <w:rFonts w:ascii="Palatino Linotype" w:eastAsia="Times New Roman" w:hAnsi="Palatino Linotype" w:cs="Arial"/>
          <w:i/>
          <w:iCs/>
          <w:lang w:eastAsia="en-US"/>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 </w:t>
      </w:r>
      <w:r w:rsidR="00811414" w:rsidRPr="00610DC3">
        <w:rPr>
          <w:rFonts w:ascii="Palatino Linotype" w:eastAsia="Times New Roman" w:hAnsi="Palatino Linotype" w:cs="Arial"/>
          <w:i/>
          <w:iCs/>
          <w:lang w:eastAsia="en-US"/>
        </w:rPr>
        <w:t xml:space="preserve">00297/IXTASAL/IP/2020, </w:t>
      </w:r>
      <w:r w:rsidRPr="00610DC3">
        <w:rPr>
          <w:rFonts w:ascii="Palatino Linotype" w:eastAsia="Times New Roman" w:hAnsi="Palatino Linotype" w:cs="Arial"/>
          <w:i/>
          <w:iCs/>
          <w:lang w:eastAsia="en-US"/>
        </w:rPr>
        <w:t>(…),</w:t>
      </w:r>
      <w:r w:rsidR="00811414" w:rsidRPr="00610DC3">
        <w:rPr>
          <w:rFonts w:ascii="Palatino Linotype" w:eastAsia="Times New Roman" w:hAnsi="Palatino Linotype" w:cs="Arial"/>
          <w:i/>
          <w:iCs/>
          <w:lang w:eastAsia="en-US"/>
        </w:rPr>
        <w:t xml:space="preserve"> 00364/IXTASAL/IP/2020, (…)</w:t>
      </w:r>
      <w:r w:rsidR="003C63D2" w:rsidRPr="00610DC3">
        <w:rPr>
          <w:rFonts w:ascii="Palatino Linotype" w:eastAsia="Times New Roman" w:hAnsi="Palatino Linotype" w:cs="Arial"/>
          <w:i/>
          <w:iCs/>
          <w:lang w:eastAsia="en-US"/>
        </w:rPr>
        <w:t>, 00369/IXTASAL/IP/2020</w:t>
      </w:r>
      <w:r w:rsidRPr="00610DC3">
        <w:rPr>
          <w:rFonts w:ascii="Palatino Linotype" w:eastAsia="Times New Roman" w:hAnsi="Palatino Linotype" w:cs="Arial"/>
          <w:i/>
          <w:iCs/>
          <w:lang w:eastAsia="en-US"/>
        </w:rPr>
        <w:t xml:space="preserve"> </w:t>
      </w:r>
      <w:r w:rsidRPr="00610DC3">
        <w:rPr>
          <w:rFonts w:ascii="Palatino Linotype" w:eastAsia="Times New Roman" w:hAnsi="Palatino Linotype" w:cs="Arial"/>
          <w:lang w:eastAsia="en-US"/>
        </w:rPr>
        <w:t>y</w:t>
      </w:r>
      <w:r w:rsidR="003C63D2" w:rsidRPr="00610DC3">
        <w:rPr>
          <w:rFonts w:ascii="Palatino Linotype" w:eastAsia="Times New Roman" w:hAnsi="Palatino Linotype" w:cs="Arial"/>
          <w:i/>
          <w:iCs/>
          <w:lang w:eastAsia="en-US"/>
        </w:rPr>
        <w:t xml:space="preserve"> 00370/IXTASAL/IP/2020</w:t>
      </w:r>
      <w:r w:rsidRPr="00610DC3">
        <w:rPr>
          <w:rFonts w:ascii="Palatino Linotype" w:eastAsia="Times New Roman" w:hAnsi="Palatino Linotype" w:cs="Arial"/>
          <w:i/>
          <w:iCs/>
          <w:lang w:eastAsia="en-US"/>
        </w:rPr>
        <w:t xml:space="preserve">, sean puestas a disposición del solicitante mediante </w:t>
      </w:r>
      <w:r w:rsidRPr="00610DC3">
        <w:rPr>
          <w:rFonts w:ascii="Palatino Linotype" w:eastAsia="Times New Roman" w:hAnsi="Palatino Linotype" w:cs="Arial"/>
          <w:b/>
          <w:bCs/>
          <w:i/>
          <w:iCs/>
          <w:lang w:eastAsia="en-US"/>
        </w:rPr>
        <w:t xml:space="preserve">consulta directa (in situ), </w:t>
      </w:r>
      <w:r w:rsidRPr="00610DC3">
        <w:rPr>
          <w:rFonts w:ascii="Palatino Linotype" w:eastAsia="Times New Roman" w:hAnsi="Palatino Linotype" w:cs="Arial"/>
          <w:i/>
          <w:iCs/>
          <w:lang w:eastAsia="en-US"/>
        </w:rPr>
        <w:t xml:space="preserve">en términos de los artículos 1, 2, 4, 7, 8, 10, 11, primer párrafo, 12, 14, 15, 21, 22, 49 fracción XII, 158, primer párrafo y 165, primer párrafo de la Ley de Transparencia y Acceso a la Información Pública del Estado de México y Municipios; con el apercibimiento de que si transcurrido el plazo establecido en el precepto legal de referencia, el solicitante no acude a consultar la información requerida en el término de </w:t>
      </w:r>
      <w:r w:rsidRPr="00610DC3">
        <w:rPr>
          <w:rFonts w:ascii="Palatino Linotype" w:eastAsia="Times New Roman" w:hAnsi="Palatino Linotype" w:cs="Arial"/>
          <w:b/>
          <w:bCs/>
          <w:i/>
          <w:iCs/>
          <w:lang w:eastAsia="en-US"/>
        </w:rPr>
        <w:t>sesenta días hábiles</w:t>
      </w:r>
      <w:r w:rsidRPr="00610DC3">
        <w:rPr>
          <w:rFonts w:ascii="Palatino Linotype" w:eastAsia="Times New Roman" w:hAnsi="Palatino Linotype" w:cs="Arial"/>
          <w:i/>
          <w:iCs/>
          <w:lang w:eastAsia="en-US"/>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w:t>
      </w:r>
      <w:r w:rsidRPr="00610DC3">
        <w:rPr>
          <w:rFonts w:ascii="Palatino Linotype" w:eastAsia="Times New Roman" w:hAnsi="Palatino Linotype" w:cs="Arial"/>
          <w:i/>
          <w:iCs/>
          <w:lang w:eastAsia="en-US"/>
        </w:rPr>
        <w:lastRenderedPageBreak/>
        <w:t xml:space="preserve">solicitudes y se procederá, de ser el caso, a la destrucción del materia en el que se reprodujo la información” </w:t>
      </w:r>
      <w:r w:rsidRPr="00610DC3">
        <w:rPr>
          <w:rFonts w:ascii="Palatino Linotype" w:eastAsia="Times New Roman" w:hAnsi="Palatino Linotype" w:cs="Arial"/>
          <w:lang w:eastAsia="en-US"/>
        </w:rPr>
        <w:t>(Sic).</w:t>
      </w:r>
    </w:p>
    <w:p w14:paraId="1A3E2BB7" w14:textId="77777777" w:rsidR="00A43652" w:rsidRPr="00610DC3" w:rsidRDefault="00A43652" w:rsidP="00A43652">
      <w:pPr>
        <w:spacing w:after="160" w:line="360" w:lineRule="auto"/>
        <w:contextualSpacing/>
        <w:jc w:val="both"/>
        <w:rPr>
          <w:rFonts w:ascii="Palatino Linotype" w:eastAsia="Times New Roman" w:hAnsi="Palatino Linotype" w:cs="Arial"/>
          <w:lang w:val="es-ES" w:eastAsia="en-US"/>
        </w:rPr>
      </w:pPr>
    </w:p>
    <w:p w14:paraId="7B4D95D2" w14:textId="77777777" w:rsidR="00A43652" w:rsidRPr="00610DC3" w:rsidRDefault="00A43652" w:rsidP="00A43652">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610DC3">
        <w:rPr>
          <w:rFonts w:ascii="Palatino Linotype" w:eastAsia="Times New Roman" w:hAnsi="Palatino Linotype" w:cs="Arial"/>
          <w:lang w:val="es-ES" w:eastAsia="en-US"/>
        </w:rPr>
        <w:t xml:space="preserve">De lo anterior se colige que el </w:t>
      </w:r>
      <w:r w:rsidRPr="00610DC3">
        <w:rPr>
          <w:rFonts w:ascii="Palatino Linotype" w:eastAsia="Times New Roman" w:hAnsi="Palatino Linotype" w:cs="Arial"/>
          <w:b/>
          <w:lang w:val="es-ES" w:eastAsia="en-US"/>
        </w:rPr>
        <w:t>SUJETO OBLIGADO</w:t>
      </w:r>
      <w:r w:rsidRPr="00610DC3">
        <w:rPr>
          <w:rFonts w:ascii="Palatino Linotype" w:eastAsia="Times New Roman" w:hAnsi="Palatino Linotype" w:cs="Arial"/>
          <w:lang w:val="es-ES" w:eastAsia="en-US"/>
        </w:rPr>
        <w:t xml:space="preserve"> determinó cambiar la modalidad de entrega de la información vía in situ, y otorgar un plazo de 60 días hábiles, a partir de que las autoridades sanitarias correspondientes determinen la reanudación de actividades gubernamentales, para que la </w:t>
      </w:r>
      <w:r w:rsidRPr="00610DC3">
        <w:rPr>
          <w:rFonts w:ascii="Palatino Linotype" w:eastAsia="Times New Roman" w:hAnsi="Palatino Linotype" w:cs="Arial"/>
          <w:b/>
          <w:lang w:val="es-ES" w:eastAsia="en-US"/>
        </w:rPr>
        <w:t>RECURRENTE</w:t>
      </w:r>
      <w:r w:rsidRPr="00610DC3">
        <w:rPr>
          <w:rFonts w:ascii="Palatino Linotype" w:eastAsia="Times New Roman" w:hAnsi="Palatino Linotype" w:cs="Arial"/>
          <w:lang w:val="es-ES" w:eastAsia="en-US"/>
        </w:rPr>
        <w:t xml:space="preserve"> pueda consultar la información.</w:t>
      </w:r>
    </w:p>
    <w:p w14:paraId="56EDFDEA" w14:textId="77777777" w:rsidR="00A43652" w:rsidRPr="00610DC3" w:rsidRDefault="00A43652" w:rsidP="00A43652">
      <w:pPr>
        <w:pStyle w:val="Prrafodelista"/>
        <w:spacing w:after="160" w:line="360" w:lineRule="auto"/>
        <w:ind w:left="0"/>
        <w:jc w:val="both"/>
        <w:rPr>
          <w:rFonts w:ascii="Palatino Linotype" w:eastAsia="Times New Roman" w:hAnsi="Palatino Linotype" w:cs="Arial"/>
          <w:lang w:val="es-ES" w:eastAsia="en-US"/>
        </w:rPr>
      </w:pPr>
    </w:p>
    <w:p w14:paraId="2B31C244" w14:textId="77777777" w:rsidR="00A43652" w:rsidRPr="00610DC3" w:rsidRDefault="00A43652" w:rsidP="00A43652">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610DC3">
        <w:rPr>
          <w:rFonts w:ascii="Palatino Linotype" w:eastAsia="Times New Roman" w:hAnsi="Palatino Linotype" w:cs="Arial"/>
          <w:lang w:val="es-ES" w:eastAsia="en-US"/>
        </w:rPr>
        <w:t xml:space="preserve">Dicho lo anterior, toda vez que el </w:t>
      </w:r>
      <w:r w:rsidRPr="00610DC3">
        <w:rPr>
          <w:rFonts w:ascii="Palatino Linotype" w:eastAsia="Times New Roman" w:hAnsi="Palatino Linotype" w:cs="Arial"/>
          <w:b/>
          <w:lang w:val="es-ES" w:eastAsia="en-US"/>
        </w:rPr>
        <w:t>SUJETO OBLIGADO</w:t>
      </w:r>
      <w:r w:rsidRPr="00610DC3">
        <w:rPr>
          <w:rFonts w:ascii="Palatino Linotype" w:eastAsia="Times New Roman" w:hAnsi="Palatino Linotype" w:cs="Arial"/>
          <w:lang w:val="es-ES" w:eastAsia="en-US"/>
        </w:rPr>
        <w:t xml:space="preserve"> se pronunció respecto de la información solicitada, conviene obviar el análisis de competencia del </w:t>
      </w:r>
      <w:r w:rsidRPr="00610DC3">
        <w:rPr>
          <w:rFonts w:ascii="Palatino Linotype" w:eastAsia="Times New Roman" w:hAnsi="Palatino Linotype" w:cs="Arial"/>
          <w:b/>
          <w:lang w:val="es-ES" w:eastAsia="en-US"/>
        </w:rPr>
        <w:t>SUJETO OBLIGADO</w:t>
      </w:r>
      <w:r w:rsidRPr="00610DC3">
        <w:rPr>
          <w:rFonts w:ascii="Palatino Linotype" w:eastAsia="Times New Roman" w:hAnsi="Palatino Linotype" w:cs="Arial"/>
          <w:lang w:val="es-ES" w:eastAsia="en-US"/>
        </w:rPr>
        <w:t xml:space="preserve"> para generar, administrar o poseer la misma, dado que éste asumió la competencia mediante su respuesta a la solicitud de información.</w:t>
      </w:r>
    </w:p>
    <w:p w14:paraId="3D84D101" w14:textId="77777777" w:rsidR="00A43652" w:rsidRPr="00610DC3" w:rsidRDefault="00A43652" w:rsidP="00A43652">
      <w:pPr>
        <w:pStyle w:val="Prrafodelista"/>
        <w:rPr>
          <w:rFonts w:ascii="Palatino Linotype" w:eastAsia="Times New Roman" w:hAnsi="Palatino Linotype" w:cs="Arial"/>
          <w:lang w:val="es-ES" w:eastAsia="en-US"/>
        </w:rPr>
      </w:pPr>
    </w:p>
    <w:p w14:paraId="7D11A8D5" w14:textId="4D56B04A" w:rsidR="003C63D2" w:rsidRPr="00610DC3" w:rsidRDefault="00A43652" w:rsidP="003C63D2">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610DC3">
        <w:rPr>
          <w:rFonts w:ascii="Palatino Linotype" w:eastAsia="Times New Roman" w:hAnsi="Palatino Linotype" w:cs="Arial"/>
          <w:lang w:val="es-ES" w:eastAsia="en-US"/>
        </w:rPr>
        <w:t xml:space="preserve">Lo anterior encuentra lógica toda vez que el estudio de la naturaleza jurídica de la información pública solicitada tiene por objeto determinar si ésta la genera, posee o administra el </w:t>
      </w:r>
      <w:r w:rsidRPr="00610DC3">
        <w:rPr>
          <w:rFonts w:ascii="Palatino Linotype" w:eastAsia="Times New Roman" w:hAnsi="Palatino Linotype" w:cs="Arial"/>
          <w:b/>
          <w:lang w:val="es-ES" w:eastAsia="en-US"/>
        </w:rPr>
        <w:t>SUJETO OBLIGADO</w:t>
      </w:r>
      <w:r w:rsidRPr="00610DC3">
        <w:rPr>
          <w:rFonts w:ascii="Palatino Linotype" w:eastAsia="Times New Roman" w:hAnsi="Palatino Linotype" w:cs="Arial"/>
          <w:lang w:val="es-ES" w:eastAsia="en-US"/>
        </w:rPr>
        <w:t>; empero, en aquellos casos en que éste la asume, implica de facto que la genera, posee o administra. Por consiguiente, a nada práctico nos conduciría su estudio, ya que, se insiste, la información pública solicitada, consistente en</w:t>
      </w:r>
      <w:r w:rsidR="009B3E7E" w:rsidRPr="00610DC3">
        <w:rPr>
          <w:rFonts w:ascii="Palatino Linotype" w:eastAsia="Times New Roman" w:hAnsi="Palatino Linotype" w:cs="Arial"/>
          <w:lang w:val="es-ES" w:eastAsia="en-US"/>
        </w:rPr>
        <w:t xml:space="preserve"> el los recibos de pago</w:t>
      </w:r>
      <w:r w:rsidRPr="00610DC3">
        <w:rPr>
          <w:rFonts w:ascii="Palatino Linotype" w:eastAsia="Times New Roman" w:hAnsi="Palatino Linotype" w:cs="Arial"/>
          <w:lang w:val="es-ES" w:eastAsia="en-US"/>
        </w:rPr>
        <w:t xml:space="preserve">, ha sido asumida por el </w:t>
      </w:r>
      <w:r w:rsidRPr="00610DC3">
        <w:rPr>
          <w:rFonts w:ascii="Palatino Linotype" w:eastAsia="Times New Roman" w:hAnsi="Palatino Linotype" w:cs="Arial"/>
          <w:b/>
          <w:lang w:val="es-ES" w:eastAsia="en-US"/>
        </w:rPr>
        <w:t>SUJETO OBLIGADO</w:t>
      </w:r>
      <w:r w:rsidRPr="00610DC3">
        <w:rPr>
          <w:rFonts w:ascii="Palatino Linotype" w:eastAsia="Times New Roman" w:hAnsi="Palatino Linotype" w:cs="Arial"/>
          <w:lang w:val="es-ES" w:eastAsia="en-US"/>
        </w:rPr>
        <w:t>, tan es así que ofreció la información mediante Consulta Directa.</w:t>
      </w:r>
    </w:p>
    <w:p w14:paraId="02DB72AD" w14:textId="77777777" w:rsidR="00DD3B59" w:rsidRPr="00610DC3" w:rsidRDefault="00DD3B59" w:rsidP="00DD3B59">
      <w:pPr>
        <w:pStyle w:val="Prrafodelista"/>
        <w:spacing w:after="160" w:line="360" w:lineRule="auto"/>
        <w:ind w:left="0"/>
        <w:jc w:val="both"/>
        <w:rPr>
          <w:rFonts w:ascii="Palatino Linotype" w:eastAsia="Times New Roman" w:hAnsi="Palatino Linotype" w:cs="Arial"/>
          <w:lang w:val="es-ES" w:eastAsia="en-US"/>
        </w:rPr>
      </w:pPr>
    </w:p>
    <w:p w14:paraId="337D8D90" w14:textId="3C819F2B" w:rsidR="003C63D2" w:rsidRPr="00610DC3" w:rsidRDefault="003C63D2" w:rsidP="003C63D2">
      <w:pPr>
        <w:pStyle w:val="Ttulo1"/>
        <w:rPr>
          <w:b/>
          <w:szCs w:val="24"/>
        </w:rPr>
      </w:pPr>
      <w:r w:rsidRPr="00610DC3">
        <w:rPr>
          <w:b/>
          <w:szCs w:val="24"/>
        </w:rPr>
        <w:t xml:space="preserve">II. </w:t>
      </w:r>
      <w:bookmarkStart w:id="70" w:name="_Toc53009725"/>
      <w:r w:rsidRPr="00610DC3">
        <w:rPr>
          <w:b/>
          <w:szCs w:val="24"/>
        </w:rPr>
        <w:t>Del cambio de modalidad de entrega de la información.</w:t>
      </w:r>
      <w:bookmarkEnd w:id="70"/>
      <w:r w:rsidRPr="00610DC3">
        <w:rPr>
          <w:b/>
          <w:szCs w:val="24"/>
        </w:rPr>
        <w:t xml:space="preserve"> </w:t>
      </w:r>
    </w:p>
    <w:p w14:paraId="3CE1572F" w14:textId="77777777" w:rsidR="00DD3B59" w:rsidRPr="00610DC3" w:rsidRDefault="00DD3B59" w:rsidP="00DD3B59">
      <w:pPr>
        <w:rPr>
          <w:lang w:val="es-MX" w:eastAsia="en-US"/>
        </w:rPr>
      </w:pPr>
    </w:p>
    <w:p w14:paraId="17C8FA73" w14:textId="77777777" w:rsidR="003C63D2" w:rsidRPr="00610DC3" w:rsidRDefault="003C63D2" w:rsidP="003C63D2">
      <w:pPr>
        <w:rPr>
          <w:rFonts w:ascii="Palatino Linotype" w:hAnsi="Palatino Linotype"/>
          <w:lang w:val="es-MX" w:eastAsia="en-US"/>
        </w:rPr>
      </w:pPr>
    </w:p>
    <w:p w14:paraId="42A6E518" w14:textId="6424E3B5" w:rsidR="009B3E7E" w:rsidRPr="00610DC3" w:rsidRDefault="003C63D2" w:rsidP="009B3E7E">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610DC3">
        <w:rPr>
          <w:rFonts w:ascii="Palatino Linotype" w:eastAsia="Times New Roman" w:hAnsi="Palatino Linotype" w:cs="Arial"/>
          <w:lang w:val="es-ES" w:eastAsia="en-US"/>
        </w:rPr>
        <w:t>Como ha sido señalado</w:t>
      </w:r>
      <w:r w:rsidR="00A43652" w:rsidRPr="00610DC3">
        <w:rPr>
          <w:rFonts w:ascii="Palatino Linotype" w:eastAsia="Times New Roman" w:hAnsi="Palatino Linotype" w:cs="Arial"/>
          <w:lang w:val="es-ES" w:eastAsia="en-US"/>
        </w:rPr>
        <w:t xml:space="preserve">, </w:t>
      </w:r>
      <w:r w:rsidR="00A43652" w:rsidRPr="00610DC3">
        <w:rPr>
          <w:rFonts w:ascii="Palatino Linotype" w:hAnsi="Palatino Linotype"/>
          <w:color w:val="000000" w:themeColor="text1"/>
        </w:rPr>
        <w:t xml:space="preserve">el </w:t>
      </w:r>
      <w:r w:rsidR="00A43652" w:rsidRPr="00610DC3">
        <w:rPr>
          <w:rFonts w:ascii="Palatino Linotype" w:hAnsi="Palatino Linotype"/>
          <w:b/>
          <w:bCs/>
          <w:color w:val="000000" w:themeColor="text1"/>
        </w:rPr>
        <w:t>SUJETO OBLIGADO</w:t>
      </w:r>
      <w:r w:rsidR="00A43652" w:rsidRPr="00610DC3">
        <w:rPr>
          <w:rFonts w:ascii="Palatino Linotype" w:hAnsi="Palatino Linotype"/>
          <w:color w:val="000000" w:themeColor="text1"/>
        </w:rPr>
        <w:t xml:space="preserve"> entregó, a modo de respuesta, el Acta de la </w:t>
      </w:r>
      <w:r w:rsidR="009B3E7E" w:rsidRPr="00610DC3">
        <w:rPr>
          <w:rFonts w:ascii="Palatino Linotype" w:hAnsi="Palatino Linotype"/>
          <w:color w:val="000000" w:themeColor="text1"/>
        </w:rPr>
        <w:t>Onceava</w:t>
      </w:r>
      <w:r w:rsidR="00A43652" w:rsidRPr="00610DC3">
        <w:rPr>
          <w:rFonts w:ascii="Palatino Linotype" w:hAnsi="Palatino Linotype"/>
          <w:color w:val="000000" w:themeColor="text1"/>
        </w:rPr>
        <w:t xml:space="preserve"> Sesión Ordinaria de su Comité de Transparencia, por medio del cual se determinó cambiar la modalidad de entrega de diversas solicitudes de información a consulta directa, por </w:t>
      </w:r>
      <w:r w:rsidR="009B3E7E" w:rsidRPr="00610DC3">
        <w:rPr>
          <w:rFonts w:ascii="Palatino Linotype" w:hAnsi="Palatino Linotype"/>
          <w:color w:val="000000" w:themeColor="text1"/>
        </w:rPr>
        <w:t>lo que de conformidad con los principios de eficacia y profesionalismo</w:t>
      </w:r>
      <w:r w:rsidR="009B3E7E" w:rsidRPr="00610DC3">
        <w:rPr>
          <w:rStyle w:val="Refdenotaalpie"/>
          <w:rFonts w:ascii="Palatino Linotype" w:hAnsi="Palatino Linotype"/>
          <w:color w:val="000000" w:themeColor="text1"/>
        </w:rPr>
        <w:footnoteReference w:id="3"/>
      </w:r>
      <w:r w:rsidR="009B3E7E" w:rsidRPr="00610DC3">
        <w:rPr>
          <w:rFonts w:ascii="Palatino Linotype" w:hAnsi="Palatino Linotype"/>
          <w:color w:val="000000" w:themeColor="text1"/>
        </w:rPr>
        <w:t xml:space="preserve"> bajo los cuales se rige este instituto</w:t>
      </w:r>
      <w:r w:rsidR="00A43652" w:rsidRPr="00610DC3">
        <w:rPr>
          <w:rFonts w:ascii="Palatino Linotype" w:hAnsi="Palatino Linotype"/>
          <w:color w:val="000000" w:themeColor="text1"/>
        </w:rPr>
        <w:t xml:space="preserve">, debemos analizar las razones y motivos que justifiquen </w:t>
      </w:r>
      <w:r w:rsidR="009B3E7E" w:rsidRPr="00610DC3">
        <w:rPr>
          <w:rFonts w:ascii="Palatino Linotype" w:hAnsi="Palatino Linotype"/>
          <w:color w:val="000000" w:themeColor="text1"/>
        </w:rPr>
        <w:t xml:space="preserve">dicha acción. </w:t>
      </w:r>
    </w:p>
    <w:p w14:paraId="46D5059F" w14:textId="77777777" w:rsidR="009B3E7E" w:rsidRPr="00610DC3" w:rsidRDefault="009B3E7E" w:rsidP="009B3E7E">
      <w:pPr>
        <w:pStyle w:val="Prrafodelista"/>
        <w:rPr>
          <w:rFonts w:ascii="Palatino Linotype" w:hAnsi="Palatino Linotype"/>
          <w:color w:val="000000" w:themeColor="text1"/>
        </w:rPr>
      </w:pPr>
    </w:p>
    <w:p w14:paraId="26CFBF65" w14:textId="6CAD25FC" w:rsidR="00A43652" w:rsidRPr="00610DC3" w:rsidRDefault="009B3E7E" w:rsidP="009B3E7E">
      <w:pPr>
        <w:pStyle w:val="Prrafodelista"/>
        <w:numPr>
          <w:ilvl w:val="0"/>
          <w:numId w:val="1"/>
        </w:numPr>
        <w:spacing w:after="160" w:line="360" w:lineRule="auto"/>
        <w:ind w:left="0" w:firstLine="0"/>
        <w:jc w:val="both"/>
        <w:rPr>
          <w:rFonts w:ascii="Palatino Linotype" w:eastAsia="Times New Roman" w:hAnsi="Palatino Linotype" w:cs="Arial"/>
          <w:lang w:val="es-ES" w:eastAsia="en-US"/>
        </w:rPr>
      </w:pPr>
      <w:r w:rsidRPr="00610DC3">
        <w:rPr>
          <w:rFonts w:ascii="Palatino Linotype" w:hAnsi="Palatino Linotype"/>
          <w:color w:val="000000" w:themeColor="text1"/>
        </w:rPr>
        <w:t>Así las cosas</w:t>
      </w:r>
      <w:r w:rsidR="00A43652" w:rsidRPr="00610DC3">
        <w:rPr>
          <w:rFonts w:ascii="Palatino Linotype" w:hAnsi="Palatino Linotype"/>
          <w:color w:val="000000" w:themeColor="text1"/>
        </w:rPr>
        <w:t xml:space="preserve">, mediante el Acta de la Catorceava Sesión Extraordinaria del Comité de Transparencia del Ayuntamiento de Ixtapan de la Sal, el </w:t>
      </w:r>
      <w:r w:rsidR="00A43652" w:rsidRPr="00610DC3">
        <w:rPr>
          <w:rFonts w:ascii="Palatino Linotype" w:hAnsi="Palatino Linotype"/>
          <w:b/>
          <w:bCs/>
          <w:color w:val="000000" w:themeColor="text1"/>
        </w:rPr>
        <w:t>SUJETO OBLIGADO</w:t>
      </w:r>
      <w:r w:rsidR="00A43652" w:rsidRPr="00610DC3">
        <w:rPr>
          <w:rFonts w:ascii="Palatino Linotype" w:hAnsi="Palatino Linotype"/>
          <w:color w:val="000000" w:themeColor="text1"/>
        </w:rPr>
        <w:t xml:space="preserve"> justificó el cambio de modalidad de entrega de la información, con base en los siguientes argumentos:</w:t>
      </w:r>
    </w:p>
    <w:p w14:paraId="0AEE435C"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719AE6B4"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w:t>
      </w:r>
    </w:p>
    <w:p w14:paraId="5E916FC4"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Del análisis realizado a las solicitudes de acceso a la información pública referidas, se advierte que el particular desea tener acceso vía </w:t>
      </w:r>
      <w:r w:rsidRPr="00610DC3">
        <w:rPr>
          <w:rFonts w:ascii="Palatino Linotype" w:hAnsi="Palatino Linotype"/>
          <w:b/>
          <w:bCs/>
          <w:i/>
          <w:iCs/>
          <w:color w:val="000000" w:themeColor="text1"/>
        </w:rPr>
        <w:t>SAIMEX</w:t>
      </w:r>
      <w:r w:rsidRPr="00610DC3">
        <w:rPr>
          <w:rFonts w:ascii="Palatino Linotype" w:hAnsi="Palatino Linotype"/>
          <w:i/>
          <w:iCs/>
          <w:color w:val="000000" w:themeColor="text1"/>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w:t>
      </w:r>
      <w:r w:rsidRPr="00610DC3">
        <w:rPr>
          <w:rFonts w:ascii="Palatino Linotype" w:hAnsi="Palatino Linotype"/>
          <w:i/>
          <w:iCs/>
          <w:color w:val="000000" w:themeColor="text1"/>
        </w:rPr>
        <w:lastRenderedPageBreak/>
        <w:t>a las solicitudes de acceso información pública, lo que impediría la realización de las demás actividades o atribuciones a cargo de este Sujeto Obligado, dañando notoriamente el cumplimiento de sus atribuciones.</w:t>
      </w:r>
    </w:p>
    <w:p w14:paraId="0C798D18"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2E2691DC"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18B66AFC"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2932F2A8"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2293D7D9"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1CCC57E2"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(COVID-19), como una enfermedad grave de atención prioritaria, este Gobierno Municipal como medida preventiva y de actuación, ha desarrollado sus actividades fundamentales con el </w:t>
      </w:r>
      <w:r w:rsidRPr="00610DC3">
        <w:rPr>
          <w:rFonts w:ascii="Palatino Linotype" w:hAnsi="Palatino Linotype"/>
          <w:b/>
          <w:bCs/>
          <w:i/>
          <w:iCs/>
          <w:color w:val="000000" w:themeColor="text1"/>
        </w:rPr>
        <w:t>personal mínimo</w:t>
      </w:r>
      <w:r w:rsidRPr="00610DC3">
        <w:rPr>
          <w:rFonts w:ascii="Palatino Linotype" w:hAnsi="Palatino Linotype"/>
          <w:i/>
          <w:iCs/>
          <w:color w:val="000000" w:themeColor="text1"/>
        </w:rPr>
        <w:t xml:space="preserve"> e indispensable.</w:t>
      </w:r>
    </w:p>
    <w:p w14:paraId="6654277B"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457B843B"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Por lo anterior, solicito se ponga a disposición del Comité de Transparencia, la realización de las gestiones necesarias a efecto de proponer la entrega de la información en una modalidad distinta a la elegida por el particular; es decir </w:t>
      </w:r>
      <w:r w:rsidRPr="00610DC3">
        <w:rPr>
          <w:rFonts w:ascii="Palatino Linotype" w:hAnsi="Palatino Linotype"/>
          <w:i/>
          <w:iCs/>
          <w:color w:val="000000" w:themeColor="text1"/>
        </w:rPr>
        <w:lastRenderedPageBreak/>
        <w:t xml:space="preserve">mediante </w:t>
      </w:r>
      <w:r w:rsidRPr="00610DC3">
        <w:rPr>
          <w:rFonts w:ascii="Palatino Linotype" w:hAnsi="Palatino Linotype"/>
          <w:b/>
          <w:bCs/>
          <w:i/>
          <w:iCs/>
          <w:color w:val="000000" w:themeColor="text1"/>
        </w:rPr>
        <w:t>CONSULTA DIRECTA (In situ)</w:t>
      </w:r>
      <w:r w:rsidRPr="00610DC3">
        <w:rPr>
          <w:rFonts w:ascii="Palatino Linotype" w:hAnsi="Palatino Linotype"/>
          <w:i/>
          <w:iCs/>
          <w:color w:val="000000" w:themeColor="text1"/>
        </w:rPr>
        <w:t>; a fin de no transgredir el derecho de acceso a la información ejercido por éste y dar respuesta de manera completa a las solicitudes mencionadas, derivada de la imposibilidad para dar atención a las mismas. Lo anterior con fundamento en lo establecido en los artículos 14, 15, 21, 22, 49 fracción XII, 53, fracciones IV y VII, 158, primer párrafo y 165, primer párrafo de la Ley de Transparencia y Acceso a la Información Pública del Estado de México y Municipios, en relación con el “Capítulo X” de los Lineamientos Generales en materia de Clasificación y Desclasificación de la Información, así como para la elaboración de Versiones Públicas.</w:t>
      </w:r>
    </w:p>
    <w:p w14:paraId="2E8CB083"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665C6CB3"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Por tal motivo, conforme a lo dispuesto en los numerales 158 y 164 de la Ley de Transparencia local, precisando que esta entidad no niega la documentación solicitada, por el contrario, asume su responsabilidad de </w:t>
      </w:r>
      <w:r w:rsidRPr="00610DC3">
        <w:rPr>
          <w:rFonts w:ascii="Palatino Linotype" w:hAnsi="Palatino Linotype"/>
          <w:b/>
          <w:bCs/>
          <w:i/>
          <w:iCs/>
          <w:color w:val="000000" w:themeColor="text1"/>
        </w:rPr>
        <w:t>máxima publicidad</w:t>
      </w:r>
      <w:r w:rsidRPr="00610DC3">
        <w:rPr>
          <w:rFonts w:ascii="Palatino Linotype" w:hAnsi="Palatino Linotype"/>
          <w:i/>
          <w:iCs/>
          <w:color w:val="000000" w:themeColor="text1"/>
        </w:rPr>
        <w:t xml:space="preserve"> de la información que posee en sus archivos, no obstante, existe imposibilidad humana para realizar la entrega total de la información en el plazo legal establecido.</w:t>
      </w:r>
    </w:p>
    <w:p w14:paraId="02C30A70"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0F742463"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w:t>
      </w:r>
    </w:p>
    <w:p w14:paraId="75A49832"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466FA9C7"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Ahora bien, resulta oportuno mencionarle que, de acuerdo con lo establecido en el “Capítulo X” denominado </w:t>
      </w:r>
      <w:r w:rsidRPr="00610DC3">
        <w:rPr>
          <w:rFonts w:ascii="Palatino Linotype" w:hAnsi="Palatino Linotype"/>
          <w:b/>
          <w:bCs/>
          <w:i/>
          <w:iCs/>
          <w:color w:val="000000" w:themeColor="text1"/>
        </w:rPr>
        <w:t>“DE LA CONSULTA DIRECTA”</w:t>
      </w:r>
      <w:r w:rsidRPr="00610DC3">
        <w:rPr>
          <w:rFonts w:ascii="Palatino Linotype" w:hAnsi="Palatino Linotype"/>
          <w:i/>
          <w:iCs/>
          <w:color w:val="000000" w:themeColor="text1"/>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610DC3">
        <w:rPr>
          <w:rFonts w:ascii="Palatino Linotype" w:hAnsi="Palatino Linotype"/>
          <w:b/>
          <w:bCs/>
          <w:i/>
          <w:iCs/>
          <w:color w:val="000000" w:themeColor="text1"/>
        </w:rPr>
        <w:t xml:space="preserve">los integrantes del Comité de Transparencia instruyeron como mecanismo oportuno para lograr la efectividad, así </w:t>
      </w:r>
      <w:r w:rsidRPr="00610DC3">
        <w:rPr>
          <w:rFonts w:ascii="Palatino Linotype" w:hAnsi="Palatino Linotype"/>
          <w:b/>
          <w:bCs/>
          <w:i/>
          <w:iCs/>
          <w:color w:val="000000" w:themeColor="text1"/>
        </w:rPr>
        <w:lastRenderedPageBreak/>
        <w:t>como para asegurar con ello el acceso a la información correspondiente al particular</w:t>
      </w:r>
      <w:r w:rsidRPr="00610DC3">
        <w:rPr>
          <w:rFonts w:ascii="Palatino Linotype" w:hAnsi="Palatino Linotype"/>
          <w:i/>
          <w:iCs/>
          <w:color w:val="000000" w:themeColor="text1"/>
        </w:rPr>
        <w:t>, lo que se describe de la siguiente manera:</w:t>
      </w:r>
    </w:p>
    <w:p w14:paraId="44D11B9F"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251D84EB" w14:textId="77777777" w:rsidR="00A43652" w:rsidRPr="00610DC3"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La </w:t>
      </w:r>
      <w:r w:rsidRPr="00610DC3">
        <w:rPr>
          <w:rFonts w:ascii="Palatino Linotype" w:hAnsi="Palatino Linotype"/>
          <w:b/>
          <w:bCs/>
          <w:i/>
          <w:iCs/>
          <w:color w:val="000000" w:themeColor="text1"/>
        </w:rPr>
        <w:t>Consulta Directa de la Información</w:t>
      </w:r>
      <w:r w:rsidRPr="00610DC3">
        <w:rPr>
          <w:rFonts w:ascii="Palatino Linotype" w:hAnsi="Palatino Linotype"/>
          <w:i/>
          <w:iCs/>
          <w:color w:val="000000" w:themeColor="text1"/>
        </w:rPr>
        <w:t xml:space="preserve"> se llevará a cabo en las oficinas de la Unidad de Transparencia en dirección: Calle Prolongación 16 de septiembre, Colonia </w:t>
      </w:r>
      <w:proofErr w:type="spellStart"/>
      <w:r w:rsidRPr="00610DC3">
        <w:rPr>
          <w:rFonts w:ascii="Palatino Linotype" w:hAnsi="Palatino Linotype"/>
          <w:i/>
          <w:iCs/>
          <w:color w:val="000000" w:themeColor="text1"/>
        </w:rPr>
        <w:t>Ixtapita</w:t>
      </w:r>
      <w:proofErr w:type="spellEnd"/>
      <w:r w:rsidRPr="00610DC3">
        <w:rPr>
          <w:rFonts w:ascii="Palatino Linotype" w:hAnsi="Palatino Linotype"/>
          <w:i/>
          <w:iCs/>
          <w:color w:val="000000" w:themeColor="text1"/>
        </w:rPr>
        <w:t>, Ixtapan de la Sal, México, C.P. 51900, en un horario de 10:00 am a 16:00 horas.</w:t>
      </w:r>
    </w:p>
    <w:p w14:paraId="78810342" w14:textId="77777777" w:rsidR="00A43652" w:rsidRPr="00610DC3"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El </w:t>
      </w:r>
      <w:r w:rsidRPr="00610DC3">
        <w:rPr>
          <w:rFonts w:ascii="Palatino Linotype" w:hAnsi="Palatino Linotype"/>
          <w:b/>
          <w:bCs/>
          <w:i/>
          <w:iCs/>
          <w:color w:val="000000" w:themeColor="text1"/>
        </w:rPr>
        <w:t>Solicitante deberá presentarse en Unidad de Transparencia.</w:t>
      </w:r>
    </w:p>
    <w:p w14:paraId="0866FDA8" w14:textId="77777777" w:rsidR="00A43652" w:rsidRPr="00610DC3"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La Unidad de Transparencia le </w:t>
      </w:r>
      <w:r w:rsidRPr="00610DC3">
        <w:rPr>
          <w:rFonts w:ascii="Palatino Linotype" w:hAnsi="Palatino Linotype"/>
          <w:b/>
          <w:bCs/>
          <w:i/>
          <w:iCs/>
          <w:color w:val="000000" w:themeColor="text1"/>
        </w:rPr>
        <w:t>requiere al Solicitante</w:t>
      </w:r>
      <w:r w:rsidRPr="00610DC3">
        <w:rPr>
          <w:rFonts w:ascii="Palatino Linotype" w:hAnsi="Palatino Linotype"/>
          <w:i/>
          <w:iCs/>
          <w:color w:val="000000" w:themeColor="text1"/>
        </w:rPr>
        <w:t xml:space="preserve"> presentarse con una </w:t>
      </w:r>
      <w:r w:rsidRPr="00610DC3">
        <w:rPr>
          <w:rFonts w:ascii="Palatino Linotype" w:hAnsi="Palatino Linotype"/>
          <w:b/>
          <w:bCs/>
          <w:i/>
          <w:iCs/>
          <w:color w:val="000000" w:themeColor="text1"/>
        </w:rPr>
        <w:t>identificación oficial vigente</w:t>
      </w:r>
      <w:r w:rsidRPr="00610DC3">
        <w:rPr>
          <w:rFonts w:ascii="Palatino Linotype" w:hAnsi="Palatino Linotype"/>
          <w:i/>
          <w:iCs/>
          <w:color w:val="000000" w:themeColor="text1"/>
        </w:rPr>
        <w:t>, con el propósito de realizar su registro.</w:t>
      </w:r>
    </w:p>
    <w:p w14:paraId="721DC11D" w14:textId="77777777" w:rsidR="00A43652" w:rsidRPr="00610DC3"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Se le hace saber al Solicitante que, al momento en que realice la consulta de la información requerida, será asistido por una persona que se encuentre adscrita a la Unidad de Transparencia.</w:t>
      </w:r>
    </w:p>
    <w:p w14:paraId="7A866061" w14:textId="77777777" w:rsidR="00A43652" w:rsidRPr="00610DC3"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medidas consisten en las siguientes:</w:t>
      </w:r>
    </w:p>
    <w:p w14:paraId="102C6A58" w14:textId="77777777" w:rsidR="00A43652" w:rsidRPr="00610DC3"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Contar con instalaciones y mobiliario adecuado para asegurar tanto la integridad de los documentos a consultar, como para proporcionar al Solicitante las mejores condiciones para poder llevar a cabo la consulta directa;</w:t>
      </w:r>
    </w:p>
    <w:p w14:paraId="12F86440" w14:textId="77777777" w:rsidR="00A43652" w:rsidRPr="00610DC3"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Equipo y personal de vigilancia;</w:t>
      </w:r>
    </w:p>
    <w:p w14:paraId="5E2A9A27" w14:textId="77777777" w:rsidR="00A43652" w:rsidRPr="00610DC3"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Plan de acción contra robo o vandalismo;</w:t>
      </w:r>
    </w:p>
    <w:p w14:paraId="2368BF22" w14:textId="77777777" w:rsidR="00A43652" w:rsidRPr="00610DC3"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Extintores de fuego de gas inocuo;</w:t>
      </w:r>
    </w:p>
    <w:p w14:paraId="04794396" w14:textId="77777777" w:rsidR="00A43652" w:rsidRPr="00610DC3"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Registro e identificación del personal autorizado para el tratamiento de los documentos o expedientes a revisar;</w:t>
      </w:r>
    </w:p>
    <w:p w14:paraId="3B2288DD" w14:textId="77777777" w:rsidR="00A43652" w:rsidRPr="00610DC3" w:rsidRDefault="00A43652" w:rsidP="00A43652">
      <w:pPr>
        <w:numPr>
          <w:ilvl w:val="1"/>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Registro e identificación de los particulares autorizados para llevar a cabo la consulta directa.</w:t>
      </w:r>
    </w:p>
    <w:p w14:paraId="36E9690B" w14:textId="77777777" w:rsidR="00A43652" w:rsidRPr="00610DC3"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lastRenderedPageBreak/>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336F8DE8" w14:textId="77777777" w:rsidR="00A43652" w:rsidRPr="00610DC3"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Resulta indispensable puntualizarle al Solicitante que el área de consulta contará con material de papelería, es decir, bolígrafos, lápices y papel, en caso de que el Solicitante lo requiera.</w:t>
      </w:r>
    </w:p>
    <w:p w14:paraId="59A3DEFD" w14:textId="77777777" w:rsidR="00A43652" w:rsidRPr="00610DC3" w:rsidRDefault="00A43652" w:rsidP="00A43652">
      <w:pPr>
        <w:numPr>
          <w:ilvl w:val="0"/>
          <w:numId w:val="23"/>
        </w:numPr>
        <w:tabs>
          <w:tab w:val="left" w:pos="426"/>
        </w:tabs>
        <w:spacing w:line="276" w:lineRule="auto"/>
        <w:ind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Para el caso de que documentos contengan partes clasificadas como reservadas o confidenciales, el personal adscrito a la Unidad de 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7EAE645A"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034CC5BD" w14:textId="6EA28DA1"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No omito mencionar, que la Unidad de Transparencia </w:t>
      </w:r>
      <w:r w:rsidRPr="00610DC3">
        <w:rPr>
          <w:rFonts w:ascii="Palatino Linotype" w:hAnsi="Palatino Linotype"/>
          <w:b/>
          <w:bCs/>
          <w:i/>
          <w:iCs/>
          <w:color w:val="000000" w:themeColor="text1"/>
          <w:u w:val="double"/>
        </w:rPr>
        <w:t>tendrá disponible de manera parcial, una primera parte de atención a solicitudes de acceso a la información</w:t>
      </w:r>
      <w:r w:rsidRPr="00610DC3">
        <w:rPr>
          <w:rFonts w:ascii="Palatino Linotype" w:hAnsi="Palatino Linotype"/>
          <w:i/>
          <w:iCs/>
          <w:color w:val="000000" w:themeColor="text1"/>
          <w:u w:val="double"/>
        </w:rPr>
        <w:t xml:space="preserve">, </w:t>
      </w:r>
      <w:r w:rsidRPr="00610DC3">
        <w:rPr>
          <w:rFonts w:ascii="Palatino Linotype" w:hAnsi="Palatino Linotype"/>
          <w:b/>
          <w:bCs/>
          <w:i/>
          <w:iCs/>
          <w:color w:val="000000" w:themeColor="text1"/>
          <w:u w:val="double"/>
        </w:rPr>
        <w:t>es decir se atenderá las</w:t>
      </w:r>
      <w:r w:rsidR="009A3C9F" w:rsidRPr="00610DC3">
        <w:rPr>
          <w:rFonts w:ascii="Palatino Linotype" w:hAnsi="Palatino Linotype"/>
          <w:b/>
          <w:bCs/>
          <w:i/>
          <w:iCs/>
          <w:color w:val="000000" w:themeColor="text1"/>
          <w:u w:val="double"/>
        </w:rPr>
        <w:t xml:space="preserve"> primeras diez siguientes: 00085</w:t>
      </w:r>
      <w:r w:rsidRPr="00610DC3">
        <w:rPr>
          <w:rFonts w:ascii="Palatino Linotype" w:hAnsi="Palatino Linotype"/>
          <w:b/>
          <w:bCs/>
          <w:i/>
          <w:iCs/>
          <w:color w:val="000000" w:themeColor="text1"/>
          <w:u w:val="double"/>
        </w:rPr>
        <w:t xml:space="preserve">/IXTASAL/IP/2020, </w:t>
      </w:r>
      <w:r w:rsidRPr="00610DC3">
        <w:rPr>
          <w:rFonts w:ascii="Palatino Linotype" w:hAnsi="Palatino Linotype"/>
          <w:i/>
          <w:iCs/>
          <w:color w:val="000000" w:themeColor="text1"/>
        </w:rPr>
        <w:t>(…) y una vez que el ciudadano acuda a estas oficinas de la Unidad de Transparencia, y entregada la información se procederá a dar respuesta a las siguientes diez y así sucesivamente, hasta dar conclusión a las solicitudes mencionadas con anterioridad.</w:t>
      </w:r>
    </w:p>
    <w:p w14:paraId="334A8CA6"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4E027D7E"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Asimismo es importante manifestarle que la Unidad de Transparencia tendrá disponible la información </w:t>
      </w:r>
      <w:r w:rsidRPr="00610DC3">
        <w:rPr>
          <w:rFonts w:ascii="Palatino Linotype" w:hAnsi="Palatino Linotype"/>
          <w:b/>
          <w:bCs/>
          <w:i/>
          <w:iCs/>
          <w:color w:val="000000" w:themeColor="text1"/>
        </w:rPr>
        <w:t>durante un plazo mínimo de 60 días hábiles posteriores</w:t>
      </w:r>
      <w:r w:rsidRPr="00610DC3">
        <w:rPr>
          <w:rFonts w:ascii="Palatino Linotype" w:hAnsi="Palatino Linotype"/>
          <w:i/>
          <w:iCs/>
          <w:color w:val="000000" w:themeColor="text1"/>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w:t>
      </w:r>
      <w:r w:rsidRPr="00610DC3">
        <w:rPr>
          <w:rFonts w:ascii="Palatino Linotype" w:hAnsi="Palatino Linotype"/>
          <w:i/>
          <w:iCs/>
          <w:color w:val="000000" w:themeColor="text1"/>
        </w:rPr>
        <w:lastRenderedPageBreak/>
        <w:t>y Protección de Datos Personales del Estado de México y Municipios reinicien sus propias actividades.</w:t>
      </w:r>
    </w:p>
    <w:p w14:paraId="50953CAA"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08452332"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w:t>
      </w:r>
    </w:p>
    <w:p w14:paraId="5F63FC0B"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19C92BC2"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r w:rsidRPr="00610DC3">
        <w:rPr>
          <w:rFonts w:ascii="Palatino Linotype" w:hAnsi="Palatino Linotype"/>
          <w:i/>
          <w:iCs/>
          <w:color w:val="000000" w:themeColor="text1"/>
        </w:rPr>
        <w:t xml:space="preserve">La </w:t>
      </w:r>
      <w:r w:rsidRPr="00610DC3">
        <w:rPr>
          <w:rFonts w:ascii="Palatino Linotype" w:hAnsi="Palatino Linotype"/>
          <w:b/>
          <w:bCs/>
          <w:i/>
          <w:iCs/>
          <w:color w:val="000000" w:themeColor="text1"/>
        </w:rPr>
        <w:t>consulta directa de la información</w:t>
      </w:r>
      <w:r w:rsidRPr="00610DC3">
        <w:rPr>
          <w:rFonts w:ascii="Palatino Linotype" w:hAnsi="Palatino Linotype"/>
          <w:i/>
          <w:iCs/>
          <w:color w:val="000000" w:themeColor="text1"/>
        </w:rPr>
        <w:t xml:space="preserve"> se realizará en presencia del personal de la Unidad de Transparencia y de la Contraloría Interna, quienes implementarán las medidas descritas en párrafos anteriores para asegurar en todo momento la integridad de la documentación.</w:t>
      </w:r>
    </w:p>
    <w:p w14:paraId="55A06B52" w14:textId="77777777" w:rsidR="00A43652" w:rsidRPr="00610DC3" w:rsidRDefault="00A43652" w:rsidP="00A43652">
      <w:pPr>
        <w:tabs>
          <w:tab w:val="left" w:pos="426"/>
        </w:tabs>
        <w:spacing w:line="276" w:lineRule="auto"/>
        <w:ind w:left="567" w:right="567"/>
        <w:contextualSpacing/>
        <w:jc w:val="both"/>
        <w:rPr>
          <w:rFonts w:ascii="Palatino Linotype" w:hAnsi="Palatino Linotype"/>
          <w:i/>
          <w:iCs/>
          <w:color w:val="000000" w:themeColor="text1"/>
        </w:rPr>
      </w:pPr>
    </w:p>
    <w:p w14:paraId="06420B53" w14:textId="77777777" w:rsidR="00A43652" w:rsidRPr="00610DC3" w:rsidRDefault="00A43652" w:rsidP="00A43652">
      <w:pPr>
        <w:tabs>
          <w:tab w:val="left" w:pos="426"/>
        </w:tabs>
        <w:spacing w:line="276" w:lineRule="auto"/>
        <w:ind w:left="567" w:right="567"/>
        <w:contextualSpacing/>
        <w:jc w:val="both"/>
        <w:rPr>
          <w:rFonts w:ascii="Palatino Linotype" w:hAnsi="Palatino Linotype"/>
          <w:color w:val="000000" w:themeColor="text1"/>
        </w:rPr>
      </w:pPr>
      <w:r w:rsidRPr="00610DC3">
        <w:rPr>
          <w:rFonts w:ascii="Palatino Linotype" w:hAnsi="Palatino Linotype"/>
          <w:i/>
          <w:iCs/>
          <w:color w:val="000000" w:themeColor="text1"/>
        </w:rPr>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sidRPr="00610DC3">
        <w:rPr>
          <w:rFonts w:ascii="Palatino Linotype" w:hAnsi="Palatino Linotype"/>
          <w:b/>
          <w:bCs/>
          <w:i/>
          <w:iCs/>
          <w:color w:val="000000" w:themeColor="text1"/>
        </w:rPr>
        <w:t>hágase del conocimiento al solicitante  que, para el caso de que requiera la reproducción de la información o de parte de la misma en otra modalidad, le será otorgado previo pago de derechos correspondientes de conformidad con el artículo 148 del Código Financiero del Estado de México y Municipios, sin que sea necesario presente una nueva solicitud de información.</w:t>
      </w:r>
      <w:r w:rsidRPr="00610DC3">
        <w:rPr>
          <w:rFonts w:ascii="Palatino Linotype" w:hAnsi="Palatino Linotype"/>
          <w:i/>
          <w:iCs/>
          <w:color w:val="000000" w:themeColor="text1"/>
        </w:rPr>
        <w:t>”</w:t>
      </w:r>
      <w:r w:rsidRPr="00610DC3">
        <w:rPr>
          <w:rFonts w:ascii="Palatino Linotype" w:hAnsi="Palatino Linotype"/>
          <w:color w:val="000000" w:themeColor="text1"/>
        </w:rPr>
        <w:t xml:space="preserve"> (Sic.)</w:t>
      </w:r>
    </w:p>
    <w:p w14:paraId="2EB91D29" w14:textId="77777777" w:rsidR="00A43652" w:rsidRPr="00610DC3" w:rsidRDefault="00A43652" w:rsidP="00A43652">
      <w:pPr>
        <w:tabs>
          <w:tab w:val="left" w:pos="426"/>
        </w:tabs>
        <w:spacing w:line="276" w:lineRule="auto"/>
        <w:ind w:left="567" w:right="567"/>
        <w:contextualSpacing/>
        <w:jc w:val="both"/>
        <w:rPr>
          <w:rFonts w:ascii="Palatino Linotype" w:hAnsi="Palatino Linotype"/>
          <w:color w:val="000000" w:themeColor="text1"/>
        </w:rPr>
      </w:pPr>
      <w:r w:rsidRPr="00610DC3">
        <w:rPr>
          <w:rFonts w:ascii="Palatino Linotype" w:hAnsi="Palatino Linotype"/>
          <w:color w:val="000000" w:themeColor="text1"/>
        </w:rPr>
        <w:t>(El doble subrayado es propio)</w:t>
      </w:r>
    </w:p>
    <w:p w14:paraId="0EA0759B"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3CCC6844" w14:textId="0D7F68A7" w:rsidR="00A43652" w:rsidRPr="00610DC3" w:rsidRDefault="00A43652" w:rsidP="009A3C9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10DC3">
        <w:rPr>
          <w:rFonts w:ascii="Palatino Linotype" w:hAnsi="Palatino Linotype"/>
          <w:color w:val="000000" w:themeColor="text1"/>
        </w:rPr>
        <w:t>De las líneas transcritas</w:t>
      </w:r>
      <w:r w:rsidRPr="00610DC3">
        <w:rPr>
          <w:rFonts w:ascii="Palatino Linotype" w:hAnsi="Palatino Linotype"/>
          <w:i/>
          <w:iCs/>
          <w:color w:val="000000" w:themeColor="text1"/>
        </w:rPr>
        <w:t xml:space="preserve"> supra</w:t>
      </w:r>
      <w:r w:rsidRPr="00610DC3">
        <w:rPr>
          <w:rFonts w:ascii="Palatino Linotype" w:hAnsi="Palatino Linotype"/>
          <w:color w:val="000000" w:themeColor="text1"/>
        </w:rPr>
        <w:t>, es posible capturar los siguientes elementos esenciales:</w:t>
      </w:r>
    </w:p>
    <w:p w14:paraId="08C8D1F2" w14:textId="77777777" w:rsidR="00A43652" w:rsidRPr="00610DC3" w:rsidRDefault="00A43652" w:rsidP="00A43652">
      <w:pPr>
        <w:numPr>
          <w:ilvl w:val="0"/>
          <w:numId w:val="24"/>
        </w:numPr>
        <w:tabs>
          <w:tab w:val="left" w:pos="1134"/>
        </w:tabs>
        <w:spacing w:before="240" w:after="240" w:line="360" w:lineRule="auto"/>
        <w:ind w:left="993" w:right="51" w:hanging="426"/>
        <w:contextualSpacing/>
        <w:jc w:val="both"/>
        <w:rPr>
          <w:rFonts w:ascii="Palatino Linotype" w:hAnsi="Palatino Linotype"/>
          <w:color w:val="000000" w:themeColor="text1"/>
        </w:rPr>
      </w:pPr>
      <w:r w:rsidRPr="00610DC3">
        <w:rPr>
          <w:rFonts w:ascii="Palatino Linotype" w:hAnsi="Palatino Linotype"/>
          <w:color w:val="000000" w:themeColor="text1"/>
        </w:rPr>
        <w:t xml:space="preserve">Que 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 xml:space="preserve"> recibió en un periodo de tiempo muy limitado una suma considerable de solicitudes de acceso a la información.</w:t>
      </w:r>
    </w:p>
    <w:p w14:paraId="6016BB6A" w14:textId="77777777" w:rsidR="009A3C9F" w:rsidRPr="00610DC3" w:rsidRDefault="009A3C9F" w:rsidP="009A3C9F">
      <w:pPr>
        <w:tabs>
          <w:tab w:val="left" w:pos="1134"/>
        </w:tabs>
        <w:spacing w:before="240" w:after="240" w:line="360" w:lineRule="auto"/>
        <w:ind w:left="993" w:right="51"/>
        <w:contextualSpacing/>
        <w:jc w:val="both"/>
        <w:rPr>
          <w:rFonts w:ascii="Palatino Linotype" w:hAnsi="Palatino Linotype"/>
          <w:color w:val="000000" w:themeColor="text1"/>
        </w:rPr>
      </w:pPr>
    </w:p>
    <w:p w14:paraId="6320AE31" w14:textId="28F33528" w:rsidR="009A3C9F" w:rsidRPr="00610DC3" w:rsidRDefault="00A43652" w:rsidP="009A3C9F">
      <w:pPr>
        <w:numPr>
          <w:ilvl w:val="0"/>
          <w:numId w:val="24"/>
        </w:numPr>
        <w:tabs>
          <w:tab w:val="left" w:pos="1134"/>
        </w:tabs>
        <w:spacing w:before="240" w:after="240" w:line="360" w:lineRule="auto"/>
        <w:ind w:left="993" w:right="51" w:hanging="426"/>
        <w:contextualSpacing/>
        <w:jc w:val="both"/>
        <w:rPr>
          <w:rFonts w:ascii="Palatino Linotype" w:hAnsi="Palatino Linotype"/>
          <w:color w:val="000000" w:themeColor="text1"/>
        </w:rPr>
      </w:pPr>
      <w:r w:rsidRPr="00610DC3">
        <w:rPr>
          <w:rFonts w:ascii="Palatino Linotype" w:hAnsi="Palatino Linotype"/>
          <w:color w:val="000000" w:themeColor="text1"/>
        </w:rPr>
        <w:t xml:space="preserve">Que La Unidad de Transparencia del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 xml:space="preserve"> no cuenta con el personal suficiente y necesario para atender todas las solicitudes de información.</w:t>
      </w:r>
    </w:p>
    <w:p w14:paraId="154AFEA0" w14:textId="77777777" w:rsidR="009A3C9F" w:rsidRPr="00610DC3" w:rsidRDefault="009A3C9F" w:rsidP="009A3C9F">
      <w:pPr>
        <w:tabs>
          <w:tab w:val="left" w:pos="1134"/>
        </w:tabs>
        <w:spacing w:before="240" w:after="240" w:line="360" w:lineRule="auto"/>
        <w:ind w:right="51"/>
        <w:contextualSpacing/>
        <w:jc w:val="both"/>
        <w:rPr>
          <w:rFonts w:ascii="Palatino Linotype" w:hAnsi="Palatino Linotype"/>
          <w:color w:val="000000" w:themeColor="text1"/>
        </w:rPr>
      </w:pPr>
    </w:p>
    <w:p w14:paraId="59742BE2" w14:textId="77777777" w:rsidR="00A43652" w:rsidRPr="00610DC3" w:rsidRDefault="00A43652" w:rsidP="00A43652">
      <w:pPr>
        <w:numPr>
          <w:ilvl w:val="0"/>
          <w:numId w:val="24"/>
        </w:numPr>
        <w:tabs>
          <w:tab w:val="left" w:pos="1134"/>
        </w:tabs>
        <w:spacing w:before="240" w:after="240" w:line="360" w:lineRule="auto"/>
        <w:ind w:left="993" w:right="51" w:hanging="426"/>
        <w:contextualSpacing/>
        <w:jc w:val="both"/>
        <w:rPr>
          <w:rFonts w:ascii="Palatino Linotype" w:hAnsi="Palatino Linotype"/>
          <w:color w:val="000000" w:themeColor="text1"/>
        </w:rPr>
      </w:pPr>
      <w:r w:rsidRPr="00610DC3">
        <w:rPr>
          <w:rFonts w:ascii="Palatino Linotype" w:hAnsi="Palatino Linotype"/>
          <w:color w:val="000000" w:themeColor="text1"/>
        </w:rPr>
        <w:t xml:space="preserve">Que el cambio de modalidad de entrega de la información pretende garantizar el ejercicio del derecho de acceso a la información de la </w:t>
      </w:r>
      <w:r w:rsidRPr="00610DC3">
        <w:rPr>
          <w:rFonts w:ascii="Palatino Linotype" w:hAnsi="Palatino Linotype"/>
          <w:b/>
          <w:bCs/>
          <w:color w:val="000000" w:themeColor="text1"/>
        </w:rPr>
        <w:t xml:space="preserve">RECURRENTE, </w:t>
      </w:r>
      <w:r w:rsidRPr="00610DC3">
        <w:rPr>
          <w:rFonts w:ascii="Palatino Linotype" w:hAnsi="Palatino Linotype"/>
          <w:color w:val="000000" w:themeColor="text1"/>
        </w:rPr>
        <w:t xml:space="preserve">sin descuidar las actividades sustantivas del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w:t>
      </w:r>
    </w:p>
    <w:p w14:paraId="0035F080" w14:textId="77777777" w:rsidR="009A3C9F" w:rsidRPr="00610DC3" w:rsidRDefault="009A3C9F" w:rsidP="009A3C9F">
      <w:pPr>
        <w:tabs>
          <w:tab w:val="left" w:pos="1134"/>
        </w:tabs>
        <w:spacing w:before="240" w:after="240" w:line="360" w:lineRule="auto"/>
        <w:ind w:right="51"/>
        <w:contextualSpacing/>
        <w:jc w:val="both"/>
        <w:rPr>
          <w:rFonts w:ascii="Palatino Linotype" w:hAnsi="Palatino Linotype"/>
          <w:color w:val="000000" w:themeColor="text1"/>
        </w:rPr>
      </w:pPr>
    </w:p>
    <w:p w14:paraId="58C46EB1" w14:textId="77777777" w:rsidR="00A43652" w:rsidRPr="00610DC3" w:rsidRDefault="00A43652" w:rsidP="00A43652">
      <w:pPr>
        <w:numPr>
          <w:ilvl w:val="0"/>
          <w:numId w:val="24"/>
        </w:numPr>
        <w:tabs>
          <w:tab w:val="left" w:pos="1134"/>
        </w:tabs>
        <w:spacing w:before="240" w:after="240" w:line="360" w:lineRule="auto"/>
        <w:ind w:left="993" w:right="51" w:hanging="426"/>
        <w:contextualSpacing/>
        <w:jc w:val="both"/>
        <w:rPr>
          <w:rFonts w:ascii="Palatino Linotype" w:hAnsi="Palatino Linotype"/>
          <w:color w:val="000000" w:themeColor="text1"/>
        </w:rPr>
      </w:pPr>
      <w:r w:rsidRPr="00610DC3">
        <w:rPr>
          <w:rFonts w:ascii="Palatino Linotype" w:hAnsi="Palatino Linotype"/>
          <w:color w:val="000000" w:themeColor="text1"/>
        </w:rPr>
        <w:t xml:space="preserve">Que 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 xml:space="preserve"> ha desarrollado sus actividades fundamentales con el personal mínimo e indispensable, como una medida preventiva y de actuación ante el brote mundial del virus COVID-19.</w:t>
      </w:r>
    </w:p>
    <w:p w14:paraId="02D7643B"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1C2CDC70" w14:textId="77777777"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610DC3">
        <w:rPr>
          <w:rFonts w:ascii="Palatino Linotype" w:hAnsi="Palatino Linotype"/>
          <w:color w:val="000000" w:themeColor="text1"/>
          <w:vertAlign w:val="superscript"/>
        </w:rPr>
        <w:footnoteReference w:id="4"/>
      </w:r>
      <w:r w:rsidRPr="00610DC3">
        <w:rPr>
          <w:rFonts w:ascii="Palatino Linotype" w:hAnsi="Palatino Linotype"/>
          <w:color w:val="000000" w:themeColor="text1"/>
        </w:rPr>
        <w:t xml:space="preserve">, por ello, la Unidad de Transparencia del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 xml:space="preserve">, debe de garantizar las medidas y </w:t>
      </w:r>
      <w:r w:rsidRPr="00610DC3">
        <w:rPr>
          <w:rFonts w:ascii="Palatino Linotype" w:hAnsi="Palatino Linotype"/>
          <w:color w:val="000000" w:themeColor="text1"/>
        </w:rPr>
        <w:lastRenderedPageBreak/>
        <w:t>condiciones de accesibilidad para que toda persona pueda ejercer el derecho de acceso a la información</w:t>
      </w:r>
      <w:r w:rsidRPr="00610DC3">
        <w:rPr>
          <w:rFonts w:ascii="Palatino Linotype" w:hAnsi="Palatino Linotype"/>
          <w:color w:val="000000" w:themeColor="text1"/>
          <w:vertAlign w:val="superscript"/>
        </w:rPr>
        <w:footnoteReference w:id="5"/>
      </w:r>
      <w:r w:rsidRPr="00610DC3">
        <w:rPr>
          <w:rFonts w:ascii="Palatino Linotype" w:hAnsi="Palatino Linotype"/>
          <w:color w:val="000000" w:themeColor="text1"/>
        </w:rPr>
        <w:t>.</w:t>
      </w:r>
    </w:p>
    <w:p w14:paraId="00118697"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3B65076D" w14:textId="77777777"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610DC3">
        <w:rPr>
          <w:rFonts w:ascii="Palatino Linotype" w:hAnsi="Palatino Linotype"/>
          <w:b/>
          <w:bCs/>
          <w:color w:val="000000" w:themeColor="text1"/>
        </w:rPr>
        <w:t>se podrá poner a disposición del solicitante los documentos en consulta directa</w:t>
      </w:r>
      <w:r w:rsidRPr="00610DC3">
        <w:rPr>
          <w:rFonts w:ascii="Palatino Linotype" w:hAnsi="Palatino Linotype"/>
          <w:color w:val="000000" w:themeColor="text1"/>
        </w:rPr>
        <w:t>, salvo la información clasificada.</w:t>
      </w:r>
    </w:p>
    <w:p w14:paraId="2DDABFC2"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3BFB50D1" w14:textId="77777777"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De lo anterior se colige que, cuando la solicitud de información suponga un procesamiento, análisis o estudio de la información que sobrepase las capacidades técnicas y/o humanas del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 éste podrá poner los documentos a disposición del Solicitante en consulta directa.</w:t>
      </w:r>
    </w:p>
    <w:p w14:paraId="33582583"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57A3E649" w14:textId="77777777"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Lo anterior se robustece con base en lo dispuesto por el numeral 164 de la Ley en estudio, cuyo contenido es el siguiente:</w:t>
      </w:r>
    </w:p>
    <w:p w14:paraId="45C6543D"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649A7A34" w14:textId="77777777" w:rsidR="00A43652" w:rsidRPr="00610DC3" w:rsidRDefault="00A43652" w:rsidP="00A43652">
      <w:pPr>
        <w:tabs>
          <w:tab w:val="left" w:pos="426"/>
        </w:tabs>
        <w:spacing w:before="240" w:after="240" w:line="276" w:lineRule="auto"/>
        <w:ind w:left="567" w:right="567"/>
        <w:contextualSpacing/>
        <w:jc w:val="both"/>
        <w:rPr>
          <w:rFonts w:ascii="Palatino Linotype" w:hAnsi="Palatino Linotype"/>
          <w:b/>
          <w:bCs/>
          <w:i/>
          <w:iCs/>
        </w:rPr>
      </w:pPr>
      <w:r w:rsidRPr="00610DC3">
        <w:rPr>
          <w:rFonts w:ascii="Palatino Linotype" w:hAnsi="Palatino Linotype"/>
          <w:i/>
          <w:iCs/>
        </w:rPr>
        <w:t>“</w:t>
      </w:r>
      <w:r w:rsidRPr="00610DC3">
        <w:rPr>
          <w:rFonts w:ascii="Palatino Linotype" w:hAnsi="Palatino Linotype"/>
          <w:b/>
          <w:bCs/>
          <w:i/>
          <w:iCs/>
        </w:rPr>
        <w:t>Artículo 164.</w:t>
      </w:r>
      <w:r w:rsidRPr="00610DC3">
        <w:rPr>
          <w:rFonts w:ascii="Palatino Linotype" w:hAnsi="Palatino Linotype"/>
          <w:i/>
          <w:iCs/>
        </w:rPr>
        <w:t xml:space="preserve"> El acceso se dará en la modalidad de entrega y, en su caso, de envío elegidos por el solicitante. </w:t>
      </w:r>
      <w:r w:rsidRPr="00610DC3">
        <w:rPr>
          <w:rFonts w:ascii="Palatino Linotype" w:hAnsi="Palatino Linotype"/>
          <w:b/>
          <w:bCs/>
          <w:i/>
          <w:iCs/>
        </w:rPr>
        <w:t>Cuando la información no pueda entregarse</w:t>
      </w:r>
      <w:r w:rsidRPr="00610DC3">
        <w:rPr>
          <w:rFonts w:ascii="Palatino Linotype" w:hAnsi="Palatino Linotype"/>
          <w:i/>
          <w:iCs/>
        </w:rPr>
        <w:t xml:space="preserve"> o enviarse </w:t>
      </w:r>
      <w:r w:rsidRPr="00610DC3">
        <w:rPr>
          <w:rFonts w:ascii="Palatino Linotype" w:hAnsi="Palatino Linotype"/>
          <w:b/>
          <w:bCs/>
          <w:i/>
          <w:iCs/>
        </w:rPr>
        <w:t xml:space="preserve">en la modalidad solicitada, el sujeto obligado deberá ofrecer otra u otras modalidades de entrega. </w:t>
      </w:r>
    </w:p>
    <w:p w14:paraId="154F1920" w14:textId="77777777" w:rsidR="00A43652" w:rsidRPr="00610DC3" w:rsidRDefault="00A43652" w:rsidP="00A43652">
      <w:pPr>
        <w:tabs>
          <w:tab w:val="left" w:pos="426"/>
        </w:tabs>
        <w:spacing w:before="240" w:after="240" w:line="276" w:lineRule="auto"/>
        <w:ind w:left="567" w:right="567"/>
        <w:contextualSpacing/>
        <w:jc w:val="both"/>
        <w:rPr>
          <w:rFonts w:ascii="Palatino Linotype" w:hAnsi="Palatino Linotype"/>
          <w:i/>
          <w:iCs/>
        </w:rPr>
      </w:pPr>
      <w:r w:rsidRPr="00610DC3">
        <w:rPr>
          <w:rFonts w:ascii="Palatino Linotype" w:hAnsi="Palatino Linotype"/>
          <w:b/>
          <w:bCs/>
          <w:i/>
          <w:iCs/>
        </w:rPr>
        <w:lastRenderedPageBreak/>
        <w:t>En cualquier caso, se deberá fundar y motivar la necesidad de ofrecer otras modalidades</w:t>
      </w:r>
      <w:r w:rsidRPr="00610DC3">
        <w:rPr>
          <w:rFonts w:ascii="Palatino Linotype" w:hAnsi="Palatino Linotype"/>
          <w:i/>
          <w:iCs/>
        </w:rPr>
        <w:t>.”</w:t>
      </w:r>
    </w:p>
    <w:p w14:paraId="16839A3F" w14:textId="77777777" w:rsidR="00A43652" w:rsidRPr="00610DC3" w:rsidRDefault="00A43652" w:rsidP="00A43652">
      <w:pPr>
        <w:tabs>
          <w:tab w:val="left" w:pos="426"/>
        </w:tabs>
        <w:spacing w:before="240" w:after="240" w:line="276" w:lineRule="auto"/>
        <w:ind w:left="567" w:right="567"/>
        <w:contextualSpacing/>
        <w:jc w:val="both"/>
        <w:rPr>
          <w:rFonts w:ascii="Palatino Linotype" w:hAnsi="Palatino Linotype"/>
          <w:color w:val="000000" w:themeColor="text1"/>
        </w:rPr>
      </w:pPr>
      <w:r w:rsidRPr="00610DC3">
        <w:rPr>
          <w:rFonts w:ascii="Palatino Linotype" w:hAnsi="Palatino Linotype"/>
        </w:rPr>
        <w:t>(Énfasis añadido)</w:t>
      </w:r>
    </w:p>
    <w:p w14:paraId="51C13083"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7B6EF252" w14:textId="77777777"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Así las cosas, cuando 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información al </w:t>
      </w:r>
      <w:r w:rsidRPr="00610DC3">
        <w:rPr>
          <w:rFonts w:ascii="Palatino Linotype" w:hAnsi="Palatino Linotype"/>
          <w:b/>
          <w:bCs/>
          <w:color w:val="000000" w:themeColor="text1"/>
        </w:rPr>
        <w:t>RECURRENTE</w:t>
      </w:r>
      <w:r w:rsidRPr="00610DC3">
        <w:rPr>
          <w:rFonts w:ascii="Palatino Linotype" w:hAnsi="Palatino Linotype"/>
          <w:color w:val="000000" w:themeColor="text1"/>
        </w:rPr>
        <w:t>, ello asegurándose de fundar y motivar las razones y motivos que justifiquen el impedimento.</w:t>
      </w:r>
    </w:p>
    <w:p w14:paraId="6A5320BC"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121BAA56" w14:textId="3460D8A9"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En el presente asunto, de la lectura al Acta de la </w:t>
      </w:r>
      <w:r w:rsidR="009A3C9F" w:rsidRPr="00610DC3">
        <w:rPr>
          <w:rFonts w:ascii="Palatino Linotype" w:hAnsi="Palatino Linotype"/>
          <w:color w:val="000000" w:themeColor="text1"/>
        </w:rPr>
        <w:t>Onceava</w:t>
      </w:r>
      <w:r w:rsidRPr="00610DC3">
        <w:rPr>
          <w:rFonts w:ascii="Palatino Linotype" w:hAnsi="Palatino Linotype"/>
          <w:color w:val="000000" w:themeColor="text1"/>
        </w:rPr>
        <w:t xml:space="preserve"> Sesión Extraordinaria del Comité de Transparencia, se aprecia que 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 xml:space="preserve"> recibió una cantidad inusual de solicitudes de información en un corto periodo de tiempo, 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4A625725"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39B5FF3B" w14:textId="77777777"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Consecuencia de lo anterior, esta Ponencia </w:t>
      </w:r>
      <w:proofErr w:type="spellStart"/>
      <w:r w:rsidRPr="00610DC3">
        <w:rPr>
          <w:rFonts w:ascii="Palatino Linotype" w:hAnsi="Palatino Linotype"/>
          <w:color w:val="000000" w:themeColor="text1"/>
        </w:rPr>
        <w:t>Resolutora</w:t>
      </w:r>
      <w:proofErr w:type="spellEnd"/>
      <w:r w:rsidRPr="00610DC3">
        <w:rPr>
          <w:rFonts w:ascii="Palatino Linotype" w:hAnsi="Palatino Linotype"/>
          <w:color w:val="000000" w:themeColor="text1"/>
        </w:rPr>
        <w:t xml:space="preserve"> advierte que el cambio de modalidad de la entrega de la información fue realizada conforme a derecho, toda vez que el </w:t>
      </w:r>
      <w:r w:rsidRPr="00610DC3">
        <w:rPr>
          <w:rFonts w:ascii="Palatino Linotype" w:hAnsi="Palatino Linotype"/>
          <w:b/>
          <w:bCs/>
          <w:color w:val="000000" w:themeColor="text1"/>
        </w:rPr>
        <w:t>SUJETO OBLIGADO</w:t>
      </w:r>
      <w:r w:rsidRPr="00610DC3">
        <w:rPr>
          <w:rFonts w:ascii="Palatino Linotype" w:hAnsi="Palatino Linotype"/>
          <w:color w:val="000000" w:themeColor="text1"/>
        </w:rPr>
        <w:t xml:space="preserve"> fundó y motivó las razones por las que no cuenta con las capacidades técnicas, administrativas y humanas -actualmente- que le permitan entregar la información vía SAIMEX.</w:t>
      </w:r>
    </w:p>
    <w:p w14:paraId="160D5DA4"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19CE22F0" w14:textId="77777777"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Robustece lo anterior el Criterio 08/17, emitido por el Órgano Garante Nacional, cuya tesis establece lo siguiente:</w:t>
      </w:r>
    </w:p>
    <w:p w14:paraId="141F1A2C" w14:textId="77777777" w:rsidR="00A43652" w:rsidRPr="00610DC3" w:rsidRDefault="00A43652" w:rsidP="00A43652">
      <w:pPr>
        <w:tabs>
          <w:tab w:val="left" w:pos="426"/>
        </w:tabs>
        <w:spacing w:before="240" w:line="360" w:lineRule="auto"/>
        <w:ind w:right="51"/>
        <w:contextualSpacing/>
        <w:jc w:val="both"/>
        <w:rPr>
          <w:rFonts w:ascii="Palatino Linotype" w:hAnsi="Palatino Linotype"/>
          <w:color w:val="000000" w:themeColor="text1"/>
        </w:rPr>
      </w:pPr>
    </w:p>
    <w:p w14:paraId="083BBA51" w14:textId="3F012455" w:rsidR="00A43652" w:rsidRPr="00610DC3" w:rsidRDefault="009A3C9F" w:rsidP="009A3C9F">
      <w:pPr>
        <w:spacing w:line="360" w:lineRule="auto"/>
        <w:ind w:left="567" w:right="567"/>
        <w:jc w:val="both"/>
        <w:rPr>
          <w:rFonts w:ascii="Palatino Linotype" w:eastAsia="Calibri" w:hAnsi="Palatino Linotype" w:cs="Tahoma"/>
          <w:bCs/>
          <w:i/>
          <w:lang w:eastAsia="en-US"/>
        </w:rPr>
      </w:pPr>
      <w:r w:rsidRPr="00610DC3">
        <w:rPr>
          <w:rFonts w:ascii="Palatino Linotype" w:eastAsia="Calibri" w:hAnsi="Palatino Linotype" w:cs="Tahoma"/>
          <w:b/>
          <w:bCs/>
          <w:i/>
          <w:lang w:eastAsia="en-US"/>
        </w:rPr>
        <w:t>“</w:t>
      </w:r>
      <w:r w:rsidR="00A43652" w:rsidRPr="00610DC3">
        <w:rPr>
          <w:rFonts w:ascii="Palatino Linotype" w:eastAsia="Calibri" w:hAnsi="Palatino Linotype" w:cs="Tahoma"/>
          <w:b/>
          <w:bCs/>
          <w:i/>
          <w:lang w:eastAsia="en-US"/>
        </w:rPr>
        <w:t>Modalidad de entrega. Procedencia de proporcionar la información solicitada en una diversa a la elegida por el solicitante.</w:t>
      </w:r>
      <w:r w:rsidR="00A43652" w:rsidRPr="00610DC3">
        <w:rPr>
          <w:rFonts w:ascii="Palatino Linotype" w:eastAsia="Calibri" w:hAnsi="Palatino Linotype" w:cs="Tahoma"/>
          <w:bCs/>
          <w:i/>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r w:rsidRPr="00610DC3">
        <w:rPr>
          <w:rFonts w:ascii="Palatino Linotype" w:eastAsia="Calibri" w:hAnsi="Palatino Linotype" w:cs="Tahoma"/>
          <w:bCs/>
          <w:i/>
          <w:lang w:eastAsia="en-US"/>
        </w:rPr>
        <w:t xml:space="preserve"> (Sic)</w:t>
      </w:r>
    </w:p>
    <w:p w14:paraId="76676EF8" w14:textId="77777777" w:rsidR="00A43652" w:rsidRPr="00610DC3" w:rsidRDefault="00A43652" w:rsidP="00A43652">
      <w:pPr>
        <w:tabs>
          <w:tab w:val="left" w:pos="426"/>
        </w:tabs>
        <w:spacing w:before="240" w:after="240" w:line="360" w:lineRule="auto"/>
        <w:ind w:right="51"/>
        <w:contextualSpacing/>
        <w:jc w:val="both"/>
        <w:rPr>
          <w:rFonts w:ascii="Palatino Linotype" w:hAnsi="Palatino Linotype"/>
          <w:color w:val="000000" w:themeColor="text1"/>
        </w:rPr>
      </w:pPr>
    </w:p>
    <w:p w14:paraId="79190D1C" w14:textId="77777777" w:rsidR="00A43652" w:rsidRPr="00610DC3" w:rsidRDefault="00A43652" w:rsidP="009A3C9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Del </w:t>
      </w:r>
      <w:r w:rsidRPr="00610DC3">
        <w:rPr>
          <w:rFonts w:ascii="Palatino Linotype" w:hAnsi="Palatino Linotype"/>
          <w:bCs/>
          <w:color w:val="000000" w:themeColor="text1"/>
          <w:lang w:val="es-ES"/>
        </w:rPr>
        <w:t xml:space="preserve">Criterio anterior se desprende que, cuando no sea posible atender la modalidad elegida por los Solicitantes, la obligación de acceso a la información se tendrá por cumplida cuando el </w:t>
      </w:r>
      <w:r w:rsidRPr="00610DC3">
        <w:rPr>
          <w:rFonts w:ascii="Palatino Linotype" w:hAnsi="Palatino Linotype"/>
          <w:b/>
          <w:color w:val="000000" w:themeColor="text1"/>
          <w:lang w:val="es-ES"/>
        </w:rPr>
        <w:t>SUJETO OBLIGADO</w:t>
      </w:r>
      <w:r w:rsidRPr="00610DC3">
        <w:rPr>
          <w:rFonts w:ascii="Palatino Linotype" w:hAnsi="Palatino Linotype"/>
          <w:bCs/>
          <w:color w:val="000000" w:themeColor="text1"/>
          <w:lang w:val="es-ES"/>
        </w:rPr>
        <w:t xml:space="preserve"> justifique el impedimento para atender la misma -reconocido en el párrafo </w:t>
      </w:r>
      <w:r w:rsidRPr="00610DC3">
        <w:rPr>
          <w:rFonts w:ascii="Palatino Linotype" w:hAnsi="Palatino Linotype"/>
          <w:b/>
          <w:color w:val="000000" w:themeColor="text1"/>
          <w:lang w:val="es-ES"/>
        </w:rPr>
        <w:t>27</w:t>
      </w:r>
      <w:r w:rsidRPr="00610DC3">
        <w:rPr>
          <w:rFonts w:ascii="Palatino Linotype" w:hAnsi="Palatino Linotype"/>
          <w:bCs/>
          <w:color w:val="000000" w:themeColor="text1"/>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610DC3">
        <w:rPr>
          <w:rFonts w:ascii="Palatino Linotype" w:hAnsi="Palatino Linotype"/>
          <w:b/>
          <w:color w:val="000000" w:themeColor="text1"/>
          <w:lang w:val="es-ES"/>
        </w:rPr>
        <w:t>RECURRENTE</w:t>
      </w:r>
      <w:r w:rsidRPr="00610DC3">
        <w:rPr>
          <w:rFonts w:ascii="Palatino Linotype" w:hAnsi="Palatino Linotype"/>
          <w:bCs/>
          <w:color w:val="000000" w:themeColor="text1"/>
          <w:lang w:val="es-ES"/>
        </w:rPr>
        <w:t xml:space="preserve"> la información solicitada.</w:t>
      </w:r>
    </w:p>
    <w:p w14:paraId="03FCD454" w14:textId="4F464305" w:rsidR="007C0E47" w:rsidRPr="00610DC3" w:rsidRDefault="00DD3B59" w:rsidP="00DD3B59">
      <w:pPr>
        <w:pStyle w:val="Ttulo1"/>
        <w:spacing w:line="360" w:lineRule="auto"/>
        <w:rPr>
          <w:b/>
        </w:rPr>
      </w:pPr>
      <w:bookmarkStart w:id="71" w:name="_Toc53009726"/>
      <w:r w:rsidRPr="00610DC3">
        <w:rPr>
          <w:b/>
        </w:rPr>
        <w:lastRenderedPageBreak/>
        <w:t xml:space="preserve">III. </w:t>
      </w:r>
      <w:r w:rsidR="009A3C9F" w:rsidRPr="00610DC3">
        <w:rPr>
          <w:b/>
        </w:rPr>
        <w:t xml:space="preserve">De las razones o motivos </w:t>
      </w:r>
      <w:r w:rsidR="00385E8C" w:rsidRPr="00610DC3">
        <w:rPr>
          <w:b/>
        </w:rPr>
        <w:t>de inconformidad expuestos en los</w:t>
      </w:r>
      <w:r w:rsidR="009A3C9F" w:rsidRPr="00610DC3">
        <w:rPr>
          <w:b/>
        </w:rPr>
        <w:t xml:space="preserve"> recurso</w:t>
      </w:r>
      <w:r w:rsidR="00385E8C" w:rsidRPr="00610DC3">
        <w:rPr>
          <w:b/>
        </w:rPr>
        <w:t>s</w:t>
      </w:r>
      <w:r w:rsidR="009A3C9F" w:rsidRPr="00610DC3">
        <w:rPr>
          <w:b/>
        </w:rPr>
        <w:t xml:space="preserve"> de revisión</w:t>
      </w:r>
      <w:bookmarkEnd w:id="71"/>
      <w:r w:rsidR="009A3C9F" w:rsidRPr="00610DC3">
        <w:rPr>
          <w:b/>
        </w:rPr>
        <w:t xml:space="preserve"> </w:t>
      </w:r>
    </w:p>
    <w:p w14:paraId="2AFE5B92" w14:textId="6161ADF9" w:rsidR="000C35F4" w:rsidRPr="00610DC3" w:rsidRDefault="00510B49" w:rsidP="00DD3B5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10DC3">
        <w:rPr>
          <w:rFonts w:ascii="Palatino Linotype" w:eastAsia="MS Mincho" w:hAnsi="Palatino Linotype" w:cs="Times New Roman"/>
        </w:rPr>
        <w:t xml:space="preserve">Expuesto lo anterior, no pasa desapercibido que  la parte </w:t>
      </w:r>
      <w:r w:rsidRPr="00610DC3">
        <w:rPr>
          <w:rFonts w:ascii="Palatino Linotype" w:eastAsia="MS Mincho" w:hAnsi="Palatino Linotype" w:cs="Times New Roman"/>
          <w:b/>
        </w:rPr>
        <w:t>RECURRENTE</w:t>
      </w:r>
      <w:r w:rsidRPr="00610DC3">
        <w:rPr>
          <w:rFonts w:ascii="Palatino Linotype" w:hAnsi="Palatino Linotype" w:cs="Arial"/>
          <w:b/>
        </w:rPr>
        <w:t>,</w:t>
      </w:r>
      <w:r w:rsidRPr="00610DC3">
        <w:rPr>
          <w:rFonts w:ascii="Palatino Linotype" w:hAnsi="Palatino Linotype" w:cs="Arial"/>
        </w:rPr>
        <w:t xml:space="preserve"> dentro de los recursos de revisión </w:t>
      </w:r>
      <w:r w:rsidR="000C35F4" w:rsidRPr="00610DC3">
        <w:rPr>
          <w:rFonts w:ascii="Palatino Linotype" w:eastAsia="Times New Roman" w:hAnsi="Palatino Linotype" w:cs="Arial"/>
          <w:b/>
        </w:rPr>
        <w:t xml:space="preserve">02223/INFOEM/IP/RR/2020 </w:t>
      </w:r>
      <w:r w:rsidR="000C35F4" w:rsidRPr="00610DC3">
        <w:rPr>
          <w:rFonts w:ascii="Palatino Linotype" w:eastAsia="Times New Roman" w:hAnsi="Palatino Linotype" w:cs="Arial"/>
          <w:lang w:val="es-ES"/>
        </w:rPr>
        <w:t xml:space="preserve"> </w:t>
      </w:r>
      <w:r w:rsidR="000C35F4" w:rsidRPr="00610DC3">
        <w:rPr>
          <w:rFonts w:ascii="Palatino Linotype" w:eastAsia="MS Mincho" w:hAnsi="Palatino Linotype" w:cs="Times New Roman"/>
          <w:b/>
        </w:rPr>
        <w:t xml:space="preserve"> </w:t>
      </w:r>
      <w:r w:rsidR="000C35F4" w:rsidRPr="00610DC3">
        <w:rPr>
          <w:rFonts w:ascii="Palatino Linotype" w:eastAsia="Times New Roman" w:hAnsi="Palatino Linotype" w:cs="Arial"/>
          <w:b/>
        </w:rPr>
        <w:t xml:space="preserve">02241/INFOEM/IP/RR/2020, 02272/INFOEM/IP/RR/2020 y 02273/INFOEM/IP/RR/2020 </w:t>
      </w:r>
      <w:r w:rsidR="000C35F4" w:rsidRPr="00610DC3">
        <w:rPr>
          <w:rFonts w:ascii="Palatino Linotype" w:eastAsia="Times New Roman" w:hAnsi="Palatino Linotype" w:cs="Arial"/>
          <w:lang w:val="es-ES"/>
        </w:rPr>
        <w:t xml:space="preserve"> </w:t>
      </w:r>
      <w:r w:rsidR="000C35F4" w:rsidRPr="00610DC3">
        <w:rPr>
          <w:rFonts w:ascii="Palatino Linotype" w:eastAsia="MS Mincho" w:hAnsi="Palatino Linotype" w:cs="Times New Roman"/>
          <w:b/>
        </w:rPr>
        <w:t xml:space="preserve"> </w:t>
      </w:r>
      <w:r w:rsidRPr="00610DC3">
        <w:rPr>
          <w:rFonts w:ascii="Palatino Linotype" w:hAnsi="Palatino Linotype"/>
          <w:b/>
          <w:bCs/>
          <w:color w:val="000000" w:themeColor="text1"/>
        </w:rPr>
        <w:t xml:space="preserve"> </w:t>
      </w:r>
      <w:r w:rsidRPr="00610DC3">
        <w:rPr>
          <w:rFonts w:ascii="Palatino Linotype" w:hAnsi="Palatino Linotype" w:cs="Arial"/>
        </w:rPr>
        <w:t xml:space="preserve">refirió medularmente por </w:t>
      </w:r>
      <w:r w:rsidRPr="00610DC3">
        <w:rPr>
          <w:rFonts w:ascii="Palatino Linotype" w:hAnsi="Palatino Linotype" w:cs="Arial"/>
          <w:iCs/>
        </w:rPr>
        <w:t>agravios, los siguientes:</w:t>
      </w:r>
    </w:p>
    <w:p w14:paraId="7B5C25AF" w14:textId="77777777" w:rsidR="00DD3B59" w:rsidRPr="00610DC3" w:rsidRDefault="00DD3B59" w:rsidP="00DD3B59">
      <w:pPr>
        <w:pStyle w:val="Prrafodelista"/>
        <w:tabs>
          <w:tab w:val="left" w:pos="426"/>
        </w:tabs>
        <w:spacing w:before="240" w:after="240" w:line="360" w:lineRule="auto"/>
        <w:ind w:left="0" w:right="51"/>
        <w:jc w:val="both"/>
        <w:rPr>
          <w:rFonts w:ascii="Palatino Linotype" w:hAnsi="Palatino Linotype"/>
          <w:color w:val="000000" w:themeColor="text1"/>
        </w:rPr>
      </w:pPr>
    </w:p>
    <w:p w14:paraId="7B0BCB99" w14:textId="77777777" w:rsidR="000C35F4" w:rsidRPr="00610DC3" w:rsidRDefault="000C35F4" w:rsidP="000C35F4">
      <w:pPr>
        <w:pStyle w:val="Prrafodelista"/>
        <w:numPr>
          <w:ilvl w:val="0"/>
          <w:numId w:val="27"/>
        </w:numPr>
        <w:tabs>
          <w:tab w:val="left" w:pos="426"/>
          <w:tab w:val="left" w:pos="1134"/>
        </w:tabs>
        <w:spacing w:before="240" w:after="240" w:line="360" w:lineRule="auto"/>
        <w:ind w:left="567" w:right="616" w:firstLine="0"/>
        <w:jc w:val="both"/>
        <w:rPr>
          <w:rFonts w:ascii="Palatino Linotype" w:hAnsi="Palatino Linotype"/>
          <w:color w:val="000000" w:themeColor="text1"/>
        </w:rPr>
      </w:pPr>
      <w:r w:rsidRPr="00610DC3">
        <w:rPr>
          <w:rFonts w:ascii="Palatino Linotype" w:hAnsi="Palatino Linotype"/>
          <w:color w:val="000000" w:themeColor="text1"/>
        </w:rPr>
        <w:t xml:space="preserve">Que transgredía en su perjuicio el principio de legalidad constitucional, conforme al cual, las autoridades sólo pueden hacer lo que la Ley les faculta, toda vez que el Comité de Transparencia no cuenta con atribuciones para cambiar la modalidad de la entrega de la información solicitada. </w:t>
      </w:r>
    </w:p>
    <w:p w14:paraId="720B57B2" w14:textId="77777777" w:rsidR="000C35F4" w:rsidRPr="00610DC3" w:rsidRDefault="000C35F4" w:rsidP="000C35F4">
      <w:pPr>
        <w:pStyle w:val="Prrafodelista"/>
        <w:tabs>
          <w:tab w:val="left" w:pos="426"/>
        </w:tabs>
        <w:spacing w:before="240" w:after="240" w:line="360" w:lineRule="auto"/>
        <w:ind w:left="0" w:right="51"/>
        <w:jc w:val="both"/>
        <w:rPr>
          <w:rFonts w:ascii="Palatino Linotype" w:hAnsi="Palatino Linotype"/>
          <w:color w:val="000000" w:themeColor="text1"/>
        </w:rPr>
      </w:pPr>
    </w:p>
    <w:p w14:paraId="0E8EAB70" w14:textId="09E3D67D" w:rsidR="000C35F4" w:rsidRPr="00610DC3" w:rsidRDefault="00510B49" w:rsidP="000C35F4">
      <w:pPr>
        <w:pStyle w:val="Prrafodelista"/>
        <w:numPr>
          <w:ilvl w:val="0"/>
          <w:numId w:val="27"/>
        </w:numPr>
        <w:tabs>
          <w:tab w:val="left" w:pos="426"/>
          <w:tab w:val="left" w:pos="1134"/>
        </w:tabs>
        <w:spacing w:before="240" w:after="240" w:line="360" w:lineRule="auto"/>
        <w:ind w:left="567" w:right="616" w:firstLine="0"/>
        <w:jc w:val="both"/>
        <w:rPr>
          <w:rFonts w:ascii="Palatino Linotype" w:hAnsi="Palatino Linotype"/>
          <w:color w:val="000000" w:themeColor="text1"/>
        </w:rPr>
      </w:pPr>
      <w:r w:rsidRPr="00610DC3">
        <w:rPr>
          <w:rFonts w:ascii="Palatino Linotype" w:hAnsi="Palatino Linotype"/>
          <w:color w:val="000000" w:themeColor="text1"/>
        </w:rPr>
        <w:t xml:space="preserve">Que se vulneró en su perjuicio el </w:t>
      </w:r>
      <w:bookmarkStart w:id="72" w:name="_Hlk51288363"/>
      <w:r w:rsidRPr="00610DC3">
        <w:rPr>
          <w:rFonts w:ascii="Palatino Linotype" w:hAnsi="Palatino Linotype"/>
          <w:color w:val="000000" w:themeColor="text1"/>
        </w:rPr>
        <w:t>derecho humano de acceso a información de manera anónima en el sistema implementado para ello, así como, el derecho humano de acceso a la información de manera gratuita</w:t>
      </w:r>
      <w:bookmarkEnd w:id="72"/>
      <w:r w:rsidRPr="00610DC3">
        <w:rPr>
          <w:rFonts w:ascii="Palatino Linotype" w:hAnsi="Palatino Linotype"/>
          <w:color w:val="000000" w:themeColor="text1"/>
        </w:rPr>
        <w:t>.</w:t>
      </w:r>
    </w:p>
    <w:p w14:paraId="3317FA6D" w14:textId="77777777" w:rsidR="00510B49" w:rsidRPr="00610DC3" w:rsidRDefault="00510B49" w:rsidP="00510B49">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s="Arial"/>
        </w:rPr>
        <w:t xml:space="preserve">En ese tenor, por cuanto hace a la incapacidad del Comité de Transparencia para cambiar la modalidad de entrega de la solicitud, debe determinarse el agravio como </w:t>
      </w:r>
      <w:r w:rsidRPr="00610DC3">
        <w:rPr>
          <w:rFonts w:ascii="Palatino Linotype" w:hAnsi="Palatino Linotype" w:cs="Arial"/>
          <w:b/>
          <w:bCs/>
        </w:rPr>
        <w:t>inoperante</w:t>
      </w:r>
      <w:r w:rsidRPr="00610DC3">
        <w:rPr>
          <w:rFonts w:ascii="Palatino Linotype" w:hAnsi="Palatino Linotype" w:cs="Arial"/>
        </w:rPr>
        <w:t xml:space="preserve">, en virtud de que, como se ha demostrado, de conformidad con los artículos 158 y 164 de la Ley de Transparencia y Acceso a la Información Pública del Estado de México y Municipios, cuando el análisis, procesamiento y estudio de la solicitud de información sobrepase las capacidades técnicas, administrativas y/o </w:t>
      </w:r>
      <w:r w:rsidRPr="00610DC3">
        <w:rPr>
          <w:rFonts w:ascii="Palatino Linotype" w:hAnsi="Palatino Linotype" w:cs="Arial"/>
        </w:rPr>
        <w:lastRenderedPageBreak/>
        <w:t xml:space="preserve">humanas del </w:t>
      </w:r>
      <w:r w:rsidRPr="00610DC3">
        <w:rPr>
          <w:rFonts w:ascii="Palatino Linotype" w:hAnsi="Palatino Linotype" w:cs="Arial"/>
          <w:b/>
          <w:bCs/>
        </w:rPr>
        <w:t>SUJETO OBLIGADO</w:t>
      </w:r>
      <w:r w:rsidRPr="00610DC3">
        <w:rPr>
          <w:rFonts w:ascii="Palatino Linotype" w:hAnsi="Palatino Linotype" w:cs="Arial"/>
        </w:rPr>
        <w:t xml:space="preserve">, podrá poner los documentos a disposición del particular vía Consulta Directa, siempre y cuando se funden y motiven las razones por las que no es posible atender la solicitud a través de la modalidad originalmente requerida. </w:t>
      </w:r>
    </w:p>
    <w:p w14:paraId="39EEF5AC" w14:textId="77777777" w:rsidR="00510B49" w:rsidRPr="00610DC3" w:rsidRDefault="00510B49" w:rsidP="00510B49">
      <w:pPr>
        <w:tabs>
          <w:tab w:val="left" w:pos="426"/>
        </w:tabs>
        <w:spacing w:before="240" w:after="240" w:line="360" w:lineRule="auto"/>
        <w:ind w:right="51"/>
        <w:contextualSpacing/>
        <w:jc w:val="both"/>
        <w:rPr>
          <w:rFonts w:ascii="Palatino Linotype" w:hAnsi="Palatino Linotype"/>
          <w:color w:val="000000" w:themeColor="text1"/>
        </w:rPr>
      </w:pPr>
    </w:p>
    <w:p w14:paraId="1F53ABAA" w14:textId="77777777" w:rsidR="00510B49" w:rsidRPr="00610DC3" w:rsidRDefault="00510B49" w:rsidP="00510B49">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67ED6CFA" w14:textId="77777777" w:rsidR="00510B49" w:rsidRPr="00610DC3" w:rsidRDefault="00510B49" w:rsidP="00510B49">
      <w:pPr>
        <w:tabs>
          <w:tab w:val="left" w:pos="426"/>
        </w:tabs>
        <w:spacing w:before="240" w:after="240" w:line="360" w:lineRule="auto"/>
        <w:ind w:right="51"/>
        <w:contextualSpacing/>
        <w:jc w:val="both"/>
        <w:rPr>
          <w:rFonts w:ascii="Palatino Linotype" w:hAnsi="Palatino Linotype"/>
          <w:color w:val="000000" w:themeColor="text1"/>
        </w:rPr>
      </w:pPr>
    </w:p>
    <w:p w14:paraId="1A7A92F5" w14:textId="19DF955F" w:rsidR="00510B49" w:rsidRPr="00610DC3" w:rsidRDefault="00510B49" w:rsidP="00510B49">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s="Arial"/>
        </w:rPr>
        <w:t xml:space="preserve">Como segundo punto, por cuanto hace a que el </w:t>
      </w:r>
      <w:r w:rsidRPr="00610DC3">
        <w:rPr>
          <w:rFonts w:ascii="Palatino Linotype" w:hAnsi="Palatino Linotype" w:cs="Arial"/>
          <w:b/>
          <w:bCs/>
        </w:rPr>
        <w:t>SUJETO OBLIGADO</w:t>
      </w:r>
      <w:r w:rsidRPr="00610DC3">
        <w:rPr>
          <w:rFonts w:ascii="Palatino Linotype" w:hAnsi="Palatino Linotype" w:cs="Arial"/>
        </w:rPr>
        <w:t xml:space="preserve"> lesiona el derecho humano de acceso a información de manera anónima en el sistema implementado para ello, así como el derecho humano de acceso a la información de manera gratuita, es imperativo referir que, por un lado, no se aprecia que el particular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sidRPr="00610DC3">
        <w:rPr>
          <w:rFonts w:ascii="Palatino Linotype" w:hAnsi="Palatino Linotype" w:cs="Arial"/>
          <w:b/>
          <w:bCs/>
        </w:rPr>
        <w:t>SUJETO OBLIGADO</w:t>
      </w:r>
      <w:r w:rsidRPr="00610DC3">
        <w:rPr>
          <w:rFonts w:ascii="Palatino Linotype" w:hAnsi="Palatino Linotype" w:cs="Arial"/>
        </w:rPr>
        <w:t xml:space="preserve"> haya pretendido generar un cobro por la puesta a disposición de la información vía </w:t>
      </w:r>
      <w:r w:rsidRPr="00610DC3">
        <w:rPr>
          <w:rFonts w:ascii="Palatino Linotype" w:hAnsi="Palatino Linotype" w:cs="Arial"/>
          <w:i/>
          <w:iCs/>
        </w:rPr>
        <w:t>in situ</w:t>
      </w:r>
      <w:r w:rsidRPr="00610DC3">
        <w:rPr>
          <w:rFonts w:ascii="Palatino Linotype" w:hAnsi="Palatino Linotype" w:cs="Arial"/>
        </w:rPr>
        <w:t xml:space="preserve">, sino que se observa que, dentro del Acta de la </w:t>
      </w:r>
      <w:r w:rsidR="00363066" w:rsidRPr="00610DC3">
        <w:rPr>
          <w:rFonts w:ascii="Palatino Linotype" w:hAnsi="Palatino Linotype" w:cs="Arial"/>
        </w:rPr>
        <w:t>Onceava</w:t>
      </w:r>
      <w:r w:rsidRPr="00610DC3">
        <w:rPr>
          <w:rFonts w:ascii="Palatino Linotype" w:hAnsi="Palatino Linotype" w:cs="Arial"/>
        </w:rPr>
        <w:t xml:space="preserve"> Sesión Extraordinaria, se hace del conocimiento de la particular que, </w:t>
      </w:r>
      <w:r w:rsidRPr="00610DC3">
        <w:rPr>
          <w:rFonts w:ascii="Palatino Linotype" w:hAnsi="Palatino Linotype" w:cs="Arial"/>
          <w:b/>
          <w:bCs/>
        </w:rPr>
        <w:t xml:space="preserve">en caso de </w:t>
      </w:r>
      <w:r w:rsidRPr="00610DC3">
        <w:rPr>
          <w:rFonts w:ascii="Palatino Linotype" w:hAnsi="Palatino Linotype" w:cs="Arial"/>
          <w:b/>
          <w:bCs/>
        </w:rPr>
        <w:lastRenderedPageBreak/>
        <w:t>requerir la reproducción de la información o de parte de la misma en una modalidad distinta a la propuesta</w:t>
      </w:r>
      <w:r w:rsidRPr="00610DC3">
        <w:rPr>
          <w:rFonts w:ascii="Palatino Linotype" w:hAnsi="Palatino Linotype" w:cs="Arial"/>
          <w:vertAlign w:val="superscript"/>
        </w:rPr>
        <w:footnoteReference w:id="6"/>
      </w:r>
      <w:r w:rsidRPr="00610DC3">
        <w:rPr>
          <w:rFonts w:ascii="Palatino Linotype" w:hAnsi="Palatino Linotype" w:cs="Arial"/>
        </w:rPr>
        <w:t>, se le sería otorgado previo pago de los derechos correspondientes</w:t>
      </w:r>
      <w:r w:rsidRPr="00610DC3">
        <w:rPr>
          <w:rFonts w:ascii="Palatino Linotype" w:hAnsi="Palatino Linotype" w:cs="Arial"/>
          <w:vertAlign w:val="superscript"/>
        </w:rPr>
        <w:footnoteReference w:id="7"/>
      </w:r>
      <w:r w:rsidRPr="00610DC3">
        <w:rPr>
          <w:rFonts w:ascii="Palatino Linotype" w:hAnsi="Palatino Linotype" w:cs="Arial"/>
        </w:rPr>
        <w:t xml:space="preserve">, sin necesidad de tener que formular una nueva solicitud. Razones por las que los agravios referidos deben determinarse como </w:t>
      </w:r>
      <w:r w:rsidRPr="00610DC3">
        <w:rPr>
          <w:rFonts w:ascii="Palatino Linotype" w:hAnsi="Palatino Linotype" w:cs="Arial"/>
          <w:b/>
          <w:bCs/>
        </w:rPr>
        <w:t>inoperantes.</w:t>
      </w:r>
    </w:p>
    <w:p w14:paraId="6B647633" w14:textId="77777777" w:rsidR="00510B49" w:rsidRPr="00610DC3" w:rsidRDefault="00510B49" w:rsidP="00510B49">
      <w:pPr>
        <w:tabs>
          <w:tab w:val="left" w:pos="426"/>
        </w:tabs>
        <w:spacing w:before="240" w:after="240" w:line="360" w:lineRule="auto"/>
        <w:ind w:right="51"/>
        <w:contextualSpacing/>
        <w:jc w:val="both"/>
        <w:rPr>
          <w:rFonts w:ascii="Palatino Linotype" w:hAnsi="Palatino Linotype"/>
          <w:color w:val="000000" w:themeColor="text1"/>
        </w:rPr>
      </w:pPr>
    </w:p>
    <w:p w14:paraId="4A5B9694" w14:textId="77777777" w:rsidR="000C35F4" w:rsidRPr="00610DC3" w:rsidRDefault="00510B49" w:rsidP="00363066">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s="Arial"/>
        </w:rPr>
        <w:t xml:space="preserve">Finalmente, dentro del apartado de </w:t>
      </w:r>
      <w:r w:rsidRPr="00610DC3">
        <w:rPr>
          <w:rFonts w:ascii="Palatino Linotype" w:hAnsi="Palatino Linotype" w:cs="Arial"/>
          <w:i/>
          <w:iCs/>
        </w:rPr>
        <w:t>Razones o Motivos de la Inconformidad</w:t>
      </w:r>
      <w:r w:rsidRPr="00610DC3">
        <w:rPr>
          <w:rFonts w:ascii="Palatino Linotype" w:hAnsi="Palatino Linotype" w:cs="Arial"/>
        </w:rPr>
        <w:t xml:space="preserve">, el </w:t>
      </w:r>
      <w:r w:rsidRPr="00610DC3">
        <w:rPr>
          <w:rFonts w:ascii="Palatino Linotype" w:hAnsi="Palatino Linotype" w:cs="Arial"/>
          <w:b/>
          <w:bCs/>
        </w:rPr>
        <w:t xml:space="preserve">RECURRENTE </w:t>
      </w:r>
      <w:r w:rsidRPr="00610DC3">
        <w:rPr>
          <w:rFonts w:ascii="Palatino Linotype" w:hAnsi="Palatino Linotype" w:cs="Arial"/>
        </w:rPr>
        <w:t xml:space="preserve">refirió que </w:t>
      </w:r>
      <w:r w:rsidRPr="00610DC3">
        <w:rPr>
          <w:rFonts w:ascii="Palatino Linotype" w:hAnsi="Palatino Linotype" w:cs="Arial"/>
          <w:i/>
          <w:iCs/>
        </w:rPr>
        <w:t>“(…).</w:t>
      </w:r>
      <w:r w:rsidR="000C35F4" w:rsidRPr="00610DC3">
        <w:rPr>
          <w:rFonts w:ascii="Palatino Linotype" w:eastAsia="MS Gothic" w:hAnsi="Palatino Linotype" w:cs="Times New Roman"/>
          <w:i/>
          <w:lang w:val="es-ES" w:eastAsia="en-US"/>
        </w:rPr>
        <w:t xml:space="preserve">toda vez que los argumentos que esgrime el comité son falsos, ya que para atender solicitudes de información cuenta con el personal adscrito (03 personas), más otras treinta personas como servidores públicos habilitados, y es también falso que el sujeto obligado dejara de laborar en la pandemia por covid-19, pues aquí en Ixtapan de la sal, la administración pública municipal laboró normalmente, especialmente, el área de transparencia, que ni un solo día dejó de laborar, tal y cómo se acredita con los propios oficios emitidos por su titular durante este período y con los registros derivados del reloj </w:t>
      </w:r>
      <w:proofErr w:type="spellStart"/>
      <w:r w:rsidR="000C35F4" w:rsidRPr="00610DC3">
        <w:rPr>
          <w:rFonts w:ascii="Palatino Linotype" w:eastAsia="MS Gothic" w:hAnsi="Palatino Linotype" w:cs="Times New Roman"/>
          <w:i/>
          <w:lang w:val="es-ES" w:eastAsia="en-US"/>
        </w:rPr>
        <w:t>checador</w:t>
      </w:r>
      <w:proofErr w:type="spellEnd"/>
      <w:r w:rsidR="000C35F4" w:rsidRPr="00610DC3">
        <w:rPr>
          <w:rFonts w:ascii="Palatino Linotype" w:eastAsia="MS Gothic" w:hAnsi="Palatino Linotype" w:cs="Times New Roman"/>
          <w:i/>
          <w:lang w:val="es-ES" w:eastAsia="en-US"/>
        </w:rPr>
        <w:t xml:space="preserve"> del sujeto obligado, mismos que pido le sean requeridos cómo pruebas, ello, con independencia, que el presidente municipal, experto en simulación e hipocresía ordenó emitir acuerdo de cabildo y circulares para fingir tal suspensión. Así las cosas, en virtud que la pretendida acción del sujeto obligado sólo busca identificarme físicamente para intimidarme y prohibirme que formule más solicitudes, atentamente, pido sea sancionado el presidente municipal y el comité de transparencia por éstos actos tendentes a identificarme y amedrentarme.”</w:t>
      </w:r>
      <w:r w:rsidR="0004634D" w:rsidRPr="00610DC3">
        <w:rPr>
          <w:rFonts w:ascii="Palatino Linotype" w:eastAsia="MS Mincho" w:hAnsi="Palatino Linotype" w:cs="Times New Roman"/>
          <w:i/>
        </w:rPr>
        <w:t xml:space="preserve"> </w:t>
      </w:r>
      <w:r w:rsidRPr="00610DC3">
        <w:rPr>
          <w:rFonts w:ascii="Palatino Linotype" w:hAnsi="Palatino Linotype" w:cs="Arial"/>
        </w:rPr>
        <w:t>(Sic).</w:t>
      </w:r>
    </w:p>
    <w:p w14:paraId="13F2F875" w14:textId="77777777" w:rsidR="000C35F4" w:rsidRPr="00610DC3" w:rsidRDefault="000C35F4" w:rsidP="000C35F4">
      <w:pPr>
        <w:tabs>
          <w:tab w:val="left" w:pos="426"/>
        </w:tabs>
        <w:spacing w:before="240" w:after="240" w:line="360" w:lineRule="auto"/>
        <w:ind w:right="51"/>
        <w:contextualSpacing/>
        <w:jc w:val="both"/>
        <w:rPr>
          <w:rFonts w:ascii="Palatino Linotype" w:hAnsi="Palatino Linotype"/>
          <w:color w:val="000000" w:themeColor="text1"/>
        </w:rPr>
      </w:pPr>
    </w:p>
    <w:p w14:paraId="3BDB2699" w14:textId="77777777" w:rsidR="000C35F4" w:rsidRPr="00610DC3" w:rsidRDefault="000C35F4" w:rsidP="000C35F4">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lastRenderedPageBreak/>
        <w:t xml:space="preserve">Lo cual </w:t>
      </w:r>
      <w:r w:rsidRPr="00610DC3">
        <w:rPr>
          <w:rFonts w:ascii="Palatino Linotype" w:hAnsi="Palatino Linotype"/>
          <w:color w:val="000000" w:themeColor="text1"/>
          <w:lang w:val="es-MX"/>
        </w:rPr>
        <w:t xml:space="preserve">debe precisarse que se trata de manifestaciones unilaterales subjetivas de la parte </w:t>
      </w:r>
      <w:r w:rsidRPr="00610DC3">
        <w:rPr>
          <w:rFonts w:ascii="Palatino Linotype" w:hAnsi="Palatino Linotype"/>
          <w:b/>
          <w:color w:val="000000" w:themeColor="text1"/>
          <w:lang w:val="es-MX"/>
        </w:rPr>
        <w:t>RECURRENTE</w:t>
      </w:r>
      <w:r w:rsidRPr="00610DC3">
        <w:rPr>
          <w:rFonts w:ascii="Palatino Linotype" w:hAnsi="Palatino Linotype"/>
          <w:color w:val="000000" w:themeColor="text1"/>
          <w:lang w:val="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77C57C5" w14:textId="77777777" w:rsidR="000C35F4" w:rsidRPr="00610DC3" w:rsidRDefault="000C35F4" w:rsidP="000C35F4">
      <w:pPr>
        <w:rPr>
          <w:rFonts w:ascii="Palatino Linotype" w:hAnsi="Palatino Linotype"/>
          <w:color w:val="000000" w:themeColor="text1"/>
        </w:rPr>
      </w:pPr>
    </w:p>
    <w:p w14:paraId="224F23F2" w14:textId="77777777" w:rsidR="000C35F4" w:rsidRPr="00610DC3" w:rsidRDefault="000C35F4" w:rsidP="000C35F4">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Asimismo, los motivos de inconformidad </w:t>
      </w:r>
      <w:r w:rsidRPr="00610DC3">
        <w:rPr>
          <w:rFonts w:ascii="Palatino Linotype" w:hAnsi="Palatino Linotype"/>
          <w:i/>
          <w:iCs/>
          <w:color w:val="000000" w:themeColor="text1"/>
        </w:rPr>
        <w:t>supra</w:t>
      </w:r>
      <w:r w:rsidRPr="00610DC3">
        <w:rPr>
          <w:rFonts w:ascii="Palatino Linotype" w:hAnsi="Palatino Linotype"/>
          <w:color w:val="000000" w:themeColor="text1"/>
        </w:rPr>
        <w:t xml:space="preserve"> transcritos resultan ser una ampliación a lo que inicialmente solicitó la </w:t>
      </w:r>
      <w:r w:rsidRPr="00610DC3">
        <w:rPr>
          <w:rFonts w:ascii="Palatino Linotype" w:hAnsi="Palatino Linotype"/>
          <w:b/>
          <w:color w:val="000000" w:themeColor="text1"/>
        </w:rPr>
        <w:t>RECURRENTE</w:t>
      </w:r>
      <w:r w:rsidRPr="00610DC3">
        <w:rPr>
          <w:rFonts w:ascii="Palatino Linotype" w:hAnsi="Palatino Linotype"/>
          <w:color w:val="000000" w:themeColor="text1"/>
        </w:rPr>
        <w:t xml:space="preserve"> en su solicitud de información primigenia</w:t>
      </w:r>
      <w:r w:rsidRPr="00610DC3">
        <w:rPr>
          <w:rFonts w:ascii="Palatino Linotype" w:hAnsi="Palatino Linotype"/>
          <w:color w:val="000000" w:themeColor="text1"/>
          <w:lang w:val="es-ES"/>
        </w:rPr>
        <w:t xml:space="preserve">; lo anterior se entiende como una </w:t>
      </w:r>
      <w:r w:rsidRPr="00610DC3">
        <w:rPr>
          <w:rFonts w:ascii="Palatino Linotype" w:hAnsi="Palatino Linotype"/>
          <w:b/>
          <w:bCs/>
          <w:i/>
          <w:iCs/>
          <w:color w:val="000000" w:themeColor="text1"/>
          <w:lang w:val="es-ES"/>
        </w:rPr>
        <w:t xml:space="preserve">Plus </w:t>
      </w:r>
      <w:proofErr w:type="spellStart"/>
      <w:r w:rsidRPr="00610DC3">
        <w:rPr>
          <w:rFonts w:ascii="Palatino Linotype" w:hAnsi="Palatino Linotype"/>
          <w:b/>
          <w:bCs/>
          <w:i/>
          <w:iCs/>
          <w:color w:val="000000" w:themeColor="text1"/>
          <w:lang w:val="es-ES"/>
        </w:rPr>
        <w:t>Petitio</w:t>
      </w:r>
      <w:proofErr w:type="spellEnd"/>
      <w:r w:rsidRPr="00610DC3">
        <w:rPr>
          <w:rFonts w:ascii="Palatino Linotype" w:hAnsi="Palatino Linotype"/>
          <w:b/>
          <w:bCs/>
          <w:i/>
          <w:iCs/>
          <w:color w:val="000000" w:themeColor="text1"/>
          <w:lang w:val="es-ES"/>
        </w:rPr>
        <w:t xml:space="preserve"> </w:t>
      </w:r>
      <w:r w:rsidRPr="00610DC3">
        <w:rPr>
          <w:rFonts w:ascii="Palatino Linotype" w:hAnsi="Palatino Linotype"/>
          <w:color w:val="000000" w:themeColor="text1"/>
          <w:lang w:val="es-ES"/>
        </w:rPr>
        <w:t>a su solicitud inicial que no puede abordarse</w:t>
      </w:r>
      <w:r w:rsidRPr="00610DC3">
        <w:rPr>
          <w:rFonts w:ascii="Palatino Linotype" w:hAnsi="Palatino Linotype"/>
          <w:i/>
          <w:iCs/>
          <w:color w:val="000000" w:themeColor="text1"/>
          <w:lang w:val="es-ES"/>
        </w:rPr>
        <w:t>.</w:t>
      </w:r>
    </w:p>
    <w:p w14:paraId="3C9CCC13" w14:textId="77777777" w:rsidR="000C35F4" w:rsidRPr="00610DC3" w:rsidRDefault="000C35F4" w:rsidP="000C35F4">
      <w:pPr>
        <w:rPr>
          <w:rFonts w:ascii="Palatino Linotype" w:hAnsi="Palatino Linotype"/>
          <w:color w:val="000000" w:themeColor="text1"/>
        </w:rPr>
      </w:pPr>
    </w:p>
    <w:p w14:paraId="49CA4DE3" w14:textId="5122BC40" w:rsidR="000C35F4" w:rsidRPr="00610DC3" w:rsidRDefault="000C35F4" w:rsidP="000C35F4">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Como sustento de lo anterior, </w:t>
      </w:r>
      <w:r w:rsidRPr="00610DC3">
        <w:rPr>
          <w:rFonts w:ascii="Palatino Linotype" w:hAnsi="Palatino Linotype"/>
          <w:color w:val="000000" w:themeColor="text1"/>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711ADFFE" w14:textId="77777777" w:rsidR="000C35F4" w:rsidRPr="00610DC3" w:rsidRDefault="000C35F4" w:rsidP="000C35F4">
      <w:pPr>
        <w:tabs>
          <w:tab w:val="left" w:pos="426"/>
        </w:tabs>
        <w:spacing w:before="240" w:after="240" w:line="360" w:lineRule="auto"/>
        <w:ind w:right="51"/>
        <w:contextualSpacing/>
        <w:jc w:val="both"/>
        <w:rPr>
          <w:rFonts w:ascii="Palatino Linotype" w:hAnsi="Palatino Linotype"/>
          <w:color w:val="000000" w:themeColor="text1"/>
        </w:rPr>
      </w:pPr>
    </w:p>
    <w:p w14:paraId="2F100E02" w14:textId="77777777" w:rsidR="000C35F4" w:rsidRPr="00610DC3" w:rsidRDefault="000C35F4" w:rsidP="000C35F4">
      <w:pPr>
        <w:tabs>
          <w:tab w:val="left" w:pos="426"/>
        </w:tabs>
        <w:spacing w:before="240" w:after="240" w:line="360" w:lineRule="auto"/>
        <w:ind w:left="567" w:right="616"/>
        <w:contextualSpacing/>
        <w:jc w:val="both"/>
        <w:rPr>
          <w:rFonts w:ascii="Palatino Linotype" w:hAnsi="Palatino Linotype"/>
          <w:i/>
          <w:color w:val="000000" w:themeColor="text1"/>
          <w:lang w:val="es-ES"/>
        </w:rPr>
      </w:pPr>
      <w:r w:rsidRPr="00610DC3">
        <w:rPr>
          <w:rFonts w:ascii="Palatino Linotype" w:hAnsi="Palatino Linotype"/>
          <w:b/>
          <w:i/>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610DC3">
        <w:rPr>
          <w:rFonts w:ascii="Palatino Linotype" w:hAnsi="Palatino Linotype"/>
          <w:i/>
          <w:color w:val="000000" w:themeColor="text1"/>
          <w:lang w:val="es-ES"/>
        </w:rPr>
        <w:t xml:space="preserve"> “Si bien es cierto que los artículos 1 y 2 de la Ley Federal de Transparencia y Acceso a la Información Pública Gubernamental establecen, </w:t>
      </w:r>
      <w:r w:rsidRPr="00610DC3">
        <w:rPr>
          <w:rFonts w:ascii="Palatino Linotype" w:hAnsi="Palatino Linotype"/>
          <w:i/>
          <w:color w:val="000000" w:themeColor="text1"/>
          <w:lang w:val="es-ES"/>
        </w:rPr>
        <w:lastRenderedPageBreak/>
        <w:t>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5F62A96" w14:textId="77777777" w:rsidR="000C35F4" w:rsidRPr="00610DC3" w:rsidRDefault="000C35F4" w:rsidP="000C35F4">
      <w:pPr>
        <w:tabs>
          <w:tab w:val="left" w:pos="426"/>
        </w:tabs>
        <w:spacing w:before="240" w:after="240" w:line="360" w:lineRule="auto"/>
        <w:ind w:right="51"/>
        <w:contextualSpacing/>
        <w:jc w:val="both"/>
        <w:rPr>
          <w:rFonts w:ascii="Palatino Linotype" w:hAnsi="Palatino Linotype"/>
          <w:color w:val="000000" w:themeColor="text1"/>
        </w:rPr>
      </w:pPr>
    </w:p>
    <w:p w14:paraId="020CE1F7" w14:textId="6F56BB7F" w:rsidR="000C35F4" w:rsidRPr="00610DC3" w:rsidRDefault="000C35F4" w:rsidP="00DD3B5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610DC3">
        <w:rPr>
          <w:rFonts w:ascii="Palatino Linotype" w:hAnsi="Palatino Linotype"/>
          <w:color w:val="000000" w:themeColor="text1"/>
        </w:rPr>
        <w:t xml:space="preserve">Asimismo, ha sido criterio del Instituto Nacional de Transparencia, Acceso a la Información y Protección de Datos Personales </w:t>
      </w:r>
      <w:r w:rsidRPr="00610DC3">
        <w:rPr>
          <w:rFonts w:ascii="Palatino Linotype" w:hAnsi="Palatino Linotype"/>
          <w:color w:val="000000" w:themeColor="text1"/>
          <w:lang w:val="es-ES"/>
        </w:rPr>
        <w:t xml:space="preserve">bajo el número 27/10 que </w:t>
      </w:r>
      <w:r w:rsidRPr="00610DC3">
        <w:rPr>
          <w:rFonts w:ascii="Palatino Linotype" w:hAnsi="Palatino Linotype"/>
          <w:b/>
          <w:color w:val="000000" w:themeColor="text1"/>
          <w:lang w:val="es-ES"/>
        </w:rPr>
        <w:t>resulta improcedente ampliar las solicitudes de información pública o de datos personales a través de la interposición del recurso de revisión</w:t>
      </w:r>
      <w:r w:rsidRPr="00610DC3">
        <w:rPr>
          <w:rFonts w:ascii="Palatino Linotype" w:hAnsi="Palatino Linotype"/>
          <w:color w:val="000000" w:themeColor="text1"/>
          <w:lang w:val="es-ES"/>
        </w:rPr>
        <w:t xml:space="preserve">, como se estima acontece en el presente asunto, al aumentar datos a la solicitud inicial, por lo que, </w:t>
      </w:r>
      <w:r w:rsidRPr="00610DC3">
        <w:rPr>
          <w:rFonts w:ascii="Palatino Linotype" w:hAnsi="Palatino Linotype"/>
          <w:color w:val="000000" w:themeColor="text1"/>
          <w:lang w:val="es-ES"/>
        </w:rPr>
        <w:lastRenderedPageBreak/>
        <w:t>se insiste, no se puede entrar al estudio de la información novedosa, criterio que es de la literalidad siguiente:</w:t>
      </w:r>
    </w:p>
    <w:p w14:paraId="434581C5" w14:textId="77777777" w:rsidR="000C35F4" w:rsidRPr="00610DC3" w:rsidRDefault="000C35F4" w:rsidP="000C35F4">
      <w:pPr>
        <w:tabs>
          <w:tab w:val="left" w:pos="426"/>
        </w:tabs>
        <w:spacing w:before="240" w:after="240" w:line="360" w:lineRule="auto"/>
        <w:ind w:left="567" w:right="616"/>
        <w:contextualSpacing/>
        <w:jc w:val="both"/>
        <w:rPr>
          <w:rFonts w:ascii="Palatino Linotype" w:hAnsi="Palatino Linotype"/>
          <w:i/>
          <w:color w:val="000000" w:themeColor="text1"/>
          <w:lang w:val="es-ES"/>
        </w:rPr>
      </w:pPr>
      <w:r w:rsidRPr="00610DC3">
        <w:rPr>
          <w:rFonts w:ascii="Palatino Linotype" w:hAnsi="Palatino Linotype"/>
          <w:b/>
          <w:bCs/>
          <w:i/>
          <w:color w:val="000000" w:themeColor="text1"/>
          <w:lang w:val="es-ES"/>
        </w:rPr>
        <w:t>ES IMPROCEDENTE AMPLIAR LAS SOLICITUDES DE ACCESO A INFORMACIÓN PÚBLICA O DATOS PERSONALES, A TRAVÉS DE LA INTERPOSICIÓN DEL RECURSO DE REVISIÓN.</w:t>
      </w:r>
      <w:r w:rsidRPr="00610DC3">
        <w:rPr>
          <w:rFonts w:ascii="Palatino Linotype" w:hAnsi="Palatino Linotype"/>
          <w:i/>
          <w:color w:val="000000" w:themeColor="text1"/>
          <w:lang w:val="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C902F85" w14:textId="77777777" w:rsidR="000C35F4" w:rsidRPr="00610DC3" w:rsidRDefault="000C35F4" w:rsidP="000C35F4">
      <w:pPr>
        <w:tabs>
          <w:tab w:val="left" w:pos="426"/>
        </w:tabs>
        <w:spacing w:before="240" w:after="240" w:line="360" w:lineRule="auto"/>
        <w:ind w:right="51"/>
        <w:contextualSpacing/>
        <w:jc w:val="both"/>
        <w:rPr>
          <w:rFonts w:ascii="Palatino Linotype" w:hAnsi="Palatino Linotype"/>
          <w:color w:val="000000" w:themeColor="text1"/>
        </w:rPr>
      </w:pPr>
    </w:p>
    <w:p w14:paraId="06F533D7" w14:textId="77777777" w:rsidR="000C35F4" w:rsidRPr="00610DC3" w:rsidRDefault="000C35F4" w:rsidP="000C35F4">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 xml:space="preserve">No obstante, se dejan a salvo los derechos del particular, para que mediante una nueva solicitud de información requiera al </w:t>
      </w:r>
      <w:r w:rsidRPr="00610DC3">
        <w:rPr>
          <w:rFonts w:ascii="Palatino Linotype" w:hAnsi="Palatino Linotype"/>
          <w:b/>
          <w:color w:val="000000" w:themeColor="text1"/>
        </w:rPr>
        <w:t>SUJETO OBLIGADO</w:t>
      </w:r>
      <w:r w:rsidRPr="00610DC3">
        <w:rPr>
          <w:rFonts w:ascii="Palatino Linotype" w:hAnsi="Palatino Linotype"/>
          <w:color w:val="000000" w:themeColor="text1"/>
        </w:rPr>
        <w:t xml:space="preserve"> informe sobre los oficios emitidos por el Titular de la Unidad de Transparencia y los registros del reloj </w:t>
      </w:r>
      <w:proofErr w:type="spellStart"/>
      <w:r w:rsidRPr="00610DC3">
        <w:rPr>
          <w:rFonts w:ascii="Palatino Linotype" w:hAnsi="Palatino Linotype"/>
          <w:color w:val="000000" w:themeColor="text1"/>
        </w:rPr>
        <w:t>checador</w:t>
      </w:r>
      <w:proofErr w:type="spellEnd"/>
      <w:r w:rsidRPr="00610DC3">
        <w:rPr>
          <w:rFonts w:ascii="Palatino Linotype" w:hAnsi="Palatino Linotype"/>
          <w:color w:val="000000" w:themeColor="text1"/>
        </w:rPr>
        <w:t xml:space="preserve"> que manifestó en sus razones o motivos de inconformidad</w:t>
      </w:r>
      <w:bookmarkEnd w:id="53"/>
      <w:bookmarkEnd w:id="54"/>
      <w:bookmarkEnd w:id="55"/>
      <w:bookmarkEnd w:id="56"/>
      <w:r w:rsidRPr="00610DC3">
        <w:rPr>
          <w:rFonts w:ascii="Palatino Linotype" w:hAnsi="Palatino Linotype"/>
          <w:color w:val="000000" w:themeColor="text1"/>
        </w:rPr>
        <w:t>.</w:t>
      </w:r>
    </w:p>
    <w:p w14:paraId="31629A34" w14:textId="77777777" w:rsidR="000C35F4" w:rsidRPr="00610DC3" w:rsidRDefault="000C35F4" w:rsidP="000C35F4">
      <w:pPr>
        <w:tabs>
          <w:tab w:val="left" w:pos="426"/>
        </w:tabs>
        <w:spacing w:before="240" w:after="240" w:line="360" w:lineRule="auto"/>
        <w:ind w:right="51"/>
        <w:contextualSpacing/>
        <w:jc w:val="both"/>
        <w:rPr>
          <w:rFonts w:ascii="Palatino Linotype" w:hAnsi="Palatino Linotype"/>
          <w:color w:val="000000" w:themeColor="text1"/>
        </w:rPr>
      </w:pPr>
    </w:p>
    <w:p w14:paraId="361214DA" w14:textId="144773D0" w:rsidR="000C35F4" w:rsidRPr="00610DC3" w:rsidRDefault="000C35F4" w:rsidP="000C35F4">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rPr>
        <w:t>Por lo tanto,</w:t>
      </w:r>
      <w:r w:rsidRPr="00610DC3">
        <w:rPr>
          <w:rFonts w:ascii="Palatino Linotype" w:hAnsi="Palatino Linotype"/>
          <w:color w:val="000000" w:themeColor="text1"/>
          <w:lang w:val="es-ES"/>
        </w:rPr>
        <w:t xml:space="preserve"> en consecuencia y en mérito de lo expuesto en líneas anteriores, resultan infundadas las razones o motivos de inconformidad hechos valer por la </w:t>
      </w:r>
      <w:r w:rsidRPr="00610DC3">
        <w:rPr>
          <w:rFonts w:ascii="Palatino Linotype" w:hAnsi="Palatino Linotype"/>
          <w:b/>
          <w:color w:val="000000" w:themeColor="text1"/>
          <w:lang w:val="es-ES"/>
        </w:rPr>
        <w:t>RECURRENTE</w:t>
      </w:r>
      <w:r w:rsidRPr="00610DC3">
        <w:rPr>
          <w:rFonts w:ascii="Palatino Linotype" w:hAnsi="Palatino Linotype"/>
          <w:color w:val="000000" w:themeColor="text1"/>
          <w:lang w:val="es-ES"/>
        </w:rPr>
        <w:t xml:space="preserve"> dentro de los recursos de revisión</w:t>
      </w:r>
      <w:r w:rsidR="009D4C07" w:rsidRPr="00610DC3">
        <w:rPr>
          <w:rFonts w:ascii="Palatino Linotype" w:hAnsi="Palatino Linotype"/>
          <w:b/>
          <w:bCs/>
          <w:color w:val="000000" w:themeColor="text1"/>
        </w:rPr>
        <w:t xml:space="preserve"> </w:t>
      </w:r>
      <w:r w:rsidR="009D4C07" w:rsidRPr="00610DC3">
        <w:rPr>
          <w:rFonts w:ascii="Palatino Linotype" w:eastAsia="Times New Roman" w:hAnsi="Palatino Linotype" w:cs="Arial"/>
          <w:b/>
        </w:rPr>
        <w:t>02223/INFOEM/IP/RR/2020, 02241/INFOEM/IP/RR/2020, 02272/INFOEM/IP/RR/2020 y 02273/INFOEM/IP/RR/2020</w:t>
      </w:r>
      <w:r w:rsidRPr="00610DC3">
        <w:rPr>
          <w:rFonts w:ascii="Palatino Linotype" w:hAnsi="Palatino Linotype"/>
          <w:color w:val="000000" w:themeColor="text1"/>
          <w:lang w:val="es-ES"/>
        </w:rPr>
        <w:t xml:space="preserve">; por ello, y con fundamento en la fracción II del numeral 186 de la Ley de Transparencia y Acceso a la Información Pública del </w:t>
      </w:r>
      <w:r w:rsidRPr="00610DC3">
        <w:rPr>
          <w:rFonts w:ascii="Palatino Linotype" w:hAnsi="Palatino Linotype"/>
          <w:color w:val="000000" w:themeColor="text1"/>
          <w:lang w:val="es-ES"/>
        </w:rPr>
        <w:lastRenderedPageBreak/>
        <w:t xml:space="preserve">Estado de México y Municipios, se </w:t>
      </w:r>
      <w:r w:rsidRPr="00610DC3">
        <w:rPr>
          <w:rFonts w:ascii="Palatino Linotype" w:hAnsi="Palatino Linotype"/>
          <w:b/>
          <w:color w:val="000000" w:themeColor="text1"/>
          <w:lang w:val="es-ES"/>
        </w:rPr>
        <w:t>confirman</w:t>
      </w:r>
      <w:r w:rsidRPr="00610DC3">
        <w:rPr>
          <w:rFonts w:ascii="Palatino Linotype" w:hAnsi="Palatino Linotype"/>
          <w:color w:val="000000" w:themeColor="text1"/>
          <w:lang w:val="es-ES"/>
        </w:rPr>
        <w:t xml:space="preserve"> las respuestas a las solicitudes de información número </w:t>
      </w:r>
      <w:r w:rsidR="009D4C07" w:rsidRPr="00610DC3">
        <w:rPr>
          <w:rFonts w:ascii="Palatino Linotype" w:eastAsia="Calibri" w:hAnsi="Palatino Linotype" w:cs="Arial"/>
          <w:b/>
          <w:bCs/>
          <w:color w:val="000000"/>
        </w:rPr>
        <w:t>00297/IXTASAL/IP/2020, 00364/IXTASAL/IP/2020, 00369/IXTASAL/IP/2020 y 00370/IXTASAL/IP/2020</w:t>
      </w:r>
      <w:r w:rsidRPr="00610DC3">
        <w:rPr>
          <w:rFonts w:ascii="Palatino Linotype" w:hAnsi="Palatino Linotype"/>
          <w:color w:val="000000" w:themeColor="text1"/>
          <w:lang w:val="es-ES"/>
        </w:rPr>
        <w:t>.</w:t>
      </w:r>
    </w:p>
    <w:p w14:paraId="71C4988C" w14:textId="77777777" w:rsidR="000C35F4" w:rsidRPr="00610DC3" w:rsidRDefault="000C35F4" w:rsidP="000C35F4">
      <w:pPr>
        <w:tabs>
          <w:tab w:val="left" w:pos="426"/>
        </w:tabs>
        <w:spacing w:before="240" w:after="240" w:line="360" w:lineRule="auto"/>
        <w:ind w:right="51"/>
        <w:contextualSpacing/>
        <w:jc w:val="both"/>
        <w:rPr>
          <w:rFonts w:ascii="Palatino Linotype" w:hAnsi="Palatino Linotype"/>
          <w:color w:val="000000" w:themeColor="text1"/>
        </w:rPr>
      </w:pPr>
    </w:p>
    <w:p w14:paraId="76149F30" w14:textId="75CE78EE" w:rsidR="000C35F4" w:rsidRDefault="000C35F4" w:rsidP="000C35F4">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610DC3">
        <w:rPr>
          <w:rFonts w:ascii="Palatino Linotype" w:hAnsi="Palatino Linotype"/>
          <w:color w:val="000000" w:themeColor="text1"/>
          <w:lang w:val="es-ES"/>
        </w:rPr>
        <w:t xml:space="preserve">Por </w:t>
      </w:r>
      <w:r w:rsidRPr="00610DC3">
        <w:rPr>
          <w:rFonts w:ascii="Palatino Linotype" w:hAnsi="Palatino Linotype"/>
          <w:color w:val="000000" w:themeColor="text1"/>
        </w:rPr>
        <w:t xml:space="preserve">lo anteriormente expuesto y fundado, éste </w:t>
      </w:r>
      <w:r w:rsidRPr="00610DC3">
        <w:rPr>
          <w:rFonts w:ascii="Palatino Linotype" w:hAnsi="Palatino Linotype"/>
          <w:b/>
          <w:color w:val="000000" w:themeColor="text1"/>
        </w:rPr>
        <w:t>ÓRGANO GARANTE</w:t>
      </w:r>
      <w:r w:rsidRPr="00610DC3">
        <w:rPr>
          <w:rFonts w:ascii="Palatino Linotype" w:hAnsi="Palatino Linotype"/>
          <w:color w:val="000000" w:themeColor="text1"/>
        </w:rPr>
        <w:t xml:space="preserve"> emite los siguientes:</w:t>
      </w:r>
    </w:p>
    <w:p w14:paraId="64F25E87" w14:textId="5E9153A1" w:rsidR="00610DC3" w:rsidRDefault="00610DC3" w:rsidP="00610DC3">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084220BB" wp14:editId="79367531">
                <wp:simplePos x="0" y="0"/>
                <wp:positionH relativeFrom="column">
                  <wp:posOffset>81915</wp:posOffset>
                </wp:positionH>
                <wp:positionV relativeFrom="paragraph">
                  <wp:posOffset>118744</wp:posOffset>
                </wp:positionV>
                <wp:extent cx="5505450" cy="53244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5324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30DC3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9.35pt" to="439.95pt,4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8HfuwEAAMUDAAAOAAAAZHJzL2Uyb0RvYy54bWysU9uO0zAQfUfiHyy/b5N2G0BR033oCl4Q&#10;VFw+wOuMG0u+aWya9O8ZO20WAdJKiBc7tuecmXNmsnuYrGFnwKi96/h6VXMGTvpeu1PHv397f/eO&#10;s5iE64XxDjp+gcgf9q9f7cbQwsYP3vSAjEhcbMfQ8SGl0FZVlANYEVc+gKNH5dGKREc8VT2Kkdit&#10;qTZ1/aYaPfYBvYQY6fZxfuT7wq8UyPRZqQiJmY5TbamsWNanvFb7nWhPKMKg5bUM8Q9VWKEdJV2o&#10;HkUS7AfqP6isluijV2klva28UlpC0UBq1vVvar4OIkDRQubEsNgU/x+t/HQ+ItM99Y4zJyy16ECN&#10;kskjw7yxdfZoDLGl0IM74vUUwxGz4EmhzTtJYVPx9bL4ClNiki6bpm62Ddkv6a2532y3b5vMWj3D&#10;A8b0Abxl+aPjRrssXLTi/DGmOfQWQrhczlxA+UoXAznYuC+gSAyl3BR0GSM4GGRnQQMgpASXiiBK&#10;XaIzTGljFmD9MvAan6FQRmwBr18GL4iS2bu0gK12Hv9GkKZbyWqOvzkw684WPPn+UlpTrKFZKeZe&#10;5zoP46/nAn/++/Y/AQAA//8DAFBLAwQUAAYACAAAACEAEuvqzNoAAAAJAQAADwAAAGRycy9kb3du&#10;cmV2LnhtbExPu07EMBDskfgHa5HoOAdLXB7EOSEkJEouUFA68ZIH8UO275L7e5YKqt3ZGc3M1ofN&#10;LOyMIU7OSrjfZcDQ9k5PdpDw8f5yVwCLSVmtFmdRwgUjHJrrq1pV2q32iOc2DYxMbKyUhDElX3Ee&#10;+xGNijvn0RL35YJRiWAYuA5qJXOzcJFle27UZClhVB6fR+y/25OR8Bm6WbxeVi/cvG/L2aN4O6KU&#10;tzfb0yOwhFv6E8NvfaoODXXq3MnqyBbCoiQlzSIHRnyRl3ToaHnIBfCm5v8/aH4AAAD//wMAUEsB&#10;Ai0AFAAGAAgAAAAhALaDOJL+AAAA4QEAABMAAAAAAAAAAAAAAAAAAAAAAFtDb250ZW50X1R5cGVz&#10;XS54bWxQSwECLQAUAAYACAAAACEAOP0h/9YAAACUAQAACwAAAAAAAAAAAAAAAAAvAQAAX3JlbHMv&#10;LnJlbHNQSwECLQAUAAYACAAAACEA+zvB37sBAADFAwAADgAAAAAAAAAAAAAAAAAuAgAAZHJzL2Uy&#10;b0RvYy54bWxQSwECLQAUAAYACAAAACEAEuvqzNoAAAAJAQAADwAAAAAAAAAAAAAAAAAVBAAAZHJz&#10;L2Rvd25yZXYueG1sUEsFBgAAAAAEAAQA8wAAABwFAAAAAA==&#10;" strokecolor="#4f81bd [3204]" strokeweight="2pt">
                <v:shadow on="t" color="black" opacity="24903f" origin=",.5" offset="0,.55556mm"/>
              </v:line>
            </w:pict>
          </mc:Fallback>
        </mc:AlternateContent>
      </w:r>
    </w:p>
    <w:p w14:paraId="5DB0DBF0"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412140CD"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36A6B209"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3408C55B"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4F8815D7"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32BAB485"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3FAC1CDF"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48DC6696"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4A585E96"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3B316F05"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727CD414"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39E0E51F"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03C2B8CC" w14:textId="77777777" w:rsid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6038181D" w14:textId="77777777" w:rsidR="00610DC3" w:rsidRPr="00610DC3" w:rsidRDefault="00610DC3" w:rsidP="00610DC3">
      <w:pPr>
        <w:tabs>
          <w:tab w:val="left" w:pos="426"/>
        </w:tabs>
        <w:spacing w:before="240" w:after="240" w:line="360" w:lineRule="auto"/>
        <w:ind w:right="51"/>
        <w:contextualSpacing/>
        <w:jc w:val="both"/>
        <w:rPr>
          <w:rFonts w:ascii="Palatino Linotype" w:hAnsi="Palatino Linotype"/>
          <w:color w:val="000000" w:themeColor="text1"/>
        </w:rPr>
      </w:pPr>
    </w:p>
    <w:p w14:paraId="102BDCD1" w14:textId="77777777" w:rsidR="000C35F4" w:rsidRPr="00610DC3" w:rsidRDefault="000C35F4" w:rsidP="000C35F4">
      <w:pPr>
        <w:pStyle w:val="Ttulo1"/>
        <w:spacing w:line="360" w:lineRule="auto"/>
        <w:jc w:val="center"/>
        <w:rPr>
          <w:b/>
          <w:color w:val="000000" w:themeColor="text1"/>
          <w:szCs w:val="24"/>
        </w:rPr>
      </w:pPr>
      <w:bookmarkStart w:id="73" w:name="_Toc495427547"/>
      <w:bookmarkStart w:id="74" w:name="_Toc497905366"/>
      <w:bookmarkStart w:id="75" w:name="_Toc51892306"/>
      <w:bookmarkStart w:id="76" w:name="_Toc53009727"/>
      <w:r w:rsidRPr="00610DC3">
        <w:rPr>
          <w:b/>
          <w:color w:val="000000" w:themeColor="text1"/>
          <w:szCs w:val="24"/>
        </w:rPr>
        <w:lastRenderedPageBreak/>
        <w:t>R E S O L U T I V O S</w:t>
      </w:r>
      <w:bookmarkEnd w:id="73"/>
      <w:bookmarkEnd w:id="74"/>
      <w:bookmarkEnd w:id="75"/>
      <w:bookmarkEnd w:id="76"/>
    </w:p>
    <w:p w14:paraId="7DC2F272" w14:textId="729979C3" w:rsidR="000C35F4" w:rsidRPr="00610DC3" w:rsidRDefault="000C35F4" w:rsidP="000C35F4">
      <w:pPr>
        <w:spacing w:before="240" w:line="360" w:lineRule="auto"/>
        <w:jc w:val="both"/>
        <w:rPr>
          <w:rFonts w:ascii="Palatino Linotype" w:eastAsia="Times New Roman" w:hAnsi="Palatino Linotype" w:cs="Times New Roman"/>
        </w:rPr>
      </w:pPr>
      <w:r w:rsidRPr="00610DC3">
        <w:rPr>
          <w:rFonts w:ascii="Palatino Linotype" w:eastAsia="Times New Roman" w:hAnsi="Palatino Linotype" w:cs="Arial"/>
          <w:b/>
        </w:rPr>
        <w:t xml:space="preserve">PRIMERO. </w:t>
      </w:r>
      <w:r w:rsidRPr="00610DC3">
        <w:rPr>
          <w:rFonts w:ascii="Palatino Linotype" w:eastAsia="Times New Roman" w:hAnsi="Palatino Linotype" w:cs="Arial"/>
        </w:rPr>
        <w:t>Resultan infundadas las</w:t>
      </w:r>
      <w:r w:rsidRPr="00610DC3">
        <w:rPr>
          <w:rFonts w:ascii="Palatino Linotype" w:eastAsia="Times New Roman" w:hAnsi="Palatino Linotype" w:cs="Arial"/>
          <w:b/>
        </w:rPr>
        <w:t xml:space="preserve"> </w:t>
      </w:r>
      <w:r w:rsidRPr="00610DC3">
        <w:rPr>
          <w:rFonts w:ascii="Palatino Linotype" w:eastAsia="Times New Roman" w:hAnsi="Palatino Linotype" w:cs="Arial"/>
          <w:lang w:val="es-ES"/>
        </w:rPr>
        <w:t xml:space="preserve">razones o motivos de inconformidad hechos valer </w:t>
      </w:r>
      <w:r w:rsidRPr="00610DC3">
        <w:rPr>
          <w:rFonts w:ascii="Palatino Linotype" w:eastAsia="Calibri" w:hAnsi="Palatino Linotype" w:cs="Arial"/>
          <w:lang w:val="es-ES"/>
        </w:rPr>
        <w:t>en los recursos de revisión</w:t>
      </w:r>
      <w:r w:rsidR="009D4C07" w:rsidRPr="00610DC3">
        <w:rPr>
          <w:rFonts w:ascii="Palatino Linotype" w:eastAsia="Calibri" w:hAnsi="Palatino Linotype" w:cs="Arial"/>
          <w:lang w:val="es-ES"/>
        </w:rPr>
        <w:t xml:space="preserve"> </w:t>
      </w:r>
      <w:r w:rsidR="009D4C07" w:rsidRPr="00610DC3">
        <w:rPr>
          <w:rFonts w:ascii="Palatino Linotype" w:hAnsi="Palatino Linotype"/>
          <w:b/>
          <w:bCs/>
          <w:color w:val="000000" w:themeColor="text1"/>
        </w:rPr>
        <w:t>02223/INFOEM/IP/RR/2020, 02241/INFOEM/IP/RR/2020, 02272/INFOEM/IP/RR/2020 y 02273/INFOEM/IP/RR/2020</w:t>
      </w:r>
      <w:r w:rsidRPr="00610DC3">
        <w:rPr>
          <w:rFonts w:ascii="Palatino Linotype" w:hAnsi="Palatino Linotype" w:cs="Arial"/>
          <w:b/>
          <w:bCs/>
        </w:rPr>
        <w:t xml:space="preserve">, </w:t>
      </w:r>
      <w:r w:rsidRPr="00610DC3">
        <w:rPr>
          <w:rFonts w:ascii="Palatino Linotype" w:hAnsi="Palatino Linotype" w:cs="Arial"/>
          <w:bCs/>
        </w:rPr>
        <w:t xml:space="preserve">en términos del </w:t>
      </w:r>
      <w:r w:rsidRPr="00610DC3">
        <w:rPr>
          <w:rFonts w:ascii="Palatino Linotype" w:hAnsi="Palatino Linotype" w:cs="Arial"/>
          <w:b/>
          <w:bCs/>
        </w:rPr>
        <w:t>Considerando</w:t>
      </w:r>
      <w:r w:rsidRPr="00610DC3">
        <w:rPr>
          <w:rFonts w:ascii="Palatino Linotype" w:hAnsi="Palatino Linotype" w:cs="Arial"/>
          <w:bCs/>
        </w:rPr>
        <w:t xml:space="preserve"> </w:t>
      </w:r>
      <w:r w:rsidRPr="00610DC3">
        <w:rPr>
          <w:rFonts w:ascii="Palatino Linotype" w:hAnsi="Palatino Linotype" w:cs="Arial"/>
          <w:b/>
          <w:bCs/>
        </w:rPr>
        <w:t>CUARTO</w:t>
      </w:r>
      <w:r w:rsidRPr="00610DC3">
        <w:rPr>
          <w:rFonts w:ascii="Palatino Linotype" w:hAnsi="Palatino Linotype" w:cs="Arial"/>
          <w:bCs/>
        </w:rPr>
        <w:t xml:space="preserve"> de la presente resolución.</w:t>
      </w:r>
    </w:p>
    <w:p w14:paraId="3ADC0C48" w14:textId="0B7747E5" w:rsidR="000C35F4" w:rsidRPr="00610DC3" w:rsidRDefault="000C35F4" w:rsidP="000C35F4">
      <w:pPr>
        <w:spacing w:before="240" w:after="240" w:line="360" w:lineRule="auto"/>
        <w:jc w:val="both"/>
        <w:rPr>
          <w:rFonts w:ascii="Palatino Linotype" w:eastAsia="Calibri" w:hAnsi="Palatino Linotype" w:cs="Arial"/>
          <w:lang w:val="es-ES"/>
        </w:rPr>
      </w:pPr>
      <w:r w:rsidRPr="00610DC3">
        <w:rPr>
          <w:rFonts w:ascii="Palatino Linotype" w:hAnsi="Palatino Linotype"/>
          <w:b/>
        </w:rPr>
        <w:t>SEGUNDO.</w:t>
      </w:r>
      <w:r w:rsidRPr="00610DC3">
        <w:rPr>
          <w:rStyle w:val="Ttulo2Car"/>
          <w:rFonts w:ascii="Palatino Linotype" w:hAnsi="Palatino Linotype"/>
          <w:b/>
          <w:sz w:val="24"/>
          <w:szCs w:val="24"/>
        </w:rPr>
        <w:t xml:space="preserve"> </w:t>
      </w:r>
      <w:r w:rsidRPr="00610DC3">
        <w:rPr>
          <w:rFonts w:ascii="Palatino Linotype" w:eastAsia="Calibri" w:hAnsi="Palatino Linotype" w:cs="Arial"/>
          <w:lang w:val="es-ES"/>
        </w:rPr>
        <w:t>Se</w:t>
      </w:r>
      <w:r w:rsidRPr="00610DC3">
        <w:rPr>
          <w:rFonts w:ascii="Palatino Linotype" w:eastAsia="Calibri" w:hAnsi="Palatino Linotype" w:cs="Arial"/>
          <w:b/>
          <w:lang w:val="es-ES"/>
        </w:rPr>
        <w:t xml:space="preserve"> CONFIRMAN </w:t>
      </w:r>
      <w:r w:rsidRPr="00610DC3">
        <w:rPr>
          <w:rFonts w:ascii="Palatino Linotype" w:eastAsia="Calibri" w:hAnsi="Palatino Linotype" w:cs="Arial"/>
          <w:lang w:val="es-ES"/>
        </w:rPr>
        <w:t xml:space="preserve">las respuestas emitidas por el </w:t>
      </w:r>
      <w:r w:rsidRPr="00610DC3">
        <w:rPr>
          <w:rFonts w:ascii="Palatino Linotype" w:hAnsi="Palatino Linotype" w:cs="Arial"/>
          <w:b/>
        </w:rPr>
        <w:t>Ayuntamiento de Ixtapan de la Sal</w:t>
      </w:r>
      <w:r w:rsidRPr="00610DC3">
        <w:rPr>
          <w:rFonts w:ascii="Palatino Linotype" w:eastAsia="Calibri" w:hAnsi="Palatino Linotype" w:cs="Arial"/>
          <w:lang w:val="es-ES"/>
        </w:rPr>
        <w:t xml:space="preserve"> a las solicitudes</w:t>
      </w:r>
      <w:r w:rsidR="009D4C07" w:rsidRPr="00610DC3">
        <w:rPr>
          <w:rFonts w:ascii="Palatino Linotype" w:hAnsi="Palatino Linotype"/>
          <w:b/>
          <w:bCs/>
          <w:color w:val="000000" w:themeColor="text1"/>
        </w:rPr>
        <w:t xml:space="preserve"> </w:t>
      </w:r>
      <w:r w:rsidR="009D4C07" w:rsidRPr="00610DC3">
        <w:rPr>
          <w:rFonts w:ascii="Palatino Linotype" w:eastAsia="Calibri" w:hAnsi="Palatino Linotype" w:cs="Arial"/>
          <w:b/>
          <w:bCs/>
          <w:color w:val="000000"/>
        </w:rPr>
        <w:t>00297/IXTASAL/IP/2020, 00364/IXTASAL/IP/2020, 00369/IXTASAL/IP/2020 y 00370/IXTASAL/IP/2020</w:t>
      </w:r>
      <w:r w:rsidRPr="00610DC3">
        <w:rPr>
          <w:rFonts w:ascii="Palatino Linotype" w:eastAsia="Calibri" w:hAnsi="Palatino Linotype" w:cs="Arial"/>
          <w:b/>
          <w:lang w:val="es-ES"/>
        </w:rPr>
        <w:t>.</w:t>
      </w:r>
      <w:r w:rsidRPr="00610DC3">
        <w:rPr>
          <w:rFonts w:ascii="Palatino Linotype" w:eastAsia="Calibri" w:hAnsi="Palatino Linotype" w:cs="Arial"/>
          <w:lang w:val="es-ES"/>
        </w:rPr>
        <w:t xml:space="preserve"> </w:t>
      </w:r>
    </w:p>
    <w:p w14:paraId="26CFEC37" w14:textId="77777777" w:rsidR="000C35F4" w:rsidRPr="00610DC3" w:rsidRDefault="000C35F4" w:rsidP="000C35F4">
      <w:pPr>
        <w:tabs>
          <w:tab w:val="left" w:pos="8080"/>
        </w:tabs>
        <w:spacing w:before="240" w:line="360" w:lineRule="auto"/>
        <w:ind w:right="49"/>
        <w:contextualSpacing/>
        <w:jc w:val="both"/>
        <w:rPr>
          <w:rFonts w:ascii="Palatino Linotype" w:eastAsia="Palatino Linotype" w:hAnsi="Palatino Linotype" w:cs="Palatino Linotype"/>
          <w:b/>
        </w:rPr>
      </w:pPr>
      <w:r w:rsidRPr="00610DC3">
        <w:rPr>
          <w:rFonts w:ascii="Palatino Linotype" w:eastAsia="Palatino Linotype" w:hAnsi="Palatino Linotype" w:cs="Palatino Linotype"/>
          <w:b/>
        </w:rPr>
        <w:t xml:space="preserve">TERCERO. REMÍTASE, </w:t>
      </w:r>
      <w:r w:rsidRPr="00610DC3">
        <w:rPr>
          <w:rFonts w:ascii="Palatino Linotype" w:eastAsia="Palatino Linotype" w:hAnsi="Palatino Linotype" w:cs="Palatino Linotype"/>
        </w:rPr>
        <w:t xml:space="preserve">vía Sistema de Acceso a la Información Mexiquense </w:t>
      </w:r>
      <w:r w:rsidRPr="00610DC3">
        <w:rPr>
          <w:rFonts w:ascii="Palatino Linotype" w:eastAsia="Palatino Linotype" w:hAnsi="Palatino Linotype" w:cs="Palatino Linotype"/>
          <w:b/>
        </w:rPr>
        <w:t>(SAIMEX)</w:t>
      </w:r>
      <w:r w:rsidRPr="00610DC3">
        <w:rPr>
          <w:rFonts w:ascii="Palatino Linotype" w:eastAsia="Palatino Linotype" w:hAnsi="Palatino Linotype" w:cs="Palatino Linotype"/>
        </w:rPr>
        <w:t xml:space="preserve">, la presente resolución al Titular de la Unidad de Transparencia del </w:t>
      </w:r>
      <w:r w:rsidRPr="00610DC3">
        <w:rPr>
          <w:rFonts w:ascii="Palatino Linotype" w:eastAsia="Palatino Linotype" w:hAnsi="Palatino Linotype" w:cs="Palatino Linotype"/>
          <w:b/>
        </w:rPr>
        <w:t>SUJETO OBLIGADO.</w:t>
      </w:r>
    </w:p>
    <w:p w14:paraId="11A5CD74" w14:textId="04A64B29" w:rsidR="000C35F4" w:rsidRPr="00610DC3" w:rsidRDefault="000C35F4" w:rsidP="000C35F4">
      <w:pPr>
        <w:shd w:val="clear" w:color="auto" w:fill="FFFFFF"/>
        <w:spacing w:before="240" w:line="360" w:lineRule="auto"/>
        <w:jc w:val="both"/>
        <w:rPr>
          <w:rFonts w:ascii="Palatino Linotype" w:hAnsi="Palatino Linotype"/>
        </w:rPr>
      </w:pPr>
      <w:r w:rsidRPr="00610DC3">
        <w:rPr>
          <w:rFonts w:ascii="Palatino Linotype" w:eastAsia="Times New Roman" w:hAnsi="Palatino Linotype" w:cs="Arial"/>
          <w:b/>
        </w:rPr>
        <w:t xml:space="preserve">CUARTO. </w:t>
      </w:r>
      <w:r w:rsidRPr="00610DC3">
        <w:rPr>
          <w:rFonts w:ascii="Palatino Linotype" w:eastAsia="Times New Roman" w:hAnsi="Palatino Linotype" w:cs="Times New Roman"/>
          <w:b/>
          <w:bCs/>
          <w:color w:val="222222"/>
          <w:lang w:val="es-ES"/>
        </w:rPr>
        <w:t>Notifíquese a</w:t>
      </w:r>
      <w:r w:rsidRPr="00610DC3">
        <w:rPr>
          <w:rFonts w:ascii="Palatino Linotype" w:hAnsi="Palatino Linotype"/>
          <w:b/>
        </w:rPr>
        <w:t xml:space="preserve"> </w:t>
      </w:r>
      <w:r w:rsidR="00CE6AC4" w:rsidRPr="00CE6AC4">
        <w:rPr>
          <w:rFonts w:ascii="Palatino Linotype" w:hAnsi="Palatino Linotype"/>
          <w:b/>
          <w:highlight w:val="black"/>
        </w:rPr>
        <w:t>-------------------------------</w:t>
      </w:r>
      <w:r w:rsidRPr="00610DC3">
        <w:rPr>
          <w:rFonts w:ascii="Palatino Linotype" w:hAnsi="Palatino Linotype"/>
        </w:rPr>
        <w:t xml:space="preserve"> la presente resolución.</w:t>
      </w:r>
    </w:p>
    <w:p w14:paraId="20C79BF5" w14:textId="00396C69" w:rsidR="000C35F4" w:rsidRPr="00610DC3" w:rsidRDefault="000C35F4" w:rsidP="000C35F4">
      <w:pPr>
        <w:spacing w:before="240" w:after="240" w:line="360" w:lineRule="auto"/>
        <w:jc w:val="both"/>
        <w:rPr>
          <w:rFonts w:ascii="Palatino Linotype" w:eastAsia="Calibri" w:hAnsi="Palatino Linotype" w:cs="Arial"/>
          <w:lang w:val="es-ES"/>
        </w:rPr>
      </w:pPr>
      <w:r w:rsidRPr="00610DC3">
        <w:rPr>
          <w:rFonts w:ascii="Palatino Linotype" w:eastAsia="MS Mincho" w:hAnsi="Palatino Linotype" w:cs="Times New Roman"/>
          <w:b/>
          <w:lang w:val="es-MX"/>
        </w:rPr>
        <w:t>QUINTO.</w:t>
      </w:r>
      <w:r w:rsidRPr="00610DC3">
        <w:rPr>
          <w:rFonts w:ascii="Palatino Linotype" w:eastAsia="MS Mincho" w:hAnsi="Palatino Linotype" w:cs="Times New Roman"/>
          <w:lang w:val="es-MX"/>
        </w:rPr>
        <w:t xml:space="preserve"> </w:t>
      </w:r>
      <w:r w:rsidRPr="00610DC3">
        <w:rPr>
          <w:rFonts w:ascii="Palatino Linotype" w:eastAsia="MS Mincho" w:hAnsi="Palatino Linotype" w:cs="Times New Roman"/>
          <w:lang w:val="es-ES"/>
        </w:rPr>
        <w:t xml:space="preserve">Se hace del conocimiento de </w:t>
      </w:r>
      <w:r w:rsidR="00CE6AC4" w:rsidRPr="00CE6AC4">
        <w:rPr>
          <w:rFonts w:ascii="Palatino Linotype" w:hAnsi="Palatino Linotype"/>
          <w:b/>
          <w:highlight w:val="black"/>
        </w:rPr>
        <w:t>----------------------------</w:t>
      </w:r>
      <w:bookmarkStart w:id="77" w:name="_GoBack"/>
      <w:bookmarkEnd w:id="77"/>
      <w:r w:rsidRPr="00610DC3">
        <w:rPr>
          <w:rFonts w:ascii="Palatino Linotype" w:hAnsi="Palatino Linotype"/>
        </w:rPr>
        <w:t xml:space="preserve"> </w:t>
      </w:r>
      <w:r w:rsidRPr="00610DC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10DC3">
        <w:rPr>
          <w:rFonts w:ascii="Palatino Linotype" w:eastAsia="MS Mincho" w:hAnsi="Palatino Linotype" w:cs="Times New Roman"/>
          <w:bCs/>
          <w:lang w:val="es-ES"/>
        </w:rPr>
        <w:t>vía juicio de amparo</w:t>
      </w:r>
      <w:r w:rsidRPr="00610DC3">
        <w:rPr>
          <w:rFonts w:ascii="Palatino Linotype" w:eastAsia="MS Mincho" w:hAnsi="Palatino Linotype" w:cs="Times New Roman"/>
          <w:lang w:val="es-ES"/>
        </w:rPr>
        <w:t xml:space="preserve"> en los términos de las leyes aplicables.</w:t>
      </w:r>
    </w:p>
    <w:p w14:paraId="1904B15F" w14:textId="20D13453" w:rsidR="00DD3B59" w:rsidRPr="00610DC3" w:rsidRDefault="000C35F4" w:rsidP="00DD3B59">
      <w:pPr>
        <w:pStyle w:val="Prrafodelista"/>
        <w:spacing w:line="360" w:lineRule="auto"/>
        <w:ind w:left="0"/>
        <w:jc w:val="both"/>
        <w:rPr>
          <w:rFonts w:ascii="Palatino Linotype" w:hAnsi="Palatino Linotype" w:cs="Arial"/>
          <w:color w:val="000000" w:themeColor="text1"/>
          <w:sz w:val="22"/>
        </w:rPr>
      </w:pPr>
      <w:r w:rsidRPr="00610DC3">
        <w:rPr>
          <w:rFonts w:ascii="Palatino Linotype" w:hAnsi="Palatino Linotype"/>
          <w:color w:val="000000" w:themeColor="text1"/>
          <w:sz w:val="22"/>
        </w:rPr>
        <w:t xml:space="preserve">ASÍ LO RESUELVE, POR </w:t>
      </w:r>
      <w:r w:rsidR="006621E4">
        <w:rPr>
          <w:rFonts w:ascii="Palatino Linotype" w:hAnsi="Palatino Linotype"/>
          <w:color w:val="000000" w:themeColor="text1"/>
          <w:sz w:val="22"/>
        </w:rPr>
        <w:t>MAYORÍA</w:t>
      </w:r>
      <w:r w:rsidRPr="00610DC3">
        <w:rPr>
          <w:rFonts w:ascii="Palatino Linotype" w:hAnsi="Palatino Linotype"/>
          <w:color w:val="000000" w:themeColor="text1"/>
          <w:sz w:val="22"/>
        </w:rPr>
        <w:t xml:space="preserve"> DE VOTOS, EL PLENO DEL INSTITUTO DE TRANSPARENCIA, ACCESO A LA INFORMACIÓN PÚBLICA Y PROTECCIÓN DE DATOS PERSONALES DEL ESTADO DE MÉXICO Y </w:t>
      </w:r>
      <w:r w:rsidR="009D4C07" w:rsidRPr="00610DC3">
        <w:rPr>
          <w:rFonts w:ascii="Palatino Linotype" w:hAnsi="Palatino Linotype"/>
          <w:color w:val="000000" w:themeColor="text1"/>
          <w:sz w:val="22"/>
        </w:rPr>
        <w:t xml:space="preserve">MUNICIPIOS, CONFORMADO POR </w:t>
      </w:r>
      <w:r w:rsidR="009D4C07" w:rsidRPr="00610DC3">
        <w:rPr>
          <w:rFonts w:ascii="Palatino Linotype" w:hAnsi="Palatino Linotype"/>
          <w:color w:val="000000" w:themeColor="text1"/>
          <w:sz w:val="22"/>
        </w:rPr>
        <w:lastRenderedPageBreak/>
        <w:t xml:space="preserve">LOS COMISIONADOS ZULEMA MARTÍNEZ SÁNCHEZ; EVA ABAID YAPUR; JOSÉ GUADALUPE LUNA HERNÁNDEZ, JAVIER MARTÍNEZ CRUZ </w:t>
      </w:r>
      <w:r w:rsidR="00610DC3" w:rsidRPr="00610DC3">
        <w:rPr>
          <w:rFonts w:ascii="Palatino Linotype" w:hAnsi="Palatino Linotype"/>
          <w:color w:val="000000" w:themeColor="text1"/>
          <w:sz w:val="22"/>
        </w:rPr>
        <w:t xml:space="preserve">EMITIENDO VOTO EN CONTRA CON VOTO DISIDENTE </w:t>
      </w:r>
      <w:r w:rsidR="009D4C07" w:rsidRPr="00610DC3">
        <w:rPr>
          <w:rFonts w:ascii="Palatino Linotype" w:hAnsi="Palatino Linotype"/>
          <w:color w:val="000000" w:themeColor="text1"/>
          <w:sz w:val="22"/>
        </w:rPr>
        <w:t>Y LUIS GUSTAVO PARRA NORIEGA; EN LA VIGÉSIMA SEGUNDA  SESIÓN ORDINARIA CELEBRADA EL CATORCE (14) DE OCTUBRE DE DOS MIL VEINTE, ANTE EL SECRETARIO TÉCNICO DEL PLENO ALEXIS TAPIA RAMÍREZ.</w:t>
      </w:r>
      <w:r w:rsidR="009D4C07" w:rsidRPr="00610DC3">
        <w:rPr>
          <w:rFonts w:ascii="Palatino Linotype" w:hAnsi="Palatino Linotype" w:cs="Arial"/>
          <w:color w:val="000000" w:themeColor="text1"/>
          <w:sz w:val="22"/>
        </w:rPr>
        <w:t xml:space="preserve"> </w:t>
      </w:r>
    </w:p>
    <w:tbl>
      <w:tblPr>
        <w:tblStyle w:val="Tablaconcuadrcula1"/>
        <w:tblW w:w="94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295"/>
        <w:gridCol w:w="4731"/>
      </w:tblGrid>
      <w:tr w:rsidR="000C35F4" w:rsidRPr="00610DC3" w14:paraId="312FBE8D" w14:textId="77777777" w:rsidTr="00610DC3">
        <w:trPr>
          <w:trHeight w:val="1737"/>
        </w:trPr>
        <w:tc>
          <w:tcPr>
            <w:tcW w:w="9461" w:type="dxa"/>
            <w:gridSpan w:val="3"/>
            <w:vAlign w:val="center"/>
          </w:tcPr>
          <w:p w14:paraId="6D37DEAD" w14:textId="77777777" w:rsidR="000C35F4" w:rsidRPr="00610DC3" w:rsidRDefault="000C35F4" w:rsidP="00610DC3">
            <w:pPr>
              <w:pStyle w:val="Prrafodelista"/>
              <w:ind w:left="0"/>
              <w:rPr>
                <w:rFonts w:ascii="Palatino Linotype" w:hAnsi="Palatino Linotype" w:cs="Arial"/>
                <w:color w:val="000000" w:themeColor="text1"/>
              </w:rPr>
            </w:pPr>
          </w:p>
          <w:p w14:paraId="13668DCF" w14:textId="77777777" w:rsidR="000C35F4" w:rsidRPr="00610DC3" w:rsidRDefault="000C35F4" w:rsidP="00610DC3">
            <w:pPr>
              <w:jc w:val="center"/>
              <w:rPr>
                <w:rFonts w:ascii="Palatino Linotype" w:hAnsi="Palatino Linotype" w:cs="Times New Roman"/>
                <w:b/>
                <w:color w:val="000000" w:themeColor="text1"/>
              </w:rPr>
            </w:pPr>
            <w:r w:rsidRPr="00610DC3">
              <w:rPr>
                <w:rFonts w:ascii="Palatino Linotype" w:hAnsi="Palatino Linotype" w:cs="Times New Roman"/>
                <w:b/>
                <w:color w:val="000000" w:themeColor="text1"/>
              </w:rPr>
              <w:t>Zulema Martínez Sánchez</w:t>
            </w:r>
          </w:p>
          <w:p w14:paraId="605AF485" w14:textId="77777777" w:rsidR="000C35F4" w:rsidRPr="00610DC3" w:rsidRDefault="000C35F4" w:rsidP="00610DC3">
            <w:pPr>
              <w:jc w:val="center"/>
              <w:rPr>
                <w:rFonts w:ascii="Palatino Linotype" w:hAnsi="Palatino Linotype"/>
                <w:color w:val="000000" w:themeColor="text1"/>
              </w:rPr>
            </w:pPr>
            <w:r w:rsidRPr="00610DC3">
              <w:rPr>
                <w:rFonts w:ascii="Palatino Linotype" w:hAnsi="Palatino Linotype"/>
                <w:color w:val="000000" w:themeColor="text1"/>
              </w:rPr>
              <w:t>Comisionada Presidenta</w:t>
            </w:r>
          </w:p>
          <w:p w14:paraId="1C63869C" w14:textId="77777777" w:rsidR="000C35F4" w:rsidRPr="00610DC3" w:rsidRDefault="000C35F4" w:rsidP="00610DC3">
            <w:pPr>
              <w:jc w:val="center"/>
              <w:rPr>
                <w:rFonts w:ascii="Palatino Linotype" w:hAnsi="Palatino Linotype"/>
                <w:color w:val="000000" w:themeColor="text1"/>
              </w:rPr>
            </w:pPr>
            <w:r w:rsidRPr="00610DC3">
              <w:rPr>
                <w:rFonts w:ascii="Palatino Linotype" w:hAnsi="Palatino Linotype" w:cs="Times New Roman"/>
                <w:color w:val="000000" w:themeColor="text1"/>
              </w:rPr>
              <w:t>(Rúbrica)</w:t>
            </w:r>
          </w:p>
        </w:tc>
      </w:tr>
      <w:tr w:rsidR="000C35F4" w:rsidRPr="00610DC3" w14:paraId="3772706D" w14:textId="77777777" w:rsidTr="00610DC3">
        <w:trPr>
          <w:trHeight w:val="2072"/>
        </w:trPr>
        <w:tc>
          <w:tcPr>
            <w:tcW w:w="4435" w:type="dxa"/>
            <w:vAlign w:val="center"/>
          </w:tcPr>
          <w:p w14:paraId="0FAE03B0" w14:textId="77777777" w:rsidR="000C35F4" w:rsidRPr="00610DC3" w:rsidRDefault="000C35F4" w:rsidP="00610DC3">
            <w:pPr>
              <w:jc w:val="center"/>
              <w:rPr>
                <w:rFonts w:ascii="Palatino Linotype" w:hAnsi="Palatino Linotype" w:cs="Times New Roman"/>
                <w:b/>
                <w:color w:val="000000" w:themeColor="text1"/>
              </w:rPr>
            </w:pPr>
          </w:p>
          <w:p w14:paraId="4ACCAC9C" w14:textId="77777777" w:rsidR="000C35F4" w:rsidRPr="00610DC3" w:rsidRDefault="000C35F4" w:rsidP="00610DC3">
            <w:pPr>
              <w:jc w:val="center"/>
              <w:rPr>
                <w:rFonts w:ascii="Palatino Linotype" w:hAnsi="Palatino Linotype" w:cs="Times New Roman"/>
                <w:b/>
                <w:color w:val="000000" w:themeColor="text1"/>
              </w:rPr>
            </w:pPr>
          </w:p>
          <w:p w14:paraId="2906B803" w14:textId="77777777" w:rsidR="000C35F4" w:rsidRPr="00610DC3" w:rsidRDefault="000C35F4" w:rsidP="00610DC3">
            <w:pPr>
              <w:jc w:val="center"/>
              <w:rPr>
                <w:rFonts w:ascii="Palatino Linotype" w:hAnsi="Palatino Linotype" w:cs="Times New Roman"/>
                <w:b/>
                <w:color w:val="000000" w:themeColor="text1"/>
              </w:rPr>
            </w:pPr>
            <w:r w:rsidRPr="00610DC3">
              <w:rPr>
                <w:rFonts w:ascii="Palatino Linotype" w:hAnsi="Palatino Linotype" w:cs="Times New Roman"/>
                <w:b/>
                <w:color w:val="000000" w:themeColor="text1"/>
              </w:rPr>
              <w:t xml:space="preserve">Eva </w:t>
            </w:r>
            <w:proofErr w:type="spellStart"/>
            <w:r w:rsidRPr="00610DC3">
              <w:rPr>
                <w:rFonts w:ascii="Palatino Linotype" w:hAnsi="Palatino Linotype" w:cs="Times New Roman"/>
                <w:b/>
                <w:color w:val="000000" w:themeColor="text1"/>
              </w:rPr>
              <w:t>Abaid</w:t>
            </w:r>
            <w:proofErr w:type="spellEnd"/>
            <w:r w:rsidRPr="00610DC3">
              <w:rPr>
                <w:rFonts w:ascii="Palatino Linotype" w:hAnsi="Palatino Linotype" w:cs="Times New Roman"/>
                <w:b/>
                <w:color w:val="000000" w:themeColor="text1"/>
              </w:rPr>
              <w:t xml:space="preserve"> </w:t>
            </w:r>
            <w:proofErr w:type="spellStart"/>
            <w:r w:rsidRPr="00610DC3">
              <w:rPr>
                <w:rFonts w:ascii="Palatino Linotype" w:hAnsi="Palatino Linotype" w:cs="Times New Roman"/>
                <w:b/>
                <w:color w:val="000000" w:themeColor="text1"/>
              </w:rPr>
              <w:t>Yapur</w:t>
            </w:r>
            <w:proofErr w:type="spellEnd"/>
          </w:p>
          <w:p w14:paraId="01CE0EAE"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Comisionada</w:t>
            </w:r>
          </w:p>
          <w:p w14:paraId="5915D68B"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(Rúbrica)</w:t>
            </w:r>
          </w:p>
        </w:tc>
        <w:tc>
          <w:tcPr>
            <w:tcW w:w="5026" w:type="dxa"/>
            <w:gridSpan w:val="2"/>
            <w:vAlign w:val="center"/>
          </w:tcPr>
          <w:p w14:paraId="35D46838" w14:textId="77777777" w:rsidR="000C35F4" w:rsidRPr="00610DC3" w:rsidRDefault="000C35F4" w:rsidP="00610DC3">
            <w:pPr>
              <w:jc w:val="center"/>
              <w:rPr>
                <w:rFonts w:ascii="Palatino Linotype" w:hAnsi="Palatino Linotype" w:cs="Times New Roman"/>
                <w:b/>
                <w:color w:val="000000" w:themeColor="text1"/>
              </w:rPr>
            </w:pPr>
          </w:p>
          <w:p w14:paraId="30AEEF08" w14:textId="77777777" w:rsidR="000C35F4" w:rsidRPr="00610DC3" w:rsidRDefault="000C35F4" w:rsidP="00610DC3">
            <w:pPr>
              <w:jc w:val="center"/>
              <w:rPr>
                <w:rFonts w:ascii="Palatino Linotype" w:hAnsi="Palatino Linotype" w:cs="Times New Roman"/>
                <w:b/>
                <w:color w:val="000000" w:themeColor="text1"/>
              </w:rPr>
            </w:pPr>
          </w:p>
          <w:p w14:paraId="33E44A90" w14:textId="77777777" w:rsidR="000C35F4" w:rsidRPr="00610DC3" w:rsidRDefault="000C35F4" w:rsidP="00610DC3">
            <w:pPr>
              <w:jc w:val="center"/>
              <w:rPr>
                <w:rFonts w:ascii="Palatino Linotype" w:hAnsi="Palatino Linotype" w:cs="Times New Roman"/>
                <w:b/>
                <w:color w:val="000000" w:themeColor="text1"/>
              </w:rPr>
            </w:pPr>
            <w:r w:rsidRPr="00610DC3">
              <w:rPr>
                <w:rFonts w:ascii="Palatino Linotype" w:hAnsi="Palatino Linotype" w:cs="Times New Roman"/>
                <w:b/>
                <w:color w:val="000000" w:themeColor="text1"/>
              </w:rPr>
              <w:t>José Guadalupe Luna Hernández</w:t>
            </w:r>
          </w:p>
          <w:p w14:paraId="580D43DD"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Comisionado</w:t>
            </w:r>
          </w:p>
          <w:p w14:paraId="0FF14F0D"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(Rúbrica)</w:t>
            </w:r>
          </w:p>
        </w:tc>
      </w:tr>
      <w:tr w:rsidR="000C35F4" w:rsidRPr="00610DC3" w14:paraId="6EFB0960" w14:textId="77777777" w:rsidTr="00610DC3">
        <w:trPr>
          <w:trHeight w:val="2157"/>
        </w:trPr>
        <w:tc>
          <w:tcPr>
            <w:tcW w:w="4730" w:type="dxa"/>
            <w:gridSpan w:val="2"/>
            <w:vAlign w:val="center"/>
          </w:tcPr>
          <w:p w14:paraId="288AF075" w14:textId="77777777" w:rsidR="000C35F4" w:rsidRPr="00610DC3" w:rsidRDefault="000C35F4" w:rsidP="00610DC3">
            <w:pPr>
              <w:jc w:val="center"/>
              <w:rPr>
                <w:rFonts w:ascii="Palatino Linotype" w:hAnsi="Palatino Linotype" w:cs="Times New Roman"/>
                <w:b/>
                <w:color w:val="000000" w:themeColor="text1"/>
              </w:rPr>
            </w:pPr>
          </w:p>
          <w:p w14:paraId="753772B8"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b/>
                <w:color w:val="000000" w:themeColor="text1"/>
              </w:rPr>
              <w:t>Javier Martínez Cruz</w:t>
            </w:r>
            <w:r w:rsidRPr="00610DC3">
              <w:rPr>
                <w:rFonts w:ascii="Palatino Linotype" w:hAnsi="Palatino Linotype" w:cs="Times New Roman"/>
                <w:color w:val="000000" w:themeColor="text1"/>
              </w:rPr>
              <w:t xml:space="preserve"> </w:t>
            </w:r>
          </w:p>
          <w:p w14:paraId="6B390237"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Comisionado</w:t>
            </w:r>
          </w:p>
          <w:p w14:paraId="0516DE1D" w14:textId="77777777" w:rsidR="000C35F4" w:rsidRPr="00610DC3" w:rsidRDefault="000C35F4" w:rsidP="00610DC3">
            <w:pPr>
              <w:jc w:val="center"/>
              <w:rPr>
                <w:rFonts w:ascii="Palatino Linotype" w:hAnsi="Palatino Linotype" w:cs="Times New Roman"/>
                <w:b/>
                <w:color w:val="000000" w:themeColor="text1"/>
              </w:rPr>
            </w:pPr>
            <w:r w:rsidRPr="00610DC3">
              <w:rPr>
                <w:rFonts w:ascii="Palatino Linotype" w:hAnsi="Palatino Linotype" w:cs="Times New Roman"/>
                <w:color w:val="000000" w:themeColor="text1"/>
              </w:rPr>
              <w:t>(Rúbrica)</w:t>
            </w:r>
          </w:p>
        </w:tc>
        <w:tc>
          <w:tcPr>
            <w:tcW w:w="4731" w:type="dxa"/>
            <w:vAlign w:val="center"/>
          </w:tcPr>
          <w:p w14:paraId="5953A1D3" w14:textId="77777777" w:rsidR="000C35F4" w:rsidRPr="00610DC3" w:rsidRDefault="000C35F4" w:rsidP="00610DC3">
            <w:pPr>
              <w:jc w:val="center"/>
              <w:rPr>
                <w:rFonts w:ascii="Palatino Linotype" w:hAnsi="Palatino Linotype" w:cs="Times New Roman"/>
                <w:color w:val="000000" w:themeColor="text1"/>
              </w:rPr>
            </w:pPr>
          </w:p>
          <w:p w14:paraId="0BF761F1"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b/>
                <w:color w:val="000000" w:themeColor="text1"/>
              </w:rPr>
              <w:t>Luis Gustavo Parra Noriega</w:t>
            </w:r>
          </w:p>
          <w:p w14:paraId="2C750051"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Comisionado</w:t>
            </w:r>
          </w:p>
          <w:p w14:paraId="1F99EBE2"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(Rúbrica)</w:t>
            </w:r>
          </w:p>
        </w:tc>
      </w:tr>
      <w:tr w:rsidR="000C35F4" w:rsidRPr="00610DC3" w14:paraId="38742DBE" w14:textId="77777777" w:rsidTr="00610DC3">
        <w:trPr>
          <w:trHeight w:val="1876"/>
        </w:trPr>
        <w:tc>
          <w:tcPr>
            <w:tcW w:w="9461" w:type="dxa"/>
            <w:gridSpan w:val="3"/>
            <w:vAlign w:val="center"/>
          </w:tcPr>
          <w:p w14:paraId="0AB2217B" w14:textId="77777777" w:rsidR="000C35F4" w:rsidRPr="00610DC3" w:rsidRDefault="000C35F4" w:rsidP="00610DC3">
            <w:pPr>
              <w:pStyle w:val="Prrafodelista"/>
              <w:ind w:left="0"/>
              <w:rPr>
                <w:rFonts w:ascii="Palatino Linotype" w:hAnsi="Palatino Linotype"/>
                <w:color w:val="000000" w:themeColor="text1"/>
              </w:rPr>
            </w:pPr>
          </w:p>
          <w:p w14:paraId="6EBB248D" w14:textId="77777777" w:rsidR="000C35F4" w:rsidRPr="00610DC3" w:rsidRDefault="000C35F4" w:rsidP="00610DC3">
            <w:pPr>
              <w:jc w:val="center"/>
              <w:rPr>
                <w:rFonts w:ascii="Palatino Linotype" w:hAnsi="Palatino Linotype" w:cs="Times New Roman"/>
                <w:b/>
                <w:color w:val="000000" w:themeColor="text1"/>
              </w:rPr>
            </w:pPr>
            <w:r w:rsidRPr="00610DC3">
              <w:rPr>
                <w:rFonts w:ascii="Palatino Linotype" w:hAnsi="Palatino Linotype" w:cs="Times New Roman"/>
                <w:b/>
                <w:color w:val="000000" w:themeColor="text1"/>
              </w:rPr>
              <w:t>Alexis Tapia Ramírez</w:t>
            </w:r>
          </w:p>
          <w:p w14:paraId="1C763042"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Secretario Técnico del Pleno</w:t>
            </w:r>
          </w:p>
          <w:p w14:paraId="7D261157" w14:textId="77777777" w:rsidR="000C35F4" w:rsidRPr="00610DC3" w:rsidRDefault="000C35F4" w:rsidP="00610DC3">
            <w:pPr>
              <w:jc w:val="center"/>
              <w:rPr>
                <w:rFonts w:ascii="Palatino Linotype" w:hAnsi="Palatino Linotype" w:cs="Times New Roman"/>
                <w:color w:val="000000" w:themeColor="text1"/>
              </w:rPr>
            </w:pPr>
            <w:r w:rsidRPr="00610DC3">
              <w:rPr>
                <w:rFonts w:ascii="Palatino Linotype" w:hAnsi="Palatino Linotype" w:cs="Times New Roman"/>
                <w:color w:val="000000" w:themeColor="text1"/>
              </w:rPr>
              <w:t>(Rúbrica)</w:t>
            </w:r>
          </w:p>
        </w:tc>
      </w:tr>
    </w:tbl>
    <w:p w14:paraId="5CCDC0C1" w14:textId="718EEFB7" w:rsidR="002C504D" w:rsidRPr="00610DC3" w:rsidRDefault="000C35F4" w:rsidP="00610DC3">
      <w:pPr>
        <w:ind w:right="51"/>
        <w:jc w:val="both"/>
        <w:rPr>
          <w:rFonts w:ascii="Palatino Linotype" w:hAnsi="Palatino Linotype"/>
          <w:sz w:val="22"/>
        </w:rPr>
      </w:pPr>
      <w:r w:rsidRPr="00610DC3">
        <w:rPr>
          <w:rFonts w:ascii="Palatino Linotype" w:hAnsi="Palatino Linotype" w:cs="Arial"/>
          <w:color w:val="000000" w:themeColor="text1"/>
          <w:sz w:val="22"/>
        </w:rPr>
        <w:t xml:space="preserve">Esta hoja corresponde a la resolución de </w:t>
      </w:r>
      <w:r w:rsidR="009D4C07" w:rsidRPr="00610DC3">
        <w:rPr>
          <w:rFonts w:ascii="Palatino Linotype" w:hAnsi="Palatino Linotype" w:cs="Arial"/>
          <w:color w:val="000000" w:themeColor="text1"/>
          <w:sz w:val="22"/>
        </w:rPr>
        <w:t>catorce</w:t>
      </w:r>
      <w:r w:rsidRPr="00610DC3">
        <w:rPr>
          <w:rFonts w:ascii="Palatino Linotype" w:hAnsi="Palatino Linotype" w:cs="Arial"/>
          <w:color w:val="000000" w:themeColor="text1"/>
          <w:sz w:val="22"/>
        </w:rPr>
        <w:t xml:space="preserve"> (</w:t>
      </w:r>
      <w:r w:rsidR="009D4C07" w:rsidRPr="00610DC3">
        <w:rPr>
          <w:rFonts w:ascii="Palatino Linotype" w:hAnsi="Palatino Linotype" w:cs="Arial"/>
          <w:color w:val="000000" w:themeColor="text1"/>
          <w:sz w:val="22"/>
        </w:rPr>
        <w:t>14</w:t>
      </w:r>
      <w:r w:rsidRPr="00610DC3">
        <w:rPr>
          <w:rFonts w:ascii="Palatino Linotype" w:hAnsi="Palatino Linotype" w:cs="Arial"/>
          <w:color w:val="000000" w:themeColor="text1"/>
          <w:sz w:val="22"/>
        </w:rPr>
        <w:t>) de</w:t>
      </w:r>
      <w:r w:rsidR="009D4C07" w:rsidRPr="00610DC3">
        <w:rPr>
          <w:rFonts w:ascii="Palatino Linotype" w:hAnsi="Palatino Linotype" w:cs="Arial"/>
          <w:color w:val="000000" w:themeColor="text1"/>
          <w:sz w:val="22"/>
        </w:rPr>
        <w:t xml:space="preserve"> octubre </w:t>
      </w:r>
      <w:r w:rsidRPr="00610DC3">
        <w:rPr>
          <w:rFonts w:ascii="Palatino Linotype" w:hAnsi="Palatino Linotype" w:cs="Arial"/>
          <w:color w:val="000000" w:themeColor="text1"/>
          <w:sz w:val="22"/>
        </w:rPr>
        <w:t xml:space="preserve">de dos mil veinte, emitida en el recurso de revisión </w:t>
      </w:r>
      <w:r w:rsidR="009D4C07" w:rsidRPr="00610DC3">
        <w:rPr>
          <w:rFonts w:ascii="Palatino Linotype" w:hAnsi="Palatino Linotype" w:cs="Arial"/>
          <w:b/>
          <w:bCs/>
          <w:color w:val="000000" w:themeColor="text1"/>
          <w:sz w:val="22"/>
          <w:lang w:eastAsia="es-MX"/>
        </w:rPr>
        <w:t>02223</w:t>
      </w:r>
      <w:r w:rsidRPr="00610DC3">
        <w:rPr>
          <w:rFonts w:ascii="Palatino Linotype" w:hAnsi="Palatino Linotype" w:cs="Arial"/>
          <w:b/>
          <w:bCs/>
          <w:color w:val="000000" w:themeColor="text1"/>
          <w:sz w:val="22"/>
          <w:lang w:eastAsia="es-MX"/>
        </w:rPr>
        <w:t>/INFOEM/IP/RR/2020 y acumulados</w:t>
      </w:r>
      <w:r w:rsidRPr="00610DC3">
        <w:rPr>
          <w:rFonts w:ascii="Palatino Linotype" w:hAnsi="Palatino Linotype" w:cs="Arial"/>
          <w:color w:val="000000" w:themeColor="text1"/>
          <w:sz w:val="22"/>
        </w:rPr>
        <w:t>.</w:t>
      </w:r>
    </w:p>
    <w:sectPr w:rsidR="002C504D" w:rsidRPr="00610DC3" w:rsidSect="00472C41">
      <w:headerReference w:type="even" r:id="rId14"/>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00B91" w14:textId="77777777" w:rsidR="003F6C0D" w:rsidRDefault="003F6C0D" w:rsidP="00587366">
      <w:r>
        <w:separator/>
      </w:r>
    </w:p>
  </w:endnote>
  <w:endnote w:type="continuationSeparator" w:id="0">
    <w:p w14:paraId="509D6DAB" w14:textId="77777777" w:rsidR="003F6C0D" w:rsidRDefault="003F6C0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EBDA570" w:rsidR="00F52828" w:rsidRPr="00883450" w:rsidRDefault="00F5282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E6AC4">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E6AC4">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F52828" w:rsidRDefault="00F528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A2B23DD" w:rsidR="00F52828" w:rsidRPr="00883450" w:rsidRDefault="00F5282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E6AC4" w:rsidRPr="00CE6A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E6AC4" w:rsidRPr="00CE6AC4">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F52828" w:rsidRPr="00883450" w:rsidRDefault="00F5282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6261A" w14:textId="77777777" w:rsidR="003F6C0D" w:rsidRDefault="003F6C0D" w:rsidP="00587366">
      <w:r>
        <w:separator/>
      </w:r>
    </w:p>
  </w:footnote>
  <w:footnote w:type="continuationSeparator" w:id="0">
    <w:p w14:paraId="5D7C40CF" w14:textId="77777777" w:rsidR="003F6C0D" w:rsidRDefault="003F6C0D" w:rsidP="00587366">
      <w:r>
        <w:continuationSeparator/>
      </w:r>
    </w:p>
  </w:footnote>
  <w:footnote w:id="1">
    <w:p w14:paraId="117027BB" w14:textId="77777777" w:rsidR="00F52828" w:rsidRPr="00F75272" w:rsidRDefault="00F52828"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8EF717B" w14:textId="77777777" w:rsidR="00F52828" w:rsidRDefault="00F52828" w:rsidP="00A31C1E">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3">
    <w:p w14:paraId="65336BDC" w14:textId="4E207576" w:rsidR="00F52828" w:rsidRDefault="00F52828" w:rsidP="009B3E7E">
      <w:pPr>
        <w:pStyle w:val="Textonotapie"/>
        <w:jc w:val="both"/>
      </w:pPr>
      <w:r>
        <w:rPr>
          <w:rStyle w:val="Refdenotaalpie"/>
        </w:rPr>
        <w:footnoteRef/>
      </w:r>
      <w:r>
        <w:t xml:space="preserve"> “Artículo 9. El Instituto deberá regir su funcionamiento de acuerdo a los siguientes principios:</w:t>
      </w:r>
    </w:p>
    <w:p w14:paraId="5ABF3BEB" w14:textId="19A08A42" w:rsidR="00F52828" w:rsidRDefault="00F52828" w:rsidP="009B3E7E">
      <w:pPr>
        <w:pStyle w:val="Textonotapie"/>
        <w:jc w:val="both"/>
      </w:pPr>
      <w:r>
        <w:t>(…)</w:t>
      </w:r>
    </w:p>
    <w:p w14:paraId="00BDD1CF" w14:textId="45D864D1" w:rsidR="00F52828" w:rsidRDefault="00F52828" w:rsidP="009B3E7E">
      <w:pPr>
        <w:pStyle w:val="Textonotapie"/>
        <w:jc w:val="both"/>
        <w:rPr>
          <w:lang w:val="es-ES_tradnl"/>
        </w:rPr>
      </w:pPr>
      <w:r w:rsidRPr="009B3E7E">
        <w:rPr>
          <w:lang w:val="es-ES_tradnl"/>
        </w:rPr>
        <w:t>II. Eficacia: Obligación del Instituto para tutelar, de manera efectiva, el derecho de acceso a la información;</w:t>
      </w:r>
    </w:p>
    <w:p w14:paraId="0D26A17B" w14:textId="5847D691" w:rsidR="00F52828" w:rsidRDefault="00F52828" w:rsidP="009B3E7E">
      <w:pPr>
        <w:pStyle w:val="Textonotapie"/>
        <w:jc w:val="both"/>
        <w:rPr>
          <w:lang w:val="es-ES_tradnl"/>
        </w:rPr>
      </w:pPr>
      <w:r>
        <w:rPr>
          <w:lang w:val="es-ES_tradnl"/>
        </w:rPr>
        <w:t>(…)</w:t>
      </w:r>
    </w:p>
    <w:p w14:paraId="56FF5091" w14:textId="36DB2E62" w:rsidR="00F52828" w:rsidRDefault="00F52828" w:rsidP="009B3E7E">
      <w:pPr>
        <w:pStyle w:val="Textonotapie"/>
        <w:jc w:val="both"/>
      </w:pPr>
      <w:r w:rsidRPr="009B3E7E">
        <w:rPr>
          <w:lang w:val="es-ES_tradnl"/>
        </w:rPr>
        <w:t>IX. Profesionalismo: Los servidores públicos que laboren en el Instituto deberán sujetar su actuación a conocimientos técnicos, teóricos y metodológicos que garanticen un desempeño eficiente y eficaz en el ejercicio de la función pública que tienen encomendada; y</w:t>
      </w:r>
      <w:r>
        <w:rPr>
          <w:lang w:val="es-ES_tradnl"/>
        </w:rPr>
        <w:t>” (Sic)</w:t>
      </w:r>
    </w:p>
  </w:footnote>
  <w:footnote w:id="4">
    <w:p w14:paraId="45B4007B" w14:textId="77777777" w:rsidR="00F52828" w:rsidRDefault="00F52828" w:rsidP="00A43652">
      <w:pPr>
        <w:pStyle w:val="Textonotapie"/>
      </w:pPr>
      <w:r>
        <w:rPr>
          <w:rStyle w:val="Refdenotaalpie"/>
        </w:rPr>
        <w:footnoteRef/>
      </w:r>
      <w:r>
        <w:t xml:space="preserve"> Artículo 150, Ley de Transparencia y Acceso a la Información Pública del Estado de México y Municipios.</w:t>
      </w:r>
    </w:p>
  </w:footnote>
  <w:footnote w:id="5">
    <w:p w14:paraId="258352F1" w14:textId="77777777" w:rsidR="00F52828" w:rsidRDefault="00F52828" w:rsidP="00A43652">
      <w:pPr>
        <w:pStyle w:val="Textonotapie"/>
      </w:pPr>
      <w:r>
        <w:rPr>
          <w:rStyle w:val="Refdenotaalpie"/>
        </w:rPr>
        <w:footnoteRef/>
      </w:r>
      <w:r>
        <w:t xml:space="preserve"> Artículo 151, Ídem.</w:t>
      </w:r>
    </w:p>
  </w:footnote>
  <w:footnote w:id="6">
    <w:p w14:paraId="3E9D4E89" w14:textId="77777777" w:rsidR="00F52828" w:rsidRDefault="00F52828" w:rsidP="00510B49">
      <w:pPr>
        <w:pStyle w:val="Textonotapie"/>
      </w:pPr>
      <w:r>
        <w:rPr>
          <w:rStyle w:val="Refdenotaalpie"/>
        </w:rPr>
        <w:footnoteRef/>
      </w:r>
      <w:r>
        <w:t xml:space="preserve"> Acta de la Doceava Sesión Extraordinaria del Comité de Transparencia, de dieciocho (18) de junio de dos mil veinte, página 23, último párrafo.</w:t>
      </w:r>
    </w:p>
    <w:p w14:paraId="33DAC326" w14:textId="77777777" w:rsidR="00F52828" w:rsidRDefault="00F52828" w:rsidP="00510B49">
      <w:pPr>
        <w:pStyle w:val="Textonotapie"/>
      </w:pPr>
    </w:p>
  </w:footnote>
  <w:footnote w:id="7">
    <w:p w14:paraId="6A7D596D" w14:textId="77777777" w:rsidR="00F52828" w:rsidRDefault="00F52828" w:rsidP="00510B49">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9DD0" w14:textId="1C57309C" w:rsidR="00610DC3" w:rsidRDefault="00CE6AC4">
    <w:pPr>
      <w:pStyle w:val="Encabezado"/>
    </w:pPr>
    <w:r>
      <w:rPr>
        <w:noProof/>
        <w:lang w:val="es-MX" w:eastAsia="es-MX"/>
      </w:rPr>
      <w:pict w14:anchorId="57F09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960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446523B" w:rsidR="00F52828" w:rsidRDefault="00CE6AC4" w:rsidP="001C6012">
    <w:pPr>
      <w:pStyle w:val="Encabezado"/>
      <w:tabs>
        <w:tab w:val="clear" w:pos="4252"/>
        <w:tab w:val="clear" w:pos="8504"/>
        <w:tab w:val="left" w:pos="8460"/>
      </w:tabs>
    </w:pPr>
    <w:r>
      <w:rPr>
        <w:noProof/>
        <w:lang w:val="es-MX" w:eastAsia="es-MX"/>
      </w:rPr>
      <w:pict w14:anchorId="58CD7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960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F52828">
      <w:tab/>
    </w:r>
  </w:p>
  <w:p w14:paraId="64F5F23E" w14:textId="390690E5" w:rsidR="00F52828" w:rsidRDefault="00F52828">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F52828" w:rsidRPr="00674A46" w14:paraId="07F2896E" w14:textId="77777777" w:rsidTr="000C1C1E">
      <w:trPr>
        <w:trHeight w:val="138"/>
        <w:jc w:val="right"/>
      </w:trPr>
      <w:tc>
        <w:tcPr>
          <w:tcW w:w="2556" w:type="dxa"/>
          <w:vAlign w:val="center"/>
        </w:tcPr>
        <w:p w14:paraId="4A5B1974" w14:textId="267F0F42" w:rsidR="00F52828" w:rsidRPr="00674A46" w:rsidRDefault="00F52828"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5BCB2D3F" w:rsidR="00F52828" w:rsidRPr="00674A46" w:rsidRDefault="00F52828" w:rsidP="00E66073">
          <w:pPr>
            <w:pStyle w:val="Encabezado"/>
            <w:rPr>
              <w:rFonts w:ascii="Palatino Linotype" w:hAnsi="Palatino Linotype"/>
              <w:b/>
              <w:sz w:val="22"/>
              <w:szCs w:val="22"/>
            </w:rPr>
          </w:pPr>
          <w:r>
            <w:rPr>
              <w:rFonts w:ascii="Palatino Linotype" w:hAnsi="Palatino Linotype" w:cs="Arial"/>
              <w:b/>
              <w:bCs/>
              <w:sz w:val="22"/>
              <w:szCs w:val="22"/>
              <w:lang w:eastAsia="es-MX"/>
            </w:rPr>
            <w:t>02223/INFOEM/IP/RR/2020 y acumulados.</w:t>
          </w:r>
        </w:p>
      </w:tc>
    </w:tr>
    <w:tr w:rsidR="00F52828" w:rsidRPr="00674A46" w14:paraId="1B5D8690" w14:textId="77777777" w:rsidTr="000C1C1E">
      <w:trPr>
        <w:trHeight w:val="233"/>
        <w:jc w:val="right"/>
      </w:trPr>
      <w:tc>
        <w:tcPr>
          <w:tcW w:w="2556" w:type="dxa"/>
          <w:vAlign w:val="center"/>
        </w:tcPr>
        <w:p w14:paraId="3903F2C6" w14:textId="0AB19AD8" w:rsidR="00F52828" w:rsidRPr="00674A46" w:rsidRDefault="00F52828"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54421925" w:rsidR="00F52828" w:rsidRPr="00B75F20" w:rsidRDefault="00F52828" w:rsidP="00352D7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Ixtapan de la Sal </w:t>
          </w:r>
        </w:p>
      </w:tc>
    </w:tr>
    <w:tr w:rsidR="00F52828" w:rsidRPr="00674A46" w14:paraId="095EB01B" w14:textId="77777777" w:rsidTr="000C1C1E">
      <w:trPr>
        <w:trHeight w:val="321"/>
        <w:jc w:val="right"/>
      </w:trPr>
      <w:tc>
        <w:tcPr>
          <w:tcW w:w="2556" w:type="dxa"/>
          <w:vAlign w:val="center"/>
        </w:tcPr>
        <w:p w14:paraId="6E000A51" w14:textId="33AFA024" w:rsidR="00F52828" w:rsidRPr="00674A46" w:rsidRDefault="00F52828"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F52828" w:rsidRPr="00674A46" w:rsidRDefault="00F52828"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52828" w:rsidRDefault="00F5282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42C7811" w:rsidR="00F52828" w:rsidRDefault="00CE6AC4" w:rsidP="00472C41">
    <w:pPr>
      <w:pStyle w:val="Encabezado"/>
      <w:tabs>
        <w:tab w:val="clear" w:pos="4252"/>
        <w:tab w:val="clear" w:pos="8504"/>
        <w:tab w:val="left" w:pos="3103"/>
      </w:tabs>
    </w:pPr>
    <w:r>
      <w:rPr>
        <w:noProof/>
        <w:lang w:val="es-MX" w:eastAsia="es-MX"/>
      </w:rPr>
      <w:pict w14:anchorId="7906F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9605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52828">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F52828" w:rsidRPr="00674A46" w14:paraId="0A3256F2" w14:textId="77777777" w:rsidTr="007B32C0">
      <w:trPr>
        <w:trHeight w:val="138"/>
      </w:trPr>
      <w:tc>
        <w:tcPr>
          <w:tcW w:w="2556" w:type="dxa"/>
          <w:vAlign w:val="center"/>
        </w:tcPr>
        <w:p w14:paraId="3D80769D" w14:textId="0843A291" w:rsidR="00F52828" w:rsidRPr="00674A46" w:rsidRDefault="00F52828"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4F752553" w:rsidR="00F52828" w:rsidRPr="000D1606" w:rsidRDefault="00F52828"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02223/INFOEM/IP/RR/2020 y acumulados.</w:t>
          </w:r>
        </w:p>
      </w:tc>
    </w:tr>
    <w:tr w:rsidR="00F52828" w:rsidRPr="00B75F20" w14:paraId="128C8B3C" w14:textId="77777777" w:rsidTr="007B32C0">
      <w:trPr>
        <w:trHeight w:val="233"/>
      </w:trPr>
      <w:tc>
        <w:tcPr>
          <w:tcW w:w="2556" w:type="dxa"/>
          <w:vAlign w:val="center"/>
        </w:tcPr>
        <w:p w14:paraId="483E3371" w14:textId="3089FF84" w:rsidR="00F52828" w:rsidRPr="00674A46" w:rsidRDefault="00F52828"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5D810AA3" w:rsidR="00F52828" w:rsidRPr="00B75F20" w:rsidRDefault="00CE6AC4" w:rsidP="00472C41">
          <w:pPr>
            <w:pStyle w:val="Encabezado"/>
            <w:rPr>
              <w:rFonts w:ascii="Palatino Linotype" w:hAnsi="Palatino Linotype"/>
              <w:b/>
              <w:sz w:val="22"/>
              <w:szCs w:val="22"/>
            </w:rPr>
          </w:pPr>
          <w:r w:rsidRPr="00CE6AC4">
            <w:rPr>
              <w:rFonts w:ascii="Palatino Linotype" w:hAnsi="Palatino Linotype"/>
              <w:b/>
              <w:sz w:val="22"/>
              <w:szCs w:val="22"/>
              <w:highlight w:val="black"/>
            </w:rPr>
            <w:t>---------------------------------------</w:t>
          </w:r>
          <w:r w:rsidR="00F52828">
            <w:rPr>
              <w:rFonts w:ascii="Palatino Linotype" w:hAnsi="Palatino Linotype"/>
              <w:b/>
              <w:sz w:val="22"/>
              <w:szCs w:val="22"/>
            </w:rPr>
            <w:t xml:space="preserve"> </w:t>
          </w:r>
        </w:p>
      </w:tc>
    </w:tr>
    <w:tr w:rsidR="00F52828" w:rsidRPr="00674A46" w14:paraId="41BE0704" w14:textId="77777777" w:rsidTr="007B32C0">
      <w:trPr>
        <w:trHeight w:val="321"/>
      </w:trPr>
      <w:tc>
        <w:tcPr>
          <w:tcW w:w="2556" w:type="dxa"/>
          <w:vAlign w:val="center"/>
        </w:tcPr>
        <w:p w14:paraId="34C64148" w14:textId="77E39B44" w:rsidR="00F52828" w:rsidRPr="00674A46" w:rsidRDefault="00F52828"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3270AC74" w:rsidR="00F52828" w:rsidRPr="00674A46" w:rsidRDefault="00F52828" w:rsidP="00E6607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Ixtapan de la Sal  </w:t>
          </w:r>
        </w:p>
      </w:tc>
    </w:tr>
    <w:tr w:rsidR="00F52828" w:rsidRPr="00674A46" w14:paraId="0C8B6193" w14:textId="77777777" w:rsidTr="007B32C0">
      <w:trPr>
        <w:trHeight w:val="321"/>
      </w:trPr>
      <w:tc>
        <w:tcPr>
          <w:tcW w:w="2556" w:type="dxa"/>
          <w:vAlign w:val="center"/>
        </w:tcPr>
        <w:p w14:paraId="321FFAFF" w14:textId="6C6C7227" w:rsidR="00F52828" w:rsidRPr="00674A46" w:rsidRDefault="00F52828"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F52828" w:rsidRPr="00674A46" w:rsidRDefault="00F5282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52828" w:rsidRDefault="00F5282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4FF0"/>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370F30"/>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956B4C"/>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81F68"/>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6C07809"/>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53C96"/>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0D669E5"/>
    <w:multiLevelType w:val="hybridMultilevel"/>
    <w:tmpl w:val="58C4BF08"/>
    <w:lvl w:ilvl="0" w:tplc="20D6FC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FB6347"/>
    <w:multiLevelType w:val="hybridMultilevel"/>
    <w:tmpl w:val="DA8A5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B86375"/>
    <w:multiLevelType w:val="hybridMultilevel"/>
    <w:tmpl w:val="130CFA04"/>
    <w:lvl w:ilvl="0" w:tplc="EB0EFD96">
      <w:start w:val="1"/>
      <w:numFmt w:val="lowerLetter"/>
      <w:lvlText w:val="%1)"/>
      <w:lvlJc w:val="left"/>
      <w:pPr>
        <w:ind w:left="720" w:hanging="360"/>
      </w:pPr>
      <w:rPr>
        <w:rFonts w:eastAsiaTheme="minorEastAsia" w:cstheme="minorBid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5D1047"/>
    <w:multiLevelType w:val="hybridMultilevel"/>
    <w:tmpl w:val="EE886F0C"/>
    <w:lvl w:ilvl="0" w:tplc="7ADA7DBE">
      <w:start w:val="1"/>
      <w:numFmt w:val="lowerLetter"/>
      <w:lvlText w:val="%1)"/>
      <w:lvlJc w:val="left"/>
      <w:pPr>
        <w:ind w:left="780" w:hanging="360"/>
      </w:pPr>
      <w:rPr>
        <w:rFonts w:ascii="Palatino Linotype" w:hAnsi="Palatino Linotype" w:hint="default"/>
        <w:b/>
        <w:color w:val="000000" w:themeColor="text1"/>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4" w15:restartNumberingAfterBreak="0">
    <w:nsid w:val="2CE46D8B"/>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4317490"/>
    <w:multiLevelType w:val="hybridMultilevel"/>
    <w:tmpl w:val="EAB82A06"/>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8023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9CE4E5D"/>
    <w:multiLevelType w:val="hybridMultilevel"/>
    <w:tmpl w:val="5B0EBA3C"/>
    <w:lvl w:ilvl="0" w:tplc="69D226D6">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701B96"/>
    <w:multiLevelType w:val="hybridMultilevel"/>
    <w:tmpl w:val="20C81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4E4699"/>
    <w:multiLevelType w:val="hybridMultilevel"/>
    <w:tmpl w:val="5B32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F00DAF"/>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E9"/>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5480EA9"/>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823B9C"/>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245134"/>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F875C07"/>
    <w:multiLevelType w:val="hybridMultilevel"/>
    <w:tmpl w:val="EF4A9808"/>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4083144"/>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70136A0"/>
    <w:multiLevelType w:val="hybridMultilevel"/>
    <w:tmpl w:val="8B5A890E"/>
    <w:lvl w:ilvl="0" w:tplc="6616F9DC">
      <w:start w:val="1"/>
      <w:numFmt w:val="decimal"/>
      <w:lvlText w:val="%1."/>
      <w:lvlJc w:val="left"/>
      <w:pPr>
        <w:ind w:left="3054" w:hanging="36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6076E5"/>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14690A"/>
    <w:multiLevelType w:val="hybridMultilevel"/>
    <w:tmpl w:val="BAF49368"/>
    <w:lvl w:ilvl="0" w:tplc="CC2650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8"/>
  </w:num>
  <w:num w:numId="3">
    <w:abstractNumId w:val="18"/>
  </w:num>
  <w:num w:numId="4">
    <w:abstractNumId w:val="19"/>
  </w:num>
  <w:num w:numId="5">
    <w:abstractNumId w:val="23"/>
  </w:num>
  <w:num w:numId="6">
    <w:abstractNumId w:val="30"/>
  </w:num>
  <w:num w:numId="7">
    <w:abstractNumId w:val="26"/>
  </w:num>
  <w:num w:numId="8">
    <w:abstractNumId w:val="4"/>
  </w:num>
  <w:num w:numId="9">
    <w:abstractNumId w:val="27"/>
  </w:num>
  <w:num w:numId="10">
    <w:abstractNumId w:val="5"/>
  </w:num>
  <w:num w:numId="11">
    <w:abstractNumId w:val="3"/>
  </w:num>
  <w:num w:numId="12">
    <w:abstractNumId w:val="13"/>
  </w:num>
  <w:num w:numId="13">
    <w:abstractNumId w:val="22"/>
  </w:num>
  <w:num w:numId="14">
    <w:abstractNumId w:val="25"/>
  </w:num>
  <w:num w:numId="15">
    <w:abstractNumId w:val="9"/>
  </w:num>
  <w:num w:numId="16">
    <w:abstractNumId w:val="11"/>
  </w:num>
  <w:num w:numId="17">
    <w:abstractNumId w:val="8"/>
  </w:num>
  <w:num w:numId="18">
    <w:abstractNumId w:val="1"/>
  </w:num>
  <w:num w:numId="19">
    <w:abstractNumId w:val="2"/>
  </w:num>
  <w:num w:numId="20">
    <w:abstractNumId w:val="6"/>
  </w:num>
  <w:num w:numId="21">
    <w:abstractNumId w:val="24"/>
  </w:num>
  <w:num w:numId="22">
    <w:abstractNumId w:val="15"/>
  </w:num>
  <w:num w:numId="23">
    <w:abstractNumId w:val="7"/>
  </w:num>
  <w:num w:numId="24">
    <w:abstractNumId w:val="34"/>
  </w:num>
  <w:num w:numId="25">
    <w:abstractNumId w:val="12"/>
  </w:num>
  <w:num w:numId="26">
    <w:abstractNumId w:val="17"/>
  </w:num>
  <w:num w:numId="27">
    <w:abstractNumId w:val="20"/>
  </w:num>
  <w:num w:numId="28">
    <w:abstractNumId w:val="29"/>
  </w:num>
  <w:num w:numId="29">
    <w:abstractNumId w:val="14"/>
  </w:num>
  <w:num w:numId="30">
    <w:abstractNumId w:val="33"/>
  </w:num>
  <w:num w:numId="31">
    <w:abstractNumId w:val="32"/>
  </w:num>
  <w:num w:numId="32">
    <w:abstractNumId w:val="21"/>
  </w:num>
  <w:num w:numId="33">
    <w:abstractNumId w:val="0"/>
  </w:num>
  <w:num w:numId="34">
    <w:abstractNumId w:val="16"/>
  </w:num>
  <w:num w:numId="35">
    <w:abstractNumId w:val="35"/>
  </w:num>
  <w:num w:numId="3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40C4"/>
    <w:rsid w:val="000058E3"/>
    <w:rsid w:val="000060C4"/>
    <w:rsid w:val="00006F9D"/>
    <w:rsid w:val="0000724D"/>
    <w:rsid w:val="000072D1"/>
    <w:rsid w:val="00007E8A"/>
    <w:rsid w:val="0001106B"/>
    <w:rsid w:val="00012472"/>
    <w:rsid w:val="00015015"/>
    <w:rsid w:val="00016144"/>
    <w:rsid w:val="00017040"/>
    <w:rsid w:val="00017906"/>
    <w:rsid w:val="000203D3"/>
    <w:rsid w:val="000211F8"/>
    <w:rsid w:val="00027EA9"/>
    <w:rsid w:val="00027EF7"/>
    <w:rsid w:val="000304D6"/>
    <w:rsid w:val="0003063D"/>
    <w:rsid w:val="000313DA"/>
    <w:rsid w:val="00031C50"/>
    <w:rsid w:val="00031F10"/>
    <w:rsid w:val="000321E2"/>
    <w:rsid w:val="00032493"/>
    <w:rsid w:val="000353D8"/>
    <w:rsid w:val="00035ACA"/>
    <w:rsid w:val="0003760B"/>
    <w:rsid w:val="0004193F"/>
    <w:rsid w:val="00042380"/>
    <w:rsid w:val="0004246E"/>
    <w:rsid w:val="00042AFA"/>
    <w:rsid w:val="00043987"/>
    <w:rsid w:val="000450D5"/>
    <w:rsid w:val="0004634D"/>
    <w:rsid w:val="0004686A"/>
    <w:rsid w:val="000468E2"/>
    <w:rsid w:val="000514BA"/>
    <w:rsid w:val="0005237C"/>
    <w:rsid w:val="000525AF"/>
    <w:rsid w:val="00052A3C"/>
    <w:rsid w:val="00054A03"/>
    <w:rsid w:val="00056A79"/>
    <w:rsid w:val="000572EE"/>
    <w:rsid w:val="00057659"/>
    <w:rsid w:val="00061344"/>
    <w:rsid w:val="00062379"/>
    <w:rsid w:val="00062E99"/>
    <w:rsid w:val="000631D9"/>
    <w:rsid w:val="000647ED"/>
    <w:rsid w:val="00064A37"/>
    <w:rsid w:val="00064B95"/>
    <w:rsid w:val="000652F1"/>
    <w:rsid w:val="0006548A"/>
    <w:rsid w:val="0006608C"/>
    <w:rsid w:val="00067F29"/>
    <w:rsid w:val="000700A4"/>
    <w:rsid w:val="0007340E"/>
    <w:rsid w:val="000756C7"/>
    <w:rsid w:val="000775F3"/>
    <w:rsid w:val="000800AC"/>
    <w:rsid w:val="000813F6"/>
    <w:rsid w:val="00082298"/>
    <w:rsid w:val="00082D11"/>
    <w:rsid w:val="0008542A"/>
    <w:rsid w:val="00085BFA"/>
    <w:rsid w:val="0008694B"/>
    <w:rsid w:val="000909F3"/>
    <w:rsid w:val="00090D6F"/>
    <w:rsid w:val="00090DBA"/>
    <w:rsid w:val="00092287"/>
    <w:rsid w:val="00093E1E"/>
    <w:rsid w:val="00095A3E"/>
    <w:rsid w:val="00096BA7"/>
    <w:rsid w:val="0009781D"/>
    <w:rsid w:val="000A1DFD"/>
    <w:rsid w:val="000A319B"/>
    <w:rsid w:val="000A3932"/>
    <w:rsid w:val="000A3F90"/>
    <w:rsid w:val="000A4932"/>
    <w:rsid w:val="000A4E44"/>
    <w:rsid w:val="000A5B93"/>
    <w:rsid w:val="000A77ED"/>
    <w:rsid w:val="000B0370"/>
    <w:rsid w:val="000B19FB"/>
    <w:rsid w:val="000B1C62"/>
    <w:rsid w:val="000B38FC"/>
    <w:rsid w:val="000B4CAE"/>
    <w:rsid w:val="000B5D79"/>
    <w:rsid w:val="000B6676"/>
    <w:rsid w:val="000C0061"/>
    <w:rsid w:val="000C0663"/>
    <w:rsid w:val="000C10B9"/>
    <w:rsid w:val="000C1C1E"/>
    <w:rsid w:val="000C23C2"/>
    <w:rsid w:val="000C2E5F"/>
    <w:rsid w:val="000C35F4"/>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D8B"/>
    <w:rsid w:val="000F2EDD"/>
    <w:rsid w:val="000F60FA"/>
    <w:rsid w:val="00100DDD"/>
    <w:rsid w:val="00102447"/>
    <w:rsid w:val="00103888"/>
    <w:rsid w:val="00103B41"/>
    <w:rsid w:val="0010486E"/>
    <w:rsid w:val="00105CF9"/>
    <w:rsid w:val="00107499"/>
    <w:rsid w:val="00107557"/>
    <w:rsid w:val="0011039C"/>
    <w:rsid w:val="00110A8E"/>
    <w:rsid w:val="0011167C"/>
    <w:rsid w:val="001125C5"/>
    <w:rsid w:val="00112B02"/>
    <w:rsid w:val="00114A21"/>
    <w:rsid w:val="00115F0F"/>
    <w:rsid w:val="00116707"/>
    <w:rsid w:val="0012006D"/>
    <w:rsid w:val="001212F2"/>
    <w:rsid w:val="00121D5D"/>
    <w:rsid w:val="001253D1"/>
    <w:rsid w:val="00126619"/>
    <w:rsid w:val="001318D2"/>
    <w:rsid w:val="00132613"/>
    <w:rsid w:val="00132C06"/>
    <w:rsid w:val="0013354D"/>
    <w:rsid w:val="001337C2"/>
    <w:rsid w:val="00133B79"/>
    <w:rsid w:val="00133CE5"/>
    <w:rsid w:val="001347DC"/>
    <w:rsid w:val="00134946"/>
    <w:rsid w:val="00134B9C"/>
    <w:rsid w:val="001352E5"/>
    <w:rsid w:val="001358ED"/>
    <w:rsid w:val="00137999"/>
    <w:rsid w:val="001407EE"/>
    <w:rsid w:val="00140D44"/>
    <w:rsid w:val="00142512"/>
    <w:rsid w:val="0014352A"/>
    <w:rsid w:val="001436BB"/>
    <w:rsid w:val="001456AB"/>
    <w:rsid w:val="001459C8"/>
    <w:rsid w:val="00146EC3"/>
    <w:rsid w:val="00147864"/>
    <w:rsid w:val="0015165B"/>
    <w:rsid w:val="0015354C"/>
    <w:rsid w:val="00153833"/>
    <w:rsid w:val="0015466E"/>
    <w:rsid w:val="00154765"/>
    <w:rsid w:val="00154EF0"/>
    <w:rsid w:val="00155191"/>
    <w:rsid w:val="00155E24"/>
    <w:rsid w:val="00156A23"/>
    <w:rsid w:val="00157CD2"/>
    <w:rsid w:val="0016014D"/>
    <w:rsid w:val="001631ED"/>
    <w:rsid w:val="001648EE"/>
    <w:rsid w:val="00164B65"/>
    <w:rsid w:val="00165102"/>
    <w:rsid w:val="0016518B"/>
    <w:rsid w:val="00166371"/>
    <w:rsid w:val="00166794"/>
    <w:rsid w:val="001734A2"/>
    <w:rsid w:val="00176CA6"/>
    <w:rsid w:val="001775DF"/>
    <w:rsid w:val="001831C5"/>
    <w:rsid w:val="00183907"/>
    <w:rsid w:val="00185071"/>
    <w:rsid w:val="00186ABE"/>
    <w:rsid w:val="00187763"/>
    <w:rsid w:val="00190387"/>
    <w:rsid w:val="00192E4B"/>
    <w:rsid w:val="00193AE9"/>
    <w:rsid w:val="00193C37"/>
    <w:rsid w:val="00195ADE"/>
    <w:rsid w:val="00196CF3"/>
    <w:rsid w:val="00197BA9"/>
    <w:rsid w:val="00197EA4"/>
    <w:rsid w:val="001A0571"/>
    <w:rsid w:val="001A0C18"/>
    <w:rsid w:val="001A12EE"/>
    <w:rsid w:val="001A138D"/>
    <w:rsid w:val="001A2857"/>
    <w:rsid w:val="001A2A89"/>
    <w:rsid w:val="001A44D1"/>
    <w:rsid w:val="001A5466"/>
    <w:rsid w:val="001A61E1"/>
    <w:rsid w:val="001A6A6D"/>
    <w:rsid w:val="001A6C1E"/>
    <w:rsid w:val="001B1B20"/>
    <w:rsid w:val="001B3659"/>
    <w:rsid w:val="001B37CC"/>
    <w:rsid w:val="001B380C"/>
    <w:rsid w:val="001B53A0"/>
    <w:rsid w:val="001B5497"/>
    <w:rsid w:val="001B5F70"/>
    <w:rsid w:val="001B7C0E"/>
    <w:rsid w:val="001C13B1"/>
    <w:rsid w:val="001C1C2A"/>
    <w:rsid w:val="001C1CDE"/>
    <w:rsid w:val="001C44C8"/>
    <w:rsid w:val="001C4E7C"/>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199"/>
    <w:rsid w:val="001E4773"/>
    <w:rsid w:val="001E4EA4"/>
    <w:rsid w:val="001E55B7"/>
    <w:rsid w:val="001E6822"/>
    <w:rsid w:val="001E69B4"/>
    <w:rsid w:val="001E74A5"/>
    <w:rsid w:val="001E7765"/>
    <w:rsid w:val="001E7871"/>
    <w:rsid w:val="001E7A48"/>
    <w:rsid w:val="001E7B9E"/>
    <w:rsid w:val="001F025B"/>
    <w:rsid w:val="001F1403"/>
    <w:rsid w:val="001F33E8"/>
    <w:rsid w:val="001F351E"/>
    <w:rsid w:val="001F4F2B"/>
    <w:rsid w:val="001F7DE2"/>
    <w:rsid w:val="002007FF"/>
    <w:rsid w:val="002031F3"/>
    <w:rsid w:val="00205FB6"/>
    <w:rsid w:val="00210FAC"/>
    <w:rsid w:val="00211229"/>
    <w:rsid w:val="00212ABC"/>
    <w:rsid w:val="00212C9C"/>
    <w:rsid w:val="00213108"/>
    <w:rsid w:val="0021453E"/>
    <w:rsid w:val="0021475E"/>
    <w:rsid w:val="00214ACD"/>
    <w:rsid w:val="002151A5"/>
    <w:rsid w:val="00216BB4"/>
    <w:rsid w:val="002179AC"/>
    <w:rsid w:val="00220ADB"/>
    <w:rsid w:val="00220C2D"/>
    <w:rsid w:val="002217BA"/>
    <w:rsid w:val="00221EB7"/>
    <w:rsid w:val="00222C1C"/>
    <w:rsid w:val="00222E92"/>
    <w:rsid w:val="00223507"/>
    <w:rsid w:val="002269CC"/>
    <w:rsid w:val="0022734F"/>
    <w:rsid w:val="00230170"/>
    <w:rsid w:val="002305CF"/>
    <w:rsid w:val="002309A2"/>
    <w:rsid w:val="002324BA"/>
    <w:rsid w:val="00232CC6"/>
    <w:rsid w:val="00233F9A"/>
    <w:rsid w:val="002342A9"/>
    <w:rsid w:val="002345FF"/>
    <w:rsid w:val="00235353"/>
    <w:rsid w:val="00236140"/>
    <w:rsid w:val="002363F1"/>
    <w:rsid w:val="00237611"/>
    <w:rsid w:val="00240396"/>
    <w:rsid w:val="0024139D"/>
    <w:rsid w:val="00242981"/>
    <w:rsid w:val="00244318"/>
    <w:rsid w:val="00244F8B"/>
    <w:rsid w:val="002458B8"/>
    <w:rsid w:val="002514A8"/>
    <w:rsid w:val="002522F4"/>
    <w:rsid w:val="00252B41"/>
    <w:rsid w:val="0025514B"/>
    <w:rsid w:val="0025524F"/>
    <w:rsid w:val="00255799"/>
    <w:rsid w:val="00255B21"/>
    <w:rsid w:val="002564AC"/>
    <w:rsid w:val="00260C1D"/>
    <w:rsid w:val="00261001"/>
    <w:rsid w:val="0026150E"/>
    <w:rsid w:val="00262A7D"/>
    <w:rsid w:val="00263675"/>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401A"/>
    <w:rsid w:val="00286AD1"/>
    <w:rsid w:val="00287050"/>
    <w:rsid w:val="002871EB"/>
    <w:rsid w:val="0029449D"/>
    <w:rsid w:val="002952D0"/>
    <w:rsid w:val="0029534C"/>
    <w:rsid w:val="002A1792"/>
    <w:rsid w:val="002A35B6"/>
    <w:rsid w:val="002A3C1B"/>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04D"/>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547B"/>
    <w:rsid w:val="002E6531"/>
    <w:rsid w:val="002E658C"/>
    <w:rsid w:val="002E689B"/>
    <w:rsid w:val="002E7478"/>
    <w:rsid w:val="002E74CE"/>
    <w:rsid w:val="002E7AD0"/>
    <w:rsid w:val="002F303C"/>
    <w:rsid w:val="002F3672"/>
    <w:rsid w:val="002F3B37"/>
    <w:rsid w:val="002F437F"/>
    <w:rsid w:val="002F4D3F"/>
    <w:rsid w:val="002F4E71"/>
    <w:rsid w:val="002F5EF2"/>
    <w:rsid w:val="002F6D19"/>
    <w:rsid w:val="002F72FA"/>
    <w:rsid w:val="003007E0"/>
    <w:rsid w:val="0030150B"/>
    <w:rsid w:val="00301B41"/>
    <w:rsid w:val="00301D47"/>
    <w:rsid w:val="003030B1"/>
    <w:rsid w:val="00303717"/>
    <w:rsid w:val="00303991"/>
    <w:rsid w:val="00304013"/>
    <w:rsid w:val="00304137"/>
    <w:rsid w:val="00304AEB"/>
    <w:rsid w:val="00305402"/>
    <w:rsid w:val="00305F6D"/>
    <w:rsid w:val="00306D03"/>
    <w:rsid w:val="00307227"/>
    <w:rsid w:val="003105D0"/>
    <w:rsid w:val="00310678"/>
    <w:rsid w:val="00310D66"/>
    <w:rsid w:val="003116A6"/>
    <w:rsid w:val="00315973"/>
    <w:rsid w:val="00315FFF"/>
    <w:rsid w:val="00316065"/>
    <w:rsid w:val="003171A7"/>
    <w:rsid w:val="00317883"/>
    <w:rsid w:val="00317EFF"/>
    <w:rsid w:val="0032053F"/>
    <w:rsid w:val="003219E3"/>
    <w:rsid w:val="00321AA3"/>
    <w:rsid w:val="0032365B"/>
    <w:rsid w:val="00323895"/>
    <w:rsid w:val="003250F6"/>
    <w:rsid w:val="00327323"/>
    <w:rsid w:val="00327D79"/>
    <w:rsid w:val="00331992"/>
    <w:rsid w:val="003323D3"/>
    <w:rsid w:val="00333BA4"/>
    <w:rsid w:val="00333BE8"/>
    <w:rsid w:val="00334447"/>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38EF"/>
    <w:rsid w:val="00355626"/>
    <w:rsid w:val="00355AEE"/>
    <w:rsid w:val="00355D3B"/>
    <w:rsid w:val="0036073F"/>
    <w:rsid w:val="00363066"/>
    <w:rsid w:val="003643B3"/>
    <w:rsid w:val="00370BB1"/>
    <w:rsid w:val="003721B2"/>
    <w:rsid w:val="00372976"/>
    <w:rsid w:val="00373EC3"/>
    <w:rsid w:val="003752C5"/>
    <w:rsid w:val="00376F41"/>
    <w:rsid w:val="00383C88"/>
    <w:rsid w:val="00383E66"/>
    <w:rsid w:val="00385E8C"/>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545"/>
    <w:rsid w:val="00396F71"/>
    <w:rsid w:val="003A2029"/>
    <w:rsid w:val="003A423A"/>
    <w:rsid w:val="003A4241"/>
    <w:rsid w:val="003A5466"/>
    <w:rsid w:val="003A6417"/>
    <w:rsid w:val="003A65FE"/>
    <w:rsid w:val="003A68EE"/>
    <w:rsid w:val="003A6A5A"/>
    <w:rsid w:val="003A7221"/>
    <w:rsid w:val="003A7EAD"/>
    <w:rsid w:val="003B003F"/>
    <w:rsid w:val="003B1B16"/>
    <w:rsid w:val="003B1DC1"/>
    <w:rsid w:val="003B286C"/>
    <w:rsid w:val="003B55AD"/>
    <w:rsid w:val="003B618A"/>
    <w:rsid w:val="003B6B27"/>
    <w:rsid w:val="003B70DC"/>
    <w:rsid w:val="003B747A"/>
    <w:rsid w:val="003B7EC4"/>
    <w:rsid w:val="003C1041"/>
    <w:rsid w:val="003C111B"/>
    <w:rsid w:val="003C1A6C"/>
    <w:rsid w:val="003C2344"/>
    <w:rsid w:val="003C2387"/>
    <w:rsid w:val="003C3A02"/>
    <w:rsid w:val="003C4192"/>
    <w:rsid w:val="003C5164"/>
    <w:rsid w:val="003C5BD9"/>
    <w:rsid w:val="003C5D4F"/>
    <w:rsid w:val="003C63D2"/>
    <w:rsid w:val="003C7282"/>
    <w:rsid w:val="003D00D5"/>
    <w:rsid w:val="003D181D"/>
    <w:rsid w:val="003D20C4"/>
    <w:rsid w:val="003D2719"/>
    <w:rsid w:val="003D27B2"/>
    <w:rsid w:val="003D46D0"/>
    <w:rsid w:val="003D48F5"/>
    <w:rsid w:val="003D5A38"/>
    <w:rsid w:val="003E03D3"/>
    <w:rsid w:val="003E1898"/>
    <w:rsid w:val="003E2057"/>
    <w:rsid w:val="003E2372"/>
    <w:rsid w:val="003E28F7"/>
    <w:rsid w:val="003E559D"/>
    <w:rsid w:val="003E5785"/>
    <w:rsid w:val="003E6679"/>
    <w:rsid w:val="003E712E"/>
    <w:rsid w:val="003E7F93"/>
    <w:rsid w:val="003F140F"/>
    <w:rsid w:val="003F15DB"/>
    <w:rsid w:val="003F186F"/>
    <w:rsid w:val="003F1FD5"/>
    <w:rsid w:val="003F22F2"/>
    <w:rsid w:val="003F2702"/>
    <w:rsid w:val="003F301B"/>
    <w:rsid w:val="003F320C"/>
    <w:rsid w:val="003F36A4"/>
    <w:rsid w:val="003F536B"/>
    <w:rsid w:val="003F546F"/>
    <w:rsid w:val="003F5986"/>
    <w:rsid w:val="003F6C0D"/>
    <w:rsid w:val="003F70CA"/>
    <w:rsid w:val="003F7B36"/>
    <w:rsid w:val="00400F25"/>
    <w:rsid w:val="0040278D"/>
    <w:rsid w:val="00405EBA"/>
    <w:rsid w:val="0040633D"/>
    <w:rsid w:val="00406EE3"/>
    <w:rsid w:val="00413CC5"/>
    <w:rsid w:val="00414607"/>
    <w:rsid w:val="00416727"/>
    <w:rsid w:val="00417A24"/>
    <w:rsid w:val="0042068A"/>
    <w:rsid w:val="004208F0"/>
    <w:rsid w:val="00423019"/>
    <w:rsid w:val="004239BC"/>
    <w:rsid w:val="0042490C"/>
    <w:rsid w:val="00425CAD"/>
    <w:rsid w:val="00426D7C"/>
    <w:rsid w:val="00427AE1"/>
    <w:rsid w:val="004300ED"/>
    <w:rsid w:val="00430FEE"/>
    <w:rsid w:val="00431687"/>
    <w:rsid w:val="00431CC9"/>
    <w:rsid w:val="00432762"/>
    <w:rsid w:val="00432A8D"/>
    <w:rsid w:val="00432B72"/>
    <w:rsid w:val="00432FD0"/>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418"/>
    <w:rsid w:val="00445FDA"/>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6659"/>
    <w:rsid w:val="004672ED"/>
    <w:rsid w:val="0046744D"/>
    <w:rsid w:val="0047025A"/>
    <w:rsid w:val="00470D76"/>
    <w:rsid w:val="0047252A"/>
    <w:rsid w:val="00472C41"/>
    <w:rsid w:val="00473115"/>
    <w:rsid w:val="004764CB"/>
    <w:rsid w:val="00476730"/>
    <w:rsid w:val="00476E1F"/>
    <w:rsid w:val="00481A7B"/>
    <w:rsid w:val="00481B0D"/>
    <w:rsid w:val="0048386B"/>
    <w:rsid w:val="00483C14"/>
    <w:rsid w:val="00484D45"/>
    <w:rsid w:val="00485DB6"/>
    <w:rsid w:val="0048658E"/>
    <w:rsid w:val="00487B33"/>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C4C"/>
    <w:rsid w:val="004D6D19"/>
    <w:rsid w:val="004E11D8"/>
    <w:rsid w:val="004E258D"/>
    <w:rsid w:val="004E6421"/>
    <w:rsid w:val="004F0C96"/>
    <w:rsid w:val="004F44C7"/>
    <w:rsid w:val="004F489F"/>
    <w:rsid w:val="004F48A1"/>
    <w:rsid w:val="004F4958"/>
    <w:rsid w:val="004F7606"/>
    <w:rsid w:val="004F766F"/>
    <w:rsid w:val="004F78B7"/>
    <w:rsid w:val="004F7944"/>
    <w:rsid w:val="004F7E8C"/>
    <w:rsid w:val="00500930"/>
    <w:rsid w:val="005022B6"/>
    <w:rsid w:val="0050309F"/>
    <w:rsid w:val="005041C2"/>
    <w:rsid w:val="00505CA0"/>
    <w:rsid w:val="0050690E"/>
    <w:rsid w:val="00507C08"/>
    <w:rsid w:val="00507D18"/>
    <w:rsid w:val="0051016E"/>
    <w:rsid w:val="00510B49"/>
    <w:rsid w:val="005111D7"/>
    <w:rsid w:val="00511BC7"/>
    <w:rsid w:val="00512F22"/>
    <w:rsid w:val="005146AC"/>
    <w:rsid w:val="00515227"/>
    <w:rsid w:val="00515733"/>
    <w:rsid w:val="005167B1"/>
    <w:rsid w:val="00517D20"/>
    <w:rsid w:val="0052089E"/>
    <w:rsid w:val="005215EE"/>
    <w:rsid w:val="00521DCB"/>
    <w:rsid w:val="00521F15"/>
    <w:rsid w:val="005248B9"/>
    <w:rsid w:val="00524F8A"/>
    <w:rsid w:val="005251A9"/>
    <w:rsid w:val="00526446"/>
    <w:rsid w:val="00526BE2"/>
    <w:rsid w:val="00527495"/>
    <w:rsid w:val="00527E7A"/>
    <w:rsid w:val="00531BA5"/>
    <w:rsid w:val="005348F5"/>
    <w:rsid w:val="0053544C"/>
    <w:rsid w:val="00536B8B"/>
    <w:rsid w:val="00537E2C"/>
    <w:rsid w:val="00542797"/>
    <w:rsid w:val="00542B3A"/>
    <w:rsid w:val="00544D6E"/>
    <w:rsid w:val="00544E24"/>
    <w:rsid w:val="00544EC9"/>
    <w:rsid w:val="005454A6"/>
    <w:rsid w:val="00546FBD"/>
    <w:rsid w:val="00551B13"/>
    <w:rsid w:val="0055202D"/>
    <w:rsid w:val="005520BF"/>
    <w:rsid w:val="00552421"/>
    <w:rsid w:val="0055322E"/>
    <w:rsid w:val="0055473C"/>
    <w:rsid w:val="00554A5A"/>
    <w:rsid w:val="0055544F"/>
    <w:rsid w:val="00556B04"/>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0A66"/>
    <w:rsid w:val="00581C0F"/>
    <w:rsid w:val="00581DEE"/>
    <w:rsid w:val="00582919"/>
    <w:rsid w:val="00583732"/>
    <w:rsid w:val="005839BF"/>
    <w:rsid w:val="005846AD"/>
    <w:rsid w:val="00584ACA"/>
    <w:rsid w:val="00584E53"/>
    <w:rsid w:val="005862F0"/>
    <w:rsid w:val="00587366"/>
    <w:rsid w:val="00590037"/>
    <w:rsid w:val="00593476"/>
    <w:rsid w:val="00595511"/>
    <w:rsid w:val="00595717"/>
    <w:rsid w:val="005964F0"/>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5257"/>
    <w:rsid w:val="005B6ADF"/>
    <w:rsid w:val="005B6B94"/>
    <w:rsid w:val="005B6EC8"/>
    <w:rsid w:val="005B76C1"/>
    <w:rsid w:val="005B773D"/>
    <w:rsid w:val="005B7C5D"/>
    <w:rsid w:val="005C0B20"/>
    <w:rsid w:val="005C1A74"/>
    <w:rsid w:val="005C3294"/>
    <w:rsid w:val="005C347F"/>
    <w:rsid w:val="005C42CF"/>
    <w:rsid w:val="005C4986"/>
    <w:rsid w:val="005C6142"/>
    <w:rsid w:val="005C64E0"/>
    <w:rsid w:val="005C6F55"/>
    <w:rsid w:val="005D15F1"/>
    <w:rsid w:val="005D27DD"/>
    <w:rsid w:val="005D336E"/>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E6A54"/>
    <w:rsid w:val="005E7F10"/>
    <w:rsid w:val="005F0137"/>
    <w:rsid w:val="005F1A24"/>
    <w:rsid w:val="005F487C"/>
    <w:rsid w:val="005F53A4"/>
    <w:rsid w:val="005F5924"/>
    <w:rsid w:val="005F5FE1"/>
    <w:rsid w:val="005F62B2"/>
    <w:rsid w:val="005F715E"/>
    <w:rsid w:val="006010DA"/>
    <w:rsid w:val="006017AB"/>
    <w:rsid w:val="00604AC3"/>
    <w:rsid w:val="00605865"/>
    <w:rsid w:val="0060623B"/>
    <w:rsid w:val="00610DC3"/>
    <w:rsid w:val="00611BA6"/>
    <w:rsid w:val="00613191"/>
    <w:rsid w:val="00614767"/>
    <w:rsid w:val="006163BE"/>
    <w:rsid w:val="00616531"/>
    <w:rsid w:val="00617813"/>
    <w:rsid w:val="006206CC"/>
    <w:rsid w:val="00620CFC"/>
    <w:rsid w:val="00622B06"/>
    <w:rsid w:val="00622BFD"/>
    <w:rsid w:val="00623028"/>
    <w:rsid w:val="0062382C"/>
    <w:rsid w:val="00624649"/>
    <w:rsid w:val="006257CA"/>
    <w:rsid w:val="00627163"/>
    <w:rsid w:val="00630400"/>
    <w:rsid w:val="00632275"/>
    <w:rsid w:val="00634476"/>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01B5"/>
    <w:rsid w:val="006621E4"/>
    <w:rsid w:val="00662C69"/>
    <w:rsid w:val="006632AD"/>
    <w:rsid w:val="006635BA"/>
    <w:rsid w:val="006639ED"/>
    <w:rsid w:val="00664106"/>
    <w:rsid w:val="0066458B"/>
    <w:rsid w:val="0066610C"/>
    <w:rsid w:val="00671165"/>
    <w:rsid w:val="006718FB"/>
    <w:rsid w:val="00673695"/>
    <w:rsid w:val="00674701"/>
    <w:rsid w:val="00674A46"/>
    <w:rsid w:val="006752B0"/>
    <w:rsid w:val="00675431"/>
    <w:rsid w:val="00676959"/>
    <w:rsid w:val="00676C6B"/>
    <w:rsid w:val="006773FB"/>
    <w:rsid w:val="00677CA6"/>
    <w:rsid w:val="00680F25"/>
    <w:rsid w:val="0068594B"/>
    <w:rsid w:val="00686B04"/>
    <w:rsid w:val="006901FA"/>
    <w:rsid w:val="006902B0"/>
    <w:rsid w:val="00690660"/>
    <w:rsid w:val="006915D7"/>
    <w:rsid w:val="0069218D"/>
    <w:rsid w:val="0069282B"/>
    <w:rsid w:val="00693427"/>
    <w:rsid w:val="0069464B"/>
    <w:rsid w:val="00694E2B"/>
    <w:rsid w:val="006958A7"/>
    <w:rsid w:val="00695C4B"/>
    <w:rsid w:val="006964F5"/>
    <w:rsid w:val="00696EF8"/>
    <w:rsid w:val="006975AE"/>
    <w:rsid w:val="00697BEA"/>
    <w:rsid w:val="006A1047"/>
    <w:rsid w:val="006A26C9"/>
    <w:rsid w:val="006A2EFC"/>
    <w:rsid w:val="006A3D7A"/>
    <w:rsid w:val="006A3DFC"/>
    <w:rsid w:val="006A464E"/>
    <w:rsid w:val="006A4F64"/>
    <w:rsid w:val="006A63B5"/>
    <w:rsid w:val="006A6D2E"/>
    <w:rsid w:val="006B0198"/>
    <w:rsid w:val="006B0697"/>
    <w:rsid w:val="006B12CA"/>
    <w:rsid w:val="006B12E8"/>
    <w:rsid w:val="006B1C19"/>
    <w:rsid w:val="006B1E4C"/>
    <w:rsid w:val="006B5A58"/>
    <w:rsid w:val="006B7A58"/>
    <w:rsid w:val="006B7A9E"/>
    <w:rsid w:val="006C19FE"/>
    <w:rsid w:val="006C1A97"/>
    <w:rsid w:val="006C2DFB"/>
    <w:rsid w:val="006C2FEE"/>
    <w:rsid w:val="006C50C2"/>
    <w:rsid w:val="006C563A"/>
    <w:rsid w:val="006D0DAE"/>
    <w:rsid w:val="006D1BFA"/>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A85"/>
    <w:rsid w:val="006E4BD4"/>
    <w:rsid w:val="006E5950"/>
    <w:rsid w:val="006E5BBE"/>
    <w:rsid w:val="006E6105"/>
    <w:rsid w:val="006E67DF"/>
    <w:rsid w:val="006E6B65"/>
    <w:rsid w:val="006E771E"/>
    <w:rsid w:val="006E7899"/>
    <w:rsid w:val="006E7CC5"/>
    <w:rsid w:val="006E7D23"/>
    <w:rsid w:val="006F04C4"/>
    <w:rsid w:val="006F0635"/>
    <w:rsid w:val="006F1AB0"/>
    <w:rsid w:val="006F1E31"/>
    <w:rsid w:val="006F2C12"/>
    <w:rsid w:val="006F2E5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65AD"/>
    <w:rsid w:val="007366ED"/>
    <w:rsid w:val="00740C84"/>
    <w:rsid w:val="007416F3"/>
    <w:rsid w:val="00742486"/>
    <w:rsid w:val="00743741"/>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47"/>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4B1"/>
    <w:rsid w:val="00792574"/>
    <w:rsid w:val="007936F2"/>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0E47"/>
    <w:rsid w:val="007C37D2"/>
    <w:rsid w:val="007C6997"/>
    <w:rsid w:val="007D0C01"/>
    <w:rsid w:val="007D28B9"/>
    <w:rsid w:val="007D2B0E"/>
    <w:rsid w:val="007D3312"/>
    <w:rsid w:val="007D3ED2"/>
    <w:rsid w:val="007D3FBD"/>
    <w:rsid w:val="007D40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06F"/>
    <w:rsid w:val="00807201"/>
    <w:rsid w:val="00810F94"/>
    <w:rsid w:val="00811414"/>
    <w:rsid w:val="0081220D"/>
    <w:rsid w:val="00814427"/>
    <w:rsid w:val="00814C84"/>
    <w:rsid w:val="008150A8"/>
    <w:rsid w:val="008167F5"/>
    <w:rsid w:val="00817D8E"/>
    <w:rsid w:val="008200A3"/>
    <w:rsid w:val="00820BF2"/>
    <w:rsid w:val="00824C4E"/>
    <w:rsid w:val="0083097C"/>
    <w:rsid w:val="00830C60"/>
    <w:rsid w:val="00830D0B"/>
    <w:rsid w:val="00831B95"/>
    <w:rsid w:val="008320B5"/>
    <w:rsid w:val="0083293C"/>
    <w:rsid w:val="00832ACC"/>
    <w:rsid w:val="00833D5D"/>
    <w:rsid w:val="00833E18"/>
    <w:rsid w:val="00833E4C"/>
    <w:rsid w:val="00835DC3"/>
    <w:rsid w:val="00836224"/>
    <w:rsid w:val="00836BD7"/>
    <w:rsid w:val="00837BE4"/>
    <w:rsid w:val="00837C11"/>
    <w:rsid w:val="00840559"/>
    <w:rsid w:val="00840EED"/>
    <w:rsid w:val="00841618"/>
    <w:rsid w:val="00842157"/>
    <w:rsid w:val="00843153"/>
    <w:rsid w:val="00843908"/>
    <w:rsid w:val="0084448A"/>
    <w:rsid w:val="00844603"/>
    <w:rsid w:val="00844D5C"/>
    <w:rsid w:val="00845AFB"/>
    <w:rsid w:val="00845D12"/>
    <w:rsid w:val="00846713"/>
    <w:rsid w:val="008473FA"/>
    <w:rsid w:val="008475EF"/>
    <w:rsid w:val="00847830"/>
    <w:rsid w:val="00847E15"/>
    <w:rsid w:val="00847F80"/>
    <w:rsid w:val="00847FCB"/>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45F4"/>
    <w:rsid w:val="008662C0"/>
    <w:rsid w:val="00866705"/>
    <w:rsid w:val="008702BC"/>
    <w:rsid w:val="00870ACC"/>
    <w:rsid w:val="0087153F"/>
    <w:rsid w:val="008720FE"/>
    <w:rsid w:val="00872C2F"/>
    <w:rsid w:val="00872DF8"/>
    <w:rsid w:val="008731CF"/>
    <w:rsid w:val="0087459A"/>
    <w:rsid w:val="008749F7"/>
    <w:rsid w:val="00875167"/>
    <w:rsid w:val="00876471"/>
    <w:rsid w:val="0087731A"/>
    <w:rsid w:val="00881572"/>
    <w:rsid w:val="0088293F"/>
    <w:rsid w:val="00883450"/>
    <w:rsid w:val="00883864"/>
    <w:rsid w:val="0088398C"/>
    <w:rsid w:val="008845D2"/>
    <w:rsid w:val="00885165"/>
    <w:rsid w:val="00885C6E"/>
    <w:rsid w:val="00886672"/>
    <w:rsid w:val="00887497"/>
    <w:rsid w:val="0089067B"/>
    <w:rsid w:val="00893601"/>
    <w:rsid w:val="0089412A"/>
    <w:rsid w:val="008964FA"/>
    <w:rsid w:val="0089669A"/>
    <w:rsid w:val="00896AD4"/>
    <w:rsid w:val="008A0522"/>
    <w:rsid w:val="008A147D"/>
    <w:rsid w:val="008A1809"/>
    <w:rsid w:val="008A21BC"/>
    <w:rsid w:val="008A2C92"/>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26D"/>
    <w:rsid w:val="008C040B"/>
    <w:rsid w:val="008C0446"/>
    <w:rsid w:val="008C1149"/>
    <w:rsid w:val="008C1702"/>
    <w:rsid w:val="008C1859"/>
    <w:rsid w:val="008C252A"/>
    <w:rsid w:val="008C2B3C"/>
    <w:rsid w:val="008C2EBC"/>
    <w:rsid w:val="008C41A7"/>
    <w:rsid w:val="008C5761"/>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3AC2"/>
    <w:rsid w:val="008E4B02"/>
    <w:rsid w:val="008E5423"/>
    <w:rsid w:val="008E5EF3"/>
    <w:rsid w:val="008E6191"/>
    <w:rsid w:val="008E7B81"/>
    <w:rsid w:val="008F0BA5"/>
    <w:rsid w:val="008F12E6"/>
    <w:rsid w:val="008F1558"/>
    <w:rsid w:val="008F3242"/>
    <w:rsid w:val="008F383A"/>
    <w:rsid w:val="008F5024"/>
    <w:rsid w:val="008F5927"/>
    <w:rsid w:val="008F7E1B"/>
    <w:rsid w:val="00900701"/>
    <w:rsid w:val="00901474"/>
    <w:rsid w:val="0090174A"/>
    <w:rsid w:val="00902FBD"/>
    <w:rsid w:val="009036B3"/>
    <w:rsid w:val="00904297"/>
    <w:rsid w:val="00905898"/>
    <w:rsid w:val="00906412"/>
    <w:rsid w:val="009071FE"/>
    <w:rsid w:val="00907761"/>
    <w:rsid w:val="00907AA7"/>
    <w:rsid w:val="00913AA4"/>
    <w:rsid w:val="00914EB5"/>
    <w:rsid w:val="00915778"/>
    <w:rsid w:val="009164DD"/>
    <w:rsid w:val="0091672B"/>
    <w:rsid w:val="009168CC"/>
    <w:rsid w:val="009210C9"/>
    <w:rsid w:val="00924B24"/>
    <w:rsid w:val="00925C68"/>
    <w:rsid w:val="009278BD"/>
    <w:rsid w:val="009315B0"/>
    <w:rsid w:val="009316E9"/>
    <w:rsid w:val="00932C28"/>
    <w:rsid w:val="00934877"/>
    <w:rsid w:val="009364B4"/>
    <w:rsid w:val="009365EA"/>
    <w:rsid w:val="00940E36"/>
    <w:rsid w:val="00941F19"/>
    <w:rsid w:val="009423A6"/>
    <w:rsid w:val="00945A61"/>
    <w:rsid w:val="00945D65"/>
    <w:rsid w:val="00947812"/>
    <w:rsid w:val="00950154"/>
    <w:rsid w:val="00950677"/>
    <w:rsid w:val="009515A7"/>
    <w:rsid w:val="00953054"/>
    <w:rsid w:val="0095344E"/>
    <w:rsid w:val="00953DA2"/>
    <w:rsid w:val="0095468B"/>
    <w:rsid w:val="009556EE"/>
    <w:rsid w:val="009563A5"/>
    <w:rsid w:val="00956868"/>
    <w:rsid w:val="00956D02"/>
    <w:rsid w:val="0095765F"/>
    <w:rsid w:val="009606E6"/>
    <w:rsid w:val="00961E39"/>
    <w:rsid w:val="009621AA"/>
    <w:rsid w:val="00962F40"/>
    <w:rsid w:val="00963C76"/>
    <w:rsid w:val="00964298"/>
    <w:rsid w:val="0096527F"/>
    <w:rsid w:val="009666F2"/>
    <w:rsid w:val="00967C35"/>
    <w:rsid w:val="00967DAE"/>
    <w:rsid w:val="00967FD3"/>
    <w:rsid w:val="00970F70"/>
    <w:rsid w:val="0097252B"/>
    <w:rsid w:val="00972668"/>
    <w:rsid w:val="009727B4"/>
    <w:rsid w:val="00972C36"/>
    <w:rsid w:val="00974D31"/>
    <w:rsid w:val="00975FED"/>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3C9F"/>
    <w:rsid w:val="009A42F1"/>
    <w:rsid w:val="009A4B79"/>
    <w:rsid w:val="009A50A8"/>
    <w:rsid w:val="009A5191"/>
    <w:rsid w:val="009A66D2"/>
    <w:rsid w:val="009A6B51"/>
    <w:rsid w:val="009B0F5C"/>
    <w:rsid w:val="009B11D6"/>
    <w:rsid w:val="009B2177"/>
    <w:rsid w:val="009B2261"/>
    <w:rsid w:val="009B2EE9"/>
    <w:rsid w:val="009B3E7E"/>
    <w:rsid w:val="009B4828"/>
    <w:rsid w:val="009B4864"/>
    <w:rsid w:val="009B5504"/>
    <w:rsid w:val="009B5506"/>
    <w:rsid w:val="009B649B"/>
    <w:rsid w:val="009B6E7F"/>
    <w:rsid w:val="009B6F16"/>
    <w:rsid w:val="009B76E3"/>
    <w:rsid w:val="009C0940"/>
    <w:rsid w:val="009C1D99"/>
    <w:rsid w:val="009C1F8B"/>
    <w:rsid w:val="009C297C"/>
    <w:rsid w:val="009C2A06"/>
    <w:rsid w:val="009C33D3"/>
    <w:rsid w:val="009C534D"/>
    <w:rsid w:val="009C6786"/>
    <w:rsid w:val="009D08B2"/>
    <w:rsid w:val="009D120B"/>
    <w:rsid w:val="009D2556"/>
    <w:rsid w:val="009D3240"/>
    <w:rsid w:val="009D3A6E"/>
    <w:rsid w:val="009D4C07"/>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3FB"/>
    <w:rsid w:val="00A036C5"/>
    <w:rsid w:val="00A03AD2"/>
    <w:rsid w:val="00A0522C"/>
    <w:rsid w:val="00A07D84"/>
    <w:rsid w:val="00A10336"/>
    <w:rsid w:val="00A10CE2"/>
    <w:rsid w:val="00A13385"/>
    <w:rsid w:val="00A13707"/>
    <w:rsid w:val="00A13811"/>
    <w:rsid w:val="00A13F4F"/>
    <w:rsid w:val="00A15196"/>
    <w:rsid w:val="00A154CD"/>
    <w:rsid w:val="00A17595"/>
    <w:rsid w:val="00A20B1F"/>
    <w:rsid w:val="00A23081"/>
    <w:rsid w:val="00A235D0"/>
    <w:rsid w:val="00A24890"/>
    <w:rsid w:val="00A26DD9"/>
    <w:rsid w:val="00A27A7F"/>
    <w:rsid w:val="00A31C1B"/>
    <w:rsid w:val="00A31C1E"/>
    <w:rsid w:val="00A3276A"/>
    <w:rsid w:val="00A349D2"/>
    <w:rsid w:val="00A34D33"/>
    <w:rsid w:val="00A35492"/>
    <w:rsid w:val="00A35AAC"/>
    <w:rsid w:val="00A36432"/>
    <w:rsid w:val="00A37B07"/>
    <w:rsid w:val="00A4022D"/>
    <w:rsid w:val="00A4044E"/>
    <w:rsid w:val="00A40EF1"/>
    <w:rsid w:val="00A41F16"/>
    <w:rsid w:val="00A42869"/>
    <w:rsid w:val="00A43652"/>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33C3"/>
    <w:rsid w:val="00A64F10"/>
    <w:rsid w:val="00A6599C"/>
    <w:rsid w:val="00A67428"/>
    <w:rsid w:val="00A679E3"/>
    <w:rsid w:val="00A67E39"/>
    <w:rsid w:val="00A70CF3"/>
    <w:rsid w:val="00A7155E"/>
    <w:rsid w:val="00A71B8F"/>
    <w:rsid w:val="00A72243"/>
    <w:rsid w:val="00A72661"/>
    <w:rsid w:val="00A727AD"/>
    <w:rsid w:val="00A72B2A"/>
    <w:rsid w:val="00A73B07"/>
    <w:rsid w:val="00A74B4A"/>
    <w:rsid w:val="00A755EC"/>
    <w:rsid w:val="00A75C6B"/>
    <w:rsid w:val="00A76B0D"/>
    <w:rsid w:val="00A77442"/>
    <w:rsid w:val="00A80901"/>
    <w:rsid w:val="00A819B7"/>
    <w:rsid w:val="00A81AB5"/>
    <w:rsid w:val="00A81EAA"/>
    <w:rsid w:val="00A82637"/>
    <w:rsid w:val="00A82724"/>
    <w:rsid w:val="00A82C0E"/>
    <w:rsid w:val="00A82C5A"/>
    <w:rsid w:val="00A82DBB"/>
    <w:rsid w:val="00A8300D"/>
    <w:rsid w:val="00A8620F"/>
    <w:rsid w:val="00A86D39"/>
    <w:rsid w:val="00A8769A"/>
    <w:rsid w:val="00A90CFB"/>
    <w:rsid w:val="00A91849"/>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8B6"/>
    <w:rsid w:val="00AB6A62"/>
    <w:rsid w:val="00AB6BE3"/>
    <w:rsid w:val="00AB78A7"/>
    <w:rsid w:val="00AC0CAC"/>
    <w:rsid w:val="00AC0FF1"/>
    <w:rsid w:val="00AC37C3"/>
    <w:rsid w:val="00AC4F70"/>
    <w:rsid w:val="00AC535B"/>
    <w:rsid w:val="00AC57E0"/>
    <w:rsid w:val="00AC5F6A"/>
    <w:rsid w:val="00AD01F5"/>
    <w:rsid w:val="00AD0B3C"/>
    <w:rsid w:val="00AD1CC0"/>
    <w:rsid w:val="00AD22B5"/>
    <w:rsid w:val="00AD6AF4"/>
    <w:rsid w:val="00AD7314"/>
    <w:rsid w:val="00AD7590"/>
    <w:rsid w:val="00AD7FC2"/>
    <w:rsid w:val="00AE0514"/>
    <w:rsid w:val="00AE0D12"/>
    <w:rsid w:val="00AE258D"/>
    <w:rsid w:val="00AE5116"/>
    <w:rsid w:val="00AE72E8"/>
    <w:rsid w:val="00AF1F04"/>
    <w:rsid w:val="00AF3D59"/>
    <w:rsid w:val="00AF6794"/>
    <w:rsid w:val="00AF7056"/>
    <w:rsid w:val="00AF795D"/>
    <w:rsid w:val="00B016F7"/>
    <w:rsid w:val="00B055B9"/>
    <w:rsid w:val="00B0568A"/>
    <w:rsid w:val="00B068E3"/>
    <w:rsid w:val="00B07CD9"/>
    <w:rsid w:val="00B13AD9"/>
    <w:rsid w:val="00B13D85"/>
    <w:rsid w:val="00B16296"/>
    <w:rsid w:val="00B16420"/>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5687"/>
    <w:rsid w:val="00B4699E"/>
    <w:rsid w:val="00B46AE9"/>
    <w:rsid w:val="00B47D0D"/>
    <w:rsid w:val="00B50707"/>
    <w:rsid w:val="00B51257"/>
    <w:rsid w:val="00B52B7D"/>
    <w:rsid w:val="00B531D2"/>
    <w:rsid w:val="00B53811"/>
    <w:rsid w:val="00B53CCA"/>
    <w:rsid w:val="00B54441"/>
    <w:rsid w:val="00B54A5F"/>
    <w:rsid w:val="00B5559A"/>
    <w:rsid w:val="00B560C2"/>
    <w:rsid w:val="00B56409"/>
    <w:rsid w:val="00B56F9B"/>
    <w:rsid w:val="00B60641"/>
    <w:rsid w:val="00B61613"/>
    <w:rsid w:val="00B667C6"/>
    <w:rsid w:val="00B709AD"/>
    <w:rsid w:val="00B72034"/>
    <w:rsid w:val="00B7273B"/>
    <w:rsid w:val="00B72B45"/>
    <w:rsid w:val="00B72D4E"/>
    <w:rsid w:val="00B73838"/>
    <w:rsid w:val="00B7421A"/>
    <w:rsid w:val="00B74827"/>
    <w:rsid w:val="00B75764"/>
    <w:rsid w:val="00B75948"/>
    <w:rsid w:val="00B75F20"/>
    <w:rsid w:val="00B7661A"/>
    <w:rsid w:val="00B76F3F"/>
    <w:rsid w:val="00B77233"/>
    <w:rsid w:val="00B81371"/>
    <w:rsid w:val="00B837E1"/>
    <w:rsid w:val="00B83E2E"/>
    <w:rsid w:val="00B85408"/>
    <w:rsid w:val="00B8572C"/>
    <w:rsid w:val="00B85B4F"/>
    <w:rsid w:val="00B86635"/>
    <w:rsid w:val="00B866D9"/>
    <w:rsid w:val="00B87A31"/>
    <w:rsid w:val="00B902E7"/>
    <w:rsid w:val="00B922D9"/>
    <w:rsid w:val="00B923ED"/>
    <w:rsid w:val="00B92496"/>
    <w:rsid w:val="00B926D6"/>
    <w:rsid w:val="00B966BF"/>
    <w:rsid w:val="00B974B4"/>
    <w:rsid w:val="00BA4107"/>
    <w:rsid w:val="00BA4F66"/>
    <w:rsid w:val="00BA6B83"/>
    <w:rsid w:val="00BA7987"/>
    <w:rsid w:val="00BA7CFA"/>
    <w:rsid w:val="00BB1309"/>
    <w:rsid w:val="00BB17E0"/>
    <w:rsid w:val="00BB2592"/>
    <w:rsid w:val="00BB3156"/>
    <w:rsid w:val="00BB462D"/>
    <w:rsid w:val="00BB5627"/>
    <w:rsid w:val="00BB5CA9"/>
    <w:rsid w:val="00BB6662"/>
    <w:rsid w:val="00BB7329"/>
    <w:rsid w:val="00BC0CE4"/>
    <w:rsid w:val="00BC260A"/>
    <w:rsid w:val="00BC30BF"/>
    <w:rsid w:val="00BC3150"/>
    <w:rsid w:val="00BC4126"/>
    <w:rsid w:val="00BC51D7"/>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4E4C"/>
    <w:rsid w:val="00BF6D83"/>
    <w:rsid w:val="00BF704D"/>
    <w:rsid w:val="00BF7824"/>
    <w:rsid w:val="00C02535"/>
    <w:rsid w:val="00C0462C"/>
    <w:rsid w:val="00C04666"/>
    <w:rsid w:val="00C047C5"/>
    <w:rsid w:val="00C04D22"/>
    <w:rsid w:val="00C056D3"/>
    <w:rsid w:val="00C064A9"/>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4B63"/>
    <w:rsid w:val="00C5573D"/>
    <w:rsid w:val="00C55AC9"/>
    <w:rsid w:val="00C563E7"/>
    <w:rsid w:val="00C61A25"/>
    <w:rsid w:val="00C6220B"/>
    <w:rsid w:val="00C6236D"/>
    <w:rsid w:val="00C63320"/>
    <w:rsid w:val="00C635F3"/>
    <w:rsid w:val="00C63CF2"/>
    <w:rsid w:val="00C63FAC"/>
    <w:rsid w:val="00C640B7"/>
    <w:rsid w:val="00C648FC"/>
    <w:rsid w:val="00C64BCF"/>
    <w:rsid w:val="00C64C81"/>
    <w:rsid w:val="00C64FE7"/>
    <w:rsid w:val="00C6514C"/>
    <w:rsid w:val="00C65954"/>
    <w:rsid w:val="00C663BE"/>
    <w:rsid w:val="00C71858"/>
    <w:rsid w:val="00C722C5"/>
    <w:rsid w:val="00C736A9"/>
    <w:rsid w:val="00C73A0E"/>
    <w:rsid w:val="00C74781"/>
    <w:rsid w:val="00C759CD"/>
    <w:rsid w:val="00C7649D"/>
    <w:rsid w:val="00C76E42"/>
    <w:rsid w:val="00C77EC9"/>
    <w:rsid w:val="00C80034"/>
    <w:rsid w:val="00C83EA7"/>
    <w:rsid w:val="00C8443A"/>
    <w:rsid w:val="00C84559"/>
    <w:rsid w:val="00C84673"/>
    <w:rsid w:val="00C862C4"/>
    <w:rsid w:val="00C86B34"/>
    <w:rsid w:val="00C90879"/>
    <w:rsid w:val="00C915C8"/>
    <w:rsid w:val="00C9373E"/>
    <w:rsid w:val="00C945A0"/>
    <w:rsid w:val="00C95593"/>
    <w:rsid w:val="00C95BE8"/>
    <w:rsid w:val="00C95CE5"/>
    <w:rsid w:val="00C9604F"/>
    <w:rsid w:val="00C9715E"/>
    <w:rsid w:val="00CA0830"/>
    <w:rsid w:val="00CA2022"/>
    <w:rsid w:val="00CA21C9"/>
    <w:rsid w:val="00CA43BF"/>
    <w:rsid w:val="00CB0EAB"/>
    <w:rsid w:val="00CB18D2"/>
    <w:rsid w:val="00CB2969"/>
    <w:rsid w:val="00CB3C69"/>
    <w:rsid w:val="00CB4CEC"/>
    <w:rsid w:val="00CB57BF"/>
    <w:rsid w:val="00CB6365"/>
    <w:rsid w:val="00CB73EF"/>
    <w:rsid w:val="00CB7E5C"/>
    <w:rsid w:val="00CC0B5A"/>
    <w:rsid w:val="00CC1073"/>
    <w:rsid w:val="00CC2DE4"/>
    <w:rsid w:val="00CC360E"/>
    <w:rsid w:val="00CC3CBF"/>
    <w:rsid w:val="00CC43AD"/>
    <w:rsid w:val="00CC48D6"/>
    <w:rsid w:val="00CC5DEB"/>
    <w:rsid w:val="00CC62BA"/>
    <w:rsid w:val="00CC6378"/>
    <w:rsid w:val="00CC697C"/>
    <w:rsid w:val="00CC7839"/>
    <w:rsid w:val="00CD04AC"/>
    <w:rsid w:val="00CD0E30"/>
    <w:rsid w:val="00CD21E7"/>
    <w:rsid w:val="00CD369D"/>
    <w:rsid w:val="00CD6866"/>
    <w:rsid w:val="00CD76D4"/>
    <w:rsid w:val="00CD7893"/>
    <w:rsid w:val="00CE03CC"/>
    <w:rsid w:val="00CE2277"/>
    <w:rsid w:val="00CE4010"/>
    <w:rsid w:val="00CE5CEE"/>
    <w:rsid w:val="00CE603F"/>
    <w:rsid w:val="00CE6AC4"/>
    <w:rsid w:val="00CE79A9"/>
    <w:rsid w:val="00CE7E6A"/>
    <w:rsid w:val="00CF030B"/>
    <w:rsid w:val="00CF0FBA"/>
    <w:rsid w:val="00CF1B66"/>
    <w:rsid w:val="00CF4294"/>
    <w:rsid w:val="00CF571B"/>
    <w:rsid w:val="00CF67A5"/>
    <w:rsid w:val="00CF6EB2"/>
    <w:rsid w:val="00D038BF"/>
    <w:rsid w:val="00D063BD"/>
    <w:rsid w:val="00D06B38"/>
    <w:rsid w:val="00D0750E"/>
    <w:rsid w:val="00D1033C"/>
    <w:rsid w:val="00D10354"/>
    <w:rsid w:val="00D1084D"/>
    <w:rsid w:val="00D10D23"/>
    <w:rsid w:val="00D11445"/>
    <w:rsid w:val="00D11804"/>
    <w:rsid w:val="00D12E2A"/>
    <w:rsid w:val="00D12EE7"/>
    <w:rsid w:val="00D13221"/>
    <w:rsid w:val="00D1373C"/>
    <w:rsid w:val="00D13E7E"/>
    <w:rsid w:val="00D14BCB"/>
    <w:rsid w:val="00D16FD4"/>
    <w:rsid w:val="00D209C2"/>
    <w:rsid w:val="00D2386B"/>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39D2"/>
    <w:rsid w:val="00D4793C"/>
    <w:rsid w:val="00D47CE7"/>
    <w:rsid w:val="00D50B21"/>
    <w:rsid w:val="00D515DB"/>
    <w:rsid w:val="00D56D95"/>
    <w:rsid w:val="00D576BD"/>
    <w:rsid w:val="00D617B7"/>
    <w:rsid w:val="00D65068"/>
    <w:rsid w:val="00D65243"/>
    <w:rsid w:val="00D658A1"/>
    <w:rsid w:val="00D7097B"/>
    <w:rsid w:val="00D7176B"/>
    <w:rsid w:val="00D72754"/>
    <w:rsid w:val="00D72761"/>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3AC5"/>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3114"/>
    <w:rsid w:val="00DD3B59"/>
    <w:rsid w:val="00DD3B6D"/>
    <w:rsid w:val="00DD3BE6"/>
    <w:rsid w:val="00DD4849"/>
    <w:rsid w:val="00DD488B"/>
    <w:rsid w:val="00DD7CDB"/>
    <w:rsid w:val="00DE09AE"/>
    <w:rsid w:val="00DE0FC0"/>
    <w:rsid w:val="00DE2593"/>
    <w:rsid w:val="00DE3A31"/>
    <w:rsid w:val="00DE4A83"/>
    <w:rsid w:val="00DE5182"/>
    <w:rsid w:val="00DE55CA"/>
    <w:rsid w:val="00DF1C93"/>
    <w:rsid w:val="00DF1E5D"/>
    <w:rsid w:val="00DF26A0"/>
    <w:rsid w:val="00DF2ABA"/>
    <w:rsid w:val="00DF419C"/>
    <w:rsid w:val="00DF449A"/>
    <w:rsid w:val="00DF51C5"/>
    <w:rsid w:val="00DF651D"/>
    <w:rsid w:val="00DF72C7"/>
    <w:rsid w:val="00DF7935"/>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17882"/>
    <w:rsid w:val="00E20C91"/>
    <w:rsid w:val="00E227C3"/>
    <w:rsid w:val="00E22843"/>
    <w:rsid w:val="00E22B15"/>
    <w:rsid w:val="00E264B4"/>
    <w:rsid w:val="00E26881"/>
    <w:rsid w:val="00E2713B"/>
    <w:rsid w:val="00E275C0"/>
    <w:rsid w:val="00E32DDF"/>
    <w:rsid w:val="00E33108"/>
    <w:rsid w:val="00E34501"/>
    <w:rsid w:val="00E34618"/>
    <w:rsid w:val="00E34706"/>
    <w:rsid w:val="00E34838"/>
    <w:rsid w:val="00E364EE"/>
    <w:rsid w:val="00E36F0F"/>
    <w:rsid w:val="00E410FD"/>
    <w:rsid w:val="00E43ABE"/>
    <w:rsid w:val="00E445BD"/>
    <w:rsid w:val="00E44FA8"/>
    <w:rsid w:val="00E4665E"/>
    <w:rsid w:val="00E47A5F"/>
    <w:rsid w:val="00E507A5"/>
    <w:rsid w:val="00E50956"/>
    <w:rsid w:val="00E50D7C"/>
    <w:rsid w:val="00E528D2"/>
    <w:rsid w:val="00E529E5"/>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278"/>
    <w:rsid w:val="00E82B54"/>
    <w:rsid w:val="00E83E79"/>
    <w:rsid w:val="00E86C2A"/>
    <w:rsid w:val="00E90A76"/>
    <w:rsid w:val="00E91EBD"/>
    <w:rsid w:val="00E92290"/>
    <w:rsid w:val="00E92A90"/>
    <w:rsid w:val="00E937B5"/>
    <w:rsid w:val="00E9442F"/>
    <w:rsid w:val="00E956D6"/>
    <w:rsid w:val="00E969D2"/>
    <w:rsid w:val="00E96A42"/>
    <w:rsid w:val="00E96E28"/>
    <w:rsid w:val="00EA08EA"/>
    <w:rsid w:val="00EA0CA1"/>
    <w:rsid w:val="00EA206F"/>
    <w:rsid w:val="00EA2332"/>
    <w:rsid w:val="00EA28BC"/>
    <w:rsid w:val="00EA3249"/>
    <w:rsid w:val="00EA5118"/>
    <w:rsid w:val="00EA68B6"/>
    <w:rsid w:val="00EA694D"/>
    <w:rsid w:val="00EB045F"/>
    <w:rsid w:val="00EB0DF0"/>
    <w:rsid w:val="00EB0E4C"/>
    <w:rsid w:val="00EB1A2C"/>
    <w:rsid w:val="00EB1DFD"/>
    <w:rsid w:val="00EB40DC"/>
    <w:rsid w:val="00EB743F"/>
    <w:rsid w:val="00EB74F6"/>
    <w:rsid w:val="00EC064C"/>
    <w:rsid w:val="00EC0AA7"/>
    <w:rsid w:val="00EC0B78"/>
    <w:rsid w:val="00EC0BFA"/>
    <w:rsid w:val="00EC0FA1"/>
    <w:rsid w:val="00EC115D"/>
    <w:rsid w:val="00EC3328"/>
    <w:rsid w:val="00EC337D"/>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E78BC"/>
    <w:rsid w:val="00EF03FA"/>
    <w:rsid w:val="00EF1066"/>
    <w:rsid w:val="00EF29EE"/>
    <w:rsid w:val="00EF2E2B"/>
    <w:rsid w:val="00EF3316"/>
    <w:rsid w:val="00EF34D2"/>
    <w:rsid w:val="00EF4C26"/>
    <w:rsid w:val="00EF4F1D"/>
    <w:rsid w:val="00EF5693"/>
    <w:rsid w:val="00EF758E"/>
    <w:rsid w:val="00F0032B"/>
    <w:rsid w:val="00F01496"/>
    <w:rsid w:val="00F0274F"/>
    <w:rsid w:val="00F02AE6"/>
    <w:rsid w:val="00F02E9D"/>
    <w:rsid w:val="00F04044"/>
    <w:rsid w:val="00F046C8"/>
    <w:rsid w:val="00F047AB"/>
    <w:rsid w:val="00F0503B"/>
    <w:rsid w:val="00F05DE1"/>
    <w:rsid w:val="00F06D79"/>
    <w:rsid w:val="00F06E90"/>
    <w:rsid w:val="00F07353"/>
    <w:rsid w:val="00F12147"/>
    <w:rsid w:val="00F13E45"/>
    <w:rsid w:val="00F13FA5"/>
    <w:rsid w:val="00F142E2"/>
    <w:rsid w:val="00F147C6"/>
    <w:rsid w:val="00F20FBA"/>
    <w:rsid w:val="00F211E9"/>
    <w:rsid w:val="00F21705"/>
    <w:rsid w:val="00F22527"/>
    <w:rsid w:val="00F243B4"/>
    <w:rsid w:val="00F25E84"/>
    <w:rsid w:val="00F2703D"/>
    <w:rsid w:val="00F2706D"/>
    <w:rsid w:val="00F31178"/>
    <w:rsid w:val="00F3400B"/>
    <w:rsid w:val="00F34A8A"/>
    <w:rsid w:val="00F35C44"/>
    <w:rsid w:val="00F360B3"/>
    <w:rsid w:val="00F370B9"/>
    <w:rsid w:val="00F375DF"/>
    <w:rsid w:val="00F37E49"/>
    <w:rsid w:val="00F40C05"/>
    <w:rsid w:val="00F40E86"/>
    <w:rsid w:val="00F425B3"/>
    <w:rsid w:val="00F44C78"/>
    <w:rsid w:val="00F459E6"/>
    <w:rsid w:val="00F46002"/>
    <w:rsid w:val="00F460E9"/>
    <w:rsid w:val="00F509B9"/>
    <w:rsid w:val="00F52828"/>
    <w:rsid w:val="00F52A34"/>
    <w:rsid w:val="00F53441"/>
    <w:rsid w:val="00F53B41"/>
    <w:rsid w:val="00F53C70"/>
    <w:rsid w:val="00F54E56"/>
    <w:rsid w:val="00F6043B"/>
    <w:rsid w:val="00F60C62"/>
    <w:rsid w:val="00F6398D"/>
    <w:rsid w:val="00F645AF"/>
    <w:rsid w:val="00F65468"/>
    <w:rsid w:val="00F66BC9"/>
    <w:rsid w:val="00F67907"/>
    <w:rsid w:val="00F67946"/>
    <w:rsid w:val="00F70A71"/>
    <w:rsid w:val="00F7108A"/>
    <w:rsid w:val="00F71617"/>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BA1"/>
    <w:rsid w:val="00F94E43"/>
    <w:rsid w:val="00F95884"/>
    <w:rsid w:val="00F97AFE"/>
    <w:rsid w:val="00FA0128"/>
    <w:rsid w:val="00FA0CBC"/>
    <w:rsid w:val="00FA1786"/>
    <w:rsid w:val="00FA215F"/>
    <w:rsid w:val="00FA3191"/>
    <w:rsid w:val="00FA424F"/>
    <w:rsid w:val="00FA536E"/>
    <w:rsid w:val="00FA5AE3"/>
    <w:rsid w:val="00FA73DD"/>
    <w:rsid w:val="00FB0CF0"/>
    <w:rsid w:val="00FB1361"/>
    <w:rsid w:val="00FB13C2"/>
    <w:rsid w:val="00FB1ED1"/>
    <w:rsid w:val="00FB2976"/>
    <w:rsid w:val="00FB39E0"/>
    <w:rsid w:val="00FB4264"/>
    <w:rsid w:val="00FB63C6"/>
    <w:rsid w:val="00FB68BD"/>
    <w:rsid w:val="00FB7164"/>
    <w:rsid w:val="00FB76C5"/>
    <w:rsid w:val="00FC2414"/>
    <w:rsid w:val="00FC2C4D"/>
    <w:rsid w:val="00FC2E8B"/>
    <w:rsid w:val="00FC327A"/>
    <w:rsid w:val="00FC3F81"/>
    <w:rsid w:val="00FC44A1"/>
    <w:rsid w:val="00FC48CA"/>
    <w:rsid w:val="00FC4B6D"/>
    <w:rsid w:val="00FC4DEB"/>
    <w:rsid w:val="00FC649E"/>
    <w:rsid w:val="00FC77FF"/>
    <w:rsid w:val="00FC7E40"/>
    <w:rsid w:val="00FD1DB6"/>
    <w:rsid w:val="00FD35C1"/>
    <w:rsid w:val="00FD4B65"/>
    <w:rsid w:val="00FD4CC7"/>
    <w:rsid w:val="00FD6729"/>
    <w:rsid w:val="00FD7FE3"/>
    <w:rsid w:val="00FE2025"/>
    <w:rsid w:val="00FE2D9D"/>
    <w:rsid w:val="00FE3046"/>
    <w:rsid w:val="00FE4790"/>
    <w:rsid w:val="00FE49E3"/>
    <w:rsid w:val="00FE5C69"/>
    <w:rsid w:val="00FE676D"/>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2C504D"/>
    <w:pPr>
      <w:tabs>
        <w:tab w:val="right" w:leader="dot" w:pos="9676"/>
      </w:tabs>
      <w:spacing w:after="100" w:line="36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9621A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72034"/>
    <w:rPr>
      <w:color w:val="605E5C"/>
      <w:shd w:val="clear" w:color="auto" w:fill="E1DFDD"/>
    </w:rPr>
  </w:style>
  <w:style w:type="paragraph" w:customStyle="1" w:styleId="francesa">
    <w:name w:val="francesa"/>
    <w:basedOn w:val="Normal"/>
    <w:rsid w:val="00844D5C"/>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2">
    <w:name w:val="Tabla con cuadrícula22"/>
    <w:basedOn w:val="Tablanormal"/>
    <w:next w:val="Tablaconcuadrcula"/>
    <w:uiPriority w:val="39"/>
    <w:rsid w:val="00317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3171A7"/>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23354736">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100244">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19762132">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593897204">
      <w:bodyDiv w:val="1"/>
      <w:marLeft w:val="0"/>
      <w:marRight w:val="0"/>
      <w:marTop w:val="0"/>
      <w:marBottom w:val="0"/>
      <w:divBdr>
        <w:top w:val="none" w:sz="0" w:space="0" w:color="auto"/>
        <w:left w:val="none" w:sz="0" w:space="0" w:color="auto"/>
        <w:bottom w:val="none" w:sz="0" w:space="0" w:color="auto"/>
        <w:right w:val="none" w:sz="0" w:space="0" w:color="auto"/>
      </w:divBdr>
    </w:div>
    <w:div w:id="600185341">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445134">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06151781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46036698">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88784013">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78996740">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0010681">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64242535">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hyperlink" Target="https://www.saimex.org.mx/saimex/solicitud/downloadAttach/927939.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927939.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2793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927939.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927939.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A66F-9360-42E5-8D3F-AE91AC69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8993</Words>
  <Characters>49462</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2020-03-05T20:27:00Z</cp:lastPrinted>
  <dcterms:created xsi:type="dcterms:W3CDTF">2020-10-08T23:16:00Z</dcterms:created>
  <dcterms:modified xsi:type="dcterms:W3CDTF">2020-11-11T00:24:00Z</dcterms:modified>
</cp:coreProperties>
</file>