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6EAC" w:rsidRDefault="00C45F6D">
      <w:pPr>
        <w:spacing w:beforeAutospacing="1" w:afterAutospacing="1" w:line="360" w:lineRule="auto"/>
        <w:jc w:val="both"/>
        <w:rPr>
          <w:rFonts w:ascii="Palatino Linotype" w:hAnsi="Palatino Linotype"/>
        </w:rPr>
      </w:pPr>
      <w:r>
        <w:rPr>
          <w:rFonts w:ascii="Palatino Linotype" w:hAnsi="Palatino Linotype"/>
        </w:rPr>
        <w:t xml:space="preserve">Resolución del Pleno del Instituto de Transparencia, Acceso a la Información Pública y </w:t>
      </w:r>
      <w:bookmarkStart w:id="0" w:name="_GoBack"/>
      <w:bookmarkEnd w:id="0"/>
      <w:r>
        <w:rPr>
          <w:rFonts w:ascii="Palatino Linotype" w:hAnsi="Palatino Linotype"/>
        </w:rPr>
        <w:t>Protección de Datos Personales del Estado de México y Municipios, con domicilio en Metepec, Estado de México, de fecha diecinueve de agosto de dos mil veinte.</w:t>
      </w:r>
    </w:p>
    <w:p w:rsidR="00C46EAC" w:rsidRPr="005D0284" w:rsidRDefault="00C45F6D">
      <w:pPr>
        <w:spacing w:beforeAutospacing="1" w:afterAutospacing="1" w:line="360" w:lineRule="auto"/>
        <w:jc w:val="both"/>
        <w:rPr>
          <w:rFonts w:ascii="Palatino Linotype" w:hAnsi="Palatino Linotype"/>
          <w:b/>
        </w:rPr>
      </w:pPr>
      <w:r w:rsidRPr="005D0284">
        <w:rPr>
          <w:rFonts w:ascii="Palatino Linotype" w:hAnsi="Palatino Linotype"/>
          <w:b/>
        </w:rPr>
        <w:t>VISTO</w:t>
      </w:r>
      <w:r w:rsidRPr="005D0284">
        <w:rPr>
          <w:rFonts w:ascii="Palatino Linotype" w:hAnsi="Palatino Linotype"/>
        </w:rPr>
        <w:t xml:space="preserve"> el expediente formado con motivo del recurso de revisión</w:t>
      </w:r>
      <w:r w:rsidRPr="005D0284">
        <w:rPr>
          <w:rFonts w:ascii="Verdana" w:hAnsi="Verdana"/>
          <w:b/>
          <w:bCs/>
          <w:color w:val="FF0000"/>
        </w:rPr>
        <w:t xml:space="preserve"> </w:t>
      </w:r>
      <w:r w:rsidRPr="005D0284">
        <w:rPr>
          <w:rFonts w:ascii="Palatino Linotype" w:hAnsi="Palatino Linotype"/>
          <w:b/>
          <w:bCs/>
        </w:rPr>
        <w:t>01277/INFOEM/IP/RR/2020</w:t>
      </w:r>
      <w:r w:rsidRPr="005D0284">
        <w:rPr>
          <w:rFonts w:ascii="Palatino Linotype" w:hAnsi="Palatino Linotype"/>
        </w:rPr>
        <w:t>, promovido por el C.</w:t>
      </w:r>
      <w:r w:rsidR="005D0284" w:rsidRPr="005D0284">
        <w:rPr>
          <w:rFonts w:ascii="Palatino Linotype" w:hAnsi="Palatino Linotype"/>
          <w:b/>
          <w:lang w:val="es-ES_tradnl"/>
        </w:rPr>
        <w:t xml:space="preserve"> </w:t>
      </w:r>
      <w:r w:rsidR="005D0284" w:rsidRPr="005D0284">
        <w:rPr>
          <w:rFonts w:ascii="Palatino Linotype" w:hAnsi="Palatino Linotype"/>
          <w:b/>
          <w:lang w:val="es-ES_tradnl"/>
        </w:rPr>
        <w:t>Xxxxxx Xxxxx Xxxxx y/o Xxxxxxxx Xxxxx x</w:t>
      </w:r>
      <w:r w:rsidRPr="005D0284">
        <w:rPr>
          <w:rFonts w:ascii="Palatino Linotype" w:hAnsi="Palatino Linotype" w:cs="Arial"/>
        </w:rPr>
        <w:t>, en lo sucesivo</w:t>
      </w:r>
      <w:r w:rsidRPr="005D0284">
        <w:rPr>
          <w:rFonts w:ascii="Palatino Linotype" w:hAnsi="Palatino Linotype" w:cs="Arial"/>
          <w:b/>
        </w:rPr>
        <w:t xml:space="preserve"> EL RECURRENTE</w:t>
      </w:r>
      <w:r w:rsidRPr="005D0284">
        <w:rPr>
          <w:rFonts w:ascii="Palatino Linotype" w:hAnsi="Palatino Linotype"/>
        </w:rPr>
        <w:t>, en contra de la respuesta emitida por el</w:t>
      </w:r>
      <w:r w:rsidRPr="005D0284">
        <w:rPr>
          <w:rFonts w:ascii="Palatino Linotype" w:hAnsi="Palatino Linotype"/>
          <w:b/>
        </w:rPr>
        <w:t xml:space="preserve"> Ayuntamiento de Cuautitlán Izcalli,</w:t>
      </w:r>
      <w:r w:rsidRPr="005D0284">
        <w:rPr>
          <w:rFonts w:ascii="Palatino Linotype" w:hAnsi="Palatino Linotype"/>
        </w:rPr>
        <w:t xml:space="preserve"> en lo sucesivo </w:t>
      </w:r>
      <w:r w:rsidRPr="005D0284">
        <w:rPr>
          <w:rFonts w:ascii="Palatino Linotype" w:hAnsi="Palatino Linotype"/>
          <w:b/>
        </w:rPr>
        <w:t>EL SUJETO OBLIGADO</w:t>
      </w:r>
      <w:r w:rsidRPr="005D0284">
        <w:rPr>
          <w:rFonts w:ascii="Palatino Linotype" w:hAnsi="Palatino Linotype"/>
        </w:rPr>
        <w:t xml:space="preserve">, se procede a dictar la presente resolución con base en lo siguiente: </w:t>
      </w:r>
    </w:p>
    <w:p w:rsidR="00C46EAC" w:rsidRDefault="00C45F6D">
      <w:pPr>
        <w:spacing w:beforeAutospacing="1" w:afterAutospacing="1" w:line="360" w:lineRule="auto"/>
        <w:jc w:val="center"/>
        <w:rPr>
          <w:rFonts w:ascii="Palatino Linotype" w:hAnsi="Palatino Linotype"/>
          <w:b/>
          <w:bCs/>
          <w:spacing w:val="60"/>
          <w:sz w:val="28"/>
        </w:rPr>
      </w:pPr>
      <w:r>
        <w:rPr>
          <w:rFonts w:ascii="Palatino Linotype" w:hAnsi="Palatino Linotype"/>
          <w:b/>
          <w:bCs/>
          <w:spacing w:val="60"/>
          <w:sz w:val="28"/>
        </w:rPr>
        <w:t>RESULTANDO</w:t>
      </w:r>
    </w:p>
    <w:p w:rsidR="00C46EAC" w:rsidRDefault="00C45F6D">
      <w:pPr>
        <w:pStyle w:val="Prrafodelista"/>
        <w:numPr>
          <w:ilvl w:val="0"/>
          <w:numId w:val="2"/>
        </w:numPr>
        <w:tabs>
          <w:tab w:val="left" w:pos="709"/>
        </w:tabs>
        <w:spacing w:beforeAutospacing="1" w:afterAutospacing="1" w:line="360" w:lineRule="auto"/>
        <w:ind w:left="0" w:firstLine="0"/>
        <w:jc w:val="both"/>
        <w:rPr>
          <w:rFonts w:ascii="Palatino Linotype" w:hAnsi="Palatino Linotype" w:cs="Arial"/>
        </w:rPr>
      </w:pPr>
      <w:r>
        <w:rPr>
          <w:rFonts w:ascii="Palatino Linotype" w:hAnsi="Palatino Linotype"/>
        </w:rPr>
        <w:t xml:space="preserve">En </w:t>
      </w:r>
      <w:r>
        <w:rPr>
          <w:rFonts w:ascii="Palatino Linotype" w:hAnsi="Palatino Linotype" w:cs="Arial"/>
        </w:rPr>
        <w:t>fecha</w:t>
      </w:r>
      <w:r>
        <w:rPr>
          <w:rFonts w:ascii="Palatino Linotype" w:hAnsi="Palatino Linotype"/>
        </w:rPr>
        <w:t xml:space="preserve"> veintitrés de enero de dos mil veinte, </w:t>
      </w:r>
      <w:r>
        <w:rPr>
          <w:rFonts w:ascii="Palatino Linotype" w:hAnsi="Palatino Linotype" w:cs="Arial"/>
          <w:b/>
        </w:rPr>
        <w:t>EL RECURRENTE</w:t>
      </w:r>
      <w:r>
        <w:rPr>
          <w:rFonts w:ascii="Palatino Linotype" w:hAnsi="Palatino Linotype"/>
        </w:rPr>
        <w:t xml:space="preserve"> presentó a través de la Plataforma Nacional de Transparencia vinculada al </w:t>
      </w:r>
      <w:r>
        <w:rPr>
          <w:rFonts w:ascii="Palatino Linotype" w:hAnsi="Palatino Linotype" w:cs="Arial"/>
        </w:rPr>
        <w:t>Sistema</w:t>
      </w:r>
      <w:r>
        <w:rPr>
          <w:rFonts w:ascii="Palatino Linotype" w:hAnsi="Palatino Linotype"/>
        </w:rPr>
        <w:t xml:space="preserve"> de Acceso a la Información Mexiquense, en lo subsecuente </w:t>
      </w:r>
      <w:r>
        <w:rPr>
          <w:rFonts w:ascii="Palatino Linotype" w:hAnsi="Palatino Linotype"/>
          <w:b/>
        </w:rPr>
        <w:t>EL SAIMEX</w:t>
      </w:r>
      <w:r>
        <w:rPr>
          <w:rFonts w:ascii="Palatino Linotype" w:hAnsi="Palatino Linotype"/>
        </w:rPr>
        <w:t xml:space="preserve"> ante </w:t>
      </w:r>
      <w:r>
        <w:rPr>
          <w:rFonts w:ascii="Palatino Linotype" w:hAnsi="Palatino Linotype"/>
          <w:b/>
        </w:rPr>
        <w:t>EL SUJETO OBLIGADO</w:t>
      </w:r>
      <w:r>
        <w:rPr>
          <w:rFonts w:ascii="Palatino Linotype" w:hAnsi="Palatino Linotype"/>
        </w:rPr>
        <w:t>, la solicitud de acceso a la información pública, a la que se le asignó el número</w:t>
      </w:r>
      <w:r>
        <w:rPr>
          <w:rFonts w:ascii="Verdana" w:hAnsi="Verdana"/>
          <w:b/>
          <w:bCs/>
          <w:color w:val="FF0000"/>
        </w:rPr>
        <w:t xml:space="preserve"> </w:t>
      </w:r>
      <w:r>
        <w:rPr>
          <w:rFonts w:ascii="Palatino Linotype" w:hAnsi="Palatino Linotype"/>
          <w:b/>
          <w:bCs/>
        </w:rPr>
        <w:t>00040/CUAUTIZC/IP/2020</w:t>
      </w:r>
      <w:r>
        <w:rPr>
          <w:rFonts w:ascii="Palatino Linotype" w:hAnsi="Palatino Linotype"/>
        </w:rPr>
        <w:t>, mediante la cual requirió lo siguiente:</w:t>
      </w:r>
    </w:p>
    <w:p w:rsidR="00C46EAC" w:rsidRDefault="00C45F6D">
      <w:pPr>
        <w:spacing w:beforeAutospacing="1" w:afterAutospacing="1"/>
        <w:ind w:left="709" w:right="709"/>
        <w:jc w:val="both"/>
        <w:rPr>
          <w:rFonts w:ascii="Palatino Linotype" w:hAnsi="Palatino Linotype" w:cs="Arial"/>
          <w:i/>
          <w:sz w:val="22"/>
          <w:szCs w:val="22"/>
        </w:rPr>
      </w:pPr>
      <w:r>
        <w:rPr>
          <w:rFonts w:ascii="Palatino Linotype" w:hAnsi="Palatino Linotype" w:cs="Arial"/>
          <w:i/>
          <w:sz w:val="22"/>
          <w:szCs w:val="22"/>
        </w:rPr>
        <w:t xml:space="preserve">“Cantidad global y segmentada por áreas (Cabildo, presidencia, direcciones generales, organismos descentralizados y desconcentrados) del gasto ejercido por concepto de GASOLINA para automóviles propios del Ayuntamiento y para el pago de la gasolina en autos propios del personal del Ayuntamiento, ya sea en forma de devolución o como asignación mensual para dicho concepto. Lo anterior para el periodo del año 2019.” </w:t>
      </w:r>
      <w:r>
        <w:rPr>
          <w:rFonts w:ascii="Palatino Linotype" w:hAnsi="Palatino Linotype"/>
          <w:sz w:val="22"/>
          <w:szCs w:val="22"/>
        </w:rPr>
        <w:t>(Sic)</w:t>
      </w:r>
      <w:bookmarkStart w:id="1" w:name="_Ref531692384"/>
      <w:bookmarkStart w:id="2" w:name="_Ref516764469"/>
    </w:p>
    <w:p w:rsidR="00C46EAC" w:rsidRDefault="00C45F6D">
      <w:pPr>
        <w:spacing w:before="160" w:after="160"/>
        <w:ind w:right="709"/>
        <w:jc w:val="both"/>
        <w:rPr>
          <w:rFonts w:ascii="Palatino Linotype" w:hAnsi="Palatino Linotype"/>
        </w:rPr>
      </w:pPr>
      <w:r>
        <w:rPr>
          <w:rFonts w:ascii="Palatino Linotype" w:hAnsi="Palatino Linotype"/>
          <w:b/>
        </w:rPr>
        <w:t>Modalidad de entrega:</w:t>
      </w:r>
      <w:r>
        <w:rPr>
          <w:rFonts w:ascii="Palatino Linotype" w:hAnsi="Palatino Linotype"/>
          <w:sz w:val="22"/>
          <w:szCs w:val="22"/>
        </w:rPr>
        <w:t xml:space="preserve"> </w:t>
      </w:r>
      <w:r>
        <w:rPr>
          <w:rFonts w:ascii="Palatino Linotype" w:hAnsi="Palatino Linotype"/>
        </w:rPr>
        <w:t xml:space="preserve">Vía </w:t>
      </w:r>
      <w:bookmarkEnd w:id="1"/>
      <w:bookmarkEnd w:id="2"/>
      <w:r>
        <w:rPr>
          <w:rFonts w:ascii="Palatino Linotype" w:hAnsi="Palatino Linotype"/>
        </w:rPr>
        <w:t>SAIMEX y correo electrónico.</w:t>
      </w:r>
    </w:p>
    <w:p w:rsidR="00C46EAC" w:rsidRDefault="00C46EAC">
      <w:pPr>
        <w:spacing w:before="160" w:after="160"/>
        <w:ind w:right="709"/>
        <w:jc w:val="both"/>
        <w:rPr>
          <w:rFonts w:ascii="Palatino Linotype" w:hAnsi="Palatino Linotype"/>
          <w:sz w:val="22"/>
          <w:szCs w:val="22"/>
        </w:rPr>
      </w:pPr>
    </w:p>
    <w:p w:rsidR="00C46EAC" w:rsidRDefault="00C45F6D">
      <w:pPr>
        <w:pStyle w:val="Prrafodelista"/>
        <w:numPr>
          <w:ilvl w:val="0"/>
          <w:numId w:val="2"/>
        </w:numPr>
        <w:tabs>
          <w:tab w:val="left" w:pos="0"/>
        </w:tabs>
        <w:spacing w:line="360" w:lineRule="auto"/>
        <w:ind w:left="0" w:firstLine="0"/>
        <w:jc w:val="both"/>
        <w:rPr>
          <w:rFonts w:ascii="Palatino Linotype" w:hAnsi="Palatino Linotype" w:cs="Arial"/>
        </w:rPr>
      </w:pPr>
      <w:r>
        <w:rPr>
          <w:rFonts w:ascii="Palatino Linotype" w:hAnsi="Palatino Linotype" w:cs="Arial"/>
        </w:rPr>
        <w:lastRenderedPageBreak/>
        <w:t xml:space="preserve">En cumplimiento al artículo 162 de la Ley de Transparencia y Acceso a la Información Pública del Estado de México y Municipios, en fechas veintidós, veintiocho y treinta de enero de dos mil veinte y cuatro de febrero de dos mil veinte, el Titular de la Unidad de Transparencia del </w:t>
      </w:r>
      <w:r>
        <w:rPr>
          <w:rFonts w:ascii="Palatino Linotype" w:hAnsi="Palatino Linotype" w:cs="Arial"/>
          <w:b/>
        </w:rPr>
        <w:t>SUJETO OBLIGADO</w:t>
      </w:r>
      <w:r>
        <w:rPr>
          <w:rFonts w:ascii="Palatino Linotype" w:hAnsi="Palatino Linotype" w:cs="Arial"/>
        </w:rPr>
        <w:t xml:space="preserve">, mediante los folios </w:t>
      </w:r>
      <w:r>
        <w:rPr>
          <w:rFonts w:ascii="Palatino Linotype" w:hAnsi="Palatino Linotype" w:cs="Arial"/>
          <w:b/>
        </w:rPr>
        <w:t>00040/CUAUTIZC/IP/2020/TSP/0001</w:t>
      </w:r>
      <w:r>
        <w:rPr>
          <w:rFonts w:ascii="Palatino Linotype" w:hAnsi="Palatino Linotype" w:cs="Arial"/>
        </w:rPr>
        <w:t xml:space="preserve"> y </w:t>
      </w:r>
      <w:r>
        <w:rPr>
          <w:rFonts w:ascii="Palatino Linotype" w:hAnsi="Palatino Linotype" w:cs="Arial"/>
          <w:b/>
        </w:rPr>
        <w:t>00040/CUAUTIZC/IP/2020/TSP/0002</w:t>
      </w:r>
      <w:r>
        <w:rPr>
          <w:rFonts w:ascii="Palatino Linotype" w:hAnsi="Palatino Linotype" w:cs="Arial"/>
          <w:b/>
          <w:bCs/>
        </w:rPr>
        <w:t xml:space="preserve">, </w:t>
      </w:r>
      <w:r>
        <w:rPr>
          <w:rFonts w:ascii="Palatino Linotype" w:hAnsi="Palatino Linotype"/>
          <w:bCs/>
        </w:rPr>
        <w:t>turnó el requerimiento de información a los Servidores Públicos Habilitados de la Tesorería Municipal y Dirección General de Administración, a fin de colmar la solicitud de acceso a la información; tal y como, se aprecia en la imagen siguiente:</w:t>
      </w:r>
    </w:p>
    <w:p w:rsidR="00C46EAC" w:rsidRDefault="00C46EAC">
      <w:pPr>
        <w:pStyle w:val="Prrafodelista"/>
        <w:tabs>
          <w:tab w:val="left" w:pos="709"/>
        </w:tabs>
        <w:spacing w:line="360" w:lineRule="auto"/>
        <w:ind w:left="0"/>
        <w:jc w:val="both"/>
        <w:rPr>
          <w:rFonts w:ascii="Palatino Linotype" w:hAnsi="Palatino Linotype" w:cs="Arial"/>
        </w:rPr>
      </w:pPr>
    </w:p>
    <w:p w:rsidR="00C46EAC" w:rsidRDefault="00C45F6D">
      <w:pPr>
        <w:pStyle w:val="Prrafodelista"/>
        <w:tabs>
          <w:tab w:val="left" w:pos="709"/>
        </w:tabs>
        <w:spacing w:line="360" w:lineRule="auto"/>
        <w:ind w:left="0"/>
        <w:jc w:val="both"/>
        <w:rPr>
          <w:rFonts w:ascii="Palatino Linotype" w:hAnsi="Palatino Linotype" w:cs="Arial"/>
        </w:rPr>
      </w:pPr>
      <w:r>
        <w:rPr>
          <w:noProof/>
          <w:lang w:eastAsia="es-MX"/>
        </w:rPr>
        <w:drawing>
          <wp:inline distT="0" distB="0" distL="0" distR="0">
            <wp:extent cx="5819775" cy="1457325"/>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pic:cNvPicPr>
                      <a:picLocks noChangeAspect="1" noChangeArrowheads="1"/>
                    </pic:cNvPicPr>
                  </pic:nvPicPr>
                  <pic:blipFill>
                    <a:blip r:embed="rId8"/>
                    <a:srcRect l="2964" t="31570" r="1329" b="51969"/>
                    <a:stretch>
                      <a:fillRect/>
                    </a:stretch>
                  </pic:blipFill>
                  <pic:spPr bwMode="auto">
                    <a:xfrm>
                      <a:off x="0" y="0"/>
                      <a:ext cx="5819775" cy="1457325"/>
                    </a:xfrm>
                    <a:prstGeom prst="rect">
                      <a:avLst/>
                    </a:prstGeom>
                  </pic:spPr>
                </pic:pic>
              </a:graphicData>
            </a:graphic>
          </wp:inline>
        </w:drawing>
      </w:r>
    </w:p>
    <w:p w:rsidR="00C46EAC" w:rsidRDefault="00C45F6D">
      <w:pPr>
        <w:pStyle w:val="Prrafodelista"/>
        <w:numPr>
          <w:ilvl w:val="0"/>
          <w:numId w:val="2"/>
        </w:numPr>
        <w:tabs>
          <w:tab w:val="left" w:pos="709"/>
        </w:tabs>
        <w:spacing w:line="360" w:lineRule="auto"/>
        <w:ind w:left="0" w:firstLine="0"/>
        <w:jc w:val="both"/>
        <w:rPr>
          <w:rFonts w:ascii="Palatino Linotype" w:hAnsi="Palatino Linotype" w:cs="Arial"/>
        </w:rPr>
      </w:pPr>
      <w:r>
        <w:rPr>
          <w:rFonts w:ascii="Palatino Linotype" w:hAnsi="Palatino Linotype"/>
        </w:rPr>
        <w:t xml:space="preserve">De las constancias que obran en </w:t>
      </w:r>
      <w:r>
        <w:rPr>
          <w:rFonts w:ascii="Palatino Linotype" w:hAnsi="Palatino Linotype"/>
          <w:b/>
        </w:rPr>
        <w:t>EL SAIMEX,</w:t>
      </w:r>
      <w:r>
        <w:rPr>
          <w:rFonts w:ascii="Palatino Linotype" w:hAnsi="Palatino Linotype"/>
        </w:rPr>
        <w:t xml:space="preserve"> se advierte que en fecha once de febrero de dos mil veinte, </w:t>
      </w:r>
      <w:r>
        <w:rPr>
          <w:rFonts w:ascii="Palatino Linotype" w:hAnsi="Palatino Linotype" w:cs="Arial"/>
          <w:lang w:val="es-ES_tradnl"/>
        </w:rPr>
        <w:t>el Titular de la Unidad de Transparencia del</w:t>
      </w:r>
      <w:r>
        <w:rPr>
          <w:rFonts w:ascii="Palatino Linotype" w:hAnsi="Palatino Linotype" w:cs="Arial"/>
          <w:b/>
          <w:lang w:val="es-ES_tradnl"/>
        </w:rPr>
        <w:t xml:space="preserve"> SUJETO OBLIGADO</w:t>
      </w:r>
      <w:r>
        <w:rPr>
          <w:rFonts w:ascii="Palatino Linotype" w:hAnsi="Palatino Linotype" w:cs="Arial"/>
          <w:lang w:val="es-ES_tradnl"/>
        </w:rPr>
        <w:t xml:space="preserve"> dio respuesta a la solicitud de información, en los siguientes términos:</w:t>
      </w:r>
    </w:p>
    <w:p w:rsidR="00C46EAC" w:rsidRDefault="00C46EAC">
      <w:pPr>
        <w:ind w:left="851" w:right="899"/>
        <w:jc w:val="both"/>
        <w:rPr>
          <w:rFonts w:ascii="Palatino Linotype" w:hAnsi="Palatino Linotype" w:cs="Arial"/>
          <w:i/>
          <w:sz w:val="22"/>
          <w:szCs w:val="22"/>
        </w:rPr>
      </w:pPr>
    </w:p>
    <w:p w:rsidR="00C46EAC" w:rsidRDefault="00C45F6D">
      <w:pPr>
        <w:ind w:left="851" w:right="899"/>
        <w:jc w:val="both"/>
        <w:rPr>
          <w:rFonts w:ascii="Palatino Linotype" w:hAnsi="Palatino Linotype" w:cs="Arial"/>
          <w:i/>
          <w:sz w:val="22"/>
          <w:szCs w:val="22"/>
        </w:rPr>
      </w:pPr>
      <w:r>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46EAC" w:rsidRDefault="00C45F6D">
      <w:pPr>
        <w:ind w:left="851" w:right="899"/>
        <w:jc w:val="both"/>
        <w:rPr>
          <w:rFonts w:ascii="Palatino Linotype" w:hAnsi="Palatino Linotype" w:cs="Arial"/>
          <w:i/>
          <w:sz w:val="22"/>
          <w:szCs w:val="22"/>
        </w:rPr>
      </w:pPr>
      <w:r>
        <w:rPr>
          <w:rFonts w:ascii="Palatino Linotype" w:hAnsi="Palatino Linotype" w:cs="Arial"/>
          <w:i/>
          <w:sz w:val="22"/>
          <w:szCs w:val="22"/>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w:t>
      </w:r>
      <w:r>
        <w:rPr>
          <w:rFonts w:ascii="Palatino Linotype" w:hAnsi="Palatino Linotype" w:cs="Arial"/>
          <w:i/>
          <w:sz w:val="22"/>
          <w:szCs w:val="22"/>
        </w:rPr>
        <w:lastRenderedPageBreak/>
        <w:t xml:space="preserve">Transparencia y Acceso a la Información Pública del Estado de México y Municipios; le informo la contestación que a su solicitud efectuó (1)Tesorería Municipal, (2) Dirección General de Administración 1.- “Por este conducto y en respuesta a la solicitud, 00040/CUAUTIZC/IP/2020, recibida por el Sistema Saimex, que a la letra señala: DESCRIPCIÓN DE LA INFORMACIÓN SOLICITADA: “Cantidad global y segmentada por áreas (Cabildo, presidencia, direcciones generales, organismos descentralizados y desconcentrados) del gasto ejercido por concepto de GASOLINA para automóviles propios del Ayuntamiento y para el pago de la gasolina en autos propios del personal del Ayuntamiento, ya sea en forma de devolución o como asignación mensual para dicho concepto. Lo anterior para el periodo del año 2019.”SIC Por lo que con fundamento en lo previsto por los Artículos 6 A fracción I de la Constitución Política de los Estados Unidos, 12 párrafo segundo, 24 Fracción XIX, 166 de la Ley de Transparencia y Acceso a la Información Pública del Estado de México y Municipios, 132 del Bando Municipal 2019 de Cuautitlán Izcalli, Estado de México. Hago de su conocimiento que la Subtesorería de Egresos informa, que el gasto ejercido de la partida número 2611 por concepto de Combustibles, Lubricantes y Aditivos en el año 2019 es de $32,696,823.52 (Treinta y dos millones seiscientos noventa y seis mil ochocientos veintitrés pesos 52/100 M.N.) Agradeciendo la atención a la presente, quedo de usted para cualquier duda o aclaración”sic 2.- “En atención a la Solicitud de Información Pública marcada con el número de folio 00040/CUAUTIZC/IP/2020 turnada a través del Sistema SAIMEX a esta Unidad Administrativa, en la cual solicita lo siguiente: DESCRIPCIÓN DE LA INFORMACIÓN SOLICITADA: “Cantidad global y segmentada por áreas (Cabildo, presidencia, direcciones generales, organismos descentralizados y desconcentrados) del gasto ejercido por concepto de GASOLINA para automóviles propios del Ayuntamiento y para el pago de la gasolina en autos propios del personal del Ayuntamiento, ya sea en forma de devolución o como asignación mensual para dicho concepto. Lo anterior para el periodo del año 2019.”SIC Al respecto, me permito informar a Usted que, por cuanto hace al “gasto” realizado por ese concepto, le comento que esta Dependencia no cuenta con el monto preciso de los recursos ejercidos, lo anterior, toda vez que es la Tesorería Municipal el área que por facultades y atribuciones cuenta con el registro contable de Ingresos y Egresos de este Ayuntamiento, por tanto, es esta quien puede proporcionar este dato, mientras que lo que se está en posibilidad de proporcionar es el “gasto” en cantidad de combustible, por ser, a través de la Dirección de Recursos Materiales y Servicios Generales, quien cuenta con el registro y control del abasto de combustible, lo cual se puede observar en el documento adjunto. Lo anterior, con fundamento en el artículo 6° de la Constitución Política de los Estados Unidos Mexicanos; 5° de la Constitución Política del Estado Libre y Soberano de México; 12, 23 fracción IV, 24 </w:t>
      </w:r>
      <w:r>
        <w:rPr>
          <w:rFonts w:ascii="Palatino Linotype" w:hAnsi="Palatino Linotype" w:cs="Arial"/>
          <w:i/>
          <w:sz w:val="22"/>
          <w:szCs w:val="22"/>
        </w:rPr>
        <w:lastRenderedPageBreak/>
        <w:t>fracción XI y XXV, 25 y 92 fracción XXI de la Ley de Transparencia y Acceso a la Información Pública del Estado de México y Municipios. Sin otro en particular, quedo de Usted. ”sic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 (Sic)</w:t>
      </w:r>
    </w:p>
    <w:p w:rsidR="00C46EAC" w:rsidRDefault="00C46EAC">
      <w:pPr>
        <w:tabs>
          <w:tab w:val="left" w:pos="709"/>
        </w:tabs>
        <w:spacing w:line="360" w:lineRule="auto"/>
        <w:jc w:val="both"/>
        <w:rPr>
          <w:rFonts w:ascii="Palatino Linotype" w:hAnsi="Palatino Linotype" w:cs="Arial"/>
          <w:b/>
          <w:sz w:val="22"/>
          <w:szCs w:val="22"/>
        </w:rPr>
      </w:pPr>
    </w:p>
    <w:p w:rsidR="00C46EAC" w:rsidRDefault="00C45F6D">
      <w:pPr>
        <w:tabs>
          <w:tab w:val="left" w:pos="709"/>
        </w:tabs>
        <w:spacing w:line="360" w:lineRule="auto"/>
        <w:jc w:val="both"/>
        <w:rPr>
          <w:rFonts w:ascii="Palatino Linotype" w:hAnsi="Palatino Linotype" w:cs="Arial"/>
        </w:rPr>
      </w:pPr>
      <w:r>
        <w:rPr>
          <w:rFonts w:ascii="Palatino Linotype" w:hAnsi="Palatino Linotype" w:cs="Arial"/>
        </w:rPr>
        <w:t>Así mismo, adjuntó a la respuesta, los siguientes archivos electrónicos:</w:t>
      </w:r>
    </w:p>
    <w:p w:rsidR="00C46EAC" w:rsidRDefault="00C45F6D">
      <w:pPr>
        <w:pStyle w:val="Prrafodelista"/>
        <w:numPr>
          <w:ilvl w:val="0"/>
          <w:numId w:val="3"/>
        </w:numPr>
        <w:tabs>
          <w:tab w:val="left" w:pos="709"/>
        </w:tabs>
        <w:spacing w:line="360" w:lineRule="auto"/>
        <w:jc w:val="both"/>
        <w:rPr>
          <w:rFonts w:ascii="Palatino Linotype" w:hAnsi="Palatino Linotype" w:cs="Arial"/>
        </w:rPr>
      </w:pPr>
      <w:r>
        <w:rPr>
          <w:rFonts w:ascii="Palatino Linotype" w:hAnsi="Palatino Linotype" w:cs="Arial"/>
          <w:b/>
        </w:rPr>
        <w:t xml:space="preserve">solicitud 00040.pdf; </w:t>
      </w:r>
      <w:r>
        <w:rPr>
          <w:rFonts w:ascii="Palatino Linotype" w:hAnsi="Palatino Linotype" w:cs="Arial"/>
        </w:rPr>
        <w:t>consistente en el oficio de fecha seis de febrero de dos mil veinte, signado por la Tesorera Municipal, mediante el cual, señaló que la Subtesorería de Egresos informó, que el gasto ejercido de la partida número 2611 por concepto de Combustibles, Lubricantes y Aditivos en el año 2019 es de 32,696,823.52 (Treinta y dos millones seiscientos noventa y seis mil ochocientos veintitrés pesos 52/100 M.N.)</w:t>
      </w:r>
    </w:p>
    <w:p w:rsidR="00C46EAC" w:rsidRDefault="00C45F6D">
      <w:pPr>
        <w:pStyle w:val="Prrafodelista"/>
        <w:numPr>
          <w:ilvl w:val="0"/>
          <w:numId w:val="3"/>
        </w:numPr>
        <w:tabs>
          <w:tab w:val="left" w:pos="709"/>
        </w:tabs>
        <w:spacing w:line="360" w:lineRule="auto"/>
        <w:jc w:val="both"/>
        <w:rPr>
          <w:rFonts w:ascii="Palatino Linotype" w:hAnsi="Palatino Linotype" w:cs="Arial"/>
          <w:b/>
        </w:rPr>
      </w:pPr>
      <w:r>
        <w:rPr>
          <w:rFonts w:ascii="Palatino Linotype" w:hAnsi="Palatino Linotype" w:cs="Arial"/>
          <w:b/>
        </w:rPr>
        <w:t>ANEXO-SIP-00040.pdf</w:t>
      </w:r>
      <w:r>
        <w:rPr>
          <w:rFonts w:ascii="Palatino Linotype" w:hAnsi="Palatino Linotype" w:cs="Arial"/>
        </w:rPr>
        <w:t>; consistente en una tabla con el título REPORTE DE COMBUSTIBLE 2019, conformado por los rubros: área, sub área, enero litros, febrero litros, marzo litros, abril litros, mayo litros, junio litros, julio litros, agosto litros, septiembre litros, octubre litros, noviembre litros y diciembre litros, total general litros y totales, de las distintas áreas del Ayuntamiento que recibieron combustible durante el año 2019.</w:t>
      </w:r>
    </w:p>
    <w:p w:rsidR="00C46EAC" w:rsidRDefault="00C45F6D">
      <w:pPr>
        <w:pStyle w:val="Prrafodelista"/>
        <w:numPr>
          <w:ilvl w:val="0"/>
          <w:numId w:val="3"/>
        </w:numPr>
        <w:tabs>
          <w:tab w:val="left" w:pos="709"/>
        </w:tabs>
        <w:spacing w:line="360" w:lineRule="auto"/>
        <w:jc w:val="both"/>
        <w:rPr>
          <w:rFonts w:ascii="Palatino Linotype" w:hAnsi="Palatino Linotype" w:cs="Arial"/>
          <w:b/>
        </w:rPr>
      </w:pPr>
      <w:r>
        <w:rPr>
          <w:rFonts w:ascii="Palatino Linotype" w:hAnsi="Palatino Linotype" w:cs="Arial"/>
          <w:b/>
        </w:rPr>
        <w:t xml:space="preserve">OF-0278-SIP-00040.pdf; </w:t>
      </w:r>
      <w:r>
        <w:rPr>
          <w:rFonts w:ascii="Palatino Linotype" w:hAnsi="Palatino Linotype" w:cs="Arial"/>
        </w:rPr>
        <w:t xml:space="preserve">consistente en el oficio de fecha diez de febrero de dos mil veinte, signado por el Director General de Administración en el que mencionó que en cuanto hace al “gasto” realizado por concepto de gasolina,  no se contaba con el monto preciso de los recursos ejercidos, toda vez que era la Tesorería Municipal el área que por facultades y atribuciones, contaba con el </w:t>
      </w:r>
      <w:r>
        <w:rPr>
          <w:rFonts w:ascii="Palatino Linotype" w:hAnsi="Palatino Linotype" w:cs="Arial"/>
        </w:rPr>
        <w:lastRenderedPageBreak/>
        <w:t>registro contable de Ingresos y Egresos del Ayuntamiento; no obstante a ello señaló el “gasto” por concepto de combustible, a través de la Dirección de Recursos Materiales y Servicios Generales, quien cuenta con el registro y control del abasto de combustible, mediante documento adjunto, mismo que ya fue descrito con anterioridad.</w:t>
      </w:r>
    </w:p>
    <w:p w:rsidR="00C46EAC" w:rsidRDefault="00C46EAC">
      <w:pPr>
        <w:pStyle w:val="Prrafodelista"/>
        <w:tabs>
          <w:tab w:val="left" w:pos="709"/>
        </w:tabs>
        <w:spacing w:line="360" w:lineRule="auto"/>
        <w:ind w:left="720"/>
        <w:jc w:val="both"/>
        <w:rPr>
          <w:rFonts w:ascii="Palatino Linotype" w:hAnsi="Palatino Linotype" w:cs="Arial"/>
          <w:b/>
        </w:rPr>
      </w:pPr>
    </w:p>
    <w:p w:rsidR="00C46EAC" w:rsidRDefault="00C45F6D">
      <w:pPr>
        <w:pStyle w:val="Prrafodelista"/>
        <w:numPr>
          <w:ilvl w:val="0"/>
          <w:numId w:val="2"/>
        </w:numPr>
        <w:tabs>
          <w:tab w:val="left" w:pos="709"/>
        </w:tabs>
        <w:spacing w:line="360" w:lineRule="auto"/>
        <w:ind w:left="0" w:firstLine="0"/>
        <w:jc w:val="both"/>
        <w:rPr>
          <w:rFonts w:ascii="Palatino Linotype" w:hAnsi="Palatino Linotype" w:cs="Arial"/>
        </w:rPr>
      </w:pPr>
      <w:r>
        <w:rPr>
          <w:rFonts w:ascii="Palatino Linotype" w:hAnsi="Palatino Linotype"/>
        </w:rPr>
        <w:t xml:space="preserve">Inconforme </w:t>
      </w:r>
      <w:r>
        <w:rPr>
          <w:rFonts w:ascii="Palatino Linotype" w:hAnsi="Palatino Linotype" w:cs="Arial"/>
        </w:rPr>
        <w:t>con</w:t>
      </w:r>
      <w:r>
        <w:rPr>
          <w:rFonts w:ascii="Palatino Linotype" w:hAnsi="Palatino Linotype"/>
        </w:rPr>
        <w:t xml:space="preserve"> la respuesta proporcionada por el </w:t>
      </w:r>
      <w:r>
        <w:rPr>
          <w:rFonts w:ascii="Palatino Linotype" w:hAnsi="Palatino Linotype"/>
          <w:b/>
        </w:rPr>
        <w:t>SUJETO OBLIGADO</w:t>
      </w:r>
      <w:r>
        <w:rPr>
          <w:rFonts w:ascii="Palatino Linotype" w:hAnsi="Palatino Linotype"/>
        </w:rPr>
        <w:t xml:space="preserve">, en fecha veintiocho de febrero de dos mil veinte, </w:t>
      </w:r>
      <w:r>
        <w:rPr>
          <w:rFonts w:ascii="Palatino Linotype" w:hAnsi="Palatino Linotype"/>
          <w:b/>
        </w:rPr>
        <w:t>EL RECURRENTE</w:t>
      </w:r>
      <w:r>
        <w:rPr>
          <w:rFonts w:ascii="Palatino Linotype" w:hAnsi="Palatino Linotype"/>
        </w:rPr>
        <w:t xml:space="preserve"> a través del</w:t>
      </w:r>
      <w:r>
        <w:rPr>
          <w:rFonts w:ascii="Palatino Linotype" w:hAnsi="Palatino Linotype"/>
          <w:b/>
        </w:rPr>
        <w:t xml:space="preserve"> SAIMEX, </w:t>
      </w:r>
      <w:r>
        <w:rPr>
          <w:rFonts w:ascii="Palatino Linotype" w:hAnsi="Palatino Linotype"/>
        </w:rPr>
        <w:t xml:space="preserve">interpuso el recurso de revisión objeto del </w:t>
      </w:r>
      <w:r>
        <w:rPr>
          <w:rFonts w:ascii="Palatino Linotype" w:hAnsi="Palatino Linotype" w:cs="Arial"/>
        </w:rPr>
        <w:t>presente</w:t>
      </w:r>
      <w:r>
        <w:rPr>
          <w:rFonts w:ascii="Palatino Linotype" w:hAnsi="Palatino Linotype"/>
        </w:rPr>
        <w:t xml:space="preserve"> estudio, al que se le asignó el </w:t>
      </w:r>
      <w:r>
        <w:rPr>
          <w:rFonts w:ascii="Palatino Linotype" w:hAnsi="Palatino Linotype" w:cs="Arial"/>
        </w:rPr>
        <w:t xml:space="preserve">número </w:t>
      </w:r>
      <w:r>
        <w:rPr>
          <w:rFonts w:ascii="Palatino Linotype" w:hAnsi="Palatino Linotype" w:cs="Arial"/>
          <w:b/>
        </w:rPr>
        <w:t>01277/INFOEM/IP/RR/2020</w:t>
      </w:r>
      <w:r>
        <w:rPr>
          <w:rFonts w:ascii="Palatino Linotype" w:hAnsi="Palatino Linotype" w:cs="Arial"/>
        </w:rPr>
        <w:t>, en el que señaló como acto impugnado, así como</w:t>
      </w:r>
      <w:r>
        <w:rPr>
          <w:rFonts w:ascii="Palatino Linotype" w:hAnsi="Palatino Linotype"/>
        </w:rPr>
        <w:t xml:space="preserve"> razones o motivos de inconformidad</w:t>
      </w:r>
      <w:r>
        <w:rPr>
          <w:rFonts w:ascii="Palatino Linotype" w:hAnsi="Palatino Linotype" w:cs="Arial"/>
        </w:rPr>
        <w:t xml:space="preserve"> lo siguiente:</w:t>
      </w:r>
    </w:p>
    <w:p w:rsidR="00C46EAC" w:rsidRDefault="00C45F6D">
      <w:pPr>
        <w:spacing w:beforeAutospacing="1" w:afterAutospacing="1"/>
        <w:ind w:left="709" w:right="709"/>
        <w:jc w:val="both"/>
        <w:rPr>
          <w:rFonts w:ascii="Palatino Linotype" w:hAnsi="Palatino Linotype" w:cs="Arial"/>
          <w:sz w:val="22"/>
          <w:szCs w:val="22"/>
          <w:lang w:eastAsia="es-MX"/>
        </w:rPr>
      </w:pPr>
      <w:r>
        <w:rPr>
          <w:rFonts w:ascii="Palatino Linotype" w:hAnsi="Palatino Linotype" w:cs="Arial"/>
          <w:i/>
          <w:sz w:val="22"/>
          <w:szCs w:val="22"/>
          <w:lang w:eastAsia="es-MX"/>
        </w:rPr>
        <w:t>“La respuesta refiere que la Unidad de Transparencia no tiene la información, sino que es la Subsecretaría de Egresos de la Tesorería. Por supuesto, el trabajo de la UT es solicitar la información al área poseedora de la misma, y debe hacerlo con las especificaciones que nosotros, la ciudadanía, solicita.”</w:t>
      </w:r>
      <w:r>
        <w:rPr>
          <w:rFonts w:ascii="Palatino Linotype" w:hAnsi="Palatino Linotype" w:cs="Arial"/>
          <w:sz w:val="22"/>
          <w:szCs w:val="22"/>
          <w:lang w:eastAsia="es-MX"/>
        </w:rPr>
        <w:t xml:space="preserve"> (Sic)</w:t>
      </w:r>
    </w:p>
    <w:p w:rsidR="00C46EAC" w:rsidRDefault="00C45F6D">
      <w:pPr>
        <w:widowControl w:val="0"/>
        <w:numPr>
          <w:ilvl w:val="0"/>
          <w:numId w:val="8"/>
        </w:numPr>
        <w:tabs>
          <w:tab w:val="left" w:pos="0"/>
        </w:tabs>
        <w:spacing w:before="240" w:after="240" w:line="360" w:lineRule="auto"/>
        <w:ind w:left="0" w:firstLine="0"/>
        <w:jc w:val="both"/>
        <w:rPr>
          <w:rFonts w:ascii="Palatino Linotype" w:hAnsi="Palatino Linotype" w:cs="Arial"/>
          <w:lang w:val="es-ES_tradnl"/>
        </w:rPr>
      </w:pPr>
      <w:r>
        <w:rPr>
          <w:rFonts w:ascii="Palatino Linotype" w:hAnsi="Palatino Linotype" w:cs="Arial"/>
        </w:rPr>
        <w:t>En fecha</w:t>
      </w:r>
      <w:r>
        <w:rPr>
          <w:rFonts w:ascii="Palatino Linotype" w:hAnsi="Palatino Linotype"/>
        </w:rPr>
        <w:t xml:space="preserve"> veintiocho de febrero de dos mil veinte</w:t>
      </w:r>
      <w:r>
        <w:rPr>
          <w:rFonts w:ascii="Palatino Linotype" w:hAnsi="Palatino Linotype" w:cs="Arial"/>
        </w:rPr>
        <w:t>, el recurso de que se trata se envió electrónicamente al Instituto de Transparencia, Acceso a la Información Pública</w:t>
      </w:r>
      <w:r>
        <w:rPr>
          <w:rFonts w:ascii="Palatino Linotype" w:hAnsi="Palatino Linotype" w:cs="Arial"/>
          <w:lang w:val="es-ES_tradnl"/>
        </w:rPr>
        <w:t xml:space="preserve"> y </w:t>
      </w:r>
      <w:r>
        <w:rPr>
          <w:rFonts w:ascii="Palatino Linotype" w:hAnsi="Palatino Linotype" w:cs="Arial"/>
        </w:rPr>
        <w:t>Protección</w:t>
      </w:r>
      <w:r>
        <w:rPr>
          <w:rFonts w:ascii="Palatino Linotype" w:hAnsi="Palatino Linotype" w:cs="Arial"/>
          <w:lang w:val="es-ES_tradnl"/>
        </w:rPr>
        <w:t xml:space="preserve"> </w:t>
      </w:r>
      <w:r>
        <w:rPr>
          <w:rFonts w:ascii="Palatino Linotype" w:hAnsi="Palatino Linotype" w:cs="Arial"/>
        </w:rPr>
        <w:t>de</w:t>
      </w:r>
      <w:r>
        <w:rPr>
          <w:rFonts w:ascii="Palatino Linotype" w:hAnsi="Palatino Linotype" w:cs="Arial"/>
          <w:lang w:val="es-ES_tradnl"/>
        </w:rPr>
        <w:t xml:space="preserve"> </w:t>
      </w:r>
      <w:r>
        <w:rPr>
          <w:rFonts w:ascii="Palatino Linotype" w:hAnsi="Palatino Linotype"/>
        </w:rPr>
        <w:t>Datos</w:t>
      </w:r>
      <w:r>
        <w:rPr>
          <w:rFonts w:ascii="Palatino Linotype" w:hAnsi="Palatino Linotype" w:cs="Arial"/>
          <w:lang w:val="es-ES_tradnl"/>
        </w:rPr>
        <w:t xml:space="preserve"> </w:t>
      </w:r>
      <w:r>
        <w:rPr>
          <w:rFonts w:ascii="Palatino Linotype" w:hAnsi="Palatino Linotype" w:cs="Arial"/>
        </w:rPr>
        <w:t>Personales</w:t>
      </w:r>
      <w:r>
        <w:rPr>
          <w:rFonts w:ascii="Palatino Linotype" w:hAnsi="Palatino Linotype" w:cs="Arial"/>
          <w:lang w:val="es-ES_tradnl"/>
        </w:rPr>
        <w:t xml:space="preserve"> </w:t>
      </w:r>
      <w:r>
        <w:rPr>
          <w:rFonts w:ascii="Palatino Linotype" w:hAnsi="Palatino Linotype" w:cs="Arial"/>
        </w:rPr>
        <w:t>del</w:t>
      </w:r>
      <w:r>
        <w:rPr>
          <w:rFonts w:ascii="Palatino Linotype" w:hAnsi="Palatino Linotype" w:cs="Arial"/>
          <w:lang w:val="es-ES_tradnl"/>
        </w:rPr>
        <w:t xml:space="preserve"> </w:t>
      </w:r>
      <w:r>
        <w:rPr>
          <w:rFonts w:ascii="Palatino Linotype" w:hAnsi="Palatino Linotype"/>
        </w:rPr>
        <w:t>Estado</w:t>
      </w:r>
      <w:r>
        <w:rPr>
          <w:rFonts w:ascii="Palatino Linotype" w:hAnsi="Palatino Linotype" w:cs="Arial"/>
          <w:lang w:val="es-ES_tradnl"/>
        </w:rPr>
        <w:t xml:space="preserve"> de México y Municipios y con fundamento en el </w:t>
      </w:r>
      <w:r>
        <w:rPr>
          <w:rFonts w:ascii="Palatino Linotype" w:hAnsi="Palatino Linotype" w:cs="Arial"/>
        </w:rPr>
        <w:t>artículo</w:t>
      </w:r>
      <w:r>
        <w:rPr>
          <w:rFonts w:ascii="Palatino Linotype" w:hAnsi="Palatino Linotype" w:cs="Arial"/>
          <w:lang w:val="es-ES_tradnl"/>
        </w:rPr>
        <w:t xml:space="preserve"> 185, </w:t>
      </w:r>
      <w:r>
        <w:rPr>
          <w:rFonts w:ascii="Palatino Linotype" w:hAnsi="Palatino Linotype" w:cs="Arial"/>
        </w:rPr>
        <w:t>fracción</w:t>
      </w:r>
      <w:r>
        <w:rPr>
          <w:rFonts w:ascii="Palatino Linotype" w:hAnsi="Palatino Linotype" w:cs="Arial"/>
          <w:lang w:val="es-ES_tradnl"/>
        </w:rPr>
        <w:t xml:space="preserve"> I de la </w:t>
      </w:r>
      <w:r>
        <w:rPr>
          <w:rFonts w:ascii="Palatino Linotype" w:hAnsi="Palatino Linotype"/>
        </w:rPr>
        <w:t>Ley de Transparencia y Acceso a la Información Pública del Estado de México y Municipios</w:t>
      </w:r>
      <w:r>
        <w:rPr>
          <w:rFonts w:ascii="Palatino Linotype" w:hAnsi="Palatino Linotype" w:cs="Arial"/>
          <w:lang w:val="es-ES_tradnl"/>
        </w:rPr>
        <w:t>, se turnó, a través del</w:t>
      </w:r>
      <w:r>
        <w:rPr>
          <w:rFonts w:ascii="Palatino Linotype" w:eastAsia="Arial Unicode MS" w:hAnsi="Palatino Linotype" w:cs="Arial"/>
          <w:lang w:val="es-ES_tradnl"/>
        </w:rPr>
        <w:t xml:space="preserve"> </w:t>
      </w:r>
      <w:r>
        <w:rPr>
          <w:rFonts w:ascii="Palatino Linotype" w:eastAsia="Arial Unicode MS" w:hAnsi="Palatino Linotype" w:cs="Arial"/>
          <w:b/>
          <w:lang w:val="es-ES_tradnl"/>
        </w:rPr>
        <w:t>SAIMEX</w:t>
      </w:r>
      <w:r>
        <w:rPr>
          <w:rFonts w:ascii="Palatino Linotype" w:hAnsi="Palatino Linotype"/>
        </w:rPr>
        <w:t xml:space="preserve">, a la </w:t>
      </w:r>
      <w:r>
        <w:rPr>
          <w:rFonts w:ascii="Palatino Linotype" w:hAnsi="Palatino Linotype" w:cs="Arial"/>
          <w:lang w:val="es-ES_tradnl"/>
        </w:rPr>
        <w:t xml:space="preserve">Comisionada </w:t>
      </w:r>
      <w:r>
        <w:rPr>
          <w:rFonts w:ascii="Palatino Linotype" w:hAnsi="Palatino Linotype" w:cs="Arial"/>
          <w:b/>
          <w:lang w:val="es-ES_tradnl"/>
        </w:rPr>
        <w:t>EVA ABAID YAPUR</w:t>
      </w:r>
      <w:r>
        <w:rPr>
          <w:rFonts w:ascii="Palatino Linotype" w:hAnsi="Palatino Linotype" w:cs="Arial"/>
          <w:lang w:val="es-ES_tradnl"/>
        </w:rPr>
        <w:t>, a efecto de que decretara su admisión o desechamiento.</w:t>
      </w:r>
    </w:p>
    <w:p w:rsidR="00C46EAC" w:rsidRDefault="00C45F6D">
      <w:pPr>
        <w:widowControl w:val="0"/>
        <w:numPr>
          <w:ilvl w:val="0"/>
          <w:numId w:val="8"/>
        </w:numPr>
        <w:tabs>
          <w:tab w:val="left" w:pos="0"/>
        </w:tabs>
        <w:spacing w:before="240" w:after="240" w:line="360" w:lineRule="auto"/>
        <w:ind w:left="0" w:firstLine="0"/>
        <w:jc w:val="both"/>
        <w:rPr>
          <w:rFonts w:ascii="Palatino Linotype" w:hAnsi="Palatino Linotype" w:cs="Arial"/>
        </w:rPr>
      </w:pPr>
      <w:r>
        <w:rPr>
          <w:rFonts w:ascii="Palatino Linotype" w:hAnsi="Palatino Linotype" w:cs="Arial"/>
        </w:rPr>
        <w:t>En fecha</w:t>
      </w:r>
      <w:r>
        <w:rPr>
          <w:rFonts w:ascii="Palatino Linotype" w:hAnsi="Palatino Linotype"/>
        </w:rPr>
        <w:t xml:space="preserve"> seis de marzo de dos mil veinte</w:t>
      </w:r>
      <w:r>
        <w:rPr>
          <w:rFonts w:ascii="Palatino Linotype" w:hAnsi="Palatino Linotype" w:cs="Arial"/>
        </w:rPr>
        <w:t xml:space="preserve">, atento a lo dispuesto en el artículo 185, </w:t>
      </w:r>
      <w:r>
        <w:rPr>
          <w:rFonts w:ascii="Palatino Linotype" w:hAnsi="Palatino Linotype" w:cs="Arial"/>
        </w:rPr>
        <w:lastRenderedPageBreak/>
        <w:t xml:space="preserve">fracciones I, II y IV, de la </w:t>
      </w:r>
      <w:r>
        <w:rPr>
          <w:rFonts w:ascii="Palatino Linotype" w:hAnsi="Palatino Linotype"/>
        </w:rPr>
        <w:t xml:space="preserve">Ley de Transparencia y Acceso a la Información Pública del </w:t>
      </w:r>
      <w:r>
        <w:rPr>
          <w:rFonts w:ascii="Palatino Linotype" w:hAnsi="Palatino Linotype" w:cs="Arial"/>
        </w:rPr>
        <w:t>Estado</w:t>
      </w:r>
      <w:r>
        <w:rPr>
          <w:rFonts w:ascii="Palatino Linotype" w:hAnsi="Palatino Linotype"/>
        </w:rPr>
        <w:t xml:space="preserve"> de México y </w:t>
      </w:r>
      <w:r>
        <w:rPr>
          <w:rFonts w:ascii="Palatino Linotype" w:hAnsi="Palatino Linotype" w:cs="Arial"/>
          <w:lang w:val="es-ES_tradnl"/>
        </w:rPr>
        <w:t>Municipios</w:t>
      </w:r>
      <w:r>
        <w:rPr>
          <w:rFonts w:ascii="Palatino Linotype" w:hAnsi="Palatino Linotype"/>
        </w:rPr>
        <w:t>, se a</w:t>
      </w:r>
      <w:r>
        <w:rPr>
          <w:rFonts w:ascii="Palatino Linotype" w:hAnsi="Palatino Linotype" w:cs="Arial"/>
        </w:rPr>
        <w:t xml:space="preserve">cordó la admisión a trámite del referido recurso de </w:t>
      </w:r>
      <w:r>
        <w:rPr>
          <w:rFonts w:ascii="Palatino Linotype" w:hAnsi="Palatino Linotype" w:cs="Arial"/>
          <w:lang w:val="es-ES_tradnl"/>
        </w:rPr>
        <w:t>revisión</w:t>
      </w:r>
      <w:r>
        <w:rPr>
          <w:rFonts w:ascii="Palatino Linotype" w:hAnsi="Palatino Linotype" w:cs="Arial"/>
        </w:rPr>
        <w:t xml:space="preserve">, así como la </w:t>
      </w:r>
      <w:r>
        <w:rPr>
          <w:rFonts w:ascii="Palatino Linotype" w:hAnsi="Palatino Linotype" w:cs="Arial"/>
          <w:lang w:val="es-ES_tradnl"/>
        </w:rPr>
        <w:t>integración</w:t>
      </w:r>
      <w:r>
        <w:rPr>
          <w:rFonts w:ascii="Palatino Linotype" w:hAnsi="Palatino Linotype" w:cs="Arial"/>
        </w:rPr>
        <w:t xml:space="preserve"> del expediente respectivo, mismo que se puso a disposición de las partes, para que en el plazo máximo de siete días hábiles, </w:t>
      </w:r>
      <w:r>
        <w:rPr>
          <w:rFonts w:ascii="Palatino Linotype" w:hAnsi="Palatino Linotype" w:cs="Arial"/>
          <w:b/>
        </w:rPr>
        <w:t>EL RECURRENTE</w:t>
      </w:r>
      <w:r>
        <w:rPr>
          <w:rFonts w:ascii="Palatino Linotype" w:hAnsi="Palatino Linotype" w:cs="Arial"/>
        </w:rPr>
        <w:t xml:space="preserve"> realizara manifestaciones, alegatos y ofreciera las pruebas que a su derecho </w:t>
      </w:r>
      <w:r>
        <w:rPr>
          <w:rFonts w:ascii="Palatino Linotype" w:hAnsi="Palatino Linotype" w:cs="Arial"/>
          <w:lang w:val="es-ES_tradnl"/>
        </w:rPr>
        <w:t>conviniera</w:t>
      </w:r>
      <w:r>
        <w:rPr>
          <w:rFonts w:ascii="Palatino Linotype" w:hAnsi="Palatino Linotype" w:cs="Arial"/>
        </w:rPr>
        <w:t xml:space="preserve"> y, en el caso del</w:t>
      </w:r>
      <w:r>
        <w:rPr>
          <w:rFonts w:ascii="Palatino Linotype" w:hAnsi="Palatino Linotype" w:cs="Arial"/>
          <w:b/>
        </w:rPr>
        <w:t xml:space="preserve"> SUJETO OBLIGADO</w:t>
      </w:r>
      <w:r>
        <w:rPr>
          <w:rFonts w:ascii="Palatino Linotype" w:hAnsi="Palatino Linotype" w:cs="Arial"/>
        </w:rPr>
        <w:t>, para que exhibiera el Informe Justificado correspondiente.</w:t>
      </w:r>
    </w:p>
    <w:p w:rsidR="00C46EAC" w:rsidRDefault="00C45F6D">
      <w:pPr>
        <w:numPr>
          <w:ilvl w:val="0"/>
          <w:numId w:val="2"/>
        </w:numPr>
        <w:spacing w:before="240" w:after="240" w:line="360" w:lineRule="auto"/>
        <w:ind w:left="0" w:firstLine="0"/>
        <w:jc w:val="both"/>
        <w:rPr>
          <w:rFonts w:ascii="Palatino Linotype" w:hAnsi="Palatino Linotype"/>
        </w:rPr>
      </w:pPr>
      <w:r>
        <w:rPr>
          <w:rFonts w:ascii="Palatino Linotype" w:hAnsi="Palatino Linotype" w:cs="Arial"/>
          <w:lang w:val="es-ES"/>
        </w:rPr>
        <w:t>En cumplimiento a lo anterior, de las constancias del expediente electrónico del</w:t>
      </w:r>
      <w:r>
        <w:rPr>
          <w:rFonts w:ascii="Palatino Linotype" w:hAnsi="Palatino Linotype" w:cs="Arial"/>
          <w:b/>
          <w:lang w:val="es-ES"/>
        </w:rPr>
        <w:t xml:space="preserve"> SAIMEX</w:t>
      </w:r>
      <w:r>
        <w:rPr>
          <w:rFonts w:ascii="Palatino Linotype" w:hAnsi="Palatino Linotype" w:cs="Arial"/>
          <w:lang w:val="es-ES"/>
        </w:rPr>
        <w:t xml:space="preserve">, se observó que </w:t>
      </w:r>
      <w:r>
        <w:rPr>
          <w:rFonts w:ascii="Palatino Linotype" w:eastAsia="Arial Unicode MS" w:hAnsi="Palatino Linotype" w:cs="Arial"/>
        </w:rPr>
        <w:t xml:space="preserve">en fecha dieciocho de marzo de dos mil veinte, </w:t>
      </w:r>
      <w:r>
        <w:rPr>
          <w:rFonts w:ascii="Palatino Linotype" w:eastAsia="Arial Unicode MS" w:hAnsi="Palatino Linotype" w:cs="Arial"/>
          <w:b/>
          <w:color w:val="000000"/>
          <w:lang w:eastAsia="es-MX"/>
        </w:rPr>
        <w:t>EL SUJETO OBLIGADO</w:t>
      </w:r>
      <w:r>
        <w:rPr>
          <w:rFonts w:ascii="Palatino Linotype" w:eastAsia="Arial Unicode MS" w:hAnsi="Palatino Linotype" w:cs="Arial"/>
        </w:rPr>
        <w:t xml:space="preserve"> </w:t>
      </w:r>
      <w:r>
        <w:rPr>
          <w:rFonts w:ascii="Palatino Linotype" w:hAnsi="Palatino Linotype"/>
          <w:lang w:val="es-ES_tradnl"/>
        </w:rPr>
        <w:t>rindió su Informe Justificado adjuntando los siguientes archivos electrónicos:</w:t>
      </w:r>
    </w:p>
    <w:p w:rsidR="00C46EAC" w:rsidRDefault="00C45F6D">
      <w:pPr>
        <w:pStyle w:val="Prrafodelista"/>
        <w:widowControl w:val="0"/>
        <w:numPr>
          <w:ilvl w:val="0"/>
          <w:numId w:val="5"/>
        </w:numPr>
        <w:tabs>
          <w:tab w:val="left" w:pos="360"/>
        </w:tabs>
        <w:spacing w:line="360" w:lineRule="auto"/>
        <w:jc w:val="both"/>
        <w:rPr>
          <w:rFonts w:ascii="Palatino Linotype" w:hAnsi="Palatino Linotype"/>
        </w:rPr>
      </w:pPr>
      <w:r>
        <w:rPr>
          <w:rFonts w:ascii="Palatino Linotype" w:hAnsi="Palatino Linotype"/>
          <w:b/>
        </w:rPr>
        <w:t xml:space="preserve">40-1277.pdf; </w:t>
      </w:r>
      <w:r>
        <w:rPr>
          <w:rFonts w:ascii="Palatino Linotype" w:hAnsi="Palatino Linotype"/>
        </w:rPr>
        <w:t>consistente en el oficio de fecha diez de marzo de dos mil veinte, signado por la Tesorera Municipal, mediante el cual ratificó su respuesta, así como el oficio de fecha diecisiete de marzo de dos mil veinte, signado por el Director General de Administración, en el que resume que la información con la que cuenta consiste únicamente en la “cantidad en litros”, distribuida en diversas áreas que componen al Ayuntamiento y señaló que el monto ejercido por dicho concepto no es información generada por dicha Dirección General, por tanto ratificó su respuesta inicial.</w:t>
      </w:r>
    </w:p>
    <w:p w:rsidR="00C46EAC" w:rsidRDefault="00C45F6D">
      <w:pPr>
        <w:pStyle w:val="Prrafodelista"/>
        <w:widowControl w:val="0"/>
        <w:numPr>
          <w:ilvl w:val="0"/>
          <w:numId w:val="5"/>
        </w:numPr>
        <w:tabs>
          <w:tab w:val="left" w:pos="360"/>
        </w:tabs>
        <w:spacing w:line="360" w:lineRule="auto"/>
        <w:jc w:val="both"/>
        <w:rPr>
          <w:rFonts w:ascii="Palatino Linotype" w:hAnsi="Palatino Linotype"/>
        </w:rPr>
      </w:pPr>
      <w:r>
        <w:rPr>
          <w:rFonts w:ascii="Palatino Linotype" w:hAnsi="Palatino Linotype"/>
          <w:b/>
        </w:rPr>
        <w:t xml:space="preserve">40-1277.pdf, </w:t>
      </w:r>
      <w:r>
        <w:rPr>
          <w:rFonts w:ascii="Palatino Linotype" w:hAnsi="Palatino Linotype"/>
        </w:rPr>
        <w:t>documentales que ya fueron descritos con anterioridad.</w:t>
      </w:r>
    </w:p>
    <w:p w:rsidR="00C46EAC" w:rsidRDefault="00C46EAC">
      <w:pPr>
        <w:pStyle w:val="Prrafodelista"/>
        <w:widowControl w:val="0"/>
        <w:tabs>
          <w:tab w:val="left" w:pos="360"/>
        </w:tabs>
        <w:spacing w:line="360" w:lineRule="auto"/>
        <w:ind w:left="0"/>
        <w:jc w:val="both"/>
        <w:rPr>
          <w:rFonts w:ascii="Palatino Linotype" w:hAnsi="Palatino Linotype"/>
          <w:b/>
        </w:rPr>
      </w:pPr>
    </w:p>
    <w:p w:rsidR="00C46EAC" w:rsidRDefault="00C45F6D">
      <w:pPr>
        <w:pStyle w:val="Prrafodelista"/>
        <w:widowControl w:val="0"/>
        <w:tabs>
          <w:tab w:val="left" w:pos="360"/>
        </w:tabs>
        <w:spacing w:line="360" w:lineRule="auto"/>
        <w:ind w:left="0"/>
        <w:jc w:val="both"/>
        <w:rPr>
          <w:rFonts w:ascii="Palatino Linotype" w:eastAsia="Arial Unicode MS" w:hAnsi="Palatino Linotype" w:cs="Arial"/>
          <w:lang w:val="es-ES_tradnl"/>
        </w:rPr>
      </w:pPr>
      <w:r>
        <w:rPr>
          <w:rFonts w:ascii="Palatino Linotype" w:eastAsia="Arial Unicode MS" w:hAnsi="Palatino Linotype" w:cs="Arial"/>
        </w:rPr>
        <w:t>Atento a lo anterior y en razón a que no</w:t>
      </w:r>
      <w:r>
        <w:rPr>
          <w:rFonts w:ascii="Palatino Linotype" w:eastAsia="Arial Unicode MS" w:hAnsi="Palatino Linotype" w:cs="Arial"/>
          <w:lang w:val="es-ES_tradnl"/>
        </w:rPr>
        <w:t xml:space="preserve"> se actualizó lo dispuesto por la fracción III del artículo 185 de la Ley de Transparencia y Acceso a la Información Pública de Estado de </w:t>
      </w:r>
      <w:r>
        <w:rPr>
          <w:rFonts w:ascii="Palatino Linotype" w:eastAsia="Arial Unicode MS" w:hAnsi="Palatino Linotype" w:cs="Arial"/>
          <w:lang w:val="es-ES_tradnl"/>
        </w:rPr>
        <w:lastRenderedPageBreak/>
        <w:t xml:space="preserve">México, el Informe Justificado no fue puesto a la vista del </w:t>
      </w:r>
      <w:r>
        <w:rPr>
          <w:rFonts w:ascii="Palatino Linotype" w:eastAsia="Arial Unicode MS" w:hAnsi="Palatino Linotype" w:cs="Arial"/>
          <w:b/>
          <w:lang w:val="es-ES_tradnl"/>
        </w:rPr>
        <w:t xml:space="preserve">RECURRENTE; </w:t>
      </w:r>
      <w:r>
        <w:rPr>
          <w:rFonts w:ascii="Palatino Linotype" w:eastAsia="Arial Unicode MS" w:hAnsi="Palatino Linotype" w:cs="Arial"/>
          <w:lang w:val="es-ES_tradnl"/>
        </w:rPr>
        <w:t>sin embargo se plasma a continuación:</w:t>
      </w:r>
    </w:p>
    <w:p w:rsidR="00C46EAC" w:rsidRDefault="00C45F6D">
      <w:pPr>
        <w:pStyle w:val="Prrafodelista"/>
        <w:widowControl w:val="0"/>
        <w:tabs>
          <w:tab w:val="left" w:pos="360"/>
        </w:tabs>
        <w:spacing w:line="360" w:lineRule="auto"/>
        <w:ind w:left="0"/>
        <w:jc w:val="both"/>
        <w:rPr>
          <w:rFonts w:ascii="Palatino Linotype" w:eastAsia="Arial Unicode MS" w:hAnsi="Palatino Linotype" w:cs="Arial"/>
          <w:lang w:val="es-ES_tradnl"/>
        </w:rPr>
      </w:pPr>
      <w:r>
        <w:rPr>
          <w:noProof/>
          <w:lang w:eastAsia="es-MX"/>
        </w:rPr>
        <w:drawing>
          <wp:inline distT="0" distB="0" distL="0" distR="0">
            <wp:extent cx="5772150" cy="6657975"/>
            <wp:effectExtent l="0" t="0" r="0"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3"/>
                    <pic:cNvPicPr>
                      <a:picLocks noChangeAspect="1" noChangeArrowheads="1"/>
                    </pic:cNvPicPr>
                  </pic:nvPicPr>
                  <pic:blipFill>
                    <a:blip r:embed="rId9"/>
                    <a:srcRect l="23840" t="10089" r="27461" b="6156"/>
                    <a:stretch>
                      <a:fillRect/>
                    </a:stretch>
                  </pic:blipFill>
                  <pic:spPr bwMode="auto">
                    <a:xfrm>
                      <a:off x="0" y="0"/>
                      <a:ext cx="5772150" cy="6657975"/>
                    </a:xfrm>
                    <a:prstGeom prst="rect">
                      <a:avLst/>
                    </a:prstGeom>
                  </pic:spPr>
                </pic:pic>
              </a:graphicData>
            </a:graphic>
          </wp:inline>
        </w:drawing>
      </w:r>
    </w:p>
    <w:p w:rsidR="00C46EAC" w:rsidRDefault="00C45F6D">
      <w:pPr>
        <w:pStyle w:val="Prrafodelista"/>
        <w:widowControl w:val="0"/>
        <w:tabs>
          <w:tab w:val="left" w:pos="360"/>
        </w:tabs>
        <w:spacing w:line="360" w:lineRule="auto"/>
        <w:ind w:left="0"/>
        <w:jc w:val="both"/>
        <w:rPr>
          <w:rFonts w:ascii="Palatino Linotype" w:eastAsia="Arial Unicode MS" w:hAnsi="Palatino Linotype" w:cs="Arial"/>
          <w:lang w:val="es-ES_tradnl"/>
        </w:rPr>
      </w:pPr>
      <w:r>
        <w:rPr>
          <w:noProof/>
          <w:lang w:eastAsia="es-MX"/>
        </w:rPr>
        <w:lastRenderedPageBreak/>
        <w:drawing>
          <wp:inline distT="0" distB="0" distL="0" distR="0">
            <wp:extent cx="5810250" cy="7286625"/>
            <wp:effectExtent l="0" t="0" r="0" b="0"/>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6"/>
                    <pic:cNvPicPr>
                      <a:picLocks noChangeAspect="1" noChangeArrowheads="1"/>
                    </pic:cNvPicPr>
                  </pic:nvPicPr>
                  <pic:blipFill>
                    <a:blip r:embed="rId10"/>
                    <a:srcRect l="30093" t="9429" r="32241" b="10753"/>
                    <a:stretch>
                      <a:fillRect/>
                    </a:stretch>
                  </pic:blipFill>
                  <pic:spPr bwMode="auto">
                    <a:xfrm>
                      <a:off x="0" y="0"/>
                      <a:ext cx="5810250" cy="7286625"/>
                    </a:xfrm>
                    <a:prstGeom prst="rect">
                      <a:avLst/>
                    </a:prstGeom>
                  </pic:spPr>
                </pic:pic>
              </a:graphicData>
            </a:graphic>
          </wp:inline>
        </w:drawing>
      </w:r>
    </w:p>
    <w:p w:rsidR="00C46EAC" w:rsidRDefault="00C45F6D">
      <w:pPr>
        <w:pStyle w:val="Prrafodelista"/>
        <w:widowControl w:val="0"/>
        <w:tabs>
          <w:tab w:val="left" w:pos="360"/>
        </w:tabs>
        <w:spacing w:line="360" w:lineRule="auto"/>
        <w:ind w:left="0"/>
        <w:jc w:val="both"/>
        <w:rPr>
          <w:rFonts w:ascii="Palatino Linotype" w:eastAsia="Arial Unicode MS" w:hAnsi="Palatino Linotype" w:cs="Arial"/>
          <w:lang w:val="es-ES_tradnl"/>
        </w:rPr>
      </w:pPr>
      <w:r>
        <w:rPr>
          <w:noProof/>
          <w:lang w:eastAsia="es-MX"/>
        </w:rPr>
        <w:lastRenderedPageBreak/>
        <w:drawing>
          <wp:inline distT="0" distB="0" distL="0" distR="0">
            <wp:extent cx="5743575" cy="7277100"/>
            <wp:effectExtent l="0" t="0" r="0" b="0"/>
            <wp:docPr id="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7"/>
                    <pic:cNvPicPr>
                      <a:picLocks noChangeAspect="1" noChangeArrowheads="1"/>
                    </pic:cNvPicPr>
                  </pic:nvPicPr>
                  <pic:blipFill>
                    <a:blip r:embed="rId11"/>
                    <a:srcRect l="31407" t="15566" r="31584" b="5059"/>
                    <a:stretch>
                      <a:fillRect/>
                    </a:stretch>
                  </pic:blipFill>
                  <pic:spPr bwMode="auto">
                    <a:xfrm>
                      <a:off x="0" y="0"/>
                      <a:ext cx="5743575" cy="7277100"/>
                    </a:xfrm>
                    <a:prstGeom prst="rect">
                      <a:avLst/>
                    </a:prstGeom>
                  </pic:spPr>
                </pic:pic>
              </a:graphicData>
            </a:graphic>
          </wp:inline>
        </w:drawing>
      </w:r>
    </w:p>
    <w:p w:rsidR="00C46EAC" w:rsidRDefault="00C45F6D">
      <w:pPr>
        <w:spacing w:line="360" w:lineRule="auto"/>
        <w:jc w:val="both"/>
        <w:rPr>
          <w:rFonts w:ascii="Palatino Linotype" w:hAnsi="Palatino Linotype" w:cs="Arial"/>
          <w:lang w:val="es-ES"/>
        </w:rPr>
      </w:pPr>
      <w:r>
        <w:rPr>
          <w:rFonts w:ascii="Palatino Linotype" w:hAnsi="Palatino Linotype" w:cs="Arial"/>
          <w:lang w:val="es-ES"/>
        </w:rPr>
        <w:lastRenderedPageBreak/>
        <w:t xml:space="preserve">Por su parte, </w:t>
      </w:r>
      <w:r>
        <w:rPr>
          <w:rFonts w:ascii="Palatino Linotype" w:hAnsi="Palatino Linotype" w:cs="Arial"/>
          <w:b/>
          <w:lang w:val="es-ES"/>
        </w:rPr>
        <w:t>EL RECURRENTE</w:t>
      </w:r>
      <w:r>
        <w:rPr>
          <w:rFonts w:ascii="Palatino Linotype" w:hAnsi="Palatino Linotype" w:cs="Arial"/>
          <w:lang w:val="es-ES"/>
        </w:rPr>
        <w:t xml:space="preserve"> no presentó manifestaciones, alegatos ni ofreció los medios de prueba que a su derecho convinieran.</w:t>
      </w:r>
    </w:p>
    <w:p w:rsidR="00C46EAC" w:rsidRDefault="00C45F6D">
      <w:pPr>
        <w:spacing w:before="240" w:after="240" w:line="360" w:lineRule="auto"/>
        <w:jc w:val="both"/>
        <w:rPr>
          <w:rFonts w:ascii="Palatino Linotype" w:hAnsi="Palatino Linotype"/>
        </w:rPr>
      </w:pPr>
      <w:r>
        <w:rPr>
          <w:noProof/>
          <w:lang w:eastAsia="es-MX"/>
        </w:rPr>
        <w:drawing>
          <wp:inline distT="0" distB="0" distL="0" distR="0">
            <wp:extent cx="5819775" cy="2305050"/>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
                    <pic:cNvPicPr>
                      <a:picLocks noChangeAspect="1" noChangeArrowheads="1"/>
                    </pic:cNvPicPr>
                  </pic:nvPicPr>
                  <pic:blipFill>
                    <a:blip r:embed="rId12"/>
                    <a:srcRect l="11675" t="9429" r="12180" b="37510"/>
                    <a:stretch>
                      <a:fillRect/>
                    </a:stretch>
                  </pic:blipFill>
                  <pic:spPr bwMode="auto">
                    <a:xfrm>
                      <a:off x="0" y="0"/>
                      <a:ext cx="5819775" cy="2305050"/>
                    </a:xfrm>
                    <a:prstGeom prst="rect">
                      <a:avLst/>
                    </a:prstGeom>
                  </pic:spPr>
                </pic:pic>
              </a:graphicData>
            </a:graphic>
          </wp:inline>
        </w:drawing>
      </w:r>
    </w:p>
    <w:p w:rsidR="00C46EAC" w:rsidRDefault="00C45F6D">
      <w:pPr>
        <w:numPr>
          <w:ilvl w:val="0"/>
          <w:numId w:val="2"/>
        </w:numPr>
        <w:spacing w:line="360" w:lineRule="auto"/>
        <w:ind w:left="0" w:firstLine="0"/>
        <w:jc w:val="both"/>
        <w:rPr>
          <w:rFonts w:ascii="Palatino Linotype" w:hAnsi="Palatino Linotype"/>
        </w:rPr>
      </w:pPr>
      <w:r>
        <w:rPr>
          <w:rFonts w:ascii="Palatino Linotype" w:hAnsi="Palatino Linotype" w:cs="Arial"/>
        </w:rPr>
        <w:t xml:space="preserve">Una vez </w:t>
      </w:r>
      <w:r>
        <w:rPr>
          <w:rFonts w:ascii="Palatino Linotype" w:hAnsi="Palatino Linotype" w:cs="Arial"/>
          <w:color w:val="000000" w:themeColor="text1"/>
        </w:rPr>
        <w:t>analizado</w:t>
      </w:r>
      <w:r>
        <w:rPr>
          <w:rFonts w:ascii="Palatino Linotype" w:hAnsi="Palatino Linotype" w:cs="Arial"/>
        </w:rPr>
        <w:t xml:space="preserve"> el estado procesal que guardaba el expediente, en fecha cuatro de agosto de dos mil veinte, la Comisionada Ponente acordó el cierre de instrucción; así </w:t>
      </w:r>
      <w:r>
        <w:rPr>
          <w:rFonts w:ascii="Palatino Linotype" w:hAnsi="Palatino Linotype" w:cs="Arial"/>
          <w:lang w:val="es-ES_tradnl"/>
        </w:rPr>
        <w:t>como,</w:t>
      </w:r>
      <w:r>
        <w:rPr>
          <w:rFonts w:ascii="Palatino Linotype" w:hAnsi="Palatino Linotype" w:cs="Arial"/>
        </w:rPr>
        <w:t xml:space="preserve"> la remisión del mismo a efecto </w:t>
      </w:r>
      <w:r>
        <w:rPr>
          <w:rFonts w:ascii="Palatino Linotype" w:hAnsi="Palatino Linotype" w:cs="Arial"/>
          <w:lang w:val="es-ES_tradnl"/>
        </w:rPr>
        <w:t>de</w:t>
      </w:r>
      <w:r>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y</w:t>
      </w:r>
      <w:bookmarkStart w:id="3" w:name="_Ref507070922"/>
      <w:bookmarkEnd w:id="3"/>
    </w:p>
    <w:p w:rsidR="00C46EAC" w:rsidRDefault="00C45F6D">
      <w:pPr>
        <w:pStyle w:val="Prrafodelista"/>
        <w:tabs>
          <w:tab w:val="left" w:pos="709"/>
        </w:tabs>
        <w:spacing w:beforeAutospacing="1" w:afterAutospacing="1" w:line="360" w:lineRule="auto"/>
        <w:ind w:left="0"/>
        <w:jc w:val="center"/>
        <w:rPr>
          <w:rFonts w:ascii="Palatino Linotype" w:hAnsi="Palatino Linotype"/>
          <w:b/>
          <w:bCs/>
          <w:spacing w:val="60"/>
          <w:sz w:val="28"/>
        </w:rPr>
      </w:pPr>
      <w:r>
        <w:rPr>
          <w:rFonts w:ascii="Palatino Linotype" w:hAnsi="Palatino Linotype"/>
          <w:b/>
          <w:bCs/>
          <w:spacing w:val="60"/>
          <w:sz w:val="28"/>
        </w:rPr>
        <w:t>CONSIDERANDO</w:t>
      </w:r>
    </w:p>
    <w:p w:rsidR="00C46EAC" w:rsidRDefault="00C45F6D">
      <w:pPr>
        <w:pStyle w:val="Prrafodelista"/>
        <w:widowControl w:val="0"/>
        <w:numPr>
          <w:ilvl w:val="0"/>
          <w:numId w:val="1"/>
        </w:numPr>
        <w:tabs>
          <w:tab w:val="left" w:pos="1701"/>
          <w:tab w:val="left" w:pos="1843"/>
        </w:tabs>
        <w:spacing w:line="360" w:lineRule="auto"/>
        <w:ind w:left="0" w:firstLine="0"/>
        <w:jc w:val="both"/>
        <w:rPr>
          <w:rFonts w:ascii="Palatino Linotype" w:hAnsi="Palatino Linotype" w:cs="Arial"/>
        </w:rPr>
      </w:pPr>
      <w:r>
        <w:rPr>
          <w:rFonts w:ascii="Palatino Linotype" w:hAnsi="Palatino Linotype"/>
          <w:b/>
        </w:rPr>
        <w:t>Competencia</w:t>
      </w:r>
      <w:r>
        <w:rPr>
          <w:rFonts w:ascii="Palatino Linotype" w:hAnsi="Palatino Linotype"/>
        </w:rPr>
        <w:t>.</w:t>
      </w:r>
      <w:r>
        <w:rPr>
          <w:rFonts w:ascii="Palatino Linotype" w:hAnsi="Palatino Linotype"/>
          <w:b/>
        </w:rPr>
        <w:t xml:space="preserve"> </w:t>
      </w:r>
      <w:r>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w:t>
      </w:r>
      <w:r>
        <w:rPr>
          <w:rFonts w:ascii="Palatino Linotype" w:hAnsi="Palatino Linotype"/>
        </w:rPr>
        <w:lastRenderedPageBreak/>
        <w:t>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Pr>
          <w:rFonts w:ascii="Palatino Linotype" w:hAnsi="Palatino Linotype" w:cs="Arial"/>
        </w:rPr>
        <w:t>.</w:t>
      </w:r>
    </w:p>
    <w:p w:rsidR="00C46EAC" w:rsidRDefault="00C46EAC">
      <w:pPr>
        <w:pStyle w:val="Prrafodelista"/>
        <w:widowControl w:val="0"/>
        <w:tabs>
          <w:tab w:val="left" w:pos="1701"/>
          <w:tab w:val="left" w:pos="1843"/>
        </w:tabs>
        <w:spacing w:line="360" w:lineRule="auto"/>
        <w:ind w:left="0"/>
        <w:jc w:val="both"/>
        <w:rPr>
          <w:rFonts w:ascii="Palatino Linotype" w:hAnsi="Palatino Linotype" w:cs="Arial"/>
        </w:rPr>
      </w:pPr>
    </w:p>
    <w:p w:rsidR="00C46EAC" w:rsidRDefault="00C45F6D">
      <w:pPr>
        <w:pStyle w:val="Prrafodelista"/>
        <w:widowControl w:val="0"/>
        <w:numPr>
          <w:ilvl w:val="0"/>
          <w:numId w:val="1"/>
        </w:numPr>
        <w:tabs>
          <w:tab w:val="left" w:pos="1701"/>
          <w:tab w:val="left" w:pos="1843"/>
        </w:tabs>
        <w:spacing w:line="360" w:lineRule="auto"/>
        <w:ind w:left="0" w:firstLine="0"/>
        <w:jc w:val="both"/>
        <w:rPr>
          <w:rFonts w:ascii="Palatino Linotype" w:hAnsi="Palatino Linotype" w:cs="Arial"/>
          <w:lang w:val="es-ES_tradnl"/>
        </w:rPr>
      </w:pPr>
      <w:r>
        <w:rPr>
          <w:rFonts w:ascii="Palatino Linotype" w:hAnsi="Palatino Linotype" w:cs="Arial"/>
          <w:b/>
        </w:rPr>
        <w:t xml:space="preserve"> </w:t>
      </w:r>
      <w:r>
        <w:rPr>
          <w:rFonts w:ascii="Palatino Linotype" w:hAnsi="Palatino Linotype" w:cs="Arial"/>
          <w:b/>
          <w:color w:val="000000" w:themeColor="text1"/>
        </w:rPr>
        <w:t>Interés.</w:t>
      </w:r>
      <w:r>
        <w:rPr>
          <w:rFonts w:ascii="Palatino Linotype" w:hAnsi="Palatino Linotype" w:cs="Arial"/>
          <w:color w:val="000000" w:themeColor="text1"/>
        </w:rPr>
        <w:t xml:space="preserve"> El </w:t>
      </w:r>
      <w:r>
        <w:rPr>
          <w:rFonts w:ascii="Palatino Linotype" w:hAnsi="Palatino Linotype"/>
          <w:color w:val="000000" w:themeColor="text1"/>
        </w:rPr>
        <w:t>recurso</w:t>
      </w:r>
      <w:r>
        <w:rPr>
          <w:rFonts w:ascii="Palatino Linotype" w:hAnsi="Palatino Linotype" w:cs="Arial"/>
          <w:color w:val="000000" w:themeColor="text1"/>
        </w:rPr>
        <w:t xml:space="preserve"> de revisión fue </w:t>
      </w:r>
      <w:r>
        <w:rPr>
          <w:rFonts w:ascii="Palatino Linotype" w:hAnsi="Palatino Linotype"/>
          <w:color w:val="000000" w:themeColor="text1"/>
        </w:rPr>
        <w:t>interpuesto</w:t>
      </w:r>
      <w:r>
        <w:rPr>
          <w:rFonts w:ascii="Palatino Linotype" w:hAnsi="Palatino Linotype" w:cs="Arial"/>
          <w:color w:val="000000" w:themeColor="text1"/>
        </w:rPr>
        <w:t xml:space="preserve"> por parte legítima en atención a que fue </w:t>
      </w:r>
      <w:r>
        <w:rPr>
          <w:rFonts w:ascii="Palatino Linotype" w:hAnsi="Palatino Linotype"/>
          <w:color w:val="000000" w:themeColor="text1"/>
        </w:rPr>
        <w:t>presentado</w:t>
      </w:r>
      <w:r>
        <w:rPr>
          <w:rFonts w:ascii="Palatino Linotype" w:hAnsi="Palatino Linotype" w:cs="Arial"/>
          <w:color w:val="000000" w:themeColor="text1"/>
        </w:rPr>
        <w:t xml:space="preserve"> por </w:t>
      </w:r>
      <w:r>
        <w:rPr>
          <w:rFonts w:ascii="Palatino Linotype" w:hAnsi="Palatino Linotype" w:cs="Arial"/>
          <w:b/>
          <w:color w:val="000000" w:themeColor="text1"/>
        </w:rPr>
        <w:t>EL RECURRENTE</w:t>
      </w:r>
      <w:r>
        <w:rPr>
          <w:rFonts w:ascii="Palatino Linotype" w:hAnsi="Palatino Linotype" w:cs="Arial"/>
          <w:color w:val="000000" w:themeColor="text1"/>
        </w:rPr>
        <w:t xml:space="preserve">, quien </w:t>
      </w:r>
      <w:r>
        <w:rPr>
          <w:rFonts w:ascii="Palatino Linotype" w:hAnsi="Palatino Linotype"/>
          <w:color w:val="000000" w:themeColor="text1"/>
        </w:rPr>
        <w:t>formuló</w:t>
      </w:r>
      <w:r>
        <w:rPr>
          <w:rFonts w:ascii="Palatino Linotype" w:hAnsi="Palatino Linotype" w:cs="Arial"/>
          <w:color w:val="000000" w:themeColor="text1"/>
        </w:rPr>
        <w:t xml:space="preserve"> la solicitud de información pública </w:t>
      </w:r>
      <w:r>
        <w:rPr>
          <w:rFonts w:ascii="Palatino Linotype" w:hAnsi="Palatino Linotype"/>
          <w:color w:val="000000" w:themeColor="text1"/>
        </w:rPr>
        <w:t>número</w:t>
      </w:r>
      <w:r>
        <w:rPr>
          <w:rFonts w:ascii="Verdana" w:hAnsi="Verdana"/>
          <w:b/>
          <w:bCs/>
          <w:color w:val="FF0000"/>
        </w:rPr>
        <w:t xml:space="preserve"> </w:t>
      </w:r>
      <w:r>
        <w:rPr>
          <w:rFonts w:ascii="Palatino Linotype" w:hAnsi="Palatino Linotype"/>
          <w:b/>
          <w:bCs/>
          <w:color w:val="000000" w:themeColor="text1"/>
        </w:rPr>
        <w:t>00040/CUAUTIZC/IP/2020.</w:t>
      </w:r>
    </w:p>
    <w:p w:rsidR="00C46EAC" w:rsidRDefault="00C46EAC">
      <w:pPr>
        <w:pStyle w:val="Prrafodelista"/>
        <w:widowControl w:val="0"/>
        <w:tabs>
          <w:tab w:val="left" w:pos="1701"/>
          <w:tab w:val="left" w:pos="1843"/>
        </w:tabs>
        <w:spacing w:line="360" w:lineRule="auto"/>
        <w:ind w:left="0"/>
        <w:jc w:val="both"/>
        <w:rPr>
          <w:rFonts w:ascii="Palatino Linotype" w:hAnsi="Palatino Linotype" w:cs="Arial"/>
          <w:lang w:val="es-ES_tradnl"/>
        </w:rPr>
      </w:pPr>
    </w:p>
    <w:p w:rsidR="00C46EAC" w:rsidRDefault="00C45F6D">
      <w:pPr>
        <w:pStyle w:val="Prrafodelista"/>
        <w:widowControl w:val="0"/>
        <w:numPr>
          <w:ilvl w:val="0"/>
          <w:numId w:val="1"/>
        </w:numPr>
        <w:tabs>
          <w:tab w:val="left" w:pos="1701"/>
          <w:tab w:val="left" w:pos="1843"/>
        </w:tabs>
        <w:spacing w:line="360" w:lineRule="auto"/>
        <w:ind w:left="0" w:firstLine="0"/>
        <w:jc w:val="both"/>
        <w:rPr>
          <w:rFonts w:ascii="Palatino Linotype" w:hAnsi="Palatino Linotype" w:cs="Arial"/>
        </w:rPr>
      </w:pPr>
      <w:r>
        <w:rPr>
          <w:rFonts w:ascii="Palatino Linotype" w:hAnsi="Palatino Linotype" w:cs="Arial"/>
          <w:b/>
        </w:rPr>
        <w:t xml:space="preserve">Oportunidad. </w:t>
      </w:r>
      <w:r>
        <w:rPr>
          <w:rFonts w:ascii="Palatino Linotype" w:hAnsi="Palatino Linotype" w:cs="Arial"/>
        </w:rPr>
        <w:t xml:space="preserve">El recurso de revisión fue interpuesto dentro del plazo de quince días hábiles contados a partir del día siguiente al en que </w:t>
      </w:r>
      <w:r>
        <w:rPr>
          <w:rFonts w:ascii="Palatino Linotype" w:hAnsi="Palatino Linotype" w:cs="Arial"/>
          <w:b/>
        </w:rPr>
        <w:t xml:space="preserve">EL RECURRENTE </w:t>
      </w:r>
      <w:r>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C46EAC" w:rsidRDefault="00C46EAC">
      <w:pPr>
        <w:ind w:left="851" w:right="902"/>
        <w:jc w:val="both"/>
        <w:rPr>
          <w:rFonts w:ascii="Palatino Linotype" w:eastAsiaTheme="minorEastAsia" w:hAnsi="Palatino Linotype" w:cs="Arial"/>
          <w:szCs w:val="20"/>
          <w:lang w:val="es-ES_tradnl"/>
        </w:rPr>
      </w:pPr>
    </w:p>
    <w:p w:rsidR="00C46EAC" w:rsidRDefault="00C45F6D">
      <w:pPr>
        <w:tabs>
          <w:tab w:val="left" w:pos="851"/>
        </w:tabs>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b/>
          <w:i/>
          <w:sz w:val="22"/>
          <w:szCs w:val="22"/>
          <w:lang w:val="es-ES_tradnl"/>
        </w:rPr>
        <w:t>“Artículo 178.</w:t>
      </w:r>
      <w:r>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46EAC" w:rsidRDefault="00C45F6D">
      <w:pPr>
        <w:tabs>
          <w:tab w:val="left" w:pos="851"/>
        </w:tabs>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C46EAC" w:rsidRDefault="00C45F6D">
      <w:pPr>
        <w:tabs>
          <w:tab w:val="left" w:pos="851"/>
        </w:tabs>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Pr>
          <w:rFonts w:ascii="Palatino Linotype" w:eastAsiaTheme="minorEastAsia" w:hAnsi="Palatino Linotype" w:cs="Arial"/>
          <w:b/>
          <w:i/>
          <w:sz w:val="22"/>
          <w:szCs w:val="22"/>
          <w:lang w:val="es-ES_tradnl"/>
        </w:rPr>
        <w:t>”</w:t>
      </w:r>
    </w:p>
    <w:p w:rsidR="00C46EAC" w:rsidRDefault="00C46EAC">
      <w:pPr>
        <w:ind w:left="851" w:right="902"/>
        <w:jc w:val="both"/>
        <w:rPr>
          <w:rFonts w:ascii="Palatino Linotype" w:eastAsiaTheme="minorEastAsia" w:hAnsi="Palatino Linotype" w:cs="Arial"/>
          <w:szCs w:val="20"/>
          <w:lang w:val="es-ES_tradnl"/>
        </w:rPr>
      </w:pPr>
    </w:p>
    <w:p w:rsidR="00C46EAC" w:rsidRDefault="00C45F6D">
      <w:pPr>
        <w:spacing w:line="360" w:lineRule="auto"/>
        <w:jc w:val="both"/>
        <w:rPr>
          <w:rFonts w:ascii="Palatino Linotype" w:hAnsi="Palatino Linotype" w:cs="Arial"/>
        </w:rPr>
      </w:pPr>
      <w:r>
        <w:rPr>
          <w:rFonts w:ascii="Palatino Linotype" w:eastAsiaTheme="minorEastAsia" w:hAnsi="Palatino Linotype" w:cs="Arial"/>
          <w:lang w:val="es-ES_tradnl"/>
        </w:rPr>
        <w:lastRenderedPageBreak/>
        <w:t xml:space="preserve">En efecto, atendiendo a que </w:t>
      </w:r>
      <w:r>
        <w:rPr>
          <w:rFonts w:ascii="Palatino Linotype" w:eastAsiaTheme="minorEastAsia" w:hAnsi="Palatino Linotype" w:cs="Arial"/>
          <w:b/>
          <w:lang w:val="es-ES_tradnl"/>
        </w:rPr>
        <w:t>EL SUJETO OBLIGADO</w:t>
      </w:r>
      <w:r>
        <w:rPr>
          <w:rFonts w:ascii="Palatino Linotype" w:eastAsiaTheme="minorEastAsia" w:hAnsi="Palatino Linotype" w:cs="Arial"/>
          <w:lang w:val="es-ES_tradnl"/>
        </w:rPr>
        <w:t xml:space="preserve"> notificó la respuesta a la solicitud de información pública el</w:t>
      </w:r>
      <w:r>
        <w:rPr>
          <w:rFonts w:ascii="Palatino Linotype" w:eastAsiaTheme="minorEastAsia" w:hAnsi="Palatino Linotype" w:cs="Arial"/>
          <w:b/>
          <w:lang w:val="es-ES_tradnl"/>
        </w:rPr>
        <w:t xml:space="preserve"> once de febrero de dos mil veinte; </w:t>
      </w:r>
      <w:r>
        <w:rPr>
          <w:rFonts w:ascii="Palatino Linotype" w:hAnsi="Palatino Linotype" w:cs="Arial"/>
        </w:rPr>
        <w:t xml:space="preserve">en consecuencia, el plazo de quince días hábiles que el artículo 178 de la ley de la materia otorga al </w:t>
      </w:r>
      <w:r>
        <w:rPr>
          <w:rFonts w:ascii="Palatino Linotype" w:hAnsi="Palatino Linotype" w:cs="Arial"/>
          <w:b/>
        </w:rPr>
        <w:t>RECURRENTE</w:t>
      </w:r>
      <w:r>
        <w:rPr>
          <w:rFonts w:ascii="Palatino Linotype" w:hAnsi="Palatino Linotype" w:cs="Arial"/>
        </w:rPr>
        <w:t xml:space="preserve"> para presentar el recurso de revisión, transcurrió del</w:t>
      </w:r>
      <w:r>
        <w:rPr>
          <w:rFonts w:ascii="Palatino Linotype" w:hAnsi="Palatino Linotype" w:cs="Arial"/>
          <w:b/>
        </w:rPr>
        <w:t xml:space="preserve"> doce de febrero  al cuatro de marzo de dos mil veinte</w:t>
      </w:r>
      <w:r>
        <w:rPr>
          <w:rFonts w:ascii="Palatino Linotype" w:hAnsi="Palatino Linotype" w:cs="Arial"/>
        </w:rPr>
        <w:t xml:space="preserve">, sin contemplar en el cómputo los días quince, dieciséis, veintidós, veintitrés y veintinueve de febrero de dos mil veinte; por corresponder a sábados y domingos, considerados como días inhábiles; en términos del artículo 3, fracción X de la </w:t>
      </w:r>
      <w:r>
        <w:rPr>
          <w:rFonts w:ascii="Palatino Linotype" w:hAnsi="Palatino Linotype"/>
        </w:rPr>
        <w:t>Ley de Transparencia y Acceso a la Información Pública del Estado de México y Municipios</w:t>
      </w:r>
      <w:r>
        <w:rPr>
          <w:rFonts w:ascii="Palatino Linotype" w:hAnsi="Palatino Linotype" w:cs="Arial"/>
        </w:rPr>
        <w:t>; así como el dos de marzo de dos mil veinte, por suspensión de labores, de conformidad con el Calendario Oficial en Materia de Transparencia, Acceso a la Información Pública y Protección de Datos Personales del Estado de México y Municipios, para el año dos mil veinte y enero de dos mil veintiuno, publicado en el Periódico Oficial “Gaceta del Gobierno”, el diecinueve de diciembre de dos mil diecinueve.</w:t>
      </w:r>
    </w:p>
    <w:p w:rsidR="00C46EAC" w:rsidRDefault="00C46EAC">
      <w:pPr>
        <w:spacing w:line="360" w:lineRule="auto"/>
        <w:jc w:val="both"/>
        <w:rPr>
          <w:rFonts w:ascii="Palatino Linotype" w:hAnsi="Palatino Linotype"/>
        </w:rPr>
      </w:pPr>
    </w:p>
    <w:p w:rsidR="00C46EAC" w:rsidRDefault="00C45F6D">
      <w:pPr>
        <w:spacing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rPr>
        <w:t>En ese tenor, si el recurso de revisión que nos ocupa, se interpuso el</w:t>
      </w:r>
      <w:r>
        <w:rPr>
          <w:rFonts w:ascii="Palatino Linotype" w:eastAsiaTheme="minorEastAsia" w:hAnsi="Palatino Linotype" w:cs="Arial"/>
          <w:b/>
          <w:lang w:val="es-ES_tradnl"/>
        </w:rPr>
        <w:t xml:space="preserve"> veintiocho de febrero de dos mil veinte,</w:t>
      </w:r>
      <w:r>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C46EAC" w:rsidRDefault="00C46EAC">
      <w:pPr>
        <w:spacing w:line="360" w:lineRule="auto"/>
        <w:jc w:val="both"/>
        <w:rPr>
          <w:rFonts w:ascii="Palatino Linotype" w:eastAsiaTheme="minorEastAsia" w:hAnsi="Palatino Linotype" w:cs="Arial"/>
          <w:lang w:val="es-ES_tradnl"/>
        </w:rPr>
      </w:pPr>
    </w:p>
    <w:p w:rsidR="00C46EAC" w:rsidRDefault="00C45F6D">
      <w:pPr>
        <w:pStyle w:val="Prrafodelista"/>
        <w:widowControl w:val="0"/>
        <w:numPr>
          <w:ilvl w:val="0"/>
          <w:numId w:val="1"/>
        </w:numPr>
        <w:tabs>
          <w:tab w:val="left" w:pos="1701"/>
          <w:tab w:val="left" w:pos="1843"/>
        </w:tabs>
        <w:spacing w:line="360" w:lineRule="auto"/>
        <w:ind w:left="0" w:firstLine="0"/>
        <w:jc w:val="both"/>
        <w:rPr>
          <w:rFonts w:ascii="Palatino Linotype" w:hAnsi="Palatino Linotype" w:cs="Arial"/>
        </w:rPr>
      </w:pPr>
      <w:r>
        <w:rPr>
          <w:rFonts w:ascii="Palatino Linotype" w:hAnsi="Palatino Linotype" w:cs="Arial"/>
          <w:b/>
          <w:szCs w:val="28"/>
        </w:rPr>
        <w:t xml:space="preserve">Procedibilidad. </w:t>
      </w:r>
      <w:r>
        <w:rPr>
          <w:rFonts w:ascii="Palatino Linotype" w:hAnsi="Palatino Linotype" w:cs="Arial"/>
        </w:rPr>
        <w:t>Del análisis efectuado, se advierte la procedibilidad del presente recurso de revisión, en razón de acreditación plena de todos y cada uno de los elementos formales exigidos por el artículo 180 de la Ley de Transparencia y Acceso a la Información Pública</w:t>
      </w:r>
      <w:r>
        <w:rPr>
          <w:rFonts w:ascii="Palatino Linotype" w:hAnsi="Palatino Linotype"/>
        </w:rPr>
        <w:t xml:space="preserve"> </w:t>
      </w:r>
      <w:r>
        <w:rPr>
          <w:rFonts w:ascii="Palatino Linotype" w:hAnsi="Palatino Linotype" w:cs="Arial"/>
        </w:rPr>
        <w:t>del</w:t>
      </w:r>
      <w:r>
        <w:rPr>
          <w:rFonts w:ascii="Palatino Linotype" w:hAnsi="Palatino Linotype"/>
        </w:rPr>
        <w:t xml:space="preserve"> </w:t>
      </w:r>
      <w:r>
        <w:rPr>
          <w:rFonts w:ascii="Palatino Linotype" w:hAnsi="Palatino Linotype" w:cs="Arial"/>
        </w:rPr>
        <w:t>Estado</w:t>
      </w:r>
      <w:r>
        <w:rPr>
          <w:rFonts w:ascii="Palatino Linotype" w:hAnsi="Palatino Linotype"/>
        </w:rPr>
        <w:t xml:space="preserve"> de México y Municipios, en atención a que fue presentado mediante el formato visible en </w:t>
      </w:r>
      <w:r>
        <w:rPr>
          <w:rFonts w:ascii="Palatino Linotype" w:hAnsi="Palatino Linotype"/>
          <w:b/>
        </w:rPr>
        <w:t>EL SAIMEX</w:t>
      </w:r>
      <w:r>
        <w:rPr>
          <w:rFonts w:ascii="Palatino Linotype" w:hAnsi="Palatino Linotype"/>
        </w:rPr>
        <w:t>.</w:t>
      </w:r>
    </w:p>
    <w:p w:rsidR="00C46EAC" w:rsidRDefault="00C45F6D">
      <w:pPr>
        <w:pStyle w:val="Prrafodelista"/>
        <w:widowControl w:val="0"/>
        <w:numPr>
          <w:ilvl w:val="0"/>
          <w:numId w:val="1"/>
        </w:numPr>
        <w:tabs>
          <w:tab w:val="left" w:pos="993"/>
        </w:tabs>
        <w:spacing w:line="360" w:lineRule="auto"/>
        <w:ind w:left="0" w:firstLine="0"/>
        <w:contextualSpacing/>
        <w:jc w:val="both"/>
        <w:rPr>
          <w:rFonts w:ascii="Palatino Linotype" w:hAnsi="Palatino Linotype" w:cs="Arial"/>
          <w:sz w:val="22"/>
          <w:szCs w:val="22"/>
          <w:lang w:eastAsia="es-MX"/>
        </w:rPr>
      </w:pPr>
      <w:bookmarkStart w:id="4" w:name="_Ref3465962"/>
      <w:r>
        <w:rPr>
          <w:rFonts w:ascii="Palatino Linotype" w:hAnsi="Palatino Linotype" w:cs="Arial"/>
          <w:b/>
        </w:rPr>
        <w:lastRenderedPageBreak/>
        <w:t>Estudio y resolución del asunto.</w:t>
      </w:r>
      <w:r>
        <w:rPr>
          <w:rFonts w:ascii="Palatino Linotype" w:hAnsi="Palatino Linotype" w:cs="Arial"/>
        </w:rPr>
        <w:t xml:space="preserve"> </w:t>
      </w:r>
      <w:bookmarkEnd w:id="4"/>
      <w:r>
        <w:rPr>
          <w:rFonts w:ascii="Palatino Linotype" w:hAnsi="Palatino Linotype" w:cs="Arial"/>
        </w:rPr>
        <w:t>Del análisis efectuado se advierte que el recurso de revisión de que se trata es procedente; toda vez, que se actualiza la hipótesis prevista en la fracción V del artículo 179 de la Ley de la materia, que a la letra indica:</w:t>
      </w:r>
    </w:p>
    <w:p w:rsidR="00C46EAC" w:rsidRDefault="00C46EAC">
      <w:pPr>
        <w:spacing w:line="276" w:lineRule="auto"/>
        <w:ind w:left="709" w:right="709"/>
        <w:jc w:val="both"/>
        <w:rPr>
          <w:rFonts w:ascii="Palatino Linotype" w:hAnsi="Palatino Linotype" w:cs="Arial"/>
          <w:bCs/>
          <w:i/>
          <w:sz w:val="22"/>
          <w:szCs w:val="22"/>
        </w:rPr>
      </w:pPr>
    </w:p>
    <w:p w:rsidR="00C46EAC" w:rsidRDefault="00C45F6D">
      <w:pPr>
        <w:spacing w:line="276" w:lineRule="auto"/>
        <w:ind w:left="709" w:right="709"/>
        <w:jc w:val="both"/>
        <w:rPr>
          <w:rFonts w:ascii="Palatino Linotype" w:hAnsi="Palatino Linotype" w:cs="Arial"/>
          <w:b/>
          <w:i/>
          <w:sz w:val="22"/>
          <w:szCs w:val="22"/>
        </w:rPr>
      </w:pPr>
      <w:r>
        <w:rPr>
          <w:rFonts w:ascii="Palatino Linotype" w:hAnsi="Palatino Linotype" w:cs="Arial"/>
          <w:bCs/>
          <w:i/>
          <w:sz w:val="22"/>
          <w:szCs w:val="22"/>
        </w:rPr>
        <w:t>“</w:t>
      </w:r>
      <w:r>
        <w:rPr>
          <w:rFonts w:ascii="Palatino Linotype" w:hAnsi="Palatino Linotype" w:cs="Arial"/>
          <w:b/>
          <w:bCs/>
          <w:i/>
          <w:sz w:val="22"/>
          <w:szCs w:val="22"/>
        </w:rPr>
        <w:t>Artículo 179.</w:t>
      </w:r>
      <w:r>
        <w:rPr>
          <w:rFonts w:ascii="Palatino Linotype" w:hAnsi="Palatino Linotype" w:cs="Arial"/>
          <w:bCs/>
          <w:i/>
          <w:sz w:val="22"/>
          <w:szCs w:val="22"/>
        </w:rPr>
        <w:t xml:space="preserve"> </w:t>
      </w:r>
      <w:r>
        <w:rPr>
          <w:rFonts w:ascii="Palatino Linotype" w:hAnsi="Palatino Linotype" w:cs="Arial"/>
          <w:b/>
          <w:i/>
          <w:sz w:val="22"/>
          <w:szCs w:val="22"/>
        </w:rPr>
        <w:t>El recurso de revisión</w:t>
      </w:r>
      <w:r>
        <w:rPr>
          <w:rFonts w:ascii="Palatino Linotype" w:hAnsi="Palatino Linotype" w:cs="Arial"/>
          <w:i/>
          <w:sz w:val="22"/>
          <w:szCs w:val="22"/>
        </w:rPr>
        <w:t xml:space="preserve"> es un medio de protección que la Ley otorga a los particulares, para hacer valer su derecho de acceso a la información pública, y </w:t>
      </w:r>
      <w:r>
        <w:rPr>
          <w:rFonts w:ascii="Palatino Linotype" w:hAnsi="Palatino Linotype" w:cs="Arial"/>
          <w:b/>
          <w:i/>
          <w:sz w:val="22"/>
          <w:szCs w:val="22"/>
        </w:rPr>
        <w:t>procederá en contra de las siguientes causas:</w:t>
      </w:r>
    </w:p>
    <w:p w:rsidR="00C46EAC" w:rsidRDefault="00C45F6D">
      <w:pPr>
        <w:spacing w:line="276" w:lineRule="auto"/>
        <w:ind w:left="709" w:right="709"/>
        <w:jc w:val="both"/>
        <w:rPr>
          <w:rFonts w:ascii="Palatino Linotype" w:hAnsi="Palatino Linotype" w:cs="Arial"/>
          <w:b/>
          <w:i/>
          <w:sz w:val="22"/>
          <w:szCs w:val="22"/>
        </w:rPr>
      </w:pPr>
      <w:r>
        <w:rPr>
          <w:rFonts w:ascii="Palatino Linotype" w:hAnsi="Palatino Linotype" w:cs="Arial"/>
          <w:bCs/>
          <w:i/>
          <w:sz w:val="22"/>
          <w:szCs w:val="22"/>
        </w:rPr>
        <w:t>. . .</w:t>
      </w:r>
    </w:p>
    <w:p w:rsidR="00C46EAC" w:rsidRDefault="00C45F6D">
      <w:pPr>
        <w:spacing w:line="276" w:lineRule="auto"/>
        <w:ind w:left="709" w:right="709"/>
        <w:jc w:val="both"/>
        <w:rPr>
          <w:rFonts w:ascii="Palatino Linotype" w:hAnsi="Palatino Linotype" w:cs="Arial"/>
          <w:b/>
          <w:bCs/>
          <w:i/>
          <w:sz w:val="22"/>
          <w:szCs w:val="22"/>
        </w:rPr>
      </w:pPr>
      <w:r>
        <w:rPr>
          <w:rFonts w:ascii="Palatino Linotype" w:hAnsi="Palatino Linotype" w:cs="Arial"/>
          <w:b/>
          <w:bCs/>
          <w:i/>
          <w:sz w:val="22"/>
          <w:szCs w:val="22"/>
        </w:rPr>
        <w:t>V. La entrega de información incompleta;”</w:t>
      </w:r>
    </w:p>
    <w:p w:rsidR="00C46EAC" w:rsidRDefault="00C46EAC">
      <w:pPr>
        <w:spacing w:line="276" w:lineRule="auto"/>
        <w:ind w:left="709" w:right="709"/>
        <w:jc w:val="both"/>
        <w:rPr>
          <w:rFonts w:ascii="Palatino Linotype" w:hAnsi="Palatino Linotype" w:cs="Arial"/>
          <w:b/>
          <w:bCs/>
          <w:i/>
          <w:sz w:val="22"/>
          <w:szCs w:val="22"/>
        </w:rPr>
      </w:pPr>
    </w:p>
    <w:p w:rsidR="00C46EAC" w:rsidRDefault="00C45F6D">
      <w:pPr>
        <w:spacing w:line="276" w:lineRule="auto"/>
        <w:ind w:left="709" w:right="709"/>
        <w:jc w:val="both"/>
        <w:rPr>
          <w:rFonts w:ascii="Palatino Linotype" w:hAnsi="Palatino Linotype" w:cs="Arial"/>
          <w:b/>
          <w:bCs/>
          <w:i/>
          <w:sz w:val="22"/>
          <w:szCs w:val="22"/>
        </w:rPr>
      </w:pPr>
      <w:r>
        <w:rPr>
          <w:rFonts w:ascii="Palatino Linotype" w:hAnsi="Palatino Linotype" w:cs="Arial"/>
          <w:b/>
          <w:bCs/>
          <w:i/>
          <w:sz w:val="22"/>
          <w:szCs w:val="22"/>
        </w:rPr>
        <w:t>(Énfasis añadido)</w:t>
      </w:r>
    </w:p>
    <w:p w:rsidR="00C46EAC" w:rsidRDefault="00C46EAC">
      <w:pPr>
        <w:pStyle w:val="Prrafodelista"/>
        <w:widowControl w:val="0"/>
        <w:spacing w:line="360" w:lineRule="auto"/>
        <w:ind w:left="0"/>
        <w:jc w:val="both"/>
        <w:rPr>
          <w:rFonts w:ascii="Palatino Linotype" w:hAnsi="Palatino Linotype" w:cs="Arial"/>
        </w:rPr>
      </w:pPr>
    </w:p>
    <w:p w:rsidR="00C46EAC" w:rsidRDefault="00C45F6D">
      <w:pPr>
        <w:pStyle w:val="Prrafodelista"/>
        <w:widowControl w:val="0"/>
        <w:spacing w:line="360" w:lineRule="auto"/>
        <w:ind w:left="0"/>
        <w:jc w:val="both"/>
        <w:rPr>
          <w:rFonts w:ascii="Palatino Linotype" w:hAnsi="Palatino Linotype" w:cs="Arial"/>
        </w:rPr>
      </w:pPr>
      <w:r>
        <w:rPr>
          <w:rFonts w:ascii="Palatino Linotype" w:hAnsi="Palatino Linotype" w:cs="Arial"/>
        </w:rPr>
        <w:t>El precepto legal antes citado, establece como supuesto de procedencia del recurso de revisión, la</w:t>
      </w:r>
      <w:r>
        <w:t xml:space="preserve"> </w:t>
      </w:r>
      <w:r>
        <w:rPr>
          <w:rFonts w:ascii="Palatino Linotype" w:hAnsi="Palatino Linotype" w:cs="Arial"/>
        </w:rPr>
        <w:t xml:space="preserve">entrega de información incompleta por parte del </w:t>
      </w:r>
      <w:r>
        <w:rPr>
          <w:rFonts w:ascii="Palatino Linotype" w:hAnsi="Palatino Linotype" w:cs="Arial"/>
          <w:b/>
        </w:rPr>
        <w:t>SUJETO OBLIGADO</w:t>
      </w:r>
      <w:r>
        <w:rPr>
          <w:rFonts w:ascii="Palatino Linotype" w:hAnsi="Palatino Linotype" w:cs="Arial"/>
        </w:rPr>
        <w:t xml:space="preserve">, situación que se actualiza en el presente caso, en razón a que mediante respuesta sólo proporcionó información parcial al particular, tal como se analizará más adelante. </w:t>
      </w:r>
    </w:p>
    <w:p w:rsidR="00C46EAC" w:rsidRDefault="00C45F6D">
      <w:pPr>
        <w:widowControl w:val="0"/>
        <w:spacing w:before="200" w:after="200" w:line="360" w:lineRule="auto"/>
        <w:jc w:val="both"/>
        <w:rPr>
          <w:rFonts w:ascii="Palatino Linotype" w:hAnsi="Palatino Linotype"/>
        </w:rPr>
      </w:pPr>
      <w:r>
        <w:rPr>
          <w:rFonts w:ascii="Palatino Linotype" w:hAnsi="Palatino Linotype" w:cs="Arial"/>
        </w:rPr>
        <w:t>Para ilustrar dicha actualización, debemos recordar que el hoy</w:t>
      </w:r>
      <w:r>
        <w:rPr>
          <w:rFonts w:ascii="Palatino Linotype" w:hAnsi="Palatino Linotype" w:cs="Arial"/>
          <w:b/>
        </w:rPr>
        <w:t xml:space="preserve"> RECURRENTE </w:t>
      </w:r>
      <w:r>
        <w:rPr>
          <w:rFonts w:ascii="Palatino Linotype" w:hAnsi="Palatino Linotype"/>
        </w:rPr>
        <w:t>en la solicitud de acceso a la información pública, requirió del</w:t>
      </w:r>
      <w:r>
        <w:rPr>
          <w:rFonts w:ascii="Palatino Linotype" w:hAnsi="Palatino Linotype" w:cs="Arial"/>
        </w:rPr>
        <w:t xml:space="preserve"> </w:t>
      </w:r>
      <w:r>
        <w:rPr>
          <w:rFonts w:ascii="Palatino Linotype" w:hAnsi="Palatino Linotype" w:cs="Arial"/>
          <w:b/>
        </w:rPr>
        <w:t>SUJETO OBLIGADO</w:t>
      </w:r>
      <w:r>
        <w:rPr>
          <w:rFonts w:ascii="Palatino Linotype" w:hAnsi="Palatino Linotype" w:cs="Arial"/>
        </w:rPr>
        <w:t xml:space="preserve">, vía </w:t>
      </w:r>
      <w:r>
        <w:rPr>
          <w:rFonts w:ascii="Palatino Linotype" w:hAnsi="Palatino Linotype" w:cs="Arial"/>
          <w:b/>
        </w:rPr>
        <w:t>EL SAIMEX</w:t>
      </w:r>
      <w:r>
        <w:rPr>
          <w:rFonts w:ascii="Palatino Linotype" w:hAnsi="Palatino Linotype" w:cs="Arial"/>
        </w:rPr>
        <w:t>,</w:t>
      </w:r>
      <w:r>
        <w:t xml:space="preserve"> </w:t>
      </w:r>
      <w:r>
        <w:rPr>
          <w:rFonts w:ascii="Palatino Linotype" w:hAnsi="Palatino Linotype" w:cs="Arial"/>
        </w:rPr>
        <w:t>información generada durante el año 2019, consistente en</w:t>
      </w:r>
      <w:r>
        <w:rPr>
          <w:rFonts w:ascii="Palatino Linotype" w:hAnsi="Palatino Linotype"/>
        </w:rPr>
        <w:t>:</w:t>
      </w:r>
    </w:p>
    <w:p w:rsidR="00C46EAC" w:rsidRDefault="00C45F6D">
      <w:pPr>
        <w:pStyle w:val="Prrafodelista"/>
        <w:widowControl w:val="0"/>
        <w:numPr>
          <w:ilvl w:val="0"/>
          <w:numId w:val="6"/>
        </w:numPr>
        <w:spacing w:before="200" w:after="200" w:line="360" w:lineRule="auto"/>
        <w:jc w:val="both"/>
        <w:rPr>
          <w:rFonts w:ascii="Palatino Linotype" w:hAnsi="Palatino Linotype"/>
          <w:b/>
        </w:rPr>
      </w:pPr>
      <w:r>
        <w:rPr>
          <w:rFonts w:ascii="Palatino Linotype" w:hAnsi="Palatino Linotype"/>
          <w:b/>
        </w:rPr>
        <w:t>Cantidad global y segmentada por áreas del gasto ejercido por concepto de GASOLINA para automóviles propios del Ayuntamiento, ya sea en forma de devolución o como asignación mensual para dicho concepto.</w:t>
      </w:r>
    </w:p>
    <w:p w:rsidR="00C46EAC" w:rsidRDefault="00C45F6D">
      <w:pPr>
        <w:pStyle w:val="Prrafodelista"/>
        <w:widowControl w:val="0"/>
        <w:numPr>
          <w:ilvl w:val="0"/>
          <w:numId w:val="6"/>
        </w:numPr>
        <w:spacing w:before="200" w:after="200" w:line="360" w:lineRule="auto"/>
        <w:jc w:val="both"/>
        <w:rPr>
          <w:rFonts w:ascii="Palatino Linotype" w:hAnsi="Palatino Linotype"/>
          <w:b/>
        </w:rPr>
      </w:pPr>
      <w:r>
        <w:rPr>
          <w:rFonts w:ascii="Palatino Linotype" w:hAnsi="Palatino Linotype"/>
          <w:b/>
        </w:rPr>
        <w:t xml:space="preserve">Cantidad global y segmentada por áreas del gasto ejercido por concepto de GASOLINA, para autos propios del personal del Ayuntamiento, ya sea en forma de devolución o como asignación mensual para dicho concepto. </w:t>
      </w:r>
    </w:p>
    <w:p w:rsidR="00C46EAC" w:rsidRDefault="00C45F6D">
      <w:pPr>
        <w:widowControl w:val="0"/>
        <w:tabs>
          <w:tab w:val="left" w:pos="1701"/>
          <w:tab w:val="left" w:pos="1843"/>
        </w:tabs>
        <w:spacing w:beforeAutospacing="1" w:afterAutospacing="1" w:line="360" w:lineRule="auto"/>
        <w:contextualSpacing/>
        <w:jc w:val="both"/>
        <w:rPr>
          <w:rFonts w:ascii="Palatino Linotype" w:hAnsi="Palatino Linotype" w:cs="Arial"/>
        </w:rPr>
      </w:pPr>
      <w:r>
        <w:rPr>
          <w:rFonts w:ascii="Palatino Linotype" w:hAnsi="Palatino Linotype" w:cs="Arial"/>
        </w:rPr>
        <w:lastRenderedPageBreak/>
        <w:t xml:space="preserve">Ahora bien, </w:t>
      </w:r>
      <w:r>
        <w:rPr>
          <w:rFonts w:ascii="Palatino Linotype" w:hAnsi="Palatino Linotype" w:cs="Arial"/>
          <w:b/>
        </w:rPr>
        <w:t>EL SUJETO OBLIGADO</w:t>
      </w:r>
      <w:r>
        <w:rPr>
          <w:rFonts w:ascii="Palatino Linotype" w:hAnsi="Palatino Linotype" w:cs="Arial"/>
        </w:rPr>
        <w:t xml:space="preserve"> pretendió dar repuesta</w:t>
      </w:r>
      <w:r>
        <w:rPr>
          <w:rFonts w:ascii="Palatino Linotype" w:hAnsi="Palatino Linotype" w:cs="Arial"/>
          <w:b/>
        </w:rPr>
        <w:t xml:space="preserve"> </w:t>
      </w:r>
      <w:r>
        <w:rPr>
          <w:rFonts w:ascii="Palatino Linotype" w:hAnsi="Palatino Linotype" w:cs="Arial"/>
        </w:rPr>
        <w:t xml:space="preserve">a lo solicitado por el particular, adjuntando los documentos descritos en el Resultando </w:t>
      </w:r>
      <w:r>
        <w:rPr>
          <w:rFonts w:ascii="Palatino Linotype" w:hAnsi="Palatino Linotype" w:cs="Arial"/>
          <w:b/>
        </w:rPr>
        <w:t xml:space="preserve">III </w:t>
      </w:r>
      <w:r>
        <w:rPr>
          <w:rFonts w:ascii="Palatino Linotype" w:hAnsi="Palatino Linotype" w:cs="Arial"/>
        </w:rPr>
        <w:t>de la presente resolución.</w:t>
      </w:r>
    </w:p>
    <w:p w:rsidR="00C46EAC" w:rsidRDefault="00C46EAC">
      <w:pPr>
        <w:widowControl w:val="0"/>
        <w:tabs>
          <w:tab w:val="left" w:pos="1701"/>
          <w:tab w:val="left" w:pos="1843"/>
        </w:tabs>
        <w:spacing w:beforeAutospacing="1" w:afterAutospacing="1" w:line="360" w:lineRule="auto"/>
        <w:contextualSpacing/>
        <w:jc w:val="both"/>
        <w:rPr>
          <w:rFonts w:ascii="Palatino Linotype" w:hAnsi="Palatino Linotype" w:cs="Arial"/>
        </w:rPr>
      </w:pPr>
    </w:p>
    <w:p w:rsidR="00C46EAC" w:rsidRDefault="00C45F6D">
      <w:pPr>
        <w:widowControl w:val="0"/>
        <w:tabs>
          <w:tab w:val="left" w:pos="1701"/>
          <w:tab w:val="left" w:pos="1843"/>
        </w:tabs>
        <w:spacing w:beforeAutospacing="1" w:afterAutospacing="1" w:line="360" w:lineRule="auto"/>
        <w:contextualSpacing/>
        <w:jc w:val="both"/>
        <w:rPr>
          <w:rFonts w:ascii="Palatino Linotype" w:hAnsi="Palatino Linotype" w:cs="Arial"/>
        </w:rPr>
      </w:pPr>
      <w:r>
        <w:rPr>
          <w:rFonts w:ascii="Palatino Linotype" w:hAnsi="Palatino Linotype" w:cs="Arial"/>
        </w:rPr>
        <w:t xml:space="preserve">Inconforme con la respuesta, el ahora </w:t>
      </w:r>
      <w:r>
        <w:rPr>
          <w:rFonts w:ascii="Palatino Linotype" w:hAnsi="Palatino Linotype" w:cs="Arial"/>
          <w:b/>
        </w:rPr>
        <w:t>RECURRENTE</w:t>
      </w:r>
      <w:r>
        <w:rPr>
          <w:rFonts w:ascii="Palatino Linotype" w:hAnsi="Palatino Linotype" w:cs="Arial"/>
        </w:rPr>
        <w:t xml:space="preserve">, procedió a </w:t>
      </w:r>
      <w:r>
        <w:rPr>
          <w:rFonts w:ascii="Palatino Linotype" w:hAnsi="Palatino Linotype"/>
          <w:szCs w:val="21"/>
        </w:rPr>
        <w:t>interponer</w:t>
      </w:r>
      <w:r>
        <w:rPr>
          <w:rFonts w:ascii="Palatino Linotype" w:hAnsi="Palatino Linotype" w:cs="Arial"/>
        </w:rPr>
        <w:t xml:space="preserve"> el presente recurso de revisión, señalando tanto en acto impugnado, así como en sus razones o motivos de inconformidad, por el trámite a su solicitud y la respuesta proporcionada.</w:t>
      </w:r>
    </w:p>
    <w:p w:rsidR="00C46EAC" w:rsidRDefault="00C46EAC">
      <w:pPr>
        <w:widowControl w:val="0"/>
        <w:tabs>
          <w:tab w:val="left" w:pos="1701"/>
          <w:tab w:val="left" w:pos="1843"/>
        </w:tabs>
        <w:spacing w:beforeAutospacing="1" w:afterAutospacing="1" w:line="360" w:lineRule="auto"/>
        <w:contextualSpacing/>
        <w:jc w:val="both"/>
        <w:rPr>
          <w:rFonts w:ascii="Palatino Linotype" w:hAnsi="Palatino Linotype" w:cs="Arial"/>
        </w:rPr>
      </w:pPr>
    </w:p>
    <w:p w:rsidR="00C46EAC" w:rsidRDefault="00C45F6D">
      <w:pPr>
        <w:widowControl w:val="0"/>
        <w:tabs>
          <w:tab w:val="left" w:pos="1701"/>
          <w:tab w:val="left" w:pos="1843"/>
        </w:tabs>
        <w:spacing w:line="360" w:lineRule="auto"/>
        <w:contextualSpacing/>
        <w:jc w:val="both"/>
        <w:rPr>
          <w:rFonts w:ascii="Palatino Linotype" w:hAnsi="Palatino Linotype" w:cs="Arial"/>
        </w:rPr>
      </w:pPr>
      <w:r>
        <w:rPr>
          <w:rFonts w:ascii="Palatino Linotype" w:hAnsi="Palatino Linotype" w:cs="Arial"/>
        </w:rPr>
        <w:t xml:space="preserve">Por otra parte, de las </w:t>
      </w:r>
      <w:r>
        <w:rPr>
          <w:rFonts w:ascii="Palatino Linotype" w:hAnsi="Palatino Linotype"/>
          <w:szCs w:val="21"/>
        </w:rPr>
        <w:t>constancias</w:t>
      </w:r>
      <w:r>
        <w:rPr>
          <w:rFonts w:ascii="Palatino Linotype" w:hAnsi="Palatino Linotype" w:cs="Arial"/>
        </w:rPr>
        <w:t xml:space="preserve"> que obran en el </w:t>
      </w:r>
      <w:r>
        <w:rPr>
          <w:rFonts w:ascii="Palatino Linotype" w:hAnsi="Palatino Linotype" w:cs="Arial"/>
          <w:b/>
        </w:rPr>
        <w:t>SAIMEX,</w:t>
      </w:r>
      <w:r>
        <w:rPr>
          <w:rFonts w:ascii="Palatino Linotype" w:hAnsi="Palatino Linotype" w:cs="Arial"/>
        </w:rPr>
        <w:t xml:space="preserve"> se advierte que </w:t>
      </w:r>
      <w:r>
        <w:rPr>
          <w:rFonts w:ascii="Palatino Linotype" w:hAnsi="Palatino Linotype" w:cs="Arial"/>
          <w:b/>
        </w:rPr>
        <w:t>EL SUJETO OBLIGADO</w:t>
      </w:r>
      <w:r>
        <w:rPr>
          <w:rFonts w:ascii="Palatino Linotype" w:hAnsi="Palatino Linotype" w:cs="Arial"/>
        </w:rPr>
        <w:t xml:space="preserve">, exhibió el Informe Justificado </w:t>
      </w:r>
      <w:r>
        <w:rPr>
          <w:rFonts w:ascii="Palatino Linotype" w:hAnsi="Palatino Linotype"/>
          <w:szCs w:val="21"/>
        </w:rPr>
        <w:t>correspondiente</w:t>
      </w:r>
      <w:r>
        <w:rPr>
          <w:rFonts w:ascii="Palatino Linotype" w:hAnsi="Palatino Linotype" w:cs="Arial"/>
        </w:rPr>
        <w:t xml:space="preserve">, mediante el cual ratificó su respuesta inicial, razón por la cual, no se dio vista al particular; mientras que </w:t>
      </w:r>
      <w:r>
        <w:rPr>
          <w:rFonts w:ascii="Palatino Linotype" w:hAnsi="Palatino Linotype" w:cs="Arial"/>
          <w:b/>
        </w:rPr>
        <w:t>EL RECURRENTE</w:t>
      </w:r>
      <w:r>
        <w:rPr>
          <w:rFonts w:ascii="Palatino Linotype" w:hAnsi="Palatino Linotype" w:cs="Arial"/>
        </w:rPr>
        <w:t xml:space="preserve"> no realizó manifestaciones o alegatos, ni ofreció los medios de prueba que a su derecho conviniera.</w:t>
      </w:r>
    </w:p>
    <w:p w:rsidR="00C46EAC" w:rsidRDefault="00C46EAC">
      <w:pPr>
        <w:widowControl w:val="0"/>
        <w:tabs>
          <w:tab w:val="left" w:pos="1701"/>
          <w:tab w:val="left" w:pos="1843"/>
        </w:tabs>
        <w:spacing w:line="360" w:lineRule="auto"/>
        <w:jc w:val="both"/>
        <w:rPr>
          <w:rFonts w:ascii="Palatino Linotype" w:hAnsi="Palatino Linotype"/>
        </w:rPr>
      </w:pPr>
    </w:p>
    <w:p w:rsidR="00C46EAC" w:rsidRDefault="00C45F6D">
      <w:pPr>
        <w:widowControl w:val="0"/>
        <w:tabs>
          <w:tab w:val="left" w:pos="1701"/>
          <w:tab w:val="left" w:pos="1843"/>
        </w:tabs>
        <w:spacing w:line="360" w:lineRule="auto"/>
        <w:jc w:val="both"/>
        <w:rPr>
          <w:rFonts w:ascii="Palatino Linotype" w:hAnsi="Palatino Linotype" w:cs="Arial"/>
        </w:rPr>
      </w:pPr>
      <w:r>
        <w:rPr>
          <w:rFonts w:ascii="Palatino Linotype" w:hAnsi="Palatino Linotype"/>
        </w:rPr>
        <w:t xml:space="preserve">Bajo ese contexto, este Instituto analizó la totalidad de constancias que integran el expediente electrónico del </w:t>
      </w:r>
      <w:r>
        <w:rPr>
          <w:rFonts w:ascii="Palatino Linotype" w:hAnsi="Palatino Linotype"/>
          <w:b/>
        </w:rPr>
        <w:t>SAIMEX</w:t>
      </w:r>
      <w:r>
        <w:rPr>
          <w:rFonts w:ascii="Palatino Linotype" w:hAnsi="Palatino Linotype"/>
        </w:rPr>
        <w:t xml:space="preserve"> y advirtió que las razones o motivos de inconformidad hechos valer por </w:t>
      </w:r>
      <w:r>
        <w:rPr>
          <w:rFonts w:ascii="Palatino Linotype" w:hAnsi="Palatino Linotype"/>
          <w:b/>
        </w:rPr>
        <w:t>EL RECURRENTE</w:t>
      </w:r>
      <w:r>
        <w:rPr>
          <w:rFonts w:ascii="Palatino Linotype" w:hAnsi="Palatino Linotype"/>
        </w:rPr>
        <w:t xml:space="preserve"> devienen</w:t>
      </w:r>
      <w:r>
        <w:rPr>
          <w:rFonts w:ascii="Palatino Linotype" w:hAnsi="Palatino Linotype"/>
          <w:b/>
        </w:rPr>
        <w:t xml:space="preserve"> parcialmente fundados</w:t>
      </w:r>
      <w:r>
        <w:rPr>
          <w:rFonts w:ascii="Palatino Linotype" w:hAnsi="Palatino Linotype"/>
        </w:rPr>
        <w:t xml:space="preserve">, </w:t>
      </w:r>
      <w:r>
        <w:rPr>
          <w:rFonts w:ascii="Palatino Linotype" w:hAnsi="Palatino Linotype" w:cs="Arial"/>
        </w:rPr>
        <w:t>de acuerdo a las consideraciones de hecho y de derecho que a continuación se desagregan.</w:t>
      </w:r>
    </w:p>
    <w:p w:rsidR="00C46EAC" w:rsidRDefault="00C45F6D">
      <w:pPr>
        <w:spacing w:beforeAutospacing="1" w:afterAutospacing="1" w:line="360" w:lineRule="auto"/>
        <w:jc w:val="both"/>
        <w:rPr>
          <w:rFonts w:ascii="Palatino Linotype" w:eastAsia="Calibri" w:hAnsi="Palatino Linotype" w:cs="Arial"/>
        </w:rPr>
      </w:pPr>
      <w:r>
        <w:rPr>
          <w:rFonts w:ascii="Palatino Linotype" w:hAnsi="Palatino Linotype" w:cs="Arial"/>
          <w:lang w:val="es-ES"/>
        </w:rPr>
        <w:t>Precisado ello,</w:t>
      </w:r>
      <w:r>
        <w:rPr>
          <w:rFonts w:ascii="Palatino Linotype" w:hAnsi="Palatino Linotype"/>
          <w:lang w:val="es-ES"/>
        </w:rPr>
        <w:t xml:space="preserve"> se obvia el análisis de la competencia por parte del </w:t>
      </w:r>
      <w:r>
        <w:rPr>
          <w:rFonts w:ascii="Palatino Linotype" w:hAnsi="Palatino Linotype"/>
          <w:b/>
          <w:lang w:val="es-ES"/>
        </w:rPr>
        <w:t>SUJETO OBLIGADO</w:t>
      </w:r>
      <w:r>
        <w:rPr>
          <w:rFonts w:ascii="Palatino Linotype" w:hAnsi="Palatino Linotype"/>
          <w:lang w:val="es-ES"/>
        </w:rPr>
        <w:t xml:space="preserve">, para generar, administrar o poseer la información solicitada en el recurso que nos ocupa, dado que éste ha asumido la misma, mediante respuesta e Informe </w:t>
      </w:r>
      <w:r>
        <w:rPr>
          <w:rFonts w:ascii="Palatino Linotype" w:hAnsi="Palatino Linotype"/>
          <w:lang w:val="es-ES"/>
        </w:rPr>
        <w:lastRenderedPageBreak/>
        <w:t>Justificado</w:t>
      </w:r>
      <w:r>
        <w:rPr>
          <w:rFonts w:ascii="Palatino Linotype" w:hAnsi="Palatino Linotype" w:cs="Arial"/>
          <w:b/>
          <w:color w:val="000000"/>
          <w:lang w:val="es-ES"/>
        </w:rPr>
        <w:t xml:space="preserve">; </w:t>
      </w:r>
      <w:r>
        <w:rPr>
          <w:rFonts w:ascii="Palatino Linotype" w:hAnsi="Palatino Linotype" w:cs="Arial"/>
          <w:color w:val="000000"/>
          <w:lang w:val="es-ES"/>
        </w:rPr>
        <w:t>por lo que</w:t>
      </w:r>
      <w:r>
        <w:rPr>
          <w:rFonts w:ascii="Palatino Linotype" w:hAnsi="Palatino Linotype" w:cs="Arial"/>
          <w:b/>
          <w:color w:val="000000"/>
          <w:lang w:val="es-ES"/>
        </w:rPr>
        <w:t xml:space="preserve">, </w:t>
      </w:r>
      <w:r>
        <w:rPr>
          <w:rFonts w:ascii="Palatino Linotype" w:hAnsi="Palatino Linotype" w:cs="Arial"/>
          <w:color w:val="000000"/>
          <w:lang w:val="es-ES"/>
        </w:rPr>
        <w:t>ante tales pronunciamientos se arriba a que genera, posee y administra la información requerida por el particular.</w:t>
      </w:r>
    </w:p>
    <w:p w:rsidR="00C46EAC" w:rsidRDefault="00C45F6D">
      <w:pPr>
        <w:spacing w:line="360" w:lineRule="auto"/>
        <w:jc w:val="both"/>
        <w:rPr>
          <w:rFonts w:ascii="Palatino Linotype" w:hAnsi="Palatino Linotype"/>
          <w:lang w:val="es-ES"/>
        </w:rPr>
      </w:pPr>
      <w:r>
        <w:rPr>
          <w:rFonts w:ascii="Palatino Linotype" w:hAnsi="Palatino Linotype"/>
          <w:lang w:val="es-ES"/>
        </w:rPr>
        <w:t xml:space="preserve">En este contexto, el hecho de que </w:t>
      </w:r>
      <w:r>
        <w:rPr>
          <w:rFonts w:ascii="Palatino Linotype" w:hAnsi="Palatino Linotype"/>
          <w:b/>
          <w:lang w:val="es-ES"/>
        </w:rPr>
        <w:t>EL SUJETO OBLIGADO</w:t>
      </w:r>
      <w:r>
        <w:rPr>
          <w:rFonts w:ascii="Palatino Linotype" w:hAnsi="Palatino Linotype"/>
          <w:lang w:val="es-ES"/>
        </w:rPr>
        <w:t xml:space="preserve"> haya asumido contar con la información pública solicitada en el recurso que nos ocupa, acepta que es competente para generarla, poseerla y administrarla, en ejercicio de sus funciones de derecho público, motivo por el cual se actualiza el supuesto jurídico, previsto en el artículo 12 de la Ley de Transparencia y Acceso a la Información Pública del Estado de México y Municipios, que literalmente establece:</w:t>
      </w:r>
    </w:p>
    <w:p w:rsidR="00C46EAC" w:rsidRDefault="00C46EAC">
      <w:pPr>
        <w:spacing w:line="360" w:lineRule="auto"/>
        <w:jc w:val="both"/>
        <w:rPr>
          <w:rFonts w:ascii="Palatino Linotype" w:hAnsi="Palatino Linotype"/>
          <w:lang w:val="es-ES"/>
        </w:rPr>
      </w:pPr>
    </w:p>
    <w:p w:rsidR="00C46EAC" w:rsidRDefault="00C45F6D">
      <w:pPr>
        <w:ind w:left="851" w:right="899"/>
        <w:jc w:val="both"/>
        <w:rPr>
          <w:rFonts w:ascii="Palatino Linotype" w:hAnsi="Palatino Linotype"/>
          <w:i/>
          <w:sz w:val="22"/>
          <w:szCs w:val="22"/>
          <w:lang w:val="es-ES"/>
        </w:rPr>
      </w:pPr>
      <w:r>
        <w:rPr>
          <w:rFonts w:ascii="Palatino Linotype" w:hAnsi="Palatino Linotype"/>
          <w:b/>
          <w:i/>
          <w:sz w:val="22"/>
          <w:szCs w:val="22"/>
          <w:lang w:val="es-ES"/>
        </w:rPr>
        <w:t>“Artículo 12</w:t>
      </w:r>
      <w:r>
        <w:rPr>
          <w:rFonts w:ascii="Palatino Linotype" w:hAnsi="Palatino Linotype"/>
          <w:i/>
          <w:sz w:val="22"/>
          <w:szCs w:val="22"/>
          <w:lang w:val="es-ES"/>
        </w:rPr>
        <w:t>. Quienes generen, recopilen, administren, manejen, procesen, archiven o conserven información pública serán responsables de la misma en los términos de las disposiciones jurídicas aplicables.</w:t>
      </w:r>
    </w:p>
    <w:p w:rsidR="00C46EAC" w:rsidRDefault="00C46EAC">
      <w:pPr>
        <w:ind w:left="851" w:right="899"/>
        <w:jc w:val="both"/>
        <w:rPr>
          <w:rFonts w:ascii="Palatino Linotype" w:hAnsi="Palatino Linotype"/>
          <w:i/>
          <w:sz w:val="22"/>
          <w:szCs w:val="22"/>
          <w:lang w:val="es-ES"/>
        </w:rPr>
      </w:pPr>
    </w:p>
    <w:p w:rsidR="00C46EAC" w:rsidRDefault="00C45F6D">
      <w:pPr>
        <w:ind w:left="851" w:right="899"/>
        <w:jc w:val="both"/>
        <w:rPr>
          <w:rFonts w:ascii="Palatino Linotype" w:hAnsi="Palatino Linotype"/>
          <w:b/>
          <w:i/>
          <w:sz w:val="22"/>
          <w:szCs w:val="22"/>
          <w:lang w:val="es-ES"/>
        </w:rPr>
      </w:pPr>
      <w:r>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b/>
          <w:i/>
          <w:sz w:val="22"/>
          <w:szCs w:val="22"/>
          <w:lang w:val="es-ES"/>
        </w:rPr>
        <w:t>”</w:t>
      </w:r>
    </w:p>
    <w:p w:rsidR="00C46EAC" w:rsidRDefault="00C46EAC">
      <w:pPr>
        <w:spacing w:line="360" w:lineRule="auto"/>
        <w:ind w:left="851" w:right="899"/>
        <w:jc w:val="both"/>
        <w:rPr>
          <w:rFonts w:ascii="Palatino Linotype" w:hAnsi="Palatino Linotype"/>
          <w:i/>
          <w:sz w:val="22"/>
          <w:szCs w:val="22"/>
          <w:lang w:val="es-ES"/>
        </w:rPr>
      </w:pPr>
    </w:p>
    <w:p w:rsidR="00C46EAC" w:rsidRDefault="00C45F6D">
      <w:pPr>
        <w:spacing w:line="360" w:lineRule="auto"/>
        <w:jc w:val="both"/>
        <w:rPr>
          <w:rFonts w:ascii="Palatino Linotype" w:hAnsi="Palatino Linotype"/>
          <w:lang w:val="es-ES"/>
        </w:rPr>
      </w:pPr>
      <w:r>
        <w:rPr>
          <w:rFonts w:ascii="Palatino Linotype" w:hAnsi="Palatino Linotype"/>
          <w:lang w:val="es-ES"/>
        </w:rPr>
        <w:t xml:space="preserve">De hecho, el estudio de la naturaleza jurídica de la información pública solicitada, tiene por objeto determinar si ésta la genera, posee o administra </w:t>
      </w:r>
      <w:r>
        <w:rPr>
          <w:rFonts w:ascii="Palatino Linotype" w:hAnsi="Palatino Linotype"/>
          <w:b/>
          <w:lang w:val="es-ES"/>
        </w:rPr>
        <w:t>EL SUJETO OBLIGADO</w:t>
      </w:r>
      <w:r>
        <w:rPr>
          <w:rFonts w:ascii="Palatino Linotype" w:hAnsi="Palatino Linotype"/>
          <w:lang w:val="es-ES"/>
        </w:rPr>
        <w:t>; sin embargo, en aquellos casos en que éste la asume,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rsidR="00C46EAC" w:rsidRDefault="00C45F6D">
      <w:pPr>
        <w:spacing w:line="360" w:lineRule="auto"/>
        <w:jc w:val="both"/>
        <w:rPr>
          <w:rFonts w:ascii="Palatino Linotype" w:hAnsi="Palatino Linotype"/>
        </w:rPr>
      </w:pPr>
      <w:r>
        <w:rPr>
          <w:rFonts w:ascii="Palatino Linotype" w:hAnsi="Palatino Linotype"/>
        </w:rPr>
        <w:lastRenderedPageBreak/>
        <w:t xml:space="preserve">Asimismo, no se omite comentar que, al haber existido un pronunciamiento por parte del </w:t>
      </w:r>
      <w:r>
        <w:rPr>
          <w:rFonts w:ascii="Palatino Linotype" w:hAnsi="Palatino Linotype"/>
          <w:b/>
        </w:rPr>
        <w:t xml:space="preserve">SUJETO OBLIGADO </w:t>
      </w:r>
      <w:r>
        <w:rPr>
          <w:rFonts w:ascii="Palatino Linotype" w:hAnsi="Palatino Linotype"/>
        </w:rPr>
        <w:t>mediante respuesta e Informe Justificado, a fin de dar atención a la solicitud planteada, este Instituto no está facultado para manifestarse sobre la veracidad de la información proporcionada, conforme al artículo 36 de la Ley de la Materia.</w:t>
      </w:r>
    </w:p>
    <w:p w:rsidR="00C46EAC" w:rsidRDefault="00C45F6D">
      <w:pPr>
        <w:spacing w:beforeAutospacing="1" w:afterAutospacing="1" w:line="360" w:lineRule="auto"/>
        <w:jc w:val="both"/>
        <w:rPr>
          <w:rFonts w:ascii="Palatino Linotype" w:hAnsi="Palatino Linotype" w:cs="Arial"/>
        </w:rPr>
      </w:pPr>
      <w:r>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C46EAC" w:rsidRDefault="00C45F6D">
      <w:pPr>
        <w:ind w:left="709" w:right="760"/>
        <w:jc w:val="both"/>
        <w:rPr>
          <w:rFonts w:ascii="Palatino Linotype" w:hAnsi="Palatino Linotype" w:cs="Arial"/>
          <w:i/>
          <w:sz w:val="22"/>
        </w:rPr>
      </w:pPr>
      <w:r>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C46EAC" w:rsidRDefault="00C45F6D">
      <w:pPr>
        <w:ind w:left="709" w:right="757"/>
        <w:jc w:val="both"/>
        <w:rPr>
          <w:rFonts w:ascii="Palatino Linotype" w:hAnsi="Palatino Linotype" w:cs="Arial"/>
          <w:i/>
          <w:sz w:val="22"/>
        </w:rPr>
      </w:pPr>
      <w:r>
        <w:rPr>
          <w:rFonts w:ascii="Palatino Linotype" w:hAnsi="Palatino Linotype" w:cs="Arial"/>
          <w:i/>
          <w:sz w:val="22"/>
        </w:rPr>
        <w:t>Criterio 31/10</w:t>
      </w:r>
      <w:r>
        <w:rPr>
          <w:rFonts w:ascii="Palatino Linotype" w:hAnsi="Palatino Linotype" w:cs="Arial"/>
          <w:b/>
          <w:i/>
          <w:sz w:val="22"/>
        </w:rPr>
        <w:t>”</w:t>
      </w:r>
      <w:r>
        <w:rPr>
          <w:rFonts w:ascii="Palatino Linotype" w:hAnsi="Palatino Linotype" w:cs="Arial"/>
          <w:i/>
          <w:sz w:val="22"/>
        </w:rPr>
        <w:t xml:space="preserve"> (sic)</w:t>
      </w:r>
    </w:p>
    <w:p w:rsidR="00C46EAC" w:rsidRDefault="00C45F6D">
      <w:pPr>
        <w:spacing w:beforeAutospacing="1" w:afterAutospacing="1" w:line="360" w:lineRule="auto"/>
        <w:jc w:val="both"/>
        <w:rPr>
          <w:rFonts w:ascii="Palatino Linotype" w:hAnsi="Palatino Linotype" w:cs="Arial"/>
        </w:rPr>
      </w:pPr>
      <w:r>
        <w:rPr>
          <w:rFonts w:ascii="Palatino Linotype" w:hAnsi="Palatino Linotype"/>
        </w:rPr>
        <w:lastRenderedPageBreak/>
        <w:t xml:space="preserve">Ahora bien, </w:t>
      </w:r>
      <w:r>
        <w:rPr>
          <w:rFonts w:ascii="Palatino Linotype" w:hAnsi="Palatino Linotype" w:cs="Arial"/>
        </w:rPr>
        <w:t xml:space="preserve">es importante resaltar que </w:t>
      </w:r>
      <w:r>
        <w:rPr>
          <w:rFonts w:ascii="Palatino Linotype" w:hAnsi="Palatino Linotype"/>
          <w:color w:val="212121"/>
        </w:rPr>
        <w:t>los Sujetos Obligados deben garantizar el derecho de acceso a la información de los particulares, proporcionando la información con la que cuentan, en el formato en que la misma obre en sus archivos; sin necesidad de elaborar documentos </w:t>
      </w:r>
      <w:r>
        <w:rPr>
          <w:rFonts w:ascii="Palatino Linotype" w:hAnsi="Palatino Linotype"/>
          <w:i/>
          <w:iCs/>
          <w:color w:val="212121"/>
        </w:rPr>
        <w:t>ad hoc </w:t>
      </w:r>
      <w:r>
        <w:rPr>
          <w:rFonts w:ascii="Palatino Linotype" w:hAnsi="Palatino Linotype"/>
          <w:color w:val="212121"/>
        </w:rPr>
        <w:t>para atender las solicitudes de información, argumento que se fortalece con el criterio número 03/17 emitido por el Instituto Nacional de Transparencia, Acceso a la Información y Protección de Datos Personales (INAI), cuyo contenido se inserta a continuación:</w:t>
      </w:r>
    </w:p>
    <w:p w:rsidR="00C46EAC" w:rsidRDefault="00C45F6D">
      <w:pPr>
        <w:ind w:left="851" w:right="902"/>
        <w:jc w:val="both"/>
        <w:rPr>
          <w:rFonts w:ascii="Palatino Linotype" w:hAnsi="Palatino Linotype"/>
          <w:i/>
          <w:iCs/>
          <w:color w:val="212121"/>
          <w:sz w:val="22"/>
          <w:szCs w:val="22"/>
          <w:lang w:val="es-ES" w:eastAsia="es-MX"/>
        </w:rPr>
      </w:pPr>
      <w:r>
        <w:rPr>
          <w:rFonts w:ascii="Palatino Linotype" w:hAnsi="Palatino Linotype"/>
          <w:b/>
          <w:bCs/>
          <w:i/>
          <w:iCs/>
          <w:color w:val="212121"/>
          <w:sz w:val="22"/>
          <w:szCs w:val="22"/>
          <w:lang w:val="es-ES" w:eastAsia="es-MX"/>
        </w:rPr>
        <w:t>“No existe obligación de elaborar </w:t>
      </w:r>
      <w:r>
        <w:rPr>
          <w:rFonts w:ascii="Palatino Linotype" w:hAnsi="Palatino Linotype"/>
          <w:b/>
          <w:bCs/>
          <w:i/>
          <w:iCs/>
          <w:color w:val="212121"/>
          <w:spacing w:val="-3"/>
          <w:sz w:val="22"/>
          <w:szCs w:val="22"/>
          <w:lang w:val="es-ES" w:eastAsia="es-MX"/>
        </w:rPr>
        <w:t>d</w:t>
      </w:r>
      <w:r>
        <w:rPr>
          <w:rFonts w:ascii="Palatino Linotype" w:hAnsi="Palatino Linotype"/>
          <w:b/>
          <w:bCs/>
          <w:i/>
          <w:iCs/>
          <w:color w:val="212121"/>
          <w:sz w:val="22"/>
          <w:szCs w:val="22"/>
          <w:lang w:val="es-ES" w:eastAsia="es-MX"/>
        </w:rPr>
        <w:t>ocum</w:t>
      </w:r>
      <w:r>
        <w:rPr>
          <w:rFonts w:ascii="Palatino Linotype" w:hAnsi="Palatino Linotype"/>
          <w:b/>
          <w:bCs/>
          <w:i/>
          <w:iCs/>
          <w:color w:val="212121"/>
          <w:spacing w:val="1"/>
          <w:sz w:val="22"/>
          <w:szCs w:val="22"/>
          <w:lang w:val="es-ES" w:eastAsia="es-MX"/>
        </w:rPr>
        <w:t>e</w:t>
      </w:r>
      <w:r>
        <w:rPr>
          <w:rFonts w:ascii="Palatino Linotype" w:hAnsi="Palatino Linotype"/>
          <w:b/>
          <w:bCs/>
          <w:i/>
          <w:iCs/>
          <w:color w:val="212121"/>
          <w:sz w:val="22"/>
          <w:szCs w:val="22"/>
          <w:lang w:val="es-ES" w:eastAsia="es-MX"/>
        </w:rPr>
        <w:t>n</w:t>
      </w:r>
      <w:r>
        <w:rPr>
          <w:rFonts w:ascii="Palatino Linotype" w:hAnsi="Palatino Linotype"/>
          <w:b/>
          <w:bCs/>
          <w:i/>
          <w:iCs/>
          <w:color w:val="212121"/>
          <w:spacing w:val="-1"/>
          <w:sz w:val="22"/>
          <w:szCs w:val="22"/>
          <w:lang w:val="es-ES" w:eastAsia="es-MX"/>
        </w:rPr>
        <w:t>t</w:t>
      </w:r>
      <w:r>
        <w:rPr>
          <w:rFonts w:ascii="Palatino Linotype" w:hAnsi="Palatino Linotype"/>
          <w:b/>
          <w:bCs/>
          <w:i/>
          <w:iCs/>
          <w:color w:val="212121"/>
          <w:sz w:val="22"/>
          <w:szCs w:val="22"/>
          <w:lang w:val="es-ES" w:eastAsia="es-MX"/>
        </w:rPr>
        <w:t>os</w:t>
      </w:r>
      <w:r>
        <w:rPr>
          <w:rFonts w:ascii="Palatino Linotype" w:hAnsi="Palatino Linotype"/>
          <w:b/>
          <w:bCs/>
          <w:i/>
          <w:iCs/>
          <w:color w:val="212121"/>
          <w:spacing w:val="14"/>
          <w:sz w:val="22"/>
          <w:szCs w:val="22"/>
          <w:lang w:val="es-ES" w:eastAsia="es-MX"/>
        </w:rPr>
        <w:t> </w:t>
      </w:r>
      <w:r>
        <w:rPr>
          <w:rFonts w:ascii="Palatino Linotype" w:hAnsi="Palatino Linotype"/>
          <w:b/>
          <w:bCs/>
          <w:i/>
          <w:iCs/>
          <w:color w:val="212121"/>
          <w:spacing w:val="-1"/>
          <w:sz w:val="22"/>
          <w:szCs w:val="22"/>
          <w:lang w:val="es-ES" w:eastAsia="es-MX"/>
        </w:rPr>
        <w:t>ad </w:t>
      </w:r>
      <w:r>
        <w:rPr>
          <w:rFonts w:ascii="Palatino Linotype" w:hAnsi="Palatino Linotype"/>
          <w:b/>
          <w:bCs/>
          <w:i/>
          <w:iCs/>
          <w:color w:val="212121"/>
          <w:sz w:val="22"/>
          <w:szCs w:val="22"/>
          <w:lang w:val="es-ES" w:eastAsia="es-MX"/>
        </w:rPr>
        <w:t>hoc</w:t>
      </w:r>
      <w:r>
        <w:rPr>
          <w:rFonts w:ascii="Palatino Linotype" w:hAnsi="Palatino Linotype"/>
          <w:b/>
          <w:bCs/>
          <w:i/>
          <w:iCs/>
          <w:color w:val="212121"/>
          <w:spacing w:val="11"/>
          <w:sz w:val="22"/>
          <w:szCs w:val="22"/>
          <w:lang w:val="es-ES" w:eastAsia="es-MX"/>
        </w:rPr>
        <w:t> </w:t>
      </w:r>
      <w:r>
        <w:rPr>
          <w:rFonts w:ascii="Palatino Linotype" w:hAnsi="Palatino Linotype"/>
          <w:b/>
          <w:bCs/>
          <w:i/>
          <w:iCs/>
          <w:color w:val="212121"/>
          <w:sz w:val="22"/>
          <w:szCs w:val="22"/>
          <w:lang w:val="es-ES" w:eastAsia="es-MX"/>
        </w:rPr>
        <w:t>para</w:t>
      </w:r>
      <w:r>
        <w:rPr>
          <w:rFonts w:ascii="Palatino Linotype" w:hAnsi="Palatino Linotype"/>
          <w:b/>
          <w:bCs/>
          <w:i/>
          <w:iCs/>
          <w:color w:val="212121"/>
          <w:spacing w:val="10"/>
          <w:sz w:val="22"/>
          <w:szCs w:val="22"/>
          <w:lang w:val="es-ES" w:eastAsia="es-MX"/>
        </w:rPr>
        <w:t> </w:t>
      </w:r>
      <w:r>
        <w:rPr>
          <w:rFonts w:ascii="Palatino Linotype" w:hAnsi="Palatino Linotype"/>
          <w:b/>
          <w:bCs/>
          <w:i/>
          <w:iCs/>
          <w:color w:val="212121"/>
          <w:sz w:val="22"/>
          <w:szCs w:val="22"/>
          <w:lang w:val="es-ES" w:eastAsia="es-MX"/>
        </w:rPr>
        <w:t>atender las sol</w:t>
      </w:r>
      <w:r>
        <w:rPr>
          <w:rFonts w:ascii="Palatino Linotype" w:hAnsi="Palatino Linotype"/>
          <w:b/>
          <w:bCs/>
          <w:i/>
          <w:iCs/>
          <w:color w:val="212121"/>
          <w:spacing w:val="-2"/>
          <w:sz w:val="22"/>
          <w:szCs w:val="22"/>
          <w:lang w:val="es-ES" w:eastAsia="es-MX"/>
        </w:rPr>
        <w:t>i</w:t>
      </w:r>
      <w:r>
        <w:rPr>
          <w:rFonts w:ascii="Palatino Linotype" w:hAnsi="Palatino Linotype"/>
          <w:b/>
          <w:bCs/>
          <w:i/>
          <w:iCs/>
          <w:color w:val="212121"/>
          <w:spacing w:val="1"/>
          <w:sz w:val="22"/>
          <w:szCs w:val="22"/>
          <w:lang w:val="es-ES" w:eastAsia="es-MX"/>
        </w:rPr>
        <w:t>c</w:t>
      </w:r>
      <w:r>
        <w:rPr>
          <w:rFonts w:ascii="Palatino Linotype" w:hAnsi="Palatino Linotype"/>
          <w:b/>
          <w:bCs/>
          <w:i/>
          <w:iCs/>
          <w:color w:val="212121"/>
          <w:sz w:val="22"/>
          <w:szCs w:val="22"/>
          <w:lang w:val="es-ES" w:eastAsia="es-MX"/>
        </w:rPr>
        <w:t>itudes</w:t>
      </w:r>
      <w:r>
        <w:rPr>
          <w:rFonts w:ascii="Palatino Linotype" w:hAnsi="Palatino Linotype"/>
          <w:b/>
          <w:bCs/>
          <w:i/>
          <w:iCs/>
          <w:color w:val="212121"/>
          <w:spacing w:val="10"/>
          <w:sz w:val="22"/>
          <w:szCs w:val="22"/>
          <w:lang w:val="es-ES" w:eastAsia="es-MX"/>
        </w:rPr>
        <w:t> </w:t>
      </w:r>
      <w:r>
        <w:rPr>
          <w:rFonts w:ascii="Palatino Linotype" w:hAnsi="Palatino Linotype"/>
          <w:b/>
          <w:bCs/>
          <w:i/>
          <w:iCs/>
          <w:color w:val="212121"/>
          <w:sz w:val="22"/>
          <w:szCs w:val="22"/>
          <w:lang w:val="es-ES" w:eastAsia="es-MX"/>
        </w:rPr>
        <w:t>de</w:t>
      </w:r>
      <w:r>
        <w:rPr>
          <w:rFonts w:ascii="Palatino Linotype" w:hAnsi="Palatino Linotype"/>
          <w:b/>
          <w:bCs/>
          <w:i/>
          <w:iCs/>
          <w:color w:val="212121"/>
          <w:spacing w:val="9"/>
          <w:sz w:val="22"/>
          <w:szCs w:val="22"/>
          <w:lang w:val="es-ES" w:eastAsia="es-MX"/>
        </w:rPr>
        <w:t> </w:t>
      </w:r>
      <w:r>
        <w:rPr>
          <w:rFonts w:ascii="Palatino Linotype" w:hAnsi="Palatino Linotype"/>
          <w:b/>
          <w:bCs/>
          <w:i/>
          <w:iCs/>
          <w:color w:val="212121"/>
          <w:spacing w:val="1"/>
          <w:sz w:val="22"/>
          <w:szCs w:val="22"/>
          <w:lang w:val="es-ES" w:eastAsia="es-MX"/>
        </w:rPr>
        <w:t>ac</w:t>
      </w:r>
      <w:r>
        <w:rPr>
          <w:rFonts w:ascii="Palatino Linotype" w:hAnsi="Palatino Linotype"/>
          <w:b/>
          <w:bCs/>
          <w:i/>
          <w:iCs/>
          <w:color w:val="212121"/>
          <w:spacing w:val="-1"/>
          <w:sz w:val="22"/>
          <w:szCs w:val="22"/>
          <w:lang w:val="es-ES" w:eastAsia="es-MX"/>
        </w:rPr>
        <w:t>c</w:t>
      </w:r>
      <w:r>
        <w:rPr>
          <w:rFonts w:ascii="Palatino Linotype" w:hAnsi="Palatino Linotype"/>
          <w:b/>
          <w:bCs/>
          <w:i/>
          <w:iCs/>
          <w:color w:val="212121"/>
          <w:spacing w:val="1"/>
          <w:sz w:val="22"/>
          <w:szCs w:val="22"/>
          <w:lang w:val="es-ES" w:eastAsia="es-MX"/>
        </w:rPr>
        <w:t>es</w:t>
      </w:r>
      <w:r>
        <w:rPr>
          <w:rFonts w:ascii="Palatino Linotype" w:hAnsi="Palatino Linotype"/>
          <w:b/>
          <w:bCs/>
          <w:i/>
          <w:iCs/>
          <w:color w:val="212121"/>
          <w:sz w:val="22"/>
          <w:szCs w:val="22"/>
          <w:lang w:val="es-ES" w:eastAsia="es-MX"/>
        </w:rPr>
        <w:t>o</w:t>
      </w:r>
      <w:r>
        <w:rPr>
          <w:rFonts w:ascii="Palatino Linotype" w:hAnsi="Palatino Linotype"/>
          <w:b/>
          <w:bCs/>
          <w:i/>
          <w:iCs/>
          <w:color w:val="212121"/>
          <w:spacing w:val="11"/>
          <w:sz w:val="22"/>
          <w:szCs w:val="22"/>
          <w:lang w:val="es-ES" w:eastAsia="es-MX"/>
        </w:rPr>
        <w:t> </w:t>
      </w:r>
      <w:r>
        <w:rPr>
          <w:rFonts w:ascii="Palatino Linotype" w:hAnsi="Palatino Linotype"/>
          <w:b/>
          <w:bCs/>
          <w:i/>
          <w:iCs/>
          <w:color w:val="212121"/>
          <w:sz w:val="22"/>
          <w:szCs w:val="22"/>
          <w:lang w:val="es-ES" w:eastAsia="es-MX"/>
        </w:rPr>
        <w:t>a</w:t>
      </w:r>
      <w:r>
        <w:rPr>
          <w:rFonts w:ascii="Palatino Linotype" w:hAnsi="Palatino Linotype"/>
          <w:b/>
          <w:bCs/>
          <w:i/>
          <w:iCs/>
          <w:color w:val="212121"/>
          <w:spacing w:val="9"/>
          <w:sz w:val="22"/>
          <w:szCs w:val="22"/>
          <w:lang w:val="es-ES" w:eastAsia="es-MX"/>
        </w:rPr>
        <w:t> </w:t>
      </w:r>
      <w:r>
        <w:rPr>
          <w:rFonts w:ascii="Palatino Linotype" w:hAnsi="Palatino Linotype"/>
          <w:b/>
          <w:bCs/>
          <w:i/>
          <w:iCs/>
          <w:color w:val="212121"/>
          <w:sz w:val="22"/>
          <w:szCs w:val="22"/>
          <w:lang w:val="es-ES" w:eastAsia="es-MX"/>
        </w:rPr>
        <w:t>la</w:t>
      </w:r>
      <w:r>
        <w:rPr>
          <w:rFonts w:ascii="Palatino Linotype" w:hAnsi="Palatino Linotype"/>
          <w:b/>
          <w:bCs/>
          <w:i/>
          <w:iCs/>
          <w:color w:val="212121"/>
          <w:spacing w:val="10"/>
          <w:sz w:val="22"/>
          <w:szCs w:val="22"/>
          <w:lang w:val="es-ES" w:eastAsia="es-MX"/>
        </w:rPr>
        <w:t> </w:t>
      </w:r>
      <w:r>
        <w:rPr>
          <w:rFonts w:ascii="Palatino Linotype" w:hAnsi="Palatino Linotype"/>
          <w:b/>
          <w:bCs/>
          <w:i/>
          <w:iCs/>
          <w:color w:val="212121"/>
          <w:sz w:val="22"/>
          <w:szCs w:val="22"/>
          <w:lang w:val="es-ES" w:eastAsia="es-MX"/>
        </w:rPr>
        <w:t>informa</w:t>
      </w:r>
      <w:r>
        <w:rPr>
          <w:rFonts w:ascii="Palatino Linotype" w:hAnsi="Palatino Linotype"/>
          <w:b/>
          <w:bCs/>
          <w:i/>
          <w:iCs/>
          <w:color w:val="212121"/>
          <w:spacing w:val="1"/>
          <w:sz w:val="22"/>
          <w:szCs w:val="22"/>
          <w:lang w:val="es-ES" w:eastAsia="es-MX"/>
        </w:rPr>
        <w:t>c</w:t>
      </w:r>
      <w:r>
        <w:rPr>
          <w:rFonts w:ascii="Palatino Linotype" w:hAnsi="Palatino Linotype"/>
          <w:b/>
          <w:bCs/>
          <w:i/>
          <w:iCs/>
          <w:color w:val="212121"/>
          <w:sz w:val="22"/>
          <w:szCs w:val="22"/>
          <w:lang w:val="es-ES" w:eastAsia="es-MX"/>
        </w:rPr>
        <w:t>ió</w:t>
      </w:r>
      <w:r>
        <w:rPr>
          <w:rFonts w:ascii="Palatino Linotype" w:hAnsi="Palatino Linotype"/>
          <w:b/>
          <w:bCs/>
          <w:i/>
          <w:iCs/>
          <w:color w:val="212121"/>
          <w:spacing w:val="-2"/>
          <w:sz w:val="22"/>
          <w:szCs w:val="22"/>
          <w:lang w:val="es-ES" w:eastAsia="es-MX"/>
        </w:rPr>
        <w:t>n</w:t>
      </w:r>
      <w:r>
        <w:rPr>
          <w:rFonts w:ascii="Palatino Linotype" w:hAnsi="Palatino Linotype"/>
          <w:b/>
          <w:bCs/>
          <w:i/>
          <w:iCs/>
          <w:color w:val="212121"/>
          <w:sz w:val="22"/>
          <w:szCs w:val="22"/>
          <w:lang w:val="es-ES" w:eastAsia="es-MX"/>
        </w:rPr>
        <w:t>.</w:t>
      </w:r>
      <w:r>
        <w:rPr>
          <w:rFonts w:ascii="Palatino Linotype" w:hAnsi="Palatino Linotype"/>
          <w:b/>
          <w:bCs/>
          <w:i/>
          <w:iCs/>
          <w:color w:val="212121"/>
          <w:spacing w:val="18"/>
          <w:sz w:val="22"/>
          <w:szCs w:val="22"/>
          <w:lang w:val="es-ES" w:eastAsia="es-MX"/>
        </w:rPr>
        <w:t> </w:t>
      </w:r>
      <w:r>
        <w:rPr>
          <w:rFonts w:ascii="Palatino Linotype" w:hAnsi="Palatino Linotype"/>
          <w:i/>
          <w:iCs/>
          <w:color w:val="212121"/>
          <w:spacing w:val="18"/>
          <w:sz w:val="22"/>
          <w:szCs w:val="22"/>
          <w:lang w:val="es-ES" w:eastAsia="es-MX"/>
        </w:rPr>
        <w:t>L</w:t>
      </w:r>
      <w:r>
        <w:rPr>
          <w:rFonts w:ascii="Palatino Linotype" w:hAnsi="Palatino Linotype"/>
          <w:i/>
          <w:iCs/>
          <w:color w:val="212121"/>
          <w:spacing w:val="-1"/>
          <w:sz w:val="22"/>
          <w:szCs w:val="22"/>
          <w:lang w:val="es-ES" w:eastAsia="es-MX"/>
        </w:rPr>
        <w:t>os </w:t>
      </w:r>
      <w:r>
        <w:rPr>
          <w:rFonts w:ascii="Palatino Linotype" w:hAnsi="Palatino Linotype"/>
          <w:i/>
          <w:iCs/>
          <w:color w:val="212121"/>
          <w:spacing w:val="1"/>
          <w:sz w:val="22"/>
          <w:szCs w:val="22"/>
          <w:lang w:val="es-ES" w:eastAsia="es-MX"/>
        </w:rPr>
        <w:t>a</w:t>
      </w:r>
      <w:r>
        <w:rPr>
          <w:rFonts w:ascii="Palatino Linotype" w:hAnsi="Palatino Linotype"/>
          <w:i/>
          <w:iCs/>
          <w:color w:val="212121"/>
          <w:sz w:val="22"/>
          <w:szCs w:val="22"/>
          <w:lang w:val="es-ES" w:eastAsia="es-MX"/>
        </w:rPr>
        <w:t>rt</w:t>
      </w:r>
      <w:r>
        <w:rPr>
          <w:rFonts w:ascii="Palatino Linotype" w:hAnsi="Palatino Linotype"/>
          <w:i/>
          <w:iCs/>
          <w:color w:val="212121"/>
          <w:spacing w:val="-2"/>
          <w:sz w:val="22"/>
          <w:szCs w:val="22"/>
          <w:lang w:val="es-ES" w:eastAsia="es-MX"/>
        </w:rPr>
        <w:t>í</w:t>
      </w:r>
      <w:r>
        <w:rPr>
          <w:rFonts w:ascii="Palatino Linotype" w:hAnsi="Palatino Linotype"/>
          <w:i/>
          <w:iCs/>
          <w:color w:val="212121"/>
          <w:sz w:val="22"/>
          <w:szCs w:val="22"/>
          <w:lang w:val="es-ES" w:eastAsia="es-MX"/>
        </w:rPr>
        <w:t>c</w:t>
      </w:r>
      <w:r>
        <w:rPr>
          <w:rFonts w:ascii="Palatino Linotype" w:hAnsi="Palatino Linotype"/>
          <w:i/>
          <w:iCs/>
          <w:color w:val="212121"/>
          <w:spacing w:val="1"/>
          <w:sz w:val="22"/>
          <w:szCs w:val="22"/>
          <w:lang w:val="es-ES" w:eastAsia="es-MX"/>
        </w:rPr>
        <w:t>u</w:t>
      </w:r>
      <w:r>
        <w:rPr>
          <w:rFonts w:ascii="Palatino Linotype" w:hAnsi="Palatino Linotype"/>
          <w:i/>
          <w:iCs/>
          <w:color w:val="212121"/>
          <w:sz w:val="22"/>
          <w:szCs w:val="22"/>
          <w:lang w:val="es-ES" w:eastAsia="es-MX"/>
        </w:rPr>
        <w:t>los</w:t>
      </w:r>
      <w:r>
        <w:rPr>
          <w:rFonts w:ascii="Palatino Linotype" w:hAnsi="Palatino Linotype"/>
          <w:i/>
          <w:iCs/>
          <w:color w:val="212121"/>
          <w:spacing w:val="8"/>
          <w:sz w:val="22"/>
          <w:szCs w:val="22"/>
          <w:lang w:val="es-ES" w:eastAsia="es-MX"/>
        </w:rPr>
        <w:t> 129 </w:t>
      </w:r>
      <w:r>
        <w:rPr>
          <w:rFonts w:ascii="Palatino Linotype" w:hAnsi="Palatino Linotype"/>
          <w:i/>
          <w:iCs/>
          <w:color w:val="212121"/>
          <w:spacing w:val="1"/>
          <w:sz w:val="22"/>
          <w:szCs w:val="22"/>
          <w:lang w:val="es-ES" w:eastAsia="es-MX"/>
        </w:rPr>
        <w:t>d</w:t>
      </w:r>
      <w:r>
        <w:rPr>
          <w:rFonts w:ascii="Palatino Linotype" w:hAnsi="Palatino Linotype"/>
          <w:i/>
          <w:iCs/>
          <w:color w:val="212121"/>
          <w:sz w:val="22"/>
          <w:szCs w:val="22"/>
          <w:lang w:val="es-ES" w:eastAsia="es-MX"/>
        </w:rPr>
        <w:t>e</w:t>
      </w:r>
      <w:r>
        <w:rPr>
          <w:rFonts w:ascii="Palatino Linotype" w:hAnsi="Palatino Linotype"/>
          <w:i/>
          <w:iCs/>
          <w:color w:val="212121"/>
          <w:spacing w:val="9"/>
          <w:sz w:val="22"/>
          <w:szCs w:val="22"/>
          <w:lang w:val="es-ES" w:eastAsia="es-MX"/>
        </w:rPr>
        <w:t> </w:t>
      </w:r>
      <w:r>
        <w:rPr>
          <w:rFonts w:ascii="Palatino Linotype" w:hAnsi="Palatino Linotype"/>
          <w:i/>
          <w:iCs/>
          <w:color w:val="212121"/>
          <w:sz w:val="22"/>
          <w:szCs w:val="22"/>
          <w:lang w:val="es-ES" w:eastAsia="es-MX"/>
        </w:rPr>
        <w:t>la</w:t>
      </w:r>
      <w:r>
        <w:rPr>
          <w:rFonts w:ascii="Palatino Linotype" w:hAnsi="Palatino Linotype"/>
          <w:i/>
          <w:iCs/>
          <w:color w:val="212121"/>
          <w:spacing w:val="10"/>
          <w:sz w:val="22"/>
          <w:szCs w:val="22"/>
          <w:lang w:val="es-ES" w:eastAsia="es-MX"/>
        </w:rPr>
        <w:t> </w:t>
      </w:r>
      <w:r>
        <w:rPr>
          <w:rFonts w:ascii="Palatino Linotype" w:hAnsi="Palatino Linotype"/>
          <w:i/>
          <w:iCs/>
          <w:color w:val="212121"/>
          <w:spacing w:val="-1"/>
          <w:sz w:val="22"/>
          <w:szCs w:val="22"/>
          <w:lang w:val="es-ES" w:eastAsia="es-MX"/>
        </w:rPr>
        <w:t>L</w:t>
      </w:r>
      <w:r>
        <w:rPr>
          <w:rFonts w:ascii="Palatino Linotype" w:hAnsi="Palatino Linotype"/>
          <w:i/>
          <w:iCs/>
          <w:color w:val="212121"/>
          <w:spacing w:val="1"/>
          <w:sz w:val="22"/>
          <w:szCs w:val="22"/>
          <w:lang w:val="es-ES" w:eastAsia="es-MX"/>
        </w:rPr>
        <w:t>e</w:t>
      </w:r>
      <w:r>
        <w:rPr>
          <w:rFonts w:ascii="Palatino Linotype" w:hAnsi="Palatino Linotype"/>
          <w:i/>
          <w:iCs/>
          <w:color w:val="212121"/>
          <w:sz w:val="22"/>
          <w:szCs w:val="22"/>
          <w:lang w:val="es-ES" w:eastAsia="es-MX"/>
        </w:rPr>
        <w:t>y</w:t>
      </w:r>
      <w:r>
        <w:rPr>
          <w:rFonts w:ascii="Palatino Linotype" w:hAnsi="Palatino Linotype"/>
          <w:i/>
          <w:iCs/>
          <w:color w:val="212121"/>
          <w:spacing w:val="8"/>
          <w:sz w:val="22"/>
          <w:szCs w:val="22"/>
          <w:lang w:val="es-ES" w:eastAsia="es-MX"/>
        </w:rPr>
        <w:t> </w:t>
      </w:r>
      <w:r>
        <w:rPr>
          <w:rFonts w:ascii="Palatino Linotype" w:hAnsi="Palatino Linotype"/>
          <w:i/>
          <w:iCs/>
          <w:color w:val="212121"/>
          <w:sz w:val="22"/>
          <w:szCs w:val="22"/>
          <w:lang w:val="es-ES" w:eastAsia="es-MX"/>
        </w:rPr>
        <w:t>General</w:t>
      </w:r>
      <w:r>
        <w:rPr>
          <w:rFonts w:ascii="Palatino Linotype" w:hAnsi="Palatino Linotype"/>
          <w:i/>
          <w:iCs/>
          <w:color w:val="212121"/>
          <w:spacing w:val="10"/>
          <w:sz w:val="22"/>
          <w:szCs w:val="22"/>
          <w:lang w:val="es-ES" w:eastAsia="es-MX"/>
        </w:rPr>
        <w:t> </w:t>
      </w:r>
      <w:r>
        <w:rPr>
          <w:rFonts w:ascii="Palatino Linotype" w:hAnsi="Palatino Linotype"/>
          <w:i/>
          <w:iCs/>
          <w:color w:val="212121"/>
          <w:spacing w:val="-1"/>
          <w:sz w:val="22"/>
          <w:szCs w:val="22"/>
          <w:lang w:val="es-ES" w:eastAsia="es-MX"/>
        </w:rPr>
        <w:t>d</w:t>
      </w:r>
      <w:r>
        <w:rPr>
          <w:rFonts w:ascii="Palatino Linotype" w:hAnsi="Palatino Linotype"/>
          <w:i/>
          <w:iCs/>
          <w:color w:val="212121"/>
          <w:sz w:val="22"/>
          <w:szCs w:val="22"/>
          <w:lang w:val="es-ES" w:eastAsia="es-MX"/>
        </w:rPr>
        <w:t>e</w:t>
      </w:r>
      <w:r>
        <w:rPr>
          <w:rFonts w:ascii="Palatino Linotype" w:hAnsi="Palatino Linotype"/>
          <w:i/>
          <w:iCs/>
          <w:color w:val="212121"/>
          <w:spacing w:val="9"/>
          <w:sz w:val="22"/>
          <w:szCs w:val="22"/>
          <w:lang w:val="es-ES" w:eastAsia="es-MX"/>
        </w:rPr>
        <w:t> </w:t>
      </w:r>
      <w:r>
        <w:rPr>
          <w:rFonts w:ascii="Palatino Linotype" w:hAnsi="Palatino Linotype"/>
          <w:i/>
          <w:iCs/>
          <w:color w:val="212121"/>
          <w:spacing w:val="2"/>
          <w:sz w:val="22"/>
          <w:szCs w:val="22"/>
          <w:lang w:val="es-ES" w:eastAsia="es-MX"/>
        </w:rPr>
        <w:t>T</w:t>
      </w:r>
      <w:r>
        <w:rPr>
          <w:rFonts w:ascii="Palatino Linotype" w:hAnsi="Palatino Linotype"/>
          <w:i/>
          <w:iCs/>
          <w:color w:val="212121"/>
          <w:sz w:val="22"/>
          <w:szCs w:val="22"/>
          <w:lang w:val="es-ES" w:eastAsia="es-MX"/>
        </w:rPr>
        <w:t>r</w:t>
      </w:r>
      <w:r>
        <w:rPr>
          <w:rFonts w:ascii="Palatino Linotype" w:hAnsi="Palatino Linotype"/>
          <w:i/>
          <w:iCs/>
          <w:color w:val="212121"/>
          <w:spacing w:val="-2"/>
          <w:sz w:val="22"/>
          <w:szCs w:val="22"/>
          <w:lang w:val="es-ES" w:eastAsia="es-MX"/>
        </w:rPr>
        <w:t>a</w:t>
      </w:r>
      <w:r>
        <w:rPr>
          <w:rFonts w:ascii="Palatino Linotype" w:hAnsi="Palatino Linotype"/>
          <w:i/>
          <w:iCs/>
          <w:color w:val="212121"/>
          <w:spacing w:val="1"/>
          <w:sz w:val="22"/>
          <w:szCs w:val="22"/>
          <w:lang w:val="es-ES" w:eastAsia="es-MX"/>
        </w:rPr>
        <w:t>n</w:t>
      </w:r>
      <w:r>
        <w:rPr>
          <w:rFonts w:ascii="Palatino Linotype" w:hAnsi="Palatino Linotype"/>
          <w:i/>
          <w:iCs/>
          <w:color w:val="212121"/>
          <w:sz w:val="22"/>
          <w:szCs w:val="22"/>
          <w:lang w:val="es-ES" w:eastAsia="es-MX"/>
        </w:rPr>
        <w:t>s</w:t>
      </w:r>
      <w:r>
        <w:rPr>
          <w:rFonts w:ascii="Palatino Linotype" w:hAnsi="Palatino Linotype"/>
          <w:i/>
          <w:iCs/>
          <w:color w:val="212121"/>
          <w:spacing w:val="1"/>
          <w:sz w:val="22"/>
          <w:szCs w:val="22"/>
          <w:lang w:val="es-ES" w:eastAsia="es-MX"/>
        </w:rPr>
        <w:t>pa</w:t>
      </w:r>
      <w:r>
        <w:rPr>
          <w:rFonts w:ascii="Palatino Linotype" w:hAnsi="Palatino Linotype"/>
          <w:i/>
          <w:iCs/>
          <w:color w:val="212121"/>
          <w:sz w:val="22"/>
          <w:szCs w:val="22"/>
          <w:lang w:val="es-ES" w:eastAsia="es-MX"/>
        </w:rPr>
        <w:t>r</w:t>
      </w:r>
      <w:r>
        <w:rPr>
          <w:rFonts w:ascii="Palatino Linotype" w:hAnsi="Palatino Linotype"/>
          <w:i/>
          <w:iCs/>
          <w:color w:val="212121"/>
          <w:spacing w:val="-2"/>
          <w:sz w:val="22"/>
          <w:szCs w:val="22"/>
          <w:lang w:val="es-ES" w:eastAsia="es-MX"/>
        </w:rPr>
        <w:t>e</w:t>
      </w:r>
      <w:r>
        <w:rPr>
          <w:rFonts w:ascii="Palatino Linotype" w:hAnsi="Palatino Linotype"/>
          <w:i/>
          <w:iCs/>
          <w:color w:val="212121"/>
          <w:spacing w:val="1"/>
          <w:sz w:val="22"/>
          <w:szCs w:val="22"/>
          <w:lang w:val="es-ES" w:eastAsia="es-MX"/>
        </w:rPr>
        <w:t>n</w:t>
      </w:r>
      <w:r>
        <w:rPr>
          <w:rFonts w:ascii="Palatino Linotype" w:hAnsi="Palatino Linotype"/>
          <w:i/>
          <w:iCs/>
          <w:color w:val="212121"/>
          <w:sz w:val="22"/>
          <w:szCs w:val="22"/>
          <w:lang w:val="es-ES" w:eastAsia="es-MX"/>
        </w:rPr>
        <w:t>cia y Acc</w:t>
      </w:r>
      <w:r>
        <w:rPr>
          <w:rFonts w:ascii="Palatino Linotype" w:hAnsi="Palatino Linotype"/>
          <w:i/>
          <w:iCs/>
          <w:color w:val="212121"/>
          <w:spacing w:val="1"/>
          <w:sz w:val="22"/>
          <w:szCs w:val="22"/>
          <w:lang w:val="es-ES" w:eastAsia="es-MX"/>
        </w:rPr>
        <w:t>e</w:t>
      </w:r>
      <w:r>
        <w:rPr>
          <w:rFonts w:ascii="Palatino Linotype" w:hAnsi="Palatino Linotype"/>
          <w:i/>
          <w:iCs/>
          <w:color w:val="212121"/>
          <w:sz w:val="22"/>
          <w:szCs w:val="22"/>
          <w:lang w:val="es-ES" w:eastAsia="es-MX"/>
        </w:rPr>
        <w:t>so</w:t>
      </w:r>
      <w:r>
        <w:rPr>
          <w:rFonts w:ascii="Palatino Linotype" w:hAnsi="Palatino Linotype"/>
          <w:i/>
          <w:iCs/>
          <w:color w:val="212121"/>
          <w:spacing w:val="3"/>
          <w:sz w:val="22"/>
          <w:szCs w:val="22"/>
          <w:lang w:val="es-ES" w:eastAsia="es-MX"/>
        </w:rPr>
        <w:t> </w:t>
      </w:r>
      <w:r>
        <w:rPr>
          <w:rFonts w:ascii="Palatino Linotype" w:hAnsi="Palatino Linotype"/>
          <w:i/>
          <w:iCs/>
          <w:color w:val="212121"/>
          <w:sz w:val="22"/>
          <w:szCs w:val="22"/>
          <w:lang w:val="es-ES" w:eastAsia="es-MX"/>
        </w:rPr>
        <w:t>a</w:t>
      </w:r>
      <w:r>
        <w:rPr>
          <w:rFonts w:ascii="Palatino Linotype" w:hAnsi="Palatino Linotype"/>
          <w:i/>
          <w:iCs/>
          <w:color w:val="212121"/>
          <w:spacing w:val="1"/>
          <w:sz w:val="22"/>
          <w:szCs w:val="22"/>
          <w:lang w:val="es-ES" w:eastAsia="es-MX"/>
        </w:rPr>
        <w:t> </w:t>
      </w:r>
      <w:r>
        <w:rPr>
          <w:rFonts w:ascii="Palatino Linotype" w:hAnsi="Palatino Linotype"/>
          <w:i/>
          <w:iCs/>
          <w:color w:val="212121"/>
          <w:sz w:val="22"/>
          <w:szCs w:val="22"/>
          <w:lang w:val="es-ES" w:eastAsia="es-MX"/>
        </w:rPr>
        <w:t>la I</w:t>
      </w:r>
      <w:r>
        <w:rPr>
          <w:rFonts w:ascii="Palatino Linotype" w:hAnsi="Palatino Linotype"/>
          <w:i/>
          <w:iCs/>
          <w:color w:val="212121"/>
          <w:spacing w:val="-1"/>
          <w:sz w:val="22"/>
          <w:szCs w:val="22"/>
          <w:lang w:val="es-ES" w:eastAsia="es-MX"/>
        </w:rPr>
        <w:t>n</w:t>
      </w:r>
      <w:r>
        <w:rPr>
          <w:rFonts w:ascii="Palatino Linotype" w:hAnsi="Palatino Linotype"/>
          <w:i/>
          <w:iCs/>
          <w:color w:val="212121"/>
          <w:sz w:val="22"/>
          <w:szCs w:val="22"/>
          <w:lang w:val="es-ES" w:eastAsia="es-MX"/>
        </w:rPr>
        <w:t>f</w:t>
      </w:r>
      <w:r>
        <w:rPr>
          <w:rFonts w:ascii="Palatino Linotype" w:hAnsi="Palatino Linotype"/>
          <w:i/>
          <w:iCs/>
          <w:color w:val="212121"/>
          <w:spacing w:val="1"/>
          <w:sz w:val="22"/>
          <w:szCs w:val="22"/>
          <w:lang w:val="es-ES" w:eastAsia="es-MX"/>
        </w:rPr>
        <w:t>o</w:t>
      </w:r>
      <w:r>
        <w:rPr>
          <w:rFonts w:ascii="Palatino Linotype" w:hAnsi="Palatino Linotype"/>
          <w:i/>
          <w:iCs/>
          <w:color w:val="212121"/>
          <w:spacing w:val="-3"/>
          <w:sz w:val="22"/>
          <w:szCs w:val="22"/>
          <w:lang w:val="es-ES" w:eastAsia="es-MX"/>
        </w:rPr>
        <w:t>r</w:t>
      </w:r>
      <w:r>
        <w:rPr>
          <w:rFonts w:ascii="Palatino Linotype" w:hAnsi="Palatino Linotype"/>
          <w:i/>
          <w:iCs/>
          <w:color w:val="212121"/>
          <w:spacing w:val="1"/>
          <w:sz w:val="22"/>
          <w:szCs w:val="22"/>
          <w:lang w:val="es-ES" w:eastAsia="es-MX"/>
        </w:rPr>
        <w:t>ma</w:t>
      </w:r>
      <w:r>
        <w:rPr>
          <w:rFonts w:ascii="Palatino Linotype" w:hAnsi="Palatino Linotype"/>
          <w:i/>
          <w:iCs/>
          <w:color w:val="212121"/>
          <w:sz w:val="22"/>
          <w:szCs w:val="22"/>
          <w:lang w:val="es-ES" w:eastAsia="es-MX"/>
        </w:rPr>
        <w:t>ci</w:t>
      </w:r>
      <w:r>
        <w:rPr>
          <w:rFonts w:ascii="Palatino Linotype" w:hAnsi="Palatino Linotype"/>
          <w:i/>
          <w:iCs/>
          <w:color w:val="212121"/>
          <w:spacing w:val="-2"/>
          <w:sz w:val="22"/>
          <w:szCs w:val="22"/>
          <w:lang w:val="es-ES" w:eastAsia="es-MX"/>
        </w:rPr>
        <w:t>ó</w:t>
      </w:r>
      <w:r>
        <w:rPr>
          <w:rFonts w:ascii="Palatino Linotype" w:hAnsi="Palatino Linotype"/>
          <w:i/>
          <w:iCs/>
          <w:color w:val="212121"/>
          <w:sz w:val="22"/>
          <w:szCs w:val="22"/>
          <w:lang w:val="es-ES" w:eastAsia="es-MX"/>
        </w:rPr>
        <w:t>n</w:t>
      </w:r>
      <w:r>
        <w:rPr>
          <w:rFonts w:ascii="Palatino Linotype" w:hAnsi="Palatino Linotype"/>
          <w:i/>
          <w:iCs/>
          <w:color w:val="212121"/>
          <w:spacing w:val="6"/>
          <w:sz w:val="22"/>
          <w:szCs w:val="22"/>
          <w:lang w:val="es-ES" w:eastAsia="es-MX"/>
        </w:rPr>
        <w:t> </w:t>
      </w:r>
      <w:r>
        <w:rPr>
          <w:rFonts w:ascii="Palatino Linotype" w:hAnsi="Palatino Linotype"/>
          <w:i/>
          <w:iCs/>
          <w:color w:val="212121"/>
          <w:spacing w:val="-2"/>
          <w:sz w:val="22"/>
          <w:szCs w:val="22"/>
          <w:lang w:val="es-ES" w:eastAsia="es-MX"/>
        </w:rPr>
        <w:t>P</w:t>
      </w:r>
      <w:r>
        <w:rPr>
          <w:rFonts w:ascii="Palatino Linotype" w:hAnsi="Palatino Linotype"/>
          <w:i/>
          <w:iCs/>
          <w:color w:val="212121"/>
          <w:spacing w:val="1"/>
          <w:sz w:val="22"/>
          <w:szCs w:val="22"/>
          <w:lang w:val="es-ES" w:eastAsia="es-MX"/>
        </w:rPr>
        <w:t>úb</w:t>
      </w:r>
      <w:r>
        <w:rPr>
          <w:rFonts w:ascii="Palatino Linotype" w:hAnsi="Palatino Linotype"/>
          <w:i/>
          <w:iCs/>
          <w:color w:val="212121"/>
          <w:sz w:val="22"/>
          <w:szCs w:val="22"/>
          <w:lang w:val="es-ES" w:eastAsia="es-MX"/>
        </w:rPr>
        <w:t>l</w:t>
      </w:r>
      <w:r>
        <w:rPr>
          <w:rFonts w:ascii="Palatino Linotype" w:hAnsi="Palatino Linotype"/>
          <w:i/>
          <w:iCs/>
          <w:color w:val="212121"/>
          <w:spacing w:val="-1"/>
          <w:sz w:val="22"/>
          <w:szCs w:val="22"/>
          <w:lang w:val="es-ES" w:eastAsia="es-MX"/>
        </w:rPr>
        <w:t>i</w:t>
      </w:r>
      <w:r>
        <w:rPr>
          <w:rFonts w:ascii="Palatino Linotype" w:hAnsi="Palatino Linotype"/>
          <w:i/>
          <w:iCs/>
          <w:color w:val="212121"/>
          <w:sz w:val="22"/>
          <w:szCs w:val="22"/>
          <w:lang w:val="es-ES" w:eastAsia="es-MX"/>
        </w:rPr>
        <w:t>ca y </w:t>
      </w:r>
      <w:r>
        <w:rPr>
          <w:rFonts w:ascii="Palatino Linotype" w:hAnsi="Palatino Linotype"/>
          <w:i/>
          <w:iCs/>
          <w:color w:val="212121"/>
          <w:spacing w:val="8"/>
          <w:sz w:val="22"/>
          <w:szCs w:val="22"/>
          <w:lang w:val="es-ES" w:eastAsia="es-MX"/>
        </w:rPr>
        <w:t>130, párrafo cuarto, </w:t>
      </w:r>
      <w:r>
        <w:rPr>
          <w:rFonts w:ascii="Palatino Linotype" w:hAnsi="Palatino Linotype"/>
          <w:i/>
          <w:iCs/>
          <w:color w:val="212121"/>
          <w:spacing w:val="1"/>
          <w:sz w:val="22"/>
          <w:szCs w:val="22"/>
          <w:lang w:val="es-ES" w:eastAsia="es-MX"/>
        </w:rPr>
        <w:t>d</w:t>
      </w:r>
      <w:r>
        <w:rPr>
          <w:rFonts w:ascii="Palatino Linotype" w:hAnsi="Palatino Linotype"/>
          <w:i/>
          <w:iCs/>
          <w:color w:val="212121"/>
          <w:sz w:val="22"/>
          <w:szCs w:val="22"/>
          <w:lang w:val="es-ES" w:eastAsia="es-MX"/>
        </w:rPr>
        <w:t>e</w:t>
      </w:r>
      <w:r>
        <w:rPr>
          <w:rFonts w:ascii="Palatino Linotype" w:hAnsi="Palatino Linotype"/>
          <w:i/>
          <w:iCs/>
          <w:color w:val="212121"/>
          <w:spacing w:val="9"/>
          <w:sz w:val="22"/>
          <w:szCs w:val="22"/>
          <w:lang w:val="es-ES" w:eastAsia="es-MX"/>
        </w:rPr>
        <w:t> </w:t>
      </w:r>
      <w:r>
        <w:rPr>
          <w:rFonts w:ascii="Palatino Linotype" w:hAnsi="Palatino Linotype"/>
          <w:i/>
          <w:iCs/>
          <w:color w:val="212121"/>
          <w:sz w:val="22"/>
          <w:szCs w:val="22"/>
          <w:lang w:val="es-ES" w:eastAsia="es-MX"/>
        </w:rPr>
        <w:t>la</w:t>
      </w:r>
      <w:r>
        <w:rPr>
          <w:rFonts w:ascii="Palatino Linotype" w:hAnsi="Palatino Linotype"/>
          <w:i/>
          <w:iCs/>
          <w:color w:val="212121"/>
          <w:spacing w:val="10"/>
          <w:sz w:val="22"/>
          <w:szCs w:val="22"/>
          <w:lang w:val="es-ES" w:eastAsia="es-MX"/>
        </w:rPr>
        <w:t> </w:t>
      </w:r>
      <w:r>
        <w:rPr>
          <w:rFonts w:ascii="Palatino Linotype" w:hAnsi="Palatino Linotype"/>
          <w:i/>
          <w:iCs/>
          <w:color w:val="212121"/>
          <w:spacing w:val="-1"/>
          <w:sz w:val="22"/>
          <w:szCs w:val="22"/>
          <w:lang w:val="es-ES" w:eastAsia="es-MX"/>
        </w:rPr>
        <w:t>L</w:t>
      </w:r>
      <w:r>
        <w:rPr>
          <w:rFonts w:ascii="Palatino Linotype" w:hAnsi="Palatino Linotype"/>
          <w:i/>
          <w:iCs/>
          <w:color w:val="212121"/>
          <w:spacing w:val="1"/>
          <w:sz w:val="22"/>
          <w:szCs w:val="22"/>
          <w:lang w:val="es-ES" w:eastAsia="es-MX"/>
        </w:rPr>
        <w:t>e</w:t>
      </w:r>
      <w:r>
        <w:rPr>
          <w:rFonts w:ascii="Palatino Linotype" w:hAnsi="Palatino Linotype"/>
          <w:i/>
          <w:iCs/>
          <w:color w:val="212121"/>
          <w:sz w:val="22"/>
          <w:szCs w:val="22"/>
          <w:lang w:val="es-ES" w:eastAsia="es-MX"/>
        </w:rPr>
        <w:t>y</w:t>
      </w:r>
      <w:r>
        <w:rPr>
          <w:rFonts w:ascii="Palatino Linotype" w:hAnsi="Palatino Linotype"/>
          <w:i/>
          <w:iCs/>
          <w:color w:val="212121"/>
          <w:spacing w:val="8"/>
          <w:sz w:val="22"/>
          <w:szCs w:val="22"/>
          <w:lang w:val="es-ES" w:eastAsia="es-MX"/>
        </w:rPr>
        <w:t> </w:t>
      </w:r>
      <w:r>
        <w:rPr>
          <w:rFonts w:ascii="Palatino Linotype" w:hAnsi="Palatino Linotype"/>
          <w:i/>
          <w:iCs/>
          <w:color w:val="212121"/>
          <w:sz w:val="22"/>
          <w:szCs w:val="22"/>
          <w:lang w:val="es-ES" w:eastAsia="es-MX"/>
        </w:rPr>
        <w:t>Fe</w:t>
      </w:r>
      <w:r>
        <w:rPr>
          <w:rFonts w:ascii="Palatino Linotype" w:hAnsi="Palatino Linotype"/>
          <w:i/>
          <w:iCs/>
          <w:color w:val="212121"/>
          <w:spacing w:val="1"/>
          <w:sz w:val="22"/>
          <w:szCs w:val="22"/>
          <w:lang w:val="es-ES" w:eastAsia="es-MX"/>
        </w:rPr>
        <w:t>de</w:t>
      </w:r>
      <w:r>
        <w:rPr>
          <w:rFonts w:ascii="Palatino Linotype" w:hAnsi="Palatino Linotype"/>
          <w:i/>
          <w:iCs/>
          <w:color w:val="212121"/>
          <w:sz w:val="22"/>
          <w:szCs w:val="22"/>
          <w:lang w:val="es-ES" w:eastAsia="es-MX"/>
        </w:rPr>
        <w:t>ral</w:t>
      </w:r>
      <w:r>
        <w:rPr>
          <w:rFonts w:ascii="Palatino Linotype" w:hAnsi="Palatino Linotype"/>
          <w:i/>
          <w:iCs/>
          <w:color w:val="212121"/>
          <w:spacing w:val="10"/>
          <w:sz w:val="22"/>
          <w:szCs w:val="22"/>
          <w:lang w:val="es-ES" w:eastAsia="es-MX"/>
        </w:rPr>
        <w:t> </w:t>
      </w:r>
      <w:r>
        <w:rPr>
          <w:rFonts w:ascii="Palatino Linotype" w:hAnsi="Palatino Linotype"/>
          <w:i/>
          <w:iCs/>
          <w:color w:val="212121"/>
          <w:spacing w:val="-1"/>
          <w:sz w:val="22"/>
          <w:szCs w:val="22"/>
          <w:lang w:val="es-ES" w:eastAsia="es-MX"/>
        </w:rPr>
        <w:t>d</w:t>
      </w:r>
      <w:r>
        <w:rPr>
          <w:rFonts w:ascii="Palatino Linotype" w:hAnsi="Palatino Linotype"/>
          <w:i/>
          <w:iCs/>
          <w:color w:val="212121"/>
          <w:sz w:val="22"/>
          <w:szCs w:val="22"/>
          <w:lang w:val="es-ES" w:eastAsia="es-MX"/>
        </w:rPr>
        <w:t>e</w:t>
      </w:r>
      <w:r>
        <w:rPr>
          <w:rFonts w:ascii="Palatino Linotype" w:hAnsi="Palatino Linotype"/>
          <w:i/>
          <w:iCs/>
          <w:color w:val="212121"/>
          <w:spacing w:val="9"/>
          <w:sz w:val="22"/>
          <w:szCs w:val="22"/>
          <w:lang w:val="es-ES" w:eastAsia="es-MX"/>
        </w:rPr>
        <w:t> </w:t>
      </w:r>
      <w:r>
        <w:rPr>
          <w:rFonts w:ascii="Palatino Linotype" w:hAnsi="Palatino Linotype"/>
          <w:i/>
          <w:iCs/>
          <w:color w:val="212121"/>
          <w:spacing w:val="2"/>
          <w:sz w:val="22"/>
          <w:szCs w:val="22"/>
          <w:lang w:val="es-ES" w:eastAsia="es-MX"/>
        </w:rPr>
        <w:t>T</w:t>
      </w:r>
      <w:r>
        <w:rPr>
          <w:rFonts w:ascii="Palatino Linotype" w:hAnsi="Palatino Linotype"/>
          <w:i/>
          <w:iCs/>
          <w:color w:val="212121"/>
          <w:sz w:val="22"/>
          <w:szCs w:val="22"/>
          <w:lang w:val="es-ES" w:eastAsia="es-MX"/>
        </w:rPr>
        <w:t>r</w:t>
      </w:r>
      <w:r>
        <w:rPr>
          <w:rFonts w:ascii="Palatino Linotype" w:hAnsi="Palatino Linotype"/>
          <w:i/>
          <w:iCs/>
          <w:color w:val="212121"/>
          <w:spacing w:val="-2"/>
          <w:sz w:val="22"/>
          <w:szCs w:val="22"/>
          <w:lang w:val="es-ES" w:eastAsia="es-MX"/>
        </w:rPr>
        <w:t>a</w:t>
      </w:r>
      <w:r>
        <w:rPr>
          <w:rFonts w:ascii="Palatino Linotype" w:hAnsi="Palatino Linotype"/>
          <w:i/>
          <w:iCs/>
          <w:color w:val="212121"/>
          <w:spacing w:val="1"/>
          <w:sz w:val="22"/>
          <w:szCs w:val="22"/>
          <w:lang w:val="es-ES" w:eastAsia="es-MX"/>
        </w:rPr>
        <w:t>n</w:t>
      </w:r>
      <w:r>
        <w:rPr>
          <w:rFonts w:ascii="Palatino Linotype" w:hAnsi="Palatino Linotype"/>
          <w:i/>
          <w:iCs/>
          <w:color w:val="212121"/>
          <w:sz w:val="22"/>
          <w:szCs w:val="22"/>
          <w:lang w:val="es-ES" w:eastAsia="es-MX"/>
        </w:rPr>
        <w:t>s</w:t>
      </w:r>
      <w:r>
        <w:rPr>
          <w:rFonts w:ascii="Palatino Linotype" w:hAnsi="Palatino Linotype"/>
          <w:i/>
          <w:iCs/>
          <w:color w:val="212121"/>
          <w:spacing w:val="1"/>
          <w:sz w:val="22"/>
          <w:szCs w:val="22"/>
          <w:lang w:val="es-ES" w:eastAsia="es-MX"/>
        </w:rPr>
        <w:t>pa</w:t>
      </w:r>
      <w:r>
        <w:rPr>
          <w:rFonts w:ascii="Palatino Linotype" w:hAnsi="Palatino Linotype"/>
          <w:i/>
          <w:iCs/>
          <w:color w:val="212121"/>
          <w:sz w:val="22"/>
          <w:szCs w:val="22"/>
          <w:lang w:val="es-ES" w:eastAsia="es-MX"/>
        </w:rPr>
        <w:t>r</w:t>
      </w:r>
      <w:r>
        <w:rPr>
          <w:rFonts w:ascii="Palatino Linotype" w:hAnsi="Palatino Linotype"/>
          <w:i/>
          <w:iCs/>
          <w:color w:val="212121"/>
          <w:spacing w:val="-2"/>
          <w:sz w:val="22"/>
          <w:szCs w:val="22"/>
          <w:lang w:val="es-ES" w:eastAsia="es-MX"/>
        </w:rPr>
        <w:t>e</w:t>
      </w:r>
      <w:r>
        <w:rPr>
          <w:rFonts w:ascii="Palatino Linotype" w:hAnsi="Palatino Linotype"/>
          <w:i/>
          <w:iCs/>
          <w:color w:val="212121"/>
          <w:spacing w:val="1"/>
          <w:sz w:val="22"/>
          <w:szCs w:val="22"/>
          <w:lang w:val="es-ES" w:eastAsia="es-MX"/>
        </w:rPr>
        <w:t>n</w:t>
      </w:r>
      <w:r>
        <w:rPr>
          <w:rFonts w:ascii="Palatino Linotype" w:hAnsi="Palatino Linotype"/>
          <w:i/>
          <w:iCs/>
          <w:color w:val="212121"/>
          <w:sz w:val="22"/>
          <w:szCs w:val="22"/>
          <w:lang w:val="es-ES" w:eastAsia="es-MX"/>
        </w:rPr>
        <w:t>cia y Acc</w:t>
      </w:r>
      <w:r>
        <w:rPr>
          <w:rFonts w:ascii="Palatino Linotype" w:hAnsi="Palatino Linotype"/>
          <w:i/>
          <w:iCs/>
          <w:color w:val="212121"/>
          <w:spacing w:val="1"/>
          <w:sz w:val="22"/>
          <w:szCs w:val="22"/>
          <w:lang w:val="es-ES" w:eastAsia="es-MX"/>
        </w:rPr>
        <w:t>e</w:t>
      </w:r>
      <w:r>
        <w:rPr>
          <w:rFonts w:ascii="Palatino Linotype" w:hAnsi="Palatino Linotype"/>
          <w:i/>
          <w:iCs/>
          <w:color w:val="212121"/>
          <w:sz w:val="22"/>
          <w:szCs w:val="22"/>
          <w:lang w:val="es-ES" w:eastAsia="es-MX"/>
        </w:rPr>
        <w:t>so</w:t>
      </w:r>
      <w:r>
        <w:rPr>
          <w:rFonts w:ascii="Palatino Linotype" w:hAnsi="Palatino Linotype"/>
          <w:i/>
          <w:iCs/>
          <w:color w:val="212121"/>
          <w:spacing w:val="3"/>
          <w:sz w:val="22"/>
          <w:szCs w:val="22"/>
          <w:lang w:val="es-ES" w:eastAsia="es-MX"/>
        </w:rPr>
        <w:t> </w:t>
      </w:r>
      <w:r>
        <w:rPr>
          <w:rFonts w:ascii="Palatino Linotype" w:hAnsi="Palatino Linotype"/>
          <w:i/>
          <w:iCs/>
          <w:color w:val="212121"/>
          <w:sz w:val="22"/>
          <w:szCs w:val="22"/>
          <w:lang w:val="es-ES" w:eastAsia="es-MX"/>
        </w:rPr>
        <w:t>a</w:t>
      </w:r>
      <w:r>
        <w:rPr>
          <w:rFonts w:ascii="Palatino Linotype" w:hAnsi="Palatino Linotype"/>
          <w:i/>
          <w:iCs/>
          <w:color w:val="212121"/>
          <w:spacing w:val="1"/>
          <w:sz w:val="22"/>
          <w:szCs w:val="22"/>
          <w:lang w:val="es-ES" w:eastAsia="es-MX"/>
        </w:rPr>
        <w:t> </w:t>
      </w:r>
      <w:r>
        <w:rPr>
          <w:rFonts w:ascii="Palatino Linotype" w:hAnsi="Palatino Linotype"/>
          <w:i/>
          <w:iCs/>
          <w:color w:val="212121"/>
          <w:sz w:val="22"/>
          <w:szCs w:val="22"/>
          <w:lang w:val="es-ES" w:eastAsia="es-MX"/>
        </w:rPr>
        <w:t>la I</w:t>
      </w:r>
      <w:r>
        <w:rPr>
          <w:rFonts w:ascii="Palatino Linotype" w:hAnsi="Palatino Linotype"/>
          <w:i/>
          <w:iCs/>
          <w:color w:val="212121"/>
          <w:spacing w:val="-1"/>
          <w:sz w:val="22"/>
          <w:szCs w:val="22"/>
          <w:lang w:val="es-ES" w:eastAsia="es-MX"/>
        </w:rPr>
        <w:t>n</w:t>
      </w:r>
      <w:r>
        <w:rPr>
          <w:rFonts w:ascii="Palatino Linotype" w:hAnsi="Palatino Linotype"/>
          <w:i/>
          <w:iCs/>
          <w:color w:val="212121"/>
          <w:sz w:val="22"/>
          <w:szCs w:val="22"/>
          <w:lang w:val="es-ES" w:eastAsia="es-MX"/>
        </w:rPr>
        <w:t>f</w:t>
      </w:r>
      <w:r>
        <w:rPr>
          <w:rFonts w:ascii="Palatino Linotype" w:hAnsi="Palatino Linotype"/>
          <w:i/>
          <w:iCs/>
          <w:color w:val="212121"/>
          <w:spacing w:val="1"/>
          <w:sz w:val="22"/>
          <w:szCs w:val="22"/>
          <w:lang w:val="es-ES" w:eastAsia="es-MX"/>
        </w:rPr>
        <w:t>o</w:t>
      </w:r>
      <w:r>
        <w:rPr>
          <w:rFonts w:ascii="Palatino Linotype" w:hAnsi="Palatino Linotype"/>
          <w:i/>
          <w:iCs/>
          <w:color w:val="212121"/>
          <w:spacing w:val="-3"/>
          <w:sz w:val="22"/>
          <w:szCs w:val="22"/>
          <w:lang w:val="es-ES" w:eastAsia="es-MX"/>
        </w:rPr>
        <w:t>r</w:t>
      </w:r>
      <w:r>
        <w:rPr>
          <w:rFonts w:ascii="Palatino Linotype" w:hAnsi="Palatino Linotype"/>
          <w:i/>
          <w:iCs/>
          <w:color w:val="212121"/>
          <w:spacing w:val="1"/>
          <w:sz w:val="22"/>
          <w:szCs w:val="22"/>
          <w:lang w:val="es-ES" w:eastAsia="es-MX"/>
        </w:rPr>
        <w:t>ma</w:t>
      </w:r>
      <w:r>
        <w:rPr>
          <w:rFonts w:ascii="Palatino Linotype" w:hAnsi="Palatino Linotype"/>
          <w:i/>
          <w:iCs/>
          <w:color w:val="212121"/>
          <w:sz w:val="22"/>
          <w:szCs w:val="22"/>
          <w:lang w:val="es-ES" w:eastAsia="es-MX"/>
        </w:rPr>
        <w:t>ci</w:t>
      </w:r>
      <w:r>
        <w:rPr>
          <w:rFonts w:ascii="Palatino Linotype" w:hAnsi="Palatino Linotype"/>
          <w:i/>
          <w:iCs/>
          <w:color w:val="212121"/>
          <w:spacing w:val="-2"/>
          <w:sz w:val="22"/>
          <w:szCs w:val="22"/>
          <w:lang w:val="es-ES" w:eastAsia="es-MX"/>
        </w:rPr>
        <w:t>ó</w:t>
      </w:r>
      <w:r>
        <w:rPr>
          <w:rFonts w:ascii="Palatino Linotype" w:hAnsi="Palatino Linotype"/>
          <w:i/>
          <w:iCs/>
          <w:color w:val="212121"/>
          <w:sz w:val="22"/>
          <w:szCs w:val="22"/>
          <w:lang w:val="es-ES" w:eastAsia="es-MX"/>
        </w:rPr>
        <w:t>n</w:t>
      </w:r>
      <w:r>
        <w:rPr>
          <w:rFonts w:ascii="Palatino Linotype" w:hAnsi="Palatino Linotype"/>
          <w:i/>
          <w:iCs/>
          <w:color w:val="212121"/>
          <w:spacing w:val="6"/>
          <w:sz w:val="22"/>
          <w:szCs w:val="22"/>
          <w:lang w:val="es-ES" w:eastAsia="es-MX"/>
        </w:rPr>
        <w:t> </w:t>
      </w:r>
      <w:r>
        <w:rPr>
          <w:rFonts w:ascii="Palatino Linotype" w:hAnsi="Palatino Linotype"/>
          <w:i/>
          <w:iCs/>
          <w:color w:val="212121"/>
          <w:spacing w:val="-2"/>
          <w:sz w:val="22"/>
          <w:szCs w:val="22"/>
          <w:lang w:val="es-ES" w:eastAsia="es-MX"/>
        </w:rPr>
        <w:t>P</w:t>
      </w:r>
      <w:r>
        <w:rPr>
          <w:rFonts w:ascii="Palatino Linotype" w:hAnsi="Palatino Linotype"/>
          <w:i/>
          <w:iCs/>
          <w:color w:val="212121"/>
          <w:spacing w:val="1"/>
          <w:sz w:val="22"/>
          <w:szCs w:val="22"/>
          <w:lang w:val="es-ES" w:eastAsia="es-MX"/>
        </w:rPr>
        <w:t>úb</w:t>
      </w:r>
      <w:r>
        <w:rPr>
          <w:rFonts w:ascii="Palatino Linotype" w:hAnsi="Palatino Linotype"/>
          <w:i/>
          <w:iCs/>
          <w:color w:val="212121"/>
          <w:sz w:val="22"/>
          <w:szCs w:val="22"/>
          <w:lang w:val="es-ES" w:eastAsia="es-MX"/>
        </w:rPr>
        <w:t>l</w:t>
      </w:r>
      <w:r>
        <w:rPr>
          <w:rFonts w:ascii="Palatino Linotype" w:hAnsi="Palatino Linotype"/>
          <w:i/>
          <w:iCs/>
          <w:color w:val="212121"/>
          <w:spacing w:val="-1"/>
          <w:sz w:val="22"/>
          <w:szCs w:val="22"/>
          <w:lang w:val="es-ES" w:eastAsia="es-MX"/>
        </w:rPr>
        <w:t>i</w:t>
      </w:r>
      <w:r>
        <w:rPr>
          <w:rFonts w:ascii="Palatino Linotype" w:hAnsi="Palatino Linotype"/>
          <w:i/>
          <w:iCs/>
          <w:color w:val="212121"/>
          <w:sz w:val="22"/>
          <w:szCs w:val="22"/>
          <w:lang w:val="es-ES" w:eastAsia="es-MX"/>
        </w:rPr>
        <w:t>ca, </w:t>
      </w:r>
      <w:r>
        <w:rPr>
          <w:rFonts w:ascii="Palatino Linotype" w:hAnsi="Palatino Linotype"/>
          <w:i/>
          <w:iCs/>
          <w:color w:val="212121"/>
          <w:spacing w:val="-1"/>
          <w:sz w:val="22"/>
          <w:szCs w:val="22"/>
          <w:lang w:val="es-ES" w:eastAsia="es-MX"/>
        </w:rPr>
        <w:t>señalan</w:t>
      </w:r>
      <w:r>
        <w:rPr>
          <w:rFonts w:ascii="Palatino Linotype" w:hAnsi="Palatino Linotype"/>
          <w:i/>
          <w:iCs/>
          <w:color w:val="212121"/>
          <w:spacing w:val="1"/>
          <w:sz w:val="22"/>
          <w:szCs w:val="22"/>
          <w:lang w:val="es-ES" w:eastAsia="es-MX"/>
        </w:rPr>
        <w:t> </w:t>
      </w:r>
      <w:r>
        <w:rPr>
          <w:rFonts w:ascii="Palatino Linotype" w:hAnsi="Palatino Linotype"/>
          <w:i/>
          <w:iCs/>
          <w:color w:val="212121"/>
          <w:spacing w:val="-1"/>
          <w:sz w:val="22"/>
          <w:szCs w:val="22"/>
          <w:lang w:val="es-ES" w:eastAsia="es-MX"/>
        </w:rPr>
        <w:t>q</w:t>
      </w:r>
      <w:r>
        <w:rPr>
          <w:rFonts w:ascii="Palatino Linotype" w:hAnsi="Palatino Linotype"/>
          <w:i/>
          <w:iCs/>
          <w:color w:val="212121"/>
          <w:spacing w:val="1"/>
          <w:sz w:val="22"/>
          <w:szCs w:val="22"/>
          <w:lang w:val="es-ES" w:eastAsia="es-MX"/>
        </w:rPr>
        <w:t>u</w:t>
      </w:r>
      <w:r>
        <w:rPr>
          <w:rFonts w:ascii="Palatino Linotype" w:hAnsi="Palatino Linotype"/>
          <w:i/>
          <w:iCs/>
          <w:color w:val="212121"/>
          <w:sz w:val="22"/>
          <w:szCs w:val="22"/>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C46EAC" w:rsidRDefault="00C46EAC">
      <w:pPr>
        <w:ind w:left="851" w:right="902"/>
        <w:jc w:val="both"/>
        <w:rPr>
          <w:rFonts w:ascii="Palatino Linotype" w:hAnsi="Palatino Linotype" w:cs="Arial"/>
          <w:i/>
          <w:color w:val="000000"/>
          <w:sz w:val="22"/>
          <w:szCs w:val="22"/>
        </w:rPr>
      </w:pPr>
    </w:p>
    <w:p w:rsidR="00C46EAC" w:rsidRDefault="00C45F6D">
      <w:pPr>
        <w:ind w:left="851" w:right="902"/>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rsidR="00C46EAC" w:rsidRDefault="00C46EAC">
      <w:pPr>
        <w:ind w:left="851" w:right="902"/>
        <w:jc w:val="both"/>
        <w:rPr>
          <w:rFonts w:ascii="Palatino Linotype" w:hAnsi="Palatino Linotype" w:cs="Arial"/>
          <w:i/>
          <w:color w:val="000000"/>
          <w:sz w:val="22"/>
          <w:szCs w:val="22"/>
        </w:rPr>
      </w:pPr>
    </w:p>
    <w:p w:rsidR="00C46EAC" w:rsidRDefault="00C45F6D">
      <w:pPr>
        <w:ind w:left="851" w:right="902"/>
        <w:jc w:val="both"/>
        <w:rPr>
          <w:rFonts w:ascii="Palatino Linotype" w:hAnsi="Palatino Linotype" w:cs="Arial"/>
          <w:i/>
          <w:color w:val="000000"/>
          <w:sz w:val="22"/>
          <w:szCs w:val="22"/>
        </w:rPr>
      </w:pPr>
      <w:r>
        <w:rPr>
          <w:rFonts w:ascii="Symbol" w:eastAsia="Symbol" w:hAnsi="Symbol" w:cs="Symbol"/>
          <w:i/>
          <w:color w:val="000000"/>
          <w:sz w:val="22"/>
          <w:szCs w:val="22"/>
        </w:rPr>
        <w:t></w:t>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C46EAC" w:rsidRDefault="00C45F6D">
      <w:pPr>
        <w:ind w:left="851" w:right="902"/>
        <w:jc w:val="both"/>
        <w:rPr>
          <w:rFonts w:ascii="Palatino Linotype" w:hAnsi="Palatino Linotype" w:cs="Arial"/>
          <w:i/>
          <w:color w:val="000000"/>
          <w:sz w:val="22"/>
          <w:szCs w:val="22"/>
        </w:rPr>
      </w:pPr>
      <w:r>
        <w:rPr>
          <w:rFonts w:ascii="Symbol" w:eastAsia="Symbol" w:hAnsi="Symbol" w:cs="Symbol"/>
          <w:i/>
          <w:color w:val="000000"/>
          <w:sz w:val="22"/>
          <w:szCs w:val="22"/>
        </w:rPr>
        <w:t></w:t>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C46EAC" w:rsidRDefault="00C45F6D">
      <w:pPr>
        <w:ind w:left="851" w:right="902"/>
        <w:jc w:val="both"/>
        <w:rPr>
          <w:rFonts w:ascii="Palatino Linotype" w:hAnsi="Palatino Linotype" w:cs="Arial"/>
          <w:i/>
          <w:color w:val="000000"/>
          <w:sz w:val="22"/>
          <w:szCs w:val="22"/>
        </w:rPr>
      </w:pPr>
      <w:r>
        <w:rPr>
          <w:rFonts w:ascii="Symbol" w:eastAsia="Symbol" w:hAnsi="Symbol" w:cs="Symbol"/>
          <w:i/>
          <w:color w:val="000000"/>
          <w:sz w:val="22"/>
          <w:szCs w:val="22"/>
        </w:rPr>
        <w:t></w:t>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 </w:t>
      </w:r>
    </w:p>
    <w:p w:rsidR="00C46EAC" w:rsidRDefault="00C45F6D">
      <w:pPr>
        <w:ind w:left="851" w:right="902"/>
        <w:jc w:val="both"/>
        <w:rPr>
          <w:rFonts w:ascii="Palatino Linotype" w:hAnsi="Palatino Linotype" w:cs="Arial"/>
          <w:i/>
          <w:color w:val="000000"/>
          <w:sz w:val="22"/>
          <w:szCs w:val="22"/>
        </w:rPr>
      </w:pPr>
      <w:r>
        <w:rPr>
          <w:rFonts w:ascii="Palatino Linotype" w:hAnsi="Palatino Linotype" w:cs="Arial"/>
          <w:i/>
          <w:color w:val="000000"/>
          <w:sz w:val="22"/>
          <w:szCs w:val="22"/>
        </w:rPr>
        <w:t>(Sic)</w:t>
      </w:r>
    </w:p>
    <w:p w:rsidR="00C46EAC" w:rsidRDefault="00C45F6D">
      <w:pPr>
        <w:spacing w:beforeAutospacing="1" w:afterAutospacing="1" w:line="360" w:lineRule="auto"/>
        <w:jc w:val="both"/>
        <w:rPr>
          <w:rFonts w:ascii="Palatino Linotype" w:hAnsi="Palatino Linotype"/>
        </w:rPr>
      </w:pPr>
      <w:r>
        <w:rPr>
          <w:rFonts w:ascii="Palatino Linotype" w:hAnsi="Palatino Linotype"/>
        </w:rPr>
        <w:t xml:space="preserve">Así, los Sujetos Obligados, están constreñidos a entregar la información; tal y como, la generan y obra en sus archivos; por lo que, debe entregar aquella que contenga </w:t>
      </w:r>
      <w:r>
        <w:rPr>
          <w:rFonts w:ascii="Palatino Linotype" w:hAnsi="Palatino Linotype"/>
          <w:b/>
        </w:rPr>
        <w:t xml:space="preserve">el </w:t>
      </w:r>
      <w:r>
        <w:rPr>
          <w:rFonts w:ascii="Palatino Linotype" w:hAnsi="Palatino Linotype"/>
          <w:b/>
        </w:rPr>
        <w:lastRenderedPageBreak/>
        <w:t>mayor grado de desagregación</w:t>
      </w:r>
      <w:r>
        <w:rPr>
          <w:rFonts w:ascii="Palatino Linotype" w:hAnsi="Palatino Linotype"/>
        </w:rPr>
        <w:t xml:space="preserve"> posible; sin que, dicha situación conlleve a la realización de un documento en específico, es decir, debe entregase la información tal como conste en sus archivos y en el estado en que se encuentren, salvo las excepciones de reserva y confidencialidad de la información. </w:t>
      </w:r>
    </w:p>
    <w:p w:rsidR="00C46EAC" w:rsidRDefault="00C45F6D">
      <w:pPr>
        <w:spacing w:beforeAutospacing="1" w:afterAutospacing="1" w:line="360" w:lineRule="auto"/>
        <w:contextualSpacing/>
        <w:jc w:val="both"/>
        <w:rPr>
          <w:rFonts w:ascii="Palatino Linotype" w:eastAsia="Calibri" w:hAnsi="Palatino Linotype" w:cs="Arial"/>
        </w:rPr>
      </w:pPr>
      <w:r>
        <w:rPr>
          <w:rFonts w:ascii="Palatino Linotype" w:eastAsia="Calibri" w:hAnsi="Palatino Linotype" w:cs="Arial"/>
        </w:rPr>
        <w:t xml:space="preserve">Ahora bien, es importante desglosar la información solicitada, con la remitida en respuesta e Informe Justificado, a efecto de verificar si </w:t>
      </w:r>
      <w:r>
        <w:rPr>
          <w:rFonts w:ascii="Palatino Linotype" w:eastAsia="Calibri" w:hAnsi="Palatino Linotype" w:cs="Arial"/>
          <w:b/>
        </w:rPr>
        <w:t xml:space="preserve">EL SUJETO OBLIGADO </w:t>
      </w:r>
      <w:r>
        <w:rPr>
          <w:rFonts w:ascii="Palatino Linotype" w:eastAsia="Calibri" w:hAnsi="Palatino Linotype" w:cs="Arial"/>
        </w:rPr>
        <w:t>satisfizo el derecho de acceso a la información del ahora</w:t>
      </w:r>
      <w:r>
        <w:rPr>
          <w:rFonts w:ascii="Palatino Linotype" w:eastAsia="Calibri" w:hAnsi="Palatino Linotype" w:cs="Arial"/>
          <w:b/>
        </w:rPr>
        <w:t xml:space="preserve"> RECURRENTE</w:t>
      </w:r>
      <w:r>
        <w:rPr>
          <w:rFonts w:ascii="Palatino Linotype" w:eastAsia="Calibri" w:hAnsi="Palatino Linotype" w:cs="Arial"/>
        </w:rPr>
        <w:t>.</w:t>
      </w:r>
    </w:p>
    <w:p w:rsidR="00C46EAC" w:rsidRDefault="00C46EAC">
      <w:pPr>
        <w:spacing w:beforeAutospacing="1" w:afterAutospacing="1" w:line="360" w:lineRule="auto"/>
        <w:contextualSpacing/>
        <w:jc w:val="both"/>
        <w:rPr>
          <w:rFonts w:ascii="Palatino Linotype" w:eastAsia="Calibri" w:hAnsi="Palatino Linotype" w:cs="Arial"/>
        </w:rPr>
      </w:pPr>
    </w:p>
    <w:tbl>
      <w:tblPr>
        <w:tblStyle w:val="Tablaconcuadrcula"/>
        <w:tblW w:w="9111" w:type="dxa"/>
        <w:tblLook w:val="04A0" w:firstRow="1" w:lastRow="0" w:firstColumn="1" w:lastColumn="0" w:noHBand="0" w:noVBand="1"/>
      </w:tblPr>
      <w:tblGrid>
        <w:gridCol w:w="2547"/>
        <w:gridCol w:w="2976"/>
        <w:gridCol w:w="3588"/>
      </w:tblGrid>
      <w:tr w:rsidR="00C46EAC">
        <w:tc>
          <w:tcPr>
            <w:tcW w:w="2547" w:type="dxa"/>
            <w:shd w:val="clear" w:color="auto" w:fill="000000" w:themeFill="text1"/>
          </w:tcPr>
          <w:p w:rsidR="00C46EAC" w:rsidRDefault="00C45F6D">
            <w:pPr>
              <w:spacing w:line="360" w:lineRule="auto"/>
              <w:jc w:val="center"/>
              <w:rPr>
                <w:rFonts w:ascii="Palatino Linotype" w:hAnsi="Palatino Linotype" w:cs="Arial"/>
              </w:rPr>
            </w:pPr>
            <w:r>
              <w:rPr>
                <w:rFonts w:ascii="Palatino Linotype" w:eastAsiaTheme="minorHAnsi" w:hAnsi="Palatino Linotype" w:cs="Arial"/>
                <w:sz w:val="22"/>
              </w:rPr>
              <w:t>Solicitud</w:t>
            </w:r>
          </w:p>
        </w:tc>
        <w:tc>
          <w:tcPr>
            <w:tcW w:w="2976" w:type="dxa"/>
            <w:shd w:val="clear" w:color="auto" w:fill="000000" w:themeFill="text1"/>
          </w:tcPr>
          <w:p w:rsidR="00C46EAC" w:rsidRDefault="00C45F6D">
            <w:pPr>
              <w:spacing w:line="360" w:lineRule="auto"/>
              <w:jc w:val="both"/>
              <w:rPr>
                <w:rFonts w:ascii="Palatino Linotype" w:hAnsi="Palatino Linotype" w:cs="Arial"/>
              </w:rPr>
            </w:pPr>
            <w:r>
              <w:rPr>
                <w:rFonts w:ascii="Palatino Linotype" w:eastAsiaTheme="minorHAnsi" w:hAnsi="Palatino Linotype" w:cs="Arial"/>
                <w:sz w:val="22"/>
              </w:rPr>
              <w:t>Respuesta</w:t>
            </w:r>
          </w:p>
        </w:tc>
        <w:tc>
          <w:tcPr>
            <w:tcW w:w="3588" w:type="dxa"/>
            <w:shd w:val="clear" w:color="auto" w:fill="000000" w:themeFill="text1"/>
          </w:tcPr>
          <w:p w:rsidR="00C46EAC" w:rsidRDefault="00C45F6D">
            <w:pPr>
              <w:spacing w:line="360" w:lineRule="auto"/>
              <w:jc w:val="both"/>
              <w:rPr>
                <w:rFonts w:ascii="Palatino Linotype" w:hAnsi="Palatino Linotype" w:cs="Arial"/>
              </w:rPr>
            </w:pPr>
            <w:r>
              <w:rPr>
                <w:rFonts w:ascii="Palatino Linotype" w:eastAsiaTheme="minorHAnsi" w:hAnsi="Palatino Linotype" w:cs="Arial"/>
                <w:sz w:val="22"/>
              </w:rPr>
              <w:t>Colmó</w:t>
            </w:r>
          </w:p>
        </w:tc>
      </w:tr>
      <w:tr w:rsidR="00C46EAC">
        <w:tc>
          <w:tcPr>
            <w:tcW w:w="2547" w:type="dxa"/>
          </w:tcPr>
          <w:p w:rsidR="00C46EAC" w:rsidRDefault="00C45F6D">
            <w:pPr>
              <w:widowControl w:val="0"/>
              <w:tabs>
                <w:tab w:val="left" w:pos="1701"/>
                <w:tab w:val="left" w:pos="1843"/>
              </w:tabs>
              <w:spacing w:beforeAutospacing="1" w:afterAutospacing="1" w:line="360" w:lineRule="auto"/>
              <w:contextualSpacing/>
              <w:jc w:val="both"/>
              <w:rPr>
                <w:rFonts w:ascii="Palatino Linotype" w:hAnsi="Palatino Linotype"/>
                <w:sz w:val="20"/>
                <w:szCs w:val="20"/>
              </w:rPr>
            </w:pPr>
            <w:r>
              <w:rPr>
                <w:rFonts w:ascii="Palatino Linotype" w:eastAsiaTheme="minorHAnsi" w:hAnsi="Palatino Linotype"/>
                <w:sz w:val="20"/>
                <w:szCs w:val="20"/>
              </w:rPr>
              <w:t>Cantidad global y segmentada por áreas del gasto ejercido por concepto de GASOLINA para automóviles propios del Ayuntamiento, ya sea en forma de devolución o como asignación mensual para dicho concepto.</w:t>
            </w:r>
          </w:p>
          <w:p w:rsidR="00C46EAC" w:rsidRDefault="00C46EAC">
            <w:pPr>
              <w:widowControl w:val="0"/>
              <w:tabs>
                <w:tab w:val="left" w:pos="1701"/>
                <w:tab w:val="left" w:pos="1843"/>
              </w:tabs>
              <w:spacing w:beforeAutospacing="1" w:line="360" w:lineRule="auto"/>
              <w:contextualSpacing/>
              <w:jc w:val="both"/>
              <w:rPr>
                <w:rFonts w:ascii="Palatino Linotype" w:hAnsi="Palatino Linotype" w:cs="Arial"/>
                <w:sz w:val="20"/>
                <w:szCs w:val="20"/>
              </w:rPr>
            </w:pPr>
          </w:p>
        </w:tc>
        <w:tc>
          <w:tcPr>
            <w:tcW w:w="2976" w:type="dxa"/>
          </w:tcPr>
          <w:p w:rsidR="00C46EAC" w:rsidRDefault="00C45F6D">
            <w:pPr>
              <w:spacing w:line="360" w:lineRule="auto"/>
              <w:jc w:val="both"/>
              <w:rPr>
                <w:rFonts w:ascii="Palatino Linotype" w:hAnsi="Palatino Linotype" w:cs="Arial"/>
                <w:sz w:val="20"/>
                <w:szCs w:val="20"/>
              </w:rPr>
            </w:pPr>
            <w:r>
              <w:rPr>
                <w:rFonts w:ascii="Palatino Linotype" w:eastAsiaTheme="minorHAnsi" w:hAnsi="Palatino Linotype" w:cs="Arial"/>
                <w:sz w:val="20"/>
                <w:szCs w:val="20"/>
              </w:rPr>
              <w:t xml:space="preserve">Mediante respuesta, la Tesorera Municipal, manifestó que la Subtesorería de Egresos informó, que el gasto ejercido de la partida número 2611 por concepto de Combustibles, Lubricantes y Aditivos en el año 2019 es de 32,696,823.52 (Treinta y dos millones seiscientos noventa y seis mil ochocientos veintitrés pesos 52/100 M.N.) </w:t>
            </w:r>
          </w:p>
        </w:tc>
        <w:tc>
          <w:tcPr>
            <w:tcW w:w="3588" w:type="dxa"/>
          </w:tcPr>
          <w:p w:rsidR="00C46EAC" w:rsidRDefault="00C45F6D">
            <w:pPr>
              <w:spacing w:line="360" w:lineRule="auto"/>
              <w:jc w:val="both"/>
              <w:rPr>
                <w:rFonts w:ascii="Palatino Linotype" w:hAnsi="Palatino Linotype" w:cs="Arial"/>
                <w:b/>
                <w:sz w:val="20"/>
                <w:szCs w:val="20"/>
              </w:rPr>
            </w:pPr>
            <w:r>
              <w:rPr>
                <w:rFonts w:ascii="Palatino Linotype" w:eastAsiaTheme="minorHAnsi" w:hAnsi="Palatino Linotype" w:cs="Arial"/>
                <w:b/>
                <w:sz w:val="20"/>
                <w:szCs w:val="20"/>
              </w:rPr>
              <w:t>No colmó</w:t>
            </w:r>
          </w:p>
          <w:p w:rsidR="00C46EAC" w:rsidRDefault="00C45F6D">
            <w:pPr>
              <w:spacing w:line="360" w:lineRule="auto"/>
              <w:jc w:val="both"/>
              <w:rPr>
                <w:rFonts w:ascii="Palatino Linotype" w:hAnsi="Palatino Linotype"/>
                <w:sz w:val="20"/>
                <w:szCs w:val="20"/>
              </w:rPr>
            </w:pPr>
            <w:r>
              <w:rPr>
                <w:rFonts w:ascii="Palatino Linotype" w:eastAsiaTheme="minorHAnsi" w:hAnsi="Palatino Linotype" w:cs="Arial"/>
                <w:sz w:val="20"/>
                <w:szCs w:val="20"/>
              </w:rPr>
              <w:t xml:space="preserve">Se informó el gasto global ejercido por la partida 2611 que concentra Combustibles, Lubricantes y Aditivos; sin embargo el particular requirió conocer únicamente la cantidad global y segmentada por áreas </w:t>
            </w:r>
            <w:r>
              <w:rPr>
                <w:rFonts w:ascii="Palatino Linotype" w:eastAsiaTheme="minorHAnsi" w:hAnsi="Palatino Linotype"/>
                <w:sz w:val="20"/>
                <w:szCs w:val="20"/>
              </w:rPr>
              <w:t xml:space="preserve">del gasto ejercido por concepto de GASOLINA para automóviles propios del Ayuntamiento y no así, de lubricantes y aditivos, por lo que no existe certeza jurídica para el particular, sobre la cantidad exacta global gastada por concepto de gasolinas durante el año 2019 y respecto al gasto ejercido por áreas, por concepto de gasolina, </w:t>
            </w:r>
            <w:r>
              <w:rPr>
                <w:rFonts w:ascii="Palatino Linotype" w:eastAsiaTheme="minorHAnsi" w:hAnsi="Palatino Linotype"/>
                <w:b/>
                <w:sz w:val="20"/>
                <w:szCs w:val="20"/>
              </w:rPr>
              <w:t>EL SUJETO OBLIGADO</w:t>
            </w:r>
            <w:r>
              <w:rPr>
                <w:rFonts w:ascii="Palatino Linotype" w:eastAsiaTheme="minorHAnsi" w:hAnsi="Palatino Linotype"/>
                <w:sz w:val="20"/>
                <w:szCs w:val="20"/>
              </w:rPr>
              <w:t xml:space="preserve">, remitió un </w:t>
            </w:r>
            <w:r>
              <w:rPr>
                <w:rFonts w:ascii="Palatino Linotype" w:eastAsiaTheme="minorHAnsi" w:hAnsi="Palatino Linotype"/>
                <w:sz w:val="20"/>
                <w:szCs w:val="20"/>
              </w:rPr>
              <w:lastRenderedPageBreak/>
              <w:t>listado por unidad administrativa donde se advierten los litros de gasolina que recibieron; sin embargo el particular requirió conocer el gasto ejercido por este concepto.</w:t>
            </w:r>
          </w:p>
        </w:tc>
      </w:tr>
      <w:tr w:rsidR="00C46EAC">
        <w:tc>
          <w:tcPr>
            <w:tcW w:w="2547" w:type="dxa"/>
          </w:tcPr>
          <w:p w:rsidR="00C46EAC" w:rsidRDefault="00C45F6D">
            <w:pPr>
              <w:widowControl w:val="0"/>
              <w:tabs>
                <w:tab w:val="left" w:pos="1701"/>
                <w:tab w:val="left" w:pos="1843"/>
              </w:tabs>
              <w:spacing w:beforeAutospacing="1" w:afterAutospacing="1" w:line="360" w:lineRule="auto"/>
              <w:contextualSpacing/>
              <w:jc w:val="both"/>
              <w:rPr>
                <w:rFonts w:ascii="Palatino Linotype" w:hAnsi="Palatino Linotype"/>
                <w:sz w:val="20"/>
                <w:szCs w:val="20"/>
              </w:rPr>
            </w:pPr>
            <w:r>
              <w:rPr>
                <w:rFonts w:ascii="Palatino Linotype" w:eastAsiaTheme="minorHAnsi" w:hAnsi="Palatino Linotype"/>
                <w:sz w:val="20"/>
                <w:szCs w:val="20"/>
              </w:rPr>
              <w:lastRenderedPageBreak/>
              <w:t>Cantidad global y segmentada por áreas del gasto ejercido por concepto de GASOLINA, para autos propios del personal del Ayuntamiento, ya sea en forma de devolución o como asignación mensual para dicho concepto.</w:t>
            </w:r>
          </w:p>
          <w:p w:rsidR="00C46EAC" w:rsidRDefault="00C46EAC">
            <w:pPr>
              <w:widowControl w:val="0"/>
              <w:tabs>
                <w:tab w:val="left" w:pos="1701"/>
                <w:tab w:val="left" w:pos="1843"/>
              </w:tabs>
              <w:spacing w:beforeAutospacing="1" w:line="360" w:lineRule="auto"/>
              <w:contextualSpacing/>
              <w:jc w:val="both"/>
              <w:rPr>
                <w:rFonts w:ascii="Palatino Linotype" w:hAnsi="Palatino Linotype"/>
                <w:sz w:val="20"/>
                <w:szCs w:val="20"/>
              </w:rPr>
            </w:pPr>
          </w:p>
        </w:tc>
        <w:tc>
          <w:tcPr>
            <w:tcW w:w="2976" w:type="dxa"/>
          </w:tcPr>
          <w:p w:rsidR="00C46EAC" w:rsidRDefault="00C45F6D">
            <w:pPr>
              <w:spacing w:line="360" w:lineRule="auto"/>
              <w:jc w:val="both"/>
              <w:rPr>
                <w:rFonts w:ascii="Palatino Linotype" w:hAnsi="Palatino Linotype" w:cs="Arial"/>
                <w:sz w:val="20"/>
                <w:szCs w:val="20"/>
              </w:rPr>
            </w:pPr>
            <w:r>
              <w:rPr>
                <w:rFonts w:ascii="Palatino Linotype" w:eastAsiaTheme="minorHAnsi" w:hAnsi="Palatino Linotype" w:cs="Arial"/>
                <w:sz w:val="20"/>
                <w:szCs w:val="20"/>
              </w:rPr>
              <w:t xml:space="preserve">Mediante respuesta e Informe Justificado, </w:t>
            </w:r>
            <w:r>
              <w:rPr>
                <w:rFonts w:ascii="Palatino Linotype" w:eastAsiaTheme="minorHAnsi" w:hAnsi="Palatino Linotype" w:cs="Arial"/>
                <w:b/>
                <w:sz w:val="20"/>
                <w:szCs w:val="20"/>
              </w:rPr>
              <w:t>EL SUJETO OBLIGADO</w:t>
            </w:r>
            <w:r>
              <w:rPr>
                <w:rFonts w:ascii="Palatino Linotype" w:eastAsiaTheme="minorHAnsi" w:hAnsi="Palatino Linotype" w:cs="Arial"/>
                <w:sz w:val="20"/>
                <w:szCs w:val="20"/>
              </w:rPr>
              <w:t xml:space="preserve"> no se pronunció al respecto. </w:t>
            </w:r>
          </w:p>
        </w:tc>
        <w:tc>
          <w:tcPr>
            <w:tcW w:w="3588" w:type="dxa"/>
          </w:tcPr>
          <w:p w:rsidR="00C46EAC" w:rsidRDefault="00C45F6D">
            <w:pPr>
              <w:spacing w:line="360" w:lineRule="auto"/>
              <w:jc w:val="both"/>
              <w:rPr>
                <w:rFonts w:ascii="Palatino Linotype" w:hAnsi="Palatino Linotype" w:cs="Arial"/>
                <w:b/>
                <w:sz w:val="20"/>
                <w:szCs w:val="20"/>
              </w:rPr>
            </w:pPr>
            <w:r>
              <w:rPr>
                <w:rFonts w:ascii="Palatino Linotype" w:eastAsiaTheme="minorHAnsi" w:hAnsi="Palatino Linotype" w:cs="Arial"/>
                <w:b/>
                <w:sz w:val="20"/>
                <w:szCs w:val="20"/>
              </w:rPr>
              <w:t>No colmó.</w:t>
            </w:r>
          </w:p>
          <w:p w:rsidR="00C46EAC" w:rsidRDefault="00C46EAC">
            <w:pPr>
              <w:spacing w:line="360" w:lineRule="auto"/>
              <w:jc w:val="both"/>
              <w:rPr>
                <w:rFonts w:ascii="Palatino Linotype" w:hAnsi="Palatino Linotype" w:cs="Arial"/>
                <w:sz w:val="20"/>
                <w:szCs w:val="20"/>
              </w:rPr>
            </w:pPr>
          </w:p>
        </w:tc>
      </w:tr>
    </w:tbl>
    <w:p w:rsidR="00C46EAC" w:rsidRDefault="00C46EAC">
      <w:pPr>
        <w:spacing w:beforeAutospacing="1" w:afterAutospacing="1" w:line="360" w:lineRule="auto"/>
        <w:contextualSpacing/>
        <w:jc w:val="both"/>
        <w:rPr>
          <w:rFonts w:ascii="Palatino Linotype" w:hAnsi="Palatino Linotype" w:cs="Arial"/>
        </w:rPr>
      </w:pPr>
    </w:p>
    <w:p w:rsidR="00C46EAC" w:rsidRDefault="00C45F6D">
      <w:pPr>
        <w:spacing w:line="360" w:lineRule="auto"/>
        <w:ind w:right="51"/>
        <w:jc w:val="both"/>
        <w:rPr>
          <w:rFonts w:ascii="Palatino Linotype" w:eastAsia="Calibri" w:hAnsi="Palatino Linotype" w:cs="Arial"/>
        </w:rPr>
      </w:pPr>
      <w:r>
        <w:rPr>
          <w:rFonts w:ascii="Palatino Linotype" w:eastAsia="Calibri" w:hAnsi="Palatino Linotype" w:cs="Arial"/>
        </w:rPr>
        <w:t>En mérito de lo anterior, es importante recordar que el particular solicitó, conocer la cantidad global y segmentada por áreas incluyendo organismos descentralizados y desconcentrados del gasto ejercido por concepto de gasolina para automóviles propios del Ayuntamiento y para el pago de la gasolina en autos propios del personal del Ayuntamiento, ya sea en forma de devolución o como asignación mensual para dicho concepto, durante el año 2019.</w:t>
      </w:r>
    </w:p>
    <w:p w:rsidR="00C46EAC" w:rsidRDefault="00C46EAC">
      <w:pPr>
        <w:spacing w:line="360" w:lineRule="auto"/>
        <w:ind w:right="51"/>
        <w:jc w:val="both"/>
        <w:rPr>
          <w:rFonts w:ascii="Palatino Linotype" w:eastAsia="Calibri" w:hAnsi="Palatino Linotype" w:cs="Arial"/>
        </w:rPr>
      </w:pPr>
    </w:p>
    <w:p w:rsidR="00C46EAC" w:rsidRDefault="00C45F6D">
      <w:pPr>
        <w:tabs>
          <w:tab w:val="left" w:pos="709"/>
        </w:tabs>
        <w:spacing w:line="360" w:lineRule="auto"/>
        <w:jc w:val="both"/>
        <w:rPr>
          <w:rFonts w:ascii="Palatino Linotype" w:hAnsi="Palatino Linotype" w:cs="Arial"/>
        </w:rPr>
      </w:pPr>
      <w:r>
        <w:rPr>
          <w:rFonts w:ascii="Palatino Linotype" w:eastAsia="Calibri" w:hAnsi="Palatino Linotype" w:cs="Arial"/>
        </w:rPr>
        <w:t xml:space="preserve">Ahora bien, en respuesta </w:t>
      </w:r>
      <w:r>
        <w:rPr>
          <w:rFonts w:ascii="Palatino Linotype" w:eastAsia="Calibri" w:hAnsi="Palatino Linotype" w:cs="Arial"/>
          <w:b/>
        </w:rPr>
        <w:t xml:space="preserve">EL SUJETO OBLIGADO, </w:t>
      </w:r>
      <w:r>
        <w:rPr>
          <w:rFonts w:ascii="Palatino Linotype" w:hAnsi="Palatino Linotype" w:cs="Arial"/>
        </w:rPr>
        <w:t xml:space="preserve">informó que el gasto ejercido de la partida número 2611 por concepto de Combustibles, Lubricantes y Aditivos en el año </w:t>
      </w:r>
      <w:r>
        <w:rPr>
          <w:rFonts w:ascii="Palatino Linotype" w:hAnsi="Palatino Linotype" w:cs="Arial"/>
        </w:rPr>
        <w:lastRenderedPageBreak/>
        <w:t xml:space="preserve">2019 es de 32,696,823.52 (Treinta y dos millones seiscientos noventa y seis mil ochocientos veintitrés pesos 52/100 M.N.) y que en cuanto al “gasto” realizado por concepto de gasolina remitió una tabla con el título REPORTE DE COMBUSTIBLE 2019, donde se aprecia el concepto de gasolinas por área en litros; por lo que, es claro que </w:t>
      </w:r>
      <w:r>
        <w:rPr>
          <w:rFonts w:ascii="Palatino Linotype" w:hAnsi="Palatino Linotype" w:cs="Arial"/>
          <w:b/>
        </w:rPr>
        <w:t>EL SUJETO OBLIGADO</w:t>
      </w:r>
      <w:r>
        <w:rPr>
          <w:rFonts w:ascii="Palatino Linotype" w:hAnsi="Palatino Linotype" w:cs="Arial"/>
        </w:rPr>
        <w:t xml:space="preserve"> no colmó el derecho de acceso a la información pública del particular, al no existir certeza jurídica sobre la cantidad exacta global gastada por concepto de gasolinas durante el año 2019, ya que concentra el gasto ejercida en Combustibles, Lubricantes y Aditivos y respecto al gasto ejercido por áreas por concepto de gasolina, </w:t>
      </w:r>
      <w:r>
        <w:rPr>
          <w:rFonts w:ascii="Palatino Linotype" w:hAnsi="Palatino Linotype" w:cs="Arial"/>
          <w:b/>
        </w:rPr>
        <w:t>EL SUJETO OBLIGADO</w:t>
      </w:r>
      <w:r>
        <w:rPr>
          <w:rFonts w:ascii="Palatino Linotype" w:hAnsi="Palatino Linotype" w:cs="Arial"/>
        </w:rPr>
        <w:t>, remitió un listado por unidad administrativa donde se advierten los litros de gasolina que recibieron; sin embargo, el particular requirió conocer el gasto ejercido en pesos por este concepto; mientras que respecto a la cantidad global y segmentada por áreas del gasto ejercido por concepto de gasolina, para autos propios del personal del Ayuntamiento, ya sea en forma de devolución o como asignación mensual para dicho concepto, no se pronunció al respecto.</w:t>
      </w:r>
    </w:p>
    <w:p w:rsidR="00C46EAC" w:rsidRDefault="00C46EAC">
      <w:pPr>
        <w:pStyle w:val="Texto"/>
        <w:tabs>
          <w:tab w:val="right" w:leader="dot" w:pos="8505"/>
        </w:tabs>
        <w:spacing w:after="0" w:line="360" w:lineRule="auto"/>
        <w:rPr>
          <w:rFonts w:ascii="Palatino Linotype" w:hAnsi="Palatino Linotype"/>
          <w:szCs w:val="24"/>
          <w:lang w:eastAsia="es-MX"/>
        </w:rPr>
      </w:pPr>
    </w:p>
    <w:p w:rsidR="00C46EAC" w:rsidRDefault="00C45F6D">
      <w:pPr>
        <w:pStyle w:val="Texto"/>
        <w:tabs>
          <w:tab w:val="right" w:leader="dot" w:pos="8505"/>
        </w:tabs>
        <w:spacing w:line="360" w:lineRule="auto"/>
        <w:rPr>
          <w:rFonts w:ascii="Palatino Linotype" w:hAnsi="Palatino Linotype"/>
          <w:szCs w:val="24"/>
          <w:lang w:eastAsia="es-MX"/>
        </w:rPr>
      </w:pPr>
      <w:r>
        <w:rPr>
          <w:rFonts w:ascii="Palatino Linotype" w:hAnsi="Palatino Linotype"/>
          <w:szCs w:val="24"/>
          <w:lang w:eastAsia="es-MX"/>
        </w:rPr>
        <w:t xml:space="preserve">En este mismo orden de ideas, es importante traer a contexto el Clasificador por Objeto del Gasto contenido en el Manual Único de Contabilidad Gubernamental para las Dependencias y Entidades públicas del Gobierno y Municipios del Estado de México, emitido conforme al Acuerdo por el que se emite el Clasificador por Objeto del Gasto por parte del Órgano de coordinación para la armonización de la Contabilidad Gubernamental que es el Consejo Nacional de Armonización Contable </w:t>
      </w:r>
      <w:r>
        <w:rPr>
          <w:rFonts w:ascii="Palatino Linotype" w:hAnsi="Palatino Linotype"/>
          <w:szCs w:val="24"/>
          <w:lang w:eastAsia="es-MX"/>
        </w:rPr>
        <w:lastRenderedPageBreak/>
        <w:t>(CONAC)</w:t>
      </w:r>
      <w:r>
        <w:rPr>
          <w:rStyle w:val="Ancladenotaalpie"/>
          <w:rFonts w:ascii="Palatino Linotype" w:hAnsi="Palatino Linotype"/>
          <w:szCs w:val="24"/>
          <w:lang w:eastAsia="es-MX"/>
        </w:rPr>
        <w:footnoteReference w:id="1"/>
      </w:r>
      <w:r>
        <w:rPr>
          <w:rFonts w:ascii="Palatino Linotype" w:hAnsi="Palatino Linotype"/>
          <w:szCs w:val="24"/>
          <w:lang w:eastAsia="es-MX"/>
        </w:rPr>
        <w:t>, el cual tiene por objeto la emisión de las normas contables y lineamientos para la generación de información financiera que aplicarán los entes públicos, previamente formuladas y propuestas por el Secretario Técnico; en donde se advierte la partida COMBUSTIBLES, LUBRICANTES Y ADITIVOS, dentro de los que se incluyen asignaciones destinadas a la adquisición de combustibles, lubricantes y aditivos de todo tipo, necesarios para el funcionamiento de vehículos de transporte terrestres, aéreos, marítimos, lacustres y fluviales; así como de maquinaria y equipo, sin distinción de que deban ser vehículos propios del Ayuntamiento o del personal adscrito al mismo, mediante devolución o asignación.</w:t>
      </w:r>
    </w:p>
    <w:p w:rsidR="00C46EAC" w:rsidRDefault="00C45F6D">
      <w:pPr>
        <w:pStyle w:val="Prrafodelista"/>
        <w:widowControl w:val="0"/>
        <w:tabs>
          <w:tab w:val="left" w:pos="1276"/>
        </w:tabs>
        <w:spacing w:before="240" w:afterAutospacing="1" w:line="360" w:lineRule="auto"/>
        <w:ind w:left="0"/>
        <w:jc w:val="both"/>
        <w:rPr>
          <w:rFonts w:ascii="Palatino Linotype" w:hAnsi="Palatino Linotype" w:cs="Arial"/>
          <w:bCs/>
          <w:color w:val="000000" w:themeColor="text1"/>
          <w:lang w:val="es-ES"/>
        </w:rPr>
      </w:pPr>
      <w:r>
        <w:rPr>
          <w:noProof/>
          <w:lang w:eastAsia="es-MX"/>
        </w:rPr>
        <w:drawing>
          <wp:inline distT="0" distB="0" distL="0" distR="0">
            <wp:extent cx="5791200" cy="2628900"/>
            <wp:effectExtent l="0" t="0" r="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4"/>
                    <pic:cNvPicPr>
                      <a:picLocks noChangeAspect="1" noChangeArrowheads="1"/>
                    </pic:cNvPicPr>
                  </pic:nvPicPr>
                  <pic:blipFill>
                    <a:blip r:embed="rId13"/>
                    <a:srcRect l="15620" t="39464" r="17111" b="32023"/>
                    <a:stretch>
                      <a:fillRect/>
                    </a:stretch>
                  </pic:blipFill>
                  <pic:spPr bwMode="auto">
                    <a:xfrm>
                      <a:off x="0" y="0"/>
                      <a:ext cx="5791200" cy="2628900"/>
                    </a:xfrm>
                    <a:prstGeom prst="rect">
                      <a:avLst/>
                    </a:prstGeom>
                  </pic:spPr>
                </pic:pic>
              </a:graphicData>
            </a:graphic>
          </wp:inline>
        </w:drawing>
      </w:r>
    </w:p>
    <w:p w:rsidR="00C46EAC" w:rsidRDefault="00C45F6D">
      <w:pPr>
        <w:pStyle w:val="Prrafodelista"/>
        <w:widowControl w:val="0"/>
        <w:tabs>
          <w:tab w:val="left" w:pos="1276"/>
        </w:tabs>
        <w:spacing w:before="240" w:afterAutospacing="1" w:line="360" w:lineRule="auto"/>
        <w:ind w:left="0"/>
        <w:jc w:val="both"/>
        <w:rPr>
          <w:rFonts w:ascii="Palatino Linotype" w:hAnsi="Palatino Linotype" w:cs="Arial"/>
        </w:rPr>
      </w:pPr>
      <w:r>
        <w:rPr>
          <w:rFonts w:ascii="Palatino Linotype" w:hAnsi="Palatino Linotype" w:cs="Arial"/>
          <w:bCs/>
          <w:color w:val="000000" w:themeColor="text1"/>
          <w:lang w:val="es-ES"/>
        </w:rPr>
        <w:t xml:space="preserve">En este mismo orden de ideas, esta Ponencia Resolutora considera importante traer a contexto lo expuesto en </w:t>
      </w:r>
      <w:r>
        <w:rPr>
          <w:rFonts w:ascii="Palatino Linotype" w:hAnsi="Palatino Linotype" w:cs="Arial"/>
          <w:color w:val="000000" w:themeColor="text1"/>
          <w:lang w:val="es-ES"/>
        </w:rPr>
        <w:t xml:space="preserve">los artículos primero, vigésimo octavo y Anexo 3 de los Lineamientos de Control Financiero y Administrativo para las Entidades Fiscalizables </w:t>
      </w:r>
      <w:r>
        <w:rPr>
          <w:rFonts w:ascii="Palatino Linotype" w:hAnsi="Palatino Linotype" w:cs="Arial"/>
          <w:color w:val="000000" w:themeColor="text1"/>
          <w:lang w:val="es-ES"/>
        </w:rPr>
        <w:lastRenderedPageBreak/>
        <w:t>Municipales del Estado de México:</w:t>
      </w:r>
    </w:p>
    <w:p w:rsidR="00C46EAC" w:rsidRDefault="00C45F6D">
      <w:pPr>
        <w:spacing w:before="120" w:after="120"/>
        <w:ind w:left="709" w:right="709"/>
        <w:jc w:val="both"/>
        <w:rPr>
          <w:rFonts w:ascii="Palatino Linotype" w:hAnsi="Palatino Linotype" w:cs="Arial"/>
          <w:i/>
          <w:color w:val="000000" w:themeColor="text1"/>
          <w:spacing w:val="-6"/>
          <w:sz w:val="22"/>
          <w:lang w:eastAsia="es-MX"/>
        </w:rPr>
      </w:pPr>
      <w:r>
        <w:rPr>
          <w:rFonts w:ascii="Palatino Linotype" w:hAnsi="Palatino Linotype" w:cs="Arial"/>
          <w:i/>
          <w:color w:val="000000" w:themeColor="text1"/>
          <w:spacing w:val="-6"/>
          <w:sz w:val="22"/>
          <w:lang w:eastAsia="es-MX"/>
        </w:rPr>
        <w:t>“</w:t>
      </w:r>
      <w:r>
        <w:rPr>
          <w:rFonts w:ascii="Palatino Linotype" w:hAnsi="Palatino Linotype" w:cs="Arial"/>
          <w:b/>
          <w:i/>
          <w:color w:val="000000" w:themeColor="text1"/>
          <w:spacing w:val="-6"/>
          <w:sz w:val="22"/>
          <w:lang w:eastAsia="es-MX"/>
        </w:rPr>
        <w:t>PRIMERO</w:t>
      </w:r>
      <w:r>
        <w:rPr>
          <w:rFonts w:ascii="Palatino Linotype" w:hAnsi="Palatino Linotype" w:cs="Arial"/>
          <w:i/>
          <w:color w:val="000000" w:themeColor="text1"/>
          <w:spacing w:val="-6"/>
          <w:sz w:val="22"/>
          <w:lang w:eastAsia="es-MX"/>
        </w:rPr>
        <w:t xml:space="preserve">: </w:t>
      </w:r>
      <w:r>
        <w:rPr>
          <w:rFonts w:ascii="Palatino Linotype" w:hAnsi="Palatino Linotype" w:cs="Arial"/>
          <w:b/>
          <w:i/>
          <w:color w:val="000000" w:themeColor="text1"/>
          <w:spacing w:val="-6"/>
          <w:sz w:val="22"/>
          <w:lang w:eastAsia="es-MX"/>
        </w:rPr>
        <w:t>Los presentes Lineamientos tienen por objeto establecer las normas en materia de control financiero y administrativo en la</w:t>
      </w:r>
      <w:r>
        <w:rPr>
          <w:rFonts w:ascii="Palatino Linotype" w:hAnsi="Palatino Linotype" w:cs="Arial"/>
          <w:i/>
          <w:color w:val="000000" w:themeColor="text1"/>
          <w:spacing w:val="-6"/>
          <w:sz w:val="22"/>
          <w:lang w:eastAsia="es-MX"/>
        </w:rPr>
        <w:t xml:space="preserve"> obtención, </w:t>
      </w:r>
      <w:r>
        <w:rPr>
          <w:rFonts w:ascii="Palatino Linotype" w:hAnsi="Palatino Linotype" w:cs="Arial"/>
          <w:b/>
          <w:i/>
          <w:color w:val="000000" w:themeColor="text1"/>
          <w:spacing w:val="-6"/>
          <w:sz w:val="22"/>
          <w:lang w:eastAsia="es-MX"/>
        </w:rPr>
        <w:t>administración</w:t>
      </w:r>
      <w:r>
        <w:rPr>
          <w:rFonts w:ascii="Palatino Linotype" w:hAnsi="Palatino Linotype" w:cs="Arial"/>
          <w:i/>
          <w:color w:val="000000" w:themeColor="text1"/>
          <w:spacing w:val="-6"/>
          <w:sz w:val="22"/>
          <w:lang w:eastAsia="es-MX"/>
        </w:rPr>
        <w:t xml:space="preserve"> y aplicación </w:t>
      </w:r>
      <w:r>
        <w:rPr>
          <w:rFonts w:ascii="Palatino Linotype" w:hAnsi="Palatino Linotype" w:cs="Arial"/>
          <w:b/>
          <w:i/>
          <w:color w:val="000000" w:themeColor="text1"/>
          <w:spacing w:val="-6"/>
          <w:sz w:val="22"/>
          <w:lang w:eastAsia="es-MX"/>
        </w:rPr>
        <w:t>de los recursos públicos para las entidades fiscalizables municipales</w:t>
      </w:r>
      <w:r>
        <w:rPr>
          <w:rFonts w:ascii="Palatino Linotype" w:hAnsi="Palatino Linotype" w:cs="Arial"/>
          <w:i/>
          <w:color w:val="000000" w:themeColor="text1"/>
          <w:spacing w:val="-6"/>
          <w:sz w:val="22"/>
          <w:lang w:eastAsia="es-MX"/>
        </w:rPr>
        <w:t>.</w:t>
      </w:r>
    </w:p>
    <w:p w:rsidR="00C46EAC" w:rsidRDefault="00C45F6D">
      <w:pPr>
        <w:spacing w:before="120" w:after="120"/>
        <w:ind w:left="709" w:right="709"/>
        <w:jc w:val="both"/>
        <w:rPr>
          <w:rFonts w:ascii="Palatino Linotype" w:hAnsi="Palatino Linotype" w:cs="Arial"/>
          <w:i/>
          <w:color w:val="000000" w:themeColor="text1"/>
          <w:spacing w:val="-6"/>
          <w:sz w:val="22"/>
          <w:lang w:eastAsia="es-MX"/>
        </w:rPr>
      </w:pPr>
      <w:r>
        <w:rPr>
          <w:rFonts w:ascii="Palatino Linotype" w:hAnsi="Palatino Linotype" w:cs="Arial"/>
          <w:i/>
          <w:color w:val="000000" w:themeColor="text1"/>
          <w:spacing w:val="-6"/>
          <w:sz w:val="22"/>
          <w:lang w:eastAsia="es-MX"/>
        </w:rPr>
        <w:t>…</w:t>
      </w:r>
    </w:p>
    <w:p w:rsidR="00C46EAC" w:rsidRDefault="00C45F6D">
      <w:pPr>
        <w:spacing w:before="120" w:after="120"/>
        <w:ind w:left="709" w:right="709"/>
        <w:jc w:val="both"/>
        <w:rPr>
          <w:rFonts w:ascii="Palatino Linotype" w:hAnsi="Palatino Linotype" w:cs="Arial"/>
          <w:i/>
          <w:color w:val="000000" w:themeColor="text1"/>
          <w:spacing w:val="-6"/>
          <w:sz w:val="22"/>
          <w:lang w:eastAsia="es-MX"/>
        </w:rPr>
      </w:pPr>
      <w:r>
        <w:rPr>
          <w:rFonts w:ascii="Palatino Linotype" w:hAnsi="Palatino Linotype" w:cs="Arial"/>
          <w:b/>
          <w:i/>
          <w:color w:val="000000" w:themeColor="text1"/>
          <w:spacing w:val="-6"/>
          <w:sz w:val="22"/>
          <w:lang w:eastAsia="es-MX"/>
        </w:rPr>
        <w:t>VIGÉSIMO OCTAVO: Los servidores públicos municipales responsables de llevar el control del consumo de los combustibles</w:t>
      </w:r>
      <w:r>
        <w:rPr>
          <w:rFonts w:ascii="Palatino Linotype" w:hAnsi="Palatino Linotype" w:cs="Arial"/>
          <w:i/>
          <w:color w:val="000000" w:themeColor="text1"/>
          <w:spacing w:val="-6"/>
          <w:sz w:val="22"/>
          <w:lang w:eastAsia="es-MX"/>
        </w:rPr>
        <w:t xml:space="preserve"> y lubricantes </w:t>
      </w:r>
      <w:r>
        <w:rPr>
          <w:rFonts w:ascii="Palatino Linotype" w:hAnsi="Palatino Linotype" w:cs="Arial"/>
          <w:b/>
          <w:i/>
          <w:color w:val="000000" w:themeColor="text1"/>
          <w:spacing w:val="-6"/>
          <w:sz w:val="22"/>
          <w:lang w:eastAsia="es-MX"/>
        </w:rPr>
        <w:t>de cada uno de los vehículos</w:t>
      </w:r>
      <w:r>
        <w:rPr>
          <w:rFonts w:ascii="Palatino Linotype" w:hAnsi="Palatino Linotype" w:cs="Arial"/>
          <w:i/>
          <w:color w:val="000000" w:themeColor="text1"/>
          <w:spacing w:val="-6"/>
          <w:sz w:val="22"/>
          <w:lang w:eastAsia="es-MX"/>
        </w:rPr>
        <w:t xml:space="preserve"> y maquinaria </w:t>
      </w:r>
      <w:r>
        <w:rPr>
          <w:rFonts w:ascii="Palatino Linotype" w:hAnsi="Palatino Linotype" w:cs="Arial"/>
          <w:b/>
          <w:i/>
          <w:color w:val="000000" w:themeColor="text1"/>
          <w:spacing w:val="-6"/>
          <w:sz w:val="22"/>
          <w:lang w:eastAsia="es-MX"/>
        </w:rPr>
        <w:t xml:space="preserve">de la entidad fiscalizable municipal, </w:t>
      </w:r>
      <w:r>
        <w:rPr>
          <w:rFonts w:ascii="Palatino Linotype" w:hAnsi="Palatino Linotype" w:cs="Arial"/>
          <w:b/>
          <w:i/>
          <w:color w:val="000000" w:themeColor="text1"/>
          <w:spacing w:val="-6"/>
          <w:sz w:val="22"/>
          <w:u w:val="single"/>
          <w:lang w:eastAsia="es-MX"/>
        </w:rPr>
        <w:t>por medio de los vales de gasolina o por los consumos foráneos que realicen fuera del municipio,</w:t>
      </w:r>
      <w:r>
        <w:rPr>
          <w:rFonts w:ascii="Palatino Linotype" w:hAnsi="Palatino Linotype" w:cs="Arial"/>
          <w:i/>
          <w:color w:val="000000" w:themeColor="text1"/>
          <w:spacing w:val="-6"/>
          <w:sz w:val="22"/>
          <w:lang w:eastAsia="es-MX"/>
        </w:rPr>
        <w:t xml:space="preserve"> </w:t>
      </w:r>
      <w:r>
        <w:rPr>
          <w:rFonts w:ascii="Palatino Linotype" w:hAnsi="Palatino Linotype" w:cs="Arial"/>
          <w:b/>
          <w:i/>
          <w:color w:val="000000" w:themeColor="text1"/>
          <w:spacing w:val="-6"/>
          <w:sz w:val="22"/>
          <w:lang w:eastAsia="es-MX"/>
        </w:rPr>
        <w:t>deberán llevar una bitácora de acuerdo al anexo 3</w:t>
      </w:r>
      <w:r>
        <w:rPr>
          <w:rFonts w:ascii="Palatino Linotype" w:hAnsi="Palatino Linotype" w:cs="Arial"/>
          <w:i/>
          <w:color w:val="000000" w:themeColor="text1"/>
          <w:spacing w:val="-6"/>
          <w:sz w:val="22"/>
          <w:lang w:eastAsia="es-MX"/>
        </w:rPr>
        <w:t>.</w:t>
      </w:r>
    </w:p>
    <w:p w:rsidR="00C46EAC" w:rsidRDefault="00C45F6D">
      <w:pPr>
        <w:widowControl w:val="0"/>
        <w:spacing w:after="120" w:line="360" w:lineRule="auto"/>
        <w:jc w:val="center"/>
        <w:rPr>
          <w:rFonts w:ascii="Palatino Linotype" w:hAnsi="Palatino Linotype" w:cs="Arial"/>
          <w:color w:val="000000" w:themeColor="text1"/>
          <w:lang w:val="es-ES"/>
        </w:rPr>
      </w:pPr>
      <w:r>
        <w:rPr>
          <w:noProof/>
          <w:lang w:eastAsia="es-MX"/>
        </w:rPr>
        <w:drawing>
          <wp:inline distT="0" distB="0" distL="0" distR="0">
            <wp:extent cx="5789930" cy="1771650"/>
            <wp:effectExtent l="0" t="0" r="0" b="0"/>
            <wp:docPr id="11"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49"/>
                    <pic:cNvPicPr>
                      <a:picLocks noChangeAspect="1" noChangeArrowheads="1"/>
                    </pic:cNvPicPr>
                  </pic:nvPicPr>
                  <pic:blipFill>
                    <a:blip r:embed="rId14"/>
                    <a:stretch>
                      <a:fillRect/>
                    </a:stretch>
                  </pic:blipFill>
                  <pic:spPr bwMode="auto">
                    <a:xfrm>
                      <a:off x="0" y="0"/>
                      <a:ext cx="5789930" cy="1771650"/>
                    </a:xfrm>
                    <a:prstGeom prst="rect">
                      <a:avLst/>
                    </a:prstGeom>
                  </pic:spPr>
                </pic:pic>
              </a:graphicData>
            </a:graphic>
          </wp:inline>
        </w:drawing>
      </w:r>
      <w:r>
        <w:rPr>
          <w:noProof/>
          <w:lang w:eastAsia="es-MX"/>
        </w:rPr>
        <mc:AlternateContent>
          <mc:Choice Requires="wps">
            <w:drawing>
              <wp:anchor distT="0" distB="0" distL="0" distR="0" simplePos="0" relativeHeight="92" behindDoc="0" locked="0" layoutInCell="1" allowOverlap="1" wp14:anchorId="1F669547">
                <wp:simplePos x="0" y="0"/>
                <wp:positionH relativeFrom="margin">
                  <wp:align>left</wp:align>
                </wp:positionH>
                <wp:positionV relativeFrom="paragraph">
                  <wp:posOffset>669925</wp:posOffset>
                </wp:positionV>
                <wp:extent cx="1279525" cy="191135"/>
                <wp:effectExtent l="19050" t="19050" r="16510" b="19050"/>
                <wp:wrapNone/>
                <wp:docPr id="7" name="Rectángulo 50"/>
                <wp:cNvGraphicFramePr/>
                <a:graphic xmlns:a="http://schemas.openxmlformats.org/drawingml/2006/main">
                  <a:graphicData uri="http://schemas.microsoft.com/office/word/2010/wordprocessingShape">
                    <wps:wsp>
                      <wps:cNvSpPr/>
                      <wps:spPr>
                        <a:xfrm>
                          <a:off x="0" y="0"/>
                          <a:ext cx="1278720" cy="190440"/>
                        </a:xfrm>
                        <a:prstGeom prst="rect">
                          <a:avLst/>
                        </a:prstGeom>
                        <a:noFill/>
                        <a:ln w="28440">
                          <a:solidFill>
                            <a:srgbClr val="43729D"/>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ángulo 50" stroked="t" style="position:absolute;margin-left:1.5pt;margin-top:52.75pt;width:100.65pt;height:14.95pt;mso-position-horizontal:left;mso-position-horizontal-relative:margin" wp14:anchorId="1F669547">
                <w10:wrap type="none"/>
                <v:fill o:detectmouseclick="t" on="false"/>
                <v:stroke color="#43729d" weight="28440" joinstyle="miter" endcap="flat"/>
              </v:rect>
            </w:pict>
          </mc:Fallback>
        </mc:AlternateContent>
      </w:r>
      <w:r>
        <w:rPr>
          <w:noProof/>
          <w:lang w:eastAsia="es-MX"/>
        </w:rPr>
        <mc:AlternateContent>
          <mc:Choice Requires="wps">
            <w:drawing>
              <wp:anchor distT="0" distB="0" distL="0" distR="0" simplePos="0" relativeHeight="93" behindDoc="0" locked="0" layoutInCell="1" allowOverlap="1" wp14:anchorId="796670F5">
                <wp:simplePos x="0" y="0"/>
                <wp:positionH relativeFrom="column">
                  <wp:posOffset>1863090</wp:posOffset>
                </wp:positionH>
                <wp:positionV relativeFrom="paragraph">
                  <wp:posOffset>1024255</wp:posOffset>
                </wp:positionV>
                <wp:extent cx="486410" cy="243205"/>
                <wp:effectExtent l="19050" t="19050" r="28575" b="24130"/>
                <wp:wrapNone/>
                <wp:docPr id="8" name="Rectángulo 51"/>
                <wp:cNvGraphicFramePr/>
                <a:graphic xmlns:a="http://schemas.openxmlformats.org/drawingml/2006/main">
                  <a:graphicData uri="http://schemas.microsoft.com/office/word/2010/wordprocessingShape">
                    <wps:wsp>
                      <wps:cNvSpPr/>
                      <wps:spPr>
                        <a:xfrm>
                          <a:off x="0" y="0"/>
                          <a:ext cx="485640" cy="242640"/>
                        </a:xfrm>
                        <a:prstGeom prst="rect">
                          <a:avLst/>
                        </a:prstGeom>
                        <a:noFill/>
                        <a:ln w="28440">
                          <a:solidFill>
                            <a:srgbClr val="43729D"/>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ángulo 51" stroked="t" style="position:absolute;margin-left:146.7pt;margin-top:80.65pt;width:38.2pt;height:19.05pt" wp14:anchorId="796670F5">
                <w10:wrap type="none"/>
                <v:fill o:detectmouseclick="t" on="false"/>
                <v:stroke color="#43729d" weight="28440" joinstyle="miter" endcap="flat"/>
              </v:rect>
            </w:pict>
          </mc:Fallback>
        </mc:AlternateContent>
      </w:r>
      <w:r>
        <w:rPr>
          <w:noProof/>
          <w:lang w:eastAsia="es-MX"/>
        </w:rPr>
        <mc:AlternateContent>
          <mc:Choice Requires="wps">
            <w:drawing>
              <wp:anchor distT="0" distB="0" distL="0" distR="0" simplePos="0" relativeHeight="94" behindDoc="0" locked="0" layoutInCell="1" allowOverlap="1" wp14:anchorId="2E0B455D">
                <wp:simplePos x="0" y="0"/>
                <wp:positionH relativeFrom="column">
                  <wp:posOffset>43815</wp:posOffset>
                </wp:positionH>
                <wp:positionV relativeFrom="paragraph">
                  <wp:posOffset>1012190</wp:posOffset>
                </wp:positionV>
                <wp:extent cx="934085" cy="229235"/>
                <wp:effectExtent l="19050" t="19050" r="19050" b="19050"/>
                <wp:wrapNone/>
                <wp:docPr id="9" name="Rectángulo 9"/>
                <wp:cNvGraphicFramePr/>
                <a:graphic xmlns:a="http://schemas.openxmlformats.org/drawingml/2006/main">
                  <a:graphicData uri="http://schemas.microsoft.com/office/word/2010/wordprocessingShape">
                    <wps:wsp>
                      <wps:cNvSpPr/>
                      <wps:spPr>
                        <a:xfrm>
                          <a:off x="0" y="0"/>
                          <a:ext cx="933480" cy="228600"/>
                        </a:xfrm>
                        <a:prstGeom prst="rect">
                          <a:avLst/>
                        </a:prstGeom>
                        <a:noFill/>
                        <a:ln w="28440">
                          <a:solidFill>
                            <a:srgbClr val="43729D"/>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ángulo 9" stroked="t" style="position:absolute;margin-left:3.45pt;margin-top:79.7pt;width:73.45pt;height:17.95pt" wp14:anchorId="2E0B455D">
                <w10:wrap type="none"/>
                <v:fill o:detectmouseclick="t" on="false"/>
                <v:stroke color="#43729d" weight="28440" joinstyle="miter" endcap="flat"/>
              </v:rect>
            </w:pict>
          </mc:Fallback>
        </mc:AlternateContent>
      </w:r>
      <w:r>
        <w:rPr>
          <w:noProof/>
          <w:lang w:eastAsia="es-MX"/>
        </w:rPr>
        <mc:AlternateContent>
          <mc:Choice Requires="wps">
            <w:drawing>
              <wp:anchor distT="0" distB="0" distL="0" distR="0" simplePos="0" relativeHeight="95" behindDoc="0" locked="0" layoutInCell="1" allowOverlap="1" wp14:anchorId="5EBFB5C2">
                <wp:simplePos x="0" y="0"/>
                <wp:positionH relativeFrom="column">
                  <wp:posOffset>2329815</wp:posOffset>
                </wp:positionH>
                <wp:positionV relativeFrom="paragraph">
                  <wp:posOffset>1021715</wp:posOffset>
                </wp:positionV>
                <wp:extent cx="467360" cy="243205"/>
                <wp:effectExtent l="19050" t="19050" r="28575" b="24130"/>
                <wp:wrapNone/>
                <wp:docPr id="10" name="Rectángulo 8"/>
                <wp:cNvGraphicFramePr/>
                <a:graphic xmlns:a="http://schemas.openxmlformats.org/drawingml/2006/main">
                  <a:graphicData uri="http://schemas.microsoft.com/office/word/2010/wordprocessingShape">
                    <wps:wsp>
                      <wps:cNvSpPr/>
                      <wps:spPr>
                        <a:xfrm>
                          <a:off x="0" y="0"/>
                          <a:ext cx="466560" cy="242640"/>
                        </a:xfrm>
                        <a:prstGeom prst="rect">
                          <a:avLst/>
                        </a:prstGeom>
                        <a:noFill/>
                        <a:ln w="28440">
                          <a:solidFill>
                            <a:srgbClr val="43729D"/>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ángulo 8" stroked="t" style="position:absolute;margin-left:183.45pt;margin-top:80.45pt;width:36.7pt;height:19.05pt" wp14:anchorId="5EBFB5C2">
                <w10:wrap type="none"/>
                <v:fill o:detectmouseclick="t" on="false"/>
                <v:stroke color="#43729d" weight="28440" joinstyle="miter" endcap="flat"/>
              </v:rect>
            </w:pict>
          </mc:Fallback>
        </mc:AlternateContent>
      </w:r>
    </w:p>
    <w:p w:rsidR="00C46EAC" w:rsidRDefault="00C45F6D">
      <w:pPr>
        <w:spacing w:before="120" w:after="120"/>
        <w:ind w:left="709" w:right="709"/>
        <w:jc w:val="both"/>
        <w:rPr>
          <w:rFonts w:ascii="Palatino Linotype" w:hAnsi="Palatino Linotype" w:cs="Arial"/>
          <w:i/>
          <w:color w:val="000000" w:themeColor="text1"/>
          <w:spacing w:val="-6"/>
          <w:sz w:val="22"/>
          <w:lang w:eastAsia="es-MX"/>
        </w:rPr>
      </w:pPr>
      <w:r>
        <w:rPr>
          <w:rFonts w:ascii="Palatino Linotype" w:hAnsi="Palatino Linotype" w:cs="Arial"/>
          <w:i/>
          <w:color w:val="000000" w:themeColor="text1"/>
          <w:spacing w:val="-6"/>
          <w:sz w:val="22"/>
          <w:lang w:eastAsia="es-MX"/>
        </w:rPr>
        <w:t xml:space="preserve">ESTA BITACORA ES PARA LLENARSE </w:t>
      </w:r>
      <w:r>
        <w:rPr>
          <w:rFonts w:ascii="Palatino Linotype" w:hAnsi="Palatino Linotype" w:cs="Arial"/>
          <w:b/>
          <w:i/>
          <w:color w:val="000000" w:themeColor="text1"/>
          <w:spacing w:val="-6"/>
          <w:sz w:val="22"/>
          <w:u w:val="single"/>
          <w:lang w:eastAsia="es-MX"/>
        </w:rPr>
        <w:t>POR CADA VEHICULO</w:t>
      </w:r>
    </w:p>
    <w:p w:rsidR="00C46EAC" w:rsidRDefault="00C45F6D">
      <w:pPr>
        <w:spacing w:before="120" w:after="120"/>
        <w:ind w:left="709" w:right="709"/>
        <w:jc w:val="both"/>
        <w:rPr>
          <w:rFonts w:ascii="Palatino Linotype" w:hAnsi="Palatino Linotype" w:cs="Arial"/>
          <w:b/>
          <w:i/>
          <w:color w:val="000000" w:themeColor="text1"/>
          <w:spacing w:val="-6"/>
          <w:sz w:val="22"/>
          <w:lang w:eastAsia="es-MX"/>
        </w:rPr>
      </w:pPr>
      <w:r>
        <w:rPr>
          <w:rFonts w:ascii="Palatino Linotype" w:hAnsi="Palatino Linotype" w:cs="Arial"/>
          <w:b/>
          <w:i/>
          <w:color w:val="000000" w:themeColor="text1"/>
          <w:spacing w:val="-6"/>
          <w:sz w:val="22"/>
          <w:lang w:eastAsia="es-MX"/>
        </w:rPr>
        <w:t xml:space="preserve">1.- </w:t>
      </w:r>
      <w:r>
        <w:rPr>
          <w:rFonts w:ascii="Palatino Linotype" w:hAnsi="Palatino Linotype" w:cs="Arial"/>
          <w:b/>
          <w:i/>
          <w:color w:val="000000" w:themeColor="text1"/>
          <w:spacing w:val="-6"/>
          <w:sz w:val="22"/>
          <w:u w:val="single"/>
          <w:lang w:eastAsia="es-MX"/>
        </w:rPr>
        <w:t>ANOTAR AL PROVEEDOR DEL SERVICIO</w:t>
      </w:r>
    </w:p>
    <w:p w:rsidR="00C46EAC" w:rsidRDefault="00C45F6D">
      <w:pPr>
        <w:spacing w:before="120" w:after="120"/>
        <w:ind w:left="709" w:right="709"/>
        <w:jc w:val="both"/>
        <w:rPr>
          <w:rFonts w:ascii="Palatino Linotype" w:hAnsi="Palatino Linotype" w:cs="Arial"/>
          <w:b/>
          <w:i/>
          <w:color w:val="000000" w:themeColor="text1"/>
          <w:spacing w:val="-6"/>
          <w:sz w:val="22"/>
          <w:lang w:eastAsia="es-MX"/>
        </w:rPr>
      </w:pPr>
      <w:r>
        <w:rPr>
          <w:rFonts w:ascii="Palatino Linotype" w:hAnsi="Palatino Linotype" w:cs="Arial"/>
          <w:b/>
          <w:i/>
          <w:color w:val="000000" w:themeColor="text1"/>
          <w:spacing w:val="-6"/>
          <w:sz w:val="22"/>
          <w:lang w:eastAsia="es-MX"/>
        </w:rPr>
        <w:t xml:space="preserve">2.- </w:t>
      </w:r>
      <w:r>
        <w:rPr>
          <w:rFonts w:ascii="Palatino Linotype" w:hAnsi="Palatino Linotype" w:cs="Arial"/>
          <w:b/>
          <w:i/>
          <w:color w:val="000000" w:themeColor="text1"/>
          <w:spacing w:val="-6"/>
          <w:sz w:val="22"/>
          <w:u w:val="single"/>
          <w:lang w:eastAsia="es-MX"/>
        </w:rPr>
        <w:t>ANOTAR EL NÚMERO DE FOLIO DEL VALE</w:t>
      </w:r>
    </w:p>
    <w:p w:rsidR="00C46EAC" w:rsidRDefault="00C45F6D">
      <w:pPr>
        <w:spacing w:before="120" w:after="120"/>
        <w:ind w:left="709" w:right="709"/>
        <w:jc w:val="both"/>
        <w:rPr>
          <w:rFonts w:ascii="Palatino Linotype" w:hAnsi="Palatino Linotype" w:cs="Arial"/>
          <w:i/>
          <w:color w:val="000000" w:themeColor="text1"/>
          <w:spacing w:val="-6"/>
          <w:sz w:val="22"/>
          <w:lang w:eastAsia="es-MX"/>
        </w:rPr>
      </w:pPr>
      <w:r>
        <w:rPr>
          <w:rFonts w:ascii="Palatino Linotype" w:hAnsi="Palatino Linotype" w:cs="Arial"/>
          <w:i/>
          <w:color w:val="000000" w:themeColor="text1"/>
          <w:spacing w:val="-6"/>
          <w:sz w:val="22"/>
          <w:lang w:eastAsia="es-MX"/>
        </w:rPr>
        <w:t>3.- ANOTAR EL NÚMERO DE LA FACTURA DEL PROVEEDOR</w:t>
      </w:r>
    </w:p>
    <w:p w:rsidR="00C46EAC" w:rsidRDefault="00C45F6D">
      <w:pPr>
        <w:spacing w:before="120" w:after="120"/>
        <w:ind w:left="709" w:right="709"/>
        <w:jc w:val="both"/>
        <w:rPr>
          <w:rFonts w:ascii="Palatino Linotype" w:hAnsi="Palatino Linotype" w:cs="Arial"/>
          <w:i/>
          <w:color w:val="000000" w:themeColor="text1"/>
          <w:spacing w:val="-6"/>
          <w:sz w:val="22"/>
          <w:lang w:eastAsia="es-MX"/>
        </w:rPr>
      </w:pPr>
      <w:r>
        <w:rPr>
          <w:rFonts w:ascii="Palatino Linotype" w:hAnsi="Palatino Linotype" w:cs="Arial"/>
          <w:b/>
          <w:i/>
          <w:color w:val="000000" w:themeColor="text1"/>
          <w:spacing w:val="-6"/>
          <w:sz w:val="22"/>
          <w:lang w:eastAsia="es-MX"/>
        </w:rPr>
        <w:t xml:space="preserve">4.- </w:t>
      </w:r>
      <w:r>
        <w:rPr>
          <w:rFonts w:ascii="Palatino Linotype" w:hAnsi="Palatino Linotype" w:cs="Arial"/>
          <w:b/>
          <w:i/>
          <w:color w:val="000000" w:themeColor="text1"/>
          <w:spacing w:val="-6"/>
          <w:sz w:val="22"/>
          <w:u w:val="single"/>
          <w:lang w:eastAsia="es-MX"/>
        </w:rPr>
        <w:t>ANOTAR EL COSTO TOTAL DEL VALE</w:t>
      </w:r>
      <w:r>
        <w:rPr>
          <w:rFonts w:ascii="Palatino Linotype" w:hAnsi="Palatino Linotype" w:cs="Arial"/>
          <w:i/>
          <w:color w:val="000000" w:themeColor="text1"/>
          <w:spacing w:val="-6"/>
          <w:sz w:val="22"/>
          <w:lang w:eastAsia="es-MX"/>
        </w:rPr>
        <w:t xml:space="preserve"> O FACTURA CONSIDERANDO EL IVA.</w:t>
      </w:r>
    </w:p>
    <w:p w:rsidR="00C46EAC" w:rsidRDefault="00C45F6D">
      <w:pPr>
        <w:spacing w:before="120" w:after="120"/>
        <w:ind w:left="709" w:right="709"/>
        <w:jc w:val="both"/>
        <w:rPr>
          <w:rFonts w:ascii="Palatino Linotype" w:hAnsi="Palatino Linotype" w:cs="Arial"/>
          <w:i/>
          <w:color w:val="000000" w:themeColor="text1"/>
          <w:spacing w:val="-6"/>
          <w:sz w:val="22"/>
          <w:lang w:eastAsia="es-MX"/>
        </w:rPr>
      </w:pPr>
      <w:r>
        <w:rPr>
          <w:rFonts w:ascii="Palatino Linotype" w:hAnsi="Palatino Linotype" w:cs="Arial"/>
          <w:i/>
          <w:color w:val="000000" w:themeColor="text1"/>
          <w:spacing w:val="-6"/>
          <w:sz w:val="22"/>
          <w:lang w:eastAsia="es-MX"/>
        </w:rPr>
        <w:t>5 - ANOTAR EL NÚMERO DE LITROS PAGADOS.</w:t>
      </w:r>
    </w:p>
    <w:p w:rsidR="00C46EAC" w:rsidRDefault="00C45F6D">
      <w:pPr>
        <w:spacing w:before="120" w:after="120"/>
        <w:ind w:left="709" w:right="709"/>
        <w:jc w:val="both"/>
        <w:rPr>
          <w:rFonts w:ascii="Palatino Linotype" w:hAnsi="Palatino Linotype" w:cs="Arial"/>
          <w:i/>
          <w:color w:val="000000" w:themeColor="text1"/>
          <w:spacing w:val="-6"/>
          <w:sz w:val="22"/>
          <w:lang w:eastAsia="es-MX"/>
        </w:rPr>
      </w:pPr>
      <w:r>
        <w:rPr>
          <w:rFonts w:ascii="Palatino Linotype" w:hAnsi="Palatino Linotype" w:cs="Arial"/>
          <w:i/>
          <w:color w:val="000000" w:themeColor="text1"/>
          <w:spacing w:val="-6"/>
          <w:sz w:val="22"/>
          <w:lang w:eastAsia="es-MX"/>
        </w:rPr>
        <w:t>6.- ANOTAR EL KILOMETRAJE RECORRIDO ACTUAL (SACAR LA DIFERENCIA ENTRE EL HILOMETRAJE ACTUAL CONTRA EL ANTERIOR)</w:t>
      </w:r>
    </w:p>
    <w:p w:rsidR="00C46EAC" w:rsidRDefault="00C45F6D">
      <w:pPr>
        <w:spacing w:before="120" w:after="120"/>
        <w:ind w:left="709" w:right="709"/>
        <w:jc w:val="both"/>
        <w:rPr>
          <w:rFonts w:ascii="Palatino Linotype" w:hAnsi="Palatino Linotype" w:cs="Arial"/>
          <w:i/>
          <w:color w:val="000000" w:themeColor="text1"/>
          <w:spacing w:val="-6"/>
          <w:sz w:val="22"/>
          <w:lang w:eastAsia="es-MX"/>
        </w:rPr>
      </w:pPr>
      <w:r>
        <w:rPr>
          <w:rFonts w:ascii="Palatino Linotype" w:hAnsi="Palatino Linotype" w:cs="Arial"/>
          <w:i/>
          <w:color w:val="000000" w:themeColor="text1"/>
          <w:spacing w:val="-6"/>
          <w:sz w:val="22"/>
          <w:lang w:eastAsia="es-MX"/>
        </w:rPr>
        <w:t xml:space="preserve">7.- </w:t>
      </w:r>
      <w:r>
        <w:rPr>
          <w:rFonts w:ascii="Palatino Linotype" w:hAnsi="Palatino Linotype" w:cs="Arial"/>
          <w:b/>
          <w:i/>
          <w:color w:val="000000" w:themeColor="text1"/>
          <w:spacing w:val="-6"/>
          <w:sz w:val="22"/>
          <w:lang w:eastAsia="es-MX"/>
        </w:rPr>
        <w:t>ANOTAR EL KILOMETRAJE ACUMULADO INDICADORES DE DESEMPEÑO "Km. POR LITRO" O "COSTO POR Km." PARA MEDIR EL RENDIMIENTO DE CADA UNIDAD.</w:t>
      </w:r>
    </w:p>
    <w:p w:rsidR="00C46EAC" w:rsidRDefault="00C45F6D">
      <w:pPr>
        <w:spacing w:before="120" w:after="120"/>
        <w:ind w:left="709" w:right="709"/>
        <w:jc w:val="both"/>
        <w:rPr>
          <w:rFonts w:ascii="Palatino Linotype" w:hAnsi="Palatino Linotype" w:cs="Arial"/>
          <w:b/>
          <w:i/>
          <w:color w:val="000000" w:themeColor="text1"/>
          <w:spacing w:val="-6"/>
          <w:sz w:val="22"/>
          <w:lang w:eastAsia="es-MX"/>
        </w:rPr>
      </w:pPr>
      <w:r>
        <w:rPr>
          <w:rFonts w:ascii="Palatino Linotype" w:hAnsi="Palatino Linotype" w:cs="Arial"/>
          <w:b/>
          <w:i/>
          <w:color w:val="000000" w:themeColor="text1"/>
          <w:spacing w:val="-6"/>
          <w:sz w:val="22"/>
          <w:lang w:eastAsia="es-MX"/>
        </w:rPr>
        <w:lastRenderedPageBreak/>
        <w:t xml:space="preserve">8.- REALIZAR LA DIVISIÓN DEL KM RECORRIDO ENTRE EL No. DE LITROS, ESTO DA COMO RESULTADO EL No. DE Km. POR LITRO. NOS INDICA QUE EN CADA CONSUMO QUE SE REALICE, NOS DARÁ LOS PARÁMETROS PARA ANALIZAR SI EL VEHÍCULO ESTA BIEN O MAL, PARA TOMAR LAS MEDIDAS O CONTROLES NECESARIOS. </w:t>
      </w:r>
    </w:p>
    <w:p w:rsidR="00C46EAC" w:rsidRDefault="00C45F6D">
      <w:pPr>
        <w:spacing w:before="120" w:after="120"/>
        <w:ind w:left="709" w:right="709"/>
        <w:jc w:val="both"/>
        <w:rPr>
          <w:rFonts w:ascii="Palatino Linotype" w:hAnsi="Palatino Linotype" w:cs="Arial"/>
          <w:i/>
          <w:color w:val="000000" w:themeColor="text1"/>
          <w:spacing w:val="-6"/>
          <w:sz w:val="22"/>
          <w:lang w:eastAsia="es-MX"/>
        </w:rPr>
      </w:pPr>
      <w:r>
        <w:rPr>
          <w:rFonts w:ascii="Palatino Linotype" w:hAnsi="Palatino Linotype" w:cs="Arial"/>
          <w:i/>
          <w:color w:val="000000" w:themeColor="text1"/>
          <w:spacing w:val="-6"/>
          <w:sz w:val="22"/>
          <w:lang w:eastAsia="es-MX"/>
        </w:rPr>
        <w:t>9.- REALIZAR LA DIVISIÓN DEL COSTO TOTAL ENTRE EL Km. RECORRIDO, ESTO DA COMO RESULTADO EL COSTO POR Km. RECORRIDO.</w:t>
      </w:r>
    </w:p>
    <w:p w:rsidR="00C46EAC" w:rsidRDefault="00C46EAC">
      <w:pPr>
        <w:spacing w:before="120" w:after="120"/>
        <w:ind w:right="709"/>
        <w:jc w:val="both"/>
        <w:rPr>
          <w:rFonts w:ascii="Palatino Linotype" w:hAnsi="Palatino Linotype" w:cs="Arial"/>
          <w:i/>
          <w:color w:val="000000" w:themeColor="text1"/>
          <w:spacing w:val="-6"/>
          <w:sz w:val="22"/>
          <w:lang w:eastAsia="es-MX"/>
        </w:rPr>
      </w:pPr>
    </w:p>
    <w:p w:rsidR="00C46EAC" w:rsidRDefault="00C45F6D">
      <w:pPr>
        <w:spacing w:before="120" w:after="120" w:line="360" w:lineRule="auto"/>
        <w:ind w:right="51"/>
        <w:jc w:val="both"/>
        <w:rPr>
          <w:rFonts w:ascii="Palatino Linotype" w:hAnsi="Palatino Linotype" w:cs="Arial"/>
          <w:color w:val="000000" w:themeColor="text1"/>
          <w:lang w:eastAsia="es-MX"/>
        </w:rPr>
      </w:pPr>
      <w:r>
        <w:rPr>
          <w:rFonts w:ascii="Palatino Linotype" w:hAnsi="Palatino Linotype" w:cs="Arial"/>
          <w:color w:val="000000" w:themeColor="text1"/>
          <w:lang w:eastAsia="es-MX"/>
        </w:rPr>
        <w:t xml:space="preserve">De igual manera, estipula en su numeral VIGÉSIMO PRIMERO que tratándose del consumo de combustibles para vehículos marítimos, aéreos y </w:t>
      </w:r>
      <w:r>
        <w:rPr>
          <w:rFonts w:ascii="Palatino Linotype" w:hAnsi="Palatino Linotype" w:cs="Arial"/>
          <w:b/>
          <w:color w:val="000000" w:themeColor="text1"/>
          <w:u w:val="single"/>
          <w:lang w:eastAsia="es-MX"/>
        </w:rPr>
        <w:t xml:space="preserve">terrestres, el pago deberá efectuarse mediante cheque nominativo del contribuyente, tarjeta de crédito, de débito o de servicios, a través de los monederos electrónicos, </w:t>
      </w:r>
      <w:r>
        <w:rPr>
          <w:rFonts w:ascii="Palatino Linotype" w:hAnsi="Palatino Linotype" w:cs="Arial"/>
          <w:color w:val="000000" w:themeColor="text1"/>
          <w:lang w:eastAsia="es-MX"/>
        </w:rPr>
        <w:t>en cumplimiento a lo dispuesto por el artículo 31 fracción 111 de la Ley del Impuesto sobre la Renta, además de los vales para pago de gasolina que estipula el numeral VIGÉSIMO OCTAVO.</w:t>
      </w:r>
    </w:p>
    <w:p w:rsidR="00C46EAC" w:rsidRDefault="00C45F6D">
      <w:pPr>
        <w:widowControl w:val="0"/>
        <w:spacing w:beforeAutospacing="1" w:afterAutospacing="1" w:line="360" w:lineRule="auto"/>
        <w:jc w:val="both"/>
        <w:rPr>
          <w:rFonts w:ascii="Palatino Linotype" w:hAnsi="Palatino Linotype" w:cs="Arial"/>
          <w:color w:val="000000" w:themeColor="text1"/>
          <w:lang w:eastAsia="es-MX"/>
        </w:rPr>
      </w:pPr>
      <w:r>
        <w:rPr>
          <w:rFonts w:ascii="Palatino Linotype" w:hAnsi="Palatino Linotype" w:cs="Arial"/>
          <w:color w:val="000000" w:themeColor="text1"/>
          <w:lang w:eastAsia="es-MX"/>
        </w:rPr>
        <w:t xml:space="preserve">En ese contexto, al </w:t>
      </w:r>
      <w:r>
        <w:rPr>
          <w:rFonts w:ascii="Palatino Linotype" w:hAnsi="Palatino Linotype" w:cs="Arial"/>
          <w:b/>
          <w:color w:val="000000" w:themeColor="text1"/>
          <w:lang w:eastAsia="es-MX"/>
        </w:rPr>
        <w:t xml:space="preserve">SUJETO OBLIGADO </w:t>
      </w:r>
      <w:r>
        <w:rPr>
          <w:rFonts w:ascii="Palatino Linotype" w:hAnsi="Palatino Linotype" w:cs="Arial"/>
          <w:color w:val="000000" w:themeColor="text1"/>
          <w:lang w:eastAsia="es-MX"/>
        </w:rPr>
        <w:t>en términos de lo previsto en los Lineamientos de Control Financiero y Administrativo para las Entidades Fiscalizables Municipales del Estado de México, le asiste el deber de llevar un control sobre el consumo de los combustibles, lo cual harán a través o por medio de vales de gasolina, para lo cual, debe generar, poseer y administrar una bitácora de consumo de gasolina o diésel, con base en el formato establecido en su Anexo 3, mismo que deberá ser llenado acorde al instructivo correspondiente.</w:t>
      </w:r>
    </w:p>
    <w:p w:rsidR="00C46EAC" w:rsidRDefault="00C45F6D">
      <w:pPr>
        <w:widowControl w:val="0"/>
        <w:spacing w:before="240" w:after="240" w:line="360" w:lineRule="auto"/>
        <w:jc w:val="both"/>
        <w:rPr>
          <w:rFonts w:ascii="Palatino Linotype" w:eastAsiaTheme="minorEastAsia" w:hAnsi="Palatino Linotype" w:cs="Arial"/>
          <w:color w:val="000000" w:themeColor="text1"/>
          <w:lang w:val="es-ES_tradnl"/>
        </w:rPr>
      </w:pPr>
      <w:r>
        <w:rPr>
          <w:rFonts w:ascii="Palatino Linotype" w:eastAsiaTheme="minorEastAsia" w:hAnsi="Palatino Linotype" w:cs="Arial"/>
          <w:color w:val="000000" w:themeColor="text1"/>
          <w:lang w:val="es-ES_tradnl"/>
        </w:rPr>
        <w:t xml:space="preserve">Aunado a lo anterior, los artículos 342, 343, 344 y 345 del Código Financiero del Estado de México y Municipios disponen el sistema y las políticas que deben seguirse para llevar el </w:t>
      </w:r>
      <w:r>
        <w:rPr>
          <w:rFonts w:ascii="Palatino Linotype" w:eastAsiaTheme="minorEastAsia" w:hAnsi="Palatino Linotype" w:cs="Arial"/>
          <w:b/>
          <w:color w:val="000000" w:themeColor="text1"/>
          <w:lang w:val="es-ES_tradnl"/>
        </w:rPr>
        <w:t>registro contable y presupuestal</w:t>
      </w:r>
      <w:r>
        <w:rPr>
          <w:rFonts w:ascii="Palatino Linotype" w:eastAsiaTheme="minorEastAsia" w:hAnsi="Palatino Linotype" w:cs="Arial"/>
          <w:color w:val="000000" w:themeColor="text1"/>
          <w:lang w:val="es-ES_tradnl"/>
        </w:rPr>
        <w:t xml:space="preserve"> de las operaciones financieras, en los </w:t>
      </w:r>
      <w:r>
        <w:rPr>
          <w:rFonts w:ascii="Palatino Linotype" w:eastAsiaTheme="minorEastAsia" w:hAnsi="Palatino Linotype" w:cs="Arial"/>
          <w:color w:val="000000" w:themeColor="text1"/>
          <w:lang w:val="es-ES_tradnl"/>
        </w:rPr>
        <w:lastRenderedPageBreak/>
        <w:t>siguientes términos:</w:t>
      </w:r>
    </w:p>
    <w:p w:rsidR="00C46EAC" w:rsidRDefault="00C45F6D">
      <w:pPr>
        <w:ind w:left="851" w:right="850"/>
        <w:jc w:val="both"/>
        <w:rPr>
          <w:rFonts w:ascii="Palatino Linotype" w:eastAsiaTheme="minorEastAsia" w:hAnsi="Palatino Linotype" w:cstheme="minorBidi"/>
          <w:b/>
          <w:i/>
          <w:color w:val="000000" w:themeColor="text1"/>
          <w:sz w:val="22"/>
          <w:szCs w:val="22"/>
          <w:lang w:val="es-ES_tradnl"/>
        </w:rPr>
      </w:pPr>
      <w:r>
        <w:rPr>
          <w:rFonts w:ascii="Palatino Linotype" w:eastAsiaTheme="minorEastAsia" w:hAnsi="Palatino Linotype" w:cs="Arial"/>
          <w:bCs/>
          <w:i/>
          <w:color w:val="000000" w:themeColor="text1"/>
          <w:sz w:val="22"/>
          <w:szCs w:val="22"/>
          <w:lang w:val="es-ES_tradnl"/>
        </w:rPr>
        <w:t>“</w:t>
      </w:r>
      <w:r>
        <w:rPr>
          <w:rFonts w:ascii="Palatino Linotype" w:eastAsiaTheme="minorEastAsia" w:hAnsi="Palatino Linotype" w:cstheme="minorBidi"/>
          <w:b/>
          <w:i/>
          <w:color w:val="000000" w:themeColor="text1"/>
          <w:sz w:val="22"/>
          <w:szCs w:val="22"/>
          <w:lang w:val="es-ES_tradnl"/>
        </w:rPr>
        <w:t>Artículo 342.-</w:t>
      </w:r>
      <w:r>
        <w:rPr>
          <w:rFonts w:ascii="Palatino Linotype" w:eastAsiaTheme="minorEastAsia" w:hAnsi="Palatino Linotype" w:cstheme="minorBidi"/>
          <w:i/>
          <w:color w:val="000000" w:themeColor="text1"/>
          <w:sz w:val="22"/>
          <w:szCs w:val="22"/>
          <w:lang w:val="es-ES_tradnl"/>
        </w:rPr>
        <w:t xml:space="preserve"> </w:t>
      </w:r>
      <w:r>
        <w:rPr>
          <w:rFonts w:ascii="Palatino Linotype" w:eastAsiaTheme="minorEastAsia" w:hAnsi="Palatino Linotype" w:cstheme="minorBidi"/>
          <w:b/>
          <w:i/>
          <w:color w:val="000000" w:themeColor="text1"/>
          <w:sz w:val="22"/>
          <w:szCs w:val="22"/>
          <w:lang w:val="es-ES_tradnl"/>
        </w:rPr>
        <w:t xml:space="preserve">El registro contable del efecto patrimonial y presupuestal de las operaciones financieras, se realizará conforme al sistema y a las disposiciones que se aprueben en materia </w:t>
      </w:r>
      <w:r>
        <w:rPr>
          <w:rFonts w:ascii="Palatino Linotype" w:eastAsiaTheme="minorEastAsia" w:hAnsi="Palatino Linotype" w:cstheme="minorBidi"/>
          <w:i/>
          <w:color w:val="000000" w:themeColor="text1"/>
          <w:sz w:val="22"/>
          <w:szCs w:val="22"/>
          <w:lang w:val="es-ES_tradnl"/>
        </w:rPr>
        <w:t xml:space="preserve">de </w:t>
      </w:r>
      <w:r>
        <w:rPr>
          <w:rFonts w:ascii="Palatino Linotype" w:eastAsiaTheme="minorEastAsia" w:hAnsi="Palatino Linotype" w:cs="Arial"/>
          <w:i/>
          <w:color w:val="000000" w:themeColor="text1"/>
          <w:sz w:val="22"/>
          <w:szCs w:val="22"/>
          <w:lang w:val="es-ES_tradnl"/>
        </w:rPr>
        <w:t>planeación</w:t>
      </w:r>
      <w:r>
        <w:rPr>
          <w:rFonts w:ascii="Palatino Linotype" w:eastAsiaTheme="minorEastAsia" w:hAnsi="Palatino Linotype" w:cstheme="minorBidi"/>
          <w:i/>
          <w:color w:val="000000" w:themeColor="text1"/>
          <w:sz w:val="22"/>
          <w:szCs w:val="22"/>
          <w:lang w:val="es-ES_tradnl"/>
        </w:rPr>
        <w:t>,</w:t>
      </w:r>
      <w:r>
        <w:rPr>
          <w:rFonts w:ascii="Palatino Linotype" w:eastAsiaTheme="minorEastAsia" w:hAnsi="Palatino Linotype" w:cstheme="minorBidi"/>
          <w:b/>
          <w:i/>
          <w:color w:val="000000" w:themeColor="text1"/>
          <w:sz w:val="22"/>
          <w:szCs w:val="22"/>
          <w:lang w:val="es-ES_tradnl"/>
        </w:rPr>
        <w:t xml:space="preserve"> programación, presupuestación</w:t>
      </w:r>
      <w:r>
        <w:rPr>
          <w:rFonts w:ascii="Palatino Linotype" w:eastAsiaTheme="minorEastAsia" w:hAnsi="Palatino Linotype" w:cstheme="minorBidi"/>
          <w:i/>
          <w:color w:val="000000" w:themeColor="text1"/>
          <w:sz w:val="22"/>
          <w:szCs w:val="22"/>
          <w:lang w:val="es-ES_tradnl"/>
        </w:rPr>
        <w:t xml:space="preserve">, evaluación y </w:t>
      </w:r>
      <w:r>
        <w:rPr>
          <w:rFonts w:ascii="Palatino Linotype" w:eastAsiaTheme="minorEastAsia" w:hAnsi="Palatino Linotype" w:cs="Arial"/>
          <w:b/>
          <w:i/>
          <w:color w:val="000000" w:themeColor="text1"/>
          <w:sz w:val="22"/>
          <w:szCs w:val="22"/>
          <w:lang w:val="es-ES_tradnl"/>
        </w:rPr>
        <w:t>contabilidad</w:t>
      </w:r>
      <w:r>
        <w:rPr>
          <w:rFonts w:ascii="Palatino Linotype" w:eastAsiaTheme="minorEastAsia" w:hAnsi="Palatino Linotype" w:cstheme="minorBidi"/>
          <w:b/>
          <w:i/>
          <w:color w:val="000000" w:themeColor="text1"/>
          <w:sz w:val="22"/>
          <w:szCs w:val="22"/>
          <w:lang w:val="es-ES_tradnl"/>
        </w:rPr>
        <w:t xml:space="preserve"> gubernamental.</w:t>
      </w:r>
      <w:r>
        <w:rPr>
          <w:rFonts w:ascii="Palatino Linotype" w:eastAsiaTheme="minorEastAsia" w:hAnsi="Palatino Linotype" w:cstheme="minorBidi"/>
          <w:i/>
          <w:color w:val="000000" w:themeColor="text1"/>
          <w:sz w:val="22"/>
          <w:szCs w:val="22"/>
          <w:lang w:val="es-ES_tradnl"/>
        </w:rPr>
        <w:t xml:space="preserve"> </w:t>
      </w:r>
    </w:p>
    <w:p w:rsidR="00C46EAC" w:rsidRDefault="00C45F6D">
      <w:pPr>
        <w:ind w:left="851" w:right="850"/>
        <w:jc w:val="both"/>
        <w:rPr>
          <w:rFonts w:ascii="Palatino Linotype" w:eastAsiaTheme="minorEastAsia" w:hAnsi="Palatino Linotype" w:cstheme="minorBidi"/>
          <w:b/>
          <w:i/>
          <w:color w:val="000000" w:themeColor="text1"/>
          <w:sz w:val="22"/>
          <w:szCs w:val="22"/>
          <w:lang w:val="es-ES_tradnl"/>
        </w:rPr>
      </w:pPr>
      <w:r>
        <w:rPr>
          <w:rFonts w:ascii="Palatino Linotype" w:eastAsiaTheme="minorEastAsia" w:hAnsi="Palatino Linotype" w:cs="Arial"/>
          <w:b/>
          <w:bCs/>
          <w:i/>
          <w:color w:val="000000" w:themeColor="text1"/>
          <w:sz w:val="22"/>
          <w:szCs w:val="22"/>
          <w:lang w:val="es-ES_tradnl"/>
        </w:rPr>
        <w:t>…</w:t>
      </w:r>
    </w:p>
    <w:p w:rsidR="00C46EAC" w:rsidRDefault="00C45F6D">
      <w:pPr>
        <w:ind w:left="851" w:right="850"/>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Artículo 343.-</w:t>
      </w:r>
      <w:r>
        <w:rPr>
          <w:rFonts w:ascii="Palatino Linotype" w:eastAsiaTheme="minorEastAsia" w:hAnsi="Palatino Linotype" w:cstheme="minorBidi"/>
          <w:i/>
          <w:color w:val="000000" w:themeColor="text1"/>
          <w:sz w:val="22"/>
          <w:szCs w:val="22"/>
          <w:lang w:val="es-ES_tradnl"/>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C46EAC" w:rsidRDefault="00C45F6D">
      <w:pPr>
        <w:ind w:left="851" w:right="850"/>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i/>
          <w:color w:val="000000" w:themeColor="text1"/>
          <w:sz w:val="22"/>
          <w:szCs w:val="22"/>
          <w:lang w:val="es-ES_tradnl"/>
        </w:rPr>
        <w:t xml:space="preserve">El sistema de contabilidad sobre base acumulativa total se sustentará en los postulados básicos y el marco conceptual de la contabilidad gubernamental. </w:t>
      </w:r>
    </w:p>
    <w:p w:rsidR="00C46EAC" w:rsidRDefault="00C45F6D">
      <w:pPr>
        <w:ind w:left="851" w:right="850"/>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Pr>
          <w:rFonts w:ascii="Palatino Linotype" w:eastAsiaTheme="minorEastAsia" w:hAnsi="Palatino Linotype" w:cstheme="minorBidi"/>
          <w:i/>
          <w:color w:val="000000" w:themeColor="text1"/>
          <w:sz w:val="22"/>
          <w:szCs w:val="22"/>
          <w:lang w:val="es-ES_tradnl"/>
        </w:rPr>
        <w:t xml:space="preserve">en el caso de los Municipios se hará por la Tesorería. </w:t>
      </w:r>
    </w:p>
    <w:p w:rsidR="00C46EAC" w:rsidRDefault="00C45F6D">
      <w:pPr>
        <w:ind w:left="851" w:right="51"/>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i/>
          <w:color w:val="000000" w:themeColor="text1"/>
          <w:sz w:val="22"/>
          <w:szCs w:val="22"/>
          <w:lang w:val="es-ES_tradnl"/>
        </w:rPr>
        <w:t xml:space="preserve">Derogado. </w:t>
      </w:r>
    </w:p>
    <w:p w:rsidR="00C46EAC" w:rsidRDefault="00C45F6D">
      <w:pPr>
        <w:ind w:left="851" w:right="850"/>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Pr>
          <w:rFonts w:ascii="Palatino Linotype" w:eastAsiaTheme="minorEastAsia" w:hAnsi="Palatino Linotype" w:cstheme="minorBidi"/>
          <w:i/>
          <w:color w:val="000000" w:themeColor="text1"/>
          <w:sz w:val="22"/>
          <w:szCs w:val="22"/>
          <w:lang w:val="es-ES_tradnl"/>
        </w:rPr>
        <w:t xml:space="preserve"> a partir del ejercicio presupuestal siguiente al que corresponda, en el caso de los municipios se hará por la Tesorería. </w:t>
      </w:r>
    </w:p>
    <w:p w:rsidR="00C46EAC" w:rsidRDefault="00C45F6D">
      <w:pPr>
        <w:ind w:left="851" w:right="51"/>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i/>
          <w:color w:val="000000" w:themeColor="text1"/>
          <w:sz w:val="22"/>
          <w:szCs w:val="22"/>
          <w:lang w:val="es-ES_tradnl"/>
        </w:rPr>
        <w:t>…</w:t>
      </w:r>
    </w:p>
    <w:p w:rsidR="00C46EAC" w:rsidRDefault="00C45F6D">
      <w:pPr>
        <w:ind w:left="851" w:right="850"/>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Artículo 345.-</w:t>
      </w:r>
      <w:r>
        <w:rPr>
          <w:rFonts w:ascii="Palatino Linotype" w:eastAsiaTheme="minorEastAsia" w:hAnsi="Palatino Linotype" w:cstheme="minorBidi"/>
          <w:i/>
          <w:color w:val="000000" w:themeColor="text1"/>
          <w:sz w:val="22"/>
          <w:szCs w:val="22"/>
          <w:lang w:val="es-ES_tradnl"/>
        </w:rPr>
        <w:t xml:space="preserve"> </w:t>
      </w:r>
      <w:r>
        <w:rPr>
          <w:rFonts w:ascii="Palatino Linotype" w:eastAsiaTheme="minorEastAsia" w:hAnsi="Palatino Linotype" w:cstheme="minorBidi"/>
          <w:b/>
          <w:i/>
          <w:color w:val="000000" w:themeColor="text1"/>
          <w:sz w:val="22"/>
          <w:szCs w:val="22"/>
          <w:lang w:val="es-ES_tradnl"/>
        </w:rPr>
        <w:t>Las Dependencias, Entidades Públicas y unidades administrativas deberán conservar la documentación contable del año en curso y la de ejercicios anteriores cuyas cuentas públicas hayan sido revisadas y fiscalizadas por la Legislatura</w:t>
      </w:r>
      <w:r>
        <w:rPr>
          <w:rFonts w:ascii="Palatino Linotype" w:eastAsiaTheme="minorEastAsia" w:hAnsi="Palatino Linotype" w:cstheme="minorBidi"/>
          <w:i/>
          <w:color w:val="000000" w:themeColor="text1"/>
          <w:sz w:val="22"/>
          <w:szCs w:val="22"/>
          <w:lang w:val="es-ES_tradnl"/>
        </w:rPr>
        <w:t xml:space="preserve">, la remitirán en un plazo que no excederá de seis meses al Archivo Contable Gubernamental. </w:t>
      </w:r>
      <w:r>
        <w:rPr>
          <w:rFonts w:ascii="Palatino Linotype" w:eastAsiaTheme="minorEastAsia" w:hAnsi="Palatino Linotype" w:cstheme="minorBidi"/>
          <w:b/>
          <w:i/>
          <w:color w:val="000000" w:themeColor="text1"/>
          <w:sz w:val="22"/>
          <w:szCs w:val="22"/>
          <w:lang w:val="es-ES_tradnl"/>
        </w:rPr>
        <w:t>Tratándose de los comprobantes fiscales digitales, estos deberán estar agregados en forma electrónica en cada póliza de registro contable</w:t>
      </w:r>
      <w:r>
        <w:rPr>
          <w:rFonts w:ascii="Palatino Linotype" w:eastAsiaTheme="minorEastAsia" w:hAnsi="Palatino Linotype" w:cstheme="minorBidi"/>
          <w:i/>
          <w:color w:val="000000" w:themeColor="text1"/>
          <w:sz w:val="22"/>
          <w:szCs w:val="22"/>
          <w:lang w:val="es-ES_tradnl"/>
        </w:rPr>
        <w:t xml:space="preserve">. </w:t>
      </w:r>
    </w:p>
    <w:p w:rsidR="00C46EAC" w:rsidRDefault="00C45F6D">
      <w:pPr>
        <w:ind w:left="851" w:right="850"/>
        <w:jc w:val="both"/>
        <w:rPr>
          <w:rFonts w:ascii="Palatino Linotype" w:eastAsiaTheme="minorEastAsia" w:hAnsi="Palatino Linotype" w:cs="Arial"/>
          <w:bCs/>
          <w:i/>
          <w:color w:val="000000" w:themeColor="text1"/>
          <w:sz w:val="22"/>
          <w:szCs w:val="22"/>
          <w:lang w:val="es-ES_tradnl"/>
        </w:rPr>
      </w:pPr>
      <w:r>
        <w:rPr>
          <w:rFonts w:ascii="Palatino Linotype" w:eastAsiaTheme="minorEastAsia" w:hAnsi="Palatino Linotype" w:cstheme="minorBidi"/>
          <w:i/>
          <w:color w:val="000000" w:themeColor="text1"/>
          <w:sz w:val="22"/>
          <w:szCs w:val="22"/>
          <w:lang w:val="es-ES_tradnl"/>
        </w:rPr>
        <w:t>El plazo señalado en el párrafo anterior, empezará a contar a partir de la publicación en el Periódico Oficial, del decreto correspondiente.</w:t>
      </w:r>
      <w:r>
        <w:rPr>
          <w:rFonts w:ascii="Palatino Linotype" w:eastAsiaTheme="minorEastAsia" w:hAnsi="Palatino Linotype" w:cs="Arial"/>
          <w:bCs/>
          <w:i/>
          <w:color w:val="000000" w:themeColor="text1"/>
          <w:sz w:val="22"/>
          <w:szCs w:val="22"/>
          <w:lang w:val="es-ES_tradnl"/>
        </w:rPr>
        <w:t xml:space="preserve"> “</w:t>
      </w:r>
      <w:r>
        <w:rPr>
          <w:rFonts w:ascii="Palatino Linotype" w:eastAsiaTheme="minorEastAsia" w:hAnsi="Palatino Linotype" w:cs="Arial"/>
          <w:i/>
          <w:color w:val="000000" w:themeColor="text1"/>
          <w:sz w:val="22"/>
          <w:szCs w:val="22"/>
          <w:lang w:val="es-ES_tradnl"/>
        </w:rPr>
        <w:t>(Sic)</w:t>
      </w:r>
      <w:r>
        <w:rPr>
          <w:rFonts w:ascii="Palatino Linotype" w:eastAsiaTheme="minorEastAsia" w:hAnsi="Palatino Linotype" w:cs="Arial"/>
          <w:bCs/>
          <w:i/>
          <w:color w:val="000000" w:themeColor="text1"/>
          <w:sz w:val="22"/>
          <w:szCs w:val="22"/>
          <w:lang w:val="es-ES_tradnl"/>
        </w:rPr>
        <w:t xml:space="preserve"> </w:t>
      </w:r>
    </w:p>
    <w:p w:rsidR="00C46EAC" w:rsidRDefault="00C46EAC">
      <w:pPr>
        <w:ind w:left="851" w:right="850"/>
        <w:jc w:val="both"/>
        <w:rPr>
          <w:rFonts w:ascii="Palatino Linotype" w:eastAsiaTheme="minorEastAsia" w:hAnsi="Palatino Linotype" w:cs="Arial"/>
          <w:bCs/>
          <w:i/>
          <w:color w:val="000000" w:themeColor="text1"/>
          <w:sz w:val="22"/>
          <w:szCs w:val="22"/>
          <w:lang w:val="es-ES_tradnl"/>
        </w:rPr>
      </w:pPr>
    </w:p>
    <w:p w:rsidR="00C46EAC" w:rsidRDefault="00C45F6D">
      <w:pPr>
        <w:ind w:left="851" w:right="850"/>
        <w:jc w:val="both"/>
        <w:rPr>
          <w:rFonts w:ascii="Palatino Linotype" w:eastAsiaTheme="minorEastAsia" w:hAnsi="Palatino Linotype" w:cs="Arial"/>
          <w:bCs/>
          <w:i/>
          <w:color w:val="000000" w:themeColor="text1"/>
          <w:sz w:val="22"/>
          <w:szCs w:val="22"/>
          <w:lang w:val="es-ES_tradnl"/>
        </w:rPr>
      </w:pPr>
      <w:r>
        <w:rPr>
          <w:rFonts w:ascii="Palatino Linotype" w:eastAsiaTheme="minorEastAsia" w:hAnsi="Palatino Linotype" w:cs="Arial"/>
          <w:bCs/>
          <w:i/>
          <w:color w:val="000000" w:themeColor="text1"/>
          <w:sz w:val="22"/>
          <w:szCs w:val="22"/>
          <w:lang w:val="es-ES_tradnl"/>
        </w:rPr>
        <w:lastRenderedPageBreak/>
        <w:t>(Énfasis añadido)</w:t>
      </w:r>
    </w:p>
    <w:p w:rsidR="00C46EAC" w:rsidRDefault="00C45F6D">
      <w:pPr>
        <w:spacing w:before="240" w:after="240" w:line="360" w:lineRule="auto"/>
        <w:jc w:val="both"/>
        <w:rPr>
          <w:rFonts w:ascii="Palatino Linotype" w:eastAsiaTheme="minorEastAsia" w:hAnsi="Palatino Linotype" w:cs="Arial"/>
          <w:bCs/>
          <w:color w:val="000000" w:themeColor="text1"/>
          <w:lang w:val="es-ES_tradnl"/>
        </w:rPr>
      </w:pPr>
      <w:r>
        <w:rPr>
          <w:rFonts w:ascii="Palatino Linotype" w:eastAsiaTheme="minorEastAsia" w:hAnsi="Palatino Linotype" w:cs="Arial"/>
          <w:color w:val="000000" w:themeColor="text1"/>
          <w:lang w:val="es-ES_tradnl"/>
        </w:rPr>
        <w:t>De una interpretación sistemática de los artículos transcritos, se desprende primeramente que el</w:t>
      </w:r>
      <w:r>
        <w:rPr>
          <w:rFonts w:ascii="Palatino Linotype" w:eastAsiaTheme="minorEastAsia" w:hAnsi="Palatino Linotype" w:cs="Arial"/>
          <w:bCs/>
          <w:color w:val="000000" w:themeColor="text1"/>
          <w:lang w:val="es-ES_tradnl"/>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rsidR="00C46EAC" w:rsidRDefault="00C45F6D">
      <w:pPr>
        <w:spacing w:before="240" w:after="240" w:line="360" w:lineRule="auto"/>
        <w:jc w:val="both"/>
        <w:rPr>
          <w:rFonts w:ascii="Palatino Linotype" w:eastAsiaTheme="minorEastAsia" w:hAnsi="Palatino Linotype" w:cs="Arial"/>
          <w:color w:val="000000" w:themeColor="text1"/>
          <w:lang w:val="es-ES_tradnl" w:eastAsia="es-MX"/>
        </w:rPr>
      </w:pPr>
      <w:r>
        <w:rPr>
          <w:rFonts w:ascii="Palatino Linotype" w:eastAsiaTheme="minorEastAsia" w:hAnsi="Palatino Linotype" w:cs="Arial"/>
          <w:color w:val="000000" w:themeColor="text1"/>
          <w:lang w:val="es-ES_tradnl"/>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Pr>
          <w:rFonts w:ascii="Palatino Linotype" w:eastAsiaTheme="minorEastAsia" w:hAnsi="Palatino Linotype" w:cs="Arial"/>
          <w:color w:val="000000" w:themeColor="text1"/>
          <w:lang w:val="es-ES_tradnl" w:eastAsia="es-MX"/>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C46EAC" w:rsidRDefault="00C45F6D">
      <w:pPr>
        <w:ind w:left="851" w:right="899"/>
        <w:jc w:val="both"/>
        <w:rPr>
          <w:rFonts w:ascii="Palatino Linotype" w:eastAsiaTheme="minorEastAsia" w:hAnsi="Palatino Linotype" w:cs="Arial"/>
          <w:b/>
          <w:i/>
          <w:color w:val="000000" w:themeColor="text1"/>
          <w:sz w:val="22"/>
          <w:szCs w:val="22"/>
          <w:lang w:val="es-ES_tradnl" w:eastAsia="es-MX"/>
        </w:rPr>
      </w:pPr>
      <w:r>
        <w:rPr>
          <w:rFonts w:ascii="Palatino Linotype" w:eastAsiaTheme="minorEastAsia" w:hAnsi="Palatino Linotype" w:cs="Arial"/>
          <w:b/>
          <w:i/>
          <w:color w:val="000000" w:themeColor="text1"/>
          <w:sz w:val="20"/>
          <w:szCs w:val="20"/>
          <w:lang w:val="es-ES_tradnl" w:eastAsia="es-MX"/>
        </w:rPr>
        <w:t>“</w:t>
      </w:r>
      <w:r>
        <w:rPr>
          <w:rFonts w:ascii="Palatino Linotype" w:eastAsiaTheme="minorEastAsia" w:hAnsi="Palatino Linotype" w:cs="Arial"/>
          <w:b/>
          <w:i/>
          <w:color w:val="000000" w:themeColor="text1"/>
          <w:sz w:val="22"/>
          <w:szCs w:val="22"/>
          <w:lang w:val="es-ES_tradnl" w:eastAsia="es-MX"/>
        </w:rPr>
        <w:t xml:space="preserve">REGISTRO CONTABLE </w:t>
      </w:r>
    </w:p>
    <w:p w:rsidR="00C46EAC" w:rsidRDefault="00C45F6D">
      <w:pPr>
        <w:ind w:left="851" w:right="899"/>
        <w:jc w:val="both"/>
        <w:rPr>
          <w:rFonts w:ascii="Palatino Linotype" w:eastAsiaTheme="minorEastAsia" w:hAnsi="Palatino Linotype" w:cs="Arial"/>
          <w:i/>
          <w:color w:val="000000" w:themeColor="text1"/>
          <w:sz w:val="22"/>
          <w:szCs w:val="22"/>
          <w:lang w:val="es-ES_tradnl"/>
        </w:rPr>
      </w:pPr>
      <w:r>
        <w:rPr>
          <w:rFonts w:ascii="Palatino Linotype" w:eastAsiaTheme="minorEastAsia" w:hAnsi="Palatino Linotype" w:cs="Arial"/>
          <w:i/>
          <w:color w:val="000000" w:themeColor="text1"/>
          <w:sz w:val="22"/>
          <w:szCs w:val="22"/>
          <w:lang w:val="es-ES_tradnl" w:eastAsia="es-MX"/>
        </w:rPr>
        <w:t xml:space="preserve">Asiento que se realiza en los libros de contabilidad de las actividades relacionadas con el ingreso y egresos de un ente económico.” </w:t>
      </w:r>
      <w:r>
        <w:rPr>
          <w:rFonts w:ascii="Palatino Linotype" w:eastAsiaTheme="minorEastAsia" w:hAnsi="Palatino Linotype" w:cs="Arial"/>
          <w:i/>
          <w:color w:val="000000" w:themeColor="text1"/>
          <w:sz w:val="22"/>
          <w:szCs w:val="22"/>
          <w:lang w:val="es-ES_tradnl"/>
        </w:rPr>
        <w:t>(Sic)</w:t>
      </w:r>
    </w:p>
    <w:p w:rsidR="00C46EAC" w:rsidRDefault="00C46EAC">
      <w:pPr>
        <w:ind w:left="851" w:right="899"/>
        <w:jc w:val="both"/>
        <w:rPr>
          <w:rFonts w:ascii="Palatino Linotype" w:eastAsiaTheme="minorEastAsia" w:hAnsi="Palatino Linotype" w:cs="Arial"/>
          <w:b/>
          <w:i/>
          <w:color w:val="000000" w:themeColor="text1"/>
          <w:sz w:val="22"/>
          <w:szCs w:val="22"/>
          <w:lang w:val="es-ES_tradnl" w:eastAsia="es-MX"/>
        </w:rPr>
      </w:pPr>
    </w:p>
    <w:p w:rsidR="00C46EAC" w:rsidRDefault="00C45F6D">
      <w:pPr>
        <w:ind w:left="851" w:right="899"/>
        <w:jc w:val="both"/>
        <w:rPr>
          <w:rFonts w:ascii="Palatino Linotype" w:eastAsiaTheme="minorEastAsia" w:hAnsi="Palatino Linotype" w:cs="Arial"/>
          <w:b/>
          <w:i/>
          <w:color w:val="000000" w:themeColor="text1"/>
          <w:sz w:val="22"/>
          <w:szCs w:val="22"/>
          <w:lang w:val="es-ES_tradnl" w:eastAsia="es-MX"/>
        </w:rPr>
      </w:pPr>
      <w:r>
        <w:rPr>
          <w:rFonts w:ascii="Palatino Linotype" w:eastAsiaTheme="minorEastAsia" w:hAnsi="Palatino Linotype" w:cs="Arial"/>
          <w:b/>
          <w:i/>
          <w:color w:val="000000" w:themeColor="text1"/>
          <w:sz w:val="22"/>
          <w:szCs w:val="22"/>
          <w:lang w:val="es-ES_tradnl" w:eastAsia="es-MX"/>
        </w:rPr>
        <w:t>“REGISTRO PRESUPUESTARIO</w:t>
      </w:r>
    </w:p>
    <w:p w:rsidR="00C46EAC" w:rsidRDefault="00C45F6D">
      <w:pPr>
        <w:ind w:left="851" w:right="899"/>
        <w:jc w:val="both"/>
        <w:rPr>
          <w:rFonts w:ascii="Palatino Linotype" w:eastAsiaTheme="minorEastAsia" w:hAnsi="Palatino Linotype" w:cs="Arial"/>
          <w:i/>
          <w:color w:val="000000" w:themeColor="text1"/>
          <w:sz w:val="22"/>
          <w:szCs w:val="22"/>
          <w:lang w:val="es-ES_tradnl" w:eastAsia="es-MX"/>
        </w:rPr>
      </w:pPr>
      <w:r>
        <w:rPr>
          <w:rFonts w:ascii="Palatino Linotype" w:eastAsiaTheme="minorEastAsia" w:hAnsi="Palatino Linotype" w:cs="Arial"/>
          <w:i/>
          <w:color w:val="000000" w:themeColor="text1"/>
          <w:sz w:val="22"/>
          <w:szCs w:val="22"/>
          <w:lang w:val="es-ES_tradnl" w:eastAsia="es-MX"/>
        </w:rPr>
        <w:t xml:space="preserve">Asiento contable de las erogaciones realizadas por las dependencias y entidades con relación a la asignación, modificación y ejercicio de los recursos presupuestarios que se les hayan autorizado.” </w:t>
      </w:r>
      <w:r>
        <w:rPr>
          <w:rFonts w:ascii="Palatino Linotype" w:eastAsiaTheme="minorEastAsia" w:hAnsi="Palatino Linotype" w:cs="Arial"/>
          <w:i/>
          <w:color w:val="000000" w:themeColor="text1"/>
          <w:sz w:val="22"/>
          <w:szCs w:val="22"/>
          <w:lang w:val="es-ES_tradnl"/>
        </w:rPr>
        <w:t>(Sic)</w:t>
      </w:r>
    </w:p>
    <w:p w:rsidR="00C46EAC" w:rsidRDefault="00C45F6D">
      <w:pPr>
        <w:spacing w:before="240" w:after="240" w:line="360" w:lineRule="auto"/>
        <w:jc w:val="both"/>
        <w:rPr>
          <w:rFonts w:ascii="Palatino Linotype" w:eastAsiaTheme="minorEastAsia" w:hAnsi="Palatino Linotype" w:cs="Arial"/>
          <w:bCs/>
          <w:color w:val="000000" w:themeColor="text1"/>
          <w:lang w:val="es-ES_tradnl"/>
        </w:rPr>
      </w:pPr>
      <w:r>
        <w:rPr>
          <w:rFonts w:ascii="Palatino Linotype" w:eastAsiaTheme="minorEastAsia" w:hAnsi="Palatino Linotype" w:cs="Arial"/>
          <w:bCs/>
          <w:color w:val="000000" w:themeColor="text1"/>
          <w:lang w:val="es-ES_tradnl"/>
        </w:rPr>
        <w:lastRenderedPageBreak/>
        <w:t>Por otra parte, se establece que el sistema de contabilidad sobre base acumulativa total se sustentará en los principios de contabilidad gubernamental.</w:t>
      </w:r>
    </w:p>
    <w:p w:rsidR="00C46EAC" w:rsidRDefault="00C45F6D">
      <w:pPr>
        <w:spacing w:before="240" w:after="240" w:line="360" w:lineRule="auto"/>
        <w:jc w:val="both"/>
        <w:rPr>
          <w:rFonts w:ascii="Palatino Linotype" w:eastAsiaTheme="minorEastAsia" w:hAnsi="Palatino Linotype" w:cs="Arial"/>
          <w:bCs/>
          <w:color w:val="000000" w:themeColor="text1"/>
          <w:lang w:val="es-ES_tradnl"/>
        </w:rPr>
      </w:pPr>
      <w:r>
        <w:rPr>
          <w:rFonts w:ascii="Palatino Linotype" w:eastAsiaTheme="minorEastAsia" w:hAnsi="Palatino Linotype" w:cs="Arial"/>
          <w:bCs/>
          <w:color w:val="000000" w:themeColor="text1"/>
          <w:lang w:val="es-ES_tradnl"/>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rsidR="00C46EAC" w:rsidRDefault="00C45F6D">
      <w:pPr>
        <w:spacing w:before="240" w:after="240" w:line="360" w:lineRule="auto"/>
        <w:jc w:val="both"/>
        <w:rPr>
          <w:rFonts w:ascii="Palatino Linotype" w:eastAsiaTheme="minorEastAsia" w:hAnsi="Palatino Linotype" w:cs="Arial"/>
          <w:color w:val="000000" w:themeColor="text1"/>
          <w:lang w:val="es-ES_tradnl" w:eastAsia="es-MX"/>
        </w:rPr>
      </w:pPr>
      <w:r>
        <w:rPr>
          <w:rFonts w:ascii="Palatino Linotype" w:eastAsiaTheme="minorEastAsia" w:hAnsi="Palatino Linotype" w:cs="Arial"/>
          <w:color w:val="000000" w:themeColor="text1"/>
          <w:lang w:val="es-ES_tradnl" w:eastAsia="es-MX"/>
        </w:rPr>
        <w:t xml:space="preserve">Correlativo a lo anterior, es preciso referir una definición de </w:t>
      </w:r>
      <w:r>
        <w:rPr>
          <w:rFonts w:ascii="Palatino Linotype" w:eastAsiaTheme="minorEastAsia" w:hAnsi="Palatino Linotype" w:cs="Arial"/>
          <w:i/>
          <w:color w:val="000000" w:themeColor="text1"/>
          <w:lang w:val="es-ES_tradnl" w:eastAsia="es-MX"/>
        </w:rPr>
        <w:t>póliza contable</w:t>
      </w:r>
      <w:r>
        <w:rPr>
          <w:rFonts w:ascii="Palatino Linotype" w:eastAsiaTheme="minorEastAsia" w:hAnsi="Palatino Linotype" w:cs="Arial"/>
          <w:color w:val="000000" w:themeColor="text1"/>
          <w:lang w:val="es-ES_tradnl" w:eastAsia="es-MX"/>
        </w:rPr>
        <w:t xml:space="preserve">, la cual, primeramente, no está definida en el Código Financiero del Estado de México y Municipios; no obstante, los ya mencionados Glosarios la definen como: </w:t>
      </w:r>
    </w:p>
    <w:p w:rsidR="00C46EAC" w:rsidRDefault="00C45F6D">
      <w:pPr>
        <w:ind w:left="851" w:right="902"/>
        <w:jc w:val="both"/>
        <w:rPr>
          <w:rFonts w:ascii="Palatino Linotype" w:eastAsiaTheme="minorEastAsia" w:hAnsi="Palatino Linotype" w:cs="Arial"/>
          <w:b/>
          <w:i/>
          <w:color w:val="000000" w:themeColor="text1"/>
          <w:sz w:val="22"/>
          <w:szCs w:val="22"/>
          <w:lang w:val="es-ES_tradnl" w:eastAsia="es-MX"/>
        </w:rPr>
      </w:pPr>
      <w:r>
        <w:rPr>
          <w:rFonts w:ascii="Palatino Linotype" w:eastAsiaTheme="minorEastAsia" w:hAnsi="Palatino Linotype" w:cs="Arial"/>
          <w:i/>
          <w:color w:val="000000" w:themeColor="text1"/>
          <w:sz w:val="22"/>
          <w:szCs w:val="22"/>
          <w:lang w:val="es-ES_tradnl" w:eastAsia="es-MX"/>
        </w:rPr>
        <w:t>“</w:t>
      </w:r>
      <w:r>
        <w:rPr>
          <w:rFonts w:ascii="Palatino Linotype" w:eastAsiaTheme="minorEastAsia" w:hAnsi="Palatino Linotype" w:cs="Arial"/>
          <w:b/>
          <w:i/>
          <w:color w:val="000000" w:themeColor="text1"/>
          <w:sz w:val="22"/>
          <w:szCs w:val="22"/>
          <w:lang w:val="es-ES_tradnl" w:eastAsia="es-MX"/>
        </w:rPr>
        <w:t>PÓLIZA CONTABLE</w:t>
      </w:r>
    </w:p>
    <w:p w:rsidR="00C46EAC" w:rsidRDefault="00C45F6D">
      <w:pPr>
        <w:ind w:left="851" w:right="902"/>
        <w:jc w:val="both"/>
        <w:rPr>
          <w:rFonts w:ascii="Palatino Linotype" w:eastAsiaTheme="minorEastAsia" w:hAnsi="Palatino Linotype" w:cs="Arial"/>
          <w:i/>
          <w:color w:val="000000" w:themeColor="text1"/>
          <w:sz w:val="22"/>
          <w:szCs w:val="22"/>
          <w:lang w:val="es-ES_tradnl" w:eastAsia="es-MX"/>
        </w:rPr>
      </w:pPr>
      <w:r>
        <w:rPr>
          <w:rFonts w:ascii="Palatino Linotype" w:eastAsiaTheme="minorEastAsia" w:hAnsi="Palatino Linotype" w:cs="Arial"/>
          <w:i/>
          <w:color w:val="000000" w:themeColor="text1"/>
          <w:sz w:val="22"/>
          <w:szCs w:val="22"/>
          <w:lang w:val="es-ES_tradnl" w:eastAsia="es-MX"/>
        </w:rPr>
        <w:t>Documento en el cual se asientan en forma individual todas y cada una de las operaciones desarrolladas por una institución, así como la información necesaria para la identificación de dichas operaciones.” (sic)</w:t>
      </w:r>
    </w:p>
    <w:p w:rsidR="00C46EAC" w:rsidRDefault="00C45F6D">
      <w:pPr>
        <w:spacing w:before="240" w:after="240" w:line="360" w:lineRule="auto"/>
        <w:jc w:val="both"/>
        <w:rPr>
          <w:rFonts w:ascii="Palatino Linotype" w:eastAsiaTheme="minorEastAsia" w:hAnsi="Palatino Linotype" w:cs="Arial"/>
          <w:color w:val="000000" w:themeColor="text1"/>
          <w:lang w:val="es-ES_tradnl" w:eastAsia="es-MX"/>
        </w:rPr>
      </w:pPr>
      <w:r>
        <w:rPr>
          <w:rFonts w:ascii="Palatino Linotype" w:eastAsiaTheme="minorEastAsia" w:hAnsi="Palatino Linotype" w:cs="Arial"/>
          <w:color w:val="000000" w:themeColor="text1"/>
          <w:lang w:val="es-ES_tradnl" w:eastAsia="es-MX"/>
        </w:rPr>
        <w:t xml:space="preserve">Así, se advierte que la </w:t>
      </w:r>
      <w:r>
        <w:rPr>
          <w:rFonts w:ascii="Palatino Linotype" w:eastAsiaTheme="minorEastAsia" w:hAnsi="Palatino Linotype" w:cs="Arial"/>
          <w:i/>
          <w:color w:val="000000" w:themeColor="text1"/>
          <w:lang w:val="es-ES_tradnl" w:eastAsia="es-MX"/>
        </w:rPr>
        <w:t>póliza contable</w:t>
      </w:r>
      <w:r>
        <w:rPr>
          <w:rFonts w:ascii="Palatino Linotype" w:eastAsiaTheme="minorEastAsia" w:hAnsi="Palatino Linotype" w:cs="Arial"/>
          <w:color w:val="000000" w:themeColor="text1"/>
          <w:lang w:val="es-ES_tradnl" w:eastAsia="es-MX"/>
        </w:rPr>
        <w:t xml:space="preserve"> constituye un registro contable y presupuestal con el que cuentan los Municipios para el registro de sus operaciones relacionadas con sus </w:t>
      </w:r>
      <w:r>
        <w:rPr>
          <w:rFonts w:ascii="Palatino Linotype" w:eastAsiaTheme="minorEastAsia" w:hAnsi="Palatino Linotype" w:cs="Arial"/>
          <w:b/>
          <w:color w:val="000000" w:themeColor="text1"/>
          <w:lang w:val="es-ES_tradnl" w:eastAsia="es-MX"/>
        </w:rPr>
        <w:t>ingresos y egresos</w:t>
      </w:r>
      <w:r>
        <w:rPr>
          <w:rFonts w:ascii="Palatino Linotype" w:eastAsiaTheme="minorEastAsia" w:hAnsi="Palatino Linotype" w:cs="Arial"/>
          <w:color w:val="000000" w:themeColor="text1"/>
          <w:lang w:val="es-ES_tradnl" w:eastAsia="es-MX"/>
        </w:rPr>
        <w:t xml:space="preserve"> y se </w:t>
      </w:r>
      <w:r>
        <w:rPr>
          <w:rFonts w:ascii="Palatino Linotype" w:eastAsiaTheme="minorEastAsia" w:hAnsi="Palatino Linotype" w:cs="Arial"/>
          <w:b/>
          <w:color w:val="000000" w:themeColor="text1"/>
          <w:lang w:val="es-ES_tradnl" w:eastAsia="es-MX"/>
        </w:rPr>
        <w:t>anexan los documentos o comprobantes que justifiquen las anotaciones y cantidades en ellas registradas</w:t>
      </w:r>
      <w:r>
        <w:rPr>
          <w:rFonts w:ascii="Palatino Linotype" w:eastAsiaTheme="minorEastAsia" w:hAnsi="Palatino Linotype" w:cs="Arial"/>
          <w:color w:val="000000" w:themeColor="text1"/>
          <w:lang w:val="es-ES_tradnl" w:eastAsia="es-MX"/>
        </w:rPr>
        <w:t>, lo que permite la identificación plena de dichas operaciones.</w:t>
      </w:r>
    </w:p>
    <w:p w:rsidR="00C46EAC" w:rsidRDefault="00C45F6D">
      <w:pPr>
        <w:spacing w:before="240" w:after="240" w:line="360" w:lineRule="auto"/>
        <w:jc w:val="both"/>
        <w:rPr>
          <w:rFonts w:ascii="Palatino Linotype" w:eastAsiaTheme="minorEastAsia" w:hAnsi="Palatino Linotype" w:cs="Arial"/>
          <w:bCs/>
          <w:color w:val="000000" w:themeColor="text1"/>
          <w:lang w:val="es-ES_tradnl"/>
        </w:rPr>
      </w:pPr>
      <w:r>
        <w:rPr>
          <w:rFonts w:ascii="Palatino Linotype" w:eastAsiaTheme="minorEastAsia" w:hAnsi="Palatino Linotype" w:cs="Arial"/>
          <w:color w:val="000000" w:themeColor="text1"/>
          <w:lang w:val="es-ES_tradnl" w:eastAsia="es-MX"/>
        </w:rPr>
        <w:t xml:space="preserve">En este sentido, existen diversos tipos de pólizas contables de acuerdo a las operaciones realizadas, dentro de las cuales, encontramos las llamadas </w:t>
      </w:r>
      <w:r>
        <w:rPr>
          <w:rFonts w:ascii="Palatino Linotype" w:eastAsiaTheme="minorEastAsia" w:hAnsi="Palatino Linotype" w:cs="Arial"/>
          <w:i/>
          <w:color w:val="000000" w:themeColor="text1"/>
          <w:lang w:val="es-ES_tradnl" w:eastAsia="es-MX"/>
        </w:rPr>
        <w:t>pólizas de ingreso y egresos</w:t>
      </w:r>
      <w:r>
        <w:rPr>
          <w:rFonts w:ascii="Palatino Linotype" w:eastAsiaTheme="minorEastAsia" w:hAnsi="Palatino Linotype" w:cs="Arial"/>
          <w:color w:val="000000" w:themeColor="text1"/>
          <w:lang w:val="es-ES_tradnl" w:eastAsia="es-MX"/>
        </w:rPr>
        <w:t xml:space="preserve">, en las que se anotan diariamente las operaciones que representan entradas y salidas de dinero para </w:t>
      </w:r>
      <w:r>
        <w:rPr>
          <w:rFonts w:ascii="Palatino Linotype" w:eastAsiaTheme="minorEastAsia" w:hAnsi="Palatino Linotype" w:cs="Arial"/>
          <w:b/>
          <w:color w:val="000000" w:themeColor="text1"/>
          <w:lang w:val="es-ES_tradnl" w:eastAsia="es-MX"/>
        </w:rPr>
        <w:t>EL SUJETO OBLIGADO</w:t>
      </w:r>
      <w:r>
        <w:rPr>
          <w:rFonts w:ascii="Palatino Linotype" w:eastAsiaTheme="minorEastAsia" w:hAnsi="Palatino Linotype" w:cs="Arial"/>
          <w:color w:val="000000" w:themeColor="text1"/>
          <w:lang w:val="es-ES_tradnl" w:eastAsia="es-MX"/>
        </w:rPr>
        <w:t xml:space="preserve">, las que además, deben encontrarse acompañadas </w:t>
      </w:r>
      <w:r>
        <w:rPr>
          <w:rFonts w:ascii="Palatino Linotype" w:eastAsiaTheme="minorEastAsia" w:hAnsi="Palatino Linotype" w:cs="Arial"/>
          <w:b/>
          <w:color w:val="000000" w:themeColor="text1"/>
          <w:lang w:val="es-ES_tradnl" w:eastAsia="es-MX"/>
        </w:rPr>
        <w:t>de las documentales que sirven de soporte de dichos movimientos</w:t>
      </w:r>
      <w:r>
        <w:rPr>
          <w:rFonts w:ascii="Palatino Linotype" w:eastAsiaTheme="minorEastAsia" w:hAnsi="Palatino Linotype" w:cs="Arial"/>
          <w:color w:val="000000" w:themeColor="text1"/>
          <w:lang w:val="es-ES_tradnl" w:eastAsia="es-MX"/>
        </w:rPr>
        <w:t xml:space="preserve">; por </w:t>
      </w:r>
      <w:r>
        <w:rPr>
          <w:rFonts w:ascii="Palatino Linotype" w:eastAsiaTheme="minorEastAsia" w:hAnsi="Palatino Linotype" w:cs="Arial"/>
          <w:color w:val="000000" w:themeColor="text1"/>
          <w:lang w:val="es-ES_tradnl" w:eastAsia="es-MX"/>
        </w:rPr>
        <w:lastRenderedPageBreak/>
        <w:t xml:space="preserve">ello, conviene señalar </w:t>
      </w:r>
      <w:r>
        <w:rPr>
          <w:rFonts w:ascii="Palatino Linotype" w:eastAsiaTheme="minorEastAsia" w:hAnsi="Palatino Linotype" w:cstheme="minorBidi"/>
          <w:color w:val="000000" w:themeColor="text1"/>
          <w:lang w:val="es-ES_tradnl"/>
        </w:rPr>
        <w:t xml:space="preserve">en primer lugar que los Municipios del Estado de México, son Sujetos de Fiscalización de conformidad con el numeral 4, fracción II de </w:t>
      </w:r>
      <w:r>
        <w:rPr>
          <w:rFonts w:ascii="Palatino Linotype" w:eastAsiaTheme="minorEastAsia" w:hAnsi="Palatino Linotype" w:cs="Arial"/>
          <w:color w:val="000000" w:themeColor="text1"/>
          <w:lang w:val="es-ES_tradnl"/>
        </w:rPr>
        <w:t>Ley de Fiscalización Superior del Estado de México</w:t>
      </w:r>
      <w:r>
        <w:rPr>
          <w:rStyle w:val="Ancladenotaalpie"/>
          <w:rFonts w:ascii="Palatino Linotype" w:eastAsiaTheme="minorEastAsia" w:hAnsi="Palatino Linotype" w:cs="Arial"/>
          <w:color w:val="000000" w:themeColor="text1"/>
          <w:lang w:val="es-ES_tradnl"/>
        </w:rPr>
        <w:footnoteReference w:id="2"/>
      </w:r>
      <w:r>
        <w:rPr>
          <w:rFonts w:ascii="Palatino Linotype" w:eastAsiaTheme="minorEastAsia" w:hAnsi="Palatino Linotype" w:cs="Arial"/>
          <w:color w:val="000000" w:themeColor="text1"/>
          <w:lang w:val="es-ES_tradnl"/>
        </w:rPr>
        <w:t xml:space="preserve">; razón por la cual, el Órgano Superior de Fiscalización de ésta Entidad, emite los </w:t>
      </w:r>
      <w:r>
        <w:rPr>
          <w:rFonts w:ascii="Palatino Linotype" w:eastAsiaTheme="minorEastAsia" w:hAnsi="Palatino Linotype" w:cs="Arial"/>
          <w:b/>
          <w:color w:val="000000" w:themeColor="text1"/>
          <w:lang w:val="es-ES_tradnl"/>
        </w:rPr>
        <w:t>Lineamientos para la Integración del Informe Mensual</w:t>
      </w:r>
      <w:r>
        <w:rPr>
          <w:rFonts w:ascii="Palatino Linotype" w:eastAsiaTheme="minorEastAsia" w:hAnsi="Palatino Linotype" w:cs="Arial"/>
          <w:color w:val="000000" w:themeColor="text1"/>
          <w:lang w:val="es-ES_tradnl"/>
        </w:rPr>
        <w:t xml:space="preserve">, en términos la fracción XI del artículo 8 de la Ley de Fiscalización Superior del Estado de México, que señala: </w:t>
      </w:r>
    </w:p>
    <w:p w:rsidR="00C46EAC" w:rsidRDefault="00C45F6D">
      <w:pPr>
        <w:ind w:left="851" w:right="902"/>
        <w:jc w:val="both"/>
        <w:rPr>
          <w:rFonts w:ascii="Palatino Linotype" w:eastAsiaTheme="minorEastAsia" w:hAnsi="Palatino Linotype" w:cs="Arial"/>
          <w:i/>
          <w:color w:val="000000" w:themeColor="text1"/>
          <w:sz w:val="22"/>
          <w:szCs w:val="22"/>
          <w:lang w:val="es-ES_tradnl"/>
        </w:rPr>
      </w:pPr>
      <w:r>
        <w:rPr>
          <w:rFonts w:ascii="Palatino Linotype" w:eastAsiaTheme="minorEastAsia" w:hAnsi="Palatino Linotype" w:cs="Arial"/>
          <w:b/>
          <w:bCs/>
          <w:i/>
          <w:color w:val="000000" w:themeColor="text1"/>
          <w:sz w:val="22"/>
          <w:szCs w:val="22"/>
          <w:lang w:val="es-ES_tradnl"/>
        </w:rPr>
        <w:t xml:space="preserve">“Artículo 8. </w:t>
      </w:r>
      <w:r>
        <w:rPr>
          <w:rFonts w:ascii="Palatino Linotype" w:eastAsiaTheme="minorEastAsia" w:hAnsi="Palatino Linotype" w:cs="Arial"/>
          <w:i/>
          <w:color w:val="000000" w:themeColor="text1"/>
          <w:sz w:val="22"/>
          <w:szCs w:val="22"/>
          <w:lang w:val="es-ES_tradnl"/>
        </w:rPr>
        <w:t>El Órgano Superior tendrá las siguientes atribuciones:</w:t>
      </w:r>
    </w:p>
    <w:p w:rsidR="00C46EAC" w:rsidRDefault="00C45F6D">
      <w:pPr>
        <w:ind w:left="851" w:right="902"/>
        <w:jc w:val="both"/>
        <w:rPr>
          <w:rFonts w:ascii="Palatino Linotype" w:eastAsiaTheme="minorEastAsia" w:hAnsi="Palatino Linotype" w:cs="Arial"/>
          <w:i/>
          <w:color w:val="000000" w:themeColor="text1"/>
          <w:sz w:val="22"/>
          <w:szCs w:val="22"/>
          <w:lang w:val="es-ES_tradnl"/>
        </w:rPr>
      </w:pPr>
      <w:r>
        <w:rPr>
          <w:rFonts w:ascii="Palatino Linotype" w:eastAsiaTheme="minorEastAsia" w:hAnsi="Palatino Linotype" w:cs="Arial"/>
          <w:i/>
          <w:color w:val="000000" w:themeColor="text1"/>
          <w:sz w:val="22"/>
          <w:szCs w:val="22"/>
          <w:lang w:val="es-ES_tradnl"/>
        </w:rPr>
        <w:t>…</w:t>
      </w:r>
    </w:p>
    <w:p w:rsidR="00C46EAC" w:rsidRDefault="00C45F6D">
      <w:pPr>
        <w:ind w:left="851" w:right="902"/>
        <w:jc w:val="both"/>
        <w:rPr>
          <w:rFonts w:ascii="Palatino Linotype" w:eastAsiaTheme="minorEastAsia" w:hAnsi="Palatino Linotype" w:cs="Arial"/>
          <w:i/>
          <w:color w:val="000000" w:themeColor="text1"/>
          <w:sz w:val="22"/>
          <w:szCs w:val="22"/>
          <w:lang w:val="es-ES_tradnl"/>
        </w:rPr>
      </w:pPr>
      <w:r>
        <w:rPr>
          <w:rFonts w:ascii="Palatino Linotype" w:eastAsiaTheme="minorEastAsia" w:hAnsi="Palatino Linotype" w:cs="Arial"/>
          <w:b/>
          <w:bCs/>
          <w:i/>
          <w:color w:val="000000" w:themeColor="text1"/>
          <w:sz w:val="22"/>
          <w:szCs w:val="22"/>
          <w:lang w:val="es-ES_tradnl"/>
        </w:rPr>
        <w:t xml:space="preserve">XI. </w:t>
      </w:r>
      <w:r>
        <w:rPr>
          <w:rFonts w:ascii="Palatino Linotype" w:eastAsiaTheme="minorEastAsia" w:hAnsi="Palatino Linotype" w:cs="Arial"/>
          <w:i/>
          <w:color w:val="000000" w:themeColor="text1"/>
          <w:sz w:val="22"/>
          <w:szCs w:val="22"/>
          <w:lang w:val="es-ES_tradnl"/>
        </w:rPr>
        <w:t>Establecer los lineamientos, criterios, procedimientos, métodos y sistemas para las acciones de control y evaluación, necesarios para la fiscalización de las cuentas públicas y los informes trimestrales;</w:t>
      </w:r>
    </w:p>
    <w:p w:rsidR="00C46EAC" w:rsidRDefault="00C45F6D">
      <w:pPr>
        <w:ind w:left="851" w:right="902"/>
        <w:jc w:val="both"/>
        <w:rPr>
          <w:rFonts w:ascii="Palatino Linotype" w:eastAsiaTheme="minorEastAsia" w:hAnsi="Palatino Linotype" w:cs="Arial"/>
          <w:bCs/>
          <w:i/>
          <w:color w:val="000000" w:themeColor="text1"/>
          <w:sz w:val="22"/>
          <w:szCs w:val="22"/>
          <w:lang w:val="es-ES_tradnl"/>
        </w:rPr>
      </w:pPr>
      <w:r>
        <w:rPr>
          <w:rFonts w:ascii="Palatino Linotype" w:eastAsiaTheme="minorEastAsia" w:hAnsi="Palatino Linotype" w:cs="Arial"/>
          <w:color w:val="000000" w:themeColor="text1"/>
          <w:sz w:val="22"/>
          <w:szCs w:val="22"/>
          <w:lang w:val="es-ES_tradnl"/>
        </w:rPr>
        <w:t>…” (Sic)</w:t>
      </w:r>
    </w:p>
    <w:p w:rsidR="00C46EAC" w:rsidRDefault="00C45F6D">
      <w:pPr>
        <w:spacing w:beforeAutospacing="1" w:afterAutospacing="1" w:line="360" w:lineRule="auto"/>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 xml:space="preserve">De esta forma, el Órgano Superior de Fiscalización del Estado de México (OSFEM),  emite anualmente dichos Lineamientos para definir los criterios, formatos y documentación necesaria para presentar los informes mensuales, dentro de los cuales destacan –en relación con el análisis que nos ocupa-, el Disco 5, relativo a las </w:t>
      </w:r>
      <w:r>
        <w:rPr>
          <w:rFonts w:ascii="Palatino Linotype" w:eastAsiaTheme="minorEastAsia" w:hAnsi="Palatino Linotype" w:cs="Arial"/>
          <w:color w:val="000000" w:themeColor="text1"/>
          <w:lang w:val="es-ES_tradnl"/>
        </w:rPr>
        <w:t>“Imágenes Digitalizadas”.</w:t>
      </w:r>
    </w:p>
    <w:p w:rsidR="00C46EAC" w:rsidRDefault="00C45F6D">
      <w:pPr>
        <w:spacing w:beforeAutospacing="1" w:afterAutospacing="1" w:line="360" w:lineRule="auto"/>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 xml:space="preserve">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w:t>
      </w:r>
      <w:r>
        <w:rPr>
          <w:rFonts w:ascii="Palatino Linotype" w:eastAsiaTheme="minorEastAsia" w:hAnsi="Palatino Linotype" w:cstheme="minorBidi"/>
          <w:color w:val="000000" w:themeColor="text1"/>
          <w:lang w:val="es-ES_tradnl"/>
        </w:rPr>
        <w:lastRenderedPageBreak/>
        <w:t>correspondiente de acuerdo a lo establecido en el artículo 32 de la Ley de Fiscalización Superior del Estado de México, que a la letra dice:</w:t>
      </w:r>
    </w:p>
    <w:p w:rsidR="00C46EAC" w:rsidRDefault="00C45F6D">
      <w:pPr>
        <w:ind w:left="851" w:right="760"/>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“Artículo 32.-</w:t>
      </w:r>
      <w:r>
        <w:rPr>
          <w:rFonts w:ascii="Palatino Linotype" w:eastAsiaTheme="minorEastAsia" w:hAnsi="Palatino Linotype" w:cstheme="minorBidi"/>
          <w:i/>
          <w:color w:val="000000" w:themeColor="text1"/>
          <w:sz w:val="22"/>
          <w:szCs w:val="22"/>
          <w:lang w:val="es-ES_tradnl"/>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C46EAC" w:rsidRDefault="00C46EAC">
      <w:pPr>
        <w:ind w:left="851" w:right="760"/>
        <w:jc w:val="both"/>
        <w:rPr>
          <w:rFonts w:ascii="Palatino Linotype" w:eastAsiaTheme="minorEastAsia" w:hAnsi="Palatino Linotype" w:cstheme="minorBidi"/>
          <w:b/>
          <w:i/>
          <w:color w:val="000000" w:themeColor="text1"/>
          <w:sz w:val="22"/>
          <w:szCs w:val="22"/>
          <w:lang w:val="es-ES_tradnl"/>
        </w:rPr>
      </w:pPr>
    </w:p>
    <w:p w:rsidR="00C46EAC" w:rsidRDefault="00C45F6D">
      <w:pPr>
        <w:ind w:left="851" w:right="760"/>
        <w:jc w:val="both"/>
        <w:rPr>
          <w:rFonts w:ascii="Palatino Linotype" w:eastAsiaTheme="minorEastAsia" w:hAnsi="Palatino Linotype" w:cstheme="minorBidi"/>
          <w:b/>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Los Presidentes Municipales presentarán a la Legislatura las cuentas públicas anuales</w:t>
      </w:r>
      <w:r>
        <w:rPr>
          <w:rFonts w:ascii="Palatino Linotype" w:eastAsiaTheme="minorEastAsia" w:hAnsi="Palatino Linotype" w:cstheme="minorBidi"/>
          <w:i/>
          <w:color w:val="000000" w:themeColor="text1"/>
          <w:sz w:val="22"/>
          <w:szCs w:val="22"/>
          <w:lang w:val="es-ES_tradnl"/>
        </w:rPr>
        <w:t xml:space="preserve"> de sus respectivos municipios, del ejercicio fiscal inmediato anterior, </w:t>
      </w:r>
      <w:r>
        <w:rPr>
          <w:rFonts w:ascii="Palatino Linotype" w:eastAsiaTheme="minorEastAsia" w:hAnsi="Palatino Linotype" w:cstheme="minorBidi"/>
          <w:b/>
          <w:i/>
          <w:color w:val="000000" w:themeColor="text1"/>
          <w:sz w:val="22"/>
          <w:szCs w:val="22"/>
          <w:lang w:val="es-ES_tradnl"/>
        </w:rPr>
        <w:t>dentro de los quince primeros días del mes de marzo</w:t>
      </w:r>
      <w:r>
        <w:rPr>
          <w:rFonts w:ascii="Palatino Linotype" w:eastAsiaTheme="minorEastAsia" w:hAnsi="Palatino Linotype" w:cstheme="minorBidi"/>
          <w:i/>
          <w:color w:val="000000" w:themeColor="text1"/>
          <w:sz w:val="22"/>
          <w:szCs w:val="22"/>
          <w:lang w:val="es-ES_tradnl"/>
        </w:rPr>
        <w:t xml:space="preserve"> de cada año; </w:t>
      </w:r>
      <w:r>
        <w:rPr>
          <w:rFonts w:ascii="Palatino Linotype" w:eastAsiaTheme="minorEastAsia" w:hAnsi="Palatino Linotype" w:cstheme="minorBidi"/>
          <w:b/>
          <w:i/>
          <w:color w:val="000000" w:themeColor="text1"/>
          <w:sz w:val="22"/>
          <w:szCs w:val="22"/>
          <w:lang w:val="es-ES_tradnl"/>
        </w:rPr>
        <w:t>asimism</w:t>
      </w:r>
      <w:r>
        <w:rPr>
          <w:rFonts w:ascii="Palatino Linotype" w:eastAsiaTheme="minorEastAsia" w:hAnsi="Palatino Linotype" w:cstheme="minorBidi"/>
          <w:i/>
          <w:color w:val="000000" w:themeColor="text1"/>
          <w:sz w:val="22"/>
          <w:szCs w:val="22"/>
          <w:lang w:val="es-ES_tradnl"/>
        </w:rPr>
        <w:t xml:space="preserve">o, </w:t>
      </w:r>
      <w:r>
        <w:rPr>
          <w:rFonts w:ascii="Palatino Linotype" w:eastAsiaTheme="minorEastAsia" w:hAnsi="Palatino Linotype" w:cstheme="minorBidi"/>
          <w:b/>
          <w:i/>
          <w:color w:val="000000" w:themeColor="text1"/>
          <w:sz w:val="22"/>
          <w:szCs w:val="22"/>
          <w:lang w:val="es-ES_tradnl"/>
        </w:rPr>
        <w:t>los informes mensuales</w:t>
      </w:r>
      <w:r>
        <w:rPr>
          <w:rFonts w:ascii="Palatino Linotype" w:eastAsiaTheme="minorEastAsia" w:hAnsi="Palatino Linotype" w:cstheme="minorBidi"/>
          <w:i/>
          <w:color w:val="000000" w:themeColor="text1"/>
          <w:sz w:val="22"/>
          <w:szCs w:val="22"/>
          <w:lang w:val="es-ES_tradnl"/>
        </w:rPr>
        <w:t xml:space="preserve"> los deberán presentar </w:t>
      </w:r>
      <w:r>
        <w:rPr>
          <w:rFonts w:ascii="Palatino Linotype" w:eastAsiaTheme="minorEastAsia" w:hAnsi="Palatino Linotype" w:cstheme="minorBidi"/>
          <w:b/>
          <w:i/>
          <w:color w:val="000000" w:themeColor="text1"/>
          <w:sz w:val="22"/>
          <w:szCs w:val="22"/>
          <w:lang w:val="es-ES_tradnl"/>
        </w:rPr>
        <w:t>dentro de los veinte días posteriores al término del mes correspondiente.”</w:t>
      </w:r>
    </w:p>
    <w:p w:rsidR="00C46EAC" w:rsidRDefault="00C45F6D">
      <w:pPr>
        <w:ind w:left="851" w:right="760"/>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i/>
          <w:color w:val="000000" w:themeColor="text1"/>
          <w:sz w:val="22"/>
          <w:szCs w:val="22"/>
          <w:lang w:val="es-ES_tradnl"/>
        </w:rPr>
        <w:t>(Énfasis añadido)</w:t>
      </w:r>
    </w:p>
    <w:p w:rsidR="00C46EAC" w:rsidRDefault="00C45F6D">
      <w:pPr>
        <w:spacing w:beforeAutospacing="1" w:afterAutospacing="1" w:line="360" w:lineRule="auto"/>
        <w:ind w:right="-91"/>
        <w:jc w:val="both"/>
        <w:rPr>
          <w:rFonts w:ascii="Palatino Linotype" w:eastAsiaTheme="minorEastAsia" w:hAnsi="Palatino Linotype" w:cstheme="minorBidi"/>
          <w:color w:val="000000" w:themeColor="text1"/>
          <w:lang w:val="es-ES"/>
        </w:rPr>
      </w:pPr>
      <w:r>
        <w:rPr>
          <w:rFonts w:ascii="Palatino Linotype" w:eastAsiaTheme="minorEastAsia" w:hAnsi="Palatino Linotype" w:cstheme="minorBidi"/>
          <w:color w:val="000000" w:themeColor="text1"/>
          <w:lang w:val="es-ES_tradnl"/>
        </w:rPr>
        <w:t xml:space="preserve">Por ello, la información </w:t>
      </w:r>
      <w:r>
        <w:rPr>
          <w:rFonts w:ascii="Palatino Linotype" w:eastAsiaTheme="minorEastAsia" w:hAnsi="Palatino Linotype" w:cstheme="minorBidi"/>
          <w:b/>
          <w:color w:val="000000" w:themeColor="text1"/>
          <w:lang w:val="es-ES_tradnl"/>
        </w:rPr>
        <w:t>documental comprobatoria</w:t>
      </w:r>
      <w:r>
        <w:rPr>
          <w:rFonts w:ascii="Palatino Linotype" w:eastAsiaTheme="minorEastAsia" w:hAnsi="Palatino Linotype" w:cstheme="minorBidi"/>
          <w:color w:val="000000" w:themeColor="text1"/>
          <w:lang w:val="es-ES_tradnl"/>
        </w:rPr>
        <w:t xml:space="preserve">, </w:t>
      </w:r>
      <w:r>
        <w:rPr>
          <w:rFonts w:ascii="Palatino Linotype" w:eastAsiaTheme="minorEastAsia" w:hAnsi="Palatino Linotype" w:cstheme="minorBidi"/>
          <w:b/>
          <w:color w:val="000000" w:themeColor="text1"/>
          <w:lang w:val="es-ES_tradnl"/>
        </w:rPr>
        <w:t>deberá conservarse en los archivos de la entidad fiscalizada –Municipio</w:t>
      </w:r>
      <w:r>
        <w:rPr>
          <w:rFonts w:ascii="Palatino Linotype" w:eastAsiaTheme="minorEastAsia" w:hAnsi="Palatino Linotype" w:cstheme="minorBidi"/>
          <w:color w:val="000000" w:themeColor="text1"/>
          <w:lang w:val="es-ES_tradnl"/>
        </w:rPr>
        <w:t xml:space="preserve">-, en original y debidamente integrada en términos de los lineamientos de referencia, pues son susceptibles de revisión directa por el OSFEM; así que, </w:t>
      </w:r>
      <w:r>
        <w:rPr>
          <w:rFonts w:ascii="Palatino Linotype" w:eastAsiaTheme="minorEastAsia" w:hAnsi="Palatino Linotype" w:cstheme="minorBidi"/>
          <w:color w:val="000000" w:themeColor="text1"/>
          <w:lang w:val="es-ES"/>
        </w:rPr>
        <w:t xml:space="preserve">para la Integración del Informe Mensual 2019, dichos lineamientos se encuentran visibles en la página oficial del ente fiscalizador </w:t>
      </w:r>
      <w:r>
        <w:rPr>
          <w:rFonts w:ascii="Palatino Linotype" w:eastAsiaTheme="minorEastAsia" w:hAnsi="Palatino Linotype" w:cstheme="minorBidi"/>
          <w:i/>
          <w:color w:val="000000" w:themeColor="text1"/>
          <w:spacing w:val="-14"/>
          <w:lang w:val="es-ES"/>
        </w:rPr>
        <w:t>https://www.osfem.gob.mx/04_Normatividad/doc/Normatividad/2018/03_LinElabyPresInfoMenMpal19.pdf</w:t>
      </w:r>
      <w:r>
        <w:rPr>
          <w:rFonts w:ascii="Palatino Linotype" w:eastAsiaTheme="minorEastAsia" w:hAnsi="Palatino Linotype" w:cstheme="minorBidi"/>
          <w:color w:val="000000" w:themeColor="text1"/>
          <w:lang w:val="es-ES"/>
        </w:rPr>
        <w:t xml:space="preserve"> destacando que dentro de los informes mensuales que </w:t>
      </w:r>
      <w:r>
        <w:rPr>
          <w:rFonts w:ascii="Palatino Linotype" w:eastAsiaTheme="minorEastAsia" w:hAnsi="Palatino Linotype" w:cstheme="minorBidi"/>
          <w:b/>
          <w:color w:val="000000" w:themeColor="text1"/>
          <w:lang w:val="es-ES"/>
        </w:rPr>
        <w:t xml:space="preserve">EL SUJETO OBLIGADO </w:t>
      </w:r>
      <w:r>
        <w:rPr>
          <w:rFonts w:ascii="Palatino Linotype" w:eastAsiaTheme="minorEastAsia" w:hAnsi="Palatino Linotype" w:cstheme="minorBidi"/>
          <w:color w:val="000000" w:themeColor="text1"/>
          <w:lang w:val="es-ES"/>
        </w:rPr>
        <w:t xml:space="preserve">tiene la obligación de rendir, se contempla precisamente la presentación de la Información referente al Disco 5, mediante la digitalización de los formatos </w:t>
      </w:r>
      <w:r>
        <w:rPr>
          <w:rFonts w:ascii="Palatino Linotype" w:eastAsiaTheme="minorEastAsia" w:hAnsi="Palatino Linotype" w:cs="Arial"/>
          <w:color w:val="000000" w:themeColor="text1"/>
          <w:lang w:val="es-ES_tradnl"/>
        </w:rPr>
        <w:t xml:space="preserve">relativos a las </w:t>
      </w:r>
      <w:r>
        <w:rPr>
          <w:rFonts w:ascii="Palatino Linotype" w:eastAsiaTheme="minorEastAsia" w:hAnsi="Palatino Linotype" w:cs="Arial"/>
          <w:i/>
          <w:color w:val="000000" w:themeColor="text1"/>
          <w:lang w:val="es-ES_tradnl"/>
        </w:rPr>
        <w:t xml:space="preserve">pólizas de ingresos, póliza de diario, póliza de egresos, póliza cheque y póliza de cuentas por pagar, </w:t>
      </w:r>
      <w:r>
        <w:rPr>
          <w:rFonts w:ascii="Palatino Linotype" w:eastAsiaTheme="minorEastAsia" w:hAnsi="Palatino Linotype" w:cs="Arial"/>
          <w:color w:val="000000" w:themeColor="text1"/>
          <w:lang w:val="es-ES_tradnl"/>
        </w:rPr>
        <w:t>las cuales guardan relación con el Disco 1 “Información Patrimonial (Contable y Administrativa) y para el Sistema Electrónico Auditor (Archivos txt)”, d</w:t>
      </w:r>
      <w:r>
        <w:rPr>
          <w:rFonts w:ascii="Palatino Linotype" w:eastAsiaTheme="minorEastAsia" w:hAnsi="Palatino Linotype" w:cs="Arial"/>
          <w:bCs/>
          <w:color w:val="000000" w:themeColor="text1"/>
          <w:lang w:val="es-ES_tradnl"/>
        </w:rPr>
        <w:t xml:space="preserve">e tal manera que, dichos formatos constituyen un soporte documental de que la información solicitada por el hoy </w:t>
      </w:r>
      <w:r>
        <w:rPr>
          <w:rFonts w:ascii="Palatino Linotype" w:eastAsiaTheme="minorEastAsia" w:hAnsi="Palatino Linotype" w:cs="Arial"/>
          <w:b/>
          <w:bCs/>
          <w:color w:val="000000" w:themeColor="text1"/>
          <w:lang w:val="es-ES_tradnl"/>
        </w:rPr>
        <w:t>RECURRENTE</w:t>
      </w:r>
      <w:r>
        <w:rPr>
          <w:rFonts w:ascii="Palatino Linotype" w:eastAsiaTheme="minorEastAsia" w:hAnsi="Palatino Linotype" w:cs="Arial"/>
          <w:bCs/>
          <w:color w:val="000000" w:themeColor="text1"/>
          <w:lang w:val="es-ES_tradnl"/>
        </w:rPr>
        <w:t xml:space="preserve"> obra en los archivos del </w:t>
      </w:r>
      <w:r>
        <w:rPr>
          <w:rFonts w:ascii="Palatino Linotype" w:eastAsiaTheme="minorEastAsia" w:hAnsi="Palatino Linotype" w:cs="Arial"/>
          <w:b/>
          <w:bCs/>
          <w:color w:val="000000" w:themeColor="text1"/>
          <w:lang w:val="es-ES_tradnl"/>
        </w:rPr>
        <w:t>SUJETO OBLIGADO</w:t>
      </w:r>
      <w:r>
        <w:rPr>
          <w:rFonts w:ascii="Palatino Linotype" w:eastAsiaTheme="minorEastAsia" w:hAnsi="Palatino Linotype" w:cs="Arial"/>
          <w:bCs/>
          <w:color w:val="000000" w:themeColor="text1"/>
          <w:lang w:val="es-ES_tradnl"/>
        </w:rPr>
        <w:t xml:space="preserve">, insertando a manera de referencia, el formato correspondiente de 2019: </w:t>
      </w:r>
    </w:p>
    <w:p w:rsidR="00C46EAC" w:rsidRDefault="00C45F6D">
      <w:pPr>
        <w:spacing w:before="240" w:after="240" w:line="360" w:lineRule="auto"/>
        <w:jc w:val="center"/>
        <w:rPr>
          <w:rFonts w:ascii="Palatino Linotype" w:eastAsiaTheme="minorEastAsia" w:hAnsi="Palatino Linotype" w:cs="Arial"/>
          <w:color w:val="000000" w:themeColor="text1"/>
          <w:lang w:val="es-ES_tradnl" w:eastAsia="es-MX"/>
        </w:rPr>
      </w:pPr>
      <w:r>
        <w:rPr>
          <w:noProof/>
          <w:lang w:eastAsia="es-MX"/>
        </w:rPr>
        <w:lastRenderedPageBreak/>
        <w:drawing>
          <wp:inline distT="0" distB="0" distL="0" distR="0">
            <wp:extent cx="4980940" cy="2372995"/>
            <wp:effectExtent l="0" t="0" r="0" b="0"/>
            <wp:docPr id="1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2"/>
                    <pic:cNvPicPr>
                      <a:picLocks noChangeAspect="1" noChangeArrowheads="1"/>
                    </pic:cNvPicPr>
                  </pic:nvPicPr>
                  <pic:blipFill>
                    <a:blip r:embed="rId15"/>
                    <a:srcRect l="17145" t="25998" r="23287" b="23546"/>
                    <a:stretch>
                      <a:fillRect/>
                    </a:stretch>
                  </pic:blipFill>
                  <pic:spPr bwMode="auto">
                    <a:xfrm>
                      <a:off x="0" y="0"/>
                      <a:ext cx="4980940" cy="2372995"/>
                    </a:xfrm>
                    <a:prstGeom prst="rect">
                      <a:avLst/>
                    </a:prstGeom>
                  </pic:spPr>
                </pic:pic>
              </a:graphicData>
            </a:graphic>
          </wp:inline>
        </w:drawing>
      </w:r>
      <w:r>
        <w:rPr>
          <w:noProof/>
          <w:lang w:eastAsia="es-MX"/>
        </w:rPr>
        <mc:AlternateContent>
          <mc:Choice Requires="wps">
            <w:drawing>
              <wp:anchor distT="0" distB="0" distL="0" distR="0" simplePos="0" relativeHeight="96" behindDoc="0" locked="0" layoutInCell="1" allowOverlap="1" wp14:anchorId="76DBB701">
                <wp:simplePos x="0" y="0"/>
                <wp:positionH relativeFrom="column">
                  <wp:posOffset>423545</wp:posOffset>
                </wp:positionH>
                <wp:positionV relativeFrom="paragraph">
                  <wp:posOffset>661035</wp:posOffset>
                </wp:positionV>
                <wp:extent cx="4987925" cy="387350"/>
                <wp:effectExtent l="19050" t="19050" r="23495" b="13335"/>
                <wp:wrapNone/>
                <wp:docPr id="12" name="Rectángulo 11"/>
                <wp:cNvGraphicFramePr/>
                <a:graphic xmlns:a="http://schemas.openxmlformats.org/drawingml/2006/main">
                  <a:graphicData uri="http://schemas.microsoft.com/office/word/2010/wordprocessingShape">
                    <wps:wsp>
                      <wps:cNvSpPr/>
                      <wps:spPr>
                        <a:xfrm>
                          <a:off x="0" y="0"/>
                          <a:ext cx="4987440" cy="386640"/>
                        </a:xfrm>
                        <a:prstGeom prst="rect">
                          <a:avLst/>
                        </a:prstGeom>
                        <a:noFill/>
                        <a:ln w="28440">
                          <a:solidFill>
                            <a:srgbClr val="43729D"/>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ángulo 11" stroked="t" style="position:absolute;margin-left:33.35pt;margin-top:52.05pt;width:392.65pt;height:30.4pt" wp14:anchorId="76DBB701">
                <w10:wrap type="none"/>
                <v:fill o:detectmouseclick="t" on="false"/>
                <v:stroke color="#43729d" weight="28440" joinstyle="miter" endcap="flat"/>
              </v:rect>
            </w:pict>
          </mc:Fallback>
        </mc:AlternateContent>
      </w:r>
      <w:r>
        <w:rPr>
          <w:noProof/>
          <w:lang w:eastAsia="es-MX"/>
        </w:rPr>
        <mc:AlternateContent>
          <mc:Choice Requires="wps">
            <w:drawing>
              <wp:anchor distT="0" distB="0" distL="0" distR="0" simplePos="0" relativeHeight="97" behindDoc="0" locked="0" layoutInCell="1" allowOverlap="1" wp14:anchorId="22AE9431">
                <wp:simplePos x="0" y="0"/>
                <wp:positionH relativeFrom="column">
                  <wp:posOffset>412115</wp:posOffset>
                </wp:positionH>
                <wp:positionV relativeFrom="paragraph">
                  <wp:posOffset>1294765</wp:posOffset>
                </wp:positionV>
                <wp:extent cx="4998720" cy="387350"/>
                <wp:effectExtent l="19050" t="19050" r="12700" b="13335"/>
                <wp:wrapNone/>
                <wp:docPr id="13" name="Rectángulo 10"/>
                <wp:cNvGraphicFramePr/>
                <a:graphic xmlns:a="http://schemas.openxmlformats.org/drawingml/2006/main">
                  <a:graphicData uri="http://schemas.microsoft.com/office/word/2010/wordprocessingShape">
                    <wps:wsp>
                      <wps:cNvSpPr/>
                      <wps:spPr>
                        <a:xfrm>
                          <a:off x="0" y="0"/>
                          <a:ext cx="4998240" cy="386640"/>
                        </a:xfrm>
                        <a:prstGeom prst="rect">
                          <a:avLst/>
                        </a:prstGeom>
                        <a:noFill/>
                        <a:ln w="28440">
                          <a:solidFill>
                            <a:srgbClr val="43729D"/>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ángulo 10" stroked="t" style="position:absolute;margin-left:32.45pt;margin-top:101.95pt;width:393.5pt;height:30.4pt" wp14:anchorId="22AE9431">
                <w10:wrap type="none"/>
                <v:fill o:detectmouseclick="t" on="false"/>
                <v:stroke color="#43729d" weight="28440" joinstyle="miter" endcap="flat"/>
              </v:rect>
            </w:pict>
          </mc:Fallback>
        </mc:AlternateContent>
      </w:r>
    </w:p>
    <w:p w:rsidR="00C46EAC" w:rsidRDefault="00C45F6D">
      <w:pPr>
        <w:spacing w:before="240" w:after="240" w:line="360" w:lineRule="auto"/>
        <w:jc w:val="both"/>
        <w:rPr>
          <w:rFonts w:ascii="Palatino Linotype" w:eastAsiaTheme="minorEastAsia" w:hAnsi="Palatino Linotype" w:cs="Arial"/>
          <w:bCs/>
          <w:color w:val="000000" w:themeColor="text1"/>
          <w:lang w:val="es-ES_tradnl"/>
        </w:rPr>
      </w:pPr>
      <w:r>
        <w:rPr>
          <w:rFonts w:ascii="Palatino Linotype" w:eastAsiaTheme="minorEastAsia" w:hAnsi="Palatino Linotype" w:cs="Arial"/>
          <w:bCs/>
          <w:color w:val="000000" w:themeColor="text1"/>
          <w:lang w:val="es-ES_tradnl"/>
        </w:rPr>
        <w:t>Aunado a lo anterior, los citados Lineamientos especifican que las imágenes contenidas en el Disco 5 deben ser indexadas de manera que se permita su vinculación con la información financiera contenida en el disco 1 del Informe Mensual, de tal forma que al consultar la citada información financiera se pueda visualizar el soporte documental que justifique los registros contables, de todos los gastos realizados por cada ente público.</w:t>
      </w:r>
    </w:p>
    <w:p w:rsidR="00C46EAC" w:rsidRDefault="00C45F6D">
      <w:pPr>
        <w:spacing w:before="240" w:after="240" w:line="360" w:lineRule="auto"/>
        <w:jc w:val="both"/>
        <w:rPr>
          <w:rFonts w:ascii="Palatino Linotype" w:eastAsiaTheme="minorEastAsia" w:hAnsi="Palatino Linotype" w:cs="Arial"/>
          <w:bCs/>
          <w:color w:val="000000" w:themeColor="text1"/>
          <w:lang w:val="es-ES_tradnl"/>
        </w:rPr>
      </w:pPr>
      <w:r>
        <w:rPr>
          <w:rFonts w:ascii="Palatino Linotype" w:eastAsiaTheme="minorEastAsia" w:hAnsi="Palatino Linotype" w:cs="Arial"/>
          <w:bCs/>
          <w:color w:val="000000" w:themeColor="text1"/>
          <w:lang w:val="es-ES_tradnl"/>
        </w:rPr>
        <w:t xml:space="preserve">Por todo lo expuesto, es claro que </w:t>
      </w:r>
      <w:r>
        <w:rPr>
          <w:rFonts w:ascii="Palatino Linotype" w:eastAsiaTheme="minorEastAsia" w:hAnsi="Palatino Linotype" w:cs="Arial"/>
          <w:b/>
          <w:bCs/>
          <w:color w:val="000000" w:themeColor="text1"/>
          <w:lang w:val="es-ES_tradnl"/>
        </w:rPr>
        <w:t>EL SUJETO OBLIGADO</w:t>
      </w:r>
      <w:r>
        <w:rPr>
          <w:rFonts w:ascii="Palatino Linotype" w:eastAsiaTheme="minorEastAsia" w:hAnsi="Palatino Linotype" w:cs="Arial"/>
          <w:bCs/>
          <w:color w:val="000000" w:themeColor="text1"/>
          <w:lang w:val="es-ES_tradnl"/>
        </w:rPr>
        <w:t xml:space="preserve"> se encuentra en posibilidad de hacer entrega al particular del documento o documentos donde conste la cantidad global y segmentada por áreas del gasto ejercido por concepto de combustible asignado al parque vehicular y para vehículos propios del personal adscrito al </w:t>
      </w:r>
      <w:r>
        <w:rPr>
          <w:rFonts w:ascii="Palatino Linotype" w:eastAsiaTheme="minorEastAsia" w:hAnsi="Palatino Linotype" w:cs="Arial"/>
          <w:b/>
          <w:bCs/>
          <w:color w:val="000000" w:themeColor="text1"/>
          <w:lang w:val="es-ES_tradnl"/>
        </w:rPr>
        <w:t>SUJETO OBLIGADO</w:t>
      </w:r>
      <w:r>
        <w:rPr>
          <w:rFonts w:ascii="Palatino Linotype" w:eastAsiaTheme="minorEastAsia" w:hAnsi="Palatino Linotype" w:cs="Arial"/>
          <w:bCs/>
          <w:color w:val="000000" w:themeColor="text1"/>
          <w:lang w:val="es-ES_tradnl"/>
        </w:rPr>
        <w:t>, de ser procedente en versión pública, con la salvedad de que para el caso, de que no se hayan erogado cantidades para este último concepto, basta con hacerlo del conocimiento al particular de manera fundamentada y motivada.</w:t>
      </w:r>
    </w:p>
    <w:p w:rsidR="00C46EAC" w:rsidRDefault="00C45F6D">
      <w:pPr>
        <w:spacing w:before="240" w:after="240" w:line="360" w:lineRule="auto"/>
        <w:ind w:right="50"/>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lastRenderedPageBreak/>
        <w:t xml:space="preserve">Expuesto lo anterior, es importante señalar que la </w:t>
      </w:r>
      <w:r>
        <w:rPr>
          <w:rFonts w:ascii="Palatino Linotype" w:eastAsiaTheme="minorEastAsia" w:hAnsi="Palatino Linotype" w:cstheme="minorBidi"/>
          <w:b/>
          <w:color w:val="000000" w:themeColor="text1"/>
          <w:lang w:val="es-ES_tradnl"/>
        </w:rPr>
        <w:t>versión pública</w:t>
      </w:r>
      <w:r>
        <w:rPr>
          <w:rFonts w:ascii="Palatino Linotype" w:eastAsiaTheme="minorEastAsia" w:hAnsi="Palatino Linotype" w:cstheme="minorBidi"/>
          <w:color w:val="000000" w:themeColor="text1"/>
          <w:lang w:val="es-ES_tradnl"/>
        </w:rPr>
        <w:t xml:space="preserve">, no opera con la simple supresión de datos que se haga en los documentos de que se trate o con la simple decisión que tome el Servidor Público Habilitado o el Responsable de la Unidad de Transparencia del </w:t>
      </w:r>
      <w:r>
        <w:rPr>
          <w:rFonts w:ascii="Palatino Linotype" w:eastAsiaTheme="minorEastAsia" w:hAnsi="Palatino Linotype" w:cstheme="minorBidi"/>
          <w:b/>
          <w:color w:val="000000" w:themeColor="text1"/>
          <w:lang w:val="es-ES_tradnl"/>
        </w:rPr>
        <w:t>SUJETO OBLIGADO</w:t>
      </w:r>
      <w:r>
        <w:rPr>
          <w:rFonts w:ascii="Palatino Linotype" w:eastAsiaTheme="minorEastAsia" w:hAnsi="Palatino Linotype" w:cstheme="minorBidi"/>
          <w:color w:val="000000" w:themeColor="text1"/>
          <w:lang w:val="es-ES_tradnl"/>
        </w:rPr>
        <w:t>, sino que ello deberá realizarse en términos de lo que disponen los artículos 3, fracciones IX, XX, XXI, XXXII, XLV; 6, 49, fracción VIII, 53, fracción X, 59, fracción V, 137, 143, fracción I de la Ley de Transparencia y Acceso a la Información Pública del Estado de México y Municipios vigente, que son del tenor literal siguiente:</w:t>
      </w:r>
    </w:p>
    <w:p w:rsidR="00C46EAC" w:rsidRDefault="00C45F6D">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“Artículo 3.</w:t>
      </w:r>
      <w:r>
        <w:rPr>
          <w:rFonts w:ascii="Palatino Linotype" w:eastAsiaTheme="minorEastAsia" w:hAnsi="Palatino Linotype" w:cstheme="minorBidi"/>
          <w:i/>
          <w:color w:val="000000" w:themeColor="text1"/>
          <w:sz w:val="22"/>
          <w:szCs w:val="22"/>
          <w:lang w:val="es-ES_tradnl"/>
        </w:rPr>
        <w:t xml:space="preserve"> Para los efectos de la presente Ley se entenderá por:</w:t>
      </w:r>
    </w:p>
    <w:p w:rsidR="00C46EAC" w:rsidRDefault="00C45F6D">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IX. Datos personales:</w:t>
      </w:r>
      <w:r>
        <w:rPr>
          <w:rFonts w:ascii="Palatino Linotype" w:eastAsiaTheme="minorEastAsia" w:hAnsi="Palatino Linotype" w:cstheme="minorBidi"/>
          <w:i/>
          <w:color w:val="000000" w:themeColor="text1"/>
          <w:sz w:val="22"/>
          <w:szCs w:val="22"/>
          <w:lang w:val="es-ES_tradnl"/>
        </w:rPr>
        <w:t xml:space="preserve"> La información concerniente a una persona, identificada o identificable según lo dispuesto por la Ley de Protección de Datos Personales del Estado de México;</w:t>
      </w:r>
    </w:p>
    <w:p w:rsidR="00C46EAC" w:rsidRDefault="00C45F6D">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XX. Información clasificada:</w:t>
      </w:r>
      <w:r>
        <w:rPr>
          <w:rFonts w:ascii="Palatino Linotype" w:eastAsiaTheme="minorEastAsia" w:hAnsi="Palatino Linotype" w:cstheme="minorBidi"/>
          <w:i/>
          <w:color w:val="000000" w:themeColor="text1"/>
          <w:sz w:val="22"/>
          <w:szCs w:val="22"/>
          <w:lang w:val="es-ES_tradnl"/>
        </w:rPr>
        <w:t xml:space="preserve"> Aquella considerada por la presente Ley como reservada o confidencial;</w:t>
      </w:r>
    </w:p>
    <w:p w:rsidR="00C46EAC" w:rsidRDefault="00C45F6D">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 xml:space="preserve">XXI. Información confidencial: </w:t>
      </w:r>
      <w:r>
        <w:rPr>
          <w:rFonts w:ascii="Palatino Linotype" w:eastAsiaTheme="minorEastAsia" w:hAnsi="Palatino Linotype" w:cstheme="minorBidi"/>
          <w:i/>
          <w:color w:val="000000" w:themeColor="text1"/>
          <w:sz w:val="22"/>
          <w:szCs w:val="22"/>
          <w:lang w:val="es-ES_tradnl"/>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C46EAC" w:rsidRDefault="00C45F6D">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XXXII. Protección de Datos Personales:</w:t>
      </w:r>
      <w:r>
        <w:rPr>
          <w:rFonts w:ascii="Palatino Linotype" w:eastAsiaTheme="minorEastAsia" w:hAnsi="Palatino Linotype" w:cstheme="minorBidi"/>
          <w:i/>
          <w:color w:val="000000" w:themeColor="text1"/>
          <w:sz w:val="22"/>
          <w:szCs w:val="22"/>
          <w:lang w:val="es-ES_tradnl"/>
        </w:rPr>
        <w:t xml:space="preserve"> Derecho humano que tutela la privacidad de datos personales en poder de los sujetos obligados y sujetos particulares;</w:t>
      </w:r>
    </w:p>
    <w:p w:rsidR="00C46EAC" w:rsidRDefault="00C45F6D">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XLV. Versión pública:</w:t>
      </w:r>
      <w:r>
        <w:rPr>
          <w:rFonts w:ascii="Palatino Linotype" w:eastAsiaTheme="minorEastAsia" w:hAnsi="Palatino Linotype" w:cstheme="minorBidi"/>
          <w:i/>
          <w:color w:val="000000" w:themeColor="text1"/>
          <w:sz w:val="22"/>
          <w:szCs w:val="22"/>
          <w:lang w:val="es-ES_tradnl"/>
        </w:rPr>
        <w:t xml:space="preserve"> Documento en el que se elimine, suprime o borra la información clasificada como reservada o confidencial para permitir su acceso.</w:t>
      </w:r>
    </w:p>
    <w:p w:rsidR="00C46EAC" w:rsidRDefault="00C45F6D">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Artículo 6.</w:t>
      </w:r>
      <w:r>
        <w:rPr>
          <w:rFonts w:ascii="Palatino Linotype" w:eastAsiaTheme="minorEastAsia" w:hAnsi="Palatino Linotype" w:cstheme="minorBidi"/>
          <w:i/>
          <w:color w:val="000000" w:themeColor="text1"/>
          <w:sz w:val="22"/>
          <w:szCs w:val="22"/>
          <w:lang w:val="es-ES_tradnl"/>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C46EAC" w:rsidRDefault="00C45F6D">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Artículo 49.</w:t>
      </w:r>
      <w:r>
        <w:rPr>
          <w:rFonts w:ascii="Palatino Linotype" w:eastAsiaTheme="minorEastAsia" w:hAnsi="Palatino Linotype" w:cstheme="minorBidi"/>
          <w:i/>
          <w:color w:val="000000" w:themeColor="text1"/>
          <w:sz w:val="22"/>
          <w:szCs w:val="22"/>
          <w:lang w:val="es-ES_tradnl"/>
        </w:rPr>
        <w:t xml:space="preserve"> Los Comités de Transparencia tendrán las siguientes atribuciones:</w:t>
      </w:r>
    </w:p>
    <w:p w:rsidR="00C46EAC" w:rsidRDefault="00C45F6D">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VIII.</w:t>
      </w:r>
      <w:r>
        <w:rPr>
          <w:rFonts w:ascii="Palatino Linotype" w:eastAsiaTheme="minorEastAsia" w:hAnsi="Palatino Linotype" w:cstheme="minorBidi"/>
          <w:i/>
          <w:color w:val="000000" w:themeColor="text1"/>
          <w:sz w:val="22"/>
          <w:szCs w:val="22"/>
          <w:lang w:val="es-ES_tradnl"/>
        </w:rPr>
        <w:t xml:space="preserve"> Aprobar, modificar o revocar la clasificación de la información…”</w:t>
      </w:r>
    </w:p>
    <w:p w:rsidR="00C46EAC" w:rsidRDefault="00C45F6D">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Artículo 53.</w:t>
      </w:r>
      <w:r>
        <w:rPr>
          <w:rFonts w:ascii="Palatino Linotype" w:eastAsiaTheme="minorEastAsia" w:hAnsi="Palatino Linotype" w:cstheme="minorBidi"/>
          <w:i/>
          <w:color w:val="000000" w:themeColor="text1"/>
          <w:sz w:val="22"/>
          <w:szCs w:val="22"/>
          <w:lang w:val="es-ES_tradnl"/>
        </w:rPr>
        <w:t xml:space="preserve"> Las Unidades de Transparencia tendrán las siguientes funciones:</w:t>
      </w:r>
    </w:p>
    <w:p w:rsidR="00C46EAC" w:rsidRDefault="00C45F6D">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lastRenderedPageBreak/>
        <w:t>X.</w:t>
      </w:r>
      <w:r>
        <w:rPr>
          <w:rFonts w:ascii="Palatino Linotype" w:eastAsiaTheme="minorEastAsia" w:hAnsi="Palatino Linotype" w:cstheme="minorBidi"/>
          <w:i/>
          <w:color w:val="000000" w:themeColor="text1"/>
          <w:sz w:val="22"/>
          <w:szCs w:val="22"/>
          <w:lang w:val="es-ES_tradnl"/>
        </w:rPr>
        <w:t xml:space="preserve"> Presentar ante el Comité, el proyecto de clasificación de información…” </w:t>
      </w:r>
    </w:p>
    <w:p w:rsidR="00C46EAC" w:rsidRDefault="00C45F6D">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Artículo 59.</w:t>
      </w:r>
      <w:r>
        <w:rPr>
          <w:rFonts w:ascii="Palatino Linotype" w:eastAsiaTheme="minorEastAsia" w:hAnsi="Palatino Linotype" w:cstheme="minorBidi"/>
          <w:i/>
          <w:color w:val="000000" w:themeColor="text1"/>
          <w:sz w:val="22"/>
          <w:szCs w:val="22"/>
          <w:lang w:val="es-ES_tradnl"/>
        </w:rPr>
        <w:t xml:space="preserve"> Los servidores públicos habilitados tendrán las funciones siguientes:</w:t>
      </w:r>
    </w:p>
    <w:p w:rsidR="00C46EAC" w:rsidRDefault="00C45F6D">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V.</w:t>
      </w:r>
      <w:r>
        <w:rPr>
          <w:rFonts w:ascii="Palatino Linotype" w:eastAsiaTheme="minorEastAsia" w:hAnsi="Palatino Linotype" w:cstheme="minorBidi"/>
          <w:i/>
          <w:color w:val="000000" w:themeColor="text1"/>
          <w:sz w:val="22"/>
          <w:szCs w:val="22"/>
          <w:lang w:val="es-ES_tradnl"/>
        </w:rPr>
        <w:t xml:space="preserve"> Integrar y presentar al responsable de la Unidad de Transparencia la propuesta de clasificación de información, la cual tendrá los fundamentos y argumentos en que se basa dicha propuesta…”</w:t>
      </w:r>
    </w:p>
    <w:p w:rsidR="00C46EAC" w:rsidRDefault="00C45F6D">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Artículo 137.</w:t>
      </w:r>
      <w:r>
        <w:rPr>
          <w:rFonts w:ascii="Palatino Linotype" w:eastAsiaTheme="minorEastAsia" w:hAnsi="Palatino Linotype" w:cstheme="minorBidi"/>
          <w:i/>
          <w:color w:val="000000" w:themeColor="text1"/>
          <w:sz w:val="22"/>
          <w:szCs w:val="22"/>
          <w:lang w:val="es-ES_tradnl"/>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C46EAC" w:rsidRDefault="00C45F6D">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Artículo 143.</w:t>
      </w:r>
      <w:r>
        <w:rPr>
          <w:rFonts w:ascii="Palatino Linotype" w:eastAsiaTheme="minorEastAsia" w:hAnsi="Palatino Linotype" w:cstheme="minorBidi"/>
          <w:i/>
          <w:color w:val="000000" w:themeColor="text1"/>
          <w:sz w:val="22"/>
          <w:szCs w:val="22"/>
          <w:lang w:val="es-ES_tradnl"/>
        </w:rPr>
        <w:t xml:space="preserve"> Para los efectos de esta Ley se considera información confidencial, la clasificada como tal, de manera permanente, por su naturaleza, cuando:</w:t>
      </w:r>
    </w:p>
    <w:p w:rsidR="00C46EAC" w:rsidRDefault="00C45F6D">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I.</w:t>
      </w:r>
      <w:r>
        <w:rPr>
          <w:rFonts w:ascii="Palatino Linotype" w:eastAsiaTheme="minorEastAsia" w:hAnsi="Palatino Linotype" w:cstheme="minorBidi"/>
          <w:i/>
          <w:color w:val="000000" w:themeColor="text1"/>
          <w:sz w:val="22"/>
          <w:szCs w:val="22"/>
          <w:lang w:val="es-ES_tradnl"/>
        </w:rPr>
        <w:t xml:space="preserve"> Se refiera a la información privada y los datos personales concernientes a una persona física o jurídico colectiva identificada o identificable…</w:t>
      </w:r>
      <w:r>
        <w:rPr>
          <w:rFonts w:ascii="Palatino Linotype" w:eastAsiaTheme="minorEastAsia" w:hAnsi="Palatino Linotype" w:cstheme="minorBidi"/>
          <w:b/>
          <w:i/>
          <w:color w:val="000000" w:themeColor="text1"/>
          <w:sz w:val="22"/>
          <w:szCs w:val="22"/>
          <w:lang w:val="es-ES_tradnl"/>
        </w:rPr>
        <w:t>”</w:t>
      </w:r>
    </w:p>
    <w:p w:rsidR="00C46EAC" w:rsidRDefault="00C45F6D">
      <w:pPr>
        <w:spacing w:before="240" w:after="240" w:line="360" w:lineRule="auto"/>
        <w:ind w:right="50"/>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 xml:space="preserve">De los citados elementos normativos se denota que el determinar la clasificación de la información que sea peticionada vía acceso a la información pública, es un trabajo en conjunto tanto de los Servidores Públicos Habilitados, como de las Unidades de Transparencia y del Comité de Transparencia del </w:t>
      </w:r>
      <w:r>
        <w:rPr>
          <w:rFonts w:ascii="Palatino Linotype" w:eastAsiaTheme="minorEastAsia" w:hAnsi="Palatino Linotype" w:cstheme="minorBidi"/>
          <w:b/>
          <w:color w:val="000000" w:themeColor="text1"/>
          <w:lang w:val="es-ES_tradnl"/>
        </w:rPr>
        <w:t>SUJETO OBLIGADO</w:t>
      </w:r>
      <w:r>
        <w:rPr>
          <w:rFonts w:ascii="Palatino Linotype" w:eastAsiaTheme="minorEastAsia" w:hAnsi="Palatino Linotype" w:cstheme="minorBidi"/>
          <w:color w:val="000000" w:themeColor="text1"/>
          <w:lang w:val="es-ES_tradnl"/>
        </w:rPr>
        <w:t>, teniendo el deber los primeros de ellos de presentar ante la Unidad de Transparencia la propuesta de la clasificación de la información, para que luego, ésta la presente ante al Comité de Transparencia, de así resultar procedente el proyecto de clasificación de la información y finalmente sea éste último quien apruebe, modifique o revoque la clasificación de la información solicitada.</w:t>
      </w:r>
    </w:p>
    <w:p w:rsidR="00C46EAC" w:rsidRDefault="00C45F6D">
      <w:pPr>
        <w:spacing w:before="240" w:after="240" w:line="360" w:lineRule="auto"/>
        <w:ind w:right="50"/>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Para lo cual, a su vez en el caso de información de carácter confidencial se debe atender a lo que señala el artículo 149 de la Ley de Transparencia Local vigente, cuyo contenido es de la literalidad siguiente:</w:t>
      </w:r>
    </w:p>
    <w:p w:rsidR="00C46EAC" w:rsidRDefault="00C45F6D">
      <w:pPr>
        <w:spacing w:after="120" w:line="264" w:lineRule="auto"/>
        <w:ind w:left="851" w:right="899"/>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lastRenderedPageBreak/>
        <w:t>“Artículo 149.</w:t>
      </w:r>
      <w:r>
        <w:rPr>
          <w:rFonts w:ascii="Palatino Linotype" w:eastAsiaTheme="minorEastAsia" w:hAnsi="Palatino Linotype" w:cstheme="minorBidi"/>
          <w:i/>
          <w:color w:val="000000" w:themeColor="text1"/>
          <w:sz w:val="22"/>
          <w:szCs w:val="22"/>
          <w:lang w:val="es-ES_tradnl"/>
        </w:rPr>
        <w:t xml:space="preserve"> El acuerdo que clasifique la información como confidencial deberá contener un razonamiento lógico en el que demuestre que la información se encuentra en alguna o algunas de las hipótesis previstas en la presente Ley.</w:t>
      </w:r>
      <w:r>
        <w:rPr>
          <w:rFonts w:ascii="Palatino Linotype" w:eastAsiaTheme="minorEastAsia" w:hAnsi="Palatino Linotype" w:cstheme="minorBidi"/>
          <w:b/>
          <w:i/>
          <w:color w:val="000000" w:themeColor="text1"/>
          <w:sz w:val="22"/>
          <w:szCs w:val="22"/>
          <w:lang w:val="es-ES_tradnl"/>
        </w:rPr>
        <w:t>”</w:t>
      </w:r>
    </w:p>
    <w:p w:rsidR="00C46EAC" w:rsidRDefault="00C45F6D">
      <w:pPr>
        <w:spacing w:before="240" w:after="240" w:line="360" w:lineRule="auto"/>
        <w:ind w:right="50"/>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 xml:space="preserve">Es decir, </w:t>
      </w:r>
      <w:r>
        <w:rPr>
          <w:rFonts w:ascii="Palatino Linotype" w:eastAsiaTheme="minorEastAsia" w:hAnsi="Palatino Linotype" w:cstheme="minorBidi"/>
          <w:b/>
          <w:color w:val="000000" w:themeColor="text1"/>
          <w:lang w:val="es-ES_tradnl"/>
        </w:rPr>
        <w:t>EL SUJETO OBLIGADO</w:t>
      </w:r>
      <w:r>
        <w:rPr>
          <w:rFonts w:ascii="Palatino Linotype" w:eastAsiaTheme="minorEastAsia" w:hAnsi="Palatino Linotype" w:cstheme="minorBidi"/>
          <w:color w:val="000000" w:themeColor="text1"/>
          <w:lang w:val="es-ES_tradnl"/>
        </w:rPr>
        <w:t xml:space="preserve"> a través de su Comité de Transparencia, para la entrega de la información materia del presente recurso; deberá elaborar un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transgrediendo el derecho de acceso a la información del solicitante.</w:t>
      </w:r>
    </w:p>
    <w:p w:rsidR="00C46EAC" w:rsidRDefault="00C45F6D">
      <w:pPr>
        <w:spacing w:before="240" w:after="240" w:line="360" w:lineRule="auto"/>
        <w:ind w:right="50"/>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 xml:space="preserve">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como pudieran ser de manera enunciativa más no limitativa, la Clave Única de Registro de Población (CURP), así como, los números de Cuenta Bancarios y los Códigos QR que sean exclusivamente de particulares; cabe destacar que el RFC de proveedores debe ser público. </w:t>
      </w:r>
    </w:p>
    <w:p w:rsidR="00C46EAC" w:rsidRDefault="00C45F6D">
      <w:pPr>
        <w:spacing w:before="240" w:after="240" w:line="360" w:lineRule="auto"/>
        <w:ind w:right="50"/>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lastRenderedPageBreak/>
        <w:t>En cuanto a la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C46EAC" w:rsidRDefault="00C45F6D">
      <w:pPr>
        <w:spacing w:before="240" w:after="240" w:line="360" w:lineRule="auto"/>
        <w:ind w:right="50"/>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 xml:space="preserve">Argumento que es compartido por el Instituto Nacional de Transparencia, Acceso a la Información y Protección de Datos Personales (INAI), conforme al criterio número 18/2017, el cual refiere: </w:t>
      </w:r>
    </w:p>
    <w:p w:rsidR="00C46EAC" w:rsidRDefault="00C45F6D">
      <w:pPr>
        <w:spacing w:after="120"/>
        <w:ind w:left="851" w:right="899"/>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i/>
          <w:color w:val="000000" w:themeColor="text1"/>
          <w:sz w:val="22"/>
          <w:szCs w:val="22"/>
          <w:lang w:val="es-ES_tradnl"/>
        </w:rPr>
        <w:t>“Clave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C46EAC" w:rsidRDefault="00C46EAC">
      <w:pPr>
        <w:spacing w:after="120"/>
        <w:ind w:left="851" w:right="899"/>
        <w:jc w:val="both"/>
        <w:rPr>
          <w:rFonts w:ascii="Palatino Linotype" w:eastAsiaTheme="minorEastAsia" w:hAnsi="Palatino Linotype" w:cstheme="minorBidi"/>
          <w:i/>
          <w:color w:val="000000" w:themeColor="text1"/>
          <w:sz w:val="22"/>
          <w:szCs w:val="22"/>
          <w:lang w:val="es-ES_tradnl"/>
        </w:rPr>
      </w:pPr>
    </w:p>
    <w:p w:rsidR="00C46EAC" w:rsidRDefault="00C45F6D">
      <w:pPr>
        <w:spacing w:after="120"/>
        <w:ind w:left="851" w:right="899"/>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i/>
          <w:color w:val="000000" w:themeColor="text1"/>
          <w:sz w:val="22"/>
          <w:szCs w:val="22"/>
          <w:lang w:val="es-ES_tradnl"/>
        </w:rPr>
        <w:t>Resoluciones:</w:t>
      </w:r>
    </w:p>
    <w:p w:rsidR="00C46EAC" w:rsidRDefault="00C45F6D">
      <w:pPr>
        <w:spacing w:after="120"/>
        <w:ind w:left="851" w:right="899"/>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i/>
          <w:color w:val="000000" w:themeColor="text1"/>
          <w:sz w:val="22"/>
          <w:szCs w:val="22"/>
          <w:lang w:val="es-ES_tradnl"/>
        </w:rPr>
        <w:t>•</w:t>
      </w:r>
      <w:r>
        <w:rPr>
          <w:rFonts w:ascii="Palatino Linotype" w:eastAsiaTheme="minorEastAsia" w:hAnsi="Palatino Linotype" w:cstheme="minorBidi"/>
          <w:i/>
          <w:color w:val="000000" w:themeColor="text1"/>
          <w:sz w:val="22"/>
          <w:szCs w:val="22"/>
          <w:lang w:val="es-ES_tradnl"/>
        </w:rPr>
        <w:tab/>
        <w:t>RRA 3995/16. Secretaría de la Defensa Nacional. 1 de febrero de 2017. Por unanimidad. Comisionado Ponente Rosendoevgueni Monterrey Chepov.</w:t>
      </w:r>
    </w:p>
    <w:p w:rsidR="00C46EAC" w:rsidRDefault="00C45F6D">
      <w:pPr>
        <w:spacing w:after="120"/>
        <w:ind w:left="851" w:right="899"/>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i/>
          <w:color w:val="000000" w:themeColor="text1"/>
          <w:sz w:val="22"/>
          <w:szCs w:val="22"/>
          <w:lang w:val="es-ES_tradnl"/>
        </w:rPr>
        <w:t>•</w:t>
      </w:r>
      <w:r>
        <w:rPr>
          <w:rFonts w:ascii="Palatino Linotype" w:eastAsiaTheme="minorEastAsia" w:hAnsi="Palatino Linotype" w:cstheme="minorBidi"/>
          <w:i/>
          <w:color w:val="000000" w:themeColor="text1"/>
          <w:sz w:val="22"/>
          <w:szCs w:val="22"/>
          <w:lang w:val="es-ES_tradnl"/>
        </w:rPr>
        <w:tab/>
        <w:t xml:space="preserve">RRA 0937/17. Senado de la República. 15 de marzo de 2017. Por unanimidad. Comisionada Ponente Ximena Puente de la Mora. </w:t>
      </w:r>
    </w:p>
    <w:p w:rsidR="00C46EAC" w:rsidRDefault="00C45F6D">
      <w:pPr>
        <w:spacing w:after="120"/>
        <w:ind w:left="851" w:right="899"/>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i/>
          <w:color w:val="000000" w:themeColor="text1"/>
          <w:sz w:val="22"/>
          <w:szCs w:val="22"/>
          <w:lang w:val="es-ES_tradnl"/>
        </w:rPr>
        <w:t>•</w:t>
      </w:r>
      <w:r>
        <w:rPr>
          <w:rFonts w:ascii="Palatino Linotype" w:eastAsiaTheme="minorEastAsia" w:hAnsi="Palatino Linotype" w:cstheme="minorBidi"/>
          <w:i/>
          <w:color w:val="000000" w:themeColor="text1"/>
          <w:sz w:val="22"/>
          <w:szCs w:val="22"/>
          <w:lang w:val="es-ES_tradnl"/>
        </w:rPr>
        <w:tab/>
        <w:t>RRA 0478/17. Secretaría de Relaciones Exteriores. 26 de abril de 2017. Por unanimidad. Comisionada Ponente Areli Cano Guadiana.”</w:t>
      </w:r>
    </w:p>
    <w:p w:rsidR="00C46EAC" w:rsidRDefault="00C46EAC">
      <w:pPr>
        <w:widowControl w:val="0"/>
        <w:spacing w:before="240" w:after="240" w:line="360" w:lineRule="auto"/>
        <w:contextualSpacing/>
        <w:jc w:val="both"/>
        <w:rPr>
          <w:rFonts w:ascii="Palatino Linotype" w:eastAsiaTheme="minorEastAsia" w:hAnsi="Palatino Linotype" w:cs="Arial"/>
          <w:color w:val="000000" w:themeColor="text1"/>
          <w:lang w:val="es-ES_tradnl"/>
        </w:rPr>
      </w:pPr>
    </w:p>
    <w:p w:rsidR="00C46EAC" w:rsidRDefault="00C45F6D">
      <w:pPr>
        <w:spacing w:before="240" w:after="240" w:line="360" w:lineRule="auto"/>
        <w:ind w:right="50"/>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Igualmente, resulta importante destacar que el número de cuenta bancaria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C46EAC" w:rsidRDefault="00C45F6D">
      <w:pPr>
        <w:spacing w:before="240" w:after="240" w:line="360" w:lineRule="auto"/>
        <w:ind w:right="50"/>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lastRenderedPageBreak/>
        <w:t>Por lo anterior, el número de cuenta bancaria debe ser clasificado como confidencial con fundamento en la fracciones I y II del artículo 143 de la Ley de la Materia de la Entidad; en razón de que, con su difusión se estaría poniendo en riesgo la seguridad de su titular.</w:t>
      </w:r>
    </w:p>
    <w:p w:rsidR="00C46EAC" w:rsidRDefault="00C45F6D">
      <w:pPr>
        <w:spacing w:before="240" w:after="240" w:line="360" w:lineRule="auto"/>
        <w:ind w:right="50"/>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 xml:space="preserve">Además de que, la publicidad de los números de cuenta bancaria,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C46EAC" w:rsidRDefault="00C45F6D">
      <w:pPr>
        <w:spacing w:before="240" w:after="240" w:line="360" w:lineRule="auto"/>
        <w:ind w:right="50"/>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 xml:space="preserve">Es por esta razón que se debe omitir el o los números de cuentas bancarias, en las versiones públicas que de las facturas se hagan, para ser entregadas al no así de los Sujetos Obligados, ya que estas son públicas. </w:t>
      </w:r>
    </w:p>
    <w:p w:rsidR="00C46EAC" w:rsidRDefault="00C45F6D">
      <w:pPr>
        <w:spacing w:before="240" w:after="240" w:line="360" w:lineRule="auto"/>
        <w:ind w:right="51"/>
        <w:jc w:val="both"/>
        <w:rPr>
          <w:rFonts w:ascii="Palatino Linotype" w:eastAsia="Arial Unicode MS" w:hAnsi="Palatino Linotype" w:cs="Arial"/>
          <w:color w:val="000000" w:themeColor="text1"/>
          <w:lang w:val="es-ES_tradnl"/>
        </w:rPr>
      </w:pPr>
      <w:r>
        <w:rPr>
          <w:rFonts w:ascii="Palatino Linotype" w:eastAsiaTheme="minorEastAsia" w:hAnsi="Palatino Linotype" w:cstheme="minorBidi"/>
          <w:color w:val="000000" w:themeColor="text1"/>
          <w:lang w:val="es-ES_tradnl"/>
        </w:rPr>
        <w:t>Lo anterior encuentra sustento a su vez en lo señalado en el criterio 10/13 emitido por el entonces IFAI ahora Instituto Nacional de Transparencia y Acceso a la Información Pública del Estado de México y Municipios, así como en el diverso criterio 11/2017, que a la letra dicen:</w:t>
      </w:r>
    </w:p>
    <w:p w:rsidR="00C46EAC" w:rsidRDefault="00C45F6D">
      <w:pPr>
        <w:ind w:left="851" w:right="902"/>
        <w:jc w:val="center"/>
        <w:rPr>
          <w:rFonts w:ascii="Palatino Linotype" w:eastAsiaTheme="minorEastAsia" w:hAnsi="Palatino Linotype" w:cstheme="minorBidi"/>
          <w:b/>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“CRITERIO 10/13</w:t>
      </w:r>
    </w:p>
    <w:p w:rsidR="00C46EAC" w:rsidRDefault="00C45F6D">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i/>
          <w:color w:val="000000" w:themeColor="text1"/>
          <w:sz w:val="22"/>
          <w:szCs w:val="22"/>
          <w:lang w:val="es-ES_tradnl"/>
        </w:rPr>
        <w:t xml:space="preserve">Número de cuenta bancaria de particulares, personas físicas y morales, constituye información confidencial. De conformidad con lo dispuesto en el artículo 18, fracciones I (personas morales) y II (personas físicas) de la Ley Federal de </w:t>
      </w:r>
      <w:r>
        <w:rPr>
          <w:rFonts w:ascii="Palatino Linotype" w:eastAsiaTheme="minorEastAsia" w:hAnsi="Palatino Linotype" w:cstheme="minorBidi"/>
          <w:i/>
          <w:color w:val="000000" w:themeColor="text1"/>
          <w:sz w:val="22"/>
          <w:szCs w:val="22"/>
          <w:lang w:val="es-ES_tradnl"/>
        </w:rPr>
        <w:lastRenderedPageBreak/>
        <w:t>Transparencia y Acceso a la Información Pública Gubernamental, el número de cuenta bancaria de los particulares es información confidencial por referirse a su patrimonio. A través de dicho número, el cliente puede acceder a la información relacionada con su patrimonio, contenida en las bases de datos de las instituciones bancarias y financieras, en donde se pueden realizar diversas transacciones como son movimientos y consulta de saldos. Por lo anterior, en los casos en que el acceso a documentos conlleve la revelación del número de cuenta bancaria de un particular, deberán elaborarse versiones públicas en las que deberá testarse dicho dato, por tratarse de información</w:t>
      </w:r>
      <w:r>
        <w:rPr>
          <w:rFonts w:ascii="Palatino Linotype" w:eastAsiaTheme="minorEastAsia" w:hAnsi="Palatino Linotype" w:cstheme="minorBidi"/>
          <w:b/>
          <w:i/>
          <w:color w:val="000000" w:themeColor="text1"/>
          <w:sz w:val="22"/>
          <w:szCs w:val="22"/>
          <w:lang w:val="es-ES_tradnl"/>
        </w:rPr>
        <w:t>”</w:t>
      </w:r>
    </w:p>
    <w:p w:rsidR="00C46EAC" w:rsidRDefault="00C46EAC">
      <w:pPr>
        <w:ind w:left="851" w:right="902"/>
        <w:jc w:val="center"/>
        <w:rPr>
          <w:rFonts w:ascii="Palatino Linotype" w:eastAsiaTheme="minorEastAsia" w:hAnsi="Palatino Linotype" w:cstheme="minorBidi"/>
          <w:b/>
          <w:i/>
          <w:color w:val="000000" w:themeColor="text1"/>
          <w:sz w:val="22"/>
          <w:szCs w:val="22"/>
          <w:lang w:val="es-ES_tradnl"/>
        </w:rPr>
      </w:pPr>
    </w:p>
    <w:p w:rsidR="00C46EAC" w:rsidRDefault="00C45F6D">
      <w:pPr>
        <w:ind w:left="851" w:right="902"/>
        <w:jc w:val="center"/>
        <w:rPr>
          <w:rFonts w:ascii="Palatino Linotype" w:eastAsiaTheme="minorEastAsia" w:hAnsi="Palatino Linotype" w:cstheme="minorBidi"/>
          <w:b/>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Criterio 11/2017</w:t>
      </w:r>
    </w:p>
    <w:p w:rsidR="00C46EAC" w:rsidRDefault="00C45F6D">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i/>
          <w:color w:val="000000" w:themeColor="text1"/>
          <w:sz w:val="22"/>
          <w:szCs w:val="22"/>
          <w:lang w:val="es-ES_tradnl"/>
        </w:rPr>
        <w:t>Cuentas bancarias y/o CLABE interbancaria de sujetos obligados que reciben y/o transfieren recursos públicos, son información pública.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C46EAC" w:rsidRDefault="00C46EAC">
      <w:pPr>
        <w:ind w:left="851" w:right="902"/>
        <w:jc w:val="both"/>
        <w:rPr>
          <w:rFonts w:ascii="Palatino Linotype" w:eastAsiaTheme="minorEastAsia" w:hAnsi="Palatino Linotype" w:cstheme="minorBidi"/>
          <w:i/>
          <w:color w:val="000000" w:themeColor="text1"/>
          <w:sz w:val="22"/>
          <w:szCs w:val="22"/>
          <w:lang w:val="es-ES_tradnl"/>
        </w:rPr>
      </w:pPr>
    </w:p>
    <w:p w:rsidR="00C46EAC" w:rsidRDefault="00C45F6D">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i/>
          <w:color w:val="000000" w:themeColor="text1"/>
          <w:sz w:val="22"/>
          <w:szCs w:val="22"/>
          <w:lang w:val="es-ES_tradnl"/>
        </w:rPr>
        <w:t>Resoluciones:</w:t>
      </w:r>
    </w:p>
    <w:p w:rsidR="00C46EAC" w:rsidRDefault="00C46EAC">
      <w:pPr>
        <w:ind w:left="851" w:right="902"/>
        <w:jc w:val="both"/>
        <w:rPr>
          <w:rFonts w:ascii="Palatino Linotype" w:eastAsiaTheme="minorEastAsia" w:hAnsi="Palatino Linotype" w:cstheme="minorBidi"/>
          <w:i/>
          <w:color w:val="000000" w:themeColor="text1"/>
          <w:sz w:val="22"/>
          <w:szCs w:val="22"/>
          <w:lang w:val="es-ES_tradnl"/>
        </w:rPr>
      </w:pPr>
    </w:p>
    <w:p w:rsidR="00C46EAC" w:rsidRDefault="00C45F6D">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i/>
          <w:color w:val="000000" w:themeColor="text1"/>
          <w:sz w:val="22"/>
          <w:szCs w:val="22"/>
          <w:lang w:val="es-ES_tradnl"/>
        </w:rPr>
        <w:t> RRA 0448/16. NOTIMEX, Agencia de Noticias del Estado Mexicano. 24 de agosto de 2016. Por unanimidad. Comisionado Ponente Joel Salas Suárez.</w:t>
      </w:r>
    </w:p>
    <w:p w:rsidR="00C46EAC" w:rsidRDefault="00C45F6D">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i/>
          <w:color w:val="000000" w:themeColor="text1"/>
          <w:sz w:val="22"/>
          <w:szCs w:val="22"/>
          <w:lang w:val="es-ES_tradnl"/>
        </w:rPr>
        <w:t> RRA 2787/16. Colegio de Postgraduados. 01 de noviembre de 2016. Por unanimidad. Comisionado Ponente Francisco Javier Acuña Llamas.</w:t>
      </w:r>
    </w:p>
    <w:p w:rsidR="00C46EAC" w:rsidRDefault="00C45F6D">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i/>
          <w:color w:val="000000" w:themeColor="text1"/>
          <w:sz w:val="22"/>
          <w:szCs w:val="22"/>
          <w:lang w:val="es-ES_tradnl"/>
        </w:rPr>
        <w:t> RRA 4756/16. Instituto Mexicano del Seguro Social. 08 de febrero de 2017. Por unanimidad. Comisionado Ponente Oscar Mauricio Guerra Ford.</w:t>
      </w:r>
    </w:p>
    <w:p w:rsidR="00C46EAC" w:rsidRDefault="00C46EAC">
      <w:pPr>
        <w:spacing w:line="360" w:lineRule="auto"/>
        <w:jc w:val="both"/>
        <w:rPr>
          <w:rFonts w:ascii="Palatino Linotype" w:hAnsi="Palatino Linotype" w:cs="Arial"/>
          <w:color w:val="000000" w:themeColor="text1"/>
          <w:sz w:val="22"/>
        </w:rPr>
      </w:pPr>
    </w:p>
    <w:p w:rsidR="00C46EAC" w:rsidRDefault="00C45F6D">
      <w:pPr>
        <w:spacing w:line="360" w:lineRule="auto"/>
        <w:jc w:val="both"/>
        <w:rPr>
          <w:rFonts w:ascii="Palatino Linotype" w:hAnsi="Palatino Linotype" w:cs="Arial"/>
          <w:color w:val="000000" w:themeColor="text1"/>
          <w:lang w:val="es-ES"/>
        </w:rPr>
      </w:pPr>
      <w:r>
        <w:rPr>
          <w:rFonts w:ascii="Palatino Linotype" w:hAnsi="Palatino Linotype" w:cs="Arial"/>
          <w:color w:val="000000" w:themeColor="text1"/>
          <w:lang w:val="es-ES"/>
        </w:rPr>
        <w:t xml:space="preserve">Por lo tanto, la entrega de documentos en su versión pública debe acompañarse necesariamente del Acuerdo del Comité de Transparencia del </w:t>
      </w:r>
      <w:r>
        <w:rPr>
          <w:rFonts w:ascii="Palatino Linotype" w:hAnsi="Palatino Linotype" w:cs="Arial"/>
          <w:b/>
          <w:color w:val="000000" w:themeColor="text1"/>
          <w:lang w:val="es-ES"/>
        </w:rPr>
        <w:t xml:space="preserve">SUJETO OBLIGADO </w:t>
      </w:r>
      <w:r>
        <w:rPr>
          <w:rFonts w:ascii="Palatino Linotype" w:hAnsi="Palatino Linotype" w:cs="Arial"/>
          <w:color w:val="000000" w:themeColor="text1"/>
          <w:lang w:val="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w:t>
      </w:r>
      <w:r>
        <w:rPr>
          <w:rFonts w:ascii="Palatino Linotype" w:hAnsi="Palatino Linotype" w:cs="Arial"/>
          <w:color w:val="000000" w:themeColor="text1"/>
          <w:lang w:val="es-ES"/>
        </w:rPr>
        <w:lastRenderedPageBreak/>
        <w:t>porque no aparecen en la documentación respectiva, es decir, si no se exponen de manera puntual las razones de ello se estaría violentando desde un inicio el derecho de acceso a la información del solicitante.</w:t>
      </w:r>
    </w:p>
    <w:p w:rsidR="00C46EAC" w:rsidRDefault="00C46EAC">
      <w:pPr>
        <w:spacing w:line="360" w:lineRule="auto"/>
        <w:jc w:val="both"/>
        <w:rPr>
          <w:rFonts w:ascii="Palatino Linotype" w:hAnsi="Palatino Linotype" w:cs="Arial"/>
          <w:color w:val="000000" w:themeColor="text1"/>
          <w:lang w:val="es-ES"/>
        </w:rPr>
      </w:pPr>
    </w:p>
    <w:p w:rsidR="00C46EAC" w:rsidRDefault="00C45F6D">
      <w:pPr>
        <w:spacing w:line="360" w:lineRule="auto"/>
        <w:jc w:val="both"/>
        <w:rPr>
          <w:rFonts w:ascii="Palatino Linotype" w:hAnsi="Palatino Linotype" w:cs="Arial"/>
          <w:color w:val="000000" w:themeColor="text1"/>
          <w:lang w:val="es-ES"/>
        </w:rPr>
      </w:pPr>
      <w:r>
        <w:rPr>
          <w:rFonts w:ascii="Palatino Linotype" w:hAnsi="Palatino Linotype" w:cs="Arial"/>
          <w:color w:val="000000" w:themeColor="text1"/>
          <w:lang w:val="es-ES"/>
        </w:rPr>
        <w:t>Finalmente, es importante abordar que el particular también requirió conocer la información solicitada de los organismos descentralizados y desconcentrados y de acuerdo con el artículo 38 del Bando Municipal 2019 del Ayuntamiento de Cuautitlán Izcalli, Estado de México</w:t>
      </w:r>
      <w:r>
        <w:rPr>
          <w:rStyle w:val="Ancladenotaalpie"/>
          <w:rFonts w:ascii="Palatino Linotype" w:hAnsi="Palatino Linotype" w:cs="Arial"/>
          <w:color w:val="000000" w:themeColor="text1"/>
          <w:lang w:val="es-ES"/>
        </w:rPr>
        <w:footnoteReference w:id="3"/>
      </w:r>
      <w:r>
        <w:rPr>
          <w:rFonts w:ascii="Palatino Linotype" w:hAnsi="Palatino Linotype" w:cs="Arial"/>
          <w:color w:val="000000" w:themeColor="text1"/>
          <w:lang w:val="es-ES"/>
        </w:rPr>
        <w:t>; la Administración Pública Municipal está conformada por dependencias, órganos desconcentrados y entidades, tal y como se observa a continuación:</w:t>
      </w:r>
    </w:p>
    <w:p w:rsidR="00C46EAC" w:rsidRDefault="00C45F6D">
      <w:pPr>
        <w:spacing w:line="360" w:lineRule="auto"/>
        <w:jc w:val="both"/>
        <w:rPr>
          <w:rFonts w:ascii="Palatino Linotype" w:hAnsi="Palatino Linotype" w:cs="Arial"/>
          <w:color w:val="000000" w:themeColor="text1"/>
          <w:lang w:val="es-ES"/>
        </w:rPr>
      </w:pPr>
      <w:r>
        <w:rPr>
          <w:noProof/>
          <w:lang w:eastAsia="es-MX"/>
        </w:rPr>
        <w:drawing>
          <wp:inline distT="0" distB="0" distL="0" distR="0">
            <wp:extent cx="5676900" cy="838200"/>
            <wp:effectExtent l="0" t="0" r="0" b="0"/>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5"/>
                    <pic:cNvPicPr>
                      <a:picLocks noChangeAspect="1" noChangeArrowheads="1"/>
                    </pic:cNvPicPr>
                  </pic:nvPicPr>
                  <pic:blipFill>
                    <a:blip r:embed="rId16"/>
                    <a:srcRect l="13158" t="30034" r="14812" b="55920"/>
                    <a:stretch>
                      <a:fillRect/>
                    </a:stretch>
                  </pic:blipFill>
                  <pic:spPr bwMode="auto">
                    <a:xfrm>
                      <a:off x="0" y="0"/>
                      <a:ext cx="5676900" cy="838200"/>
                    </a:xfrm>
                    <a:prstGeom prst="rect">
                      <a:avLst/>
                    </a:prstGeom>
                  </pic:spPr>
                </pic:pic>
              </a:graphicData>
            </a:graphic>
          </wp:inline>
        </w:drawing>
      </w:r>
    </w:p>
    <w:p w:rsidR="00C46EAC" w:rsidRDefault="00C45F6D">
      <w:pPr>
        <w:spacing w:line="360" w:lineRule="auto"/>
        <w:jc w:val="both"/>
        <w:rPr>
          <w:rFonts w:ascii="Palatino Linotype" w:hAnsi="Palatino Linotype" w:cs="Arial"/>
          <w:color w:val="000000" w:themeColor="text1"/>
          <w:lang w:val="es-ES"/>
        </w:rPr>
      </w:pPr>
      <w:r>
        <w:rPr>
          <w:noProof/>
          <w:lang w:eastAsia="es-MX"/>
        </w:rPr>
        <w:drawing>
          <wp:inline distT="0" distB="0" distL="0" distR="0">
            <wp:extent cx="5667375" cy="2743200"/>
            <wp:effectExtent l="0" t="0" r="0" b="0"/>
            <wp:docPr id="1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3"/>
                    <pic:cNvPicPr>
                      <a:picLocks noChangeAspect="1" noChangeArrowheads="1"/>
                    </pic:cNvPicPr>
                  </pic:nvPicPr>
                  <pic:blipFill>
                    <a:blip r:embed="rId17"/>
                    <a:srcRect l="13158" t="30251" r="14974" b="28071"/>
                    <a:stretch>
                      <a:fillRect/>
                    </a:stretch>
                  </pic:blipFill>
                  <pic:spPr bwMode="auto">
                    <a:xfrm>
                      <a:off x="0" y="0"/>
                      <a:ext cx="5667375" cy="2743200"/>
                    </a:xfrm>
                    <a:prstGeom prst="rect">
                      <a:avLst/>
                    </a:prstGeom>
                  </pic:spPr>
                </pic:pic>
              </a:graphicData>
            </a:graphic>
          </wp:inline>
        </w:drawing>
      </w:r>
    </w:p>
    <w:p w:rsidR="00C46EAC" w:rsidRDefault="00C45F6D">
      <w:pPr>
        <w:spacing w:line="360" w:lineRule="auto"/>
        <w:jc w:val="both"/>
        <w:rPr>
          <w:rFonts w:ascii="Palatino Linotype" w:hAnsi="Palatino Linotype"/>
        </w:rPr>
      </w:pPr>
      <w:r>
        <w:rPr>
          <w:rFonts w:ascii="Palatino Linotype" w:hAnsi="Palatino Linotype" w:cs="Arial"/>
        </w:rPr>
        <w:lastRenderedPageBreak/>
        <w:t xml:space="preserve">Atento a lo anterior, es importante precisar que en fecha veintisiete de noviembre de dos mil diecisiete, se publicó en el Periódico Oficial “Gaceta del Gobierno” </w:t>
      </w:r>
      <w:r>
        <w:rPr>
          <w:rFonts w:ascii="Palatino Linotype" w:hAnsi="Palatino Linotype" w:cs="Arial"/>
          <w:i/>
        </w:rPr>
        <w:t>el Acuerdo mediante el cual el Pleno del Instituto de Transparencia, Acceso a la Información Pública y Protección</w:t>
      </w:r>
      <w:r>
        <w:rPr>
          <w:rFonts w:ascii="Palatino Linotype" w:eastAsiaTheme="minorHAnsi" w:hAnsi="Palatino Linotype"/>
          <w:i/>
          <w:lang w:eastAsia="en-US"/>
        </w:rPr>
        <w:t xml:space="preserve"> de Datos Personales del Estado de México y Municipios, modifica el Padrón de Sujetos Obligados en Materia de Transparencia y Acceso a la Información Pública del Estado de México y Municipios,</w:t>
      </w:r>
      <w:r>
        <w:rPr>
          <w:rFonts w:ascii="Palatino Linotype" w:eastAsiaTheme="minorHAnsi" w:hAnsi="Palatino Linotype"/>
          <w:lang w:eastAsia="en-US"/>
        </w:rPr>
        <w:t xml:space="preserve"> entrando en vigor al día siguiente de su publicación; esto es, el veintiocho de noviembre de dos mil diecisiete; documento en el cual, se advierte como Sujetos Obligados al</w:t>
      </w:r>
      <w:r>
        <w:rPr>
          <w:rFonts w:ascii="Palatino Linotype" w:hAnsi="Palatino Linotype"/>
        </w:rPr>
        <w:t xml:space="preserve"> </w:t>
      </w:r>
      <w:r>
        <w:rPr>
          <w:rFonts w:ascii="Palatino Linotype" w:hAnsi="Palatino Linotype"/>
          <w:b/>
        </w:rPr>
        <w:t>Organismo Público Descentralizado Municipal para la Prestación de los Servicios de Agua Potable, Alcantarillado y Saneamiento de Cuautitlán Izcalli denominado OPERAGUA, O.P.D.M</w:t>
      </w:r>
      <w:r>
        <w:rPr>
          <w:rFonts w:ascii="Palatino Linotype" w:hAnsi="Palatino Linotype"/>
        </w:rPr>
        <w:t xml:space="preserve">. y al </w:t>
      </w:r>
      <w:r>
        <w:rPr>
          <w:rFonts w:ascii="Palatino Linotype" w:eastAsiaTheme="minorHAnsi" w:hAnsi="Palatino Linotype"/>
          <w:b/>
          <w:lang w:eastAsia="en-US"/>
        </w:rPr>
        <w:t>Sistema Municipal para el Desarrollo Integral de la Familia de</w:t>
      </w:r>
      <w:r>
        <w:rPr>
          <w:rFonts w:ascii="Palatino Linotype" w:hAnsi="Palatino Linotype"/>
        </w:rPr>
        <w:t xml:space="preserve"> </w:t>
      </w:r>
      <w:r>
        <w:rPr>
          <w:rFonts w:ascii="Palatino Linotype" w:eastAsiaTheme="minorHAnsi" w:hAnsi="Palatino Linotype"/>
          <w:b/>
          <w:lang w:eastAsia="en-US"/>
        </w:rPr>
        <w:t>Cuautitlán Izcalli</w:t>
      </w:r>
      <w:r>
        <w:rPr>
          <w:rFonts w:ascii="Palatino Linotype" w:eastAsiaTheme="minorHAnsi" w:hAnsi="Palatino Linotype"/>
          <w:lang w:eastAsia="en-US"/>
        </w:rPr>
        <w:t>; tal y como, se muestra a continuación:</w:t>
      </w:r>
      <w:r>
        <w:rPr>
          <w:rFonts w:ascii="Palatino Linotype" w:hAnsi="Palatino Linotype" w:cs="Arial"/>
        </w:rPr>
        <w:t xml:space="preserve">  </w:t>
      </w:r>
    </w:p>
    <w:p w:rsidR="00C46EAC" w:rsidRDefault="00C45F6D">
      <w:pPr>
        <w:spacing w:line="360" w:lineRule="auto"/>
        <w:jc w:val="both"/>
        <w:rPr>
          <w:rFonts w:ascii="Palatino Linotype" w:hAnsi="Palatino Linotype" w:cs="Arial"/>
        </w:rPr>
      </w:pPr>
      <w:r>
        <w:rPr>
          <w:noProof/>
          <w:lang w:eastAsia="es-MX"/>
        </w:rPr>
        <w:drawing>
          <wp:inline distT="0" distB="0" distL="0" distR="0">
            <wp:extent cx="5810250" cy="542925"/>
            <wp:effectExtent l="0" t="0" r="0" b="0"/>
            <wp:docPr id="1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4"/>
                    <pic:cNvPicPr>
                      <a:picLocks noChangeAspect="1" noChangeArrowheads="1"/>
                    </pic:cNvPicPr>
                  </pic:nvPicPr>
                  <pic:blipFill>
                    <a:blip r:embed="rId18"/>
                    <a:srcRect l="20061" t="44503" r="21718" b="46708"/>
                    <a:stretch>
                      <a:fillRect/>
                    </a:stretch>
                  </pic:blipFill>
                  <pic:spPr bwMode="auto">
                    <a:xfrm>
                      <a:off x="0" y="0"/>
                      <a:ext cx="5810250" cy="542925"/>
                    </a:xfrm>
                    <a:prstGeom prst="rect">
                      <a:avLst/>
                    </a:prstGeom>
                  </pic:spPr>
                </pic:pic>
              </a:graphicData>
            </a:graphic>
          </wp:inline>
        </w:drawing>
      </w:r>
    </w:p>
    <w:p w:rsidR="00C46EAC" w:rsidRDefault="00C45F6D">
      <w:pPr>
        <w:spacing w:line="360" w:lineRule="auto"/>
        <w:jc w:val="both"/>
        <w:rPr>
          <w:rFonts w:ascii="Palatino Linotype" w:hAnsi="Palatino Linotype" w:cs="Arial"/>
        </w:rPr>
      </w:pPr>
      <w:r>
        <w:rPr>
          <w:noProof/>
          <w:lang w:eastAsia="es-MX"/>
        </w:rPr>
        <w:drawing>
          <wp:inline distT="0" distB="0" distL="0" distR="0">
            <wp:extent cx="5800725" cy="419100"/>
            <wp:effectExtent l="0" t="0" r="0" b="0"/>
            <wp:docPr id="1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5"/>
                    <pic:cNvPicPr>
                      <a:picLocks noChangeAspect="1" noChangeArrowheads="1"/>
                    </pic:cNvPicPr>
                  </pic:nvPicPr>
                  <pic:blipFill>
                    <a:blip r:embed="rId19"/>
                    <a:srcRect l="20061" t="47362" r="22046" b="46491"/>
                    <a:stretch>
                      <a:fillRect/>
                    </a:stretch>
                  </pic:blipFill>
                  <pic:spPr bwMode="auto">
                    <a:xfrm>
                      <a:off x="0" y="0"/>
                      <a:ext cx="5800725" cy="419100"/>
                    </a:xfrm>
                    <a:prstGeom prst="rect">
                      <a:avLst/>
                    </a:prstGeom>
                  </pic:spPr>
                </pic:pic>
              </a:graphicData>
            </a:graphic>
          </wp:inline>
        </w:drawing>
      </w:r>
    </w:p>
    <w:p w:rsidR="00C46EAC" w:rsidRDefault="00C46EAC">
      <w:pPr>
        <w:spacing w:line="360" w:lineRule="auto"/>
        <w:jc w:val="both"/>
        <w:rPr>
          <w:rFonts w:ascii="Palatino Linotype" w:hAnsi="Palatino Linotype" w:cs="Arial"/>
        </w:rPr>
      </w:pPr>
    </w:p>
    <w:p w:rsidR="00C46EAC" w:rsidRDefault="00C45F6D">
      <w:pPr>
        <w:spacing w:line="360" w:lineRule="auto"/>
        <w:jc w:val="both"/>
        <w:rPr>
          <w:rFonts w:ascii="Palatino Linotype" w:hAnsi="Palatino Linotype"/>
          <w:lang w:val="es-ES_tradnl" w:eastAsia="es-MX"/>
        </w:rPr>
      </w:pPr>
      <w:r>
        <w:rPr>
          <w:rFonts w:ascii="Palatino Linotype" w:hAnsi="Palatino Linotype"/>
          <w:lang w:val="es-ES_tradnl" w:eastAsia="es-MX"/>
        </w:rPr>
        <w:t xml:space="preserve">Atendiendo a lo expuesto y derivado de que </w:t>
      </w:r>
      <w:r>
        <w:rPr>
          <w:rFonts w:ascii="Palatino Linotype" w:hAnsi="Palatino Linotype"/>
          <w:b/>
          <w:lang w:val="es-ES_tradnl" w:eastAsia="es-MX"/>
        </w:rPr>
        <w:t xml:space="preserve">EL RECURRENTE </w:t>
      </w:r>
      <w:r>
        <w:rPr>
          <w:rFonts w:ascii="Palatino Linotype" w:hAnsi="Palatino Linotype"/>
          <w:lang w:val="es-ES_tradnl" w:eastAsia="es-MX"/>
        </w:rPr>
        <w:t>requirió información que versa sobre diferentes Sujetos Obligados, lo procedente es dejar a salvo sus derechos a efecto de que formule las solicitudes que considere pertinentes.</w:t>
      </w:r>
    </w:p>
    <w:p w:rsidR="00C46EAC" w:rsidRDefault="00C46EAC">
      <w:pPr>
        <w:spacing w:line="360" w:lineRule="auto"/>
        <w:jc w:val="both"/>
        <w:rPr>
          <w:rFonts w:ascii="Palatino Linotype" w:hAnsi="Palatino Linotype"/>
          <w:lang w:val="es-ES_tradnl" w:eastAsia="es-MX"/>
        </w:rPr>
      </w:pPr>
    </w:p>
    <w:p w:rsidR="00C46EAC" w:rsidRDefault="00C45F6D">
      <w:pPr>
        <w:widowControl w:val="0"/>
        <w:spacing w:line="360" w:lineRule="auto"/>
        <w:contextualSpacing/>
        <w:jc w:val="both"/>
        <w:rPr>
          <w:rFonts w:ascii="Palatino Linotype" w:hAnsi="Palatino Linotype" w:cs="Arial"/>
          <w:color w:val="000000" w:themeColor="text1"/>
        </w:rPr>
      </w:pPr>
      <w:r>
        <w:rPr>
          <w:rFonts w:ascii="Palatino Linotype" w:hAnsi="Palatino Linotype" w:cs="Arial"/>
          <w:color w:val="000000" w:themeColor="text1"/>
        </w:rPr>
        <w:t xml:space="preserve">En atención a todo lo expuesto, y ante lo </w:t>
      </w:r>
      <w:r>
        <w:rPr>
          <w:rFonts w:ascii="Palatino Linotype" w:hAnsi="Palatino Linotype" w:cs="Arial"/>
          <w:b/>
          <w:color w:val="000000" w:themeColor="text1"/>
        </w:rPr>
        <w:t>parcialmente fundado</w:t>
      </w:r>
      <w:r>
        <w:rPr>
          <w:rFonts w:ascii="Palatino Linotype" w:hAnsi="Palatino Linotype" w:cs="Arial"/>
          <w:color w:val="000000" w:themeColor="text1"/>
        </w:rPr>
        <w:t xml:space="preserve"> de las razones o motivos de inconformidad, este Instituto estima que lo procedente es </w:t>
      </w:r>
      <w:r>
        <w:rPr>
          <w:rFonts w:ascii="Palatino Linotype" w:hAnsi="Palatino Linotype" w:cs="Arial"/>
          <w:b/>
          <w:color w:val="000000" w:themeColor="text1"/>
        </w:rPr>
        <w:t xml:space="preserve">REVOCAR </w:t>
      </w:r>
      <w:r>
        <w:rPr>
          <w:rFonts w:ascii="Palatino Linotype" w:hAnsi="Palatino Linotype" w:cs="Arial"/>
          <w:color w:val="000000" w:themeColor="text1"/>
        </w:rPr>
        <w:t xml:space="preserve">la respuesta del </w:t>
      </w:r>
      <w:r>
        <w:rPr>
          <w:rFonts w:ascii="Palatino Linotype" w:hAnsi="Palatino Linotype" w:cs="Arial"/>
          <w:b/>
          <w:color w:val="000000" w:themeColor="text1"/>
        </w:rPr>
        <w:t xml:space="preserve">SUJETO OBLIGADO </w:t>
      </w:r>
      <w:r>
        <w:rPr>
          <w:rFonts w:ascii="Palatino Linotype" w:hAnsi="Palatino Linotype" w:cs="Arial"/>
          <w:color w:val="000000" w:themeColor="text1"/>
        </w:rPr>
        <w:t xml:space="preserve">y ordenar la entrega de la información que ha sido </w:t>
      </w:r>
      <w:r>
        <w:rPr>
          <w:rFonts w:ascii="Palatino Linotype" w:hAnsi="Palatino Linotype" w:cs="Arial"/>
          <w:color w:val="000000" w:themeColor="text1"/>
        </w:rPr>
        <w:lastRenderedPageBreak/>
        <w:t xml:space="preserve">precisada, </w:t>
      </w:r>
      <w:r>
        <w:rPr>
          <w:rFonts w:ascii="Palatino Linotype" w:eastAsia="Calibri" w:hAnsi="Palatino Linotype" w:cs="Arial"/>
          <w:color w:val="000000" w:themeColor="text1"/>
        </w:rPr>
        <w:t xml:space="preserve">de ser procedente en </w:t>
      </w:r>
      <w:r>
        <w:rPr>
          <w:rFonts w:ascii="Palatino Linotype" w:eastAsia="Calibri" w:hAnsi="Palatino Linotype" w:cs="Arial"/>
          <w:b/>
          <w:color w:val="000000" w:themeColor="text1"/>
        </w:rPr>
        <w:t>versión pública</w:t>
      </w:r>
      <w:r>
        <w:rPr>
          <w:rFonts w:ascii="Palatino Linotype" w:eastAsia="Calibri" w:hAnsi="Palatino Linotype" w:cs="Arial"/>
          <w:color w:val="000000" w:themeColor="text1"/>
        </w:rPr>
        <w:t>.</w:t>
      </w:r>
      <w:r>
        <w:rPr>
          <w:rFonts w:ascii="Palatino Linotype" w:eastAsia="Calibri" w:hAnsi="Palatino Linotype" w:cs="Arial"/>
        </w:rPr>
        <w:t xml:space="preserve"> </w:t>
      </w:r>
    </w:p>
    <w:p w:rsidR="00C46EAC" w:rsidRDefault="00C46EAC">
      <w:pPr>
        <w:widowControl w:val="0"/>
        <w:spacing w:line="360" w:lineRule="auto"/>
        <w:jc w:val="both"/>
        <w:rPr>
          <w:rFonts w:ascii="Palatino Linotype" w:eastAsia="Calibri" w:hAnsi="Palatino Linotype" w:cs="Arial"/>
        </w:rPr>
      </w:pPr>
    </w:p>
    <w:p w:rsidR="00C46EAC" w:rsidRDefault="00C45F6D">
      <w:pPr>
        <w:widowControl w:val="0"/>
        <w:spacing w:line="360" w:lineRule="auto"/>
        <w:jc w:val="both"/>
        <w:rPr>
          <w:rFonts w:ascii="Palatino Linotype" w:eastAsia="Calibri" w:hAnsi="Palatino Linotype" w:cs="Arial"/>
        </w:rPr>
      </w:pPr>
      <w:r>
        <w:rPr>
          <w:rFonts w:ascii="Palatino Linotype" w:eastAsia="Calibri" w:hAnsi="Palatino Linotype" w:cs="Arial"/>
        </w:rPr>
        <w:t xml:space="preserve">Así, con </w:t>
      </w:r>
      <w:r>
        <w:rPr>
          <w:rFonts w:ascii="Palatino Linotype" w:hAnsi="Palatino Linotype" w:cs="Arial"/>
        </w:rPr>
        <w:t>fundamento</w:t>
      </w:r>
      <w:r>
        <w:rPr>
          <w:rFonts w:ascii="Palatino Linotype" w:eastAsia="Calibri" w:hAnsi="Palatino Linotype" w:cs="Arial"/>
        </w:rPr>
        <w:t xml:space="preserve"> en lo prescrito en los artículos 5, párrafos vigésimo segundo, vigésimo tercero y vigésimo cuarto de la Constitución Política del Estado Libre y Soberano de México; </w:t>
      </w:r>
      <w:r>
        <w:rPr>
          <w:rFonts w:ascii="Palatino Linotype" w:hAnsi="Palatino Linotype"/>
        </w:rPr>
        <w:t>2, fracción II, 19, 29, 36, fracciones I y II, 176, 178, 179, 181, 185, fracción I, 186 y 188</w:t>
      </w:r>
      <w:r>
        <w:rPr>
          <w:rFonts w:ascii="Palatino Linotype" w:eastAsia="Calibri" w:hAnsi="Palatino Linotype" w:cs="Arial"/>
        </w:rPr>
        <w:t xml:space="preserve"> de la Ley de Transparencia y Acceso a la Información Pública del Estado de México y Municipios, este Pleno:</w:t>
      </w:r>
    </w:p>
    <w:p w:rsidR="00C46EAC" w:rsidRPr="00EA2E97" w:rsidRDefault="00C45F6D">
      <w:pPr>
        <w:widowControl w:val="0"/>
        <w:spacing w:beforeAutospacing="1" w:afterAutospacing="1" w:line="360" w:lineRule="auto"/>
        <w:jc w:val="center"/>
        <w:rPr>
          <w:rFonts w:ascii="Palatino Linotype" w:eastAsia="Calibri" w:hAnsi="Palatino Linotype" w:cs="Arial"/>
          <w:lang w:val="pt-BR"/>
        </w:rPr>
      </w:pPr>
      <w:r w:rsidRPr="00EA2E97">
        <w:rPr>
          <w:rFonts w:ascii="Palatino Linotype" w:hAnsi="Palatino Linotype"/>
          <w:b/>
          <w:sz w:val="28"/>
          <w:lang w:val="pt-BR"/>
        </w:rPr>
        <w:t>R E S U E L V E</w:t>
      </w:r>
    </w:p>
    <w:p w:rsidR="00C46EAC" w:rsidRDefault="00C45F6D">
      <w:pPr>
        <w:spacing w:beforeAutospacing="1" w:afterAutospacing="1" w:line="360" w:lineRule="auto"/>
        <w:jc w:val="both"/>
        <w:rPr>
          <w:rFonts w:ascii="Palatino Linotype" w:eastAsia="Calibri" w:hAnsi="Palatino Linotype" w:cs="Arial"/>
        </w:rPr>
      </w:pPr>
      <w:r w:rsidRPr="00EA2E97">
        <w:rPr>
          <w:rFonts w:ascii="Palatino Linotype" w:eastAsia="Calibri" w:hAnsi="Palatino Linotype" w:cs="Arial"/>
          <w:b/>
          <w:sz w:val="28"/>
          <w:lang w:val="pt-BR"/>
        </w:rPr>
        <w:t>PRIMERO</w:t>
      </w:r>
      <w:r w:rsidRPr="00EA2E97">
        <w:rPr>
          <w:rFonts w:ascii="Palatino Linotype" w:eastAsia="Calibri" w:hAnsi="Palatino Linotype" w:cs="Arial"/>
          <w:lang w:val="pt-BR"/>
        </w:rPr>
        <w:t xml:space="preserve">. </w:t>
      </w:r>
      <w:r>
        <w:rPr>
          <w:rFonts w:ascii="Palatino Linotype" w:eastAsia="Calibri" w:hAnsi="Palatino Linotype" w:cs="Arial"/>
        </w:rPr>
        <w:t xml:space="preserve">Resultan </w:t>
      </w:r>
      <w:r>
        <w:rPr>
          <w:rFonts w:ascii="Palatino Linotype" w:eastAsia="Calibri" w:hAnsi="Palatino Linotype" w:cs="Arial"/>
          <w:b/>
        </w:rPr>
        <w:t>parcialmente</w:t>
      </w:r>
      <w:r>
        <w:rPr>
          <w:rFonts w:ascii="Palatino Linotype" w:eastAsia="Calibri" w:hAnsi="Palatino Linotype" w:cs="Arial"/>
        </w:rPr>
        <w:t xml:space="preserve"> </w:t>
      </w:r>
      <w:r>
        <w:rPr>
          <w:rFonts w:ascii="Palatino Linotype" w:eastAsia="Calibri" w:hAnsi="Palatino Linotype" w:cs="Arial"/>
          <w:b/>
        </w:rPr>
        <w:t xml:space="preserve">fundadas </w:t>
      </w:r>
      <w:r>
        <w:rPr>
          <w:rFonts w:ascii="Palatino Linotype" w:eastAsia="Calibri" w:hAnsi="Palatino Linotype" w:cs="Arial"/>
        </w:rPr>
        <w:t xml:space="preserve">las razones o motivos de inconformidad planteadas por </w:t>
      </w:r>
      <w:r>
        <w:rPr>
          <w:rFonts w:ascii="Palatino Linotype" w:eastAsia="Calibri" w:hAnsi="Palatino Linotype" w:cs="Arial"/>
          <w:b/>
        </w:rPr>
        <w:t>EL RECURRENTE</w:t>
      </w:r>
      <w:r>
        <w:rPr>
          <w:rFonts w:ascii="Palatino Linotype" w:eastAsia="Calibri" w:hAnsi="Palatino Linotype" w:cs="Arial"/>
        </w:rPr>
        <w:t xml:space="preserve">, en términos del Considerando </w:t>
      </w:r>
      <w:r>
        <w:rPr>
          <w:rFonts w:ascii="Palatino Linotype" w:eastAsia="Calibri" w:hAnsi="Palatino Linotype" w:cs="Arial"/>
          <w:b/>
        </w:rPr>
        <w:t>QUINTO</w:t>
      </w:r>
      <w:r>
        <w:rPr>
          <w:rFonts w:ascii="Palatino Linotype" w:eastAsia="Calibri" w:hAnsi="Palatino Linotype" w:cs="Arial"/>
        </w:rPr>
        <w:t xml:space="preserve"> de la presente resolución.</w:t>
      </w:r>
    </w:p>
    <w:p w:rsidR="00C46EAC" w:rsidRDefault="00C45F6D">
      <w:pPr>
        <w:spacing w:beforeAutospacing="1" w:afterAutospacing="1" w:line="360" w:lineRule="auto"/>
        <w:jc w:val="both"/>
        <w:rPr>
          <w:rFonts w:ascii="Palatino Linotype" w:eastAsia="Calibri" w:hAnsi="Palatino Linotype" w:cs="Arial"/>
        </w:rPr>
      </w:pPr>
      <w:r>
        <w:rPr>
          <w:rFonts w:ascii="Palatino Linotype" w:eastAsia="Calibri" w:hAnsi="Palatino Linotype" w:cs="Arial"/>
          <w:b/>
          <w:sz w:val="28"/>
        </w:rPr>
        <w:t>SEGUNDO</w:t>
      </w:r>
      <w:r>
        <w:rPr>
          <w:rFonts w:ascii="Palatino Linotype" w:eastAsia="Calibri" w:hAnsi="Palatino Linotype" w:cs="Arial"/>
        </w:rPr>
        <w:t xml:space="preserve">. Se </w:t>
      </w:r>
      <w:r>
        <w:rPr>
          <w:rFonts w:ascii="Palatino Linotype" w:eastAsia="Calibri" w:hAnsi="Palatino Linotype" w:cs="Arial"/>
          <w:b/>
        </w:rPr>
        <w:t xml:space="preserve">REVOCA </w:t>
      </w:r>
      <w:r>
        <w:rPr>
          <w:rFonts w:ascii="Palatino Linotype" w:eastAsia="Calibri" w:hAnsi="Palatino Linotype" w:cs="Arial"/>
        </w:rPr>
        <w:t xml:space="preserve">la respuesta otorgada por </w:t>
      </w:r>
      <w:r>
        <w:rPr>
          <w:rFonts w:ascii="Palatino Linotype" w:eastAsia="Calibri" w:hAnsi="Palatino Linotype" w:cs="Arial"/>
          <w:b/>
        </w:rPr>
        <w:t>EL SUJETO OBLIGADO</w:t>
      </w:r>
      <w:r>
        <w:rPr>
          <w:rFonts w:ascii="Palatino Linotype" w:eastAsia="Calibri" w:hAnsi="Palatino Linotype" w:cs="Arial"/>
        </w:rPr>
        <w:t xml:space="preserve"> a la solicitud de información motivo del recurso de revisión </w:t>
      </w:r>
      <w:r>
        <w:rPr>
          <w:rFonts w:ascii="Palatino Linotype" w:eastAsia="Calibri" w:hAnsi="Palatino Linotype" w:cs="Arial"/>
          <w:b/>
        </w:rPr>
        <w:t>01277/INFOEM/IP/RR/2020</w:t>
      </w:r>
      <w:r>
        <w:rPr>
          <w:rFonts w:ascii="Palatino Linotype" w:eastAsia="Calibri" w:hAnsi="Palatino Linotype" w:cs="Arial"/>
        </w:rPr>
        <w:t xml:space="preserve"> y se le ordena en términos del Considerando </w:t>
      </w:r>
      <w:r>
        <w:rPr>
          <w:rFonts w:ascii="Palatino Linotype" w:eastAsia="Calibri" w:hAnsi="Palatino Linotype" w:cs="Arial"/>
          <w:b/>
        </w:rPr>
        <w:t>QUINTO</w:t>
      </w:r>
      <w:r>
        <w:rPr>
          <w:rFonts w:ascii="Palatino Linotype" w:eastAsia="Calibri" w:hAnsi="Palatino Linotype" w:cs="Arial"/>
        </w:rPr>
        <w:t xml:space="preserve"> de la presente resolución, entregue al </w:t>
      </w:r>
      <w:r>
        <w:rPr>
          <w:rFonts w:ascii="Palatino Linotype" w:eastAsia="Calibri" w:hAnsi="Palatino Linotype" w:cs="Arial"/>
          <w:b/>
        </w:rPr>
        <w:t>RECURRENTE</w:t>
      </w:r>
      <w:r>
        <w:rPr>
          <w:rFonts w:ascii="Palatino Linotype" w:eastAsia="Calibri" w:hAnsi="Palatino Linotype" w:cs="Arial"/>
        </w:rPr>
        <w:t xml:space="preserve">, vía </w:t>
      </w:r>
      <w:r>
        <w:rPr>
          <w:rFonts w:ascii="Palatino Linotype" w:eastAsia="Calibri" w:hAnsi="Palatino Linotype" w:cs="Arial"/>
          <w:b/>
        </w:rPr>
        <w:t>SAIMEX y correo electrónico</w:t>
      </w:r>
      <w:r>
        <w:rPr>
          <w:rFonts w:ascii="Palatino Linotype" w:eastAsia="Calibri" w:hAnsi="Palatino Linotype" w:cs="Arial"/>
        </w:rPr>
        <w:t xml:space="preserve">, de ser procedente en </w:t>
      </w:r>
      <w:r>
        <w:rPr>
          <w:rFonts w:ascii="Palatino Linotype" w:eastAsia="Calibri" w:hAnsi="Palatino Linotype" w:cs="Arial"/>
          <w:b/>
        </w:rPr>
        <w:t>versión pública</w:t>
      </w:r>
      <w:r>
        <w:rPr>
          <w:rFonts w:ascii="Palatino Linotype" w:eastAsia="Calibri" w:hAnsi="Palatino Linotype" w:cs="Arial"/>
        </w:rPr>
        <w:t xml:space="preserve"> de lo siguiente:</w:t>
      </w:r>
    </w:p>
    <w:p w:rsidR="00C46EAC" w:rsidRDefault="00C45F6D">
      <w:pPr>
        <w:ind w:left="709" w:right="902"/>
        <w:jc w:val="both"/>
        <w:rPr>
          <w:rFonts w:ascii="Palatino Linotype" w:hAnsi="Palatino Linotype"/>
          <w:i/>
          <w:sz w:val="22"/>
          <w:szCs w:val="22"/>
        </w:rPr>
      </w:pPr>
      <w:r>
        <w:rPr>
          <w:rFonts w:ascii="Palatino Linotype" w:eastAsia="Calibri" w:hAnsi="Palatino Linotype" w:cs="Arial"/>
          <w:i/>
          <w:sz w:val="22"/>
          <w:szCs w:val="22"/>
        </w:rPr>
        <w:t>”</w:t>
      </w:r>
      <w:r>
        <w:rPr>
          <w:rFonts w:ascii="Palatino Linotype" w:hAnsi="Palatino Linotype"/>
          <w:i/>
          <w:sz w:val="22"/>
          <w:szCs w:val="22"/>
        </w:rPr>
        <w:t xml:space="preserve">El documento o documentos donde conste la cantidad global y segmentada por áreas del gasto ejercido por concepto de combustible asignado al parque vehicular, así como para vehículos propios del personal adscrito al </w:t>
      </w:r>
      <w:r>
        <w:rPr>
          <w:rFonts w:ascii="Palatino Linotype" w:hAnsi="Palatino Linotype"/>
          <w:b/>
          <w:i/>
          <w:sz w:val="22"/>
          <w:szCs w:val="22"/>
        </w:rPr>
        <w:t>SUJETO OBLIGADO</w:t>
      </w:r>
      <w:r>
        <w:rPr>
          <w:rFonts w:ascii="Palatino Linotype" w:hAnsi="Palatino Linotype"/>
          <w:i/>
          <w:sz w:val="22"/>
          <w:szCs w:val="22"/>
        </w:rPr>
        <w:t>, correspondiente al año del año 2019.</w:t>
      </w:r>
    </w:p>
    <w:p w:rsidR="00C46EAC" w:rsidRDefault="00C46EAC">
      <w:pPr>
        <w:ind w:right="902"/>
        <w:jc w:val="both"/>
        <w:rPr>
          <w:rFonts w:ascii="Palatino Linotype" w:hAnsi="Palatino Linotype"/>
          <w:i/>
          <w:iCs/>
          <w:color w:val="222222"/>
          <w:sz w:val="22"/>
          <w:szCs w:val="22"/>
          <w:lang w:eastAsia="es-MX"/>
        </w:rPr>
      </w:pPr>
    </w:p>
    <w:p w:rsidR="00C46EAC" w:rsidRDefault="00C45F6D">
      <w:pPr>
        <w:ind w:left="709" w:right="902"/>
        <w:jc w:val="both"/>
        <w:rPr>
          <w:rFonts w:ascii="Palatino Linotype" w:hAnsi="Palatino Linotype"/>
          <w:i/>
          <w:iCs/>
          <w:color w:val="222222"/>
          <w:sz w:val="22"/>
          <w:szCs w:val="22"/>
          <w:lang w:eastAsia="es-MX"/>
        </w:rPr>
      </w:pPr>
      <w:r>
        <w:rPr>
          <w:rFonts w:ascii="Palatino Linotype" w:hAnsi="Palatino Linotype"/>
          <w:i/>
          <w:iCs/>
          <w:color w:val="222222"/>
          <w:sz w:val="22"/>
          <w:szCs w:val="22"/>
          <w:lang w:eastAsia="es-MX"/>
        </w:rPr>
        <w:t xml:space="preserve">Debiendo notificar al </w:t>
      </w:r>
      <w:r>
        <w:rPr>
          <w:rFonts w:ascii="Palatino Linotype" w:hAnsi="Palatino Linotype"/>
          <w:b/>
          <w:i/>
          <w:iCs/>
          <w:color w:val="222222"/>
          <w:sz w:val="22"/>
          <w:szCs w:val="22"/>
          <w:lang w:eastAsia="es-MX"/>
        </w:rPr>
        <w:t>RECURRENTE</w:t>
      </w:r>
      <w:r>
        <w:rPr>
          <w:rFonts w:ascii="Palatino Linotype" w:hAnsi="Palatino Linotype"/>
          <w:i/>
          <w:iCs/>
          <w:color w:val="222222"/>
          <w:sz w:val="22"/>
          <w:szCs w:val="22"/>
          <w:lang w:eastAsia="es-MX"/>
        </w:rPr>
        <w:t xml:space="preserve"> el Acuerdo de Clasificación de la información que emita el Comité de Transparencia con motivo de las versiones públicas. </w:t>
      </w:r>
    </w:p>
    <w:p w:rsidR="00C46EAC" w:rsidRDefault="00C45F6D">
      <w:pPr>
        <w:ind w:left="709" w:right="902"/>
        <w:jc w:val="both"/>
        <w:rPr>
          <w:rFonts w:ascii="Palatino Linotype" w:hAnsi="Palatino Linotype"/>
          <w:i/>
          <w:sz w:val="22"/>
          <w:szCs w:val="22"/>
        </w:rPr>
      </w:pPr>
      <w:r>
        <w:rPr>
          <w:rFonts w:ascii="Palatino Linotype" w:hAnsi="Palatino Linotype"/>
          <w:i/>
          <w:sz w:val="22"/>
          <w:szCs w:val="22"/>
        </w:rPr>
        <w:lastRenderedPageBreak/>
        <w:t xml:space="preserve">Para el caso, de que no se hayan erogado cantidades por concepto de combustible asignado para vehículos propios del personal adscrito al </w:t>
      </w:r>
      <w:r>
        <w:rPr>
          <w:rFonts w:ascii="Palatino Linotype" w:hAnsi="Palatino Linotype"/>
          <w:b/>
          <w:i/>
          <w:sz w:val="22"/>
          <w:szCs w:val="22"/>
        </w:rPr>
        <w:t xml:space="preserve">SUJETO OBLIGADO, </w:t>
      </w:r>
      <w:r>
        <w:rPr>
          <w:rFonts w:ascii="Palatino Linotype" w:hAnsi="Palatino Linotype"/>
          <w:i/>
          <w:sz w:val="22"/>
          <w:szCs w:val="22"/>
        </w:rPr>
        <w:t>deberá de hacerlo</w:t>
      </w:r>
      <w:r>
        <w:rPr>
          <w:rFonts w:ascii="Palatino Linotype" w:hAnsi="Palatino Linotype"/>
          <w:b/>
          <w:i/>
          <w:sz w:val="22"/>
          <w:szCs w:val="22"/>
        </w:rPr>
        <w:t xml:space="preserve"> </w:t>
      </w:r>
      <w:r>
        <w:rPr>
          <w:rFonts w:ascii="Palatino Linotype" w:hAnsi="Palatino Linotype"/>
          <w:i/>
          <w:sz w:val="22"/>
          <w:szCs w:val="22"/>
        </w:rPr>
        <w:t xml:space="preserve">del conocimiento al </w:t>
      </w:r>
      <w:r>
        <w:rPr>
          <w:rFonts w:ascii="Palatino Linotype" w:hAnsi="Palatino Linotype"/>
          <w:b/>
          <w:i/>
          <w:sz w:val="22"/>
          <w:szCs w:val="22"/>
        </w:rPr>
        <w:t xml:space="preserve">RECURRENTE </w:t>
      </w:r>
      <w:r>
        <w:rPr>
          <w:rFonts w:ascii="Palatino Linotype" w:hAnsi="Palatino Linotype"/>
          <w:i/>
          <w:sz w:val="22"/>
          <w:szCs w:val="22"/>
        </w:rPr>
        <w:t>de manera fundamentada y motivada</w:t>
      </w:r>
      <w:r>
        <w:rPr>
          <w:rFonts w:ascii="Palatino Linotype" w:hAnsi="Palatino Linotype"/>
          <w:i/>
          <w:iCs/>
          <w:color w:val="222222"/>
          <w:sz w:val="22"/>
          <w:szCs w:val="22"/>
          <w:lang w:eastAsia="es-MX"/>
        </w:rPr>
        <w:t>.”</w:t>
      </w:r>
    </w:p>
    <w:p w:rsidR="00C46EAC" w:rsidRDefault="00C46EAC">
      <w:pPr>
        <w:ind w:right="899"/>
        <w:jc w:val="both"/>
        <w:rPr>
          <w:rFonts w:ascii="Palatino Linotype" w:eastAsia="Arial Unicode MS" w:hAnsi="Palatino Linotype" w:cs="Arial"/>
          <w:i/>
          <w:sz w:val="22"/>
          <w:szCs w:val="22"/>
        </w:rPr>
      </w:pPr>
    </w:p>
    <w:p w:rsidR="00C46EAC" w:rsidRDefault="00C45F6D">
      <w:pPr>
        <w:spacing w:beforeAutospacing="1" w:afterAutospacing="1" w:line="360" w:lineRule="auto"/>
        <w:jc w:val="both"/>
        <w:rPr>
          <w:rFonts w:ascii="Palatino Linotype" w:eastAsia="Calibri" w:hAnsi="Palatino Linotype" w:cs="Arial"/>
        </w:rPr>
      </w:pPr>
      <w:r>
        <w:rPr>
          <w:rFonts w:ascii="Palatino Linotype" w:eastAsia="Calibri" w:hAnsi="Palatino Linotype" w:cs="Arial"/>
          <w:b/>
          <w:sz w:val="28"/>
        </w:rPr>
        <w:t>TERCERO</w:t>
      </w:r>
      <w:r>
        <w:rPr>
          <w:rFonts w:ascii="Palatino Linotype" w:eastAsia="Calibri" w:hAnsi="Palatino Linotype" w:cs="Arial"/>
        </w:rPr>
        <w:t xml:space="preserve">. Notifíquese al Titular de la Unidad de Transparencia del </w:t>
      </w:r>
      <w:r>
        <w:rPr>
          <w:rFonts w:ascii="Palatino Linotype" w:eastAsia="Calibri" w:hAnsi="Palatino Linotype" w:cs="Arial"/>
          <w:b/>
        </w:rPr>
        <w:t>SUJETO OBLIGADO</w:t>
      </w:r>
      <w:r>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C46EAC" w:rsidRDefault="00C45F6D">
      <w:pPr>
        <w:spacing w:beforeAutospacing="1" w:afterAutospacing="1" w:line="360" w:lineRule="auto"/>
        <w:jc w:val="both"/>
        <w:rPr>
          <w:rFonts w:ascii="Palatino Linotype" w:eastAsia="Calibri" w:hAnsi="Palatino Linotype" w:cs="Arial"/>
        </w:rPr>
      </w:pPr>
      <w:r>
        <w:rPr>
          <w:rFonts w:ascii="Palatino Linotype" w:eastAsia="Calibri" w:hAnsi="Palatino Linotype" w:cs="Arial"/>
          <w:b/>
          <w:sz w:val="28"/>
        </w:rPr>
        <w:t>CUARTO</w:t>
      </w:r>
      <w:r>
        <w:rPr>
          <w:rFonts w:ascii="Palatino Linotype" w:eastAsia="Calibri" w:hAnsi="Palatino Linotype" w:cs="Arial"/>
        </w:rPr>
        <w:t xml:space="preserve">. </w:t>
      </w:r>
      <w:r>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Pr>
          <w:rFonts w:ascii="Palatino Linotype" w:hAnsi="Palatino Linotype"/>
          <w:b/>
          <w:szCs w:val="17"/>
          <w:lang w:eastAsia="es-ES_tradnl"/>
        </w:rPr>
        <w:t>SUJETO OBLIGADO</w:t>
      </w:r>
      <w:r>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rsidR="00C46EAC" w:rsidRDefault="00C45F6D">
      <w:pPr>
        <w:spacing w:beforeAutospacing="1" w:afterAutospacing="1" w:line="360" w:lineRule="auto"/>
        <w:jc w:val="both"/>
        <w:rPr>
          <w:rFonts w:ascii="Palatino Linotype" w:eastAsia="Calibri" w:hAnsi="Palatino Linotype" w:cs="Arial"/>
        </w:rPr>
      </w:pPr>
      <w:r>
        <w:rPr>
          <w:rFonts w:ascii="Palatino Linotype" w:eastAsia="Calibri" w:hAnsi="Palatino Linotype" w:cs="Arial"/>
          <w:b/>
          <w:sz w:val="28"/>
        </w:rPr>
        <w:t>QUINTO</w:t>
      </w:r>
      <w:r>
        <w:rPr>
          <w:rFonts w:ascii="Palatino Linotype" w:eastAsia="Calibri" w:hAnsi="Palatino Linotype" w:cs="Arial"/>
        </w:rPr>
        <w:t xml:space="preserve">. Notifíquese al </w:t>
      </w:r>
      <w:r>
        <w:rPr>
          <w:rFonts w:ascii="Palatino Linotype" w:eastAsia="Calibri" w:hAnsi="Palatino Linotype" w:cs="Arial"/>
          <w:b/>
        </w:rPr>
        <w:t>RECURRENTE</w:t>
      </w:r>
      <w:r>
        <w:rPr>
          <w:rFonts w:ascii="Palatino Linotype" w:eastAsia="Calibri" w:hAnsi="Palatino Linotype" w:cs="Arial"/>
        </w:rPr>
        <w:t xml:space="preserve"> la presente resolución.</w:t>
      </w:r>
    </w:p>
    <w:p w:rsidR="00C46EAC" w:rsidRDefault="00C45F6D">
      <w:pPr>
        <w:spacing w:beforeAutospacing="1" w:afterAutospacing="1" w:line="360" w:lineRule="auto"/>
        <w:jc w:val="both"/>
        <w:rPr>
          <w:rFonts w:ascii="Palatino Linotype" w:eastAsia="Calibri" w:hAnsi="Palatino Linotype" w:cs="Arial"/>
        </w:rPr>
      </w:pPr>
      <w:r>
        <w:rPr>
          <w:rFonts w:ascii="Palatino Linotype" w:eastAsia="Calibri" w:hAnsi="Palatino Linotype" w:cs="Arial"/>
          <w:b/>
          <w:sz w:val="28"/>
          <w:szCs w:val="28"/>
        </w:rPr>
        <w:t>SEXTO.</w:t>
      </w:r>
      <w:r>
        <w:rPr>
          <w:rFonts w:ascii="Palatino Linotype" w:eastAsia="Calibri" w:hAnsi="Palatino Linotype" w:cs="Arial"/>
        </w:rPr>
        <w:t xml:space="preserve"> Hágase del conocimiento del </w:t>
      </w:r>
      <w:r>
        <w:rPr>
          <w:rFonts w:ascii="Palatino Linotype" w:eastAsia="Calibri" w:hAnsi="Palatino Linotype" w:cs="Arial"/>
          <w:b/>
        </w:rPr>
        <w:t>RECURRENTE</w:t>
      </w:r>
      <w:r>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C46EAC" w:rsidRDefault="00C45F6D" w:rsidP="00EA2E97">
      <w:pPr>
        <w:spacing w:line="360" w:lineRule="auto"/>
        <w:jc w:val="both"/>
        <w:rPr>
          <w:rFonts w:ascii="Palatino Linotype" w:hAnsi="Palatino Linotype" w:cs="Arial"/>
        </w:rPr>
      </w:pPr>
      <w:r>
        <w:rPr>
          <w:rFonts w:ascii="Palatino Linotype" w:hAnsi="Palatino Linotype" w:cs="Arial"/>
        </w:rPr>
        <w:lastRenderedPageBreak/>
        <w:t>ASÍ LO RESUELVE, POR UNANIMIDAD DE VOTOS, EL PLENO DEL</w:t>
      </w:r>
      <w:r>
        <w:rPr>
          <w:rFonts w:ascii="Palatino Linotype" w:eastAsia="Arial Unicode MS" w:hAnsi="Palatino Linotype" w:cs="Arial"/>
        </w:rPr>
        <w:t xml:space="preserve"> INSTITUTO DE </w:t>
      </w:r>
      <w:r>
        <w:rPr>
          <w:rFonts w:ascii="Palatino Linotype" w:hAnsi="Palatino Linotype"/>
          <w:lang w:eastAsia="en-US"/>
        </w:rPr>
        <w:t>TRANSPARENCIA</w:t>
      </w:r>
      <w:r>
        <w:rPr>
          <w:rFonts w:ascii="Palatino Linotype" w:eastAsia="Arial Unicode MS" w:hAnsi="Palatino Linotype" w:cs="Arial"/>
        </w:rPr>
        <w:t>,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Y LUIS GUSTAVO PARRA NORIEGA, EN LA DÉCIMA CUARTA SESIÓN ORDINARIA CELEBRADA EL DÍA DIECINUEVE DE AGOSTO DE DOS MIL VEINTE, ANTE EL SECRETARIO TÉCNICO DEL PLENO, </w:t>
      </w:r>
      <w:r>
        <w:rPr>
          <w:rFonts w:ascii="Palatino Linotype" w:eastAsia="Arial Unicode MS" w:hAnsi="Palatino Linotype" w:cs="Arial"/>
        </w:rPr>
        <w:t>ALEXIS</w:t>
      </w:r>
      <w:r>
        <w:rPr>
          <w:rFonts w:ascii="Palatino Linotype" w:hAnsi="Palatino Linotype" w:cs="Arial"/>
        </w:rPr>
        <w:t xml:space="preserve"> TAPIA RAMÍREZ.</w:t>
      </w:r>
    </w:p>
    <w:tbl>
      <w:tblPr>
        <w:tblW w:w="9214" w:type="dxa"/>
        <w:jc w:val="center"/>
        <w:tblLook w:val="04A0" w:firstRow="1" w:lastRow="0" w:firstColumn="1" w:lastColumn="0" w:noHBand="0" w:noVBand="1"/>
      </w:tblPr>
      <w:tblGrid>
        <w:gridCol w:w="4757"/>
        <w:gridCol w:w="4457"/>
      </w:tblGrid>
      <w:tr w:rsidR="00C46EAC">
        <w:trPr>
          <w:jc w:val="center"/>
        </w:trPr>
        <w:tc>
          <w:tcPr>
            <w:tcW w:w="9213" w:type="dxa"/>
            <w:gridSpan w:val="2"/>
            <w:shd w:val="clear" w:color="auto" w:fill="auto"/>
          </w:tcPr>
          <w:p w:rsidR="00C46EAC" w:rsidRDefault="00C46EAC">
            <w:pPr>
              <w:jc w:val="center"/>
              <w:rPr>
                <w:rFonts w:ascii="Palatino Linotype" w:hAnsi="Palatino Linotype" w:cs="Arial"/>
                <w:b/>
                <w:color w:val="000000" w:themeColor="text1"/>
                <w:lang w:val="es-ES_tradnl"/>
              </w:rPr>
            </w:pPr>
          </w:p>
          <w:p w:rsidR="00EA2E97" w:rsidRDefault="00EA2E97">
            <w:pPr>
              <w:jc w:val="center"/>
              <w:rPr>
                <w:rFonts w:ascii="Palatino Linotype" w:hAnsi="Palatino Linotype" w:cs="Arial"/>
                <w:b/>
                <w:color w:val="000000" w:themeColor="text1"/>
                <w:lang w:val="es-ES_tradnl"/>
              </w:rPr>
            </w:pPr>
          </w:p>
          <w:p w:rsidR="00EA2E97" w:rsidRDefault="00EA2E97">
            <w:pPr>
              <w:jc w:val="center"/>
              <w:rPr>
                <w:rFonts w:ascii="Palatino Linotype" w:hAnsi="Palatino Linotype" w:cs="Arial"/>
                <w:b/>
                <w:color w:val="000000" w:themeColor="text1"/>
                <w:lang w:val="es-ES_tradnl"/>
              </w:rPr>
            </w:pPr>
          </w:p>
          <w:p w:rsidR="00EA2E97" w:rsidRDefault="00EA2E97">
            <w:pPr>
              <w:jc w:val="center"/>
              <w:rPr>
                <w:rFonts w:ascii="Palatino Linotype" w:hAnsi="Palatino Linotype" w:cs="Arial"/>
                <w:b/>
                <w:color w:val="000000" w:themeColor="text1"/>
                <w:lang w:val="es-ES_tradnl"/>
              </w:rPr>
            </w:pPr>
          </w:p>
          <w:p w:rsidR="00EA2E97" w:rsidRDefault="00EA2E97">
            <w:pPr>
              <w:jc w:val="center"/>
              <w:rPr>
                <w:rFonts w:ascii="Palatino Linotype" w:hAnsi="Palatino Linotype" w:cs="Arial"/>
                <w:b/>
                <w:color w:val="000000" w:themeColor="text1"/>
                <w:lang w:val="es-ES_tradnl"/>
              </w:rPr>
            </w:pPr>
          </w:p>
          <w:p w:rsidR="00EA2E97" w:rsidRDefault="00EA2E97">
            <w:pPr>
              <w:jc w:val="center"/>
              <w:rPr>
                <w:rFonts w:ascii="Palatino Linotype" w:hAnsi="Palatino Linotype" w:cs="Arial"/>
                <w:b/>
                <w:color w:val="000000" w:themeColor="text1"/>
                <w:lang w:val="es-ES_tradnl"/>
              </w:rPr>
            </w:pPr>
          </w:p>
          <w:p w:rsidR="00EA2E97" w:rsidRDefault="00EA2E97">
            <w:pPr>
              <w:jc w:val="center"/>
              <w:rPr>
                <w:rFonts w:ascii="Palatino Linotype" w:hAnsi="Palatino Linotype" w:cs="Arial"/>
                <w:b/>
                <w:color w:val="000000" w:themeColor="text1"/>
                <w:lang w:val="es-ES_tradnl"/>
              </w:rPr>
            </w:pPr>
          </w:p>
          <w:p w:rsidR="00EA2E97" w:rsidRDefault="00EA2E97">
            <w:pPr>
              <w:jc w:val="center"/>
              <w:rPr>
                <w:rFonts w:ascii="Palatino Linotype" w:hAnsi="Palatino Linotype" w:cs="Arial"/>
                <w:b/>
                <w:color w:val="000000" w:themeColor="text1"/>
                <w:lang w:val="es-ES_tradnl"/>
              </w:rPr>
            </w:pPr>
          </w:p>
          <w:p w:rsidR="00C46EAC" w:rsidRDefault="00C45F6D">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Zulema Martínez Sánchez</w:t>
            </w:r>
          </w:p>
          <w:p w:rsidR="00C46EAC" w:rsidRDefault="00C45F6D">
            <w:pPr>
              <w:jc w:val="center"/>
              <w:rPr>
                <w:rFonts w:ascii="Palatino Linotype" w:hAnsi="Palatino Linotype" w:cs="Arial"/>
                <w:b/>
                <w:color w:val="000000" w:themeColor="text1"/>
                <w:lang w:val="es-ES_tradnl"/>
              </w:rPr>
            </w:pPr>
            <w:r>
              <w:rPr>
                <w:rFonts w:ascii="Palatino Linotype" w:hAnsi="Palatino Linotype" w:cs="Arial"/>
                <w:color w:val="000000" w:themeColor="text1"/>
                <w:lang w:val="es-ES_tradnl"/>
              </w:rPr>
              <w:t>Comisionada Presidenta</w:t>
            </w:r>
          </w:p>
          <w:p w:rsidR="00C46EAC" w:rsidRDefault="00C45F6D" w:rsidP="00EA2E97">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r>
      <w:tr w:rsidR="00C46EAC">
        <w:trPr>
          <w:jc w:val="center"/>
        </w:trPr>
        <w:tc>
          <w:tcPr>
            <w:tcW w:w="4756" w:type="dxa"/>
            <w:shd w:val="clear" w:color="auto" w:fill="auto"/>
          </w:tcPr>
          <w:p w:rsidR="00EA2E97" w:rsidRDefault="00EA2E97">
            <w:pPr>
              <w:jc w:val="center"/>
              <w:rPr>
                <w:rFonts w:ascii="Palatino Linotype" w:hAnsi="Palatino Linotype" w:cs="Arial"/>
                <w:b/>
                <w:color w:val="000000" w:themeColor="text1"/>
                <w:lang w:val="es-ES_tradnl"/>
              </w:rPr>
            </w:pPr>
          </w:p>
          <w:p w:rsidR="00EA2E97" w:rsidRDefault="00EA2E97">
            <w:pPr>
              <w:jc w:val="center"/>
              <w:rPr>
                <w:rFonts w:ascii="Palatino Linotype" w:hAnsi="Palatino Linotype" w:cs="Arial"/>
                <w:b/>
                <w:color w:val="000000" w:themeColor="text1"/>
                <w:lang w:val="es-ES_tradnl"/>
              </w:rPr>
            </w:pPr>
          </w:p>
          <w:p w:rsidR="00EA2E97" w:rsidRDefault="00EA2E97">
            <w:pPr>
              <w:jc w:val="center"/>
              <w:rPr>
                <w:rFonts w:ascii="Palatino Linotype" w:hAnsi="Palatino Linotype" w:cs="Arial"/>
                <w:b/>
                <w:color w:val="000000" w:themeColor="text1"/>
                <w:lang w:val="es-ES_tradnl"/>
              </w:rPr>
            </w:pPr>
          </w:p>
          <w:p w:rsidR="00EA2E97" w:rsidRDefault="00EA2E97">
            <w:pPr>
              <w:jc w:val="center"/>
              <w:rPr>
                <w:rFonts w:ascii="Palatino Linotype" w:hAnsi="Palatino Linotype" w:cs="Arial"/>
                <w:b/>
                <w:color w:val="000000" w:themeColor="text1"/>
                <w:lang w:val="es-ES_tradnl"/>
              </w:rPr>
            </w:pPr>
          </w:p>
          <w:p w:rsidR="00EA2E97" w:rsidRDefault="00EA2E97">
            <w:pPr>
              <w:jc w:val="center"/>
              <w:rPr>
                <w:rFonts w:ascii="Palatino Linotype" w:hAnsi="Palatino Linotype" w:cs="Arial"/>
                <w:b/>
                <w:color w:val="000000" w:themeColor="text1"/>
                <w:lang w:val="es-ES_tradnl"/>
              </w:rPr>
            </w:pPr>
          </w:p>
          <w:p w:rsidR="00EA2E97" w:rsidRDefault="00EA2E97">
            <w:pPr>
              <w:jc w:val="center"/>
              <w:rPr>
                <w:rFonts w:ascii="Palatino Linotype" w:hAnsi="Palatino Linotype" w:cs="Arial"/>
                <w:b/>
                <w:color w:val="000000" w:themeColor="text1"/>
                <w:lang w:val="es-ES_tradnl"/>
              </w:rPr>
            </w:pPr>
          </w:p>
          <w:p w:rsidR="00EA2E97" w:rsidRDefault="00EA2E97">
            <w:pPr>
              <w:jc w:val="center"/>
              <w:rPr>
                <w:rFonts w:ascii="Palatino Linotype" w:hAnsi="Palatino Linotype" w:cs="Arial"/>
                <w:b/>
                <w:color w:val="000000" w:themeColor="text1"/>
                <w:lang w:val="es-ES_tradnl"/>
              </w:rPr>
            </w:pPr>
          </w:p>
          <w:p w:rsidR="00EA2E97" w:rsidRDefault="00EA2E97">
            <w:pPr>
              <w:jc w:val="center"/>
              <w:rPr>
                <w:rFonts w:ascii="Palatino Linotype" w:hAnsi="Palatino Linotype" w:cs="Arial"/>
                <w:b/>
                <w:color w:val="000000" w:themeColor="text1"/>
                <w:lang w:val="es-ES_tradnl"/>
              </w:rPr>
            </w:pPr>
          </w:p>
          <w:p w:rsidR="00C46EAC" w:rsidRDefault="00C45F6D">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Eva Abaid Yapur</w:t>
            </w:r>
          </w:p>
          <w:p w:rsidR="00C46EAC" w:rsidRDefault="00C45F6D">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Comisionada</w:t>
            </w:r>
          </w:p>
          <w:p w:rsidR="00C46EAC" w:rsidRDefault="00C45F6D">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c>
          <w:tcPr>
            <w:tcW w:w="4457" w:type="dxa"/>
            <w:shd w:val="clear" w:color="auto" w:fill="auto"/>
          </w:tcPr>
          <w:p w:rsidR="00EA2E97" w:rsidRDefault="00EA2E97">
            <w:pPr>
              <w:jc w:val="center"/>
              <w:rPr>
                <w:rFonts w:ascii="Palatino Linotype" w:hAnsi="Palatino Linotype" w:cs="Arial"/>
                <w:b/>
                <w:color w:val="000000" w:themeColor="text1"/>
                <w:lang w:val="es-ES_tradnl"/>
              </w:rPr>
            </w:pPr>
          </w:p>
          <w:p w:rsidR="00EA2E97" w:rsidRDefault="00EA2E97">
            <w:pPr>
              <w:jc w:val="center"/>
              <w:rPr>
                <w:rFonts w:ascii="Palatino Linotype" w:hAnsi="Palatino Linotype" w:cs="Arial"/>
                <w:b/>
                <w:color w:val="000000" w:themeColor="text1"/>
                <w:lang w:val="es-ES_tradnl"/>
              </w:rPr>
            </w:pPr>
          </w:p>
          <w:p w:rsidR="00EA2E97" w:rsidRDefault="00EA2E97">
            <w:pPr>
              <w:jc w:val="center"/>
              <w:rPr>
                <w:rFonts w:ascii="Palatino Linotype" w:hAnsi="Palatino Linotype" w:cs="Arial"/>
                <w:b/>
                <w:color w:val="000000" w:themeColor="text1"/>
                <w:lang w:val="es-ES_tradnl"/>
              </w:rPr>
            </w:pPr>
          </w:p>
          <w:p w:rsidR="00EA2E97" w:rsidRDefault="00EA2E97">
            <w:pPr>
              <w:jc w:val="center"/>
              <w:rPr>
                <w:rFonts w:ascii="Palatino Linotype" w:hAnsi="Palatino Linotype" w:cs="Arial"/>
                <w:b/>
                <w:color w:val="000000" w:themeColor="text1"/>
                <w:lang w:val="es-ES_tradnl"/>
              </w:rPr>
            </w:pPr>
          </w:p>
          <w:p w:rsidR="00EA2E97" w:rsidRDefault="00EA2E97">
            <w:pPr>
              <w:jc w:val="center"/>
              <w:rPr>
                <w:rFonts w:ascii="Palatino Linotype" w:hAnsi="Palatino Linotype" w:cs="Arial"/>
                <w:b/>
                <w:color w:val="000000" w:themeColor="text1"/>
                <w:lang w:val="es-ES_tradnl"/>
              </w:rPr>
            </w:pPr>
          </w:p>
          <w:p w:rsidR="00EA2E97" w:rsidRDefault="00EA2E97">
            <w:pPr>
              <w:jc w:val="center"/>
              <w:rPr>
                <w:rFonts w:ascii="Palatino Linotype" w:hAnsi="Palatino Linotype" w:cs="Arial"/>
                <w:b/>
                <w:color w:val="000000" w:themeColor="text1"/>
                <w:lang w:val="es-ES_tradnl"/>
              </w:rPr>
            </w:pPr>
          </w:p>
          <w:p w:rsidR="00EA2E97" w:rsidRDefault="00EA2E97">
            <w:pPr>
              <w:jc w:val="center"/>
              <w:rPr>
                <w:rFonts w:ascii="Palatino Linotype" w:hAnsi="Palatino Linotype" w:cs="Arial"/>
                <w:b/>
                <w:color w:val="000000" w:themeColor="text1"/>
                <w:lang w:val="es-ES_tradnl"/>
              </w:rPr>
            </w:pPr>
          </w:p>
          <w:p w:rsidR="00EA2E97" w:rsidRDefault="00EA2E97">
            <w:pPr>
              <w:jc w:val="center"/>
              <w:rPr>
                <w:rFonts w:ascii="Palatino Linotype" w:hAnsi="Palatino Linotype" w:cs="Arial"/>
                <w:b/>
                <w:color w:val="000000" w:themeColor="text1"/>
                <w:lang w:val="es-ES_tradnl"/>
              </w:rPr>
            </w:pPr>
          </w:p>
          <w:p w:rsidR="00C46EAC" w:rsidRDefault="00C45F6D">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José Guadalupe Luna Hernández</w:t>
            </w:r>
          </w:p>
          <w:p w:rsidR="00C46EAC" w:rsidRDefault="00C45F6D">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rsidR="00C46EAC" w:rsidRDefault="00C45F6D">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r>
      <w:tr w:rsidR="00C46EAC">
        <w:trPr>
          <w:jc w:val="center"/>
        </w:trPr>
        <w:tc>
          <w:tcPr>
            <w:tcW w:w="4756" w:type="dxa"/>
            <w:shd w:val="clear" w:color="auto" w:fill="auto"/>
          </w:tcPr>
          <w:p w:rsidR="00C46EAC" w:rsidRDefault="00C46EAC" w:rsidP="00EA2E97">
            <w:pPr>
              <w:jc w:val="center"/>
              <w:rPr>
                <w:rFonts w:ascii="Palatino Linotype" w:hAnsi="Palatino Linotype" w:cs="Arial"/>
                <w:b/>
                <w:color w:val="000000" w:themeColor="text1"/>
                <w:lang w:val="es-ES_tradnl"/>
              </w:rPr>
            </w:pPr>
          </w:p>
          <w:p w:rsidR="00C46EAC" w:rsidRDefault="00C46EAC" w:rsidP="00EA2E97">
            <w:pPr>
              <w:jc w:val="center"/>
              <w:rPr>
                <w:rFonts w:ascii="Palatino Linotype" w:hAnsi="Palatino Linotype" w:cs="Arial"/>
                <w:b/>
                <w:color w:val="000000" w:themeColor="text1"/>
                <w:lang w:val="es-ES_tradnl"/>
              </w:rPr>
            </w:pPr>
          </w:p>
          <w:p w:rsidR="00C46EAC" w:rsidRDefault="00C46EAC" w:rsidP="00EA2E97">
            <w:pPr>
              <w:jc w:val="center"/>
              <w:rPr>
                <w:rFonts w:ascii="Palatino Linotype" w:hAnsi="Palatino Linotype" w:cs="Arial"/>
                <w:b/>
                <w:color w:val="000000" w:themeColor="text1"/>
                <w:lang w:val="es-ES_tradnl"/>
              </w:rPr>
            </w:pPr>
          </w:p>
          <w:p w:rsidR="00EA2E97" w:rsidRDefault="00EA2E97" w:rsidP="00EA2E97">
            <w:pPr>
              <w:jc w:val="center"/>
              <w:rPr>
                <w:rFonts w:ascii="Palatino Linotype" w:hAnsi="Palatino Linotype" w:cs="Arial"/>
                <w:b/>
                <w:color w:val="000000" w:themeColor="text1"/>
                <w:lang w:val="es-ES_tradnl"/>
              </w:rPr>
            </w:pPr>
          </w:p>
          <w:p w:rsidR="00EA2E97" w:rsidRDefault="00EA2E97" w:rsidP="00EA2E97">
            <w:pPr>
              <w:jc w:val="center"/>
              <w:rPr>
                <w:rFonts w:ascii="Palatino Linotype" w:hAnsi="Palatino Linotype" w:cs="Arial"/>
                <w:b/>
                <w:color w:val="000000" w:themeColor="text1"/>
                <w:lang w:val="es-ES_tradnl"/>
              </w:rPr>
            </w:pPr>
          </w:p>
          <w:p w:rsidR="00EA2E97" w:rsidRDefault="00EA2E97" w:rsidP="00EA2E97">
            <w:pPr>
              <w:jc w:val="center"/>
              <w:rPr>
                <w:rFonts w:ascii="Palatino Linotype" w:hAnsi="Palatino Linotype" w:cs="Arial"/>
                <w:b/>
                <w:color w:val="000000" w:themeColor="text1"/>
                <w:lang w:val="es-ES_tradnl"/>
              </w:rPr>
            </w:pPr>
          </w:p>
          <w:p w:rsidR="00EA2E97" w:rsidRDefault="00EA2E97" w:rsidP="00EA2E97">
            <w:pPr>
              <w:jc w:val="center"/>
              <w:rPr>
                <w:rFonts w:ascii="Palatino Linotype" w:hAnsi="Palatino Linotype" w:cs="Arial"/>
                <w:b/>
                <w:color w:val="000000" w:themeColor="text1"/>
                <w:lang w:val="es-ES_tradnl"/>
              </w:rPr>
            </w:pPr>
          </w:p>
          <w:p w:rsidR="00C46EAC" w:rsidRDefault="00C46EAC" w:rsidP="00EA2E97">
            <w:pPr>
              <w:jc w:val="center"/>
              <w:rPr>
                <w:rFonts w:ascii="Palatino Linotype" w:hAnsi="Palatino Linotype" w:cs="Arial"/>
                <w:b/>
                <w:color w:val="000000" w:themeColor="text1"/>
                <w:lang w:val="es-ES_tradnl"/>
              </w:rPr>
            </w:pPr>
          </w:p>
          <w:p w:rsidR="00C46EAC" w:rsidRDefault="00C46EAC" w:rsidP="00EA2E97">
            <w:pPr>
              <w:jc w:val="center"/>
              <w:rPr>
                <w:rFonts w:ascii="Palatino Linotype" w:hAnsi="Palatino Linotype" w:cs="Arial"/>
                <w:b/>
                <w:color w:val="000000" w:themeColor="text1"/>
                <w:lang w:val="es-ES_tradnl"/>
              </w:rPr>
            </w:pPr>
          </w:p>
          <w:p w:rsidR="00C46EAC" w:rsidRDefault="00C46EAC" w:rsidP="00EA2E97">
            <w:pPr>
              <w:jc w:val="center"/>
              <w:rPr>
                <w:rFonts w:ascii="Palatino Linotype" w:hAnsi="Palatino Linotype" w:cs="Arial"/>
                <w:b/>
                <w:color w:val="000000" w:themeColor="text1"/>
                <w:lang w:val="es-ES_tradnl"/>
              </w:rPr>
            </w:pPr>
          </w:p>
          <w:p w:rsidR="00C46EAC" w:rsidRDefault="00C45F6D">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Javier Martínez Cruz</w:t>
            </w:r>
          </w:p>
          <w:p w:rsidR="00C46EAC" w:rsidRDefault="00C45F6D">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rsidR="00C46EAC" w:rsidRDefault="00C45F6D">
            <w:pPr>
              <w:jc w:val="center"/>
              <w:rPr>
                <w:rFonts w:ascii="Palatino Linotype" w:hAnsi="Palatino Linotype" w:cs="Arial"/>
                <w:color w:val="000000" w:themeColor="text1"/>
                <w:lang w:val="es-ES_tradnl"/>
              </w:rPr>
            </w:pPr>
            <w:r>
              <w:rPr>
                <w:rFonts w:ascii="Palatino Linotype" w:hAnsi="Palatino Linotype" w:cs="Arial"/>
                <w:b/>
                <w:color w:val="000000" w:themeColor="text1"/>
                <w:lang w:val="es-ES_tradnl"/>
              </w:rPr>
              <w:t>(RÚBRICA)</w:t>
            </w:r>
          </w:p>
        </w:tc>
        <w:tc>
          <w:tcPr>
            <w:tcW w:w="4457" w:type="dxa"/>
            <w:shd w:val="clear" w:color="auto" w:fill="auto"/>
          </w:tcPr>
          <w:p w:rsidR="00C46EAC" w:rsidRDefault="00C46EAC">
            <w:pPr>
              <w:jc w:val="center"/>
              <w:rPr>
                <w:rFonts w:ascii="Palatino Linotype" w:hAnsi="Palatino Linotype" w:cs="Arial"/>
                <w:b/>
                <w:color w:val="000000" w:themeColor="text1"/>
                <w:lang w:val="es-ES_tradnl"/>
              </w:rPr>
            </w:pPr>
          </w:p>
          <w:p w:rsidR="00C46EAC" w:rsidRDefault="00C46EAC">
            <w:pPr>
              <w:jc w:val="center"/>
              <w:rPr>
                <w:rFonts w:ascii="Palatino Linotype" w:hAnsi="Palatino Linotype" w:cs="Arial"/>
                <w:b/>
                <w:color w:val="000000" w:themeColor="text1"/>
                <w:lang w:val="es-ES_tradnl"/>
              </w:rPr>
            </w:pPr>
          </w:p>
          <w:p w:rsidR="00C46EAC" w:rsidRDefault="00C46EAC">
            <w:pPr>
              <w:jc w:val="center"/>
              <w:rPr>
                <w:rFonts w:ascii="Palatino Linotype" w:hAnsi="Palatino Linotype" w:cs="Arial"/>
                <w:b/>
                <w:color w:val="000000" w:themeColor="text1"/>
                <w:lang w:val="es-ES_tradnl"/>
              </w:rPr>
            </w:pPr>
          </w:p>
          <w:p w:rsidR="00C46EAC" w:rsidRDefault="00C46EAC">
            <w:pPr>
              <w:jc w:val="center"/>
              <w:rPr>
                <w:rFonts w:ascii="Palatino Linotype" w:hAnsi="Palatino Linotype" w:cs="Arial"/>
                <w:b/>
                <w:color w:val="000000" w:themeColor="text1"/>
                <w:lang w:val="es-ES_tradnl"/>
              </w:rPr>
            </w:pPr>
          </w:p>
          <w:p w:rsidR="00EA2E97" w:rsidRDefault="00EA2E97">
            <w:pPr>
              <w:jc w:val="center"/>
              <w:rPr>
                <w:rFonts w:ascii="Palatino Linotype" w:hAnsi="Palatino Linotype" w:cs="Arial"/>
                <w:b/>
                <w:color w:val="000000" w:themeColor="text1"/>
                <w:lang w:val="es-ES_tradnl"/>
              </w:rPr>
            </w:pPr>
          </w:p>
          <w:p w:rsidR="00EA2E97" w:rsidRDefault="00EA2E97">
            <w:pPr>
              <w:jc w:val="center"/>
              <w:rPr>
                <w:rFonts w:ascii="Palatino Linotype" w:hAnsi="Palatino Linotype" w:cs="Arial"/>
                <w:b/>
                <w:color w:val="000000" w:themeColor="text1"/>
                <w:lang w:val="es-ES_tradnl"/>
              </w:rPr>
            </w:pPr>
          </w:p>
          <w:p w:rsidR="00EA2E97" w:rsidRDefault="00EA2E97">
            <w:pPr>
              <w:jc w:val="center"/>
              <w:rPr>
                <w:rFonts w:ascii="Palatino Linotype" w:hAnsi="Palatino Linotype" w:cs="Arial"/>
                <w:b/>
                <w:color w:val="000000" w:themeColor="text1"/>
                <w:lang w:val="es-ES_tradnl"/>
              </w:rPr>
            </w:pPr>
          </w:p>
          <w:p w:rsidR="00EA2E97" w:rsidRDefault="00EA2E97">
            <w:pPr>
              <w:jc w:val="center"/>
              <w:rPr>
                <w:rFonts w:ascii="Palatino Linotype" w:hAnsi="Palatino Linotype" w:cs="Arial"/>
                <w:b/>
                <w:color w:val="000000" w:themeColor="text1"/>
                <w:lang w:val="es-ES_tradnl"/>
              </w:rPr>
            </w:pPr>
          </w:p>
          <w:p w:rsidR="00C46EAC" w:rsidRDefault="00C46EAC">
            <w:pPr>
              <w:jc w:val="center"/>
              <w:rPr>
                <w:rFonts w:ascii="Palatino Linotype" w:hAnsi="Palatino Linotype" w:cs="Arial"/>
                <w:b/>
                <w:color w:val="000000" w:themeColor="text1"/>
                <w:lang w:val="es-ES_tradnl"/>
              </w:rPr>
            </w:pPr>
          </w:p>
          <w:p w:rsidR="00C46EAC" w:rsidRDefault="00C46EAC">
            <w:pPr>
              <w:jc w:val="center"/>
              <w:rPr>
                <w:rFonts w:ascii="Palatino Linotype" w:hAnsi="Palatino Linotype" w:cs="Arial"/>
                <w:b/>
                <w:color w:val="000000" w:themeColor="text1"/>
                <w:lang w:val="es-ES_tradnl"/>
              </w:rPr>
            </w:pPr>
          </w:p>
          <w:p w:rsidR="00C46EAC" w:rsidRDefault="00C45F6D">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Luis Gustavo Parra Noriega</w:t>
            </w:r>
          </w:p>
          <w:p w:rsidR="00C46EAC" w:rsidRDefault="00C45F6D">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rsidR="00C46EAC" w:rsidRDefault="00C45F6D">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r>
      <w:tr w:rsidR="00C46EAC">
        <w:trPr>
          <w:jc w:val="center"/>
        </w:trPr>
        <w:tc>
          <w:tcPr>
            <w:tcW w:w="9213" w:type="dxa"/>
            <w:gridSpan w:val="2"/>
            <w:shd w:val="clear" w:color="auto" w:fill="auto"/>
          </w:tcPr>
          <w:p w:rsidR="00C46EAC" w:rsidRDefault="00C46EAC" w:rsidP="00EA2E97">
            <w:pPr>
              <w:jc w:val="center"/>
              <w:rPr>
                <w:rFonts w:ascii="Palatino Linotype" w:hAnsi="Palatino Linotype" w:cs="Arial"/>
                <w:b/>
                <w:color w:val="000000" w:themeColor="text1"/>
                <w:lang w:val="es-ES_tradnl"/>
              </w:rPr>
            </w:pPr>
          </w:p>
          <w:p w:rsidR="00C46EAC" w:rsidRDefault="00C46EAC" w:rsidP="00EA2E97">
            <w:pPr>
              <w:jc w:val="center"/>
              <w:rPr>
                <w:rFonts w:ascii="Palatino Linotype" w:hAnsi="Palatino Linotype" w:cs="Arial"/>
                <w:b/>
                <w:color w:val="000000" w:themeColor="text1"/>
                <w:lang w:val="es-ES_tradnl"/>
              </w:rPr>
            </w:pPr>
          </w:p>
          <w:p w:rsidR="00C46EAC" w:rsidRDefault="00C46EAC" w:rsidP="00EA2E97">
            <w:pPr>
              <w:jc w:val="center"/>
              <w:rPr>
                <w:rFonts w:ascii="Palatino Linotype" w:hAnsi="Palatino Linotype" w:cs="Arial"/>
                <w:b/>
                <w:color w:val="000000" w:themeColor="text1"/>
                <w:lang w:val="es-ES_tradnl"/>
              </w:rPr>
            </w:pPr>
          </w:p>
          <w:p w:rsidR="00EA2E97" w:rsidRDefault="00EA2E97" w:rsidP="00EA2E97">
            <w:pPr>
              <w:jc w:val="center"/>
              <w:rPr>
                <w:rFonts w:ascii="Palatino Linotype" w:hAnsi="Palatino Linotype" w:cs="Arial"/>
                <w:b/>
                <w:color w:val="000000" w:themeColor="text1"/>
                <w:lang w:val="es-ES_tradnl"/>
              </w:rPr>
            </w:pPr>
          </w:p>
          <w:p w:rsidR="00EA2E97" w:rsidRDefault="00EA2E97" w:rsidP="00EA2E97">
            <w:pPr>
              <w:jc w:val="center"/>
              <w:rPr>
                <w:rFonts w:ascii="Palatino Linotype" w:hAnsi="Palatino Linotype" w:cs="Arial"/>
                <w:b/>
                <w:color w:val="000000" w:themeColor="text1"/>
                <w:lang w:val="es-ES_tradnl"/>
              </w:rPr>
            </w:pPr>
          </w:p>
          <w:p w:rsidR="00EA2E97" w:rsidRDefault="00EA2E97" w:rsidP="00EA2E97">
            <w:pPr>
              <w:jc w:val="center"/>
              <w:rPr>
                <w:rFonts w:ascii="Palatino Linotype" w:hAnsi="Palatino Linotype" w:cs="Arial"/>
                <w:b/>
                <w:color w:val="000000" w:themeColor="text1"/>
                <w:lang w:val="es-ES_tradnl"/>
              </w:rPr>
            </w:pPr>
          </w:p>
          <w:p w:rsidR="00EA2E97" w:rsidRDefault="00EA2E97" w:rsidP="00EA2E97">
            <w:pPr>
              <w:jc w:val="center"/>
              <w:rPr>
                <w:rFonts w:ascii="Palatino Linotype" w:hAnsi="Palatino Linotype" w:cs="Arial"/>
                <w:b/>
                <w:color w:val="000000" w:themeColor="text1"/>
                <w:lang w:val="es-ES_tradnl"/>
              </w:rPr>
            </w:pPr>
          </w:p>
          <w:p w:rsidR="00EA2E97" w:rsidRDefault="00EA2E97" w:rsidP="00EA2E97">
            <w:pPr>
              <w:jc w:val="center"/>
              <w:rPr>
                <w:rFonts w:ascii="Palatino Linotype" w:hAnsi="Palatino Linotype" w:cs="Arial"/>
                <w:b/>
                <w:color w:val="000000" w:themeColor="text1"/>
                <w:lang w:val="es-ES_tradnl"/>
              </w:rPr>
            </w:pPr>
          </w:p>
          <w:p w:rsidR="00EA2E97" w:rsidRDefault="00EA2E97" w:rsidP="00EA2E97">
            <w:pPr>
              <w:jc w:val="center"/>
              <w:rPr>
                <w:rFonts w:ascii="Palatino Linotype" w:hAnsi="Palatino Linotype" w:cs="Arial"/>
                <w:b/>
                <w:color w:val="000000" w:themeColor="text1"/>
                <w:lang w:val="es-ES_tradnl"/>
              </w:rPr>
            </w:pPr>
          </w:p>
          <w:p w:rsidR="00C46EAC" w:rsidRDefault="00C46EAC" w:rsidP="00EA2E97">
            <w:pPr>
              <w:jc w:val="center"/>
              <w:rPr>
                <w:rFonts w:ascii="Palatino Linotype" w:hAnsi="Palatino Linotype" w:cs="Arial"/>
                <w:b/>
                <w:color w:val="000000" w:themeColor="text1"/>
                <w:lang w:val="es-ES_tradnl"/>
              </w:rPr>
            </w:pPr>
          </w:p>
          <w:p w:rsidR="00C46EAC" w:rsidRDefault="00C46EAC" w:rsidP="00EA2E97">
            <w:pPr>
              <w:jc w:val="center"/>
              <w:rPr>
                <w:rFonts w:ascii="Palatino Linotype" w:hAnsi="Palatino Linotype" w:cs="Arial"/>
                <w:b/>
                <w:color w:val="000000" w:themeColor="text1"/>
                <w:lang w:val="es-ES_tradnl"/>
              </w:rPr>
            </w:pPr>
          </w:p>
          <w:p w:rsidR="00C46EAC" w:rsidRDefault="00C45F6D">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Alexis Tapia Ramírez</w:t>
            </w:r>
          </w:p>
          <w:p w:rsidR="00C46EAC" w:rsidRDefault="00C45F6D">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Secretario Técnico del Pleno</w:t>
            </w:r>
          </w:p>
          <w:p w:rsidR="00C46EAC" w:rsidRDefault="00C45F6D">
            <w:pPr>
              <w:jc w:val="center"/>
              <w:rPr>
                <w:rFonts w:ascii="Palatino Linotype" w:hAnsi="Palatino Linotype" w:cs="Arial"/>
                <w:color w:val="000000" w:themeColor="text1"/>
                <w:lang w:val="es-ES_tradnl"/>
              </w:rPr>
            </w:pPr>
            <w:r>
              <w:rPr>
                <w:rFonts w:ascii="Palatino Linotype" w:hAnsi="Palatino Linotype" w:cs="Arial"/>
                <w:b/>
                <w:color w:val="000000" w:themeColor="text1"/>
                <w:lang w:val="es-ES_tradnl"/>
              </w:rPr>
              <w:t>(RÚBRICA)</w:t>
            </w:r>
            <w:r>
              <w:rPr>
                <w:rFonts w:ascii="Palatino Linotype" w:hAnsi="Palatino Linotype" w:cs="Arial"/>
                <w:color w:val="000000" w:themeColor="text1"/>
                <w:lang w:val="es-ES_tradnl"/>
              </w:rPr>
              <w:t xml:space="preserve"> </w:t>
            </w:r>
          </w:p>
        </w:tc>
      </w:tr>
    </w:tbl>
    <w:p w:rsidR="00C46EAC" w:rsidRDefault="00C46EAC">
      <w:pPr>
        <w:jc w:val="both"/>
        <w:rPr>
          <w:rFonts w:ascii="Palatino Linotype" w:hAnsi="Palatino Linotype" w:cs="Arial"/>
          <w:sz w:val="22"/>
          <w:szCs w:val="22"/>
          <w:lang w:val="es-ES"/>
        </w:rPr>
      </w:pPr>
    </w:p>
    <w:p w:rsidR="00C46EAC" w:rsidRDefault="00C46EAC">
      <w:pPr>
        <w:jc w:val="both"/>
        <w:rPr>
          <w:rFonts w:ascii="Palatino Linotype" w:hAnsi="Palatino Linotype" w:cs="Arial"/>
          <w:sz w:val="22"/>
          <w:szCs w:val="22"/>
          <w:lang w:val="es-ES"/>
        </w:rPr>
      </w:pPr>
    </w:p>
    <w:p w:rsidR="00C46EAC" w:rsidRDefault="00C45F6D">
      <w:pPr>
        <w:jc w:val="both"/>
        <w:rPr>
          <w:rFonts w:ascii="Palatino Linotype" w:hAnsi="Palatino Linotype" w:cs="Arial"/>
          <w:sz w:val="22"/>
          <w:szCs w:val="22"/>
          <w:lang w:val="es-ES"/>
        </w:rPr>
      </w:pPr>
      <w:r>
        <w:rPr>
          <w:rFonts w:ascii="Palatino Linotype" w:hAnsi="Palatino Linotype" w:cs="Arial"/>
          <w:sz w:val="22"/>
          <w:szCs w:val="22"/>
          <w:lang w:val="es-ES"/>
        </w:rPr>
        <w:t xml:space="preserve">Esta hoja corresponde a la resolución de fecha diecinueve de agosto de dos mil veinte, emitida en el recurso de revisión número 01277/INFOEM/IP/RR/2020. </w:t>
      </w:r>
    </w:p>
    <w:p w:rsidR="00C46EAC" w:rsidRDefault="00C45F6D">
      <w:pPr>
        <w:spacing w:beforeAutospacing="1" w:afterAutospacing="1" w:line="360" w:lineRule="auto"/>
        <w:jc w:val="both"/>
        <w:rPr>
          <w:rFonts w:ascii="Palatino Linotype" w:hAnsi="Palatino Linotype" w:cs="Arial"/>
          <w:sz w:val="22"/>
          <w:szCs w:val="22"/>
          <w:lang w:val="es-ES"/>
        </w:rPr>
      </w:pPr>
      <w:r>
        <w:rPr>
          <w:rFonts w:ascii="Palatino Linotype" w:hAnsi="Palatino Linotype" w:cs="Arial"/>
          <w:sz w:val="22"/>
          <w:szCs w:val="22"/>
          <w:lang w:val="es-ES"/>
        </w:rPr>
        <w:t>YSM/AAS</w:t>
      </w:r>
    </w:p>
    <w:sectPr w:rsidR="00C46EAC">
      <w:headerReference w:type="default" r:id="rId20"/>
      <w:footerReference w:type="default" r:id="rId21"/>
      <w:headerReference w:type="first" r:id="rId22"/>
      <w:footerReference w:type="first" r:id="rId23"/>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099F" w:rsidRDefault="0066099F">
      <w:r>
        <w:separator/>
      </w:r>
    </w:p>
  </w:endnote>
  <w:endnote w:type="continuationSeparator" w:id="0">
    <w:p w:rsidR="0066099F" w:rsidRDefault="00660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EAC" w:rsidRDefault="00C45F6D">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5D0284">
      <w:rPr>
        <w:rFonts w:ascii="Palatino Linotype" w:hAnsi="Palatino Linotype" w:cs="Arial"/>
        <w:bCs/>
        <w:noProof/>
        <w:sz w:val="22"/>
        <w:szCs w:val="22"/>
      </w:rPr>
      <w:t>21</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5D0284">
      <w:rPr>
        <w:rFonts w:ascii="Palatino Linotype" w:hAnsi="Palatino Linotype" w:cs="Arial"/>
        <w:bCs/>
        <w:noProof/>
        <w:sz w:val="22"/>
        <w:szCs w:val="22"/>
      </w:rPr>
      <w:t>41</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EAC" w:rsidRDefault="00C45F6D">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5D0284">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5D0284">
      <w:rPr>
        <w:rFonts w:ascii="Palatino Linotype" w:hAnsi="Palatino Linotype" w:cs="Arial"/>
        <w:bCs/>
        <w:noProof/>
        <w:sz w:val="22"/>
        <w:szCs w:val="22"/>
      </w:rPr>
      <w:t>41</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099F" w:rsidRDefault="0066099F">
      <w:pPr>
        <w:rPr>
          <w:sz w:val="12"/>
        </w:rPr>
      </w:pPr>
      <w:r>
        <w:separator/>
      </w:r>
    </w:p>
  </w:footnote>
  <w:footnote w:type="continuationSeparator" w:id="0">
    <w:p w:rsidR="0066099F" w:rsidRDefault="0066099F">
      <w:pPr>
        <w:rPr>
          <w:sz w:val="12"/>
        </w:rPr>
      </w:pPr>
      <w:r>
        <w:continuationSeparator/>
      </w:r>
    </w:p>
  </w:footnote>
  <w:footnote w:id="1">
    <w:p w:rsidR="00C46EAC" w:rsidRDefault="00C45F6D">
      <w:pPr>
        <w:pStyle w:val="Textonotapie"/>
        <w:rPr>
          <w:rFonts w:ascii="Palatino Linotype" w:hAnsi="Palatino Linotype"/>
          <w:sz w:val="18"/>
          <w:szCs w:val="18"/>
          <w:lang w:val="es-ES"/>
        </w:rPr>
      </w:pPr>
      <w:r>
        <w:rPr>
          <w:rStyle w:val="Caracteresdenotaalpie"/>
        </w:rPr>
        <w:footnoteRef/>
      </w:r>
      <w:r>
        <w:t xml:space="preserve"> </w:t>
      </w:r>
      <w:r>
        <w:rPr>
          <w:rFonts w:ascii="Palatino Linotype" w:hAnsi="Palatino Linotype"/>
          <w:sz w:val="18"/>
          <w:szCs w:val="18"/>
        </w:rPr>
        <w:t>Visibles para su consulta en la página electrónica https://legislacion.edomex.gob.mx/sites/legislacion.edomex.gob.mx/files/files/pdf/gct/2019/may311.pdf</w:t>
      </w:r>
    </w:p>
  </w:footnote>
  <w:footnote w:id="2">
    <w:p w:rsidR="00C46EAC" w:rsidRDefault="00C45F6D">
      <w:pPr>
        <w:jc w:val="both"/>
        <w:rPr>
          <w:rFonts w:ascii="Palatino Linotype" w:hAnsi="Palatino Linotype" w:cs="Arial"/>
          <w:i/>
          <w:sz w:val="16"/>
          <w:szCs w:val="16"/>
          <w:lang w:eastAsia="es-MX"/>
        </w:rPr>
      </w:pPr>
      <w:r>
        <w:rPr>
          <w:rStyle w:val="Caracteresdenotaalpie"/>
        </w:rPr>
        <w:footnoteRef/>
      </w:r>
      <w:r>
        <w:t xml:space="preserve"> </w:t>
      </w:r>
      <w:r>
        <w:rPr>
          <w:rFonts w:ascii="Palatino Linotype" w:hAnsi="Palatino Linotype" w:cs="Arial"/>
          <w:b/>
          <w:bCs/>
          <w:i/>
          <w:sz w:val="16"/>
          <w:szCs w:val="16"/>
          <w:lang w:eastAsia="es-MX"/>
        </w:rPr>
        <w:t xml:space="preserve">“Artículo 4. </w:t>
      </w:r>
      <w:r>
        <w:rPr>
          <w:rFonts w:ascii="Palatino Linotype" w:hAnsi="Palatino Linotype" w:cs="Arial"/>
          <w:i/>
          <w:sz w:val="16"/>
          <w:szCs w:val="16"/>
          <w:lang w:eastAsia="es-MX"/>
        </w:rPr>
        <w:t>Son sujetos de fiscalización:</w:t>
      </w:r>
    </w:p>
    <w:p w:rsidR="00C46EAC" w:rsidRDefault="00C45F6D">
      <w:pPr>
        <w:jc w:val="both"/>
        <w:rPr>
          <w:rFonts w:ascii="Palatino Linotype" w:hAnsi="Palatino Linotype" w:cs="Arial"/>
          <w:i/>
          <w:sz w:val="16"/>
          <w:szCs w:val="16"/>
          <w:lang w:eastAsia="es-MX"/>
        </w:rPr>
      </w:pPr>
      <w:r>
        <w:rPr>
          <w:rFonts w:ascii="Palatino Linotype" w:hAnsi="Palatino Linotype" w:cs="Arial"/>
          <w:b/>
          <w:bCs/>
          <w:i/>
          <w:sz w:val="16"/>
          <w:szCs w:val="16"/>
          <w:lang w:eastAsia="es-MX"/>
        </w:rPr>
        <w:t>…</w:t>
      </w:r>
    </w:p>
    <w:p w:rsidR="00C46EAC" w:rsidRDefault="00C45F6D">
      <w:pPr>
        <w:ind w:right="49"/>
        <w:jc w:val="both"/>
        <w:rPr>
          <w:rFonts w:ascii="Palatino Linotype" w:hAnsi="Palatino Linotype" w:cs="Arial"/>
          <w:i/>
          <w:sz w:val="16"/>
          <w:szCs w:val="16"/>
          <w:lang w:eastAsia="es-MX"/>
        </w:rPr>
      </w:pPr>
      <w:r>
        <w:rPr>
          <w:rFonts w:ascii="Palatino Linotype" w:hAnsi="Palatino Linotype" w:cs="Arial"/>
          <w:i/>
          <w:sz w:val="16"/>
          <w:szCs w:val="16"/>
          <w:lang w:eastAsia="es-MX"/>
        </w:rPr>
        <w:t>II. Los municipios del Estado de México;</w:t>
      </w:r>
    </w:p>
    <w:p w:rsidR="00C46EAC" w:rsidRDefault="00C45F6D">
      <w:pPr>
        <w:ind w:right="49"/>
        <w:jc w:val="both"/>
        <w:rPr>
          <w:rFonts w:ascii="Palatino Linotype" w:hAnsi="Palatino Linotype" w:cs="Arial"/>
          <w:i/>
          <w:color w:val="000000"/>
          <w:sz w:val="16"/>
          <w:szCs w:val="16"/>
        </w:rPr>
      </w:pPr>
      <w:r>
        <w:rPr>
          <w:rFonts w:ascii="Palatino Linotype" w:hAnsi="Palatino Linotype" w:cs="Arial"/>
          <w:i/>
          <w:sz w:val="16"/>
          <w:szCs w:val="16"/>
          <w:lang w:eastAsia="es-MX"/>
        </w:rPr>
        <w:t>…” (Sic)</w:t>
      </w:r>
    </w:p>
  </w:footnote>
  <w:footnote w:id="3">
    <w:p w:rsidR="00C46EAC" w:rsidRDefault="00C45F6D">
      <w:pPr>
        <w:pStyle w:val="Textonotapie"/>
        <w:rPr>
          <w:rFonts w:ascii="Palatino Linotype" w:hAnsi="Palatino Linotype"/>
          <w:sz w:val="19"/>
          <w:szCs w:val="19"/>
        </w:rPr>
      </w:pPr>
      <w:r>
        <w:rPr>
          <w:rStyle w:val="Caracteresdenotaalpie"/>
        </w:rPr>
        <w:footnoteRef/>
      </w:r>
      <w:r>
        <w:rPr>
          <w:rFonts w:ascii="Palatino Linotype" w:hAnsi="Palatino Linotype"/>
          <w:sz w:val="19"/>
          <w:szCs w:val="19"/>
        </w:rPr>
        <w:t xml:space="preserve"> Disponible para su consulta en la página electrónica, </w:t>
      </w:r>
      <w:hyperlink r:id="rId1">
        <w:r>
          <w:rPr>
            <w:rFonts w:ascii="Palatino Linotype" w:eastAsia="Times New Roman" w:hAnsi="Palatino Linotype" w:cs="Times New Roman"/>
            <w:color w:val="0000FF"/>
            <w:sz w:val="19"/>
            <w:szCs w:val="19"/>
            <w:u w:val="single"/>
            <w:lang w:eastAsia="es-ES"/>
          </w:rPr>
          <w:t>http://legislacion.edomex.gob.mx/sites/legislacion.edomex.gob.mx/files/files/pdf/bdo/bdo2019/bdo032.pdf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EAC" w:rsidRDefault="00C45F6D">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0" distR="0" simplePos="0" relativeHeight="39" behindDoc="1" locked="0" layoutInCell="1" allowOverlap="1">
          <wp:simplePos x="0" y="0"/>
          <wp:positionH relativeFrom="column">
            <wp:align>center</wp:align>
          </wp:positionH>
          <wp:positionV relativeFrom="margin">
            <wp:align>center</wp:align>
          </wp:positionV>
          <wp:extent cx="6858635" cy="9144635"/>
          <wp:effectExtent l="0" t="0" r="0" b="0"/>
          <wp:wrapNone/>
          <wp:docPr id="19"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5"/>
      <w:gridCol w:w="2555"/>
      <w:gridCol w:w="3724"/>
    </w:tblGrid>
    <w:tr w:rsidR="00C46EAC">
      <w:tc>
        <w:tcPr>
          <w:tcW w:w="3255" w:type="dxa"/>
          <w:vMerge w:val="restart"/>
        </w:tcPr>
        <w:p w:rsidR="00C46EAC" w:rsidRDefault="00C45F6D">
          <w:pPr>
            <w:rPr>
              <w:rFonts w:ascii="Palatino Linotype" w:hAnsi="Palatino Linotype"/>
              <w:b/>
              <w:sz w:val="22"/>
              <w:szCs w:val="22"/>
              <w:lang w:val="es-ES_tradnl"/>
            </w:rPr>
          </w:pPr>
          <w:r>
            <w:rPr>
              <w:noProof/>
              <w:lang w:eastAsia="es-MX"/>
            </w:rPr>
            <w:drawing>
              <wp:inline distT="0" distB="0" distL="0" distR="0">
                <wp:extent cx="1663700" cy="838200"/>
                <wp:effectExtent l="0" t="0" r="0" b="0"/>
                <wp:docPr id="2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5" w:type="dxa"/>
          <w:shd w:val="clear" w:color="auto" w:fill="auto"/>
        </w:tcPr>
        <w:p w:rsidR="00C46EAC" w:rsidRDefault="00C45F6D">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rsidR="00C46EAC" w:rsidRDefault="00C45F6D">
          <w:pPr>
            <w:jc w:val="both"/>
            <w:rPr>
              <w:rFonts w:ascii="Palatino Linotype" w:hAnsi="Palatino Linotype"/>
              <w:b/>
              <w:sz w:val="22"/>
              <w:szCs w:val="22"/>
              <w:lang w:val="es-ES_tradnl"/>
            </w:rPr>
          </w:pPr>
          <w:r>
            <w:rPr>
              <w:rFonts w:ascii="Palatino Linotype" w:hAnsi="Palatino Linotype"/>
              <w:b/>
              <w:sz w:val="22"/>
              <w:szCs w:val="22"/>
              <w:lang w:val="es-ES_tradnl"/>
            </w:rPr>
            <w:t>01277/INFOEM/IP/RR/2020</w:t>
          </w:r>
        </w:p>
      </w:tc>
    </w:tr>
    <w:tr w:rsidR="00C46EAC">
      <w:tc>
        <w:tcPr>
          <w:tcW w:w="3255" w:type="dxa"/>
          <w:vMerge/>
        </w:tcPr>
        <w:p w:rsidR="00C46EAC" w:rsidRDefault="00C46EAC">
          <w:pPr>
            <w:rPr>
              <w:rFonts w:ascii="Palatino Linotype" w:hAnsi="Palatino Linotype"/>
              <w:b/>
              <w:sz w:val="22"/>
              <w:szCs w:val="22"/>
              <w:lang w:val="es-ES_tradnl"/>
            </w:rPr>
          </w:pPr>
        </w:p>
      </w:tc>
      <w:tc>
        <w:tcPr>
          <w:tcW w:w="2555" w:type="dxa"/>
          <w:shd w:val="clear" w:color="auto" w:fill="auto"/>
        </w:tcPr>
        <w:p w:rsidR="00C46EAC" w:rsidRDefault="00C45F6D">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rsidR="00C46EAC" w:rsidRDefault="00C45F6D">
          <w:pPr>
            <w:jc w:val="both"/>
            <w:rPr>
              <w:rFonts w:ascii="Palatino Linotype" w:hAnsi="Palatino Linotype"/>
              <w:b/>
              <w:sz w:val="22"/>
              <w:szCs w:val="22"/>
            </w:rPr>
          </w:pPr>
          <w:r>
            <w:rPr>
              <w:rFonts w:ascii="Palatino Linotype" w:hAnsi="Palatino Linotype"/>
              <w:b/>
              <w:sz w:val="22"/>
              <w:szCs w:val="22"/>
            </w:rPr>
            <w:t xml:space="preserve">Ayuntamiento de Cuautitlán Izcalli </w:t>
          </w:r>
        </w:p>
      </w:tc>
    </w:tr>
    <w:tr w:rsidR="00C46EAC">
      <w:trPr>
        <w:trHeight w:val="228"/>
      </w:trPr>
      <w:tc>
        <w:tcPr>
          <w:tcW w:w="3255" w:type="dxa"/>
          <w:vMerge/>
        </w:tcPr>
        <w:p w:rsidR="00C46EAC" w:rsidRDefault="00C46EAC">
          <w:pPr>
            <w:rPr>
              <w:rFonts w:ascii="Palatino Linotype" w:hAnsi="Palatino Linotype"/>
              <w:b/>
              <w:sz w:val="22"/>
              <w:szCs w:val="22"/>
              <w:lang w:val="es-ES_tradnl"/>
            </w:rPr>
          </w:pPr>
        </w:p>
      </w:tc>
      <w:tc>
        <w:tcPr>
          <w:tcW w:w="2555" w:type="dxa"/>
          <w:shd w:val="clear" w:color="auto" w:fill="auto"/>
        </w:tcPr>
        <w:p w:rsidR="00C46EAC" w:rsidRDefault="00C45F6D">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rsidR="00C46EAC" w:rsidRDefault="00C45F6D">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C46EAC" w:rsidRDefault="00C46EAC">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EAC" w:rsidRDefault="00C45F6D">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40" behindDoc="1" locked="0" layoutInCell="1" allowOverlap="1" wp14:anchorId="0869DC61" wp14:editId="603833F4">
          <wp:simplePos x="0" y="0"/>
          <wp:positionH relativeFrom="column">
            <wp:align>center</wp:align>
          </wp:positionH>
          <wp:positionV relativeFrom="margin">
            <wp:align>center</wp:align>
          </wp:positionV>
          <wp:extent cx="6858635" cy="9144635"/>
          <wp:effectExtent l="0" t="0" r="0" b="0"/>
          <wp:wrapNone/>
          <wp:docPr id="21"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4181" w:type="dxa"/>
      <w:tblInd w:w="-1276" w:type="dxa"/>
      <w:tblLook w:val="04A0" w:firstRow="1" w:lastRow="0" w:firstColumn="1" w:lastColumn="0" w:noHBand="0" w:noVBand="1"/>
    </w:tblPr>
    <w:tblGrid>
      <w:gridCol w:w="4250"/>
      <w:gridCol w:w="2549"/>
      <w:gridCol w:w="3691"/>
      <w:gridCol w:w="3691"/>
    </w:tblGrid>
    <w:tr w:rsidR="005D0284" w:rsidTr="005D0284">
      <w:tc>
        <w:tcPr>
          <w:tcW w:w="4250" w:type="dxa"/>
          <w:vMerge w:val="restart"/>
          <w:shd w:val="clear" w:color="auto" w:fill="auto"/>
        </w:tcPr>
        <w:p w:rsidR="005D0284" w:rsidRDefault="005D0284">
          <w:pPr>
            <w:rPr>
              <w:rFonts w:ascii="Palatino Linotype" w:hAnsi="Palatino Linotype"/>
              <w:b/>
              <w:sz w:val="22"/>
              <w:szCs w:val="22"/>
              <w:lang w:val="es-ES_tradnl"/>
            </w:rPr>
          </w:pPr>
          <w:r>
            <w:rPr>
              <w:noProof/>
              <w:lang w:eastAsia="es-MX"/>
            </w:rPr>
            <w:drawing>
              <wp:inline distT="0" distB="0" distL="0" distR="0" wp14:anchorId="672DF2C0" wp14:editId="68C6AB28">
                <wp:extent cx="1663700" cy="838200"/>
                <wp:effectExtent l="0" t="0" r="0" b="0"/>
                <wp:docPr id="2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49" w:type="dxa"/>
          <w:shd w:val="clear" w:color="auto" w:fill="auto"/>
        </w:tcPr>
        <w:p w:rsidR="005D0284" w:rsidRDefault="005D028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91" w:type="dxa"/>
          <w:shd w:val="clear" w:color="auto" w:fill="auto"/>
          <w:vAlign w:val="center"/>
        </w:tcPr>
        <w:p w:rsidR="005D0284" w:rsidRDefault="005D0284">
          <w:pPr>
            <w:jc w:val="both"/>
            <w:rPr>
              <w:rFonts w:ascii="Palatino Linotype" w:hAnsi="Palatino Linotype"/>
              <w:b/>
              <w:sz w:val="22"/>
              <w:szCs w:val="22"/>
              <w:lang w:val="es-ES_tradnl"/>
            </w:rPr>
          </w:pPr>
          <w:r>
            <w:rPr>
              <w:rFonts w:ascii="Palatino Linotype" w:hAnsi="Palatino Linotype"/>
              <w:b/>
              <w:bCs/>
              <w:sz w:val="22"/>
              <w:szCs w:val="22"/>
            </w:rPr>
            <w:t>01277/INFOEM/IP/RR/2020</w:t>
          </w:r>
        </w:p>
      </w:tc>
      <w:tc>
        <w:tcPr>
          <w:tcW w:w="3691" w:type="dxa"/>
        </w:tcPr>
        <w:p w:rsidR="005D0284" w:rsidRDefault="005D0284">
          <w:pPr>
            <w:jc w:val="both"/>
            <w:rPr>
              <w:rFonts w:ascii="Palatino Linotype" w:hAnsi="Palatino Linotype"/>
              <w:b/>
              <w:bCs/>
              <w:sz w:val="22"/>
              <w:szCs w:val="22"/>
            </w:rPr>
          </w:pPr>
        </w:p>
      </w:tc>
    </w:tr>
    <w:tr w:rsidR="005D0284" w:rsidTr="005D0284">
      <w:tc>
        <w:tcPr>
          <w:tcW w:w="4250" w:type="dxa"/>
          <w:vMerge/>
          <w:shd w:val="clear" w:color="auto" w:fill="auto"/>
        </w:tcPr>
        <w:p w:rsidR="005D0284" w:rsidRDefault="005D0284">
          <w:pPr>
            <w:rPr>
              <w:rFonts w:ascii="Palatino Linotype" w:hAnsi="Palatino Linotype"/>
              <w:b/>
              <w:sz w:val="22"/>
              <w:szCs w:val="22"/>
              <w:lang w:val="es-ES_tradnl"/>
            </w:rPr>
          </w:pPr>
        </w:p>
      </w:tc>
      <w:tc>
        <w:tcPr>
          <w:tcW w:w="2549" w:type="dxa"/>
          <w:shd w:val="clear" w:color="auto" w:fill="auto"/>
        </w:tcPr>
        <w:p w:rsidR="005D0284" w:rsidRDefault="005D0284">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91" w:type="dxa"/>
          <w:shd w:val="clear" w:color="auto" w:fill="auto"/>
          <w:vAlign w:val="center"/>
        </w:tcPr>
        <w:p w:rsidR="005D0284" w:rsidRDefault="005D0284">
          <w:pPr>
            <w:jc w:val="both"/>
            <w:rPr>
              <w:rFonts w:ascii="Palatino Linotype" w:hAnsi="Palatino Linotype"/>
              <w:b/>
              <w:sz w:val="22"/>
              <w:szCs w:val="22"/>
              <w:lang w:val="es-ES_tradnl"/>
            </w:rPr>
          </w:pPr>
          <w:r>
            <w:rPr>
              <w:rFonts w:ascii="Palatino Linotype" w:hAnsi="Palatino Linotype"/>
              <w:b/>
              <w:sz w:val="22"/>
              <w:szCs w:val="22"/>
              <w:lang w:val="es-ES_tradnl"/>
            </w:rPr>
            <w:t>Xxxxxx Xxxxx Xxxxx y/o Xxxxxxxx Xxxxx x</w:t>
          </w:r>
        </w:p>
      </w:tc>
      <w:tc>
        <w:tcPr>
          <w:tcW w:w="3691" w:type="dxa"/>
        </w:tcPr>
        <w:p w:rsidR="005D0284" w:rsidRDefault="005D0284">
          <w:pPr>
            <w:jc w:val="both"/>
            <w:rPr>
              <w:rFonts w:ascii="Palatino Linotype" w:hAnsi="Palatino Linotype"/>
              <w:b/>
              <w:sz w:val="22"/>
              <w:szCs w:val="22"/>
              <w:lang w:val="es-ES_tradnl"/>
            </w:rPr>
          </w:pPr>
        </w:p>
      </w:tc>
    </w:tr>
    <w:tr w:rsidR="005D0284" w:rsidTr="005D0284">
      <w:trPr>
        <w:trHeight w:val="228"/>
      </w:trPr>
      <w:tc>
        <w:tcPr>
          <w:tcW w:w="4250" w:type="dxa"/>
          <w:vMerge/>
          <w:shd w:val="clear" w:color="auto" w:fill="auto"/>
        </w:tcPr>
        <w:p w:rsidR="005D0284" w:rsidRDefault="005D0284">
          <w:pPr>
            <w:rPr>
              <w:rFonts w:ascii="Palatino Linotype" w:hAnsi="Palatino Linotype"/>
              <w:b/>
              <w:sz w:val="22"/>
              <w:szCs w:val="22"/>
              <w:lang w:val="es-ES_tradnl"/>
            </w:rPr>
          </w:pPr>
        </w:p>
      </w:tc>
      <w:tc>
        <w:tcPr>
          <w:tcW w:w="2549" w:type="dxa"/>
          <w:shd w:val="clear" w:color="auto" w:fill="auto"/>
        </w:tcPr>
        <w:p w:rsidR="005D0284" w:rsidRDefault="005D028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91" w:type="dxa"/>
          <w:shd w:val="clear" w:color="auto" w:fill="auto"/>
          <w:vAlign w:val="center"/>
        </w:tcPr>
        <w:p w:rsidR="005D0284" w:rsidRDefault="005D0284">
          <w:pPr>
            <w:jc w:val="both"/>
            <w:rPr>
              <w:rFonts w:ascii="Palatino Linotype" w:hAnsi="Palatino Linotype"/>
              <w:b/>
              <w:sz w:val="22"/>
              <w:szCs w:val="22"/>
            </w:rPr>
          </w:pPr>
          <w:r>
            <w:rPr>
              <w:rFonts w:ascii="Palatino Linotype" w:hAnsi="Palatino Linotype"/>
              <w:b/>
              <w:sz w:val="22"/>
              <w:szCs w:val="22"/>
            </w:rPr>
            <w:t>Ayuntamiento de Cuautitlán Izcalli</w:t>
          </w:r>
        </w:p>
      </w:tc>
      <w:tc>
        <w:tcPr>
          <w:tcW w:w="3691" w:type="dxa"/>
        </w:tcPr>
        <w:p w:rsidR="005D0284" w:rsidRDefault="005D0284">
          <w:pPr>
            <w:jc w:val="both"/>
            <w:rPr>
              <w:rFonts w:ascii="Palatino Linotype" w:hAnsi="Palatino Linotype"/>
              <w:b/>
              <w:sz w:val="22"/>
              <w:szCs w:val="22"/>
            </w:rPr>
          </w:pPr>
        </w:p>
      </w:tc>
    </w:tr>
    <w:tr w:rsidR="005D0284" w:rsidTr="005D0284">
      <w:tc>
        <w:tcPr>
          <w:tcW w:w="4250" w:type="dxa"/>
          <w:vMerge/>
          <w:shd w:val="clear" w:color="auto" w:fill="auto"/>
        </w:tcPr>
        <w:p w:rsidR="005D0284" w:rsidRDefault="005D0284">
          <w:pPr>
            <w:rPr>
              <w:rFonts w:ascii="Palatino Linotype" w:hAnsi="Palatino Linotype"/>
              <w:b/>
              <w:sz w:val="22"/>
              <w:szCs w:val="22"/>
              <w:lang w:val="es-ES_tradnl"/>
            </w:rPr>
          </w:pPr>
        </w:p>
      </w:tc>
      <w:tc>
        <w:tcPr>
          <w:tcW w:w="2549" w:type="dxa"/>
          <w:shd w:val="clear" w:color="auto" w:fill="auto"/>
        </w:tcPr>
        <w:p w:rsidR="005D0284" w:rsidRDefault="005D0284">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91" w:type="dxa"/>
          <w:shd w:val="clear" w:color="auto" w:fill="auto"/>
        </w:tcPr>
        <w:p w:rsidR="005D0284" w:rsidRDefault="005D0284">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c>
        <w:tcPr>
          <w:tcW w:w="3691" w:type="dxa"/>
        </w:tcPr>
        <w:p w:rsidR="005D0284" w:rsidRDefault="005D0284">
          <w:pPr>
            <w:jc w:val="both"/>
            <w:rPr>
              <w:rFonts w:ascii="Palatino Linotype" w:hAnsi="Palatino Linotype"/>
              <w:b/>
              <w:sz w:val="22"/>
              <w:szCs w:val="22"/>
              <w:lang w:val="es-ES_tradnl"/>
            </w:rPr>
          </w:pPr>
        </w:p>
      </w:tc>
    </w:tr>
  </w:tbl>
  <w:p w:rsidR="00C46EAC" w:rsidRDefault="00C46EA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14DD4"/>
    <w:multiLevelType w:val="multilevel"/>
    <w:tmpl w:val="02D060C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E79586D"/>
    <w:multiLevelType w:val="multilevel"/>
    <w:tmpl w:val="481019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246740D3"/>
    <w:multiLevelType w:val="multilevel"/>
    <w:tmpl w:val="0B065C98"/>
    <w:lvl w:ilvl="0">
      <w:start w:val="1"/>
      <w:numFmt w:val="ordinalText"/>
      <w:lvlText w:val="%1"/>
      <w:lvlJc w:val="left"/>
      <w:pPr>
        <w:ind w:left="720" w:hanging="360"/>
      </w:pPr>
      <w:rPr>
        <w:b/>
        <w:bCs/>
        <w:caps/>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BD71E5"/>
    <w:multiLevelType w:val="multilevel"/>
    <w:tmpl w:val="54301116"/>
    <w:lvl w:ilvl="0">
      <w:start w:val="1"/>
      <w:numFmt w:val="upperRoman"/>
      <w:lvlText w:val="%1."/>
      <w:lvlJc w:val="left"/>
      <w:pPr>
        <w:ind w:left="720" w:hanging="360"/>
      </w:pPr>
      <w:rPr>
        <w:b/>
        <w:i w:val="0"/>
        <w:caps/>
        <w:color w:val="auto"/>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210" w:hanging="690"/>
      </w:pPr>
    </w:lvl>
    <w:lvl w:ilvl="4">
      <w:start w:val="1"/>
      <w:numFmt w:val="lowerLetter"/>
      <w:lvlText w:val="%5)"/>
      <w:lvlJc w:val="left"/>
      <w:pPr>
        <w:ind w:left="3600" w:hanging="360"/>
      </w:pPr>
    </w:lvl>
    <w:lvl w:ilvl="5">
      <w:start w:val="1"/>
      <w:numFmt w:val="bullet"/>
      <w:lvlText w:val=""/>
      <w:lvlJc w:val="left"/>
      <w:pPr>
        <w:ind w:left="4500" w:hanging="360"/>
      </w:pPr>
      <w:rPr>
        <w:rFonts w:ascii="Symbol" w:hAnsi="Symbol" w:cs="Arial" w:hint="default"/>
      </w:rPr>
    </w:lvl>
    <w:lvl w:ilvl="6">
      <w:start w:val="1"/>
      <w:numFmt w:val="upperLetter"/>
      <w:lvlText w:val="%7)"/>
      <w:lvlJc w:val="left"/>
      <w:pPr>
        <w:ind w:left="5085" w:hanging="405"/>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80803E8"/>
    <w:multiLevelType w:val="multilevel"/>
    <w:tmpl w:val="2ABA7ADE"/>
    <w:lvl w:ilvl="0">
      <w:start w:val="1"/>
      <w:numFmt w:val="upperRoman"/>
      <w:lvlText w:val="%1."/>
      <w:lvlJc w:val="left"/>
      <w:pPr>
        <w:ind w:left="720" w:hanging="360"/>
      </w:pPr>
      <w:rPr>
        <w:b/>
        <w:i w:val="0"/>
        <w:caps/>
        <w:color w:val="auto"/>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210" w:hanging="690"/>
      </w:pPr>
    </w:lvl>
    <w:lvl w:ilvl="4">
      <w:start w:val="1"/>
      <w:numFmt w:val="lowerLetter"/>
      <w:lvlText w:val="%5)"/>
      <w:lvlJc w:val="left"/>
      <w:pPr>
        <w:ind w:left="3600" w:hanging="360"/>
      </w:pPr>
    </w:lvl>
    <w:lvl w:ilvl="5">
      <w:start w:val="1"/>
      <w:numFmt w:val="bullet"/>
      <w:lvlText w:val=""/>
      <w:lvlJc w:val="left"/>
      <w:pPr>
        <w:ind w:left="4500" w:hanging="360"/>
      </w:pPr>
      <w:rPr>
        <w:rFonts w:ascii="Symbol" w:hAnsi="Symbol" w:cs="Arial" w:hint="default"/>
      </w:rPr>
    </w:lvl>
    <w:lvl w:ilvl="6">
      <w:start w:val="1"/>
      <w:numFmt w:val="upperLetter"/>
      <w:lvlText w:val="%7)"/>
      <w:lvlJc w:val="left"/>
      <w:pPr>
        <w:ind w:left="5085" w:hanging="405"/>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3030159"/>
    <w:multiLevelType w:val="multilevel"/>
    <w:tmpl w:val="C17C4DA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759B0196"/>
    <w:multiLevelType w:val="multilevel"/>
    <w:tmpl w:val="1F52D1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2"/>
  </w:num>
  <w:num w:numId="2">
    <w:abstractNumId w:val="4"/>
  </w:num>
  <w:num w:numId="3">
    <w:abstractNumId w:val="0"/>
  </w:num>
  <w:num w:numId="4">
    <w:abstractNumId w:val="3"/>
  </w:num>
  <w:num w:numId="5">
    <w:abstractNumId w:val="6"/>
  </w:num>
  <w:num w:numId="6">
    <w:abstractNumId w:val="1"/>
  </w:num>
  <w:num w:numId="7">
    <w:abstractNumId w:val="5"/>
  </w:num>
  <w:num w:numId="8">
    <w:abstractNumId w:val="4"/>
    <w:lvlOverride w:ilvl="0">
      <w:lvl w:ilvl="0">
        <w:start w:val="1"/>
        <w:numFmt w:val="upperRoman"/>
        <w:lvlText w:val="%1."/>
        <w:lvlJc w:val="left"/>
        <w:pPr>
          <w:ind w:left="720" w:hanging="360"/>
        </w:pPr>
        <w:rPr>
          <w:b/>
          <w:i w:val="0"/>
          <w:caps/>
          <w:color w:val="auto"/>
          <w:sz w:val="28"/>
        </w:rPr>
      </w:lvl>
    </w:lvlOverride>
    <w:lvlOverride w:ilvl="5">
      <w:lvl w:ilvl="5">
        <w:start w:val="1"/>
        <w:numFmt w:val="bullet"/>
        <w:lvlText w:val=""/>
        <w:lvlJc w:val="left"/>
        <w:pPr>
          <w:ind w:left="4500" w:hanging="360"/>
        </w:pPr>
        <w:rPr>
          <w:rFonts w:ascii="Symbol" w:hAnsi="Symbol" w:cs="Aria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EAC"/>
    <w:rsid w:val="005D0284"/>
    <w:rsid w:val="0066099F"/>
    <w:rsid w:val="00C45F6D"/>
    <w:rsid w:val="00C46EAC"/>
    <w:rsid w:val="00EA2E97"/>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4C349E-5C22-41DB-93D8-0038BA5B0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customStyle="1" w:styleId="EnlacedeInternet">
    <w:name w:val="Enlace de Internet"/>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customStyle="1" w:styleId="EnlacedeInternetvisitado">
    <w:name w:val="Enlace de Internet visitado"/>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qFormat/>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qFormat/>
    <w:locked/>
    <w:rsid w:val="00B93B76"/>
    <w:rPr>
      <w:rFonts w:ascii="Times New Roman" w:eastAsia="Times New Roman" w:hAnsi="Times New Roman" w:cs="Times New Roman"/>
      <w:szCs w:val="20"/>
      <w:lang w:val="en-US" w:eastAsia="en-US"/>
    </w:rPr>
  </w:style>
  <w:style w:type="character" w:customStyle="1" w:styleId="Caracteresdenotaalpie">
    <w:name w:val="Caracteres de nota al pie"/>
    <w:qFormat/>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qFormat/>
  </w:style>
  <w:style w:type="character" w:customStyle="1" w:styleId="Smbolosdenumeracin">
    <w:name w:val="Símbolos de numeración"/>
    <w:qFormat/>
    <w:rPr>
      <w:b/>
      <w:bCs/>
      <w:sz w:val="28"/>
      <w:szCs w:val="28"/>
    </w:rPr>
  </w:style>
  <w:style w:type="paragraph" w:customStyle="1" w:styleId="Ttulo">
    <w:name w:val="Título"/>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B93B76"/>
    <w:pPr>
      <w:spacing w:after="240"/>
    </w:pPr>
    <w:rPr>
      <w:szCs w:val="20"/>
      <w:lang w:val="en-US" w:eastAsia="en-US"/>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legislacion.edomex.gob.mx/sites/legislacion.edomex.gob.mx/files/files/pdf/bdo/bdo2019/bdo032.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9473C-3807-41F4-A789-A32BDCDDF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9346</Words>
  <Characters>51405</Characters>
  <Application>Microsoft Office Word</Application>
  <DocSecurity>0</DocSecurity>
  <Lines>428</Lines>
  <Paragraphs>121</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60630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LUISITO</cp:lastModifiedBy>
  <cp:revision>2</cp:revision>
  <cp:lastPrinted>2020-01-22T19:55:00Z</cp:lastPrinted>
  <dcterms:created xsi:type="dcterms:W3CDTF">2020-08-26T22:27:00Z</dcterms:created>
  <dcterms:modified xsi:type="dcterms:W3CDTF">2020-08-26T22:27:00Z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