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817" w:rsidRDefault="00862B85">
      <w:pPr>
        <w:spacing w:line="360" w:lineRule="auto"/>
        <w:jc w:val="both"/>
        <w:rPr>
          <w:rFonts w:ascii="Palatino Linotype" w:hAnsi="Palatino Linotype" w:cs="Arial"/>
          <w:color w:val="FF0000"/>
          <w:lang w:val="es-ES"/>
        </w:rPr>
      </w:pPr>
      <w:r>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de fecha doce de agosto de dos mil veinte.</w:t>
      </w:r>
    </w:p>
    <w:p w:rsidR="00757817" w:rsidRDefault="00757817">
      <w:pPr>
        <w:spacing w:line="360" w:lineRule="auto"/>
        <w:jc w:val="both"/>
        <w:rPr>
          <w:rFonts w:ascii="Palatino Linotype" w:hAnsi="Palatino Linotype" w:cs="Arial"/>
          <w:lang w:val="es-ES"/>
        </w:rPr>
      </w:pPr>
    </w:p>
    <w:p w:rsidR="00757817" w:rsidRDefault="00862B85">
      <w:pPr>
        <w:spacing w:line="360" w:lineRule="auto"/>
        <w:jc w:val="both"/>
        <w:rPr>
          <w:rFonts w:ascii="Palatino Linotype" w:hAnsi="Palatino Linotype" w:cs="Arial"/>
          <w:lang w:val="es-ES"/>
        </w:rPr>
      </w:pPr>
      <w:r>
        <w:rPr>
          <w:rFonts w:ascii="Palatino Linotype" w:hAnsi="Palatino Linotype"/>
          <w:lang w:val="es-ES"/>
        </w:rPr>
        <w:t xml:space="preserve">VISTO el expediente formado con motivo del recurso de revisión </w:t>
      </w:r>
      <w:r>
        <w:rPr>
          <w:rFonts w:ascii="Palatino Linotype" w:hAnsi="Palatino Linotype"/>
          <w:b/>
          <w:lang w:val="es-ES"/>
        </w:rPr>
        <w:t>00887/INFOEM/IP/RR/2020,</w:t>
      </w:r>
      <w:r>
        <w:rPr>
          <w:rFonts w:ascii="Palatino Linotype" w:hAnsi="Palatino Linotype"/>
          <w:lang w:val="es-ES"/>
        </w:rPr>
        <w:t xml:space="preserve"> interpuesto por el C.</w:t>
      </w:r>
      <w:r>
        <w:rPr>
          <w:rFonts w:ascii="Palatino Linotype" w:hAnsi="Palatino Linotype"/>
          <w:b/>
          <w:lang w:val="es-ES"/>
        </w:rPr>
        <w:t xml:space="preserve"> </w:t>
      </w:r>
      <w:r w:rsidR="00895606" w:rsidRPr="00895606">
        <w:rPr>
          <w:rFonts w:ascii="Palatino Linotype" w:hAnsi="Palatino Linotype"/>
          <w:b/>
          <w:lang w:val="es-ES"/>
        </w:rPr>
        <w:t>Xxxx X Xxxxxxxx Xxxxxxxxxx</w:t>
      </w:r>
      <w:r>
        <w:rPr>
          <w:rFonts w:ascii="Palatino Linotype" w:hAnsi="Palatino Linotype"/>
          <w:b/>
          <w:lang w:val="es-ES"/>
        </w:rPr>
        <w:t>,</w:t>
      </w:r>
      <w:r>
        <w:rPr>
          <w:rFonts w:ascii="Palatino Linotype" w:hAnsi="Palatino Linotype"/>
          <w:lang w:val="es-ES"/>
        </w:rPr>
        <w:t xml:space="preserve"> en lo sucesivo </w:t>
      </w:r>
      <w:r>
        <w:rPr>
          <w:rFonts w:ascii="Palatino Linotype" w:hAnsi="Palatino Linotype"/>
          <w:b/>
          <w:lang w:val="es-ES"/>
        </w:rPr>
        <w:t>EL RECURRENTE,</w:t>
      </w:r>
      <w:r>
        <w:rPr>
          <w:rFonts w:ascii="Palatino Linotype" w:hAnsi="Palatino Linotype"/>
          <w:lang w:val="es-ES"/>
        </w:rPr>
        <w:t xml:space="preserve"> </w:t>
      </w:r>
      <w:r>
        <w:rPr>
          <w:rFonts w:ascii="Palatino Linotype" w:hAnsi="Palatino Linotype" w:cs="Arial"/>
          <w:lang w:val="es-ES"/>
        </w:rPr>
        <w:t xml:space="preserve">en contra de la respuesta del </w:t>
      </w:r>
      <w:r>
        <w:rPr>
          <w:rFonts w:ascii="Palatino Linotype" w:hAnsi="Palatino Linotype" w:cs="Arial"/>
          <w:b/>
          <w:lang w:val="es-ES"/>
        </w:rPr>
        <w:t xml:space="preserve">Ayuntamiento de Naucalpan de Juárez, </w:t>
      </w:r>
      <w:r>
        <w:rPr>
          <w:rFonts w:ascii="Palatino Linotype" w:hAnsi="Palatino Linotype" w:cs="Arial"/>
          <w:lang w:val="es-ES"/>
        </w:rPr>
        <w:t xml:space="preserve">en lo sucesivo </w:t>
      </w:r>
      <w:r>
        <w:rPr>
          <w:rFonts w:ascii="Palatino Linotype" w:hAnsi="Palatino Linotype" w:cs="Arial"/>
          <w:b/>
          <w:lang w:val="es-ES"/>
        </w:rPr>
        <w:t xml:space="preserve">EL SUJETO OBLIGADO, </w:t>
      </w:r>
      <w:r>
        <w:rPr>
          <w:rFonts w:ascii="Palatino Linotype" w:hAnsi="Palatino Linotype" w:cs="Arial"/>
          <w:lang w:val="es-ES"/>
        </w:rPr>
        <w:t>se procede a dictar la presente resolución con base en lo siguiente:</w:t>
      </w:r>
    </w:p>
    <w:p w:rsidR="00757817" w:rsidRDefault="00862B85">
      <w:pPr>
        <w:spacing w:line="360" w:lineRule="auto"/>
        <w:jc w:val="center"/>
        <w:rPr>
          <w:rFonts w:ascii="Palatino Linotype" w:hAnsi="Palatino Linotype" w:cs="Arial"/>
          <w:b/>
          <w:lang w:val="es-ES"/>
        </w:rPr>
      </w:pPr>
      <w:r>
        <w:rPr>
          <w:rFonts w:ascii="Palatino Linotype" w:hAnsi="Palatino Linotype" w:cs="Arial"/>
          <w:b/>
          <w:lang w:val="es-ES"/>
        </w:rPr>
        <w:t>R E S U L T A N D O</w:t>
      </w:r>
    </w:p>
    <w:p w:rsidR="00757817" w:rsidRDefault="00862B85">
      <w:pPr>
        <w:spacing w:line="360" w:lineRule="auto"/>
        <w:jc w:val="both"/>
        <w:rPr>
          <w:rFonts w:ascii="Palatino Linotype" w:hAnsi="Palatino Linotype" w:cs="Arial"/>
          <w:lang w:val="es-ES"/>
        </w:rPr>
      </w:pPr>
      <w:r>
        <w:rPr>
          <w:rFonts w:ascii="Palatino Linotype" w:hAnsi="Palatino Linotype" w:cs="Arial"/>
          <w:b/>
          <w:sz w:val="28"/>
          <w:szCs w:val="28"/>
          <w:lang w:val="es-ES"/>
        </w:rPr>
        <w:t>I.</w:t>
      </w:r>
      <w:r>
        <w:rPr>
          <w:rFonts w:ascii="Palatino Linotype" w:hAnsi="Palatino Linotype" w:cs="Arial"/>
          <w:b/>
          <w:lang w:val="es-ES"/>
        </w:rPr>
        <w:t xml:space="preserve"> </w:t>
      </w:r>
      <w:r>
        <w:rPr>
          <w:rFonts w:ascii="Palatino Linotype" w:hAnsi="Palatino Linotype" w:cs="Arial"/>
          <w:lang w:val="es-ES"/>
        </w:rPr>
        <w:t xml:space="preserve">En fecha diecisiete de enero de dos mil veinte, </w:t>
      </w:r>
      <w:r>
        <w:rPr>
          <w:rFonts w:ascii="Palatino Linotype" w:hAnsi="Palatino Linotype" w:cs="Arial"/>
          <w:b/>
          <w:lang w:val="es-ES"/>
        </w:rPr>
        <w:t>EL RECURRENTE</w:t>
      </w:r>
      <w:r>
        <w:rPr>
          <w:rFonts w:ascii="Palatino Linotype" w:hAnsi="Palatino Linotype" w:cs="Arial"/>
          <w:lang w:val="es-ES"/>
        </w:rPr>
        <w:t xml:space="preserve"> presentó a través del Sistema de Acceso a la Información Mexiquense, en lo subsecuente </w:t>
      </w:r>
      <w:r>
        <w:rPr>
          <w:rFonts w:ascii="Palatino Linotype" w:hAnsi="Palatino Linotype" w:cs="Arial"/>
          <w:b/>
          <w:lang w:val="es-ES"/>
        </w:rPr>
        <w:t>EL SAIMEX</w:t>
      </w:r>
      <w:r>
        <w:rPr>
          <w:rFonts w:ascii="Palatino Linotype" w:hAnsi="Palatino Linotype" w:cs="Arial"/>
          <w:lang w:val="es-ES"/>
        </w:rPr>
        <w:t xml:space="preserve"> ante </w:t>
      </w:r>
      <w:r>
        <w:rPr>
          <w:rFonts w:ascii="Palatino Linotype" w:hAnsi="Palatino Linotype" w:cs="Arial"/>
          <w:b/>
          <w:lang w:val="es-ES"/>
        </w:rPr>
        <w:t>EL SUJETO OBLIGADO</w:t>
      </w:r>
      <w:r>
        <w:rPr>
          <w:rFonts w:ascii="Palatino Linotype" w:hAnsi="Palatino Linotype" w:cs="Arial"/>
          <w:lang w:val="es-ES"/>
        </w:rPr>
        <w:t xml:space="preserve">, </w:t>
      </w:r>
      <w:r>
        <w:rPr>
          <w:rFonts w:ascii="Palatino Linotype" w:hAnsi="Palatino Linotype"/>
          <w:lang w:val="es-ES"/>
        </w:rPr>
        <w:t xml:space="preserve">la solicitud de acceso a información pública, a la que se le asignó el número </w:t>
      </w:r>
      <w:r>
        <w:rPr>
          <w:rFonts w:ascii="Palatino Linotype" w:hAnsi="Palatino Linotype" w:cs="Arial"/>
          <w:b/>
          <w:lang w:val="es-ES"/>
        </w:rPr>
        <w:t xml:space="preserve">00050/NAUCALPA/IP/2020, </w:t>
      </w:r>
      <w:r>
        <w:rPr>
          <w:rFonts w:ascii="Palatino Linotype" w:hAnsi="Palatino Linotype" w:cs="Arial"/>
          <w:lang w:val="es-ES"/>
        </w:rPr>
        <w:t>mediante la cual requirió lo siguiente:</w:t>
      </w:r>
    </w:p>
    <w:p w:rsidR="00757817" w:rsidRDefault="00757817">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161"/>
        <w:gridCol w:w="5845"/>
      </w:tblGrid>
      <w:tr w:rsidR="00757817">
        <w:trPr>
          <w:trHeight w:val="589"/>
        </w:trPr>
        <w:tc>
          <w:tcPr>
            <w:tcW w:w="3161" w:type="dxa"/>
            <w:shd w:val="clear" w:color="auto" w:fill="000000" w:themeFill="text1"/>
            <w:vAlign w:val="center"/>
          </w:tcPr>
          <w:p w:rsidR="00757817" w:rsidRDefault="00862B85">
            <w:pPr>
              <w:spacing w:line="360" w:lineRule="auto"/>
              <w:jc w:val="center"/>
              <w:rPr>
                <w:rFonts w:ascii="Palatino Linotype" w:hAnsi="Palatino Linotype"/>
                <w:b/>
                <w:color w:val="FFFFFF" w:themeColor="background1"/>
                <w:lang w:val="es-ES"/>
              </w:rPr>
            </w:pPr>
            <w:r>
              <w:rPr>
                <w:rFonts w:ascii="Palatino Linotype" w:hAnsi="Palatino Linotype"/>
                <w:b/>
                <w:color w:val="FFFFFF" w:themeColor="background1"/>
                <w:lang w:val="es-ES"/>
              </w:rPr>
              <w:t>Número de Solicitud</w:t>
            </w:r>
          </w:p>
        </w:tc>
        <w:tc>
          <w:tcPr>
            <w:tcW w:w="5844" w:type="dxa"/>
            <w:shd w:val="clear" w:color="auto" w:fill="000000" w:themeFill="text1"/>
            <w:vAlign w:val="center"/>
          </w:tcPr>
          <w:p w:rsidR="00757817" w:rsidRDefault="00862B85">
            <w:pPr>
              <w:tabs>
                <w:tab w:val="left" w:pos="1125"/>
              </w:tabs>
              <w:spacing w:line="360" w:lineRule="auto"/>
              <w:jc w:val="center"/>
              <w:rPr>
                <w:rFonts w:ascii="Palatino Linotype" w:hAnsi="Palatino Linotype"/>
                <w:b/>
                <w:lang w:val="es-ES"/>
              </w:rPr>
            </w:pPr>
            <w:r>
              <w:rPr>
                <w:rFonts w:ascii="Palatino Linotype" w:hAnsi="Palatino Linotype"/>
                <w:b/>
                <w:lang w:val="es-ES"/>
              </w:rPr>
              <w:t>Contenido</w:t>
            </w:r>
          </w:p>
        </w:tc>
      </w:tr>
      <w:tr w:rsidR="00757817">
        <w:trPr>
          <w:trHeight w:val="792"/>
        </w:trPr>
        <w:tc>
          <w:tcPr>
            <w:tcW w:w="3161" w:type="dxa"/>
            <w:vAlign w:val="center"/>
          </w:tcPr>
          <w:p w:rsidR="00757817" w:rsidRDefault="00862B85">
            <w:pPr>
              <w:spacing w:line="360" w:lineRule="auto"/>
              <w:jc w:val="center"/>
              <w:rPr>
                <w:rFonts w:ascii="Palatino Linotype" w:hAnsi="Palatino Linotype"/>
                <w:lang w:val="es-ES"/>
              </w:rPr>
            </w:pPr>
            <w:r>
              <w:rPr>
                <w:rFonts w:ascii="Palatino Linotype" w:hAnsi="Palatino Linotype" w:cs="Arial"/>
                <w:b/>
                <w:lang w:val="es-ES"/>
              </w:rPr>
              <w:t>00050/NAUCALPA/IP/2020</w:t>
            </w:r>
          </w:p>
        </w:tc>
        <w:tc>
          <w:tcPr>
            <w:tcW w:w="5844" w:type="dxa"/>
          </w:tcPr>
          <w:p w:rsidR="00757817" w:rsidRDefault="00862B85">
            <w:pPr>
              <w:spacing w:after="160" w:line="360" w:lineRule="auto"/>
              <w:jc w:val="both"/>
              <w:rPr>
                <w:rFonts w:ascii="Palatino Linotype" w:hAnsi="Palatino Linotype"/>
                <w:i/>
                <w:lang w:val="es-ES"/>
              </w:rPr>
            </w:pPr>
            <w:r>
              <w:rPr>
                <w:rFonts w:ascii="Palatino Linotype" w:hAnsi="Palatino Linotype" w:cs="Arial"/>
                <w:i/>
                <w:lang w:val="es-ES"/>
              </w:rPr>
              <w:t>“Solicito se me informe si existen permisos vigentes para el ejercicio del comercio ambulante sobre la Avenida La Herradura en su cruce con Paseos Bosques de La Herradura (Naucalpan) y, de ser el caso, se me entregue una copia de cada uno de ellos. Se agrega un anexo con fotografias que señalan el lugar donde están instalados y la evidencia de una inspección practicada.”</w:t>
            </w:r>
          </w:p>
        </w:tc>
      </w:tr>
    </w:tbl>
    <w:p w:rsidR="00757817" w:rsidRDefault="00862B85">
      <w:pPr>
        <w:spacing w:line="360" w:lineRule="auto"/>
        <w:jc w:val="both"/>
        <w:rPr>
          <w:rFonts w:ascii="Palatino Linotype" w:hAnsi="Palatino Linotype"/>
        </w:rPr>
      </w:pPr>
      <w:r>
        <w:rPr>
          <w:rFonts w:ascii="Palatino Linotype" w:hAnsi="Palatino Linotype"/>
        </w:rPr>
        <w:lastRenderedPageBreak/>
        <w:t xml:space="preserve">De igual forma, le anexó un archivo electrónico denominado </w:t>
      </w:r>
      <w:r>
        <w:rPr>
          <w:rFonts w:ascii="Palatino Linotype" w:hAnsi="Palatino Linotype"/>
          <w:b/>
          <w:i/>
        </w:rPr>
        <w:t>Nota complementaria SAIMEX vend amb enero 2020.docx</w:t>
      </w:r>
      <w:r>
        <w:rPr>
          <w:rFonts w:ascii="Palatino Linotype" w:hAnsi="Palatino Linotype"/>
        </w:rPr>
        <w:t>, mediante el cual se aprecian fotografías en donde refiere su ubican los puesto ambulantes de los que requiere las licencias.</w:t>
      </w:r>
    </w:p>
    <w:p w:rsidR="00757817" w:rsidRDefault="00757817">
      <w:pPr>
        <w:spacing w:line="360" w:lineRule="auto"/>
        <w:jc w:val="both"/>
        <w:rPr>
          <w:rFonts w:ascii="Palatino Linotype" w:hAnsi="Palatino Linotype"/>
        </w:rPr>
      </w:pPr>
    </w:p>
    <w:p w:rsidR="00757817" w:rsidRDefault="00862B85">
      <w:pPr>
        <w:spacing w:line="360" w:lineRule="auto"/>
        <w:jc w:val="both"/>
        <w:rPr>
          <w:rFonts w:ascii="Palatino Linotype" w:hAnsi="Palatino Linotype"/>
          <w:sz w:val="28"/>
          <w:szCs w:val="28"/>
        </w:rPr>
      </w:pPr>
      <w:r>
        <w:rPr>
          <w:rFonts w:ascii="Palatino Linotype" w:hAnsi="Palatino Linotype"/>
          <w:b/>
          <w:sz w:val="28"/>
          <w:szCs w:val="28"/>
        </w:rPr>
        <w:t>II.</w:t>
      </w:r>
      <w:r>
        <w:rPr>
          <w:rFonts w:ascii="Palatino Linotype" w:hAnsi="Palatino Linotype"/>
          <w:sz w:val="28"/>
          <w:szCs w:val="28"/>
        </w:rPr>
        <w:t xml:space="preserve"> </w:t>
      </w:r>
      <w:r>
        <w:rPr>
          <w:rFonts w:ascii="Palatino Linotype" w:hAnsi="Palatino Linotype"/>
        </w:rPr>
        <w:t>Por su parte el Titular de la Unidad de Transparencia en fecha quince de octubre de dos mil diecinueve, solicitó la información de mérito, como se aprecia en la imagen inserta a continuación:</w:t>
      </w:r>
    </w:p>
    <w:p w:rsidR="00757817" w:rsidRDefault="00862B85">
      <w:pPr>
        <w:spacing w:line="360" w:lineRule="auto"/>
        <w:jc w:val="both"/>
        <w:rPr>
          <w:rFonts w:ascii="Palatino Linotype" w:hAnsi="Palatino Linotype"/>
          <w:sz w:val="28"/>
          <w:szCs w:val="28"/>
        </w:rPr>
      </w:pPr>
      <w:r>
        <w:rPr>
          <w:noProof/>
          <w:lang w:eastAsia="es-MX"/>
        </w:rPr>
        <w:drawing>
          <wp:inline distT="0" distB="0" distL="0" distR="0">
            <wp:extent cx="5629275" cy="206692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rcRect l="13071" t="25965" r="13104" b="55330"/>
                    <a:stretch>
                      <a:fillRect/>
                    </a:stretch>
                  </pic:blipFill>
                  <pic:spPr bwMode="auto">
                    <a:xfrm>
                      <a:off x="0" y="0"/>
                      <a:ext cx="5629275" cy="2066925"/>
                    </a:xfrm>
                    <a:prstGeom prst="rect">
                      <a:avLst/>
                    </a:prstGeom>
                  </pic:spPr>
                </pic:pic>
              </a:graphicData>
            </a:graphic>
          </wp:inline>
        </w:drawing>
      </w:r>
    </w:p>
    <w:p w:rsidR="00757817" w:rsidRDefault="00862B85">
      <w:pPr>
        <w:spacing w:line="360" w:lineRule="auto"/>
        <w:jc w:val="both"/>
        <w:rPr>
          <w:rFonts w:ascii="Palatino Linotype" w:hAnsi="Palatino Linotype"/>
        </w:rPr>
      </w:pPr>
      <w:r>
        <w:rPr>
          <w:noProof/>
          <w:lang w:eastAsia="es-MX"/>
        </w:rPr>
        <mc:AlternateContent>
          <mc:Choice Requires="wps">
            <w:drawing>
              <wp:anchor distT="0" distB="0" distL="0" distR="0" simplePos="0" relativeHeight="69" behindDoc="0" locked="0" layoutInCell="1" allowOverlap="1" wp14:anchorId="715F4B67">
                <wp:simplePos x="0" y="0"/>
                <wp:positionH relativeFrom="margin">
                  <wp:posOffset>117475</wp:posOffset>
                </wp:positionH>
                <wp:positionV relativeFrom="paragraph">
                  <wp:posOffset>1730375</wp:posOffset>
                </wp:positionV>
                <wp:extent cx="5687060" cy="1124585"/>
                <wp:effectExtent l="19050" t="19050" r="28575" b="19050"/>
                <wp:wrapNone/>
                <wp:docPr id="2" name="Conector recto 18"/>
                <wp:cNvGraphicFramePr/>
                <a:graphic xmlns:a="http://schemas.openxmlformats.org/drawingml/2006/main">
                  <a:graphicData uri="http://schemas.microsoft.com/office/word/2010/wordprocessingShape">
                    <wps:wsp>
                      <wps:cNvCnPr/>
                      <wps:spPr>
                        <a:xfrm>
                          <a:off x="0" y="0"/>
                          <a:ext cx="5687060" cy="1124585"/>
                        </a:xfrm>
                        <a:prstGeom prst="line">
                          <a:avLst/>
                        </a:prstGeom>
                        <a:ln w="28440"/>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4DD60AF3" id="Conector recto 18" o:spid="_x0000_s1026" style="position:absolute;z-index:69;visibility:visible;mso-wrap-style:square;mso-wrap-distance-left:0;mso-wrap-distance-top:0;mso-wrap-distance-right:0;mso-wrap-distance-bottom:0;mso-position-horizontal:absolute;mso-position-horizontal-relative:margin;mso-position-vertical:absolute;mso-position-vertical-relative:text" from="9.25pt,136.25pt" to="457.05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" strokecolor="#4579b8 [3044]" strokeweight=".79mm">
                <w10:wrap anchorx="margin"/>
              </v:line>
            </w:pict>
          </mc:Fallback>
        </mc:AlternateContent>
      </w:r>
      <w:r>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el cargo de Secretario de Desarrollo Económico, como se aprecia a continuación:</w:t>
      </w:r>
    </w:p>
    <w:p w:rsidR="00757817" w:rsidRDefault="00862B85">
      <w:pPr>
        <w:spacing w:line="360" w:lineRule="auto"/>
        <w:jc w:val="both"/>
        <w:rPr>
          <w:rFonts w:ascii="Palatino Linotype" w:hAnsi="Palatino Linotype"/>
        </w:rPr>
      </w:pPr>
      <w:r>
        <w:rPr>
          <w:noProof/>
          <w:lang w:eastAsia="es-MX"/>
        </w:rPr>
        <w:lastRenderedPageBreak/>
        <w:drawing>
          <wp:inline distT="0" distB="0" distL="0" distR="0">
            <wp:extent cx="5591175" cy="3009900"/>
            <wp:effectExtent l="0" t="0" r="0" b="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5"/>
                    <pic:cNvPicPr>
                      <a:picLocks noChangeAspect="1" noChangeArrowheads="1"/>
                    </pic:cNvPicPr>
                  </pic:nvPicPr>
                  <pic:blipFill>
                    <a:blip r:embed="rId8"/>
                    <a:srcRect l="21219" t="21737" r="37546" b="15477"/>
                    <a:stretch>
                      <a:fillRect/>
                    </a:stretch>
                  </pic:blipFill>
                  <pic:spPr bwMode="auto">
                    <a:xfrm>
                      <a:off x="0" y="0"/>
                      <a:ext cx="5591175" cy="3009900"/>
                    </a:xfrm>
                    <a:prstGeom prst="rect">
                      <a:avLst/>
                    </a:prstGeom>
                  </pic:spPr>
                </pic:pic>
              </a:graphicData>
            </a:graphic>
          </wp:inline>
        </w:drawing>
      </w:r>
    </w:p>
    <w:p w:rsidR="00757817" w:rsidRDefault="00862B85">
      <w:pPr>
        <w:spacing w:line="360" w:lineRule="auto"/>
        <w:jc w:val="both"/>
        <w:rPr>
          <w:rFonts w:ascii="Palatino Linotype" w:hAnsi="Palatino Linotype" w:cs="Arial"/>
          <w:lang w:val="es-ES_tradnl"/>
        </w:rPr>
      </w:pPr>
      <w:r>
        <w:rPr>
          <w:rFonts w:ascii="Palatino Linotype" w:hAnsi="Palatino Linotype"/>
          <w:b/>
          <w:sz w:val="28"/>
          <w:szCs w:val="28"/>
        </w:rPr>
        <w:t xml:space="preserve">III-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cuatro de febrero de dos mil veinte, </w:t>
      </w:r>
      <w:r>
        <w:rPr>
          <w:rFonts w:ascii="Palatino Linotype" w:hAnsi="Palatino Linotype" w:cs="Arial"/>
          <w:lang w:val="es-ES_tradnl"/>
        </w:rPr>
        <w:t>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757817" w:rsidRDefault="00862B85">
      <w:pPr>
        <w:spacing w:line="276" w:lineRule="auto"/>
        <w:ind w:left="851" w:right="616"/>
        <w:jc w:val="right"/>
        <w:rPr>
          <w:rFonts w:ascii="Palatino Linotype" w:hAnsi="Palatino Linotype" w:cs="Arial"/>
          <w:i/>
          <w:lang w:val="es-ES"/>
        </w:rPr>
      </w:pPr>
      <w:r>
        <w:rPr>
          <w:rFonts w:ascii="Palatino Linotype" w:hAnsi="Palatino Linotype" w:cs="Arial"/>
          <w:i/>
          <w:lang w:val="es-ES"/>
        </w:rPr>
        <w:t>“Folio de la solicitud: 00050/NAUCALPA/IP/2020</w:t>
      </w:r>
    </w:p>
    <w:p w:rsidR="00757817" w:rsidRDefault="00862B85">
      <w:pPr>
        <w:spacing w:line="276" w:lineRule="auto"/>
        <w:ind w:left="851" w:right="616"/>
        <w:jc w:val="both"/>
        <w:rPr>
          <w:rFonts w:ascii="Palatino Linotype" w:hAnsi="Palatino Linotype" w:cs="Arial"/>
          <w:i/>
          <w:lang w:val="es-ES"/>
        </w:rPr>
      </w:pPr>
      <w:r>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57817" w:rsidRPr="00511548" w:rsidRDefault="00862B85">
      <w:pPr>
        <w:spacing w:line="276" w:lineRule="auto"/>
        <w:ind w:left="851" w:right="616"/>
        <w:jc w:val="both"/>
        <w:rPr>
          <w:rFonts w:ascii="Palatino Linotype" w:hAnsi="Palatino Linotype" w:cs="Arial"/>
          <w:i/>
          <w:lang w:val="pt-BR"/>
        </w:rPr>
      </w:pPr>
      <w:r w:rsidRPr="00511548">
        <w:rPr>
          <w:rFonts w:ascii="Palatino Linotype" w:hAnsi="Palatino Linotype" w:cs="Arial"/>
          <w:i/>
          <w:lang w:val="pt-BR"/>
        </w:rPr>
        <w:t>Se adjunta documento</w:t>
      </w:r>
    </w:p>
    <w:p w:rsidR="00757817" w:rsidRPr="00511548" w:rsidRDefault="00862B85">
      <w:pPr>
        <w:spacing w:line="276" w:lineRule="auto"/>
        <w:ind w:left="851" w:right="616"/>
        <w:jc w:val="both"/>
        <w:rPr>
          <w:rFonts w:ascii="Palatino Linotype" w:hAnsi="Palatino Linotype" w:cs="Arial"/>
          <w:i/>
          <w:lang w:val="pt-BR"/>
        </w:rPr>
      </w:pPr>
      <w:r w:rsidRPr="00511548">
        <w:rPr>
          <w:rFonts w:ascii="Palatino Linotype" w:hAnsi="Palatino Linotype" w:cs="Arial"/>
          <w:i/>
          <w:lang w:val="pt-BR"/>
        </w:rPr>
        <w:t>ATENTAMENTE</w:t>
      </w:r>
    </w:p>
    <w:p w:rsidR="00757817" w:rsidRPr="00511548" w:rsidRDefault="00862B85">
      <w:pPr>
        <w:spacing w:line="276" w:lineRule="auto"/>
        <w:ind w:left="851" w:right="616"/>
        <w:jc w:val="both"/>
        <w:rPr>
          <w:rFonts w:ascii="Palatino Linotype" w:hAnsi="Palatino Linotype" w:cs="Arial"/>
          <w:i/>
          <w:lang w:val="pt-BR"/>
        </w:rPr>
      </w:pPr>
      <w:r w:rsidRPr="00511548">
        <w:rPr>
          <w:rFonts w:ascii="Palatino Linotype" w:hAnsi="Palatino Linotype" w:cs="Arial"/>
          <w:i/>
          <w:lang w:val="pt-BR"/>
        </w:rPr>
        <w:t>C. LEONARDO SALCEDO MALVAEZ”</w:t>
      </w:r>
    </w:p>
    <w:p w:rsidR="00757817" w:rsidRPr="00511548" w:rsidRDefault="00757817">
      <w:pPr>
        <w:spacing w:line="276" w:lineRule="auto"/>
        <w:ind w:right="616"/>
        <w:jc w:val="both"/>
        <w:rPr>
          <w:rFonts w:ascii="Palatino Linotype" w:hAnsi="Palatino Linotype" w:cs="Arial"/>
          <w:i/>
          <w:lang w:val="pt-BR"/>
        </w:rPr>
      </w:pPr>
    </w:p>
    <w:p w:rsidR="00757817" w:rsidRDefault="00862B85">
      <w:pPr>
        <w:spacing w:line="360" w:lineRule="auto"/>
        <w:jc w:val="both"/>
        <w:rPr>
          <w:rFonts w:ascii="Palatino Linotype" w:hAnsi="Palatino Linotype" w:cs="Arial"/>
        </w:rPr>
      </w:pPr>
      <w:r>
        <w:rPr>
          <w:rFonts w:ascii="Palatino Linotype" w:hAnsi="Palatino Linotype" w:cs="Arial"/>
        </w:rPr>
        <w:t>Asimismo, anexó dos archivos electrónicos denominados</w:t>
      </w:r>
      <w:r>
        <w:rPr>
          <w:rFonts w:ascii="Palatino Linotype" w:hAnsi="Palatino Linotype" w:cs="Arial"/>
          <w:i/>
          <w:lang w:val="es-ES"/>
        </w:rPr>
        <w:t xml:space="preserve"> </w:t>
      </w:r>
      <w:r>
        <w:rPr>
          <w:rFonts w:ascii="Palatino Linotype" w:hAnsi="Palatino Linotype" w:cs="Arial"/>
          <w:b/>
          <w:i/>
          <w:lang w:val="es-ES"/>
        </w:rPr>
        <w:t>Respuesta 00050.pdf</w:t>
      </w:r>
      <w:r>
        <w:rPr>
          <w:rFonts w:ascii="Palatino Linotype" w:hAnsi="Palatino Linotype" w:cs="Arial"/>
          <w:i/>
          <w:lang w:val="es-ES"/>
        </w:rPr>
        <w:t xml:space="preserve"> y </w:t>
      </w:r>
      <w:r>
        <w:rPr>
          <w:rFonts w:ascii="Palatino Linotype" w:hAnsi="Palatino Linotype" w:cs="Arial"/>
          <w:b/>
          <w:i/>
          <w:lang w:val="es-ES"/>
        </w:rPr>
        <w:t>50_202002041630.pdf</w:t>
      </w:r>
      <w:r>
        <w:rPr>
          <w:rFonts w:ascii="Palatino Linotype" w:hAnsi="Palatino Linotype" w:cs="Arial"/>
          <w:b/>
        </w:rPr>
        <w:t xml:space="preserve">, </w:t>
      </w:r>
      <w:r>
        <w:rPr>
          <w:rFonts w:ascii="Palatino Linotype" w:hAnsi="Palatino Linotype" w:cs="Arial"/>
        </w:rPr>
        <w:t xml:space="preserve">mediante el cual en el primero obra el escrito del Director de la Unidad de Transparencia y Acceso a la Información Pública le señaló que le adjuntó la respuesta por parte del Servidor Público Habilitado Competente y el segundo contiene </w:t>
      </w:r>
      <w:r>
        <w:rPr>
          <w:rFonts w:ascii="Palatino Linotype" w:hAnsi="Palatino Linotype" w:cs="Arial"/>
        </w:rPr>
        <w:lastRenderedPageBreak/>
        <w:t>el oficio del Jefe de Departamento de Vía Pública en el que de acuerdo a la solicitud para poder dar la debida atención era necesario contar con el nombre de los permisionarios ya que no poseen la misma conforme lo refirió; sin embargo, el personal de esa dependencia haría una inspección para verificar los datos proporcionados.</w:t>
      </w:r>
    </w:p>
    <w:p w:rsidR="00757817" w:rsidRDefault="00757817">
      <w:pPr>
        <w:spacing w:line="276" w:lineRule="auto"/>
        <w:ind w:right="616"/>
        <w:jc w:val="both"/>
        <w:rPr>
          <w:rFonts w:ascii="Palatino Linotype" w:hAnsi="Palatino Linotype" w:cs="Arial"/>
          <w:i/>
          <w:lang w:val="es-ES"/>
        </w:rPr>
      </w:pPr>
    </w:p>
    <w:p w:rsidR="00757817" w:rsidRDefault="00862B85">
      <w:pPr>
        <w:spacing w:line="360" w:lineRule="auto"/>
        <w:jc w:val="both"/>
        <w:rPr>
          <w:rFonts w:ascii="Palatino Linotype" w:hAnsi="Palatino Linotype" w:cs="Arial"/>
          <w:lang w:val="es-ES"/>
        </w:rPr>
      </w:pPr>
      <w:r>
        <w:rPr>
          <w:rFonts w:ascii="Palatino Linotype" w:hAnsi="Palatino Linotype" w:cs="Arial"/>
          <w:b/>
          <w:sz w:val="28"/>
          <w:szCs w:val="28"/>
          <w:lang w:val="es-ES"/>
        </w:rPr>
        <w:t xml:space="preserve">IV. </w:t>
      </w:r>
      <w:r>
        <w:rPr>
          <w:rFonts w:ascii="Palatino Linotype" w:hAnsi="Palatino Linotype"/>
          <w:lang w:val="es-ES"/>
        </w:rPr>
        <w:t xml:space="preserve">Inconforme con la </w:t>
      </w:r>
      <w:r>
        <w:rPr>
          <w:rFonts w:ascii="Palatino Linotype" w:hAnsi="Palatino Linotype" w:cs="Arial"/>
          <w:lang w:val="es-ES"/>
        </w:rPr>
        <w:t xml:space="preserve">respuesta el cinco de febrero de dos mil veinte, </w:t>
      </w:r>
      <w:r>
        <w:rPr>
          <w:rFonts w:ascii="Palatino Linotype" w:hAnsi="Palatino Linotype"/>
          <w:b/>
          <w:lang w:val="es-ES"/>
        </w:rPr>
        <w:t>EL RECURRENTE</w:t>
      </w:r>
      <w:r>
        <w:rPr>
          <w:rFonts w:ascii="Palatino Linotype" w:hAnsi="Palatino Linotype"/>
          <w:lang w:val="es-ES"/>
        </w:rPr>
        <w:t xml:space="preserve"> interpuso el recursos de revisión objeto del presente estudio, el cual fue registrado en </w:t>
      </w:r>
      <w:r>
        <w:rPr>
          <w:rFonts w:ascii="Palatino Linotype" w:hAnsi="Palatino Linotype"/>
          <w:b/>
          <w:lang w:val="es-ES"/>
        </w:rPr>
        <w:t>EL SAIMEX</w:t>
      </w:r>
      <w:r>
        <w:rPr>
          <w:rFonts w:ascii="Palatino Linotype" w:hAnsi="Palatino Linotype"/>
          <w:lang w:val="es-ES"/>
        </w:rPr>
        <w:t xml:space="preserve"> y se le asignó el número de expediente</w:t>
      </w:r>
      <w:r>
        <w:rPr>
          <w:rFonts w:ascii="Palatino Linotype" w:hAnsi="Palatino Linotype" w:cs="Arial"/>
          <w:lang w:val="es-ES"/>
        </w:rPr>
        <w:t xml:space="preserve"> </w:t>
      </w:r>
      <w:r>
        <w:rPr>
          <w:rFonts w:ascii="Palatino Linotype" w:hAnsi="Palatino Linotype"/>
          <w:lang w:eastAsia="es-MX"/>
        </w:rPr>
        <w:br/>
      </w:r>
      <w:r>
        <w:rPr>
          <w:rFonts w:ascii="Palatino Linotype" w:hAnsi="Palatino Linotype"/>
          <w:b/>
          <w:lang w:eastAsia="es-MX"/>
        </w:rPr>
        <w:t>00887/INFOEM/IP/RR/2020</w:t>
      </w:r>
      <w:r>
        <w:rPr>
          <w:rFonts w:ascii="Palatino Linotype" w:hAnsi="Palatino Linotype"/>
          <w:lang w:eastAsia="es-MX"/>
        </w:rPr>
        <w:t xml:space="preserve">, </w:t>
      </w:r>
      <w:r>
        <w:rPr>
          <w:rFonts w:ascii="Palatino Linotype" w:hAnsi="Palatino Linotype" w:cs="Arial"/>
          <w:lang w:val="es-ES"/>
        </w:rPr>
        <w:t>en el que señaló como acto impugnado y razones o motivos de inconformidad lo siguiente:</w:t>
      </w:r>
    </w:p>
    <w:tbl>
      <w:tblPr>
        <w:tblStyle w:val="Tablaconcuadrcula"/>
        <w:tblW w:w="8828" w:type="dxa"/>
        <w:jc w:val="center"/>
        <w:tblLook w:val="04A0" w:firstRow="1" w:lastRow="0" w:firstColumn="1" w:lastColumn="0" w:noHBand="0" w:noVBand="1"/>
      </w:tblPr>
      <w:tblGrid>
        <w:gridCol w:w="2680"/>
        <w:gridCol w:w="2820"/>
        <w:gridCol w:w="3611"/>
      </w:tblGrid>
      <w:tr w:rsidR="00757817">
        <w:trPr>
          <w:jc w:val="center"/>
        </w:trPr>
        <w:tc>
          <w:tcPr>
            <w:tcW w:w="2689" w:type="dxa"/>
            <w:shd w:val="clear" w:color="auto" w:fill="000000" w:themeFill="text1"/>
            <w:vAlign w:val="center"/>
          </w:tcPr>
          <w:p w:rsidR="00757817" w:rsidRDefault="00862B85">
            <w:pPr>
              <w:jc w:val="center"/>
              <w:rPr>
                <w:rFonts w:ascii="Palatino Linotype" w:hAnsi="Palatino Linotype"/>
                <w:b/>
              </w:rPr>
            </w:pPr>
            <w:r>
              <w:rPr>
                <w:rFonts w:ascii="Palatino Linotype" w:hAnsi="Palatino Linotype"/>
                <w:b/>
              </w:rPr>
              <w:t>Número de Recurso</w:t>
            </w:r>
          </w:p>
        </w:tc>
        <w:tc>
          <w:tcPr>
            <w:tcW w:w="3118" w:type="dxa"/>
            <w:shd w:val="clear" w:color="auto" w:fill="000000" w:themeFill="text1"/>
            <w:vAlign w:val="center"/>
          </w:tcPr>
          <w:p w:rsidR="00757817" w:rsidRDefault="00862B85">
            <w:pPr>
              <w:jc w:val="center"/>
              <w:rPr>
                <w:rFonts w:ascii="Palatino Linotype" w:hAnsi="Palatino Linotype"/>
                <w:b/>
              </w:rPr>
            </w:pPr>
            <w:r>
              <w:rPr>
                <w:rFonts w:ascii="Palatino Linotype" w:hAnsi="Palatino Linotype"/>
                <w:b/>
              </w:rPr>
              <w:t>Acto Impugnado</w:t>
            </w:r>
          </w:p>
        </w:tc>
        <w:tc>
          <w:tcPr>
            <w:tcW w:w="3021" w:type="dxa"/>
            <w:shd w:val="clear" w:color="auto" w:fill="000000" w:themeFill="text1"/>
            <w:vAlign w:val="center"/>
          </w:tcPr>
          <w:p w:rsidR="00757817" w:rsidRDefault="00862B85">
            <w:pPr>
              <w:jc w:val="center"/>
              <w:rPr>
                <w:rFonts w:ascii="Palatino Linotype" w:hAnsi="Palatino Linotype"/>
                <w:b/>
              </w:rPr>
            </w:pPr>
            <w:r>
              <w:rPr>
                <w:rFonts w:ascii="Palatino Linotype" w:hAnsi="Palatino Linotype"/>
                <w:b/>
              </w:rPr>
              <w:t>Razones o motivos de inconformidad</w:t>
            </w:r>
          </w:p>
        </w:tc>
      </w:tr>
      <w:tr w:rsidR="00757817">
        <w:trPr>
          <w:trHeight w:val="1384"/>
          <w:jc w:val="center"/>
        </w:trPr>
        <w:tc>
          <w:tcPr>
            <w:tcW w:w="2689" w:type="dxa"/>
          </w:tcPr>
          <w:p w:rsidR="00757817" w:rsidRDefault="00862B85">
            <w:pPr>
              <w:rPr>
                <w:rFonts w:ascii="Palatino Linotype" w:hAnsi="Palatino Linotype"/>
                <w:sz w:val="20"/>
                <w:szCs w:val="20"/>
              </w:rPr>
            </w:pPr>
            <w:r>
              <w:rPr>
                <w:rFonts w:ascii="Palatino Linotype" w:hAnsi="Palatino Linotype"/>
                <w:b/>
                <w:sz w:val="20"/>
                <w:szCs w:val="20"/>
                <w:lang w:eastAsia="es-MX"/>
              </w:rPr>
              <w:t>00887/INFOEM/IP/RR/2019</w:t>
            </w:r>
          </w:p>
        </w:tc>
        <w:tc>
          <w:tcPr>
            <w:tcW w:w="3118" w:type="dxa"/>
          </w:tcPr>
          <w:p w:rsidR="00757817" w:rsidRDefault="00862B85">
            <w:pPr>
              <w:jc w:val="both"/>
              <w:rPr>
                <w:rFonts w:ascii="Palatino Linotype" w:hAnsi="Palatino Linotype"/>
                <w:i/>
              </w:rPr>
            </w:pPr>
            <w:r>
              <w:rPr>
                <w:rFonts w:ascii="Palatino Linotype" w:hAnsi="Palatino Linotype"/>
                <w:i/>
                <w:color w:val="000000"/>
              </w:rPr>
              <w:t>“Contestación a mi solicitud recibida con Folio SDE/DAC/DVP/0051/2020”</w:t>
            </w:r>
          </w:p>
        </w:tc>
        <w:tc>
          <w:tcPr>
            <w:tcW w:w="3021" w:type="dxa"/>
          </w:tcPr>
          <w:p w:rsidR="00757817" w:rsidRDefault="00862B85">
            <w:pPr>
              <w:jc w:val="both"/>
              <w:rPr>
                <w:rFonts w:ascii="Palatino Linotype" w:hAnsi="Palatino Linotype"/>
                <w:i/>
              </w:rPr>
            </w:pPr>
            <w:r>
              <w:rPr>
                <w:rFonts w:ascii="Palatino Linotype" w:hAnsi="Palatino Linotype"/>
                <w:i/>
                <w:color w:val="000000"/>
              </w:rPr>
              <w:t xml:space="preserve">“Acuso recibo del oficio SDE/DAC/DVP/0051/2020 REFERENCIA SDE/0036/20 firmado por Lic Carlos A. Cárdenas, en el que menciona: "Hago de su conocimiento que para estaren condiciones de brindar la debida atención a su petición debemos contar con el nombre del o de los comerciantes a los que hace alusión,....". Es sorprendente que se me pida esta información ya que, según entiendo, para poder cuestionar a una persona en un local semifijo se debe ser parte de la Autoridad y, a mi entender y experiencia, estas personas se niegan a proporcionar información a particulares. También se dice: "....esta Unidad Departamental ... llevará a cabo una inspección física... , a efecto de verificar ... su escrito...". Misma </w:t>
            </w:r>
            <w:r>
              <w:rPr>
                <w:rFonts w:ascii="Palatino Linotype" w:hAnsi="Palatino Linotype"/>
                <w:i/>
                <w:color w:val="000000"/>
              </w:rPr>
              <w:lastRenderedPageBreak/>
              <w:t>respuesta que rindiera en agosto de 2019, la Lic. Uscanga, resultando increíble que el propio jefe de Vía Pública desconozca las inspecciones efectuadas con su presencia el 17 diciembre 2019. Para estos efectos les reitero que estos comerciantes se siguen instalando durante varios días de la semana. También conviene señalar que ya existe un precedente en este tipo de situación que quedó debidamente documentado en oficio dirigido al C. Alfredo Vinalay M., con nùmero UTAIP/0523/2019 del 12 noviembre 2019, en el que ... se ordena al Ayuntamiento de Naucalpan, entregar ... la siguiente información: a) El permiso de venta en la vía pública de la persona referida en la solicitud de información 00523/NAUCALPA/IP/RRR/2019..." Este último documento me fue entregado anexo al oficio del Lic. Leonardo Salcedo M. de fecha 13 noviembre 2019, con folio solicitud 00523/NAUCALPA/IP/2019. Por todo lo anterior solicito se atienda puntualmente mi petición de darme a conocer si es que existen permisos oficiales otorgados para que operen puestos semifijos sobre la Av. La Herradura en su cruce con Paseo de Bosques de La Herradura (Naucalpan) sitio que se mostró con toda claridad en mi solicitud con folio00050/NAUCALPA/IP/2020, y de ser el caso se me entregue una copia de cada uno de dichos permisos.”</w:t>
            </w:r>
          </w:p>
        </w:tc>
      </w:tr>
    </w:tbl>
    <w:p w:rsidR="00757817" w:rsidRDefault="00757817">
      <w:pPr>
        <w:rPr>
          <w:rFonts w:ascii="Palatino Linotype" w:hAnsi="Palatino Linotype"/>
        </w:rPr>
      </w:pPr>
    </w:p>
    <w:p w:rsidR="00757817" w:rsidRDefault="00862B85">
      <w:pPr>
        <w:spacing w:line="360" w:lineRule="auto"/>
        <w:ind w:right="49"/>
        <w:jc w:val="both"/>
        <w:rPr>
          <w:rFonts w:ascii="Palatino Linotype" w:hAnsi="Palatino Linotype"/>
          <w:lang w:eastAsia="es-MX"/>
        </w:rPr>
      </w:pPr>
      <w:r>
        <w:rPr>
          <w:rFonts w:ascii="Palatino Linotype" w:hAnsi="Palatino Linotype" w:cs="Arial"/>
          <w:b/>
          <w:sz w:val="28"/>
          <w:szCs w:val="28"/>
          <w:lang w:val="es-ES"/>
        </w:rPr>
        <w:lastRenderedPageBreak/>
        <w:t>IV.</w:t>
      </w:r>
      <w:r>
        <w:rPr>
          <w:rFonts w:ascii="Palatino Linotype" w:hAnsi="Palatino Linotype" w:cs="Arial"/>
          <w:b/>
          <w:sz w:val="28"/>
          <w:lang w:val="es-ES"/>
        </w:rPr>
        <w:t xml:space="preserve"> </w:t>
      </w:r>
      <w:r>
        <w:rPr>
          <w:rFonts w:ascii="Palatino Linotype" w:hAnsi="Palatino Linotype" w:cs="Arial"/>
          <w:lang w:val="es-ES"/>
        </w:rPr>
        <w:t>El cinco de febrero de dos mil veinte</w:t>
      </w:r>
      <w:r>
        <w:rPr>
          <w:rFonts w:ascii="Palatino Linotype" w:hAnsi="Palatino Linotype"/>
          <w:lang w:val="es-ES"/>
        </w:rPr>
        <w:t>, el</w:t>
      </w:r>
      <w:r>
        <w:rPr>
          <w:rFonts w:ascii="Palatino Linotype" w:hAnsi="Palatino Linotype" w:cs="Arial"/>
          <w:lang w:val="es-ES"/>
        </w:rPr>
        <w:t xml:space="preserve"> </w:t>
      </w:r>
      <w:r>
        <w:rPr>
          <w:rFonts w:ascii="Palatino Linotype" w:hAnsi="Palatino Linotype" w:cs="Arial"/>
          <w:lang w:val="es-ES_tradnl"/>
        </w:rPr>
        <w:t>recurso de revisión de que</w:t>
      </w:r>
      <w:r>
        <w:rPr>
          <w:rFonts w:ascii="Palatino Linotype" w:hAnsi="Palatino Linotype" w:cs="Arial"/>
          <w:lang w:val="es-ES"/>
        </w:rPr>
        <w:t xml:space="preserve"> se trata</w:t>
      </w:r>
      <w:r>
        <w:rPr>
          <w:rFonts w:ascii="Palatino Linotype" w:hAnsi="Palatino Linotype" w:cs="Arial"/>
          <w:lang w:val="es-ES_tradnl"/>
        </w:rPr>
        <w:t xml:space="preserve"> se envió electrónicamente al Instituto de </w:t>
      </w:r>
      <w:r>
        <w:rPr>
          <w:rFonts w:ascii="Palatino Linotype" w:eastAsia="Arial Unicode MS" w:hAnsi="Palatino Linotype" w:cs="Arial"/>
          <w:lang w:val="es-ES"/>
        </w:rPr>
        <w:t>Transparencia</w:t>
      </w:r>
      <w:r>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Pr>
          <w:rFonts w:ascii="Palatino Linotype" w:hAnsi="Palatino Linotype"/>
          <w:lang w:val="es-ES"/>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lang w:val="es-ES"/>
        </w:rPr>
        <w:t>, el recurso</w:t>
      </w:r>
      <w:r>
        <w:rPr>
          <w:rFonts w:ascii="Palatino Linotype" w:hAnsi="Palatino Linotype" w:cs="Arial"/>
          <w:szCs w:val="20"/>
          <w:lang w:val="es-ES"/>
        </w:rPr>
        <w:t xml:space="preserve"> de revisión</w:t>
      </w:r>
      <w:r>
        <w:rPr>
          <w:rFonts w:ascii="Palatino Linotype" w:hAnsi="Palatino Linotype"/>
          <w:lang w:val="es-ES"/>
        </w:rPr>
        <w:t xml:space="preserve"> a la </w:t>
      </w:r>
      <w:r>
        <w:rPr>
          <w:rFonts w:ascii="Palatino Linotype" w:hAnsi="Palatino Linotype" w:cs="Arial"/>
          <w:lang w:val="es-ES_tradnl"/>
        </w:rPr>
        <w:t xml:space="preserve">Comisionada </w:t>
      </w:r>
      <w:r>
        <w:rPr>
          <w:rFonts w:ascii="Palatino Linotype" w:hAnsi="Palatino Linotype" w:cs="Arial"/>
          <w:b/>
          <w:lang w:val="es-ES_tradnl"/>
        </w:rPr>
        <w:t xml:space="preserve">EVA ABAID YAPUR, </w:t>
      </w:r>
      <w:r>
        <w:rPr>
          <w:rFonts w:ascii="Palatino Linotype" w:hAnsi="Palatino Linotype" w:cs="Arial"/>
          <w:lang w:val="es-ES_tradnl"/>
        </w:rPr>
        <w:t>a efecto de que decretaran su admisión o desechamiento.</w:t>
      </w:r>
      <w:r>
        <w:rPr>
          <w:rFonts w:ascii="Palatino Linotype" w:hAnsi="Palatino Linotype"/>
          <w:lang w:eastAsia="es-MX"/>
        </w:rPr>
        <w:t xml:space="preserve"> </w:t>
      </w:r>
    </w:p>
    <w:p w:rsidR="00757817" w:rsidRDefault="00757817">
      <w:pPr>
        <w:spacing w:line="360" w:lineRule="auto"/>
        <w:ind w:right="49"/>
        <w:jc w:val="both"/>
        <w:rPr>
          <w:rFonts w:ascii="Palatino Linotype" w:hAnsi="Palatino Linotype"/>
          <w:sz w:val="8"/>
          <w:lang w:eastAsia="es-MX"/>
        </w:rPr>
      </w:pPr>
    </w:p>
    <w:p w:rsidR="00757817" w:rsidRDefault="00862B85">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cs="Arial"/>
          <w:b/>
          <w:sz w:val="28"/>
          <w:lang w:val="es-ES_tradnl"/>
        </w:rPr>
        <w:t xml:space="preserve">V. </w:t>
      </w:r>
      <w:r>
        <w:rPr>
          <w:rFonts w:ascii="Palatino Linotype" w:eastAsia="MS Mincho" w:hAnsi="Palatino Linotype" w:cs="Arial"/>
          <w:lang w:val="es-ES_tradnl"/>
        </w:rPr>
        <w:t>De las constancias de los expedientes electrónicos del</w:t>
      </w:r>
      <w:r>
        <w:rPr>
          <w:rFonts w:ascii="Palatino Linotype" w:eastAsia="MS Mincho" w:hAnsi="Palatino Linotype" w:cs="Arial"/>
          <w:b/>
          <w:lang w:val="es-ES_tradnl"/>
        </w:rPr>
        <w:t xml:space="preserve"> SAIMEX</w:t>
      </w:r>
      <w:r>
        <w:rPr>
          <w:rFonts w:ascii="Palatino Linotype" w:eastAsia="MS Mincho" w:hAnsi="Palatino Linotype" w:cs="Arial"/>
          <w:lang w:val="es-ES_tradnl"/>
        </w:rPr>
        <w:t xml:space="preserve">, se desprende que el once de febrero de dos mil enero, se acordó la admisión a trámite del recurso de revisión que nos ocupan,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MS Mincho" w:hAnsi="Palatino Linotype" w:cs="Arial"/>
          <w:b/>
          <w:lang w:val="es-ES_tradnl"/>
        </w:rPr>
        <w:t xml:space="preserve">EL SUJETO OBLIGADO </w:t>
      </w:r>
      <w:r>
        <w:rPr>
          <w:rFonts w:ascii="Palatino Linotype" w:eastAsia="MS Mincho" w:hAnsi="Palatino Linotype" w:cs="Arial"/>
          <w:lang w:val="es-ES_tradnl"/>
        </w:rPr>
        <w:t>rindiera su</w:t>
      </w:r>
      <w:r>
        <w:rPr>
          <w:rFonts w:ascii="Palatino Linotype" w:eastAsia="MS Mincho" w:hAnsi="Palatino Linotype" w:cs="Arial"/>
          <w:b/>
          <w:lang w:val="es-ES_tradnl"/>
        </w:rPr>
        <w:t xml:space="preserve"> </w:t>
      </w:r>
      <w:r>
        <w:rPr>
          <w:rFonts w:ascii="Palatino Linotype" w:eastAsia="MS Mincho" w:hAnsi="Palatino Linotype" w:cs="Arial"/>
          <w:lang w:val="es-ES_tradnl"/>
        </w:rPr>
        <w:t>Informe Justificado.</w:t>
      </w:r>
    </w:p>
    <w:p w:rsidR="00757817" w:rsidRDefault="00757817">
      <w:pPr>
        <w:tabs>
          <w:tab w:val="center" w:pos="4252"/>
          <w:tab w:val="right" w:pos="8504"/>
        </w:tabs>
        <w:spacing w:line="360" w:lineRule="auto"/>
        <w:jc w:val="both"/>
        <w:rPr>
          <w:rFonts w:ascii="Palatino Linotype" w:eastAsia="MS Mincho" w:hAnsi="Palatino Linotype" w:cs="Arial"/>
          <w:sz w:val="20"/>
          <w:lang w:val="es-ES_tradnl"/>
        </w:rPr>
      </w:pPr>
    </w:p>
    <w:p w:rsidR="00757817" w:rsidRDefault="00862B85">
      <w:pPr>
        <w:spacing w:line="360" w:lineRule="auto"/>
        <w:jc w:val="both"/>
        <w:rPr>
          <w:rFonts w:ascii="Palatino Linotype" w:eastAsia="Arial Unicode MS" w:hAnsi="Palatino Linotype" w:cs="Arial"/>
          <w:lang w:val="es-ES"/>
        </w:rPr>
      </w:pPr>
      <w:r>
        <w:rPr>
          <w:rFonts w:ascii="Palatino Linotype" w:hAnsi="Palatino Linotype"/>
          <w:b/>
          <w:sz w:val="28"/>
          <w:szCs w:val="28"/>
          <w:lang w:eastAsia="es-MX"/>
        </w:rPr>
        <w:t>VI.</w:t>
      </w:r>
      <w:r>
        <w:rPr>
          <w:rFonts w:ascii="Palatino Linotype" w:hAnsi="Palatino Linotype"/>
          <w:b/>
          <w:lang w:eastAsia="es-MX"/>
        </w:rPr>
        <w:t xml:space="preserve"> </w:t>
      </w: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hAnsi="Palatino Linotype" w:cs="Arial"/>
          <w:b/>
          <w:lang w:val="es-ES"/>
        </w:rPr>
        <w:t xml:space="preserve">EL SUJETO OBLIGADO </w:t>
      </w:r>
      <w:r>
        <w:rPr>
          <w:rFonts w:ascii="Palatino Linotype" w:hAnsi="Palatino Linotype" w:cs="Arial"/>
          <w:lang w:val="es-ES"/>
        </w:rPr>
        <w:t xml:space="preserve">el cinco de marzo de la presente anualidad rindió el Informe Justificado del recurso materia del presente asunto, en el que amplió su respuesta, por lo que será materia de estudio en el apartado correspondiente; sin embargo, del mismo no se desprende información tendente a colmar la solicitud de acceso a la información ejercido por el particular. </w:t>
      </w:r>
    </w:p>
    <w:p w:rsidR="00757817" w:rsidRDefault="00862B85">
      <w:pPr>
        <w:tabs>
          <w:tab w:val="center" w:pos="4252"/>
          <w:tab w:val="right" w:pos="8504"/>
        </w:tabs>
        <w:spacing w:line="360" w:lineRule="auto"/>
        <w:jc w:val="both"/>
        <w:rPr>
          <w:rFonts w:ascii="Palatino Linotype" w:eastAsia="Arial Unicode MS" w:hAnsi="Palatino Linotype" w:cs="Arial"/>
          <w:lang w:val="es-ES_tradnl"/>
        </w:rPr>
      </w:pPr>
      <w:r>
        <w:rPr>
          <w:rFonts w:ascii="Palatino Linotype" w:eastAsia="MS Mincho" w:hAnsi="Palatino Linotype"/>
          <w:lang w:eastAsia="es-MX"/>
        </w:rPr>
        <w:lastRenderedPageBreak/>
        <w:t xml:space="preserve">Por su parte, </w:t>
      </w:r>
      <w:r>
        <w:rPr>
          <w:rFonts w:ascii="Palatino Linotype" w:eastAsia="MS Mincho" w:hAnsi="Palatino Linotype"/>
          <w:b/>
          <w:lang w:eastAsia="es-MX"/>
        </w:rPr>
        <w:t xml:space="preserve">EL RECURRENTE </w:t>
      </w:r>
      <w:r>
        <w:rPr>
          <w:rFonts w:ascii="Palatino Linotype" w:eastAsia="MS Mincho" w:hAnsi="Palatino Linotype"/>
          <w:lang w:eastAsia="es-MX"/>
        </w:rPr>
        <w:t>no realizó manifiestación alguna,</w:t>
      </w:r>
      <w:r>
        <w:rPr>
          <w:rFonts w:ascii="Palatino Linotype" w:eastAsia="Arial Unicode MS" w:hAnsi="Palatino Linotype" w:cs="Arial"/>
          <w:lang w:val="es-ES_tradnl"/>
        </w:rPr>
        <w:t xml:space="preserve"> ni presentó pruebas o alegatos que a su derecho convinieran.</w:t>
      </w:r>
    </w:p>
    <w:p w:rsidR="00757817" w:rsidRDefault="00757817">
      <w:pPr>
        <w:tabs>
          <w:tab w:val="center" w:pos="4252"/>
          <w:tab w:val="right" w:pos="8504"/>
        </w:tabs>
        <w:spacing w:line="360" w:lineRule="auto"/>
        <w:jc w:val="both"/>
        <w:rPr>
          <w:rFonts w:ascii="Palatino Linotype" w:eastAsia="Arial Unicode MS" w:hAnsi="Palatino Linotype" w:cs="Arial"/>
          <w:sz w:val="20"/>
          <w:lang w:val="es-ES_tradnl"/>
        </w:rPr>
      </w:pPr>
    </w:p>
    <w:p w:rsidR="00757817" w:rsidRDefault="00862B85">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b/>
          <w:sz w:val="28"/>
          <w:szCs w:val="28"/>
          <w:lang w:val="es-ES_tradnl"/>
        </w:rPr>
        <w:t xml:space="preserve">VII. </w:t>
      </w:r>
      <w:r>
        <w:rPr>
          <w:rFonts w:ascii="Palatino Linotype" w:eastAsia="MS Mincho" w:hAnsi="Palatino Linotype" w:cs="Arial"/>
          <w:lang w:val="es-ES_tradnl"/>
        </w:rPr>
        <w:t xml:space="preserve">Una vez analizado el estado procesal </w:t>
      </w:r>
      <w:r w:rsidRPr="00511548">
        <w:rPr>
          <w:rFonts w:ascii="Palatino Linotype" w:eastAsia="MS Mincho" w:hAnsi="Palatino Linotype" w:cs="Arial"/>
          <w:lang w:val="es-ES_tradnl"/>
        </w:rPr>
        <w:t xml:space="preserve">que guarda el expediente, en fecha veinte de abril de dos mil veinte, la Comisionada </w:t>
      </w:r>
      <w:r w:rsidRPr="00511548">
        <w:rPr>
          <w:rFonts w:ascii="Palatino Linotype" w:eastAsia="MS Mincho" w:hAnsi="Palatino Linotype" w:cs="Arial"/>
          <w:b/>
          <w:lang w:val="es-ES_tradnl"/>
        </w:rPr>
        <w:t>EV</w:t>
      </w:r>
      <w:r>
        <w:rPr>
          <w:rFonts w:ascii="Palatino Linotype" w:eastAsia="MS Mincho" w:hAnsi="Palatino Linotype" w:cs="Arial"/>
          <w:b/>
          <w:lang w:val="es-ES_tradnl"/>
        </w:rPr>
        <w:t xml:space="preserve">A ABAID YAPUR </w:t>
      </w:r>
      <w:r>
        <w:rPr>
          <w:rFonts w:ascii="Palatino Linotype" w:eastAsia="MS Mincho" w:hAnsi="Palatino Linotype" w:cs="Arial"/>
          <w:lang w:val="es-ES_tradnl"/>
        </w:rPr>
        <w:t xml:space="preserve">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 </w:t>
      </w:r>
    </w:p>
    <w:p w:rsidR="00757817" w:rsidRDefault="00757817">
      <w:pPr>
        <w:tabs>
          <w:tab w:val="center" w:pos="4252"/>
          <w:tab w:val="right" w:pos="8504"/>
        </w:tabs>
        <w:spacing w:line="360" w:lineRule="auto"/>
        <w:jc w:val="both"/>
        <w:rPr>
          <w:rFonts w:ascii="Palatino Linotype" w:eastAsia="MS Mincho" w:hAnsi="Palatino Linotype" w:cs="Arial"/>
          <w:lang w:val="es-ES_tradnl"/>
        </w:rPr>
      </w:pPr>
    </w:p>
    <w:p w:rsidR="00757817" w:rsidRDefault="00862B85">
      <w:pPr>
        <w:pStyle w:val="Default"/>
        <w:spacing w:line="360" w:lineRule="auto"/>
        <w:ind w:right="49"/>
        <w:jc w:val="both"/>
        <w:rPr>
          <w:rFonts w:ascii="Palatino Linotype" w:hAnsi="Palatino Linotype"/>
        </w:rPr>
      </w:pPr>
      <w:r>
        <w:rPr>
          <w:rFonts w:ascii="Palatino Linotype" w:hAnsi="Palatino Linotype"/>
          <w:b/>
          <w:sz w:val="28"/>
          <w:szCs w:val="28"/>
          <w:lang w:val="es-ES_tradnl"/>
        </w:rPr>
        <w:t>VIII.</w:t>
      </w:r>
      <w:r>
        <w:rPr>
          <w:rFonts w:ascii="Palatino Linotype" w:hAnsi="Palatino Linotype"/>
          <w:lang w:val="es-ES_tradnl"/>
        </w:rPr>
        <w:t xml:space="preserve"> En fecha </w:t>
      </w:r>
      <w:r>
        <w:rPr>
          <w:rFonts w:ascii="Palatino Linotype" w:eastAsia="MS Mincho" w:hAnsi="Palatino Linotype"/>
          <w:lang w:val="es-ES_tradnl" w:eastAsia="es-ES"/>
        </w:rPr>
        <w:t xml:space="preserve">veinte de abril </w:t>
      </w:r>
      <w:r>
        <w:rPr>
          <w:rFonts w:ascii="Palatino Linotype" w:hAnsi="Palatino Linotype"/>
          <w:lang w:val="es-ES_tradnl"/>
        </w:rPr>
        <w:t xml:space="preserve">de dos mil veinte, </w:t>
      </w:r>
      <w:r>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Pr>
          <w:rFonts w:ascii="Palatino Linotype" w:hAnsi="Palatino Linotype"/>
        </w:rPr>
        <w:t>; y</w:t>
      </w:r>
    </w:p>
    <w:p w:rsidR="00757817" w:rsidRDefault="00757817">
      <w:pPr>
        <w:tabs>
          <w:tab w:val="center" w:pos="4252"/>
          <w:tab w:val="right" w:pos="8504"/>
        </w:tabs>
        <w:spacing w:line="360" w:lineRule="auto"/>
        <w:jc w:val="both"/>
        <w:rPr>
          <w:rFonts w:ascii="Palatino Linotype" w:eastAsia="MS Mincho" w:hAnsi="Palatino Linotype" w:cs="Arial"/>
          <w:lang w:val="es-ES_tradnl"/>
        </w:rPr>
      </w:pPr>
    </w:p>
    <w:p w:rsidR="00757817" w:rsidRPr="00511548" w:rsidRDefault="00862B85">
      <w:pPr>
        <w:jc w:val="center"/>
        <w:rPr>
          <w:rFonts w:ascii="Palatino Linotype" w:hAnsi="Palatino Linotype"/>
          <w:b/>
          <w:szCs w:val="28"/>
          <w:lang w:val="pt-BR"/>
        </w:rPr>
      </w:pPr>
      <w:r w:rsidRPr="00511548">
        <w:rPr>
          <w:rFonts w:ascii="Palatino Linotype" w:hAnsi="Palatino Linotype"/>
          <w:b/>
          <w:szCs w:val="28"/>
          <w:lang w:val="pt-BR"/>
        </w:rPr>
        <w:t>C O N S I D E R A N D O</w:t>
      </w:r>
    </w:p>
    <w:p w:rsidR="00757817" w:rsidRPr="00511548" w:rsidRDefault="00757817">
      <w:pPr>
        <w:jc w:val="center"/>
        <w:rPr>
          <w:rFonts w:ascii="Palatino Linotype" w:hAnsi="Palatino Linotype"/>
          <w:b/>
          <w:szCs w:val="28"/>
          <w:lang w:val="pt-BR"/>
        </w:rPr>
      </w:pPr>
    </w:p>
    <w:p w:rsidR="00757817" w:rsidRDefault="00862B85">
      <w:pPr>
        <w:spacing w:line="360" w:lineRule="auto"/>
        <w:ind w:right="50"/>
        <w:jc w:val="both"/>
        <w:rPr>
          <w:rFonts w:ascii="Palatino Linotype" w:hAnsi="Palatino Linotype" w:cs="Arial"/>
          <w:b/>
          <w:lang w:val="es-ES"/>
        </w:rPr>
      </w:pPr>
      <w:r>
        <w:rPr>
          <w:rFonts w:ascii="Palatino Linotype" w:hAnsi="Palatino Linotype"/>
          <w:b/>
          <w:sz w:val="28"/>
          <w:szCs w:val="28"/>
          <w:lang w:val="es-ES"/>
        </w:rPr>
        <w:t>PRIMERO</w:t>
      </w:r>
      <w:r>
        <w:rPr>
          <w:rFonts w:ascii="Palatino Linotype" w:hAnsi="Palatino Linotype"/>
          <w:b/>
          <w:lang w:val="es-ES"/>
        </w:rPr>
        <w:t>.</w:t>
      </w:r>
      <w:r>
        <w:rPr>
          <w:rFonts w:ascii="Palatino Linotype" w:hAnsi="Palatino Linotype"/>
          <w:lang w:val="es-ES"/>
        </w:rPr>
        <w:t xml:space="preserve"> </w:t>
      </w:r>
      <w:r>
        <w:rPr>
          <w:rFonts w:ascii="Palatino Linotype" w:hAnsi="Palatino Linotype"/>
          <w:b/>
          <w:i/>
          <w:lang w:val="es-ES"/>
        </w:rPr>
        <w:t>Competencia</w:t>
      </w:r>
      <w:r>
        <w:rPr>
          <w:rFonts w:ascii="Palatino Linotype" w:hAnsi="Palatino Linotype"/>
          <w:i/>
          <w:lang w:val="es-ES"/>
        </w:rPr>
        <w:t>.</w:t>
      </w:r>
      <w:r>
        <w:rPr>
          <w:rFonts w:ascii="Palatino Linotype" w:hAnsi="Palatino Linotype"/>
          <w:b/>
          <w:lang w:val="es-ES"/>
        </w:rPr>
        <w:t xml:space="preserve"> </w:t>
      </w:r>
      <w:r>
        <w:rPr>
          <w:rFonts w:ascii="Palatino Linotype" w:hAnsi="Palatino Linotype"/>
          <w:lang w:val="es-ES"/>
        </w:rPr>
        <w:t xml:space="preserve">Este Instituto de </w:t>
      </w:r>
      <w:r>
        <w:rPr>
          <w:rFonts w:ascii="Palatino Linotype" w:hAnsi="Palatino Linotype" w:cs="Arial"/>
          <w:lang w:val="es-ES"/>
        </w:rPr>
        <w:t>Transparencia</w:t>
      </w:r>
      <w:r>
        <w:rPr>
          <w:rFonts w:ascii="Palatino Linotype" w:hAnsi="Palatino Linotype"/>
          <w:lang w:val="es-ES"/>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w:t>
      </w:r>
      <w:r>
        <w:rPr>
          <w:rFonts w:ascii="Palatino Linotype" w:hAnsi="Palatino Linotype"/>
          <w:lang w:val="es-ES"/>
        </w:rPr>
        <w:lastRenderedPageBreak/>
        <w:t>y Acceso a la Información Pública del Estado de México y Municipios</w:t>
      </w:r>
      <w:r>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757817" w:rsidRDefault="00757817">
      <w:pPr>
        <w:spacing w:line="360" w:lineRule="auto"/>
        <w:jc w:val="both"/>
        <w:rPr>
          <w:rFonts w:ascii="Palatino Linotype" w:hAnsi="Palatino Linotype" w:cs="Arial"/>
          <w:b/>
          <w:lang w:val="es-ES"/>
        </w:rPr>
      </w:pPr>
    </w:p>
    <w:p w:rsidR="00757817" w:rsidRDefault="00862B85">
      <w:pPr>
        <w:spacing w:line="360" w:lineRule="auto"/>
        <w:jc w:val="both"/>
        <w:rPr>
          <w:rFonts w:ascii="Palatino Linotype" w:hAnsi="Palatino Linotype" w:cs="Arial"/>
          <w:b/>
          <w:bCs/>
          <w:lang w:val="es-ES"/>
        </w:rPr>
      </w:pPr>
      <w:r>
        <w:rPr>
          <w:rFonts w:ascii="Palatino Linotype" w:hAnsi="Palatino Linotype" w:cs="Arial"/>
          <w:b/>
          <w:sz w:val="28"/>
          <w:lang w:val="es-ES"/>
        </w:rPr>
        <w:t>SEGUNDO</w:t>
      </w:r>
      <w:r>
        <w:rPr>
          <w:rFonts w:ascii="Palatino Linotype" w:hAnsi="Palatino Linotype" w:cs="Arial"/>
          <w:b/>
        </w:rPr>
        <w:t xml:space="preserve">. </w:t>
      </w:r>
      <w:r>
        <w:rPr>
          <w:rFonts w:ascii="Palatino Linotype" w:hAnsi="Palatino Linotype" w:cs="Arial"/>
          <w:b/>
          <w:i/>
          <w:lang w:val="es-ES"/>
        </w:rPr>
        <w:t>Interés.</w:t>
      </w:r>
      <w:r>
        <w:rPr>
          <w:rFonts w:ascii="Palatino Linotype" w:hAnsi="Palatino Linotype" w:cs="Arial"/>
          <w:b/>
          <w:lang w:val="es-ES"/>
        </w:rPr>
        <w:t xml:space="preserve"> </w:t>
      </w:r>
      <w:r>
        <w:rPr>
          <w:rFonts w:ascii="Palatino Linotype" w:hAnsi="Palatino Linotype" w:cs="Arial"/>
          <w:lang w:val="es-ES"/>
        </w:rPr>
        <w:t xml:space="preserve">El recurso de revisión fue interpuesto por parte legítima, en atención a que fue presentado por </w:t>
      </w:r>
      <w:r>
        <w:rPr>
          <w:rFonts w:ascii="Palatino Linotype" w:hAnsi="Palatino Linotype" w:cs="Arial"/>
          <w:b/>
          <w:lang w:val="es-ES"/>
        </w:rPr>
        <w:t>EL RECURRENTE</w:t>
      </w:r>
      <w:r>
        <w:rPr>
          <w:rFonts w:ascii="Palatino Linotype" w:hAnsi="Palatino Linotype" w:cs="Arial"/>
          <w:lang w:val="es-ES"/>
        </w:rPr>
        <w:t xml:space="preserve">, quien es la misma persona que formuló la solicitud de acceso a la información pública </w:t>
      </w:r>
      <w:r>
        <w:rPr>
          <w:rFonts w:ascii="Palatino Linotype" w:hAnsi="Palatino Linotype" w:cs="Arial"/>
          <w:bCs/>
          <w:lang w:val="es-ES"/>
        </w:rPr>
        <w:t xml:space="preserve">al </w:t>
      </w:r>
      <w:r>
        <w:rPr>
          <w:rFonts w:ascii="Palatino Linotype" w:hAnsi="Palatino Linotype" w:cs="Arial"/>
          <w:b/>
          <w:bCs/>
          <w:lang w:val="es-ES"/>
        </w:rPr>
        <w:t>SUJETO OBLIGADO.</w:t>
      </w:r>
    </w:p>
    <w:p w:rsidR="00757817" w:rsidRDefault="00757817">
      <w:pPr>
        <w:spacing w:line="360" w:lineRule="auto"/>
        <w:ind w:right="49"/>
        <w:contextualSpacing/>
        <w:jc w:val="both"/>
        <w:rPr>
          <w:rFonts w:ascii="Palatino Linotype" w:hAnsi="Palatino Linotype"/>
          <w:b/>
          <w:sz w:val="20"/>
          <w:lang w:val="es-ES"/>
        </w:rPr>
      </w:pPr>
    </w:p>
    <w:p w:rsidR="00757817" w:rsidRDefault="00862B85">
      <w:pPr>
        <w:spacing w:line="360" w:lineRule="auto"/>
        <w:ind w:right="49"/>
        <w:contextualSpacing/>
        <w:jc w:val="both"/>
        <w:rPr>
          <w:rFonts w:ascii="Palatino Linotype" w:hAnsi="Palatino Linotype" w:cs="Arial"/>
          <w:lang w:val="es-ES"/>
        </w:rPr>
      </w:pPr>
      <w:r>
        <w:rPr>
          <w:rFonts w:ascii="Palatino Linotype" w:hAnsi="Palatino Linotype"/>
          <w:b/>
          <w:sz w:val="28"/>
          <w:lang w:val="es-ES"/>
        </w:rPr>
        <w:t xml:space="preserve">TERCERO. </w:t>
      </w:r>
      <w:r>
        <w:rPr>
          <w:rFonts w:ascii="Palatino Linotype" w:hAnsi="Palatino Linotype" w:cs="Arial"/>
          <w:b/>
          <w:i/>
          <w:lang w:val="es-ES"/>
        </w:rPr>
        <w:t>Oportunidad.</w:t>
      </w:r>
      <w:r>
        <w:rPr>
          <w:rFonts w:ascii="Palatino Linotype" w:hAnsi="Palatino Linotype" w:cs="Arial"/>
          <w:b/>
          <w:lang w:val="es-ES"/>
        </w:rPr>
        <w:t xml:space="preserve"> </w:t>
      </w:r>
      <w:r>
        <w:rPr>
          <w:rFonts w:ascii="Palatino Linotype" w:hAnsi="Palatino Linotype" w:cs="Arial"/>
          <w:lang w:val="es-ES"/>
        </w:rPr>
        <w:t xml:space="preserve">El recurso de revisión fue interpuesto dentro del plazo de quince días hábiles contados a partir del día siguiente al en que </w:t>
      </w:r>
      <w:r>
        <w:rPr>
          <w:rFonts w:ascii="Palatino Linotype" w:hAnsi="Palatino Linotype" w:cs="Arial"/>
          <w:b/>
          <w:lang w:val="es-ES"/>
        </w:rPr>
        <w:t xml:space="preserve">EL RECURRENTE </w:t>
      </w:r>
      <w:r>
        <w:rPr>
          <w:rFonts w:ascii="Palatino Linotype" w:hAnsi="Palatino Linotype" w:cs="Arial"/>
          <w:lang w:val="es-ES"/>
        </w:rPr>
        <w:t xml:space="preserve">tuvo conocimiento de las respuestas impugnadas, tal y como lo prevé el artículo 178 de la Ley de Transparencia y Acceso a la Información Pública del Estado de México y Municipios, que establece: </w:t>
      </w:r>
    </w:p>
    <w:p w:rsidR="00757817" w:rsidRDefault="00757817">
      <w:pPr>
        <w:ind w:left="851" w:right="899"/>
        <w:jc w:val="both"/>
        <w:rPr>
          <w:rFonts w:ascii="Palatino Linotype" w:hAnsi="Palatino Linotype" w:cs="Arial"/>
          <w:lang w:val="es-ES"/>
        </w:rPr>
      </w:pPr>
    </w:p>
    <w:p w:rsidR="00757817" w:rsidRDefault="00862B85">
      <w:pPr>
        <w:tabs>
          <w:tab w:val="left" w:pos="8222"/>
        </w:tabs>
        <w:ind w:left="851" w:right="1134"/>
        <w:jc w:val="both"/>
        <w:rPr>
          <w:rFonts w:ascii="Palatino Linotype" w:hAnsi="Palatino Linotype" w:cs="Arial"/>
          <w:i/>
          <w:lang w:val="es-ES"/>
        </w:rPr>
      </w:pPr>
      <w:r>
        <w:rPr>
          <w:rFonts w:ascii="Palatino Linotype" w:hAnsi="Palatino Linotype" w:cs="Arial"/>
          <w:b/>
          <w:i/>
          <w:lang w:val="es-ES"/>
        </w:rPr>
        <w:t>“Artículo 178.</w:t>
      </w:r>
      <w:r>
        <w:rPr>
          <w:rFonts w:ascii="Palatino Linotype" w:hAnsi="Palatino Linotype" w:cs="Arial"/>
          <w:i/>
          <w:lang w:val="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57817" w:rsidRDefault="00862B85">
      <w:pPr>
        <w:tabs>
          <w:tab w:val="left" w:pos="8222"/>
        </w:tabs>
        <w:ind w:left="851" w:right="1134"/>
        <w:jc w:val="both"/>
        <w:rPr>
          <w:rFonts w:ascii="Palatino Linotype" w:hAnsi="Palatino Linotype" w:cs="Arial"/>
          <w:i/>
          <w:lang w:val="es-ES"/>
        </w:rPr>
      </w:pPr>
      <w:r>
        <w:rPr>
          <w:rFonts w:ascii="Palatino Linotype" w:hAnsi="Palatino Linotype" w:cs="Arial"/>
          <w:i/>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57817" w:rsidRDefault="00862B85">
      <w:pPr>
        <w:tabs>
          <w:tab w:val="left" w:pos="8222"/>
        </w:tabs>
        <w:ind w:left="851" w:right="1134"/>
        <w:jc w:val="both"/>
        <w:rPr>
          <w:rFonts w:ascii="Palatino Linotype" w:hAnsi="Palatino Linotype" w:cs="Arial"/>
          <w:i/>
          <w:lang w:val="es-ES"/>
        </w:rPr>
      </w:pPr>
      <w:r>
        <w:rPr>
          <w:rFonts w:ascii="Palatino Linotype" w:hAnsi="Palatino Linotype" w:cs="Arial"/>
          <w:i/>
          <w:lang w:val="es-ES"/>
        </w:rPr>
        <w:t>En el caso de que se interponga ante la Unidad de Transparencia, ésta deberá remitir el recurso de revisión al Instituto a más tardar al día siguiente de haberlo recibido.</w:t>
      </w:r>
      <w:r>
        <w:rPr>
          <w:rFonts w:ascii="Palatino Linotype" w:hAnsi="Palatino Linotype" w:cs="Arial"/>
          <w:b/>
          <w:i/>
          <w:lang w:val="es-ES"/>
        </w:rPr>
        <w:t>”</w:t>
      </w:r>
    </w:p>
    <w:p w:rsidR="00757817" w:rsidRDefault="00757817">
      <w:pPr>
        <w:ind w:right="899"/>
        <w:jc w:val="both"/>
        <w:rPr>
          <w:rFonts w:ascii="Palatino Linotype" w:hAnsi="Palatino Linotype" w:cs="Arial"/>
          <w:lang w:val="es-ES"/>
        </w:rPr>
      </w:pPr>
    </w:p>
    <w:p w:rsidR="00757817" w:rsidRDefault="00862B85">
      <w:pPr>
        <w:pStyle w:val="Prrafodelista"/>
        <w:spacing w:line="360" w:lineRule="auto"/>
        <w:ind w:left="0"/>
        <w:jc w:val="both"/>
        <w:rPr>
          <w:rFonts w:ascii="Palatino Linotype" w:hAnsi="Palatino Linotype"/>
        </w:rPr>
      </w:pPr>
      <w:r>
        <w:rPr>
          <w:rFonts w:ascii="Palatino Linotype" w:hAnsi="Palatino Linotype" w:cs="Arial"/>
        </w:rPr>
        <w:t xml:space="preserve">Para efecto, se actualiza la hipótesis prevista en el precepto legal antes citado, en atención a que la respuesta impugnada en el recurso de revisión </w:t>
      </w:r>
      <w:r>
        <w:rPr>
          <w:rFonts w:ascii="Palatino Linotype" w:hAnsi="Palatino Linotype"/>
          <w:b/>
        </w:rPr>
        <w:t xml:space="preserve">00887/INFOEM/IP/RR/2020, </w:t>
      </w:r>
      <w:r>
        <w:rPr>
          <w:rFonts w:ascii="Palatino Linotype" w:hAnsi="Palatino Linotype" w:cs="Arial"/>
          <w:bCs/>
        </w:rPr>
        <w:t xml:space="preserve">fue notificada </w:t>
      </w:r>
      <w:r>
        <w:rPr>
          <w:rFonts w:ascii="Palatino Linotype" w:hAnsi="Palatino Linotype" w:cs="Arial"/>
        </w:rPr>
        <w:t xml:space="preserve">al </w:t>
      </w:r>
      <w:r>
        <w:rPr>
          <w:rFonts w:ascii="Palatino Linotype" w:hAnsi="Palatino Linotype" w:cs="Arial"/>
          <w:b/>
          <w:color w:val="000000"/>
        </w:rPr>
        <w:t>RECURRENTE</w:t>
      </w:r>
      <w:r>
        <w:rPr>
          <w:rFonts w:ascii="Palatino Linotype" w:hAnsi="Palatino Linotype" w:cs="Arial"/>
          <w:bCs/>
        </w:rPr>
        <w:t xml:space="preserve"> el </w:t>
      </w:r>
      <w:r>
        <w:rPr>
          <w:rFonts w:ascii="Palatino Linotype" w:hAnsi="Palatino Linotype"/>
          <w:b/>
        </w:rPr>
        <w:t xml:space="preserve">cuatro de febrero de dos mil veinte, </w:t>
      </w:r>
      <w:r>
        <w:rPr>
          <w:rFonts w:ascii="Palatino Linotype" w:hAnsi="Palatino Linotype" w:cs="Arial"/>
          <w:bCs/>
        </w:rPr>
        <w:t>por lo que, el plazo</w:t>
      </w:r>
      <w:r>
        <w:rPr>
          <w:rFonts w:ascii="Palatino Linotype" w:hAnsi="Palatino Linotype" w:cs="Arial"/>
          <w:b/>
          <w:bCs/>
        </w:rPr>
        <w:t xml:space="preserve"> </w:t>
      </w:r>
      <w:r>
        <w:rPr>
          <w:rFonts w:ascii="Palatino Linotype" w:hAnsi="Palatino Linotype" w:cs="Arial"/>
          <w:bCs/>
        </w:rPr>
        <w:t xml:space="preserve">para presentar el recurso de revisión transcurrió del </w:t>
      </w:r>
      <w:r>
        <w:rPr>
          <w:rFonts w:ascii="Palatino Linotype" w:hAnsi="Palatino Linotype" w:cs="Arial"/>
          <w:b/>
          <w:bCs/>
        </w:rPr>
        <w:t xml:space="preserve">cinco al veinticinco </w:t>
      </w:r>
      <w:r>
        <w:rPr>
          <w:rFonts w:ascii="Palatino Linotype" w:hAnsi="Palatino Linotype" w:cs="Arial"/>
          <w:b/>
        </w:rPr>
        <w:t xml:space="preserve">de febrero de dos mil veinte; </w:t>
      </w:r>
      <w:r>
        <w:rPr>
          <w:rFonts w:ascii="Palatino Linotype" w:hAnsi="Palatino Linotype" w:cs="Arial"/>
          <w:lang w:val="es-ES_tradnl"/>
        </w:rPr>
        <w:t xml:space="preserve">sin contemplar en el cómputo los días ocho, nueve, quince, dieciséis, veintidós y veintitrés de febrero de dos mil veinte, por corresponder a sábados y domingos </w:t>
      </w:r>
      <w:r>
        <w:rPr>
          <w:rFonts w:ascii="Palatino Linotype" w:hAnsi="Palatino Linotype" w:cs="Arial"/>
        </w:rPr>
        <w:t xml:space="preserve">considerados como días inhábiles; en términos del artículo 3, fracción X de la </w:t>
      </w:r>
      <w:r>
        <w:rPr>
          <w:rFonts w:ascii="Palatino Linotype" w:hAnsi="Palatino Linotype"/>
        </w:rPr>
        <w:t>Ley de Transparencia y Acceso a la Información Pública del Estado de México y Municipios.</w:t>
      </w:r>
    </w:p>
    <w:p w:rsidR="00757817" w:rsidRDefault="00757817">
      <w:pPr>
        <w:pStyle w:val="Prrafodelista"/>
        <w:spacing w:line="360" w:lineRule="auto"/>
        <w:ind w:left="0"/>
        <w:jc w:val="both"/>
        <w:rPr>
          <w:rFonts w:ascii="Palatino Linotype" w:hAnsi="Palatino Linotype"/>
          <w:sz w:val="18"/>
        </w:rPr>
      </w:pPr>
    </w:p>
    <w:p w:rsidR="00757817" w:rsidRDefault="00862B85">
      <w:pPr>
        <w:spacing w:line="360" w:lineRule="auto"/>
        <w:jc w:val="both"/>
        <w:rPr>
          <w:rFonts w:ascii="Palatino Linotype" w:hAnsi="Palatino Linotype" w:cs="Arial"/>
          <w:lang w:val="es-ES"/>
        </w:rPr>
      </w:pPr>
      <w:r>
        <w:rPr>
          <w:rFonts w:ascii="Palatino Linotype" w:hAnsi="Palatino Linotype" w:cs="Arial"/>
          <w:lang w:val="es-ES"/>
        </w:rPr>
        <w:t xml:space="preserve">En ese tenor, si el recurso de revisión que nos ocupa, se interpuso en fecha </w:t>
      </w:r>
      <w:r>
        <w:rPr>
          <w:rFonts w:ascii="Palatino Linotype" w:hAnsi="Palatino Linotype" w:cs="Arial"/>
          <w:b/>
          <w:u w:val="single"/>
          <w:lang w:val="es-ES"/>
        </w:rPr>
        <w:t>cinco de febrero de dos mil veinte</w:t>
      </w:r>
      <w:r>
        <w:rPr>
          <w:rFonts w:ascii="Palatino Linotype" w:hAnsi="Palatino Linotype" w:cs="Arial"/>
          <w:b/>
          <w:lang w:val="es-ES"/>
        </w:rPr>
        <w:t xml:space="preserve">, </w:t>
      </w:r>
      <w:r>
        <w:rPr>
          <w:rFonts w:ascii="Palatino Linotype" w:hAnsi="Palatino Linotype" w:cs="Arial"/>
          <w:lang w:val="es-ES"/>
        </w:rPr>
        <w:t xml:space="preserve">éste se encuentra dentro del margen temporal previsto en el precepto legal y, por tanto, es oportuno. </w:t>
      </w:r>
    </w:p>
    <w:p w:rsidR="00757817" w:rsidRDefault="00757817">
      <w:pPr>
        <w:spacing w:line="360" w:lineRule="auto"/>
        <w:jc w:val="both"/>
        <w:rPr>
          <w:rFonts w:ascii="Palatino Linotype" w:hAnsi="Palatino Linotype" w:cs="Arial"/>
          <w:sz w:val="2"/>
          <w:lang w:val="es-ES"/>
        </w:rPr>
      </w:pPr>
    </w:p>
    <w:p w:rsidR="00757817" w:rsidRDefault="00862B85">
      <w:pPr>
        <w:pStyle w:val="Prrafodelista"/>
        <w:widowControl w:val="0"/>
        <w:tabs>
          <w:tab w:val="left" w:pos="1418"/>
        </w:tabs>
        <w:spacing w:before="200" w:after="200" w:line="360" w:lineRule="auto"/>
        <w:ind w:left="0"/>
        <w:contextualSpacing/>
        <w:jc w:val="both"/>
        <w:rPr>
          <w:rFonts w:ascii="Palatino Linotype" w:hAnsi="Palatino Linotype" w:cs="Arial"/>
          <w:szCs w:val="28"/>
        </w:rPr>
      </w:pPr>
      <w:r>
        <w:rPr>
          <w:rFonts w:ascii="Palatino Linotype" w:hAnsi="Palatino Linotype"/>
          <w:b/>
          <w:sz w:val="28"/>
        </w:rPr>
        <w:t xml:space="preserve">CUARTO. </w:t>
      </w:r>
      <w:r>
        <w:rPr>
          <w:rFonts w:ascii="Palatino Linotype" w:hAnsi="Palatino Linotype" w:cs="Arial"/>
          <w:b/>
          <w:i/>
          <w:szCs w:val="28"/>
        </w:rPr>
        <w:t xml:space="preserve">Procedibilidad. </w:t>
      </w:r>
      <w:r>
        <w:rPr>
          <w:rFonts w:ascii="Palatino Linotype" w:hAnsi="Palatino Linotype" w:cs="Arial"/>
          <w:szCs w:val="28"/>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w:t>
      </w:r>
    </w:p>
    <w:p w:rsidR="00757817" w:rsidRDefault="00757817">
      <w:pPr>
        <w:pStyle w:val="Prrafodelista"/>
        <w:widowControl w:val="0"/>
        <w:spacing w:after="120" w:line="360" w:lineRule="auto"/>
        <w:ind w:left="0"/>
        <w:contextualSpacing/>
        <w:jc w:val="both"/>
        <w:rPr>
          <w:rFonts w:ascii="Palatino Linotype" w:hAnsi="Palatino Linotype" w:cs="Arial"/>
          <w:b/>
          <w:sz w:val="18"/>
          <w:szCs w:val="28"/>
        </w:rPr>
      </w:pPr>
    </w:p>
    <w:p w:rsidR="00757817" w:rsidRDefault="00862B85">
      <w:pPr>
        <w:pStyle w:val="Prrafodelista"/>
        <w:widowControl w:val="0"/>
        <w:spacing w:after="120" w:line="360" w:lineRule="auto"/>
        <w:ind w:left="0"/>
        <w:contextualSpacing/>
        <w:jc w:val="both"/>
        <w:rPr>
          <w:rFonts w:ascii="Palatino Linotype" w:hAnsi="Palatino Linotype"/>
        </w:rPr>
      </w:pPr>
      <w:r>
        <w:rPr>
          <w:rFonts w:ascii="Palatino Linotype" w:hAnsi="Palatino Linotype" w:cs="Arial"/>
          <w:b/>
          <w:sz w:val="28"/>
          <w:szCs w:val="28"/>
        </w:rPr>
        <w:t>QUINTO</w:t>
      </w:r>
      <w:r>
        <w:rPr>
          <w:rFonts w:ascii="Palatino Linotype" w:hAnsi="Palatino Linotype" w:cs="Arial"/>
          <w:b/>
        </w:rPr>
        <w:t xml:space="preserve">. </w:t>
      </w:r>
      <w:r>
        <w:rPr>
          <w:rFonts w:ascii="Palatino Linotype" w:hAnsi="Palatino Linotype" w:cs="Arial"/>
          <w:b/>
          <w:i/>
        </w:rPr>
        <w:t>Estudio y resolución del asunto</w:t>
      </w:r>
      <w:r>
        <w:rPr>
          <w:rFonts w:ascii="Palatino Linotype" w:hAnsi="Palatino Linotype"/>
          <w:b/>
        </w:rPr>
        <w:t xml:space="preserve">. </w:t>
      </w:r>
      <w:r>
        <w:rPr>
          <w:rFonts w:ascii="Palatino Linotype" w:hAnsi="Palatino Linotype" w:cs="Arial"/>
        </w:rPr>
        <w:t xml:space="preserve">Una vez determinada la vía sobre la que versará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a que da origen, es conveniente analizar si la respuesta del </w:t>
      </w:r>
      <w:r>
        <w:rPr>
          <w:rFonts w:ascii="Palatino Linotype" w:hAnsi="Palatino Linotype" w:cs="Arial"/>
          <w:b/>
          <w:lang w:eastAsia="es-MX"/>
        </w:rPr>
        <w:t>SUJETO OBLIGADO</w:t>
      </w:r>
      <w:r>
        <w:rPr>
          <w:rFonts w:ascii="Palatino Linotype" w:hAnsi="Palatino Linotype" w:cs="Arial"/>
        </w:rPr>
        <w:t xml:space="preserve">, cumple con los </w:t>
      </w:r>
      <w:r>
        <w:rPr>
          <w:rFonts w:ascii="Palatino Linotype" w:hAnsi="Palatino Linotype" w:cs="Arial"/>
        </w:rPr>
        <w:lastRenderedPageBreak/>
        <w:t xml:space="preserve">requisitos y procedimientos del derecho de acceso a la información pública, por lo que, en primer término debemos recordar que la solicitud de información planteada por </w:t>
      </w:r>
      <w:r>
        <w:rPr>
          <w:rFonts w:ascii="Palatino Linotype" w:hAnsi="Palatino Linotype" w:cs="Arial"/>
          <w:b/>
        </w:rPr>
        <w:t>EL RECURRENTE,</w:t>
      </w:r>
      <w:r>
        <w:rPr>
          <w:rFonts w:ascii="Palatino Linotype" w:hAnsi="Palatino Linotype" w:cs="Arial"/>
        </w:rPr>
        <w:t xml:space="preserve"> </w:t>
      </w:r>
      <w:r>
        <w:rPr>
          <w:rFonts w:ascii="Palatino Linotype" w:hAnsi="Palatino Linotype"/>
        </w:rPr>
        <w:t xml:space="preserve">vía </w:t>
      </w:r>
      <w:r>
        <w:rPr>
          <w:rFonts w:ascii="Palatino Linotype" w:hAnsi="Palatino Linotype"/>
          <w:b/>
        </w:rPr>
        <w:t>EL</w:t>
      </w:r>
      <w:r>
        <w:rPr>
          <w:rFonts w:ascii="Palatino Linotype" w:hAnsi="Palatino Linotype"/>
        </w:rPr>
        <w:t xml:space="preserve"> </w:t>
      </w:r>
      <w:r>
        <w:rPr>
          <w:rFonts w:ascii="Palatino Linotype" w:hAnsi="Palatino Linotype"/>
          <w:b/>
        </w:rPr>
        <w:t>SAIMEX</w:t>
      </w:r>
      <w:r>
        <w:rPr>
          <w:rFonts w:ascii="Palatino Linotype" w:hAnsi="Palatino Linotype"/>
        </w:rPr>
        <w:t>, fue que se le informe si existen permisos vigentes para el ejercicio del comercio ambulante sobre la Avenida La Herradura en su cruce con Paseos Bosques de La Herradura (Naucalpan) y, de ser el caso, se me entregue una copia de cada uno de ellos. Para lo cual un adjuntó un archivo electrónico con fotografías que señalan el lugar donde están instalados y la evidencia de una inspección practicada.</w:t>
      </w:r>
    </w:p>
    <w:p w:rsidR="00757817" w:rsidRDefault="00757817">
      <w:pPr>
        <w:pStyle w:val="Prrafodelista"/>
        <w:widowControl w:val="0"/>
        <w:spacing w:after="120" w:line="360" w:lineRule="auto"/>
        <w:ind w:left="0"/>
        <w:contextualSpacing/>
        <w:jc w:val="both"/>
        <w:rPr>
          <w:rFonts w:ascii="Palatino Linotype" w:hAnsi="Palatino Linotype" w:cs="Arial"/>
        </w:rPr>
      </w:pPr>
    </w:p>
    <w:p w:rsidR="00757817" w:rsidRDefault="00862B85">
      <w:pPr>
        <w:pStyle w:val="Prrafodelista"/>
        <w:widowControl w:val="0"/>
        <w:spacing w:after="120" w:line="360" w:lineRule="auto"/>
        <w:ind w:left="0"/>
        <w:contextualSpacing/>
        <w:jc w:val="both"/>
        <w:rPr>
          <w:rFonts w:ascii="Palatino Linotype" w:hAnsi="Palatino Linotype" w:cs="Arial"/>
        </w:rPr>
      </w:pPr>
      <w:r>
        <w:rPr>
          <w:noProof/>
          <w:lang w:eastAsia="es-MX"/>
        </w:rPr>
        <mc:AlternateContent>
          <mc:Choice Requires="wps">
            <w:drawing>
              <wp:anchor distT="0" distB="0" distL="0" distR="0" simplePos="0" relativeHeight="71" behindDoc="0" locked="0" layoutInCell="1" allowOverlap="1" wp14:anchorId="475FBBDC">
                <wp:simplePos x="0" y="0"/>
                <wp:positionH relativeFrom="column">
                  <wp:posOffset>-22860</wp:posOffset>
                </wp:positionH>
                <wp:positionV relativeFrom="paragraph">
                  <wp:posOffset>843915</wp:posOffset>
                </wp:positionV>
                <wp:extent cx="5905500" cy="1323975"/>
                <wp:effectExtent l="0" t="0" r="19050" b="28575"/>
                <wp:wrapNone/>
                <wp:docPr id="4" name="Conector recto 20"/>
                <wp:cNvGraphicFramePr/>
                <a:graphic xmlns:a="http://schemas.openxmlformats.org/drawingml/2006/main">
                  <a:graphicData uri="http://schemas.microsoft.com/office/word/2010/wordprocessingShape">
                    <wps:wsp>
                      <wps:cNvCnPr/>
                      <wps:spPr>
                        <a:xfrm>
                          <a:off x="0" y="0"/>
                          <a:ext cx="5905500" cy="1323975"/>
                        </a:xfrm>
                        <a:prstGeom prst="line">
                          <a:avLst/>
                        </a:prstGeom>
                        <a:ln w="28440"/>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D8CBA28" id="Conector recto 20" o:spid="_x0000_s1026" style="position:absolute;z-index:7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8pt,66.45pt" to="463.2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" strokecolor="#4579b8 [3044]" strokeweight=".79mm"/>
            </w:pict>
          </mc:Fallback>
        </mc:AlternateContent>
      </w:r>
      <w:r>
        <w:rPr>
          <w:rFonts w:ascii="Palatino Linotype" w:hAnsi="Palatino Linotype" w:cs="Arial"/>
        </w:rPr>
        <w:t xml:space="preserve">Bajo lo cual, </w:t>
      </w:r>
      <w:r>
        <w:rPr>
          <w:rFonts w:ascii="Palatino Linotype" w:hAnsi="Palatino Linotype" w:cs="Arial"/>
          <w:b/>
        </w:rPr>
        <w:t>EL SUJETO OBLIGADO</w:t>
      </w:r>
      <w:r>
        <w:rPr>
          <w:rFonts w:ascii="Palatino Linotype" w:hAnsi="Palatino Linotype" w:cs="Arial"/>
        </w:rPr>
        <w:t xml:space="preserve"> le manifestó en respuesta que le anexó la respuesta por el Servidor Público Habilitado Competente como se aprecia a continuación:</w:t>
      </w:r>
    </w:p>
    <w:p w:rsidR="00757817" w:rsidRDefault="00862B85">
      <w:pPr>
        <w:pStyle w:val="Prrafodelista"/>
        <w:widowControl w:val="0"/>
        <w:spacing w:after="120" w:line="360" w:lineRule="auto"/>
        <w:ind w:left="0"/>
        <w:contextualSpacing/>
        <w:jc w:val="both"/>
        <w:rPr>
          <w:rFonts w:ascii="Palatino Linotype" w:hAnsi="Palatino Linotype" w:cs="Arial"/>
        </w:rPr>
      </w:pPr>
      <w:r>
        <w:rPr>
          <w:noProof/>
          <w:lang w:eastAsia="es-MX"/>
        </w:rPr>
        <w:lastRenderedPageBreak/>
        <w:drawing>
          <wp:inline distT="0" distB="0" distL="0" distR="0">
            <wp:extent cx="5601335" cy="7703185"/>
            <wp:effectExtent l="0" t="0" r="0" b="0"/>
            <wp:docPr id="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9"/>
                    <pic:cNvPicPr>
                      <a:picLocks noChangeAspect="1" noChangeArrowheads="1"/>
                    </pic:cNvPicPr>
                  </pic:nvPicPr>
                  <pic:blipFill>
                    <a:blip r:embed="rId9"/>
                    <a:srcRect l="34674" t="15536" r="36135" b="12362"/>
                    <a:stretch>
                      <a:fillRect/>
                    </a:stretch>
                  </pic:blipFill>
                  <pic:spPr bwMode="auto">
                    <a:xfrm>
                      <a:off x="0" y="0"/>
                      <a:ext cx="5601335" cy="7703185"/>
                    </a:xfrm>
                    <a:prstGeom prst="rect">
                      <a:avLst/>
                    </a:prstGeom>
                  </pic:spPr>
                </pic:pic>
              </a:graphicData>
            </a:graphic>
          </wp:inline>
        </w:drawing>
      </w:r>
      <w:r>
        <w:rPr>
          <w:noProof/>
          <w:lang w:eastAsia="es-MX"/>
        </w:rPr>
        <mc:AlternateContent>
          <mc:Choice Requires="wps">
            <w:drawing>
              <wp:anchor distT="0" distB="0" distL="0" distR="0" simplePos="0" relativeHeight="72" behindDoc="0" locked="0" layoutInCell="1" allowOverlap="1" wp14:anchorId="6EFE1CFE">
                <wp:simplePos x="0" y="0"/>
                <wp:positionH relativeFrom="column">
                  <wp:posOffset>734060</wp:posOffset>
                </wp:positionH>
                <wp:positionV relativeFrom="paragraph">
                  <wp:posOffset>3914775</wp:posOffset>
                </wp:positionV>
                <wp:extent cx="4250690" cy="1902460"/>
                <wp:effectExtent l="19050" t="19050" r="0" b="3175"/>
                <wp:wrapNone/>
                <wp:docPr id="5" name="Rectángulo 21"/>
                <wp:cNvGraphicFramePr/>
                <a:graphic xmlns:a="http://schemas.openxmlformats.org/drawingml/2006/main">
                  <a:graphicData uri="http://schemas.microsoft.com/office/word/2010/wordprocessingShape">
                    <wps:wsp>
                      <wps:cNvSpPr/>
                      <wps:spPr>
                        <a:xfrm>
                          <a:off x="0" y="0"/>
                          <a:ext cx="4250160" cy="1901880"/>
                        </a:xfrm>
                        <a:prstGeom prst="rect">
                          <a:avLst/>
                        </a:prstGeom>
                        <a:noFill/>
                        <a:ln w="381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21" stroked="t" style="position:absolute;margin-left:57.8pt;margin-top:308.25pt;width:334.6pt;height:149.7pt" wp14:anchorId="6EFE1CFE">
                <w10:wrap type="none"/>
                <v:fill o:detectmouseclick="t" on="false"/>
                <v:stroke color="red" weight="38160" joinstyle="miter" endcap="flat"/>
              </v:rect>
            </w:pict>
          </mc:Fallback>
        </mc:AlternateContent>
      </w:r>
    </w:p>
    <w:p w:rsidR="00757817" w:rsidRDefault="00862B85">
      <w:pPr>
        <w:pStyle w:val="Prrafodelista"/>
        <w:widowControl w:val="0"/>
        <w:spacing w:after="120" w:line="360" w:lineRule="auto"/>
        <w:ind w:left="0"/>
        <w:contextualSpacing/>
        <w:jc w:val="both"/>
        <w:rPr>
          <w:rFonts w:ascii="Palatino Linotype" w:hAnsi="Palatino Linotype" w:cs="Arial"/>
          <w:i/>
        </w:rPr>
      </w:pPr>
      <w:r>
        <w:rPr>
          <w:rFonts w:ascii="Palatino Linotype" w:hAnsi="Palatino Linotype" w:cs="Arial"/>
        </w:rPr>
        <w:lastRenderedPageBreak/>
        <w:t>De lo anterior, es que la particular se inconforma de la respuesta y señaló como razones y motivos de inconformidad que “</w:t>
      </w:r>
      <w:r>
        <w:rPr>
          <w:rFonts w:ascii="Palatino Linotype" w:hAnsi="Palatino Linotype" w:cs="Arial"/>
          <w:i/>
        </w:rPr>
        <w:t>solicito se atienda puntualmente mi petición de darme a conocer si es que existen permisos oficiales otorgados para que operen puestos semifijos sobre la Av. La Herradura en su cruce con Paseo de Bosques de La Herradura (Naucalpan) sitio que se mostró con toda claridad en mi solicitud con folio00050/</w:t>
      </w:r>
      <w:r>
        <w:rPr>
          <w:rFonts w:ascii="Palatino Linotype" w:hAnsi="Palatino Linotype" w:cs="Arial"/>
        </w:rPr>
        <w:t>NAUCALPA/IP/2020, y</w:t>
      </w:r>
      <w:r>
        <w:rPr>
          <w:rFonts w:ascii="Palatino Linotype" w:hAnsi="Palatino Linotype" w:cs="Arial"/>
          <w:i/>
        </w:rPr>
        <w:t xml:space="preserve"> de ser el caso se me entregue una copia de cada uno de dichos permisos.”</w:t>
      </w:r>
    </w:p>
    <w:p w:rsidR="00757817" w:rsidRDefault="00757817">
      <w:pPr>
        <w:pStyle w:val="Prrafodelista"/>
        <w:widowControl w:val="0"/>
        <w:spacing w:after="120" w:line="360" w:lineRule="auto"/>
        <w:ind w:left="0"/>
        <w:contextualSpacing/>
        <w:jc w:val="both"/>
        <w:rPr>
          <w:rFonts w:ascii="Palatino Linotype" w:hAnsi="Palatino Linotype" w:cs="Arial"/>
          <w:i/>
          <w:sz w:val="18"/>
          <w:szCs w:val="18"/>
        </w:rPr>
      </w:pPr>
    </w:p>
    <w:p w:rsidR="00757817" w:rsidRDefault="00862B85">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Es de esta forma, que mediante Informe Justificado </w:t>
      </w:r>
      <w:r>
        <w:rPr>
          <w:rFonts w:ascii="Palatino Linotype" w:hAnsi="Palatino Linotype" w:cs="Arial"/>
          <w:b/>
        </w:rPr>
        <w:t xml:space="preserve">EL SUJETO OBLIGADO </w:t>
      </w:r>
      <w:r>
        <w:rPr>
          <w:rFonts w:ascii="Palatino Linotype" w:hAnsi="Palatino Linotype" w:cs="Arial"/>
        </w:rPr>
        <w:t>le indicó que realizó la inspección a lugar que señala, como se observa a continuación:</w:t>
      </w:r>
    </w:p>
    <w:p w:rsidR="00757817" w:rsidRDefault="00862B85">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602605" cy="4438650"/>
            <wp:effectExtent l="0" t="0" r="0"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2"/>
                    <pic:cNvPicPr>
                      <a:picLocks noChangeAspect="1" noChangeArrowheads="1"/>
                    </pic:cNvPicPr>
                  </pic:nvPicPr>
                  <pic:blipFill>
                    <a:blip r:embed="rId10"/>
                    <a:srcRect l="34284" t="16457" r="36002" b="13524"/>
                    <a:stretch>
                      <a:fillRect/>
                    </a:stretch>
                  </pic:blipFill>
                  <pic:spPr bwMode="auto">
                    <a:xfrm>
                      <a:off x="0" y="0"/>
                      <a:ext cx="5602605" cy="4438650"/>
                    </a:xfrm>
                    <a:prstGeom prst="rect">
                      <a:avLst/>
                    </a:prstGeom>
                  </pic:spPr>
                </pic:pic>
              </a:graphicData>
            </a:graphic>
          </wp:inline>
        </w:drawing>
      </w:r>
    </w:p>
    <w:p w:rsidR="00757817" w:rsidRDefault="00862B85">
      <w:pPr>
        <w:pStyle w:val="Prrafodelista"/>
        <w:widowControl w:val="0"/>
        <w:spacing w:after="120" w:line="360" w:lineRule="auto"/>
        <w:ind w:left="0"/>
        <w:contextualSpacing/>
        <w:jc w:val="both"/>
        <w:rPr>
          <w:rFonts w:ascii="Palatino Linotype" w:hAnsi="Palatino Linotype" w:cs="Arial"/>
        </w:rPr>
      </w:pPr>
      <w:r>
        <w:rPr>
          <w:noProof/>
          <w:lang w:eastAsia="es-MX"/>
        </w:rPr>
        <w:lastRenderedPageBreak/>
        <w:drawing>
          <wp:inline distT="0" distB="0" distL="0" distR="0">
            <wp:extent cx="5622925" cy="7373620"/>
            <wp:effectExtent l="0" t="0" r="0" b="0"/>
            <wp:docPr id="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3"/>
                    <pic:cNvPicPr>
                      <a:picLocks noChangeAspect="1" noChangeArrowheads="1"/>
                    </pic:cNvPicPr>
                  </pic:nvPicPr>
                  <pic:blipFill>
                    <a:blip r:embed="rId11"/>
                    <a:srcRect l="34032" t="21796" r="35338" b="17908"/>
                    <a:stretch>
                      <a:fillRect/>
                    </a:stretch>
                  </pic:blipFill>
                  <pic:spPr bwMode="auto">
                    <a:xfrm>
                      <a:off x="0" y="0"/>
                      <a:ext cx="5622925" cy="7373620"/>
                    </a:xfrm>
                    <a:prstGeom prst="rect">
                      <a:avLst/>
                    </a:prstGeom>
                  </pic:spPr>
                </pic:pic>
              </a:graphicData>
            </a:graphic>
          </wp:inline>
        </w:drawing>
      </w:r>
    </w:p>
    <w:p w:rsidR="00757817" w:rsidRDefault="00862B85">
      <w:pPr>
        <w:pStyle w:val="Prrafodelista"/>
        <w:widowControl w:val="0"/>
        <w:spacing w:after="120" w:line="360" w:lineRule="auto"/>
        <w:ind w:left="0"/>
        <w:contextualSpacing/>
        <w:jc w:val="both"/>
        <w:rPr>
          <w:rFonts w:ascii="Palatino Linotype" w:hAnsi="Palatino Linotype" w:cs="Arial"/>
        </w:rPr>
      </w:pPr>
      <w:r>
        <w:rPr>
          <w:noProof/>
          <w:lang w:eastAsia="es-MX"/>
        </w:rPr>
        <w:lastRenderedPageBreak/>
        <w:drawing>
          <wp:anchor distT="0" distB="0" distL="114300" distR="114300" simplePos="0" relativeHeight="70" behindDoc="0" locked="0" layoutInCell="1" allowOverlap="1">
            <wp:simplePos x="0" y="0"/>
            <wp:positionH relativeFrom="margin">
              <wp:posOffset>133985</wp:posOffset>
            </wp:positionH>
            <wp:positionV relativeFrom="paragraph">
              <wp:posOffset>790575</wp:posOffset>
            </wp:positionV>
            <wp:extent cx="5581015" cy="6854190"/>
            <wp:effectExtent l="0" t="0" r="0" b="0"/>
            <wp:wrapSquare wrapText="bothSides"/>
            <wp:docPr id="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4"/>
                    <pic:cNvPicPr>
                      <a:picLocks noChangeAspect="1" noChangeArrowheads="1"/>
                    </pic:cNvPicPr>
                  </pic:nvPicPr>
                  <pic:blipFill>
                    <a:blip r:embed="rId12"/>
                    <a:srcRect l="34550" t="13214" r="35479" b="20940"/>
                    <a:stretch>
                      <a:fillRect/>
                    </a:stretch>
                  </pic:blipFill>
                  <pic:spPr bwMode="auto">
                    <a:xfrm>
                      <a:off x="0" y="0"/>
                      <a:ext cx="5581015" cy="6854190"/>
                    </a:xfrm>
                    <a:prstGeom prst="rect">
                      <a:avLst/>
                    </a:prstGeom>
                  </pic:spPr>
                </pic:pic>
              </a:graphicData>
            </a:graphic>
          </wp:anchor>
        </w:drawing>
      </w:r>
      <w:r>
        <w:rPr>
          <w:rFonts w:ascii="Palatino Linotype" w:hAnsi="Palatino Linotype" w:cs="Arial"/>
        </w:rPr>
        <w:br/>
      </w:r>
    </w:p>
    <w:p w:rsidR="00757817" w:rsidRDefault="00862B85">
      <w:pPr>
        <w:spacing w:line="360" w:lineRule="auto"/>
        <w:jc w:val="both"/>
        <w:rPr>
          <w:rFonts w:ascii="Palatino Linotype" w:hAnsi="Palatino Linotype"/>
        </w:rPr>
      </w:pPr>
      <w:r>
        <w:rPr>
          <w:noProof/>
          <w:lang w:eastAsia="es-MX"/>
        </w:rPr>
        <w:lastRenderedPageBreak/>
        <w:drawing>
          <wp:inline distT="0" distB="0" distL="0" distR="0">
            <wp:extent cx="5558155" cy="7622540"/>
            <wp:effectExtent l="0" t="0" r="0" b="0"/>
            <wp:docPr id="1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5"/>
                    <pic:cNvPicPr>
                      <a:picLocks noChangeAspect="1" noChangeArrowheads="1"/>
                    </pic:cNvPicPr>
                  </pic:nvPicPr>
                  <pic:blipFill>
                    <a:blip r:embed="rId13"/>
                    <a:srcRect l="34157" t="9739" r="35740" b="11432"/>
                    <a:stretch>
                      <a:fillRect/>
                    </a:stretch>
                  </pic:blipFill>
                  <pic:spPr bwMode="auto">
                    <a:xfrm>
                      <a:off x="0" y="0"/>
                      <a:ext cx="5558155" cy="7622540"/>
                    </a:xfrm>
                    <a:prstGeom prst="rect">
                      <a:avLst/>
                    </a:prstGeom>
                  </pic:spPr>
                </pic:pic>
              </a:graphicData>
            </a:graphic>
          </wp:inline>
        </w:drawing>
      </w:r>
    </w:p>
    <w:p w:rsidR="00757817" w:rsidRDefault="00862B85">
      <w:pPr>
        <w:spacing w:line="360" w:lineRule="auto"/>
        <w:jc w:val="both"/>
        <w:rPr>
          <w:rFonts w:ascii="Palatino Linotype" w:hAnsi="Palatino Linotype"/>
        </w:rPr>
      </w:pPr>
      <w:r>
        <w:rPr>
          <w:noProof/>
          <w:lang w:eastAsia="es-MX"/>
        </w:rPr>
        <w:lastRenderedPageBreak/>
        <w:drawing>
          <wp:inline distT="0" distB="0" distL="0" distR="0">
            <wp:extent cx="5514340" cy="7585710"/>
            <wp:effectExtent l="0" t="0" r="0" b="0"/>
            <wp:docPr id="1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6"/>
                    <pic:cNvPicPr>
                      <a:picLocks noChangeAspect="1" noChangeArrowheads="1"/>
                    </pic:cNvPicPr>
                  </pic:nvPicPr>
                  <pic:blipFill>
                    <a:blip r:embed="rId14"/>
                    <a:srcRect l="34674" t="9739" r="36135" b="12589"/>
                    <a:stretch>
                      <a:fillRect/>
                    </a:stretch>
                  </pic:blipFill>
                  <pic:spPr bwMode="auto">
                    <a:xfrm>
                      <a:off x="0" y="0"/>
                      <a:ext cx="5514340" cy="7585710"/>
                    </a:xfrm>
                    <a:prstGeom prst="rect">
                      <a:avLst/>
                    </a:prstGeom>
                  </pic:spPr>
                </pic:pic>
              </a:graphicData>
            </a:graphic>
          </wp:inline>
        </w:drawing>
      </w:r>
    </w:p>
    <w:p w:rsidR="00757817" w:rsidRDefault="00862B85">
      <w:pPr>
        <w:spacing w:line="360" w:lineRule="auto"/>
        <w:jc w:val="both"/>
        <w:rPr>
          <w:rFonts w:ascii="Palatino Linotype" w:hAnsi="Palatino Linotype"/>
        </w:rPr>
      </w:pPr>
      <w:r>
        <w:rPr>
          <w:rFonts w:ascii="Palatino Linotype" w:hAnsi="Palatino Linotype"/>
        </w:rPr>
        <w:lastRenderedPageBreak/>
        <w:t>Ahora bien, es importante precisar que se actualiza la causal de procedencia del artículo 179, fracción VI de la Ley de la materia; ello en virtud, de que se considera la información no corresponde a lo solicitado.</w:t>
      </w:r>
    </w:p>
    <w:p w:rsidR="00757817" w:rsidRDefault="00862B85">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Primero, es de señalar que </w:t>
      </w:r>
      <w:r>
        <w:rPr>
          <w:rFonts w:ascii="Palatino Linotype" w:hAnsi="Palatino Linotype" w:cs="Arial"/>
          <w:b/>
        </w:rPr>
        <w:t>EL SUJETO OBLIGADO</w:t>
      </w:r>
      <w:r>
        <w:rPr>
          <w:rFonts w:ascii="Palatino Linotype" w:hAnsi="Palatino Linotype" w:cs="Arial"/>
        </w:rPr>
        <w:t xml:space="preserve"> le indicó que para dar una mejor atención a la solicitud requería de los nombres de los permisionarios, por lo que para tener mayores elementos realizaría una inspección a lugar que señaló el particular.</w:t>
      </w:r>
    </w:p>
    <w:p w:rsidR="00757817" w:rsidRDefault="00757817">
      <w:pPr>
        <w:pStyle w:val="Prrafodelista"/>
        <w:widowControl w:val="0"/>
        <w:spacing w:after="120" w:line="360" w:lineRule="auto"/>
        <w:ind w:left="0"/>
        <w:contextualSpacing/>
        <w:jc w:val="both"/>
        <w:rPr>
          <w:rFonts w:ascii="Palatino Linotype" w:hAnsi="Palatino Linotype" w:cs="Arial"/>
          <w:sz w:val="18"/>
        </w:rPr>
      </w:pPr>
    </w:p>
    <w:p w:rsidR="00757817" w:rsidRDefault="00862B85">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Es mediante, Informe Justificado que le indicó que una vez que realizó la inspección, solo encontró un puesto semifijo con venta de aguacates y que al solicitar la documentación no fue presentada por las personas que lo atendían, aunado a que manifestó que en cuanto al segundo puesto que señaló en la solicitud de acceso a la información pública referente a una venta de pieles no lo ubicó.</w:t>
      </w:r>
    </w:p>
    <w:p w:rsidR="00757817" w:rsidRDefault="00757817">
      <w:pPr>
        <w:pStyle w:val="Prrafodelista"/>
        <w:widowControl w:val="0"/>
        <w:spacing w:after="120" w:line="360" w:lineRule="auto"/>
        <w:ind w:left="0"/>
        <w:contextualSpacing/>
        <w:jc w:val="both"/>
        <w:rPr>
          <w:rFonts w:ascii="Palatino Linotype" w:hAnsi="Palatino Linotype" w:cs="Arial"/>
        </w:rPr>
      </w:pPr>
    </w:p>
    <w:p w:rsidR="00757817" w:rsidRDefault="00862B85">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Bajo lo anterior, es importante señalar que lo que requirió el particular fue los permisos para ejercer en la vía pública, lo que </w:t>
      </w:r>
      <w:r>
        <w:rPr>
          <w:rFonts w:ascii="Palatino Linotype" w:hAnsi="Palatino Linotype" w:cs="Arial"/>
          <w:b/>
        </w:rPr>
        <w:t>EL SUJETO OBLIGADO</w:t>
      </w:r>
      <w:r>
        <w:rPr>
          <w:rFonts w:ascii="Palatino Linotype" w:hAnsi="Palatino Linotype" w:cs="Arial"/>
        </w:rPr>
        <w:t xml:space="preserve"> fue omiso en pronunciarse. </w:t>
      </w:r>
    </w:p>
    <w:p w:rsidR="00757817" w:rsidRDefault="00862B85">
      <w:pPr>
        <w:pStyle w:val="Prrafodelista"/>
        <w:widowControl w:val="0"/>
        <w:spacing w:after="120" w:line="360" w:lineRule="auto"/>
        <w:ind w:left="0"/>
        <w:contextualSpacing/>
        <w:jc w:val="both"/>
        <w:rPr>
          <w:rFonts w:ascii="Palatino Linotype" w:hAnsi="Palatino Linotype" w:cs="Arial"/>
          <w:i/>
          <w:sz w:val="14"/>
          <w:highlight w:val="yellow"/>
        </w:rPr>
      </w:pPr>
      <w:r>
        <w:rPr>
          <w:rFonts w:ascii="Palatino Linotype" w:hAnsi="Palatino Linotype" w:cs="Arial"/>
          <w:i/>
          <w:noProof/>
          <w:sz w:val="14"/>
          <w:highlight w:val="yellow"/>
          <w:lang w:eastAsia="es-MX"/>
        </w:rPr>
        <mc:AlternateContent>
          <mc:Choice Requires="wps">
            <w:drawing>
              <wp:anchor distT="0" distB="0" distL="0" distR="0" simplePos="0" relativeHeight="67" behindDoc="0" locked="0" layoutInCell="1" allowOverlap="1" wp14:anchorId="327C282A">
                <wp:simplePos x="0" y="0"/>
                <wp:positionH relativeFrom="column">
                  <wp:posOffset>1208405</wp:posOffset>
                </wp:positionH>
                <wp:positionV relativeFrom="paragraph">
                  <wp:posOffset>4174490</wp:posOffset>
                </wp:positionV>
                <wp:extent cx="1453515" cy="219710"/>
                <wp:effectExtent l="19050" t="19050" r="0" b="9525"/>
                <wp:wrapNone/>
                <wp:docPr id="12" name="Rectángulo 9"/>
                <wp:cNvGraphicFramePr/>
                <a:graphic xmlns:a="http://schemas.openxmlformats.org/drawingml/2006/main">
                  <a:graphicData uri="http://schemas.microsoft.com/office/word/2010/wordprocessingShape">
                    <wps:wsp>
                      <wps:cNvSpPr/>
                      <wps:spPr>
                        <a:xfrm>
                          <a:off x="0" y="0"/>
                          <a:ext cx="1452960" cy="219240"/>
                        </a:xfrm>
                        <a:prstGeom prst="rect">
                          <a:avLst/>
                        </a:prstGeom>
                        <a:noFill/>
                        <a:ln w="2844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9" stroked="t" style="position:absolute;margin-left:95.15pt;margin-top:328.7pt;width:114.35pt;height:17.2pt" wp14:anchorId="327C282A">
                <w10:wrap type="none"/>
                <v:fill o:detectmouseclick="t" on="false"/>
                <v:stroke color="red" weight="28440" joinstyle="miter" endcap="flat"/>
              </v:rect>
            </w:pict>
          </mc:Fallback>
        </mc:AlternateContent>
      </w:r>
      <w:r>
        <w:rPr>
          <w:rFonts w:ascii="Palatino Linotype" w:hAnsi="Palatino Linotype" w:cs="Arial"/>
          <w:i/>
          <w:noProof/>
          <w:sz w:val="14"/>
          <w:highlight w:val="yellow"/>
          <w:lang w:eastAsia="es-MX"/>
        </w:rPr>
        <mc:AlternateContent>
          <mc:Choice Requires="wps">
            <w:drawing>
              <wp:anchor distT="0" distB="0" distL="0" distR="0" simplePos="0" relativeHeight="68" behindDoc="0" locked="0" layoutInCell="1" allowOverlap="1" wp14:anchorId="61E50B77">
                <wp:simplePos x="0" y="0"/>
                <wp:positionH relativeFrom="column">
                  <wp:posOffset>2835275</wp:posOffset>
                </wp:positionH>
                <wp:positionV relativeFrom="paragraph">
                  <wp:posOffset>4387215</wp:posOffset>
                </wp:positionV>
                <wp:extent cx="2059305" cy="270510"/>
                <wp:effectExtent l="19050" t="19050" r="0" b="0"/>
                <wp:wrapNone/>
                <wp:docPr id="13" name="Rectángulo 13"/>
                <wp:cNvGraphicFramePr/>
                <a:graphic xmlns:a="http://schemas.openxmlformats.org/drawingml/2006/main">
                  <a:graphicData uri="http://schemas.microsoft.com/office/word/2010/wordprocessingShape">
                    <wps:wsp>
                      <wps:cNvSpPr/>
                      <wps:spPr>
                        <a:xfrm>
                          <a:off x="0" y="0"/>
                          <a:ext cx="2058840" cy="270000"/>
                        </a:xfrm>
                        <a:prstGeom prst="rect">
                          <a:avLst/>
                        </a:prstGeom>
                        <a:noFill/>
                        <a:ln w="2844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3" stroked="t" style="position:absolute;margin-left:223.25pt;margin-top:345.45pt;width:162.05pt;height:21.2pt" wp14:anchorId="61E50B77">
                <w10:wrap type="none"/>
                <v:fill o:detectmouseclick="t" on="false"/>
                <v:stroke color="red" weight="28440" joinstyle="miter" endcap="flat"/>
              </v:rect>
            </w:pict>
          </mc:Fallback>
        </mc:AlternateContent>
      </w:r>
    </w:p>
    <w:p w:rsidR="00757817" w:rsidRDefault="00862B85">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En este sentido el Bando Municipal de Naucalpan de Juárez, establece lo siguiente:</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Artículo 32. La Administración Pública Centralizada se constituye por las dependencias que señala la Ley OrgánicaMunicipal del Estado de México, así como por aquellas que sean creadas por acuerdo de Cabildo; dependen del Ayuntamiento y están subordinados jerárquicamente a la Presidenta Municipal.</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 xml:space="preserve">La Administración Pública Centralizada se integra por: </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 xml:space="preserve">I. Secretaría del Ayuntamiento; </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 xml:space="preserve">II. Tesorería Municipal; </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 xml:space="preserve">III. Contraloría Interna Municipal; </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 xml:space="preserve">IV. Secretarías de: </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lastRenderedPageBreak/>
        <w:t xml:space="preserve">a) Administración; </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b) Desarrollo Económico;</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Artículo 54. El Ayuntamiento, por conducto de la Secretaría de Desarrollo Económico, ejercerá la prestación del servicio público de mercados, así como el control y regulación del comercio en la vía pública y/o áreas de uso común, vialidades principales y primarias dentro del territorio municipal, incluyendo el que se realice a través de puestos fijos, semifijos, temporales, permanentes, vehículos de venta de alimentos en vías públicas u otro tipo de puestos, así como tianguistas, vendedores ambulantes y expendedores de periódicos y revistas y el que se realice a través de vehículos automotores, estando sujeto, entre otras, a las disposiciones de la Ley de Bienes del Estado de México y sus Municipios, el presente Bando, el Reglamento de Mercados Centrales de Abasto y Comercio en la Vía Pública y/o áreas de Uso Común del Municipio de Naucalpan de Juárez, México y de los demás reglamentos, circulares administrativas y acuerdos que al efecto expida el ayuntamiento.</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 xml:space="preserve">Artículo 55. El uso y explotación de la vía pública y/o áreas de uso común, vialidades principales y de intenso flujo vehicular para el ejercicio del comercio, se sujetará </w:t>
      </w:r>
      <w:r>
        <w:rPr>
          <w:rFonts w:ascii="Palatino Linotype" w:hAnsi="Palatino Linotype"/>
          <w:b/>
          <w:i/>
          <w:sz w:val="22"/>
          <w:szCs w:val="22"/>
          <w:u w:val="single"/>
        </w:rPr>
        <w:t>al permiso, licencia o autorización</w:t>
      </w:r>
      <w:r>
        <w:rPr>
          <w:rFonts w:ascii="Palatino Linotype" w:hAnsi="Palatino Linotype"/>
          <w:i/>
          <w:sz w:val="22"/>
          <w:szCs w:val="22"/>
        </w:rPr>
        <w:t xml:space="preserve">, lo que </w:t>
      </w:r>
      <w:r>
        <w:rPr>
          <w:rFonts w:ascii="Palatino Linotype" w:hAnsi="Palatino Linotype"/>
          <w:i/>
          <w:sz w:val="22"/>
          <w:szCs w:val="22"/>
          <w:u w:val="single"/>
        </w:rPr>
        <w:t>causará el pago de los derechos</w:t>
      </w:r>
      <w:r>
        <w:rPr>
          <w:rFonts w:ascii="Palatino Linotype" w:hAnsi="Palatino Linotype"/>
          <w:i/>
          <w:sz w:val="22"/>
          <w:szCs w:val="22"/>
        </w:rPr>
        <w:t xml:space="preserve"> que establezca el Código Financiero y demás contribuciones correspondientes, previa solicitud que por escrito se formule de conformidad con la normatividad aplicable.</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b/>
          <w:i/>
          <w:sz w:val="22"/>
          <w:szCs w:val="22"/>
        </w:rPr>
        <w:t>Artículo 60.</w:t>
      </w:r>
      <w:r>
        <w:rPr>
          <w:rFonts w:ascii="Palatino Linotype" w:hAnsi="Palatino Linotype"/>
          <w:i/>
          <w:sz w:val="22"/>
          <w:szCs w:val="22"/>
        </w:rPr>
        <w:t xml:space="preserve"> Para efectos del artículo anterior, los comerciantes para el ejercicio del comercio en la vía pública, deberán presentar solicitud por escrito ante la Coordinación de Control de Peticiones, dependiente de la Secretaría del Ayuntamiento y dirigida a la Secretaría de Desarrollo Económico, a fin de obtener </w:t>
      </w:r>
      <w:r>
        <w:rPr>
          <w:rFonts w:ascii="Palatino Linotype" w:hAnsi="Palatino Linotype"/>
          <w:b/>
          <w:i/>
          <w:sz w:val="22"/>
          <w:szCs w:val="22"/>
          <w:u w:val="single"/>
        </w:rPr>
        <w:t>el permiso y/o cédula de empadronamiento correspondiente.</w:t>
      </w:r>
      <w:r>
        <w:rPr>
          <w:rFonts w:ascii="Palatino Linotype" w:hAnsi="Palatino Linotype"/>
          <w:i/>
          <w:sz w:val="22"/>
          <w:szCs w:val="22"/>
        </w:rPr>
        <w:t xml:space="preserve"> </w:t>
      </w:r>
    </w:p>
    <w:p w:rsidR="00757817" w:rsidRDefault="00862B85">
      <w:pPr>
        <w:pStyle w:val="Prrafodelista"/>
        <w:widowControl w:val="0"/>
        <w:spacing w:line="276" w:lineRule="auto"/>
        <w:ind w:left="851" w:right="760"/>
        <w:jc w:val="both"/>
        <w:rPr>
          <w:rFonts w:ascii="Palatino Linotype" w:hAnsi="Palatino Linotype"/>
          <w:i/>
          <w:sz w:val="22"/>
          <w:szCs w:val="22"/>
        </w:rPr>
      </w:pPr>
      <w:r>
        <w:rPr>
          <w:rFonts w:ascii="Palatino Linotype" w:hAnsi="Palatino Linotype"/>
          <w:i/>
          <w:sz w:val="22"/>
          <w:szCs w:val="22"/>
        </w:rPr>
        <w:t xml:space="preserve">La Secretaría de Desarrollo Económico, se apoyará en el dictamen que emita el área administrativa competente a su cargo, a efecto de expedir el permiso y/o cédula de empadronamiento solicitada. </w:t>
      </w:r>
    </w:p>
    <w:p w:rsidR="00757817" w:rsidRDefault="00862B85">
      <w:pPr>
        <w:pStyle w:val="Prrafodelista"/>
        <w:widowControl w:val="0"/>
        <w:spacing w:line="276" w:lineRule="auto"/>
        <w:ind w:left="851" w:right="760"/>
        <w:jc w:val="both"/>
        <w:rPr>
          <w:rFonts w:ascii="Palatino Linotype" w:hAnsi="Palatino Linotype" w:cs="Arial"/>
          <w:i/>
          <w:sz w:val="22"/>
          <w:szCs w:val="22"/>
          <w:highlight w:val="yellow"/>
        </w:rPr>
      </w:pPr>
      <w:r>
        <w:rPr>
          <w:rFonts w:ascii="Palatino Linotype" w:hAnsi="Palatino Linotype"/>
          <w:i/>
          <w:sz w:val="22"/>
          <w:szCs w:val="22"/>
        </w:rPr>
        <w:t>Al realizar el trámite de expedición del permiso, se debe realizar el pago de derechos por el uso y la ocupación de vías públicas y/o áreas de uso común, que determina el Código Financiero, mediante el recibo de pago que para tal efecto expida el área administrativa competente, misma que deberá pagarse ante la Tesorería Municipal.</w:t>
      </w:r>
    </w:p>
    <w:p w:rsidR="00757817" w:rsidRDefault="00757817">
      <w:pPr>
        <w:pStyle w:val="Prrafodelista"/>
        <w:widowControl w:val="0"/>
        <w:spacing w:before="240" w:after="240" w:line="360" w:lineRule="auto"/>
        <w:ind w:left="0"/>
        <w:contextualSpacing/>
        <w:jc w:val="both"/>
        <w:rPr>
          <w:rFonts w:ascii="Palatino Linotype" w:hAnsi="Palatino Linotype" w:cs="Arial"/>
          <w:sz w:val="14"/>
        </w:rPr>
      </w:pPr>
    </w:p>
    <w:p w:rsidR="00757817" w:rsidRDefault="00862B85">
      <w:pPr>
        <w:pStyle w:val="Prrafodelista"/>
        <w:widowControl w:val="0"/>
        <w:spacing w:before="240" w:after="240" w:line="360" w:lineRule="auto"/>
        <w:ind w:left="0"/>
        <w:contextualSpacing/>
        <w:jc w:val="both"/>
        <w:rPr>
          <w:rFonts w:ascii="Palatino Linotype" w:hAnsi="Palatino Linotype" w:cs="Arial"/>
        </w:rPr>
      </w:pPr>
      <w:r>
        <w:rPr>
          <w:rFonts w:ascii="Palatino Linotype" w:hAnsi="Palatino Linotype" w:cs="Arial"/>
        </w:rPr>
        <w:t xml:space="preserve">Bajo esas consideraciones, se afirma que </w:t>
      </w:r>
      <w:r>
        <w:rPr>
          <w:rFonts w:ascii="Palatino Linotype" w:hAnsi="Palatino Linotype" w:cs="Arial"/>
          <w:b/>
        </w:rPr>
        <w:t>EL SUJETO OBLIGADO</w:t>
      </w:r>
      <w:r>
        <w:rPr>
          <w:rFonts w:ascii="Palatino Linotype" w:hAnsi="Palatino Linotype" w:cs="Arial"/>
        </w:rPr>
        <w:t xml:space="preserve"> puede contar con la </w:t>
      </w:r>
      <w:r>
        <w:rPr>
          <w:rFonts w:ascii="Palatino Linotype" w:hAnsi="Palatino Linotype" w:cs="Arial"/>
        </w:rPr>
        <w:lastRenderedPageBreak/>
        <w:t xml:space="preserve">información de mérito, ello porque si bien realizó una inspección en el lugar señalado por el ahora </w:t>
      </w:r>
      <w:r>
        <w:rPr>
          <w:rFonts w:ascii="Palatino Linotype" w:hAnsi="Palatino Linotype" w:cs="Arial"/>
          <w:b/>
        </w:rPr>
        <w:t>RECURRENTE</w:t>
      </w:r>
      <w:r>
        <w:rPr>
          <w:rFonts w:ascii="Palatino Linotype" w:hAnsi="Palatino Linotype" w:cs="Arial"/>
        </w:rPr>
        <w:t>, lo es que de acuerdo a sus actas que levantó sólo manifestó que no contaban con los recibos de pago, pero no hace ningún pronunciamiento sobre la existencia de permisos, ya que de acuerdo a la norma anteriormente escrita para ejercer el uso de las vías públicas para fijar un puesto semifijo para el comercio, lo es que debe contar con el documento que acredite el uso de suelo, lo cual es proporcionado por el Servidor Público Habilitado Competente.</w:t>
      </w:r>
    </w:p>
    <w:p w:rsidR="00757817" w:rsidRDefault="00757817">
      <w:pPr>
        <w:pStyle w:val="Prrafodelista"/>
        <w:widowControl w:val="0"/>
        <w:spacing w:before="240" w:after="240" w:line="360" w:lineRule="auto"/>
        <w:ind w:left="0"/>
        <w:contextualSpacing/>
        <w:jc w:val="both"/>
        <w:rPr>
          <w:rFonts w:ascii="Palatino Linotype" w:hAnsi="Palatino Linotype" w:cs="Arial"/>
          <w:sz w:val="10"/>
        </w:rPr>
      </w:pPr>
    </w:p>
    <w:p w:rsidR="00757817" w:rsidRDefault="00862B85">
      <w:pPr>
        <w:pStyle w:val="Prrafodelista"/>
        <w:widowControl w:val="0"/>
        <w:spacing w:before="240" w:after="240" w:line="360" w:lineRule="auto"/>
        <w:ind w:left="0"/>
        <w:contextualSpacing/>
        <w:jc w:val="both"/>
        <w:rPr>
          <w:rFonts w:ascii="Palatino Linotype" w:hAnsi="Palatino Linotype" w:cs="Arial"/>
        </w:rPr>
      </w:pPr>
      <w:r>
        <w:rPr>
          <w:rFonts w:ascii="Palatino Linotype" w:hAnsi="Palatino Linotype" w:cs="Arial"/>
        </w:rPr>
        <w:t xml:space="preserve">Es en este sentido que es dable ordenar al </w:t>
      </w:r>
      <w:r>
        <w:rPr>
          <w:rFonts w:ascii="Palatino Linotype" w:hAnsi="Palatino Linotype" w:cs="Arial"/>
          <w:b/>
        </w:rPr>
        <w:t xml:space="preserve">SUJETO OBLIGADO </w:t>
      </w:r>
      <w:r>
        <w:rPr>
          <w:rFonts w:ascii="Palatino Linotype" w:hAnsi="Palatino Linotype" w:cs="Arial"/>
        </w:rPr>
        <w:t>realice una búsqueda de la información de acuerdo con lo que disponen los artículos 18 y 19 de la Ley de la materia; en virtud, de que de acuerdo al Bando Municipal el competente para expedir licencias, permisos o autorizaciones es el Secretario de Desarrollo Económico.</w:t>
      </w:r>
    </w:p>
    <w:p w:rsidR="00757817" w:rsidRDefault="00862B85">
      <w:pPr>
        <w:spacing w:before="240" w:after="240" w:line="360" w:lineRule="auto"/>
        <w:jc w:val="both"/>
        <w:rPr>
          <w:rFonts w:ascii="Palatino Linotype" w:hAnsi="Palatino Linotype"/>
        </w:rPr>
      </w:pPr>
      <w:r>
        <w:rPr>
          <w:rFonts w:ascii="Palatino Linotype" w:hAnsi="Palatino Linotype"/>
        </w:rPr>
        <w:t xml:space="preserve">De lo anterior, se desprende que </w:t>
      </w:r>
      <w:r>
        <w:rPr>
          <w:rFonts w:ascii="Palatino Linotype" w:hAnsi="Palatino Linotype"/>
          <w:b/>
        </w:rPr>
        <w:t>EL SUJETO OBLIGADO</w:t>
      </w:r>
      <w:r>
        <w:rPr>
          <w:rFonts w:ascii="Palatino Linotype" w:hAnsi="Palatino Linotype"/>
        </w:rPr>
        <w:t xml:space="preserve"> genera, administra y posee la información requerida en la solicitud de información y acceso a la información pública, relativa a las licencias, permisos o autorización para el uso de la vía pública en el ejercicio del comercio y sólo para el caso de no haberlas expedido deberá hacerlo del conocimiento del particular de manera fundada y motivada; toda vez, que como quedo asentado en párrafos que anteceden la normativa establece que es a petición de los particulares para poder expedir el documento que acredite el legal ejercicio de los comerciantes en la vía pública.</w:t>
      </w:r>
    </w:p>
    <w:p w:rsidR="00757817" w:rsidRDefault="00862B85">
      <w:pPr>
        <w:spacing w:before="240" w:after="240" w:line="360" w:lineRule="auto"/>
        <w:jc w:val="both"/>
        <w:rPr>
          <w:rFonts w:ascii="Palatino Linotype" w:hAnsi="Palatino Linotype"/>
        </w:rPr>
      </w:pPr>
      <w:r>
        <w:rPr>
          <w:rFonts w:ascii="Palatino Linotype" w:hAnsi="Palatino Linotype"/>
        </w:rPr>
        <w:t xml:space="preserve">Aunado a lo anterior, es obligación de transparencia común tener la información de forma permanente en su portal oficial del Sistema de Información Pública de Oficio Mexiquense, de acuerdo a lo que dispone el artículo 92, fracción XXXII de la Ley de </w:t>
      </w:r>
      <w:r>
        <w:rPr>
          <w:rFonts w:ascii="Palatino Linotype" w:hAnsi="Palatino Linotype"/>
        </w:rPr>
        <w:lastRenderedPageBreak/>
        <w:t>Transparencia y Acceso a la Información Pública del Estado de México y Municipios que señala:</w:t>
      </w:r>
    </w:p>
    <w:p w:rsidR="00757817" w:rsidRDefault="00862B85">
      <w:pPr>
        <w:spacing w:line="276" w:lineRule="auto"/>
        <w:ind w:left="851" w:right="760"/>
        <w:jc w:val="both"/>
        <w:rPr>
          <w:rFonts w:ascii="Palatino Linotype" w:hAnsi="Palatino Linotype"/>
          <w:i/>
        </w:rPr>
      </w:pPr>
      <w:r>
        <w:rPr>
          <w:rFonts w:ascii="Palatino Linotype" w:hAnsi="Palatino Linotype"/>
          <w:i/>
        </w:rPr>
        <w:t>“</w:t>
      </w:r>
      <w:r>
        <w:rPr>
          <w:rFonts w:ascii="Palatino Linotype" w:hAnsi="Palatino Linotype"/>
          <w:b/>
          <w:i/>
        </w:rPr>
        <w:t>Artículo 92.</w:t>
      </w:r>
      <w:r>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57817" w:rsidRDefault="00862B85">
      <w:pPr>
        <w:spacing w:line="276" w:lineRule="auto"/>
        <w:ind w:left="851" w:right="760"/>
        <w:jc w:val="both"/>
        <w:rPr>
          <w:rFonts w:ascii="Palatino Linotype" w:hAnsi="Palatino Linotype"/>
          <w:i/>
        </w:rPr>
      </w:pPr>
      <w:r>
        <w:rPr>
          <w:rFonts w:ascii="Palatino Linotype" w:hAnsi="Palatino Linotype"/>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757817" w:rsidRDefault="00862B85">
      <w:pPr>
        <w:spacing w:before="200" w:after="200" w:line="360" w:lineRule="auto"/>
        <w:jc w:val="both"/>
        <w:rPr>
          <w:rFonts w:ascii="Palatino Linotype" w:hAnsi="Palatino Linotype" w:cs="Arial"/>
        </w:rPr>
      </w:pPr>
      <w:r>
        <w:rPr>
          <w:rFonts w:ascii="Palatino Linotype" w:hAnsi="Palatino Linotype" w:cs="Arial"/>
          <w:color w:val="000000"/>
        </w:rPr>
        <w:t xml:space="preserve">Por tanto, se determina ordenar la entrega de los documentos donde conste la información solicitada por la particular, en </w:t>
      </w:r>
      <w:r>
        <w:rPr>
          <w:rFonts w:ascii="Palatino Linotype" w:hAnsi="Palatino Linotype" w:cs="Arial"/>
          <w:b/>
          <w:color w:val="000000"/>
        </w:rPr>
        <w:t>versión pública</w:t>
      </w:r>
      <w:r>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757817" w:rsidRDefault="00862B85">
      <w:pPr>
        <w:spacing w:beforeAutospacing="1" w:afterAutospacing="1" w:line="360" w:lineRule="auto"/>
        <w:jc w:val="both"/>
        <w:rPr>
          <w:rFonts w:ascii="Palatino Linotype" w:eastAsia="Arial Unicode MS" w:hAnsi="Palatino Linotype" w:cs="Arial"/>
        </w:rPr>
      </w:pPr>
      <w:r>
        <w:rPr>
          <w:rFonts w:ascii="Palatino Linotype" w:hAnsi="Palatino Linotype"/>
          <w:color w:val="000000"/>
        </w:rPr>
        <w:t xml:space="preserve">Ahora </w:t>
      </w:r>
      <w:r>
        <w:rPr>
          <w:rFonts w:ascii="Palatino Linotype" w:hAnsi="Palatino Linotype" w:cs="Arial"/>
          <w:lang w:eastAsia="es-MX"/>
        </w:rPr>
        <w:t>bien</w:t>
      </w:r>
      <w:r>
        <w:rPr>
          <w:rFonts w:ascii="Palatino Linotype" w:hAnsi="Palatino Linotype"/>
          <w:color w:val="000000"/>
        </w:rPr>
        <w:t xml:space="preserve">, en relación a la </w:t>
      </w:r>
      <w:r>
        <w:rPr>
          <w:rFonts w:ascii="Palatino Linotype" w:hAnsi="Palatino Linotype"/>
          <w:b/>
          <w:color w:val="000000"/>
        </w:rPr>
        <w:t xml:space="preserve">versión pública </w:t>
      </w:r>
      <w:r>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Pr>
          <w:rFonts w:ascii="Palatino Linotype" w:eastAsia="Arial Unicode MS" w:hAnsi="Palatino Linotype" w:cs="Arial"/>
        </w:rPr>
        <w:t>omitirse, eliminarse o suprimirse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w:t>
      </w:r>
    </w:p>
    <w:p w:rsidR="00757817" w:rsidRDefault="00862B85">
      <w:pPr>
        <w:spacing w:beforeAutospacing="1" w:afterAutospacing="1" w:line="360" w:lineRule="auto"/>
        <w:jc w:val="both"/>
        <w:rPr>
          <w:rFonts w:ascii="Palatino Linotype" w:hAnsi="Palatino Linotype" w:cs="Arial"/>
        </w:rPr>
      </w:pPr>
      <w:r>
        <w:rPr>
          <w:rFonts w:ascii="Palatino Linotype" w:eastAsia="Arial Unicode MS" w:hAnsi="Palatino Linotype" w:cs="Arial"/>
        </w:rPr>
        <w:lastRenderedPageBreak/>
        <w:t xml:space="preserve">En ese sentido, </w:t>
      </w:r>
      <w:r>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757817" w:rsidRDefault="00862B85">
      <w:pPr>
        <w:spacing w:beforeAutospacing="1" w:afterAutospacing="1" w:line="360" w:lineRule="auto"/>
        <w:jc w:val="both"/>
        <w:rPr>
          <w:rFonts w:ascii="Palatino Linotype" w:hAnsi="Palatino Linotype" w:cs="Arial"/>
          <w:lang w:val="es-ES_tradnl"/>
        </w:rPr>
      </w:pPr>
      <w:r>
        <w:rPr>
          <w:rFonts w:ascii="Palatino Linotype" w:hAnsi="Palatino Linotype" w:cs="Arial"/>
          <w:lang w:val="es-ES_tradnl"/>
        </w:rPr>
        <w:t xml:space="preserve">Por </w:t>
      </w:r>
      <w:r>
        <w:rPr>
          <w:rFonts w:ascii="Palatino Linotype" w:hAnsi="Palatino Linotype" w:cs="Arial"/>
          <w:lang w:eastAsia="es-MX"/>
        </w:rPr>
        <w:t>ende</w:t>
      </w:r>
      <w:r>
        <w:rPr>
          <w:rFonts w:ascii="Palatino Linotype" w:hAnsi="Palatino Linotype" w:cs="Arial"/>
          <w:lang w:val="es-ES_tradnl"/>
        </w:rPr>
        <w:t xml:space="preserve">, </w:t>
      </w:r>
      <w:r>
        <w:rPr>
          <w:rFonts w:ascii="Palatino Linotype" w:hAnsi="Palatino Linotype" w:cs="Arial"/>
          <w:b/>
          <w:lang w:val="es-ES_tradnl"/>
        </w:rPr>
        <w:t>EL SUJETO OBLIGADO</w:t>
      </w:r>
      <w:r>
        <w:rPr>
          <w:rFonts w:ascii="Palatino Linotype" w:hAnsi="Palatino Linotype" w:cs="Arial"/>
          <w:lang w:val="es-ES_tradnl"/>
        </w:rPr>
        <w:t xml:space="preserve"> debe testar los datos confidenciales, sin pasar por alto que la clasificación respectiva tiene </w:t>
      </w:r>
      <w:r>
        <w:rPr>
          <w:rFonts w:ascii="Palatino Linotype" w:hAnsi="Palatino Linotype" w:cs="Arial"/>
        </w:rPr>
        <w:t>que</w:t>
      </w:r>
      <w:r>
        <w:rPr>
          <w:rFonts w:ascii="Palatino Linotype" w:hAnsi="Palatino Linotype" w:cs="Arial"/>
          <w:lang w:val="es-ES_tradnl"/>
        </w:rPr>
        <w:t xml:space="preserve"> cumplirse a través de la forma y formalidades que la Ley impone; </w:t>
      </w:r>
      <w:r>
        <w:rPr>
          <w:rFonts w:ascii="Palatino Linotype" w:hAnsi="Palatino Linotype" w:cs="Arial"/>
        </w:rPr>
        <w:t>es</w:t>
      </w:r>
      <w:r>
        <w:rPr>
          <w:rFonts w:ascii="Palatino Linotype" w:hAnsi="Palatino Linotype" w:cs="Arial"/>
          <w:lang w:val="es-ES_tradnl"/>
        </w:rPr>
        <w:t xml:space="preserve"> decir, mediante Acuerdo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57817" w:rsidRDefault="00862B85">
      <w:pPr>
        <w:ind w:left="851" w:right="899"/>
        <w:jc w:val="center"/>
        <w:rPr>
          <w:rFonts w:ascii="Palatino Linotype" w:hAnsi="Palatino Linotype" w:cs="Arial"/>
          <w:b/>
          <w:i/>
        </w:rPr>
      </w:pPr>
      <w:r>
        <w:rPr>
          <w:rFonts w:ascii="Palatino Linotype" w:hAnsi="Palatino Linotype" w:cs="Arial"/>
          <w:b/>
          <w:i/>
        </w:rPr>
        <w:t>Ley de Transparencia y Acceso a la Información Pública del Estado de México y Municipios</w:t>
      </w:r>
    </w:p>
    <w:p w:rsidR="00757817" w:rsidRDefault="00862B85">
      <w:pPr>
        <w:ind w:left="851" w:right="899"/>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 xml:space="preserve">Artículo 49. </w:t>
      </w:r>
      <w:r>
        <w:rPr>
          <w:rFonts w:ascii="Palatino Linotype" w:hAnsi="Palatino Linotype" w:cs="Arial"/>
          <w:i/>
          <w:lang w:eastAsia="es-MX"/>
        </w:rPr>
        <w:t xml:space="preserve">Los </w:t>
      </w:r>
      <w:r>
        <w:rPr>
          <w:rFonts w:ascii="Palatino Linotype" w:hAnsi="Palatino Linotype" w:cs="Arial"/>
          <w:i/>
        </w:rPr>
        <w:t>Comités</w:t>
      </w:r>
      <w:r>
        <w:rPr>
          <w:rFonts w:ascii="Palatino Linotype" w:hAnsi="Palatino Linotype" w:cs="Arial"/>
          <w:i/>
          <w:lang w:eastAsia="es-MX"/>
        </w:rPr>
        <w:t xml:space="preserve"> de Transparencia </w:t>
      </w:r>
      <w:r>
        <w:rPr>
          <w:rFonts w:ascii="Palatino Linotype" w:hAnsi="Palatino Linotype"/>
          <w:i/>
        </w:rPr>
        <w:t>tendrán</w:t>
      </w:r>
      <w:r>
        <w:rPr>
          <w:rFonts w:ascii="Palatino Linotype" w:hAnsi="Palatino Linotype" w:cs="Arial"/>
          <w:i/>
          <w:lang w:eastAsia="es-MX"/>
        </w:rPr>
        <w:t xml:space="preserve"> las siguientes atribuciones:</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VIII.</w:t>
      </w:r>
      <w:r>
        <w:rPr>
          <w:rFonts w:ascii="Palatino Linotype" w:hAnsi="Palatino Linotype" w:cs="Arial"/>
          <w:i/>
          <w:lang w:eastAsia="es-MX"/>
        </w:rPr>
        <w:t xml:space="preserve"> </w:t>
      </w:r>
      <w:r>
        <w:rPr>
          <w:rFonts w:ascii="Palatino Linotype" w:hAnsi="Palatino Linotype" w:cs="Arial"/>
          <w:b/>
          <w:i/>
          <w:lang w:eastAsia="es-MX"/>
        </w:rPr>
        <w:t>Aprobar</w:t>
      </w:r>
      <w:r>
        <w:rPr>
          <w:rFonts w:ascii="Palatino Linotype" w:hAnsi="Palatino Linotype" w:cs="Arial"/>
          <w:i/>
          <w:lang w:eastAsia="es-MX"/>
        </w:rPr>
        <w:t xml:space="preserve">, </w:t>
      </w:r>
      <w:r>
        <w:rPr>
          <w:rFonts w:ascii="Palatino Linotype" w:hAnsi="Palatino Linotype" w:cs="Arial"/>
          <w:i/>
        </w:rPr>
        <w:t>modificar</w:t>
      </w:r>
      <w:r>
        <w:rPr>
          <w:rFonts w:ascii="Palatino Linotype" w:hAnsi="Palatino Linotype" w:cs="Arial"/>
          <w:i/>
          <w:lang w:eastAsia="es-MX"/>
        </w:rPr>
        <w:t xml:space="preserve"> o revocar la clasificación de la información;</w:t>
      </w:r>
    </w:p>
    <w:p w:rsidR="00757817" w:rsidRDefault="00862B85">
      <w:pPr>
        <w:ind w:left="851" w:right="899"/>
        <w:jc w:val="both"/>
        <w:rPr>
          <w:rFonts w:ascii="Palatino Linotype" w:hAnsi="Palatino Linotype" w:cs="Arial"/>
          <w:b/>
          <w:i/>
          <w:lang w:eastAsia="es-MX"/>
        </w:rPr>
      </w:pPr>
      <w:r>
        <w:rPr>
          <w:rFonts w:ascii="Palatino Linotype" w:hAnsi="Palatino Linotype" w:cs="Arial"/>
          <w:b/>
          <w:i/>
          <w:lang w:eastAsia="es-MX"/>
        </w:rPr>
        <w:t>Artículo 132.</w:t>
      </w:r>
      <w:r>
        <w:rPr>
          <w:rFonts w:ascii="Palatino Linotype" w:hAnsi="Palatino Linotype" w:cs="Arial"/>
          <w:i/>
          <w:lang w:eastAsia="es-MX"/>
        </w:rPr>
        <w:t xml:space="preserve"> </w:t>
      </w:r>
      <w:r>
        <w:rPr>
          <w:rFonts w:ascii="Palatino Linotype" w:hAnsi="Palatino Linotype" w:cs="Arial"/>
          <w:b/>
          <w:i/>
          <w:lang w:eastAsia="es-MX"/>
        </w:rPr>
        <w:t>La clasificación de la información se llevará a cabo en el momento en que:</w:t>
      </w:r>
    </w:p>
    <w:p w:rsidR="00757817" w:rsidRDefault="00862B85">
      <w:pPr>
        <w:ind w:left="851" w:right="899"/>
        <w:jc w:val="both"/>
        <w:rPr>
          <w:rFonts w:ascii="Palatino Linotype" w:hAnsi="Palatino Linotype" w:cs="Arial"/>
          <w:i/>
          <w:lang w:eastAsia="es-MX"/>
        </w:rPr>
      </w:pPr>
      <w:r>
        <w:rPr>
          <w:rFonts w:ascii="Palatino Linotype" w:hAnsi="Palatino Linotype" w:cs="Arial"/>
          <w:i/>
          <w:lang w:eastAsia="es-MX"/>
        </w:rPr>
        <w:lastRenderedPageBreak/>
        <w:t>…</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mediante resolución de autoridad competente; o</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w:t>
      </w:r>
      <w:r>
        <w:rPr>
          <w:rFonts w:ascii="Palatino Linotype" w:hAnsi="Palatino Linotype" w:cs="Arial"/>
          <w:b/>
          <w:i/>
          <w:lang w:eastAsia="es-MX"/>
        </w:rPr>
        <w:t>Se generen versiones públicas para dar cumplimiento a las obligaciones de transparencia previstas en esta Ley</w:t>
      </w:r>
      <w:r>
        <w:rPr>
          <w:rFonts w:ascii="Palatino Linotype" w:hAnsi="Palatino Linotype" w:cs="Arial"/>
          <w:i/>
          <w:lang w:eastAsia="es-MX"/>
        </w:rPr>
        <w:t>.”</w:t>
      </w:r>
    </w:p>
    <w:p w:rsidR="00757817" w:rsidRDefault="00862B85">
      <w:pPr>
        <w:ind w:left="851" w:right="899"/>
        <w:jc w:val="center"/>
        <w:rPr>
          <w:rFonts w:ascii="Palatino Linotype" w:hAnsi="Palatino Linotype" w:cs="Arial"/>
          <w:b/>
          <w:i/>
        </w:rPr>
      </w:pPr>
      <w:r>
        <w:rPr>
          <w:rFonts w:ascii="Palatino Linotype" w:hAnsi="Palatino Linotype" w:cs="Arial"/>
          <w:b/>
          <w:i/>
          <w:lang w:eastAsia="es-MX"/>
        </w:rPr>
        <w:t xml:space="preserve">Lineamientos Generales en materia de Clasificación y Desclasificación de la </w:t>
      </w:r>
      <w:r>
        <w:rPr>
          <w:rFonts w:ascii="Palatino Linotype" w:hAnsi="Palatino Linotype" w:cs="Arial"/>
          <w:b/>
          <w:i/>
        </w:rPr>
        <w:t>Información</w:t>
      </w:r>
    </w:p>
    <w:p w:rsidR="00757817" w:rsidRDefault="00862B85">
      <w:pPr>
        <w:ind w:left="851" w:right="899"/>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Segundo.-</w:t>
      </w:r>
      <w:r>
        <w:rPr>
          <w:rFonts w:ascii="Palatino Linotype" w:hAnsi="Palatino Linotype" w:cs="Arial"/>
          <w:i/>
          <w:lang w:eastAsia="es-MX"/>
        </w:rPr>
        <w:t xml:space="preserve"> Para efectos de los </w:t>
      </w:r>
      <w:r>
        <w:rPr>
          <w:rFonts w:ascii="Palatino Linotype" w:hAnsi="Palatino Linotype" w:cs="Arial"/>
          <w:i/>
        </w:rPr>
        <w:t>presentes</w:t>
      </w:r>
      <w:r>
        <w:rPr>
          <w:rFonts w:ascii="Palatino Linotype" w:hAnsi="Palatino Linotype" w:cs="Arial"/>
          <w:i/>
          <w:lang w:eastAsia="es-MX"/>
        </w:rPr>
        <w:t xml:space="preserve"> Lineamientos Generales, se entenderá por:</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XVIII.</w:t>
      </w:r>
      <w:r>
        <w:rPr>
          <w:rFonts w:ascii="Palatino Linotype" w:hAnsi="Palatino Linotype" w:cs="Arial"/>
          <w:i/>
          <w:lang w:eastAsia="es-MX"/>
        </w:rPr>
        <w:t xml:space="preserve"> </w:t>
      </w:r>
      <w:r>
        <w:rPr>
          <w:rFonts w:ascii="Palatino Linotype" w:hAnsi="Palatino Linotype" w:cs="Arial"/>
          <w:b/>
          <w:i/>
          <w:lang w:eastAsia="es-MX"/>
        </w:rPr>
        <w:t>Versión pública:</w:t>
      </w:r>
      <w:r>
        <w:rPr>
          <w:rFonts w:ascii="Palatino Linotype" w:hAnsi="Palatino Linotype" w:cs="Arial"/>
          <w:i/>
          <w:lang w:eastAsia="es-MX"/>
        </w:rPr>
        <w:t xml:space="preserve"> El </w:t>
      </w:r>
      <w:r>
        <w:rPr>
          <w:rFonts w:ascii="Palatino Linotype" w:hAnsi="Palatino Linotype" w:cs="Arial"/>
          <w:bCs/>
          <w:i/>
        </w:rPr>
        <w:t>documento</w:t>
      </w:r>
      <w:r>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lang w:eastAsia="es-MX"/>
        </w:rPr>
        <w:t>fundando y motivando la</w:t>
      </w:r>
      <w:r>
        <w:rPr>
          <w:rFonts w:ascii="Palatino Linotype" w:hAnsi="Palatino Linotype" w:cs="Arial"/>
          <w:i/>
          <w:lang w:eastAsia="es-MX"/>
        </w:rPr>
        <w:t xml:space="preserve"> reserva o </w:t>
      </w:r>
      <w:r>
        <w:rPr>
          <w:rFonts w:ascii="Palatino Linotype" w:hAnsi="Palatino Linotype" w:cs="Arial"/>
          <w:b/>
          <w:i/>
          <w:lang w:eastAsia="es-MX"/>
        </w:rPr>
        <w:t>confidencialidad</w:t>
      </w:r>
      <w:r>
        <w:rPr>
          <w:rFonts w:ascii="Palatino Linotype" w:hAnsi="Palatino Linotype" w:cs="Arial"/>
          <w:i/>
          <w:lang w:eastAsia="es-MX"/>
        </w:rPr>
        <w:t xml:space="preserve">, a través de la resolución que para tal efecto emita el </w:t>
      </w:r>
      <w:r>
        <w:rPr>
          <w:rFonts w:ascii="Palatino Linotype" w:hAnsi="Palatino Linotype" w:cs="Arial"/>
          <w:bCs/>
          <w:i/>
        </w:rPr>
        <w:t>Comité</w:t>
      </w:r>
      <w:r>
        <w:rPr>
          <w:rFonts w:ascii="Palatino Linotype" w:hAnsi="Palatino Linotype" w:cs="Arial"/>
          <w:i/>
          <w:lang w:eastAsia="es-MX"/>
        </w:rPr>
        <w:t xml:space="preserve"> de Transparencia.</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Cuarto.</w:t>
      </w:r>
      <w:r>
        <w:rPr>
          <w:rFonts w:ascii="Palatino Linotype" w:hAnsi="Palatino Linotype" w:cs="Arial"/>
          <w:i/>
          <w:lang w:eastAsia="es-MX"/>
        </w:rPr>
        <w:t xml:space="preserve"> </w:t>
      </w:r>
      <w:r>
        <w:rPr>
          <w:rFonts w:ascii="Palatino Linotype" w:hAnsi="Palatino Linotype" w:cs="Arial"/>
          <w:b/>
          <w:i/>
          <w:lang w:eastAsia="es-MX"/>
        </w:rPr>
        <w:t>Para clasificar la información como</w:t>
      </w:r>
      <w:r>
        <w:rPr>
          <w:rFonts w:ascii="Palatino Linotype" w:hAnsi="Palatino Linotype" w:cs="Arial"/>
          <w:i/>
          <w:lang w:eastAsia="es-MX"/>
        </w:rPr>
        <w:t xml:space="preserve"> reservada o </w:t>
      </w:r>
      <w:r>
        <w:rPr>
          <w:rFonts w:ascii="Palatino Linotype" w:hAnsi="Palatino Linotype" w:cs="Arial"/>
          <w:b/>
          <w:i/>
          <w:lang w:eastAsia="es-MX"/>
        </w:rPr>
        <w:t xml:space="preserve">confidencial, de manera total o parcial, el titular del </w:t>
      </w:r>
      <w:r>
        <w:rPr>
          <w:rFonts w:ascii="Palatino Linotype" w:hAnsi="Palatino Linotype" w:cs="Arial"/>
          <w:b/>
          <w:bCs/>
          <w:i/>
        </w:rPr>
        <w:t>área</w:t>
      </w:r>
      <w:r>
        <w:rPr>
          <w:rFonts w:ascii="Palatino Linotype" w:hAnsi="Palatino Linotype" w:cs="Arial"/>
          <w:b/>
          <w:i/>
          <w:lang w:eastAsia="es-MX"/>
        </w:rPr>
        <w:t xml:space="preserve"> del sujeto </w:t>
      </w:r>
      <w:r>
        <w:rPr>
          <w:rFonts w:ascii="Palatino Linotype" w:hAnsi="Palatino Linotype" w:cs="Arial"/>
          <w:b/>
          <w:i/>
        </w:rPr>
        <w:t>obligado</w:t>
      </w:r>
      <w:r>
        <w:rPr>
          <w:rFonts w:ascii="Palatino Linotype" w:hAnsi="Palatino Linotype" w:cs="Arial"/>
          <w:b/>
          <w:i/>
          <w:lang w:eastAsia="es-MX"/>
        </w:rPr>
        <w:t xml:space="preserve"> deberá atender lo dispuesto por el Título Sexto de la Ley General</w:t>
      </w:r>
      <w:r>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57817" w:rsidRDefault="00862B85">
      <w:pPr>
        <w:ind w:left="851" w:right="899"/>
        <w:jc w:val="both"/>
        <w:rPr>
          <w:rFonts w:ascii="Palatino Linotype" w:hAnsi="Palatino Linotype" w:cs="Arial"/>
          <w:i/>
          <w:lang w:eastAsia="es-MX"/>
        </w:rPr>
      </w:pPr>
      <w:r>
        <w:rPr>
          <w:rFonts w:ascii="Palatino Linotype" w:hAnsi="Palatino Linotype" w:cs="Arial"/>
          <w:i/>
          <w:lang w:eastAsia="es-MX"/>
        </w:rPr>
        <w:t xml:space="preserve">Los sujetos obligados deberán aplicar, de manera estricta, las excepciones al derecho de acceso a la </w:t>
      </w:r>
      <w:r>
        <w:rPr>
          <w:rFonts w:ascii="Palatino Linotype" w:hAnsi="Palatino Linotype" w:cs="Arial"/>
          <w:bCs/>
          <w:i/>
        </w:rPr>
        <w:t>información</w:t>
      </w:r>
      <w:r>
        <w:rPr>
          <w:rFonts w:ascii="Palatino Linotype" w:hAnsi="Palatino Linotype" w:cs="Arial"/>
          <w:i/>
          <w:lang w:eastAsia="es-MX"/>
        </w:rPr>
        <w:t xml:space="preserve"> y sólo </w:t>
      </w:r>
      <w:r>
        <w:rPr>
          <w:rFonts w:ascii="Palatino Linotype" w:hAnsi="Palatino Linotype" w:cs="Arial"/>
          <w:i/>
        </w:rPr>
        <w:t>podrán</w:t>
      </w:r>
      <w:r>
        <w:rPr>
          <w:rFonts w:ascii="Palatino Linotype" w:hAnsi="Palatino Linotype" w:cs="Arial"/>
          <w:i/>
          <w:lang w:eastAsia="es-MX"/>
        </w:rPr>
        <w:t xml:space="preserve"> invocarlas cuando acrediten su procedencia.</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Quinto.</w:t>
      </w:r>
      <w:r>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rPr>
        <w:t>corresponderá</w:t>
      </w:r>
      <w:r>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Sexto.</w:t>
      </w:r>
      <w:r>
        <w:rPr>
          <w:rFonts w:ascii="Palatino Linotype" w:hAnsi="Palatino Linotype" w:cs="Arial"/>
          <w:i/>
          <w:lang w:eastAsia="es-MX"/>
        </w:rPr>
        <w:t xml:space="preserve"> Los sujetos obligados no podrán emitir acuerdos de carácter general ni particular que clasifiquen </w:t>
      </w:r>
      <w:r>
        <w:rPr>
          <w:rFonts w:ascii="Palatino Linotype" w:hAnsi="Palatino Linotype" w:cs="Arial"/>
          <w:bCs/>
          <w:i/>
        </w:rPr>
        <w:t>documentos</w:t>
      </w:r>
      <w:r>
        <w:rPr>
          <w:rFonts w:ascii="Palatino Linotype" w:hAnsi="Palatino Linotype" w:cs="Arial"/>
          <w:i/>
          <w:lang w:eastAsia="es-MX"/>
        </w:rPr>
        <w:t xml:space="preserve"> o expedientes como reservados, ni clasificar documentos antes de que se genere la información o cuando éstos no obren en sus archivos.</w:t>
      </w:r>
    </w:p>
    <w:p w:rsidR="00757817" w:rsidRDefault="00862B85">
      <w:pPr>
        <w:ind w:left="851" w:right="899"/>
        <w:jc w:val="both"/>
        <w:rPr>
          <w:rFonts w:ascii="Palatino Linotype" w:hAnsi="Palatino Linotype" w:cs="Arial"/>
          <w:i/>
          <w:lang w:eastAsia="es-MX"/>
        </w:rPr>
      </w:pPr>
      <w:r>
        <w:rPr>
          <w:rFonts w:ascii="Palatino Linotype" w:hAnsi="Palatino Linotype" w:cs="Arial"/>
          <w:i/>
          <w:lang w:eastAsia="es-MX"/>
        </w:rPr>
        <w:lastRenderedPageBreak/>
        <w:t xml:space="preserve">La clasificación de </w:t>
      </w:r>
      <w:r>
        <w:rPr>
          <w:rFonts w:ascii="Palatino Linotype" w:hAnsi="Palatino Linotype" w:cs="Arial"/>
          <w:i/>
        </w:rPr>
        <w:t>información</w:t>
      </w:r>
      <w:r>
        <w:rPr>
          <w:rFonts w:ascii="Palatino Linotype" w:hAnsi="Palatino Linotype" w:cs="Arial"/>
          <w:i/>
          <w:lang w:eastAsia="es-MX"/>
        </w:rPr>
        <w:t xml:space="preserve"> se realizará conforme a un análisis caso por caso, mediante la aplicación </w:t>
      </w:r>
      <w:r>
        <w:rPr>
          <w:rFonts w:ascii="Palatino Linotype" w:hAnsi="Palatino Linotype" w:cs="Arial"/>
          <w:bCs/>
          <w:i/>
        </w:rPr>
        <w:t>de</w:t>
      </w:r>
      <w:r>
        <w:rPr>
          <w:rFonts w:ascii="Palatino Linotype" w:hAnsi="Palatino Linotype" w:cs="Arial"/>
          <w:i/>
          <w:lang w:eastAsia="es-MX"/>
        </w:rPr>
        <w:t xml:space="preserve"> la prueba de daño y de interés público.</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Séptimo.</w:t>
      </w:r>
      <w:r>
        <w:rPr>
          <w:rFonts w:ascii="Palatino Linotype" w:hAnsi="Palatino Linotype" w:cs="Arial"/>
          <w:i/>
          <w:lang w:eastAsia="es-MX"/>
        </w:rPr>
        <w:t xml:space="preserve"> La clasificación </w:t>
      </w:r>
      <w:r>
        <w:rPr>
          <w:rFonts w:ascii="Palatino Linotype" w:hAnsi="Palatino Linotype" w:cs="Arial"/>
          <w:bCs/>
          <w:i/>
        </w:rPr>
        <w:t>de</w:t>
      </w:r>
      <w:r>
        <w:rPr>
          <w:rFonts w:ascii="Palatino Linotype" w:hAnsi="Palatino Linotype" w:cs="Arial"/>
          <w:i/>
          <w:lang w:eastAsia="es-MX"/>
        </w:rPr>
        <w:t xml:space="preserve"> la </w:t>
      </w:r>
      <w:r>
        <w:rPr>
          <w:rFonts w:ascii="Palatino Linotype" w:hAnsi="Palatino Linotype" w:cs="Arial"/>
          <w:i/>
        </w:rPr>
        <w:t>información</w:t>
      </w:r>
      <w:r>
        <w:rPr>
          <w:rFonts w:ascii="Palatino Linotype" w:hAnsi="Palatino Linotype" w:cs="Arial"/>
          <w:i/>
          <w:lang w:eastAsia="es-MX"/>
        </w:rPr>
        <w:t xml:space="preserve"> se llevará a cabo en el momento en que:</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I.</w:t>
      </w:r>
      <w:r>
        <w:rPr>
          <w:rFonts w:ascii="Palatino Linotype" w:hAnsi="Palatino Linotype" w:cs="Arial"/>
          <w:i/>
          <w:lang w:eastAsia="es-MX"/>
        </w:rPr>
        <w:t xml:space="preserve"> Se reciba una solicitud de acceso a la información;</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w:t>
      </w:r>
      <w:r>
        <w:rPr>
          <w:rFonts w:ascii="Palatino Linotype" w:hAnsi="Palatino Linotype" w:cs="Arial"/>
          <w:bCs/>
          <w:i/>
        </w:rPr>
        <w:t>mediante</w:t>
      </w:r>
      <w:r>
        <w:rPr>
          <w:rFonts w:ascii="Palatino Linotype" w:hAnsi="Palatino Linotype" w:cs="Arial"/>
          <w:i/>
          <w:lang w:eastAsia="es-MX"/>
        </w:rPr>
        <w:t xml:space="preserve"> resolución de autoridad competente, o</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Se generen </w:t>
      </w:r>
      <w:r>
        <w:rPr>
          <w:rFonts w:ascii="Palatino Linotype" w:hAnsi="Palatino Linotype" w:cs="Arial"/>
          <w:bCs/>
          <w:i/>
        </w:rPr>
        <w:t>versiones</w:t>
      </w:r>
      <w:r>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757817" w:rsidRDefault="00862B85">
      <w:pPr>
        <w:ind w:left="851" w:right="899"/>
        <w:jc w:val="both"/>
        <w:rPr>
          <w:rFonts w:ascii="Palatino Linotype" w:hAnsi="Palatino Linotype" w:cs="Arial"/>
          <w:i/>
          <w:lang w:eastAsia="es-MX"/>
        </w:rPr>
      </w:pPr>
      <w:r>
        <w:rPr>
          <w:rFonts w:ascii="Palatino Linotype" w:hAnsi="Palatino Linotype" w:cs="Arial"/>
          <w:i/>
          <w:lang w:eastAsia="es-MX"/>
        </w:rPr>
        <w:t xml:space="preserve">Los titulares de las áreas deberán revisar la clasificación al momento de la recepción de una solicitud de </w:t>
      </w:r>
      <w:r>
        <w:rPr>
          <w:rFonts w:ascii="Palatino Linotype" w:hAnsi="Palatino Linotype" w:cs="Arial"/>
          <w:bCs/>
          <w:i/>
        </w:rPr>
        <w:t>acceso</w:t>
      </w:r>
      <w:r>
        <w:rPr>
          <w:rFonts w:ascii="Palatino Linotype" w:hAnsi="Palatino Linotype" w:cs="Arial"/>
          <w:i/>
          <w:lang w:eastAsia="es-MX"/>
        </w:rPr>
        <w:t xml:space="preserve"> a la información, para verificar si encuadra en una causal de reserva o de confidencialidad.</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Octavo.</w:t>
      </w:r>
      <w:r>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rPr>
        <w:t>expresamente</w:t>
      </w:r>
      <w:r>
        <w:rPr>
          <w:rFonts w:ascii="Palatino Linotype" w:hAnsi="Palatino Linotype" w:cs="Arial"/>
          <w:i/>
          <w:lang w:eastAsia="es-MX"/>
        </w:rPr>
        <w:t xml:space="preserve"> le otorga el carácter de reservada o confidencial.</w:t>
      </w:r>
    </w:p>
    <w:p w:rsidR="00757817" w:rsidRDefault="00862B85">
      <w:pPr>
        <w:ind w:left="851" w:right="899"/>
        <w:jc w:val="both"/>
        <w:rPr>
          <w:rFonts w:ascii="Palatino Linotype" w:hAnsi="Palatino Linotype" w:cs="Arial"/>
          <w:bCs/>
          <w:i/>
        </w:rPr>
      </w:pPr>
      <w:r>
        <w:rPr>
          <w:rFonts w:ascii="Palatino Linotype" w:hAnsi="Palatino Linotype" w:cs="Arial"/>
          <w:i/>
          <w:lang w:eastAsia="es-MX"/>
        </w:rPr>
        <w:t xml:space="preserve">Para </w:t>
      </w:r>
      <w:r>
        <w:rPr>
          <w:rFonts w:ascii="Palatino Linotype" w:hAnsi="Palatino Linotype" w:cs="Arial"/>
          <w:bCs/>
          <w:i/>
        </w:rPr>
        <w:t xml:space="preserve">motivar la clasificación se deberán señalar las razones o circunstancias especiales que lo </w:t>
      </w:r>
      <w:r>
        <w:rPr>
          <w:rFonts w:ascii="Palatino Linotype" w:hAnsi="Palatino Linotype" w:cs="Arial"/>
          <w:i/>
          <w:lang w:eastAsia="es-MX"/>
        </w:rPr>
        <w:t>llevaron</w:t>
      </w:r>
      <w:r>
        <w:rPr>
          <w:rFonts w:ascii="Palatino Linotype" w:hAnsi="Palatino Linotype" w:cs="Arial"/>
          <w:bCs/>
          <w:i/>
        </w:rPr>
        <w:t xml:space="preserve"> a concluir que el caso particular se ajusta al supuesto previsto por la norma legal invocada como fundamento.</w:t>
      </w:r>
    </w:p>
    <w:p w:rsidR="00757817" w:rsidRDefault="00862B85">
      <w:pPr>
        <w:ind w:left="851" w:right="899"/>
        <w:jc w:val="both"/>
        <w:rPr>
          <w:rFonts w:ascii="Palatino Linotype" w:hAnsi="Palatino Linotype" w:cs="Arial"/>
          <w:bCs/>
          <w:i/>
        </w:rPr>
      </w:pPr>
      <w:r>
        <w:rPr>
          <w:rFonts w:ascii="Palatino Linotype" w:hAnsi="Palatino Linotype" w:cs="Arial"/>
          <w:bCs/>
          <w:i/>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lang w:eastAsia="es-MX"/>
        </w:rPr>
        <w:t>de</w:t>
      </w:r>
      <w:r>
        <w:rPr>
          <w:rFonts w:ascii="Palatino Linotype" w:hAnsi="Palatino Linotype" w:cs="Arial"/>
          <w:bCs/>
          <w:i/>
        </w:rPr>
        <w:t xml:space="preserve"> </w:t>
      </w:r>
      <w:r>
        <w:rPr>
          <w:rFonts w:ascii="Palatino Linotype" w:hAnsi="Palatino Linotype" w:cs="Arial"/>
          <w:i/>
          <w:lang w:eastAsia="es-MX"/>
        </w:rPr>
        <w:t>reserva</w:t>
      </w:r>
      <w:r>
        <w:rPr>
          <w:rFonts w:ascii="Palatino Linotype" w:hAnsi="Palatino Linotype" w:cs="Arial"/>
          <w:bCs/>
          <w:i/>
        </w:rPr>
        <w:t>.</w:t>
      </w:r>
    </w:p>
    <w:p w:rsidR="00757817" w:rsidRDefault="00862B85">
      <w:pPr>
        <w:ind w:left="851" w:right="899"/>
        <w:jc w:val="both"/>
        <w:rPr>
          <w:rFonts w:ascii="Palatino Linotype" w:hAnsi="Palatino Linotype" w:cs="Arial"/>
          <w:bCs/>
          <w:i/>
        </w:rPr>
      </w:pPr>
      <w:r>
        <w:rPr>
          <w:rFonts w:ascii="Palatino Linotype" w:hAnsi="Palatino Linotype" w:cs="Arial"/>
          <w:i/>
          <w:lang w:eastAsia="es-MX"/>
        </w:rPr>
        <w:t>Tratándose</w:t>
      </w:r>
      <w:r>
        <w:rPr>
          <w:rFonts w:ascii="Palatino Linotype" w:hAnsi="Palatino Linotype" w:cs="Arial"/>
          <w:bCs/>
          <w:i/>
        </w:rPr>
        <w:t xml:space="preserve"> de información clasificada como confidencial respecto de la cual se haya </w:t>
      </w:r>
      <w:r>
        <w:rPr>
          <w:rFonts w:ascii="Palatino Linotype" w:hAnsi="Palatino Linotype" w:cs="Arial"/>
          <w:i/>
          <w:lang w:eastAsia="es-MX"/>
        </w:rPr>
        <w:t>determinado</w:t>
      </w:r>
      <w:r>
        <w:rPr>
          <w:rFonts w:ascii="Palatino Linotype" w:hAnsi="Palatino Linotype" w:cs="Arial"/>
          <w:bCs/>
          <w:i/>
        </w:rPr>
        <w:t xml:space="preserve"> </w:t>
      </w:r>
      <w:r>
        <w:rPr>
          <w:rFonts w:ascii="Palatino Linotype" w:hAnsi="Palatino Linotype" w:cs="Arial"/>
          <w:i/>
          <w:lang w:eastAsia="es-MX"/>
        </w:rPr>
        <w:t>su</w:t>
      </w:r>
      <w:r>
        <w:rPr>
          <w:rFonts w:ascii="Palatino Linotype" w:hAnsi="Palatino Linotype" w:cs="Arial"/>
          <w:bCs/>
          <w:i/>
        </w:rPr>
        <w:t xml:space="preserve"> conservación permanente por tener valor histórico, ésta conservará tal carácter de conformidad con la normativa aplicable en materia de archivos.</w:t>
      </w:r>
    </w:p>
    <w:p w:rsidR="00757817" w:rsidRDefault="00862B85">
      <w:pPr>
        <w:ind w:left="851" w:right="899"/>
        <w:jc w:val="both"/>
        <w:rPr>
          <w:rFonts w:ascii="Palatino Linotype" w:hAnsi="Palatino Linotype" w:cs="Arial"/>
          <w:i/>
          <w:lang w:eastAsia="es-MX"/>
        </w:rPr>
      </w:pPr>
      <w:r>
        <w:rPr>
          <w:rFonts w:ascii="Palatino Linotype" w:hAnsi="Palatino Linotype" w:cs="Arial"/>
          <w:bCs/>
          <w:i/>
        </w:rPr>
        <w:t>Los documentos contenidos</w:t>
      </w:r>
      <w:r>
        <w:rPr>
          <w:rFonts w:ascii="Palatino Linotype" w:hAnsi="Palatino Linotype" w:cs="Arial"/>
          <w:i/>
          <w:lang w:eastAsia="es-MX"/>
        </w:rPr>
        <w:t xml:space="preserve"> en los archivos históricos y los identificados como históricos confidenciales no serán susceptibles de clasificación como reservados.</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Noveno.</w:t>
      </w:r>
      <w:r>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lastRenderedPageBreak/>
        <w:t>Décimo.</w:t>
      </w:r>
      <w:r>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rPr>
        <w:t>documentos</w:t>
      </w:r>
      <w:r>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57817" w:rsidRDefault="00862B85">
      <w:pPr>
        <w:ind w:left="851" w:right="899"/>
        <w:jc w:val="both"/>
        <w:rPr>
          <w:rFonts w:ascii="Palatino Linotype" w:hAnsi="Palatino Linotype" w:cs="Arial"/>
          <w:i/>
          <w:lang w:eastAsia="es-MX"/>
        </w:rPr>
      </w:pPr>
      <w:r>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Pr>
          <w:rFonts w:ascii="Palatino Linotype" w:hAnsi="Palatino Linotype" w:cs="Arial"/>
          <w:i/>
        </w:rPr>
        <w:t>que</w:t>
      </w:r>
      <w:r>
        <w:rPr>
          <w:rFonts w:ascii="Palatino Linotype" w:hAnsi="Palatino Linotype" w:cs="Arial"/>
          <w:i/>
          <w:lang w:eastAsia="es-MX"/>
        </w:rPr>
        <w:t xml:space="preserve"> rija la actuación del sujeto obligado.</w:t>
      </w:r>
    </w:p>
    <w:p w:rsidR="00757817" w:rsidRDefault="00862B85">
      <w:pPr>
        <w:ind w:left="851" w:right="899"/>
        <w:jc w:val="both"/>
        <w:rPr>
          <w:rFonts w:ascii="Palatino Linotype" w:hAnsi="Palatino Linotype" w:cs="Arial"/>
          <w:i/>
          <w:lang w:eastAsia="es-MX"/>
        </w:rPr>
      </w:pPr>
      <w:r>
        <w:rPr>
          <w:rFonts w:ascii="Palatino Linotype" w:hAnsi="Palatino Linotype" w:cs="Arial"/>
          <w:b/>
          <w:i/>
          <w:lang w:eastAsia="es-MX"/>
        </w:rPr>
        <w:t>Décimo primero.</w:t>
      </w:r>
      <w:r>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57817" w:rsidRDefault="00862B85">
      <w:pPr>
        <w:ind w:left="851" w:right="899"/>
        <w:jc w:val="both"/>
        <w:rPr>
          <w:rFonts w:ascii="Palatino Linotype" w:hAnsi="Palatino Linotype" w:cs="Arial"/>
          <w:lang w:eastAsia="es-MX"/>
        </w:rPr>
      </w:pPr>
      <w:r>
        <w:rPr>
          <w:rFonts w:ascii="Palatino Linotype" w:hAnsi="Palatino Linotype" w:cs="Arial"/>
          <w:lang w:eastAsia="es-MX"/>
        </w:rPr>
        <w:t>(Énfasis Añadido)</w:t>
      </w:r>
    </w:p>
    <w:p w:rsidR="00757817" w:rsidRDefault="00862B85">
      <w:pPr>
        <w:spacing w:beforeAutospacing="1" w:afterAutospacing="1" w:line="360" w:lineRule="auto"/>
        <w:jc w:val="both"/>
        <w:rPr>
          <w:rFonts w:ascii="Palatino Linotype" w:hAnsi="Palatino Linotype" w:cs="Arial"/>
        </w:rPr>
      </w:pPr>
      <w:r>
        <w:rPr>
          <w:rFonts w:ascii="Palatino Linotype" w:hAnsi="Palatino Linotype"/>
        </w:rPr>
        <w:t xml:space="preserve">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un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lo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57817" w:rsidRDefault="00862B85">
      <w:pPr>
        <w:spacing w:beforeAutospacing="1" w:afterAutospacing="1" w:line="360" w:lineRule="auto"/>
        <w:jc w:val="both"/>
        <w:rPr>
          <w:rFonts w:ascii="Palatino Linotype" w:hAnsi="Palatino Linotype" w:cs="Arial"/>
        </w:rPr>
      </w:pPr>
      <w:r>
        <w:rPr>
          <w:rFonts w:ascii="Palatino Linotype" w:hAnsi="Palatino Linotype" w:cs="Arial"/>
        </w:rPr>
        <w:lastRenderedPageBreak/>
        <w:t>Por último, es importante señalar que el particular manifestó en sus razones y motivos de inconformidad lo siguiente “. . .</w:t>
      </w:r>
      <w:r>
        <w:rPr>
          <w:rFonts w:ascii="Palatino Linotype" w:hAnsi="Palatino Linotype"/>
          <w:i/>
          <w:color w:val="000000"/>
        </w:rPr>
        <w:t xml:space="preserve"> Es sorprendente que se me pida esta información ya que, según entiendo, para poder cuestionar a una persona en un local semifijo se debe ser parte de la Autoridad y, a mi entender y experiencia, estas personas se niegan a proporcionar información a particulares. También se dice: "....esta Unidad Departamental ... llevará a cabo una inspección física... , a efecto de verificar ... su escrito...". Misma respuesta que rindiera en agosto de 2019, la Lic. Uscanga, resultando increíble que el propio jefe de Vía Pública desconozca las inspecciones efectuadas con su presencia el 17 diciembre 2019. Para estos efectos les reitero que estos comerciantes se siguen instalando durante varios días de la semana. También conviene señalar que ya existe un precedente en este tipo de situación que quedó debidamente documentado en oficio dirigido al C. Alfredo Vinalay M., con nùmero UTAIP/0523/2019 del 12 noviembre 2019, en el que ... se ordena al Ayuntamiento de Naucalpan, entregar ... la siguiente información: a) El permiso de venta en la vía pública de la persona referida en la solicitud de información 00523/NAUCALPA/IP/RRR/2019..." Este último documento me fue entregado anexo al oficio del Lic. Leonardo Salcedo M. de fecha 13 noviembre 2019, con folio solicitud 00523/NAUCALPA/IP/2019.”,</w:t>
      </w:r>
      <w:r>
        <w:rPr>
          <w:rFonts w:ascii="Palatino Linotype" w:hAnsi="Palatino Linotype"/>
          <w:color w:val="000000"/>
        </w:rPr>
        <w:t xml:space="preserve"> lo que se traducen manifestaciones subjetivas que de acuerdo al artículo 36 de la Ley de la materia, no tiene facultades para pronunciarse al respecto</w:t>
      </w:r>
    </w:p>
    <w:p w:rsidR="00757817" w:rsidRDefault="00862B85">
      <w:pPr>
        <w:pStyle w:val="Prrafodelista"/>
        <w:widowControl w:val="0"/>
        <w:spacing w:before="360" w:after="240" w:line="360" w:lineRule="auto"/>
        <w:ind w:left="0"/>
        <w:contextualSpacing/>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fracciones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757817" w:rsidRDefault="00862B85">
      <w:pPr>
        <w:spacing w:before="360" w:after="240" w:line="360" w:lineRule="auto"/>
        <w:jc w:val="center"/>
        <w:rPr>
          <w:rFonts w:ascii="Palatino Linotype" w:hAnsi="Palatino Linotype"/>
          <w:b/>
          <w:bCs/>
          <w:spacing w:val="40"/>
          <w:sz w:val="28"/>
        </w:rPr>
      </w:pPr>
      <w:r>
        <w:rPr>
          <w:rFonts w:ascii="Palatino Linotype" w:hAnsi="Palatino Linotype"/>
          <w:b/>
          <w:bCs/>
          <w:spacing w:val="40"/>
          <w:sz w:val="28"/>
        </w:rPr>
        <w:lastRenderedPageBreak/>
        <w:t>RESUELVE</w:t>
      </w:r>
    </w:p>
    <w:p w:rsidR="00757817" w:rsidRDefault="00862B85">
      <w:pPr>
        <w:pStyle w:val="Prrafodelista"/>
        <w:widowControl w:val="0"/>
        <w:tabs>
          <w:tab w:val="left" w:pos="1701"/>
        </w:tabs>
        <w:spacing w:before="360" w:after="240" w:line="360" w:lineRule="auto"/>
        <w:ind w:left="0"/>
        <w:jc w:val="both"/>
        <w:rPr>
          <w:rFonts w:ascii="Palatino Linotype" w:hAnsi="Palatino Linotype" w:cs="Arial"/>
        </w:rPr>
      </w:pPr>
      <w:r>
        <w:rPr>
          <w:rFonts w:ascii="Palatino Linotype" w:hAnsi="Palatino Linotype" w:cs="Arial"/>
          <w:b/>
          <w:bCs/>
          <w:color w:val="222222"/>
          <w:sz w:val="28"/>
          <w:lang w:eastAsia="es-MX"/>
        </w:rPr>
        <w:t>PRIMERO</w:t>
      </w:r>
      <w:r>
        <w:rPr>
          <w:rFonts w:ascii="Palatino Linotype" w:hAnsi="Palatino Linotype" w:cs="Arial"/>
        </w:rPr>
        <w:t xml:space="preserve">. Resultan </w:t>
      </w:r>
      <w:r>
        <w:rPr>
          <w:rFonts w:ascii="Palatino Linotype" w:hAnsi="Palatino Linotype" w:cs="Arial"/>
          <w:b/>
        </w:rPr>
        <w:t>fundadas</w:t>
      </w:r>
      <w:r>
        <w:rPr>
          <w:rFonts w:ascii="Palatino Linotype" w:hAnsi="Palatino Linotype" w:cs="Arial"/>
        </w:rPr>
        <w:t xml:space="preserve"> las razones o motivos de inconformidad hechas valer por </w:t>
      </w:r>
      <w:r>
        <w:rPr>
          <w:rFonts w:ascii="Palatino Linotype" w:hAnsi="Palatino Linotype" w:cs="Arial"/>
          <w:b/>
        </w:rPr>
        <w:t>EL RECURRENTE</w:t>
      </w:r>
      <w:r>
        <w:rPr>
          <w:rFonts w:ascii="Palatino Linotype" w:hAnsi="Palatino Linotype" w:cs="Arial"/>
        </w:rPr>
        <w:t xml:space="preserve"> en el recurso de revisión </w:t>
      </w:r>
      <w:r>
        <w:rPr>
          <w:rFonts w:ascii="Palatino Linotype" w:hAnsi="Palatino Linotype" w:cs="Arial"/>
          <w:b/>
        </w:rPr>
        <w:t>00887/INFOEM/IP/RR/2020</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757817" w:rsidRDefault="00862B85">
      <w:pPr>
        <w:spacing w:line="360" w:lineRule="auto"/>
        <w:jc w:val="both"/>
        <w:rPr>
          <w:rFonts w:ascii="Palatino Linotype" w:hAnsi="Palatino Linotype" w:cs="Arial"/>
        </w:rPr>
      </w:pPr>
      <w:r>
        <w:rPr>
          <w:rFonts w:ascii="Palatino Linotype" w:hAnsi="Palatino Linotype" w:cs="Arial"/>
          <w:b/>
          <w:bCs/>
          <w:color w:val="222222"/>
          <w:sz w:val="28"/>
          <w:lang w:eastAsia="es-MX"/>
        </w:rPr>
        <w:t>SEGUNDO</w:t>
      </w:r>
      <w:r>
        <w:rPr>
          <w:rFonts w:ascii="Palatino Linotype" w:eastAsia="Calibri" w:hAnsi="Palatino Linotype" w:cs="Arial"/>
          <w:b/>
          <w:bCs/>
        </w:rPr>
        <w:t xml:space="preserve">. </w:t>
      </w:r>
      <w:r>
        <w:rPr>
          <w:rFonts w:ascii="Palatino Linotype" w:eastAsia="Calibri" w:hAnsi="Palatino Linotype" w:cs="Arial"/>
          <w:bCs/>
        </w:rPr>
        <w:t>Se</w:t>
      </w:r>
      <w:r>
        <w:rPr>
          <w:rFonts w:ascii="Palatino Linotype" w:eastAsia="Calibri" w:hAnsi="Palatino Linotype" w:cs="Arial"/>
          <w:b/>
          <w:bCs/>
        </w:rPr>
        <w:t xml:space="preserve"> REVOCA </w:t>
      </w:r>
      <w:r>
        <w:rPr>
          <w:rFonts w:ascii="Palatino Linotype" w:eastAsia="Calibri" w:hAnsi="Palatino Linotype" w:cs="Arial"/>
          <w:bCs/>
        </w:rPr>
        <w:t>la respuesta del</w:t>
      </w:r>
      <w:r>
        <w:rPr>
          <w:rFonts w:ascii="Palatino Linotype" w:eastAsia="Calibri" w:hAnsi="Palatino Linotype" w:cs="Arial"/>
        </w:rPr>
        <w:t xml:space="preserve"> </w:t>
      </w:r>
      <w:r>
        <w:rPr>
          <w:rFonts w:ascii="Palatino Linotype" w:eastAsia="Calibri" w:hAnsi="Palatino Linotype" w:cs="Arial"/>
          <w:b/>
        </w:rPr>
        <w:t xml:space="preserve">SUJETO OBLIGADO </w:t>
      </w:r>
      <w:r>
        <w:rPr>
          <w:rFonts w:ascii="Palatino Linotype" w:eastAsia="Calibri" w:hAnsi="Palatino Linotype" w:cs="Arial"/>
        </w:rPr>
        <w:t xml:space="preserve">y se ordena atienda la solicitud de información </w:t>
      </w:r>
      <w:r>
        <w:rPr>
          <w:rFonts w:ascii="Palatino Linotype" w:hAnsi="Palatino Linotype" w:cs="Arial"/>
          <w:b/>
          <w:lang w:val="es-ES"/>
        </w:rPr>
        <w:t xml:space="preserve">00050/NAUCALPA/IP/2020, </w:t>
      </w:r>
      <w:r>
        <w:rPr>
          <w:rFonts w:ascii="Palatino Linotype" w:hAnsi="Palatino Linotype" w:cs="Arial"/>
        </w:rPr>
        <w:t xml:space="preserve">en términos del Considerando </w:t>
      </w:r>
      <w:r>
        <w:rPr>
          <w:rFonts w:ascii="Palatino Linotype" w:hAnsi="Palatino Linotype" w:cs="Arial"/>
          <w:b/>
        </w:rPr>
        <w:t>QUINTO</w:t>
      </w:r>
      <w:r>
        <w:rPr>
          <w:rFonts w:ascii="Palatino Linotype" w:hAnsi="Palatino Linotype" w:cs="Arial"/>
        </w:rPr>
        <w:t xml:space="preserve"> y, haga entrega al </w:t>
      </w:r>
      <w:r>
        <w:rPr>
          <w:rFonts w:ascii="Palatino Linotype" w:hAnsi="Palatino Linotype" w:cs="Arial"/>
          <w:b/>
        </w:rPr>
        <w:t>RECURRENTE</w:t>
      </w:r>
      <w:r>
        <w:rPr>
          <w:rFonts w:ascii="Palatino Linotype" w:hAnsi="Palatino Linotype" w:cs="Arial"/>
        </w:rPr>
        <w:t xml:space="preserve">, previa </w:t>
      </w:r>
      <w:r>
        <w:rPr>
          <w:rFonts w:ascii="Palatino Linotype" w:hAnsi="Palatino Linotype" w:cs="Arial"/>
          <w:b/>
        </w:rPr>
        <w:t>búsqueda exhaustiva y razonable</w:t>
      </w:r>
      <w:r>
        <w:rPr>
          <w:rFonts w:ascii="Palatino Linotype" w:hAnsi="Palatino Linotype" w:cs="Arial"/>
        </w:rPr>
        <w:t xml:space="preserve">, vía </w:t>
      </w:r>
      <w:r>
        <w:rPr>
          <w:rFonts w:ascii="Palatino Linotype" w:hAnsi="Palatino Linotype" w:cs="Arial"/>
          <w:b/>
        </w:rPr>
        <w:t>SAIMEX</w:t>
      </w:r>
      <w:r>
        <w:rPr>
          <w:rFonts w:ascii="Palatino Linotype" w:hAnsi="Palatino Linotype" w:cs="Arial"/>
        </w:rPr>
        <w:t xml:space="preserve">, de ser procedente en </w:t>
      </w:r>
      <w:r>
        <w:rPr>
          <w:rFonts w:ascii="Palatino Linotype" w:hAnsi="Palatino Linotype" w:cs="Arial"/>
          <w:b/>
        </w:rPr>
        <w:t>versión pública</w:t>
      </w:r>
      <w:r>
        <w:rPr>
          <w:rFonts w:ascii="Palatino Linotype" w:hAnsi="Palatino Linotype" w:cs="Arial"/>
        </w:rPr>
        <w:t>, de lo siguiente:</w:t>
      </w:r>
    </w:p>
    <w:p w:rsidR="00757817" w:rsidRDefault="00862B85">
      <w:pPr>
        <w:tabs>
          <w:tab w:val="left" w:pos="851"/>
        </w:tabs>
        <w:ind w:left="851" w:right="709"/>
        <w:jc w:val="both"/>
        <w:rPr>
          <w:rFonts w:ascii="Palatino Linotype" w:hAnsi="Palatino Linotype"/>
          <w:bCs/>
          <w:i/>
        </w:rPr>
      </w:pPr>
      <w:r>
        <w:rPr>
          <w:rFonts w:ascii="Palatino Linotype" w:hAnsi="Palatino Linotype"/>
          <w:bCs/>
          <w:i/>
        </w:rPr>
        <w:t>“Las licencias, permisos o autorizaciones de los puestos semifijos señalados en la solicitud de acceso a la información vigentes al 17 de enero de 2020.</w:t>
      </w:r>
    </w:p>
    <w:p w:rsidR="00757817" w:rsidRDefault="00862B85">
      <w:pPr>
        <w:pStyle w:val="Prrafodelista"/>
        <w:spacing w:beforeAutospacing="1" w:afterAutospacing="1"/>
        <w:ind w:left="851" w:right="899"/>
        <w:contextualSpacing/>
        <w:jc w:val="both"/>
        <w:rPr>
          <w:rFonts w:ascii="Palatino Linotype" w:hAnsi="Palatino Linotype"/>
          <w:bCs/>
          <w:i/>
          <w:sz w:val="22"/>
          <w:szCs w:val="22"/>
        </w:rPr>
      </w:pPr>
      <w:r>
        <w:rPr>
          <w:rFonts w:ascii="Palatino Linotype" w:hAnsi="Palatino Linotype" w:cs="Arial"/>
          <w:i/>
          <w:sz w:val="22"/>
          <w:szCs w:val="22"/>
          <w:lang w:eastAsia="es-MX"/>
        </w:rPr>
        <w:t>Debiendo</w:t>
      </w:r>
      <w:r>
        <w:rPr>
          <w:rFonts w:ascii="Palatino Linotype" w:hAnsi="Palatino Linotype" w:cs="Arial"/>
          <w:i/>
          <w:sz w:val="22"/>
          <w:szCs w:val="22"/>
        </w:rPr>
        <w:t xml:space="preserve"> notificar al </w:t>
      </w:r>
      <w:r>
        <w:rPr>
          <w:rFonts w:ascii="Palatino Linotype" w:hAnsi="Palatino Linotype" w:cs="Arial"/>
          <w:b/>
          <w:i/>
          <w:sz w:val="22"/>
          <w:szCs w:val="22"/>
        </w:rPr>
        <w:t>RECURRENTE</w:t>
      </w:r>
      <w:r>
        <w:rPr>
          <w:rFonts w:ascii="Palatino Linotype" w:hAnsi="Palatino Linotype" w:cs="Arial"/>
          <w:i/>
          <w:sz w:val="22"/>
          <w:szCs w:val="22"/>
        </w:rPr>
        <w:t xml:space="preserve"> el Acuerdo de Clasificación de la información que emita en su caso el Comité de Transparencia con motivo de la versi</w:t>
      </w:r>
      <w:bookmarkStart w:id="0" w:name="_GoBack"/>
      <w:bookmarkEnd w:id="0"/>
      <w:r>
        <w:rPr>
          <w:rFonts w:ascii="Palatino Linotype" w:hAnsi="Palatino Linotype" w:cs="Arial"/>
          <w:i/>
          <w:sz w:val="22"/>
          <w:szCs w:val="22"/>
        </w:rPr>
        <w:t>ón pública.</w:t>
      </w:r>
    </w:p>
    <w:p w:rsidR="00757817" w:rsidRDefault="00862B85">
      <w:pPr>
        <w:tabs>
          <w:tab w:val="left" w:pos="851"/>
        </w:tabs>
        <w:ind w:left="851" w:right="709"/>
        <w:jc w:val="both"/>
        <w:rPr>
          <w:rFonts w:ascii="Palatino Linotype" w:hAnsi="Palatino Linotype"/>
          <w:bCs/>
          <w:i/>
        </w:rPr>
      </w:pPr>
      <w:r>
        <w:rPr>
          <w:rFonts w:ascii="Palatino Linotype" w:hAnsi="Palatino Linotype"/>
          <w:bCs/>
          <w:i/>
        </w:rPr>
        <w:t>Para el caso de no haber generado la información de la que se ordena la entrega, deberá hacerlo del conocimiento del particular al momento de dar cumplimiento a la presente resolución de manera fundada y motivada.”</w:t>
      </w:r>
    </w:p>
    <w:p w:rsidR="00757817" w:rsidRDefault="00757817">
      <w:pPr>
        <w:spacing w:line="276" w:lineRule="auto"/>
        <w:ind w:left="851" w:right="902" w:hanging="142"/>
        <w:contextualSpacing/>
        <w:jc w:val="both"/>
        <w:rPr>
          <w:rFonts w:ascii="Palatino Linotype" w:hAnsi="Palatino Linotype"/>
          <w:i/>
          <w:iCs/>
          <w:color w:val="222222"/>
          <w:lang w:eastAsia="es-MX"/>
        </w:rPr>
      </w:pPr>
    </w:p>
    <w:p w:rsidR="00757817" w:rsidRDefault="00862B85">
      <w:pPr>
        <w:spacing w:line="360" w:lineRule="auto"/>
        <w:jc w:val="both"/>
        <w:rPr>
          <w:rFonts w:ascii="Palatino Linotype" w:hAnsi="Palatino Linotype"/>
          <w:color w:val="222222"/>
          <w:highlight w:val="white"/>
        </w:rPr>
      </w:pPr>
      <w:r>
        <w:rPr>
          <w:rFonts w:ascii="Palatino Linotype" w:hAnsi="Palatino Linotype"/>
          <w:b/>
          <w:color w:val="222222"/>
          <w:sz w:val="28"/>
          <w:szCs w:val="28"/>
          <w:shd w:val="clear" w:color="auto" w:fill="FFFFFF"/>
        </w:rPr>
        <w:t>TERCERO.</w:t>
      </w:r>
      <w:r>
        <w:rPr>
          <w:rFonts w:ascii="Palatino Linotype" w:hAnsi="Palatino Linotype"/>
          <w:b/>
          <w:color w:val="222222"/>
          <w:shd w:val="clear" w:color="auto" w:fill="FFFFFF"/>
        </w:rPr>
        <w:t> </w:t>
      </w:r>
      <w:r>
        <w:rPr>
          <w:rFonts w:ascii="Palatino Linotype" w:hAnsi="Palatino Linotype"/>
          <w:b/>
          <w:color w:val="222222"/>
          <w:lang w:eastAsia="es-ES_tradnl"/>
        </w:rPr>
        <w:t>Notifíquese</w:t>
      </w:r>
      <w:r>
        <w:rPr>
          <w:rFonts w:ascii="Palatino Linotype" w:hAnsi="Palatino Linotype"/>
          <w:color w:val="222222"/>
          <w:lang w:eastAsia="es-ES_tradnl"/>
        </w:rPr>
        <w:t xml:space="preserve"> </w:t>
      </w:r>
      <w:r>
        <w:rPr>
          <w:rFonts w:ascii="Palatino Linotype" w:hAnsi="Palatino Linotype"/>
          <w:color w:val="222222"/>
          <w:shd w:val="clear" w:color="auto" w:fill="FFFFFF"/>
        </w:rPr>
        <w:t>al Titular de la Unidad de Transparencia del</w:t>
      </w:r>
      <w:r>
        <w:rPr>
          <w:rFonts w:ascii="Palatino Linotype" w:hAnsi="Palatino Linotype"/>
          <w:b/>
          <w:color w:val="222222"/>
          <w:shd w:val="clear" w:color="auto" w:fill="FFFFFF"/>
        </w:rPr>
        <w:t> SUJETO OBLIGADO</w:t>
      </w:r>
      <w:r>
        <w:rPr>
          <w:rFonts w:ascii="Palatino Linotype" w:hAnsi="Palatino Linotype"/>
          <w:color w:val="222222"/>
          <w:shd w:val="clear" w:color="auto" w:fill="FFFFFF"/>
        </w:rPr>
        <w:t xml:space="preserve">, para que conforme a los artículos 186, último párrafo y 189, párrafo segundo de la Ley de </w:t>
      </w:r>
      <w:r>
        <w:rPr>
          <w:rFonts w:ascii="Palatino Linotype" w:hAnsi="Palatino Linotype" w:cs="Arial"/>
        </w:rPr>
        <w:t>Transparencia</w:t>
      </w:r>
      <w:r>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Pr>
          <w:rFonts w:ascii="Palatino Linotype" w:hAnsi="Palatino Linotype"/>
          <w:color w:val="222222"/>
          <w:lang w:eastAsia="es-ES_tradnl"/>
        </w:rPr>
        <w:t>de</w:t>
      </w:r>
      <w:r>
        <w:rPr>
          <w:rFonts w:ascii="Palatino Linotype" w:hAnsi="Palatino Linotype"/>
          <w:color w:val="222222"/>
          <w:shd w:val="clear" w:color="auto" w:fill="FFFFFF"/>
        </w:rPr>
        <w:t xml:space="preserve"> tres días hábiles siguientes sobre el cumplimiento dado a la presente resolución.</w:t>
      </w:r>
    </w:p>
    <w:p w:rsidR="00757817" w:rsidRDefault="00757817">
      <w:pPr>
        <w:spacing w:line="360" w:lineRule="auto"/>
        <w:jc w:val="both"/>
        <w:rPr>
          <w:rFonts w:ascii="Palatino Linotype" w:hAnsi="Palatino Linotype"/>
          <w:b/>
          <w:color w:val="222222"/>
          <w:highlight w:val="white"/>
        </w:rPr>
      </w:pPr>
    </w:p>
    <w:p w:rsidR="00757817" w:rsidRDefault="00862B85">
      <w:pPr>
        <w:spacing w:line="360" w:lineRule="auto"/>
        <w:ind w:right="49"/>
        <w:jc w:val="both"/>
        <w:rPr>
          <w:rFonts w:ascii="Palatino Linotype" w:hAnsi="Palatino Linotype"/>
          <w:color w:val="222222"/>
          <w:lang w:eastAsia="es-ES_tradnl"/>
        </w:rPr>
      </w:pPr>
      <w:r>
        <w:rPr>
          <w:rFonts w:ascii="Palatino Linotype" w:hAnsi="Palatino Linotype" w:cs="Arial"/>
          <w:b/>
          <w:bCs/>
          <w:color w:val="222222"/>
          <w:sz w:val="28"/>
          <w:lang w:eastAsia="es-MX"/>
        </w:rPr>
        <w:lastRenderedPageBreak/>
        <w:t xml:space="preserve">CUARTO. </w:t>
      </w:r>
      <w:r>
        <w:rPr>
          <w:rFonts w:ascii="Palatino Linotype" w:hAnsi="Palatino Linotype"/>
          <w:b/>
          <w:color w:val="222222"/>
          <w:lang w:eastAsia="es-ES_tradnl"/>
        </w:rPr>
        <w:t>Notifíquese</w:t>
      </w:r>
      <w:r>
        <w:rPr>
          <w:rFonts w:ascii="Palatino Linotype" w:hAnsi="Palatino Linotype"/>
          <w:color w:val="222222"/>
          <w:lang w:eastAsia="es-ES_tradnl"/>
        </w:rPr>
        <w:t xml:space="preserve"> al </w:t>
      </w:r>
      <w:r>
        <w:rPr>
          <w:rFonts w:ascii="Palatino Linotype" w:hAnsi="Palatino Linotype"/>
          <w:b/>
          <w:color w:val="222222"/>
          <w:lang w:eastAsia="es-ES_tradnl"/>
        </w:rPr>
        <w:t>RECURRENTE</w:t>
      </w:r>
      <w:r>
        <w:rPr>
          <w:rFonts w:ascii="Palatino Linotype" w:hAnsi="Palatino Linotype"/>
          <w:color w:val="222222"/>
          <w:lang w:eastAsia="es-ES_tradnl"/>
        </w:rPr>
        <w:t xml:space="preserve"> la </w:t>
      </w:r>
      <w:r>
        <w:rPr>
          <w:rFonts w:ascii="Palatino Linotype" w:hAnsi="Palatino Linotype" w:cs="Arial"/>
        </w:rPr>
        <w:t>presente</w:t>
      </w:r>
      <w:r>
        <w:rPr>
          <w:rFonts w:ascii="Palatino Linotype" w:hAnsi="Palatino Linotype"/>
          <w:color w:val="222222"/>
          <w:lang w:eastAsia="es-ES_tradnl"/>
        </w:rPr>
        <w:t xml:space="preserve"> resolución. </w:t>
      </w:r>
    </w:p>
    <w:p w:rsidR="00757817" w:rsidRDefault="00757817">
      <w:pPr>
        <w:spacing w:line="360" w:lineRule="auto"/>
        <w:ind w:right="49"/>
        <w:jc w:val="both"/>
        <w:rPr>
          <w:rFonts w:ascii="Palatino Linotype" w:hAnsi="Palatino Linotype"/>
          <w:color w:val="222222"/>
          <w:sz w:val="12"/>
          <w:lang w:eastAsia="es-ES_tradnl"/>
        </w:rPr>
      </w:pPr>
    </w:p>
    <w:p w:rsidR="00757817" w:rsidRDefault="00862B85">
      <w:pPr>
        <w:spacing w:line="360" w:lineRule="auto"/>
        <w:ind w:right="49"/>
        <w:jc w:val="both"/>
        <w:rPr>
          <w:rFonts w:ascii="Palatino Linotype" w:hAnsi="Palatino Linotype"/>
          <w:color w:val="222222"/>
          <w:lang w:eastAsia="es-ES_tradnl"/>
        </w:rPr>
      </w:pPr>
      <w:r>
        <w:rPr>
          <w:rFonts w:ascii="Palatino Linotype" w:hAnsi="Palatino Linotype" w:cs="Arial"/>
          <w:b/>
          <w:bCs/>
          <w:color w:val="222222"/>
          <w:sz w:val="28"/>
          <w:lang w:eastAsia="es-MX"/>
        </w:rPr>
        <w:t>QUINTO.</w:t>
      </w:r>
      <w:r>
        <w:rPr>
          <w:rFonts w:ascii="Palatino Linotype" w:hAnsi="Palatino Linotype"/>
          <w:color w:val="222222"/>
          <w:szCs w:val="17"/>
          <w:lang w:eastAsia="es-ES_tradnl"/>
        </w:rPr>
        <w:t xml:space="preserve"> </w:t>
      </w:r>
      <w:r>
        <w:rPr>
          <w:rFonts w:ascii="Palatino Linotype" w:hAnsi="Palatino Linotype"/>
          <w:lang w:eastAsia="es-ES_tradnl"/>
        </w:rPr>
        <w:t xml:space="preserve">Con fundamento en el artículo 198 de la Ley de Transparencia y Acceso a la Información Pública del Estado de México y Municipios, se apercibe al </w:t>
      </w:r>
      <w:r>
        <w:rPr>
          <w:rFonts w:ascii="Palatino Linotype" w:hAnsi="Palatino Linotype"/>
          <w:b/>
          <w:lang w:eastAsia="es-ES_tradnl"/>
        </w:rPr>
        <w:t>SUJETO OBLIGADO</w:t>
      </w:r>
      <w:r>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rsidR="00757817" w:rsidRDefault="00862B85">
      <w:pPr>
        <w:widowControl w:val="0"/>
        <w:spacing w:before="120" w:after="160" w:line="360" w:lineRule="auto"/>
        <w:jc w:val="both"/>
        <w:rPr>
          <w:rFonts w:ascii="Palatino Linotype" w:hAnsi="Palatino Linotype"/>
          <w:color w:val="222222"/>
          <w:lang w:eastAsia="es-ES_tradnl"/>
        </w:rPr>
      </w:pPr>
      <w:r>
        <w:rPr>
          <w:rFonts w:ascii="Palatino Linotype" w:hAnsi="Palatino Linotype"/>
          <w:b/>
          <w:sz w:val="28"/>
          <w:szCs w:val="28"/>
        </w:rPr>
        <w:t>SEXTO.</w:t>
      </w:r>
      <w:r>
        <w:rPr>
          <w:rFonts w:ascii="Palatino Linotype" w:hAnsi="Palatino Linotype"/>
          <w:b/>
          <w:szCs w:val="25"/>
        </w:rPr>
        <w:t xml:space="preserve"> </w:t>
      </w:r>
      <w:r>
        <w:rPr>
          <w:rFonts w:ascii="Palatino Linotype" w:hAnsi="Palatino Linotype"/>
          <w:b/>
          <w:color w:val="222222"/>
          <w:lang w:eastAsia="es-ES_tradnl"/>
        </w:rPr>
        <w:t>Hágase del conocimiento</w:t>
      </w:r>
      <w:r>
        <w:rPr>
          <w:rFonts w:ascii="Palatino Linotype" w:hAnsi="Palatino Linotype"/>
          <w:color w:val="222222"/>
          <w:lang w:eastAsia="es-ES_tradnl"/>
        </w:rPr>
        <w:t xml:space="preserve"> al </w:t>
      </w:r>
      <w:r>
        <w:rPr>
          <w:rFonts w:ascii="Palatino Linotype" w:hAnsi="Palatino Linotype"/>
          <w:b/>
          <w:color w:val="222222"/>
          <w:lang w:eastAsia="es-ES_tradnl"/>
        </w:rPr>
        <w:t>RECURRENTE</w:t>
      </w:r>
      <w:r>
        <w:rPr>
          <w:rFonts w:ascii="Palatino Linotype" w:hAnsi="Palatino Linotype"/>
          <w:color w:val="222222"/>
          <w:lang w:eastAsia="es-ES_tradnl"/>
        </w:rPr>
        <w:t xml:space="preserve"> que, de conformidad con lo establecido en el artículo 196 de la </w:t>
      </w:r>
      <w:r>
        <w:rPr>
          <w:rFonts w:ascii="Palatino Linotype" w:hAnsi="Palatino Linotype" w:cs="Arial"/>
        </w:rPr>
        <w:t>Ley</w:t>
      </w:r>
      <w:r>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757817" w:rsidRDefault="00862B85">
      <w:pPr>
        <w:pStyle w:val="Prrafodelista"/>
        <w:widowControl w:val="0"/>
        <w:tabs>
          <w:tab w:val="left" w:pos="1701"/>
          <w:tab w:val="left" w:pos="2268"/>
        </w:tabs>
        <w:spacing w:before="120" w:after="12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UNINAMIDAD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DÉCIMO TERCERA SESIÓN ORDINARIA CELEBRADA EL DOCE DE AGOSTO DE DOS MIL VEINTE, ANTE EL SECRETARIO TÉCNICO DEL PLENO ALEXIS TAPIA RAMÍREZ.</w:t>
      </w:r>
    </w:p>
    <w:tbl>
      <w:tblPr>
        <w:tblW w:w="10368" w:type="dxa"/>
        <w:jc w:val="center"/>
        <w:tblLook w:val="04A0" w:firstRow="1" w:lastRow="0" w:firstColumn="1" w:lastColumn="0" w:noHBand="0" w:noVBand="1"/>
      </w:tblPr>
      <w:tblGrid>
        <w:gridCol w:w="5185"/>
        <w:gridCol w:w="5183"/>
      </w:tblGrid>
      <w:tr w:rsidR="00757817">
        <w:trPr>
          <w:jc w:val="center"/>
        </w:trPr>
        <w:tc>
          <w:tcPr>
            <w:tcW w:w="10367" w:type="dxa"/>
            <w:gridSpan w:val="2"/>
          </w:tcPr>
          <w:p w:rsidR="00757817" w:rsidRDefault="00757817">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757817" w:rsidRDefault="00862B85">
            <w:pPr>
              <w:jc w:val="center"/>
              <w:rPr>
                <w:rFonts w:ascii="Palatino Linotype" w:hAnsi="Palatino Linotype" w:cs="Arial"/>
                <w:b/>
                <w:lang w:val="es-ES_tradnl"/>
              </w:rPr>
            </w:pPr>
            <w:r>
              <w:rPr>
                <w:rFonts w:ascii="Palatino Linotype" w:hAnsi="Palatino Linotype" w:cs="Arial"/>
                <w:b/>
                <w:lang w:val="es-ES_tradnl"/>
              </w:rPr>
              <w:t>Zulema Martínez Sánchez</w:t>
            </w:r>
          </w:p>
          <w:p w:rsidR="00757817" w:rsidRDefault="00862B85">
            <w:pPr>
              <w:jc w:val="center"/>
              <w:rPr>
                <w:rFonts w:ascii="Palatino Linotype" w:hAnsi="Palatino Linotype" w:cs="Arial"/>
                <w:b/>
                <w:lang w:val="es-ES_tradnl"/>
              </w:rPr>
            </w:pPr>
            <w:r>
              <w:rPr>
                <w:rFonts w:ascii="Palatino Linotype" w:hAnsi="Palatino Linotype" w:cs="Arial"/>
                <w:lang w:val="es-ES_tradnl"/>
              </w:rPr>
              <w:t>Comisionada Presidenta</w:t>
            </w:r>
          </w:p>
          <w:p w:rsidR="00757817" w:rsidRDefault="00862B85">
            <w:pPr>
              <w:jc w:val="center"/>
              <w:rPr>
                <w:rFonts w:ascii="Palatino Linotype" w:hAnsi="Palatino Linotype" w:cs="Arial"/>
                <w:b/>
                <w:lang w:val="es-ES_tradnl"/>
              </w:rPr>
            </w:pPr>
            <w:r>
              <w:rPr>
                <w:rFonts w:ascii="Palatino Linotype" w:hAnsi="Palatino Linotype" w:cs="Arial"/>
                <w:b/>
                <w:lang w:val="es-ES_tradnl"/>
              </w:rPr>
              <w:t>(RÚBRICA)</w:t>
            </w:r>
          </w:p>
        </w:tc>
      </w:tr>
      <w:tr w:rsidR="00757817">
        <w:trPr>
          <w:jc w:val="center"/>
        </w:trPr>
        <w:tc>
          <w:tcPr>
            <w:tcW w:w="5184" w:type="dxa"/>
          </w:tcPr>
          <w:p w:rsidR="00757817" w:rsidRDefault="00757817">
            <w:pPr>
              <w:jc w:val="center"/>
              <w:rPr>
                <w:rFonts w:ascii="Palatino Linotype" w:hAnsi="Palatino Linotype" w:cs="Arial"/>
                <w:b/>
                <w:lang w:val="es-ES_tradnl"/>
              </w:rPr>
            </w:pPr>
          </w:p>
          <w:p w:rsidR="00757817" w:rsidRDefault="00757817">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757817" w:rsidRDefault="00862B85">
            <w:pPr>
              <w:jc w:val="center"/>
              <w:rPr>
                <w:rFonts w:ascii="Palatino Linotype" w:hAnsi="Palatino Linotype" w:cs="Arial"/>
                <w:b/>
                <w:lang w:val="es-ES_tradnl"/>
              </w:rPr>
            </w:pPr>
            <w:r>
              <w:rPr>
                <w:rFonts w:ascii="Palatino Linotype" w:hAnsi="Palatino Linotype" w:cs="Arial"/>
                <w:b/>
                <w:lang w:val="es-ES_tradnl"/>
              </w:rPr>
              <w:t>Eva Abaid Yapur</w:t>
            </w:r>
          </w:p>
          <w:p w:rsidR="00757817" w:rsidRDefault="00862B85">
            <w:pPr>
              <w:jc w:val="center"/>
              <w:rPr>
                <w:rFonts w:ascii="Palatino Linotype" w:hAnsi="Palatino Linotype" w:cs="Arial"/>
                <w:lang w:val="es-ES_tradnl"/>
              </w:rPr>
            </w:pPr>
            <w:r>
              <w:rPr>
                <w:rFonts w:ascii="Palatino Linotype" w:hAnsi="Palatino Linotype" w:cs="Arial"/>
                <w:lang w:val="es-ES_tradnl"/>
              </w:rPr>
              <w:t>Comisionada</w:t>
            </w:r>
          </w:p>
          <w:p w:rsidR="00757817" w:rsidRDefault="00862B85">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757817" w:rsidRDefault="00757817">
            <w:pPr>
              <w:jc w:val="center"/>
              <w:rPr>
                <w:rFonts w:ascii="Palatino Linotype" w:hAnsi="Palatino Linotype" w:cs="Arial"/>
                <w:b/>
                <w:lang w:val="es-ES_tradnl"/>
              </w:rPr>
            </w:pPr>
          </w:p>
          <w:p w:rsidR="00757817" w:rsidRDefault="00757817">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757817" w:rsidRDefault="00862B85">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757817" w:rsidRDefault="00862B85">
            <w:pPr>
              <w:jc w:val="center"/>
              <w:rPr>
                <w:rFonts w:ascii="Palatino Linotype" w:hAnsi="Palatino Linotype" w:cs="Arial"/>
                <w:lang w:val="es-ES_tradnl"/>
              </w:rPr>
            </w:pPr>
            <w:r>
              <w:rPr>
                <w:rFonts w:ascii="Palatino Linotype" w:hAnsi="Palatino Linotype" w:cs="Arial"/>
                <w:lang w:val="es-ES_tradnl"/>
              </w:rPr>
              <w:t>Comisionado</w:t>
            </w:r>
          </w:p>
          <w:p w:rsidR="00757817" w:rsidRDefault="00862B85">
            <w:pPr>
              <w:jc w:val="center"/>
              <w:rPr>
                <w:rFonts w:ascii="Palatino Linotype" w:hAnsi="Palatino Linotype" w:cs="Arial"/>
                <w:b/>
                <w:lang w:val="es-ES_tradnl"/>
              </w:rPr>
            </w:pPr>
            <w:r>
              <w:rPr>
                <w:rFonts w:ascii="Palatino Linotype" w:hAnsi="Palatino Linotype" w:cs="Arial"/>
                <w:b/>
                <w:lang w:val="es-ES_tradnl"/>
              </w:rPr>
              <w:t>(RÚBRICA)</w:t>
            </w:r>
          </w:p>
        </w:tc>
      </w:tr>
      <w:tr w:rsidR="00757817">
        <w:trPr>
          <w:jc w:val="center"/>
        </w:trPr>
        <w:tc>
          <w:tcPr>
            <w:tcW w:w="5184" w:type="dxa"/>
          </w:tcPr>
          <w:p w:rsidR="00757817" w:rsidRDefault="00757817">
            <w:pPr>
              <w:jc w:val="center"/>
              <w:rPr>
                <w:rFonts w:ascii="Palatino Linotype" w:hAnsi="Palatino Linotype" w:cs="Arial"/>
                <w:b/>
                <w:lang w:val="es-ES_tradnl"/>
              </w:rPr>
            </w:pPr>
          </w:p>
          <w:p w:rsidR="00757817" w:rsidRDefault="00757817">
            <w:pPr>
              <w:jc w:val="center"/>
              <w:rPr>
                <w:rFonts w:ascii="Palatino Linotype" w:hAnsi="Palatino Linotype" w:cs="Arial"/>
                <w:b/>
                <w:lang w:val="es-ES_tradnl"/>
              </w:rPr>
            </w:pPr>
          </w:p>
          <w:p w:rsidR="00757817" w:rsidRDefault="00757817">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757817" w:rsidRDefault="00862B85">
            <w:pPr>
              <w:jc w:val="center"/>
              <w:rPr>
                <w:rFonts w:ascii="Palatino Linotype" w:hAnsi="Palatino Linotype" w:cs="Arial"/>
                <w:b/>
                <w:lang w:val="es-ES_tradnl"/>
              </w:rPr>
            </w:pPr>
            <w:r>
              <w:rPr>
                <w:rFonts w:ascii="Palatino Linotype" w:hAnsi="Palatino Linotype" w:cs="Arial"/>
                <w:b/>
                <w:lang w:val="es-ES_tradnl"/>
              </w:rPr>
              <w:t>Javier Martínez Cruz</w:t>
            </w:r>
          </w:p>
          <w:p w:rsidR="00757817" w:rsidRDefault="00862B85">
            <w:pPr>
              <w:jc w:val="center"/>
              <w:rPr>
                <w:rFonts w:ascii="Palatino Linotype" w:hAnsi="Palatino Linotype" w:cs="Arial"/>
                <w:lang w:val="es-ES_tradnl"/>
              </w:rPr>
            </w:pPr>
            <w:r>
              <w:rPr>
                <w:rFonts w:ascii="Palatino Linotype" w:hAnsi="Palatino Linotype" w:cs="Arial"/>
                <w:lang w:val="es-ES_tradnl"/>
              </w:rPr>
              <w:t>Comisionado</w:t>
            </w:r>
          </w:p>
          <w:p w:rsidR="00757817" w:rsidRDefault="00862B85">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757817" w:rsidRDefault="00757817">
            <w:pPr>
              <w:jc w:val="center"/>
              <w:rPr>
                <w:rFonts w:ascii="Palatino Linotype" w:hAnsi="Palatino Linotype" w:cs="Arial"/>
                <w:b/>
                <w:lang w:val="es-ES_tradnl"/>
              </w:rPr>
            </w:pPr>
          </w:p>
          <w:p w:rsidR="00757817" w:rsidRDefault="00757817">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757817" w:rsidRDefault="00757817">
            <w:pPr>
              <w:jc w:val="center"/>
              <w:rPr>
                <w:rFonts w:ascii="Palatino Linotype" w:hAnsi="Palatino Linotype" w:cs="Arial"/>
                <w:b/>
                <w:lang w:val="es-ES_tradnl"/>
              </w:rPr>
            </w:pPr>
          </w:p>
          <w:p w:rsidR="00757817" w:rsidRDefault="00862B85">
            <w:pPr>
              <w:jc w:val="center"/>
              <w:rPr>
                <w:rFonts w:ascii="Palatino Linotype" w:hAnsi="Palatino Linotype" w:cs="Arial"/>
                <w:b/>
                <w:lang w:val="es-ES_tradnl"/>
              </w:rPr>
            </w:pPr>
            <w:r>
              <w:rPr>
                <w:rFonts w:ascii="Palatino Linotype" w:hAnsi="Palatino Linotype" w:cs="Arial"/>
                <w:b/>
                <w:lang w:val="es-ES_tradnl"/>
              </w:rPr>
              <w:t>Luis Gustavo Parra Noriega</w:t>
            </w:r>
          </w:p>
          <w:p w:rsidR="00757817" w:rsidRDefault="00862B85">
            <w:pPr>
              <w:jc w:val="center"/>
              <w:rPr>
                <w:rFonts w:ascii="Palatino Linotype" w:hAnsi="Palatino Linotype" w:cs="Arial"/>
                <w:lang w:val="es-ES_tradnl"/>
              </w:rPr>
            </w:pPr>
            <w:r>
              <w:rPr>
                <w:rFonts w:ascii="Palatino Linotype" w:hAnsi="Palatino Linotype" w:cs="Arial"/>
                <w:lang w:val="es-ES_tradnl"/>
              </w:rPr>
              <w:t>Comisionado</w:t>
            </w:r>
          </w:p>
          <w:p w:rsidR="00757817" w:rsidRDefault="00862B85">
            <w:pPr>
              <w:jc w:val="center"/>
              <w:rPr>
                <w:rFonts w:ascii="Palatino Linotype" w:hAnsi="Palatino Linotype" w:cs="Arial"/>
                <w:b/>
                <w:lang w:val="es-ES_tradnl"/>
              </w:rPr>
            </w:pPr>
            <w:r>
              <w:rPr>
                <w:rFonts w:ascii="Palatino Linotype" w:hAnsi="Palatino Linotype" w:cs="Arial"/>
                <w:b/>
                <w:lang w:val="es-ES_tradnl"/>
              </w:rPr>
              <w:t>(RÚBRICA)</w:t>
            </w:r>
          </w:p>
        </w:tc>
      </w:tr>
      <w:tr w:rsidR="00757817">
        <w:trPr>
          <w:jc w:val="center"/>
        </w:trPr>
        <w:tc>
          <w:tcPr>
            <w:tcW w:w="10367" w:type="dxa"/>
            <w:gridSpan w:val="2"/>
          </w:tcPr>
          <w:p w:rsidR="00757817" w:rsidRDefault="00757817">
            <w:pPr>
              <w:jc w:val="center"/>
              <w:rPr>
                <w:rFonts w:ascii="Palatino Linotype" w:hAnsi="Palatino Linotype" w:cs="Arial"/>
                <w:b/>
                <w:lang w:val="es-ES_tradnl"/>
              </w:rPr>
            </w:pPr>
          </w:p>
          <w:p w:rsidR="00757817" w:rsidRDefault="00757817">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511548" w:rsidRDefault="00511548">
            <w:pPr>
              <w:jc w:val="center"/>
              <w:rPr>
                <w:rFonts w:ascii="Palatino Linotype" w:hAnsi="Palatino Linotype" w:cs="Arial"/>
                <w:b/>
                <w:lang w:val="es-ES_tradnl"/>
              </w:rPr>
            </w:pPr>
          </w:p>
          <w:p w:rsidR="00757817" w:rsidRDefault="00862B85">
            <w:pPr>
              <w:jc w:val="center"/>
              <w:rPr>
                <w:rFonts w:ascii="Palatino Linotype" w:hAnsi="Palatino Linotype" w:cs="Arial"/>
                <w:b/>
                <w:lang w:val="es-ES_tradnl"/>
              </w:rPr>
            </w:pPr>
            <w:r>
              <w:rPr>
                <w:rFonts w:ascii="Palatino Linotype" w:hAnsi="Palatino Linotype" w:cs="Arial"/>
                <w:b/>
                <w:lang w:val="es-ES_tradnl"/>
              </w:rPr>
              <w:t>Alexis Tapia Ramírez</w:t>
            </w:r>
          </w:p>
          <w:p w:rsidR="00757817" w:rsidRDefault="00862B85">
            <w:pPr>
              <w:jc w:val="center"/>
              <w:rPr>
                <w:rFonts w:ascii="Palatino Linotype" w:hAnsi="Palatino Linotype" w:cs="Arial"/>
                <w:lang w:val="es-ES_tradnl"/>
              </w:rPr>
            </w:pPr>
            <w:r>
              <w:rPr>
                <w:rFonts w:ascii="Palatino Linotype" w:hAnsi="Palatino Linotype" w:cs="Arial"/>
                <w:lang w:val="es-ES_tradnl"/>
              </w:rPr>
              <w:t>Secretario Técnico del Pleno</w:t>
            </w:r>
          </w:p>
          <w:p w:rsidR="00757817" w:rsidRDefault="00862B85">
            <w:pPr>
              <w:jc w:val="center"/>
              <w:rPr>
                <w:rFonts w:ascii="Palatino Linotype" w:hAnsi="Palatino Linotype" w:cs="Arial"/>
                <w:lang w:val="es-ES_tradnl"/>
              </w:rPr>
            </w:pPr>
            <w:r>
              <w:rPr>
                <w:rFonts w:ascii="Palatino Linotype" w:hAnsi="Palatino Linotype" w:cs="Arial"/>
                <w:b/>
                <w:lang w:val="es-ES_tradnl"/>
              </w:rPr>
              <w:t>(RÚBRICA)</w:t>
            </w:r>
          </w:p>
        </w:tc>
      </w:tr>
    </w:tbl>
    <w:p w:rsidR="00511548" w:rsidRDefault="00511548">
      <w:pPr>
        <w:ind w:right="49"/>
        <w:jc w:val="both"/>
        <w:rPr>
          <w:rFonts w:ascii="Palatino Linotype" w:hAnsi="Palatino Linotype"/>
          <w:sz w:val="20"/>
          <w:lang w:val="es-ES_tradnl"/>
        </w:rPr>
      </w:pPr>
    </w:p>
    <w:p w:rsidR="00757817" w:rsidRDefault="00862B85">
      <w:pPr>
        <w:ind w:right="49"/>
        <w:jc w:val="both"/>
        <w:rPr>
          <w:rFonts w:ascii="Palatino Linotype" w:hAnsi="Palatino Linotype"/>
          <w:sz w:val="20"/>
          <w:lang w:val="es-ES_tradnl"/>
        </w:rPr>
      </w:pPr>
      <w:r>
        <w:rPr>
          <w:rFonts w:ascii="Palatino Linotype" w:hAnsi="Palatino Linotype"/>
          <w:sz w:val="20"/>
          <w:lang w:val="es-ES_tradnl"/>
        </w:rPr>
        <w:t>Esta hoja corresponde a la resolución del doce de agosto de dos mil veinte, emitida en el recurso de revisión 00887/INFOEM/IP/RR/2020.</w:t>
      </w:r>
    </w:p>
    <w:p w:rsidR="00757817" w:rsidRDefault="00862B85">
      <w:pPr>
        <w:spacing w:line="360" w:lineRule="auto"/>
        <w:ind w:right="49"/>
        <w:jc w:val="both"/>
        <w:rPr>
          <w:rFonts w:ascii="Palatino Linotype" w:hAnsi="Palatino Linotype" w:cs="Arial"/>
        </w:rPr>
      </w:pPr>
      <w:r>
        <w:rPr>
          <w:rFonts w:ascii="Palatino Linotype" w:hAnsi="Palatino Linotype"/>
          <w:sz w:val="20"/>
          <w:szCs w:val="20"/>
          <w:lang w:val="es-ES_tradnl"/>
        </w:rPr>
        <w:t>YSM/LAGO</w:t>
      </w:r>
    </w:p>
    <w:sectPr w:rsidR="00757817">
      <w:headerReference w:type="default" r:id="rId15"/>
      <w:footerReference w:type="default" r:id="rId16"/>
      <w:headerReference w:type="first" r:id="rId17"/>
      <w:footerReference w:type="first" r:id="rId18"/>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B85" w:rsidRDefault="00862B85">
      <w:r>
        <w:separator/>
      </w:r>
    </w:p>
  </w:endnote>
  <w:endnote w:type="continuationSeparator" w:id="0">
    <w:p w:rsidR="00862B85" w:rsidRDefault="00862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17" w:rsidRDefault="00862B85">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95606">
      <w:rPr>
        <w:rFonts w:ascii="Palatino Linotype" w:hAnsi="Palatino Linotype" w:cs="Arial"/>
        <w:bCs/>
        <w:noProof/>
        <w:sz w:val="22"/>
        <w:szCs w:val="22"/>
      </w:rPr>
      <w:t>26</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95606">
      <w:rPr>
        <w:rFonts w:ascii="Palatino Linotype" w:hAnsi="Palatino Linotype" w:cs="Arial"/>
        <w:bCs/>
        <w:noProof/>
        <w:sz w:val="22"/>
        <w:szCs w:val="22"/>
      </w:rPr>
      <w:t>28</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17" w:rsidRDefault="00862B85">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95606">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95606">
      <w:rPr>
        <w:rFonts w:ascii="Palatino Linotype" w:hAnsi="Palatino Linotype" w:cs="Arial"/>
        <w:bCs/>
        <w:noProof/>
        <w:sz w:val="22"/>
        <w:szCs w:val="22"/>
      </w:rPr>
      <w:t>28</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B85" w:rsidRDefault="00862B85">
      <w:r>
        <w:separator/>
      </w:r>
    </w:p>
  </w:footnote>
  <w:footnote w:type="continuationSeparator" w:id="0">
    <w:p w:rsidR="00862B85" w:rsidRDefault="00862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17" w:rsidRDefault="00862B8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30" behindDoc="1" locked="0" layoutInCell="1" allowOverlap="1">
              <wp:simplePos x="0" y="0"/>
              <wp:positionH relativeFrom="column">
                <wp:align>center</wp:align>
              </wp:positionH>
              <wp:positionV relativeFrom="margin">
                <wp:align>center</wp:align>
              </wp:positionV>
              <wp:extent cx="6858635" cy="9144635"/>
              <wp:effectExtent l="0" t="0" r="0" b="0"/>
              <wp:wrapNone/>
              <wp:docPr id="14"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69.1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757817">
      <w:tc>
        <w:tcPr>
          <w:tcW w:w="3260" w:type="dxa"/>
          <w:vMerge w:val="restart"/>
        </w:tcPr>
        <w:p w:rsidR="00757817" w:rsidRDefault="00862B85">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757817" w:rsidRDefault="00862B85">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757817" w:rsidRDefault="00862B85">
          <w:pPr>
            <w:rPr>
              <w:rFonts w:ascii="Palatino Linotype" w:hAnsi="Palatino Linotype"/>
              <w:b/>
              <w:lang w:val="es-ES_tradnl"/>
            </w:rPr>
          </w:pPr>
          <w:r>
            <w:rPr>
              <w:rFonts w:ascii="Palatino Linotype" w:hAnsi="Palatino Linotype"/>
              <w:b/>
              <w:sz w:val="22"/>
              <w:szCs w:val="22"/>
              <w:lang w:val="es-ES_tradnl"/>
            </w:rPr>
            <w:t>00887/INFOEM/IP/RR/2020</w:t>
          </w:r>
        </w:p>
      </w:tc>
    </w:tr>
    <w:tr w:rsidR="00757817">
      <w:tc>
        <w:tcPr>
          <w:tcW w:w="3260" w:type="dxa"/>
          <w:vMerge/>
        </w:tcPr>
        <w:p w:rsidR="00757817" w:rsidRDefault="00757817">
          <w:pPr>
            <w:rPr>
              <w:rFonts w:ascii="Palatino Linotype" w:hAnsi="Palatino Linotype"/>
              <w:b/>
              <w:sz w:val="22"/>
              <w:szCs w:val="22"/>
              <w:lang w:val="es-ES_tradnl"/>
            </w:rPr>
          </w:pPr>
        </w:p>
      </w:tc>
      <w:tc>
        <w:tcPr>
          <w:tcW w:w="2551" w:type="dxa"/>
          <w:shd w:val="clear" w:color="auto" w:fill="auto"/>
        </w:tcPr>
        <w:p w:rsidR="00757817" w:rsidRDefault="00862B85">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757817" w:rsidRDefault="00862B85">
          <w:pPr>
            <w:rPr>
              <w:rFonts w:ascii="Palatino Linotype" w:hAnsi="Palatino Linotype"/>
              <w:b/>
              <w:lang w:val="es-ES_tradnl"/>
            </w:rPr>
          </w:pPr>
          <w:r>
            <w:rPr>
              <w:rFonts w:ascii="Palatino Linotype" w:hAnsi="Palatino Linotype"/>
              <w:b/>
              <w:sz w:val="22"/>
              <w:szCs w:val="22"/>
              <w:lang w:val="es-ES_tradnl"/>
            </w:rPr>
            <w:t>Ayuntamiento de Naucalpan de Juárez</w:t>
          </w:r>
        </w:p>
      </w:tc>
    </w:tr>
    <w:tr w:rsidR="00757817">
      <w:trPr>
        <w:trHeight w:val="228"/>
      </w:trPr>
      <w:tc>
        <w:tcPr>
          <w:tcW w:w="3260" w:type="dxa"/>
          <w:vMerge/>
        </w:tcPr>
        <w:p w:rsidR="00757817" w:rsidRDefault="00757817">
          <w:pPr>
            <w:rPr>
              <w:rFonts w:ascii="Palatino Linotype" w:hAnsi="Palatino Linotype"/>
              <w:b/>
              <w:sz w:val="22"/>
              <w:szCs w:val="22"/>
              <w:lang w:val="es-ES_tradnl"/>
            </w:rPr>
          </w:pPr>
        </w:p>
      </w:tc>
      <w:tc>
        <w:tcPr>
          <w:tcW w:w="2551" w:type="dxa"/>
          <w:shd w:val="clear" w:color="auto" w:fill="auto"/>
        </w:tcPr>
        <w:p w:rsidR="00757817" w:rsidRDefault="00862B85">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757817" w:rsidRDefault="00862B8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757817" w:rsidRDefault="00757817">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17" w:rsidRDefault="00862B85">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6"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73.4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757817">
      <w:tc>
        <w:tcPr>
          <w:tcW w:w="4252" w:type="dxa"/>
          <w:vMerge w:val="restart"/>
          <w:shd w:val="clear" w:color="auto" w:fill="auto"/>
        </w:tcPr>
        <w:p w:rsidR="00757817" w:rsidRDefault="00862B85">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757817" w:rsidRDefault="00862B85">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757817" w:rsidRDefault="00862B85">
          <w:pPr>
            <w:rPr>
              <w:rFonts w:ascii="Palatino Linotype" w:hAnsi="Palatino Linotype"/>
              <w:b/>
              <w:lang w:val="es-ES_tradnl"/>
            </w:rPr>
          </w:pPr>
          <w:r>
            <w:rPr>
              <w:rFonts w:ascii="Palatino Linotype" w:hAnsi="Palatino Linotype"/>
              <w:b/>
              <w:sz w:val="22"/>
              <w:szCs w:val="22"/>
              <w:lang w:val="es-ES_tradnl"/>
            </w:rPr>
            <w:t xml:space="preserve">00887/INFOEM/IP/RR/2020 </w:t>
          </w:r>
        </w:p>
      </w:tc>
    </w:tr>
    <w:tr w:rsidR="00757817">
      <w:tc>
        <w:tcPr>
          <w:tcW w:w="4252" w:type="dxa"/>
          <w:vMerge/>
          <w:shd w:val="clear" w:color="auto" w:fill="auto"/>
        </w:tcPr>
        <w:p w:rsidR="00757817" w:rsidRDefault="00757817">
          <w:pPr>
            <w:rPr>
              <w:rFonts w:ascii="Palatino Linotype" w:hAnsi="Palatino Linotype"/>
              <w:b/>
              <w:sz w:val="22"/>
              <w:szCs w:val="22"/>
              <w:lang w:val="es-ES_tradnl"/>
            </w:rPr>
          </w:pPr>
        </w:p>
      </w:tc>
      <w:tc>
        <w:tcPr>
          <w:tcW w:w="2552" w:type="dxa"/>
          <w:shd w:val="clear" w:color="auto" w:fill="auto"/>
        </w:tcPr>
        <w:p w:rsidR="00757817" w:rsidRDefault="00862B85">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757817" w:rsidRDefault="00895606" w:rsidP="00895606">
          <w:pPr>
            <w:rPr>
              <w:rFonts w:ascii="Palatino Linotype" w:hAnsi="Palatino Linotype"/>
              <w:b/>
              <w:lang w:val="es-ES_tradnl"/>
            </w:rPr>
          </w:pPr>
          <w:r>
            <w:rPr>
              <w:rFonts w:ascii="Palatino Linotype" w:hAnsi="Palatino Linotype"/>
              <w:b/>
              <w:sz w:val="22"/>
              <w:szCs w:val="22"/>
              <w:lang w:val="es-ES_tradnl"/>
            </w:rPr>
            <w:t>Xxxx</w:t>
          </w:r>
          <w:r w:rsidR="00862B85">
            <w:rPr>
              <w:rFonts w:ascii="Palatino Linotype" w:hAnsi="Palatino Linotype"/>
              <w:b/>
              <w:sz w:val="22"/>
              <w:szCs w:val="22"/>
              <w:lang w:val="es-ES_tradnl"/>
            </w:rPr>
            <w:t xml:space="preserve"> </w:t>
          </w:r>
          <w:r>
            <w:rPr>
              <w:rFonts w:ascii="Palatino Linotype" w:hAnsi="Palatino Linotype"/>
              <w:b/>
              <w:sz w:val="22"/>
              <w:szCs w:val="22"/>
              <w:lang w:val="es-ES_tradnl"/>
            </w:rPr>
            <w:t>X</w:t>
          </w:r>
          <w:r w:rsidR="00862B85">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862B85">
            <w:rPr>
              <w:rFonts w:ascii="Palatino Linotype" w:hAnsi="Palatino Linotype"/>
              <w:b/>
              <w:sz w:val="22"/>
              <w:szCs w:val="22"/>
              <w:lang w:val="es-ES_tradnl"/>
            </w:rPr>
            <w:t xml:space="preserve"> </w:t>
          </w:r>
          <w:r>
            <w:rPr>
              <w:rFonts w:ascii="Palatino Linotype" w:hAnsi="Palatino Linotype"/>
              <w:b/>
              <w:sz w:val="22"/>
              <w:szCs w:val="22"/>
              <w:lang w:val="es-ES_tradnl"/>
            </w:rPr>
            <w:t>Xxxxxxxxxx</w:t>
          </w:r>
        </w:p>
      </w:tc>
    </w:tr>
    <w:tr w:rsidR="00757817">
      <w:trPr>
        <w:trHeight w:val="228"/>
      </w:trPr>
      <w:tc>
        <w:tcPr>
          <w:tcW w:w="4252" w:type="dxa"/>
          <w:vMerge/>
          <w:shd w:val="clear" w:color="auto" w:fill="auto"/>
        </w:tcPr>
        <w:p w:rsidR="00757817" w:rsidRDefault="00757817">
          <w:pPr>
            <w:rPr>
              <w:rFonts w:ascii="Palatino Linotype" w:hAnsi="Palatino Linotype"/>
              <w:b/>
              <w:sz w:val="22"/>
              <w:szCs w:val="22"/>
              <w:lang w:val="es-ES_tradnl"/>
            </w:rPr>
          </w:pPr>
        </w:p>
      </w:tc>
      <w:tc>
        <w:tcPr>
          <w:tcW w:w="2552" w:type="dxa"/>
          <w:shd w:val="clear" w:color="auto" w:fill="auto"/>
        </w:tcPr>
        <w:p w:rsidR="00757817" w:rsidRDefault="00862B85">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757817" w:rsidRDefault="00862B85">
          <w:pPr>
            <w:jc w:val="both"/>
            <w:rPr>
              <w:rFonts w:ascii="Palatino Linotype" w:hAnsi="Palatino Linotype"/>
              <w:b/>
              <w:lang w:val="es-ES_tradnl"/>
            </w:rPr>
          </w:pPr>
          <w:r>
            <w:rPr>
              <w:rFonts w:ascii="Palatino Linotype" w:hAnsi="Palatino Linotype"/>
              <w:b/>
              <w:sz w:val="22"/>
              <w:szCs w:val="22"/>
              <w:lang w:val="es-ES_tradnl"/>
            </w:rPr>
            <w:t>Ayuntamiento de Naucalpan de Juárez</w:t>
          </w:r>
        </w:p>
      </w:tc>
    </w:tr>
    <w:tr w:rsidR="00757817">
      <w:tc>
        <w:tcPr>
          <w:tcW w:w="4252" w:type="dxa"/>
          <w:vMerge/>
          <w:shd w:val="clear" w:color="auto" w:fill="auto"/>
        </w:tcPr>
        <w:p w:rsidR="00757817" w:rsidRDefault="00757817">
          <w:pPr>
            <w:rPr>
              <w:rFonts w:ascii="Palatino Linotype" w:hAnsi="Palatino Linotype"/>
              <w:b/>
              <w:sz w:val="22"/>
              <w:szCs w:val="22"/>
              <w:lang w:val="es-ES_tradnl"/>
            </w:rPr>
          </w:pPr>
        </w:p>
      </w:tc>
      <w:tc>
        <w:tcPr>
          <w:tcW w:w="2552" w:type="dxa"/>
          <w:shd w:val="clear" w:color="auto" w:fill="auto"/>
        </w:tcPr>
        <w:p w:rsidR="00757817" w:rsidRDefault="00862B85">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757817" w:rsidRDefault="00862B8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757817" w:rsidRDefault="00757817">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817"/>
    <w:rsid w:val="00511548"/>
    <w:rsid w:val="00757817"/>
    <w:rsid w:val="00862B85"/>
    <w:rsid w:val="00895606"/>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FE2D2"/>
  <w15:docId w15:val="{F88BA48B-1D18-4919-8C9D-FF956FDF5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1.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02711-C119-4273-85FA-0726044DA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5288</Words>
  <Characters>29084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 alberto guadarrama olivares</cp:lastModifiedBy>
  <cp:revision>2</cp:revision>
  <cp:lastPrinted>2020-01-22T19:55:00Z</cp:lastPrinted>
  <dcterms:created xsi:type="dcterms:W3CDTF">2020-08-27T05:35:00Z</dcterms:created>
  <dcterms:modified xsi:type="dcterms:W3CDTF">2020-08-27T05:35:00Z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