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06BC7" w:rsidRPr="00C5057E" w:rsidRDefault="00B06BC7" w:rsidP="00B06BC7">
      <w:pPr>
        <w:spacing w:before="100" w:beforeAutospacing="1" w:after="100" w:afterAutospacing="1" w:line="360" w:lineRule="auto"/>
        <w:contextualSpacing/>
        <w:jc w:val="both"/>
        <w:rPr>
          <w:rFonts w:ascii="Palatino Linotype" w:hAnsi="Palatino Linotype"/>
        </w:rPr>
      </w:pPr>
      <w:bookmarkStart w:id="0" w:name="_GoBack"/>
      <w:bookmarkEnd w:id="0"/>
      <w:r w:rsidRPr="00C5057E">
        <w:rPr>
          <w:rFonts w:ascii="Palatino Linotype" w:hAnsi="Palatino Linotype"/>
        </w:rPr>
        <w:t>Resolución del Pleno del Instituto de Transparencia, Acceso a la Información Pública y Protección de Datos Personales del Estado de México y Municipios, con domicilio en Mete</w:t>
      </w:r>
      <w:r>
        <w:rPr>
          <w:rFonts w:ascii="Palatino Linotype" w:hAnsi="Palatino Linotype"/>
        </w:rPr>
        <w:t xml:space="preserve">pec, Estado de México, de fecha nueve de septiembre </w:t>
      </w:r>
      <w:r w:rsidRPr="00C5057E">
        <w:rPr>
          <w:rFonts w:ascii="Palatino Linotype" w:hAnsi="Palatino Linotype"/>
        </w:rPr>
        <w:t>de dos mil veinte.</w:t>
      </w:r>
    </w:p>
    <w:p w:rsidR="00B06BC7" w:rsidRPr="00C5057E" w:rsidRDefault="00B06BC7" w:rsidP="00B06BC7">
      <w:pPr>
        <w:spacing w:before="100" w:beforeAutospacing="1" w:after="100" w:afterAutospacing="1" w:line="360" w:lineRule="auto"/>
        <w:contextualSpacing/>
        <w:jc w:val="both"/>
        <w:rPr>
          <w:rFonts w:ascii="Palatino Linotype" w:hAnsi="Palatino Linotype"/>
        </w:rPr>
      </w:pPr>
    </w:p>
    <w:p w:rsidR="00B06BC7" w:rsidRPr="00C5057E" w:rsidRDefault="00B06BC7" w:rsidP="00B06BC7">
      <w:pPr>
        <w:spacing w:before="100" w:beforeAutospacing="1" w:after="100" w:afterAutospacing="1" w:line="360" w:lineRule="auto"/>
        <w:contextualSpacing/>
        <w:jc w:val="both"/>
        <w:rPr>
          <w:rFonts w:ascii="Palatino Linotype" w:hAnsi="Palatino Linotype"/>
          <w:b/>
        </w:rPr>
      </w:pPr>
      <w:r w:rsidRPr="00C5057E">
        <w:rPr>
          <w:rFonts w:ascii="Palatino Linotype" w:hAnsi="Palatino Linotype"/>
          <w:b/>
        </w:rPr>
        <w:t>VISTO</w:t>
      </w:r>
      <w:r w:rsidRPr="00C5057E">
        <w:rPr>
          <w:rFonts w:ascii="Palatino Linotype" w:hAnsi="Palatino Linotype"/>
        </w:rPr>
        <w:t xml:space="preserve"> el expediente formado con motivo de</w:t>
      </w:r>
      <w:r>
        <w:rPr>
          <w:rFonts w:ascii="Palatino Linotype" w:hAnsi="Palatino Linotype"/>
        </w:rPr>
        <w:t xml:space="preserve">l recurso </w:t>
      </w:r>
      <w:r w:rsidRPr="00C5057E">
        <w:rPr>
          <w:rFonts w:ascii="Palatino Linotype" w:hAnsi="Palatino Linotype"/>
        </w:rPr>
        <w:t xml:space="preserve">de revisión </w:t>
      </w:r>
      <w:r>
        <w:rPr>
          <w:rFonts w:ascii="Palatino Linotype" w:hAnsi="Palatino Linotype"/>
          <w:b/>
        </w:rPr>
        <w:t>02372</w:t>
      </w:r>
      <w:r w:rsidRPr="003A3143">
        <w:rPr>
          <w:rFonts w:ascii="Palatino Linotype" w:hAnsi="Palatino Linotype"/>
          <w:b/>
        </w:rPr>
        <w:t>/INFOEM/IP/RR/2020</w:t>
      </w:r>
      <w:r w:rsidRPr="00C5057E">
        <w:rPr>
          <w:rFonts w:ascii="Palatino Linotype" w:hAnsi="Palatino Linotype"/>
          <w:spacing w:val="-20"/>
        </w:rPr>
        <w:t xml:space="preserve">, </w:t>
      </w:r>
      <w:r w:rsidRPr="00C5057E">
        <w:rPr>
          <w:rFonts w:ascii="Palatino Linotype" w:hAnsi="Palatino Linotype"/>
        </w:rPr>
        <w:t xml:space="preserve">promovido </w:t>
      </w:r>
      <w:r>
        <w:rPr>
          <w:rFonts w:ascii="Palatino Linotype" w:hAnsi="Palatino Linotype"/>
        </w:rPr>
        <w:t xml:space="preserve">de manera anónima por un particular quien en lo </w:t>
      </w:r>
      <w:r w:rsidRPr="00C5057E">
        <w:rPr>
          <w:rFonts w:ascii="Palatino Linotype" w:hAnsi="Palatino Linotype" w:cs="Arial"/>
        </w:rPr>
        <w:t>sucesivo</w:t>
      </w:r>
      <w:r>
        <w:rPr>
          <w:rFonts w:ascii="Palatino Linotype" w:hAnsi="Palatino Linotype" w:cs="Arial"/>
        </w:rPr>
        <w:t xml:space="preserve"> será </w:t>
      </w:r>
      <w:r>
        <w:rPr>
          <w:rFonts w:ascii="Palatino Linotype" w:hAnsi="Palatino Linotype" w:cs="Arial"/>
          <w:b/>
        </w:rPr>
        <w:t>EL</w:t>
      </w:r>
      <w:r w:rsidRPr="00C5057E">
        <w:rPr>
          <w:rFonts w:ascii="Palatino Linotype" w:hAnsi="Palatino Linotype" w:cs="Arial"/>
          <w:b/>
        </w:rPr>
        <w:t xml:space="preserve"> RECURRENTE,</w:t>
      </w:r>
      <w:r w:rsidRPr="00C5057E">
        <w:rPr>
          <w:rFonts w:ascii="Palatino Linotype" w:hAnsi="Palatino Linotype"/>
        </w:rPr>
        <w:t xml:space="preserve"> en contra de la respuesta emitida por el </w:t>
      </w:r>
      <w:r w:rsidRPr="00C5057E">
        <w:rPr>
          <w:rFonts w:ascii="Palatino Linotype" w:hAnsi="Palatino Linotype"/>
          <w:b/>
        </w:rPr>
        <w:t>Ayuntamiento de</w:t>
      </w:r>
      <w:r>
        <w:rPr>
          <w:rFonts w:ascii="Palatino Linotype" w:hAnsi="Palatino Linotype"/>
          <w:b/>
        </w:rPr>
        <w:t xml:space="preserve"> Cuautitlán</w:t>
      </w:r>
      <w:r w:rsidRPr="00C5057E">
        <w:rPr>
          <w:rFonts w:ascii="Palatino Linotype" w:hAnsi="Palatino Linotype"/>
          <w:b/>
        </w:rPr>
        <w:t xml:space="preserve">, </w:t>
      </w:r>
      <w:r w:rsidRPr="00C5057E">
        <w:rPr>
          <w:rFonts w:ascii="Palatino Linotype" w:hAnsi="Palatino Linotype"/>
        </w:rPr>
        <w:t xml:space="preserve">en lo sucesivo </w:t>
      </w:r>
      <w:r w:rsidRPr="00C5057E">
        <w:rPr>
          <w:rFonts w:ascii="Palatino Linotype" w:hAnsi="Palatino Linotype"/>
          <w:b/>
        </w:rPr>
        <w:t>EL SUJETO OBLIGADO</w:t>
      </w:r>
      <w:r w:rsidRPr="00C5057E">
        <w:rPr>
          <w:rFonts w:ascii="Palatino Linotype" w:hAnsi="Palatino Linotype"/>
        </w:rPr>
        <w:t xml:space="preserve">, se procede a dictar la presente resolución con base en lo siguiente: </w:t>
      </w:r>
    </w:p>
    <w:p w:rsidR="00B06BC7" w:rsidRPr="00C5057E" w:rsidRDefault="00B06BC7" w:rsidP="00B06BC7">
      <w:pPr>
        <w:spacing w:before="100" w:beforeAutospacing="1" w:after="100" w:afterAutospacing="1"/>
        <w:contextualSpacing/>
        <w:jc w:val="center"/>
        <w:rPr>
          <w:rFonts w:ascii="Palatino Linotype" w:hAnsi="Palatino Linotype"/>
        </w:rPr>
      </w:pPr>
    </w:p>
    <w:p w:rsidR="00B06BC7" w:rsidRPr="00C5057E" w:rsidRDefault="00B06BC7" w:rsidP="00B06BC7">
      <w:pPr>
        <w:spacing w:before="100" w:beforeAutospacing="1" w:after="100" w:afterAutospacing="1"/>
        <w:contextualSpacing/>
        <w:jc w:val="center"/>
        <w:rPr>
          <w:rFonts w:ascii="Palatino Linotype" w:hAnsi="Palatino Linotype"/>
          <w:b/>
          <w:bCs/>
          <w:spacing w:val="40"/>
          <w:sz w:val="28"/>
        </w:rPr>
      </w:pPr>
      <w:r w:rsidRPr="00C5057E">
        <w:rPr>
          <w:rFonts w:ascii="Palatino Linotype" w:hAnsi="Palatino Linotype"/>
          <w:b/>
          <w:bCs/>
          <w:spacing w:val="40"/>
          <w:sz w:val="28"/>
        </w:rPr>
        <w:t>RESULTANDO</w:t>
      </w:r>
    </w:p>
    <w:p w:rsidR="00B06BC7" w:rsidRPr="00C5057E" w:rsidRDefault="00B06BC7" w:rsidP="00B06BC7">
      <w:pPr>
        <w:spacing w:before="100" w:beforeAutospacing="1" w:after="100" w:afterAutospacing="1"/>
        <w:contextualSpacing/>
        <w:jc w:val="center"/>
        <w:rPr>
          <w:rFonts w:ascii="Palatino Linotype" w:hAnsi="Palatino Linotype"/>
          <w:b/>
          <w:bCs/>
          <w:spacing w:val="40"/>
        </w:rPr>
      </w:pPr>
    </w:p>
    <w:p w:rsidR="00B06BC7" w:rsidRPr="00C5057E" w:rsidRDefault="00B06BC7" w:rsidP="00B06BC7">
      <w:pPr>
        <w:spacing w:before="100" w:beforeAutospacing="1" w:after="100" w:afterAutospacing="1" w:line="360" w:lineRule="auto"/>
        <w:contextualSpacing/>
        <w:jc w:val="both"/>
        <w:rPr>
          <w:rFonts w:ascii="Palatino Linotype" w:hAnsi="Palatino Linotype" w:cs="Arial"/>
          <w:b/>
          <w:bCs/>
          <w:lang w:val="es-ES"/>
        </w:rPr>
      </w:pPr>
      <w:r w:rsidRPr="00C5057E">
        <w:rPr>
          <w:rFonts w:ascii="Palatino Linotype" w:hAnsi="Palatino Linotype"/>
          <w:b/>
          <w:sz w:val="28"/>
          <w:szCs w:val="28"/>
        </w:rPr>
        <w:t xml:space="preserve">I. </w:t>
      </w:r>
      <w:r w:rsidRPr="00C5057E">
        <w:rPr>
          <w:rFonts w:ascii="Palatino Linotype" w:hAnsi="Palatino Linotype" w:cs="Arial"/>
        </w:rPr>
        <w:t xml:space="preserve">En </w:t>
      </w:r>
      <w:r w:rsidRPr="00C5057E">
        <w:rPr>
          <w:rFonts w:ascii="Palatino Linotype" w:hAnsi="Palatino Linotype" w:cs="Arial"/>
          <w:lang w:val="es-ES"/>
        </w:rPr>
        <w:t>fecha</w:t>
      </w:r>
      <w:r w:rsidRPr="00C5057E">
        <w:rPr>
          <w:rFonts w:ascii="Palatino Linotype" w:hAnsi="Palatino Linotype"/>
          <w:lang w:val="es-ES"/>
        </w:rPr>
        <w:t xml:space="preserve"> </w:t>
      </w:r>
      <w:r>
        <w:rPr>
          <w:rFonts w:ascii="Palatino Linotype" w:hAnsi="Palatino Linotype"/>
          <w:lang w:val="es-ES"/>
        </w:rPr>
        <w:t xml:space="preserve">quince de abril de </w:t>
      </w:r>
      <w:r w:rsidRPr="00C5057E">
        <w:rPr>
          <w:rFonts w:ascii="Palatino Linotype" w:hAnsi="Palatino Linotype" w:cs="Arial"/>
          <w:lang w:val="es-ES"/>
        </w:rPr>
        <w:t>dos mil veinte</w:t>
      </w:r>
      <w:r w:rsidRPr="00C5057E">
        <w:rPr>
          <w:rFonts w:ascii="Palatino Linotype" w:hAnsi="Palatino Linotype"/>
          <w:lang w:val="es-ES"/>
        </w:rPr>
        <w:t xml:space="preserve">, </w:t>
      </w:r>
      <w:r>
        <w:rPr>
          <w:rFonts w:ascii="Palatino Linotype" w:hAnsi="Palatino Linotype"/>
          <w:b/>
          <w:lang w:val="es-ES"/>
        </w:rPr>
        <w:t>EL</w:t>
      </w:r>
      <w:r w:rsidRPr="00C5057E">
        <w:rPr>
          <w:rFonts w:ascii="Palatino Linotype" w:hAnsi="Palatino Linotype"/>
          <w:b/>
          <w:lang w:val="es-ES"/>
        </w:rPr>
        <w:t xml:space="preserve"> RECURRENTE</w:t>
      </w:r>
      <w:r w:rsidRPr="00C5057E">
        <w:rPr>
          <w:rFonts w:ascii="Palatino Linotype" w:hAnsi="Palatino Linotype" w:cs="Arial"/>
          <w:lang w:val="es-ES"/>
        </w:rPr>
        <w:t xml:space="preserve"> </w:t>
      </w:r>
      <w:r w:rsidRPr="00C5057E">
        <w:rPr>
          <w:rFonts w:ascii="Palatino Linotype" w:hAnsi="Palatino Linotype" w:cs="Arial"/>
        </w:rPr>
        <w:t xml:space="preserve">presentó a través del Sistema de Acceso a la Información Mexiquense, en lo subsecuente </w:t>
      </w:r>
      <w:r w:rsidRPr="00C5057E">
        <w:rPr>
          <w:rFonts w:ascii="Palatino Linotype" w:hAnsi="Palatino Linotype" w:cs="Arial"/>
          <w:b/>
        </w:rPr>
        <w:t>EL SAIMEX</w:t>
      </w:r>
      <w:r w:rsidRPr="00C5057E">
        <w:rPr>
          <w:rFonts w:ascii="Palatino Linotype" w:hAnsi="Palatino Linotype" w:cs="Arial"/>
        </w:rPr>
        <w:t xml:space="preserve"> ante </w:t>
      </w:r>
      <w:r w:rsidRPr="00C5057E">
        <w:rPr>
          <w:rFonts w:ascii="Palatino Linotype" w:hAnsi="Palatino Linotype" w:cs="Arial"/>
          <w:b/>
        </w:rPr>
        <w:t>EL SUJETO OBLIGADO</w:t>
      </w:r>
      <w:r w:rsidRPr="00C5057E">
        <w:rPr>
          <w:rFonts w:ascii="Palatino Linotype" w:hAnsi="Palatino Linotype" w:cs="Arial"/>
          <w:lang w:val="es-ES"/>
        </w:rPr>
        <w:t xml:space="preserve">, la solicitud de acceso a la información pública, a la que se le asignó </w:t>
      </w:r>
      <w:r>
        <w:rPr>
          <w:rFonts w:ascii="Palatino Linotype" w:hAnsi="Palatino Linotype" w:cs="Arial"/>
          <w:lang w:val="es-ES"/>
        </w:rPr>
        <w:t>el número de</w:t>
      </w:r>
      <w:r w:rsidRPr="00C5057E">
        <w:rPr>
          <w:rFonts w:ascii="Palatino Linotype" w:hAnsi="Palatino Linotype" w:cs="Arial"/>
          <w:lang w:val="es-ES"/>
        </w:rPr>
        <w:t xml:space="preserve"> expediente</w:t>
      </w:r>
      <w:r>
        <w:rPr>
          <w:rFonts w:ascii="Palatino Linotype" w:hAnsi="Palatino Linotype" w:cs="Arial"/>
          <w:lang w:val="es-ES"/>
        </w:rPr>
        <w:t xml:space="preserve"> </w:t>
      </w:r>
      <w:r w:rsidRPr="00B06BC7">
        <w:rPr>
          <w:rFonts w:ascii="Palatino Linotype" w:hAnsi="Palatino Linotype" w:cs="Arial"/>
          <w:b/>
        </w:rPr>
        <w:t>00174/CUAUTIT/IP/2020</w:t>
      </w:r>
      <w:r w:rsidRPr="00C5057E">
        <w:rPr>
          <w:rFonts w:ascii="Palatino Linotype" w:hAnsi="Palatino Linotype" w:cs="Arial"/>
          <w:b/>
        </w:rPr>
        <w:t xml:space="preserve">, </w:t>
      </w:r>
      <w:r w:rsidRPr="00C5057E">
        <w:rPr>
          <w:rFonts w:ascii="Palatino Linotype" w:hAnsi="Palatino Linotype" w:cs="Arial"/>
          <w:lang w:val="es-ES"/>
        </w:rPr>
        <w:t>mediante la cual solicitó:</w:t>
      </w:r>
    </w:p>
    <w:p w:rsidR="00B06BC7" w:rsidRPr="00C5057E" w:rsidRDefault="00B06BC7" w:rsidP="00B06BC7">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C5057E">
        <w:rPr>
          <w:rFonts w:ascii="Palatino Linotype" w:hAnsi="Palatino Linotype" w:cs="Arial"/>
          <w:i/>
          <w:sz w:val="22"/>
          <w:szCs w:val="22"/>
        </w:rPr>
        <w:t>“</w:t>
      </w:r>
      <w:r w:rsidRPr="00B06BC7">
        <w:rPr>
          <w:rFonts w:ascii="Palatino Linotype" w:hAnsi="Palatino Linotype" w:cs="Arial"/>
          <w:i/>
          <w:sz w:val="22"/>
          <w:szCs w:val="22"/>
        </w:rPr>
        <w:t>Por medio del presente, solicito de manera respetuosa, me sea proporcionado: 1. Tabla de tabulacion bajo la cual se estipulan los salarios y/u honorarios de todo funcionario del H. Ayuntamiento. 2. De la Dirección de Administración, Transparencia, Cultura, Mujer, Presidencia, Secretaria del Ayuntamiento, Desarrollo Economico, Desarrollo Urbano, Monto total de nomina, salario y/o asimilados del mes de marzo y abril, desglosado por área, subárea, indicando puesto y nombres. Favor de anexar prueba documental en versión pública.</w:t>
      </w:r>
      <w:r w:rsidRPr="003A3143">
        <w:rPr>
          <w:rFonts w:ascii="Palatino Linotype" w:hAnsi="Palatino Linotype" w:cs="Arial"/>
          <w:i/>
          <w:sz w:val="22"/>
          <w:szCs w:val="22"/>
        </w:rPr>
        <w:t>”</w:t>
      </w:r>
      <w:r w:rsidRPr="00C5057E">
        <w:rPr>
          <w:rFonts w:ascii="Palatino Linotype" w:hAnsi="Palatino Linotype" w:cs="Arial"/>
          <w:i/>
          <w:sz w:val="22"/>
          <w:szCs w:val="22"/>
        </w:rPr>
        <w:t xml:space="preserve"> (Sic)</w:t>
      </w:r>
    </w:p>
    <w:p w:rsidR="00B06BC7" w:rsidRPr="00C5057E" w:rsidRDefault="00B06BC7" w:rsidP="00B06BC7">
      <w:pPr>
        <w:tabs>
          <w:tab w:val="left" w:pos="851"/>
        </w:tabs>
        <w:spacing w:before="100" w:beforeAutospacing="1" w:after="100" w:afterAutospacing="1"/>
        <w:ind w:left="851" w:right="901"/>
        <w:contextualSpacing/>
        <w:jc w:val="both"/>
        <w:rPr>
          <w:rFonts w:ascii="Palatino Linotype" w:hAnsi="Palatino Linotype" w:cs="Arial"/>
          <w:i/>
          <w:sz w:val="22"/>
          <w:szCs w:val="22"/>
        </w:rPr>
      </w:pPr>
    </w:p>
    <w:p w:rsidR="00B06BC7" w:rsidRPr="00C5057E" w:rsidRDefault="00B06BC7" w:rsidP="00B06BC7">
      <w:pPr>
        <w:spacing w:before="100" w:beforeAutospacing="1" w:after="100" w:afterAutospacing="1" w:line="360" w:lineRule="auto"/>
        <w:contextualSpacing/>
        <w:jc w:val="both"/>
        <w:rPr>
          <w:rFonts w:ascii="Palatino Linotype" w:hAnsi="Palatino Linotype" w:cs="Arial"/>
          <w:b/>
        </w:rPr>
      </w:pPr>
      <w:r w:rsidRPr="00C5057E">
        <w:rPr>
          <w:rFonts w:ascii="Palatino Linotype" w:hAnsi="Palatino Linotype" w:cs="Arial"/>
          <w:b/>
        </w:rPr>
        <w:t>MODALIDAD DE ENTREGA:</w:t>
      </w:r>
      <w:r w:rsidRPr="00C5057E">
        <w:rPr>
          <w:rFonts w:ascii="Palatino Linotype" w:hAnsi="Palatino Linotype" w:cs="Arial"/>
        </w:rPr>
        <w:t xml:space="preserve"> Vía </w:t>
      </w:r>
      <w:r w:rsidRPr="00C5057E">
        <w:rPr>
          <w:rFonts w:ascii="Palatino Linotype" w:hAnsi="Palatino Linotype" w:cs="Arial"/>
          <w:b/>
        </w:rPr>
        <w:t>SAIMEX.</w:t>
      </w:r>
    </w:p>
    <w:p w:rsidR="00B06BC7" w:rsidRPr="00D60CC8" w:rsidRDefault="00B06BC7" w:rsidP="00B06BC7">
      <w:pPr>
        <w:spacing w:before="100" w:beforeAutospacing="1" w:after="100" w:afterAutospacing="1" w:line="360" w:lineRule="auto"/>
        <w:contextualSpacing/>
        <w:jc w:val="both"/>
        <w:rPr>
          <w:rFonts w:ascii="Palatino Linotype" w:hAnsi="Palatino Linotype"/>
        </w:rPr>
      </w:pPr>
      <w:r w:rsidRPr="00C5057E">
        <w:rPr>
          <w:rFonts w:ascii="Palatino Linotype" w:hAnsi="Palatino Linotype"/>
          <w:b/>
          <w:sz w:val="28"/>
          <w:szCs w:val="28"/>
        </w:rPr>
        <w:t xml:space="preserve">II. </w:t>
      </w:r>
      <w:r w:rsidRPr="00C5057E">
        <w:rPr>
          <w:rFonts w:ascii="Palatino Linotype" w:hAnsi="Palatino Linotype"/>
        </w:rPr>
        <w:t xml:space="preserve">De las constancias que obran en </w:t>
      </w:r>
      <w:r w:rsidRPr="00C5057E">
        <w:rPr>
          <w:rFonts w:ascii="Palatino Linotype" w:hAnsi="Palatino Linotype"/>
          <w:b/>
        </w:rPr>
        <w:t>EL SAIMEX,</w:t>
      </w:r>
      <w:r w:rsidRPr="00C5057E">
        <w:rPr>
          <w:rFonts w:ascii="Palatino Linotype" w:hAnsi="Palatino Linotype"/>
        </w:rPr>
        <w:t xml:space="preserve"> se advierte que </w:t>
      </w:r>
      <w:r>
        <w:rPr>
          <w:rFonts w:ascii="Palatino Linotype" w:hAnsi="Palatino Linotype"/>
        </w:rPr>
        <w:t xml:space="preserve">el cuatro de agosto de dos mil veinte, </w:t>
      </w:r>
      <w:r>
        <w:rPr>
          <w:rFonts w:ascii="Palatino Linotype" w:hAnsi="Palatino Linotype" w:cs="Arial"/>
          <w:lang w:val="es-ES_tradnl"/>
        </w:rPr>
        <w:t>el</w:t>
      </w:r>
      <w:r w:rsidRPr="00C5057E">
        <w:rPr>
          <w:rFonts w:ascii="Palatino Linotype" w:hAnsi="Palatino Linotype" w:cs="Arial"/>
          <w:lang w:val="es-ES_tradnl"/>
        </w:rPr>
        <w:t xml:space="preserve"> Responsable de la Unidad de Transparencia del</w:t>
      </w:r>
      <w:r w:rsidRPr="00C5057E">
        <w:rPr>
          <w:rFonts w:ascii="Palatino Linotype" w:hAnsi="Palatino Linotype" w:cs="Arial"/>
          <w:b/>
          <w:lang w:val="es-ES_tradnl"/>
        </w:rPr>
        <w:t xml:space="preserve"> SUJETO OBLIGADO</w:t>
      </w:r>
      <w:r>
        <w:rPr>
          <w:rFonts w:ascii="Palatino Linotype" w:hAnsi="Palatino Linotype" w:cs="Arial"/>
          <w:lang w:val="es-ES_tradnl"/>
        </w:rPr>
        <w:t xml:space="preserve"> dio respuesta</w:t>
      </w:r>
      <w:r w:rsidRPr="00C5057E">
        <w:rPr>
          <w:rFonts w:ascii="Palatino Linotype" w:hAnsi="Palatino Linotype" w:cs="Arial"/>
          <w:lang w:val="es-ES_tradnl"/>
        </w:rPr>
        <w:t xml:space="preserve"> a</w:t>
      </w:r>
      <w:r>
        <w:rPr>
          <w:rFonts w:ascii="Palatino Linotype" w:hAnsi="Palatino Linotype" w:cs="Arial"/>
          <w:lang w:val="es-ES_tradnl"/>
        </w:rPr>
        <w:t xml:space="preserve"> la solicitud </w:t>
      </w:r>
      <w:r w:rsidRPr="00C5057E">
        <w:rPr>
          <w:rFonts w:ascii="Palatino Linotype" w:hAnsi="Palatino Linotype" w:cs="Arial"/>
          <w:lang w:val="es-ES_tradnl"/>
        </w:rPr>
        <w:t>de información, en los siguientes términos:</w:t>
      </w:r>
    </w:p>
    <w:p w:rsidR="00B06BC7" w:rsidRPr="00B06BC7" w:rsidRDefault="00B06BC7" w:rsidP="00B06BC7">
      <w:pPr>
        <w:tabs>
          <w:tab w:val="left" w:pos="851"/>
        </w:tabs>
        <w:spacing w:before="100" w:beforeAutospacing="1" w:after="100" w:afterAutospacing="1"/>
        <w:ind w:left="851" w:right="901"/>
        <w:jc w:val="both"/>
        <w:rPr>
          <w:rFonts w:ascii="Palatino Linotype" w:hAnsi="Palatino Linotype" w:cs="Arial"/>
          <w:i/>
          <w:sz w:val="22"/>
          <w:szCs w:val="22"/>
        </w:rPr>
      </w:pPr>
      <w:r>
        <w:rPr>
          <w:rFonts w:ascii="Palatino Linotype" w:hAnsi="Palatino Linotype" w:cs="Arial"/>
          <w:i/>
          <w:sz w:val="22"/>
          <w:szCs w:val="22"/>
        </w:rPr>
        <w:t>“</w:t>
      </w:r>
      <w:r w:rsidRPr="00B06BC7">
        <w:rPr>
          <w:rFonts w:ascii="Palatino Linotype" w:hAnsi="Palatino Linotype" w:cs="Arial"/>
          <w:i/>
          <w:sz w:val="22"/>
          <w:szCs w:val="22"/>
        </w:rPr>
        <w:t>Nombre del solicitante: SIN DATO Folio de la solicitud: 00174 CUAUTIT/IP/2020 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 ATENTAMENTE LIC. LUIS UBALDO GARAY RÍOS Coordinador de la Unidad de Transparencia del Ayuntamiento de Cuautitlán</w:t>
      </w:r>
      <w:r>
        <w:rPr>
          <w:rFonts w:ascii="Palatino Linotype" w:hAnsi="Palatino Linotype" w:cs="Arial"/>
          <w:i/>
          <w:sz w:val="22"/>
          <w:szCs w:val="22"/>
        </w:rPr>
        <w:t>.” (sic)</w:t>
      </w:r>
    </w:p>
    <w:p w:rsidR="00B06BC7" w:rsidRDefault="00B06BC7" w:rsidP="00B06BC7">
      <w:pPr>
        <w:spacing w:before="100" w:beforeAutospacing="1" w:after="100" w:afterAutospacing="1" w:line="360" w:lineRule="auto"/>
        <w:jc w:val="both"/>
        <w:rPr>
          <w:rFonts w:ascii="Palatino Linotype" w:hAnsi="Palatino Linotype" w:cs="Arial"/>
          <w:lang w:val="es-ES_tradnl"/>
        </w:rPr>
      </w:pPr>
      <w:r w:rsidRPr="00D60CC8">
        <w:rPr>
          <w:rFonts w:ascii="Palatino Linotype" w:hAnsi="Palatino Linotype" w:cs="Arial"/>
          <w:lang w:val="es-ES_tradnl"/>
        </w:rPr>
        <w:t xml:space="preserve">Adjuntando a la misma </w:t>
      </w:r>
      <w:r>
        <w:rPr>
          <w:rFonts w:ascii="Palatino Linotype" w:hAnsi="Palatino Linotype" w:cs="Arial"/>
          <w:lang w:val="es-ES_tradnl"/>
        </w:rPr>
        <w:t xml:space="preserve">el archivo electrónico denominado </w:t>
      </w:r>
      <w:r w:rsidR="00655B37">
        <w:fldChar w:fldCharType="begin"/>
      </w:r>
      <w:r w:rsidR="00F86667">
        <w:instrText>HYPERLINK "https://www.saimex.org.mx/saimex/solicitud/downloadAttach/935098.page" \t "_blank"</w:instrText>
      </w:r>
      <w:r w:rsidR="00655B37">
        <w:fldChar w:fldCharType="separate"/>
      </w:r>
      <w:r w:rsidRPr="00B06BC7">
        <w:rPr>
          <w:rFonts w:ascii="Palatino Linotype" w:hAnsi="Palatino Linotype"/>
          <w:b/>
          <w:lang w:val="es-ES_tradnl"/>
        </w:rPr>
        <w:t>Contestación 00174-2020.zip</w:t>
      </w:r>
      <w:r w:rsidR="00655B37">
        <w:fldChar w:fldCharType="end"/>
      </w:r>
      <w:r>
        <w:rPr>
          <w:rFonts w:ascii="Palatino Linotype" w:hAnsi="Palatino Linotype" w:cs="Arial"/>
          <w:b/>
          <w:lang w:val="es-ES_tradnl"/>
        </w:rPr>
        <w:t xml:space="preserve">, </w:t>
      </w:r>
      <w:r>
        <w:rPr>
          <w:rFonts w:ascii="Palatino Linotype" w:hAnsi="Palatino Linotype" w:cs="Arial"/>
          <w:lang w:val="es-ES_tradnl"/>
        </w:rPr>
        <w:t xml:space="preserve">mediante el cual </w:t>
      </w:r>
      <w:r w:rsidR="004E5D5F">
        <w:rPr>
          <w:rFonts w:ascii="Palatino Linotype" w:hAnsi="Palatino Linotype" w:cs="Arial"/>
          <w:lang w:val="es-ES_tradnl"/>
        </w:rPr>
        <w:t>hizo entrega de los archivos que contenían parte de la información solicitada por el particular.</w:t>
      </w:r>
    </w:p>
    <w:p w:rsidR="004E5D5F" w:rsidRPr="00C5057E" w:rsidRDefault="00B06BC7" w:rsidP="004E5D5F">
      <w:pPr>
        <w:spacing w:before="100" w:beforeAutospacing="1" w:after="100" w:afterAutospacing="1" w:line="360" w:lineRule="auto"/>
        <w:contextualSpacing/>
        <w:jc w:val="both"/>
        <w:rPr>
          <w:rFonts w:ascii="Palatino Linotype" w:hAnsi="Palatino Linotype" w:cs="Arial"/>
        </w:rPr>
      </w:pPr>
      <w:r w:rsidRPr="00823FB1">
        <w:rPr>
          <w:rFonts w:ascii="Palatino Linotype" w:hAnsi="Palatino Linotype"/>
          <w:b/>
          <w:sz w:val="28"/>
          <w:szCs w:val="28"/>
        </w:rPr>
        <w:t>III</w:t>
      </w:r>
      <w:r>
        <w:rPr>
          <w:rFonts w:ascii="Palatino Linotype" w:hAnsi="Palatino Linotype"/>
        </w:rPr>
        <w:t xml:space="preserve">. </w:t>
      </w:r>
      <w:r w:rsidR="004E5D5F" w:rsidRPr="00BC3261">
        <w:rPr>
          <w:rFonts w:ascii="Palatino Linotype" w:hAnsi="Palatino Linotype"/>
        </w:rPr>
        <w:t xml:space="preserve">Inconforme con la </w:t>
      </w:r>
      <w:r w:rsidR="004E5D5F" w:rsidRPr="00BC3261">
        <w:rPr>
          <w:rFonts w:ascii="Palatino Linotype" w:hAnsi="Palatino Linotype" w:cs="Arial"/>
        </w:rPr>
        <w:t xml:space="preserve">respuesta, el </w:t>
      </w:r>
      <w:r w:rsidR="004E5D5F">
        <w:rPr>
          <w:rFonts w:ascii="Palatino Linotype" w:hAnsi="Palatino Linotype" w:cs="Arial"/>
        </w:rPr>
        <w:t xml:space="preserve">dieciocho de agosto de </w:t>
      </w:r>
      <w:r w:rsidR="004E5D5F" w:rsidRPr="00BC3261">
        <w:rPr>
          <w:rFonts w:ascii="Palatino Linotype" w:hAnsi="Palatino Linotype" w:cs="Arial"/>
        </w:rPr>
        <w:t xml:space="preserve">dos mil veinte, </w:t>
      </w:r>
      <w:r w:rsidR="004E5D5F">
        <w:rPr>
          <w:rFonts w:ascii="Palatino Linotype" w:hAnsi="Palatino Linotype"/>
          <w:b/>
        </w:rPr>
        <w:t>EL</w:t>
      </w:r>
      <w:r w:rsidR="004E5D5F" w:rsidRPr="00BC3261">
        <w:rPr>
          <w:rFonts w:ascii="Palatino Linotype" w:hAnsi="Palatino Linotype"/>
          <w:b/>
        </w:rPr>
        <w:t xml:space="preserve"> RECURRENTE</w:t>
      </w:r>
      <w:r w:rsidR="004E5D5F" w:rsidRPr="00BC3261">
        <w:rPr>
          <w:rFonts w:ascii="Palatino Linotype" w:hAnsi="Palatino Linotype"/>
        </w:rPr>
        <w:t xml:space="preserve"> interpuso el recurso de revisión objeto del presente estudio, al que se le asignó el número al rubro citado</w:t>
      </w:r>
      <w:r w:rsidR="004E5D5F" w:rsidRPr="00BC3261">
        <w:rPr>
          <w:rFonts w:ascii="Palatino Linotype" w:hAnsi="Palatino Linotype" w:cs="Arial"/>
        </w:rPr>
        <w:t>, en el que señaló como acto impugnado lo siguiente:</w:t>
      </w:r>
      <w:r w:rsidR="004E5D5F" w:rsidRPr="00C5057E">
        <w:rPr>
          <w:rFonts w:ascii="Palatino Linotype" w:hAnsi="Palatino Linotype" w:cs="Arial"/>
        </w:rPr>
        <w:t xml:space="preserve"> </w:t>
      </w:r>
    </w:p>
    <w:p w:rsidR="004E5D5F" w:rsidRPr="00C5057E" w:rsidRDefault="004E5D5F" w:rsidP="004E5D5F">
      <w:pPr>
        <w:spacing w:before="100" w:beforeAutospacing="1" w:after="100" w:afterAutospacing="1"/>
        <w:ind w:left="851" w:right="899"/>
        <w:contextualSpacing/>
        <w:jc w:val="both"/>
        <w:rPr>
          <w:rFonts w:ascii="Palatino Linotype" w:hAnsi="Palatino Linotype" w:cs="Arial"/>
          <w:i/>
          <w:sz w:val="22"/>
          <w:szCs w:val="22"/>
        </w:rPr>
      </w:pPr>
    </w:p>
    <w:p w:rsidR="004E5D5F" w:rsidRPr="00C5057E" w:rsidRDefault="004E5D5F" w:rsidP="004E5D5F">
      <w:pPr>
        <w:spacing w:before="100" w:beforeAutospacing="1" w:after="100" w:afterAutospacing="1"/>
        <w:ind w:left="851" w:right="899"/>
        <w:jc w:val="both"/>
        <w:rPr>
          <w:rFonts w:ascii="Palatino Linotype" w:hAnsi="Palatino Linotype" w:cs="Arial"/>
          <w:i/>
          <w:sz w:val="22"/>
          <w:szCs w:val="22"/>
        </w:rPr>
      </w:pPr>
      <w:r w:rsidRPr="00C5057E">
        <w:rPr>
          <w:rFonts w:ascii="Palatino Linotype" w:hAnsi="Palatino Linotype" w:cs="Arial"/>
          <w:i/>
          <w:sz w:val="22"/>
          <w:szCs w:val="22"/>
        </w:rPr>
        <w:t>“</w:t>
      </w:r>
      <w:r w:rsidRPr="004E5D5F">
        <w:rPr>
          <w:rFonts w:ascii="Palatino Linotype" w:hAnsi="Palatino Linotype" w:cs="Arial"/>
          <w:i/>
          <w:sz w:val="22"/>
          <w:szCs w:val="22"/>
        </w:rPr>
        <w:t>la información otorgada es incompleta</w:t>
      </w:r>
      <w:r>
        <w:rPr>
          <w:rFonts w:ascii="Palatino Linotype" w:hAnsi="Palatino Linotype" w:cs="Arial"/>
          <w:i/>
          <w:sz w:val="22"/>
          <w:szCs w:val="22"/>
        </w:rPr>
        <w:t>.</w:t>
      </w:r>
      <w:r w:rsidRPr="00C5057E">
        <w:rPr>
          <w:rFonts w:ascii="Palatino Linotype" w:hAnsi="Palatino Linotype" w:cs="Arial"/>
          <w:i/>
          <w:sz w:val="22"/>
          <w:szCs w:val="22"/>
        </w:rPr>
        <w:t>” (sic)</w:t>
      </w:r>
    </w:p>
    <w:p w:rsidR="004E5D5F" w:rsidRPr="00C5057E" w:rsidRDefault="004E5D5F" w:rsidP="004E5D5F">
      <w:pPr>
        <w:spacing w:before="100" w:beforeAutospacing="1" w:after="100" w:afterAutospacing="1" w:line="360" w:lineRule="auto"/>
        <w:jc w:val="both"/>
        <w:rPr>
          <w:rFonts w:ascii="Palatino Linotype" w:hAnsi="Palatino Linotype" w:cs="Arial"/>
          <w:i/>
          <w:sz w:val="22"/>
          <w:szCs w:val="22"/>
        </w:rPr>
      </w:pPr>
      <w:r w:rsidRPr="00C5057E">
        <w:rPr>
          <w:rFonts w:ascii="Palatino Linotype" w:hAnsi="Palatino Linotype" w:cs="Arial"/>
        </w:rPr>
        <w:t>Asimismo,</w:t>
      </w:r>
      <w:r w:rsidRPr="00C5057E">
        <w:t xml:space="preserve"> </w:t>
      </w:r>
      <w:r>
        <w:rPr>
          <w:b/>
        </w:rPr>
        <w:t>EL</w:t>
      </w:r>
      <w:r w:rsidRPr="00C5057E">
        <w:rPr>
          <w:b/>
        </w:rPr>
        <w:t xml:space="preserve"> RECURRENTE</w:t>
      </w:r>
      <w:r>
        <w:rPr>
          <w:rFonts w:ascii="Palatino Linotype" w:hAnsi="Palatino Linotype" w:cs="Arial"/>
        </w:rPr>
        <w:t xml:space="preserve"> indicó</w:t>
      </w:r>
      <w:r w:rsidRPr="00C5057E">
        <w:rPr>
          <w:rFonts w:ascii="Palatino Linotype" w:hAnsi="Palatino Linotype" w:cs="Arial"/>
        </w:rPr>
        <w:t xml:space="preserve"> como razones o motivos de inconformidad, lo siguiente: </w:t>
      </w:r>
    </w:p>
    <w:p w:rsidR="004E5D5F" w:rsidRPr="00C5057E" w:rsidRDefault="004E5D5F" w:rsidP="004E5D5F">
      <w:pPr>
        <w:spacing w:before="100" w:beforeAutospacing="1" w:after="100" w:afterAutospacing="1"/>
        <w:ind w:left="851" w:right="899"/>
        <w:contextualSpacing/>
        <w:jc w:val="both"/>
        <w:rPr>
          <w:rFonts w:ascii="Palatino Linotype" w:hAnsi="Palatino Linotype" w:cs="Arial"/>
          <w:i/>
          <w:sz w:val="22"/>
          <w:szCs w:val="22"/>
        </w:rPr>
      </w:pPr>
      <w:r w:rsidRPr="00C5057E">
        <w:rPr>
          <w:rFonts w:ascii="Palatino Linotype" w:hAnsi="Palatino Linotype" w:cs="Arial"/>
          <w:i/>
          <w:sz w:val="22"/>
          <w:szCs w:val="22"/>
        </w:rPr>
        <w:t>“</w:t>
      </w:r>
      <w:r w:rsidRPr="004E5D5F">
        <w:rPr>
          <w:rFonts w:ascii="Palatino Linotype" w:hAnsi="Palatino Linotype" w:cs="Arial"/>
          <w:i/>
          <w:sz w:val="22"/>
          <w:szCs w:val="22"/>
        </w:rPr>
        <w:t>1. No proporciona el número de actividades impartidas por el Instituto de Cultura (o asimilado) 2. Los documentos que se anexan a la respuesta TMC/BESL/646/2020 no cuentan con ninguna rubrica que de validez a dicho documento. 3. No proporciona los comprobantes de ingresos del dinero recaudado del Instituto de Cultura (o asimilado), mismo que se solicito del periodo 2019-2020, no se exhibe documento alguno que justifique o especifique la cantidad recaudada, siendo múltiples las actividades que se imparten en las casas de cultura. 4.- Los comprobantes que se anexan no cuentan con sello digital, ni cadena original. 5. Los documentos que se anexan correspondientes a la "suficiencia presupuesta" no se encuentra firmada por la TESORERA MUNICIPAL que de validez a dicho documento 6. No se entregan los documentos que justifiquen los gastos del presupuesto del periodo 2019-2020</w:t>
      </w:r>
      <w:r w:rsidRPr="00B92BBD">
        <w:rPr>
          <w:rFonts w:ascii="Palatino Linotype" w:hAnsi="Palatino Linotype" w:cs="Arial"/>
          <w:i/>
          <w:sz w:val="22"/>
          <w:szCs w:val="22"/>
        </w:rPr>
        <w:t>.</w:t>
      </w:r>
      <w:r w:rsidRPr="00C5057E">
        <w:rPr>
          <w:rFonts w:ascii="Palatino Linotype" w:hAnsi="Palatino Linotype" w:cs="Arial"/>
          <w:i/>
          <w:sz w:val="22"/>
          <w:szCs w:val="22"/>
        </w:rPr>
        <w:t xml:space="preserve">” (sic) </w:t>
      </w:r>
    </w:p>
    <w:p w:rsidR="004E5D5F" w:rsidRDefault="00B06BC7" w:rsidP="004E5D5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BC3261">
        <w:rPr>
          <w:rFonts w:ascii="Palatino Linotype" w:hAnsi="Palatino Linotype"/>
          <w:b/>
          <w:sz w:val="28"/>
          <w:szCs w:val="28"/>
        </w:rPr>
        <w:t>IV.</w:t>
      </w:r>
      <w:r w:rsidRPr="00BC3261">
        <w:rPr>
          <w:rFonts w:ascii="Palatino Linotype" w:hAnsi="Palatino Linotype"/>
          <w:b/>
        </w:rPr>
        <w:t xml:space="preserve"> </w:t>
      </w:r>
      <w:r w:rsidR="004E5D5F" w:rsidRPr="00C5057E">
        <w:rPr>
          <w:rFonts w:ascii="Palatino Linotype" w:hAnsi="Palatino Linotype" w:cs="Arial"/>
        </w:rPr>
        <w:t xml:space="preserve">En fecha </w:t>
      </w:r>
      <w:r w:rsidR="004E5D5F">
        <w:rPr>
          <w:rFonts w:ascii="Palatino Linotype" w:hAnsi="Palatino Linotype"/>
        </w:rPr>
        <w:t xml:space="preserve">dieciocho de agosto </w:t>
      </w:r>
      <w:r w:rsidR="004E5D5F" w:rsidRPr="00C5057E">
        <w:rPr>
          <w:rFonts w:ascii="Palatino Linotype" w:hAnsi="Palatino Linotype"/>
        </w:rPr>
        <w:t>de dos mil veinte</w:t>
      </w:r>
      <w:r w:rsidR="004E5D5F" w:rsidRPr="00C5057E">
        <w:rPr>
          <w:rFonts w:ascii="Palatino Linotype" w:hAnsi="Palatino Linotype" w:cs="Arial"/>
        </w:rPr>
        <w:t xml:space="preserve">, </w:t>
      </w:r>
      <w:r w:rsidR="004E5D5F">
        <w:rPr>
          <w:rFonts w:ascii="Palatino Linotype" w:hAnsi="Palatino Linotype" w:cs="Arial"/>
        </w:rPr>
        <w:t xml:space="preserve">el recurso </w:t>
      </w:r>
      <w:r w:rsidR="004E5D5F" w:rsidRPr="00C5057E">
        <w:rPr>
          <w:rFonts w:ascii="Palatino Linotype" w:hAnsi="Palatino Linotype" w:cs="Arial"/>
        </w:rPr>
        <w:t>de revisión que se trata se envi</w:t>
      </w:r>
      <w:r w:rsidR="004E5D5F">
        <w:rPr>
          <w:rFonts w:ascii="Palatino Linotype" w:hAnsi="Palatino Linotype" w:cs="Arial"/>
        </w:rPr>
        <w:t>ó</w:t>
      </w:r>
      <w:r w:rsidR="004E5D5F" w:rsidRPr="00C5057E">
        <w:rPr>
          <w:rFonts w:ascii="Palatino Linotype" w:hAnsi="Palatino Linotype" w:cs="Arial"/>
        </w:rPr>
        <w:t xml:space="preserve"> electrónicamente al Instituto de Transparencia, Acceso a la Información Pública</w:t>
      </w:r>
      <w:r w:rsidR="004E5D5F" w:rsidRPr="00C5057E">
        <w:rPr>
          <w:rFonts w:ascii="Palatino Linotype" w:hAnsi="Palatino Linotype" w:cs="Arial"/>
          <w:lang w:val="es-ES_tradnl"/>
        </w:rPr>
        <w:t xml:space="preserve"> y </w:t>
      </w:r>
      <w:r w:rsidR="004E5D5F" w:rsidRPr="00C5057E">
        <w:rPr>
          <w:rFonts w:ascii="Palatino Linotype" w:hAnsi="Palatino Linotype" w:cs="Arial"/>
        </w:rPr>
        <w:t>Protección</w:t>
      </w:r>
      <w:r w:rsidR="004E5D5F" w:rsidRPr="00C5057E">
        <w:rPr>
          <w:rFonts w:ascii="Palatino Linotype" w:hAnsi="Palatino Linotype" w:cs="Arial"/>
          <w:lang w:val="es-ES_tradnl"/>
        </w:rPr>
        <w:t xml:space="preserve"> </w:t>
      </w:r>
      <w:r w:rsidR="004E5D5F" w:rsidRPr="00C5057E">
        <w:rPr>
          <w:rFonts w:ascii="Palatino Linotype" w:hAnsi="Palatino Linotype" w:cs="Arial"/>
        </w:rPr>
        <w:t>de</w:t>
      </w:r>
      <w:r w:rsidR="004E5D5F" w:rsidRPr="00C5057E">
        <w:rPr>
          <w:rFonts w:ascii="Palatino Linotype" w:hAnsi="Palatino Linotype" w:cs="Arial"/>
          <w:lang w:val="es-ES_tradnl"/>
        </w:rPr>
        <w:t xml:space="preserve"> </w:t>
      </w:r>
      <w:r w:rsidR="004E5D5F" w:rsidRPr="00C5057E">
        <w:rPr>
          <w:rFonts w:ascii="Palatino Linotype" w:hAnsi="Palatino Linotype"/>
        </w:rPr>
        <w:t>Datos</w:t>
      </w:r>
      <w:r w:rsidR="004E5D5F" w:rsidRPr="00C5057E">
        <w:rPr>
          <w:rFonts w:ascii="Palatino Linotype" w:hAnsi="Palatino Linotype" w:cs="Arial"/>
          <w:lang w:val="es-ES_tradnl"/>
        </w:rPr>
        <w:t xml:space="preserve"> </w:t>
      </w:r>
      <w:r w:rsidR="004E5D5F" w:rsidRPr="00C5057E">
        <w:rPr>
          <w:rFonts w:ascii="Palatino Linotype" w:hAnsi="Palatino Linotype" w:cs="Arial"/>
        </w:rPr>
        <w:t>Personales</w:t>
      </w:r>
      <w:r w:rsidR="004E5D5F" w:rsidRPr="00C5057E">
        <w:rPr>
          <w:rFonts w:ascii="Palatino Linotype" w:hAnsi="Palatino Linotype" w:cs="Arial"/>
          <w:lang w:val="es-ES_tradnl"/>
        </w:rPr>
        <w:t xml:space="preserve"> </w:t>
      </w:r>
      <w:r w:rsidR="004E5D5F" w:rsidRPr="00C5057E">
        <w:rPr>
          <w:rFonts w:ascii="Palatino Linotype" w:hAnsi="Palatino Linotype" w:cs="Arial"/>
        </w:rPr>
        <w:t>del</w:t>
      </w:r>
      <w:r w:rsidR="004E5D5F" w:rsidRPr="00C5057E">
        <w:rPr>
          <w:rFonts w:ascii="Palatino Linotype" w:hAnsi="Palatino Linotype" w:cs="Arial"/>
          <w:lang w:val="es-ES_tradnl"/>
        </w:rPr>
        <w:t xml:space="preserve"> </w:t>
      </w:r>
      <w:r w:rsidR="004E5D5F" w:rsidRPr="00C5057E">
        <w:rPr>
          <w:rFonts w:ascii="Palatino Linotype" w:hAnsi="Palatino Linotype"/>
        </w:rPr>
        <w:t>Estado</w:t>
      </w:r>
      <w:r w:rsidR="004E5D5F" w:rsidRPr="00C5057E">
        <w:rPr>
          <w:rFonts w:ascii="Palatino Linotype" w:hAnsi="Palatino Linotype" w:cs="Arial"/>
          <w:lang w:val="es-ES_tradnl"/>
        </w:rPr>
        <w:t xml:space="preserve"> de México y Municipios y con fundamento en el </w:t>
      </w:r>
      <w:r w:rsidR="004E5D5F" w:rsidRPr="00C5057E">
        <w:rPr>
          <w:rFonts w:ascii="Palatino Linotype" w:hAnsi="Palatino Linotype" w:cs="Arial"/>
        </w:rPr>
        <w:t>artículo</w:t>
      </w:r>
      <w:r w:rsidR="004E5D5F" w:rsidRPr="00C5057E">
        <w:rPr>
          <w:rFonts w:ascii="Palatino Linotype" w:hAnsi="Palatino Linotype" w:cs="Arial"/>
          <w:lang w:val="es-ES_tradnl"/>
        </w:rPr>
        <w:t xml:space="preserve"> 185, </w:t>
      </w:r>
      <w:r w:rsidR="004E5D5F" w:rsidRPr="00C5057E">
        <w:rPr>
          <w:rFonts w:ascii="Palatino Linotype" w:hAnsi="Palatino Linotype" w:cs="Arial"/>
        </w:rPr>
        <w:t>fracción</w:t>
      </w:r>
      <w:r w:rsidR="004E5D5F" w:rsidRPr="00C5057E">
        <w:rPr>
          <w:rFonts w:ascii="Palatino Linotype" w:hAnsi="Palatino Linotype" w:cs="Arial"/>
          <w:lang w:val="es-ES_tradnl"/>
        </w:rPr>
        <w:t xml:space="preserve"> I de la </w:t>
      </w:r>
      <w:r w:rsidR="004E5D5F" w:rsidRPr="00C5057E">
        <w:rPr>
          <w:rFonts w:ascii="Palatino Linotype" w:hAnsi="Palatino Linotype"/>
        </w:rPr>
        <w:t>Ley de Transparencia y Acceso a la Información Pública del Estado de México y Municipios</w:t>
      </w:r>
      <w:r w:rsidR="004E5D5F" w:rsidRPr="00C5057E">
        <w:rPr>
          <w:rFonts w:ascii="Palatino Linotype" w:hAnsi="Palatino Linotype" w:cs="Arial"/>
          <w:lang w:val="es-ES_tradnl"/>
        </w:rPr>
        <w:t>,</w:t>
      </w:r>
      <w:r w:rsidR="004E5D5F">
        <w:rPr>
          <w:rFonts w:ascii="Palatino Linotype" w:hAnsi="Palatino Linotype" w:cs="Arial"/>
          <w:lang w:val="es-ES_tradnl"/>
        </w:rPr>
        <w:t xml:space="preserve"> el cual </w:t>
      </w:r>
      <w:r w:rsidR="004E5D5F" w:rsidRPr="00C5057E">
        <w:rPr>
          <w:rFonts w:ascii="Palatino Linotype" w:hAnsi="Palatino Linotype" w:cs="Arial"/>
          <w:lang w:val="es-ES_tradnl"/>
        </w:rPr>
        <w:t>se turn</w:t>
      </w:r>
      <w:r w:rsidR="004E5D5F">
        <w:rPr>
          <w:rFonts w:ascii="Palatino Linotype" w:hAnsi="Palatino Linotype" w:cs="Arial"/>
          <w:lang w:val="es-ES_tradnl"/>
        </w:rPr>
        <w:t xml:space="preserve">ó </w:t>
      </w:r>
      <w:r w:rsidR="004E5D5F" w:rsidRPr="00C5057E">
        <w:rPr>
          <w:rFonts w:ascii="Palatino Linotype" w:hAnsi="Palatino Linotype" w:cs="Arial"/>
          <w:lang w:val="es-ES_tradnl"/>
        </w:rPr>
        <w:t>a</w:t>
      </w:r>
      <w:r w:rsidR="004E5D5F">
        <w:rPr>
          <w:rFonts w:ascii="Palatino Linotype" w:hAnsi="Palatino Linotype" w:cs="Arial"/>
          <w:lang w:val="es-ES_tradnl"/>
        </w:rPr>
        <w:t xml:space="preserve"> través del </w:t>
      </w:r>
      <w:r w:rsidR="004E5D5F" w:rsidRPr="00751BDD">
        <w:rPr>
          <w:rFonts w:ascii="Palatino Linotype" w:hAnsi="Palatino Linotype" w:cs="Arial"/>
          <w:b/>
          <w:lang w:val="es-ES_tradnl"/>
        </w:rPr>
        <w:t>SAIMEX</w:t>
      </w:r>
      <w:r w:rsidR="004E5D5F">
        <w:rPr>
          <w:rFonts w:ascii="Palatino Linotype" w:hAnsi="Palatino Linotype" w:cs="Arial"/>
          <w:lang w:val="es-ES_tradnl"/>
        </w:rPr>
        <w:t xml:space="preserve"> a la Comisionada Ponente a </w:t>
      </w:r>
      <w:r w:rsidR="004E5D5F" w:rsidRPr="00C5057E">
        <w:rPr>
          <w:rFonts w:ascii="Palatino Linotype" w:hAnsi="Palatino Linotype" w:cs="Arial"/>
          <w:lang w:val="es-ES_tradnl"/>
        </w:rPr>
        <w:t>efecto de que decreta</w:t>
      </w:r>
      <w:r w:rsidR="004E5D5F">
        <w:rPr>
          <w:rFonts w:ascii="Palatino Linotype" w:hAnsi="Palatino Linotype" w:cs="Arial"/>
          <w:lang w:val="es-ES_tradnl"/>
        </w:rPr>
        <w:t>ra</w:t>
      </w:r>
      <w:r w:rsidR="004E5D5F" w:rsidRPr="00C5057E">
        <w:rPr>
          <w:rFonts w:ascii="Palatino Linotype" w:hAnsi="Palatino Linotype" w:cs="Arial"/>
          <w:lang w:val="es-ES_tradnl"/>
        </w:rPr>
        <w:t xml:space="preserve"> su admisión o desechamiento.</w:t>
      </w:r>
    </w:p>
    <w:p w:rsidR="004E5D5F" w:rsidRDefault="00B06BC7" w:rsidP="004E5D5F">
      <w:pPr>
        <w:pStyle w:val="Prrafodelista"/>
        <w:tabs>
          <w:tab w:val="left" w:pos="567"/>
        </w:tabs>
        <w:spacing w:before="300" w:after="240" w:line="360" w:lineRule="auto"/>
        <w:ind w:left="0"/>
        <w:jc w:val="both"/>
        <w:rPr>
          <w:rFonts w:ascii="Palatino Linotype" w:hAnsi="Palatino Linotype" w:cs="Arial"/>
          <w:lang w:val="es-ES_tradnl"/>
        </w:rPr>
      </w:pPr>
      <w:r w:rsidRPr="00C5057E">
        <w:rPr>
          <w:rFonts w:ascii="Palatino Linotype" w:hAnsi="Palatino Linotype"/>
          <w:b/>
          <w:sz w:val="28"/>
          <w:szCs w:val="28"/>
        </w:rPr>
        <w:t xml:space="preserve">V. </w:t>
      </w:r>
      <w:bookmarkStart w:id="1" w:name="_Ref528747656"/>
      <w:r w:rsidR="004E5D5F" w:rsidRPr="008A72D9">
        <w:rPr>
          <w:rFonts w:ascii="Palatino Linotype" w:hAnsi="Palatino Linotype" w:cs="Arial"/>
          <w:lang w:val="es-ES_tradnl"/>
        </w:rPr>
        <w:t xml:space="preserve">De las constancias que integran el expediente electrónico del </w:t>
      </w:r>
      <w:r w:rsidR="004E5D5F" w:rsidRPr="008A72D9">
        <w:rPr>
          <w:rFonts w:ascii="Palatino Linotype" w:hAnsi="Palatino Linotype" w:cs="Arial"/>
          <w:b/>
          <w:lang w:val="es-ES_tradnl"/>
        </w:rPr>
        <w:t>SAIMEX</w:t>
      </w:r>
      <w:r w:rsidR="004E5D5F" w:rsidRPr="008A72D9">
        <w:rPr>
          <w:rFonts w:ascii="Palatino Linotype" w:hAnsi="Palatino Linotype" w:cs="Arial"/>
          <w:lang w:val="es-ES_tradnl"/>
        </w:rPr>
        <w:t xml:space="preserve">, se advierte que, en fecha </w:t>
      </w:r>
      <w:r w:rsidR="004E5D5F">
        <w:rPr>
          <w:rFonts w:ascii="Palatino Linotype" w:hAnsi="Palatino Linotype" w:cs="Arial"/>
          <w:lang w:val="es-ES_tradnl"/>
        </w:rPr>
        <w:t>dieciocho de agosto de dos mil veinte</w:t>
      </w:r>
      <w:r w:rsidR="004E5D5F" w:rsidRPr="008A72D9">
        <w:rPr>
          <w:rFonts w:ascii="Palatino Linotype" w:hAnsi="Palatino Linotype" w:cs="Arial"/>
          <w:lang w:val="es-ES_tradnl"/>
        </w:rPr>
        <w:t xml:space="preserve">, </w:t>
      </w:r>
      <w:r w:rsidR="004E5D5F">
        <w:rPr>
          <w:rFonts w:ascii="Palatino Linotype" w:hAnsi="Palatino Linotype" w:cs="Arial"/>
          <w:b/>
        </w:rPr>
        <w:t>EL</w:t>
      </w:r>
      <w:r w:rsidR="004E5D5F" w:rsidRPr="008A72D9">
        <w:rPr>
          <w:rFonts w:ascii="Palatino Linotype" w:hAnsi="Palatino Linotype" w:cs="Arial"/>
          <w:b/>
        </w:rPr>
        <w:t xml:space="preserve"> RECURRENTE</w:t>
      </w:r>
      <w:r w:rsidR="004E5D5F" w:rsidRPr="008A72D9">
        <w:rPr>
          <w:rFonts w:ascii="Palatino Linotype" w:hAnsi="Palatino Linotype" w:cs="Arial"/>
          <w:lang w:val="es-ES_tradnl"/>
        </w:rPr>
        <w:t xml:space="preserve"> presentó su desistimiento respecto del presente recurso de revisión</w:t>
      </w:r>
      <w:bookmarkEnd w:id="1"/>
      <w:r w:rsidR="004E5D5F">
        <w:rPr>
          <w:rFonts w:ascii="Palatino Linotype" w:hAnsi="Palatino Linotype" w:cs="Arial"/>
          <w:lang w:val="es-ES_tradnl"/>
        </w:rPr>
        <w:t>; tal y como se aprecia a continuación:</w:t>
      </w:r>
    </w:p>
    <w:p w:rsidR="00B06BC7" w:rsidRDefault="004E5D5F" w:rsidP="004E5D5F">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lang w:val="es-ES_tradnl"/>
        </w:rPr>
      </w:pPr>
      <w:r>
        <w:rPr>
          <w:noProof/>
          <w:lang w:val="es-ES_tradnl" w:eastAsia="es-ES_tradnl"/>
        </w:rPr>
        <w:drawing>
          <wp:inline distT="0" distB="0" distL="0" distR="0">
            <wp:extent cx="4772761" cy="1524000"/>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673" t="15726" r="29262" b="46753"/>
                    <a:stretch/>
                  </pic:blipFill>
                  <pic:spPr bwMode="auto">
                    <a:xfrm>
                      <a:off x="0" y="0"/>
                      <a:ext cx="4781261" cy="1526714"/>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a:ext>
                    </a:extLst>
                  </pic:spPr>
                </pic:pic>
              </a:graphicData>
            </a:graphic>
          </wp:inline>
        </w:drawing>
      </w:r>
    </w:p>
    <w:p w:rsidR="004E5D5F" w:rsidRPr="00C5057E" w:rsidRDefault="00B06BC7" w:rsidP="004E5D5F">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r w:rsidRPr="007639C9">
        <w:rPr>
          <w:rFonts w:ascii="Palatino Linotype" w:hAnsi="Palatino Linotype"/>
          <w:b/>
          <w:sz w:val="28"/>
          <w:szCs w:val="28"/>
        </w:rPr>
        <w:t>VI.</w:t>
      </w:r>
      <w:r>
        <w:rPr>
          <w:rFonts w:ascii="Palatino Linotype" w:hAnsi="Palatino Linotype" w:cs="Arial"/>
          <w:lang w:val="es-ES_tradnl"/>
        </w:rPr>
        <w:t xml:space="preserve"> </w:t>
      </w:r>
      <w:r w:rsidR="004E5D5F">
        <w:rPr>
          <w:rFonts w:ascii="Palatino Linotype" w:hAnsi="Palatino Linotype"/>
        </w:rPr>
        <w:t xml:space="preserve">El veinticuatro de agosto de </w:t>
      </w:r>
      <w:r w:rsidR="004E5D5F" w:rsidRPr="00C5057E">
        <w:rPr>
          <w:rFonts w:ascii="Palatino Linotype" w:hAnsi="Palatino Linotype"/>
        </w:rPr>
        <w:t xml:space="preserve">dos mil veinte, </w:t>
      </w:r>
      <w:r w:rsidR="004E5D5F" w:rsidRPr="00C5057E">
        <w:rPr>
          <w:rFonts w:ascii="Palatino Linotype" w:hAnsi="Palatino Linotype" w:cs="Arial"/>
        </w:rPr>
        <w:t xml:space="preserve">atento a lo dispuesto en el artículo 185, fracciones I, II y IV, de la </w:t>
      </w:r>
      <w:r w:rsidR="004E5D5F" w:rsidRPr="00C5057E">
        <w:rPr>
          <w:rFonts w:ascii="Palatino Linotype" w:hAnsi="Palatino Linotype"/>
        </w:rPr>
        <w:t xml:space="preserve">Ley de Transparencia y Acceso a la Información Pública del </w:t>
      </w:r>
      <w:r w:rsidR="004E5D5F" w:rsidRPr="00C5057E">
        <w:rPr>
          <w:rFonts w:ascii="Palatino Linotype" w:hAnsi="Palatino Linotype" w:cs="Arial"/>
        </w:rPr>
        <w:t>Estado</w:t>
      </w:r>
      <w:r w:rsidR="004E5D5F" w:rsidRPr="00C5057E">
        <w:rPr>
          <w:rFonts w:ascii="Palatino Linotype" w:hAnsi="Palatino Linotype"/>
        </w:rPr>
        <w:t xml:space="preserve"> de México y </w:t>
      </w:r>
      <w:r w:rsidR="004E5D5F" w:rsidRPr="00C5057E">
        <w:rPr>
          <w:rFonts w:ascii="Palatino Linotype" w:hAnsi="Palatino Linotype" w:cs="Arial"/>
          <w:lang w:val="es-ES_tradnl"/>
        </w:rPr>
        <w:t>Municipios</w:t>
      </w:r>
      <w:r w:rsidR="004E5D5F" w:rsidRPr="00C5057E">
        <w:rPr>
          <w:rFonts w:ascii="Palatino Linotype" w:hAnsi="Palatino Linotype"/>
        </w:rPr>
        <w:t>, se a</w:t>
      </w:r>
      <w:r w:rsidR="004E5D5F" w:rsidRPr="00C5057E">
        <w:rPr>
          <w:rFonts w:ascii="Palatino Linotype" w:hAnsi="Palatino Linotype" w:cs="Arial"/>
        </w:rPr>
        <w:t>cordó la admisión a trámite de</w:t>
      </w:r>
      <w:r w:rsidR="004E5D5F">
        <w:rPr>
          <w:rFonts w:ascii="Palatino Linotype" w:hAnsi="Palatino Linotype" w:cs="Arial"/>
        </w:rPr>
        <w:t xml:space="preserve">l referido recurso </w:t>
      </w:r>
      <w:r w:rsidR="004E5D5F" w:rsidRPr="00C5057E">
        <w:rPr>
          <w:rFonts w:ascii="Palatino Linotype" w:hAnsi="Palatino Linotype" w:cs="Arial"/>
        </w:rPr>
        <w:t xml:space="preserve">de </w:t>
      </w:r>
      <w:r w:rsidR="004E5D5F" w:rsidRPr="00C5057E">
        <w:rPr>
          <w:rFonts w:ascii="Palatino Linotype" w:hAnsi="Palatino Linotype" w:cs="Arial"/>
          <w:lang w:val="es-ES_tradnl"/>
        </w:rPr>
        <w:t>revisión;</w:t>
      </w:r>
      <w:r w:rsidR="004E5D5F" w:rsidRPr="00C5057E">
        <w:rPr>
          <w:rFonts w:ascii="Palatino Linotype" w:hAnsi="Palatino Linotype" w:cs="Arial"/>
        </w:rPr>
        <w:t xml:space="preserve"> así como, la </w:t>
      </w:r>
      <w:r w:rsidR="004E5D5F" w:rsidRPr="00C5057E">
        <w:rPr>
          <w:rFonts w:ascii="Palatino Linotype" w:hAnsi="Palatino Linotype" w:cs="Arial"/>
          <w:lang w:val="es-ES_tradnl"/>
        </w:rPr>
        <w:t>integración</w:t>
      </w:r>
      <w:r w:rsidR="004E5D5F">
        <w:rPr>
          <w:rFonts w:ascii="Palatino Linotype" w:hAnsi="Palatino Linotype" w:cs="Arial"/>
        </w:rPr>
        <w:t xml:space="preserve"> del expediente </w:t>
      </w:r>
      <w:r w:rsidR="004E5D5F" w:rsidRPr="00C5057E">
        <w:rPr>
          <w:rFonts w:ascii="Palatino Linotype" w:hAnsi="Palatino Linotype" w:cs="Arial"/>
        </w:rPr>
        <w:t>respectivo, mismo que se pus</w:t>
      </w:r>
      <w:r w:rsidR="004E5D5F">
        <w:rPr>
          <w:rFonts w:ascii="Palatino Linotype" w:hAnsi="Palatino Linotype" w:cs="Arial"/>
        </w:rPr>
        <w:t xml:space="preserve">o a </w:t>
      </w:r>
      <w:r w:rsidR="004E5D5F" w:rsidRPr="00C5057E">
        <w:rPr>
          <w:rFonts w:ascii="Palatino Linotype" w:hAnsi="Palatino Linotype" w:cs="Arial"/>
        </w:rPr>
        <w:t xml:space="preserve">disposición de las partes, para que en el plazo máximo de siete días hábiles, </w:t>
      </w:r>
      <w:r w:rsidR="004E5D5F">
        <w:rPr>
          <w:rFonts w:ascii="Palatino Linotype" w:hAnsi="Palatino Linotype" w:cs="Arial"/>
          <w:b/>
        </w:rPr>
        <w:t>EL</w:t>
      </w:r>
      <w:r w:rsidR="004E5D5F" w:rsidRPr="00C5057E">
        <w:rPr>
          <w:rFonts w:ascii="Palatino Linotype" w:hAnsi="Palatino Linotype" w:cs="Arial"/>
          <w:b/>
        </w:rPr>
        <w:t xml:space="preserve"> RECURRENTE</w:t>
      </w:r>
      <w:r w:rsidR="004E5D5F" w:rsidRPr="00C5057E">
        <w:rPr>
          <w:rFonts w:ascii="Palatino Linotype" w:hAnsi="Palatino Linotype" w:cs="Arial"/>
        </w:rPr>
        <w:t xml:space="preserve"> realizara manifestaciones, alegatos y ofreciera las pruebas que a su derecho </w:t>
      </w:r>
      <w:r w:rsidR="004E5D5F" w:rsidRPr="00C5057E">
        <w:rPr>
          <w:rFonts w:ascii="Palatino Linotype" w:hAnsi="Palatino Linotype" w:cs="Arial"/>
          <w:lang w:val="es-ES_tradnl"/>
        </w:rPr>
        <w:t>conviniera</w:t>
      </w:r>
      <w:r w:rsidR="004E5D5F" w:rsidRPr="00C5057E">
        <w:rPr>
          <w:rFonts w:ascii="Palatino Linotype" w:hAnsi="Palatino Linotype" w:cs="Arial"/>
        </w:rPr>
        <w:t xml:space="preserve"> y, en el caso del</w:t>
      </w:r>
      <w:r w:rsidR="004E5D5F" w:rsidRPr="00C5057E">
        <w:rPr>
          <w:rFonts w:ascii="Palatino Linotype" w:hAnsi="Palatino Linotype" w:cs="Arial"/>
          <w:b/>
        </w:rPr>
        <w:t xml:space="preserve"> SUJETO OBLIGADO</w:t>
      </w:r>
      <w:r w:rsidR="004E5D5F" w:rsidRPr="00C5057E">
        <w:rPr>
          <w:rFonts w:ascii="Palatino Linotype" w:hAnsi="Palatino Linotype" w:cs="Arial"/>
        </w:rPr>
        <w:t xml:space="preserve">, para que exhibiera </w:t>
      </w:r>
      <w:r w:rsidR="004E5D5F">
        <w:rPr>
          <w:rFonts w:ascii="Palatino Linotype" w:hAnsi="Palatino Linotype" w:cs="Arial"/>
        </w:rPr>
        <w:t xml:space="preserve">el  Informe Justificado </w:t>
      </w:r>
      <w:r w:rsidR="004E5D5F" w:rsidRPr="00C5057E">
        <w:rPr>
          <w:rFonts w:ascii="Palatino Linotype" w:hAnsi="Palatino Linotype" w:cs="Arial"/>
        </w:rPr>
        <w:t>correspondiente.</w:t>
      </w:r>
    </w:p>
    <w:p w:rsidR="004E5D5F" w:rsidRPr="00C5057E" w:rsidRDefault="00B06BC7" w:rsidP="004E5D5F">
      <w:pPr>
        <w:spacing w:before="100" w:beforeAutospacing="1" w:after="100" w:afterAutospacing="1" w:line="360" w:lineRule="auto"/>
        <w:contextualSpacing/>
        <w:jc w:val="both"/>
        <w:rPr>
          <w:rFonts w:ascii="Palatino Linotype" w:hAnsi="Palatino Linotype" w:cs="Arial"/>
        </w:rPr>
      </w:pPr>
      <w:r w:rsidRPr="00C5057E">
        <w:rPr>
          <w:rFonts w:ascii="Palatino Linotype" w:hAnsi="Palatino Linotype"/>
          <w:b/>
          <w:sz w:val="28"/>
          <w:szCs w:val="28"/>
        </w:rPr>
        <w:t>V</w:t>
      </w:r>
      <w:r>
        <w:rPr>
          <w:rFonts w:ascii="Palatino Linotype" w:hAnsi="Palatino Linotype"/>
          <w:b/>
          <w:sz w:val="28"/>
          <w:szCs w:val="28"/>
        </w:rPr>
        <w:t>II</w:t>
      </w:r>
      <w:r w:rsidRPr="00C5057E">
        <w:rPr>
          <w:rFonts w:ascii="Palatino Linotype" w:hAnsi="Palatino Linotype"/>
          <w:b/>
          <w:sz w:val="28"/>
          <w:szCs w:val="28"/>
        </w:rPr>
        <w:t xml:space="preserve">. </w:t>
      </w:r>
      <w:r w:rsidR="004E5D5F" w:rsidRPr="00C5057E">
        <w:rPr>
          <w:rFonts w:ascii="Palatino Linotype" w:eastAsia="Arial Unicode MS" w:hAnsi="Palatino Linotype" w:cs="Arial"/>
        </w:rPr>
        <w:t xml:space="preserve">Conforme a las constancias del </w:t>
      </w:r>
      <w:r w:rsidR="004E5D5F" w:rsidRPr="00C5057E">
        <w:rPr>
          <w:rFonts w:ascii="Palatino Linotype" w:eastAsia="Arial Unicode MS" w:hAnsi="Palatino Linotype" w:cs="Arial"/>
          <w:b/>
        </w:rPr>
        <w:t>SAIMEX</w:t>
      </w:r>
      <w:r w:rsidR="004E5D5F" w:rsidRPr="00C5057E">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w:t>
      </w:r>
      <w:r w:rsidR="004E5D5F">
        <w:rPr>
          <w:rFonts w:ascii="Palatino Linotype" w:eastAsia="Arial Unicode MS" w:hAnsi="Palatino Linotype" w:cs="Arial"/>
        </w:rPr>
        <w:t>l hoy</w:t>
      </w:r>
      <w:r w:rsidR="004E5D5F" w:rsidRPr="00C5057E">
        <w:rPr>
          <w:rFonts w:ascii="Palatino Linotype" w:eastAsia="Arial Unicode MS" w:hAnsi="Palatino Linotype" w:cs="Arial"/>
        </w:rPr>
        <w:t xml:space="preserve"> </w:t>
      </w:r>
      <w:r w:rsidR="004E5D5F" w:rsidRPr="00C5057E">
        <w:rPr>
          <w:rFonts w:ascii="Palatino Linotype" w:eastAsia="Arial Unicode MS" w:hAnsi="Palatino Linotype" w:cs="Arial"/>
          <w:b/>
        </w:rPr>
        <w:t>RECURRENTE</w:t>
      </w:r>
      <w:r w:rsidR="004E5D5F">
        <w:rPr>
          <w:rFonts w:ascii="Palatino Linotype" w:eastAsia="Arial Unicode MS" w:hAnsi="Palatino Linotype" w:cs="Arial"/>
        </w:rPr>
        <w:t>, éste</w:t>
      </w:r>
      <w:r w:rsidR="004E5D5F" w:rsidRPr="00C5057E">
        <w:rPr>
          <w:rFonts w:ascii="Palatino Linotype" w:eastAsia="Arial Unicode MS" w:hAnsi="Palatino Linotype" w:cs="Arial"/>
        </w:rPr>
        <w:t xml:space="preserve"> no realizó manifestaciones, ni presentó pruebas o alegatos, así como tampoco </w:t>
      </w:r>
      <w:r w:rsidR="004E5D5F" w:rsidRPr="00C5057E">
        <w:rPr>
          <w:rFonts w:ascii="Palatino Linotype" w:eastAsia="Arial Unicode MS" w:hAnsi="Palatino Linotype" w:cs="Arial"/>
          <w:b/>
          <w:color w:val="000000"/>
          <w:lang w:eastAsia="es-MX"/>
        </w:rPr>
        <w:t>EL SUJETO OBLIGADO</w:t>
      </w:r>
      <w:r w:rsidR="004E5D5F">
        <w:rPr>
          <w:rFonts w:ascii="Palatino Linotype" w:eastAsia="Arial Unicode MS" w:hAnsi="Palatino Linotype" w:cs="Arial"/>
        </w:rPr>
        <w:t xml:space="preserve"> rindió el</w:t>
      </w:r>
      <w:r w:rsidR="004E5D5F" w:rsidRPr="00C5057E">
        <w:rPr>
          <w:rFonts w:ascii="Palatino Linotype" w:eastAsia="Arial Unicode MS" w:hAnsi="Palatino Linotype" w:cs="Arial"/>
        </w:rPr>
        <w:t xml:space="preserve"> Informe Justificado, tal y como se aprecia en la siguiente imagen: </w:t>
      </w:r>
      <w:r w:rsidR="004E5D5F" w:rsidRPr="00C5057E">
        <w:rPr>
          <w:rFonts w:ascii="Palatino Linotype" w:hAnsi="Palatino Linotype" w:cs="Arial"/>
        </w:rPr>
        <w:t xml:space="preserve"> </w:t>
      </w:r>
    </w:p>
    <w:p w:rsidR="004E5D5F" w:rsidRPr="00C5057E" w:rsidRDefault="004E5D5F" w:rsidP="00D6753C">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cs="Arial"/>
        </w:rPr>
      </w:pPr>
      <w:r>
        <w:rPr>
          <w:noProof/>
          <w:lang w:val="es-ES_tradnl" w:eastAsia="es-ES_tradnl"/>
        </w:rPr>
        <w:drawing>
          <wp:inline distT="0" distB="0" distL="0" distR="0">
            <wp:extent cx="5471327" cy="1572768"/>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3388" t="39763" r="14092" b="23158"/>
                    <a:stretch/>
                  </pic:blipFill>
                  <pic:spPr bwMode="auto">
                    <a:xfrm>
                      <a:off x="0" y="0"/>
                      <a:ext cx="5487909" cy="157753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a:ext>
                    </a:extLst>
                  </pic:spPr>
                </pic:pic>
              </a:graphicData>
            </a:graphic>
          </wp:inline>
        </w:drawing>
      </w:r>
    </w:p>
    <w:p w:rsidR="00D6753C" w:rsidRPr="00C5057E" w:rsidRDefault="00B06BC7" w:rsidP="00D6753C">
      <w:pPr>
        <w:spacing w:before="100" w:beforeAutospacing="1" w:after="100" w:afterAutospacing="1" w:line="360" w:lineRule="auto"/>
        <w:jc w:val="both"/>
        <w:rPr>
          <w:rFonts w:ascii="Palatino Linotype" w:hAnsi="Palatino Linotype" w:cs="Arial"/>
        </w:rPr>
      </w:pPr>
      <w:r w:rsidRPr="00C5057E">
        <w:rPr>
          <w:rFonts w:ascii="Palatino Linotype" w:eastAsia="Arial Unicode MS" w:hAnsi="Palatino Linotype" w:cs="Arial"/>
          <w:b/>
          <w:sz w:val="28"/>
          <w:szCs w:val="28"/>
        </w:rPr>
        <w:t>V</w:t>
      </w:r>
      <w:r>
        <w:rPr>
          <w:rFonts w:ascii="Palatino Linotype" w:eastAsia="Arial Unicode MS" w:hAnsi="Palatino Linotype" w:cs="Arial"/>
          <w:b/>
          <w:sz w:val="28"/>
          <w:szCs w:val="28"/>
        </w:rPr>
        <w:t>II</w:t>
      </w:r>
      <w:r w:rsidRPr="00C5057E">
        <w:rPr>
          <w:rFonts w:ascii="Palatino Linotype" w:eastAsia="Arial Unicode MS" w:hAnsi="Palatino Linotype" w:cs="Arial"/>
          <w:b/>
          <w:sz w:val="28"/>
          <w:szCs w:val="28"/>
        </w:rPr>
        <w:t xml:space="preserve">I. </w:t>
      </w:r>
      <w:r w:rsidR="00D6753C" w:rsidRPr="00C5057E">
        <w:rPr>
          <w:rFonts w:ascii="Palatino Linotype" w:hAnsi="Palatino Linotype" w:cs="Arial"/>
        </w:rPr>
        <w:t xml:space="preserve">Una vez </w:t>
      </w:r>
      <w:r w:rsidR="00D6753C" w:rsidRPr="00C5057E">
        <w:rPr>
          <w:rFonts w:ascii="Palatino Linotype" w:hAnsi="Palatino Linotype" w:cs="Arial"/>
          <w:color w:val="000000" w:themeColor="text1"/>
        </w:rPr>
        <w:t>analizado</w:t>
      </w:r>
      <w:r w:rsidR="00D6753C" w:rsidRPr="00C5057E">
        <w:rPr>
          <w:rFonts w:ascii="Palatino Linotype" w:hAnsi="Palatino Linotype" w:cs="Arial"/>
        </w:rPr>
        <w:t xml:space="preserve"> el estado procesal que guardaba</w:t>
      </w:r>
      <w:r w:rsidR="00D6753C">
        <w:rPr>
          <w:rFonts w:ascii="Palatino Linotype" w:hAnsi="Palatino Linotype" w:cs="Arial"/>
        </w:rPr>
        <w:t xml:space="preserve"> el expediente</w:t>
      </w:r>
      <w:r w:rsidR="00D6753C" w:rsidRPr="00C5057E">
        <w:rPr>
          <w:rFonts w:ascii="Palatino Linotype" w:hAnsi="Palatino Linotype" w:cs="Arial"/>
        </w:rPr>
        <w:t xml:space="preserve">, </w:t>
      </w:r>
      <w:r w:rsidR="00D6753C" w:rsidRPr="00110C89">
        <w:rPr>
          <w:rFonts w:ascii="Palatino Linotype" w:hAnsi="Palatino Linotype" w:cs="Arial"/>
        </w:rPr>
        <w:t xml:space="preserve">en fecha tres de septiembre de dos mil veinte, la Comisionada Ponente acordó el cierre de instrucción; así </w:t>
      </w:r>
      <w:r w:rsidR="00D6753C" w:rsidRPr="00110C89">
        <w:rPr>
          <w:rFonts w:ascii="Palatino Linotype" w:hAnsi="Palatino Linotype" w:cs="Arial"/>
          <w:lang w:val="es-ES_tradnl"/>
        </w:rPr>
        <w:t>como,</w:t>
      </w:r>
      <w:r w:rsidR="00D6753C" w:rsidRPr="00110C89">
        <w:rPr>
          <w:rFonts w:ascii="Palatino Linotype" w:hAnsi="Palatino Linotype" w:cs="Arial"/>
        </w:rPr>
        <w:t xml:space="preserve"> la remisión del mismo a efecto </w:t>
      </w:r>
      <w:r w:rsidR="00D6753C" w:rsidRPr="00110C89">
        <w:rPr>
          <w:rFonts w:ascii="Palatino Linotype" w:hAnsi="Palatino Linotype" w:cs="Arial"/>
          <w:lang w:val="es-ES_tradnl"/>
        </w:rPr>
        <w:t>de</w:t>
      </w:r>
      <w:r w:rsidR="00D6753C" w:rsidRPr="00110C89">
        <w:rPr>
          <w:rFonts w:ascii="Palatino Linotype" w:hAnsi="Palatino Linotype" w:cs="Arial"/>
        </w:rPr>
        <w:t xml:space="preserve"> ser resuelto, de conformidad</w:t>
      </w:r>
      <w:r w:rsidR="00D6753C" w:rsidRPr="00C5057E">
        <w:rPr>
          <w:rFonts w:ascii="Palatino Linotype" w:hAnsi="Palatino Linotype" w:cs="Arial"/>
        </w:rPr>
        <w:t xml:space="preserve"> con lo establecido en el artículo 185, fracciones VI y VIII de la Ley de Transparencia y Acceso a la Información Pública de</w:t>
      </w:r>
      <w:r w:rsidR="00D6753C">
        <w:rPr>
          <w:rFonts w:ascii="Palatino Linotype" w:hAnsi="Palatino Linotype" w:cs="Arial"/>
        </w:rPr>
        <w:t>l Estado de México y Municipios; y,</w:t>
      </w:r>
    </w:p>
    <w:p w:rsidR="00B06BC7" w:rsidRPr="00C5057E" w:rsidRDefault="00B06BC7" w:rsidP="00B06BC7">
      <w:pPr>
        <w:spacing w:before="100" w:beforeAutospacing="1" w:after="100" w:afterAutospacing="1"/>
        <w:jc w:val="center"/>
        <w:rPr>
          <w:rFonts w:ascii="Palatino Linotype" w:hAnsi="Palatino Linotype"/>
          <w:b/>
          <w:bCs/>
          <w:spacing w:val="40"/>
          <w:sz w:val="28"/>
        </w:rPr>
      </w:pPr>
      <w:r w:rsidRPr="00C5057E">
        <w:rPr>
          <w:rFonts w:ascii="Palatino Linotype" w:hAnsi="Palatino Linotype"/>
          <w:b/>
          <w:bCs/>
          <w:spacing w:val="40"/>
          <w:sz w:val="28"/>
        </w:rPr>
        <w:t>CONSIDERANDO</w:t>
      </w:r>
    </w:p>
    <w:p w:rsidR="00B06BC7" w:rsidRPr="00C5057E" w:rsidRDefault="00B06BC7" w:rsidP="00B06BC7">
      <w:pPr>
        <w:spacing w:before="100" w:beforeAutospacing="1" w:after="100" w:afterAutospacing="1" w:line="360" w:lineRule="auto"/>
        <w:ind w:right="50"/>
        <w:jc w:val="both"/>
        <w:rPr>
          <w:rFonts w:ascii="Palatino Linotype" w:hAnsi="Palatino Linotype" w:cs="Arial"/>
        </w:rPr>
      </w:pPr>
      <w:r w:rsidRPr="00C5057E">
        <w:rPr>
          <w:rFonts w:ascii="Palatino Linotype" w:hAnsi="Palatino Linotype"/>
          <w:b/>
          <w:sz w:val="28"/>
          <w:szCs w:val="28"/>
        </w:rPr>
        <w:t>PRIMERO</w:t>
      </w:r>
      <w:r w:rsidRPr="00C5057E">
        <w:rPr>
          <w:rFonts w:ascii="Palatino Linotype" w:hAnsi="Palatino Linotype"/>
          <w:b/>
        </w:rPr>
        <w:t>.</w:t>
      </w:r>
      <w:r w:rsidRPr="00C5057E">
        <w:rPr>
          <w:rFonts w:ascii="Palatino Linotype" w:hAnsi="Palatino Linotype"/>
        </w:rPr>
        <w:t xml:space="preserve"> </w:t>
      </w:r>
      <w:r w:rsidRPr="00C5057E">
        <w:rPr>
          <w:rFonts w:ascii="Palatino Linotype" w:hAnsi="Palatino Linotype"/>
          <w:b/>
        </w:rPr>
        <w:t>Competencia</w:t>
      </w:r>
      <w:r w:rsidRPr="00C5057E">
        <w:rPr>
          <w:rFonts w:ascii="Palatino Linotype" w:hAnsi="Palatino Linotype"/>
        </w:rPr>
        <w:t>.</w:t>
      </w:r>
      <w:r w:rsidRPr="00C5057E">
        <w:rPr>
          <w:rFonts w:ascii="Palatino Linotype" w:hAnsi="Palatino Linotype"/>
          <w:b/>
        </w:rPr>
        <w:t xml:space="preserve"> </w:t>
      </w:r>
      <w:r w:rsidRPr="00C5057E">
        <w:rPr>
          <w:rFonts w:ascii="Palatino Linotype" w:hAnsi="Palatino Linotype"/>
        </w:rPr>
        <w:t xml:space="preserve">Este Instituto de </w:t>
      </w:r>
      <w:r w:rsidRPr="00C5057E">
        <w:rPr>
          <w:rFonts w:ascii="Palatino Linotype" w:hAnsi="Palatino Linotype" w:cs="Arial"/>
        </w:rPr>
        <w:t>Transparencia</w:t>
      </w:r>
      <w:r w:rsidRPr="00C5057E">
        <w:rPr>
          <w:rFonts w:ascii="Palatino Linotype" w:hAnsi="Palatino Linotype"/>
        </w:rPr>
        <w:t xml:space="preserve">,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w:t>
      </w:r>
      <w:r w:rsidRPr="00C5057E">
        <w:rPr>
          <w:rFonts w:ascii="Palatino Linotype" w:eastAsia="Calibri" w:hAnsi="Palatino Linotype" w:cs="Arial"/>
        </w:rPr>
        <w:t xml:space="preserve">párrafos </w:t>
      </w:r>
      <w:r w:rsidRPr="00C5057E">
        <w:rPr>
          <w:rFonts w:ascii="Palatino Linotype" w:hAnsi="Palatino Linotype"/>
        </w:rPr>
        <w:t xml:space="preserve">vigésimo </w:t>
      </w:r>
      <w:r w:rsidRPr="00C5057E">
        <w:rPr>
          <w:rFonts w:ascii="Palatino Linotype" w:hAnsi="Palatino Linotype" w:cs="Arial"/>
        </w:rPr>
        <w:t>segundo,</w:t>
      </w:r>
      <w:r w:rsidRPr="00C5057E">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C5057E">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B06BC7" w:rsidRPr="00C5057E" w:rsidRDefault="00B06BC7" w:rsidP="00B06BC7">
      <w:pPr>
        <w:spacing w:before="100" w:beforeAutospacing="1" w:after="100" w:afterAutospacing="1" w:line="360" w:lineRule="auto"/>
        <w:jc w:val="both"/>
        <w:rPr>
          <w:rFonts w:ascii="Palatino Linotype" w:hAnsi="Palatino Linotype" w:cs="Arial"/>
          <w:b/>
          <w:snapToGrid w:val="0"/>
        </w:rPr>
      </w:pPr>
      <w:r w:rsidRPr="00C5057E">
        <w:rPr>
          <w:rFonts w:ascii="Palatino Linotype" w:hAnsi="Palatino Linotype" w:cs="Arial"/>
          <w:b/>
          <w:sz w:val="28"/>
        </w:rPr>
        <w:t>SEGUNDO</w:t>
      </w:r>
      <w:r w:rsidRPr="00C5057E">
        <w:rPr>
          <w:rFonts w:ascii="Palatino Linotype" w:hAnsi="Palatino Linotype" w:cs="Arial"/>
          <w:b/>
        </w:rPr>
        <w:t xml:space="preserve">. Interés. </w:t>
      </w:r>
      <w:r>
        <w:rPr>
          <w:rFonts w:ascii="Palatino Linotype" w:hAnsi="Palatino Linotype" w:cs="Arial"/>
          <w:bCs/>
        </w:rPr>
        <w:t xml:space="preserve">El recurso de </w:t>
      </w:r>
      <w:r w:rsidRPr="00C5057E">
        <w:rPr>
          <w:rFonts w:ascii="Palatino Linotype" w:hAnsi="Palatino Linotype" w:cs="Arial"/>
          <w:bCs/>
        </w:rPr>
        <w:t xml:space="preserve">revisión fue interpuesto por parte legítima, en atención a que se presentó por </w:t>
      </w:r>
      <w:r w:rsidRPr="00C5057E">
        <w:rPr>
          <w:rFonts w:ascii="Palatino Linotype" w:hAnsi="Palatino Linotype" w:cs="Arial"/>
          <w:b/>
          <w:bCs/>
        </w:rPr>
        <w:t>EL RECURRENTE,</w:t>
      </w:r>
      <w:r w:rsidRPr="00C5057E">
        <w:rPr>
          <w:rFonts w:ascii="Palatino Linotype" w:hAnsi="Palatino Linotype" w:cs="Arial"/>
          <w:bCs/>
        </w:rPr>
        <w:t xml:space="preserve"> quien es l</w:t>
      </w:r>
      <w:r>
        <w:rPr>
          <w:rFonts w:ascii="Palatino Linotype" w:hAnsi="Palatino Linotype" w:cs="Arial"/>
          <w:bCs/>
        </w:rPr>
        <w:t xml:space="preserve">a misma persona que formuló la </w:t>
      </w:r>
      <w:r w:rsidRPr="00C5057E">
        <w:rPr>
          <w:rFonts w:ascii="Palatino Linotype" w:hAnsi="Palatino Linotype" w:cs="Arial"/>
          <w:bCs/>
        </w:rPr>
        <w:t>solicitud de información pública.</w:t>
      </w:r>
    </w:p>
    <w:p w:rsidR="00B06BC7" w:rsidRPr="00C5057E" w:rsidRDefault="00B06BC7" w:rsidP="00B06BC7">
      <w:pPr>
        <w:tabs>
          <w:tab w:val="center" w:pos="4252"/>
          <w:tab w:val="right" w:pos="8504"/>
        </w:tabs>
        <w:spacing w:before="100" w:beforeAutospacing="1" w:after="100" w:afterAutospacing="1" w:line="360" w:lineRule="auto"/>
        <w:contextualSpacing/>
        <w:jc w:val="both"/>
        <w:rPr>
          <w:rFonts w:ascii="Palatino Linotype" w:eastAsiaTheme="minorEastAsia" w:hAnsi="Palatino Linotype" w:cs="Arial"/>
        </w:rPr>
      </w:pPr>
      <w:r w:rsidRPr="00C5057E">
        <w:rPr>
          <w:rFonts w:ascii="Palatino Linotype" w:hAnsi="Palatino Linotype" w:cs="Arial"/>
          <w:b/>
          <w:sz w:val="28"/>
          <w:szCs w:val="28"/>
        </w:rPr>
        <w:t>TERCERO. O</w:t>
      </w:r>
      <w:r w:rsidRPr="00C5057E">
        <w:rPr>
          <w:rFonts w:ascii="Palatino Linotype" w:hAnsi="Palatino Linotype" w:cs="Arial"/>
          <w:b/>
        </w:rPr>
        <w:t xml:space="preserve">portunidad. </w:t>
      </w:r>
      <w:r>
        <w:rPr>
          <w:rFonts w:ascii="Palatino Linotype" w:hAnsi="Palatino Linotype" w:cs="Arial"/>
        </w:rPr>
        <w:t xml:space="preserve">El recurso de </w:t>
      </w:r>
      <w:r w:rsidRPr="00C5057E">
        <w:rPr>
          <w:rFonts w:ascii="Palatino Linotype" w:hAnsi="Palatino Linotype" w:cs="Arial"/>
        </w:rPr>
        <w:t xml:space="preserve">revisión fue interpuesto dentro del plazo de quince días hábiles contados a partir del día siguiente al en que </w:t>
      </w:r>
      <w:r w:rsidR="00D6753C">
        <w:rPr>
          <w:rFonts w:ascii="Palatino Linotype" w:hAnsi="Palatino Linotype" w:cs="Arial"/>
          <w:b/>
        </w:rPr>
        <w:t>EL</w:t>
      </w:r>
      <w:r w:rsidRPr="00C5057E">
        <w:rPr>
          <w:rFonts w:ascii="Palatino Linotype" w:hAnsi="Palatino Linotype" w:cs="Arial"/>
          <w:b/>
        </w:rPr>
        <w:t xml:space="preserve"> RECURRENTE </w:t>
      </w:r>
      <w:r w:rsidRPr="00C5057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06BC7" w:rsidRPr="00C5057E" w:rsidRDefault="00B06BC7" w:rsidP="00B06BC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rsidR="00B06BC7" w:rsidRPr="00C5057E"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b/>
          <w:i/>
          <w:sz w:val="22"/>
          <w:szCs w:val="22"/>
          <w:lang w:val="es-ES_tradnl"/>
        </w:rPr>
        <w:t>“Artículo 178.</w:t>
      </w:r>
      <w:r w:rsidRPr="00C5057E">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06BC7" w:rsidRPr="00C5057E"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06BC7" w:rsidRPr="00C5057E" w:rsidRDefault="00B06BC7" w:rsidP="00B06BC7">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C5057E">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5057E">
        <w:rPr>
          <w:rFonts w:ascii="Palatino Linotype" w:eastAsiaTheme="minorEastAsia" w:hAnsi="Palatino Linotype" w:cs="Arial"/>
          <w:b/>
          <w:i/>
          <w:sz w:val="22"/>
          <w:szCs w:val="22"/>
          <w:lang w:val="es-ES_tradnl"/>
        </w:rPr>
        <w:t>”</w:t>
      </w:r>
    </w:p>
    <w:p w:rsidR="00B06BC7" w:rsidRPr="00C5057E" w:rsidRDefault="00B06BC7" w:rsidP="00B06BC7">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rsidR="00B06BC7" w:rsidRPr="006F0A02" w:rsidRDefault="00B06BC7" w:rsidP="00B06BC7">
      <w:pPr>
        <w:spacing w:before="100" w:beforeAutospacing="1" w:after="100" w:afterAutospacing="1" w:line="360" w:lineRule="auto"/>
        <w:jc w:val="both"/>
        <w:rPr>
          <w:rFonts w:ascii="Palatino Linotype" w:hAnsi="Palatino Linotype" w:cs="Arial"/>
          <w:color w:val="000000" w:themeColor="text1"/>
        </w:rPr>
      </w:pPr>
      <w:r w:rsidRPr="006F0A02">
        <w:rPr>
          <w:rFonts w:ascii="Palatino Linotype" w:eastAsiaTheme="minorEastAsia" w:hAnsi="Palatino Linotype" w:cs="Arial"/>
          <w:color w:val="000000" w:themeColor="text1"/>
          <w:lang w:val="es-ES_tradnl"/>
        </w:rPr>
        <w:t>En efecto, atendiendo a que</w:t>
      </w:r>
      <w:r>
        <w:rPr>
          <w:rFonts w:ascii="Palatino Linotype" w:eastAsiaTheme="minorEastAsia" w:hAnsi="Palatino Linotype" w:cs="Arial"/>
          <w:color w:val="000000" w:themeColor="text1"/>
          <w:lang w:val="es-ES_tradnl"/>
        </w:rPr>
        <w:t xml:space="preserve"> </w:t>
      </w:r>
      <w:r w:rsidRPr="006F0A02">
        <w:rPr>
          <w:rFonts w:ascii="Palatino Linotype" w:eastAsiaTheme="minorEastAsia" w:hAnsi="Palatino Linotype" w:cs="Arial"/>
          <w:b/>
          <w:color w:val="000000" w:themeColor="text1"/>
          <w:lang w:val="es-ES_tradnl"/>
        </w:rPr>
        <w:t>EL SUJETO OBLIGADO</w:t>
      </w:r>
      <w:r w:rsidRPr="006F0A02">
        <w:rPr>
          <w:rFonts w:ascii="Palatino Linotype" w:eastAsiaTheme="minorEastAsia" w:hAnsi="Palatino Linotype" w:cs="Arial"/>
          <w:color w:val="000000" w:themeColor="text1"/>
          <w:lang w:val="es-ES_tradnl"/>
        </w:rPr>
        <w:t xml:space="preserve"> notificó la respuesta a la solicitud de información pública el </w:t>
      </w:r>
      <w:r w:rsidR="00D6753C">
        <w:rPr>
          <w:rFonts w:ascii="Palatino Linotype" w:eastAsiaTheme="minorEastAsia" w:hAnsi="Palatino Linotype" w:cs="Arial"/>
          <w:b/>
          <w:color w:val="000000" w:themeColor="text1"/>
          <w:lang w:val="es-ES_tradnl"/>
        </w:rPr>
        <w:t xml:space="preserve">cuatro de agosto </w:t>
      </w:r>
      <w:r w:rsidRPr="006F0A02">
        <w:rPr>
          <w:rFonts w:ascii="Palatino Linotype" w:eastAsiaTheme="minorEastAsia" w:hAnsi="Palatino Linotype" w:cs="Arial"/>
          <w:b/>
          <w:color w:val="000000" w:themeColor="text1"/>
          <w:lang w:val="es-ES_tradnl"/>
        </w:rPr>
        <w:t xml:space="preserve">de dos mil veinte; </w:t>
      </w:r>
      <w:r>
        <w:rPr>
          <w:rFonts w:ascii="Palatino Linotype" w:hAnsi="Palatino Linotype" w:cs="Arial"/>
          <w:color w:val="000000" w:themeColor="text1"/>
        </w:rPr>
        <w:t>en</w:t>
      </w:r>
      <w:r w:rsidRPr="006F0A02">
        <w:rPr>
          <w:rFonts w:ascii="Palatino Linotype" w:hAnsi="Palatino Linotype" w:cs="Arial"/>
          <w:color w:val="000000" w:themeColor="text1"/>
        </w:rPr>
        <w:t xml:space="preserve"> consecuencia, el plazo de quince días hábiles que el artículo 178 de la ley de la materia otorga al</w:t>
      </w:r>
      <w:r w:rsidRPr="006F0A02">
        <w:rPr>
          <w:rFonts w:ascii="Palatino Linotype" w:hAnsi="Palatino Linotype" w:cs="Arial"/>
          <w:b/>
          <w:color w:val="000000" w:themeColor="text1"/>
        </w:rPr>
        <w:t xml:space="preserve"> RECURRENTE</w:t>
      </w:r>
      <w:r w:rsidRPr="006F0A02">
        <w:rPr>
          <w:rFonts w:ascii="Palatino Linotype" w:hAnsi="Palatino Linotype" w:cs="Arial"/>
          <w:color w:val="000000" w:themeColor="text1"/>
        </w:rPr>
        <w:t xml:space="preserve"> para presentar el recurso de revisión, transcurrió del</w:t>
      </w:r>
      <w:r w:rsidR="00D6753C">
        <w:rPr>
          <w:rFonts w:ascii="Palatino Linotype" w:hAnsi="Palatino Linotype" w:cs="Arial"/>
          <w:b/>
          <w:color w:val="000000" w:themeColor="text1"/>
        </w:rPr>
        <w:t xml:space="preserve"> cinco al veinticinco de agosto </w:t>
      </w:r>
      <w:r w:rsidRPr="006F0A02">
        <w:rPr>
          <w:rFonts w:ascii="Palatino Linotype" w:hAnsi="Palatino Linotype" w:cs="Arial"/>
          <w:b/>
          <w:color w:val="000000" w:themeColor="text1"/>
        </w:rPr>
        <w:t>de dos mil veinte</w:t>
      </w:r>
      <w:r w:rsidRPr="006F0A02">
        <w:rPr>
          <w:rFonts w:ascii="Palatino Linotype" w:hAnsi="Palatino Linotype" w:cs="Arial"/>
          <w:color w:val="000000" w:themeColor="text1"/>
        </w:rPr>
        <w:t xml:space="preserve">, sin contemplar en el cómputo los días </w:t>
      </w:r>
      <w:r w:rsidR="00D6753C">
        <w:rPr>
          <w:rFonts w:ascii="Palatino Linotype" w:hAnsi="Palatino Linotype" w:cs="Arial"/>
          <w:color w:val="000000" w:themeColor="text1"/>
        </w:rPr>
        <w:t xml:space="preserve">ocho, nueve, quince, dieciséis, veintidós y veintitrés de agosto del presente año, </w:t>
      </w:r>
      <w:r w:rsidRPr="006F0A02">
        <w:rPr>
          <w:rFonts w:ascii="Palatino Linotype" w:hAnsi="Palatino Linotype" w:cs="Arial"/>
          <w:color w:val="000000" w:themeColor="text1"/>
        </w:rPr>
        <w:t>por corresponder a sábados y domingos, considerados como días inhábiles, en términos del artículo 3, fracción X de la Ley de Transparencia y Ac</w:t>
      </w:r>
      <w:r w:rsidR="00D6753C">
        <w:rPr>
          <w:rFonts w:ascii="Palatino Linotype" w:hAnsi="Palatino Linotype" w:cs="Arial"/>
          <w:color w:val="000000" w:themeColor="text1"/>
        </w:rPr>
        <w:t xml:space="preserve">ceso a la Información Pública así como de conformidad con </w:t>
      </w:r>
      <w:r w:rsidRPr="006F0A02">
        <w:rPr>
          <w:rFonts w:ascii="Palatino Linotype" w:hAnsi="Palatino Linotype"/>
          <w:color w:val="000000" w:themeColor="text1"/>
        </w:rPr>
        <w:t xml:space="preserve">el </w:t>
      </w:r>
      <w:r w:rsidRPr="006F0A02">
        <w:rPr>
          <w:rFonts w:ascii="Palatino Linotype" w:hAnsi="Palatino Linotype" w:cs="Arial"/>
          <w:color w:val="000000" w:themeColor="text1"/>
        </w:rPr>
        <w:t>Calendario Oficial en Materia de Transparencia, Acceso a la Información Pública y Protección de Datos Personales del Estado de México y Municipios, publicado en el Periódico Oficial “Gaceta del Gobierno”, el diecinueve de diciembre de dos mil diecinueve;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y, del veintitrés de marzo al diecisiete de julio de dos mil veinte; por suspensión de plazos, ante la situación de la epidemia de la enfermedad generada por el virus SARS-CoV-2 (COVID-19), que originó la emergencia sanitaria por causa de fuerza mayor y medidas de seguridad.</w:t>
      </w:r>
      <w:r w:rsidRPr="00C5057E">
        <w:rPr>
          <w:rFonts w:ascii="Palatino Linotype" w:hAnsi="Palatino Linotype" w:cs="Arial"/>
          <w:color w:val="000000" w:themeColor="text1"/>
        </w:rPr>
        <w:t xml:space="preserve"> </w:t>
      </w:r>
    </w:p>
    <w:p w:rsidR="00B06BC7" w:rsidRPr="00C5057E" w:rsidRDefault="00B06BC7" w:rsidP="00B06BC7">
      <w:pPr>
        <w:spacing w:before="100" w:beforeAutospacing="1" w:after="100" w:afterAutospacing="1" w:line="360" w:lineRule="auto"/>
        <w:jc w:val="both"/>
        <w:rPr>
          <w:rFonts w:ascii="Palatino Linotype" w:eastAsiaTheme="minorEastAsia" w:hAnsi="Palatino Linotype" w:cs="Arial"/>
          <w:lang w:val="es-ES_tradnl"/>
        </w:rPr>
      </w:pPr>
      <w:r w:rsidRPr="00C5057E">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doce de agosto de</w:t>
      </w:r>
      <w:r w:rsidRPr="00C5057E">
        <w:rPr>
          <w:rFonts w:ascii="Palatino Linotype" w:eastAsiaTheme="minorEastAsia" w:hAnsi="Palatino Linotype" w:cs="Arial"/>
          <w:b/>
          <w:lang w:val="es-ES_tradnl"/>
        </w:rPr>
        <w:t xml:space="preserve"> dos mil veinte,</w:t>
      </w:r>
      <w:r w:rsidRPr="00C5057E">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B06BC7" w:rsidRPr="00C5057E" w:rsidRDefault="00B06BC7" w:rsidP="00B06BC7">
      <w:pPr>
        <w:tabs>
          <w:tab w:val="left" w:pos="2422"/>
        </w:tabs>
        <w:autoSpaceDE w:val="0"/>
        <w:autoSpaceDN w:val="0"/>
        <w:adjustRightInd w:val="0"/>
        <w:spacing w:before="100" w:beforeAutospacing="1" w:after="100" w:afterAutospacing="1" w:line="360" w:lineRule="auto"/>
        <w:ind w:right="49"/>
        <w:jc w:val="both"/>
        <w:rPr>
          <w:rFonts w:ascii="Palatino Linotype" w:hAnsi="Palatino Linotype"/>
          <w:b/>
          <w:lang w:val="es-ES"/>
        </w:rPr>
      </w:pPr>
      <w:r w:rsidRPr="00C5057E">
        <w:rPr>
          <w:rFonts w:ascii="Palatino Linotype" w:hAnsi="Palatino Linotype" w:cs="Arial"/>
          <w:b/>
          <w:sz w:val="28"/>
          <w:szCs w:val="28"/>
        </w:rPr>
        <w:t xml:space="preserve">CUARTO. </w:t>
      </w:r>
      <w:r w:rsidRPr="00C5057E">
        <w:rPr>
          <w:rFonts w:ascii="Palatino Linotype" w:hAnsi="Palatino Linotype" w:cs="Arial"/>
          <w:b/>
          <w:szCs w:val="28"/>
        </w:rPr>
        <w:t xml:space="preserve">Procedibilidad. </w:t>
      </w:r>
      <w:r w:rsidRPr="00C5057E">
        <w:rPr>
          <w:rFonts w:ascii="Palatino Linotype" w:hAnsi="Palatino Linotype" w:cs="Arial"/>
          <w:szCs w:val="28"/>
        </w:rPr>
        <w:t xml:space="preserve">Del análisis efectuado, se advierte la procedibilidad del presente recurso de revisión, en razón de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C5057E">
        <w:rPr>
          <w:rFonts w:ascii="Palatino Linotype" w:hAnsi="Palatino Linotype" w:cs="Arial"/>
          <w:b/>
          <w:szCs w:val="28"/>
        </w:rPr>
        <w:t>SAIMEX.</w:t>
      </w:r>
    </w:p>
    <w:p w:rsidR="00B06BC7" w:rsidRPr="008A72D9"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4554BF">
        <w:rPr>
          <w:rFonts w:ascii="Palatino Linotype" w:hAnsi="Palatino Linotype"/>
          <w:b/>
          <w:sz w:val="28"/>
          <w:szCs w:val="20"/>
          <w:lang w:val="es-ES_tradnl"/>
        </w:rPr>
        <w:t xml:space="preserve">QUINTO. </w:t>
      </w:r>
      <w:r w:rsidRPr="004554BF">
        <w:rPr>
          <w:rFonts w:ascii="Palatino Linotype" w:hAnsi="Palatino Linotype" w:cs="Arial"/>
          <w:b/>
        </w:rPr>
        <w:t>Análisis de la causal de sobreseimiento.</w:t>
      </w:r>
      <w:r w:rsidRPr="004554BF">
        <w:rPr>
          <w:rFonts w:ascii="Palatino Linotype" w:hAnsi="Palatino Linotype" w:cs="Arial"/>
        </w:rPr>
        <w:t xml:space="preserve"> </w:t>
      </w:r>
      <w:r w:rsidRPr="004554BF">
        <w:rPr>
          <w:rFonts w:ascii="Palatino Linotype" w:hAnsi="Palatino Linotype" w:cs="Arial"/>
          <w:color w:val="000000" w:themeColor="text1"/>
        </w:rPr>
        <w:t xml:space="preserve">A efecto de continuar con el presente estudio y previo análisis de las constancias que integran el expediente electrónico, se advierte que </w:t>
      </w:r>
      <w:r w:rsidR="004554BF">
        <w:rPr>
          <w:rFonts w:ascii="Palatino Linotype" w:hAnsi="Palatino Linotype" w:cs="Arial"/>
          <w:b/>
        </w:rPr>
        <w:t>EL</w:t>
      </w:r>
      <w:r w:rsidRPr="004554BF">
        <w:rPr>
          <w:rFonts w:ascii="Palatino Linotype" w:hAnsi="Palatino Linotype" w:cs="Arial"/>
          <w:b/>
        </w:rPr>
        <w:t xml:space="preserve"> RECURRENTE</w:t>
      </w:r>
      <w:r w:rsidRPr="004554BF">
        <w:rPr>
          <w:rFonts w:ascii="Palatino Linotype" w:hAnsi="Palatino Linotype"/>
          <w:color w:val="000000"/>
        </w:rPr>
        <w:t xml:space="preserve"> solicitó </w:t>
      </w:r>
      <w:r w:rsidRPr="004554BF">
        <w:rPr>
          <w:rFonts w:ascii="Palatino Linotype" w:hAnsi="Palatino Linotype" w:cs="Arial"/>
        </w:rPr>
        <w:t>del</w:t>
      </w:r>
      <w:r w:rsidRPr="004554BF">
        <w:rPr>
          <w:rFonts w:ascii="Palatino Linotype" w:hAnsi="Palatino Linotype"/>
          <w:color w:val="000000"/>
        </w:rPr>
        <w:t xml:space="preserve"> </w:t>
      </w:r>
      <w:r w:rsidRPr="004554BF">
        <w:rPr>
          <w:rFonts w:ascii="Palatino Linotype" w:hAnsi="Palatino Linotype" w:cs="Arial"/>
          <w:b/>
          <w:color w:val="000000"/>
        </w:rPr>
        <w:t>SUJETO OBLIGADO</w:t>
      </w:r>
      <w:r w:rsidRPr="004554BF">
        <w:rPr>
          <w:rFonts w:ascii="Palatino Linotype" w:hAnsi="Palatino Linotype" w:cs="Arial"/>
        </w:rPr>
        <w:t xml:space="preserve">, </w:t>
      </w:r>
      <w:r w:rsidRPr="004554BF">
        <w:rPr>
          <w:rFonts w:ascii="Palatino Linotype" w:hAnsi="Palatino Linotype"/>
        </w:rPr>
        <w:t xml:space="preserve">vía </w:t>
      </w:r>
      <w:r w:rsidRPr="004554BF">
        <w:rPr>
          <w:rFonts w:ascii="Palatino Linotype" w:hAnsi="Palatino Linotype"/>
          <w:b/>
        </w:rPr>
        <w:t>EL</w:t>
      </w:r>
      <w:r w:rsidRPr="004554BF">
        <w:rPr>
          <w:rFonts w:ascii="Palatino Linotype" w:hAnsi="Palatino Linotype"/>
        </w:rPr>
        <w:t xml:space="preserve"> </w:t>
      </w:r>
      <w:r w:rsidRPr="004554BF">
        <w:rPr>
          <w:rFonts w:ascii="Palatino Linotype" w:hAnsi="Palatino Linotype"/>
          <w:b/>
        </w:rPr>
        <w:t>SAIMEX</w:t>
      </w:r>
      <w:r w:rsidRPr="004554BF">
        <w:rPr>
          <w:rFonts w:ascii="Palatino Linotype" w:hAnsi="Palatino Linotype"/>
        </w:rPr>
        <w:t>,</w:t>
      </w:r>
      <w:r w:rsidRPr="004554BF">
        <w:rPr>
          <w:rFonts w:ascii="Palatino Linotype" w:hAnsi="Palatino Linotype" w:cs="Arial"/>
        </w:rPr>
        <w:t xml:space="preserve"> la siguiente información:</w:t>
      </w:r>
    </w:p>
    <w:p w:rsidR="004554BF" w:rsidRPr="00C5057E" w:rsidRDefault="004554BF" w:rsidP="004554BF">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C5057E">
        <w:rPr>
          <w:rFonts w:ascii="Palatino Linotype" w:hAnsi="Palatino Linotype" w:cs="Arial"/>
          <w:i/>
          <w:sz w:val="22"/>
          <w:szCs w:val="22"/>
        </w:rPr>
        <w:t>“</w:t>
      </w:r>
      <w:r w:rsidRPr="00B06BC7">
        <w:rPr>
          <w:rFonts w:ascii="Palatino Linotype" w:hAnsi="Palatino Linotype" w:cs="Arial"/>
          <w:i/>
          <w:sz w:val="22"/>
          <w:szCs w:val="22"/>
        </w:rPr>
        <w:t>Por medio del presente, solicito de manera respetuosa, me sea proporcionado: 1. Tabla de tabulacion bajo la cual se estipulan los salarios y/u honorarios de todo funcionario del H. Ayuntamiento. 2. De la Dirección de Administración, Transparencia, Cultura, Mujer, Presidencia, Secretaria del Ayuntamiento, Desarrollo Economico, Desarrollo Urbano, Monto total de nomina, salario y/o asimilados del mes de marzo y abril, desglosado por área, subárea, indicando puesto y nombres. Favor de anexar prueba documental en versión pública.</w:t>
      </w:r>
      <w:r w:rsidRPr="003A3143">
        <w:rPr>
          <w:rFonts w:ascii="Palatino Linotype" w:hAnsi="Palatino Linotype" w:cs="Arial"/>
          <w:i/>
          <w:sz w:val="22"/>
          <w:szCs w:val="22"/>
        </w:rPr>
        <w:t>”</w:t>
      </w:r>
      <w:r w:rsidRPr="00C5057E">
        <w:rPr>
          <w:rFonts w:ascii="Palatino Linotype" w:hAnsi="Palatino Linotype" w:cs="Arial"/>
          <w:i/>
          <w:sz w:val="22"/>
          <w:szCs w:val="22"/>
        </w:rPr>
        <w:t xml:space="preserve"> (Sic)</w:t>
      </w:r>
    </w:p>
    <w:p w:rsidR="00B06BC7"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sidRPr="008A72D9">
        <w:rPr>
          <w:rFonts w:ascii="Palatino Linotype" w:hAnsi="Palatino Linotype" w:cs="Arial"/>
        </w:rPr>
        <w:t xml:space="preserve">Se destaca que, </w:t>
      </w:r>
      <w:r w:rsidRPr="008A72D9">
        <w:rPr>
          <w:rFonts w:ascii="Palatino Linotype" w:hAnsi="Palatino Linotype" w:cs="Arial"/>
          <w:b/>
        </w:rPr>
        <w:t xml:space="preserve">EL SUJETO OBLIGADO </w:t>
      </w:r>
      <w:r w:rsidRPr="008A72D9">
        <w:rPr>
          <w:rFonts w:ascii="Palatino Linotype" w:hAnsi="Palatino Linotype" w:cs="Arial"/>
        </w:rPr>
        <w:t>dio respuesta a la solicitud de a</w:t>
      </w:r>
      <w:r>
        <w:rPr>
          <w:rFonts w:ascii="Palatino Linotype" w:hAnsi="Palatino Linotype" w:cs="Arial"/>
        </w:rPr>
        <w:t>cceso a la información pública, en los siguientes términos:</w:t>
      </w:r>
    </w:p>
    <w:p w:rsidR="004554BF" w:rsidRPr="00B06BC7" w:rsidRDefault="004554BF" w:rsidP="004554BF">
      <w:pPr>
        <w:tabs>
          <w:tab w:val="left" w:pos="851"/>
        </w:tabs>
        <w:spacing w:before="100" w:beforeAutospacing="1" w:after="100" w:afterAutospacing="1"/>
        <w:ind w:left="851" w:right="901"/>
        <w:jc w:val="both"/>
        <w:rPr>
          <w:rFonts w:ascii="Palatino Linotype" w:hAnsi="Palatino Linotype" w:cs="Arial"/>
          <w:i/>
          <w:sz w:val="22"/>
          <w:szCs w:val="22"/>
        </w:rPr>
      </w:pPr>
      <w:r>
        <w:rPr>
          <w:rFonts w:ascii="Palatino Linotype" w:hAnsi="Palatino Linotype" w:cs="Arial"/>
          <w:i/>
          <w:sz w:val="22"/>
          <w:szCs w:val="22"/>
        </w:rPr>
        <w:t>“</w:t>
      </w:r>
      <w:r w:rsidRPr="00B06BC7">
        <w:rPr>
          <w:rFonts w:ascii="Palatino Linotype" w:hAnsi="Palatino Linotype" w:cs="Arial"/>
          <w:i/>
          <w:sz w:val="22"/>
          <w:szCs w:val="22"/>
        </w:rPr>
        <w:t>Nombre del solicitante: SIN DATO Folio de la solicitud: 00174 CUAUTIT/IP/2020 El suscrito en calidad de coordinador de la unidad de transparencia, me permito hacer entrega de la información solicitada y dar cumplimiento a lo estipulado en el Artículo 53 fracciones II, V y VI IV de la Ley de Transparencia Y Acceso a la Información pública del Estado de México y Municipios. Sin otro particular que el presente, le extiendo un cordial saludo. ATENTAMENTE LIC. LUIS UBALDO GARAY RÍOS Coordinador de la Unidad de Transparencia del Ayuntamiento de Cuautitlán</w:t>
      </w:r>
      <w:r>
        <w:rPr>
          <w:rFonts w:ascii="Palatino Linotype" w:hAnsi="Palatino Linotype" w:cs="Arial"/>
          <w:i/>
          <w:sz w:val="22"/>
          <w:szCs w:val="22"/>
        </w:rPr>
        <w:t>.” (sic)</w:t>
      </w:r>
    </w:p>
    <w:p w:rsidR="004554BF" w:rsidRDefault="004554BF" w:rsidP="004554BF">
      <w:pPr>
        <w:spacing w:before="100" w:beforeAutospacing="1" w:after="100" w:afterAutospacing="1" w:line="360" w:lineRule="auto"/>
        <w:jc w:val="both"/>
        <w:rPr>
          <w:rFonts w:ascii="Palatino Linotype" w:hAnsi="Palatino Linotype" w:cs="Arial"/>
          <w:lang w:val="es-ES_tradnl"/>
        </w:rPr>
      </w:pPr>
      <w:r w:rsidRPr="00D60CC8">
        <w:rPr>
          <w:rFonts w:ascii="Palatino Linotype" w:hAnsi="Palatino Linotype" w:cs="Arial"/>
          <w:lang w:val="es-ES_tradnl"/>
        </w:rPr>
        <w:t xml:space="preserve">Adjuntando a la misma </w:t>
      </w:r>
      <w:r>
        <w:rPr>
          <w:rFonts w:ascii="Palatino Linotype" w:hAnsi="Palatino Linotype" w:cs="Arial"/>
          <w:lang w:val="es-ES_tradnl"/>
        </w:rPr>
        <w:t xml:space="preserve">el archivo electrónico denominado </w:t>
      </w:r>
      <w:r w:rsidR="00655B37">
        <w:fldChar w:fldCharType="begin"/>
      </w:r>
      <w:r w:rsidR="00F86667">
        <w:instrText>HYPERLINK "https://www.saimex.org.mx/saimex/solicitud/downloadAttach/935098.page" \t "_blank"</w:instrText>
      </w:r>
      <w:r w:rsidR="00655B37">
        <w:fldChar w:fldCharType="separate"/>
      </w:r>
      <w:r w:rsidRPr="00B06BC7">
        <w:rPr>
          <w:rFonts w:ascii="Palatino Linotype" w:hAnsi="Palatino Linotype"/>
          <w:b/>
          <w:lang w:val="es-ES_tradnl"/>
        </w:rPr>
        <w:t>Contestación 00174-2020.zip</w:t>
      </w:r>
      <w:r w:rsidR="00655B37">
        <w:fldChar w:fldCharType="end"/>
      </w:r>
      <w:r>
        <w:rPr>
          <w:rFonts w:ascii="Palatino Linotype" w:hAnsi="Palatino Linotype" w:cs="Arial"/>
          <w:b/>
          <w:lang w:val="es-ES_tradnl"/>
        </w:rPr>
        <w:t xml:space="preserve">, </w:t>
      </w:r>
      <w:r>
        <w:rPr>
          <w:rFonts w:ascii="Palatino Linotype" w:hAnsi="Palatino Linotype" w:cs="Arial"/>
          <w:lang w:val="es-ES_tradnl"/>
        </w:rPr>
        <w:t>mediante el cual hizo entrega de los archivos que contenían parte de la información solicitada por el particular.</w:t>
      </w:r>
    </w:p>
    <w:p w:rsidR="00B06BC7" w:rsidRPr="009B19AA"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rPr>
      </w:pPr>
      <w:r>
        <w:rPr>
          <w:rFonts w:ascii="Palatino Linotype" w:hAnsi="Palatino Linotype" w:cs="Arial"/>
        </w:rPr>
        <w:t xml:space="preserve">Derivado de la respuesta otorgada por </w:t>
      </w:r>
      <w:r>
        <w:rPr>
          <w:rFonts w:ascii="Palatino Linotype" w:hAnsi="Palatino Linotype" w:cs="Arial"/>
          <w:b/>
        </w:rPr>
        <w:t xml:space="preserve">EL SUJETO OBLIGADO </w:t>
      </w:r>
      <w:r>
        <w:rPr>
          <w:rFonts w:ascii="Palatino Linotype" w:hAnsi="Palatino Linotype" w:cs="Arial"/>
        </w:rPr>
        <w:t xml:space="preserve">fue que </w:t>
      </w:r>
      <w:r w:rsidR="004554BF">
        <w:rPr>
          <w:rFonts w:ascii="Palatino Linotype" w:hAnsi="Palatino Linotype" w:cs="Arial"/>
          <w:b/>
        </w:rPr>
        <w:t>EL</w:t>
      </w:r>
      <w:r>
        <w:rPr>
          <w:rFonts w:ascii="Palatino Linotype" w:hAnsi="Palatino Linotype" w:cs="Arial"/>
          <w:b/>
        </w:rPr>
        <w:t xml:space="preserve"> RECURRENTE </w:t>
      </w:r>
      <w:r>
        <w:rPr>
          <w:rFonts w:ascii="Palatino Linotype" w:hAnsi="Palatino Linotype" w:cs="Arial"/>
        </w:rPr>
        <w:t>presentó el recurso de revisión que nos ocupa.</w:t>
      </w:r>
    </w:p>
    <w:p w:rsidR="00B06BC7" w:rsidRDefault="00B06BC7" w:rsidP="00B06BC7">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cs="Arial"/>
          <w:color w:val="000000"/>
          <w:lang w:eastAsia="es-MX"/>
        </w:rPr>
      </w:pPr>
      <w:r w:rsidRPr="008A72D9">
        <w:rPr>
          <w:rFonts w:ascii="Palatino Linotype" w:hAnsi="Palatino Linotype" w:cs="Arial"/>
        </w:rPr>
        <w:t xml:space="preserve">Ulteriormente, </w:t>
      </w:r>
      <w:r w:rsidR="004554BF">
        <w:rPr>
          <w:rFonts w:ascii="Palatino Linotype" w:hAnsi="Palatino Linotype" w:cs="Arial"/>
          <w:b/>
        </w:rPr>
        <w:t>EL</w:t>
      </w:r>
      <w:r w:rsidRPr="008A72D9">
        <w:rPr>
          <w:rFonts w:ascii="Palatino Linotype" w:hAnsi="Palatino Linotype" w:cs="Arial"/>
          <w:b/>
        </w:rPr>
        <w:t xml:space="preserve"> RECURRENTE</w:t>
      </w:r>
      <w:r w:rsidRPr="008A72D9">
        <w:rPr>
          <w:rFonts w:ascii="Palatino Linotype" w:hAnsi="Palatino Linotype" w:cs="Arial"/>
        </w:rPr>
        <w:t xml:space="preserve"> </w:t>
      </w:r>
      <w:r w:rsidRPr="008A72D9">
        <w:rPr>
          <w:rFonts w:ascii="Palatino Linotype" w:hAnsi="Palatino Linotype"/>
        </w:rPr>
        <w:t>presentó</w:t>
      </w:r>
      <w:r w:rsidRPr="008A72D9">
        <w:rPr>
          <w:rFonts w:ascii="Palatino Linotype" w:hAnsi="Palatino Linotype" w:cs="Arial"/>
          <w:color w:val="000000"/>
          <w:lang w:eastAsia="es-MX"/>
        </w:rPr>
        <w:t xml:space="preserve"> su desistimiento con respecto a la acción en el presente recurso de revisión</w:t>
      </w:r>
      <w:r>
        <w:rPr>
          <w:rFonts w:ascii="Palatino Linotype" w:hAnsi="Palatino Linotype" w:cs="Arial"/>
          <w:color w:val="000000"/>
          <w:lang w:eastAsia="es-MX"/>
        </w:rPr>
        <w:t xml:space="preserve"> como se muestra a continuación:</w:t>
      </w:r>
    </w:p>
    <w:p w:rsidR="00B06BC7" w:rsidRDefault="00655B37" w:rsidP="00B06BC7">
      <w:pPr>
        <w:pStyle w:val="Prrafodelista"/>
        <w:widowControl w:val="0"/>
        <w:tabs>
          <w:tab w:val="left" w:pos="1701"/>
          <w:tab w:val="left" w:pos="1843"/>
        </w:tabs>
        <w:autoSpaceDE w:val="0"/>
        <w:autoSpaceDN w:val="0"/>
        <w:adjustRightInd w:val="0"/>
        <w:spacing w:before="200" w:after="200" w:line="360" w:lineRule="auto"/>
        <w:ind w:left="0"/>
        <w:jc w:val="center"/>
        <w:rPr>
          <w:rFonts w:ascii="Palatino Linotype" w:hAnsi="Palatino Linotype" w:cs="Arial"/>
          <w:color w:val="000000"/>
          <w:lang w:eastAsia="es-MX"/>
        </w:rPr>
      </w:pPr>
      <w:r w:rsidRPr="00655B37">
        <w:rPr>
          <w:noProof/>
          <w:lang w:eastAsia="es-MX"/>
        </w:rPr>
        <w:pict>
          <v:rect id="Rectángulo 6" o:spid="_x0000_s1026" style="position:absolute;left:0;text-align:left;margin-left:26.1pt;margin-top:99.8pt;width:406.65pt;height:21.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" filled="f" strokecolor="#1f4d78 [1604]" strokeweight="2.25pt"/>
        </w:pict>
      </w:r>
      <w:r w:rsidR="004554BF">
        <w:rPr>
          <w:noProof/>
          <w:lang w:val="es-ES_tradnl" w:eastAsia="es-ES_tradnl"/>
        </w:rPr>
        <w:drawing>
          <wp:inline distT="0" distB="0" distL="0" distR="0">
            <wp:extent cx="5263303" cy="173370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694" t="22689" r="7789" b="27208"/>
                    <a:stretch/>
                  </pic:blipFill>
                  <pic:spPr bwMode="auto">
                    <a:xfrm>
                      <a:off x="0" y="0"/>
                      <a:ext cx="5269330" cy="173568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a:ext>
                    </a:extLst>
                  </pic:spPr>
                </pic:pic>
              </a:graphicData>
            </a:graphic>
          </wp:inline>
        </w:drawing>
      </w:r>
    </w:p>
    <w:p w:rsidR="00B06BC7" w:rsidRPr="008A72D9" w:rsidRDefault="00B06BC7" w:rsidP="00B06BC7">
      <w:pPr>
        <w:pStyle w:val="Prrafodelista"/>
        <w:widowControl w:val="0"/>
        <w:tabs>
          <w:tab w:val="left" w:pos="1701"/>
          <w:tab w:val="left" w:pos="1843"/>
        </w:tabs>
        <w:autoSpaceDE w:val="0"/>
        <w:autoSpaceDN w:val="0"/>
        <w:adjustRightInd w:val="0"/>
        <w:spacing w:before="100" w:beforeAutospacing="1" w:after="100" w:afterAutospacing="1" w:line="360" w:lineRule="auto"/>
        <w:ind w:left="0"/>
        <w:jc w:val="both"/>
        <w:rPr>
          <w:rFonts w:ascii="Palatino Linotype" w:hAnsi="Palatino Linotype" w:cs="Arial"/>
        </w:rPr>
      </w:pPr>
      <w:r w:rsidRPr="008A72D9">
        <w:rPr>
          <w:rFonts w:ascii="Palatino Linotype" w:hAnsi="Palatino Linotype" w:cs="Arial"/>
          <w:color w:val="000000"/>
          <w:lang w:eastAsia="es-MX"/>
        </w:rPr>
        <w:t xml:space="preserve">Precisado lo anterior, debe señalarse que </w:t>
      </w:r>
      <w:r w:rsidRPr="008A72D9">
        <w:rPr>
          <w:rFonts w:ascii="Palatino Linotype" w:eastAsia="Arial Unicode MS" w:hAnsi="Palatino Linotype" w:cs="Arial"/>
          <w:color w:val="000000"/>
          <w:lang w:eastAsia="es-MX"/>
        </w:rPr>
        <w:t xml:space="preserve">el desistimiento en el procedimiento de revisión, sólo puede ser activado por </w:t>
      </w:r>
      <w:r w:rsidR="004554BF">
        <w:rPr>
          <w:rFonts w:ascii="Palatino Linotype" w:hAnsi="Palatino Linotype" w:cs="Arial"/>
          <w:b/>
        </w:rPr>
        <w:t>EL</w:t>
      </w:r>
      <w:r w:rsidRPr="008A72D9">
        <w:rPr>
          <w:rFonts w:ascii="Palatino Linotype" w:hAnsi="Palatino Linotype" w:cs="Arial"/>
          <w:b/>
        </w:rPr>
        <w:t xml:space="preserve"> RECURRENTE</w:t>
      </w:r>
      <w:r w:rsidRPr="008A72D9">
        <w:rPr>
          <w:rFonts w:ascii="Palatino Linotype" w:eastAsia="Arial Unicode MS" w:hAnsi="Palatino Linotype" w:cs="Arial"/>
          <w:color w:val="000000"/>
          <w:lang w:eastAsia="es-MX"/>
        </w:rPr>
        <w:t xml:space="preserve"> mediante el ingreso al </w:t>
      </w:r>
      <w:r w:rsidRPr="008A72D9">
        <w:rPr>
          <w:rFonts w:ascii="Palatino Linotype" w:hAnsi="Palatino Linotype" w:cs="Arial"/>
          <w:b/>
        </w:rPr>
        <w:t>SAIMEX</w:t>
      </w:r>
      <w:r w:rsidRPr="008A72D9">
        <w:rPr>
          <w:rFonts w:ascii="Palatino Linotype" w:hAnsi="Palatino Linotype"/>
        </w:rPr>
        <w:t xml:space="preserve">, utilizando </w:t>
      </w:r>
      <w:r w:rsidRPr="008A72D9">
        <w:rPr>
          <w:rFonts w:ascii="Palatino Linotype" w:eastAsia="Arial Unicode MS" w:hAnsi="Palatino Linotype" w:cs="Arial"/>
          <w:color w:val="000000"/>
          <w:lang w:eastAsia="es-MX"/>
        </w:rPr>
        <w:t xml:space="preserve">su clave de usuario y contraseña; por lo que, no existe duda de que </w:t>
      </w:r>
      <w:r w:rsidRPr="008A72D9">
        <w:rPr>
          <w:rFonts w:ascii="Palatino Linotype" w:hAnsi="Palatino Linotype" w:cs="Arial"/>
          <w:lang w:val="es-ES_tradnl"/>
        </w:rPr>
        <w:t>se</w:t>
      </w:r>
      <w:r w:rsidRPr="008A72D9">
        <w:rPr>
          <w:rFonts w:ascii="Palatino Linotype" w:eastAsia="Arial Unicode MS" w:hAnsi="Palatino Linotype" w:cs="Arial"/>
          <w:color w:val="000000"/>
          <w:lang w:eastAsia="es-MX"/>
        </w:rPr>
        <w:t xml:space="preserve"> </w:t>
      </w:r>
      <w:r w:rsidRPr="008A72D9">
        <w:rPr>
          <w:rFonts w:ascii="Palatino Linotype" w:hAnsi="Palatino Linotype"/>
        </w:rPr>
        <w:t>trata</w:t>
      </w:r>
      <w:r w:rsidRPr="008A72D9">
        <w:rPr>
          <w:rFonts w:ascii="Palatino Linotype" w:eastAsia="Arial Unicode MS" w:hAnsi="Palatino Linotype" w:cs="Arial"/>
          <w:color w:val="000000"/>
          <w:lang w:eastAsia="es-MX"/>
        </w:rPr>
        <w:t xml:space="preserve"> de un </w:t>
      </w:r>
      <w:r w:rsidRPr="008A72D9">
        <w:rPr>
          <w:rFonts w:ascii="Palatino Linotype" w:eastAsia="Arial Unicode MS" w:hAnsi="Palatino Linotype" w:cs="Arial"/>
          <w:b/>
          <w:color w:val="000000"/>
          <w:lang w:eastAsia="es-MX"/>
        </w:rPr>
        <w:t>desistimiento expreso</w:t>
      </w:r>
      <w:r w:rsidRPr="008A72D9">
        <w:rPr>
          <w:rFonts w:ascii="Palatino Linotype" w:eastAsia="Arial Unicode MS" w:hAnsi="Palatino Linotype" w:cs="Arial"/>
          <w:color w:val="000000"/>
          <w:lang w:eastAsia="es-MX"/>
        </w:rPr>
        <w:t xml:space="preserve"> por parte de</w:t>
      </w:r>
      <w:r w:rsidR="004554BF">
        <w:rPr>
          <w:rFonts w:ascii="Palatino Linotype" w:eastAsia="Arial Unicode MS" w:hAnsi="Palatino Linotype" w:cs="Arial"/>
          <w:color w:val="000000"/>
          <w:lang w:eastAsia="es-MX"/>
        </w:rPr>
        <w:t>l particular</w:t>
      </w:r>
      <w:r w:rsidRPr="008A72D9">
        <w:rPr>
          <w:rFonts w:ascii="Palatino Linotype" w:eastAsia="Arial Unicode MS" w:hAnsi="Palatino Linotype" w:cs="Arial"/>
          <w:color w:val="000000"/>
          <w:lang w:eastAsia="es-MX"/>
        </w:rPr>
        <w:t xml:space="preserve">, en virtud de lo cual, el </w:t>
      </w:r>
      <w:r w:rsidRPr="008A72D9">
        <w:rPr>
          <w:rFonts w:ascii="Palatino Linotype" w:hAnsi="Palatino Linotype" w:cs="Arial"/>
        </w:rPr>
        <w:t xml:space="preserve">presente recurso de revisión </w:t>
      </w:r>
      <w:r w:rsidRPr="008A72D9">
        <w:rPr>
          <w:rFonts w:ascii="Palatino Linotype" w:hAnsi="Palatino Linotype" w:cs="Arial"/>
          <w:b/>
        </w:rPr>
        <w:t>ha quedado sin materia</w:t>
      </w:r>
      <w:r w:rsidRPr="008A72D9">
        <w:rPr>
          <w:rFonts w:ascii="Palatino Linotype" w:hAnsi="Palatino Linotype" w:cs="Arial"/>
        </w:rPr>
        <w:t>.</w:t>
      </w:r>
    </w:p>
    <w:p w:rsidR="00B06BC7" w:rsidRPr="008A72D9" w:rsidRDefault="00B06BC7" w:rsidP="00B06BC7">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olor w:val="000000"/>
        </w:rPr>
      </w:pPr>
      <w:r w:rsidRPr="008A72D9">
        <w:rPr>
          <w:rFonts w:ascii="Palatino Linotype" w:hAnsi="Palatino Linotype" w:cs="Arial"/>
          <w:lang w:val="es-ES_tradnl"/>
        </w:rPr>
        <w:t xml:space="preserve">En atención a </w:t>
      </w:r>
      <w:r w:rsidRPr="008A72D9">
        <w:rPr>
          <w:rFonts w:ascii="Palatino Linotype" w:hAnsi="Palatino Linotype"/>
          <w:color w:val="000000"/>
        </w:rPr>
        <w:t>las</w:t>
      </w:r>
      <w:r w:rsidRPr="008A72D9">
        <w:rPr>
          <w:rFonts w:ascii="Palatino Linotype" w:hAnsi="Palatino Linotype" w:cs="Arial"/>
          <w:lang w:val="es-ES_tradnl"/>
        </w:rPr>
        <w:t xml:space="preserve"> consideraciones anteriores, esta Ponencia Resolutora</w:t>
      </w:r>
      <w:r w:rsidRPr="008A72D9">
        <w:rPr>
          <w:rFonts w:ascii="Palatino Linotype" w:hAnsi="Palatino Linotype"/>
          <w:color w:val="000000" w:themeColor="text1"/>
        </w:rPr>
        <w:t xml:space="preserve"> advierte que, en el presente </w:t>
      </w:r>
      <w:r w:rsidRPr="008A72D9">
        <w:rPr>
          <w:rFonts w:ascii="Palatino Linotype" w:hAnsi="Palatino Linotype"/>
        </w:rPr>
        <w:t>caso</w:t>
      </w:r>
      <w:r w:rsidRPr="008A72D9">
        <w:rPr>
          <w:rFonts w:ascii="Palatino Linotype" w:hAnsi="Palatino Linotype"/>
          <w:color w:val="000000" w:themeColor="text1"/>
        </w:rPr>
        <w:t xml:space="preserve">, se actualiza la hipótesis prevista en </w:t>
      </w:r>
      <w:r w:rsidRPr="008A72D9">
        <w:rPr>
          <w:rFonts w:ascii="Palatino Linotype" w:hAnsi="Palatino Linotype" w:cs="Arial"/>
          <w:lang w:val="es-ES_tradnl"/>
        </w:rPr>
        <w:t xml:space="preserve">el </w:t>
      </w:r>
      <w:r w:rsidRPr="008A72D9">
        <w:rPr>
          <w:rFonts w:ascii="Palatino Linotype" w:hAnsi="Palatino Linotype"/>
          <w:color w:val="000000" w:themeColor="text1"/>
        </w:rPr>
        <w:t>artículo 192, fracción I de</w:t>
      </w:r>
      <w:r w:rsidRPr="008A72D9">
        <w:rPr>
          <w:rFonts w:ascii="Palatino Linotype" w:hAnsi="Palatino Linotype" w:cs="Arial"/>
          <w:lang w:val="es-ES_tradnl"/>
        </w:rPr>
        <w:t xml:space="preserve"> la </w:t>
      </w:r>
      <w:r w:rsidRPr="008A72D9">
        <w:rPr>
          <w:rFonts w:ascii="Palatino Linotype" w:hAnsi="Palatino Linotype"/>
        </w:rPr>
        <w:t xml:space="preserve">Ley de Transparencia y Acceso a la Información Pública del Estado de México y Municipios, </w:t>
      </w:r>
      <w:r w:rsidRPr="008A72D9">
        <w:rPr>
          <w:rFonts w:ascii="Palatino Linotype" w:hAnsi="Palatino Linotype"/>
          <w:color w:val="000000" w:themeColor="text1"/>
        </w:rPr>
        <w:t xml:space="preserve">que dispone lo siguiente: </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Artículo 192.</w:t>
      </w:r>
      <w:r w:rsidRPr="008A72D9">
        <w:rPr>
          <w:rFonts w:ascii="Palatino Linotype" w:hAnsi="Palatino Linotype" w:cs="Arial"/>
          <w:i/>
          <w:sz w:val="22"/>
        </w:rPr>
        <w:t xml:space="preserve"> </w:t>
      </w:r>
      <w:r w:rsidRPr="008A72D9">
        <w:rPr>
          <w:rFonts w:ascii="Palatino Linotype" w:hAnsi="Palatino Linotype" w:cs="Arial"/>
          <w:b/>
          <w:i/>
          <w:sz w:val="22"/>
          <w:u w:val="single"/>
        </w:rPr>
        <w:t>El recurso será sobreseído</w:t>
      </w:r>
      <w:r w:rsidRPr="008A72D9">
        <w:rPr>
          <w:rFonts w:ascii="Palatino Linotype" w:hAnsi="Palatino Linotype" w:cs="Arial"/>
          <w:i/>
          <w:sz w:val="22"/>
        </w:rPr>
        <w:t xml:space="preserve">, en todo o en parte, </w:t>
      </w:r>
      <w:r w:rsidRPr="008A72D9">
        <w:rPr>
          <w:rFonts w:ascii="Palatino Linotype" w:hAnsi="Palatino Linotype" w:cs="Arial"/>
          <w:b/>
          <w:i/>
          <w:sz w:val="22"/>
          <w:u w:val="single"/>
        </w:rPr>
        <w:t>cuando una vez admitido</w:t>
      </w:r>
      <w:r w:rsidRPr="008A72D9">
        <w:rPr>
          <w:rFonts w:ascii="Palatino Linotype" w:hAnsi="Palatino Linotype" w:cs="Arial"/>
          <w:i/>
          <w:sz w:val="22"/>
        </w:rPr>
        <w:t>, se actualicen alguno de los siguientes supuestos:</w:t>
      </w:r>
    </w:p>
    <w:p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b/>
          <w:i/>
          <w:sz w:val="22"/>
        </w:rPr>
        <w:t>I.</w:t>
      </w:r>
      <w:r w:rsidRPr="008A72D9">
        <w:rPr>
          <w:rFonts w:ascii="Palatino Linotype" w:hAnsi="Palatino Linotype" w:cs="Arial"/>
          <w:i/>
          <w:sz w:val="22"/>
        </w:rPr>
        <w:t xml:space="preserve"> </w:t>
      </w:r>
      <w:r w:rsidRPr="008A72D9">
        <w:rPr>
          <w:rFonts w:ascii="Palatino Linotype" w:hAnsi="Palatino Linotype" w:cs="Arial"/>
          <w:b/>
          <w:i/>
          <w:sz w:val="22"/>
          <w:u w:val="single"/>
        </w:rPr>
        <w:t>El recurrente se desista expresamente del recurso</w:t>
      </w:r>
      <w:r w:rsidRPr="008A72D9">
        <w:rPr>
          <w:rFonts w:ascii="Palatino Linotype" w:hAnsi="Palatino Linotype" w:cs="Arial"/>
          <w:i/>
          <w:sz w:val="22"/>
        </w:rPr>
        <w:t>;”</w:t>
      </w:r>
    </w:p>
    <w:p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rsidR="00B06BC7" w:rsidRPr="008A72D9" w:rsidRDefault="00B06BC7" w:rsidP="00B06BC7">
      <w:pPr>
        <w:pStyle w:val="Prrafodelista"/>
        <w:widowControl w:val="0"/>
        <w:autoSpaceDE w:val="0"/>
        <w:autoSpaceDN w:val="0"/>
        <w:adjustRightInd w:val="0"/>
        <w:spacing w:before="360" w:after="240" w:line="360" w:lineRule="auto"/>
        <w:ind w:left="0"/>
        <w:jc w:val="both"/>
        <w:rPr>
          <w:rFonts w:ascii="Palatino Linotype" w:eastAsia="Calibri" w:hAnsi="Palatino Linotype" w:cs="Arial"/>
        </w:rPr>
      </w:pPr>
      <w:r w:rsidRPr="008A72D9">
        <w:rPr>
          <w:rFonts w:ascii="Palatino Linotype" w:hAnsi="Palatino Linotype"/>
          <w:color w:val="000000"/>
        </w:rPr>
        <w:t xml:space="preserve">En </w:t>
      </w:r>
      <w:r w:rsidRPr="008A72D9">
        <w:rPr>
          <w:rFonts w:ascii="Palatino Linotype" w:eastAsia="Calibri" w:hAnsi="Palatino Linotype" w:cs="Arial"/>
        </w:rPr>
        <w:t>consecuencia</w:t>
      </w:r>
      <w:r w:rsidRPr="008A72D9">
        <w:rPr>
          <w:rFonts w:ascii="Palatino Linotype" w:hAnsi="Palatino Linotype"/>
          <w:color w:val="000000"/>
        </w:rPr>
        <w:t xml:space="preserve">, </w:t>
      </w:r>
      <w:r w:rsidRPr="008A72D9">
        <w:rPr>
          <w:rFonts w:ascii="Palatino Linotype" w:hAnsi="Palatino Linotype"/>
        </w:rPr>
        <w:t xml:space="preserve">se </w:t>
      </w:r>
      <w:r w:rsidRPr="008A72D9">
        <w:rPr>
          <w:rFonts w:ascii="Palatino Linotype" w:hAnsi="Palatino Linotype" w:cs="Arial"/>
          <w:lang w:val="es-ES_tradnl"/>
        </w:rPr>
        <w:t xml:space="preserve">determina </w:t>
      </w:r>
      <w:r w:rsidRPr="008A72D9">
        <w:rPr>
          <w:rFonts w:ascii="Palatino Linotype" w:hAnsi="Palatino Linotype" w:cs="Arial"/>
          <w:b/>
          <w:lang w:val="es-ES_tradnl"/>
        </w:rPr>
        <w:t>SOBRESEER</w:t>
      </w:r>
      <w:r w:rsidRPr="008A72D9">
        <w:rPr>
          <w:rFonts w:ascii="Palatino Linotype" w:hAnsi="Palatino Linotype" w:cs="Arial"/>
          <w:lang w:val="es-ES_tradnl"/>
        </w:rPr>
        <w:t xml:space="preserve"> en el presente Recurso de Revisión, en </w:t>
      </w:r>
      <w:r w:rsidRPr="008A72D9">
        <w:rPr>
          <w:rFonts w:ascii="Palatino Linotype" w:hAnsi="Palatino Linotype"/>
          <w:bCs/>
        </w:rPr>
        <w:t>términos</w:t>
      </w:r>
      <w:r w:rsidRPr="008A72D9">
        <w:rPr>
          <w:rFonts w:ascii="Palatino Linotype" w:hAnsi="Palatino Linotype" w:cs="Arial"/>
          <w:lang w:val="es-ES_tradnl"/>
        </w:rPr>
        <w:t xml:space="preserve"> del artículo 186, fracción I de la </w:t>
      </w:r>
      <w:r w:rsidRPr="008A72D9">
        <w:rPr>
          <w:rFonts w:ascii="Palatino Linotype" w:eastAsia="Calibri" w:hAnsi="Palatino Linotype" w:cs="Arial"/>
        </w:rPr>
        <w:t>Ley de Transparencia y Acceso a la Información Pública del Estado de México y Municipios:</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 xml:space="preserve">Artículo 186. </w:t>
      </w:r>
      <w:r w:rsidRPr="008A72D9">
        <w:rPr>
          <w:rFonts w:ascii="Palatino Linotype" w:hAnsi="Palatino Linotype" w:cs="Arial"/>
          <w:b/>
          <w:i/>
          <w:sz w:val="22"/>
          <w:u w:val="single"/>
        </w:rPr>
        <w:t>Las resoluciones del Instituto podrán</w:t>
      </w:r>
      <w:r w:rsidRPr="008A72D9">
        <w:rPr>
          <w:rFonts w:ascii="Palatino Linotype" w:hAnsi="Palatino Linotype" w:cs="Arial"/>
          <w:i/>
          <w:sz w:val="22"/>
        </w:rPr>
        <w:t xml:space="preserve">: </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b/>
          <w:i/>
          <w:sz w:val="22"/>
        </w:rPr>
        <w:t xml:space="preserve">I. </w:t>
      </w:r>
      <w:r w:rsidRPr="008A72D9">
        <w:rPr>
          <w:rFonts w:ascii="Palatino Linotype" w:hAnsi="Palatino Linotype" w:cs="Arial"/>
          <w:i/>
          <w:sz w:val="22"/>
        </w:rPr>
        <w:t xml:space="preserve">Desechar o </w:t>
      </w:r>
      <w:r w:rsidRPr="008A72D9">
        <w:rPr>
          <w:rFonts w:ascii="Palatino Linotype" w:hAnsi="Palatino Linotype" w:cs="Arial"/>
          <w:b/>
          <w:i/>
          <w:sz w:val="22"/>
          <w:u w:val="single"/>
        </w:rPr>
        <w:t>sobreseer el recurso</w:t>
      </w:r>
      <w:r w:rsidRPr="008A72D9">
        <w:rPr>
          <w:rFonts w:ascii="Palatino Linotype" w:hAnsi="Palatino Linotype" w:cs="Arial"/>
          <w:i/>
          <w:sz w:val="22"/>
        </w:rPr>
        <w:t xml:space="preserve">;” </w:t>
      </w:r>
    </w:p>
    <w:p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rsidR="00B06BC7" w:rsidRPr="008A72D9" w:rsidRDefault="00B06BC7" w:rsidP="00B06BC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hAnsi="Palatino Linotype" w:cs="Arial"/>
          <w:lang w:val="es-ES_tradnl"/>
        </w:rPr>
        <w:t xml:space="preserve">Asimismo, como </w:t>
      </w:r>
      <w:r w:rsidRPr="008A72D9">
        <w:rPr>
          <w:rFonts w:ascii="Palatino Linotype" w:hAnsi="Palatino Linotype"/>
          <w:color w:val="000000"/>
        </w:rPr>
        <w:t>consecuencia</w:t>
      </w:r>
      <w:r w:rsidRPr="008A72D9">
        <w:rPr>
          <w:rFonts w:ascii="Palatino Linotype" w:hAnsi="Palatino Linotype" w:cs="Arial"/>
          <w:lang w:val="es-ES_tradnl"/>
        </w:rPr>
        <w:t xml:space="preserve"> de la anterior determinación, resultan </w:t>
      </w:r>
      <w:r w:rsidRPr="008A72D9">
        <w:rPr>
          <w:rFonts w:ascii="Palatino Linotype" w:hAnsi="Palatino Linotype"/>
        </w:rPr>
        <w:t xml:space="preserve">inatendibles las razones o motivos de inconformidad expuestos por </w:t>
      </w:r>
      <w:r w:rsidR="004554BF">
        <w:rPr>
          <w:rFonts w:ascii="Palatino Linotype" w:hAnsi="Palatino Linotype" w:cs="Arial"/>
          <w:b/>
        </w:rPr>
        <w:t>EL</w:t>
      </w:r>
      <w:r w:rsidRPr="008A72D9">
        <w:rPr>
          <w:rFonts w:ascii="Palatino Linotype" w:hAnsi="Palatino Linotype" w:cs="Arial"/>
          <w:b/>
        </w:rPr>
        <w:t xml:space="preserve"> RECURRENTE</w:t>
      </w:r>
      <w:r w:rsidRPr="008A72D9">
        <w:rPr>
          <w:rFonts w:ascii="Palatino Linotype" w:hAnsi="Palatino Linotype"/>
        </w:rPr>
        <w:t xml:space="preserve">, en virtud de que el medio de impugnación </w:t>
      </w:r>
      <w:r w:rsidRPr="008A72D9">
        <w:rPr>
          <w:rFonts w:ascii="Palatino Linotype" w:hAnsi="Palatino Linotype"/>
          <w:b/>
        </w:rPr>
        <w:t>ha quedado sin materia</w:t>
      </w:r>
      <w:r w:rsidRPr="008A72D9">
        <w:rPr>
          <w:rFonts w:ascii="Palatino Linotype" w:hAnsi="Palatino Linotype"/>
        </w:rPr>
        <w:t xml:space="preserve">; por lo que, se concluye que la </w:t>
      </w:r>
      <w:r>
        <w:rPr>
          <w:rFonts w:ascii="Palatino Linotype" w:hAnsi="Palatino Linotype"/>
        </w:rPr>
        <w:t>manifestación de la voluntad de la</w:t>
      </w:r>
      <w:r w:rsidRPr="008A72D9">
        <w:rPr>
          <w:rFonts w:ascii="Palatino Linotype" w:hAnsi="Palatino Linotype"/>
        </w:rPr>
        <w:t xml:space="preserve"> promovente respecto a desistirse de la acción ejercida, se entiende que acepta de manera expresa que el procedimiento concluya sin suscitar consecuencias de derecho; asimismo, como lo señala la </w:t>
      </w:r>
      <w:r w:rsidRPr="008A72D9">
        <w:rPr>
          <w:rFonts w:ascii="Palatino Linotype" w:hAnsi="Palatino Linotype" w:cs="Arial"/>
        </w:rPr>
        <w:t>Tesis Jurisprudencial con número de registro 2012059 de la Segunda Sala de la Suprema Corte de Justicia de la Nación, correspondiente a la Décima Época, publicada en el Libro 32, Tomo I, pag. 462 de la Gaceta del Semanario Judicial de la Federación de julio de 2016, el desistimiento del recurso genera que el Resolutor deba desocuparse del análisis de los planteamientos aducidos, sin necesidad de examinar las razones o motivos de inconformidad:</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 DE LA ACCIÓN DE AMPARO. SUS CONSECUENCIAS</w:t>
      </w:r>
      <w:r w:rsidRPr="008A72D9">
        <w:rPr>
          <w:rFonts w:ascii="Palatino Linotype" w:hAnsi="Palatino Linotype" w:cs="Arial"/>
          <w:i/>
          <w:sz w:val="22"/>
        </w:rPr>
        <w:t xml:space="preserve">. </w:t>
      </w:r>
      <w:r w:rsidRPr="008A72D9">
        <w:rPr>
          <w:rFonts w:ascii="Palatino Linotype" w:hAnsi="Palatino Linotype" w:cs="Arial"/>
          <w:b/>
          <w:i/>
          <w:sz w:val="22"/>
          <w:u w:val="single"/>
        </w:rPr>
        <w:t>El desistimiento</w:t>
      </w:r>
      <w:r w:rsidRPr="008A72D9">
        <w:rPr>
          <w:rFonts w:ascii="Palatino Linotype" w:hAnsi="Palatino Linotype" w:cs="Arial"/>
          <w:i/>
          <w:sz w:val="22"/>
        </w:rPr>
        <w:t xml:space="preserve"> de la acción de amparo </w:t>
      </w:r>
      <w:r w:rsidRPr="008A72D9">
        <w:rPr>
          <w:rFonts w:ascii="Palatino Linotype" w:hAnsi="Palatino Linotype" w:cs="Arial"/>
          <w:b/>
          <w:i/>
          <w:sz w:val="22"/>
          <w:u w:val="single"/>
        </w:rPr>
        <w:t>consiste en la declaración de voluntad del quejoso de no proseguir con el juicio, el cual, debidamente ratificado, conlleva emitir una resolución con la que finaliza la instancia</w:t>
      </w:r>
      <w:r w:rsidRPr="008A72D9">
        <w:rPr>
          <w:rFonts w:ascii="Palatino Linotype" w:hAnsi="Palatino Linotype" w:cs="Arial"/>
          <w:i/>
          <w:sz w:val="22"/>
        </w:rPr>
        <w:t xml:space="preserve"> de amparo, independientemente de la etapa en que se encuentre (desde el inicio del juicio hasta antes de que cause ejecutoria la sentencia que se dicte) y </w:t>
      </w:r>
      <w:r w:rsidRPr="008A72D9">
        <w:rPr>
          <w:rFonts w:ascii="Palatino Linotype" w:hAnsi="Palatino Linotype" w:cs="Arial"/>
          <w:b/>
          <w:i/>
          <w:sz w:val="22"/>
          <w:u w:val="single"/>
        </w:rPr>
        <w:t>sin necesidad de examinar los conceptos de violación o, en su caso, los agravios</w:t>
      </w:r>
      <w:r w:rsidRPr="008A72D9">
        <w:rPr>
          <w:rFonts w:ascii="Palatino Linotype" w:hAnsi="Palatino Linotype" w:cs="Arial"/>
          <w:i/>
          <w:sz w:val="22"/>
        </w:rPr>
        <w:t xml:space="preserve">. </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en revisión 1377/2015. Alfa New Life International, S.A. de C.V. 13 de mayo de 2015. Cinco votos de los Ministros Eduardo Medina Mora I., Juan N. Silva Meza, José Fernando Franco González Salas, Margarita Beatriz Luna Ramos y Alberto Pérez Dayán. Ponente: Eduardo Medina Mora I. Secretaria: Paola Yaber Coronado.</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Tesis de jurisprudencia 82/2016 (10a.). Aprobada por la Segunda Sala de este Alto Tribunal, en sesión privada del veintidós de junio de dos mil dieciséis.”</w:t>
      </w:r>
    </w:p>
    <w:p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rsidR="00B06BC7" w:rsidRPr="008A72D9" w:rsidRDefault="00B06BC7" w:rsidP="00B06BC7">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8A72D9">
        <w:rPr>
          <w:rFonts w:ascii="Palatino Linotype" w:eastAsia="Calibri" w:hAnsi="Palatino Linotype" w:cs="Arial"/>
        </w:rPr>
        <w:t xml:space="preserve">Aunado a lo anterior, sirve de apoyo lo establecido en </w:t>
      </w:r>
      <w:r w:rsidRPr="008A72D9">
        <w:rPr>
          <w:rFonts w:ascii="Palatino Linotype" w:hAnsi="Palatino Linotype"/>
        </w:rPr>
        <w:t xml:space="preserve">la </w:t>
      </w:r>
      <w:r w:rsidRPr="008A72D9">
        <w:rPr>
          <w:rFonts w:ascii="Palatino Linotype" w:hAnsi="Palatino Linotype" w:cs="Arial"/>
        </w:rPr>
        <w:t xml:space="preserve">Tesis Aislada, con número de registro </w:t>
      </w:r>
      <w:r w:rsidRPr="008A72D9">
        <w:rPr>
          <w:rFonts w:ascii="Palatino Linotype" w:eastAsia="Calibri" w:hAnsi="Palatino Linotype" w:cs="Arial"/>
        </w:rPr>
        <w:t xml:space="preserve">211360 </w:t>
      </w:r>
      <w:r w:rsidRPr="008A72D9">
        <w:rPr>
          <w:rFonts w:ascii="Palatino Linotype" w:hAnsi="Palatino Linotype" w:cs="Arial"/>
        </w:rPr>
        <w:t>de la Octava Época, emitida por el Segundo Tribunal Colegiado del Sexto Circuito, publicada en el Tomo XIV, pag. 547 del Semanario Judicial de la Federación de julio de 1994, cuyo rubro y texto esgrimen lo siguiente:</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w:t>
      </w:r>
      <w:r w:rsidRPr="008A72D9">
        <w:rPr>
          <w:rFonts w:ascii="Palatino Linotype" w:hAnsi="Palatino Linotype" w:cs="Arial"/>
          <w:b/>
          <w:i/>
          <w:sz w:val="22"/>
        </w:rPr>
        <w:t>DESISTIMIENTOS DE LA ACCION Y DE LA DEMANDA. DIFERENCIAS</w:t>
      </w:r>
      <w:r w:rsidRPr="008A72D9">
        <w:rPr>
          <w:rFonts w:ascii="Palatino Linotype" w:hAnsi="Palatino Linotype" w:cs="Arial"/>
          <w:i/>
          <w:sz w:val="22"/>
        </w:rPr>
        <w:t xml:space="preserve">. No es lo mismo desistir de la acción que de la demanda o instancia, ya que </w:t>
      </w:r>
      <w:r w:rsidRPr="008A72D9">
        <w:rPr>
          <w:rFonts w:ascii="Palatino Linotype" w:hAnsi="Palatino Linotype" w:cs="Arial"/>
          <w:b/>
          <w:i/>
          <w:sz w:val="22"/>
          <w:u w:val="single"/>
        </w:rPr>
        <w:t>en el desistimiento de la demanda se pierden todos los derechos y situaciones procesales</w:t>
      </w:r>
      <w:r w:rsidRPr="008A72D9">
        <w:rPr>
          <w:rFonts w:ascii="Palatino Linotype" w:hAnsi="Palatino Linotype" w:cs="Arial"/>
          <w:i/>
          <w:sz w:val="22"/>
        </w:rPr>
        <w:t xml:space="preserve">; y si no ha prescrito la acción, puede volverse a ejercitar mediante la presentación de una nueva demanda; mientras que </w:t>
      </w:r>
      <w:r w:rsidRPr="008A72D9">
        <w:rPr>
          <w:rFonts w:ascii="Palatino Linotype" w:hAnsi="Palatino Linotype" w:cs="Arial"/>
          <w:b/>
          <w:i/>
          <w:sz w:val="22"/>
          <w:u w:val="single"/>
        </w:rPr>
        <w:t>con el desistimiento de la acción se produce la pérdida del derecho que el actor hizo valer en el juicio, porque al renunciar a la acción se renuncia al derecho</w:t>
      </w:r>
      <w:r w:rsidRPr="008A72D9">
        <w:rPr>
          <w:rFonts w:ascii="Palatino Linotype" w:hAnsi="Palatino Linotype" w:cs="Arial"/>
          <w:i/>
          <w:sz w:val="22"/>
        </w:rPr>
        <w:t>.</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SEGUNDO TRIBUNAL COLEGIADO DEL SEXTO CIRCUITO.</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240/93. Instituto Mexicano del Seguro Social, Delegación Estatal en Tlaxcala. 4 de julio de 1993. Unanimidad de votos. Ponente: José Galván Rojas. Secretario: Vicente Martínez Sánchez.</w:t>
      </w:r>
    </w:p>
    <w:p w:rsidR="00B06BC7" w:rsidRPr="008A72D9" w:rsidRDefault="00B06BC7" w:rsidP="00B06BC7">
      <w:pPr>
        <w:ind w:left="851" w:right="902"/>
        <w:jc w:val="both"/>
        <w:rPr>
          <w:rFonts w:ascii="Palatino Linotype" w:hAnsi="Palatino Linotype" w:cs="Arial"/>
          <w:i/>
          <w:sz w:val="22"/>
        </w:rPr>
      </w:pPr>
      <w:r w:rsidRPr="008A72D9">
        <w:rPr>
          <w:rFonts w:ascii="Palatino Linotype" w:hAnsi="Palatino Linotype" w:cs="Arial"/>
          <w:i/>
          <w:sz w:val="22"/>
        </w:rPr>
        <w:t>Amparo directo 329/92. Jaime Vera López. 1o. de septiembre de 1992. Unanimidad de votos. Ponente: José Galván Rojas. Secretario: Armando Cortés Galván.”</w:t>
      </w:r>
    </w:p>
    <w:p w:rsidR="00B06BC7" w:rsidRPr="008A72D9" w:rsidRDefault="00B06BC7" w:rsidP="00B06BC7">
      <w:pPr>
        <w:ind w:left="851" w:right="902"/>
        <w:jc w:val="both"/>
        <w:rPr>
          <w:rFonts w:ascii="Palatino Linotype" w:hAnsi="Palatino Linotype" w:cs="Arial"/>
          <w:sz w:val="22"/>
        </w:rPr>
      </w:pPr>
      <w:r w:rsidRPr="008A72D9">
        <w:rPr>
          <w:rFonts w:ascii="Palatino Linotype" w:hAnsi="Palatino Linotype" w:cs="Arial"/>
          <w:sz w:val="22"/>
        </w:rPr>
        <w:t>(Énfasis añadido)</w:t>
      </w:r>
    </w:p>
    <w:p w:rsidR="00B06BC7" w:rsidRPr="008A72D9" w:rsidRDefault="00B06BC7" w:rsidP="00B06BC7">
      <w:pPr>
        <w:pStyle w:val="Prrafodelista"/>
        <w:widowControl w:val="0"/>
        <w:autoSpaceDE w:val="0"/>
        <w:autoSpaceDN w:val="0"/>
        <w:adjustRightInd w:val="0"/>
        <w:spacing w:before="240" w:after="240" w:line="360" w:lineRule="auto"/>
        <w:ind w:left="0"/>
        <w:jc w:val="both"/>
        <w:rPr>
          <w:rFonts w:ascii="Palatino Linotype" w:eastAsia="Calibri" w:hAnsi="Palatino Linotype" w:cs="Arial"/>
        </w:rPr>
      </w:pPr>
      <w:r w:rsidRPr="008A72D9">
        <w:rPr>
          <w:rFonts w:ascii="Palatino Linotype" w:eastAsia="Calibri" w:hAnsi="Palatino Linotype" w:cs="Arial"/>
        </w:rPr>
        <w:t xml:space="preserve">Así, con </w:t>
      </w:r>
      <w:r w:rsidRPr="008A72D9">
        <w:rPr>
          <w:rFonts w:ascii="Palatino Linotype" w:hAnsi="Palatino Linotype" w:cs="Arial"/>
        </w:rPr>
        <w:t>fundamento</w:t>
      </w:r>
      <w:r w:rsidRPr="008A72D9">
        <w:rPr>
          <w:rFonts w:ascii="Palatino Linotype" w:eastAsia="Calibri" w:hAnsi="Palatino Linotype" w:cs="Arial"/>
        </w:rPr>
        <w:t xml:space="preserve"> en lo prescrito en los artículos 5, </w:t>
      </w:r>
      <w:r w:rsidRPr="008A72D9">
        <w:rPr>
          <w:rFonts w:ascii="Palatino Linotype" w:hAnsi="Palatino Linotype"/>
        </w:rPr>
        <w:t>párrafos vigésimo segundo, vigésimo tercero y vigésimo cuarto</w:t>
      </w:r>
      <w:r w:rsidRPr="008A72D9">
        <w:rPr>
          <w:rFonts w:ascii="Palatino Linotype" w:hAnsi="Palatino Linotype" w:cs="Arial"/>
        </w:rPr>
        <w:t>,</w:t>
      </w:r>
      <w:r w:rsidRPr="008A72D9">
        <w:rPr>
          <w:rFonts w:ascii="Palatino Linotype" w:hAnsi="Palatino Linotype"/>
        </w:rPr>
        <w:t xml:space="preserve"> fracciones IV y V,</w:t>
      </w:r>
      <w:r w:rsidRPr="008A72D9">
        <w:rPr>
          <w:rFonts w:ascii="Palatino Linotype" w:eastAsia="Calibri" w:hAnsi="Palatino Linotype" w:cs="Arial"/>
        </w:rPr>
        <w:t xml:space="preserve"> de la Constitución Política del Estado Libre y Soberano de </w:t>
      </w:r>
      <w:r w:rsidRPr="008A72D9">
        <w:rPr>
          <w:rFonts w:ascii="Palatino Linotype" w:hAnsi="Palatino Linotype" w:cs="Arial"/>
          <w:lang w:val="es-ES_tradnl"/>
        </w:rPr>
        <w:t>México</w:t>
      </w:r>
      <w:r w:rsidRPr="008A72D9">
        <w:rPr>
          <w:rFonts w:ascii="Palatino Linotype" w:eastAsia="Calibri" w:hAnsi="Palatino Linotype" w:cs="Arial"/>
        </w:rPr>
        <w:t xml:space="preserve"> y los artículos </w:t>
      </w:r>
      <w:r w:rsidRPr="008A72D9">
        <w:rPr>
          <w:rFonts w:ascii="Palatino Linotype" w:hAnsi="Palatino Linotype"/>
        </w:rPr>
        <w:t xml:space="preserve">2, </w:t>
      </w:r>
      <w:r w:rsidRPr="008A72D9">
        <w:rPr>
          <w:rFonts w:ascii="Palatino Linotype" w:hAnsi="Palatino Linotype" w:cs="Arial"/>
        </w:rPr>
        <w:t>fracción</w:t>
      </w:r>
      <w:r w:rsidRPr="008A72D9">
        <w:rPr>
          <w:rFonts w:ascii="Palatino Linotype" w:hAnsi="Palatino Linotype"/>
        </w:rPr>
        <w:t xml:space="preserve"> II, 9, </w:t>
      </w:r>
      <w:r w:rsidRPr="008A72D9">
        <w:rPr>
          <w:rFonts w:ascii="Palatino Linotype" w:hAnsi="Palatino Linotype" w:cs="Arial"/>
          <w:lang w:val="es-ES_tradnl"/>
        </w:rPr>
        <w:t>29</w:t>
      </w:r>
      <w:r w:rsidRPr="008A72D9">
        <w:rPr>
          <w:rFonts w:ascii="Palatino Linotype" w:hAnsi="Palatino Linotype"/>
        </w:rPr>
        <w:t xml:space="preserve">, 36, fracciones I y II, 176, 178, </w:t>
      </w:r>
      <w:r>
        <w:rPr>
          <w:rFonts w:ascii="Palatino Linotype" w:hAnsi="Palatino Linotype"/>
        </w:rPr>
        <w:t xml:space="preserve">179, 181, 185, fracción I, 186, </w:t>
      </w:r>
      <w:r w:rsidRPr="008A72D9">
        <w:rPr>
          <w:rFonts w:ascii="Palatino Linotype" w:hAnsi="Palatino Linotype"/>
        </w:rPr>
        <w:t>188</w:t>
      </w:r>
      <w:r>
        <w:rPr>
          <w:rFonts w:ascii="Palatino Linotype" w:hAnsi="Palatino Linotype"/>
        </w:rPr>
        <w:t xml:space="preserve"> y 192, fracción I</w:t>
      </w:r>
      <w:r w:rsidRPr="008A72D9">
        <w:rPr>
          <w:rFonts w:ascii="Palatino Linotype" w:eastAsia="Calibri" w:hAnsi="Palatino Linotype" w:cs="Arial"/>
        </w:rPr>
        <w:t xml:space="preserve"> de la Ley de Transparencia y Acceso a la Información Pública del Estado de México y </w:t>
      </w:r>
      <w:r w:rsidRPr="008A72D9">
        <w:rPr>
          <w:rFonts w:ascii="Palatino Linotype" w:hAnsi="Palatino Linotype" w:cs="Arial"/>
        </w:rPr>
        <w:t>Municipios</w:t>
      </w:r>
      <w:r w:rsidRPr="008A72D9">
        <w:rPr>
          <w:rFonts w:ascii="Palatino Linotype" w:eastAsia="Calibri" w:hAnsi="Palatino Linotype" w:cs="Arial"/>
        </w:rPr>
        <w:t xml:space="preserve">, </w:t>
      </w:r>
      <w:r w:rsidRPr="008A72D9">
        <w:rPr>
          <w:rFonts w:ascii="Palatino Linotype" w:hAnsi="Palatino Linotype"/>
        </w:rPr>
        <w:t>este</w:t>
      </w:r>
      <w:r w:rsidRPr="008A72D9">
        <w:rPr>
          <w:rFonts w:ascii="Palatino Linotype" w:eastAsia="Calibri" w:hAnsi="Palatino Linotype" w:cs="Arial"/>
        </w:rPr>
        <w:t xml:space="preserve"> Pleno:</w:t>
      </w:r>
    </w:p>
    <w:p w:rsidR="00B06BC7" w:rsidRPr="00C5057E" w:rsidRDefault="00B06BC7" w:rsidP="00B06BC7">
      <w:pPr>
        <w:spacing w:before="100" w:beforeAutospacing="1" w:after="100" w:afterAutospacing="1"/>
        <w:contextualSpacing/>
        <w:jc w:val="center"/>
        <w:rPr>
          <w:rFonts w:ascii="Palatino Linotype" w:hAnsi="Palatino Linotype"/>
          <w:b/>
          <w:bCs/>
          <w:color w:val="000000" w:themeColor="text1"/>
          <w:spacing w:val="40"/>
          <w:sz w:val="28"/>
        </w:rPr>
      </w:pPr>
      <w:r w:rsidRPr="00C5057E">
        <w:rPr>
          <w:rFonts w:ascii="Palatino Linotype" w:hAnsi="Palatino Linotype"/>
          <w:b/>
          <w:bCs/>
          <w:color w:val="000000" w:themeColor="text1"/>
          <w:spacing w:val="40"/>
          <w:sz w:val="28"/>
        </w:rPr>
        <w:t>RESUELVE</w:t>
      </w:r>
    </w:p>
    <w:p w:rsidR="00B06BC7" w:rsidRPr="00C5057E" w:rsidRDefault="00B06BC7" w:rsidP="00B06BC7">
      <w:pPr>
        <w:spacing w:before="100" w:beforeAutospacing="1" w:after="100" w:afterAutospacing="1"/>
        <w:contextualSpacing/>
        <w:jc w:val="center"/>
        <w:rPr>
          <w:rFonts w:ascii="Palatino Linotype" w:hAnsi="Palatino Linotype"/>
          <w:b/>
          <w:bCs/>
          <w:color w:val="000000" w:themeColor="text1"/>
          <w:spacing w:val="40"/>
          <w:sz w:val="28"/>
        </w:rPr>
      </w:pPr>
    </w:p>
    <w:p w:rsidR="00B06BC7" w:rsidRPr="008A72D9"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color w:val="000000" w:themeColor="text1"/>
        </w:rPr>
      </w:pPr>
      <w:r w:rsidRPr="00C5057E">
        <w:rPr>
          <w:rFonts w:ascii="Palatino Linotype" w:hAnsi="Palatino Linotype" w:cs="Arial"/>
          <w:b/>
          <w:color w:val="000000" w:themeColor="text1"/>
          <w:sz w:val="28"/>
          <w:szCs w:val="28"/>
          <w:lang w:val="es-ES"/>
        </w:rPr>
        <w:t>PRIMERO</w:t>
      </w:r>
      <w:r w:rsidRPr="00C5057E">
        <w:rPr>
          <w:rFonts w:ascii="Palatino Linotype" w:hAnsi="Palatino Linotype" w:cs="Arial"/>
          <w:color w:val="000000" w:themeColor="text1"/>
          <w:sz w:val="28"/>
          <w:szCs w:val="28"/>
          <w:lang w:val="es-ES"/>
        </w:rPr>
        <w:t>.</w:t>
      </w:r>
      <w:r w:rsidRPr="00C5057E">
        <w:rPr>
          <w:rFonts w:ascii="Palatino Linotype" w:hAnsi="Palatino Linotype" w:cs="Arial"/>
          <w:color w:val="000000" w:themeColor="text1"/>
          <w:lang w:val="es-ES"/>
        </w:rPr>
        <w:t xml:space="preserve"> </w:t>
      </w:r>
      <w:r w:rsidRPr="008A72D9">
        <w:rPr>
          <w:rFonts w:ascii="Palatino Linotype" w:hAnsi="Palatino Linotype" w:cs="Arial"/>
          <w:color w:val="000000" w:themeColor="text1"/>
        </w:rPr>
        <w:t>Se</w:t>
      </w:r>
      <w:r w:rsidRPr="008A72D9">
        <w:rPr>
          <w:rFonts w:ascii="Palatino Linotype" w:hAnsi="Palatino Linotype" w:cs="Arial"/>
          <w:b/>
          <w:color w:val="000000" w:themeColor="text1"/>
        </w:rPr>
        <w:t xml:space="preserve"> SOBRESEE </w:t>
      </w:r>
      <w:r w:rsidRPr="008A72D9">
        <w:rPr>
          <w:rFonts w:ascii="Palatino Linotype" w:hAnsi="Palatino Linotype" w:cs="Arial"/>
          <w:color w:val="000000" w:themeColor="text1"/>
        </w:rPr>
        <w:t xml:space="preserve">el </w:t>
      </w:r>
      <w:r w:rsidRPr="008A72D9">
        <w:rPr>
          <w:rFonts w:ascii="Palatino Linotype" w:hAnsi="Palatino Linotype" w:cs="Arial"/>
          <w:color w:val="222222"/>
          <w:shd w:val="clear" w:color="auto" w:fill="FFFFFF"/>
        </w:rPr>
        <w:t>Recurso</w:t>
      </w:r>
      <w:r w:rsidRPr="008A72D9">
        <w:rPr>
          <w:rFonts w:ascii="Palatino Linotype" w:hAnsi="Palatino Linotype" w:cs="Arial"/>
          <w:color w:val="000000" w:themeColor="text1"/>
        </w:rPr>
        <w:t xml:space="preserve"> de </w:t>
      </w:r>
      <w:r w:rsidRPr="008A72D9">
        <w:rPr>
          <w:rFonts w:ascii="Palatino Linotype" w:hAnsi="Palatino Linotype"/>
          <w:lang w:eastAsia="es-ES_tradnl"/>
        </w:rPr>
        <w:t>Revisión</w:t>
      </w:r>
      <w:r w:rsidRPr="008A72D9">
        <w:rPr>
          <w:rFonts w:ascii="Palatino Linotype" w:hAnsi="Palatino Linotype" w:cs="Arial"/>
          <w:color w:val="000000" w:themeColor="text1"/>
        </w:rPr>
        <w:t xml:space="preserve"> número</w:t>
      </w:r>
      <w:r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0</w:t>
      </w:r>
      <w:r w:rsidR="004554BF">
        <w:rPr>
          <w:rFonts w:ascii="Palatino Linotype" w:hAnsi="Palatino Linotype" w:cs="Arial"/>
          <w:color w:val="000000" w:themeColor="text1"/>
        </w:rPr>
        <w:t>2372</w:t>
      </w:r>
      <w:r w:rsidRPr="008A72D9">
        <w:rPr>
          <w:rFonts w:ascii="Palatino Linotype" w:hAnsi="Palatino Linotype" w:cs="Arial"/>
          <w:color w:val="000000" w:themeColor="text1"/>
        </w:rPr>
        <w:t>/INFOEM/IP/RR/20</w:t>
      </w:r>
      <w:r>
        <w:rPr>
          <w:rFonts w:ascii="Palatino Linotype" w:hAnsi="Palatino Linotype" w:cs="Arial"/>
          <w:color w:val="000000" w:themeColor="text1"/>
        </w:rPr>
        <w:t>20</w:t>
      </w:r>
      <w:r w:rsidRPr="008A72D9">
        <w:rPr>
          <w:rFonts w:ascii="Palatino Linotype" w:hAnsi="Palatino Linotype" w:cs="Arial"/>
          <w:color w:val="000000" w:themeColor="text1"/>
        </w:rPr>
        <w:t xml:space="preserve">, </w:t>
      </w:r>
      <w:r w:rsidRPr="008A72D9">
        <w:rPr>
          <w:rFonts w:ascii="Palatino Linotype" w:hAnsi="Palatino Linotype"/>
        </w:rPr>
        <w:t xml:space="preserve">por </w:t>
      </w:r>
      <w:r w:rsidRPr="008A72D9">
        <w:rPr>
          <w:rFonts w:ascii="Palatino Linotype" w:hAnsi="Palatino Linotype"/>
          <w:b/>
        </w:rPr>
        <w:t xml:space="preserve">haberse desistido expresamente </w:t>
      </w:r>
      <w:r w:rsidR="004554BF">
        <w:rPr>
          <w:rFonts w:ascii="Palatino Linotype" w:hAnsi="Palatino Linotype" w:cs="Arial"/>
          <w:b/>
        </w:rPr>
        <w:t>EL</w:t>
      </w:r>
      <w:r w:rsidRPr="008A72D9">
        <w:rPr>
          <w:rFonts w:ascii="Palatino Linotype" w:hAnsi="Palatino Linotype" w:cs="Arial"/>
          <w:b/>
        </w:rPr>
        <w:t xml:space="preserve"> RECURRENTE</w:t>
      </w:r>
      <w:r w:rsidRPr="008A72D9">
        <w:rPr>
          <w:rFonts w:ascii="Palatino Linotype" w:hAnsi="Palatino Linotype"/>
        </w:rPr>
        <w:t>,</w:t>
      </w:r>
      <w:r w:rsidRPr="008A72D9">
        <w:rPr>
          <w:rFonts w:ascii="Palatino Linotype" w:hAnsi="Palatino Linotype" w:cs="Arial"/>
          <w:color w:val="000000" w:themeColor="text1"/>
        </w:rPr>
        <w:t xml:space="preserve"> en </w:t>
      </w:r>
      <w:r w:rsidRPr="008A72D9">
        <w:rPr>
          <w:rFonts w:ascii="Palatino Linotype" w:hAnsi="Palatino Linotype"/>
          <w:lang w:eastAsia="es-ES_tradnl"/>
        </w:rPr>
        <w:t>términos</w:t>
      </w:r>
      <w:r w:rsidRPr="008A72D9">
        <w:rPr>
          <w:rFonts w:ascii="Palatino Linotype" w:hAnsi="Palatino Linotype" w:cs="Arial"/>
          <w:color w:val="000000" w:themeColor="text1"/>
        </w:rPr>
        <w:t xml:space="preserve"> del Considerando</w:t>
      </w:r>
      <w:r w:rsidRPr="008A72D9">
        <w:rPr>
          <w:rFonts w:ascii="Palatino Linotype" w:hAnsi="Palatino Linotype" w:cs="Arial"/>
          <w:b/>
          <w:color w:val="000000" w:themeColor="text1"/>
        </w:rPr>
        <w:t xml:space="preserve"> </w:t>
      </w:r>
      <w:fldSimple w:instr=" REF _Ref528751948 \r \h  \* MERGEFORMAT ">
        <w:r w:rsidRPr="008A72D9">
          <w:rPr>
            <w:rFonts w:ascii="Palatino Linotype" w:hAnsi="Palatino Linotype" w:cs="Arial"/>
            <w:b/>
            <w:color w:val="000000" w:themeColor="text1"/>
          </w:rPr>
          <w:t>QUINTO</w:t>
        </w:r>
      </w:fldSimple>
      <w:r w:rsidRPr="008A72D9">
        <w:rPr>
          <w:rFonts w:ascii="Palatino Linotype" w:hAnsi="Palatino Linotype" w:cs="Arial"/>
          <w:b/>
          <w:color w:val="000000" w:themeColor="text1"/>
        </w:rPr>
        <w:t xml:space="preserve"> </w:t>
      </w:r>
      <w:r w:rsidRPr="008A72D9">
        <w:rPr>
          <w:rFonts w:ascii="Palatino Linotype" w:hAnsi="Palatino Linotype" w:cs="Arial"/>
          <w:color w:val="000000" w:themeColor="text1"/>
        </w:rPr>
        <w:t>de la presente resolución.</w:t>
      </w:r>
    </w:p>
    <w:p w:rsidR="00B06BC7" w:rsidRPr="008A72D9"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s="Arial"/>
        </w:rPr>
      </w:pPr>
      <w:r w:rsidRPr="00935EB5">
        <w:rPr>
          <w:rFonts w:ascii="Palatino Linotype" w:hAnsi="Palatino Linotype" w:cs="Arial"/>
          <w:b/>
          <w:color w:val="222222"/>
          <w:sz w:val="28"/>
          <w:szCs w:val="28"/>
          <w:shd w:val="clear" w:color="auto" w:fill="FFFFFF"/>
        </w:rPr>
        <w:t>SEGUNDO</w:t>
      </w:r>
      <w:r>
        <w:rPr>
          <w:rFonts w:ascii="Palatino Linotype" w:hAnsi="Palatino Linotype" w:cs="Arial"/>
          <w:b/>
          <w:color w:val="222222"/>
          <w:shd w:val="clear" w:color="auto" w:fill="FFFFFF"/>
        </w:rPr>
        <w:t xml:space="preserve">. </w:t>
      </w:r>
      <w:r w:rsidRPr="008A72D9">
        <w:rPr>
          <w:rFonts w:ascii="Palatino Linotype" w:hAnsi="Palatino Linotype" w:cs="Arial"/>
          <w:b/>
          <w:color w:val="222222"/>
          <w:shd w:val="clear" w:color="auto" w:fill="FFFFFF"/>
        </w:rPr>
        <w:t xml:space="preserve">Notifíquese </w:t>
      </w:r>
      <w:r w:rsidRPr="008A72D9">
        <w:rPr>
          <w:rFonts w:ascii="Palatino Linotype" w:hAnsi="Palatino Linotype" w:cs="Arial"/>
          <w:color w:val="222222"/>
          <w:shd w:val="clear" w:color="auto" w:fill="FFFFFF"/>
        </w:rPr>
        <w:t xml:space="preserve">al </w:t>
      </w:r>
      <w:r w:rsidRPr="00935EB5">
        <w:rPr>
          <w:rFonts w:ascii="Palatino Linotype" w:hAnsi="Palatino Linotype" w:cs="Arial"/>
          <w:color w:val="000000" w:themeColor="text1"/>
        </w:rPr>
        <w:t>Titular de la Unidad de Transparencia</w:t>
      </w:r>
      <w:r w:rsidRPr="008A72D9">
        <w:rPr>
          <w:rFonts w:ascii="Palatino Linotype" w:hAnsi="Palatino Linotype" w:cs="Arial"/>
          <w:color w:val="222222"/>
          <w:shd w:val="clear" w:color="auto" w:fill="FFFFFF"/>
        </w:rPr>
        <w:t xml:space="preserve"> del</w:t>
      </w:r>
      <w:r w:rsidRPr="008A72D9">
        <w:rPr>
          <w:rStyle w:val="apple-converted-space"/>
          <w:rFonts w:ascii="Palatino Linotype" w:hAnsi="Palatino Linotype" w:cs="Arial"/>
          <w:color w:val="222222"/>
          <w:shd w:val="clear" w:color="auto" w:fill="FFFFFF"/>
        </w:rPr>
        <w:t xml:space="preserve"> </w:t>
      </w:r>
      <w:r w:rsidRPr="008A72D9">
        <w:rPr>
          <w:rFonts w:ascii="Palatino Linotype" w:hAnsi="Palatino Linotype" w:cs="Arial"/>
          <w:b/>
          <w:color w:val="222222"/>
          <w:shd w:val="clear" w:color="auto" w:fill="FFFFFF"/>
        </w:rPr>
        <w:t>SUJETO OBLIGADO</w:t>
      </w:r>
      <w:r w:rsidRPr="008A72D9">
        <w:rPr>
          <w:rFonts w:ascii="Palatino Linotype" w:hAnsi="Palatino Linotype" w:cs="Arial"/>
          <w:color w:val="222222"/>
          <w:shd w:val="clear" w:color="auto" w:fill="FFFFFF"/>
        </w:rPr>
        <w:t xml:space="preserve"> para su conocimiento.</w:t>
      </w:r>
    </w:p>
    <w:p w:rsidR="00B06BC7" w:rsidRPr="008A72D9" w:rsidRDefault="00B06BC7" w:rsidP="00B06BC7">
      <w:pPr>
        <w:pStyle w:val="Prrafodelista"/>
        <w:widowControl w:val="0"/>
        <w:tabs>
          <w:tab w:val="left" w:pos="1701"/>
        </w:tabs>
        <w:autoSpaceDE w:val="0"/>
        <w:autoSpaceDN w:val="0"/>
        <w:adjustRightInd w:val="0"/>
        <w:spacing w:before="240" w:after="240" w:line="360" w:lineRule="auto"/>
        <w:ind w:left="0"/>
        <w:jc w:val="both"/>
        <w:rPr>
          <w:rFonts w:ascii="Palatino Linotype" w:eastAsiaTheme="minorEastAsia" w:hAnsi="Palatino Linotype"/>
          <w:color w:val="222222"/>
          <w:lang w:eastAsia="es-ES_tradnl"/>
        </w:rPr>
      </w:pPr>
      <w:r w:rsidRPr="00935EB5">
        <w:rPr>
          <w:rFonts w:ascii="Palatino Linotype" w:eastAsiaTheme="minorEastAsia" w:hAnsi="Palatino Linotype"/>
          <w:b/>
          <w:color w:val="222222"/>
          <w:sz w:val="28"/>
          <w:szCs w:val="28"/>
          <w:lang w:eastAsia="es-ES_tradnl"/>
        </w:rPr>
        <w:t>TERCERO</w:t>
      </w:r>
      <w:r>
        <w:rPr>
          <w:rFonts w:ascii="Palatino Linotype" w:eastAsiaTheme="minorEastAsia" w:hAnsi="Palatino Linotype"/>
          <w:b/>
          <w:color w:val="222222"/>
          <w:lang w:eastAsia="es-ES_tradnl"/>
        </w:rPr>
        <w:t xml:space="preserve">. </w:t>
      </w:r>
      <w:r w:rsidRPr="008A72D9">
        <w:rPr>
          <w:rFonts w:ascii="Palatino Linotype" w:eastAsiaTheme="minorEastAsia" w:hAnsi="Palatino Linotype"/>
          <w:b/>
          <w:color w:val="222222"/>
          <w:lang w:eastAsia="es-ES_tradnl"/>
        </w:rPr>
        <w:t>Notifíquese</w:t>
      </w:r>
      <w:r w:rsidRPr="008A72D9">
        <w:rPr>
          <w:rFonts w:ascii="Palatino Linotype" w:eastAsiaTheme="minorEastAsia" w:hAnsi="Palatino Linotype"/>
          <w:color w:val="222222"/>
          <w:lang w:eastAsia="es-ES_tradnl"/>
        </w:rPr>
        <w:t xml:space="preserve"> a</w:t>
      </w:r>
      <w:r w:rsidR="004554BF">
        <w:rPr>
          <w:rFonts w:ascii="Palatino Linotype" w:eastAsiaTheme="minorEastAsia" w:hAnsi="Palatino Linotype"/>
          <w:color w:val="222222"/>
          <w:lang w:eastAsia="es-ES_tradnl"/>
        </w:rPr>
        <w:t>l</w:t>
      </w:r>
      <w:r>
        <w:rPr>
          <w:rFonts w:ascii="Palatino Linotype" w:eastAsiaTheme="minorEastAsia" w:hAnsi="Palatino Linotype"/>
          <w:color w:val="222222"/>
          <w:lang w:eastAsia="es-ES_tradnl"/>
        </w:rPr>
        <w:t xml:space="preserve">  </w:t>
      </w:r>
      <w:r w:rsidRPr="008A72D9">
        <w:rPr>
          <w:rFonts w:ascii="Palatino Linotype" w:hAnsi="Palatino Linotype" w:cs="Arial"/>
          <w:b/>
        </w:rPr>
        <w:t>RECURRENTE</w:t>
      </w:r>
      <w:r w:rsidRPr="008A72D9">
        <w:rPr>
          <w:rFonts w:ascii="Palatino Linotype" w:eastAsiaTheme="minorEastAsia" w:hAnsi="Palatino Linotype"/>
          <w:color w:val="222222"/>
          <w:lang w:eastAsia="es-ES_tradnl"/>
        </w:rPr>
        <w:t xml:space="preserve"> la </w:t>
      </w:r>
      <w:r w:rsidRPr="008A72D9">
        <w:rPr>
          <w:rFonts w:ascii="Palatino Linotype" w:hAnsi="Palatino Linotype"/>
          <w:lang w:eastAsia="es-ES_tradnl"/>
        </w:rPr>
        <w:t>presente</w:t>
      </w:r>
      <w:r w:rsidRPr="008A72D9">
        <w:rPr>
          <w:rFonts w:ascii="Palatino Linotype" w:eastAsiaTheme="minorEastAsia" w:hAnsi="Palatino Linotype"/>
          <w:color w:val="222222"/>
          <w:lang w:eastAsia="es-ES_tradnl"/>
        </w:rPr>
        <w:t xml:space="preserve"> resolución.</w:t>
      </w:r>
    </w:p>
    <w:p w:rsidR="00B06BC7" w:rsidRPr="008A72D9" w:rsidRDefault="00B06BC7" w:rsidP="00B06BC7">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olor w:val="222222"/>
          <w:lang w:eastAsia="es-MX"/>
        </w:rPr>
      </w:pPr>
      <w:r w:rsidRPr="00935EB5">
        <w:rPr>
          <w:rFonts w:ascii="Palatino Linotype" w:eastAsiaTheme="minorEastAsia" w:hAnsi="Palatino Linotype"/>
          <w:b/>
          <w:color w:val="222222"/>
          <w:sz w:val="28"/>
          <w:szCs w:val="28"/>
          <w:lang w:eastAsia="es-ES_tradnl"/>
        </w:rPr>
        <w:t>CUARTO</w:t>
      </w:r>
      <w:r>
        <w:rPr>
          <w:rFonts w:ascii="Palatino Linotype" w:eastAsiaTheme="minorEastAsia" w:hAnsi="Palatino Linotype"/>
          <w:b/>
          <w:color w:val="222222"/>
          <w:lang w:eastAsia="es-ES_tradnl"/>
        </w:rPr>
        <w:t xml:space="preserve">. </w:t>
      </w:r>
      <w:r w:rsidRPr="008A72D9">
        <w:rPr>
          <w:rFonts w:ascii="Palatino Linotype" w:eastAsiaTheme="minorEastAsia" w:hAnsi="Palatino Linotype"/>
          <w:b/>
          <w:color w:val="222222"/>
          <w:lang w:eastAsia="es-ES_tradnl"/>
        </w:rPr>
        <w:t>Hágase del conocimiento</w:t>
      </w:r>
      <w:r w:rsidRPr="008A72D9">
        <w:rPr>
          <w:rFonts w:ascii="Palatino Linotype" w:eastAsiaTheme="minorEastAsia" w:hAnsi="Palatino Linotype"/>
          <w:color w:val="222222"/>
          <w:lang w:eastAsia="es-ES_tradnl"/>
        </w:rPr>
        <w:t xml:space="preserve"> a</w:t>
      </w:r>
      <w:r w:rsidR="004554BF">
        <w:rPr>
          <w:rFonts w:ascii="Palatino Linotype" w:eastAsiaTheme="minorEastAsia" w:hAnsi="Palatino Linotype"/>
          <w:color w:val="222222"/>
          <w:lang w:eastAsia="es-ES_tradnl"/>
        </w:rPr>
        <w:t>l</w:t>
      </w:r>
      <w:r>
        <w:rPr>
          <w:rFonts w:ascii="Palatino Linotype" w:hAnsi="Palatino Linotype"/>
          <w:b/>
        </w:rPr>
        <w:t xml:space="preserve"> </w:t>
      </w:r>
      <w:r w:rsidRPr="008A72D9">
        <w:rPr>
          <w:rFonts w:ascii="Palatino Linotype" w:hAnsi="Palatino Linotype"/>
          <w:b/>
        </w:rPr>
        <w:t>RECURRENTE</w:t>
      </w:r>
      <w:r w:rsidRPr="008A72D9">
        <w:rPr>
          <w:rFonts w:ascii="Palatino Linotype" w:eastAsiaTheme="minorEastAsia" w:hAnsi="Palatino Linotype"/>
          <w:color w:val="222222"/>
          <w:lang w:eastAsia="es-ES_tradnl"/>
        </w:rPr>
        <w:t xml:space="preserve"> que, de </w:t>
      </w:r>
      <w:r w:rsidRPr="008A72D9">
        <w:rPr>
          <w:rFonts w:ascii="Palatino Linotype" w:hAnsi="Palatino Linotype"/>
          <w:lang w:eastAsia="es-ES_tradnl"/>
        </w:rPr>
        <w:t>conformidad</w:t>
      </w:r>
      <w:r w:rsidRPr="008A72D9">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rsidR="00B06BC7" w:rsidRPr="003604C5" w:rsidRDefault="001F6648" w:rsidP="00B06BC7">
      <w:pPr>
        <w:spacing w:before="100" w:beforeAutospacing="1" w:after="100" w:afterAutospacing="1" w:line="360" w:lineRule="auto"/>
        <w:contextualSpacing/>
        <w:jc w:val="both"/>
        <w:rPr>
          <w:rFonts w:ascii="Palatino Linotype" w:hAnsi="Palatino Linotype" w:cs="Arial"/>
          <w:color w:val="000000" w:themeColor="text1"/>
          <w:shd w:val="clear" w:color="auto" w:fill="FFFFFF" w:themeFill="background1"/>
          <w:lang w:val="es-ES"/>
        </w:rPr>
      </w:pPr>
      <w:r>
        <w:rPr>
          <w:rFonts w:ascii="Palatino Linotype" w:hAnsi="Palatino Linotype" w:cs="Arial"/>
          <w:color w:val="000000" w:themeColor="text1"/>
          <w:lang w:val="es-ES"/>
        </w:rPr>
        <w:t xml:space="preserve">ASÍ LO RESUELVE, POR UNANIMIDAD </w:t>
      </w:r>
      <w:r w:rsidR="00B06BC7" w:rsidRPr="008F6701">
        <w:rPr>
          <w:rFonts w:ascii="Palatino Linotype" w:hAnsi="Palatino Linotype" w:cs="Arial"/>
          <w:color w:val="000000" w:themeColor="text1"/>
          <w:lang w:val="es-ES"/>
        </w:rPr>
        <w:t>DE VOTOS EL PLENO DEL</w:t>
      </w:r>
      <w:r w:rsidR="00B06BC7" w:rsidRPr="008F6701">
        <w:rPr>
          <w:rFonts w:ascii="Palatino Linotype" w:eastAsia="Arial Unicode MS" w:hAnsi="Palatino Linotype" w:cs="Arial"/>
          <w:color w:val="000000" w:themeColor="text1"/>
          <w:lang w:val="es-ES"/>
        </w:rPr>
        <w:t xml:space="preserve"> INSTITUTO DE </w:t>
      </w:r>
      <w:r w:rsidR="00B06BC7" w:rsidRPr="008F6701">
        <w:rPr>
          <w:rFonts w:ascii="Palatino Linotype" w:hAnsi="Palatino Linotype"/>
          <w:color w:val="000000" w:themeColor="text1"/>
          <w:lang w:val="es-ES" w:eastAsia="en-US"/>
        </w:rPr>
        <w:t>TRANSPARENCIA</w:t>
      </w:r>
      <w:r w:rsidR="00B06BC7" w:rsidRPr="008F6701">
        <w:rPr>
          <w:rFonts w:ascii="Palatino Linotype" w:eastAsia="Arial Unicode MS" w:hAnsi="Palatino Linotype" w:cs="Arial"/>
          <w:color w:val="000000" w:themeColor="text1"/>
          <w:lang w:val="es-ES"/>
        </w:rPr>
        <w:t>, ACCESO A LA INFORMACIÓN PÚBLICA Y PROTECCIÓN DE DATOS PERSONALES DEL ESTADO DE MÉXICO Y MUNICIPIOS</w:t>
      </w:r>
      <w:r w:rsidR="00B06BC7" w:rsidRPr="008F6701">
        <w:rPr>
          <w:rFonts w:ascii="Palatino Linotype" w:hAnsi="Palatino Linotype" w:cs="Arial"/>
          <w:color w:val="000000" w:themeColor="text1"/>
          <w:lang w:val="es-ES"/>
        </w:rPr>
        <w:t xml:space="preserve">, CONFORMADO POR LOS COMISIONADOS ZULEMA MARTÍNEZ SÁNCHEZ; EVA ABAID YAPUR; JOSÉ GUADALUPE LUNA HERNÁNDEZ, JAVIER MARTÍNEZ CRUZ Y LUIS GUSTAVO PARRA NORIEGA; </w:t>
      </w:r>
      <w:r w:rsidR="00B06BC7" w:rsidRPr="008F6701">
        <w:rPr>
          <w:rFonts w:ascii="Palatino Linotype" w:hAnsi="Palatino Linotype" w:cs="Arial"/>
          <w:color w:val="000000" w:themeColor="text1"/>
          <w:shd w:val="clear" w:color="auto" w:fill="FFFFFF" w:themeFill="background1"/>
          <w:lang w:val="es-ES"/>
        </w:rPr>
        <w:t>EN L</w:t>
      </w:r>
      <w:r w:rsidR="00B06BC7" w:rsidRPr="00E151F6">
        <w:rPr>
          <w:rFonts w:ascii="Palatino Linotype" w:hAnsi="Palatino Linotype" w:cs="Arial"/>
          <w:color w:val="000000" w:themeColor="text1"/>
          <w:shd w:val="clear" w:color="auto" w:fill="FFFFFF" w:themeFill="background1"/>
          <w:lang w:val="es-ES"/>
        </w:rPr>
        <w:t>A DÉCIMA</w:t>
      </w:r>
      <w:r w:rsidR="00646404">
        <w:rPr>
          <w:rFonts w:ascii="Palatino Linotype" w:hAnsi="Palatino Linotype" w:cs="Arial"/>
          <w:color w:val="000000" w:themeColor="text1"/>
          <w:shd w:val="clear" w:color="auto" w:fill="FFFFFF" w:themeFill="background1"/>
          <w:lang w:val="es-ES"/>
        </w:rPr>
        <w:t xml:space="preserve"> </w:t>
      </w:r>
      <w:r w:rsidR="00B06BC7" w:rsidRPr="00E151F6">
        <w:rPr>
          <w:rFonts w:ascii="Palatino Linotype" w:hAnsi="Palatino Linotype" w:cs="Arial"/>
          <w:color w:val="000000" w:themeColor="text1"/>
          <w:shd w:val="clear" w:color="auto" w:fill="FFFFFF" w:themeFill="background1"/>
          <w:lang w:val="es-ES"/>
        </w:rPr>
        <w:t xml:space="preserve"> SÉPTIMA </w:t>
      </w:r>
      <w:r w:rsidR="00B06BC7" w:rsidRPr="00E151F6">
        <w:rPr>
          <w:rFonts w:ascii="Palatino Linotype" w:hAnsi="Palatino Linotype" w:cs="Arial"/>
          <w:color w:val="000000" w:themeColor="text1"/>
          <w:lang w:val="es-ES"/>
        </w:rPr>
        <w:t xml:space="preserve">SESIÓN ORDINARIA CELEBRADA EL NUEVE DE SEPTIEMBRE DE DOS MIL VEINTE, ANTE EL SECRETARIO TÉCNICO DEL PLENO, </w:t>
      </w:r>
      <w:r w:rsidR="00B06BC7" w:rsidRPr="00E151F6">
        <w:rPr>
          <w:rFonts w:ascii="Palatino Linotype" w:eastAsia="Arial Unicode MS" w:hAnsi="Palatino Linotype" w:cs="Arial"/>
          <w:color w:val="000000" w:themeColor="text1"/>
          <w:lang w:val="es-ES"/>
        </w:rPr>
        <w:t>AL</w:t>
      </w:r>
      <w:r w:rsidR="00B06BC7" w:rsidRPr="008F6701">
        <w:rPr>
          <w:rFonts w:ascii="Palatino Linotype" w:eastAsia="Arial Unicode MS" w:hAnsi="Palatino Linotype" w:cs="Arial"/>
          <w:color w:val="000000" w:themeColor="text1"/>
          <w:lang w:val="es-ES"/>
        </w:rPr>
        <w:t>EXIS</w:t>
      </w:r>
      <w:r w:rsidR="00B06BC7" w:rsidRPr="008F6701">
        <w:rPr>
          <w:rFonts w:ascii="Palatino Linotype" w:hAnsi="Palatino Linotype" w:cs="Arial"/>
          <w:color w:val="000000" w:themeColor="text1"/>
          <w:lang w:val="es-ES"/>
        </w:rPr>
        <w:t xml:space="preserve"> TAPIA RAMÍREZ.</w:t>
      </w:r>
    </w:p>
    <w:tbl>
      <w:tblPr>
        <w:tblW w:w="9214" w:type="dxa"/>
        <w:jc w:val="center"/>
        <w:tblLayout w:type="fixed"/>
        <w:tblLook w:val="04A0"/>
      </w:tblPr>
      <w:tblGrid>
        <w:gridCol w:w="4756"/>
        <w:gridCol w:w="4458"/>
      </w:tblGrid>
      <w:tr w:rsidR="00E151F6" w:rsidRPr="00F26BCD">
        <w:trPr>
          <w:jc w:val="center"/>
        </w:trPr>
        <w:tc>
          <w:tcPr>
            <w:tcW w:w="9214" w:type="dxa"/>
            <w:gridSpan w:val="2"/>
            <w:shd w:val="clear" w:color="auto" w:fill="auto"/>
          </w:tcPr>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E151F6" w:rsidRPr="00F26BCD" w:rsidRDefault="00E151F6"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E151F6" w:rsidRPr="00F26BCD">
        <w:trPr>
          <w:jc w:val="center"/>
        </w:trPr>
        <w:tc>
          <w:tcPr>
            <w:tcW w:w="4756" w:type="dxa"/>
            <w:shd w:val="clear" w:color="auto" w:fill="auto"/>
          </w:tcPr>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E151F6" w:rsidRPr="00F26BCD" w:rsidRDefault="00E151F6" w:rsidP="00341B70">
            <w:pPr>
              <w:jc w:val="center"/>
              <w:rPr>
                <w:rFonts w:ascii="Palatino Linotype" w:hAnsi="Palatino Linotype" w:cs="Arial"/>
                <w:lang w:val="es-ES_tradnl"/>
              </w:rPr>
            </w:pPr>
            <w:r w:rsidRPr="00F26BCD">
              <w:rPr>
                <w:rFonts w:ascii="Palatino Linotype" w:hAnsi="Palatino Linotype" w:cs="Arial"/>
                <w:lang w:val="es-ES_tradnl"/>
              </w:rPr>
              <w:t>Comisionada</w:t>
            </w: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E151F6" w:rsidRPr="00F26BCD" w:rsidRDefault="00E151F6"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E151F6" w:rsidRPr="00F26BCD" w:rsidRDefault="00E151F6"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E151F6" w:rsidRPr="00F26BCD">
        <w:trPr>
          <w:jc w:val="center"/>
        </w:trPr>
        <w:tc>
          <w:tcPr>
            <w:tcW w:w="4756" w:type="dxa"/>
            <w:shd w:val="clear" w:color="auto" w:fill="auto"/>
          </w:tcPr>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E151F6" w:rsidRPr="00F26BCD" w:rsidRDefault="00E151F6"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E151F6" w:rsidRPr="00F26BCD" w:rsidRDefault="00E151F6" w:rsidP="00341B70">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E151F6" w:rsidRPr="00F26BCD" w:rsidRDefault="00E151F6" w:rsidP="00341B70">
            <w:pPr>
              <w:jc w:val="center"/>
              <w:rPr>
                <w:rFonts w:ascii="Palatino Linotype" w:hAnsi="Palatino Linotype" w:cs="Arial"/>
                <w:lang w:val="es-ES_tradnl"/>
              </w:rPr>
            </w:pPr>
            <w:r w:rsidRPr="00F26BCD">
              <w:rPr>
                <w:rFonts w:ascii="Palatino Linotype" w:hAnsi="Palatino Linotype" w:cs="Arial"/>
                <w:lang w:val="es-ES_tradnl"/>
              </w:rPr>
              <w:t>Comisionado</w:t>
            </w:r>
          </w:p>
          <w:p w:rsidR="00E151F6" w:rsidRPr="00F26BCD" w:rsidRDefault="00E151F6" w:rsidP="00A2340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E151F6" w:rsidRPr="00F26BCD">
        <w:trPr>
          <w:jc w:val="center"/>
        </w:trPr>
        <w:tc>
          <w:tcPr>
            <w:tcW w:w="9214" w:type="dxa"/>
            <w:gridSpan w:val="2"/>
            <w:shd w:val="clear" w:color="auto" w:fill="auto"/>
          </w:tcPr>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Default="00E151F6" w:rsidP="00341B70">
            <w:pPr>
              <w:jc w:val="center"/>
              <w:rPr>
                <w:rFonts w:ascii="Palatino Linotype" w:hAnsi="Palatino Linotype" w:cs="Arial"/>
                <w:b/>
                <w:lang w:val="es-ES_tradnl"/>
              </w:rPr>
            </w:pPr>
          </w:p>
          <w:p w:rsidR="00E151F6" w:rsidRPr="00F26BCD" w:rsidRDefault="00E151F6" w:rsidP="00341B70">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E151F6" w:rsidRPr="00F26BCD" w:rsidRDefault="00E151F6" w:rsidP="00341B70">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E151F6" w:rsidRPr="00F26BCD" w:rsidRDefault="00E151F6" w:rsidP="00A2340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tc>
      </w:tr>
    </w:tbl>
    <w:p w:rsidR="00E151F6" w:rsidRDefault="00E151F6"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p>
    <w:p w:rsidR="00B06BC7" w:rsidRPr="008F6701" w:rsidRDefault="00B06BC7" w:rsidP="00B06BC7">
      <w:pPr>
        <w:spacing w:before="100" w:beforeAutospacing="1" w:after="100" w:afterAutospacing="1"/>
        <w:contextualSpacing/>
        <w:jc w:val="both"/>
        <w:rPr>
          <w:rFonts w:ascii="Palatino Linotype" w:eastAsiaTheme="minorEastAsia" w:hAnsi="Palatino Linotype" w:cs="Arial"/>
          <w:color w:val="000000" w:themeColor="text1"/>
          <w:sz w:val="20"/>
          <w:szCs w:val="20"/>
          <w:lang w:val="es-ES_tradnl"/>
        </w:rPr>
      </w:pPr>
      <w:r w:rsidRPr="008F6701">
        <w:rPr>
          <w:rFonts w:ascii="Palatino Linotype" w:eastAsiaTheme="minorEastAsia" w:hAnsi="Palatino Linotype" w:cs="Arial"/>
          <w:color w:val="000000" w:themeColor="text1"/>
          <w:sz w:val="20"/>
          <w:szCs w:val="20"/>
          <w:lang w:val="es-ES_tradnl"/>
        </w:rPr>
        <w:t xml:space="preserve">Esta hoja corresponde a la resolución de </w:t>
      </w:r>
      <w:r>
        <w:rPr>
          <w:rFonts w:ascii="Palatino Linotype" w:eastAsiaTheme="minorEastAsia" w:hAnsi="Palatino Linotype" w:cs="Arial"/>
          <w:color w:val="000000" w:themeColor="text1"/>
          <w:sz w:val="20"/>
          <w:szCs w:val="20"/>
          <w:lang w:val="es-ES_tradnl"/>
        </w:rPr>
        <w:t xml:space="preserve">nueve de septiembre </w:t>
      </w:r>
      <w:r w:rsidRPr="008F6701">
        <w:rPr>
          <w:rFonts w:ascii="Palatino Linotype" w:eastAsiaTheme="minorEastAsia" w:hAnsi="Palatino Linotype" w:cs="Arial"/>
          <w:color w:val="000000" w:themeColor="text1"/>
          <w:sz w:val="20"/>
          <w:szCs w:val="20"/>
          <w:lang w:val="es-ES_tradnl"/>
        </w:rPr>
        <w:t xml:space="preserve">de dos mil veinte, emitida en </w:t>
      </w:r>
      <w:r>
        <w:rPr>
          <w:rFonts w:ascii="Palatino Linotype" w:eastAsiaTheme="minorEastAsia" w:hAnsi="Palatino Linotype" w:cs="Arial"/>
          <w:color w:val="000000" w:themeColor="text1"/>
          <w:sz w:val="20"/>
          <w:szCs w:val="20"/>
          <w:lang w:val="es-ES_tradnl"/>
        </w:rPr>
        <w:t xml:space="preserve">el recurso </w:t>
      </w:r>
      <w:r w:rsidRPr="008F6701">
        <w:rPr>
          <w:rFonts w:ascii="Palatino Linotype" w:eastAsiaTheme="minorEastAsia" w:hAnsi="Palatino Linotype" w:cs="Arial"/>
          <w:color w:val="000000" w:themeColor="text1"/>
          <w:sz w:val="20"/>
          <w:szCs w:val="20"/>
          <w:lang w:val="es-ES_tradnl"/>
        </w:rPr>
        <w:t>de revisión 0</w:t>
      </w:r>
      <w:r w:rsidR="004554BF">
        <w:rPr>
          <w:rFonts w:ascii="Palatino Linotype" w:eastAsiaTheme="minorEastAsia" w:hAnsi="Palatino Linotype" w:cs="Arial"/>
          <w:color w:val="000000" w:themeColor="text1"/>
          <w:sz w:val="20"/>
          <w:szCs w:val="20"/>
          <w:lang w:val="es-ES_tradnl"/>
        </w:rPr>
        <w:t>2372</w:t>
      </w:r>
      <w:r w:rsidRPr="008F6701">
        <w:rPr>
          <w:rFonts w:ascii="Palatino Linotype" w:eastAsiaTheme="minorEastAsia" w:hAnsi="Palatino Linotype" w:cs="Arial"/>
          <w:color w:val="000000" w:themeColor="text1"/>
          <w:sz w:val="20"/>
          <w:szCs w:val="20"/>
          <w:lang w:val="es-ES_tradnl"/>
        </w:rPr>
        <w:t>/INFOEM/IP/RR/2020.</w:t>
      </w:r>
    </w:p>
    <w:p w:rsidR="005A3EC5" w:rsidRPr="00E151F6" w:rsidRDefault="00B06BC7" w:rsidP="00E151F6">
      <w:pPr>
        <w:spacing w:before="100" w:beforeAutospacing="1" w:after="100" w:afterAutospacing="1"/>
        <w:contextualSpacing/>
        <w:jc w:val="both"/>
        <w:rPr>
          <w:rFonts w:ascii="Palatino Linotype" w:hAnsi="Palatino Linotype"/>
        </w:rPr>
      </w:pPr>
      <w:r>
        <w:rPr>
          <w:rFonts w:ascii="Palatino Linotype" w:eastAsiaTheme="minorEastAsia" w:hAnsi="Palatino Linotype" w:cs="Arial"/>
          <w:color w:val="000000" w:themeColor="text1"/>
          <w:sz w:val="20"/>
          <w:szCs w:val="20"/>
          <w:lang w:val="es-ES_tradnl"/>
        </w:rPr>
        <w:t>YSM/ATU/AMV</w:t>
      </w:r>
    </w:p>
    <w:sectPr w:rsidR="005A3EC5" w:rsidRPr="00E151F6"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9155D" w:rsidRDefault="0069155D" w:rsidP="00B06BC7">
      <w:r>
        <w:separator/>
      </w:r>
    </w:p>
  </w:endnote>
  <w:endnote w:type="continuationSeparator" w:id="1">
    <w:p w:rsidR="0069155D" w:rsidRDefault="0069155D" w:rsidP="00B06B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Segoe UI">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charset w:val="00"/>
    <w:family w:val="swiss"/>
    <w:pitch w:val="variable"/>
    <w:sig w:usb0="A00002EF" w:usb1="4000207B" w:usb2="00000000" w:usb3="00000000" w:csb0="0000019F"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7BE5" w:rsidRPr="0010196A" w:rsidRDefault="000C732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655B3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655B37" w:rsidRPr="0010196A">
      <w:rPr>
        <w:rFonts w:ascii="Palatino Linotype" w:hAnsi="Palatino Linotype" w:cs="Arial"/>
        <w:bCs/>
        <w:sz w:val="22"/>
        <w:szCs w:val="22"/>
      </w:rPr>
      <w:fldChar w:fldCharType="separate"/>
    </w:r>
    <w:r w:rsidR="001F6648">
      <w:rPr>
        <w:rFonts w:ascii="Palatino Linotype" w:hAnsi="Palatino Linotype" w:cs="Arial"/>
        <w:bCs/>
        <w:noProof/>
        <w:sz w:val="22"/>
        <w:szCs w:val="22"/>
      </w:rPr>
      <w:t>12</w:t>
    </w:r>
    <w:r w:rsidR="00655B37"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00655B3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655B37" w:rsidRPr="0010196A">
      <w:rPr>
        <w:rFonts w:ascii="Palatino Linotype" w:hAnsi="Palatino Linotype" w:cs="Arial"/>
        <w:bCs/>
        <w:sz w:val="22"/>
        <w:szCs w:val="22"/>
      </w:rPr>
      <w:fldChar w:fldCharType="separate"/>
    </w:r>
    <w:r w:rsidR="001F6648">
      <w:rPr>
        <w:rFonts w:ascii="Palatino Linotype" w:hAnsi="Palatino Linotype" w:cs="Arial"/>
        <w:bCs/>
        <w:noProof/>
        <w:sz w:val="22"/>
        <w:szCs w:val="22"/>
      </w:rPr>
      <w:t>13</w:t>
    </w:r>
    <w:r w:rsidR="00655B37" w:rsidRPr="0010196A">
      <w:rPr>
        <w:rFonts w:ascii="Palatino Linotype" w:hAnsi="Palatino Linotype" w:cs="Arial"/>
        <w:bCs/>
        <w:sz w:val="22"/>
        <w:szCs w:val="22"/>
      </w:rPr>
      <w:fldChar w:fldCharType="end"/>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7BE5" w:rsidRPr="0010196A" w:rsidRDefault="000C732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00655B3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00655B37" w:rsidRPr="0010196A">
      <w:rPr>
        <w:rFonts w:ascii="Palatino Linotype" w:hAnsi="Palatino Linotype" w:cs="Arial"/>
        <w:bCs/>
        <w:sz w:val="22"/>
        <w:szCs w:val="22"/>
      </w:rPr>
      <w:fldChar w:fldCharType="separate"/>
    </w:r>
    <w:r w:rsidR="001F6648">
      <w:rPr>
        <w:rFonts w:ascii="Palatino Linotype" w:hAnsi="Palatino Linotype" w:cs="Arial"/>
        <w:bCs/>
        <w:noProof/>
        <w:sz w:val="22"/>
        <w:szCs w:val="22"/>
      </w:rPr>
      <w:t>1</w:t>
    </w:r>
    <w:r w:rsidR="00655B37"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00655B37"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00655B37" w:rsidRPr="0010196A">
      <w:rPr>
        <w:rFonts w:ascii="Palatino Linotype" w:hAnsi="Palatino Linotype" w:cs="Arial"/>
        <w:bCs/>
        <w:sz w:val="22"/>
        <w:szCs w:val="22"/>
      </w:rPr>
      <w:fldChar w:fldCharType="separate"/>
    </w:r>
    <w:r w:rsidR="001F6648">
      <w:rPr>
        <w:rFonts w:ascii="Palatino Linotype" w:hAnsi="Palatino Linotype" w:cs="Arial"/>
        <w:bCs/>
        <w:noProof/>
        <w:sz w:val="22"/>
        <w:szCs w:val="22"/>
      </w:rPr>
      <w:t>3</w:t>
    </w:r>
    <w:r w:rsidR="00655B37" w:rsidRPr="0010196A">
      <w:rPr>
        <w:rFonts w:ascii="Palatino Linotype" w:hAnsi="Palatino Linotype" w:cs="Arial"/>
        <w:bCs/>
        <w:sz w:val="22"/>
        <w:szCs w:val="22"/>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9155D" w:rsidRDefault="0069155D" w:rsidP="00B06BC7">
      <w:r>
        <w:separator/>
      </w:r>
    </w:p>
  </w:footnote>
  <w:footnote w:type="continuationSeparator" w:id="1">
    <w:p w:rsidR="0069155D" w:rsidRDefault="0069155D" w:rsidP="00B06BC7">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7BE5" w:rsidRDefault="00655B37">
    <w:pPr>
      <w:pStyle w:val="Encabezado"/>
    </w:pPr>
    <w:r w:rsidRPr="00655B37">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7BE5" w:rsidRPr="0010196A" w:rsidRDefault="00655B37" w:rsidP="00354355">
    <w:pPr>
      <w:pStyle w:val="Encabezado"/>
      <w:tabs>
        <w:tab w:val="clear" w:pos="4252"/>
        <w:tab w:val="clear" w:pos="8504"/>
        <w:tab w:val="left" w:pos="2326"/>
      </w:tabs>
      <w:rPr>
        <w:rFonts w:ascii="Palatino Linotype" w:hAnsi="Palatino Linotype"/>
        <w:sz w:val="28"/>
        <w:szCs w:val="28"/>
      </w:rPr>
    </w:pPr>
    <w:r w:rsidRPr="00655B37">
      <w:rPr>
        <w:rFonts w:ascii="Palatino Linotype" w:hAnsi="Palatino Linotype"/>
        <w:noProof/>
        <w:sz w:val="28"/>
        <w:szCs w:val="2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tblPr>
    <w:tblGrid>
      <w:gridCol w:w="3261"/>
      <w:gridCol w:w="2551"/>
      <w:gridCol w:w="3722"/>
    </w:tblGrid>
    <w:tr w:rsidR="00747BE5" w:rsidRPr="008F2CCC">
      <w:tc>
        <w:tcPr>
          <w:tcW w:w="3261" w:type="dxa"/>
          <w:vMerge w:val="restart"/>
        </w:tcPr>
        <w:p w:rsidR="00747BE5" w:rsidRPr="008F2CCC" w:rsidRDefault="000C7321" w:rsidP="00070856">
          <w:pPr>
            <w:rPr>
              <w:rFonts w:ascii="Palatino Linotype" w:hAnsi="Palatino Linotype"/>
              <w:b/>
              <w:lang w:val="es-ES_tradnl"/>
            </w:rPr>
          </w:pPr>
          <w:r>
            <w:rPr>
              <w:rFonts w:ascii="Palatino Linotype" w:hAnsi="Palatino Linotype"/>
              <w:noProof/>
              <w:sz w:val="28"/>
              <w:szCs w:val="28"/>
              <w:lang w:val="es-ES_tradnl" w:eastAsia="es-ES_tradnl"/>
            </w:rPr>
            <w:drawing>
              <wp:inline distT="0" distB="0" distL="0" distR="0">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747BE5" w:rsidRPr="00664658" w:rsidRDefault="000C7321" w:rsidP="00070856">
          <w:pPr>
            <w:rPr>
              <w:rFonts w:ascii="Palatino Linotype" w:hAnsi="Palatino Linotype"/>
              <w:b/>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rsidR="00747BE5" w:rsidRPr="00664658" w:rsidRDefault="00B06BC7" w:rsidP="00931B53">
          <w:pPr>
            <w:jc w:val="both"/>
            <w:rPr>
              <w:rFonts w:ascii="Palatino Linotype" w:hAnsi="Palatino Linotype"/>
              <w:b/>
              <w:lang w:val="es-ES_tradnl"/>
            </w:rPr>
          </w:pPr>
          <w:r>
            <w:rPr>
              <w:rFonts w:ascii="Palatino Linotype" w:hAnsi="Palatino Linotype"/>
              <w:b/>
              <w:sz w:val="22"/>
              <w:szCs w:val="22"/>
              <w:lang w:val="es-ES_tradnl"/>
            </w:rPr>
            <w:t>02372</w:t>
          </w:r>
          <w:r w:rsidR="000C7321" w:rsidRPr="00E6045D">
            <w:rPr>
              <w:rFonts w:ascii="Palatino Linotype" w:hAnsi="Palatino Linotype"/>
              <w:b/>
              <w:sz w:val="22"/>
              <w:szCs w:val="22"/>
              <w:lang w:val="es-ES_tradnl"/>
            </w:rPr>
            <w:t>/INFOEM/IP/RR/20</w:t>
          </w:r>
          <w:r w:rsidR="000C7321">
            <w:rPr>
              <w:rFonts w:ascii="Palatino Linotype" w:hAnsi="Palatino Linotype"/>
              <w:b/>
              <w:sz w:val="22"/>
              <w:szCs w:val="22"/>
              <w:lang w:val="es-ES_tradnl"/>
            </w:rPr>
            <w:t>20</w:t>
          </w:r>
        </w:p>
      </w:tc>
    </w:tr>
    <w:tr w:rsidR="00747BE5" w:rsidRPr="008F2CCC">
      <w:tc>
        <w:tcPr>
          <w:tcW w:w="3261" w:type="dxa"/>
          <w:vMerge/>
        </w:tcPr>
        <w:p w:rsidR="00747BE5" w:rsidRPr="008F2CCC" w:rsidRDefault="001F6648" w:rsidP="00D41D47">
          <w:pPr>
            <w:rPr>
              <w:rFonts w:ascii="Palatino Linotype" w:hAnsi="Palatino Linotype"/>
              <w:b/>
              <w:lang w:val="es-ES_tradnl"/>
            </w:rPr>
          </w:pPr>
        </w:p>
      </w:tc>
      <w:tc>
        <w:tcPr>
          <w:tcW w:w="2551" w:type="dxa"/>
          <w:shd w:val="clear" w:color="auto" w:fill="auto"/>
        </w:tcPr>
        <w:p w:rsidR="00747BE5" w:rsidRPr="00664658" w:rsidRDefault="000C7321" w:rsidP="00D41D47">
          <w:pPr>
            <w:rPr>
              <w:rFonts w:ascii="Palatino Linotype" w:hAnsi="Palatino Linotype"/>
              <w:b/>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rsidR="00747BE5" w:rsidRPr="00D41D47" w:rsidRDefault="000C7321" w:rsidP="00B06BC7">
          <w:pPr>
            <w:jc w:val="both"/>
            <w:rPr>
              <w:rFonts w:ascii="Palatino Linotype" w:hAnsi="Palatino Linotype"/>
              <w:b/>
              <w:lang w:val="es-ES_tradnl"/>
            </w:rPr>
          </w:pPr>
          <w:r>
            <w:rPr>
              <w:rFonts w:ascii="Palatino Linotype" w:hAnsi="Palatino Linotype"/>
              <w:b/>
              <w:sz w:val="22"/>
              <w:szCs w:val="22"/>
              <w:lang w:val="es-ES_tradnl"/>
            </w:rPr>
            <w:t xml:space="preserve">Ayuntamiento de </w:t>
          </w:r>
          <w:r w:rsidR="00B06BC7">
            <w:rPr>
              <w:rFonts w:ascii="Palatino Linotype" w:hAnsi="Palatino Linotype"/>
              <w:b/>
              <w:sz w:val="22"/>
              <w:szCs w:val="22"/>
              <w:lang w:val="es-ES_tradnl"/>
            </w:rPr>
            <w:t>Cuautitlán</w:t>
          </w:r>
        </w:p>
      </w:tc>
    </w:tr>
    <w:tr w:rsidR="00747BE5" w:rsidRPr="008F2CCC">
      <w:trPr>
        <w:trHeight w:val="228"/>
      </w:trPr>
      <w:tc>
        <w:tcPr>
          <w:tcW w:w="3261" w:type="dxa"/>
          <w:vMerge/>
        </w:tcPr>
        <w:p w:rsidR="00747BE5" w:rsidRPr="008F2CCC" w:rsidRDefault="001F6648" w:rsidP="00070856">
          <w:pPr>
            <w:rPr>
              <w:rFonts w:ascii="Palatino Linotype" w:hAnsi="Palatino Linotype"/>
              <w:b/>
              <w:lang w:val="es-ES_tradnl"/>
            </w:rPr>
          </w:pPr>
        </w:p>
      </w:tc>
      <w:tc>
        <w:tcPr>
          <w:tcW w:w="2551" w:type="dxa"/>
          <w:shd w:val="clear" w:color="auto" w:fill="auto"/>
        </w:tcPr>
        <w:p w:rsidR="00747BE5" w:rsidRPr="00664658" w:rsidRDefault="000C7321" w:rsidP="00070856">
          <w:pPr>
            <w:rPr>
              <w:rFonts w:ascii="Palatino Linotype" w:hAnsi="Palatino Linotype"/>
              <w:b/>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rsidR="00747BE5" w:rsidRPr="00664658" w:rsidRDefault="000C7321" w:rsidP="00070856">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47BE5" w:rsidRPr="0010196A" w:rsidRDefault="001F664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747BE5" w:rsidRPr="0010196A" w:rsidRDefault="001F6648">
    <w:pPr>
      <w:rPr>
        <w:rFonts w:ascii="Palatino Linotype" w:hAnsi="Palatino Linotype"/>
        <w:sz w:val="28"/>
        <w:szCs w:val="28"/>
      </w:rPr>
    </w:pPr>
  </w:p>
  <w:tbl>
    <w:tblPr>
      <w:tblW w:w="10490" w:type="dxa"/>
      <w:tblInd w:w="-1276" w:type="dxa"/>
      <w:tblLayout w:type="fixed"/>
      <w:tblLook w:val="04A0"/>
    </w:tblPr>
    <w:tblGrid>
      <w:gridCol w:w="4253"/>
      <w:gridCol w:w="2552"/>
      <w:gridCol w:w="3685"/>
    </w:tblGrid>
    <w:tr w:rsidR="00747BE5" w:rsidRPr="008F2CCC">
      <w:tc>
        <w:tcPr>
          <w:tcW w:w="4253" w:type="dxa"/>
          <w:vMerge w:val="restart"/>
          <w:shd w:val="clear" w:color="auto" w:fill="auto"/>
        </w:tcPr>
        <w:p w:rsidR="00747BE5" w:rsidRPr="008F2CCC" w:rsidRDefault="000C7321" w:rsidP="00A2780F">
          <w:pPr>
            <w:rPr>
              <w:rFonts w:ascii="Palatino Linotype" w:hAnsi="Palatino Linotype"/>
              <w:b/>
              <w:lang w:val="es-ES_tradnl"/>
            </w:rPr>
          </w:pPr>
          <w:r>
            <w:rPr>
              <w:rFonts w:ascii="Palatino Linotype" w:hAnsi="Palatino Linotype"/>
              <w:noProof/>
              <w:sz w:val="28"/>
              <w:szCs w:val="28"/>
              <w:lang w:val="es-ES_tradnl" w:eastAsia="es-ES_tradnl"/>
            </w:rPr>
            <w:drawing>
              <wp:inline distT="0" distB="0" distL="0" distR="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747BE5" w:rsidRPr="008F2CCC" w:rsidRDefault="000C7321" w:rsidP="003C718E">
          <w:pPr>
            <w:rPr>
              <w:rFonts w:ascii="Palatino Linotype" w:hAnsi="Palatino Linotype"/>
              <w:b/>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747BE5" w:rsidRPr="008F2CCC" w:rsidRDefault="00B06BC7" w:rsidP="003A3143">
          <w:pPr>
            <w:jc w:val="both"/>
            <w:rPr>
              <w:rFonts w:ascii="Palatino Linotype" w:hAnsi="Palatino Linotype"/>
              <w:b/>
              <w:lang w:val="es-ES_tradnl"/>
            </w:rPr>
          </w:pPr>
          <w:r>
            <w:rPr>
              <w:rFonts w:ascii="Palatino Linotype" w:hAnsi="Palatino Linotype"/>
              <w:b/>
              <w:sz w:val="22"/>
              <w:szCs w:val="22"/>
              <w:lang w:val="es-ES_tradnl"/>
            </w:rPr>
            <w:t>02372</w:t>
          </w:r>
          <w:r w:rsidR="000C7321">
            <w:rPr>
              <w:rFonts w:ascii="Palatino Linotype" w:hAnsi="Palatino Linotype"/>
              <w:b/>
              <w:sz w:val="22"/>
              <w:szCs w:val="22"/>
              <w:lang w:val="es-ES_tradnl"/>
            </w:rPr>
            <w:t xml:space="preserve">/INFOEM/IP/RR/2020 </w:t>
          </w:r>
        </w:p>
      </w:tc>
    </w:tr>
    <w:tr w:rsidR="00747BE5" w:rsidRPr="008F2CCC">
      <w:tc>
        <w:tcPr>
          <w:tcW w:w="4253" w:type="dxa"/>
          <w:vMerge/>
          <w:shd w:val="clear" w:color="auto" w:fill="auto"/>
        </w:tcPr>
        <w:p w:rsidR="00747BE5" w:rsidRPr="008F2CCC" w:rsidRDefault="001F6648" w:rsidP="00A2780F">
          <w:pPr>
            <w:rPr>
              <w:rFonts w:ascii="Palatino Linotype" w:hAnsi="Palatino Linotype"/>
              <w:b/>
              <w:lang w:val="es-ES_tradnl"/>
            </w:rPr>
          </w:pPr>
        </w:p>
      </w:tc>
      <w:tc>
        <w:tcPr>
          <w:tcW w:w="2552" w:type="dxa"/>
          <w:shd w:val="clear" w:color="auto" w:fill="auto"/>
        </w:tcPr>
        <w:p w:rsidR="00747BE5" w:rsidRPr="008F2CCC" w:rsidRDefault="000C7321" w:rsidP="003D606B">
          <w:pPr>
            <w:rPr>
              <w:rFonts w:ascii="Palatino Linotype" w:hAnsi="Palatino Linotype"/>
              <w:b/>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747BE5" w:rsidRPr="008F2CCC" w:rsidRDefault="001F6648" w:rsidP="00495809">
          <w:pPr>
            <w:jc w:val="both"/>
            <w:rPr>
              <w:rFonts w:ascii="Palatino Linotype" w:hAnsi="Palatino Linotype"/>
              <w:b/>
              <w:lang w:val="es-ES_tradnl"/>
            </w:rPr>
          </w:pPr>
        </w:p>
      </w:tc>
    </w:tr>
    <w:tr w:rsidR="00747BE5" w:rsidRPr="008F2CCC">
      <w:trPr>
        <w:trHeight w:val="228"/>
      </w:trPr>
      <w:tc>
        <w:tcPr>
          <w:tcW w:w="4253" w:type="dxa"/>
          <w:vMerge/>
          <w:shd w:val="clear" w:color="auto" w:fill="auto"/>
        </w:tcPr>
        <w:p w:rsidR="00747BE5" w:rsidRPr="008F2CCC" w:rsidRDefault="001F6648" w:rsidP="00E37C88">
          <w:pPr>
            <w:rPr>
              <w:rFonts w:ascii="Palatino Linotype" w:hAnsi="Palatino Linotype"/>
              <w:b/>
              <w:lang w:val="es-ES_tradnl"/>
            </w:rPr>
          </w:pPr>
        </w:p>
      </w:tc>
      <w:tc>
        <w:tcPr>
          <w:tcW w:w="2552" w:type="dxa"/>
          <w:shd w:val="clear" w:color="auto" w:fill="auto"/>
        </w:tcPr>
        <w:p w:rsidR="00747BE5" w:rsidRPr="008F2CCC" w:rsidRDefault="000C7321" w:rsidP="003C718E">
          <w:pPr>
            <w:rPr>
              <w:rFonts w:ascii="Palatino Linotype" w:hAnsi="Palatino Linotype"/>
              <w:b/>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747BE5" w:rsidRPr="00DC41C8" w:rsidRDefault="000C7321" w:rsidP="00B06BC7">
          <w:pPr>
            <w:jc w:val="both"/>
            <w:rPr>
              <w:rFonts w:ascii="Palatino Linotype" w:hAnsi="Palatino Linotype"/>
              <w:b/>
            </w:rPr>
          </w:pPr>
          <w:r w:rsidRPr="00457BB8">
            <w:rPr>
              <w:rFonts w:ascii="Palatino Linotype" w:hAnsi="Palatino Linotype"/>
              <w:b/>
              <w:sz w:val="22"/>
              <w:szCs w:val="22"/>
              <w:lang w:val="es-ES_tradnl"/>
            </w:rPr>
            <w:t xml:space="preserve">Ayuntamiento de </w:t>
          </w:r>
          <w:r w:rsidR="00B06BC7">
            <w:rPr>
              <w:rFonts w:ascii="Palatino Linotype" w:hAnsi="Palatino Linotype"/>
              <w:b/>
              <w:sz w:val="22"/>
              <w:szCs w:val="22"/>
              <w:lang w:val="es-ES_tradnl"/>
            </w:rPr>
            <w:t>Cuautitlán</w:t>
          </w:r>
        </w:p>
      </w:tc>
    </w:tr>
    <w:tr w:rsidR="00747BE5" w:rsidRPr="008F2CCC">
      <w:tc>
        <w:tcPr>
          <w:tcW w:w="4253" w:type="dxa"/>
          <w:vMerge/>
          <w:shd w:val="clear" w:color="auto" w:fill="auto"/>
        </w:tcPr>
        <w:p w:rsidR="00747BE5" w:rsidRPr="008F2CCC" w:rsidRDefault="001F6648" w:rsidP="00A2780F">
          <w:pPr>
            <w:rPr>
              <w:rFonts w:ascii="Palatino Linotype" w:hAnsi="Palatino Linotype"/>
              <w:b/>
              <w:lang w:val="es-ES_tradnl"/>
            </w:rPr>
          </w:pPr>
        </w:p>
      </w:tc>
      <w:tc>
        <w:tcPr>
          <w:tcW w:w="2552" w:type="dxa"/>
          <w:shd w:val="clear" w:color="auto" w:fill="auto"/>
        </w:tcPr>
        <w:p w:rsidR="00747BE5" w:rsidRPr="008F2CCC" w:rsidRDefault="000C7321" w:rsidP="00664658">
          <w:pPr>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747BE5" w:rsidRPr="008F2CCC" w:rsidRDefault="000C7321" w:rsidP="003C718E">
          <w:pPr>
            <w:jc w:val="both"/>
            <w:rPr>
              <w:rFonts w:ascii="Palatino Linotype" w:hAnsi="Palatino Linotype"/>
              <w:b/>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747BE5" w:rsidRPr="0010196A" w:rsidRDefault="00655B37" w:rsidP="00B8513C">
    <w:pPr>
      <w:rPr>
        <w:rFonts w:ascii="Palatino Linotype" w:hAnsi="Palatino Linotype"/>
        <w:sz w:val="28"/>
        <w:szCs w:val="28"/>
      </w:rPr>
    </w:pPr>
    <w:r w:rsidRPr="00655B37">
      <w:rPr>
        <w:rFonts w:ascii="Palatino Linotype" w:hAnsi="Palatino Linotype"/>
        <w:noProof/>
        <w:sz w:val="28"/>
        <w:szCs w:val="28"/>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1" type="#_x0000_t75" style="position:absolute;margin-left:19.4pt;margin-top:13.2pt;width:540pt;height:10in;z-index:-251655168;mso-position-horizontal-relative:margin;mso-position-vertical-relative:margin" o:allowincell="f">
          <v:imagedata r:id="rId2" o:title="RESOLUCIÓN"/>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hdrShapeDefaults>
    <o:shapedefaults v:ext="edit" spidmax="2054"/>
    <o:shapelayout v:ext="edit">
      <o:idmap v:ext="edit" data="2"/>
    </o:shapelayout>
  </w:hdrShapeDefaults>
  <w:footnotePr>
    <w:footnote w:id="0"/>
    <w:footnote w:id="1"/>
  </w:footnotePr>
  <w:endnotePr>
    <w:endnote w:id="0"/>
    <w:endnote w:id="1"/>
  </w:endnotePr>
  <w:compat/>
  <w:rsids>
    <w:rsidRoot w:val="00B06BC7"/>
    <w:rsid w:val="000C7321"/>
    <w:rsid w:val="00110C89"/>
    <w:rsid w:val="001F6648"/>
    <w:rsid w:val="002E3C5F"/>
    <w:rsid w:val="003604C5"/>
    <w:rsid w:val="004554BF"/>
    <w:rsid w:val="004E5D5F"/>
    <w:rsid w:val="005A3EC5"/>
    <w:rsid w:val="00646404"/>
    <w:rsid w:val="00655B37"/>
    <w:rsid w:val="0069155D"/>
    <w:rsid w:val="00876765"/>
    <w:rsid w:val="00B06BC7"/>
    <w:rsid w:val="00D6753C"/>
    <w:rsid w:val="00DB5C40"/>
    <w:rsid w:val="00DB7C12"/>
    <w:rsid w:val="00E151F6"/>
    <w:rsid w:val="00F86667"/>
    <w:rsid w:val="00FD490D"/>
  </w:rsids>
  <m:mathPr>
    <m:mathFont m:val="Wingdings 2"/>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C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Encabezado">
    <w:name w:val="header"/>
    <w:basedOn w:val="Normal"/>
    <w:link w:val="EncabezadoCar"/>
    <w:uiPriority w:val="99"/>
    <w:unhideWhenUsed/>
    <w:rsid w:val="00B06BC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BC7"/>
    <w:rPr>
      <w:rFonts w:eastAsiaTheme="minorEastAsia"/>
      <w:sz w:val="24"/>
      <w:szCs w:val="24"/>
      <w:lang w:val="es-ES_tradnl" w:eastAsia="es-ES"/>
    </w:rPr>
  </w:style>
  <w:style w:type="paragraph" w:styleId="Piedepgina">
    <w:name w:val="footer"/>
    <w:basedOn w:val="Normal"/>
    <w:link w:val="PiedepginaCar"/>
    <w:uiPriority w:val="99"/>
    <w:unhideWhenUsed/>
    <w:rsid w:val="00B06BC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BC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BC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BC7"/>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06BC7"/>
  </w:style>
  <w:style w:type="character" w:styleId="Hipervnculo">
    <w:name w:val="Hyperlink"/>
    <w:basedOn w:val="Fuentedeprrafopredeter"/>
    <w:uiPriority w:val="99"/>
    <w:semiHidden/>
    <w:unhideWhenUsed/>
    <w:rsid w:val="00B06BC7"/>
    <w:rPr>
      <w:color w:val="0000FF"/>
      <w:u w:val="single"/>
    </w:rPr>
  </w:style>
  <w:style w:type="character" w:styleId="Refdecomentario">
    <w:name w:val="annotation reference"/>
    <w:basedOn w:val="Fuentedeprrafopredeter"/>
    <w:uiPriority w:val="99"/>
    <w:semiHidden/>
    <w:unhideWhenUsed/>
    <w:rsid w:val="00FD490D"/>
    <w:rPr>
      <w:sz w:val="16"/>
      <w:szCs w:val="16"/>
    </w:rPr>
  </w:style>
  <w:style w:type="paragraph" w:styleId="Textocomentario">
    <w:name w:val="annotation text"/>
    <w:basedOn w:val="Normal"/>
    <w:link w:val="TextocomentarioCar"/>
    <w:uiPriority w:val="99"/>
    <w:semiHidden/>
    <w:unhideWhenUsed/>
    <w:rsid w:val="00FD490D"/>
    <w:rPr>
      <w:sz w:val="20"/>
      <w:szCs w:val="20"/>
    </w:rPr>
  </w:style>
  <w:style w:type="character" w:customStyle="1" w:styleId="TextocomentarioCar">
    <w:name w:val="Texto comentario Car"/>
    <w:basedOn w:val="Fuentedeprrafopredeter"/>
    <w:link w:val="Textocomentario"/>
    <w:uiPriority w:val="99"/>
    <w:semiHidden/>
    <w:rsid w:val="00FD490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90D"/>
    <w:rPr>
      <w:b/>
      <w:bCs/>
    </w:rPr>
  </w:style>
  <w:style w:type="character" w:customStyle="1" w:styleId="AsuntodelcomentarioCar">
    <w:name w:val="Asunto del comentario Car"/>
    <w:basedOn w:val="TextocomentarioCar"/>
    <w:link w:val="Asuntodelcomentario"/>
    <w:uiPriority w:val="99"/>
    <w:semiHidden/>
    <w:rsid w:val="00FD490D"/>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FD49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490D"/>
    <w:rPr>
      <w:rFonts w:ascii="Segoe UI" w:eastAsia="Times New Roman" w:hAnsi="Segoe UI" w:cs="Segoe UI"/>
      <w:sz w:val="18"/>
      <w:szCs w:val="18"/>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a="http://schemas.openxmlformats.org/drawingml/2006/main"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2970</Words>
  <Characters>16931</Characters>
  <Application>Microsoft Word 12.0.0</Application>
  <DocSecurity>0</DocSecurity>
  <Lines>141</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Infoem</cp:lastModifiedBy>
  <cp:revision>6</cp:revision>
  <dcterms:created xsi:type="dcterms:W3CDTF">2020-09-03T23:36:00Z</dcterms:created>
  <dcterms:modified xsi:type="dcterms:W3CDTF">2020-09-10T14:24:00Z</dcterms:modified>
</cp:coreProperties>
</file>