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C33D74" w:rsidRDefault="00426092" w:rsidP="00F20CAD">
      <w:pPr>
        <w:tabs>
          <w:tab w:val="center" w:pos="4394"/>
          <w:tab w:val="left" w:pos="6735"/>
        </w:tabs>
        <w:spacing w:before="240" w:after="240" w:line="360" w:lineRule="auto"/>
        <w:rPr>
          <w:rFonts w:ascii="Palatino Linotype" w:hAnsi="Palatino Linotype"/>
          <w:b/>
        </w:rPr>
      </w:pPr>
      <w:r w:rsidRPr="00037543">
        <w:rPr>
          <w:rFonts w:ascii="Palatino Linotype" w:hAnsi="Palatino Linotype"/>
          <w:b/>
        </w:rPr>
        <w:tab/>
      </w:r>
      <w:r w:rsidR="005B118B" w:rsidRPr="00C33D74">
        <w:rPr>
          <w:rFonts w:ascii="Palatino Linotype" w:hAnsi="Palatino Linotype"/>
          <w:b/>
        </w:rPr>
        <w:t xml:space="preserve">LÍNEAS </w:t>
      </w:r>
      <w:r w:rsidR="00777013" w:rsidRPr="00C33D74">
        <w:rPr>
          <w:rFonts w:ascii="Palatino Linotype" w:hAnsi="Palatino Linotype"/>
          <w:b/>
        </w:rPr>
        <w:t>ARGUMENTATIVAS.</w:t>
      </w:r>
    </w:p>
    <w:p w14:paraId="61C4D34E" w14:textId="6348ECFA" w:rsidR="00777013" w:rsidRPr="00C33D74" w:rsidRDefault="00777013" w:rsidP="00777013">
      <w:pPr>
        <w:spacing w:before="240" w:after="360" w:line="360" w:lineRule="auto"/>
        <w:contextualSpacing/>
        <w:jc w:val="both"/>
        <w:rPr>
          <w:rFonts w:ascii="Palatino Linotype" w:eastAsia="Times New Roman" w:hAnsi="Palatino Linotype"/>
        </w:rPr>
      </w:pPr>
      <w:r w:rsidRPr="00C33D74">
        <w:rPr>
          <w:rFonts w:ascii="Palatino Linotype" w:eastAsia="Times New Roman" w:hAnsi="Palatino Linotype"/>
          <w:b/>
        </w:rPr>
        <w:t>DEBERES DE LAS AUTORIDADES.</w:t>
      </w:r>
      <w:r w:rsidRPr="00C33D7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C33D74" w:rsidRDefault="00FB1F4A" w:rsidP="00777013">
      <w:pPr>
        <w:spacing w:before="240" w:after="360" w:line="360" w:lineRule="auto"/>
        <w:contextualSpacing/>
        <w:jc w:val="both"/>
        <w:rPr>
          <w:rFonts w:ascii="Palatino Linotype" w:eastAsia="Times New Roman" w:hAnsi="Palatino Linotype"/>
        </w:rPr>
      </w:pPr>
    </w:p>
    <w:p w14:paraId="7CFC56E1" w14:textId="2755F1FF" w:rsidR="00030C45" w:rsidRPr="00C33D74" w:rsidRDefault="00FB1F4A" w:rsidP="00777013">
      <w:pPr>
        <w:spacing w:before="240" w:after="360" w:line="360" w:lineRule="auto"/>
        <w:contextualSpacing/>
        <w:jc w:val="both"/>
        <w:rPr>
          <w:rFonts w:ascii="Palatino Linotype" w:eastAsia="Times New Roman" w:hAnsi="Palatino Linotype"/>
        </w:rPr>
      </w:pPr>
      <w:r w:rsidRPr="00C33D74">
        <w:rPr>
          <w:rFonts w:ascii="Palatino Linotype" w:eastAsia="Times New Roman" w:hAnsi="Palatino Linotype"/>
          <w:b/>
        </w:rPr>
        <w:t xml:space="preserve">DERECHO DE ACCESO A LA INFORMACIÓN PÚBLICA. </w:t>
      </w:r>
      <w:r w:rsidRPr="00C33D74">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C33D74" w:rsidRDefault="00FB1F4A" w:rsidP="00777013">
      <w:pPr>
        <w:spacing w:before="240" w:after="360" w:line="360" w:lineRule="auto"/>
        <w:contextualSpacing/>
        <w:jc w:val="both"/>
        <w:rPr>
          <w:rFonts w:ascii="Palatino Linotype" w:eastAsia="Times New Roman" w:hAnsi="Palatino Linotype"/>
        </w:rPr>
      </w:pPr>
    </w:p>
    <w:p w14:paraId="6346830D" w14:textId="231E7193" w:rsidR="00920A0E" w:rsidRPr="00C33D74" w:rsidRDefault="009A61AE" w:rsidP="00FB1F4A">
      <w:pPr>
        <w:spacing w:before="240" w:after="360" w:line="360" w:lineRule="auto"/>
        <w:contextualSpacing/>
        <w:jc w:val="both"/>
        <w:rPr>
          <w:rFonts w:ascii="Palatino Linotype" w:eastAsia="Times New Roman" w:hAnsi="Palatino Linotype"/>
        </w:rPr>
      </w:pPr>
      <w:r w:rsidRPr="00C33D74">
        <w:rPr>
          <w:rFonts w:ascii="Palatino Linotype" w:eastAsia="Times New Roman" w:hAnsi="Palatino Linotype"/>
          <w:b/>
        </w:rPr>
        <w:t>RESPUESTAS IMPRECISAS O INCOMPLETAS, DEBER DE REPARACIÓN.</w:t>
      </w:r>
      <w:r w:rsidRPr="00C33D74">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B7F0B8D" w14:textId="77777777" w:rsidR="00431E4E" w:rsidRPr="00C33D74" w:rsidRDefault="00431E4E" w:rsidP="00FB1F4A">
      <w:pPr>
        <w:spacing w:before="240" w:after="360" w:line="360" w:lineRule="auto"/>
        <w:contextualSpacing/>
        <w:jc w:val="both"/>
        <w:rPr>
          <w:rFonts w:ascii="Palatino Linotype" w:eastAsia="Times New Roman" w:hAnsi="Palatino Linotype"/>
        </w:rPr>
      </w:pPr>
    </w:p>
    <w:p w14:paraId="3B718482" w14:textId="193428C7" w:rsidR="004A57C5" w:rsidRPr="00C33D74" w:rsidRDefault="004A57C5" w:rsidP="00A32F9D">
      <w:pPr>
        <w:spacing w:before="240" w:after="360" w:line="360" w:lineRule="auto"/>
        <w:contextualSpacing/>
        <w:jc w:val="both"/>
        <w:rPr>
          <w:rFonts w:ascii="Palatino Linotype" w:eastAsia="Calibri" w:hAnsi="Palatino Linotype" w:cs="Arial"/>
          <w:lang w:val="es-MX" w:eastAsia="en-US"/>
        </w:rPr>
      </w:pPr>
      <w:r w:rsidRPr="00C33D74">
        <w:rPr>
          <w:rFonts w:ascii="Palatino Linotype" w:eastAsia="Times New Roman" w:hAnsi="Palatino Linotype"/>
          <w:b/>
        </w:rPr>
        <w:t>DERECHOS HUMANOS, INTERDEPENDENCIA DE LOS</w:t>
      </w:r>
      <w:r w:rsidR="00A32F9D" w:rsidRPr="00C33D74">
        <w:rPr>
          <w:rFonts w:ascii="Palatino Linotype" w:eastAsia="Times New Roman" w:hAnsi="Palatino Linotype"/>
          <w:b/>
        </w:rPr>
        <w:t xml:space="preserve">: </w:t>
      </w:r>
      <w:r w:rsidRPr="00C33D74">
        <w:rPr>
          <w:rFonts w:ascii="Palatino Linotype" w:eastAsia="Calibri" w:hAnsi="Palatino Linotype" w:cs="Arial"/>
          <w:lang w:val="es-MX" w:eastAsia="en-US"/>
        </w:rPr>
        <w:t xml:space="preserve">Cuando en una solicitud de información como instrumento para el ejercicio del derecho humano de acceso a la información pública, se </w:t>
      </w:r>
      <w:r w:rsidR="00191B48" w:rsidRPr="00C33D74">
        <w:rPr>
          <w:rFonts w:ascii="Palatino Linotype" w:eastAsia="Calibri" w:hAnsi="Palatino Linotype" w:cs="Arial"/>
          <w:lang w:val="es-MX" w:eastAsia="en-US"/>
        </w:rPr>
        <w:t>advierta la pretensión de garantizar otro derecho semejante</w:t>
      </w:r>
      <w:r w:rsidRPr="00C33D74">
        <w:rPr>
          <w:rFonts w:ascii="Palatino Linotype" w:eastAsia="Calibri" w:hAnsi="Palatino Linotype" w:cs="Arial"/>
          <w:lang w:val="es-MX" w:eastAsia="en-US"/>
        </w:rPr>
        <w:t>, este instituto se deberá en</w:t>
      </w:r>
      <w:r w:rsidR="00191B48" w:rsidRPr="00C33D74">
        <w:rPr>
          <w:rFonts w:ascii="Palatino Linotype" w:eastAsia="Calibri" w:hAnsi="Palatino Linotype" w:cs="Arial"/>
          <w:lang w:val="es-MX" w:eastAsia="en-US"/>
        </w:rPr>
        <w:t xml:space="preserve">causar su actuar a efecto de garantizar la oportuna entrega de la misma.  </w:t>
      </w:r>
    </w:p>
    <w:p w14:paraId="06409895" w14:textId="77777777" w:rsidR="00920A0E" w:rsidRPr="00C33D74" w:rsidRDefault="00920A0E" w:rsidP="00FB1F4A">
      <w:pPr>
        <w:spacing w:before="240" w:after="360" w:line="360" w:lineRule="auto"/>
        <w:contextualSpacing/>
        <w:jc w:val="both"/>
        <w:rPr>
          <w:rFonts w:ascii="Palatino Linotype" w:eastAsia="Times New Roman" w:hAnsi="Palatino Linotype"/>
        </w:rPr>
      </w:pPr>
    </w:p>
    <w:p w14:paraId="51465636" w14:textId="0FA03B05" w:rsidR="004279B4" w:rsidRPr="00C33D74" w:rsidRDefault="004279B4" w:rsidP="004279B4">
      <w:pPr>
        <w:spacing w:line="360" w:lineRule="auto"/>
        <w:jc w:val="both"/>
        <w:rPr>
          <w:rFonts w:ascii="Palatino Linotype" w:eastAsia="Times New Roman" w:hAnsi="Palatino Linotype" w:cs="Arial"/>
          <w:noProof/>
          <w:color w:val="000000" w:themeColor="text1"/>
          <w:lang w:val="es-MX"/>
        </w:rPr>
      </w:pPr>
      <w:r w:rsidRPr="00C33D74">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C33D74">
        <w:rPr>
          <w:rFonts w:ascii="Palatino Linotype" w:eastAsia="MS Mincho" w:hAnsi="Palatino Linotype" w:cs="Arial"/>
          <w:noProof/>
          <w:color w:val="000000" w:themeColor="text1"/>
          <w:lang w:val="es-MX"/>
        </w:rPr>
        <w:t>. L</w:t>
      </w:r>
      <w:r w:rsidRPr="00C33D74">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C33D74">
        <w:rPr>
          <w:rFonts w:ascii="Palatino Linotype" w:eastAsia="MS Mincho" w:hAnsi="Palatino Linotype" w:cs="Arial"/>
          <w:noProof/>
          <w:color w:val="000000" w:themeColor="text1"/>
          <w:lang w:val="es-MX"/>
        </w:rPr>
        <w:t xml:space="preserve"> </w:t>
      </w:r>
      <w:r w:rsidRPr="00C33D74">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672BF111" w14:textId="1104F1BB" w:rsidR="00F574EA" w:rsidRPr="00C33D74" w:rsidRDefault="004279B4" w:rsidP="00684855">
      <w:pPr>
        <w:tabs>
          <w:tab w:val="left" w:pos="6915"/>
        </w:tabs>
        <w:spacing w:before="240" w:after="240" w:line="360" w:lineRule="auto"/>
        <w:rPr>
          <w:rFonts w:ascii="Palatino Linotype" w:hAnsi="Palatino Linotype"/>
          <w:b/>
          <w:color w:val="000000" w:themeColor="text1"/>
          <w:lang w:val="es-MX"/>
        </w:rPr>
      </w:pPr>
      <w:r w:rsidRPr="00C33D74">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2663767" wp14:editId="6DA730A7">
                <wp:simplePos x="0" y="0"/>
                <wp:positionH relativeFrom="margin">
                  <wp:align>left</wp:align>
                </wp:positionH>
                <wp:positionV relativeFrom="paragraph">
                  <wp:posOffset>67310</wp:posOffset>
                </wp:positionV>
                <wp:extent cx="5543550" cy="260985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543550" cy="26098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BAECBB4"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pt" to="436.5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" strokecolor="#4f81bd" strokeweight="2pt">
                <v:shadow on="t" color="black" opacity="24903f" origin=",.5" offset="0,.55556mm"/>
                <w10:wrap anchorx="margin"/>
              </v:line>
            </w:pict>
          </mc:Fallback>
        </mc:AlternateContent>
      </w:r>
    </w:p>
    <w:p w14:paraId="17AFD957" w14:textId="0F394A4D" w:rsidR="00920A0E" w:rsidRPr="00C33D74" w:rsidRDefault="00920A0E" w:rsidP="00920A0E">
      <w:pPr>
        <w:spacing w:before="240" w:after="240" w:line="360" w:lineRule="auto"/>
        <w:rPr>
          <w:rFonts w:ascii="Palatino Linotype" w:hAnsi="Palatino Linotype"/>
          <w:b/>
          <w:color w:val="000000" w:themeColor="text1"/>
        </w:rPr>
      </w:pPr>
    </w:p>
    <w:p w14:paraId="23E42871" w14:textId="42E10D27" w:rsidR="004279B4" w:rsidRPr="00C33D74" w:rsidRDefault="004279B4" w:rsidP="00920A0E">
      <w:pPr>
        <w:spacing w:before="240" w:after="240" w:line="360" w:lineRule="auto"/>
        <w:rPr>
          <w:rFonts w:ascii="Palatino Linotype" w:hAnsi="Palatino Linotype"/>
          <w:b/>
          <w:color w:val="000000" w:themeColor="text1"/>
        </w:rPr>
      </w:pPr>
    </w:p>
    <w:p w14:paraId="44A47AFE" w14:textId="685CA97A" w:rsidR="004279B4" w:rsidRPr="00C33D74" w:rsidRDefault="004279B4" w:rsidP="00920A0E">
      <w:pPr>
        <w:spacing w:before="240" w:after="240" w:line="360" w:lineRule="auto"/>
        <w:rPr>
          <w:rFonts w:ascii="Palatino Linotype" w:hAnsi="Palatino Linotype"/>
          <w:b/>
          <w:color w:val="000000" w:themeColor="text1"/>
        </w:rPr>
      </w:pPr>
    </w:p>
    <w:p w14:paraId="45DEA32F" w14:textId="4A2DB5DC" w:rsidR="004279B4" w:rsidRPr="00C33D74" w:rsidRDefault="004279B4" w:rsidP="00920A0E">
      <w:pPr>
        <w:spacing w:before="240" w:after="240" w:line="360" w:lineRule="auto"/>
        <w:rPr>
          <w:rFonts w:ascii="Palatino Linotype" w:hAnsi="Palatino Linotype"/>
          <w:b/>
          <w:color w:val="000000" w:themeColor="text1"/>
        </w:rPr>
      </w:pPr>
    </w:p>
    <w:p w14:paraId="56A69E99" w14:textId="77777777" w:rsidR="004279B4" w:rsidRPr="00C33D74" w:rsidRDefault="004279B4" w:rsidP="00920A0E">
      <w:pPr>
        <w:spacing w:before="240" w:after="240" w:line="360" w:lineRule="auto"/>
        <w:rPr>
          <w:rFonts w:ascii="Palatino Linotype" w:hAnsi="Palatino Linotype"/>
          <w:b/>
          <w:color w:val="000000" w:themeColor="text1"/>
        </w:rPr>
      </w:pPr>
    </w:p>
    <w:p w14:paraId="12396007" w14:textId="789CB391" w:rsidR="00474A9F" w:rsidRPr="00C33D74" w:rsidRDefault="00474A9F" w:rsidP="009A32F9">
      <w:pPr>
        <w:spacing w:before="240" w:after="240" w:line="360" w:lineRule="auto"/>
        <w:jc w:val="center"/>
        <w:rPr>
          <w:rFonts w:ascii="Palatino Linotype" w:hAnsi="Palatino Linotype"/>
          <w:color w:val="000000" w:themeColor="text1"/>
        </w:rPr>
      </w:pPr>
      <w:r w:rsidRPr="00C33D74">
        <w:rPr>
          <w:rFonts w:ascii="Palatino Linotype" w:hAnsi="Palatino Linotype"/>
          <w:b/>
          <w:color w:val="000000" w:themeColor="text1"/>
        </w:rPr>
        <w:t>ÍNDICE</w:t>
      </w:r>
      <w:r w:rsidRPr="00C33D74">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4BB79756" w14:textId="78D4BB19" w:rsidR="00723019" w:rsidRPr="00C33D74" w:rsidRDefault="00B828E4">
          <w:pPr>
            <w:pStyle w:val="TDC1"/>
            <w:rPr>
              <w:rFonts w:ascii="Palatino Linotype" w:hAnsi="Palatino Linotype"/>
              <w:noProof/>
              <w:sz w:val="22"/>
              <w:szCs w:val="22"/>
              <w:lang w:val="en-US" w:eastAsia="en-US"/>
            </w:rPr>
          </w:pPr>
          <w:r w:rsidRPr="00C33D74">
            <w:rPr>
              <w:rFonts w:ascii="Palatino Linotype" w:hAnsi="Palatino Linotype"/>
              <w:color w:val="000000" w:themeColor="text1"/>
            </w:rPr>
            <w:fldChar w:fldCharType="begin"/>
          </w:r>
          <w:r w:rsidRPr="00C33D74">
            <w:rPr>
              <w:rFonts w:ascii="Palatino Linotype" w:hAnsi="Palatino Linotype"/>
              <w:color w:val="000000" w:themeColor="text1"/>
            </w:rPr>
            <w:instrText xml:space="preserve"> TOC \o "1-3" \h \z \u </w:instrText>
          </w:r>
          <w:r w:rsidRPr="00C33D74">
            <w:rPr>
              <w:rFonts w:ascii="Palatino Linotype" w:hAnsi="Palatino Linotype"/>
              <w:color w:val="000000" w:themeColor="text1"/>
            </w:rPr>
            <w:fldChar w:fldCharType="separate"/>
          </w:r>
          <w:hyperlink w:anchor="_Toc35552914" w:history="1">
            <w:r w:rsidR="00723019" w:rsidRPr="00C33D74">
              <w:rPr>
                <w:rStyle w:val="Hipervnculo"/>
                <w:rFonts w:ascii="Palatino Linotype" w:hAnsi="Palatino Linotype"/>
                <w:b/>
                <w:noProof/>
              </w:rPr>
              <w:t>ANTECEDENTES</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_Toc35552914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4</w:t>
            </w:r>
            <w:r w:rsidR="00723019" w:rsidRPr="00C33D74">
              <w:rPr>
                <w:rFonts w:ascii="Palatino Linotype" w:hAnsi="Palatino Linotype"/>
                <w:noProof/>
                <w:webHidden/>
              </w:rPr>
              <w:fldChar w:fldCharType="end"/>
            </w:r>
          </w:hyperlink>
        </w:p>
        <w:p w14:paraId="0A5CD36F" w14:textId="61F7D5A5" w:rsidR="00723019" w:rsidRPr="00C33D74" w:rsidRDefault="00205760">
          <w:pPr>
            <w:pStyle w:val="TDC1"/>
            <w:rPr>
              <w:rFonts w:ascii="Palatino Linotype" w:hAnsi="Palatino Linotype"/>
              <w:noProof/>
              <w:sz w:val="22"/>
              <w:szCs w:val="22"/>
              <w:lang w:val="en-US" w:eastAsia="en-US"/>
            </w:rPr>
          </w:pPr>
          <w:hyperlink w:anchor="_Toc35552917" w:history="1">
            <w:r w:rsidR="00723019" w:rsidRPr="00C33D74">
              <w:rPr>
                <w:rStyle w:val="Hipervnculo"/>
                <w:rFonts w:ascii="Palatino Linotype" w:hAnsi="Palatino Linotype"/>
                <w:b/>
                <w:noProof/>
              </w:rPr>
              <w:t>CONSIDERANDO</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_Toc35552917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9</w:t>
            </w:r>
            <w:r w:rsidR="00723019" w:rsidRPr="00C33D74">
              <w:rPr>
                <w:rFonts w:ascii="Palatino Linotype" w:hAnsi="Palatino Linotype"/>
                <w:noProof/>
                <w:webHidden/>
              </w:rPr>
              <w:fldChar w:fldCharType="end"/>
            </w:r>
          </w:hyperlink>
        </w:p>
        <w:p w14:paraId="2627F05D" w14:textId="26BB4D9D" w:rsidR="00723019" w:rsidRPr="00C33D74" w:rsidRDefault="00205760" w:rsidP="00723019">
          <w:pPr>
            <w:pStyle w:val="TDC2"/>
            <w:tabs>
              <w:tab w:val="right" w:leader="dot" w:pos="8779"/>
            </w:tabs>
            <w:ind w:left="0"/>
            <w:rPr>
              <w:rFonts w:ascii="Palatino Linotype" w:hAnsi="Palatino Linotype"/>
              <w:noProof/>
              <w:sz w:val="22"/>
              <w:szCs w:val="22"/>
              <w:lang w:val="en-US" w:eastAsia="en-US"/>
            </w:rPr>
          </w:pPr>
          <w:hyperlink w:anchor="_Toc35552918" w:history="1">
            <w:r w:rsidR="00723019" w:rsidRPr="00C33D74">
              <w:rPr>
                <w:rStyle w:val="Hipervnculo"/>
                <w:rFonts w:ascii="Palatino Linotype" w:hAnsi="Palatino Linotype"/>
                <w:b/>
                <w:noProof/>
              </w:rPr>
              <w:t>PRIMERO. De la competencia</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_Toc35552918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9</w:t>
            </w:r>
            <w:r w:rsidR="00723019" w:rsidRPr="00C33D74">
              <w:rPr>
                <w:rFonts w:ascii="Palatino Linotype" w:hAnsi="Palatino Linotype"/>
                <w:noProof/>
                <w:webHidden/>
              </w:rPr>
              <w:fldChar w:fldCharType="end"/>
            </w:r>
          </w:hyperlink>
        </w:p>
        <w:p w14:paraId="653CEB9C" w14:textId="01C6814A" w:rsidR="00723019" w:rsidRPr="00C33D74" w:rsidRDefault="00205760" w:rsidP="00723019">
          <w:pPr>
            <w:pStyle w:val="TDC2"/>
            <w:tabs>
              <w:tab w:val="right" w:leader="dot" w:pos="8779"/>
            </w:tabs>
            <w:ind w:left="0"/>
            <w:rPr>
              <w:rFonts w:ascii="Palatino Linotype" w:hAnsi="Palatino Linotype"/>
              <w:noProof/>
              <w:sz w:val="22"/>
              <w:szCs w:val="22"/>
              <w:lang w:val="en-US" w:eastAsia="en-US"/>
            </w:rPr>
          </w:pPr>
          <w:hyperlink w:anchor="_Toc35552919" w:history="1">
            <w:r w:rsidR="00723019" w:rsidRPr="00C33D74">
              <w:rPr>
                <w:rStyle w:val="Hipervnculo"/>
                <w:rFonts w:ascii="Palatino Linotype" w:hAnsi="Palatino Linotype"/>
                <w:b/>
                <w:noProof/>
              </w:rPr>
              <w:t>SEGUNDO. De la oportunidad y procedibilidad.</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_Toc35552919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9</w:t>
            </w:r>
            <w:r w:rsidR="00723019" w:rsidRPr="00C33D74">
              <w:rPr>
                <w:rFonts w:ascii="Palatino Linotype" w:hAnsi="Palatino Linotype"/>
                <w:noProof/>
                <w:webHidden/>
              </w:rPr>
              <w:fldChar w:fldCharType="end"/>
            </w:r>
          </w:hyperlink>
        </w:p>
        <w:p w14:paraId="6D27B8FA" w14:textId="1E175647" w:rsidR="00723019" w:rsidRPr="00C33D74" w:rsidRDefault="00205760">
          <w:pPr>
            <w:pStyle w:val="TDC1"/>
            <w:rPr>
              <w:rFonts w:ascii="Palatino Linotype" w:hAnsi="Palatino Linotype"/>
              <w:noProof/>
              <w:sz w:val="22"/>
              <w:szCs w:val="22"/>
              <w:lang w:val="en-US" w:eastAsia="en-US"/>
            </w:rPr>
          </w:pPr>
          <w:hyperlink w:anchor="_Toc35552920" w:history="1">
            <w:r w:rsidR="00723019" w:rsidRPr="00C33D74">
              <w:rPr>
                <w:rStyle w:val="Hipervnculo"/>
                <w:rFonts w:ascii="Palatino Linotype" w:hAnsi="Palatino Linotype"/>
                <w:b/>
                <w:noProof/>
              </w:rPr>
              <w:t>CUARTO. Del estudio y resolución del asunto.</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_Toc35552920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12</w:t>
            </w:r>
            <w:r w:rsidR="00723019" w:rsidRPr="00C33D74">
              <w:rPr>
                <w:rFonts w:ascii="Palatino Linotype" w:hAnsi="Palatino Linotype"/>
                <w:noProof/>
                <w:webHidden/>
              </w:rPr>
              <w:fldChar w:fldCharType="end"/>
            </w:r>
          </w:hyperlink>
        </w:p>
        <w:p w14:paraId="27F051F2" w14:textId="2653213E" w:rsidR="00723019" w:rsidRPr="00C33D74" w:rsidRDefault="00205760">
          <w:pPr>
            <w:pStyle w:val="TDC1"/>
            <w:rPr>
              <w:rFonts w:ascii="Palatino Linotype" w:hAnsi="Palatino Linotype"/>
              <w:noProof/>
              <w:sz w:val="22"/>
              <w:szCs w:val="22"/>
              <w:lang w:val="en-US" w:eastAsia="en-US"/>
            </w:rPr>
          </w:pPr>
          <w:hyperlink w:anchor="_Toc35552921" w:history="1">
            <w:r w:rsidR="00723019" w:rsidRPr="00C33D74">
              <w:rPr>
                <w:rStyle w:val="Hipervnculo"/>
                <w:rFonts w:ascii="Palatino Linotype" w:hAnsi="Palatino Linotype"/>
                <w:b/>
                <w:noProof/>
              </w:rPr>
              <w:t>I. Del deber de las autoridades de promover, respetar, proteger, y garantizar el derecho de acceso a la información pública.</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_Toc35552921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12</w:t>
            </w:r>
            <w:r w:rsidR="00723019" w:rsidRPr="00C33D74">
              <w:rPr>
                <w:rFonts w:ascii="Palatino Linotype" w:hAnsi="Palatino Linotype"/>
                <w:noProof/>
                <w:webHidden/>
              </w:rPr>
              <w:fldChar w:fldCharType="end"/>
            </w:r>
          </w:hyperlink>
        </w:p>
        <w:p w14:paraId="498485F5" w14:textId="0706F5A4" w:rsidR="00723019" w:rsidRPr="00C33D74" w:rsidRDefault="00205760">
          <w:pPr>
            <w:pStyle w:val="TDC1"/>
            <w:rPr>
              <w:rFonts w:ascii="Palatino Linotype" w:hAnsi="Palatino Linotype"/>
              <w:noProof/>
              <w:sz w:val="22"/>
              <w:szCs w:val="22"/>
              <w:lang w:val="en-US" w:eastAsia="en-US"/>
            </w:rPr>
          </w:pPr>
          <w:hyperlink w:anchor="_Toc35552922" w:history="1">
            <w:r w:rsidR="00723019" w:rsidRPr="00C33D74">
              <w:rPr>
                <w:rStyle w:val="Hipervnculo"/>
                <w:rFonts w:ascii="Palatino Linotype" w:hAnsi="Palatino Linotype"/>
                <w:b/>
                <w:noProof/>
              </w:rPr>
              <w:t>II. De la Información Solicitada.</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_Toc35552922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18</w:t>
            </w:r>
            <w:r w:rsidR="00723019" w:rsidRPr="00C33D74">
              <w:rPr>
                <w:rFonts w:ascii="Palatino Linotype" w:hAnsi="Palatino Linotype"/>
                <w:noProof/>
                <w:webHidden/>
              </w:rPr>
              <w:fldChar w:fldCharType="end"/>
            </w:r>
          </w:hyperlink>
        </w:p>
        <w:p w14:paraId="7C13E80F" w14:textId="04528F49" w:rsidR="00723019" w:rsidRPr="00C33D74" w:rsidRDefault="00205760">
          <w:pPr>
            <w:pStyle w:val="TDC1"/>
            <w:rPr>
              <w:rFonts w:ascii="Palatino Linotype" w:hAnsi="Palatino Linotype"/>
              <w:noProof/>
              <w:sz w:val="22"/>
              <w:szCs w:val="22"/>
              <w:lang w:val="en-US" w:eastAsia="en-US"/>
            </w:rPr>
          </w:pPr>
          <w:hyperlink w:anchor="_Toc35552923" w:history="1">
            <w:r w:rsidR="00723019" w:rsidRPr="00C33D74">
              <w:rPr>
                <w:rStyle w:val="Hipervnculo"/>
                <w:rFonts w:ascii="Palatino Linotype" w:hAnsi="Palatino Linotype" w:cs="Times New Roman"/>
                <w:b/>
                <w:noProof/>
                <w:lang w:eastAsia="es-ES_tradnl"/>
              </w:rPr>
              <w:t>QUINTO.</w:t>
            </w:r>
            <w:r w:rsidR="00723019" w:rsidRPr="00C33D74">
              <w:rPr>
                <w:rStyle w:val="Hipervnculo"/>
                <w:rFonts w:ascii="Palatino Linotype" w:hAnsi="Palatino Linotype"/>
                <w:b/>
                <w:noProof/>
              </w:rPr>
              <w:t xml:space="preserve"> De la elaboración de la versión pública y el acuerdo de clasificación como información confidencial.</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_Toc35552923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43</w:t>
            </w:r>
            <w:r w:rsidR="00723019" w:rsidRPr="00C33D74">
              <w:rPr>
                <w:rFonts w:ascii="Palatino Linotype" w:hAnsi="Palatino Linotype"/>
                <w:noProof/>
                <w:webHidden/>
              </w:rPr>
              <w:fldChar w:fldCharType="end"/>
            </w:r>
          </w:hyperlink>
        </w:p>
        <w:p w14:paraId="22BA8269" w14:textId="48BAE385" w:rsidR="00723019" w:rsidRPr="00C33D74" w:rsidRDefault="00205760">
          <w:pPr>
            <w:pStyle w:val="TDC1"/>
            <w:rPr>
              <w:rFonts w:ascii="Palatino Linotype" w:hAnsi="Palatino Linotype"/>
              <w:noProof/>
              <w:sz w:val="22"/>
              <w:szCs w:val="22"/>
              <w:lang w:val="en-US" w:eastAsia="en-US"/>
            </w:rPr>
          </w:pPr>
          <w:hyperlink w:anchor="_Toc35552924" w:history="1">
            <w:r w:rsidR="00723019" w:rsidRPr="00C33D74">
              <w:rPr>
                <w:rStyle w:val="Hipervnculo"/>
                <w:rFonts w:ascii="Palatino Linotype" w:hAnsi="Palatino Linotype"/>
                <w:b/>
                <w:noProof/>
              </w:rPr>
              <w:t>I. Requisitos previos.</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_Toc35552924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45</w:t>
            </w:r>
            <w:r w:rsidR="00723019" w:rsidRPr="00C33D74">
              <w:rPr>
                <w:rFonts w:ascii="Palatino Linotype" w:hAnsi="Palatino Linotype"/>
                <w:noProof/>
                <w:webHidden/>
              </w:rPr>
              <w:fldChar w:fldCharType="end"/>
            </w:r>
          </w:hyperlink>
        </w:p>
        <w:p w14:paraId="6829AC77" w14:textId="5D103C37" w:rsidR="00723019" w:rsidRPr="00C33D74" w:rsidRDefault="00205760">
          <w:pPr>
            <w:pStyle w:val="TDC1"/>
            <w:rPr>
              <w:rFonts w:ascii="Palatino Linotype" w:hAnsi="Palatino Linotype"/>
              <w:noProof/>
              <w:sz w:val="22"/>
              <w:szCs w:val="22"/>
              <w:lang w:val="en-US" w:eastAsia="en-US"/>
            </w:rPr>
          </w:pPr>
          <w:hyperlink w:anchor="_Toc35552925" w:history="1">
            <w:r w:rsidR="00723019" w:rsidRPr="00C33D74">
              <w:rPr>
                <w:rStyle w:val="Hipervnculo"/>
                <w:rFonts w:ascii="Palatino Linotype" w:hAnsi="Palatino Linotype"/>
                <w:b/>
                <w:noProof/>
              </w:rPr>
              <w:t>II. Supuestos de clasificación</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_Toc35552925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46</w:t>
            </w:r>
            <w:r w:rsidR="00723019" w:rsidRPr="00C33D74">
              <w:rPr>
                <w:rFonts w:ascii="Palatino Linotype" w:hAnsi="Palatino Linotype"/>
                <w:noProof/>
                <w:webHidden/>
              </w:rPr>
              <w:fldChar w:fldCharType="end"/>
            </w:r>
          </w:hyperlink>
        </w:p>
        <w:p w14:paraId="21CA4585" w14:textId="289DC02A" w:rsidR="00723019" w:rsidRPr="00C33D74" w:rsidRDefault="00205760">
          <w:pPr>
            <w:pStyle w:val="TDC1"/>
            <w:rPr>
              <w:rFonts w:ascii="Palatino Linotype" w:hAnsi="Palatino Linotype"/>
              <w:noProof/>
              <w:sz w:val="22"/>
              <w:szCs w:val="22"/>
              <w:lang w:val="en-US" w:eastAsia="en-US"/>
            </w:rPr>
          </w:pPr>
          <w:hyperlink w:anchor="_Toc35552926" w:history="1">
            <w:r w:rsidR="00723019" w:rsidRPr="00C33D74">
              <w:rPr>
                <w:rStyle w:val="Hipervnculo"/>
                <w:rFonts w:ascii="Palatino Linotype" w:hAnsi="Palatino Linotype"/>
                <w:b/>
                <w:noProof/>
              </w:rPr>
              <w:t>III. Formalidades para emitir el acuerdo de clasificación.</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_Toc35552926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48</w:t>
            </w:r>
            <w:r w:rsidR="00723019" w:rsidRPr="00C33D74">
              <w:rPr>
                <w:rFonts w:ascii="Palatino Linotype" w:hAnsi="Palatino Linotype"/>
                <w:noProof/>
                <w:webHidden/>
              </w:rPr>
              <w:fldChar w:fldCharType="end"/>
            </w:r>
          </w:hyperlink>
        </w:p>
        <w:p w14:paraId="67D9D58F" w14:textId="1000111F" w:rsidR="00723019" w:rsidRPr="00C33D74" w:rsidRDefault="00205760">
          <w:pPr>
            <w:pStyle w:val="TDC1"/>
            <w:rPr>
              <w:rFonts w:ascii="Palatino Linotype" w:hAnsi="Palatino Linotype"/>
              <w:noProof/>
              <w:sz w:val="22"/>
              <w:szCs w:val="22"/>
              <w:lang w:val="en-US" w:eastAsia="en-US"/>
            </w:rPr>
          </w:pPr>
          <w:hyperlink w:anchor="_Toc35552927" w:history="1">
            <w:r w:rsidR="00723019" w:rsidRPr="00C33D74">
              <w:rPr>
                <w:rStyle w:val="Hipervnculo"/>
                <w:rFonts w:ascii="Palatino Linotype" w:hAnsi="Palatino Linotype"/>
                <w:b/>
                <w:noProof/>
              </w:rPr>
              <w:t>IV. Requisitos de fondo del acuerdo de clasificación</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_Toc35552927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49</w:t>
            </w:r>
            <w:r w:rsidR="00723019" w:rsidRPr="00C33D74">
              <w:rPr>
                <w:rFonts w:ascii="Palatino Linotype" w:hAnsi="Palatino Linotype"/>
                <w:noProof/>
                <w:webHidden/>
              </w:rPr>
              <w:fldChar w:fldCharType="end"/>
            </w:r>
          </w:hyperlink>
        </w:p>
        <w:p w14:paraId="2AE2AB6A" w14:textId="0C4D43E8" w:rsidR="00723019" w:rsidRPr="00C33D74" w:rsidRDefault="00205760">
          <w:pPr>
            <w:pStyle w:val="TDC1"/>
            <w:rPr>
              <w:rFonts w:ascii="Palatino Linotype" w:hAnsi="Palatino Linotype"/>
              <w:noProof/>
              <w:sz w:val="22"/>
              <w:szCs w:val="22"/>
              <w:lang w:val="en-US" w:eastAsia="en-US"/>
            </w:rPr>
          </w:pPr>
          <w:hyperlink w:anchor="_Toc35552928" w:history="1">
            <w:r w:rsidR="00723019" w:rsidRPr="00C33D74">
              <w:rPr>
                <w:rStyle w:val="Hipervnculo"/>
                <w:rFonts w:ascii="Palatino Linotype" w:hAnsi="Palatino Linotype"/>
                <w:b/>
                <w:noProof/>
              </w:rPr>
              <w:t>V. Condiciones especiales de la clasificación de la información como confidencial.</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_Toc35552928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53</w:t>
            </w:r>
            <w:r w:rsidR="00723019" w:rsidRPr="00C33D74">
              <w:rPr>
                <w:rFonts w:ascii="Palatino Linotype" w:hAnsi="Palatino Linotype"/>
                <w:noProof/>
                <w:webHidden/>
              </w:rPr>
              <w:fldChar w:fldCharType="end"/>
            </w:r>
          </w:hyperlink>
        </w:p>
        <w:p w14:paraId="54D6BA87" w14:textId="0D909BFC" w:rsidR="00723019" w:rsidRPr="00C33D74" w:rsidRDefault="00205760">
          <w:pPr>
            <w:pStyle w:val="TDC1"/>
            <w:tabs>
              <w:tab w:val="left" w:pos="440"/>
            </w:tabs>
            <w:rPr>
              <w:rFonts w:ascii="Palatino Linotype" w:hAnsi="Palatino Linotype"/>
              <w:noProof/>
              <w:sz w:val="22"/>
              <w:szCs w:val="22"/>
              <w:lang w:val="en-US" w:eastAsia="en-US"/>
            </w:rPr>
          </w:pPr>
          <w:hyperlink w:anchor="_Toc35552929" w:history="1">
            <w:r w:rsidR="00723019" w:rsidRPr="00C33D74">
              <w:rPr>
                <w:rStyle w:val="Hipervnculo"/>
                <w:rFonts w:ascii="Palatino Linotype" w:hAnsi="Palatino Linotype"/>
                <w:b/>
                <w:noProof/>
              </w:rPr>
              <w:t>a)</w:t>
            </w:r>
            <w:r w:rsidR="00723019" w:rsidRPr="00C33D74">
              <w:rPr>
                <w:rFonts w:ascii="Palatino Linotype" w:hAnsi="Palatino Linotype"/>
                <w:noProof/>
                <w:sz w:val="22"/>
                <w:szCs w:val="22"/>
                <w:lang w:val="en-US" w:eastAsia="en-US"/>
              </w:rPr>
              <w:tab/>
            </w:r>
            <w:r w:rsidR="00723019" w:rsidRPr="00C33D74">
              <w:rPr>
                <w:rStyle w:val="Hipervnculo"/>
                <w:rFonts w:ascii="Palatino Linotype" w:hAnsi="Palatino Linotype"/>
                <w:b/>
                <w:noProof/>
              </w:rPr>
              <w:t>Del Consentimiento.</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_Toc35552929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53</w:t>
            </w:r>
            <w:r w:rsidR="00723019" w:rsidRPr="00C33D74">
              <w:rPr>
                <w:rFonts w:ascii="Palatino Linotype" w:hAnsi="Palatino Linotype"/>
                <w:noProof/>
                <w:webHidden/>
              </w:rPr>
              <w:fldChar w:fldCharType="end"/>
            </w:r>
          </w:hyperlink>
        </w:p>
        <w:p w14:paraId="4CBEAFA6" w14:textId="29806913" w:rsidR="00723019" w:rsidRPr="00C33D74" w:rsidRDefault="00205760" w:rsidP="00723019">
          <w:pPr>
            <w:pStyle w:val="TDC2"/>
            <w:tabs>
              <w:tab w:val="right" w:leader="dot" w:pos="8779"/>
            </w:tabs>
            <w:ind w:left="0"/>
            <w:rPr>
              <w:rFonts w:ascii="Palatino Linotype" w:hAnsi="Palatino Linotype"/>
              <w:noProof/>
              <w:sz w:val="22"/>
              <w:szCs w:val="22"/>
              <w:lang w:val="en-US" w:eastAsia="en-US"/>
            </w:rPr>
          </w:pPr>
          <w:hyperlink w:anchor="_Toc35552930" w:history="1">
            <w:r w:rsidR="00723019" w:rsidRPr="00C33D74">
              <w:rPr>
                <w:rStyle w:val="Hipervnculo"/>
                <w:rFonts w:ascii="Palatino Linotype" w:eastAsiaTheme="majorEastAsia" w:hAnsi="Palatino Linotype" w:cstheme="majorBidi"/>
                <w:b/>
                <w:noProof/>
                <w:lang w:val="es-MX" w:eastAsia="en-US"/>
              </w:rPr>
              <w:t>R E S O L U T I V O S</w:t>
            </w:r>
            <w:r w:rsidR="00723019" w:rsidRPr="00C33D74">
              <w:rPr>
                <w:rFonts w:ascii="Palatino Linotype" w:hAnsi="Palatino Linotype"/>
                <w:noProof/>
                <w:webHidden/>
              </w:rPr>
              <w:tab/>
            </w:r>
            <w:r w:rsidR="00723019" w:rsidRPr="00C33D74">
              <w:rPr>
                <w:rFonts w:ascii="Palatino Linotype" w:hAnsi="Palatino Linotype"/>
                <w:noProof/>
                <w:webHidden/>
              </w:rPr>
              <w:fldChar w:fldCharType="begin"/>
            </w:r>
            <w:r w:rsidR="00723019" w:rsidRPr="00C33D74">
              <w:rPr>
                <w:rFonts w:ascii="Palatino Linotype" w:hAnsi="Palatino Linotype"/>
                <w:noProof/>
                <w:webHidden/>
              </w:rPr>
              <w:instrText xml:space="preserve"> PAGEREF _Toc35552930 \h </w:instrText>
            </w:r>
            <w:r w:rsidR="00723019" w:rsidRPr="00C33D74">
              <w:rPr>
                <w:rFonts w:ascii="Palatino Linotype" w:hAnsi="Palatino Linotype"/>
                <w:noProof/>
                <w:webHidden/>
              </w:rPr>
            </w:r>
            <w:r w:rsidR="00723019" w:rsidRPr="00C33D74">
              <w:rPr>
                <w:rFonts w:ascii="Palatino Linotype" w:hAnsi="Palatino Linotype"/>
                <w:noProof/>
                <w:webHidden/>
              </w:rPr>
              <w:fldChar w:fldCharType="separate"/>
            </w:r>
            <w:r w:rsidR="00957509">
              <w:rPr>
                <w:rFonts w:ascii="Palatino Linotype" w:hAnsi="Palatino Linotype"/>
                <w:noProof/>
                <w:webHidden/>
              </w:rPr>
              <w:t>55</w:t>
            </w:r>
            <w:r w:rsidR="00723019" w:rsidRPr="00C33D74">
              <w:rPr>
                <w:rFonts w:ascii="Palatino Linotype" w:hAnsi="Palatino Linotype"/>
                <w:noProof/>
                <w:webHidden/>
              </w:rPr>
              <w:fldChar w:fldCharType="end"/>
            </w:r>
          </w:hyperlink>
        </w:p>
        <w:p w14:paraId="139DBEE2" w14:textId="67DAB0A5" w:rsidR="00B828E4" w:rsidRPr="00C33D74" w:rsidRDefault="00B828E4" w:rsidP="00975C87">
          <w:pPr>
            <w:spacing w:line="480" w:lineRule="auto"/>
            <w:rPr>
              <w:rFonts w:ascii="Palatino Linotype" w:hAnsi="Palatino Linotype"/>
              <w:color w:val="000000" w:themeColor="text1"/>
            </w:rPr>
          </w:pPr>
          <w:r w:rsidRPr="00C33D74">
            <w:rPr>
              <w:rFonts w:ascii="Palatino Linotype" w:hAnsi="Palatino Linotype"/>
              <w:b/>
              <w:bCs/>
              <w:color w:val="000000" w:themeColor="text1"/>
              <w:lang w:val="es-ES"/>
            </w:rPr>
            <w:fldChar w:fldCharType="end"/>
          </w:r>
        </w:p>
      </w:sdtContent>
    </w:sdt>
    <w:p w14:paraId="71139992" w14:textId="77777777" w:rsidR="00515BA2" w:rsidRPr="00C33D74" w:rsidRDefault="00515BA2" w:rsidP="0075265E">
      <w:pPr>
        <w:spacing w:before="240" w:after="240" w:line="360" w:lineRule="auto"/>
        <w:jc w:val="both"/>
        <w:rPr>
          <w:rFonts w:ascii="Palatino Linotype" w:hAnsi="Palatino Linotype"/>
          <w:color w:val="000000" w:themeColor="text1"/>
        </w:rPr>
      </w:pPr>
    </w:p>
    <w:p w14:paraId="5CE03442" w14:textId="77777777" w:rsidR="009B359C" w:rsidRPr="00C33D74" w:rsidRDefault="009B359C" w:rsidP="0075265E">
      <w:pPr>
        <w:spacing w:before="240" w:after="240" w:line="360" w:lineRule="auto"/>
        <w:jc w:val="both"/>
        <w:rPr>
          <w:rFonts w:ascii="Palatino Linotype" w:hAnsi="Palatino Linotype"/>
          <w:color w:val="000000" w:themeColor="text1"/>
        </w:rPr>
      </w:pPr>
    </w:p>
    <w:p w14:paraId="58946146" w14:textId="7887A37D" w:rsidR="009B359C" w:rsidRPr="00C33D74" w:rsidRDefault="009B359C" w:rsidP="0075265E">
      <w:pPr>
        <w:spacing w:before="240" w:after="240" w:line="360" w:lineRule="auto"/>
        <w:jc w:val="both"/>
        <w:rPr>
          <w:rFonts w:ascii="Palatino Linotype" w:hAnsi="Palatino Linotype"/>
          <w:color w:val="000000" w:themeColor="text1"/>
        </w:rPr>
      </w:pPr>
    </w:p>
    <w:p w14:paraId="1418769A" w14:textId="77777777" w:rsidR="00C33D74" w:rsidRDefault="009B11D6" w:rsidP="0075265E">
      <w:pPr>
        <w:spacing w:before="240" w:after="240" w:line="360" w:lineRule="auto"/>
        <w:jc w:val="both"/>
        <w:rPr>
          <w:rFonts w:ascii="Palatino Linotype" w:hAnsi="Palatino Linotype"/>
        </w:rPr>
      </w:pPr>
      <w:r w:rsidRPr="00C33D74">
        <w:rPr>
          <w:rFonts w:ascii="Palatino Linotype" w:hAnsi="Palatino Linotype"/>
          <w:color w:val="000000" w:themeColor="text1"/>
        </w:rPr>
        <w:lastRenderedPageBreak/>
        <w:t>R</w:t>
      </w:r>
      <w:r w:rsidR="00662C69" w:rsidRPr="00C33D74">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684855" w:rsidRPr="00C33D74">
        <w:rPr>
          <w:rFonts w:ascii="Palatino Linotype" w:hAnsi="Palatino Linotype"/>
          <w:color w:val="000000" w:themeColor="text1"/>
        </w:rPr>
        <w:t xml:space="preserve">fecha </w:t>
      </w:r>
      <w:r w:rsidR="00C33D74">
        <w:rPr>
          <w:rFonts w:ascii="Palatino Linotype" w:hAnsi="Palatino Linotype"/>
          <w:lang w:val="es-MX"/>
        </w:rPr>
        <w:t>doce (12) de agosto de dos mil veinte</w:t>
      </w:r>
      <w:r w:rsidR="00C33D74">
        <w:rPr>
          <w:rFonts w:ascii="Palatino Linotype" w:hAnsi="Palatino Linotype"/>
        </w:rPr>
        <w:t>.</w:t>
      </w:r>
    </w:p>
    <w:p w14:paraId="2940CBE1" w14:textId="73AEC3D2" w:rsidR="00431E4E" w:rsidRPr="00C33D74" w:rsidRDefault="00431E4E" w:rsidP="0075265E">
      <w:pPr>
        <w:spacing w:before="240" w:after="240" w:line="360" w:lineRule="auto"/>
        <w:jc w:val="both"/>
        <w:rPr>
          <w:rFonts w:ascii="Palatino Linotype" w:eastAsia="Times New Roman" w:hAnsi="Palatino Linotype" w:cs="Times New Roman"/>
        </w:rPr>
      </w:pPr>
      <w:r w:rsidRPr="00C33D74">
        <w:rPr>
          <w:rFonts w:ascii="Palatino Linotype" w:eastAsia="Times New Roman" w:hAnsi="Palatino Linotype" w:cs="Times New Roman"/>
          <w:b/>
        </w:rPr>
        <w:t>VISTO</w:t>
      </w:r>
      <w:r w:rsidRPr="00C33D74">
        <w:rPr>
          <w:rFonts w:ascii="Palatino Linotype" w:eastAsia="Times New Roman" w:hAnsi="Palatino Linotype" w:cs="Times New Roman"/>
        </w:rPr>
        <w:t xml:space="preserve"> el expediente electrónico formado con motivo del recurso de revisión</w:t>
      </w:r>
      <w:r w:rsidRPr="00C33D74">
        <w:rPr>
          <w:rFonts w:ascii="Palatino Linotype" w:eastAsia="Times New Roman" w:hAnsi="Palatino Linotype" w:cs="Times New Roman"/>
          <w:b/>
          <w:bCs/>
        </w:rPr>
        <w:t xml:space="preserve"> 13063/INFOEM/IP/RR/2019, </w:t>
      </w:r>
      <w:r w:rsidRPr="00C33D74">
        <w:rPr>
          <w:rFonts w:ascii="Palatino Linotype" w:eastAsia="Times New Roman" w:hAnsi="Palatino Linotype" w:cs="Times New Roman"/>
        </w:rPr>
        <w:t>promovido por</w:t>
      </w:r>
      <w:r w:rsidR="00684855" w:rsidRPr="00C33D74">
        <w:rPr>
          <w:rFonts w:ascii="Palatino Linotype" w:eastAsia="Times New Roman" w:hAnsi="Palatino Linotype" w:cs="Times New Roman"/>
        </w:rPr>
        <w:t xml:space="preserve"> </w:t>
      </w:r>
      <w:r w:rsidR="00205760" w:rsidRPr="00205760">
        <w:rPr>
          <w:rFonts w:ascii="Palatino Linotype" w:eastAsia="Times New Roman" w:hAnsi="Palatino Linotype" w:cs="Times New Roman"/>
          <w:b/>
          <w:highlight w:val="black"/>
        </w:rPr>
        <w:t>-----------------------------------------------------------------------------</w:t>
      </w:r>
      <w:r w:rsidRPr="00C33D74">
        <w:rPr>
          <w:rFonts w:ascii="Palatino Linotype" w:eastAsia="Times New Roman" w:hAnsi="Palatino Linotype" w:cs="Times New Roman"/>
        </w:rPr>
        <w:t xml:space="preserve">, en contra de la respuesta del </w:t>
      </w:r>
      <w:r w:rsidR="00684855" w:rsidRPr="00C33D74">
        <w:rPr>
          <w:rFonts w:ascii="Palatino Linotype" w:eastAsia="Times New Roman" w:hAnsi="Palatino Linotype" w:cs="Times New Roman"/>
          <w:b/>
        </w:rPr>
        <w:t>Ayuntamiento de Atizapán de Zaragoza</w:t>
      </w:r>
      <w:r w:rsidRPr="00C33D74">
        <w:rPr>
          <w:rFonts w:ascii="Palatino Linotype" w:eastAsia="Times New Roman" w:hAnsi="Palatino Linotype" w:cs="Times New Roman"/>
          <w:b/>
        </w:rPr>
        <w:t xml:space="preserve"> </w:t>
      </w:r>
      <w:r w:rsidRPr="00C33D74">
        <w:rPr>
          <w:rFonts w:ascii="Palatino Linotype" w:eastAsia="Times New Roman" w:hAnsi="Palatino Linotype" w:cs="Times New Roman"/>
        </w:rPr>
        <w:t>en lo sucesivo el</w:t>
      </w:r>
      <w:r w:rsidRPr="00C33D74">
        <w:rPr>
          <w:rFonts w:ascii="Palatino Linotype" w:eastAsia="Times New Roman" w:hAnsi="Palatino Linotype" w:cs="Times New Roman"/>
          <w:b/>
        </w:rPr>
        <w:t xml:space="preserve"> SUJETO OBLIGADO, </w:t>
      </w:r>
      <w:r w:rsidRPr="00C33D74">
        <w:rPr>
          <w:rFonts w:ascii="Palatino Linotype" w:eastAsia="Times New Roman" w:hAnsi="Palatino Linotype" w:cs="Times New Roman"/>
        </w:rPr>
        <w:t xml:space="preserve">se procede a dictar la presente resolución, con base en los siguientes: </w:t>
      </w:r>
    </w:p>
    <w:p w14:paraId="769E1410" w14:textId="5740327F" w:rsidR="00587366" w:rsidRPr="00C33D74" w:rsidRDefault="00662C69" w:rsidP="007C37D2">
      <w:pPr>
        <w:pStyle w:val="Ttulo1"/>
        <w:jc w:val="center"/>
        <w:rPr>
          <w:rFonts w:ascii="Palatino Linotype" w:hAnsi="Palatino Linotype"/>
          <w:b/>
          <w:color w:val="000000" w:themeColor="text1"/>
          <w:sz w:val="24"/>
        </w:rPr>
      </w:pPr>
      <w:bookmarkStart w:id="0" w:name="_Toc515555218"/>
      <w:bookmarkStart w:id="1" w:name="_Toc35552914"/>
      <w:r w:rsidRPr="00C33D74">
        <w:rPr>
          <w:rFonts w:ascii="Palatino Linotype" w:hAnsi="Palatino Linotype"/>
          <w:b/>
          <w:color w:val="000000" w:themeColor="text1"/>
          <w:sz w:val="24"/>
        </w:rPr>
        <w:t>ANTECEDENTES</w:t>
      </w:r>
      <w:bookmarkEnd w:id="0"/>
      <w:bookmarkEnd w:id="1"/>
    </w:p>
    <w:p w14:paraId="6EF01D14" w14:textId="77777777" w:rsidR="00583131" w:rsidRPr="00C33D74" w:rsidRDefault="00583131" w:rsidP="00583131">
      <w:pPr>
        <w:rPr>
          <w:rFonts w:ascii="Palatino Linotype" w:hAnsi="Palatino Linotype"/>
          <w:lang w:val="es-MX" w:eastAsia="en-US"/>
        </w:rPr>
      </w:pPr>
    </w:p>
    <w:p w14:paraId="1FB60AE9" w14:textId="7FCC87AB" w:rsidR="00DB4BEF" w:rsidRPr="00C33D74" w:rsidRDefault="00684855" w:rsidP="00E311E0">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C33D74">
        <w:rPr>
          <w:rFonts w:ascii="Palatino Linotype" w:eastAsia="Calibri" w:hAnsi="Palatino Linotype" w:cs="Arial"/>
          <w:color w:val="000000" w:themeColor="text1"/>
          <w:lang w:val="es-ES"/>
        </w:rPr>
        <w:t>El día nueve</w:t>
      </w:r>
      <w:r w:rsidR="00431E4E" w:rsidRPr="00C33D74">
        <w:rPr>
          <w:rFonts w:ascii="Palatino Linotype" w:eastAsia="Calibri" w:hAnsi="Palatino Linotype" w:cs="Arial"/>
          <w:color w:val="000000" w:themeColor="text1"/>
          <w:lang w:val="es-ES"/>
        </w:rPr>
        <w:t xml:space="preserve"> </w:t>
      </w:r>
      <w:r w:rsidR="00A13811" w:rsidRPr="00C33D74">
        <w:rPr>
          <w:rFonts w:ascii="Palatino Linotype" w:eastAsia="Calibri" w:hAnsi="Palatino Linotype" w:cs="Arial"/>
          <w:color w:val="000000" w:themeColor="text1"/>
          <w:lang w:val="es-ES"/>
        </w:rPr>
        <w:t>(</w:t>
      </w:r>
      <w:r w:rsidRPr="00C33D74">
        <w:rPr>
          <w:rFonts w:ascii="Palatino Linotype" w:eastAsia="Calibri" w:hAnsi="Palatino Linotype" w:cs="Arial"/>
          <w:color w:val="000000" w:themeColor="text1"/>
          <w:lang w:val="es-ES"/>
        </w:rPr>
        <w:t>09</w:t>
      </w:r>
      <w:r w:rsidR="007258A0" w:rsidRPr="00C33D74">
        <w:rPr>
          <w:rFonts w:ascii="Palatino Linotype" w:eastAsia="Calibri" w:hAnsi="Palatino Linotype" w:cs="Arial"/>
          <w:color w:val="000000" w:themeColor="text1"/>
          <w:lang w:val="es-ES"/>
        </w:rPr>
        <w:t>) de</w:t>
      </w:r>
      <w:r w:rsidRPr="00C33D74">
        <w:rPr>
          <w:rFonts w:ascii="Palatino Linotype" w:eastAsia="Calibri" w:hAnsi="Palatino Linotype" w:cs="Arial"/>
          <w:color w:val="000000" w:themeColor="text1"/>
          <w:lang w:val="es-ES"/>
        </w:rPr>
        <w:t xml:space="preserve"> diciembre d</w:t>
      </w:r>
      <w:r w:rsidR="00AB274F" w:rsidRPr="00C33D74">
        <w:rPr>
          <w:rFonts w:ascii="Palatino Linotype" w:eastAsia="Calibri" w:hAnsi="Palatino Linotype" w:cs="Arial"/>
          <w:color w:val="000000" w:themeColor="text1"/>
          <w:lang w:val="es-ES"/>
        </w:rPr>
        <w:t xml:space="preserve">e </w:t>
      </w:r>
      <w:r w:rsidR="00DB4BEF" w:rsidRPr="00C33D74">
        <w:rPr>
          <w:rFonts w:ascii="Palatino Linotype" w:eastAsia="Calibri" w:hAnsi="Palatino Linotype" w:cs="Arial"/>
          <w:color w:val="000000" w:themeColor="text1"/>
          <w:lang w:val="es-ES"/>
        </w:rPr>
        <w:t xml:space="preserve">dos mil </w:t>
      </w:r>
      <w:r w:rsidR="009573B2" w:rsidRPr="00C33D74">
        <w:rPr>
          <w:rFonts w:ascii="Palatino Linotype" w:eastAsia="Calibri" w:hAnsi="Palatino Linotype" w:cs="Arial"/>
          <w:color w:val="000000" w:themeColor="text1"/>
          <w:lang w:val="es-ES"/>
        </w:rPr>
        <w:t>dieci</w:t>
      </w:r>
      <w:r w:rsidR="007258A0" w:rsidRPr="00C33D74">
        <w:rPr>
          <w:rFonts w:ascii="Palatino Linotype" w:eastAsia="Calibri" w:hAnsi="Palatino Linotype" w:cs="Arial"/>
          <w:color w:val="000000" w:themeColor="text1"/>
          <w:lang w:val="es-ES"/>
        </w:rPr>
        <w:t xml:space="preserve">nueve se </w:t>
      </w:r>
      <w:r w:rsidR="008F54B7" w:rsidRPr="00C33D74">
        <w:rPr>
          <w:rFonts w:ascii="Palatino Linotype" w:hAnsi="Palatino Linotype"/>
          <w:color w:val="000000" w:themeColor="text1"/>
          <w:szCs w:val="22"/>
        </w:rPr>
        <w:t>presentó</w:t>
      </w:r>
      <w:r w:rsidR="007237BF" w:rsidRPr="00C33D74">
        <w:rPr>
          <w:rFonts w:ascii="Palatino Linotype" w:hAnsi="Palatino Linotype"/>
          <w:b/>
          <w:color w:val="000000" w:themeColor="text1"/>
          <w:szCs w:val="22"/>
        </w:rPr>
        <w:t xml:space="preserve"> </w:t>
      </w:r>
      <w:r w:rsidR="003116A6" w:rsidRPr="00C33D74">
        <w:rPr>
          <w:rFonts w:ascii="Palatino Linotype" w:eastAsia="Calibri" w:hAnsi="Palatino Linotype" w:cs="Arial"/>
          <w:color w:val="000000" w:themeColor="text1"/>
          <w:lang w:val="es-ES"/>
        </w:rPr>
        <w:t xml:space="preserve">ante el </w:t>
      </w:r>
      <w:r w:rsidR="003116A6" w:rsidRPr="00C33D74">
        <w:rPr>
          <w:rFonts w:ascii="Palatino Linotype" w:eastAsia="Calibri" w:hAnsi="Palatino Linotype" w:cs="Arial"/>
          <w:b/>
          <w:color w:val="000000" w:themeColor="text1"/>
          <w:lang w:val="es-ES"/>
        </w:rPr>
        <w:t>SUJETO OBLIGADO</w:t>
      </w:r>
      <w:r w:rsidR="003116A6" w:rsidRPr="00C33D74">
        <w:rPr>
          <w:rFonts w:ascii="Palatino Linotype" w:eastAsia="Calibri" w:hAnsi="Palatino Linotype" w:cs="Arial"/>
          <w:color w:val="000000" w:themeColor="text1"/>
        </w:rPr>
        <w:t xml:space="preserve"> vía</w:t>
      </w:r>
      <w:r w:rsidR="00DB4BEF" w:rsidRPr="00C33D74">
        <w:rPr>
          <w:rFonts w:ascii="Palatino Linotype" w:eastAsia="Calibri" w:hAnsi="Palatino Linotype" w:cs="Arial"/>
          <w:color w:val="000000" w:themeColor="text1"/>
        </w:rPr>
        <w:t xml:space="preserve"> </w:t>
      </w:r>
      <w:r w:rsidR="00DB4BEF" w:rsidRPr="00C33D74">
        <w:rPr>
          <w:rFonts w:ascii="Palatino Linotype" w:eastAsia="Calibri" w:hAnsi="Palatino Linotype" w:cs="Arial"/>
          <w:color w:val="000000" w:themeColor="text1"/>
          <w:lang w:val="es-ES"/>
        </w:rPr>
        <w:t xml:space="preserve">Sistema de Acceso a la Información Mexiquense </w:t>
      </w:r>
      <w:r w:rsidR="00DB4BEF" w:rsidRPr="00C33D74">
        <w:rPr>
          <w:rFonts w:ascii="Palatino Linotype" w:eastAsia="Calibri" w:hAnsi="Palatino Linotype" w:cs="Arial"/>
          <w:b/>
          <w:color w:val="000000" w:themeColor="text1"/>
          <w:lang w:val="es-ES"/>
        </w:rPr>
        <w:t>SAIMEX</w:t>
      </w:r>
      <w:r w:rsidR="00DB4BEF" w:rsidRPr="00C33D74">
        <w:rPr>
          <w:rFonts w:ascii="Palatino Linotype" w:eastAsia="Calibri" w:hAnsi="Palatino Linotype" w:cs="Arial"/>
          <w:color w:val="000000" w:themeColor="text1"/>
          <w:lang w:val="es-ES"/>
        </w:rPr>
        <w:t>, la solicitud de información pública registrada con el número</w:t>
      </w:r>
      <w:r w:rsidRPr="00C33D74">
        <w:rPr>
          <w:rFonts w:ascii="Palatino Linotype" w:hAnsi="Palatino Linotype"/>
          <w:b/>
          <w:bCs/>
          <w:color w:val="FF0000"/>
        </w:rPr>
        <w:t xml:space="preserve"> </w:t>
      </w:r>
      <w:r w:rsidRPr="00C33D74">
        <w:rPr>
          <w:rFonts w:ascii="Palatino Linotype" w:eastAsia="Calibri" w:hAnsi="Palatino Linotype" w:cs="Arial"/>
          <w:b/>
          <w:bCs/>
          <w:color w:val="000000" w:themeColor="text1"/>
        </w:rPr>
        <w:t>00963/ATIZARA/IP/2019</w:t>
      </w:r>
      <w:r w:rsidR="007258A0" w:rsidRPr="00C33D74">
        <w:rPr>
          <w:rFonts w:ascii="Palatino Linotype" w:eastAsia="Calibri" w:hAnsi="Palatino Linotype" w:cs="Arial"/>
          <w:color w:val="000000" w:themeColor="text1"/>
          <w:lang w:val="es-ES"/>
        </w:rPr>
        <w:t>, mediante la</w:t>
      </w:r>
      <w:r w:rsidR="00761992" w:rsidRPr="00C33D74">
        <w:rPr>
          <w:rFonts w:ascii="Palatino Linotype" w:eastAsia="Calibri" w:hAnsi="Palatino Linotype" w:cs="Arial"/>
          <w:color w:val="000000" w:themeColor="text1"/>
          <w:lang w:val="es-ES"/>
        </w:rPr>
        <w:t xml:space="preserve"> cual</w:t>
      </w:r>
      <w:r w:rsidR="007258A0" w:rsidRPr="00C33D74">
        <w:rPr>
          <w:rFonts w:ascii="Palatino Linotype" w:eastAsia="Calibri" w:hAnsi="Palatino Linotype" w:cs="Arial"/>
          <w:color w:val="000000" w:themeColor="text1"/>
          <w:lang w:val="es-ES"/>
        </w:rPr>
        <w:t xml:space="preserve"> se </w:t>
      </w:r>
      <w:r w:rsidR="00BA7170" w:rsidRPr="00C33D74">
        <w:rPr>
          <w:rFonts w:ascii="Palatino Linotype" w:eastAsia="Calibri" w:hAnsi="Palatino Linotype" w:cs="Arial"/>
          <w:color w:val="000000" w:themeColor="text1"/>
          <w:lang w:val="es-ES"/>
        </w:rPr>
        <w:t>solicitó</w:t>
      </w:r>
      <w:r w:rsidR="00DB4BEF" w:rsidRPr="00C33D74">
        <w:rPr>
          <w:rFonts w:ascii="Palatino Linotype" w:eastAsia="Calibri" w:hAnsi="Palatino Linotype" w:cs="Arial"/>
          <w:color w:val="000000" w:themeColor="text1"/>
          <w:lang w:val="es-ES"/>
        </w:rPr>
        <w:t>:</w:t>
      </w:r>
    </w:p>
    <w:p w14:paraId="48A930C3" w14:textId="77777777" w:rsidR="00BB7BCB" w:rsidRPr="00C33D74" w:rsidRDefault="00BB7BCB" w:rsidP="00BA7170">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029F436A" w:rsidR="00BA7170" w:rsidRPr="00C33D74" w:rsidRDefault="00E727B7" w:rsidP="00BA7170">
      <w:pPr>
        <w:spacing w:line="360" w:lineRule="auto"/>
        <w:ind w:left="567" w:right="567"/>
        <w:jc w:val="both"/>
        <w:rPr>
          <w:rFonts w:ascii="Palatino Linotype" w:eastAsia="Calibri" w:hAnsi="Palatino Linotype" w:cs="Arial"/>
          <w:color w:val="000000" w:themeColor="text1"/>
          <w:szCs w:val="22"/>
          <w:lang w:val="es-ES"/>
        </w:rPr>
      </w:pPr>
      <w:r w:rsidRPr="00C33D74">
        <w:rPr>
          <w:rFonts w:ascii="Palatino Linotype" w:hAnsi="Palatino Linotype"/>
          <w:i/>
          <w:color w:val="000000" w:themeColor="text1"/>
          <w:szCs w:val="22"/>
        </w:rPr>
        <w:t>“</w:t>
      </w:r>
      <w:r w:rsidR="00684855" w:rsidRPr="00C33D74">
        <w:rPr>
          <w:rFonts w:ascii="Palatino Linotype" w:hAnsi="Palatino Linotype"/>
          <w:i/>
          <w:color w:val="000000" w:themeColor="text1"/>
          <w:szCs w:val="22"/>
        </w:rPr>
        <w:t xml:space="preserve">Deseo saber cuántos elementos de seguridad, policías municipales, miembros de fuerzas especiales del municipio de Atizapán de Zaragoza o estatales participaron en la tarde-noche del 9 de octubre del presente año para disolver, reprimir o contener a los ciudadanos que se manifestaban en contra del puente vehicular de San Mateo </w:t>
      </w:r>
      <w:proofErr w:type="spellStart"/>
      <w:r w:rsidR="00684855" w:rsidRPr="00C33D74">
        <w:rPr>
          <w:rFonts w:ascii="Palatino Linotype" w:hAnsi="Palatino Linotype"/>
          <w:i/>
          <w:color w:val="000000" w:themeColor="text1"/>
          <w:szCs w:val="22"/>
        </w:rPr>
        <w:t>Tecoloapan</w:t>
      </w:r>
      <w:proofErr w:type="spellEnd"/>
      <w:r w:rsidR="00684855" w:rsidRPr="00C33D74">
        <w:rPr>
          <w:rFonts w:ascii="Palatino Linotype" w:hAnsi="Palatino Linotype"/>
          <w:i/>
          <w:color w:val="000000" w:themeColor="text1"/>
          <w:szCs w:val="22"/>
        </w:rPr>
        <w:t xml:space="preserve"> y que se ubicaron en la calzada Jinetes, frente al centro comercial </w:t>
      </w:r>
      <w:proofErr w:type="spellStart"/>
      <w:r w:rsidR="00684855" w:rsidRPr="00C33D74">
        <w:rPr>
          <w:rFonts w:ascii="Palatino Linotype" w:hAnsi="Palatino Linotype"/>
          <w:i/>
          <w:color w:val="000000" w:themeColor="text1"/>
          <w:szCs w:val="22"/>
        </w:rPr>
        <w:t>Sumesa</w:t>
      </w:r>
      <w:proofErr w:type="spellEnd"/>
      <w:r w:rsidR="00684855" w:rsidRPr="00C33D74">
        <w:rPr>
          <w:rFonts w:ascii="Palatino Linotype" w:hAnsi="Palatino Linotype"/>
          <w:i/>
          <w:color w:val="000000" w:themeColor="text1"/>
          <w:szCs w:val="22"/>
        </w:rPr>
        <w:t xml:space="preserve">. Deseo saber número de elementos y la corporación </w:t>
      </w:r>
      <w:r w:rsidR="00684855" w:rsidRPr="00C33D74">
        <w:rPr>
          <w:rFonts w:ascii="Palatino Linotype" w:hAnsi="Palatino Linotype"/>
          <w:i/>
          <w:color w:val="000000" w:themeColor="text1"/>
          <w:szCs w:val="22"/>
        </w:rPr>
        <w:lastRenderedPageBreak/>
        <w:t>a la que pertenecen. Además de quién coordinó el operativo, y quién ordenó la acción</w:t>
      </w:r>
      <w:r w:rsidR="00EF0894" w:rsidRPr="00C33D74">
        <w:rPr>
          <w:rFonts w:ascii="Palatino Linotype" w:hAnsi="Palatino Linotype"/>
          <w:i/>
          <w:color w:val="000000" w:themeColor="text1"/>
          <w:szCs w:val="22"/>
        </w:rPr>
        <w:t>”</w:t>
      </w:r>
      <w:r w:rsidR="009573B2" w:rsidRPr="00C33D74">
        <w:rPr>
          <w:rFonts w:ascii="Palatino Linotype" w:eastAsia="Calibri" w:hAnsi="Palatino Linotype" w:cs="Arial"/>
          <w:i/>
          <w:color w:val="000000" w:themeColor="text1"/>
          <w:szCs w:val="22"/>
          <w:lang w:val="es-ES"/>
        </w:rPr>
        <w:t xml:space="preserve"> </w:t>
      </w:r>
      <w:r w:rsidR="00EF0894" w:rsidRPr="00C33D74">
        <w:rPr>
          <w:rFonts w:ascii="Palatino Linotype" w:eastAsia="Calibri" w:hAnsi="Palatino Linotype" w:cs="Arial"/>
          <w:color w:val="000000" w:themeColor="text1"/>
          <w:szCs w:val="22"/>
          <w:lang w:val="es-ES"/>
        </w:rPr>
        <w:t>(Sic)</w:t>
      </w:r>
    </w:p>
    <w:p w14:paraId="5F7B51E7" w14:textId="1683ABAD" w:rsidR="00D7312E" w:rsidRPr="00C33D74" w:rsidRDefault="00D7312E" w:rsidP="00AE1EB3">
      <w:pPr>
        <w:pStyle w:val="Prrafodelista"/>
        <w:spacing w:line="360" w:lineRule="auto"/>
        <w:ind w:left="0" w:right="34"/>
        <w:jc w:val="both"/>
        <w:rPr>
          <w:rFonts w:ascii="Palatino Linotype" w:hAnsi="Palatino Linotype"/>
          <w:b/>
          <w:i/>
          <w:color w:val="000000" w:themeColor="text1"/>
          <w:sz w:val="22"/>
          <w:szCs w:val="22"/>
        </w:rPr>
      </w:pPr>
    </w:p>
    <w:p w14:paraId="25633CA9" w14:textId="3863F8E1" w:rsidR="00256EB1" w:rsidRPr="00C33D74" w:rsidRDefault="005F1C39" w:rsidP="00A12D58">
      <w:pPr>
        <w:pStyle w:val="Prrafodelista"/>
        <w:numPr>
          <w:ilvl w:val="0"/>
          <w:numId w:val="1"/>
        </w:numPr>
        <w:spacing w:line="360" w:lineRule="auto"/>
        <w:ind w:left="0" w:right="34" w:firstLine="0"/>
        <w:jc w:val="both"/>
        <w:rPr>
          <w:rFonts w:ascii="Palatino Linotype" w:hAnsi="Palatino Linotype"/>
          <w:b/>
          <w:i/>
          <w:color w:val="000000" w:themeColor="text1"/>
          <w:sz w:val="22"/>
          <w:szCs w:val="22"/>
        </w:rPr>
      </w:pPr>
      <w:r w:rsidRPr="00C33D74">
        <w:rPr>
          <w:rFonts w:ascii="Palatino Linotype" w:eastAsia="Calibri" w:hAnsi="Palatino Linotype" w:cs="Arial"/>
          <w:color w:val="000000" w:themeColor="text1"/>
          <w:lang w:val="es-AR"/>
        </w:rPr>
        <w:t xml:space="preserve">Se </w:t>
      </w:r>
      <w:r w:rsidR="006668DC" w:rsidRPr="00C33D74">
        <w:rPr>
          <w:rFonts w:ascii="Palatino Linotype" w:eastAsia="Calibri" w:hAnsi="Palatino Linotype" w:cs="Arial"/>
          <w:color w:val="000000" w:themeColor="text1"/>
          <w:lang w:val="es-AR"/>
        </w:rPr>
        <w:t xml:space="preserve">hace constar que se </w:t>
      </w:r>
      <w:r w:rsidR="00BB7BCB" w:rsidRPr="00C33D74">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C33D74">
        <w:rPr>
          <w:rFonts w:ascii="Palatino Linotype" w:eastAsia="Calibri" w:hAnsi="Palatino Linotype" w:cs="Arial"/>
          <w:b/>
          <w:color w:val="000000" w:themeColor="text1"/>
          <w:lang w:val="es-AR"/>
        </w:rPr>
        <w:t>(SAIMEX</w:t>
      </w:r>
      <w:r w:rsidR="00EF13FE" w:rsidRPr="00C33D74">
        <w:rPr>
          <w:rFonts w:ascii="Palatino Linotype" w:eastAsia="Calibri" w:hAnsi="Palatino Linotype" w:cs="Arial"/>
          <w:b/>
          <w:color w:val="000000" w:themeColor="text1"/>
          <w:lang w:val="es-AR"/>
        </w:rPr>
        <w:t>)</w:t>
      </w:r>
      <w:r w:rsidR="00EF13FE" w:rsidRPr="00C33D74">
        <w:rPr>
          <w:rFonts w:ascii="Palatino Linotype" w:eastAsia="Calibri" w:hAnsi="Palatino Linotype" w:cs="Arial"/>
          <w:color w:val="000000" w:themeColor="text1"/>
          <w:lang w:val="es-AR"/>
        </w:rPr>
        <w:t>.</w:t>
      </w:r>
    </w:p>
    <w:p w14:paraId="4CD21CB6" w14:textId="77777777" w:rsidR="00F71C0C" w:rsidRPr="00C33D74" w:rsidRDefault="00F71C0C" w:rsidP="00F71C0C">
      <w:pPr>
        <w:pStyle w:val="Prrafodelista"/>
        <w:spacing w:line="360" w:lineRule="auto"/>
        <w:ind w:left="0" w:right="34"/>
        <w:jc w:val="both"/>
        <w:rPr>
          <w:rFonts w:ascii="Palatino Linotype" w:hAnsi="Palatino Linotype"/>
          <w:b/>
          <w:i/>
          <w:color w:val="000000" w:themeColor="text1"/>
          <w:sz w:val="22"/>
          <w:szCs w:val="22"/>
        </w:rPr>
      </w:pPr>
    </w:p>
    <w:p w14:paraId="6B1AD677" w14:textId="3DED932C" w:rsidR="00256EB1" w:rsidRPr="00C33D74" w:rsidRDefault="00256EB1" w:rsidP="007D703F">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C33D74">
        <w:rPr>
          <w:rFonts w:ascii="Palatino Linotype" w:hAnsi="Palatino Linotype"/>
          <w:color w:val="000000" w:themeColor="text1"/>
          <w:szCs w:val="22"/>
        </w:rPr>
        <w:t>E</w:t>
      </w:r>
      <w:r w:rsidR="00431E4E" w:rsidRPr="00C33D74">
        <w:rPr>
          <w:rFonts w:ascii="Palatino Linotype" w:hAnsi="Palatino Linotype"/>
          <w:color w:val="000000" w:themeColor="text1"/>
          <w:szCs w:val="22"/>
        </w:rPr>
        <w:t xml:space="preserve">n fecha </w:t>
      </w:r>
      <w:r w:rsidR="00684855" w:rsidRPr="00C33D74">
        <w:rPr>
          <w:rFonts w:ascii="Palatino Linotype" w:hAnsi="Palatino Linotype"/>
          <w:color w:val="000000" w:themeColor="text1"/>
          <w:szCs w:val="22"/>
        </w:rPr>
        <w:t>quince (15) de enero del año dos mil veinte</w:t>
      </w:r>
      <w:r w:rsidRPr="00C33D74">
        <w:rPr>
          <w:rFonts w:ascii="Palatino Linotype" w:hAnsi="Palatino Linotype"/>
          <w:color w:val="000000" w:themeColor="text1"/>
          <w:szCs w:val="22"/>
        </w:rPr>
        <w:t xml:space="preserve">, el </w:t>
      </w:r>
      <w:r w:rsidRPr="00C33D74">
        <w:rPr>
          <w:rFonts w:ascii="Palatino Linotype" w:hAnsi="Palatino Linotype"/>
          <w:b/>
          <w:color w:val="000000" w:themeColor="text1"/>
          <w:szCs w:val="22"/>
        </w:rPr>
        <w:t>SUJETO OBLIGADO</w:t>
      </w:r>
      <w:r w:rsidR="007D703F" w:rsidRPr="00C33D74">
        <w:rPr>
          <w:rFonts w:ascii="Palatino Linotype" w:hAnsi="Palatino Linotype"/>
          <w:b/>
          <w:color w:val="000000" w:themeColor="text1"/>
          <w:szCs w:val="22"/>
        </w:rPr>
        <w:t xml:space="preserve"> </w:t>
      </w:r>
      <w:r w:rsidRPr="00C33D74">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C33D74" w:rsidRDefault="00256EB1" w:rsidP="00121627">
      <w:pPr>
        <w:pStyle w:val="Prrafodelista"/>
        <w:spacing w:line="360" w:lineRule="auto"/>
        <w:ind w:left="567" w:right="567"/>
        <w:jc w:val="both"/>
        <w:rPr>
          <w:rFonts w:ascii="Palatino Linotype" w:hAnsi="Palatino Linotype"/>
          <w:b/>
          <w:i/>
          <w:color w:val="000000" w:themeColor="text1"/>
          <w:sz w:val="22"/>
          <w:szCs w:val="22"/>
        </w:rPr>
      </w:pPr>
    </w:p>
    <w:p w14:paraId="6908C1DA" w14:textId="77777777" w:rsidR="00684855" w:rsidRPr="00C33D74" w:rsidRDefault="00AB3FA7" w:rsidP="00684855">
      <w:pPr>
        <w:tabs>
          <w:tab w:val="left" w:pos="8222"/>
        </w:tabs>
        <w:spacing w:line="360" w:lineRule="auto"/>
        <w:ind w:left="567" w:right="567"/>
        <w:jc w:val="right"/>
        <w:rPr>
          <w:rFonts w:ascii="Palatino Linotype" w:hAnsi="Palatino Linotype"/>
          <w:i/>
          <w:color w:val="000000" w:themeColor="text1"/>
          <w:sz w:val="22"/>
        </w:rPr>
      </w:pPr>
      <w:r w:rsidRPr="00C33D74">
        <w:rPr>
          <w:rFonts w:ascii="Palatino Linotype" w:hAnsi="Palatino Linotype"/>
          <w:i/>
          <w:color w:val="000000" w:themeColor="text1"/>
          <w:sz w:val="22"/>
        </w:rPr>
        <w:t xml:space="preserve"> </w:t>
      </w:r>
      <w:r w:rsidR="00256EB1" w:rsidRPr="00C33D74">
        <w:rPr>
          <w:rFonts w:ascii="Palatino Linotype" w:hAnsi="Palatino Linotype"/>
          <w:i/>
          <w:color w:val="000000" w:themeColor="text1"/>
          <w:sz w:val="22"/>
        </w:rPr>
        <w:t>“</w:t>
      </w:r>
      <w:r w:rsidR="00684855" w:rsidRPr="00C33D74">
        <w:rPr>
          <w:rFonts w:ascii="Palatino Linotype" w:hAnsi="Palatino Linotype"/>
          <w:i/>
          <w:color w:val="000000" w:themeColor="text1"/>
          <w:sz w:val="22"/>
        </w:rPr>
        <w:t>Atizapán de Zaragoza, México a 15 de Enero de 2020</w:t>
      </w:r>
    </w:p>
    <w:p w14:paraId="1001BC56" w14:textId="4744D36B" w:rsidR="00684855" w:rsidRPr="00C33D74" w:rsidRDefault="00684855" w:rsidP="00684855">
      <w:pPr>
        <w:tabs>
          <w:tab w:val="left" w:pos="8222"/>
        </w:tabs>
        <w:spacing w:line="360" w:lineRule="auto"/>
        <w:ind w:left="567" w:right="567"/>
        <w:jc w:val="right"/>
        <w:rPr>
          <w:rFonts w:ascii="Palatino Linotype" w:hAnsi="Palatino Linotype"/>
          <w:i/>
          <w:color w:val="000000" w:themeColor="text1"/>
          <w:sz w:val="22"/>
        </w:rPr>
      </w:pPr>
      <w:r w:rsidRPr="00C33D74">
        <w:rPr>
          <w:rFonts w:ascii="Palatino Linotype" w:hAnsi="Palatino Linotype"/>
          <w:i/>
          <w:color w:val="000000" w:themeColor="text1"/>
          <w:sz w:val="22"/>
        </w:rPr>
        <w:t xml:space="preserve">Nombre del solicitante: </w:t>
      </w:r>
      <w:r w:rsidR="00205760" w:rsidRPr="00205760">
        <w:rPr>
          <w:rFonts w:ascii="Palatino Linotype" w:hAnsi="Palatino Linotype"/>
          <w:i/>
          <w:color w:val="000000" w:themeColor="text1"/>
          <w:sz w:val="22"/>
          <w:highlight w:val="black"/>
        </w:rPr>
        <w:t>----------------------------------------------------------------</w:t>
      </w:r>
      <w:bookmarkStart w:id="2" w:name="_GoBack"/>
      <w:bookmarkEnd w:id="2"/>
    </w:p>
    <w:p w14:paraId="2DA2F78D" w14:textId="77487348" w:rsidR="00684855" w:rsidRPr="00C33D74" w:rsidRDefault="00684855" w:rsidP="00684855">
      <w:pPr>
        <w:tabs>
          <w:tab w:val="left" w:pos="8222"/>
        </w:tabs>
        <w:spacing w:line="360" w:lineRule="auto"/>
        <w:ind w:left="567" w:right="567"/>
        <w:jc w:val="right"/>
        <w:rPr>
          <w:rFonts w:ascii="Palatino Linotype" w:hAnsi="Palatino Linotype"/>
          <w:i/>
          <w:color w:val="000000" w:themeColor="text1"/>
          <w:sz w:val="22"/>
        </w:rPr>
      </w:pPr>
      <w:r w:rsidRPr="00C33D74">
        <w:rPr>
          <w:rFonts w:ascii="Palatino Linotype" w:hAnsi="Palatino Linotype"/>
          <w:i/>
          <w:color w:val="000000" w:themeColor="text1"/>
          <w:sz w:val="22"/>
        </w:rPr>
        <w:t>Folio de la solicitud: 00963/ATIZARA/IP/2019</w:t>
      </w:r>
    </w:p>
    <w:p w14:paraId="317B8931" w14:textId="77777777" w:rsidR="00684855" w:rsidRPr="00C33D74" w:rsidRDefault="00684855" w:rsidP="00684855">
      <w:pPr>
        <w:tabs>
          <w:tab w:val="left" w:pos="8222"/>
        </w:tabs>
        <w:spacing w:line="360" w:lineRule="auto"/>
        <w:ind w:left="567" w:right="567"/>
        <w:jc w:val="right"/>
        <w:rPr>
          <w:rFonts w:ascii="Palatino Linotype" w:hAnsi="Palatino Linotype"/>
          <w:i/>
          <w:color w:val="000000" w:themeColor="text1"/>
          <w:sz w:val="22"/>
        </w:rPr>
      </w:pPr>
    </w:p>
    <w:p w14:paraId="5FFF9A90" w14:textId="77777777" w:rsidR="00684855" w:rsidRPr="00C33D74" w:rsidRDefault="00684855" w:rsidP="00684855">
      <w:pPr>
        <w:tabs>
          <w:tab w:val="left" w:pos="8222"/>
        </w:tabs>
        <w:spacing w:line="360" w:lineRule="auto"/>
        <w:ind w:left="567" w:right="567"/>
        <w:jc w:val="both"/>
        <w:rPr>
          <w:rFonts w:ascii="Palatino Linotype" w:hAnsi="Palatino Linotype"/>
          <w:i/>
          <w:color w:val="000000" w:themeColor="text1"/>
          <w:sz w:val="22"/>
        </w:rPr>
      </w:pPr>
      <w:r w:rsidRPr="00C33D74">
        <w:rPr>
          <w:rFonts w:ascii="Palatino Linotype" w:hAnsi="Palatino Linotype"/>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3D589E" w14:textId="38A84DBC" w:rsidR="001C0729" w:rsidRPr="00C33D74" w:rsidRDefault="00684855" w:rsidP="00684855">
      <w:pPr>
        <w:tabs>
          <w:tab w:val="left" w:pos="8222"/>
        </w:tabs>
        <w:spacing w:line="360" w:lineRule="auto"/>
        <w:ind w:left="567" w:right="567"/>
        <w:rPr>
          <w:rFonts w:ascii="Palatino Linotype" w:hAnsi="Palatino Linotype"/>
          <w:i/>
          <w:color w:val="000000" w:themeColor="text1"/>
          <w:sz w:val="22"/>
        </w:rPr>
      </w:pPr>
      <w:r w:rsidRPr="00C33D74">
        <w:rPr>
          <w:rFonts w:ascii="Palatino Linotype" w:hAnsi="Palatino Linotype"/>
          <w:i/>
          <w:color w:val="000000" w:themeColor="text1"/>
          <w:sz w:val="22"/>
        </w:rPr>
        <w:t>Se adjunta oficio de respuesta</w:t>
      </w:r>
      <w:r w:rsidR="00256EB1" w:rsidRPr="00C33D74">
        <w:rPr>
          <w:rFonts w:ascii="Palatino Linotype" w:hAnsi="Palatino Linotype"/>
          <w:i/>
          <w:color w:val="000000" w:themeColor="text1"/>
          <w:sz w:val="22"/>
        </w:rPr>
        <w:t>” (Sic)</w:t>
      </w:r>
    </w:p>
    <w:p w14:paraId="173806B5" w14:textId="77777777" w:rsidR="00F71C0C" w:rsidRPr="00C33D74" w:rsidRDefault="00F71C0C" w:rsidP="00F71C0C">
      <w:pPr>
        <w:tabs>
          <w:tab w:val="left" w:pos="8222"/>
        </w:tabs>
        <w:spacing w:line="360" w:lineRule="auto"/>
        <w:ind w:left="567" w:right="567"/>
        <w:rPr>
          <w:rFonts w:ascii="Palatino Linotype" w:hAnsi="Palatino Linotype"/>
          <w:i/>
          <w:color w:val="000000" w:themeColor="text1"/>
          <w:sz w:val="22"/>
        </w:rPr>
      </w:pPr>
    </w:p>
    <w:p w14:paraId="3A00EEAD" w14:textId="7D7D6546" w:rsidR="00F45B7A" w:rsidRPr="00C33D74" w:rsidRDefault="00684855" w:rsidP="00E311E0">
      <w:pPr>
        <w:pStyle w:val="Prrafodelista"/>
        <w:numPr>
          <w:ilvl w:val="0"/>
          <w:numId w:val="1"/>
        </w:numPr>
        <w:spacing w:line="360" w:lineRule="auto"/>
        <w:ind w:left="0" w:firstLine="0"/>
        <w:jc w:val="both"/>
        <w:rPr>
          <w:rFonts w:ascii="Palatino Linotype" w:hAnsi="Palatino Linotype"/>
          <w:b/>
          <w:i/>
          <w:color w:val="000000" w:themeColor="text1"/>
        </w:rPr>
      </w:pPr>
      <w:r w:rsidRPr="00C33D74">
        <w:rPr>
          <w:rFonts w:ascii="Palatino Linotype" w:hAnsi="Palatino Linotype"/>
          <w:color w:val="000000" w:themeColor="text1"/>
        </w:rPr>
        <w:t>A dicha solicitud se anexaron dos (02</w:t>
      </w:r>
      <w:r w:rsidR="00F45B7A" w:rsidRPr="00C33D74">
        <w:rPr>
          <w:rFonts w:ascii="Palatino Linotype" w:hAnsi="Palatino Linotype"/>
          <w:color w:val="000000" w:themeColor="text1"/>
        </w:rPr>
        <w:t>) documento</w:t>
      </w:r>
      <w:r w:rsidRPr="00C33D74">
        <w:rPr>
          <w:rFonts w:ascii="Palatino Linotype" w:hAnsi="Palatino Linotype"/>
          <w:color w:val="000000" w:themeColor="text1"/>
        </w:rPr>
        <w:t>s</w:t>
      </w:r>
      <w:r w:rsidR="00F45B7A" w:rsidRPr="00C33D74">
        <w:rPr>
          <w:rFonts w:ascii="Palatino Linotype" w:hAnsi="Palatino Linotype"/>
          <w:color w:val="000000" w:themeColor="text1"/>
        </w:rPr>
        <w:t xml:space="preserve"> a saber:</w:t>
      </w:r>
    </w:p>
    <w:p w14:paraId="2DECA5C9" w14:textId="77777777" w:rsidR="00F45B7A" w:rsidRPr="00C33D74" w:rsidRDefault="00F45B7A" w:rsidP="00F45B7A">
      <w:pPr>
        <w:pStyle w:val="Prrafodelista"/>
        <w:spacing w:line="360" w:lineRule="auto"/>
        <w:ind w:left="0"/>
        <w:jc w:val="both"/>
        <w:rPr>
          <w:rFonts w:ascii="Palatino Linotype" w:hAnsi="Palatino Linotype"/>
          <w:b/>
          <w:i/>
          <w:color w:val="000000" w:themeColor="text1"/>
        </w:rPr>
      </w:pPr>
    </w:p>
    <w:p w14:paraId="3D52834E" w14:textId="4CD6F64D" w:rsidR="001D3026" w:rsidRPr="00C33D74" w:rsidRDefault="00BA78CF" w:rsidP="00F45B7A">
      <w:pPr>
        <w:pStyle w:val="Prrafodelista"/>
        <w:numPr>
          <w:ilvl w:val="0"/>
          <w:numId w:val="31"/>
        </w:numPr>
        <w:spacing w:line="360" w:lineRule="auto"/>
        <w:ind w:left="567" w:right="567" w:firstLine="0"/>
        <w:jc w:val="both"/>
        <w:rPr>
          <w:rFonts w:ascii="Palatino Linotype" w:eastAsia="Times New Roman" w:hAnsi="Palatino Linotype" w:cs="Arial"/>
          <w:color w:val="000000" w:themeColor="text1"/>
          <w:lang w:val="es-ES"/>
        </w:rPr>
      </w:pPr>
      <w:r w:rsidRPr="00C33D74">
        <w:rPr>
          <w:rFonts w:ascii="Palatino Linotype" w:hAnsi="Palatino Linotype"/>
          <w:b/>
          <w:color w:val="000000" w:themeColor="text1"/>
        </w:rPr>
        <w:t xml:space="preserve"> </w:t>
      </w:r>
      <w:hyperlink r:id="rId8" w:tgtFrame="_blank" w:history="1">
        <w:r w:rsidR="00684855" w:rsidRPr="00C33D74">
          <w:rPr>
            <w:rStyle w:val="Hipervnculo"/>
            <w:rFonts w:ascii="Palatino Linotype" w:hAnsi="Palatino Linotype"/>
            <w:b/>
            <w:bCs/>
            <w:color w:val="000000" w:themeColor="text1"/>
            <w:u w:val="none"/>
          </w:rPr>
          <w:t>963.pdf</w:t>
        </w:r>
      </w:hyperlink>
      <w:hyperlink r:id="rId9" w:tgtFrame="_blank" w:history="1"/>
      <w:r w:rsidR="00F45B7A" w:rsidRPr="00C33D74">
        <w:rPr>
          <w:rFonts w:ascii="Palatino Linotype" w:eastAsia="Times New Roman" w:hAnsi="Palatino Linotype" w:cs="Arial"/>
          <w:color w:val="000000" w:themeColor="text1"/>
          <w:lang w:val="es-ES"/>
        </w:rPr>
        <w:t xml:space="preserve">: Documento electrónico que en una hoja contiene </w:t>
      </w:r>
      <w:r w:rsidRPr="00C33D74">
        <w:rPr>
          <w:rFonts w:ascii="Palatino Linotype" w:eastAsia="Times New Roman" w:hAnsi="Palatino Linotype" w:cs="Arial"/>
          <w:color w:val="000000" w:themeColor="text1"/>
          <w:lang w:val="es-ES"/>
        </w:rPr>
        <w:t xml:space="preserve">el oficio número </w:t>
      </w:r>
      <w:r w:rsidR="00684855" w:rsidRPr="00C33D74">
        <w:rPr>
          <w:rFonts w:ascii="Palatino Linotype" w:eastAsia="Times New Roman" w:hAnsi="Palatino Linotype" w:cs="Arial"/>
          <w:color w:val="000000" w:themeColor="text1"/>
          <w:lang w:val="es-ES"/>
        </w:rPr>
        <w:t>DSPYTM/EJ/0043/2020</w:t>
      </w:r>
      <w:r w:rsidRPr="00C33D74">
        <w:rPr>
          <w:rFonts w:ascii="Palatino Linotype" w:eastAsia="Times New Roman" w:hAnsi="Palatino Linotype" w:cs="Arial"/>
          <w:color w:val="000000" w:themeColor="text1"/>
          <w:lang w:val="es-ES"/>
        </w:rPr>
        <w:t>, dirigido al</w:t>
      </w:r>
      <w:r w:rsidR="00684855" w:rsidRPr="00C33D74">
        <w:rPr>
          <w:rFonts w:ascii="Palatino Linotype" w:eastAsia="Times New Roman" w:hAnsi="Palatino Linotype" w:cs="Arial"/>
          <w:color w:val="000000" w:themeColor="text1"/>
          <w:lang w:val="es-ES"/>
        </w:rPr>
        <w:t xml:space="preserve"> Titular de la Unidad de Transparencia </w:t>
      </w:r>
      <w:r w:rsidR="001D3026" w:rsidRPr="00C33D74">
        <w:rPr>
          <w:rFonts w:ascii="Palatino Linotype" w:eastAsia="Times New Roman" w:hAnsi="Palatino Linotype" w:cs="Arial"/>
          <w:color w:val="000000" w:themeColor="text1"/>
          <w:lang w:val="es-ES"/>
        </w:rPr>
        <w:t xml:space="preserve">y Acceso a la Información y suscrito por el Comisario de Seguridad Pública y Tránsito Municipal, mediante el cual se refiere que </w:t>
      </w:r>
      <w:r w:rsidR="001D3026" w:rsidRPr="00C33D74">
        <w:rPr>
          <w:rFonts w:ascii="Palatino Linotype" w:eastAsia="Times New Roman" w:hAnsi="Palatino Linotype" w:cs="Arial"/>
          <w:color w:val="000000" w:themeColor="text1"/>
          <w:lang w:val="es-ES"/>
        </w:rPr>
        <w:lastRenderedPageBreak/>
        <w:t>“</w:t>
      </w:r>
      <w:r w:rsidR="001D3026" w:rsidRPr="00C33D74">
        <w:rPr>
          <w:rFonts w:ascii="Palatino Linotype" w:eastAsia="Times New Roman" w:hAnsi="Palatino Linotype" w:cs="Arial"/>
          <w:i/>
          <w:color w:val="000000" w:themeColor="text1"/>
          <w:lang w:val="es-ES"/>
        </w:rPr>
        <w:t>la información solicitada se encuentra clasificada como reservada con el número de acuerdo 143/CTATIZARA/2019-2020, toda vez que esta, forma parte de una investigación judicial, ante la Fiscalía Central de Justicia del Estado de México</w:t>
      </w:r>
      <w:r w:rsidR="001D3026" w:rsidRPr="00C33D74">
        <w:rPr>
          <w:rFonts w:ascii="Palatino Linotype" w:eastAsia="Times New Roman" w:hAnsi="Palatino Linotype" w:cs="Arial"/>
          <w:color w:val="000000" w:themeColor="text1"/>
          <w:lang w:val="es-ES"/>
        </w:rPr>
        <w:t xml:space="preserve">” </w:t>
      </w:r>
    </w:p>
    <w:p w14:paraId="07F232C7" w14:textId="77777777" w:rsidR="001D3026" w:rsidRPr="00C33D74" w:rsidRDefault="001D3026" w:rsidP="001D3026">
      <w:pPr>
        <w:spacing w:line="360" w:lineRule="auto"/>
        <w:ind w:right="567"/>
        <w:jc w:val="both"/>
        <w:rPr>
          <w:rFonts w:ascii="Palatino Linotype" w:eastAsia="Times New Roman" w:hAnsi="Palatino Linotype" w:cs="Arial"/>
          <w:color w:val="000000" w:themeColor="text1"/>
          <w:lang w:val="es-ES"/>
        </w:rPr>
      </w:pPr>
    </w:p>
    <w:p w14:paraId="5901A60A" w14:textId="359CB22C" w:rsidR="00056270" w:rsidRPr="00C33D74" w:rsidRDefault="00205760" w:rsidP="00056270">
      <w:pPr>
        <w:pStyle w:val="Prrafodelista"/>
        <w:numPr>
          <w:ilvl w:val="0"/>
          <w:numId w:val="31"/>
        </w:numPr>
        <w:spacing w:line="360" w:lineRule="auto"/>
        <w:ind w:left="567" w:right="567" w:firstLine="0"/>
        <w:jc w:val="both"/>
        <w:rPr>
          <w:rFonts w:ascii="Palatino Linotype" w:eastAsia="Times New Roman" w:hAnsi="Palatino Linotype" w:cs="Arial"/>
          <w:color w:val="000000" w:themeColor="text1"/>
          <w:lang w:val="es-ES"/>
        </w:rPr>
      </w:pPr>
      <w:hyperlink r:id="rId10" w:tgtFrame="_blank" w:history="1">
        <w:r w:rsidR="001D3026" w:rsidRPr="00C33D74">
          <w:rPr>
            <w:rStyle w:val="Hipervnculo"/>
            <w:rFonts w:ascii="Palatino Linotype" w:eastAsia="Times New Roman" w:hAnsi="Palatino Linotype" w:cs="Arial"/>
            <w:b/>
            <w:bCs/>
            <w:color w:val="000000" w:themeColor="text1"/>
            <w:u w:val="none"/>
          </w:rPr>
          <w:t>ACTA DE COMITE 143.pdf</w:t>
        </w:r>
      </w:hyperlink>
      <w:r w:rsidR="001D3026" w:rsidRPr="00C33D74">
        <w:rPr>
          <w:rFonts w:ascii="Palatino Linotype" w:eastAsia="Times New Roman" w:hAnsi="Palatino Linotype" w:cs="Arial"/>
          <w:b/>
          <w:color w:val="000000" w:themeColor="text1"/>
          <w:lang w:val="es-ES"/>
        </w:rPr>
        <w:t>:</w:t>
      </w:r>
      <w:r w:rsidR="001D3026" w:rsidRPr="00C33D74">
        <w:rPr>
          <w:rFonts w:ascii="Palatino Linotype" w:eastAsia="Times New Roman" w:hAnsi="Palatino Linotype" w:cs="Arial"/>
          <w:color w:val="000000" w:themeColor="text1"/>
          <w:lang w:val="es-ES"/>
        </w:rPr>
        <w:t xml:space="preserve"> Documento electrónico que en cuatro (04) hojas contiene el “</w:t>
      </w:r>
      <w:r w:rsidR="001D3026" w:rsidRPr="00C33D74">
        <w:rPr>
          <w:rFonts w:ascii="Palatino Linotype" w:eastAsia="Times New Roman" w:hAnsi="Palatino Linotype" w:cs="Arial"/>
          <w:i/>
          <w:color w:val="000000" w:themeColor="text1"/>
          <w:lang w:val="es-ES"/>
        </w:rPr>
        <w:t xml:space="preserve">Acta del Comité de Transparencia y Acceso a la Información Pública </w:t>
      </w:r>
      <w:r w:rsidR="00684855" w:rsidRPr="00C33D74">
        <w:rPr>
          <w:rFonts w:ascii="Palatino Linotype" w:eastAsia="Times New Roman" w:hAnsi="Palatino Linotype" w:cs="Arial"/>
          <w:i/>
          <w:color w:val="000000" w:themeColor="text1"/>
          <w:lang w:val="es-ES"/>
        </w:rPr>
        <w:t xml:space="preserve"> </w:t>
      </w:r>
      <w:r w:rsidR="00BA78CF" w:rsidRPr="00C33D74">
        <w:rPr>
          <w:rFonts w:ascii="Palatino Linotype" w:eastAsia="Times New Roman" w:hAnsi="Palatino Linotype" w:cs="Arial"/>
          <w:i/>
          <w:color w:val="000000" w:themeColor="text1"/>
          <w:lang w:val="es-ES"/>
        </w:rPr>
        <w:t xml:space="preserve"> particular y suscrito por el Responsable de Transparencia, Acceso a la Información Pública y Protección de Datos Personales</w:t>
      </w:r>
      <w:r w:rsidR="001D3026" w:rsidRPr="00C33D74">
        <w:rPr>
          <w:rFonts w:ascii="Palatino Linotype" w:eastAsia="Times New Roman" w:hAnsi="Palatino Linotype" w:cs="Arial"/>
          <w:i/>
          <w:color w:val="000000" w:themeColor="text1"/>
          <w:lang w:val="es-ES"/>
        </w:rPr>
        <w:t>”</w:t>
      </w:r>
      <w:r w:rsidR="001D3026" w:rsidRPr="00C33D74">
        <w:rPr>
          <w:rFonts w:ascii="Palatino Linotype" w:eastAsia="Times New Roman" w:hAnsi="Palatino Linotype" w:cs="Arial"/>
          <w:color w:val="000000" w:themeColor="text1"/>
          <w:lang w:val="es-ES"/>
        </w:rPr>
        <w:t xml:space="preserve"> de fecha ocho de enero de dos mil veinte, mediante la cual se </w:t>
      </w:r>
      <w:r w:rsidR="00056270" w:rsidRPr="00C33D74">
        <w:rPr>
          <w:rFonts w:ascii="Palatino Linotype" w:eastAsia="Times New Roman" w:hAnsi="Palatino Linotype" w:cs="Arial"/>
          <w:color w:val="000000" w:themeColor="text1"/>
          <w:lang w:val="es-ES"/>
        </w:rPr>
        <w:t>dicta el acuerdo 0143/CTATIZARA/2019-2021</w:t>
      </w:r>
      <w:r w:rsidR="001D3026" w:rsidRPr="00C33D74">
        <w:rPr>
          <w:rFonts w:ascii="Palatino Linotype" w:eastAsia="Times New Roman" w:hAnsi="Palatino Linotype" w:cs="Arial"/>
          <w:color w:val="000000" w:themeColor="text1"/>
          <w:lang w:val="es-ES"/>
        </w:rPr>
        <w:t xml:space="preserve"> </w:t>
      </w:r>
      <w:r w:rsidR="00BA78CF" w:rsidRPr="00C33D74">
        <w:rPr>
          <w:rFonts w:ascii="Palatino Linotype" w:eastAsia="Times New Roman" w:hAnsi="Palatino Linotype" w:cs="Arial"/>
          <w:color w:val="000000" w:themeColor="text1"/>
          <w:lang w:val="es-ES"/>
        </w:rPr>
        <w:t xml:space="preserve"> mediante el cual se refiere</w:t>
      </w:r>
      <w:r w:rsidR="00056270" w:rsidRPr="00C33D74">
        <w:rPr>
          <w:rFonts w:ascii="Palatino Linotype" w:eastAsia="Times New Roman" w:hAnsi="Palatino Linotype" w:cs="Arial"/>
          <w:color w:val="000000" w:themeColor="text1"/>
          <w:lang w:val="es-ES"/>
        </w:rPr>
        <w:t xml:space="preserve"> medularmente</w:t>
      </w:r>
      <w:r w:rsidR="00BA78CF" w:rsidRPr="00C33D74">
        <w:rPr>
          <w:rFonts w:ascii="Palatino Linotype" w:eastAsia="Times New Roman" w:hAnsi="Palatino Linotype" w:cs="Arial"/>
          <w:color w:val="000000" w:themeColor="text1"/>
          <w:lang w:val="es-ES"/>
        </w:rPr>
        <w:t xml:space="preserve"> que </w:t>
      </w:r>
      <w:r w:rsidR="00BA78CF" w:rsidRPr="00C33D74">
        <w:rPr>
          <w:rFonts w:ascii="Palatino Linotype" w:eastAsia="Times New Roman" w:hAnsi="Palatino Linotype" w:cs="Arial"/>
          <w:i/>
          <w:color w:val="000000" w:themeColor="text1"/>
          <w:lang w:val="es-ES"/>
        </w:rPr>
        <w:t>“</w:t>
      </w:r>
      <w:r w:rsidR="00056270" w:rsidRPr="00C33D74">
        <w:rPr>
          <w:rFonts w:ascii="Palatino Linotype" w:eastAsia="Times New Roman" w:hAnsi="Palatino Linotype" w:cs="Arial"/>
          <w:i/>
          <w:color w:val="000000" w:themeColor="text1"/>
          <w:lang w:val="es-ES"/>
        </w:rPr>
        <w:t xml:space="preserve"> Dicha información se encuentra en el supuesto de ser reservada, en virtud de que forma parte de una investigación Judicial ante la Fiscalía General de Justicia, misma que establece el precepto de restricción de la información, relacionada con los procedimientos judiciales o administrativos en tanto no hayan quedado firmes, por lo tanto se confirma el supuesto de que al entregar la información se rebasa el interés particular sobre el interés público protegido por la reserva, al publicar dicha información afecta una posición fundamental que es una condición  necesaria del debido proceso y conducción de un expediente judicial o administrativo previo a que cause estado.”</w:t>
      </w:r>
    </w:p>
    <w:p w14:paraId="576C0DD0" w14:textId="77777777" w:rsidR="00056270" w:rsidRPr="00C33D74" w:rsidRDefault="00056270" w:rsidP="00056270">
      <w:pPr>
        <w:pStyle w:val="Prrafodelista"/>
        <w:spacing w:line="360" w:lineRule="auto"/>
        <w:ind w:left="567" w:right="567"/>
        <w:jc w:val="both"/>
        <w:rPr>
          <w:rFonts w:ascii="Palatino Linotype" w:eastAsia="Times New Roman" w:hAnsi="Palatino Linotype" w:cs="Arial"/>
          <w:color w:val="000000" w:themeColor="text1"/>
          <w:lang w:val="es-ES"/>
        </w:rPr>
      </w:pPr>
    </w:p>
    <w:p w14:paraId="127B1A18" w14:textId="24FFE93C" w:rsidR="00146F00" w:rsidRPr="00C33D74" w:rsidRDefault="00DB4BEF" w:rsidP="00E311E0">
      <w:pPr>
        <w:pStyle w:val="Prrafodelista"/>
        <w:numPr>
          <w:ilvl w:val="0"/>
          <w:numId w:val="1"/>
        </w:numPr>
        <w:spacing w:line="360" w:lineRule="auto"/>
        <w:ind w:left="0" w:firstLine="0"/>
        <w:jc w:val="both"/>
        <w:rPr>
          <w:rFonts w:ascii="Palatino Linotype" w:hAnsi="Palatino Linotype"/>
          <w:b/>
          <w:i/>
          <w:color w:val="000000" w:themeColor="text1"/>
        </w:rPr>
      </w:pPr>
      <w:r w:rsidRPr="00C33D74">
        <w:rPr>
          <w:rFonts w:ascii="Palatino Linotype" w:eastAsia="Times New Roman" w:hAnsi="Palatino Linotype" w:cs="Arial"/>
          <w:color w:val="000000" w:themeColor="text1"/>
          <w:lang w:val="es-ES"/>
        </w:rPr>
        <w:t xml:space="preserve">El </w:t>
      </w:r>
      <w:r w:rsidR="00F86E56" w:rsidRPr="00C33D74">
        <w:rPr>
          <w:rFonts w:ascii="Palatino Linotype" w:eastAsia="Times New Roman" w:hAnsi="Palatino Linotype" w:cs="Arial"/>
          <w:color w:val="000000" w:themeColor="text1"/>
          <w:lang w:val="es-ES"/>
        </w:rPr>
        <w:t>día diecisiete</w:t>
      </w:r>
      <w:r w:rsidR="00B11200" w:rsidRPr="00C33D74">
        <w:rPr>
          <w:rFonts w:ascii="Palatino Linotype" w:eastAsia="Times New Roman" w:hAnsi="Palatino Linotype" w:cs="Arial"/>
          <w:color w:val="000000" w:themeColor="text1"/>
          <w:lang w:val="es-ES"/>
        </w:rPr>
        <w:t xml:space="preserve"> </w:t>
      </w:r>
      <w:r w:rsidR="00D85885" w:rsidRPr="00C33D74">
        <w:rPr>
          <w:rFonts w:ascii="Palatino Linotype" w:eastAsia="Times New Roman" w:hAnsi="Palatino Linotype" w:cs="Arial"/>
          <w:color w:val="000000" w:themeColor="text1"/>
          <w:lang w:val="es-ES"/>
        </w:rPr>
        <w:t>(</w:t>
      </w:r>
      <w:r w:rsidR="00F86E56" w:rsidRPr="00C33D74">
        <w:rPr>
          <w:rFonts w:ascii="Palatino Linotype" w:eastAsia="Times New Roman" w:hAnsi="Palatino Linotype" w:cs="Arial"/>
          <w:color w:val="000000" w:themeColor="text1"/>
          <w:lang w:val="es-ES"/>
        </w:rPr>
        <w:t>17</w:t>
      </w:r>
      <w:r w:rsidR="00D85885" w:rsidRPr="00C33D74">
        <w:rPr>
          <w:rFonts w:ascii="Palatino Linotype" w:eastAsia="Times New Roman" w:hAnsi="Palatino Linotype" w:cs="Arial"/>
          <w:color w:val="000000" w:themeColor="text1"/>
          <w:lang w:val="es-ES"/>
        </w:rPr>
        <w:t xml:space="preserve">) </w:t>
      </w:r>
      <w:r w:rsidR="00BE3B4D" w:rsidRPr="00C33D74">
        <w:rPr>
          <w:rFonts w:ascii="Palatino Linotype" w:eastAsia="Times New Roman" w:hAnsi="Palatino Linotype" w:cs="Arial"/>
          <w:color w:val="000000" w:themeColor="text1"/>
          <w:lang w:val="es-ES"/>
        </w:rPr>
        <w:t>de</w:t>
      </w:r>
      <w:r w:rsidR="00F86E56" w:rsidRPr="00C33D74">
        <w:rPr>
          <w:rFonts w:ascii="Palatino Linotype" w:eastAsia="Times New Roman" w:hAnsi="Palatino Linotype" w:cs="Arial"/>
          <w:color w:val="000000" w:themeColor="text1"/>
          <w:lang w:val="es-ES"/>
        </w:rPr>
        <w:t xml:space="preserve"> enero</w:t>
      </w:r>
      <w:r w:rsidR="00B212D0" w:rsidRPr="00C33D74">
        <w:rPr>
          <w:rFonts w:ascii="Palatino Linotype" w:eastAsia="Times New Roman" w:hAnsi="Palatino Linotype" w:cs="Arial"/>
          <w:color w:val="000000" w:themeColor="text1"/>
          <w:lang w:val="es-ES"/>
        </w:rPr>
        <w:t xml:space="preserve"> de dos mil</w:t>
      </w:r>
      <w:r w:rsidR="00F86E56" w:rsidRPr="00C33D74">
        <w:rPr>
          <w:rFonts w:ascii="Palatino Linotype" w:eastAsia="Times New Roman" w:hAnsi="Palatino Linotype" w:cs="Arial"/>
          <w:color w:val="000000" w:themeColor="text1"/>
          <w:lang w:val="es-ES"/>
        </w:rPr>
        <w:t xml:space="preserve"> veinte,</w:t>
      </w:r>
      <w:r w:rsidR="004A4881" w:rsidRPr="00C33D74">
        <w:rPr>
          <w:rFonts w:ascii="Palatino Linotype" w:eastAsia="Times New Roman" w:hAnsi="Palatino Linotype" w:cs="Arial"/>
          <w:color w:val="000000" w:themeColor="text1"/>
          <w:lang w:val="es-ES"/>
        </w:rPr>
        <w:t xml:space="preserve"> el particular, </w:t>
      </w:r>
      <w:r w:rsidRPr="00C33D74">
        <w:rPr>
          <w:rFonts w:ascii="Palatino Linotype" w:eastAsia="Times New Roman" w:hAnsi="Palatino Linotype" w:cs="Arial"/>
          <w:color w:val="000000" w:themeColor="text1"/>
          <w:lang w:val="es-ES"/>
        </w:rPr>
        <w:t>interpuso</w:t>
      </w:r>
      <w:r w:rsidR="009316E9" w:rsidRPr="00C33D74">
        <w:rPr>
          <w:rFonts w:ascii="Palatino Linotype" w:eastAsia="Times New Roman" w:hAnsi="Palatino Linotype" w:cs="Arial"/>
          <w:color w:val="000000" w:themeColor="text1"/>
          <w:lang w:val="es-ES"/>
        </w:rPr>
        <w:t xml:space="preserve"> </w:t>
      </w:r>
      <w:r w:rsidRPr="00C33D74">
        <w:rPr>
          <w:rFonts w:ascii="Palatino Linotype" w:eastAsia="Times New Roman" w:hAnsi="Palatino Linotype" w:cs="Arial"/>
          <w:color w:val="000000" w:themeColor="text1"/>
          <w:lang w:val="es-ES"/>
        </w:rPr>
        <w:t>recurso de revisión</w:t>
      </w:r>
      <w:r w:rsidR="00EC455A" w:rsidRPr="00C33D74">
        <w:rPr>
          <w:rFonts w:ascii="Palatino Linotype" w:eastAsia="Times New Roman" w:hAnsi="Palatino Linotype" w:cs="Arial"/>
          <w:color w:val="000000" w:themeColor="text1"/>
          <w:lang w:val="es-ES"/>
        </w:rPr>
        <w:t xml:space="preserve"> </w:t>
      </w:r>
      <w:r w:rsidR="009316E9" w:rsidRPr="00C33D74">
        <w:rPr>
          <w:rFonts w:ascii="Palatino Linotype" w:eastAsia="Times New Roman" w:hAnsi="Palatino Linotype" w:cs="Arial"/>
          <w:color w:val="000000" w:themeColor="text1"/>
          <w:lang w:val="es-ES"/>
        </w:rPr>
        <w:t xml:space="preserve">en contra de la respuesta anteriormente </w:t>
      </w:r>
      <w:r w:rsidR="009E4942" w:rsidRPr="00C33D74">
        <w:rPr>
          <w:rFonts w:ascii="Palatino Linotype" w:eastAsia="Times New Roman" w:hAnsi="Palatino Linotype" w:cs="Arial"/>
          <w:color w:val="000000" w:themeColor="text1"/>
          <w:lang w:val="es-ES"/>
        </w:rPr>
        <w:t>referida</w:t>
      </w:r>
      <w:r w:rsidR="009316E9" w:rsidRPr="00C33D74">
        <w:rPr>
          <w:rFonts w:ascii="Palatino Linotype" w:eastAsia="Times New Roman" w:hAnsi="Palatino Linotype" w:cs="Arial"/>
          <w:color w:val="000000" w:themeColor="text1"/>
          <w:lang w:val="es-ES"/>
        </w:rPr>
        <w:t xml:space="preserve">, </w:t>
      </w:r>
      <w:r w:rsidR="002B2A2E" w:rsidRPr="00C33D74">
        <w:rPr>
          <w:rFonts w:ascii="Palatino Linotype" w:eastAsia="Times New Roman" w:hAnsi="Palatino Linotype" w:cs="Arial"/>
          <w:color w:val="000000" w:themeColor="text1"/>
          <w:lang w:val="es-ES"/>
        </w:rPr>
        <w:t xml:space="preserve">señalando </w:t>
      </w:r>
      <w:r w:rsidR="009E4942" w:rsidRPr="00C33D74">
        <w:rPr>
          <w:rFonts w:ascii="Palatino Linotype" w:eastAsia="Times New Roman" w:hAnsi="Palatino Linotype" w:cs="Arial"/>
          <w:color w:val="000000" w:themeColor="text1"/>
          <w:lang w:val="es-ES"/>
        </w:rPr>
        <w:t>como</w:t>
      </w:r>
      <w:r w:rsidR="00146F00" w:rsidRPr="00C33D74">
        <w:rPr>
          <w:rFonts w:ascii="Palatino Linotype" w:eastAsia="Times New Roman" w:hAnsi="Palatino Linotype" w:cs="Arial"/>
          <w:color w:val="000000" w:themeColor="text1"/>
          <w:lang w:val="es-ES"/>
        </w:rPr>
        <w:t>:</w:t>
      </w:r>
    </w:p>
    <w:p w14:paraId="501B534C" w14:textId="2BB5EBE4" w:rsidR="002F7DEA" w:rsidRPr="00C33D74" w:rsidRDefault="00975C87" w:rsidP="00975C87">
      <w:pPr>
        <w:pStyle w:val="Prrafodelista"/>
        <w:tabs>
          <w:tab w:val="left" w:pos="2355"/>
        </w:tabs>
        <w:spacing w:line="360" w:lineRule="auto"/>
        <w:ind w:left="284"/>
        <w:jc w:val="both"/>
        <w:rPr>
          <w:rFonts w:ascii="Palatino Linotype" w:hAnsi="Palatino Linotype"/>
          <w:b/>
          <w:i/>
          <w:color w:val="000000" w:themeColor="text1"/>
          <w:sz w:val="22"/>
          <w:szCs w:val="22"/>
        </w:rPr>
      </w:pPr>
      <w:r w:rsidRPr="00C33D74">
        <w:rPr>
          <w:rFonts w:ascii="Palatino Linotype" w:hAnsi="Palatino Linotype"/>
          <w:b/>
          <w:i/>
          <w:color w:val="000000" w:themeColor="text1"/>
          <w:sz w:val="22"/>
          <w:szCs w:val="22"/>
        </w:rPr>
        <w:tab/>
      </w:r>
    </w:p>
    <w:p w14:paraId="45AA859E" w14:textId="732EDFF7" w:rsidR="00146F00" w:rsidRPr="00C33D74" w:rsidRDefault="009E4942" w:rsidP="00F86E56">
      <w:pPr>
        <w:pStyle w:val="Prrafodelista"/>
        <w:numPr>
          <w:ilvl w:val="0"/>
          <w:numId w:val="2"/>
        </w:numPr>
        <w:spacing w:line="360" w:lineRule="auto"/>
        <w:ind w:right="567"/>
        <w:jc w:val="both"/>
        <w:rPr>
          <w:rFonts w:ascii="Palatino Linotype" w:eastAsia="Times New Roman" w:hAnsi="Palatino Linotype" w:cs="Times New Roman"/>
          <w:i/>
          <w:color w:val="000000" w:themeColor="text1"/>
          <w:sz w:val="22"/>
          <w:szCs w:val="22"/>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113197"/>
      <w:bookmarkStart w:id="28" w:name="_Toc7113355"/>
      <w:bookmarkStart w:id="29" w:name="_Toc7122367"/>
      <w:bookmarkStart w:id="30" w:name="_Toc7123290"/>
      <w:bookmarkStart w:id="31" w:name="_Toc34914899"/>
      <w:bookmarkStart w:id="32" w:name="_Toc35552915"/>
      <w:bookmarkStart w:id="33" w:name="_Toc483411550"/>
      <w:r w:rsidRPr="00C33D74">
        <w:rPr>
          <w:rStyle w:val="Ttulo2Car"/>
          <w:rFonts w:ascii="Palatino Linotype" w:hAnsi="Palatino Linotype"/>
          <w:b/>
          <w:color w:val="000000" w:themeColor="text1"/>
          <w:sz w:val="24"/>
        </w:rPr>
        <w:lastRenderedPageBreak/>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FE49E3" w:rsidRPr="00C33D74">
        <w:rPr>
          <w:rStyle w:val="Ttulo2Car"/>
          <w:rFonts w:ascii="Palatino Linotype" w:hAnsi="Palatino Linotype"/>
          <w:b/>
          <w:color w:val="000000" w:themeColor="text1"/>
          <w:sz w:val="24"/>
        </w:rPr>
        <w:t xml:space="preserve"> </w:t>
      </w:r>
      <w:r w:rsidR="00E727B7" w:rsidRPr="00C33D74">
        <w:rPr>
          <w:rFonts w:ascii="Palatino Linotype" w:hAnsi="Palatino Linotype"/>
          <w:i/>
          <w:color w:val="000000" w:themeColor="text1"/>
        </w:rPr>
        <w:t>“</w:t>
      </w:r>
      <w:r w:rsidR="00F86E56" w:rsidRPr="00C33D74">
        <w:rPr>
          <w:rFonts w:ascii="Palatino Linotype" w:hAnsi="Palatino Linotype"/>
          <w:i/>
          <w:color w:val="000000" w:themeColor="text1"/>
        </w:rPr>
        <w:t>Se impugna la negativa para dar la información a un ciudadano de Atizapán con respecto a los hechos ocurridos en el fraccionamiento Las Arboledas el día 9 de octubre del 2019</w:t>
      </w:r>
      <w:r w:rsidR="004433A7" w:rsidRPr="00C33D74">
        <w:rPr>
          <w:rFonts w:ascii="Palatino Linotype" w:hAnsi="Palatino Linotype"/>
          <w:i/>
          <w:color w:val="000000" w:themeColor="text1"/>
        </w:rPr>
        <w:t>”</w:t>
      </w:r>
      <w:r w:rsidR="00FF6829" w:rsidRPr="00C33D74">
        <w:rPr>
          <w:rFonts w:ascii="Palatino Linotype" w:hAnsi="Palatino Linotype"/>
          <w:i/>
          <w:color w:val="000000" w:themeColor="text1"/>
        </w:rPr>
        <w:t>.</w:t>
      </w:r>
      <w:r w:rsidR="004433A7" w:rsidRPr="00C33D74">
        <w:rPr>
          <w:rFonts w:ascii="Palatino Linotype" w:hAnsi="Palatino Linotype"/>
          <w:color w:val="000000" w:themeColor="text1"/>
        </w:rPr>
        <w:t xml:space="preserve"> (Sic)</w:t>
      </w:r>
      <w:bookmarkEnd w:id="33"/>
    </w:p>
    <w:p w14:paraId="3E8F4C85" w14:textId="172AE0C6" w:rsidR="00146F00" w:rsidRPr="00C33D74" w:rsidRDefault="00146F00" w:rsidP="00FF6829">
      <w:pPr>
        <w:spacing w:line="360" w:lineRule="auto"/>
        <w:ind w:left="567"/>
        <w:jc w:val="both"/>
        <w:rPr>
          <w:rStyle w:val="Ttulo2Car"/>
          <w:rFonts w:ascii="Palatino Linotype" w:hAnsi="Palatino Linotype"/>
          <w:b/>
          <w:color w:val="000000" w:themeColor="text1"/>
          <w:sz w:val="24"/>
          <w:lang w:val="es-ES"/>
        </w:rPr>
      </w:pPr>
    </w:p>
    <w:p w14:paraId="770FE432" w14:textId="1168ACAB" w:rsidR="008A7D54" w:rsidRPr="00C33D74" w:rsidRDefault="009E4942" w:rsidP="00F86E56">
      <w:pPr>
        <w:pStyle w:val="Ttulo2"/>
        <w:numPr>
          <w:ilvl w:val="0"/>
          <w:numId w:val="2"/>
        </w:numPr>
        <w:spacing w:line="360" w:lineRule="auto"/>
        <w:ind w:right="567"/>
        <w:jc w:val="both"/>
        <w:rPr>
          <w:rFonts w:ascii="Palatino Linotype" w:hAnsi="Palatino Linotype"/>
          <w:color w:val="000000" w:themeColor="text1"/>
          <w:sz w:val="28"/>
          <w:szCs w:val="14"/>
        </w:rPr>
      </w:pPr>
      <w:bookmarkStart w:id="34" w:name="_Toc466982515"/>
      <w:bookmarkStart w:id="35" w:name="_Toc483995815"/>
      <w:bookmarkStart w:id="36" w:name="_Toc483411551"/>
      <w:bookmarkStart w:id="37" w:name="_Toc487622221"/>
      <w:bookmarkStart w:id="38" w:name="_Toc513198477"/>
      <w:bookmarkStart w:id="39" w:name="_Toc513203702"/>
      <w:bookmarkStart w:id="40" w:name="_Toc513203955"/>
      <w:bookmarkStart w:id="41" w:name="_Toc515555220"/>
      <w:bookmarkStart w:id="42" w:name="_Toc521603603"/>
      <w:bookmarkStart w:id="43" w:name="_Toc521605911"/>
      <w:bookmarkStart w:id="44" w:name="_Toc521949101"/>
      <w:bookmarkStart w:id="45" w:name="_Toc522641233"/>
      <w:bookmarkStart w:id="46" w:name="_Toc522703903"/>
      <w:bookmarkStart w:id="47" w:name="_Toc522705317"/>
      <w:bookmarkStart w:id="48" w:name="_Toc523418726"/>
      <w:bookmarkStart w:id="49" w:name="_Toc523908134"/>
      <w:bookmarkStart w:id="50" w:name="_Toc524437283"/>
      <w:bookmarkStart w:id="51" w:name="_Toc524437410"/>
      <w:bookmarkStart w:id="52" w:name="_Toc526355995"/>
      <w:bookmarkStart w:id="53" w:name="_Toc526361051"/>
      <w:bookmarkStart w:id="54" w:name="_Toc526361501"/>
      <w:bookmarkStart w:id="55" w:name="_Toc3399849"/>
      <w:bookmarkStart w:id="56" w:name="_Toc3399946"/>
      <w:bookmarkStart w:id="57" w:name="_Toc5818919"/>
      <w:bookmarkStart w:id="58" w:name="_Toc7104477"/>
      <w:bookmarkStart w:id="59" w:name="_Toc7113198"/>
      <w:bookmarkStart w:id="60" w:name="_Toc7113356"/>
      <w:bookmarkStart w:id="61" w:name="_Toc7122368"/>
      <w:bookmarkStart w:id="62" w:name="_Toc7123291"/>
      <w:bookmarkStart w:id="63" w:name="_Toc34914900"/>
      <w:bookmarkStart w:id="64" w:name="_Toc35552916"/>
      <w:r w:rsidRPr="00C33D74">
        <w:rPr>
          <w:rStyle w:val="Ttulo2Car"/>
          <w:rFonts w:ascii="Palatino Linotype" w:hAnsi="Palatino Linotype"/>
          <w:b/>
          <w:color w:val="000000" w:themeColor="text1"/>
          <w:sz w:val="24"/>
        </w:rPr>
        <w:t>Razones o Motivos de inconformidad:</w:t>
      </w:r>
      <w:bookmarkEnd w:id="34"/>
      <w:r w:rsidR="00FE49E3" w:rsidRPr="00C33D74">
        <w:rPr>
          <w:rFonts w:ascii="Palatino Linotype" w:hAnsi="Palatino Linotype"/>
          <w:b/>
          <w:color w:val="000000" w:themeColor="text1"/>
          <w:sz w:val="24"/>
        </w:rPr>
        <w:t xml:space="preserve"> </w:t>
      </w:r>
      <w:r w:rsidR="00E727B7" w:rsidRPr="00C33D74">
        <w:rPr>
          <w:rFonts w:ascii="Palatino Linotype" w:hAnsi="Palatino Linotype"/>
          <w:i/>
          <w:color w:val="000000" w:themeColor="text1"/>
          <w:sz w:val="24"/>
          <w:szCs w:val="22"/>
        </w:rPr>
        <w:t>“</w:t>
      </w:r>
      <w:bookmarkStart w:id="65" w:name="_Toc483995816"/>
      <w:bookmarkEnd w:id="35"/>
      <w:r w:rsidR="00F86E56" w:rsidRPr="00C33D74">
        <w:rPr>
          <w:rFonts w:ascii="Palatino Linotype" w:hAnsi="Palatino Linotype"/>
          <w:i/>
          <w:color w:val="000000" w:themeColor="text1"/>
          <w:sz w:val="24"/>
          <w:szCs w:val="22"/>
        </w:rPr>
        <w:t xml:space="preserve">Solicito </w:t>
      </w:r>
      <w:proofErr w:type="spellStart"/>
      <w:r w:rsidR="00F86E56" w:rsidRPr="00C33D74">
        <w:rPr>
          <w:rFonts w:ascii="Palatino Linotype" w:hAnsi="Palatino Linotype"/>
          <w:i/>
          <w:color w:val="000000" w:themeColor="text1"/>
          <w:sz w:val="24"/>
          <w:szCs w:val="22"/>
        </w:rPr>
        <w:t>nuevamete</w:t>
      </w:r>
      <w:proofErr w:type="spellEnd"/>
      <w:r w:rsidR="00F86E56" w:rsidRPr="00C33D74">
        <w:rPr>
          <w:rFonts w:ascii="Palatino Linotype" w:hAnsi="Palatino Linotype"/>
          <w:i/>
          <w:color w:val="000000" w:themeColor="text1"/>
          <w:sz w:val="24"/>
          <w:szCs w:val="22"/>
        </w:rPr>
        <w:t xml:space="preserve"> la información dado que los policías y cuerpos de seguridad municipales que participaron son pagados con nuestros impuestos tengo derecho de saber </w:t>
      </w:r>
      <w:proofErr w:type="spellStart"/>
      <w:r w:rsidR="00F86E56" w:rsidRPr="00C33D74">
        <w:rPr>
          <w:rFonts w:ascii="Palatino Linotype" w:hAnsi="Palatino Linotype"/>
          <w:i/>
          <w:color w:val="000000" w:themeColor="text1"/>
          <w:sz w:val="24"/>
          <w:szCs w:val="22"/>
        </w:rPr>
        <w:t>cuantos</w:t>
      </w:r>
      <w:proofErr w:type="spellEnd"/>
      <w:r w:rsidR="00F86E56" w:rsidRPr="00C33D74">
        <w:rPr>
          <w:rFonts w:ascii="Palatino Linotype" w:hAnsi="Palatino Linotype"/>
          <w:i/>
          <w:color w:val="000000" w:themeColor="text1"/>
          <w:sz w:val="24"/>
          <w:szCs w:val="22"/>
        </w:rPr>
        <w:t xml:space="preserve"> de ellos actuaron </w:t>
      </w:r>
      <w:proofErr w:type="spellStart"/>
      <w:r w:rsidR="00F86E56" w:rsidRPr="00C33D74">
        <w:rPr>
          <w:rFonts w:ascii="Palatino Linotype" w:hAnsi="Palatino Linotype"/>
          <w:i/>
          <w:color w:val="000000" w:themeColor="text1"/>
          <w:sz w:val="24"/>
          <w:szCs w:val="22"/>
        </w:rPr>
        <w:t>el los</w:t>
      </w:r>
      <w:proofErr w:type="spellEnd"/>
      <w:r w:rsidR="00F86E56" w:rsidRPr="00C33D74">
        <w:rPr>
          <w:rFonts w:ascii="Palatino Linotype" w:hAnsi="Palatino Linotype"/>
          <w:i/>
          <w:color w:val="000000" w:themeColor="text1"/>
          <w:sz w:val="24"/>
          <w:szCs w:val="22"/>
        </w:rPr>
        <w:t xml:space="preserve"> hechos. No hay razón de negar la información dado que "EL NÚMERO DE ELEMENTOS QUE PARTICIPARON" no puede afectar ningún tipo de investigación judicial</w:t>
      </w:r>
      <w:proofErr w:type="gramStart"/>
      <w:r w:rsidR="00F86E56" w:rsidRPr="00C33D74">
        <w:rPr>
          <w:rFonts w:ascii="Palatino Linotype" w:hAnsi="Palatino Linotype"/>
          <w:i/>
          <w:color w:val="000000" w:themeColor="text1"/>
          <w:sz w:val="24"/>
          <w:szCs w:val="22"/>
        </w:rPr>
        <w:t>..</w:t>
      </w:r>
      <w:proofErr w:type="gramEnd"/>
      <w:r w:rsidR="00F86E56" w:rsidRPr="00C33D74">
        <w:rPr>
          <w:rFonts w:ascii="Palatino Linotype" w:hAnsi="Palatino Linotype"/>
          <w:i/>
          <w:color w:val="000000" w:themeColor="text1"/>
          <w:sz w:val="24"/>
          <w:szCs w:val="22"/>
        </w:rPr>
        <w:t xml:space="preserve"> No estoy solicitado más que EL NÚMERO DE ELEMENTOS Y LAS CORPORACIONES A LAS QUE PERTENECES, |sólo eso, de manera que no hay forma de afectar </w:t>
      </w:r>
      <w:proofErr w:type="spellStart"/>
      <w:r w:rsidR="00F86E56" w:rsidRPr="00C33D74">
        <w:rPr>
          <w:rFonts w:ascii="Palatino Linotype" w:hAnsi="Palatino Linotype"/>
          <w:i/>
          <w:color w:val="000000" w:themeColor="text1"/>
          <w:sz w:val="24"/>
          <w:szCs w:val="22"/>
        </w:rPr>
        <w:t>ningúna</w:t>
      </w:r>
      <w:proofErr w:type="spellEnd"/>
      <w:r w:rsidR="00F86E56" w:rsidRPr="00C33D74">
        <w:rPr>
          <w:rFonts w:ascii="Palatino Linotype" w:hAnsi="Palatino Linotype"/>
          <w:i/>
          <w:color w:val="000000" w:themeColor="text1"/>
          <w:sz w:val="24"/>
          <w:szCs w:val="22"/>
        </w:rPr>
        <w:t xml:space="preserve"> investigación en curso </w:t>
      </w:r>
      <w:proofErr w:type="spellStart"/>
      <w:r w:rsidR="00F86E56" w:rsidRPr="00C33D74">
        <w:rPr>
          <w:rFonts w:ascii="Palatino Linotype" w:hAnsi="Palatino Linotype"/>
          <w:i/>
          <w:color w:val="000000" w:themeColor="text1"/>
          <w:sz w:val="24"/>
          <w:szCs w:val="22"/>
        </w:rPr>
        <w:t>odiganme</w:t>
      </w:r>
      <w:proofErr w:type="spellEnd"/>
      <w:r w:rsidR="00F86E56" w:rsidRPr="00C33D74">
        <w:rPr>
          <w:rFonts w:ascii="Palatino Linotype" w:hAnsi="Palatino Linotype"/>
          <w:i/>
          <w:color w:val="000000" w:themeColor="text1"/>
          <w:sz w:val="24"/>
          <w:szCs w:val="22"/>
        </w:rPr>
        <w:t xml:space="preserve"> ustedes ¿cómo o de qué manera informar sobre el número de elementos puede afectar una investigación que ustedes mismos están realizando?</w:t>
      </w:r>
      <w:r w:rsidR="00BE3B4D" w:rsidRPr="00C33D74">
        <w:rPr>
          <w:rFonts w:ascii="Palatino Linotype" w:hAnsi="Palatino Linotype"/>
          <w:i/>
          <w:color w:val="000000" w:themeColor="text1"/>
          <w:sz w:val="24"/>
          <w:szCs w:val="22"/>
        </w:rPr>
        <w:t>.</w:t>
      </w:r>
      <w:r w:rsidR="00AB3FA7" w:rsidRPr="00C33D74">
        <w:rPr>
          <w:rFonts w:ascii="Palatino Linotype" w:hAnsi="Palatino Linotype"/>
          <w:i/>
          <w:color w:val="000000" w:themeColor="text1"/>
          <w:sz w:val="24"/>
          <w:szCs w:val="22"/>
        </w:rPr>
        <w:t xml:space="preserve">” </w:t>
      </w:r>
      <w:r w:rsidR="00CF377E" w:rsidRPr="00C33D74">
        <w:rPr>
          <w:rFonts w:ascii="Palatino Linotype" w:hAnsi="Palatino Linotype"/>
          <w:color w:val="000000" w:themeColor="text1"/>
          <w:sz w:val="24"/>
          <w:szCs w:val="22"/>
        </w:rPr>
        <w:t xml:space="preserve"> (Sic</w:t>
      </w:r>
      <w:r w:rsidR="00CF377E" w:rsidRPr="00C33D74">
        <w:rPr>
          <w:rFonts w:ascii="Palatino Linotype" w:hAnsi="Palatino Linotype"/>
          <w:color w:val="000000" w:themeColor="text1"/>
          <w:sz w:val="28"/>
          <w:szCs w:val="14"/>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5DAC48B" w14:textId="77777777" w:rsidR="008A7D54" w:rsidRPr="00C33D74" w:rsidRDefault="008A7D54" w:rsidP="008A7D54">
      <w:pPr>
        <w:rPr>
          <w:rFonts w:ascii="Palatino Linotype" w:hAnsi="Palatino Linotype"/>
          <w:lang w:val="es-MX" w:eastAsia="en-US"/>
        </w:rPr>
      </w:pPr>
    </w:p>
    <w:p w14:paraId="6E571BB8" w14:textId="452766F8" w:rsidR="006D52D1" w:rsidRPr="00C33D74" w:rsidRDefault="007E5278" w:rsidP="00E311E0">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sz w:val="22"/>
          <w:szCs w:val="22"/>
        </w:rPr>
      </w:pPr>
      <w:r w:rsidRPr="00C33D74">
        <w:rPr>
          <w:rFonts w:ascii="Palatino Linotype" w:eastAsia="Times New Roman" w:hAnsi="Palatino Linotype" w:cs="Arial"/>
          <w:color w:val="000000" w:themeColor="text1"/>
          <w:lang w:val="es-ES"/>
        </w:rPr>
        <w:t xml:space="preserve">Se </w:t>
      </w:r>
      <w:r w:rsidR="002E74CE" w:rsidRPr="00C33D74">
        <w:rPr>
          <w:rFonts w:ascii="Palatino Linotype" w:eastAsia="Times New Roman" w:hAnsi="Palatino Linotype" w:cs="Arial"/>
          <w:color w:val="000000" w:themeColor="text1"/>
          <w:lang w:val="es-ES"/>
        </w:rPr>
        <w:t xml:space="preserve">registró el recurso de revisión </w:t>
      </w:r>
      <w:r w:rsidR="00F85237" w:rsidRPr="00C33D74">
        <w:rPr>
          <w:rFonts w:ascii="Palatino Linotype" w:eastAsia="Times New Roman" w:hAnsi="Palatino Linotype" w:cs="Arial"/>
          <w:color w:val="000000" w:themeColor="text1"/>
          <w:lang w:val="es-ES"/>
        </w:rPr>
        <w:t xml:space="preserve">bajo el número de </w:t>
      </w:r>
      <w:r w:rsidR="00F85237" w:rsidRPr="00C33D74">
        <w:rPr>
          <w:rFonts w:ascii="Palatino Linotype" w:eastAsia="Times New Roman" w:hAnsi="Palatino Linotype" w:cs="Arial"/>
          <w:b/>
          <w:color w:val="000000" w:themeColor="text1"/>
          <w:lang w:val="es-ES"/>
        </w:rPr>
        <w:t>expediente</w:t>
      </w:r>
      <w:r w:rsidR="00F85237" w:rsidRPr="00C33D74">
        <w:rPr>
          <w:rFonts w:ascii="Palatino Linotype" w:eastAsia="Times New Roman" w:hAnsi="Palatino Linotype" w:cs="Arial"/>
          <w:color w:val="000000" w:themeColor="text1"/>
          <w:lang w:val="es-ES"/>
        </w:rPr>
        <w:t xml:space="preserve"> </w:t>
      </w:r>
      <w:r w:rsidR="00F85237" w:rsidRPr="00C33D74">
        <w:rPr>
          <w:rFonts w:ascii="Palatino Linotype" w:hAnsi="Palatino Linotype" w:cs="Arial"/>
          <w:bCs/>
          <w:color w:val="000000" w:themeColor="text1"/>
        </w:rPr>
        <w:t xml:space="preserve">al rubro indicado, asimismo </w:t>
      </w:r>
      <w:r w:rsidR="005B7C5D" w:rsidRPr="00C33D74">
        <w:rPr>
          <w:rFonts w:ascii="Palatino Linotype" w:hAnsi="Palatino Linotype" w:cs="Arial"/>
          <w:bCs/>
          <w:color w:val="000000" w:themeColor="text1"/>
        </w:rPr>
        <w:t xml:space="preserve">con fundamento en lo dispuesto por el </w:t>
      </w:r>
      <w:r w:rsidR="005B7C5D" w:rsidRPr="00C33D74">
        <w:rPr>
          <w:rFonts w:ascii="Palatino Linotype" w:eastAsia="Calibri" w:hAnsi="Palatino Linotype" w:cs="Arial"/>
          <w:color w:val="000000" w:themeColor="text1"/>
          <w:lang w:val="es-ES"/>
        </w:rPr>
        <w:t xml:space="preserve">artículo 185 fracción I de la </w:t>
      </w:r>
      <w:r w:rsidR="005B7C5D" w:rsidRPr="00C33D74">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C33D74">
        <w:rPr>
          <w:rFonts w:ascii="Palatino Linotype" w:eastAsia="Times New Roman" w:hAnsi="Palatino Linotype" w:cs="Arial"/>
          <w:color w:val="000000" w:themeColor="text1"/>
          <w:lang w:val="es-ES"/>
        </w:rPr>
        <w:t>se turnó al</w:t>
      </w:r>
      <w:r w:rsidR="00EC455A" w:rsidRPr="00C33D74">
        <w:rPr>
          <w:rFonts w:ascii="Palatino Linotype" w:eastAsia="Times New Roman" w:hAnsi="Palatino Linotype" w:cs="Arial"/>
          <w:color w:val="000000" w:themeColor="text1"/>
          <w:lang w:val="es-ES"/>
        </w:rPr>
        <w:t xml:space="preserve"> </w:t>
      </w:r>
      <w:r w:rsidR="00EC455A" w:rsidRPr="00C33D74">
        <w:rPr>
          <w:rFonts w:ascii="Palatino Linotype" w:eastAsia="Times New Roman" w:hAnsi="Palatino Linotype" w:cs="Arial"/>
          <w:b/>
          <w:color w:val="000000" w:themeColor="text1"/>
          <w:lang w:val="es-ES"/>
        </w:rPr>
        <w:t xml:space="preserve">Comisionado José Guadalupe Luna Hernández </w:t>
      </w:r>
      <w:r w:rsidR="005B7C5D" w:rsidRPr="00C33D74">
        <w:rPr>
          <w:rFonts w:ascii="Palatino Linotype" w:eastAsia="Times New Roman" w:hAnsi="Palatino Linotype" w:cs="Arial"/>
          <w:color w:val="000000" w:themeColor="text1"/>
          <w:lang w:val="es-ES"/>
        </w:rPr>
        <w:t xml:space="preserve">con el objeto de </w:t>
      </w:r>
      <w:r w:rsidRPr="00C33D74">
        <w:rPr>
          <w:rFonts w:ascii="Palatino Linotype" w:eastAsia="Times New Roman" w:hAnsi="Palatino Linotype" w:cs="Arial"/>
          <w:color w:val="000000" w:themeColor="text1"/>
          <w:lang w:val="es-MX"/>
        </w:rPr>
        <w:t>su análisis.</w:t>
      </w:r>
    </w:p>
    <w:p w14:paraId="11032560" w14:textId="77777777" w:rsidR="006D52D1" w:rsidRPr="00C33D74" w:rsidRDefault="006D52D1" w:rsidP="00473924">
      <w:pPr>
        <w:pStyle w:val="Prrafodelista"/>
        <w:ind w:left="0"/>
        <w:rPr>
          <w:rFonts w:ascii="Palatino Linotype" w:eastAsia="Calibri" w:hAnsi="Palatino Linotype" w:cs="Arial"/>
          <w:color w:val="000000" w:themeColor="text1"/>
          <w:lang w:val="es-ES"/>
        </w:rPr>
      </w:pPr>
    </w:p>
    <w:p w14:paraId="035A791F" w14:textId="77777777" w:rsidR="00F86E56" w:rsidRPr="00C33D74" w:rsidRDefault="00FE49E3" w:rsidP="00F86E56">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C33D74">
        <w:rPr>
          <w:rFonts w:ascii="Palatino Linotype" w:eastAsia="Calibri" w:hAnsi="Palatino Linotype" w:cs="Arial"/>
          <w:color w:val="000000" w:themeColor="text1"/>
          <w:lang w:val="es-ES"/>
        </w:rPr>
        <w:t xml:space="preserve">El </w:t>
      </w:r>
      <w:r w:rsidR="0004686A" w:rsidRPr="00C33D74">
        <w:rPr>
          <w:rFonts w:ascii="Palatino Linotype" w:eastAsia="Calibri" w:hAnsi="Palatino Linotype" w:cs="Arial"/>
          <w:color w:val="000000" w:themeColor="text1"/>
          <w:lang w:val="es-ES"/>
        </w:rPr>
        <w:t xml:space="preserve">Comisionado Ponente con fundamento en lo dispuesto por el </w:t>
      </w:r>
      <w:r w:rsidR="009A20BA" w:rsidRPr="00C33D74">
        <w:rPr>
          <w:rFonts w:ascii="Palatino Linotype" w:eastAsia="Calibri" w:hAnsi="Palatino Linotype" w:cs="Arial"/>
          <w:color w:val="000000" w:themeColor="text1"/>
          <w:lang w:val="es-ES"/>
        </w:rPr>
        <w:t>artículo 185 fracción II de la L</w:t>
      </w:r>
      <w:r w:rsidR="0004686A" w:rsidRPr="00C33D74">
        <w:rPr>
          <w:rFonts w:ascii="Palatino Linotype" w:eastAsia="Calibri" w:hAnsi="Palatino Linotype" w:cs="Arial"/>
          <w:color w:val="000000" w:themeColor="text1"/>
          <w:lang w:val="es-ES"/>
        </w:rPr>
        <w:t xml:space="preserve">ey de la materia, a través del </w:t>
      </w:r>
      <w:r w:rsidR="00B81371" w:rsidRPr="00C33D74">
        <w:rPr>
          <w:rFonts w:ascii="Palatino Linotype" w:eastAsia="Calibri" w:hAnsi="Palatino Linotype" w:cs="Arial"/>
          <w:color w:val="000000" w:themeColor="text1"/>
          <w:lang w:val="es-ES"/>
        </w:rPr>
        <w:t xml:space="preserve">acuerdo </w:t>
      </w:r>
      <w:r w:rsidR="00F147C6" w:rsidRPr="00C33D74">
        <w:rPr>
          <w:rFonts w:ascii="Palatino Linotype" w:eastAsia="Calibri" w:hAnsi="Palatino Linotype" w:cs="Arial"/>
          <w:color w:val="000000" w:themeColor="text1"/>
          <w:lang w:val="es-ES"/>
        </w:rPr>
        <w:t xml:space="preserve">de admisión </w:t>
      </w:r>
      <w:r w:rsidR="00310B04" w:rsidRPr="00C33D74">
        <w:rPr>
          <w:rFonts w:ascii="Palatino Linotype" w:eastAsia="Calibri" w:hAnsi="Palatino Linotype" w:cs="Arial"/>
          <w:color w:val="000000" w:themeColor="text1"/>
          <w:lang w:val="es-ES"/>
        </w:rPr>
        <w:t>de</w:t>
      </w:r>
      <w:r w:rsidR="00F86E56" w:rsidRPr="00C33D74">
        <w:rPr>
          <w:rFonts w:ascii="Palatino Linotype" w:eastAsia="Calibri" w:hAnsi="Palatino Linotype" w:cs="Arial"/>
          <w:color w:val="000000" w:themeColor="text1"/>
          <w:lang w:val="es-ES"/>
        </w:rPr>
        <w:t xml:space="preserve"> veintitrés</w:t>
      </w:r>
      <w:r w:rsidR="00F71C0C" w:rsidRPr="00C33D74">
        <w:rPr>
          <w:rFonts w:ascii="Palatino Linotype" w:eastAsia="Calibri" w:hAnsi="Palatino Linotype" w:cs="Arial"/>
          <w:color w:val="000000" w:themeColor="text1"/>
          <w:lang w:val="es-ES"/>
        </w:rPr>
        <w:t xml:space="preserve"> </w:t>
      </w:r>
      <w:r w:rsidR="0036073F" w:rsidRPr="00C33D74">
        <w:rPr>
          <w:rFonts w:ascii="Palatino Linotype" w:eastAsia="Calibri" w:hAnsi="Palatino Linotype" w:cs="Arial"/>
          <w:color w:val="000000" w:themeColor="text1"/>
          <w:lang w:val="es-ES"/>
        </w:rPr>
        <w:lastRenderedPageBreak/>
        <w:t>(</w:t>
      </w:r>
      <w:r w:rsidR="00F86E56" w:rsidRPr="00C33D74">
        <w:rPr>
          <w:rFonts w:ascii="Palatino Linotype" w:eastAsia="Calibri" w:hAnsi="Palatino Linotype" w:cs="Arial"/>
          <w:color w:val="000000" w:themeColor="text1"/>
          <w:lang w:val="es-ES"/>
        </w:rPr>
        <w:t>23</w:t>
      </w:r>
      <w:r w:rsidR="0036073F" w:rsidRPr="00C33D74">
        <w:rPr>
          <w:rFonts w:ascii="Palatino Linotype" w:eastAsia="Calibri" w:hAnsi="Palatino Linotype" w:cs="Arial"/>
          <w:color w:val="000000" w:themeColor="text1"/>
          <w:lang w:val="es-ES"/>
        </w:rPr>
        <w:t xml:space="preserve">) </w:t>
      </w:r>
      <w:r w:rsidR="00325D61" w:rsidRPr="00C33D74">
        <w:rPr>
          <w:rFonts w:ascii="Palatino Linotype" w:eastAsia="Calibri" w:hAnsi="Palatino Linotype" w:cs="Arial"/>
          <w:color w:val="000000" w:themeColor="text1"/>
          <w:lang w:val="es-ES"/>
        </w:rPr>
        <w:t>de</w:t>
      </w:r>
      <w:r w:rsidR="00365830" w:rsidRPr="00C33D74">
        <w:rPr>
          <w:rFonts w:ascii="Palatino Linotype" w:eastAsia="Calibri" w:hAnsi="Palatino Linotype" w:cs="Arial"/>
          <w:color w:val="000000" w:themeColor="text1"/>
          <w:lang w:val="es-ES"/>
        </w:rPr>
        <w:t xml:space="preserve"> enero de dos mil veinte</w:t>
      </w:r>
      <w:r w:rsidR="00473924" w:rsidRPr="00C33D74">
        <w:rPr>
          <w:rFonts w:ascii="Palatino Linotype" w:eastAsia="Calibri" w:hAnsi="Palatino Linotype" w:cs="Arial"/>
          <w:color w:val="000000" w:themeColor="text1"/>
          <w:lang w:val="es-ES"/>
        </w:rPr>
        <w:t xml:space="preserve">, </w:t>
      </w:r>
      <w:r w:rsidR="00B81371" w:rsidRPr="00C33D74">
        <w:rPr>
          <w:rFonts w:ascii="Palatino Linotype" w:eastAsia="Calibri" w:hAnsi="Palatino Linotype" w:cs="Arial"/>
          <w:color w:val="000000" w:themeColor="text1"/>
          <w:lang w:val="es-ES"/>
        </w:rPr>
        <w:t xml:space="preserve">puso a </w:t>
      </w:r>
      <w:r w:rsidR="00875167" w:rsidRPr="00C33D74">
        <w:rPr>
          <w:rFonts w:ascii="Palatino Linotype" w:eastAsia="Calibri" w:hAnsi="Palatino Linotype" w:cs="Arial"/>
          <w:color w:val="000000" w:themeColor="text1"/>
          <w:lang w:val="es-ES"/>
        </w:rPr>
        <w:t>disposición</w:t>
      </w:r>
      <w:r w:rsidR="00B81371" w:rsidRPr="00C33D74">
        <w:rPr>
          <w:rFonts w:ascii="Palatino Linotype" w:eastAsia="Calibri" w:hAnsi="Palatino Linotype" w:cs="Arial"/>
          <w:color w:val="000000" w:themeColor="text1"/>
          <w:lang w:val="es-ES"/>
        </w:rPr>
        <w:t xml:space="preserve"> de las partes el expediente electrónico </w:t>
      </w:r>
      <w:r w:rsidR="00B81371" w:rsidRPr="00C33D74">
        <w:rPr>
          <w:rFonts w:ascii="Palatino Linotype" w:eastAsia="Calibri" w:hAnsi="Palatino Linotype" w:cs="Arial"/>
          <w:color w:val="000000" w:themeColor="text1"/>
        </w:rPr>
        <w:t xml:space="preserve">vía </w:t>
      </w:r>
      <w:r w:rsidR="00B81371" w:rsidRPr="00C33D74">
        <w:rPr>
          <w:rFonts w:ascii="Palatino Linotype" w:eastAsia="Calibri" w:hAnsi="Palatino Linotype" w:cs="Arial"/>
          <w:color w:val="000000" w:themeColor="text1"/>
          <w:lang w:val="es-ES"/>
        </w:rPr>
        <w:t xml:space="preserve">Sistema de Acceso a la Información Mexiquense </w:t>
      </w:r>
      <w:r w:rsidR="00B81371" w:rsidRPr="00C33D74">
        <w:rPr>
          <w:rFonts w:ascii="Palatino Linotype" w:eastAsia="Calibri" w:hAnsi="Palatino Linotype" w:cs="Arial"/>
          <w:b/>
          <w:color w:val="000000" w:themeColor="text1"/>
          <w:lang w:val="es-ES"/>
        </w:rPr>
        <w:t xml:space="preserve">SAIMEX </w:t>
      </w:r>
      <w:r w:rsidR="00B81371" w:rsidRPr="00C33D74">
        <w:rPr>
          <w:rFonts w:ascii="Palatino Linotype" w:eastAsia="Calibri" w:hAnsi="Palatino Linotype" w:cs="Arial"/>
          <w:color w:val="000000" w:themeColor="text1"/>
          <w:lang w:val="es-ES"/>
        </w:rPr>
        <w:t xml:space="preserve">a efecto de que en un plazo máximo de siete días </w:t>
      </w:r>
      <w:r w:rsidR="00875167" w:rsidRPr="00C33D74">
        <w:rPr>
          <w:rFonts w:ascii="Palatino Linotype" w:eastAsia="Calibri" w:hAnsi="Palatino Linotype" w:cs="Arial"/>
          <w:color w:val="000000" w:themeColor="text1"/>
          <w:lang w:val="es-ES"/>
        </w:rPr>
        <w:t>manifestaran</w:t>
      </w:r>
      <w:r w:rsidR="00B81371" w:rsidRPr="00C33D74">
        <w:rPr>
          <w:rFonts w:ascii="Palatino Linotype" w:eastAsia="Calibri" w:hAnsi="Palatino Linotype" w:cs="Arial"/>
          <w:color w:val="000000" w:themeColor="text1"/>
          <w:lang w:val="es-ES"/>
        </w:rPr>
        <w:t xml:space="preserve"> lo que a derecho conviniera</w:t>
      </w:r>
      <w:r w:rsidR="00875167" w:rsidRPr="00C33D74">
        <w:rPr>
          <w:rFonts w:ascii="Palatino Linotype" w:eastAsia="Calibri" w:hAnsi="Palatino Linotype" w:cs="Arial"/>
          <w:color w:val="000000" w:themeColor="text1"/>
          <w:lang w:val="es-ES"/>
        </w:rPr>
        <w:t>n</w:t>
      </w:r>
      <w:r w:rsidR="00032493" w:rsidRPr="00C33D74">
        <w:rPr>
          <w:rFonts w:ascii="Palatino Linotype" w:eastAsia="Calibri" w:hAnsi="Palatino Linotype" w:cs="Arial"/>
          <w:color w:val="000000" w:themeColor="text1"/>
          <w:lang w:val="es-ES"/>
        </w:rPr>
        <w:t>,</w:t>
      </w:r>
      <w:r w:rsidR="00B81371" w:rsidRPr="00C33D74">
        <w:rPr>
          <w:rFonts w:ascii="Palatino Linotype" w:eastAsia="Calibri" w:hAnsi="Palatino Linotype" w:cs="Arial"/>
          <w:color w:val="000000" w:themeColor="text1"/>
          <w:lang w:val="es-ES"/>
        </w:rPr>
        <w:t xml:space="preserve"> </w:t>
      </w:r>
      <w:r w:rsidR="00875167" w:rsidRPr="00C33D74">
        <w:rPr>
          <w:rFonts w:ascii="Palatino Linotype" w:eastAsia="Calibri" w:hAnsi="Palatino Linotype" w:cs="Arial"/>
          <w:color w:val="000000" w:themeColor="text1"/>
          <w:lang w:val="es-ES"/>
        </w:rPr>
        <w:t>ofrecieran pruebas y alegatos según correspond</w:t>
      </w:r>
      <w:r w:rsidR="00C15817" w:rsidRPr="00C33D74">
        <w:rPr>
          <w:rFonts w:ascii="Palatino Linotype" w:eastAsia="Calibri" w:hAnsi="Palatino Linotype" w:cs="Arial"/>
          <w:color w:val="000000" w:themeColor="text1"/>
          <w:lang w:val="es-ES"/>
        </w:rPr>
        <w:t>iese</w:t>
      </w:r>
      <w:r w:rsidR="00875167" w:rsidRPr="00C33D74">
        <w:rPr>
          <w:rFonts w:ascii="Palatino Linotype" w:eastAsia="Calibri" w:hAnsi="Palatino Linotype" w:cs="Arial"/>
          <w:color w:val="000000" w:themeColor="text1"/>
          <w:lang w:val="es-ES"/>
        </w:rPr>
        <w:t xml:space="preserve"> al caso concreto, </w:t>
      </w:r>
      <w:r w:rsidR="00C15817" w:rsidRPr="00C33D74">
        <w:rPr>
          <w:rFonts w:ascii="Palatino Linotype" w:eastAsia="Calibri" w:hAnsi="Palatino Linotype" w:cs="Arial"/>
          <w:color w:val="000000" w:themeColor="text1"/>
          <w:lang w:val="es-ES"/>
        </w:rPr>
        <w:t>de é</w:t>
      </w:r>
      <w:r w:rsidR="00F147C6" w:rsidRPr="00C33D74">
        <w:rPr>
          <w:rFonts w:ascii="Palatino Linotype" w:eastAsia="Calibri" w:hAnsi="Palatino Linotype" w:cs="Arial"/>
          <w:color w:val="000000" w:themeColor="text1"/>
          <w:lang w:val="es-ES"/>
        </w:rPr>
        <w:t>sta forma</w:t>
      </w:r>
      <w:r w:rsidR="00875167" w:rsidRPr="00C33D74">
        <w:rPr>
          <w:rFonts w:ascii="Palatino Linotype" w:eastAsia="Calibri" w:hAnsi="Palatino Linotype" w:cs="Arial"/>
          <w:color w:val="000000" w:themeColor="text1"/>
          <w:lang w:val="es-ES"/>
        </w:rPr>
        <w:t xml:space="preserve"> para que el </w:t>
      </w:r>
      <w:r w:rsidR="00875167" w:rsidRPr="00C33D74">
        <w:rPr>
          <w:rFonts w:ascii="Palatino Linotype" w:eastAsia="Calibri" w:hAnsi="Palatino Linotype" w:cs="Arial"/>
          <w:b/>
          <w:color w:val="000000" w:themeColor="text1"/>
          <w:lang w:val="es-ES"/>
        </w:rPr>
        <w:t>SUJETO OBLIGADO</w:t>
      </w:r>
      <w:r w:rsidR="00875167" w:rsidRPr="00C33D74">
        <w:rPr>
          <w:rFonts w:ascii="Palatino Linotype" w:eastAsia="Calibri" w:hAnsi="Palatino Linotype" w:cs="Arial"/>
          <w:color w:val="000000" w:themeColor="text1"/>
          <w:lang w:val="es-ES"/>
        </w:rPr>
        <w:t xml:space="preserve"> </w:t>
      </w:r>
      <w:r w:rsidR="00B81371" w:rsidRPr="00C33D74">
        <w:rPr>
          <w:rFonts w:ascii="Palatino Linotype" w:eastAsia="Calibri" w:hAnsi="Palatino Linotype" w:cs="Arial"/>
          <w:color w:val="000000" w:themeColor="text1"/>
          <w:lang w:val="es-ES"/>
        </w:rPr>
        <w:t>pre</w:t>
      </w:r>
      <w:r w:rsidR="007D25F5" w:rsidRPr="00C33D74">
        <w:rPr>
          <w:rFonts w:ascii="Palatino Linotype" w:eastAsia="Calibri" w:hAnsi="Palatino Linotype" w:cs="Arial"/>
          <w:color w:val="000000" w:themeColor="text1"/>
          <w:lang w:val="es-ES"/>
        </w:rPr>
        <w:t>sentara</w:t>
      </w:r>
      <w:r w:rsidR="00B81371" w:rsidRPr="00C33D74">
        <w:rPr>
          <w:rFonts w:ascii="Palatino Linotype" w:eastAsia="Calibri" w:hAnsi="Palatino Linotype" w:cs="Arial"/>
          <w:color w:val="000000" w:themeColor="text1"/>
          <w:lang w:val="es-ES"/>
        </w:rPr>
        <w:t xml:space="preserve"> el Informe Justificado</w:t>
      </w:r>
      <w:r w:rsidR="00875167" w:rsidRPr="00C33D74">
        <w:rPr>
          <w:rFonts w:ascii="Palatino Linotype" w:eastAsia="Calibri" w:hAnsi="Palatino Linotype" w:cs="Arial"/>
          <w:color w:val="000000" w:themeColor="text1"/>
          <w:lang w:val="es-ES"/>
        </w:rPr>
        <w:t xml:space="preserve"> procedente</w:t>
      </w:r>
      <w:r w:rsidR="00325D61" w:rsidRPr="00C33D74">
        <w:rPr>
          <w:rFonts w:ascii="Palatino Linotype" w:eastAsia="Calibri" w:hAnsi="Palatino Linotype" w:cs="Arial"/>
          <w:color w:val="000000" w:themeColor="text1"/>
          <w:lang w:val="es-ES"/>
        </w:rPr>
        <w:t>.</w:t>
      </w:r>
    </w:p>
    <w:p w14:paraId="74055E17" w14:textId="77777777" w:rsidR="00F86E56" w:rsidRPr="00C33D74" w:rsidRDefault="00F86E56" w:rsidP="00F86E56">
      <w:pPr>
        <w:pStyle w:val="Prrafodelista"/>
        <w:rPr>
          <w:rFonts w:ascii="Palatino Linotype" w:eastAsia="Calibri" w:hAnsi="Palatino Linotype" w:cs="Arial"/>
          <w:color w:val="000000" w:themeColor="text1"/>
          <w:lang w:val="es-ES"/>
        </w:rPr>
      </w:pPr>
    </w:p>
    <w:p w14:paraId="7D4A0657" w14:textId="60ACAD16" w:rsidR="00F86E56" w:rsidRPr="00C33D74" w:rsidRDefault="00F86E56" w:rsidP="00F86E56">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C33D74">
        <w:rPr>
          <w:rFonts w:ascii="Palatino Linotype" w:eastAsia="Calibri" w:hAnsi="Palatino Linotype" w:cs="Arial"/>
          <w:color w:val="000000" w:themeColor="text1"/>
          <w:lang w:val="es-ES"/>
        </w:rPr>
        <w:t xml:space="preserve">El </w:t>
      </w:r>
      <w:r w:rsidRPr="00C33D74">
        <w:rPr>
          <w:rFonts w:ascii="Palatino Linotype" w:eastAsia="Calibri" w:hAnsi="Palatino Linotype" w:cs="Arial"/>
          <w:b/>
          <w:color w:val="000000" w:themeColor="text1"/>
          <w:lang w:val="es-ES"/>
        </w:rPr>
        <w:t xml:space="preserve">SUJETO OBLIGADO </w:t>
      </w:r>
      <w:r w:rsidRPr="00C33D74">
        <w:rPr>
          <w:rFonts w:ascii="Palatino Linotype" w:eastAsia="Calibri" w:hAnsi="Palatino Linotype" w:cs="Arial"/>
          <w:color w:val="000000" w:themeColor="text1"/>
          <w:lang w:val="es-ES"/>
        </w:rPr>
        <w:t xml:space="preserve">el día veintisiete (27) de enero de dos mil veinte, rindió el informe justificado respectivo dentro del recurso de revisión que se resuelve; no obstante, no fue puesto a disposición de la </w:t>
      </w:r>
      <w:r w:rsidRPr="00C33D74">
        <w:rPr>
          <w:rFonts w:ascii="Palatino Linotype" w:eastAsia="Calibri" w:hAnsi="Palatino Linotype" w:cs="Arial"/>
          <w:b/>
          <w:color w:val="000000" w:themeColor="text1"/>
          <w:lang w:val="es-ES"/>
        </w:rPr>
        <w:t xml:space="preserve">RECURRENTE </w:t>
      </w:r>
      <w:r w:rsidRPr="00C33D74">
        <w:rPr>
          <w:rFonts w:ascii="Palatino Linotype" w:eastAsia="Calibri" w:hAnsi="Palatino Linotype" w:cs="Arial"/>
          <w:color w:val="000000" w:themeColor="text1"/>
          <w:lang w:val="es-ES"/>
        </w:rPr>
        <w:t>debido a que</w:t>
      </w:r>
      <w:r w:rsidRPr="00C33D74">
        <w:rPr>
          <w:rFonts w:ascii="Palatino Linotype" w:eastAsia="Calibri" w:hAnsi="Palatino Linotype" w:cs="Arial"/>
          <w:b/>
          <w:color w:val="000000" w:themeColor="text1"/>
          <w:lang w:val="es-ES"/>
        </w:rPr>
        <w:t xml:space="preserve"> </w:t>
      </w:r>
      <w:r w:rsidRPr="00C33D74">
        <w:rPr>
          <w:rFonts w:ascii="Palatino Linotype" w:eastAsia="Calibri" w:hAnsi="Palatino Linotype" w:cs="Arial"/>
          <w:color w:val="000000" w:themeColor="text1"/>
          <w:lang w:val="es-ES"/>
        </w:rPr>
        <w:t xml:space="preserve">no aportaban elementos novedosos con relación a las respuesta primigenia. Sin embargo, con la finalidad de que no exista opacidad, se hará del conocimiento de la particular al momento de la notificación de la presente resolución. Por su parte el recurrente fue omiso en realizar manifestaciones que a su derecho convinieran y asistieran. </w:t>
      </w:r>
    </w:p>
    <w:p w14:paraId="6A241FA3" w14:textId="77777777" w:rsidR="00F86E56" w:rsidRPr="00C33D74" w:rsidRDefault="00F86E56" w:rsidP="00F86E56">
      <w:pPr>
        <w:pStyle w:val="Prrafodelista"/>
        <w:spacing w:before="240" w:after="240" w:line="360" w:lineRule="auto"/>
        <w:ind w:left="0"/>
        <w:jc w:val="both"/>
        <w:rPr>
          <w:rFonts w:ascii="Palatino Linotype" w:hAnsi="Palatino Linotype"/>
          <w:i/>
          <w:color w:val="000000" w:themeColor="text1"/>
          <w:lang w:val="es-ES"/>
        </w:rPr>
      </w:pPr>
    </w:p>
    <w:p w14:paraId="2C3919E7" w14:textId="403818D9" w:rsidR="006668DC" w:rsidRPr="00C33D74" w:rsidRDefault="004F41BB" w:rsidP="006668DC">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C33D74">
        <w:rPr>
          <w:rFonts w:ascii="Palatino Linotype" w:hAnsi="Palatino Linotype"/>
          <w:color w:val="000000" w:themeColor="text1"/>
        </w:rPr>
        <w:t xml:space="preserve">El </w:t>
      </w:r>
      <w:r w:rsidR="00350DEA" w:rsidRPr="00C33D74">
        <w:rPr>
          <w:rFonts w:ascii="Palatino Linotype" w:hAnsi="Palatino Linotype"/>
          <w:color w:val="000000" w:themeColor="text1"/>
        </w:rPr>
        <w:t>Comisionado Ponente decretó el cierre de instrucción mediante</w:t>
      </w:r>
      <w:r w:rsidR="00F86E56" w:rsidRPr="00C33D74">
        <w:rPr>
          <w:rFonts w:ascii="Palatino Linotype" w:hAnsi="Palatino Linotype"/>
          <w:color w:val="000000" w:themeColor="text1"/>
        </w:rPr>
        <w:t xml:space="preserve"> acuerdo de fecha veinte</w:t>
      </w:r>
      <w:r w:rsidR="00365830" w:rsidRPr="00C33D74">
        <w:rPr>
          <w:rFonts w:ascii="Palatino Linotype" w:hAnsi="Palatino Linotype"/>
          <w:color w:val="000000" w:themeColor="text1"/>
        </w:rPr>
        <w:t xml:space="preserve"> </w:t>
      </w:r>
      <w:r w:rsidRPr="00C33D74">
        <w:rPr>
          <w:rFonts w:ascii="Palatino Linotype" w:hAnsi="Palatino Linotype"/>
          <w:color w:val="000000" w:themeColor="text1"/>
        </w:rPr>
        <w:t>(</w:t>
      </w:r>
      <w:r w:rsidR="00F86E56" w:rsidRPr="00C33D74">
        <w:rPr>
          <w:rFonts w:ascii="Palatino Linotype" w:hAnsi="Palatino Linotype"/>
          <w:color w:val="000000" w:themeColor="text1"/>
        </w:rPr>
        <w:t>20</w:t>
      </w:r>
      <w:r w:rsidR="00EE777E" w:rsidRPr="00C33D74">
        <w:rPr>
          <w:rFonts w:ascii="Palatino Linotype" w:hAnsi="Palatino Linotype"/>
          <w:color w:val="000000" w:themeColor="text1"/>
        </w:rPr>
        <w:t>) de</w:t>
      </w:r>
      <w:r w:rsidR="00365830" w:rsidRPr="00C33D74">
        <w:rPr>
          <w:rFonts w:ascii="Palatino Linotype" w:hAnsi="Palatino Linotype"/>
          <w:color w:val="000000" w:themeColor="text1"/>
        </w:rPr>
        <w:t xml:space="preserve"> marzo</w:t>
      </w:r>
      <w:r w:rsidR="00B11200" w:rsidRPr="00C33D74">
        <w:rPr>
          <w:rFonts w:ascii="Palatino Linotype" w:hAnsi="Palatino Linotype"/>
          <w:color w:val="000000" w:themeColor="text1"/>
        </w:rPr>
        <w:t xml:space="preserve"> </w:t>
      </w:r>
      <w:r w:rsidR="002E629B" w:rsidRPr="00C33D74">
        <w:rPr>
          <w:rFonts w:ascii="Palatino Linotype" w:hAnsi="Palatino Linotype"/>
          <w:color w:val="000000" w:themeColor="text1"/>
        </w:rPr>
        <w:t>del año dos mil</w:t>
      </w:r>
      <w:r w:rsidR="00365830" w:rsidRPr="00C33D74">
        <w:rPr>
          <w:rFonts w:ascii="Palatino Linotype" w:hAnsi="Palatino Linotype"/>
          <w:color w:val="000000" w:themeColor="text1"/>
        </w:rPr>
        <w:t xml:space="preserve"> veinte</w:t>
      </w:r>
      <w:r w:rsidR="002E629B" w:rsidRPr="00C33D74">
        <w:rPr>
          <w:rFonts w:ascii="Palatino Linotype" w:hAnsi="Palatino Linotype"/>
          <w:color w:val="000000" w:themeColor="text1"/>
        </w:rPr>
        <w:t>, por lo que</w:t>
      </w:r>
      <w:r w:rsidR="00350DEA" w:rsidRPr="00C33D74">
        <w:rPr>
          <w:rFonts w:ascii="Palatino Linotype" w:hAnsi="Palatino Linotype"/>
          <w:color w:val="000000" w:themeColor="text1"/>
        </w:rPr>
        <w:t xml:space="preserve"> ordenó turnar el expediente a resolución, misma que ahora se pronuncia. </w:t>
      </w:r>
    </w:p>
    <w:p w14:paraId="65E8448F" w14:textId="77777777" w:rsidR="006668DC" w:rsidRPr="00C33D74" w:rsidRDefault="006668DC" w:rsidP="006668DC">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54CB9CA2" w:rsidR="00426092" w:rsidRPr="00C33D74" w:rsidRDefault="00F86E56" w:rsidP="00551F27">
      <w:pPr>
        <w:pStyle w:val="Prrafodelista"/>
        <w:numPr>
          <w:ilvl w:val="0"/>
          <w:numId w:val="1"/>
        </w:numPr>
        <w:spacing w:before="240" w:after="240" w:line="360" w:lineRule="auto"/>
        <w:ind w:left="0" w:firstLine="0"/>
        <w:jc w:val="both"/>
        <w:rPr>
          <w:rFonts w:ascii="Palatino Linotype" w:hAnsi="Palatino Linotype"/>
        </w:rPr>
      </w:pPr>
      <w:r w:rsidRPr="00C33D74">
        <w:rPr>
          <w:rFonts w:ascii="Palatino Linotype" w:eastAsia="Calibri" w:hAnsi="Palatino Linotype" w:cs="Arial"/>
          <w:color w:val="000000" w:themeColor="text1"/>
        </w:rPr>
        <w:t>El día veinte (20</w:t>
      </w:r>
      <w:r w:rsidR="009B359C" w:rsidRPr="00C33D74">
        <w:rPr>
          <w:rFonts w:ascii="Palatino Linotype" w:eastAsia="Calibri" w:hAnsi="Palatino Linotype" w:cs="Arial"/>
          <w:color w:val="000000" w:themeColor="text1"/>
        </w:rPr>
        <w:t>) de</w:t>
      </w:r>
      <w:r w:rsidR="00365830" w:rsidRPr="00C33D74">
        <w:rPr>
          <w:rFonts w:ascii="Palatino Linotype" w:eastAsia="Calibri" w:hAnsi="Palatino Linotype" w:cs="Arial"/>
          <w:color w:val="000000" w:themeColor="text1"/>
        </w:rPr>
        <w:t xml:space="preserve"> marzo</w:t>
      </w:r>
      <w:r w:rsidRPr="00C33D74">
        <w:rPr>
          <w:rFonts w:ascii="Palatino Linotype" w:eastAsia="Calibri" w:hAnsi="Palatino Linotype" w:cs="Arial"/>
          <w:color w:val="000000" w:themeColor="text1"/>
        </w:rPr>
        <w:t xml:space="preserve"> de dos mil veinte</w:t>
      </w:r>
      <w:r w:rsidR="006668DC" w:rsidRPr="00C33D74">
        <w:rPr>
          <w:rFonts w:ascii="Palatino Linotype" w:eastAsia="Calibri" w:hAnsi="Palatino Linotype" w:cs="Arial"/>
          <w:color w:val="000000" w:themeColor="text1"/>
        </w:rPr>
        <w:t xml:space="preserve"> y con fundamento en el artículo 181 tercer párrafo de la </w:t>
      </w:r>
      <w:r w:rsidR="006668DC" w:rsidRPr="00C33D74">
        <w:rPr>
          <w:rFonts w:ascii="Palatino Linotype" w:eastAsia="Calibri" w:hAnsi="Palatino Linotype" w:cs="Arial"/>
          <w:b/>
          <w:bCs/>
          <w:color w:val="000000" w:themeColor="text1"/>
        </w:rPr>
        <w:t>Ley de Transparencia y Acceso a la Información Pública del Estado de México y Municipios, </w:t>
      </w:r>
      <w:r w:rsidR="006668DC" w:rsidRPr="00C33D74">
        <w:rPr>
          <w:rFonts w:ascii="Palatino Linotype" w:eastAsia="Calibri" w:hAnsi="Palatino Linotype" w:cs="Arial"/>
          <w:color w:val="000000" w:themeColor="text1"/>
        </w:rPr>
        <w:t>se notificó que el pl</w:t>
      </w:r>
      <w:r w:rsidR="002E629B" w:rsidRPr="00C33D74">
        <w:rPr>
          <w:rFonts w:ascii="Palatino Linotype" w:eastAsia="Calibri" w:hAnsi="Palatino Linotype" w:cs="Arial"/>
          <w:color w:val="000000" w:themeColor="text1"/>
        </w:rPr>
        <w:t>azo de 30 días para resolver el recurso de revisión, serían ampliado</w:t>
      </w:r>
      <w:r w:rsidR="006668DC" w:rsidRPr="00C33D74">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D3C4727" w14:textId="77777777" w:rsidR="00B61F85" w:rsidRPr="00C33D74" w:rsidRDefault="00B61F85" w:rsidP="00551F27">
      <w:pPr>
        <w:pStyle w:val="Prrafodelista"/>
        <w:spacing w:before="240" w:after="240" w:line="360" w:lineRule="auto"/>
        <w:ind w:left="0"/>
        <w:jc w:val="both"/>
        <w:rPr>
          <w:rFonts w:ascii="Palatino Linotype" w:hAnsi="Palatino Linotype"/>
        </w:rPr>
      </w:pPr>
    </w:p>
    <w:p w14:paraId="15FA8C1A" w14:textId="46EB4D0F" w:rsidR="00587366" w:rsidRPr="00C33D74" w:rsidRDefault="007C0013" w:rsidP="002E198E">
      <w:pPr>
        <w:pStyle w:val="Ttulo1"/>
        <w:jc w:val="center"/>
        <w:rPr>
          <w:rFonts w:ascii="Palatino Linotype" w:hAnsi="Palatino Linotype"/>
          <w:b/>
          <w:color w:val="000000" w:themeColor="text1"/>
          <w:sz w:val="24"/>
        </w:rPr>
      </w:pPr>
      <w:bookmarkStart w:id="66" w:name="_Toc35552917"/>
      <w:r w:rsidRPr="00C33D74">
        <w:rPr>
          <w:rFonts w:ascii="Palatino Linotype" w:hAnsi="Palatino Linotype"/>
          <w:b/>
          <w:color w:val="000000" w:themeColor="text1"/>
          <w:sz w:val="24"/>
        </w:rPr>
        <w:t>CONSIDERANDO</w:t>
      </w:r>
      <w:bookmarkEnd w:id="66"/>
    </w:p>
    <w:p w14:paraId="06AC8084" w14:textId="77777777" w:rsidR="00BC6E49" w:rsidRPr="00C33D74" w:rsidRDefault="00BC6E49" w:rsidP="00BC6E49">
      <w:pPr>
        <w:rPr>
          <w:rFonts w:ascii="Palatino Linotype" w:hAnsi="Palatino Linotype"/>
          <w:lang w:val="es-MX" w:eastAsia="en-US"/>
        </w:rPr>
      </w:pPr>
    </w:p>
    <w:p w14:paraId="10731595" w14:textId="77777777" w:rsidR="008200A3" w:rsidRPr="00C33D74" w:rsidRDefault="008200A3" w:rsidP="008200A3">
      <w:pPr>
        <w:rPr>
          <w:rFonts w:ascii="Palatino Linotype" w:hAnsi="Palatino Linotype"/>
          <w:color w:val="000000" w:themeColor="text1"/>
          <w:lang w:val="es-MX" w:eastAsia="en-US"/>
        </w:rPr>
      </w:pPr>
    </w:p>
    <w:p w14:paraId="629A5BE2" w14:textId="56C3E7D5" w:rsidR="007C0013" w:rsidRPr="00C33D74" w:rsidRDefault="007C0013" w:rsidP="002E198E">
      <w:pPr>
        <w:pStyle w:val="Ttulo2"/>
        <w:rPr>
          <w:rFonts w:ascii="Palatino Linotype" w:hAnsi="Palatino Linotype"/>
          <w:b/>
          <w:color w:val="000000" w:themeColor="text1"/>
          <w:sz w:val="24"/>
        </w:rPr>
      </w:pPr>
      <w:bookmarkStart w:id="67" w:name="_Toc35552918"/>
      <w:r w:rsidRPr="00C33D74">
        <w:rPr>
          <w:rFonts w:ascii="Palatino Linotype" w:hAnsi="Palatino Linotype"/>
          <w:b/>
          <w:color w:val="000000" w:themeColor="text1"/>
          <w:sz w:val="24"/>
        </w:rPr>
        <w:t>PRIMERO. De la competencia</w:t>
      </w:r>
      <w:bookmarkEnd w:id="67"/>
    </w:p>
    <w:p w14:paraId="19A87C10" w14:textId="77777777" w:rsidR="00DB6CCF" w:rsidRPr="00C33D74" w:rsidRDefault="00DB6CCF" w:rsidP="00DB6CCF">
      <w:pPr>
        <w:rPr>
          <w:rFonts w:ascii="Palatino Linotype" w:hAnsi="Palatino Linotype"/>
          <w:lang w:val="es-MX" w:eastAsia="en-US"/>
        </w:rPr>
      </w:pPr>
    </w:p>
    <w:p w14:paraId="44952588" w14:textId="77777777" w:rsidR="00DC3B0B" w:rsidRPr="00C33D74" w:rsidRDefault="00DC3B0B" w:rsidP="00DB6CCF">
      <w:pPr>
        <w:rPr>
          <w:rFonts w:ascii="Palatino Linotype" w:hAnsi="Palatino Linotype"/>
          <w:lang w:val="es-MX" w:eastAsia="en-US"/>
        </w:rPr>
      </w:pPr>
    </w:p>
    <w:p w14:paraId="133175CA" w14:textId="0A275415" w:rsidR="0036610C" w:rsidRPr="00C33D74" w:rsidRDefault="0036610C" w:rsidP="00E311E0">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C33D74">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3D74">
        <w:rPr>
          <w:rFonts w:ascii="Palatino Linotype" w:eastAsia="Calibri" w:hAnsi="Palatino Linotype" w:cs="Times New Roman"/>
          <w:b/>
          <w:color w:val="000000" w:themeColor="text1"/>
          <w:lang w:val="es-ES"/>
        </w:rPr>
        <w:t>Constitución Política de los Estados Unidos Mexicanos</w:t>
      </w:r>
      <w:r w:rsidRPr="00C33D74">
        <w:rPr>
          <w:rFonts w:ascii="Palatino Linotype" w:eastAsia="Calibri" w:hAnsi="Palatino Linotype" w:cs="Times New Roman"/>
          <w:color w:val="000000" w:themeColor="text1"/>
          <w:lang w:val="es-ES"/>
        </w:rPr>
        <w:t xml:space="preserve">; 5, párrafos vigésimo, vigésimo primero y vigésimo segundo fracciones IV y V de la </w:t>
      </w:r>
      <w:r w:rsidRPr="00C33D74">
        <w:rPr>
          <w:rFonts w:ascii="Palatino Linotype" w:eastAsia="Calibri" w:hAnsi="Palatino Linotype" w:cs="Times New Roman"/>
          <w:b/>
          <w:color w:val="000000" w:themeColor="text1"/>
          <w:lang w:val="es-ES"/>
        </w:rPr>
        <w:t>Constitución Política del Estado Libre y Soberano de México</w:t>
      </w:r>
      <w:r w:rsidRPr="00C33D74">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C33D74">
        <w:rPr>
          <w:rFonts w:ascii="Palatino Linotype" w:eastAsia="Calibri" w:hAnsi="Palatino Linotype" w:cs="Times New Roman"/>
          <w:b/>
          <w:color w:val="000000" w:themeColor="text1"/>
          <w:lang w:val="es-ES"/>
        </w:rPr>
        <w:t>Ley de Transparencia y Acceso a la Información Pública del Estado de México y Municipios</w:t>
      </w:r>
      <w:r w:rsidRPr="00C33D74">
        <w:rPr>
          <w:rFonts w:ascii="Palatino Linotype" w:eastAsia="Calibri" w:hAnsi="Palatino Linotype" w:cs="Times New Roman"/>
          <w:color w:val="000000" w:themeColor="text1"/>
          <w:lang w:val="es-ES"/>
        </w:rPr>
        <w:t xml:space="preserve">; y 10, 7, 9 fracciones I y XXIV, y 11 del </w:t>
      </w:r>
      <w:r w:rsidRPr="00C33D74">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C33D74"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C33D74" w:rsidRDefault="007C0013" w:rsidP="002E198E">
      <w:pPr>
        <w:pStyle w:val="Ttulo2"/>
        <w:rPr>
          <w:rFonts w:ascii="Palatino Linotype" w:hAnsi="Palatino Linotype"/>
          <w:b/>
          <w:color w:val="000000" w:themeColor="text1"/>
          <w:sz w:val="24"/>
        </w:rPr>
      </w:pPr>
      <w:bookmarkStart w:id="68" w:name="_Toc35552919"/>
      <w:r w:rsidRPr="00C33D74">
        <w:rPr>
          <w:rFonts w:ascii="Palatino Linotype" w:hAnsi="Palatino Linotype"/>
          <w:b/>
          <w:color w:val="000000" w:themeColor="text1"/>
          <w:sz w:val="24"/>
        </w:rPr>
        <w:t xml:space="preserve">SEGUNDO. De la oportunidad y </w:t>
      </w:r>
      <w:proofErr w:type="spellStart"/>
      <w:r w:rsidRPr="00C33D74">
        <w:rPr>
          <w:rFonts w:ascii="Palatino Linotype" w:hAnsi="Palatino Linotype"/>
          <w:b/>
          <w:color w:val="000000" w:themeColor="text1"/>
          <w:sz w:val="24"/>
        </w:rPr>
        <w:t>procedibilidad</w:t>
      </w:r>
      <w:proofErr w:type="spellEnd"/>
      <w:r w:rsidRPr="00C33D74">
        <w:rPr>
          <w:rFonts w:ascii="Palatino Linotype" w:hAnsi="Palatino Linotype"/>
          <w:b/>
          <w:color w:val="000000" w:themeColor="text1"/>
          <w:sz w:val="24"/>
        </w:rPr>
        <w:t>.</w:t>
      </w:r>
      <w:bookmarkEnd w:id="68"/>
    </w:p>
    <w:p w14:paraId="3F45BAB9" w14:textId="77777777" w:rsidR="005C7E0D" w:rsidRPr="00C33D74" w:rsidRDefault="005C7E0D" w:rsidP="00A67E2D">
      <w:pPr>
        <w:rPr>
          <w:rFonts w:ascii="Palatino Linotype" w:hAnsi="Palatino Linotype"/>
          <w:lang w:val="es-MX" w:eastAsia="en-US"/>
        </w:rPr>
      </w:pPr>
    </w:p>
    <w:p w14:paraId="6341165C" w14:textId="7763FDBF" w:rsidR="00E912EC" w:rsidRPr="00C33D74" w:rsidRDefault="00AA412B" w:rsidP="00E912EC">
      <w:pPr>
        <w:pStyle w:val="Prrafodelista"/>
        <w:numPr>
          <w:ilvl w:val="0"/>
          <w:numId w:val="1"/>
        </w:numPr>
        <w:spacing w:before="240" w:after="240" w:line="360" w:lineRule="auto"/>
        <w:ind w:left="0" w:right="49" w:firstLine="0"/>
        <w:jc w:val="both"/>
        <w:rPr>
          <w:rFonts w:ascii="Palatino Linotype" w:hAnsi="Palatino Linotype"/>
          <w:b/>
          <w:i/>
        </w:rPr>
      </w:pPr>
      <w:r w:rsidRPr="00C33D74">
        <w:rPr>
          <w:rFonts w:ascii="Palatino Linotype" w:eastAsia="Calibri" w:hAnsi="Palatino Linotype" w:cs="Arial"/>
        </w:rPr>
        <w:t>El medio de impugnación fue presentado a través del Sistema de Acceso a la Información Mexiquense (SAIMEX)</w:t>
      </w:r>
      <w:r w:rsidRPr="00C33D74">
        <w:rPr>
          <w:rFonts w:ascii="Palatino Linotype" w:eastAsia="Calibri" w:hAnsi="Palatino Linotype" w:cs="Arial"/>
          <w:b/>
        </w:rPr>
        <w:t>,</w:t>
      </w:r>
      <w:r w:rsidRPr="00C33D7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33D74">
        <w:rPr>
          <w:rFonts w:ascii="Palatino Linotype" w:eastAsia="Calibri" w:hAnsi="Palatino Linotype" w:cs="Arial"/>
          <w:b/>
        </w:rPr>
        <w:t>SUJETO OBLIGADO</w:t>
      </w:r>
      <w:r w:rsidRPr="00C33D74">
        <w:rPr>
          <w:rFonts w:ascii="Palatino Linotype" w:eastAsia="Calibri" w:hAnsi="Palatino Linotype" w:cs="Arial"/>
        </w:rPr>
        <w:t xml:space="preserve"> emitió respuesta el día</w:t>
      </w:r>
      <w:r w:rsidR="00F86E56" w:rsidRPr="00C33D74">
        <w:rPr>
          <w:rFonts w:ascii="Palatino Linotype" w:eastAsia="Calibri" w:hAnsi="Palatino Linotype" w:cs="Arial"/>
        </w:rPr>
        <w:t xml:space="preserve"> quince</w:t>
      </w:r>
      <w:r w:rsidR="00365830" w:rsidRPr="00C33D74">
        <w:rPr>
          <w:rFonts w:ascii="Palatino Linotype" w:eastAsia="Calibri" w:hAnsi="Palatino Linotype" w:cs="Arial"/>
        </w:rPr>
        <w:t xml:space="preserve"> </w:t>
      </w:r>
      <w:r w:rsidRPr="00C33D74">
        <w:rPr>
          <w:rFonts w:ascii="Palatino Linotype" w:eastAsia="Calibri" w:hAnsi="Palatino Linotype" w:cs="Arial"/>
        </w:rPr>
        <w:lastRenderedPageBreak/>
        <w:t>(</w:t>
      </w:r>
      <w:r w:rsidR="00F86E56" w:rsidRPr="00C33D74">
        <w:rPr>
          <w:rFonts w:ascii="Palatino Linotype" w:eastAsia="Calibri" w:hAnsi="Palatino Linotype" w:cs="Arial"/>
        </w:rPr>
        <w:t>15</w:t>
      </w:r>
      <w:r w:rsidRPr="00C33D74">
        <w:rPr>
          <w:rFonts w:ascii="Palatino Linotype" w:eastAsia="Calibri" w:hAnsi="Palatino Linotype" w:cs="Arial"/>
        </w:rPr>
        <w:t>) de</w:t>
      </w:r>
      <w:r w:rsidR="00F86E56" w:rsidRPr="00C33D74">
        <w:rPr>
          <w:rFonts w:ascii="Palatino Linotype" w:eastAsia="Calibri" w:hAnsi="Palatino Linotype" w:cs="Arial"/>
        </w:rPr>
        <w:t xml:space="preserve"> enero </w:t>
      </w:r>
      <w:r w:rsidRPr="00C33D74">
        <w:rPr>
          <w:rFonts w:ascii="Palatino Linotype" w:eastAsia="Calibri" w:hAnsi="Palatino Linotype" w:cs="Arial"/>
        </w:rPr>
        <w:t>dos mil diecinueve, de tal forma que el plazo para interponer el recurs</w:t>
      </w:r>
      <w:r w:rsidR="00F86E56" w:rsidRPr="00C33D74">
        <w:rPr>
          <w:rFonts w:ascii="Palatino Linotype" w:eastAsia="Calibri" w:hAnsi="Palatino Linotype" w:cs="Arial"/>
        </w:rPr>
        <w:t>o transcurrió del día dieciséis</w:t>
      </w:r>
      <w:r w:rsidR="00A55FF4" w:rsidRPr="00C33D74">
        <w:rPr>
          <w:rFonts w:ascii="Palatino Linotype" w:eastAsia="Calibri" w:hAnsi="Palatino Linotype" w:cs="Arial"/>
        </w:rPr>
        <w:t xml:space="preserve"> </w:t>
      </w:r>
      <w:r w:rsidRPr="00C33D74">
        <w:rPr>
          <w:rFonts w:ascii="Palatino Linotype" w:eastAsia="Calibri" w:hAnsi="Palatino Linotype" w:cs="Arial"/>
        </w:rPr>
        <w:t>(</w:t>
      </w:r>
      <w:r w:rsidR="00F86E56" w:rsidRPr="00C33D74">
        <w:rPr>
          <w:rFonts w:ascii="Palatino Linotype" w:eastAsia="Calibri" w:hAnsi="Palatino Linotype" w:cs="Arial"/>
        </w:rPr>
        <w:t>16</w:t>
      </w:r>
      <w:r w:rsidRPr="00C33D74">
        <w:rPr>
          <w:rFonts w:ascii="Palatino Linotype" w:eastAsia="Calibri" w:hAnsi="Palatino Linotype" w:cs="Arial"/>
        </w:rPr>
        <w:t>)</w:t>
      </w:r>
      <w:r w:rsidR="00A55FF4" w:rsidRPr="00C33D74">
        <w:rPr>
          <w:rFonts w:ascii="Palatino Linotype" w:eastAsia="Calibri" w:hAnsi="Palatino Linotype" w:cs="Arial"/>
        </w:rPr>
        <w:t xml:space="preserve"> de</w:t>
      </w:r>
      <w:r w:rsidR="00F86E56" w:rsidRPr="00C33D74">
        <w:rPr>
          <w:rFonts w:ascii="Palatino Linotype" w:eastAsia="Calibri" w:hAnsi="Palatino Linotype" w:cs="Arial"/>
        </w:rPr>
        <w:t xml:space="preserve"> enero al seis (06) de febrero </w:t>
      </w:r>
      <w:r w:rsidRPr="00C33D74">
        <w:rPr>
          <w:rFonts w:ascii="Palatino Linotype" w:eastAsia="Calibri" w:hAnsi="Palatino Linotype" w:cs="Arial"/>
        </w:rPr>
        <w:t>de dos mil</w:t>
      </w:r>
      <w:r w:rsidR="00A55FF4" w:rsidRPr="00C33D74">
        <w:rPr>
          <w:rFonts w:ascii="Palatino Linotype" w:eastAsia="Calibri" w:hAnsi="Palatino Linotype" w:cs="Arial"/>
        </w:rPr>
        <w:t xml:space="preserve"> veinte</w:t>
      </w:r>
      <w:r w:rsidR="004F41BB" w:rsidRPr="00C33D74">
        <w:rPr>
          <w:rFonts w:ascii="Palatino Linotype" w:eastAsia="Calibri" w:hAnsi="Palatino Linotype" w:cs="Arial"/>
        </w:rPr>
        <w:t>; en consecuencia, si el</w:t>
      </w:r>
      <w:r w:rsidRPr="00C33D74">
        <w:rPr>
          <w:rFonts w:ascii="Palatino Linotype" w:eastAsia="Calibri" w:hAnsi="Palatino Linotype" w:cs="Arial"/>
        </w:rPr>
        <w:t xml:space="preserve"> hoy </w:t>
      </w:r>
      <w:r w:rsidRPr="00C33D74">
        <w:rPr>
          <w:rFonts w:ascii="Palatino Linotype" w:eastAsia="Calibri" w:hAnsi="Palatino Linotype" w:cs="Arial"/>
          <w:b/>
        </w:rPr>
        <w:t>RECURRENTE</w:t>
      </w:r>
      <w:r w:rsidRPr="00C33D74">
        <w:rPr>
          <w:rFonts w:ascii="Palatino Linotype" w:eastAsia="Calibri" w:hAnsi="Palatino Linotype" w:cs="Arial"/>
        </w:rPr>
        <w:t xml:space="preserve">  presentó s</w:t>
      </w:r>
      <w:r w:rsidR="00B61F85" w:rsidRPr="00C33D74">
        <w:rPr>
          <w:rFonts w:ascii="Palatino Linotype" w:eastAsia="Calibri" w:hAnsi="Palatino Linotype" w:cs="Arial"/>
        </w:rPr>
        <w:t>u</w:t>
      </w:r>
      <w:r w:rsidR="00A55FF4" w:rsidRPr="00C33D74">
        <w:rPr>
          <w:rFonts w:ascii="Palatino Linotype" w:eastAsia="Calibri" w:hAnsi="Palatino Linotype" w:cs="Arial"/>
        </w:rPr>
        <w:t xml:space="preserve"> inconformidad el día </w:t>
      </w:r>
      <w:r w:rsidR="00F86E56" w:rsidRPr="00C33D74">
        <w:rPr>
          <w:rFonts w:ascii="Palatino Linotype" w:eastAsia="Calibri" w:hAnsi="Palatino Linotype" w:cs="Arial"/>
        </w:rPr>
        <w:t>diecisiete</w:t>
      </w:r>
      <w:r w:rsidRPr="00C33D74">
        <w:rPr>
          <w:rFonts w:ascii="Palatino Linotype" w:eastAsia="Calibri" w:hAnsi="Palatino Linotype" w:cs="Arial"/>
        </w:rPr>
        <w:t xml:space="preserve"> (</w:t>
      </w:r>
      <w:r w:rsidR="00F86E56" w:rsidRPr="00C33D74">
        <w:rPr>
          <w:rFonts w:ascii="Palatino Linotype" w:eastAsia="Calibri" w:hAnsi="Palatino Linotype" w:cs="Arial"/>
        </w:rPr>
        <w:t>17</w:t>
      </w:r>
      <w:r w:rsidRPr="00C33D74">
        <w:rPr>
          <w:rFonts w:ascii="Palatino Linotype" w:eastAsia="Calibri" w:hAnsi="Palatino Linotype" w:cs="Arial"/>
        </w:rPr>
        <w:t>) de</w:t>
      </w:r>
      <w:r w:rsidR="00F86E56" w:rsidRPr="00C33D74">
        <w:rPr>
          <w:rFonts w:ascii="Palatino Linotype" w:eastAsia="Calibri" w:hAnsi="Palatino Linotype" w:cs="Arial"/>
        </w:rPr>
        <w:t xml:space="preserve"> enero </w:t>
      </w:r>
      <w:r w:rsidRPr="00C33D74">
        <w:rPr>
          <w:rFonts w:ascii="Palatino Linotype" w:eastAsia="Calibri" w:hAnsi="Palatino Linotype" w:cs="Arial"/>
        </w:rPr>
        <w:t>de</w:t>
      </w:r>
      <w:r w:rsidR="00A55FF4" w:rsidRPr="00C33D74">
        <w:rPr>
          <w:rFonts w:ascii="Palatino Linotype" w:eastAsia="Calibri" w:hAnsi="Palatino Linotype" w:cs="Arial"/>
        </w:rPr>
        <w:t xml:space="preserve"> dos mil</w:t>
      </w:r>
      <w:r w:rsidR="00F86E56" w:rsidRPr="00C33D74">
        <w:rPr>
          <w:rFonts w:ascii="Palatino Linotype" w:eastAsia="Calibri" w:hAnsi="Palatino Linotype" w:cs="Arial"/>
        </w:rPr>
        <w:t xml:space="preserve"> veinte</w:t>
      </w:r>
      <w:r w:rsidR="00FF6829" w:rsidRPr="00C33D74">
        <w:rPr>
          <w:rFonts w:ascii="Palatino Linotype" w:eastAsia="Calibri" w:hAnsi="Palatino Linotype" w:cs="Arial"/>
        </w:rPr>
        <w:t>, se encuentra</w:t>
      </w:r>
      <w:r w:rsidRPr="00C33D74">
        <w:rPr>
          <w:rFonts w:ascii="Palatino Linotype" w:eastAsia="Calibri" w:hAnsi="Palatino Linotype" w:cs="Arial"/>
        </w:rPr>
        <w:t xml:space="preserve"> dentro de los márgenes temporales previstos en el artículo 178 de la Ley de Transparencia y Acceso a la Información Pública de</w:t>
      </w:r>
      <w:r w:rsidR="00E912EC" w:rsidRPr="00C33D74">
        <w:rPr>
          <w:rFonts w:ascii="Palatino Linotype" w:eastAsia="Calibri" w:hAnsi="Palatino Linotype" w:cs="Arial"/>
        </w:rPr>
        <w:t>l Estado de México y Municipios vigente.</w:t>
      </w:r>
    </w:p>
    <w:p w14:paraId="2EDE5707" w14:textId="77777777" w:rsidR="00365830" w:rsidRPr="00C33D74" w:rsidRDefault="00365830" w:rsidP="00365830">
      <w:pPr>
        <w:pStyle w:val="Prrafodelista"/>
        <w:spacing w:before="240" w:after="240" w:line="360" w:lineRule="auto"/>
        <w:ind w:left="0" w:right="49"/>
        <w:jc w:val="both"/>
        <w:rPr>
          <w:rFonts w:ascii="Palatino Linotype" w:hAnsi="Palatino Linotype"/>
          <w:b/>
          <w:i/>
        </w:rPr>
      </w:pPr>
    </w:p>
    <w:p w14:paraId="3AC434D6" w14:textId="02449D26" w:rsidR="00365830" w:rsidRPr="00C33D74" w:rsidRDefault="00365830" w:rsidP="00365830">
      <w:pPr>
        <w:pStyle w:val="Prrafodelista"/>
        <w:numPr>
          <w:ilvl w:val="0"/>
          <w:numId w:val="1"/>
        </w:numPr>
        <w:spacing w:line="360" w:lineRule="auto"/>
        <w:ind w:left="0" w:right="49" w:firstLine="0"/>
        <w:jc w:val="both"/>
        <w:rPr>
          <w:rFonts w:ascii="Palatino Linotype" w:eastAsia="Calibri" w:hAnsi="Palatino Linotype" w:cs="Arial"/>
          <w:b/>
        </w:rPr>
      </w:pPr>
      <w:r w:rsidRPr="00C33D74">
        <w:rPr>
          <w:rFonts w:ascii="Palatino Linotype" w:eastAsia="Calibri" w:hAnsi="Palatino Linotype" w:cs="Times New Roman"/>
          <w:lang w:val="es-ES"/>
        </w:rPr>
        <w:t xml:space="preserve">Por otro lado, de la revisión al expediente electrónico contenido en el sistema </w:t>
      </w:r>
      <w:r w:rsidRPr="00C33D74">
        <w:rPr>
          <w:rFonts w:ascii="Palatino Linotype" w:eastAsia="Calibri" w:hAnsi="Palatino Linotype" w:cs="Times New Roman"/>
          <w:b/>
          <w:lang w:val="es-ES"/>
        </w:rPr>
        <w:t>SAIMEX</w:t>
      </w:r>
      <w:r w:rsidRPr="00C33D74">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C33D74">
        <w:rPr>
          <w:rFonts w:ascii="Palatino Linotype" w:eastAsia="Calibri" w:hAnsi="Palatino Linotype" w:cs="Times New Roman"/>
          <w:b/>
          <w:lang w:val="es-ES"/>
        </w:rPr>
        <w:t>RECURRENTE</w:t>
      </w:r>
      <w:r w:rsidRPr="00C33D74">
        <w:rPr>
          <w:rFonts w:ascii="Palatino Linotype" w:eastAsia="Calibri" w:hAnsi="Palatino Linotype" w:cs="Times New Roman"/>
          <w:lang w:val="es-ES"/>
        </w:rPr>
        <w:t xml:space="preserve"> </w:t>
      </w:r>
      <w:r w:rsidRPr="00C33D74">
        <w:rPr>
          <w:rFonts w:ascii="Palatino Linotype" w:eastAsia="Calibri" w:hAnsi="Palatino Linotype" w:cs="Times New Roman"/>
          <w:b/>
          <w:lang w:val="es-ES"/>
        </w:rPr>
        <w:t xml:space="preserve">no  proporciona nombre completo para que sea </w:t>
      </w:r>
      <w:r w:rsidRPr="00C33D74">
        <w:rPr>
          <w:rFonts w:ascii="Palatino Linotype" w:eastAsia="Calibri" w:hAnsi="Palatino Linotype" w:cs="Times New Roman"/>
          <w:b/>
          <w:u w:val="single"/>
          <w:lang w:val="es-ES"/>
        </w:rPr>
        <w:t>identificada</w:t>
      </w:r>
      <w:r w:rsidRPr="00C33D74">
        <w:rPr>
          <w:rFonts w:ascii="Palatino Linotype" w:eastAsia="Calibri" w:hAnsi="Palatino Linotype" w:cs="Times New Roman"/>
          <w:b/>
          <w:lang w:val="es-ES"/>
        </w:rPr>
        <w:t>,</w:t>
      </w:r>
      <w:r w:rsidRPr="00C33D74">
        <w:rPr>
          <w:rFonts w:ascii="Palatino Linotype" w:eastAsia="Calibri" w:hAnsi="Palatino Linotype" w:cs="Times New Roman"/>
          <w:lang w:val="es-ES"/>
        </w:rPr>
        <w:t xml:space="preserve"> por lo que no se tiene la certeza sobre su identidad, sin embargo, es importante señalar también que </w:t>
      </w:r>
      <w:r w:rsidRPr="00C33D74">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42BBDE7" w14:textId="77777777" w:rsidR="00365830" w:rsidRPr="00C33D74" w:rsidRDefault="00365830" w:rsidP="00365830">
      <w:pPr>
        <w:pStyle w:val="Prrafodelista"/>
        <w:rPr>
          <w:rFonts w:ascii="Palatino Linotype" w:eastAsia="Calibri" w:hAnsi="Palatino Linotype" w:cs="Times New Roman"/>
          <w:lang w:val="es-ES"/>
        </w:rPr>
      </w:pPr>
    </w:p>
    <w:p w14:paraId="6D20F752" w14:textId="77777777" w:rsidR="00365830" w:rsidRPr="00C33D74" w:rsidRDefault="00365830" w:rsidP="00365830">
      <w:pPr>
        <w:numPr>
          <w:ilvl w:val="0"/>
          <w:numId w:val="1"/>
        </w:numPr>
        <w:spacing w:line="360" w:lineRule="auto"/>
        <w:ind w:left="0" w:right="49" w:firstLine="0"/>
        <w:contextualSpacing/>
        <w:jc w:val="both"/>
        <w:rPr>
          <w:rFonts w:ascii="Palatino Linotype" w:eastAsia="Calibri" w:hAnsi="Palatino Linotype" w:cs="Arial"/>
          <w:b/>
        </w:rPr>
      </w:pPr>
      <w:r w:rsidRPr="00C33D74">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C33D74">
        <w:rPr>
          <w:rFonts w:ascii="Palatino Linotype" w:eastAsia="Calibri" w:hAnsi="Palatino Linotype" w:cs="Times New Roman"/>
          <w:lang w:val="es-ES"/>
        </w:rPr>
        <w:lastRenderedPageBreak/>
        <w:t>que se establecerán mecanismos de acceso a la información y procedimientos de revisión expeditos que se sustanciarán ante los organismos autónomos especializados e imparciales que establece la Constitución Federal y local.</w:t>
      </w:r>
    </w:p>
    <w:p w14:paraId="24BCEBAB" w14:textId="77777777" w:rsidR="00365830" w:rsidRPr="00C33D74" w:rsidRDefault="00365830" w:rsidP="00365830">
      <w:pPr>
        <w:pStyle w:val="Prrafodelista"/>
        <w:rPr>
          <w:rFonts w:ascii="Palatino Linotype" w:eastAsia="Calibri" w:hAnsi="Palatino Linotype" w:cs="Times New Roman"/>
          <w:lang w:val="es-ES"/>
        </w:rPr>
      </w:pPr>
    </w:p>
    <w:p w14:paraId="7EA9C1BB" w14:textId="77777777" w:rsidR="00365830" w:rsidRPr="00C33D74" w:rsidRDefault="00365830" w:rsidP="00365830">
      <w:pPr>
        <w:numPr>
          <w:ilvl w:val="0"/>
          <w:numId w:val="1"/>
        </w:numPr>
        <w:spacing w:line="360" w:lineRule="auto"/>
        <w:ind w:left="0" w:right="49" w:firstLine="0"/>
        <w:contextualSpacing/>
        <w:jc w:val="both"/>
        <w:rPr>
          <w:rFonts w:ascii="Palatino Linotype" w:eastAsia="Calibri" w:hAnsi="Palatino Linotype" w:cs="Arial"/>
          <w:b/>
        </w:rPr>
      </w:pPr>
      <w:r w:rsidRPr="00C33D74">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A0F21" w14:textId="77777777" w:rsidR="00365830" w:rsidRPr="00C33D74" w:rsidRDefault="00365830" w:rsidP="00365830">
      <w:pPr>
        <w:pStyle w:val="Prrafodelista"/>
        <w:rPr>
          <w:rFonts w:ascii="Palatino Linotype" w:eastAsia="Calibri" w:hAnsi="Palatino Linotype" w:cs="Times New Roman"/>
          <w:lang w:val="es-ES"/>
        </w:rPr>
      </w:pPr>
    </w:p>
    <w:p w14:paraId="1BD9D357" w14:textId="10A58D18" w:rsidR="00365830" w:rsidRPr="00C33D74" w:rsidRDefault="00365830" w:rsidP="00365830">
      <w:pPr>
        <w:numPr>
          <w:ilvl w:val="0"/>
          <w:numId w:val="1"/>
        </w:numPr>
        <w:spacing w:line="360" w:lineRule="auto"/>
        <w:ind w:left="0" w:right="49" w:firstLine="0"/>
        <w:contextualSpacing/>
        <w:jc w:val="both"/>
        <w:rPr>
          <w:rFonts w:ascii="Palatino Linotype" w:eastAsia="Calibri" w:hAnsi="Palatino Linotype" w:cs="Arial"/>
          <w:b/>
        </w:rPr>
      </w:pPr>
      <w:r w:rsidRPr="00C33D7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EA10B3" w14:textId="79A2A298" w:rsidR="004D7297" w:rsidRPr="00C33D74" w:rsidRDefault="00365830" w:rsidP="00E912EC">
      <w:pPr>
        <w:pStyle w:val="Prrafodelista"/>
        <w:numPr>
          <w:ilvl w:val="0"/>
          <w:numId w:val="1"/>
        </w:numPr>
        <w:spacing w:before="240" w:after="240" w:line="360" w:lineRule="auto"/>
        <w:ind w:left="0" w:right="49" w:firstLine="0"/>
        <w:jc w:val="both"/>
        <w:rPr>
          <w:rFonts w:ascii="Palatino Linotype" w:hAnsi="Palatino Linotype"/>
          <w:b/>
          <w:i/>
        </w:rPr>
      </w:pPr>
      <w:r w:rsidRPr="00C33D74">
        <w:rPr>
          <w:rFonts w:ascii="Palatino Linotype" w:eastAsia="Calibri" w:hAnsi="Palatino Linotype" w:cs="Arial"/>
        </w:rPr>
        <w:t>Así</w:t>
      </w:r>
      <w:r w:rsidR="00E912EC" w:rsidRPr="00C33D74">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F449B20" w14:textId="77777777" w:rsidR="004D7297" w:rsidRPr="00C33D74" w:rsidRDefault="004D7297" w:rsidP="004D7297">
      <w:pPr>
        <w:pStyle w:val="Prrafodelista"/>
        <w:spacing w:before="240" w:after="240" w:line="360" w:lineRule="auto"/>
        <w:ind w:left="0" w:right="49"/>
        <w:jc w:val="both"/>
        <w:rPr>
          <w:rFonts w:ascii="Palatino Linotype" w:hAnsi="Palatino Linotype"/>
          <w:b/>
          <w:i/>
        </w:rPr>
      </w:pPr>
    </w:p>
    <w:p w14:paraId="7F6AFAC3" w14:textId="4AC6117A" w:rsidR="007E417F" w:rsidRPr="00C33D74" w:rsidRDefault="00E912EC" w:rsidP="007E417F">
      <w:pPr>
        <w:pStyle w:val="Prrafodelista"/>
        <w:spacing w:before="240" w:after="240" w:line="360" w:lineRule="auto"/>
        <w:ind w:left="0" w:right="49"/>
        <w:jc w:val="both"/>
        <w:rPr>
          <w:rFonts w:ascii="Palatino Linotype" w:hAnsi="Palatino Linotype"/>
          <w:b/>
          <w:i/>
        </w:rPr>
      </w:pPr>
      <w:r w:rsidRPr="00C33D74">
        <w:rPr>
          <w:rFonts w:ascii="Palatino Linotype" w:eastAsia="Calibri" w:hAnsi="Palatino Linotype" w:cs="Arial"/>
        </w:rPr>
        <w:t xml:space="preserve"> </w:t>
      </w:r>
      <w:bookmarkStart w:id="69" w:name="_Toc503862490"/>
      <w:bookmarkStart w:id="70" w:name="_Toc509403241"/>
      <w:bookmarkStart w:id="71" w:name="_Toc521536227"/>
      <w:r w:rsidR="0013417A" w:rsidRPr="00C33D74">
        <w:rPr>
          <w:rFonts w:ascii="Palatino Linotype" w:hAnsi="Palatino Linotype"/>
          <w:b/>
        </w:rPr>
        <w:t xml:space="preserve">TERCERO. </w:t>
      </w:r>
      <w:bookmarkEnd w:id="69"/>
      <w:bookmarkEnd w:id="70"/>
      <w:r w:rsidR="0013417A" w:rsidRPr="00C33D74">
        <w:rPr>
          <w:rFonts w:ascii="Palatino Linotype" w:hAnsi="Palatino Linotype"/>
          <w:b/>
        </w:rPr>
        <w:t xml:space="preserve">Del planteamiento de la </w:t>
      </w:r>
      <w:r w:rsidR="0013417A" w:rsidRPr="00C33D74">
        <w:rPr>
          <w:rFonts w:ascii="Palatino Linotype" w:hAnsi="Palatino Linotype"/>
          <w:b/>
          <w:i/>
        </w:rPr>
        <w:t>Litis.</w:t>
      </w:r>
      <w:bookmarkEnd w:id="71"/>
    </w:p>
    <w:p w14:paraId="601D6794" w14:textId="42CC0809" w:rsidR="0013417A" w:rsidRPr="00C33D74" w:rsidRDefault="00005B21" w:rsidP="00E311E0">
      <w:pPr>
        <w:pStyle w:val="Prrafodelista"/>
        <w:numPr>
          <w:ilvl w:val="0"/>
          <w:numId w:val="1"/>
        </w:numPr>
        <w:tabs>
          <w:tab w:val="left" w:pos="709"/>
        </w:tabs>
        <w:spacing w:line="360" w:lineRule="auto"/>
        <w:ind w:left="142" w:hanging="1"/>
        <w:jc w:val="both"/>
        <w:rPr>
          <w:rFonts w:ascii="Palatino Linotype" w:hAnsi="Palatino Linotype"/>
        </w:rPr>
      </w:pPr>
      <w:r w:rsidRPr="00C33D74">
        <w:rPr>
          <w:rFonts w:ascii="Palatino Linotype" w:hAnsi="Palatino Linotype"/>
          <w:lang w:val="es-MX"/>
        </w:rPr>
        <w:lastRenderedPageBreak/>
        <w:t>El</w:t>
      </w:r>
      <w:r w:rsidR="0013417A" w:rsidRPr="00C33D74">
        <w:rPr>
          <w:rFonts w:ascii="Palatino Linotype" w:hAnsi="Palatino Linotype"/>
          <w:lang w:val="es-MX"/>
        </w:rPr>
        <w:t xml:space="preserve"> particular, mediante </w:t>
      </w:r>
      <w:r w:rsidR="002E60A2" w:rsidRPr="00C33D74">
        <w:rPr>
          <w:rFonts w:ascii="Palatino Linotype" w:hAnsi="Palatino Linotype"/>
          <w:lang w:val="es-MX"/>
        </w:rPr>
        <w:t>su so</w:t>
      </w:r>
      <w:r w:rsidR="00143332" w:rsidRPr="00C33D74">
        <w:rPr>
          <w:rFonts w:ascii="Palatino Linotype" w:hAnsi="Palatino Linotype"/>
          <w:lang w:val="es-MX"/>
        </w:rPr>
        <w:t>licitud</w:t>
      </w:r>
      <w:r w:rsidR="002E60A2" w:rsidRPr="00C33D74">
        <w:rPr>
          <w:rFonts w:ascii="Palatino Linotype" w:hAnsi="Palatino Linotype"/>
          <w:lang w:val="es-MX"/>
        </w:rPr>
        <w:t xml:space="preserve"> </w:t>
      </w:r>
      <w:r w:rsidR="00F84995" w:rsidRPr="00C33D74">
        <w:rPr>
          <w:rFonts w:ascii="Palatino Linotype" w:hAnsi="Palatino Linotype"/>
          <w:lang w:val="es-MX"/>
        </w:rPr>
        <w:t>de infor</w:t>
      </w:r>
      <w:r w:rsidR="00D01F70" w:rsidRPr="00C33D74">
        <w:rPr>
          <w:rFonts w:ascii="Palatino Linotype" w:hAnsi="Palatino Linotype"/>
          <w:lang w:val="es-MX"/>
        </w:rPr>
        <w:t>ma</w:t>
      </w:r>
      <w:r w:rsidR="004F41BB" w:rsidRPr="00C33D74">
        <w:rPr>
          <w:rFonts w:ascii="Palatino Linotype" w:hAnsi="Palatino Linotype"/>
          <w:lang w:val="es-MX"/>
        </w:rPr>
        <w:t xml:space="preserve">ción, esencialmente </w:t>
      </w:r>
      <w:r w:rsidR="00A55FF4" w:rsidRPr="00C33D74">
        <w:rPr>
          <w:rFonts w:ascii="Palatino Linotype" w:hAnsi="Palatino Linotype"/>
          <w:lang w:val="es-MX"/>
        </w:rPr>
        <w:t>requiri</w:t>
      </w:r>
      <w:r w:rsidR="000903E3" w:rsidRPr="00C33D74">
        <w:rPr>
          <w:rFonts w:ascii="Palatino Linotype" w:hAnsi="Palatino Linotype"/>
          <w:lang w:val="es-MX"/>
        </w:rPr>
        <w:t>ó del Ayuntamiento de Atizapán de Zaragoza</w:t>
      </w:r>
      <w:r w:rsidR="004F41BB" w:rsidRPr="00C33D74">
        <w:rPr>
          <w:rFonts w:ascii="Palatino Linotype" w:hAnsi="Palatino Linotype"/>
          <w:lang w:val="es-MX"/>
        </w:rPr>
        <w:t>,</w:t>
      </w:r>
      <w:r w:rsidR="004D7297" w:rsidRPr="00C33D74">
        <w:rPr>
          <w:rFonts w:ascii="Palatino Linotype" w:hAnsi="Palatino Linotype"/>
          <w:lang w:val="es-MX"/>
        </w:rPr>
        <w:t xml:space="preserve"> información relacionada con un operativo policía.</w:t>
      </w:r>
    </w:p>
    <w:p w14:paraId="486566EB" w14:textId="7C041F96" w:rsidR="000903E3" w:rsidRPr="00C33D74" w:rsidRDefault="000903E3" w:rsidP="004D7297">
      <w:pPr>
        <w:spacing w:line="360" w:lineRule="auto"/>
        <w:ind w:right="567"/>
        <w:jc w:val="both"/>
        <w:rPr>
          <w:rFonts w:ascii="Palatino Linotype" w:hAnsi="Palatino Linotype"/>
          <w:b/>
        </w:rPr>
      </w:pPr>
    </w:p>
    <w:p w14:paraId="646C6407" w14:textId="30361BD0" w:rsidR="00A55FF4" w:rsidRPr="00C33D74" w:rsidRDefault="006465D2" w:rsidP="00A55FF4">
      <w:pPr>
        <w:numPr>
          <w:ilvl w:val="0"/>
          <w:numId w:val="1"/>
        </w:numPr>
        <w:spacing w:line="360" w:lineRule="auto"/>
        <w:ind w:left="0" w:firstLine="0"/>
        <w:jc w:val="both"/>
        <w:rPr>
          <w:rFonts w:ascii="Palatino Linotype" w:hAnsi="Palatino Linotype"/>
        </w:rPr>
      </w:pPr>
      <w:r w:rsidRPr="00C33D74">
        <w:rPr>
          <w:rFonts w:ascii="Palatino Linotype" w:hAnsi="Palatino Linotype"/>
        </w:rPr>
        <w:t>En su respuesta</w:t>
      </w:r>
      <w:r w:rsidR="0013417A" w:rsidRPr="00C33D74">
        <w:rPr>
          <w:rFonts w:ascii="Palatino Linotype" w:hAnsi="Palatino Linotype"/>
        </w:rPr>
        <w:t xml:space="preserve">, el </w:t>
      </w:r>
      <w:r w:rsidR="00940E57" w:rsidRPr="00C33D74">
        <w:rPr>
          <w:rFonts w:ascii="Palatino Linotype" w:hAnsi="Palatino Linotype"/>
          <w:b/>
        </w:rPr>
        <w:t xml:space="preserve">SUJETO OBLIGADO </w:t>
      </w:r>
      <w:r w:rsidR="00854EBA" w:rsidRPr="00C33D74">
        <w:rPr>
          <w:rFonts w:ascii="Palatino Linotype" w:hAnsi="Palatino Linotype"/>
        </w:rPr>
        <w:t>r</w:t>
      </w:r>
      <w:r w:rsidR="00C92267" w:rsidRPr="00C33D74">
        <w:rPr>
          <w:rFonts w:ascii="Palatino Linotype" w:hAnsi="Palatino Linotype"/>
        </w:rPr>
        <w:t>efiere</w:t>
      </w:r>
      <w:r w:rsidR="00DC26B5" w:rsidRPr="00C33D74">
        <w:rPr>
          <w:rFonts w:ascii="Palatino Linotype" w:hAnsi="Palatino Linotype"/>
        </w:rPr>
        <w:t xml:space="preserve"> </w:t>
      </w:r>
      <w:r w:rsidR="00A55FF4" w:rsidRPr="00C33D74">
        <w:rPr>
          <w:rFonts w:ascii="Palatino Linotype" w:hAnsi="Palatino Linotype"/>
          <w:color w:val="000000"/>
        </w:rPr>
        <w:t>que</w:t>
      </w:r>
      <w:r w:rsidR="00F2649C" w:rsidRPr="00C33D74">
        <w:rPr>
          <w:rFonts w:ascii="Palatino Linotype" w:hAnsi="Palatino Linotype"/>
          <w:color w:val="000000"/>
        </w:rPr>
        <w:t xml:space="preserve"> la información requerida, no es susceptible de entregarse debido a que la misma se encuentra reservada por pertenecer a un procedimiento alterno</w:t>
      </w:r>
      <w:r w:rsidR="00416CD2" w:rsidRPr="00C33D74">
        <w:rPr>
          <w:rFonts w:ascii="Palatino Linotype" w:hAnsi="Palatino Linotype"/>
          <w:color w:val="000000"/>
        </w:rPr>
        <w:t xml:space="preserve">. </w:t>
      </w:r>
    </w:p>
    <w:p w14:paraId="26D5C199" w14:textId="77777777" w:rsidR="00703EE5" w:rsidRPr="00C33D74" w:rsidRDefault="00703EE5" w:rsidP="00703EE5">
      <w:pPr>
        <w:spacing w:line="360" w:lineRule="auto"/>
        <w:jc w:val="both"/>
        <w:rPr>
          <w:rFonts w:ascii="Palatino Linotype" w:hAnsi="Palatino Linotype"/>
        </w:rPr>
      </w:pPr>
    </w:p>
    <w:p w14:paraId="3DCBA91E" w14:textId="1A9F7ECC" w:rsidR="00703EE5" w:rsidRPr="00C33D74" w:rsidRDefault="004239B3" w:rsidP="00703EE5">
      <w:pPr>
        <w:numPr>
          <w:ilvl w:val="0"/>
          <w:numId w:val="1"/>
        </w:numPr>
        <w:spacing w:line="360" w:lineRule="auto"/>
        <w:ind w:left="0" w:firstLine="0"/>
        <w:jc w:val="both"/>
        <w:rPr>
          <w:rFonts w:ascii="Palatino Linotype" w:hAnsi="Palatino Linotype"/>
        </w:rPr>
      </w:pPr>
      <w:r w:rsidRPr="00C33D74">
        <w:rPr>
          <w:rFonts w:ascii="Palatino Linotype" w:hAnsi="Palatino Linotype"/>
        </w:rPr>
        <w:t xml:space="preserve">Por su parte, el </w:t>
      </w:r>
      <w:r w:rsidR="0013417A" w:rsidRPr="00C33D74">
        <w:rPr>
          <w:rFonts w:ascii="Palatino Linotype" w:hAnsi="Palatino Linotype"/>
          <w:b/>
        </w:rPr>
        <w:t>RECURRENTE</w:t>
      </w:r>
      <w:r w:rsidR="00ED7B32" w:rsidRPr="00C33D74">
        <w:rPr>
          <w:rFonts w:ascii="Palatino Linotype" w:hAnsi="Palatino Linotype"/>
          <w:b/>
        </w:rPr>
        <w:t xml:space="preserve"> </w:t>
      </w:r>
      <w:r w:rsidR="00ED7B32" w:rsidRPr="00C33D74">
        <w:rPr>
          <w:rFonts w:ascii="Palatino Linotype" w:hAnsi="Palatino Linotype"/>
        </w:rPr>
        <w:t>en términos generales</w:t>
      </w:r>
      <w:r w:rsidR="0013417A" w:rsidRPr="00C33D74">
        <w:rPr>
          <w:rFonts w:ascii="Palatino Linotype" w:hAnsi="Palatino Linotype"/>
        </w:rPr>
        <w:t xml:space="preserve"> se inconformó dentro de</w:t>
      </w:r>
      <w:r w:rsidR="00415AD1" w:rsidRPr="00C33D74">
        <w:rPr>
          <w:rFonts w:ascii="Palatino Linotype" w:hAnsi="Palatino Linotype"/>
        </w:rPr>
        <w:t>l recurso</w:t>
      </w:r>
      <w:r w:rsidR="0013417A" w:rsidRPr="00C33D74">
        <w:rPr>
          <w:rFonts w:ascii="Palatino Linotype" w:hAnsi="Palatino Linotype"/>
        </w:rPr>
        <w:t xml:space="preserve"> de revisión materia de ésta resolución,</w:t>
      </w:r>
      <w:r w:rsidR="00030FEF" w:rsidRPr="00C33D74">
        <w:rPr>
          <w:rFonts w:ascii="Palatino Linotype" w:hAnsi="Palatino Linotype"/>
        </w:rPr>
        <w:t xml:space="preserve"> </w:t>
      </w:r>
      <w:r w:rsidR="001E000A" w:rsidRPr="00C33D74">
        <w:rPr>
          <w:rFonts w:ascii="Palatino Linotype" w:hAnsi="Palatino Linotype"/>
        </w:rPr>
        <w:t>debido</w:t>
      </w:r>
      <w:r w:rsidR="00416CD2" w:rsidRPr="00C33D74">
        <w:rPr>
          <w:rFonts w:ascii="Palatino Linotype" w:hAnsi="Palatino Linotype"/>
        </w:rPr>
        <w:t xml:space="preserve"> a la</w:t>
      </w:r>
      <w:r w:rsidR="004D7297" w:rsidRPr="00C33D74">
        <w:rPr>
          <w:rFonts w:ascii="Palatino Linotype" w:hAnsi="Palatino Linotype"/>
        </w:rPr>
        <w:t xml:space="preserve"> clasificación de la información solicitada. </w:t>
      </w:r>
    </w:p>
    <w:p w14:paraId="47003B43" w14:textId="2C1C340B" w:rsidR="0013417A" w:rsidRPr="00C33D74" w:rsidRDefault="0013417A" w:rsidP="004972B8">
      <w:pPr>
        <w:spacing w:line="360" w:lineRule="auto"/>
        <w:jc w:val="both"/>
        <w:rPr>
          <w:rFonts w:ascii="Palatino Linotype" w:hAnsi="Palatino Linotype"/>
        </w:rPr>
      </w:pPr>
    </w:p>
    <w:p w14:paraId="32EBD96D" w14:textId="4D025849" w:rsidR="007E417F" w:rsidRPr="00C33D74" w:rsidRDefault="00030FEF" w:rsidP="007E417F">
      <w:pPr>
        <w:numPr>
          <w:ilvl w:val="0"/>
          <w:numId w:val="1"/>
        </w:numPr>
        <w:spacing w:line="360" w:lineRule="auto"/>
        <w:ind w:left="0" w:firstLine="0"/>
        <w:jc w:val="both"/>
        <w:rPr>
          <w:rFonts w:ascii="Palatino Linotype" w:hAnsi="Palatino Linotype"/>
        </w:rPr>
      </w:pPr>
      <w:r w:rsidRPr="00C33D74">
        <w:rPr>
          <w:rFonts w:ascii="Palatino Linotype" w:hAnsi="Palatino Linotype"/>
        </w:rPr>
        <w:t xml:space="preserve">En dichas condiciones el </w:t>
      </w:r>
      <w:r w:rsidR="0013417A" w:rsidRPr="00C33D74">
        <w:rPr>
          <w:rFonts w:ascii="Palatino Linotype" w:hAnsi="Palatino Linotype"/>
        </w:rPr>
        <w:t xml:space="preserve">presente recurso de revisión se circunscribe a determinar si el </w:t>
      </w:r>
      <w:r w:rsidR="0013417A" w:rsidRPr="00C33D74">
        <w:rPr>
          <w:rFonts w:ascii="Palatino Linotype" w:hAnsi="Palatino Linotype"/>
          <w:b/>
        </w:rPr>
        <w:t>SUJETO OBLIGADO</w:t>
      </w:r>
      <w:r w:rsidR="00B61272" w:rsidRPr="00C33D74">
        <w:rPr>
          <w:rFonts w:ascii="Palatino Linotype" w:hAnsi="Palatino Linotype"/>
        </w:rPr>
        <w:t xml:space="preserve"> con su</w:t>
      </w:r>
      <w:r w:rsidR="0013417A" w:rsidRPr="00C33D74">
        <w:rPr>
          <w:rFonts w:ascii="Palatino Linotype" w:hAnsi="Palatino Linotype"/>
        </w:rPr>
        <w:t xml:space="preserve"> </w:t>
      </w:r>
      <w:r w:rsidR="00415AD1" w:rsidRPr="00C33D74">
        <w:rPr>
          <w:rFonts w:ascii="Palatino Linotype" w:hAnsi="Palatino Linotype"/>
        </w:rPr>
        <w:t>respuesta a la solicitud</w:t>
      </w:r>
      <w:r w:rsidR="0013417A" w:rsidRPr="00C33D74">
        <w:rPr>
          <w:rFonts w:ascii="Palatino Linotype" w:hAnsi="Palatino Linotype"/>
        </w:rPr>
        <w:t xml:space="preserve"> satisface el derecho de acceso a la información o por el </w:t>
      </w:r>
      <w:r w:rsidR="00982F3B" w:rsidRPr="00C33D74">
        <w:rPr>
          <w:rFonts w:ascii="Palatino Linotype" w:hAnsi="Palatino Linotype"/>
        </w:rPr>
        <w:t>contrario actualiza la</w:t>
      </w:r>
      <w:r w:rsidR="004239B3" w:rsidRPr="00C33D74">
        <w:rPr>
          <w:rFonts w:ascii="Palatino Linotype" w:hAnsi="Palatino Linotype"/>
        </w:rPr>
        <w:t>s</w:t>
      </w:r>
      <w:r w:rsidR="00982F3B" w:rsidRPr="00C33D74">
        <w:rPr>
          <w:rFonts w:ascii="Palatino Linotype" w:hAnsi="Palatino Linotype"/>
        </w:rPr>
        <w:t xml:space="preserve"> causal</w:t>
      </w:r>
      <w:r w:rsidR="004239B3" w:rsidRPr="00C33D74">
        <w:rPr>
          <w:rFonts w:ascii="Palatino Linotype" w:hAnsi="Palatino Linotype"/>
        </w:rPr>
        <w:t>es</w:t>
      </w:r>
      <w:r w:rsidR="00982F3B" w:rsidRPr="00C33D74">
        <w:rPr>
          <w:rFonts w:ascii="Palatino Linotype" w:hAnsi="Palatino Linotype"/>
        </w:rPr>
        <w:t xml:space="preserve"> de procedencia prevista</w:t>
      </w:r>
      <w:r w:rsidR="004239B3" w:rsidRPr="00C33D74">
        <w:rPr>
          <w:rFonts w:ascii="Palatino Linotype" w:hAnsi="Palatino Linotype"/>
        </w:rPr>
        <w:t>s</w:t>
      </w:r>
      <w:r w:rsidR="0013417A" w:rsidRPr="00C33D74">
        <w:rPr>
          <w:rFonts w:ascii="Palatino Linotype" w:hAnsi="Palatino Linotype"/>
        </w:rPr>
        <w:t xml:space="preserve"> en el</w:t>
      </w:r>
      <w:r w:rsidR="00415AD1" w:rsidRPr="00C33D74">
        <w:rPr>
          <w:rFonts w:ascii="Palatino Linotype" w:hAnsi="Palatino Linotype"/>
        </w:rPr>
        <w:t xml:space="preserve"> artículo 179 </w:t>
      </w:r>
      <w:r w:rsidR="004239B3" w:rsidRPr="00C33D74">
        <w:rPr>
          <w:rFonts w:ascii="Palatino Linotype" w:hAnsi="Palatino Linotype"/>
        </w:rPr>
        <w:t>fracciones</w:t>
      </w:r>
      <w:r w:rsidR="00524767" w:rsidRPr="00C33D74">
        <w:rPr>
          <w:rFonts w:ascii="Palatino Linotype" w:hAnsi="Palatino Linotype"/>
        </w:rPr>
        <w:t xml:space="preserve"> </w:t>
      </w:r>
      <w:r w:rsidR="00B61F85" w:rsidRPr="00C33D74">
        <w:rPr>
          <w:rFonts w:ascii="Palatino Linotype" w:hAnsi="Palatino Linotype"/>
        </w:rPr>
        <w:t>I</w:t>
      </w:r>
      <w:r w:rsidR="00416CD2" w:rsidRPr="00C33D74">
        <w:rPr>
          <w:rFonts w:ascii="Palatino Linotype" w:hAnsi="Palatino Linotype"/>
        </w:rPr>
        <w:t xml:space="preserve">, </w:t>
      </w:r>
      <w:r w:rsidR="004D7297" w:rsidRPr="00C33D74">
        <w:rPr>
          <w:rFonts w:ascii="Palatino Linotype" w:hAnsi="Palatino Linotype"/>
        </w:rPr>
        <w:t>I</w:t>
      </w:r>
      <w:r w:rsidR="004239B3" w:rsidRPr="00C33D74">
        <w:rPr>
          <w:rFonts w:ascii="Palatino Linotype" w:hAnsi="Palatino Linotype"/>
        </w:rPr>
        <w:t>I</w:t>
      </w:r>
      <w:r w:rsidR="00416CD2" w:rsidRPr="00C33D74">
        <w:rPr>
          <w:rFonts w:ascii="Palatino Linotype" w:hAnsi="Palatino Linotype"/>
        </w:rPr>
        <w:t xml:space="preserve"> y XIII</w:t>
      </w:r>
      <w:r w:rsidR="0090042B" w:rsidRPr="00C33D74">
        <w:rPr>
          <w:rFonts w:ascii="Palatino Linotype" w:hAnsi="Palatino Linotype"/>
        </w:rPr>
        <w:t xml:space="preserve"> </w:t>
      </w:r>
      <w:r w:rsidR="0013417A" w:rsidRPr="00C33D74">
        <w:rPr>
          <w:rFonts w:ascii="Palatino Linotype" w:hAnsi="Palatino Linotype"/>
        </w:rPr>
        <w:t xml:space="preserve">de la Ley de Transparencia y Acceso a la Información del Estado de México y Municipios. </w:t>
      </w:r>
    </w:p>
    <w:p w14:paraId="0F41B4B0" w14:textId="41727191" w:rsidR="00BC6E49" w:rsidRPr="00C33D74" w:rsidRDefault="00277410" w:rsidP="002C7064">
      <w:pPr>
        <w:pStyle w:val="Ttulo1"/>
        <w:rPr>
          <w:rFonts w:ascii="Palatino Linotype" w:hAnsi="Palatino Linotype"/>
          <w:b/>
          <w:color w:val="auto"/>
          <w:sz w:val="24"/>
        </w:rPr>
      </w:pPr>
      <w:bookmarkStart w:id="72" w:name="_Toc453696499"/>
      <w:bookmarkStart w:id="73" w:name="_Toc454301152"/>
      <w:bookmarkStart w:id="74" w:name="_Toc35552920"/>
      <w:r w:rsidRPr="00C33D74">
        <w:rPr>
          <w:rFonts w:ascii="Palatino Linotype" w:hAnsi="Palatino Linotype"/>
          <w:b/>
          <w:color w:val="000000" w:themeColor="text1"/>
          <w:sz w:val="24"/>
          <w:szCs w:val="24"/>
        </w:rPr>
        <w:t>CUARTO.</w:t>
      </w:r>
      <w:r w:rsidR="00A55FF4" w:rsidRPr="00C33D74">
        <w:rPr>
          <w:rFonts w:ascii="Palatino Linotype" w:hAnsi="Palatino Linotype"/>
          <w:b/>
          <w:color w:val="000000" w:themeColor="text1"/>
          <w:sz w:val="24"/>
          <w:szCs w:val="24"/>
        </w:rPr>
        <w:t xml:space="preserve"> </w:t>
      </w:r>
      <w:r w:rsidRPr="00C33D74">
        <w:rPr>
          <w:rFonts w:ascii="Palatino Linotype" w:hAnsi="Palatino Linotype"/>
          <w:b/>
          <w:color w:val="auto"/>
          <w:sz w:val="24"/>
        </w:rPr>
        <w:t>Del estudio y resolución del asunto</w:t>
      </w:r>
      <w:bookmarkEnd w:id="72"/>
      <w:bookmarkEnd w:id="73"/>
      <w:r w:rsidR="00AE0F40" w:rsidRPr="00C33D74">
        <w:rPr>
          <w:rFonts w:ascii="Palatino Linotype" w:hAnsi="Palatino Linotype"/>
          <w:b/>
          <w:color w:val="auto"/>
          <w:sz w:val="24"/>
        </w:rPr>
        <w:t>.</w:t>
      </w:r>
      <w:bookmarkEnd w:id="74"/>
    </w:p>
    <w:p w14:paraId="46459625" w14:textId="77777777" w:rsidR="00683DBE" w:rsidRPr="00C33D74" w:rsidRDefault="00683DBE" w:rsidP="00683DBE">
      <w:pPr>
        <w:rPr>
          <w:rFonts w:ascii="Palatino Linotype" w:hAnsi="Palatino Linotype"/>
          <w:lang w:val="es-MX" w:eastAsia="en-US"/>
        </w:rPr>
      </w:pPr>
    </w:p>
    <w:p w14:paraId="2D1BC0D7" w14:textId="36E36195" w:rsidR="00BC3A50" w:rsidRPr="00C33D74" w:rsidRDefault="00FB1FEB" w:rsidP="00BC3A50">
      <w:pPr>
        <w:pStyle w:val="Ttulo1"/>
        <w:rPr>
          <w:rFonts w:ascii="Palatino Linotype" w:hAnsi="Palatino Linotype"/>
          <w:b/>
          <w:color w:val="000000" w:themeColor="text1"/>
          <w:sz w:val="24"/>
          <w:szCs w:val="24"/>
        </w:rPr>
      </w:pPr>
      <w:bookmarkStart w:id="75" w:name="_Toc5711921"/>
      <w:bookmarkStart w:id="76" w:name="_Toc35552921"/>
      <w:r w:rsidRPr="00C33D74">
        <w:rPr>
          <w:rFonts w:ascii="Palatino Linotype" w:hAnsi="Palatino Linotype"/>
          <w:b/>
          <w:color w:val="000000" w:themeColor="text1"/>
          <w:sz w:val="24"/>
          <w:szCs w:val="24"/>
        </w:rPr>
        <w:t xml:space="preserve">I. </w:t>
      </w:r>
      <w:r w:rsidR="00481E3F" w:rsidRPr="00C33D74">
        <w:rPr>
          <w:rFonts w:ascii="Palatino Linotype" w:hAnsi="Palatino Linotype"/>
          <w:b/>
          <w:color w:val="000000" w:themeColor="text1"/>
          <w:sz w:val="24"/>
          <w:szCs w:val="24"/>
        </w:rPr>
        <w:t>Del Der</w:t>
      </w:r>
      <w:r w:rsidR="00BC3A50" w:rsidRPr="00C33D74">
        <w:rPr>
          <w:rFonts w:ascii="Palatino Linotype" w:hAnsi="Palatino Linotype"/>
          <w:b/>
          <w:color w:val="000000" w:themeColor="text1"/>
          <w:sz w:val="24"/>
          <w:szCs w:val="24"/>
        </w:rPr>
        <w:t>echo de Acceso a la Información P</w:t>
      </w:r>
      <w:r w:rsidR="00D7610E" w:rsidRPr="00C33D74">
        <w:rPr>
          <w:rFonts w:ascii="Palatino Linotype" w:hAnsi="Palatino Linotype"/>
          <w:b/>
          <w:color w:val="000000" w:themeColor="text1"/>
          <w:sz w:val="24"/>
          <w:szCs w:val="24"/>
        </w:rPr>
        <w:t>ública y</w:t>
      </w:r>
      <w:r w:rsidR="00481E3F" w:rsidRPr="00C33D74">
        <w:rPr>
          <w:rFonts w:ascii="Palatino Linotype" w:hAnsi="Palatino Linotype"/>
          <w:b/>
          <w:color w:val="000000" w:themeColor="text1"/>
          <w:sz w:val="24"/>
          <w:szCs w:val="24"/>
        </w:rPr>
        <w:t xml:space="preserve"> </w:t>
      </w:r>
      <w:r w:rsidR="00BC3A50" w:rsidRPr="00C33D74">
        <w:rPr>
          <w:rFonts w:ascii="Palatino Linotype" w:hAnsi="Palatino Linotype"/>
          <w:b/>
          <w:color w:val="000000" w:themeColor="text1"/>
          <w:sz w:val="24"/>
          <w:szCs w:val="24"/>
        </w:rPr>
        <w:t>el deber de las autoridades de promover</w:t>
      </w:r>
      <w:r w:rsidR="00D7610E" w:rsidRPr="00C33D74">
        <w:rPr>
          <w:rFonts w:ascii="Palatino Linotype" w:hAnsi="Palatino Linotype"/>
          <w:b/>
          <w:color w:val="000000" w:themeColor="text1"/>
          <w:sz w:val="24"/>
          <w:szCs w:val="24"/>
        </w:rPr>
        <w:t>lo</w:t>
      </w:r>
      <w:r w:rsidR="00BC3A50" w:rsidRPr="00C33D74">
        <w:rPr>
          <w:rFonts w:ascii="Palatino Linotype" w:hAnsi="Palatino Linotype"/>
          <w:b/>
          <w:color w:val="000000" w:themeColor="text1"/>
          <w:sz w:val="24"/>
          <w:szCs w:val="24"/>
        </w:rPr>
        <w:t>, respetar</w:t>
      </w:r>
      <w:r w:rsidR="00D7610E" w:rsidRPr="00C33D74">
        <w:rPr>
          <w:rFonts w:ascii="Palatino Linotype" w:hAnsi="Palatino Linotype"/>
          <w:b/>
          <w:color w:val="000000" w:themeColor="text1"/>
          <w:sz w:val="24"/>
          <w:szCs w:val="24"/>
        </w:rPr>
        <w:t>lo</w:t>
      </w:r>
      <w:r w:rsidR="00BC3A50" w:rsidRPr="00C33D74">
        <w:rPr>
          <w:rFonts w:ascii="Palatino Linotype" w:hAnsi="Palatino Linotype"/>
          <w:b/>
          <w:color w:val="000000" w:themeColor="text1"/>
          <w:sz w:val="24"/>
          <w:szCs w:val="24"/>
        </w:rPr>
        <w:t>, proteger</w:t>
      </w:r>
      <w:r w:rsidR="00D7610E" w:rsidRPr="00C33D74">
        <w:rPr>
          <w:rFonts w:ascii="Palatino Linotype" w:hAnsi="Palatino Linotype"/>
          <w:b/>
          <w:color w:val="000000" w:themeColor="text1"/>
          <w:sz w:val="24"/>
          <w:szCs w:val="24"/>
        </w:rPr>
        <w:t>lo</w:t>
      </w:r>
      <w:r w:rsidR="00BC3A50" w:rsidRPr="00C33D74">
        <w:rPr>
          <w:rFonts w:ascii="Palatino Linotype" w:hAnsi="Palatino Linotype"/>
          <w:b/>
          <w:color w:val="000000" w:themeColor="text1"/>
          <w:sz w:val="24"/>
          <w:szCs w:val="24"/>
        </w:rPr>
        <w:t xml:space="preserve">, y garantizarlo. </w:t>
      </w:r>
    </w:p>
    <w:p w14:paraId="31D27E6C" w14:textId="29F0A8D1" w:rsidR="00481E3F" w:rsidRPr="00C33D74" w:rsidRDefault="00481E3F" w:rsidP="00935384">
      <w:pPr>
        <w:pStyle w:val="Ttulo1"/>
        <w:rPr>
          <w:rFonts w:ascii="Palatino Linotype" w:hAnsi="Palatino Linotype"/>
          <w:b/>
          <w:color w:val="000000" w:themeColor="text1"/>
          <w:sz w:val="24"/>
          <w:szCs w:val="24"/>
        </w:rPr>
      </w:pPr>
    </w:p>
    <w:p w14:paraId="7D8555A3" w14:textId="77777777" w:rsidR="00481E3F" w:rsidRPr="00C33D74" w:rsidRDefault="00481E3F" w:rsidP="00481E3F">
      <w:pPr>
        <w:rPr>
          <w:rFonts w:ascii="Palatino Linotype" w:hAnsi="Palatino Linotype"/>
          <w:lang w:val="es-MX" w:eastAsia="en-US"/>
        </w:rPr>
      </w:pPr>
    </w:p>
    <w:p w14:paraId="09DD9143" w14:textId="62341FAB" w:rsidR="00BC3A50" w:rsidRPr="00C33D74" w:rsidRDefault="00481E3F" w:rsidP="00BC3A50">
      <w:pPr>
        <w:pStyle w:val="Prrafodelista"/>
        <w:numPr>
          <w:ilvl w:val="0"/>
          <w:numId w:val="1"/>
        </w:numPr>
        <w:spacing w:after="160" w:line="360" w:lineRule="auto"/>
        <w:ind w:left="90" w:hanging="90"/>
        <w:jc w:val="both"/>
        <w:rPr>
          <w:rFonts w:ascii="Palatino Linotype" w:eastAsia="Calibri" w:hAnsi="Palatino Linotype" w:cs="Arial"/>
          <w:lang w:val="es-MX" w:eastAsia="en-US"/>
        </w:rPr>
      </w:pPr>
      <w:r w:rsidRPr="00C33D74">
        <w:rPr>
          <w:rFonts w:ascii="Palatino Linotype" w:eastAsia="Times New Roman" w:hAnsi="Palatino Linotype" w:cs="Arial"/>
          <w:lang w:val="es-MX" w:eastAsia="en-US"/>
        </w:rPr>
        <w:lastRenderedPageBreak/>
        <w:t>Previo al estudio del asunto que nos ocupa,</w:t>
      </w:r>
      <w:r w:rsidR="00BC3A50" w:rsidRPr="00C33D74">
        <w:rPr>
          <w:rFonts w:ascii="Palatino Linotype" w:eastAsia="Times New Roman" w:hAnsi="Palatino Linotype" w:cs="Arial"/>
          <w:lang w:val="es-MX" w:eastAsia="en-US"/>
        </w:rPr>
        <w:t xml:space="preserve"> e</w:t>
      </w:r>
      <w:r w:rsidR="00BC3A50" w:rsidRPr="00C33D74">
        <w:rPr>
          <w:rFonts w:ascii="Palatino Linotype" w:hAnsi="Palatino Linotype" w:cs="Arial"/>
          <w:lang w:val="es-MX"/>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C3A50" w:rsidRPr="00C33D74">
        <w:rPr>
          <w:rFonts w:ascii="Palatino Linotype" w:hAnsi="Palatino Linotype" w:cs="Arial"/>
          <w:b/>
          <w:lang w:val="es-MX"/>
        </w:rPr>
        <w:t>SUJETO OBLIGADO</w:t>
      </w:r>
      <w:r w:rsidR="00BC3A50" w:rsidRPr="00C33D74">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00BC3A50" w:rsidRPr="00C33D74">
        <w:rPr>
          <w:rFonts w:ascii="Palatino Linotype" w:hAnsi="Palatino Linotype" w:cs="Arial"/>
          <w:b/>
          <w:lang w:val="es-MX"/>
        </w:rPr>
        <w:t xml:space="preserve">Constitución Política de los Estados Unidos Mexicanos </w:t>
      </w:r>
      <w:r w:rsidR="00BC3A50" w:rsidRPr="00C33D74">
        <w:rPr>
          <w:rFonts w:ascii="Palatino Linotype" w:hAnsi="Palatino Linotype" w:cs="Arial"/>
          <w:lang w:val="es-MX"/>
        </w:rPr>
        <w:t xml:space="preserve">al señalar la obligación de “promover, respetar, proteger y garantizar los derechos humanos”, entre los cuales se encuentra dicho derecho. </w:t>
      </w:r>
    </w:p>
    <w:p w14:paraId="141A6D97" w14:textId="77777777" w:rsidR="00BC3A50" w:rsidRPr="00C33D74" w:rsidRDefault="00BC3A50" w:rsidP="00BC3A50">
      <w:pPr>
        <w:spacing w:before="240" w:after="240" w:line="360" w:lineRule="auto"/>
        <w:ind w:left="927"/>
        <w:contextualSpacing/>
        <w:jc w:val="both"/>
        <w:rPr>
          <w:rFonts w:ascii="Palatino Linotype" w:hAnsi="Palatino Linotype" w:cs="Arial"/>
          <w:lang w:val="es-MX"/>
        </w:rPr>
      </w:pPr>
    </w:p>
    <w:p w14:paraId="5E2BCADE" w14:textId="450471F5" w:rsidR="00D7610E" w:rsidRPr="00C33D74" w:rsidRDefault="00BC3A50" w:rsidP="00D7610E">
      <w:pPr>
        <w:numPr>
          <w:ilvl w:val="0"/>
          <w:numId w:val="1"/>
        </w:numPr>
        <w:spacing w:before="240" w:after="240" w:line="360" w:lineRule="auto"/>
        <w:ind w:left="0" w:firstLine="0"/>
        <w:contextualSpacing/>
        <w:jc w:val="both"/>
        <w:rPr>
          <w:rFonts w:ascii="Palatino Linotype" w:hAnsi="Palatino Linotype" w:cs="Arial"/>
          <w:b/>
          <w:i/>
          <w:lang w:val="es-MX"/>
        </w:rPr>
      </w:pPr>
      <w:r w:rsidRPr="00C33D74">
        <w:rPr>
          <w:rFonts w:ascii="Palatino Linotype" w:hAnsi="Palatino Linotype" w:cs="Arial"/>
          <w:lang w:val="es-MX"/>
        </w:rPr>
        <w:t xml:space="preserve">Ahora bien, el Derecho de Acceso a la Información Pública se define como: </w:t>
      </w:r>
      <w:r w:rsidRPr="00C33D74">
        <w:rPr>
          <w:rFonts w:ascii="Palatino Linotype" w:hAnsi="Palatino Linotype" w:cs="Arial"/>
          <w:b/>
          <w:i/>
          <w:lang w:val="es-MX"/>
        </w:rPr>
        <w:t xml:space="preserve">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w:t>
      </w:r>
      <w:r w:rsidRPr="00C33D74">
        <w:rPr>
          <w:rFonts w:ascii="Palatino Linotype" w:hAnsi="Palatino Linotype" w:cs="Arial"/>
          <w:b/>
          <w:i/>
          <w:lang w:val="es-MX"/>
        </w:rPr>
        <w:lastRenderedPageBreak/>
        <w:t>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56949740" w14:textId="237DC907" w:rsidR="00D7610E" w:rsidRPr="00C33D74" w:rsidRDefault="00D7610E" w:rsidP="00D7610E">
      <w:pPr>
        <w:spacing w:before="240" w:after="240" w:line="360" w:lineRule="auto"/>
        <w:contextualSpacing/>
        <w:jc w:val="both"/>
        <w:rPr>
          <w:rFonts w:ascii="Palatino Linotype" w:hAnsi="Palatino Linotype" w:cs="Arial"/>
          <w:b/>
          <w:i/>
          <w:lang w:val="es-MX"/>
        </w:rPr>
      </w:pPr>
    </w:p>
    <w:p w14:paraId="02180009" w14:textId="77777777" w:rsidR="00BC3A50" w:rsidRPr="00C33D74" w:rsidRDefault="00BC3A50" w:rsidP="00BC3A50">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Arial"/>
          <w:bCs/>
          <w:color w:val="000000"/>
          <w:lang w:val="es-MX" w:eastAsia="en-US"/>
        </w:rPr>
        <w:t>En efecto, el derecho fundamental de acceso a la información pública se desarrolla en varias vertientes:</w:t>
      </w:r>
    </w:p>
    <w:p w14:paraId="6DC60C71" w14:textId="77777777" w:rsidR="00BC3A50" w:rsidRPr="00C33D74" w:rsidRDefault="00BC3A50" w:rsidP="00BC3A50">
      <w:pPr>
        <w:spacing w:before="240" w:after="240" w:line="360" w:lineRule="auto"/>
        <w:ind w:left="851"/>
        <w:contextualSpacing/>
        <w:jc w:val="both"/>
        <w:rPr>
          <w:rFonts w:ascii="Palatino Linotype" w:eastAsia="Calibri" w:hAnsi="Palatino Linotype" w:cs="Arial"/>
          <w:lang w:val="es-MX" w:eastAsia="en-US"/>
        </w:rPr>
      </w:pPr>
    </w:p>
    <w:p w14:paraId="61D84D94" w14:textId="77777777" w:rsidR="00BC3A50" w:rsidRPr="00C33D74" w:rsidRDefault="00BC3A50" w:rsidP="00BC3A50">
      <w:pPr>
        <w:numPr>
          <w:ilvl w:val="0"/>
          <w:numId w:val="26"/>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sz w:val="22"/>
          <w:lang w:val="es-MX" w:eastAsia="en-US"/>
        </w:rPr>
      </w:pPr>
      <w:r w:rsidRPr="00C33D74">
        <w:rPr>
          <w:rFonts w:ascii="Palatino Linotype" w:eastAsia="Calibri" w:hAnsi="Palatino Linotype" w:cs="Arial"/>
          <w:bCs/>
          <w:color w:val="000000"/>
          <w:sz w:val="22"/>
          <w:lang w:val="es-MX" w:eastAsia="en-US"/>
        </w:rPr>
        <w:t>Impone al Estado la obligación de protegerlo. Esto es, es suficiente con que una persona realice una solicitud de información para que la autoridad la atienda y entregue lo solicitado, salvo excepciones limitadas.</w:t>
      </w:r>
    </w:p>
    <w:p w14:paraId="4225015B" w14:textId="77777777" w:rsidR="00BC3A50" w:rsidRPr="00C33D74" w:rsidRDefault="00BC3A50" w:rsidP="00BC3A50">
      <w:pPr>
        <w:numPr>
          <w:ilvl w:val="0"/>
          <w:numId w:val="26"/>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sz w:val="22"/>
          <w:lang w:val="es-MX" w:eastAsia="en-US"/>
        </w:rPr>
      </w:pPr>
      <w:r w:rsidRPr="00C33D74">
        <w:rPr>
          <w:rFonts w:ascii="Palatino Linotype" w:eastAsia="Calibri" w:hAnsi="Palatino Linotype" w:cs="Arial"/>
          <w:bCs/>
          <w:color w:val="000000"/>
          <w:sz w:val="22"/>
          <w:lang w:val="es-MX" w:eastAsia="en-US"/>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20B1CAB0" w14:textId="77777777" w:rsidR="00BC3A50" w:rsidRPr="00C33D74" w:rsidRDefault="00BC3A50" w:rsidP="00BC3A50">
      <w:pPr>
        <w:numPr>
          <w:ilvl w:val="0"/>
          <w:numId w:val="26"/>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sz w:val="22"/>
          <w:lang w:val="es-MX" w:eastAsia="en-US"/>
        </w:rPr>
      </w:pPr>
      <w:r w:rsidRPr="00C33D74">
        <w:rPr>
          <w:rFonts w:ascii="Palatino Linotype" w:eastAsia="Calibri" w:hAnsi="Palatino Linotype" w:cs="Arial"/>
          <w:bCs/>
          <w:color w:val="000000"/>
          <w:sz w:val="22"/>
          <w:lang w:val="es-MX" w:eastAsia="en-US"/>
        </w:rPr>
        <w:t>Otorga a todos los documentos en posesión de las autoridades la calidad de públicos y únicamente pueden ser reservados temporalmente por razones de interés público y en los términos expresamente señalados en la ley.</w:t>
      </w:r>
    </w:p>
    <w:p w14:paraId="5FB9987A" w14:textId="77777777" w:rsidR="00BC3A50" w:rsidRPr="00C33D74" w:rsidRDefault="00BC3A50" w:rsidP="00BC3A50">
      <w:pPr>
        <w:numPr>
          <w:ilvl w:val="0"/>
          <w:numId w:val="26"/>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sz w:val="22"/>
          <w:lang w:val="es-MX" w:eastAsia="en-US"/>
        </w:rPr>
      </w:pPr>
      <w:r w:rsidRPr="00C33D74">
        <w:rPr>
          <w:rFonts w:ascii="Palatino Linotype" w:eastAsia="Calibri" w:hAnsi="Palatino Linotype" w:cs="Arial"/>
          <w:bCs/>
          <w:color w:val="000000"/>
          <w:sz w:val="22"/>
          <w:lang w:val="es-MX" w:eastAsia="en-US"/>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14:paraId="6E1B78A7" w14:textId="77777777" w:rsidR="00BC3A50" w:rsidRPr="00C33D74" w:rsidRDefault="00BC3A50" w:rsidP="00BC3A50">
      <w:pPr>
        <w:numPr>
          <w:ilvl w:val="0"/>
          <w:numId w:val="26"/>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sz w:val="22"/>
          <w:lang w:val="es-MX" w:eastAsia="en-US"/>
        </w:rPr>
      </w:pPr>
      <w:r w:rsidRPr="00C33D74">
        <w:rPr>
          <w:rFonts w:ascii="Palatino Linotype" w:eastAsia="Calibri" w:hAnsi="Palatino Linotype" w:cs="Arial"/>
          <w:bCs/>
          <w:color w:val="000000"/>
          <w:sz w:val="22"/>
          <w:lang w:val="es-MX" w:eastAsia="en-US"/>
        </w:rPr>
        <w:t>Impone al Legislativo la obligación de crear una ley que establezca los procedimientos para su protección, respeto y difusión.</w:t>
      </w:r>
    </w:p>
    <w:p w14:paraId="2EF093EF" w14:textId="77777777" w:rsidR="00BC3A50" w:rsidRPr="00C33D74" w:rsidRDefault="00BC3A50" w:rsidP="00BC3A50">
      <w:pPr>
        <w:numPr>
          <w:ilvl w:val="0"/>
          <w:numId w:val="26"/>
        </w:numPr>
        <w:autoSpaceDE w:val="0"/>
        <w:autoSpaceDN w:val="0"/>
        <w:adjustRightInd w:val="0"/>
        <w:spacing w:before="240" w:after="240" w:line="360" w:lineRule="auto"/>
        <w:ind w:left="567" w:right="616" w:hanging="141"/>
        <w:contextualSpacing/>
        <w:jc w:val="both"/>
        <w:rPr>
          <w:rFonts w:ascii="Palatino Linotype" w:eastAsia="Calibri" w:hAnsi="Palatino Linotype" w:cs="Arial"/>
          <w:bCs/>
          <w:color w:val="000000"/>
          <w:sz w:val="22"/>
          <w:lang w:val="es-MX" w:eastAsia="en-US"/>
        </w:rPr>
      </w:pPr>
      <w:r w:rsidRPr="00C33D74">
        <w:rPr>
          <w:rFonts w:ascii="Palatino Linotype" w:eastAsia="Calibri" w:hAnsi="Palatino Linotype" w:cs="Arial"/>
          <w:bCs/>
          <w:color w:val="000000"/>
          <w:sz w:val="22"/>
          <w:lang w:val="es-MX" w:eastAsia="en-US"/>
        </w:rPr>
        <w:lastRenderedPageBreak/>
        <w:t>Impone el</w:t>
      </w:r>
      <w:r w:rsidRPr="00C33D74">
        <w:rPr>
          <w:rFonts w:ascii="Palatino Linotype" w:eastAsia="Calibri" w:hAnsi="Palatino Linotype" w:cs="Times New Roman"/>
          <w:bCs/>
          <w:color w:val="000000"/>
          <w:sz w:val="22"/>
          <w:lang w:val="es-MX" w:eastAsia="en-US"/>
        </w:rPr>
        <w:t xml:space="preserve"> </w:t>
      </w:r>
      <w:hyperlink r:id="rId11" w:tooltip="Derechos civiles y políticos" w:history="1">
        <w:r w:rsidRPr="00C33D74">
          <w:rPr>
            <w:rFonts w:ascii="Palatino Linotype" w:eastAsia="Calibri" w:hAnsi="Palatino Linotype" w:cs="Times New Roman"/>
            <w:bCs/>
            <w:color w:val="000000"/>
            <w:sz w:val="22"/>
            <w:lang w:val="es-MX" w:eastAsia="en-US"/>
          </w:rPr>
          <w:t>derecho</w:t>
        </w:r>
      </w:hyperlink>
      <w:r w:rsidRPr="00C33D74">
        <w:rPr>
          <w:rFonts w:ascii="Palatino Linotype" w:eastAsia="Calibri" w:hAnsi="Palatino Linotype" w:cs="Times New Roman"/>
          <w:bCs/>
          <w:color w:val="000000"/>
          <w:sz w:val="22"/>
          <w:lang w:val="es-MX" w:eastAsia="en-US"/>
        </w:rPr>
        <w:t xml:space="preserve"> </w:t>
      </w:r>
      <w:r w:rsidRPr="00C33D74">
        <w:rPr>
          <w:rFonts w:ascii="Palatino Linotype" w:eastAsia="Calibri" w:hAnsi="Palatino Linotype" w:cs="Arial"/>
          <w:bCs/>
          <w:color w:val="000000"/>
          <w:sz w:val="22"/>
          <w:lang w:val="es-MX" w:eastAsia="en-US"/>
        </w:rPr>
        <w:t xml:space="preserve">de una persona de buscar, </w:t>
      </w:r>
      <w:r w:rsidRPr="00C33D74">
        <w:rPr>
          <w:rFonts w:ascii="Palatino Linotype" w:eastAsia="Calibri" w:hAnsi="Palatino Linotype" w:cs="Arial"/>
          <w:b/>
          <w:bCs/>
          <w:color w:val="000000"/>
          <w:sz w:val="22"/>
          <w:u w:val="single"/>
          <w:lang w:val="es-MX" w:eastAsia="en-US"/>
        </w:rPr>
        <w:t xml:space="preserve">recibir </w:t>
      </w:r>
      <w:r w:rsidRPr="00C33D74">
        <w:rPr>
          <w:rFonts w:ascii="Palatino Linotype" w:eastAsia="Calibri" w:hAnsi="Palatino Linotype" w:cs="Arial"/>
          <w:bCs/>
          <w:color w:val="000000"/>
          <w:sz w:val="22"/>
          <w:lang w:val="es-MX" w:eastAsia="en-US"/>
        </w:rPr>
        <w:t>y difundir información en poder del gobierno u administraciones públicas.</w:t>
      </w:r>
    </w:p>
    <w:p w14:paraId="5E67F5A3" w14:textId="77777777" w:rsidR="00BC3A50" w:rsidRPr="00C33D74" w:rsidRDefault="00BC3A50" w:rsidP="00BC3A50">
      <w:p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sz w:val="22"/>
          <w:lang w:val="es-MX" w:eastAsia="en-US"/>
        </w:rPr>
      </w:pPr>
    </w:p>
    <w:p w14:paraId="554768CC" w14:textId="77777777" w:rsidR="00BC3A50" w:rsidRPr="00C33D74" w:rsidRDefault="00BC3A50" w:rsidP="00BC3A50">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Arial"/>
          <w:lang w:val="es-MX" w:eastAsia="en-US"/>
        </w:rPr>
        <w:t xml:space="preserve">Por tanto, para que tanto este </w:t>
      </w:r>
      <w:r w:rsidRPr="00C33D74">
        <w:rPr>
          <w:rFonts w:ascii="Palatino Linotype" w:eastAsia="Calibri" w:hAnsi="Palatino Linotype" w:cs="Arial"/>
          <w:b/>
          <w:lang w:val="es-MX" w:eastAsia="en-US"/>
        </w:rPr>
        <w:t xml:space="preserve">Órgano Garante </w:t>
      </w:r>
      <w:r w:rsidRPr="00C33D74">
        <w:rPr>
          <w:rFonts w:ascii="Palatino Linotype" w:eastAsia="Calibri" w:hAnsi="Palatino Linotype" w:cs="Arial"/>
          <w:lang w:val="es-MX" w:eastAsia="en-US"/>
        </w:rPr>
        <w:t xml:space="preserve">como los </w:t>
      </w:r>
      <w:r w:rsidRPr="00C33D74">
        <w:rPr>
          <w:rFonts w:ascii="Palatino Linotype" w:eastAsia="Calibri" w:hAnsi="Palatino Linotype" w:cs="Arial"/>
          <w:b/>
          <w:lang w:val="es-MX" w:eastAsia="en-US"/>
        </w:rPr>
        <w:t>Sujetos Obligados</w:t>
      </w:r>
      <w:r w:rsidRPr="00C33D74">
        <w:rPr>
          <w:rFonts w:ascii="Palatino Linotype" w:eastAsia="Calibri" w:hAnsi="Palatino Linotype" w:cs="Arial"/>
          <w:lang w:val="es-MX" w:eastAsia="en-US"/>
        </w:rPr>
        <w:t xml:space="preserve"> hagan efectivo el derecho de las personas de </w:t>
      </w:r>
      <w:r w:rsidRPr="00C33D74">
        <w:rPr>
          <w:rFonts w:ascii="Palatino Linotype" w:eastAsia="Calibri" w:hAnsi="Palatino Linotype" w:cs="Arial"/>
          <w:b/>
          <w:lang w:val="es-MX" w:eastAsia="en-US"/>
        </w:rPr>
        <w:t>buscar, recibir y difundir información pública</w:t>
      </w:r>
      <w:r w:rsidRPr="00C33D74">
        <w:rPr>
          <w:rFonts w:ascii="Palatino Linotype" w:eastAsia="Calibri" w:hAnsi="Palatino Linotype" w:cs="Arial"/>
          <w:lang w:val="es-MX" w:eastAsia="en-US"/>
        </w:rPr>
        <w:t>, información que generen, administren o posean, deben poner a disposición de los particulares los documentos en los que conste el ejercicio de sus atribuciones legales o que por cualquier circunstancia obre en sus archivos.</w:t>
      </w:r>
    </w:p>
    <w:p w14:paraId="2F8C3A3E" w14:textId="77777777" w:rsidR="00BC3A50" w:rsidRPr="00C33D74" w:rsidRDefault="00BC3A50" w:rsidP="00BC3A50">
      <w:pPr>
        <w:spacing w:before="240" w:after="240" w:line="360" w:lineRule="auto"/>
        <w:contextualSpacing/>
        <w:jc w:val="both"/>
        <w:rPr>
          <w:rFonts w:ascii="Palatino Linotype" w:eastAsia="Calibri" w:hAnsi="Palatino Linotype" w:cs="Arial"/>
          <w:lang w:val="es-MX" w:eastAsia="en-US"/>
        </w:rPr>
      </w:pPr>
    </w:p>
    <w:p w14:paraId="31A33816" w14:textId="77777777" w:rsidR="00BC3A50" w:rsidRPr="00C33D74" w:rsidRDefault="00BC3A50" w:rsidP="00BC3A50">
      <w:pPr>
        <w:numPr>
          <w:ilvl w:val="0"/>
          <w:numId w:val="1"/>
        </w:numPr>
        <w:spacing w:after="16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Times New Roman"/>
          <w:lang w:val="es-MX" w:eastAsia="en-US"/>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14:paraId="5DAB7C7B" w14:textId="77777777" w:rsidR="00BC3A50" w:rsidRPr="00C33D74" w:rsidRDefault="00BC3A50" w:rsidP="00BC3A50">
      <w:pPr>
        <w:spacing w:before="240" w:after="240" w:line="360" w:lineRule="auto"/>
        <w:contextualSpacing/>
        <w:jc w:val="both"/>
        <w:rPr>
          <w:rFonts w:ascii="Palatino Linotype" w:eastAsia="Calibri" w:hAnsi="Palatino Linotype" w:cs="Arial"/>
          <w:lang w:val="es-MX" w:eastAsia="en-US"/>
        </w:rPr>
      </w:pPr>
    </w:p>
    <w:p w14:paraId="16D36862" w14:textId="77777777" w:rsidR="00BC3A50" w:rsidRPr="00C33D74" w:rsidRDefault="00BC3A50" w:rsidP="00BC3A50">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Times New Roman"/>
          <w:lang w:val="es-MX" w:eastAsia="en-US"/>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14:paraId="47582814" w14:textId="77777777" w:rsidR="00BC3A50" w:rsidRPr="00C33D74" w:rsidRDefault="00BC3A50" w:rsidP="00BC3A50">
      <w:pPr>
        <w:spacing w:before="240" w:after="240" w:line="360" w:lineRule="auto"/>
        <w:contextualSpacing/>
        <w:jc w:val="both"/>
        <w:rPr>
          <w:rFonts w:ascii="Palatino Linotype" w:eastAsia="Calibri" w:hAnsi="Palatino Linotype" w:cs="Arial"/>
          <w:lang w:val="es-MX" w:eastAsia="en-US"/>
        </w:rPr>
      </w:pPr>
    </w:p>
    <w:p w14:paraId="1C06751D" w14:textId="38A84523" w:rsidR="00BC3A50" w:rsidRPr="00C33D74" w:rsidRDefault="00BC3A50" w:rsidP="00BC3A50">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Times New Roman"/>
          <w:lang w:val="es-MX" w:eastAsia="en-US"/>
        </w:rPr>
        <w:t xml:space="preserve">En ese sentido, el principio de rendición de cuentas y la transparencia encuentran un objetivo en común, buscar conciliar el interés colectivo con el interés </w:t>
      </w:r>
      <w:r w:rsidRPr="00C33D74">
        <w:rPr>
          <w:rFonts w:ascii="Palatino Linotype" w:eastAsia="Calibri" w:hAnsi="Palatino Linotype" w:cs="Times New Roman"/>
          <w:lang w:val="es-MX" w:eastAsia="en-US"/>
        </w:rPr>
        <w:lastRenderedPageBreak/>
        <w:t xml:space="preserve">particular de los gobernantes, es decir, si todos los que dispongan de algún poder público saben que pueden ser llamados a cuentas, que su acción política, su desempeño gubernamental, el ejercicio de sus funciones y sus decisiones </w:t>
      </w:r>
      <w:r w:rsidR="00D7610E" w:rsidRPr="00C33D74">
        <w:rPr>
          <w:rFonts w:ascii="Palatino Linotype" w:eastAsia="Calibri" w:hAnsi="Palatino Linotype" w:cs="Times New Roman"/>
          <w:lang w:val="es-MX" w:eastAsia="en-US"/>
        </w:rPr>
        <w:t>generan efectos</w:t>
      </w:r>
      <w:r w:rsidRPr="00C33D74">
        <w:rPr>
          <w:rFonts w:ascii="Palatino Linotype" w:eastAsia="Calibri" w:hAnsi="Palatino Linotype" w:cs="Times New Roman"/>
          <w:lang w:val="es-MX" w:eastAsia="en-US"/>
        </w:rPr>
        <w:t xml:space="preserve"> positivos o negativos, tendrán mayor diligencia al ejercer el poder.</w:t>
      </w:r>
    </w:p>
    <w:p w14:paraId="3EC797F3" w14:textId="77777777" w:rsidR="00BC3A50" w:rsidRPr="00C33D74" w:rsidRDefault="00BC3A50" w:rsidP="00BC3A50">
      <w:pPr>
        <w:spacing w:before="240" w:after="240" w:line="360" w:lineRule="auto"/>
        <w:contextualSpacing/>
        <w:jc w:val="both"/>
        <w:rPr>
          <w:rFonts w:ascii="Palatino Linotype" w:eastAsia="Calibri" w:hAnsi="Palatino Linotype" w:cs="Arial"/>
          <w:lang w:val="es-MX" w:eastAsia="en-US"/>
        </w:rPr>
      </w:pPr>
    </w:p>
    <w:p w14:paraId="0A1D2AE2" w14:textId="77777777" w:rsidR="00BC3A50" w:rsidRPr="00C33D74" w:rsidRDefault="00BC3A50" w:rsidP="00BC3A50">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Times New Roman"/>
          <w:lang w:val="es-MX" w:eastAsia="en-US"/>
        </w:rPr>
        <w:t xml:space="preserve">La Constitución Política de los Estados Unidos Mexicanos, adopta la </w:t>
      </w:r>
      <w:r w:rsidRPr="00C33D74">
        <w:rPr>
          <w:rFonts w:ascii="Palatino Linotype" w:eastAsia="Calibri" w:hAnsi="Palatino Linotype" w:cs="Times New Roman"/>
          <w:i/>
          <w:lang w:val="es-MX" w:eastAsia="en-US"/>
        </w:rPr>
        <w:t xml:space="preserve">ratio </w:t>
      </w:r>
      <w:proofErr w:type="spellStart"/>
      <w:r w:rsidRPr="00C33D74">
        <w:rPr>
          <w:rFonts w:ascii="Palatino Linotype" w:eastAsia="Calibri" w:hAnsi="Palatino Linotype" w:cs="Times New Roman"/>
          <w:i/>
          <w:lang w:val="es-MX" w:eastAsia="en-US"/>
        </w:rPr>
        <w:t>decidendi</w:t>
      </w:r>
      <w:proofErr w:type="spellEnd"/>
      <w:r w:rsidRPr="00C33D74">
        <w:rPr>
          <w:rFonts w:ascii="Palatino Linotype" w:eastAsia="Calibri" w:hAnsi="Palatino Linotype" w:cs="Times New Roman"/>
          <w:i/>
          <w:lang w:val="es-MX" w:eastAsia="en-US"/>
        </w:rPr>
        <w:t xml:space="preserve"> </w:t>
      </w:r>
      <w:r w:rsidRPr="00C33D74">
        <w:rPr>
          <w:rFonts w:ascii="Palatino Linotype" w:eastAsia="Calibri" w:hAnsi="Palatino Linotype" w:cs="Times New Roman"/>
          <w:lang w:val="es-MX" w:eastAsia="en-US"/>
        </w:rPr>
        <w:t>propuesta en la sentencia de la Corte Interamericana de Derechos Humanos, en ese sentido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r w:rsidRPr="00C33D74">
        <w:rPr>
          <w:rFonts w:ascii="Palatino Linotype" w:eastAsia="Calibri" w:hAnsi="Palatino Linotype" w:cs="Arial"/>
          <w:lang w:val="es-MX" w:eastAsia="en-US"/>
        </w:rPr>
        <w:t xml:space="preserve"> Es </w:t>
      </w:r>
      <w:r w:rsidRPr="00C33D74">
        <w:rPr>
          <w:rFonts w:ascii="Palatino Linotype" w:eastAsia="Calibri" w:hAnsi="Palatino Linotype" w:cs="Times New Roman"/>
          <w:lang w:val="es-MX" w:eastAsia="en-US"/>
        </w:rPr>
        <w:t>por estas razones que las leyes de transparencia y acceso a la información en México, tienen como objetivo primordial el garantizar que los ciudadanos puedan solicitar documentos que poseen las instituciones gubernamentales.</w:t>
      </w:r>
    </w:p>
    <w:p w14:paraId="1C02DF45" w14:textId="77777777" w:rsidR="00BC3A50" w:rsidRPr="00C33D74" w:rsidRDefault="00BC3A50" w:rsidP="00BC3A50">
      <w:pPr>
        <w:spacing w:before="240" w:after="240" w:line="360" w:lineRule="auto"/>
        <w:contextualSpacing/>
        <w:jc w:val="both"/>
        <w:rPr>
          <w:rFonts w:ascii="Palatino Linotype" w:eastAsia="Calibri" w:hAnsi="Palatino Linotype" w:cs="Arial"/>
          <w:lang w:val="es-MX" w:eastAsia="en-US"/>
        </w:rPr>
      </w:pPr>
    </w:p>
    <w:p w14:paraId="353C1243" w14:textId="7531CA33" w:rsidR="00BC3A50" w:rsidRPr="00C33D74" w:rsidRDefault="00BC3A50" w:rsidP="00BC3A50">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C33D74">
        <w:rPr>
          <w:rFonts w:ascii="Palatino Linotype" w:eastAsia="Calibri" w:hAnsi="Palatino Linotype" w:cs="Times New Roman"/>
          <w:lang w:val="es-MX" w:eastAsia="en-US"/>
        </w:rPr>
        <w:t>En efecto, la Ley de Transparencia y Acceso a la Información Pública del Estado de México y Municipios tiene como propósito transparentar el ejercicio de la función pública protegiendo los datos personales que se encuentren en posesión de los sujetos obligados.</w:t>
      </w:r>
    </w:p>
    <w:p w14:paraId="5C957705" w14:textId="77777777" w:rsidR="00BC3A50" w:rsidRPr="00C33D74" w:rsidRDefault="00BC3A50" w:rsidP="00BC3A50">
      <w:pPr>
        <w:spacing w:before="240" w:after="240" w:line="360" w:lineRule="auto"/>
        <w:contextualSpacing/>
        <w:jc w:val="both"/>
        <w:rPr>
          <w:rFonts w:ascii="Palatino Linotype" w:eastAsia="Calibri" w:hAnsi="Palatino Linotype" w:cs="Arial"/>
          <w:lang w:val="es-MX" w:eastAsia="en-US"/>
        </w:rPr>
      </w:pPr>
    </w:p>
    <w:p w14:paraId="6DAA70C1" w14:textId="2B0A751E" w:rsidR="00481E3F" w:rsidRPr="00C33D74" w:rsidRDefault="00BC3A50" w:rsidP="00481E3F">
      <w:pPr>
        <w:numPr>
          <w:ilvl w:val="0"/>
          <w:numId w:val="1"/>
        </w:numPr>
        <w:pBdr>
          <w:top w:val="nil"/>
          <w:left w:val="nil"/>
          <w:bottom w:val="nil"/>
          <w:right w:val="nil"/>
          <w:between w:val="nil"/>
          <w:bar w:val="nil"/>
        </w:pBdr>
        <w:spacing w:before="240" w:after="240" w:line="360" w:lineRule="auto"/>
        <w:ind w:left="0" w:firstLine="0"/>
        <w:contextualSpacing/>
        <w:jc w:val="both"/>
        <w:rPr>
          <w:rFonts w:ascii="Palatino Linotype" w:eastAsia="Calibri" w:hAnsi="Palatino Linotype" w:cs="Times New Roman"/>
          <w:lang w:val="es-MX" w:eastAsia="en-US"/>
        </w:rPr>
      </w:pPr>
      <w:r w:rsidRPr="00C33D74">
        <w:rPr>
          <w:rFonts w:ascii="Palatino Linotype" w:eastAsia="Calibri" w:hAnsi="Palatino Linotype" w:cs="Times New Roman"/>
          <w:lang w:val="es-MX" w:eastAsia="en-US"/>
        </w:rPr>
        <w:t>Así, los documentos solicitados por el particular en donde consten el número de oficiales que participaron en el operativo s</w:t>
      </w:r>
      <w:r w:rsidR="00D7610E" w:rsidRPr="00C33D74">
        <w:rPr>
          <w:rFonts w:ascii="Palatino Linotype" w:eastAsia="Calibri" w:hAnsi="Palatino Linotype" w:cs="Times New Roman"/>
          <w:lang w:val="es-MX" w:eastAsia="en-US"/>
        </w:rPr>
        <w:t xml:space="preserve">eñalado </w:t>
      </w:r>
      <w:r w:rsidRPr="00C33D74">
        <w:rPr>
          <w:rFonts w:ascii="Palatino Linotype" w:eastAsia="Calibri" w:hAnsi="Palatino Linotype" w:cs="Times New Roman"/>
          <w:lang w:val="es-MX" w:eastAsia="en-US"/>
        </w:rPr>
        <w:t xml:space="preserve">se deben encontrar en </w:t>
      </w:r>
      <w:r w:rsidRPr="00C33D74">
        <w:rPr>
          <w:rFonts w:ascii="Palatino Linotype" w:eastAsia="Calibri" w:hAnsi="Palatino Linotype" w:cs="Times New Roman"/>
          <w:lang w:val="es-MX" w:eastAsia="en-US"/>
        </w:rPr>
        <w:lastRenderedPageBreak/>
        <w:t xml:space="preserve">posesión del </w:t>
      </w:r>
      <w:r w:rsidRPr="00C33D74">
        <w:rPr>
          <w:rFonts w:ascii="Palatino Linotype" w:eastAsia="Calibri" w:hAnsi="Palatino Linotype" w:cs="Times New Roman"/>
          <w:b/>
          <w:lang w:val="es-MX" w:eastAsia="en-US"/>
        </w:rPr>
        <w:t>SUJETO OBLIGADO</w:t>
      </w:r>
      <w:r w:rsidRPr="00C33D74">
        <w:rPr>
          <w:rFonts w:ascii="Palatino Linotype" w:eastAsia="Calibri" w:hAnsi="Palatino Linotype" w:cs="Times New Roman"/>
          <w:lang w:val="es-MX" w:eastAsia="en-US"/>
        </w:rPr>
        <w:t>, pues resultaría impreciso creer que ejerce o desarrolla funciones sin tener conocimiento de las mismas, ello además de que la misma fue asumida por el ente recurrido</w:t>
      </w:r>
      <w:r w:rsidRPr="00C33D74">
        <w:rPr>
          <w:rFonts w:ascii="Palatino Linotype" w:eastAsia="Calibri" w:hAnsi="Palatino Linotype" w:cs="Times New Roman"/>
          <w:bCs/>
          <w:color w:val="000000"/>
          <w:lang w:val="es-MX" w:eastAsia="en-US"/>
        </w:rPr>
        <w:t>.</w:t>
      </w:r>
      <w:r w:rsidRPr="00C33D74">
        <w:rPr>
          <w:rFonts w:ascii="Palatino Linotype" w:eastAsia="Calibri" w:hAnsi="Palatino Linotype" w:cs="Times New Roman"/>
          <w:lang w:val="es-MX" w:eastAsia="en-US"/>
        </w:rPr>
        <w:t xml:space="preserve"> Bajo esa tesitura se presume que la información debe existir si se refiere a las facultades, competencias y funciones que los ordenamientos jurídicos aplicables otorgan a los sujetos obligados. </w:t>
      </w:r>
    </w:p>
    <w:bookmarkEnd w:id="75"/>
    <w:bookmarkEnd w:id="76"/>
    <w:p w14:paraId="6FB4961C" w14:textId="77777777" w:rsidR="00BC3A50" w:rsidRPr="00C33D74" w:rsidRDefault="00BC3A50" w:rsidP="00BC3A50">
      <w:pPr>
        <w:rPr>
          <w:rFonts w:ascii="Palatino Linotype" w:hAnsi="Palatino Linotype"/>
          <w:lang w:val="es-MX" w:eastAsia="en-US"/>
        </w:rPr>
      </w:pPr>
    </w:p>
    <w:p w14:paraId="333D1E79" w14:textId="08696A56" w:rsidR="00FB1FEB" w:rsidRPr="00C33D74" w:rsidRDefault="00FB1FEB" w:rsidP="003B6F7B">
      <w:pPr>
        <w:numPr>
          <w:ilvl w:val="0"/>
          <w:numId w:val="1"/>
        </w:numPr>
        <w:spacing w:before="240" w:after="240" w:line="360" w:lineRule="auto"/>
        <w:ind w:left="0" w:firstLine="0"/>
        <w:contextualSpacing/>
        <w:jc w:val="both"/>
        <w:rPr>
          <w:rFonts w:ascii="Palatino Linotype" w:hAnsi="Palatino Linotype" w:cs="Arial"/>
          <w:lang w:val="es-MX"/>
        </w:rPr>
      </w:pPr>
      <w:r w:rsidRPr="00C33D74">
        <w:rPr>
          <w:rFonts w:ascii="Palatino Linotype" w:hAnsi="Palatino Linotype" w:cs="Arial"/>
          <w:lang w:val="es-MX"/>
        </w:rPr>
        <w:t>En el caso concreto que nos ocupa anali</w:t>
      </w:r>
      <w:r w:rsidR="00A55FF4" w:rsidRPr="00C33D74">
        <w:rPr>
          <w:rFonts w:ascii="Palatino Linotype" w:hAnsi="Palatino Linotype" w:cs="Arial"/>
          <w:lang w:val="es-MX"/>
        </w:rPr>
        <w:t xml:space="preserve">zar, el particular requirió del </w:t>
      </w:r>
      <w:r w:rsidR="00F2649C" w:rsidRPr="00C33D74">
        <w:rPr>
          <w:rFonts w:ascii="Palatino Linotype" w:hAnsi="Palatino Linotype" w:cs="Arial"/>
          <w:b/>
          <w:lang w:val="es-MX"/>
        </w:rPr>
        <w:t>Ayuntamiento de Atizapán de Zaragoza</w:t>
      </w:r>
      <w:r w:rsidR="00F2649C" w:rsidRPr="00C33D74">
        <w:rPr>
          <w:rFonts w:ascii="Palatino Linotype" w:hAnsi="Palatino Linotype" w:cs="Arial"/>
          <w:lang w:val="es-MX"/>
        </w:rPr>
        <w:t>, el número de policías que partic</w:t>
      </w:r>
      <w:r w:rsidR="004279B4" w:rsidRPr="00C33D74">
        <w:rPr>
          <w:rFonts w:ascii="Palatino Linotype" w:hAnsi="Palatino Linotype" w:cs="Arial"/>
          <w:lang w:val="es-MX"/>
        </w:rPr>
        <w:t>iparon en el operativo señalado</w:t>
      </w:r>
      <w:r w:rsidR="00A55FF4" w:rsidRPr="00C33D74">
        <w:rPr>
          <w:rFonts w:ascii="Palatino Linotype" w:hAnsi="Palatino Linotype" w:cs="Arial"/>
          <w:lang w:val="es-MX"/>
        </w:rPr>
        <w:t xml:space="preserve">, a lo cual el </w:t>
      </w:r>
      <w:r w:rsidR="00FA2FD2" w:rsidRPr="00C33D74">
        <w:rPr>
          <w:rFonts w:ascii="Palatino Linotype" w:hAnsi="Palatino Linotype" w:cs="Arial"/>
          <w:lang w:val="es-MX"/>
        </w:rPr>
        <w:t xml:space="preserve">ente recurrido </w:t>
      </w:r>
      <w:r w:rsidR="00A55FF4" w:rsidRPr="00C33D74">
        <w:rPr>
          <w:rFonts w:ascii="Palatino Linotype" w:hAnsi="Palatino Linotype" w:cs="Arial"/>
          <w:lang w:val="es-MX"/>
        </w:rPr>
        <w:t>señal</w:t>
      </w:r>
      <w:r w:rsidR="00FA2FD2" w:rsidRPr="00C33D74">
        <w:rPr>
          <w:rFonts w:ascii="Palatino Linotype" w:hAnsi="Palatino Linotype" w:cs="Arial"/>
          <w:lang w:val="es-MX"/>
        </w:rPr>
        <w:t>ó la imposibilidad de su entrega debido a la clasificación de la misma, no obstante se advierte que dicha respuesta no es a</w:t>
      </w:r>
      <w:r w:rsidR="004279B4" w:rsidRPr="00C33D74">
        <w:rPr>
          <w:rFonts w:ascii="Palatino Linotype" w:hAnsi="Palatino Linotype" w:cs="Arial"/>
          <w:lang w:val="es-MX"/>
        </w:rPr>
        <w:t>fortunada pues no se advierte: a) la entrega del acuerdo de clasificación debidamente fundado y motivado; y b) las razones por las cuales la exposición de la información solicitada vulnere la consecución del proceso</w:t>
      </w:r>
      <w:r w:rsidRPr="00C33D74">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C33D74" w:rsidRDefault="00FB1FEB" w:rsidP="00FB1FEB">
      <w:pPr>
        <w:spacing w:before="240" w:after="240" w:line="360" w:lineRule="auto"/>
        <w:contextualSpacing/>
        <w:jc w:val="both"/>
        <w:rPr>
          <w:rFonts w:ascii="Palatino Linotype" w:hAnsi="Palatino Linotype" w:cs="Arial"/>
          <w:lang w:val="es-MX"/>
        </w:rPr>
      </w:pPr>
    </w:p>
    <w:p w14:paraId="2D6FBBAA" w14:textId="55363570" w:rsidR="00703EE5" w:rsidRPr="00C33D74" w:rsidRDefault="00FB1FEB" w:rsidP="00683DBE">
      <w:pPr>
        <w:numPr>
          <w:ilvl w:val="0"/>
          <w:numId w:val="1"/>
        </w:numPr>
        <w:spacing w:before="240" w:after="240" w:line="360" w:lineRule="auto"/>
        <w:ind w:left="0" w:firstLine="0"/>
        <w:contextualSpacing/>
        <w:jc w:val="both"/>
        <w:rPr>
          <w:rFonts w:ascii="Palatino Linotype" w:hAnsi="Palatino Linotype" w:cs="Arial"/>
          <w:lang w:val="es-MX"/>
        </w:rPr>
      </w:pPr>
      <w:r w:rsidRPr="00C33D74">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w:t>
      </w:r>
      <w:r w:rsidRPr="00C33D74">
        <w:rPr>
          <w:rFonts w:ascii="Palatino Linotype" w:hAnsi="Palatino Linotype" w:cs="Arial"/>
          <w:lang w:val="es-MX"/>
        </w:rPr>
        <w:lastRenderedPageBreak/>
        <w:t xml:space="preserve">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298A06A" w14:textId="14E68015" w:rsidR="002133C8" w:rsidRPr="00C33D74" w:rsidRDefault="00346B67" w:rsidP="00935384">
      <w:pPr>
        <w:pStyle w:val="Ttulo1"/>
        <w:rPr>
          <w:rFonts w:ascii="Palatino Linotype" w:hAnsi="Palatino Linotype"/>
          <w:b/>
          <w:sz w:val="24"/>
          <w:szCs w:val="24"/>
        </w:rPr>
      </w:pPr>
      <w:bookmarkStart w:id="77" w:name="_Toc35552922"/>
      <w:r w:rsidRPr="00C33D74">
        <w:rPr>
          <w:rFonts w:ascii="Palatino Linotype" w:hAnsi="Palatino Linotype"/>
          <w:b/>
          <w:color w:val="000000" w:themeColor="text1"/>
          <w:sz w:val="24"/>
          <w:szCs w:val="24"/>
        </w:rPr>
        <w:t>II</w:t>
      </w:r>
      <w:r w:rsidR="00F835ED" w:rsidRPr="00C33D74">
        <w:rPr>
          <w:rFonts w:ascii="Palatino Linotype" w:hAnsi="Palatino Linotype"/>
          <w:b/>
          <w:color w:val="000000" w:themeColor="text1"/>
          <w:sz w:val="24"/>
          <w:szCs w:val="24"/>
        </w:rPr>
        <w:t>.</w:t>
      </w:r>
      <w:r w:rsidR="00515BA2" w:rsidRPr="00C33D74">
        <w:rPr>
          <w:rFonts w:ascii="Palatino Linotype" w:hAnsi="Palatino Linotype"/>
          <w:b/>
          <w:color w:val="000000" w:themeColor="text1"/>
          <w:sz w:val="24"/>
          <w:szCs w:val="24"/>
        </w:rPr>
        <w:t xml:space="preserve"> D</w:t>
      </w:r>
      <w:r w:rsidR="005C459D" w:rsidRPr="00C33D74">
        <w:rPr>
          <w:rFonts w:ascii="Palatino Linotype" w:hAnsi="Palatino Linotype"/>
          <w:b/>
          <w:color w:val="000000" w:themeColor="text1"/>
          <w:sz w:val="24"/>
          <w:szCs w:val="24"/>
        </w:rPr>
        <w:t>e la</w:t>
      </w:r>
      <w:r w:rsidRPr="00C33D74">
        <w:rPr>
          <w:rFonts w:ascii="Palatino Linotype" w:hAnsi="Palatino Linotype"/>
          <w:b/>
          <w:color w:val="000000" w:themeColor="text1"/>
          <w:sz w:val="24"/>
          <w:szCs w:val="24"/>
        </w:rPr>
        <w:t xml:space="preserve"> </w:t>
      </w:r>
      <w:r w:rsidR="005C459D" w:rsidRPr="00C33D74">
        <w:rPr>
          <w:rFonts w:ascii="Palatino Linotype" w:hAnsi="Palatino Linotype"/>
          <w:b/>
          <w:color w:val="000000" w:themeColor="text1"/>
          <w:sz w:val="24"/>
          <w:szCs w:val="24"/>
        </w:rPr>
        <w:t>Información Solicitada.</w:t>
      </w:r>
      <w:bookmarkEnd w:id="77"/>
      <w:r w:rsidR="005C459D" w:rsidRPr="00C33D74">
        <w:rPr>
          <w:rFonts w:ascii="Palatino Linotype" w:hAnsi="Palatino Linotype"/>
          <w:b/>
          <w:color w:val="000000" w:themeColor="text1"/>
          <w:sz w:val="24"/>
          <w:szCs w:val="24"/>
        </w:rPr>
        <w:t xml:space="preserve"> </w:t>
      </w:r>
      <w:r w:rsidR="00515BA2" w:rsidRPr="00C33D74">
        <w:rPr>
          <w:rFonts w:ascii="Palatino Linotype" w:hAnsi="Palatino Linotype"/>
          <w:b/>
          <w:color w:val="000000" w:themeColor="text1"/>
          <w:sz w:val="24"/>
          <w:szCs w:val="24"/>
        </w:rPr>
        <w:t xml:space="preserve"> </w:t>
      </w:r>
    </w:p>
    <w:p w14:paraId="2396E133" w14:textId="77777777" w:rsidR="00F91F42" w:rsidRPr="00C33D74" w:rsidRDefault="00F91F42" w:rsidP="00516F8D">
      <w:pPr>
        <w:rPr>
          <w:rFonts w:ascii="Palatino Linotype" w:hAnsi="Palatino Linotype"/>
          <w:lang w:val="es-MX" w:eastAsia="en-US"/>
        </w:rPr>
      </w:pPr>
    </w:p>
    <w:p w14:paraId="7F7DAB86" w14:textId="169F800D" w:rsidR="005E75D2" w:rsidRPr="00C33D74" w:rsidRDefault="002A6900" w:rsidP="001E3398">
      <w:pPr>
        <w:pStyle w:val="Prrafodelista"/>
        <w:numPr>
          <w:ilvl w:val="0"/>
          <w:numId w:val="1"/>
        </w:numPr>
        <w:spacing w:before="240" w:after="240" w:line="360" w:lineRule="auto"/>
        <w:ind w:left="0" w:firstLine="0"/>
        <w:jc w:val="both"/>
        <w:rPr>
          <w:rFonts w:ascii="Palatino Linotype" w:hAnsi="Palatino Linotype" w:cs="Arial"/>
          <w:i/>
          <w:lang w:val="es-MX"/>
        </w:rPr>
      </w:pPr>
      <w:r w:rsidRPr="00C33D74">
        <w:rPr>
          <w:rFonts w:ascii="Palatino Linotype" w:hAnsi="Palatino Linotype" w:cs="Times New Roman"/>
          <w:lang w:eastAsia="es-ES_tradnl"/>
        </w:rPr>
        <w:t xml:space="preserve">Uno de los objetivos con los que cuenta la </w:t>
      </w:r>
      <w:r w:rsidR="005E75D2" w:rsidRPr="00C33D74">
        <w:rPr>
          <w:rFonts w:ascii="Palatino Linotype" w:hAnsi="Palatino Linotype" w:cs="Times New Roman"/>
          <w:lang w:eastAsia="es-ES_tradnl"/>
        </w:rPr>
        <w:t>Ley</w:t>
      </w:r>
      <w:r w:rsidR="00747C65" w:rsidRPr="00C33D74">
        <w:rPr>
          <w:rFonts w:ascii="Palatino Linotype" w:hAnsi="Palatino Linotype" w:cs="Times New Roman"/>
          <w:lang w:eastAsia="es-ES_tradnl"/>
        </w:rPr>
        <w:t xml:space="preserve"> de Transparencia y Acceso a la Información pública del Estado de México y Municipios, </w:t>
      </w:r>
      <w:r w:rsidRPr="00C33D74">
        <w:rPr>
          <w:rFonts w:ascii="Palatino Linotype" w:hAnsi="Palatino Linotype" w:cs="Times New Roman"/>
          <w:lang w:eastAsia="es-ES_tradnl"/>
        </w:rPr>
        <w:t xml:space="preserve">es </w:t>
      </w:r>
      <w:r w:rsidR="002242F7" w:rsidRPr="00C33D74">
        <w:rPr>
          <w:rFonts w:ascii="Palatino Linotype" w:hAnsi="Palatino Linotype" w:cs="Times New Roman"/>
          <w:lang w:eastAsia="es-ES_tradnl"/>
        </w:rPr>
        <w:t xml:space="preserve">el </w:t>
      </w:r>
      <w:r w:rsidR="00FB160E" w:rsidRPr="00C33D74">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C33D74">
        <w:rPr>
          <w:rFonts w:ascii="Palatino Linotype" w:hAnsi="Palatino Linotype" w:cs="Times New Roman"/>
          <w:lang w:eastAsia="es-ES_tradnl"/>
        </w:rPr>
        <w:t xml:space="preserve"> </w:t>
      </w:r>
      <w:r w:rsidR="00FB160E" w:rsidRPr="00C33D74">
        <w:rPr>
          <w:rFonts w:ascii="Palatino Linotype" w:hAnsi="Palatino Linotype" w:cs="Times New Roman"/>
          <w:lang w:eastAsia="es-ES_tradnl"/>
        </w:rPr>
        <w:t xml:space="preserve">de la información que obra en poder de los Sujetos Obligados.  </w:t>
      </w:r>
    </w:p>
    <w:p w14:paraId="5E001A1C" w14:textId="51D6C605" w:rsidR="00935384" w:rsidRPr="00C33D74" w:rsidRDefault="00260059" w:rsidP="00935384">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C33D74">
        <w:rPr>
          <w:rFonts w:ascii="Palatino Linotype" w:hAnsi="Palatino Linotype" w:cs="Arial"/>
          <w:color w:val="000000" w:themeColor="text1"/>
        </w:rPr>
        <w:t>L</w:t>
      </w:r>
      <w:r w:rsidR="0083163C" w:rsidRPr="00C33D74">
        <w:rPr>
          <w:rFonts w:ascii="Palatino Linotype" w:hAnsi="Palatino Linotype" w:cs="Arial"/>
          <w:color w:val="000000" w:themeColor="text1"/>
        </w:rPr>
        <w:t xml:space="preserve">uego entonces </w:t>
      </w:r>
      <w:r w:rsidR="00FB160E" w:rsidRPr="00C33D74">
        <w:rPr>
          <w:rFonts w:ascii="Palatino Linotype" w:hAnsi="Palatino Linotype" w:cs="Arial"/>
          <w:color w:val="000000" w:themeColor="text1"/>
        </w:rPr>
        <w:t>el artículo</w:t>
      </w:r>
      <w:r w:rsidR="00BD5CA8" w:rsidRPr="00C33D74">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C33D74">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C33D74">
        <w:rPr>
          <w:rFonts w:ascii="Palatino Linotype" w:hAnsi="Palatino Linotype" w:cs="Arial"/>
          <w:color w:val="000000" w:themeColor="text1"/>
        </w:rPr>
        <w:t>como a continuación se observa:</w:t>
      </w:r>
    </w:p>
    <w:p w14:paraId="3777A088" w14:textId="77777777" w:rsidR="00AF6DF1" w:rsidRPr="00C33D74" w:rsidRDefault="00AF6DF1" w:rsidP="00AF6DF1">
      <w:pPr>
        <w:widowControl w:val="0"/>
        <w:autoSpaceDE w:val="0"/>
        <w:autoSpaceDN w:val="0"/>
        <w:adjustRightInd w:val="0"/>
        <w:spacing w:before="240" w:after="240" w:line="360" w:lineRule="auto"/>
        <w:jc w:val="both"/>
        <w:rPr>
          <w:rFonts w:ascii="Palatino Linotype" w:hAnsi="Palatino Linotype" w:cs="Times New Roman"/>
          <w:lang w:eastAsia="es-ES_tradnl"/>
        </w:rPr>
      </w:pPr>
    </w:p>
    <w:p w14:paraId="4307BDC2" w14:textId="3AFAEE6E" w:rsidR="003B6F7B" w:rsidRPr="00C33D74" w:rsidRDefault="00AC225D" w:rsidP="00AF6DF1">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C33D74">
        <w:rPr>
          <w:rFonts w:ascii="Palatino Linotype" w:hAnsi="Palatino Linotype" w:cs="Times New Roman"/>
          <w:b/>
          <w:i/>
          <w:sz w:val="22"/>
          <w:lang w:eastAsia="es-ES_tradnl"/>
        </w:rPr>
        <w:t>Artículo 18.</w:t>
      </w:r>
      <w:r w:rsidRPr="00C33D74">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799D5EA" w14:textId="77777777" w:rsidR="00AF6DF1" w:rsidRPr="00C33D74" w:rsidRDefault="00AF6DF1" w:rsidP="00AF6DF1">
      <w:pPr>
        <w:widowControl w:val="0"/>
        <w:autoSpaceDE w:val="0"/>
        <w:autoSpaceDN w:val="0"/>
        <w:adjustRightInd w:val="0"/>
        <w:spacing w:before="240" w:after="240" w:line="360" w:lineRule="auto"/>
        <w:ind w:right="567"/>
        <w:jc w:val="both"/>
        <w:rPr>
          <w:rFonts w:ascii="Palatino Linotype" w:hAnsi="Palatino Linotype" w:cs="Times New Roman"/>
          <w:i/>
          <w:sz w:val="22"/>
          <w:lang w:eastAsia="es-ES_tradnl"/>
        </w:rPr>
      </w:pPr>
    </w:p>
    <w:p w14:paraId="6FE6EE33" w14:textId="2DE04B0C" w:rsidR="003B6F7B" w:rsidRPr="00C33D74" w:rsidRDefault="004A5464" w:rsidP="003B6F7B">
      <w:pPr>
        <w:pStyle w:val="Prrafodelista"/>
        <w:numPr>
          <w:ilvl w:val="0"/>
          <w:numId w:val="1"/>
        </w:numPr>
        <w:spacing w:before="240" w:after="240" w:line="360" w:lineRule="auto"/>
        <w:ind w:left="0" w:firstLine="0"/>
        <w:jc w:val="both"/>
        <w:rPr>
          <w:rFonts w:ascii="Palatino Linotype" w:eastAsia="MS Mincho" w:hAnsi="Palatino Linotype" w:cs="Arial"/>
          <w:i/>
          <w:lang w:val="es-MX"/>
        </w:rPr>
      </w:pPr>
      <w:r w:rsidRPr="00C33D74">
        <w:rPr>
          <w:rFonts w:ascii="Palatino Linotype" w:hAnsi="Palatino Linotype" w:cs="Arial"/>
        </w:rPr>
        <w:t xml:space="preserve">Expuesto lo anterior, </w:t>
      </w:r>
      <w:r w:rsidR="003B6F7B" w:rsidRPr="00C33D74">
        <w:rPr>
          <w:rFonts w:ascii="Palatino Linotype" w:eastAsia="Calibri" w:hAnsi="Palatino Linotype" w:cs="Times New Roman"/>
        </w:rPr>
        <w:t xml:space="preserve">para determinar si con la respuesta emitida el sujeto obligado atendió los requerimientos realizados por el particular </w:t>
      </w:r>
      <w:r w:rsidR="003B6F7B" w:rsidRPr="00C33D74">
        <w:rPr>
          <w:rFonts w:ascii="Palatino Linotype" w:eastAsia="Calibri" w:hAnsi="Palatino Linotype" w:cs="Times New Roman"/>
          <w:color w:val="000000"/>
          <w:szCs w:val="22"/>
          <w:lang w:val="es-ES" w:eastAsia="en-US"/>
        </w:rPr>
        <w:t>se considera pertinente elaborar un cuadro de análisis</w:t>
      </w:r>
      <w:r w:rsidR="003B6F7B" w:rsidRPr="00C33D74">
        <w:rPr>
          <w:rFonts w:ascii="Palatino Linotype" w:eastAsia="MS Mincho" w:hAnsi="Palatino Linotype" w:cs="Times New Roman"/>
          <w:color w:val="000000"/>
          <w:vertAlign w:val="superscript"/>
          <w:lang w:val="es-ES" w:eastAsia="en-US"/>
        </w:rPr>
        <w:footnoteReference w:id="1"/>
      </w:r>
      <w:r w:rsidR="003B6F7B" w:rsidRPr="00C33D74">
        <w:rPr>
          <w:rFonts w:ascii="Palatino Linotype" w:eastAsia="Calibri" w:hAnsi="Palatino Linotype" w:cs="Times New Roman"/>
          <w:color w:val="000000"/>
          <w:szCs w:val="22"/>
          <w:lang w:val="es-ES" w:eastAsia="en-US"/>
        </w:rPr>
        <w:t>, mismo que se inserta a continuación:</w:t>
      </w:r>
    </w:p>
    <w:p w14:paraId="094D089A" w14:textId="77777777" w:rsidR="003B6F7B" w:rsidRPr="00C33D74" w:rsidRDefault="003B6F7B" w:rsidP="003B6F7B">
      <w:pPr>
        <w:ind w:left="720"/>
        <w:contextualSpacing/>
        <w:rPr>
          <w:rFonts w:ascii="Palatino Linotype" w:eastAsia="MS Mincho" w:hAnsi="Palatino Linotype" w:cs="Arial"/>
          <w:i/>
          <w:lang w:val="es-MX"/>
        </w:rPr>
      </w:pPr>
    </w:p>
    <w:tbl>
      <w:tblPr>
        <w:tblStyle w:val="Tablaconcuadrcula211"/>
        <w:tblW w:w="9214" w:type="dxa"/>
        <w:tblCellMar>
          <w:left w:w="70" w:type="dxa"/>
          <w:right w:w="70" w:type="dxa"/>
        </w:tblCellMar>
        <w:tblLook w:val="0000" w:firstRow="0" w:lastRow="0" w:firstColumn="0" w:lastColumn="0" w:noHBand="0" w:noVBand="0"/>
      </w:tblPr>
      <w:tblGrid>
        <w:gridCol w:w="993"/>
        <w:gridCol w:w="3142"/>
        <w:gridCol w:w="3870"/>
        <w:gridCol w:w="1209"/>
      </w:tblGrid>
      <w:tr w:rsidR="003B6F7B" w:rsidRPr="00C33D74" w14:paraId="556EA023" w14:textId="77777777" w:rsidTr="00AE31B4">
        <w:trPr>
          <w:trHeight w:val="825"/>
        </w:trPr>
        <w:tc>
          <w:tcPr>
            <w:tcW w:w="9214" w:type="dxa"/>
            <w:gridSpan w:val="4"/>
          </w:tcPr>
          <w:p w14:paraId="6B4FA8FA" w14:textId="77777777" w:rsidR="003B6F7B" w:rsidRPr="00C33D74" w:rsidRDefault="003B6F7B" w:rsidP="003B6F7B">
            <w:pPr>
              <w:jc w:val="center"/>
              <w:rPr>
                <w:rFonts w:ascii="Palatino Linotype" w:hAnsi="Palatino Linotype" w:cs="Arial"/>
                <w:b/>
                <w:sz w:val="20"/>
                <w:szCs w:val="20"/>
              </w:rPr>
            </w:pPr>
          </w:p>
          <w:p w14:paraId="6A125F07" w14:textId="15685BA0" w:rsidR="003B6F7B" w:rsidRPr="00C33D74" w:rsidRDefault="003B6F7B" w:rsidP="003B6F7B">
            <w:pPr>
              <w:jc w:val="center"/>
              <w:rPr>
                <w:rFonts w:ascii="Palatino Linotype" w:hAnsi="Palatino Linotype" w:cs="Arial"/>
                <w:b/>
                <w:bCs/>
                <w:sz w:val="20"/>
                <w:szCs w:val="20"/>
                <w:lang w:val="es-ES_tradnl"/>
              </w:rPr>
            </w:pPr>
            <w:r w:rsidRPr="00C33D74">
              <w:rPr>
                <w:rFonts w:ascii="Palatino Linotype" w:hAnsi="Palatino Linotype" w:cs="Arial"/>
                <w:b/>
                <w:sz w:val="20"/>
                <w:szCs w:val="20"/>
              </w:rPr>
              <w:t xml:space="preserve">Solicitud </w:t>
            </w:r>
            <w:r w:rsidR="004279B4" w:rsidRPr="00C33D74">
              <w:rPr>
                <w:rFonts w:ascii="Palatino Linotype" w:hAnsi="Palatino Linotype" w:cs="Arial"/>
                <w:b/>
                <w:bCs/>
                <w:sz w:val="20"/>
                <w:szCs w:val="20"/>
                <w:lang w:val="es-ES_tradnl"/>
              </w:rPr>
              <w:t>00963/ATIZARA/IP/2019.</w:t>
            </w:r>
          </w:p>
          <w:p w14:paraId="3A291746" w14:textId="4B5B53F6" w:rsidR="003B6F7B" w:rsidRPr="00C33D74" w:rsidRDefault="003B6F7B" w:rsidP="004279B4">
            <w:pPr>
              <w:jc w:val="center"/>
              <w:rPr>
                <w:rFonts w:ascii="Palatino Linotype" w:hAnsi="Palatino Linotype" w:cs="Arial"/>
                <w:sz w:val="20"/>
                <w:szCs w:val="20"/>
              </w:rPr>
            </w:pPr>
          </w:p>
        </w:tc>
      </w:tr>
      <w:tr w:rsidR="003B6F7B" w:rsidRPr="00C33D74" w14:paraId="613A7735" w14:textId="77777777" w:rsidTr="004279B4">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14:paraId="1002320A" w14:textId="77777777" w:rsidR="003B6F7B" w:rsidRPr="00C33D74" w:rsidRDefault="003B6F7B" w:rsidP="003B6F7B">
            <w:pPr>
              <w:rPr>
                <w:rFonts w:ascii="Palatino Linotype" w:hAnsi="Palatino Linotype"/>
                <w:sz w:val="20"/>
                <w:szCs w:val="20"/>
              </w:rPr>
            </w:pPr>
          </w:p>
          <w:p w14:paraId="3F465C82" w14:textId="0DC57ABD" w:rsidR="003B6F7B" w:rsidRPr="00C33D74" w:rsidRDefault="004279B4" w:rsidP="003B6F7B">
            <w:pPr>
              <w:jc w:val="center"/>
              <w:rPr>
                <w:rFonts w:ascii="Palatino Linotype" w:hAnsi="Palatino Linotype"/>
                <w:sz w:val="20"/>
                <w:szCs w:val="20"/>
              </w:rPr>
            </w:pPr>
            <w:r w:rsidRPr="00C33D74">
              <w:rPr>
                <w:rFonts w:ascii="Palatino Linotype" w:hAnsi="Palatino Linotype"/>
                <w:sz w:val="20"/>
                <w:szCs w:val="20"/>
              </w:rPr>
              <w:t xml:space="preserve">No. </w:t>
            </w:r>
          </w:p>
        </w:tc>
        <w:tc>
          <w:tcPr>
            <w:tcW w:w="3142" w:type="dxa"/>
            <w:shd w:val="clear" w:color="auto" w:fill="DBDBDB"/>
          </w:tcPr>
          <w:p w14:paraId="0957CDE2" w14:textId="77777777" w:rsidR="003B6F7B" w:rsidRPr="00C33D74" w:rsidRDefault="003B6F7B" w:rsidP="003B6F7B">
            <w:pPr>
              <w:jc w:val="center"/>
              <w:rPr>
                <w:rFonts w:ascii="Palatino Linotype" w:hAnsi="Palatino Linotype"/>
                <w:sz w:val="20"/>
                <w:szCs w:val="20"/>
              </w:rPr>
            </w:pPr>
          </w:p>
          <w:p w14:paraId="088204BD" w14:textId="77777777" w:rsidR="003B6F7B" w:rsidRPr="00C33D74" w:rsidRDefault="003B6F7B" w:rsidP="003B6F7B">
            <w:pPr>
              <w:jc w:val="center"/>
              <w:rPr>
                <w:rFonts w:ascii="Palatino Linotype" w:hAnsi="Palatino Linotype"/>
                <w:sz w:val="20"/>
                <w:szCs w:val="20"/>
              </w:rPr>
            </w:pPr>
            <w:r w:rsidRPr="00C33D74">
              <w:rPr>
                <w:rFonts w:ascii="Palatino Linotype" w:hAnsi="Palatino Linotype"/>
                <w:sz w:val="20"/>
                <w:szCs w:val="20"/>
              </w:rPr>
              <w:t>Información Requerida:</w:t>
            </w:r>
          </w:p>
        </w:tc>
        <w:tc>
          <w:tcPr>
            <w:tcW w:w="3870" w:type="dxa"/>
            <w:shd w:val="clear" w:color="auto" w:fill="DBDBDB"/>
          </w:tcPr>
          <w:p w14:paraId="7EFC6B85" w14:textId="77777777" w:rsidR="003B6F7B" w:rsidRPr="00C33D74" w:rsidRDefault="003B6F7B" w:rsidP="003B6F7B">
            <w:pPr>
              <w:jc w:val="center"/>
              <w:rPr>
                <w:rFonts w:ascii="Palatino Linotype" w:hAnsi="Palatino Linotype"/>
                <w:sz w:val="20"/>
                <w:szCs w:val="20"/>
              </w:rPr>
            </w:pPr>
          </w:p>
          <w:p w14:paraId="34B5DB9B" w14:textId="77777777" w:rsidR="003B6F7B" w:rsidRPr="00C33D74" w:rsidRDefault="003B6F7B" w:rsidP="003B6F7B">
            <w:pPr>
              <w:jc w:val="center"/>
              <w:rPr>
                <w:rFonts w:ascii="Palatino Linotype" w:hAnsi="Palatino Linotype"/>
                <w:sz w:val="20"/>
                <w:szCs w:val="20"/>
              </w:rPr>
            </w:pPr>
            <w:r w:rsidRPr="00C33D74">
              <w:rPr>
                <w:rFonts w:ascii="Palatino Linotype" w:hAnsi="Palatino Linotype"/>
                <w:sz w:val="20"/>
                <w:szCs w:val="20"/>
              </w:rPr>
              <w:t xml:space="preserve">Información entregada en respuesta: </w:t>
            </w:r>
          </w:p>
        </w:tc>
        <w:tc>
          <w:tcPr>
            <w:tcW w:w="1209" w:type="dxa"/>
            <w:shd w:val="clear" w:color="auto" w:fill="D9D9D9"/>
          </w:tcPr>
          <w:p w14:paraId="3FB6A0C0" w14:textId="77777777" w:rsidR="003B6F7B" w:rsidRPr="00C33D74" w:rsidRDefault="003B6F7B" w:rsidP="003B6F7B">
            <w:pPr>
              <w:jc w:val="center"/>
              <w:rPr>
                <w:rFonts w:ascii="Palatino Linotype" w:hAnsi="Palatino Linotype"/>
                <w:sz w:val="20"/>
                <w:szCs w:val="20"/>
              </w:rPr>
            </w:pPr>
          </w:p>
          <w:p w14:paraId="5C41BE9D" w14:textId="77777777" w:rsidR="003B6F7B" w:rsidRPr="00C33D74" w:rsidRDefault="003B6F7B" w:rsidP="003B6F7B">
            <w:pPr>
              <w:jc w:val="center"/>
              <w:rPr>
                <w:rFonts w:ascii="Palatino Linotype" w:hAnsi="Palatino Linotype"/>
                <w:sz w:val="20"/>
                <w:szCs w:val="20"/>
              </w:rPr>
            </w:pPr>
            <w:r w:rsidRPr="00C33D74">
              <w:rPr>
                <w:rFonts w:ascii="Palatino Linotype" w:hAnsi="Palatino Linotype"/>
                <w:sz w:val="20"/>
                <w:szCs w:val="20"/>
              </w:rPr>
              <w:t xml:space="preserve">¿Satisface la solicitud? </w:t>
            </w:r>
          </w:p>
        </w:tc>
      </w:tr>
      <w:tr w:rsidR="003B6F7B" w:rsidRPr="00C33D74" w14:paraId="5F7E6C1E" w14:textId="77777777" w:rsidTr="004279B4">
        <w:tblPrEx>
          <w:tblCellMar>
            <w:left w:w="108" w:type="dxa"/>
            <w:right w:w="108" w:type="dxa"/>
          </w:tblCellMar>
          <w:tblLook w:val="04A0" w:firstRow="1" w:lastRow="0" w:firstColumn="1" w:lastColumn="0" w:noHBand="0" w:noVBand="1"/>
        </w:tblPrEx>
        <w:trPr>
          <w:trHeight w:val="2087"/>
        </w:trPr>
        <w:tc>
          <w:tcPr>
            <w:tcW w:w="993" w:type="dxa"/>
            <w:shd w:val="clear" w:color="auto" w:fill="auto"/>
          </w:tcPr>
          <w:p w14:paraId="1AFC14DB" w14:textId="77777777" w:rsidR="003B6F7B" w:rsidRPr="00C33D74" w:rsidRDefault="003B6F7B" w:rsidP="003B6F7B">
            <w:pPr>
              <w:tabs>
                <w:tab w:val="left" w:pos="1627"/>
              </w:tabs>
              <w:rPr>
                <w:rFonts w:ascii="Palatino Linotype" w:hAnsi="Palatino Linotype"/>
                <w:b/>
                <w:sz w:val="20"/>
                <w:szCs w:val="20"/>
              </w:rPr>
            </w:pPr>
          </w:p>
          <w:p w14:paraId="53B8DEEA" w14:textId="77777777" w:rsidR="003B6F7B" w:rsidRPr="00C33D74" w:rsidRDefault="003B6F7B" w:rsidP="003B6F7B">
            <w:pPr>
              <w:tabs>
                <w:tab w:val="left" w:pos="1627"/>
              </w:tabs>
              <w:jc w:val="center"/>
              <w:rPr>
                <w:rFonts w:ascii="Palatino Linotype" w:hAnsi="Palatino Linotype"/>
                <w:b/>
                <w:sz w:val="20"/>
                <w:szCs w:val="20"/>
              </w:rPr>
            </w:pPr>
          </w:p>
          <w:p w14:paraId="764C8A2D" w14:textId="77777777" w:rsidR="003B6F7B" w:rsidRPr="00C33D74" w:rsidRDefault="003B6F7B" w:rsidP="003B6F7B">
            <w:pPr>
              <w:tabs>
                <w:tab w:val="left" w:pos="1627"/>
              </w:tabs>
              <w:jc w:val="center"/>
              <w:rPr>
                <w:rFonts w:ascii="Palatino Linotype" w:hAnsi="Palatino Linotype"/>
                <w:b/>
                <w:sz w:val="20"/>
                <w:szCs w:val="20"/>
              </w:rPr>
            </w:pPr>
            <w:r w:rsidRPr="00C33D74">
              <w:rPr>
                <w:rFonts w:ascii="Palatino Linotype" w:hAnsi="Palatino Linotype"/>
                <w:b/>
                <w:sz w:val="20"/>
                <w:szCs w:val="20"/>
              </w:rPr>
              <w:t>1</w:t>
            </w:r>
          </w:p>
        </w:tc>
        <w:tc>
          <w:tcPr>
            <w:tcW w:w="3142" w:type="dxa"/>
            <w:shd w:val="clear" w:color="auto" w:fill="auto"/>
          </w:tcPr>
          <w:p w14:paraId="715DD203" w14:textId="77777777" w:rsidR="003B6F7B" w:rsidRPr="00C33D74" w:rsidRDefault="003B6F7B" w:rsidP="003B6F7B">
            <w:pPr>
              <w:contextualSpacing/>
              <w:jc w:val="both"/>
              <w:rPr>
                <w:rFonts w:ascii="Palatino Linotype" w:hAnsi="Palatino Linotype"/>
                <w:color w:val="000000"/>
                <w:sz w:val="20"/>
                <w:szCs w:val="20"/>
              </w:rPr>
            </w:pPr>
          </w:p>
          <w:p w14:paraId="11C0F17A" w14:textId="77777777" w:rsidR="004279B4" w:rsidRPr="00C33D74" w:rsidRDefault="004279B4" w:rsidP="004279B4">
            <w:pPr>
              <w:spacing w:line="360" w:lineRule="auto"/>
              <w:contextualSpacing/>
              <w:jc w:val="both"/>
              <w:rPr>
                <w:rFonts w:ascii="Palatino Linotype" w:hAnsi="Palatino Linotype"/>
                <w:color w:val="000000"/>
                <w:sz w:val="20"/>
                <w:szCs w:val="20"/>
                <w:lang w:val="es-ES"/>
              </w:rPr>
            </w:pPr>
            <w:r w:rsidRPr="00C33D74">
              <w:rPr>
                <w:rFonts w:ascii="Palatino Linotype" w:hAnsi="Palatino Linotype"/>
                <w:i/>
                <w:color w:val="000000"/>
                <w:sz w:val="20"/>
                <w:szCs w:val="20"/>
                <w:lang w:val="es-ES_tradnl"/>
              </w:rPr>
              <w:t xml:space="preserve">“Deseo saber cuántos elementos de seguridad, policías municipales, miembros de fuerzas especiales del municipio de Atizapán de Zaragoza o estatales participaron en la tarde-noche del 9 de octubre del presente año para disolver, reprimir o contener a los ciudadanos que se manifestaban en contra del puente vehicular de San Mateo </w:t>
            </w:r>
            <w:proofErr w:type="spellStart"/>
            <w:r w:rsidRPr="00C33D74">
              <w:rPr>
                <w:rFonts w:ascii="Palatino Linotype" w:hAnsi="Palatino Linotype"/>
                <w:i/>
                <w:color w:val="000000"/>
                <w:sz w:val="20"/>
                <w:szCs w:val="20"/>
                <w:lang w:val="es-ES_tradnl"/>
              </w:rPr>
              <w:t>Tecoloapan</w:t>
            </w:r>
            <w:proofErr w:type="spellEnd"/>
            <w:r w:rsidRPr="00C33D74">
              <w:rPr>
                <w:rFonts w:ascii="Palatino Linotype" w:hAnsi="Palatino Linotype"/>
                <w:i/>
                <w:color w:val="000000"/>
                <w:sz w:val="20"/>
                <w:szCs w:val="20"/>
                <w:lang w:val="es-ES_tradnl"/>
              </w:rPr>
              <w:t xml:space="preserve"> y que se ubicaron en la calzada Jinetes, frente al centro comercial </w:t>
            </w:r>
            <w:proofErr w:type="spellStart"/>
            <w:r w:rsidRPr="00C33D74">
              <w:rPr>
                <w:rFonts w:ascii="Palatino Linotype" w:hAnsi="Palatino Linotype"/>
                <w:i/>
                <w:color w:val="000000"/>
                <w:sz w:val="20"/>
                <w:szCs w:val="20"/>
                <w:lang w:val="es-ES_tradnl"/>
              </w:rPr>
              <w:lastRenderedPageBreak/>
              <w:t>Sumesa</w:t>
            </w:r>
            <w:proofErr w:type="spellEnd"/>
            <w:r w:rsidRPr="00C33D74">
              <w:rPr>
                <w:rFonts w:ascii="Palatino Linotype" w:hAnsi="Palatino Linotype"/>
                <w:i/>
                <w:color w:val="000000"/>
                <w:sz w:val="20"/>
                <w:szCs w:val="20"/>
                <w:lang w:val="es-ES_tradnl"/>
              </w:rPr>
              <w:t>. Deseo saber número de elementos y la corporación a la que pertenecen. Además de quién coordinó el operativo, y quién ordenó la acción”</w:t>
            </w:r>
            <w:r w:rsidRPr="00C33D74">
              <w:rPr>
                <w:rFonts w:ascii="Palatino Linotype" w:hAnsi="Palatino Linotype"/>
                <w:i/>
                <w:color w:val="000000"/>
                <w:sz w:val="20"/>
                <w:szCs w:val="20"/>
                <w:lang w:val="es-ES"/>
              </w:rPr>
              <w:t xml:space="preserve"> </w:t>
            </w:r>
            <w:r w:rsidRPr="00C33D74">
              <w:rPr>
                <w:rFonts w:ascii="Palatino Linotype" w:hAnsi="Palatino Linotype"/>
                <w:color w:val="000000"/>
                <w:sz w:val="20"/>
                <w:szCs w:val="20"/>
                <w:lang w:val="es-ES"/>
              </w:rPr>
              <w:t>(Sic)</w:t>
            </w:r>
          </w:p>
          <w:p w14:paraId="374EAC0F" w14:textId="18981659" w:rsidR="003B6F7B" w:rsidRPr="00C33D74" w:rsidRDefault="003B6F7B" w:rsidP="004279B4">
            <w:pPr>
              <w:contextualSpacing/>
              <w:jc w:val="both"/>
              <w:rPr>
                <w:rFonts w:ascii="Palatino Linotype" w:hAnsi="Palatino Linotype"/>
                <w:color w:val="000000"/>
                <w:sz w:val="20"/>
                <w:szCs w:val="20"/>
                <w:lang w:val="es-ES"/>
              </w:rPr>
            </w:pPr>
          </w:p>
        </w:tc>
        <w:tc>
          <w:tcPr>
            <w:tcW w:w="3870" w:type="dxa"/>
            <w:shd w:val="clear" w:color="auto" w:fill="auto"/>
          </w:tcPr>
          <w:p w14:paraId="645DA1E4" w14:textId="77777777" w:rsidR="004279B4" w:rsidRPr="00C33D74" w:rsidRDefault="004279B4" w:rsidP="004279B4">
            <w:pPr>
              <w:spacing w:line="360" w:lineRule="auto"/>
              <w:jc w:val="both"/>
              <w:rPr>
                <w:rFonts w:ascii="Palatino Linotype" w:hAnsi="Palatino Linotype"/>
                <w:sz w:val="20"/>
                <w:szCs w:val="20"/>
                <w:lang w:val="es-ES"/>
              </w:rPr>
            </w:pPr>
            <w:r w:rsidRPr="00C33D74">
              <w:rPr>
                <w:rFonts w:ascii="Palatino Linotype" w:hAnsi="Palatino Linotype"/>
                <w:i/>
                <w:sz w:val="20"/>
                <w:szCs w:val="20"/>
                <w:lang w:val="es-ES"/>
              </w:rPr>
              <w:lastRenderedPageBreak/>
              <w:t xml:space="preserve">“ Dicha información se encuentra en el supuesto de ser reservada, en virtud de que forma parte de una investigación Judicial ante la Fiscalía General de Justicia, misma que establece el precepto de restricción de la información, relacionada con los procedimientos judiciales o administrativos en tanto no hayan quedado firmes, por lo tanto se confirma el supuesto de que al entregar la información se rebasa el interés particular sobre el interés público protegido por la reserva, al publicar dicha información afecta una posición fundamental que es una </w:t>
            </w:r>
            <w:r w:rsidRPr="00C33D74">
              <w:rPr>
                <w:rFonts w:ascii="Palatino Linotype" w:hAnsi="Palatino Linotype"/>
                <w:i/>
                <w:sz w:val="20"/>
                <w:szCs w:val="20"/>
                <w:lang w:val="es-ES"/>
              </w:rPr>
              <w:lastRenderedPageBreak/>
              <w:t>condición  necesaria del debido proceso y conducción de un expediente judicial o administrativo previo a que cause estado.”</w:t>
            </w:r>
          </w:p>
          <w:p w14:paraId="031C48C8" w14:textId="0877782A" w:rsidR="003B6F7B" w:rsidRPr="00C33D74" w:rsidRDefault="003B6F7B" w:rsidP="004279B4">
            <w:pPr>
              <w:jc w:val="both"/>
              <w:rPr>
                <w:rFonts w:ascii="Palatino Linotype" w:hAnsi="Palatino Linotype"/>
                <w:sz w:val="20"/>
                <w:szCs w:val="20"/>
                <w:lang w:val="es-ES"/>
              </w:rPr>
            </w:pPr>
          </w:p>
        </w:tc>
        <w:tc>
          <w:tcPr>
            <w:tcW w:w="1209" w:type="dxa"/>
          </w:tcPr>
          <w:p w14:paraId="6F20E151" w14:textId="77777777" w:rsidR="003B6F7B" w:rsidRPr="00C33D74" w:rsidRDefault="003B6F7B" w:rsidP="003B6F7B">
            <w:pPr>
              <w:rPr>
                <w:rFonts w:ascii="Palatino Linotype" w:hAnsi="Palatino Linotype"/>
                <w:sz w:val="20"/>
                <w:szCs w:val="20"/>
              </w:rPr>
            </w:pPr>
          </w:p>
          <w:p w14:paraId="5B70D743" w14:textId="77777777" w:rsidR="003B6F7B" w:rsidRPr="00C33D74" w:rsidRDefault="003B6F7B" w:rsidP="003B6F7B">
            <w:pPr>
              <w:rPr>
                <w:rFonts w:ascii="Palatino Linotype" w:hAnsi="Palatino Linotype"/>
                <w:sz w:val="20"/>
                <w:szCs w:val="20"/>
              </w:rPr>
            </w:pPr>
          </w:p>
          <w:p w14:paraId="29FB02AD" w14:textId="77777777" w:rsidR="00FA2FD2" w:rsidRPr="00C33D74" w:rsidRDefault="00FA2FD2" w:rsidP="003B6F7B">
            <w:pPr>
              <w:tabs>
                <w:tab w:val="left" w:pos="930"/>
                <w:tab w:val="center" w:pos="1026"/>
              </w:tabs>
              <w:jc w:val="center"/>
              <w:rPr>
                <w:rFonts w:ascii="Palatino Linotype" w:hAnsi="Palatino Linotype"/>
                <w:sz w:val="20"/>
                <w:szCs w:val="20"/>
              </w:rPr>
            </w:pPr>
          </w:p>
          <w:p w14:paraId="1DA278BF" w14:textId="77777777" w:rsidR="00FA2FD2" w:rsidRPr="00C33D74" w:rsidRDefault="00FA2FD2" w:rsidP="003B6F7B">
            <w:pPr>
              <w:tabs>
                <w:tab w:val="left" w:pos="930"/>
                <w:tab w:val="center" w:pos="1026"/>
              </w:tabs>
              <w:jc w:val="center"/>
              <w:rPr>
                <w:rFonts w:ascii="Palatino Linotype" w:hAnsi="Palatino Linotype"/>
                <w:sz w:val="20"/>
                <w:szCs w:val="20"/>
              </w:rPr>
            </w:pPr>
          </w:p>
          <w:p w14:paraId="12FF1968" w14:textId="537D40E9" w:rsidR="003B6F7B" w:rsidRPr="00C33D74" w:rsidRDefault="00AE31B4" w:rsidP="003B6F7B">
            <w:pPr>
              <w:tabs>
                <w:tab w:val="left" w:pos="930"/>
                <w:tab w:val="center" w:pos="1026"/>
              </w:tabs>
              <w:jc w:val="center"/>
              <w:rPr>
                <w:rFonts w:ascii="Palatino Linotype" w:hAnsi="Palatino Linotype"/>
                <w:sz w:val="20"/>
                <w:szCs w:val="20"/>
              </w:rPr>
            </w:pPr>
            <w:r w:rsidRPr="00C33D74">
              <w:rPr>
                <w:rFonts w:ascii="Palatino Linotype" w:hAnsi="Palatino Linotype"/>
                <w:sz w:val="20"/>
                <w:szCs w:val="20"/>
              </w:rPr>
              <w:t>NO</w:t>
            </w:r>
          </w:p>
        </w:tc>
      </w:tr>
    </w:tbl>
    <w:p w14:paraId="06B7629A" w14:textId="77777777" w:rsidR="00AE31B4" w:rsidRPr="00C33D74" w:rsidRDefault="00AE31B4" w:rsidP="00AE31B4">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2D444DF4" w14:textId="020FBDB2" w:rsidR="00820561" w:rsidRPr="00C33D74" w:rsidRDefault="00820561" w:rsidP="00D76796">
      <w:pPr>
        <w:widowControl w:val="0"/>
        <w:numPr>
          <w:ilvl w:val="0"/>
          <w:numId w:val="1"/>
        </w:numPr>
        <w:autoSpaceDE w:val="0"/>
        <w:autoSpaceDN w:val="0"/>
        <w:adjustRightInd w:val="0"/>
        <w:spacing w:before="240" w:after="240" w:line="360" w:lineRule="auto"/>
        <w:ind w:left="0" w:firstLine="0"/>
        <w:contextualSpacing/>
        <w:jc w:val="both"/>
        <w:rPr>
          <w:rFonts w:ascii="Palatino Linotype" w:eastAsia="Times New Roman" w:hAnsi="Palatino Linotype" w:cs="Times New Roman"/>
          <w:lang w:eastAsia="es-ES_tradnl"/>
        </w:rPr>
      </w:pPr>
      <w:r w:rsidRPr="00C33D74">
        <w:rPr>
          <w:rFonts w:ascii="Palatino Linotype" w:eastAsia="Times New Roman" w:hAnsi="Palatino Linotype" w:cs="Arial"/>
          <w:color w:val="000000"/>
        </w:rPr>
        <w:t>Puntualizado lo anterior es necesario señalar que las razones o motivos de inconformidad aducidas por el particular devienen fundadas</w:t>
      </w:r>
      <w:r w:rsidR="00D76796" w:rsidRPr="00C33D74">
        <w:rPr>
          <w:rFonts w:ascii="Palatino Linotype" w:eastAsia="Times New Roman" w:hAnsi="Palatino Linotype" w:cs="Arial"/>
          <w:color w:val="000000"/>
        </w:rPr>
        <w:t xml:space="preserve"> y procedentes</w:t>
      </w:r>
      <w:r w:rsidRPr="00C33D74">
        <w:rPr>
          <w:rFonts w:ascii="Palatino Linotype" w:eastAsia="Times New Roman" w:hAnsi="Palatino Linotype" w:cs="Arial"/>
          <w:color w:val="000000"/>
        </w:rPr>
        <w:t>, toda vez que no se sustentó debidamente la clasificación de la información</w:t>
      </w:r>
      <w:r w:rsidR="00D76796" w:rsidRPr="00C33D74">
        <w:rPr>
          <w:rFonts w:ascii="Palatino Linotype" w:eastAsia="Times New Roman" w:hAnsi="Palatino Linotype" w:cs="Arial"/>
          <w:b/>
          <w:color w:val="000000"/>
        </w:rPr>
        <w:t xml:space="preserve">, así </w:t>
      </w:r>
      <w:r w:rsidRPr="00C33D74">
        <w:rPr>
          <w:rFonts w:ascii="Palatino Linotype" w:hAnsi="Palatino Linotype" w:cs="Arial"/>
        </w:rPr>
        <w:t xml:space="preserve">el </w:t>
      </w:r>
      <w:r w:rsidRPr="00C33D74">
        <w:rPr>
          <w:rFonts w:ascii="Palatino Linotype" w:hAnsi="Palatino Linotype" w:cs="Arial"/>
          <w:b/>
        </w:rPr>
        <w:t>SUJETO OBLIGADO</w:t>
      </w:r>
      <w:r w:rsidRPr="00C33D74">
        <w:rPr>
          <w:rFonts w:ascii="Palatino Linotype" w:hAnsi="Palatino Linotype" w:cs="Arial"/>
        </w:rPr>
        <w:t>, estableció que la información solicitada consistente en el número de oficiales, así como quien coordino el operativo referido</w:t>
      </w:r>
      <w:r w:rsidR="00D76796" w:rsidRPr="00C33D74">
        <w:rPr>
          <w:rFonts w:ascii="Palatino Linotype" w:hAnsi="Palatino Linotype" w:cs="Arial"/>
        </w:rPr>
        <w:t>,</w:t>
      </w:r>
      <w:r w:rsidRPr="00C33D74">
        <w:rPr>
          <w:rFonts w:ascii="Palatino Linotype" w:hAnsi="Palatino Linotype" w:cs="Arial"/>
        </w:rPr>
        <w:t xml:space="preserve"> constituye información reservada al formar parte de un proceso de investigación por lo que restringió el acceso a la información solicitada, con fundamento en los artículos</w:t>
      </w:r>
      <w:r w:rsidR="003D364F" w:rsidRPr="00C33D74">
        <w:rPr>
          <w:rFonts w:ascii="Palatino Linotype" w:hAnsi="Palatino Linotype" w:cs="Arial"/>
        </w:rPr>
        <w:t xml:space="preserve"> 3, 49, 125, 128 y 140 fracción  VIII de la </w:t>
      </w:r>
      <w:r w:rsidRPr="00C33D74">
        <w:rPr>
          <w:rFonts w:ascii="Palatino Linotype" w:hAnsi="Palatino Linotype" w:cs="Arial"/>
        </w:rPr>
        <w:t>ley de Transparencia y Acceso a la Información Pública del Estado y Municipios, y demás aplicables.</w:t>
      </w:r>
    </w:p>
    <w:p w14:paraId="30ED1667" w14:textId="77777777" w:rsidR="00D76796" w:rsidRPr="00C33D74" w:rsidRDefault="00D76796" w:rsidP="00D76796">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306F5A31" w14:textId="214CB738" w:rsidR="00820561" w:rsidRPr="00C33D74" w:rsidRDefault="00D76796" w:rsidP="00820561">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hAnsi="Palatino Linotype" w:cs="Arial"/>
        </w:rPr>
        <w:t>Así, e</w:t>
      </w:r>
      <w:r w:rsidR="00820561" w:rsidRPr="00C33D74">
        <w:rPr>
          <w:rFonts w:ascii="Palatino Linotype" w:hAnsi="Palatino Linotype" w:cs="Arial"/>
        </w:rPr>
        <w:t xml:space="preserve">n primer </w:t>
      </w:r>
      <w:r w:rsidR="00AF6DF1" w:rsidRPr="00C33D74">
        <w:rPr>
          <w:rFonts w:ascii="Palatino Linotype" w:hAnsi="Palatino Linotype" w:cs="Arial"/>
        </w:rPr>
        <w:t>término,</w:t>
      </w:r>
      <w:r w:rsidR="00820561" w:rsidRPr="00C33D74">
        <w:rPr>
          <w:rFonts w:ascii="Palatino Linotype" w:hAnsi="Palatino Linotype" w:cs="Arial"/>
        </w:rPr>
        <w:t xml:space="preserve"> es necesario resaltar que el </w:t>
      </w:r>
      <w:r w:rsidR="00820561" w:rsidRPr="00C33D74">
        <w:rPr>
          <w:rFonts w:ascii="Palatino Linotype" w:eastAsia="Times New Roman" w:hAnsi="Palatino Linotype" w:cs="Times New Roman"/>
          <w:lang w:val="es-ES"/>
        </w:rPr>
        <w:t xml:space="preserve">Sujeto Obligado </w:t>
      </w:r>
      <w:r w:rsidR="00820561" w:rsidRPr="00C33D74">
        <w:rPr>
          <w:rFonts w:ascii="Palatino Linotype" w:eastAsia="Times New Roman" w:hAnsi="Palatino Linotype" w:cs="Arial"/>
          <w:lang w:val="es-ES"/>
        </w:rPr>
        <w:t xml:space="preserve">no niega contar con la información solicitada por el recurrente, </w:t>
      </w:r>
      <w:r w:rsidR="00820561" w:rsidRPr="00C33D74">
        <w:rPr>
          <w:rFonts w:ascii="Palatino Linotype" w:eastAsia="Calibri" w:hAnsi="Palatino Linotype" w:cs="Arial"/>
          <w:lang w:val="es-MX" w:eastAsia="en-US"/>
        </w:rPr>
        <w:t xml:space="preserve">por lo contrario, se presume que dicha información la posee o administra al manifestar que no es posible entregarla, por considerar que es información clasificada de </w:t>
      </w:r>
      <w:r w:rsidR="003D364F" w:rsidRPr="00C33D74">
        <w:rPr>
          <w:rFonts w:ascii="Palatino Linotype" w:eastAsia="Calibri" w:hAnsi="Palatino Linotype" w:cs="Arial"/>
          <w:lang w:val="es-MX" w:eastAsia="en-US"/>
        </w:rPr>
        <w:t>conformidad con</w:t>
      </w:r>
      <w:r w:rsidR="00820561" w:rsidRPr="00C33D74">
        <w:rPr>
          <w:rFonts w:ascii="Palatino Linotype" w:eastAsia="Calibri" w:hAnsi="Palatino Linotype" w:cs="Arial"/>
          <w:lang w:val="es-MX" w:eastAsia="en-US"/>
        </w:rPr>
        <w:t xml:space="preserve"> los dispositivos jurídicos que en su respuesta señala. </w:t>
      </w:r>
    </w:p>
    <w:p w14:paraId="3AE3C764" w14:textId="77777777" w:rsidR="00820561" w:rsidRPr="00C33D74" w:rsidRDefault="00820561" w:rsidP="00820561">
      <w:pPr>
        <w:spacing w:before="240" w:after="240" w:line="360" w:lineRule="auto"/>
        <w:ind w:right="49"/>
        <w:contextualSpacing/>
        <w:jc w:val="both"/>
        <w:rPr>
          <w:rFonts w:ascii="Palatino Linotype" w:hAnsi="Palatino Linotype" w:cs="Arial"/>
        </w:rPr>
      </w:pPr>
    </w:p>
    <w:p w14:paraId="4F652D01" w14:textId="77777777" w:rsidR="00820561" w:rsidRPr="00C33D74" w:rsidRDefault="00820561" w:rsidP="00820561">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eastAsia="Times New Roman" w:hAnsi="Palatino Linotype" w:cs="Times New Roman"/>
          <w:lang w:val="es-ES" w:eastAsia="es-MX"/>
        </w:rPr>
        <w:t xml:space="preserve">Lo anterior se afirma así, ya que ante una clasificación de la información, no puede coexistir a su vez una inexistencia de la misma, en virtud de que la </w:t>
      </w:r>
      <w:r w:rsidRPr="00C33D74">
        <w:rPr>
          <w:rFonts w:ascii="Palatino Linotype" w:eastAsia="Times New Roman" w:hAnsi="Palatino Linotype" w:cs="Times New Roman"/>
          <w:lang w:val="es-ES" w:eastAsia="es-MX"/>
        </w:rPr>
        <w:lastRenderedPageBreak/>
        <w:t>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777C6BDB" w14:textId="77777777" w:rsidR="00820561" w:rsidRPr="00C33D74" w:rsidRDefault="00820561" w:rsidP="00820561">
      <w:pPr>
        <w:ind w:left="720"/>
        <w:contextualSpacing/>
        <w:rPr>
          <w:rFonts w:ascii="Palatino Linotype" w:hAnsi="Palatino Linotype"/>
          <w:lang w:eastAsia="es-MX"/>
        </w:rPr>
      </w:pPr>
    </w:p>
    <w:p w14:paraId="7B42B15B" w14:textId="77777777" w:rsidR="00820561" w:rsidRPr="00C33D74" w:rsidRDefault="00820561" w:rsidP="00820561">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hAnsi="Palatino Linotype"/>
          <w:lang w:eastAsia="es-MX"/>
        </w:rPr>
        <w:t>En otras palabras, la clasificación y la inexistencia se excluyen entre sí, por tanto, si en el presente caso, el Sujeto Obligado niega la entrega de la información que le solicitó el particular, está reconociendo implícitamente que la misma obra en sus archivos.</w:t>
      </w:r>
    </w:p>
    <w:p w14:paraId="489AF98D" w14:textId="77777777" w:rsidR="00820561" w:rsidRPr="00C33D74" w:rsidRDefault="00820561" w:rsidP="00820561">
      <w:pPr>
        <w:ind w:left="720"/>
        <w:contextualSpacing/>
        <w:rPr>
          <w:rFonts w:ascii="Palatino Linotype" w:eastAsia="Times New Roman" w:hAnsi="Palatino Linotype" w:cs="Times New Roman"/>
          <w:lang w:val="es-ES" w:eastAsia="es-MX"/>
        </w:rPr>
      </w:pPr>
    </w:p>
    <w:p w14:paraId="7C647C0C" w14:textId="41031FDA" w:rsidR="00820561" w:rsidRPr="00C33D74" w:rsidRDefault="00820561" w:rsidP="00820561">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2FE9BFB8" w14:textId="250E02F9" w:rsidR="003D364F" w:rsidRPr="00C33D74" w:rsidRDefault="003D364F" w:rsidP="003D364F">
      <w:pPr>
        <w:spacing w:before="240" w:after="240" w:line="360" w:lineRule="auto"/>
        <w:ind w:right="49"/>
        <w:contextualSpacing/>
        <w:jc w:val="both"/>
        <w:rPr>
          <w:rFonts w:ascii="Palatino Linotype" w:hAnsi="Palatino Linotype" w:cs="Arial"/>
        </w:rPr>
      </w:pPr>
    </w:p>
    <w:p w14:paraId="7F5E8817" w14:textId="79FEAADF" w:rsidR="00820561" w:rsidRPr="00C33D74" w:rsidRDefault="00820561" w:rsidP="00D76796">
      <w:pPr>
        <w:spacing w:before="240" w:after="240" w:line="360" w:lineRule="auto"/>
        <w:ind w:left="851" w:right="900"/>
        <w:jc w:val="both"/>
        <w:rPr>
          <w:rFonts w:ascii="Palatino Linotype" w:eastAsia="Times New Roman" w:hAnsi="Palatino Linotype" w:cs="Times New Roman"/>
          <w:lang w:val="es-ES"/>
        </w:rPr>
      </w:pPr>
      <w:r w:rsidRPr="00C33D74">
        <w:rPr>
          <w:rFonts w:ascii="Palatino Linotype" w:eastAsia="Times New Roman" w:hAnsi="Palatino Linotype" w:cs="Times New Roman"/>
          <w:b/>
          <w:i/>
          <w:sz w:val="22"/>
          <w:szCs w:val="22"/>
          <w:lang w:val="es-ES"/>
        </w:rPr>
        <w:t>“La clasificación y la inexistencia de información son conceptos que no pueden coexistir.</w:t>
      </w:r>
      <w:r w:rsidRPr="00C33D74">
        <w:rPr>
          <w:rFonts w:ascii="Palatino Linotype" w:eastAsia="Times New Roman" w:hAnsi="Palatino Linotype" w:cs="Times New Roman"/>
          <w:i/>
          <w:sz w:val="22"/>
          <w:szCs w:val="22"/>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w:t>
      </w:r>
      <w:r w:rsidRPr="00C33D74">
        <w:rPr>
          <w:rFonts w:ascii="Palatino Linotype" w:eastAsia="Times New Roman" w:hAnsi="Palatino Linotype" w:cs="Times New Roman"/>
          <w:i/>
          <w:sz w:val="22"/>
          <w:szCs w:val="22"/>
          <w:lang w:val="es-ES"/>
        </w:rPr>
        <w:lastRenderedPageBreak/>
        <w:t>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897CC18" w14:textId="469F1FE6" w:rsidR="00820561" w:rsidRPr="00C33D74" w:rsidRDefault="00820561" w:rsidP="00820561">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hAnsi="Palatino Linotype" w:cs="Arial"/>
        </w:rPr>
        <w:t>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61979418" w14:textId="2DE7334D" w:rsidR="00AF6DF1" w:rsidRPr="00C33D74" w:rsidRDefault="00AF6DF1" w:rsidP="00AF6DF1">
      <w:pPr>
        <w:spacing w:before="240" w:after="240" w:line="360" w:lineRule="auto"/>
        <w:ind w:right="49"/>
        <w:contextualSpacing/>
        <w:jc w:val="both"/>
        <w:rPr>
          <w:rFonts w:ascii="Palatino Linotype" w:hAnsi="Palatino Linotype" w:cs="Arial"/>
        </w:rPr>
      </w:pPr>
    </w:p>
    <w:p w14:paraId="03E32296" w14:textId="7E7C0548" w:rsidR="00B05EA0" w:rsidRPr="00C33D74" w:rsidRDefault="00AF6DF1" w:rsidP="00AF6DF1">
      <w:pPr>
        <w:spacing w:before="240" w:after="240" w:line="360" w:lineRule="auto"/>
        <w:ind w:right="49"/>
        <w:contextualSpacing/>
        <w:jc w:val="both"/>
        <w:rPr>
          <w:rFonts w:ascii="Palatino Linotype" w:hAnsi="Palatino Linotype" w:cs="Arial"/>
          <w:b/>
        </w:rPr>
      </w:pPr>
      <w:r w:rsidRPr="00C33D74">
        <w:rPr>
          <w:rFonts w:ascii="Palatino Linotype" w:hAnsi="Palatino Linotype" w:cs="Arial"/>
          <w:b/>
        </w:rPr>
        <w:t xml:space="preserve">III. De la Pretendida Clasificación de la Información Solicitada. </w:t>
      </w:r>
    </w:p>
    <w:p w14:paraId="227DAABC" w14:textId="7C1E52C4" w:rsidR="00820561" w:rsidRPr="00C33D74" w:rsidRDefault="00B05EA0" w:rsidP="00820561">
      <w:pPr>
        <w:pStyle w:val="Prrafodelista"/>
        <w:numPr>
          <w:ilvl w:val="0"/>
          <w:numId w:val="46"/>
        </w:numPr>
        <w:spacing w:before="240" w:after="240" w:line="360" w:lineRule="auto"/>
        <w:ind w:left="0" w:right="49" w:firstLine="90"/>
        <w:jc w:val="both"/>
        <w:rPr>
          <w:rFonts w:ascii="Palatino Linotype" w:hAnsi="Palatino Linotype" w:cs="Arial"/>
          <w:b/>
        </w:rPr>
      </w:pPr>
      <w:r w:rsidRPr="00C33D74">
        <w:rPr>
          <w:rFonts w:ascii="Palatino Linotype" w:hAnsi="Palatino Linotype" w:cs="Arial"/>
          <w:b/>
        </w:rPr>
        <w:t xml:space="preserve">De las Inconsistencias del Acuerdo de Calcificación como Información Reservada. </w:t>
      </w:r>
    </w:p>
    <w:p w14:paraId="4A0BA4FF" w14:textId="41F42D80" w:rsidR="00820561" w:rsidRPr="00C33D74" w:rsidRDefault="00B05EA0" w:rsidP="00154DC7">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hAnsi="Palatino Linotype"/>
        </w:rPr>
        <w:lastRenderedPageBreak/>
        <w:t xml:space="preserve">Si </w:t>
      </w:r>
      <w:r w:rsidR="00820561" w:rsidRPr="00C33D74">
        <w:rPr>
          <w:rFonts w:ascii="Palatino Linotype" w:hAnsi="Palatino Linotype"/>
        </w:rPr>
        <w:t>b</w:t>
      </w:r>
      <w:r w:rsidRPr="00C33D74">
        <w:rPr>
          <w:rFonts w:ascii="Palatino Linotype" w:hAnsi="Palatino Linotype"/>
        </w:rPr>
        <w:t xml:space="preserve">ien </w:t>
      </w:r>
      <w:r w:rsidR="00820561" w:rsidRPr="00C33D74">
        <w:rPr>
          <w:rFonts w:ascii="Palatino Linotype" w:hAnsi="Palatino Linotype"/>
        </w:rPr>
        <w:t>desde el texto constitucional, se establece la posibilidad de restricción al acceso a la información generada, administrada y en posesión de los Sujetos Obligados cuando prevalezcan razones de interés público,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3BC5950B" w14:textId="77777777" w:rsidR="00820561" w:rsidRPr="00C33D74" w:rsidRDefault="00820561" w:rsidP="00820561">
      <w:pPr>
        <w:spacing w:before="240" w:after="240" w:line="360" w:lineRule="auto"/>
        <w:ind w:right="49"/>
        <w:contextualSpacing/>
        <w:jc w:val="both"/>
        <w:rPr>
          <w:rFonts w:ascii="Palatino Linotype" w:hAnsi="Palatino Linotype" w:cs="Arial"/>
        </w:rPr>
      </w:pPr>
    </w:p>
    <w:p w14:paraId="6A63563B" w14:textId="798473E8" w:rsidR="00B05EA0" w:rsidRPr="00C33D74" w:rsidRDefault="00820561" w:rsidP="00B05EA0">
      <w:pPr>
        <w:numPr>
          <w:ilvl w:val="0"/>
          <w:numId w:val="1"/>
        </w:numPr>
        <w:spacing w:before="240" w:after="240" w:line="360" w:lineRule="auto"/>
        <w:ind w:left="0" w:right="49" w:firstLine="0"/>
        <w:contextualSpacing/>
        <w:jc w:val="both"/>
        <w:rPr>
          <w:rFonts w:ascii="Palatino Linotype" w:hAnsi="Palatino Linotype" w:cs="Arial"/>
        </w:rPr>
      </w:pPr>
      <w:r w:rsidRPr="00C33D74">
        <w:rPr>
          <w:rFonts w:ascii="Palatino Linotype" w:hAnsi="Palatino Linotype"/>
        </w:rPr>
        <w:t xml:space="preserve">Lo anterior se afirma así, en primer término porque el </w:t>
      </w:r>
      <w:r w:rsidRPr="00C33D74">
        <w:rPr>
          <w:rFonts w:ascii="Palatino Linotype" w:hAnsi="Palatino Linotype"/>
          <w:b/>
        </w:rPr>
        <w:t xml:space="preserve">SUJETO OBLIGADO </w:t>
      </w:r>
      <w:r w:rsidRPr="00C33D74">
        <w:rPr>
          <w:rFonts w:ascii="Palatino Linotype" w:hAnsi="Palatino Linotype"/>
        </w:rPr>
        <w:t xml:space="preserve">pretendió clasificar de forma total la información por contener </w:t>
      </w:r>
      <w:r w:rsidR="00B05EA0" w:rsidRPr="00C33D74">
        <w:rPr>
          <w:rFonts w:ascii="Palatino Linotype" w:hAnsi="Palatino Linotype"/>
        </w:rPr>
        <w:t>información perteneciente</w:t>
      </w:r>
      <w:r w:rsidR="001D722A" w:rsidRPr="00C33D74">
        <w:rPr>
          <w:rFonts w:ascii="Palatino Linotype" w:hAnsi="Palatino Linotype"/>
        </w:rPr>
        <w:t xml:space="preserve"> a una investigación encausada por la Fiscalía General de Justifica del Estado de México</w:t>
      </w:r>
      <w:r w:rsidRPr="00C33D74">
        <w:rPr>
          <w:rFonts w:ascii="Palatino Linotype" w:hAnsi="Palatino Linotype"/>
        </w:rPr>
        <w:t>, argumentando las causales de clasificaci</w:t>
      </w:r>
      <w:r w:rsidR="001D722A" w:rsidRPr="00C33D74">
        <w:rPr>
          <w:rFonts w:ascii="Palatino Linotype" w:hAnsi="Palatino Linotype"/>
        </w:rPr>
        <w:t>ón contenidas en el artículo 140</w:t>
      </w:r>
      <w:r w:rsidRPr="00C33D74">
        <w:rPr>
          <w:rFonts w:ascii="Palatino Linotype" w:hAnsi="Palatino Linotype"/>
        </w:rPr>
        <w:t xml:space="preserve"> fracci</w:t>
      </w:r>
      <w:r w:rsidR="001D722A" w:rsidRPr="00C33D74">
        <w:rPr>
          <w:rFonts w:ascii="Palatino Linotype" w:hAnsi="Palatino Linotype"/>
        </w:rPr>
        <w:t>ón VIII</w:t>
      </w:r>
      <w:r w:rsidRPr="00C33D74">
        <w:rPr>
          <w:rFonts w:ascii="Palatino Linotype" w:hAnsi="Palatino Linotype"/>
        </w:rPr>
        <w:t xml:space="preserve"> de la Ley de Transparencia y Acceso a la Información Pública del Estado de México, sin seguir las formalidades establecidas por la Ley</w:t>
      </w:r>
      <w:r w:rsidR="00B05EA0" w:rsidRPr="00C33D74">
        <w:rPr>
          <w:rFonts w:ascii="Palatino Linotype" w:hAnsi="Palatino Linotype"/>
        </w:rPr>
        <w:t xml:space="preserve">. </w:t>
      </w:r>
      <w:proofErr w:type="gramStart"/>
      <w:r w:rsidR="00B05EA0" w:rsidRPr="00C33D74">
        <w:rPr>
          <w:rFonts w:ascii="Palatino Linotype" w:hAnsi="Palatino Linotype"/>
        </w:rPr>
        <w:t>Así ,</w:t>
      </w:r>
      <w:proofErr w:type="gramEnd"/>
      <w:r w:rsidR="00B05EA0" w:rsidRPr="00C33D74">
        <w:rPr>
          <w:rFonts w:ascii="Palatino Linotype" w:hAnsi="Palatino Linotype"/>
        </w:rPr>
        <w:t xml:space="preserve"> e</w:t>
      </w:r>
      <w:r w:rsidR="00B05EA0" w:rsidRPr="00C33D74">
        <w:rPr>
          <w:rFonts w:ascii="Palatino Linotype" w:eastAsia="Times New Roman" w:hAnsi="Palatino Linotype" w:cs="Times New Roman"/>
          <w:lang w:val="es-ES"/>
        </w:rPr>
        <w:t>s necesario que se realicen una serie de formalidades para que surta efectos una correcta clasificación.</w:t>
      </w:r>
    </w:p>
    <w:p w14:paraId="7FF00F0A" w14:textId="77777777" w:rsidR="00B05EA0" w:rsidRPr="00C33D74" w:rsidRDefault="00B05EA0" w:rsidP="00B05EA0">
      <w:pPr>
        <w:ind w:left="720"/>
        <w:contextualSpacing/>
        <w:rPr>
          <w:rFonts w:ascii="Palatino Linotype" w:eastAsia="Times New Roman" w:hAnsi="Palatino Linotype" w:cs="Times New Roman"/>
          <w:lang w:val="es-ES"/>
        </w:rPr>
      </w:pPr>
    </w:p>
    <w:p w14:paraId="377DEB45" w14:textId="77777777" w:rsidR="00B05EA0" w:rsidRPr="00C33D74" w:rsidRDefault="00B05EA0" w:rsidP="00B05EA0">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Arial"/>
          <w:color w:val="000000"/>
        </w:rPr>
        <w:lastRenderedPageBreak/>
        <w:t>Los artículos 140 y 113 de la Ley de Transparencia y Acceso a la Información Pública del Estado de México y Municipios y de la Ley General de Transparencia y Acceso a la Información, respectivamente, señalan los supuestos para que una información pueda considerarse como reservada, que son los siguientes:</w:t>
      </w:r>
    </w:p>
    <w:p w14:paraId="74B77A9F" w14:textId="77777777" w:rsidR="00B05EA0" w:rsidRPr="00C33D74" w:rsidRDefault="00B05EA0" w:rsidP="00B05EA0">
      <w:pPr>
        <w:ind w:left="720"/>
        <w:contextualSpacing/>
        <w:rPr>
          <w:rFonts w:ascii="Palatino Linotype" w:eastAsia="Times New Roman" w:hAnsi="Palatino Linotype" w:cs="Times New Roman"/>
          <w:lang w:val="es-MX" w:eastAsia="en-US"/>
        </w:rPr>
      </w:pPr>
    </w:p>
    <w:p w14:paraId="3DE82DAF" w14:textId="77777777" w:rsidR="00B05EA0" w:rsidRPr="00C33D74" w:rsidRDefault="00B05EA0" w:rsidP="00B05EA0">
      <w:pPr>
        <w:spacing w:line="360" w:lineRule="auto"/>
        <w:contextualSpacing/>
        <w:jc w:val="both"/>
        <w:rPr>
          <w:rFonts w:ascii="Palatino Linotype" w:eastAsia="Times New Roman" w:hAnsi="Palatino Linotype" w:cs="Times New Roman"/>
          <w:lang w:val="es-MX" w:eastAsia="en-US"/>
        </w:rPr>
      </w:pPr>
    </w:p>
    <w:tbl>
      <w:tblPr>
        <w:tblStyle w:val="Tablanormal11"/>
        <w:tblW w:w="8789" w:type="dxa"/>
        <w:tblInd w:w="137" w:type="dxa"/>
        <w:tblLook w:val="04A0" w:firstRow="1" w:lastRow="0" w:firstColumn="1" w:lastColumn="0" w:noHBand="0" w:noVBand="1"/>
      </w:tblPr>
      <w:tblGrid>
        <w:gridCol w:w="4253"/>
        <w:gridCol w:w="4536"/>
      </w:tblGrid>
      <w:tr w:rsidR="00B05EA0" w:rsidRPr="00C33D74" w14:paraId="78350A16" w14:textId="77777777" w:rsidTr="00B05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F2D593C" w14:textId="77777777" w:rsidR="00B05EA0" w:rsidRPr="00C33D74" w:rsidRDefault="00B05EA0" w:rsidP="00B05EA0">
            <w:pPr>
              <w:autoSpaceDE w:val="0"/>
              <w:autoSpaceDN w:val="0"/>
              <w:adjustRightInd w:val="0"/>
              <w:spacing w:line="360" w:lineRule="auto"/>
              <w:jc w:val="both"/>
              <w:rPr>
                <w:rFonts w:ascii="Palatino Linotype" w:hAnsi="Palatino Linotype" w:cs="Times New Roman"/>
              </w:rPr>
            </w:pPr>
            <w:r w:rsidRPr="00C33D74">
              <w:rPr>
                <w:rFonts w:ascii="Palatino Linotype" w:hAnsi="Palatino Linotype" w:cs="Gill Sans,Bold"/>
              </w:rPr>
              <w:t>LEY ESTATAL</w:t>
            </w:r>
          </w:p>
        </w:tc>
        <w:tc>
          <w:tcPr>
            <w:tcW w:w="4536" w:type="dxa"/>
          </w:tcPr>
          <w:p w14:paraId="59C51149" w14:textId="77777777" w:rsidR="00B05EA0" w:rsidRPr="00C33D74" w:rsidRDefault="00B05EA0" w:rsidP="00B05EA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C33D74">
              <w:rPr>
                <w:rFonts w:ascii="Palatino Linotype" w:hAnsi="Palatino Linotype" w:cs="Times New Roman"/>
              </w:rPr>
              <w:t>LEY GENERAL</w:t>
            </w:r>
          </w:p>
        </w:tc>
      </w:tr>
      <w:tr w:rsidR="00B05EA0" w:rsidRPr="00C33D74" w14:paraId="45AA970E"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25D0F5C4"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I. Comprometa la seguridad pública y cuente con un propósito genuino y un efecto demostrable;</w:t>
            </w:r>
          </w:p>
          <w:p w14:paraId="5C7118C6" w14:textId="77777777" w:rsidR="00B05EA0" w:rsidRPr="00C33D74" w:rsidRDefault="00B05EA0" w:rsidP="00B05EA0">
            <w:pPr>
              <w:spacing w:line="360" w:lineRule="auto"/>
              <w:jc w:val="both"/>
              <w:rPr>
                <w:rFonts w:ascii="Palatino Linotype" w:hAnsi="Palatino Linotype" w:cs="Times New Roman"/>
              </w:rPr>
            </w:pPr>
          </w:p>
        </w:tc>
        <w:tc>
          <w:tcPr>
            <w:tcW w:w="4536" w:type="dxa"/>
          </w:tcPr>
          <w:p w14:paraId="79D04316"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I.</w:t>
            </w:r>
            <w:r w:rsidRPr="00C33D74">
              <w:rPr>
                <w:rFonts w:ascii="Palatino Linotype" w:hAnsi="Palatino Linotype" w:cs="Times New Roman"/>
                <w:lang w:val="es-ES"/>
              </w:rPr>
              <w:tab/>
              <w:t>Comprometa la seguridad nacional, la seguridad pública o la defensa nacional y cuente con un propósito genuino y un efecto demostrable;</w:t>
            </w:r>
          </w:p>
        </w:tc>
      </w:tr>
      <w:tr w:rsidR="00B05EA0" w:rsidRPr="00C33D74" w14:paraId="3433249F"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3C71DBDD"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II. Pueda menoscabar la conducción de las negociaciones y relaciones internacionales;</w:t>
            </w:r>
          </w:p>
        </w:tc>
        <w:tc>
          <w:tcPr>
            <w:tcW w:w="4536" w:type="dxa"/>
          </w:tcPr>
          <w:p w14:paraId="770C76B6"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II.</w:t>
            </w:r>
            <w:r w:rsidRPr="00C33D74">
              <w:rPr>
                <w:rFonts w:ascii="Palatino Linotype" w:hAnsi="Palatino Linotype" w:cs="Times New Roman"/>
                <w:lang w:val="es-ES"/>
              </w:rPr>
              <w:tab/>
              <w:t>Pueda menoscabar la conducción de las negociaciones y relaciones internacionales;</w:t>
            </w:r>
          </w:p>
        </w:tc>
      </w:tr>
      <w:tr w:rsidR="00B05EA0" w:rsidRPr="00C33D74" w14:paraId="129AABE8"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2910AF05"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536" w:type="dxa"/>
          </w:tcPr>
          <w:p w14:paraId="001722B2"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III.</w:t>
            </w:r>
            <w:r w:rsidRPr="00C33D74">
              <w:rPr>
                <w:rFonts w:ascii="Palatino Linotype" w:hAnsi="Palatino Linotype" w:cs="Times New Roman"/>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05EA0" w:rsidRPr="00C33D74" w14:paraId="3FB35831"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52C1A153" w14:textId="77777777" w:rsidR="00B05EA0" w:rsidRPr="00C33D74" w:rsidRDefault="00B05EA0" w:rsidP="00B05EA0">
            <w:pPr>
              <w:autoSpaceDE w:val="0"/>
              <w:autoSpaceDN w:val="0"/>
              <w:adjustRightInd w:val="0"/>
              <w:spacing w:line="360" w:lineRule="auto"/>
              <w:jc w:val="both"/>
              <w:rPr>
                <w:rFonts w:ascii="Palatino Linotype" w:hAnsi="Palatino Linotype" w:cs="Arial"/>
              </w:rPr>
            </w:pPr>
          </w:p>
        </w:tc>
        <w:tc>
          <w:tcPr>
            <w:tcW w:w="4536" w:type="dxa"/>
          </w:tcPr>
          <w:p w14:paraId="6956BD91"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IV.</w:t>
            </w:r>
            <w:r w:rsidRPr="00C33D74">
              <w:rPr>
                <w:rFonts w:ascii="Palatino Linotype" w:hAnsi="Palatino Linotype" w:cs="Times New Roman"/>
                <w:lang w:val="es-ES"/>
              </w:rPr>
              <w:tab/>
              <w:t xml:space="preserve">Pueda afectar la efectividad de las medidas adoptadas en relación con las políticas en materia monetaria, cambiaria o </w:t>
            </w:r>
            <w:r w:rsidRPr="00C33D74">
              <w:rPr>
                <w:rFonts w:ascii="Palatino Linotype" w:hAnsi="Palatino Linotype" w:cs="Times New Roman"/>
                <w:lang w:val="es-ES"/>
              </w:rPr>
              <w:lastRenderedPageBreak/>
              <w:t>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B05EA0" w:rsidRPr="00C33D74" w14:paraId="16A8175E"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5E4B1495"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lastRenderedPageBreak/>
              <w:t>IV. Ponga en riesgo la vida, la seguridad o la salud de una persona física;</w:t>
            </w:r>
          </w:p>
        </w:tc>
        <w:tc>
          <w:tcPr>
            <w:tcW w:w="4536" w:type="dxa"/>
          </w:tcPr>
          <w:p w14:paraId="01618E98"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V.</w:t>
            </w:r>
            <w:r w:rsidRPr="00C33D74">
              <w:rPr>
                <w:rFonts w:ascii="Palatino Linotype" w:hAnsi="Palatino Linotype" w:cs="Times New Roman"/>
                <w:lang w:val="es-ES"/>
              </w:rPr>
              <w:tab/>
              <w:t>Pueda poner en riesgo la vida, seguridad o salud de una persona física;</w:t>
            </w:r>
          </w:p>
        </w:tc>
      </w:tr>
      <w:tr w:rsidR="00B05EA0" w:rsidRPr="00C33D74" w14:paraId="514D5B5B"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499522D4"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V. Aquella cuya divulgación obstruya o pueda causar un serio perjuicio a:</w:t>
            </w:r>
          </w:p>
          <w:p w14:paraId="7965EE66" w14:textId="77777777" w:rsidR="00B05EA0" w:rsidRPr="00C33D74" w:rsidRDefault="00B05EA0" w:rsidP="00B05EA0">
            <w:pPr>
              <w:autoSpaceDE w:val="0"/>
              <w:autoSpaceDN w:val="0"/>
              <w:adjustRightInd w:val="0"/>
              <w:spacing w:line="360" w:lineRule="auto"/>
              <w:jc w:val="both"/>
              <w:rPr>
                <w:rFonts w:ascii="Palatino Linotype" w:hAnsi="Palatino Linotype" w:cs="Arial"/>
              </w:rPr>
            </w:pPr>
          </w:p>
          <w:p w14:paraId="5677BD3C"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1. Las actividades de fiscalización, verificación, inspección, comprobación y auditoría sobre el cumplimiento de las Leyes; o</w:t>
            </w:r>
          </w:p>
          <w:p w14:paraId="4AA37C24" w14:textId="77777777" w:rsidR="00B05EA0" w:rsidRPr="00C33D74" w:rsidRDefault="00B05EA0" w:rsidP="00B05EA0">
            <w:pPr>
              <w:autoSpaceDE w:val="0"/>
              <w:autoSpaceDN w:val="0"/>
              <w:adjustRightInd w:val="0"/>
              <w:spacing w:line="360" w:lineRule="auto"/>
              <w:jc w:val="both"/>
              <w:rPr>
                <w:rFonts w:ascii="Palatino Linotype" w:hAnsi="Palatino Linotype" w:cs="Arial"/>
              </w:rPr>
            </w:pPr>
          </w:p>
          <w:p w14:paraId="7CDE46A5"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2. La recaudación de las contribuciones.</w:t>
            </w:r>
          </w:p>
        </w:tc>
        <w:tc>
          <w:tcPr>
            <w:tcW w:w="4536" w:type="dxa"/>
          </w:tcPr>
          <w:p w14:paraId="76491269"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VI.</w:t>
            </w:r>
            <w:r w:rsidRPr="00C33D74">
              <w:rPr>
                <w:rFonts w:ascii="Palatino Linotype" w:hAnsi="Palatino Linotype" w:cs="Times New Roman"/>
                <w:lang w:val="es-ES"/>
              </w:rPr>
              <w:tab/>
              <w:t>Obstruya las actividades de verificación, inspección y auditoría relativas al cumplimiento de las leyes o afecte la recaudación de contribuciones;</w:t>
            </w:r>
          </w:p>
          <w:p w14:paraId="6C544AB1"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p>
          <w:p w14:paraId="78C24E93"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tc>
      </w:tr>
      <w:tr w:rsidR="00B05EA0" w:rsidRPr="00C33D74" w14:paraId="77B871AC"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FB698F0"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 xml:space="preserve">VI. Pueda causar daño u obstruya la prevención o persecución de los delitos, altere el proceso de investigación de las carpetas de investigación, afecte o vulnere la conducción o los derechos del debido proceso en los procedimientos </w:t>
            </w:r>
            <w:r w:rsidRPr="00C33D74">
              <w:rPr>
                <w:rFonts w:ascii="Palatino Linotype" w:hAnsi="Palatino Linotype" w:cs="Arial"/>
              </w:rPr>
              <w:lastRenderedPageBreak/>
              <w:t>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536" w:type="dxa"/>
          </w:tcPr>
          <w:p w14:paraId="3B15F1B9"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lastRenderedPageBreak/>
              <w:t>VII.</w:t>
            </w:r>
            <w:r w:rsidRPr="00C33D74">
              <w:rPr>
                <w:rFonts w:ascii="Palatino Linotype" w:hAnsi="Palatino Linotype" w:cs="Times New Roman"/>
                <w:lang w:val="es-ES"/>
              </w:rPr>
              <w:tab/>
              <w:t>Obstruya la prevención o persecución de los delitos;</w:t>
            </w:r>
          </w:p>
          <w:p w14:paraId="53E72B6F"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p>
          <w:p w14:paraId="667A2A5F"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rPr>
            </w:pPr>
          </w:p>
        </w:tc>
      </w:tr>
      <w:tr w:rsidR="00B05EA0" w:rsidRPr="00C33D74" w14:paraId="16BD29F9"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79EDDAA7"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VII. La que contengan las opiniones, recomendaciones o puntos de vista que formen parte del proceso deliberativo de los servidores públicos, hasta en tanto sea adoptada la decisión definitiva, la cual deberá estar documentada;</w:t>
            </w:r>
          </w:p>
        </w:tc>
        <w:tc>
          <w:tcPr>
            <w:tcW w:w="4536" w:type="dxa"/>
          </w:tcPr>
          <w:p w14:paraId="34EA2C95"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VIII.</w:t>
            </w:r>
            <w:r w:rsidRPr="00C33D74">
              <w:rPr>
                <w:rFonts w:ascii="Palatino Linotype" w:hAnsi="Palatino Linotype" w:cs="Times New Roman"/>
                <w:lang w:val="es-ES"/>
              </w:rPr>
              <w:tab/>
              <w:t>La que contenga las opiniones, recomendaciones o puntos de vista que formen parte del proceso deliberativo de los servidores públicos, hasta en tanto no sea adoptada la decisión definitiva, la cual deberá estar documentada;</w:t>
            </w:r>
          </w:p>
        </w:tc>
      </w:tr>
      <w:tr w:rsidR="00B05EA0" w:rsidRPr="00C33D74" w14:paraId="4810CD85"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71FFE0C3" w14:textId="77777777" w:rsidR="00B05EA0" w:rsidRPr="00C33D74" w:rsidRDefault="00B05EA0" w:rsidP="00B05EA0">
            <w:pPr>
              <w:autoSpaceDE w:val="0"/>
              <w:autoSpaceDN w:val="0"/>
              <w:adjustRightInd w:val="0"/>
              <w:spacing w:line="360" w:lineRule="auto"/>
              <w:jc w:val="both"/>
              <w:rPr>
                <w:rFonts w:ascii="Palatino Linotype" w:hAnsi="Palatino Linotype" w:cs="Arial"/>
              </w:rPr>
            </w:pPr>
          </w:p>
        </w:tc>
        <w:tc>
          <w:tcPr>
            <w:tcW w:w="4536" w:type="dxa"/>
          </w:tcPr>
          <w:p w14:paraId="005E9899"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IX.</w:t>
            </w:r>
            <w:r w:rsidRPr="00C33D74">
              <w:rPr>
                <w:rFonts w:ascii="Palatino Linotype" w:hAnsi="Palatino Linotype" w:cs="Times New Roman"/>
                <w:lang w:val="es-ES"/>
              </w:rPr>
              <w:tab/>
              <w:t>Obstruya los procedimientos para fincar responsabilidad a los Servidores Públicos, en tanto no se haya dictado la resolución administrativa;</w:t>
            </w:r>
          </w:p>
        </w:tc>
      </w:tr>
      <w:tr w:rsidR="00B05EA0" w:rsidRPr="00C33D74" w14:paraId="09B1D8D7"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47A93A0A" w14:textId="77777777" w:rsidR="00B05EA0" w:rsidRPr="00C33D74" w:rsidRDefault="00B05EA0" w:rsidP="00B05EA0">
            <w:pPr>
              <w:autoSpaceDE w:val="0"/>
              <w:autoSpaceDN w:val="0"/>
              <w:adjustRightInd w:val="0"/>
              <w:spacing w:line="360" w:lineRule="auto"/>
              <w:jc w:val="both"/>
              <w:rPr>
                <w:rFonts w:ascii="Palatino Linotype" w:hAnsi="Palatino Linotype" w:cs="Arial"/>
              </w:rPr>
            </w:pPr>
          </w:p>
        </w:tc>
        <w:tc>
          <w:tcPr>
            <w:tcW w:w="4536" w:type="dxa"/>
          </w:tcPr>
          <w:p w14:paraId="422467E0"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X.</w:t>
            </w:r>
            <w:r w:rsidRPr="00C33D74">
              <w:rPr>
                <w:rFonts w:ascii="Palatino Linotype" w:hAnsi="Palatino Linotype" w:cs="Times New Roman"/>
                <w:lang w:val="es-ES"/>
              </w:rPr>
              <w:tab/>
              <w:t>Afecte los derechos del debido proceso;</w:t>
            </w:r>
          </w:p>
        </w:tc>
      </w:tr>
      <w:tr w:rsidR="00B05EA0" w:rsidRPr="00C33D74" w14:paraId="0CC559C6"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6D86921"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VIII. Vulnere la conducción de los expedientes judiciales o de los procedimientos administrativos seguidos en forma de juicio, en tanto no hayan quedado firmes;</w:t>
            </w:r>
          </w:p>
        </w:tc>
        <w:tc>
          <w:tcPr>
            <w:tcW w:w="4536" w:type="dxa"/>
          </w:tcPr>
          <w:p w14:paraId="3745D33B"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XI.</w:t>
            </w:r>
            <w:r w:rsidRPr="00C33D74">
              <w:rPr>
                <w:rFonts w:ascii="Palatino Linotype" w:hAnsi="Palatino Linotype" w:cs="Times New Roman"/>
                <w:lang w:val="es-ES"/>
              </w:rPr>
              <w:tab/>
              <w:t>Vulnere la conducción de los Expedientes judiciales o de los procedimientos administrativos seguidos en forma de juicio, en tanto no hayan causado estado;</w:t>
            </w:r>
          </w:p>
        </w:tc>
      </w:tr>
      <w:tr w:rsidR="00B05EA0" w:rsidRPr="00C33D74" w14:paraId="0EA6E907"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0A11C485"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lastRenderedPageBreak/>
              <w:t>IX. Se encuentre contenida dentro de las investigaciones de hechos que la Ley señale como delitos y se tramiten ante el Ministerio Público;</w:t>
            </w:r>
          </w:p>
        </w:tc>
        <w:tc>
          <w:tcPr>
            <w:tcW w:w="4536" w:type="dxa"/>
          </w:tcPr>
          <w:p w14:paraId="66ACCFA5"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t>XII.</w:t>
            </w:r>
            <w:r w:rsidRPr="00C33D74">
              <w:rPr>
                <w:rFonts w:ascii="Palatino Linotype" w:hAnsi="Palatino Linotype" w:cs="Times New Roman"/>
                <w:lang w:val="es-ES"/>
              </w:rPr>
              <w:tab/>
              <w:t>Se encuentre contenida dentro de las investigaciones de hechos que la ley señale como delitos y se tramiten ante el Ministerio Público, y</w:t>
            </w:r>
          </w:p>
        </w:tc>
      </w:tr>
      <w:tr w:rsidR="00B05EA0" w:rsidRPr="00C33D74" w14:paraId="0297879D" w14:textId="77777777" w:rsidTr="00B0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4465D3A"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A734FF1" w14:textId="77777777" w:rsidR="00B05EA0" w:rsidRPr="00C33D74" w:rsidRDefault="00B05EA0" w:rsidP="00B05EA0">
            <w:pPr>
              <w:autoSpaceDE w:val="0"/>
              <w:autoSpaceDN w:val="0"/>
              <w:adjustRightInd w:val="0"/>
              <w:spacing w:line="360" w:lineRule="auto"/>
              <w:jc w:val="both"/>
              <w:rPr>
                <w:rFonts w:ascii="Palatino Linotype" w:hAnsi="Palatino Linotype" w:cs="Arial"/>
              </w:rPr>
            </w:pPr>
            <w:r w:rsidRPr="00C33D74">
              <w:rPr>
                <w:rFonts w:ascii="Palatino Linotype" w:hAnsi="Palatino Linotype" w:cs="Arial"/>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536" w:type="dxa"/>
          </w:tcPr>
          <w:p w14:paraId="04CE8A2D" w14:textId="77777777" w:rsidR="00B05EA0" w:rsidRPr="00C33D74" w:rsidRDefault="00B05EA0" w:rsidP="00B05EA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rPr>
            </w:pPr>
          </w:p>
        </w:tc>
      </w:tr>
      <w:tr w:rsidR="00B05EA0" w:rsidRPr="00C33D74" w14:paraId="6FF1FCA9" w14:textId="77777777" w:rsidTr="00B05EA0">
        <w:tc>
          <w:tcPr>
            <w:cnfStyle w:val="001000000000" w:firstRow="0" w:lastRow="0" w:firstColumn="1" w:lastColumn="0" w:oddVBand="0" w:evenVBand="0" w:oddHBand="0" w:evenHBand="0" w:firstRowFirstColumn="0" w:firstRowLastColumn="0" w:lastRowFirstColumn="0" w:lastRowLastColumn="0"/>
            <w:tcW w:w="4253" w:type="dxa"/>
          </w:tcPr>
          <w:p w14:paraId="0A3A4C68" w14:textId="77777777" w:rsidR="00B05EA0" w:rsidRPr="00C33D74" w:rsidRDefault="00B05EA0" w:rsidP="00B05EA0">
            <w:pPr>
              <w:spacing w:line="360" w:lineRule="auto"/>
              <w:jc w:val="both"/>
              <w:rPr>
                <w:rFonts w:ascii="Palatino Linotype" w:hAnsi="Palatino Linotype" w:cs="Times New Roman"/>
              </w:rPr>
            </w:pPr>
            <w:r w:rsidRPr="00C33D74">
              <w:rPr>
                <w:rFonts w:ascii="Palatino Linotype" w:hAnsi="Palatino Linotype" w:cs="Arial"/>
              </w:rPr>
              <w:t xml:space="preserve">XI. Las que por disposición expresa de una ley tengan tal carácter, siempre que sean acordes con las bases, principios y disposiciones establecidos en esta Ley y </w:t>
            </w:r>
            <w:r w:rsidRPr="00C33D74">
              <w:rPr>
                <w:rFonts w:ascii="Palatino Linotype" w:hAnsi="Palatino Linotype" w:cs="Arial"/>
              </w:rPr>
              <w:lastRenderedPageBreak/>
              <w:t>no la contravengan; así como las previstas en tratados internacionales.</w:t>
            </w:r>
          </w:p>
        </w:tc>
        <w:tc>
          <w:tcPr>
            <w:tcW w:w="4536" w:type="dxa"/>
          </w:tcPr>
          <w:p w14:paraId="7991F85D" w14:textId="77777777" w:rsidR="00B05EA0" w:rsidRPr="00C33D74" w:rsidRDefault="00B05EA0" w:rsidP="00B05EA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s-ES"/>
              </w:rPr>
            </w:pPr>
            <w:r w:rsidRPr="00C33D74">
              <w:rPr>
                <w:rFonts w:ascii="Palatino Linotype" w:hAnsi="Palatino Linotype" w:cs="Times New Roman"/>
                <w:lang w:val="es-ES"/>
              </w:rPr>
              <w:lastRenderedPageBreak/>
              <w:t>XIII.</w:t>
            </w:r>
            <w:r w:rsidRPr="00C33D74">
              <w:rPr>
                <w:rFonts w:ascii="Palatino Linotype" w:hAnsi="Palatino Linotype" w:cs="Times New Roman"/>
                <w:lang w:val="es-ES"/>
              </w:rPr>
              <w:tab/>
              <w:t xml:space="preserve">Las que por disposición expresa de una ley tengan tal carácter, siempre que sean acordes con las bases, principios y disposiciones establecidos en esta Ley y no la </w:t>
            </w:r>
            <w:r w:rsidRPr="00C33D74">
              <w:rPr>
                <w:rFonts w:ascii="Palatino Linotype" w:hAnsi="Palatino Linotype" w:cs="Times New Roman"/>
                <w:lang w:val="es-ES"/>
              </w:rPr>
              <w:lastRenderedPageBreak/>
              <w:t>contravengan; así como las previstas en tratados internacionales.</w:t>
            </w:r>
          </w:p>
        </w:tc>
      </w:tr>
    </w:tbl>
    <w:p w14:paraId="3176DE40" w14:textId="77777777" w:rsidR="00B05EA0" w:rsidRPr="00C33D74" w:rsidRDefault="00B05EA0" w:rsidP="00B05EA0">
      <w:pPr>
        <w:spacing w:line="360" w:lineRule="auto"/>
        <w:jc w:val="both"/>
        <w:rPr>
          <w:rFonts w:ascii="Palatino Linotype" w:eastAsia="Times New Roman" w:hAnsi="Palatino Linotype" w:cs="Times New Roman"/>
          <w:lang w:val="es-MX" w:eastAsia="en-US"/>
        </w:rPr>
      </w:pPr>
    </w:p>
    <w:p w14:paraId="383904A8" w14:textId="77777777" w:rsidR="00B05EA0" w:rsidRPr="00C33D74" w:rsidRDefault="00B05EA0" w:rsidP="00B05EA0">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Times New Roman"/>
          <w:lang w:val="es-MX" w:eastAsia="en-US"/>
        </w:rPr>
        <w:t>Posterior a la actualización de la causal como información reservada es necesario que se tomen en cuenta las condiciones especiales de la clasificación como las siguientes:</w:t>
      </w:r>
    </w:p>
    <w:p w14:paraId="7E747ED7" w14:textId="77777777" w:rsidR="00B05EA0" w:rsidRPr="00C33D74" w:rsidRDefault="00B05EA0" w:rsidP="00B05EA0">
      <w:pPr>
        <w:spacing w:line="360" w:lineRule="auto"/>
        <w:contextualSpacing/>
        <w:jc w:val="both"/>
        <w:rPr>
          <w:rFonts w:ascii="Palatino Linotype" w:eastAsia="Times New Roman" w:hAnsi="Palatino Linotype" w:cs="Times New Roman"/>
          <w:lang w:val="es-MX" w:eastAsia="en-US"/>
        </w:rPr>
      </w:pPr>
    </w:p>
    <w:p w14:paraId="5632E7D4" w14:textId="7D4C2843" w:rsidR="00B05EA0" w:rsidRPr="00C33D74" w:rsidRDefault="00B05EA0" w:rsidP="00B05EA0">
      <w:pPr>
        <w:pStyle w:val="Prrafodelista"/>
        <w:keepNext/>
        <w:keepLines/>
        <w:numPr>
          <w:ilvl w:val="0"/>
          <w:numId w:val="50"/>
        </w:numPr>
        <w:spacing w:before="40"/>
        <w:outlineLvl w:val="2"/>
        <w:rPr>
          <w:rFonts w:ascii="Palatino Linotype" w:eastAsia="Times New Roman" w:hAnsi="Palatino Linotype" w:cs="Times New Roman"/>
          <w:b/>
          <w:color w:val="1F4D78"/>
        </w:rPr>
      </w:pPr>
      <w:bookmarkStart w:id="78" w:name="_Toc536703946"/>
      <w:bookmarkStart w:id="79" w:name="_Toc8218525"/>
      <w:r w:rsidRPr="00C33D74">
        <w:rPr>
          <w:rFonts w:ascii="Palatino Linotype" w:eastAsia="Times New Roman" w:hAnsi="Palatino Linotype" w:cs="Times New Roman"/>
          <w:b/>
        </w:rPr>
        <w:t>La fundamentación específica</w:t>
      </w:r>
      <w:bookmarkEnd w:id="78"/>
      <w:bookmarkEnd w:id="79"/>
    </w:p>
    <w:p w14:paraId="79F4953E" w14:textId="77777777" w:rsidR="00B05EA0" w:rsidRPr="00C33D74" w:rsidRDefault="00B05EA0" w:rsidP="00B05EA0">
      <w:pPr>
        <w:spacing w:line="360" w:lineRule="auto"/>
        <w:ind w:left="360"/>
        <w:contextualSpacing/>
        <w:jc w:val="both"/>
        <w:rPr>
          <w:rFonts w:ascii="Palatino Linotype" w:eastAsia="Times New Roman" w:hAnsi="Palatino Linotype" w:cs="Arial"/>
          <w:color w:val="000000"/>
        </w:rPr>
      </w:pPr>
    </w:p>
    <w:p w14:paraId="370E5493" w14:textId="77777777" w:rsidR="00B05EA0" w:rsidRPr="00C33D74" w:rsidRDefault="00B05EA0" w:rsidP="00B05EA0">
      <w:pPr>
        <w:numPr>
          <w:ilvl w:val="0"/>
          <w:numId w:val="1"/>
        </w:numPr>
        <w:spacing w:after="160" w:line="360" w:lineRule="auto"/>
        <w:ind w:left="0" w:firstLine="0"/>
        <w:contextualSpacing/>
        <w:jc w:val="both"/>
        <w:rPr>
          <w:rFonts w:ascii="Palatino Linotype" w:eastAsia="Times New Roman" w:hAnsi="Palatino Linotype" w:cs="Arial"/>
          <w:color w:val="000000"/>
        </w:rPr>
      </w:pPr>
      <w:r w:rsidRPr="00C33D74">
        <w:rPr>
          <w:rFonts w:ascii="Palatino Linotype" w:eastAsia="Times New Roman" w:hAnsi="Palatino Linotype" w:cs="Arial"/>
          <w:color w:val="000000"/>
        </w:rPr>
        <w:t>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BCF585B" w14:textId="77777777" w:rsidR="00B05EA0" w:rsidRPr="00C33D74" w:rsidRDefault="00B05EA0" w:rsidP="00B05EA0">
      <w:pPr>
        <w:spacing w:line="360" w:lineRule="auto"/>
        <w:ind w:left="1428"/>
        <w:contextualSpacing/>
        <w:jc w:val="both"/>
        <w:rPr>
          <w:rFonts w:ascii="Palatino Linotype" w:eastAsia="Times New Roman" w:hAnsi="Palatino Linotype" w:cs="Arial"/>
          <w:b/>
          <w:color w:val="000000"/>
        </w:rPr>
      </w:pPr>
    </w:p>
    <w:p w14:paraId="1C7D6371" w14:textId="296D8BA6" w:rsidR="00B05EA0" w:rsidRPr="00C33D74" w:rsidRDefault="00B05EA0" w:rsidP="00B05EA0">
      <w:pPr>
        <w:pStyle w:val="Prrafodelista"/>
        <w:keepNext/>
        <w:keepLines/>
        <w:numPr>
          <w:ilvl w:val="0"/>
          <w:numId w:val="50"/>
        </w:numPr>
        <w:spacing w:before="40"/>
        <w:outlineLvl w:val="2"/>
        <w:rPr>
          <w:rFonts w:ascii="Palatino Linotype" w:eastAsia="Times New Roman" w:hAnsi="Palatino Linotype" w:cs="Times New Roman"/>
          <w:b/>
        </w:rPr>
      </w:pPr>
      <w:bookmarkStart w:id="80" w:name="_Toc536703947"/>
      <w:bookmarkStart w:id="81" w:name="_Toc8218526"/>
      <w:r w:rsidRPr="00C33D74">
        <w:rPr>
          <w:rFonts w:ascii="Palatino Linotype" w:eastAsia="Times New Roman" w:hAnsi="Palatino Linotype" w:cs="Times New Roman"/>
          <w:b/>
        </w:rPr>
        <w:t>La prueba de daño</w:t>
      </w:r>
      <w:bookmarkEnd w:id="80"/>
      <w:bookmarkEnd w:id="81"/>
    </w:p>
    <w:p w14:paraId="115CAB5D" w14:textId="77777777" w:rsidR="00B05EA0" w:rsidRPr="00C33D74" w:rsidRDefault="00B05EA0" w:rsidP="00B05EA0">
      <w:pPr>
        <w:spacing w:line="360" w:lineRule="auto"/>
        <w:ind w:left="360"/>
        <w:contextualSpacing/>
        <w:jc w:val="both"/>
        <w:rPr>
          <w:rFonts w:ascii="Palatino Linotype" w:eastAsia="Times New Roman" w:hAnsi="Palatino Linotype" w:cs="Times New Roman"/>
        </w:rPr>
      </w:pPr>
    </w:p>
    <w:p w14:paraId="2B26C2F0" w14:textId="77777777" w:rsidR="00B05EA0" w:rsidRPr="00C33D74" w:rsidRDefault="00B05EA0" w:rsidP="00B05EA0">
      <w:pPr>
        <w:numPr>
          <w:ilvl w:val="0"/>
          <w:numId w:val="1"/>
        </w:numPr>
        <w:spacing w:after="160" w:line="360" w:lineRule="auto"/>
        <w:ind w:left="0" w:firstLine="0"/>
        <w:contextualSpacing/>
        <w:jc w:val="both"/>
        <w:rPr>
          <w:rFonts w:ascii="Palatino Linotype" w:eastAsia="Times New Roman" w:hAnsi="Palatino Linotype" w:cs="Times New Roman"/>
        </w:rPr>
      </w:pPr>
      <w:r w:rsidRPr="00C33D74">
        <w:rPr>
          <w:rFonts w:ascii="Palatino Linotype" w:eastAsia="Times New Roman" w:hAnsi="Palatino Linotype" w:cs="Times New Roman"/>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91134DA" w14:textId="77777777" w:rsidR="00B05EA0" w:rsidRPr="00C33D74" w:rsidRDefault="00B05EA0" w:rsidP="00B05EA0">
      <w:pPr>
        <w:spacing w:line="360" w:lineRule="auto"/>
        <w:ind w:left="360"/>
        <w:contextualSpacing/>
        <w:jc w:val="both"/>
        <w:rPr>
          <w:rFonts w:ascii="Palatino Linotype" w:eastAsia="Times New Roman" w:hAnsi="Palatino Linotype" w:cs="Times New Roman"/>
        </w:rPr>
      </w:pPr>
    </w:p>
    <w:p w14:paraId="7425437E" w14:textId="77777777" w:rsidR="00B05EA0" w:rsidRPr="00C33D74" w:rsidRDefault="00B05EA0" w:rsidP="00B05EA0">
      <w:pPr>
        <w:numPr>
          <w:ilvl w:val="0"/>
          <w:numId w:val="1"/>
        </w:numPr>
        <w:spacing w:after="160" w:line="360" w:lineRule="auto"/>
        <w:ind w:left="0" w:firstLine="0"/>
        <w:contextualSpacing/>
        <w:jc w:val="both"/>
        <w:rPr>
          <w:rFonts w:ascii="Palatino Linotype" w:eastAsia="Times New Roman" w:hAnsi="Palatino Linotype" w:cs="Times New Roman"/>
        </w:rPr>
      </w:pPr>
      <w:r w:rsidRPr="00C33D74">
        <w:rPr>
          <w:rFonts w:ascii="Palatino Linotype" w:eastAsia="Times New Roman" w:hAnsi="Palatino Linotype" w:cs="Times New Roman"/>
        </w:rPr>
        <w:t>Para aplicar la prueba de daño, se deberán de precisar la razones objetivas por las que la apertura genera una afectación, acreditando que:</w:t>
      </w:r>
    </w:p>
    <w:p w14:paraId="549B30BC" w14:textId="77777777" w:rsidR="00B05EA0" w:rsidRPr="00C33D74" w:rsidRDefault="00B05EA0" w:rsidP="00B05EA0">
      <w:pPr>
        <w:spacing w:line="360" w:lineRule="auto"/>
        <w:ind w:left="720"/>
        <w:contextualSpacing/>
        <w:jc w:val="both"/>
        <w:rPr>
          <w:rFonts w:ascii="Palatino Linotype" w:eastAsia="Times New Roman" w:hAnsi="Palatino Linotype" w:cs="Times New Roman"/>
        </w:rPr>
      </w:pPr>
    </w:p>
    <w:p w14:paraId="60A96ECB" w14:textId="77777777" w:rsidR="00B05EA0" w:rsidRPr="00C33D74" w:rsidRDefault="00B05EA0" w:rsidP="00B05EA0">
      <w:pPr>
        <w:widowControl w:val="0"/>
        <w:autoSpaceDE w:val="0"/>
        <w:autoSpaceDN w:val="0"/>
        <w:adjustRightInd w:val="0"/>
        <w:spacing w:after="240" w:line="360" w:lineRule="auto"/>
        <w:ind w:left="567"/>
        <w:jc w:val="both"/>
        <w:rPr>
          <w:rFonts w:ascii="Palatino Linotype" w:eastAsia="Times New Roman" w:hAnsi="Palatino Linotype" w:cs="Times"/>
          <w:color w:val="000000"/>
        </w:rPr>
      </w:pPr>
      <w:r w:rsidRPr="00C33D74">
        <w:rPr>
          <w:rFonts w:ascii="Palatino Linotype" w:eastAsia="Times New Roman" w:hAnsi="Palatino Linotype" w:cs="Bookman Old Style"/>
          <w:bCs/>
          <w:color w:val="000000"/>
          <w:szCs w:val="26"/>
        </w:rPr>
        <w:t xml:space="preserve">I. </w:t>
      </w:r>
      <w:r w:rsidRPr="00C33D74">
        <w:rPr>
          <w:rFonts w:ascii="Palatino Linotype" w:eastAsia="Times New Roman" w:hAnsi="Palatino Linotype" w:cs="Bookman Old Style"/>
          <w:color w:val="000000"/>
          <w:szCs w:val="26"/>
        </w:rPr>
        <w:t xml:space="preserve">La divulgación de la información representa un riesgo real, demostrable e identificable del perjuicio significativo al interés público o a la seguridad pública; </w:t>
      </w:r>
    </w:p>
    <w:p w14:paraId="5F0C3B0F" w14:textId="77777777" w:rsidR="00B05EA0" w:rsidRPr="00C33D74" w:rsidRDefault="00B05EA0" w:rsidP="00B05EA0">
      <w:pPr>
        <w:widowControl w:val="0"/>
        <w:autoSpaceDE w:val="0"/>
        <w:autoSpaceDN w:val="0"/>
        <w:adjustRightInd w:val="0"/>
        <w:spacing w:after="240" w:line="360" w:lineRule="auto"/>
        <w:ind w:left="567"/>
        <w:jc w:val="both"/>
        <w:rPr>
          <w:rFonts w:ascii="Palatino Linotype" w:eastAsia="Times New Roman" w:hAnsi="Palatino Linotype" w:cs="Times"/>
          <w:color w:val="000000"/>
        </w:rPr>
      </w:pPr>
      <w:r w:rsidRPr="00C33D74">
        <w:rPr>
          <w:rFonts w:ascii="Palatino Linotype" w:eastAsia="Times New Roman" w:hAnsi="Palatino Linotype" w:cs="Bookman Old Style"/>
          <w:bCs/>
          <w:color w:val="000000"/>
          <w:szCs w:val="26"/>
        </w:rPr>
        <w:t xml:space="preserve">II. </w:t>
      </w:r>
      <w:r w:rsidRPr="00C33D74">
        <w:rPr>
          <w:rFonts w:ascii="Palatino Linotype" w:eastAsia="Times New Roman" w:hAnsi="Palatino Linotype" w:cs="Bookman Old Style"/>
          <w:color w:val="000000"/>
          <w:szCs w:val="26"/>
        </w:rPr>
        <w:t xml:space="preserve">El riesgo de perjuicio que supondría la divulgación supera el interés público general de que se difunda; y </w:t>
      </w:r>
    </w:p>
    <w:p w14:paraId="73429C11" w14:textId="77777777" w:rsidR="00B05EA0" w:rsidRPr="00C33D74" w:rsidRDefault="00B05EA0" w:rsidP="00B05EA0">
      <w:pPr>
        <w:widowControl w:val="0"/>
        <w:autoSpaceDE w:val="0"/>
        <w:autoSpaceDN w:val="0"/>
        <w:adjustRightInd w:val="0"/>
        <w:spacing w:after="240" w:line="360" w:lineRule="auto"/>
        <w:ind w:left="567"/>
        <w:jc w:val="both"/>
        <w:rPr>
          <w:rFonts w:ascii="Palatino Linotype" w:eastAsia="Times New Roman" w:hAnsi="Palatino Linotype" w:cs="Times"/>
          <w:color w:val="000000"/>
        </w:rPr>
      </w:pPr>
      <w:r w:rsidRPr="00C33D74">
        <w:rPr>
          <w:rFonts w:ascii="Palatino Linotype" w:eastAsia="Times New Roman" w:hAnsi="Palatino Linotype" w:cs="Bookman Old Style"/>
          <w:bCs/>
          <w:color w:val="000000"/>
          <w:szCs w:val="26"/>
        </w:rPr>
        <w:t xml:space="preserve">III. </w:t>
      </w:r>
      <w:r w:rsidRPr="00C33D74">
        <w:rPr>
          <w:rFonts w:ascii="Palatino Linotype" w:eastAsia="Times New Roman" w:hAnsi="Palatino Linotype" w:cs="Bookman Old Style"/>
          <w:color w:val="000000"/>
          <w:szCs w:val="26"/>
        </w:rPr>
        <w:t xml:space="preserve">La limitación se adecua al principio de proporcionalidad y representa el medio menos restrictivo disponible para evitar el perjuicio. </w:t>
      </w:r>
    </w:p>
    <w:p w14:paraId="5D6A2E69" w14:textId="77777777" w:rsidR="00B05EA0" w:rsidRPr="00C33D74" w:rsidRDefault="00B05EA0" w:rsidP="00B05EA0">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lang w:eastAsia="es-ES_tradnl"/>
        </w:rPr>
      </w:pPr>
      <w:r w:rsidRPr="00C33D74">
        <w:rPr>
          <w:rFonts w:ascii="Palatino Linotype" w:eastAsia="Calibri" w:hAnsi="Palatino Linotype" w:cs="Times New Roman"/>
          <w:lang w:eastAsia="es-ES_tradnl"/>
        </w:rPr>
        <w:lastRenderedPageBreak/>
        <w:t>Sobre el primer supuesto consideremos que según el diccionario del español jurídico, por riesgo podemos entender “la contingencia o proximidad de un daño”,</w:t>
      </w:r>
      <w:r w:rsidRPr="00C33D74">
        <w:rPr>
          <w:rFonts w:ascii="Palatino Linotype" w:eastAsia="Calibri" w:hAnsi="Palatino Linotype" w:cs="Times New Roman"/>
          <w:vertAlign w:val="superscript"/>
          <w:lang w:eastAsia="es-ES_tradnl"/>
        </w:rPr>
        <w:footnoteReference w:id="2"/>
      </w:r>
      <w:r w:rsidRPr="00C33D74">
        <w:rPr>
          <w:rFonts w:ascii="Palatino Linotype" w:eastAsia="Calibri" w:hAnsi="Palatino Linotype" w:cs="Times New Roman"/>
          <w:lang w:eastAsia="es-ES_tradnl"/>
        </w:rPr>
        <w:t xml:space="preserve"> mientras que el daño es considerado como un “perjuicio o lesión”</w:t>
      </w:r>
      <w:r w:rsidRPr="00C33D74">
        <w:rPr>
          <w:rFonts w:ascii="Palatino Linotype" w:eastAsia="Calibri" w:hAnsi="Palatino Linotype" w:cs="Times New Roman"/>
          <w:vertAlign w:val="superscript"/>
          <w:lang w:eastAsia="es-ES_tradnl"/>
        </w:rPr>
        <w:footnoteReference w:id="3"/>
      </w:r>
      <w:r w:rsidRPr="00C33D74">
        <w:rPr>
          <w:rFonts w:ascii="Palatino Linotype" w:eastAsia="Calibri" w:hAnsi="Palatino Linotype" w:cs="Times New Roman"/>
          <w:lang w:eastAsia="es-ES_tradnl"/>
        </w:rPr>
        <w:t>, mientras que según el Diccionario de la Lengua Española, lo real es</w:t>
      </w:r>
      <w:r w:rsidRPr="00C33D74">
        <w:rPr>
          <w:rFonts w:ascii="Palatino Linotype" w:eastAsia="Arial Unicode MS" w:hAnsi="Palatino Linotype" w:cs="Arial Unicode MS"/>
          <w:color w:val="000000"/>
          <w:spacing w:val="4"/>
          <w:szCs w:val="26"/>
          <w:shd w:val="clear" w:color="auto" w:fill="FFFFFF"/>
          <w:lang w:eastAsia="es-ES_tradnl"/>
        </w:rPr>
        <w:t> lo “</w:t>
      </w:r>
      <w:r w:rsidRPr="00C33D74">
        <w:rPr>
          <w:rFonts w:ascii="Palatino Linotype" w:eastAsia="Times New Roman" w:hAnsi="Palatino Linotype" w:cs="Times New Roman"/>
          <w:lang w:eastAsia="es-ES_tradnl"/>
        </w:rPr>
        <w:t>(q</w:t>
      </w:r>
      <w:proofErr w:type="gramStart"/>
      <w:r w:rsidRPr="00C33D74">
        <w:rPr>
          <w:rFonts w:ascii="Palatino Linotype" w:eastAsia="Times New Roman" w:hAnsi="Palatino Linotype" w:cs="Times New Roman"/>
          <w:lang w:eastAsia="es-ES_tradnl"/>
        </w:rPr>
        <w:t>)</w:t>
      </w:r>
      <w:proofErr w:type="spellStart"/>
      <w:r w:rsidRPr="00C33D74">
        <w:rPr>
          <w:rFonts w:ascii="Palatino Linotype" w:eastAsia="Times New Roman" w:hAnsi="Palatino Linotype" w:cs="Times New Roman"/>
          <w:lang w:eastAsia="es-ES_tradnl"/>
        </w:rPr>
        <w:t>ue</w:t>
      </w:r>
      <w:proofErr w:type="spellEnd"/>
      <w:proofErr w:type="gramEnd"/>
      <w:r w:rsidRPr="00C33D74">
        <w:rPr>
          <w:rFonts w:ascii="Palatino Linotype" w:eastAsia="Arial Unicode MS" w:hAnsi="Palatino Linotype" w:cs="Arial Unicode MS"/>
          <w:color w:val="000000"/>
          <w:spacing w:val="4"/>
          <w:szCs w:val="26"/>
          <w:shd w:val="clear" w:color="auto" w:fill="FFFFFF"/>
          <w:lang w:eastAsia="es-ES_tradnl"/>
        </w:rPr>
        <w:t> </w:t>
      </w:r>
      <w:r w:rsidRPr="00C33D74">
        <w:rPr>
          <w:rFonts w:ascii="Palatino Linotype" w:eastAsia="Times New Roman" w:hAnsi="Palatino Linotype" w:cs="Times New Roman"/>
          <w:lang w:eastAsia="es-ES_tradnl"/>
        </w:rPr>
        <w:t>tiene</w:t>
      </w:r>
      <w:r w:rsidRPr="00C33D74">
        <w:rPr>
          <w:rFonts w:ascii="Palatino Linotype" w:eastAsia="Arial Unicode MS" w:hAnsi="Palatino Linotype" w:cs="Arial Unicode MS"/>
          <w:color w:val="000000"/>
          <w:spacing w:val="4"/>
          <w:szCs w:val="26"/>
          <w:shd w:val="clear" w:color="auto" w:fill="FFFFFF"/>
          <w:lang w:eastAsia="es-ES_tradnl"/>
        </w:rPr>
        <w:t> </w:t>
      </w:r>
      <w:r w:rsidRPr="00C33D74">
        <w:rPr>
          <w:rFonts w:ascii="Palatino Linotype" w:eastAsia="Times New Roman" w:hAnsi="Palatino Linotype" w:cs="Times New Roman"/>
          <w:lang w:eastAsia="es-ES_tradnl"/>
        </w:rPr>
        <w:t>existencia</w:t>
      </w:r>
      <w:r w:rsidRPr="00C33D74">
        <w:rPr>
          <w:rFonts w:ascii="Palatino Linotype" w:eastAsia="Arial Unicode MS" w:hAnsi="Palatino Linotype" w:cs="Arial Unicode MS"/>
          <w:color w:val="000000"/>
          <w:spacing w:val="4"/>
          <w:szCs w:val="26"/>
          <w:shd w:val="clear" w:color="auto" w:fill="FFFFFF"/>
          <w:lang w:eastAsia="es-ES_tradnl"/>
        </w:rPr>
        <w:t> </w:t>
      </w:r>
      <w:r w:rsidRPr="00C33D74">
        <w:rPr>
          <w:rFonts w:ascii="Palatino Linotype" w:eastAsia="Times New Roman" w:hAnsi="Palatino Linotype" w:cs="Times New Roman"/>
          <w:lang w:eastAsia="es-ES_tradnl"/>
        </w:rPr>
        <w:t>objetiva”,</w:t>
      </w:r>
      <w:r w:rsidRPr="00C33D74">
        <w:rPr>
          <w:rFonts w:ascii="Palatino Linotype" w:eastAsia="Times New Roman" w:hAnsi="Palatino Linotype" w:cs="Times New Roman"/>
          <w:vertAlign w:val="superscript"/>
          <w:lang w:eastAsia="es-ES_tradnl"/>
        </w:rPr>
        <w:footnoteReference w:id="4"/>
      </w:r>
      <w:r w:rsidRPr="00C33D74">
        <w:rPr>
          <w:rFonts w:ascii="Palatino Linotype" w:eastAsia="Times New Roman" w:hAnsi="Palatino Linotype" w:cs="Times New Roman"/>
          <w:lang w:eastAsia="es-ES_tradnl"/>
        </w:rPr>
        <w:t xml:space="preserve"> </w:t>
      </w:r>
      <w:r w:rsidRPr="00C33D74">
        <w:rPr>
          <w:rFonts w:ascii="Palatino Linotype" w:eastAsia="Arial Unicode MS" w:hAnsi="Palatino Linotype" w:cs="Arial Unicode MS"/>
          <w:color w:val="000000"/>
          <w:spacing w:val="4"/>
          <w:szCs w:val="26"/>
          <w:shd w:val="clear" w:color="auto" w:fill="FFFFFF"/>
          <w:lang w:eastAsia="es-ES_tradnl"/>
        </w:rPr>
        <w:t>mientras que lo demostrables es, según la misma fuente, aquello que se puede demostrar,</w:t>
      </w:r>
      <w:r w:rsidRPr="00C33D74">
        <w:rPr>
          <w:rFonts w:ascii="Palatino Linotype" w:eastAsia="Arial Unicode MS" w:hAnsi="Palatino Linotype" w:cs="Arial Unicode MS"/>
          <w:color w:val="000000"/>
          <w:spacing w:val="4"/>
          <w:szCs w:val="26"/>
          <w:shd w:val="clear" w:color="auto" w:fill="FFFFFF"/>
          <w:vertAlign w:val="superscript"/>
          <w:lang w:eastAsia="es-ES_tradnl"/>
        </w:rPr>
        <w:footnoteReference w:id="5"/>
      </w:r>
      <w:r w:rsidRPr="00C33D74">
        <w:rPr>
          <w:rFonts w:ascii="Palatino Linotype" w:eastAsia="Arial Unicode MS" w:hAnsi="Palatino Linotype" w:cs="Arial Unicode MS"/>
          <w:color w:val="000000"/>
          <w:spacing w:val="4"/>
          <w:szCs w:val="26"/>
          <w:shd w:val="clear" w:color="auto" w:fill="FFFFFF"/>
          <w:lang w:eastAsia="es-ES_tradnl"/>
        </w:rPr>
        <w:t xml:space="preserve"> es decir, </w:t>
      </w:r>
      <w:r w:rsidRPr="00C33D74">
        <w:rPr>
          <w:rFonts w:ascii="Palatino Linotype" w:eastAsia="Calibri" w:hAnsi="Palatino Linotype" w:cs="Times New Roman"/>
          <w:lang w:val="es-MX" w:eastAsia="en-US"/>
        </w:rPr>
        <w:t>“(m)anifestar, declarar. Probar, sirviéndose de cualquier género de demostración, </w:t>
      </w:r>
      <w:hyperlink r:id="rId12" w:anchor="6nAyKjE" w:history="1">
        <w:r w:rsidRPr="00C33D74">
          <w:rPr>
            <w:rFonts w:ascii="Palatino Linotype" w:eastAsia="Calibri" w:hAnsi="Palatino Linotype" w:cs="Times New Roman"/>
            <w:lang w:val="es-MX" w:eastAsia="en-US"/>
          </w:rPr>
          <w:t>enseñar</w:t>
        </w:r>
      </w:hyperlink>
      <w:r w:rsidRPr="00C33D74">
        <w:rPr>
          <w:rFonts w:ascii="Palatino Linotype" w:eastAsia="Calibri" w:hAnsi="Palatino Linotype" w:cs="Times New Roman"/>
          <w:lang w:val="es-MX" w:eastAsia="en-US"/>
        </w:rPr>
        <w:t> mostrar o exponer algo)”.</w:t>
      </w:r>
      <w:r w:rsidRPr="00C33D74">
        <w:rPr>
          <w:rFonts w:ascii="Palatino Linotype" w:eastAsia="Calibri" w:hAnsi="Palatino Linotype" w:cs="Times New Roman"/>
          <w:vertAlign w:val="superscript"/>
          <w:lang w:val="es-MX" w:eastAsia="en-US"/>
        </w:rPr>
        <w:footnoteReference w:id="6"/>
      </w:r>
      <w:r w:rsidRPr="00C33D74">
        <w:rPr>
          <w:rFonts w:ascii="Palatino Linotype" w:eastAsia="Calibri" w:hAnsi="Palatino Linotype" w:cs="Times New Roman"/>
          <w:lang w:val="es-MX" w:eastAsia="en-US"/>
        </w:rPr>
        <w:t xml:space="preserve"> Mientras que lo identificable es lo que puede ser identificado,</w:t>
      </w:r>
      <w:r w:rsidRPr="00C33D74">
        <w:rPr>
          <w:rFonts w:ascii="Palatino Linotype" w:eastAsia="Calibri" w:hAnsi="Palatino Linotype" w:cs="Times New Roman"/>
          <w:vertAlign w:val="superscript"/>
          <w:lang w:val="es-MX" w:eastAsia="en-US"/>
        </w:rPr>
        <w:footnoteReference w:id="7"/>
      </w:r>
      <w:r w:rsidRPr="00C33D74">
        <w:rPr>
          <w:rFonts w:ascii="Palatino Linotype" w:eastAsia="Calibri" w:hAnsi="Palatino Linotype" w:cs="Times New Roman"/>
          <w:lang w:val="es-MX" w:eastAsia="en-US"/>
        </w:rPr>
        <w:t xml:space="preserve"> esto es,</w:t>
      </w:r>
      <w:r w:rsidRPr="00C33D74">
        <w:rPr>
          <w:rFonts w:ascii="Palatino Linotype" w:eastAsia="Calibri" w:hAnsi="Palatino Linotype" w:cs="Times New Roman"/>
          <w:lang w:eastAsia="es-ES_tradnl"/>
        </w:rPr>
        <w:t>  “(d</w:t>
      </w:r>
      <w:proofErr w:type="gramStart"/>
      <w:r w:rsidRPr="00C33D74">
        <w:rPr>
          <w:rFonts w:ascii="Palatino Linotype" w:eastAsia="Calibri" w:hAnsi="Palatino Linotype" w:cs="Times New Roman"/>
          <w:lang w:eastAsia="es-ES_tradnl"/>
        </w:rPr>
        <w:t>)</w:t>
      </w:r>
      <w:proofErr w:type="spellStart"/>
      <w:r w:rsidRPr="00C33D74">
        <w:rPr>
          <w:rFonts w:ascii="Palatino Linotype" w:eastAsia="Calibri" w:hAnsi="Palatino Linotype" w:cs="Times New Roman"/>
          <w:lang w:eastAsia="es-ES_tradnl"/>
        </w:rPr>
        <w:t>ar</w:t>
      </w:r>
      <w:proofErr w:type="spellEnd"/>
      <w:proofErr w:type="gramEnd"/>
      <w:r w:rsidRPr="00C33D74">
        <w:rPr>
          <w:rFonts w:ascii="Palatino Linotype" w:eastAsia="Calibri" w:hAnsi="Palatino Linotype" w:cs="Times New Roman"/>
          <w:lang w:eastAsia="es-ES_tradnl"/>
        </w:rPr>
        <w:t> los datos necesarios para ser reconocido”.</w:t>
      </w:r>
      <w:r w:rsidRPr="00C33D74">
        <w:rPr>
          <w:rFonts w:ascii="Palatino Linotype" w:eastAsia="Calibri" w:hAnsi="Palatino Linotype" w:cs="Times New Roman"/>
          <w:vertAlign w:val="superscript"/>
          <w:lang w:eastAsia="es-ES_tradnl"/>
        </w:rPr>
        <w:footnoteReference w:id="8"/>
      </w:r>
    </w:p>
    <w:p w14:paraId="4D836443" w14:textId="77777777" w:rsidR="00B05EA0" w:rsidRPr="00C33D74" w:rsidRDefault="00B05EA0" w:rsidP="00B05EA0">
      <w:pPr>
        <w:spacing w:line="360" w:lineRule="auto"/>
        <w:ind w:left="360"/>
        <w:contextualSpacing/>
        <w:jc w:val="both"/>
        <w:rPr>
          <w:rFonts w:ascii="Palatino Linotype" w:eastAsia="Times New Roman" w:hAnsi="Palatino Linotype" w:cs="Times New Roman"/>
        </w:rPr>
      </w:pPr>
    </w:p>
    <w:p w14:paraId="44AA2A51" w14:textId="77777777" w:rsidR="00B05EA0" w:rsidRPr="00C33D74" w:rsidRDefault="00B05EA0" w:rsidP="00B05EA0">
      <w:pPr>
        <w:numPr>
          <w:ilvl w:val="0"/>
          <w:numId w:val="1"/>
        </w:numPr>
        <w:spacing w:after="160" w:line="360" w:lineRule="auto"/>
        <w:ind w:left="0" w:firstLine="0"/>
        <w:contextualSpacing/>
        <w:jc w:val="both"/>
        <w:rPr>
          <w:rFonts w:ascii="Palatino Linotype" w:eastAsia="Times New Roman" w:hAnsi="Palatino Linotype" w:cs="Times New Roman"/>
        </w:rPr>
      </w:pPr>
      <w:r w:rsidRPr="00C33D74">
        <w:rPr>
          <w:rFonts w:ascii="Palatino Linotype" w:eastAsia="Times New Roman" w:hAnsi="Palatino Linotype" w:cs="Times New Roman"/>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F26464F" w14:textId="77777777" w:rsidR="00B05EA0" w:rsidRPr="00C33D74" w:rsidRDefault="00B05EA0" w:rsidP="00B05EA0">
      <w:pPr>
        <w:spacing w:line="360" w:lineRule="auto"/>
        <w:contextualSpacing/>
        <w:jc w:val="both"/>
        <w:rPr>
          <w:rFonts w:ascii="Palatino Linotype" w:eastAsia="Times New Roman" w:hAnsi="Palatino Linotype" w:cs="Times New Roman"/>
        </w:rPr>
      </w:pPr>
    </w:p>
    <w:p w14:paraId="0A641939" w14:textId="77777777" w:rsidR="00B05EA0" w:rsidRPr="00C33D74" w:rsidRDefault="00B05EA0" w:rsidP="00B05EA0">
      <w:pPr>
        <w:numPr>
          <w:ilvl w:val="0"/>
          <w:numId w:val="1"/>
        </w:numPr>
        <w:spacing w:after="160" w:line="360" w:lineRule="auto"/>
        <w:ind w:left="0" w:firstLine="0"/>
        <w:contextualSpacing/>
        <w:jc w:val="both"/>
        <w:rPr>
          <w:rFonts w:ascii="Palatino Linotype" w:eastAsia="Times New Roman" w:hAnsi="Palatino Linotype" w:cs="Times New Roman"/>
        </w:rPr>
      </w:pPr>
      <w:r w:rsidRPr="00C33D74">
        <w:rPr>
          <w:rFonts w:ascii="Palatino Linotype" w:eastAsia="Times New Roman" w:hAnsi="Palatino Linotype" w:cs="Times New Roman"/>
        </w:rPr>
        <w:lastRenderedPageBreak/>
        <w:t xml:space="preserve">Identificado ese riesgo, se debe demostrar que el mismo supera el interés público general porque se difunda dicha información. </w:t>
      </w:r>
    </w:p>
    <w:p w14:paraId="3D284EFD" w14:textId="77777777" w:rsidR="00B05EA0" w:rsidRPr="00C33D74" w:rsidRDefault="00B05EA0" w:rsidP="00B05EA0">
      <w:pPr>
        <w:spacing w:line="360" w:lineRule="auto"/>
        <w:contextualSpacing/>
        <w:jc w:val="both"/>
        <w:rPr>
          <w:rFonts w:ascii="Palatino Linotype" w:eastAsia="Times New Roman" w:hAnsi="Palatino Linotype" w:cs="Times New Roman"/>
        </w:rPr>
      </w:pPr>
    </w:p>
    <w:p w14:paraId="4E6B0AFD" w14:textId="77777777" w:rsidR="00B05EA0" w:rsidRPr="00C33D74" w:rsidRDefault="00B05EA0" w:rsidP="00B05EA0">
      <w:pPr>
        <w:numPr>
          <w:ilvl w:val="0"/>
          <w:numId w:val="1"/>
        </w:numPr>
        <w:spacing w:after="160" w:line="360" w:lineRule="auto"/>
        <w:ind w:left="0" w:firstLine="0"/>
        <w:contextualSpacing/>
        <w:jc w:val="both"/>
        <w:rPr>
          <w:rFonts w:ascii="Palatino Linotype" w:eastAsia="Times New Roman" w:hAnsi="Palatino Linotype" w:cs="Times New Roman"/>
        </w:rPr>
      </w:pPr>
      <w:r w:rsidRPr="00C33D74">
        <w:rPr>
          <w:rFonts w:ascii="Palatino Linotype" w:eastAsia="Times New Roman" w:hAnsi="Palatino Linotype" w:cs="Times New Roman"/>
        </w:rPr>
        <w:t>Y, por último,  que la limitación es acorde con el principio de proporcionalidad, para ello, se sugiere emplear los tres juicios propuestos por la Corte Constitucional Colombiana</w:t>
      </w:r>
      <w:r w:rsidRPr="00C33D74">
        <w:rPr>
          <w:rFonts w:ascii="Palatino Linotype" w:eastAsia="Times New Roman" w:hAnsi="Palatino Linotype" w:cs="Times New Roman"/>
          <w:vertAlign w:val="superscript"/>
        </w:rPr>
        <w:footnoteReference w:id="9"/>
      </w:r>
      <w:r w:rsidRPr="00C33D74">
        <w:rPr>
          <w:rFonts w:ascii="Palatino Linotype" w:eastAsia="Times New Roman" w:hAnsi="Palatino Linotype" w:cs="Times New Roman"/>
        </w:rPr>
        <w:t>, siguiendo el principio de ponderación propuesto por el Tribunal Constitucional Alemán,</w:t>
      </w:r>
      <w:r w:rsidRPr="00C33D74">
        <w:rPr>
          <w:rFonts w:ascii="Palatino Linotype" w:eastAsia="Times New Roman" w:hAnsi="Palatino Linotype" w:cs="Times New Roman"/>
          <w:vertAlign w:val="superscript"/>
        </w:rPr>
        <w:footnoteReference w:id="10"/>
      </w:r>
      <w:r w:rsidRPr="00C33D74">
        <w:rPr>
          <w:rFonts w:ascii="Palatino Linotype" w:eastAsia="Times New Roman" w:hAnsi="Palatino Linotype" w:cs="Times New Roman"/>
        </w:rPr>
        <w:t xml:space="preserve"> el juicio de idoneidad, que la medida adoptada sea la idónea para el ejercicio del derecho; de necesidad, que sea necesaria para que el derecho que prevalece se ejerza y el de estricta proporcionalidad esto es, que el derecho que prevalezca sea en la dimensión estrictamente proporcional al derecho que retrocede.</w:t>
      </w:r>
    </w:p>
    <w:p w14:paraId="7B9165E5" w14:textId="77777777" w:rsidR="00B05EA0" w:rsidRPr="00C33D74" w:rsidRDefault="00B05EA0" w:rsidP="00B05EA0">
      <w:pPr>
        <w:spacing w:line="360" w:lineRule="auto"/>
        <w:contextualSpacing/>
        <w:jc w:val="both"/>
        <w:rPr>
          <w:rFonts w:ascii="Palatino Linotype" w:eastAsia="Times New Roman" w:hAnsi="Palatino Linotype" w:cs="Times New Roman"/>
          <w:lang w:val="es-MX" w:eastAsia="en-US"/>
        </w:rPr>
      </w:pPr>
    </w:p>
    <w:p w14:paraId="5E70BBFE" w14:textId="5A9A90F3" w:rsidR="00B53BC4" w:rsidRPr="00C33D74" w:rsidRDefault="00B05EA0" w:rsidP="00B53BC4">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Times New Roman"/>
          <w:lang w:val="es-MX" w:eastAsia="en-US"/>
        </w:rPr>
        <w:lastRenderedPageBreak/>
        <w:t>Lo anteriormente mencionado enfatiza aún más, la omisión del Sujeto Obligado en cuanto a las formalidades que se debieron seguir para estar en posibilidad de realizar una clasificación de información.</w:t>
      </w:r>
    </w:p>
    <w:p w14:paraId="0CC84C13" w14:textId="6DB8CBF2" w:rsidR="00B53BC4" w:rsidRPr="00C33D74" w:rsidRDefault="00B53BC4" w:rsidP="00B53BC4">
      <w:pPr>
        <w:pStyle w:val="Ttulo1"/>
        <w:rPr>
          <w:rFonts w:ascii="Palatino Linotype" w:hAnsi="Palatino Linotype"/>
          <w:b/>
          <w:color w:val="000000" w:themeColor="text1"/>
          <w:sz w:val="24"/>
          <w:szCs w:val="24"/>
        </w:rPr>
      </w:pPr>
      <w:r w:rsidRPr="00C33D74">
        <w:rPr>
          <w:rFonts w:ascii="Palatino Linotype" w:hAnsi="Palatino Linotype"/>
          <w:b/>
          <w:color w:val="000000" w:themeColor="text1"/>
          <w:sz w:val="24"/>
          <w:szCs w:val="24"/>
        </w:rPr>
        <w:t xml:space="preserve">b) De la Improcedencia de la Reserva. </w:t>
      </w:r>
    </w:p>
    <w:p w14:paraId="39E90468" w14:textId="77777777" w:rsidR="00B05EA0" w:rsidRPr="00C33D74" w:rsidRDefault="00B05EA0" w:rsidP="00B05EA0">
      <w:pPr>
        <w:ind w:left="720"/>
        <w:contextualSpacing/>
        <w:rPr>
          <w:rFonts w:ascii="Palatino Linotype" w:eastAsia="Times New Roman" w:hAnsi="Palatino Linotype" w:cs="Times New Roman"/>
          <w:lang w:val="es-MX" w:eastAsia="en-US"/>
        </w:rPr>
      </w:pPr>
    </w:p>
    <w:p w14:paraId="3B5AD8C2" w14:textId="40089991" w:rsidR="00B05EA0" w:rsidRPr="00C33D74" w:rsidRDefault="00B05EA0" w:rsidP="00B05EA0">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Times New Roman"/>
          <w:lang w:val="es-MX" w:eastAsia="en-US"/>
        </w:rPr>
        <w:t>No conforme con lo anterior, este Órgano Garante considera que la información solicitada por la parte recurrente no actualiza una causal de reserva, en razón a que no se aprecian los medios de convicción necesarios para demostrar que la divulgación de la información provoca un riesgo mayor que la afectación al derecho por su clasificación.</w:t>
      </w:r>
    </w:p>
    <w:p w14:paraId="24F82985" w14:textId="77777777" w:rsidR="004659E3" w:rsidRPr="00C33D74" w:rsidRDefault="004659E3" w:rsidP="004659E3">
      <w:pPr>
        <w:spacing w:line="360" w:lineRule="auto"/>
        <w:contextualSpacing/>
        <w:jc w:val="both"/>
        <w:rPr>
          <w:rFonts w:ascii="Palatino Linotype" w:eastAsia="Times New Roman" w:hAnsi="Palatino Linotype" w:cs="Times New Roman"/>
          <w:lang w:val="es-MX" w:eastAsia="en-US"/>
        </w:rPr>
      </w:pPr>
    </w:p>
    <w:p w14:paraId="7B21DFC2" w14:textId="17E761A4" w:rsidR="00B53BC4" w:rsidRPr="00C33D74" w:rsidRDefault="00B53BC4" w:rsidP="00B05EA0">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Times New Roman"/>
          <w:lang w:val="es-MX" w:eastAsia="en-US"/>
        </w:rPr>
        <w:t xml:space="preserve">Lo anterior, porque se advierte que se requiere información estadística, respecto del despliegue de los elementos policiales en el operativo realizado, lo cual no vulnera la consecución de la supuesta investigación enunciada, además, por cuanto hace a las personas que ordenaron dicho operativo, los mismos tienen o tuvieron la calidad de servidores públicos, por lo que lo relacionado con su cargo o comisión, así como su nombre no es información que se pueda reservar.  </w:t>
      </w:r>
    </w:p>
    <w:p w14:paraId="273A4F30" w14:textId="77777777" w:rsidR="00B05EA0" w:rsidRPr="00C33D74" w:rsidRDefault="00B05EA0" w:rsidP="00B05EA0">
      <w:pPr>
        <w:ind w:left="720"/>
        <w:contextualSpacing/>
        <w:rPr>
          <w:rFonts w:ascii="Palatino Linotype" w:eastAsia="Times New Roman" w:hAnsi="Palatino Linotype" w:cs="Times New Roman"/>
          <w:lang w:val="es-MX" w:eastAsia="en-US"/>
        </w:rPr>
      </w:pPr>
    </w:p>
    <w:p w14:paraId="02FCAD92" w14:textId="035582E2" w:rsidR="00B05EA0" w:rsidRPr="00C33D74" w:rsidRDefault="00B05EA0" w:rsidP="00B05EA0">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Times New Roman"/>
          <w:lang w:val="es-MX" w:eastAsia="en-US"/>
        </w:rPr>
        <w:t xml:space="preserve">Además, el hacer pública la información que manejan los entes gubernamentales en la construcción de obras urbanas refleja el compromiso con el derecho de acceso a la información, pues la ciudadanía puede conocer de primera mano que las obras se realizan conforme a su programación, o en su defecto, denunciar las irregularidades que en ellas se </w:t>
      </w:r>
      <w:r w:rsidR="00B53BC4" w:rsidRPr="00C33D74">
        <w:rPr>
          <w:rFonts w:ascii="Palatino Linotype" w:eastAsia="Times New Roman" w:hAnsi="Palatino Linotype" w:cs="Times New Roman"/>
          <w:lang w:val="es-MX" w:eastAsia="en-US"/>
        </w:rPr>
        <w:t>susciten</w:t>
      </w:r>
      <w:r w:rsidRPr="00C33D74">
        <w:rPr>
          <w:rFonts w:ascii="Palatino Linotype" w:eastAsia="Times New Roman" w:hAnsi="Palatino Linotype" w:cs="Times New Roman"/>
          <w:lang w:val="es-MX" w:eastAsia="en-US"/>
        </w:rPr>
        <w:t>.</w:t>
      </w:r>
    </w:p>
    <w:p w14:paraId="329B784E" w14:textId="77777777" w:rsidR="00B05EA0" w:rsidRPr="00C33D74" w:rsidRDefault="00B05EA0" w:rsidP="00B05EA0">
      <w:pPr>
        <w:ind w:left="720"/>
        <w:contextualSpacing/>
        <w:rPr>
          <w:rFonts w:ascii="Palatino Linotype" w:eastAsia="Times New Roman" w:hAnsi="Palatino Linotype" w:cs="Times New Roman"/>
          <w:lang w:val="es-MX" w:eastAsia="en-US"/>
        </w:rPr>
      </w:pPr>
    </w:p>
    <w:p w14:paraId="04FE6342" w14:textId="019E38D1" w:rsidR="00E7098A" w:rsidRPr="00C33D74" w:rsidRDefault="00B05EA0" w:rsidP="00E7098A">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33D74">
        <w:rPr>
          <w:rFonts w:ascii="Palatino Linotype" w:eastAsia="Times New Roman" w:hAnsi="Palatino Linotype" w:cs="Times New Roman"/>
          <w:lang w:val="es-MX" w:eastAsia="en-US"/>
        </w:rPr>
        <w:lastRenderedPageBreak/>
        <w:t>La publicación de la información redobla el compromiso con la transparencia y rendición de cuentas y, en el presente asunto en particular, la divulgación de la información, contrario a lo que establece el Sujeto Obligado, no representa ningún riesgo en la conducción de la misma, pues difícilmente afectaría</w:t>
      </w:r>
      <w:r w:rsidR="00B53BC4" w:rsidRPr="00C33D74">
        <w:rPr>
          <w:rFonts w:ascii="Palatino Linotype" w:eastAsia="Times New Roman" w:hAnsi="Palatino Linotype" w:cs="Times New Roman"/>
          <w:lang w:val="es-MX" w:eastAsia="en-US"/>
        </w:rPr>
        <w:t xml:space="preserve"> la conducción </w:t>
      </w:r>
      <w:r w:rsidR="00037543" w:rsidRPr="00C33D74">
        <w:rPr>
          <w:rFonts w:ascii="Palatino Linotype" w:eastAsia="Times New Roman" w:hAnsi="Palatino Linotype" w:cs="Times New Roman"/>
          <w:lang w:val="es-MX" w:eastAsia="en-US"/>
        </w:rPr>
        <w:t>de la investigación</w:t>
      </w:r>
      <w:r w:rsidRPr="00C33D74">
        <w:rPr>
          <w:rFonts w:ascii="Palatino Linotype" w:eastAsia="Times New Roman" w:hAnsi="Palatino Linotype" w:cs="Times New Roman"/>
          <w:lang w:val="es-MX" w:eastAsia="en-US"/>
        </w:rPr>
        <w:t xml:space="preserve">, pues en ningún momento el Sujeto Obligado </w:t>
      </w:r>
      <w:r w:rsidR="00037543" w:rsidRPr="00C33D74">
        <w:rPr>
          <w:rFonts w:ascii="Palatino Linotype" w:eastAsia="Times New Roman" w:hAnsi="Palatino Linotype" w:cs="Times New Roman"/>
          <w:lang w:val="es-MX" w:eastAsia="en-US"/>
        </w:rPr>
        <w:t>manifestó debidamente la existencia de dicho procedimiento</w:t>
      </w:r>
      <w:r w:rsidRPr="00C33D74">
        <w:rPr>
          <w:rFonts w:ascii="Palatino Linotype" w:eastAsia="Times New Roman" w:hAnsi="Palatino Linotype" w:cs="Times New Roman"/>
          <w:lang w:val="es-MX" w:eastAsia="en-US"/>
        </w:rPr>
        <w:t>.</w:t>
      </w:r>
    </w:p>
    <w:p w14:paraId="1EAFA6A5" w14:textId="77777777" w:rsidR="00E7098A" w:rsidRPr="00C33D74" w:rsidRDefault="00E7098A" w:rsidP="00E7098A">
      <w:pPr>
        <w:rPr>
          <w:rFonts w:ascii="Palatino Linotype" w:hAnsi="Palatino Linotype"/>
          <w:lang w:val="es-MX" w:eastAsia="en-US"/>
        </w:rPr>
      </w:pPr>
    </w:p>
    <w:p w14:paraId="6A2A4568" w14:textId="78EA34FF" w:rsidR="001D722A" w:rsidRPr="00C33D74" w:rsidRDefault="00C86AC8" w:rsidP="004A57C5">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MX"/>
        </w:rPr>
      </w:pPr>
      <w:r w:rsidRPr="00C33D74">
        <w:rPr>
          <w:rFonts w:ascii="Palatino Linotype" w:eastAsia="MS Mincho" w:hAnsi="Palatino Linotype" w:cs="Arial"/>
          <w:color w:val="000000" w:themeColor="text1"/>
          <w:lang w:val="es-MX"/>
        </w:rPr>
        <w:t>Por otro lado, se advierte que la solicitud de informaci</w:t>
      </w:r>
      <w:r w:rsidR="002E46C5" w:rsidRPr="00C33D74">
        <w:rPr>
          <w:rFonts w:ascii="Palatino Linotype" w:eastAsia="MS Mincho" w:hAnsi="Palatino Linotype" w:cs="Arial"/>
          <w:color w:val="000000" w:themeColor="text1"/>
          <w:lang w:val="es-MX"/>
        </w:rPr>
        <w:t>ón se encuentra encaminada a esclarecer un posible acto de autoridad en cual se encuentra cuestionado debido a la posible vulneración de derechos humanos, factor determinante para que este Órgano Garante ordene la entrega de la información solicitada. En efecto, los derechos humanos como un cumulo de prerrogativas inherentes al ser humano se rigen por diversos principios, dentro de los cuales se encuentra el de in</w:t>
      </w:r>
      <w:r w:rsidR="00E7098A" w:rsidRPr="00C33D74">
        <w:rPr>
          <w:rFonts w:ascii="Palatino Linotype" w:eastAsia="MS Mincho" w:hAnsi="Palatino Linotype" w:cs="Arial"/>
          <w:color w:val="000000" w:themeColor="text1"/>
          <w:lang w:val="es-MX"/>
        </w:rPr>
        <w:t xml:space="preserve">terdependencia, lo que implica </w:t>
      </w:r>
      <w:r w:rsidR="002E46C5" w:rsidRPr="00C33D74">
        <w:rPr>
          <w:rFonts w:ascii="Palatino Linotype" w:eastAsia="MS Mincho" w:hAnsi="Palatino Linotype" w:cs="Arial"/>
          <w:color w:val="000000" w:themeColor="text1"/>
          <w:lang w:val="es-MX"/>
        </w:rPr>
        <w:t>que “</w:t>
      </w:r>
      <w:r w:rsidR="002E46C5" w:rsidRPr="00C33D74">
        <w:rPr>
          <w:rFonts w:ascii="Palatino Linotype" w:eastAsia="MS Mincho" w:hAnsi="Palatino Linotype" w:cs="Arial"/>
          <w:i/>
          <w:color w:val="000000" w:themeColor="text1"/>
        </w:rPr>
        <w:t>están vinculados entre ellos y son indivisibles, que no pueden separarse o fragmentarse unos de otros. Todos los derechos humanos, civiles, políticos, económicos, sociales y culturales deben comprenderse como un conjunto. Lo anterior, también implica que el goce y ejercicio de un derecho está vinculado a que se garantice el resto de derechos; así como la violación de un derecho pone también en riesgo los demás derechos”</w:t>
      </w:r>
      <w:r w:rsidR="002E46C5" w:rsidRPr="00C33D74">
        <w:rPr>
          <w:rStyle w:val="Refdenotaalpie"/>
          <w:rFonts w:ascii="Palatino Linotype" w:eastAsia="MS Mincho" w:hAnsi="Palatino Linotype" w:cs="Arial"/>
          <w:i/>
          <w:color w:val="000000" w:themeColor="text1"/>
        </w:rPr>
        <w:footnoteReference w:id="11"/>
      </w:r>
      <w:r w:rsidR="002E46C5" w:rsidRPr="00C33D74">
        <w:rPr>
          <w:rFonts w:ascii="Palatino Linotype" w:eastAsia="MS Mincho" w:hAnsi="Palatino Linotype" w:cs="Arial"/>
          <w:i/>
          <w:color w:val="000000" w:themeColor="text1"/>
        </w:rPr>
        <w:t>.</w:t>
      </w:r>
      <w:r w:rsidR="002E46C5" w:rsidRPr="00C33D74">
        <w:rPr>
          <w:rFonts w:ascii="Palatino Linotype" w:eastAsia="MS Mincho" w:hAnsi="Palatino Linotype" w:cs="Arial"/>
          <w:color w:val="000000" w:themeColor="text1"/>
        </w:rPr>
        <w:t xml:space="preserve"> </w:t>
      </w:r>
    </w:p>
    <w:p w14:paraId="7E384DAA" w14:textId="77777777" w:rsidR="002E46C5" w:rsidRPr="00C33D74" w:rsidRDefault="002E46C5" w:rsidP="002E46C5">
      <w:pPr>
        <w:rPr>
          <w:rFonts w:ascii="Palatino Linotype" w:eastAsia="MS Mincho" w:hAnsi="Palatino Linotype" w:cs="Arial"/>
          <w:color w:val="000000" w:themeColor="text1"/>
          <w:lang w:val="es-MX"/>
        </w:rPr>
      </w:pPr>
    </w:p>
    <w:p w14:paraId="20C251DB" w14:textId="2508D15E" w:rsidR="00B55388" w:rsidRPr="00C33D74" w:rsidRDefault="002E46C5" w:rsidP="00B55388">
      <w:pPr>
        <w:numPr>
          <w:ilvl w:val="0"/>
          <w:numId w:val="1"/>
        </w:numPr>
        <w:spacing w:before="240" w:after="240" w:line="360" w:lineRule="auto"/>
        <w:ind w:left="0" w:firstLine="0"/>
        <w:contextualSpacing/>
        <w:jc w:val="both"/>
        <w:rPr>
          <w:rFonts w:ascii="Palatino Linotype" w:eastAsia="Calibri" w:hAnsi="Palatino Linotype" w:cs="Times New Roman"/>
          <w:lang w:val="es-MX" w:eastAsia="en-US"/>
        </w:rPr>
      </w:pPr>
      <w:r w:rsidRPr="00C33D74">
        <w:rPr>
          <w:rFonts w:ascii="Palatino Linotype" w:eastAsia="MS Mincho" w:hAnsi="Palatino Linotype" w:cs="Arial"/>
          <w:color w:val="000000" w:themeColor="text1"/>
          <w:lang w:val="es-MX"/>
        </w:rPr>
        <w:t>Así,</w:t>
      </w:r>
      <w:r w:rsidR="00B55388" w:rsidRPr="00C33D74">
        <w:rPr>
          <w:rFonts w:ascii="Palatino Linotype" w:eastAsia="Calibri" w:hAnsi="Palatino Linotype" w:cs="Times New Roman"/>
          <w:szCs w:val="22"/>
          <w:lang w:val="es-MX" w:eastAsia="en-US"/>
        </w:rPr>
        <w:t xml:space="preserve"> y como ya he precisado anteriormente si bien el Derecho de Acceso a la Información Pública, tiene por objeto el buscar, recabar y difundir información</w:t>
      </w:r>
      <w:r w:rsidR="00B55388" w:rsidRPr="00C33D74">
        <w:rPr>
          <w:rFonts w:ascii="Palatino Linotype" w:eastAsia="Calibri" w:hAnsi="Palatino Linotype" w:cs="Times New Roman"/>
          <w:b/>
          <w:szCs w:val="22"/>
          <w:lang w:val="es-MX" w:eastAsia="en-US"/>
        </w:rPr>
        <w:t xml:space="preserve">, también tiene como fin salvaguardar otros derechos, </w:t>
      </w:r>
      <w:r w:rsidR="00B55388" w:rsidRPr="00C33D74">
        <w:rPr>
          <w:rFonts w:ascii="Palatino Linotype" w:eastAsia="Calibri" w:hAnsi="Palatino Linotype" w:cs="Times New Roman"/>
          <w:szCs w:val="22"/>
          <w:lang w:val="es-MX" w:eastAsia="en-US"/>
        </w:rPr>
        <w:t>esto</w:t>
      </w:r>
      <w:r w:rsidR="00B55388" w:rsidRPr="00C33D74">
        <w:rPr>
          <w:rFonts w:ascii="Palatino Linotype" w:eastAsia="Calibri" w:hAnsi="Palatino Linotype" w:cs="Times New Roman"/>
          <w:b/>
          <w:szCs w:val="22"/>
          <w:lang w:val="es-MX" w:eastAsia="en-US"/>
        </w:rPr>
        <w:t xml:space="preserve">, </w:t>
      </w:r>
      <w:r w:rsidR="00B55388" w:rsidRPr="00C33D74">
        <w:rPr>
          <w:rFonts w:ascii="Palatino Linotype" w:eastAsia="Calibri" w:hAnsi="Palatino Linotype" w:cs="Times New Roman"/>
          <w:szCs w:val="22"/>
          <w:lang w:val="es-MX" w:eastAsia="en-US"/>
        </w:rPr>
        <w:t xml:space="preserve">de conformidad con el </w:t>
      </w:r>
      <w:r w:rsidR="00B55388" w:rsidRPr="00C33D74">
        <w:rPr>
          <w:rFonts w:ascii="Palatino Linotype" w:eastAsia="Calibri" w:hAnsi="Palatino Linotype" w:cs="Times New Roman"/>
          <w:szCs w:val="22"/>
          <w:lang w:val="es-MX" w:eastAsia="en-US"/>
        </w:rPr>
        <w:lastRenderedPageBreak/>
        <w:t xml:space="preserve">tercer párrafo del artículo primero de la Constitución Política de los Estados Unidos Mexicanos que precisa que </w:t>
      </w:r>
      <w:r w:rsidR="00B55388" w:rsidRPr="00C33D74">
        <w:rPr>
          <w:rFonts w:ascii="Palatino Linotype" w:eastAsia="Calibri" w:hAnsi="Palatino Linotype" w:cs="Times New Roman"/>
          <w:i/>
          <w:szCs w:val="22"/>
          <w:lang w:val="es-MX" w:eastAsia="en-US"/>
        </w:rPr>
        <w:t xml:space="preserve">“Todas las autoridades, en ámbito de sus competencias, tienen la obligación de promover, respetar, proteger y garantizar los derechos humanos de conformidad con los principios de universalidad, </w:t>
      </w:r>
      <w:r w:rsidR="00B55388" w:rsidRPr="00C33D74">
        <w:rPr>
          <w:rFonts w:ascii="Palatino Linotype" w:eastAsia="Calibri" w:hAnsi="Palatino Linotype" w:cs="Times New Roman"/>
          <w:b/>
          <w:i/>
          <w:szCs w:val="22"/>
          <w:lang w:val="es-MX" w:eastAsia="en-US"/>
        </w:rPr>
        <w:t>interdependencia,</w:t>
      </w:r>
      <w:r w:rsidR="00B55388" w:rsidRPr="00C33D74">
        <w:rPr>
          <w:rFonts w:ascii="Palatino Linotype" w:eastAsia="Calibri" w:hAnsi="Palatino Linotype" w:cs="Times New Roman"/>
          <w:i/>
          <w:szCs w:val="22"/>
          <w:lang w:val="es-MX" w:eastAsia="en-US"/>
        </w:rPr>
        <w:t xml:space="preserve"> indivisibilidad y progresividad. En consecuencia, el estado deberá prevenir, investigar, sancionar y reparar las violaciones a los derechos humanos en los términos que establezca la ley”.</w:t>
      </w:r>
    </w:p>
    <w:p w14:paraId="59CAF2DB" w14:textId="77777777" w:rsidR="00B55388" w:rsidRPr="00C33D74" w:rsidRDefault="00B55388" w:rsidP="00B55388">
      <w:pPr>
        <w:spacing w:after="160" w:line="259" w:lineRule="auto"/>
        <w:ind w:left="720"/>
        <w:contextualSpacing/>
        <w:rPr>
          <w:rFonts w:ascii="Palatino Linotype" w:eastAsia="Calibri" w:hAnsi="Palatino Linotype" w:cs="Times New Roman"/>
          <w:szCs w:val="22"/>
          <w:lang w:val="es-MX" w:eastAsia="en-US"/>
        </w:rPr>
      </w:pPr>
    </w:p>
    <w:p w14:paraId="59D3B384" w14:textId="324A32B0" w:rsidR="00B55388" w:rsidRPr="00C33D74" w:rsidRDefault="00B55388" w:rsidP="00B55388">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eastAsia="Calibri" w:hAnsi="Palatino Linotype" w:cs="Times New Roman"/>
          <w:lang w:val="es-MX" w:eastAsia="en-US"/>
        </w:rPr>
      </w:pPr>
      <w:r w:rsidRPr="00C33D74">
        <w:rPr>
          <w:rFonts w:ascii="Palatino Linotype" w:eastAsia="Calibri" w:hAnsi="Palatino Linotype" w:cs="Times New Roman"/>
          <w:lang w:val="es-MX" w:eastAsia="en-US"/>
        </w:rPr>
        <w:t xml:space="preserve"> Efectivamente</w:t>
      </w:r>
      <w:r w:rsidRPr="00C33D74">
        <w:rPr>
          <w:rFonts w:ascii="Palatino Linotype" w:eastAsia="Calibri" w:hAnsi="Palatino Linotype" w:cs="Times New Roman"/>
          <w:szCs w:val="22"/>
          <w:lang w:val="es-MX" w:eastAsia="en-US"/>
        </w:rPr>
        <w:t>, los derechos humanos son interdependientes, es decir, están vinculados entre sí y son indivisibles, lo cual implica que el goce y ejercicio de un derecho está vinculado a que se garantice otro, en el caso en concreto que se analiza se advierte que pu</w:t>
      </w:r>
      <w:r w:rsidR="004659E3" w:rsidRPr="00C33D74">
        <w:rPr>
          <w:rFonts w:ascii="Palatino Linotype" w:eastAsia="Calibri" w:hAnsi="Palatino Linotype" w:cs="Times New Roman"/>
          <w:szCs w:val="22"/>
          <w:lang w:val="es-MX" w:eastAsia="en-US"/>
        </w:rPr>
        <w:t>diera coexistir el ejercicio de</w:t>
      </w:r>
      <w:r w:rsidRPr="00C33D74">
        <w:rPr>
          <w:rFonts w:ascii="Palatino Linotype" w:eastAsia="Calibri" w:hAnsi="Palatino Linotype" w:cs="Times New Roman"/>
          <w:szCs w:val="22"/>
          <w:lang w:val="es-MX" w:eastAsia="en-US"/>
        </w:rPr>
        <w:t xml:space="preserve"> diversos derechos humanos como lo es el derecho a la vida, la libertad y seguridad, lo que implica que toda persona tiene derecho a que se garantice su integridad. </w:t>
      </w:r>
    </w:p>
    <w:p w14:paraId="299AC7BD" w14:textId="77777777" w:rsidR="00B55388" w:rsidRPr="00C33D74" w:rsidRDefault="00B55388" w:rsidP="00B55388">
      <w:pPr>
        <w:pBdr>
          <w:top w:val="nil"/>
          <w:left w:val="nil"/>
          <w:bottom w:val="nil"/>
          <w:right w:val="nil"/>
          <w:between w:val="nil"/>
          <w:bar w:val="nil"/>
        </w:pBdr>
        <w:spacing w:before="240" w:after="240" w:line="360" w:lineRule="auto"/>
        <w:contextualSpacing/>
        <w:jc w:val="both"/>
        <w:rPr>
          <w:rFonts w:ascii="Palatino Linotype" w:eastAsia="Calibri" w:hAnsi="Palatino Linotype" w:cs="Times New Roman"/>
          <w:lang w:val="es-MX" w:eastAsia="en-US"/>
        </w:rPr>
      </w:pPr>
    </w:p>
    <w:p w14:paraId="31ED7002" w14:textId="62F4B3A6" w:rsidR="00B55388" w:rsidRPr="00C33D74" w:rsidRDefault="00B55388" w:rsidP="00B55388">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eastAsia="Calibri" w:hAnsi="Palatino Linotype" w:cs="Times New Roman"/>
          <w:lang w:val="es-MX" w:eastAsia="en-US"/>
        </w:rPr>
      </w:pPr>
      <w:r w:rsidRPr="00C33D74">
        <w:rPr>
          <w:rFonts w:ascii="Palatino Linotype" w:eastAsia="Calibri" w:hAnsi="Palatino Linotype" w:cs="Times New Roman"/>
          <w:szCs w:val="22"/>
          <w:lang w:val="es-MX" w:eastAsia="en-US"/>
        </w:rPr>
        <w:t>Es por lo anterior que se advierte la importancia que tiene el debido cumplimiento a la resolución que se presenta pues, la solicitud que realiza el particular tiene como principal pretensión el debido ejercicio del acto de autoridad que se señala, lo que como ya se expresó implica la interdependencia de diversos derechos, discernimiento que se robustece a través de la</w:t>
      </w:r>
      <w:r w:rsidR="005D02E7" w:rsidRPr="00C33D74">
        <w:rPr>
          <w:rFonts w:ascii="Palatino Linotype" w:eastAsia="Calibri" w:hAnsi="Palatino Linotype" w:cs="Times New Roman"/>
          <w:szCs w:val="22"/>
          <w:lang w:val="es-MX" w:eastAsia="en-US"/>
        </w:rPr>
        <w:t>s</w:t>
      </w:r>
      <w:r w:rsidRPr="00C33D74">
        <w:rPr>
          <w:rFonts w:ascii="Palatino Linotype" w:eastAsia="Calibri" w:hAnsi="Palatino Linotype" w:cs="Times New Roman"/>
          <w:szCs w:val="22"/>
          <w:lang w:val="es-MX" w:eastAsia="en-US"/>
        </w:rPr>
        <w:t xml:space="preserve"> </w:t>
      </w:r>
      <w:r w:rsidR="00723019" w:rsidRPr="00C33D74">
        <w:rPr>
          <w:rFonts w:ascii="Palatino Linotype" w:eastAsia="Calibri" w:hAnsi="Palatino Linotype" w:cs="Times New Roman"/>
          <w:szCs w:val="22"/>
          <w:lang w:val="es-MX" w:eastAsia="en-US"/>
        </w:rPr>
        <w:t>siguientes jurisprudencias</w:t>
      </w:r>
      <w:r w:rsidRPr="00C33D74">
        <w:rPr>
          <w:rFonts w:ascii="Palatino Linotype" w:eastAsia="Calibri" w:hAnsi="Palatino Linotype" w:cs="Times New Roman"/>
          <w:szCs w:val="22"/>
          <w:lang w:val="es-MX" w:eastAsia="en-US"/>
        </w:rPr>
        <w:t xml:space="preserve">: </w:t>
      </w:r>
    </w:p>
    <w:p w14:paraId="7CEEC81A" w14:textId="77777777" w:rsidR="00B55388" w:rsidRPr="00C33D74" w:rsidRDefault="00B55388" w:rsidP="00B55388">
      <w:pPr>
        <w:pBdr>
          <w:top w:val="nil"/>
          <w:left w:val="nil"/>
          <w:bottom w:val="nil"/>
          <w:right w:val="nil"/>
          <w:between w:val="nil"/>
          <w:bar w:val="nil"/>
        </w:pBdr>
        <w:spacing w:before="240" w:after="240" w:line="360" w:lineRule="auto"/>
        <w:contextualSpacing/>
        <w:jc w:val="both"/>
        <w:rPr>
          <w:rFonts w:ascii="Palatino Linotype" w:eastAsia="Calibri" w:hAnsi="Palatino Linotype" w:cs="Times New Roman"/>
          <w:lang w:val="es-MX" w:eastAsia="en-US"/>
        </w:rPr>
      </w:pPr>
    </w:p>
    <w:p w14:paraId="6F7F834E" w14:textId="0BC51D26" w:rsidR="00B55388" w:rsidRPr="00C33D74" w:rsidRDefault="005D02E7" w:rsidP="00B55388">
      <w:pPr>
        <w:pBdr>
          <w:top w:val="nil"/>
          <w:left w:val="nil"/>
          <w:bottom w:val="nil"/>
          <w:right w:val="nil"/>
          <w:between w:val="nil"/>
          <w:bar w:val="nil"/>
        </w:pBdr>
        <w:spacing w:before="240" w:after="240" w:line="360" w:lineRule="auto"/>
        <w:ind w:left="567" w:right="616"/>
        <w:contextualSpacing/>
        <w:jc w:val="both"/>
        <w:rPr>
          <w:rFonts w:ascii="Palatino Linotype" w:eastAsia="Calibri" w:hAnsi="Palatino Linotype" w:cs="Times New Roman"/>
          <w:i/>
          <w:sz w:val="22"/>
          <w:szCs w:val="22"/>
          <w:lang w:val="es-MX" w:eastAsia="en-US"/>
        </w:rPr>
      </w:pPr>
      <w:r w:rsidRPr="00C33D74">
        <w:rPr>
          <w:rFonts w:ascii="Palatino Linotype" w:eastAsia="Calibri" w:hAnsi="Palatino Linotype" w:cs="Times New Roman"/>
          <w:b/>
          <w:i/>
          <w:sz w:val="22"/>
          <w:szCs w:val="22"/>
          <w:lang w:val="es-MX" w:eastAsia="en-US"/>
        </w:rPr>
        <w:t>“</w:t>
      </w:r>
      <w:r w:rsidR="00B55388" w:rsidRPr="00C33D74">
        <w:rPr>
          <w:rFonts w:ascii="Palatino Linotype" w:eastAsia="Calibri" w:hAnsi="Palatino Linotype" w:cs="Times New Roman"/>
          <w:b/>
          <w:i/>
          <w:sz w:val="22"/>
          <w:szCs w:val="22"/>
          <w:lang w:val="es-MX" w:eastAsia="en-US"/>
        </w:rPr>
        <w:t xml:space="preserve">PRINCIPIOS DE UNIVERSALIDAD, INTERDEPENDENCIA, INDIVISIBILIDAD Y PROGRESIVIDAD DE LOS DERECHOS HUMANOS. </w:t>
      </w:r>
      <w:r w:rsidR="00B55388" w:rsidRPr="00C33D74">
        <w:rPr>
          <w:rFonts w:ascii="Palatino Linotype" w:eastAsia="Calibri" w:hAnsi="Palatino Linotype" w:cs="Times New Roman"/>
          <w:b/>
          <w:i/>
          <w:sz w:val="22"/>
          <w:szCs w:val="22"/>
          <w:lang w:val="es-MX" w:eastAsia="en-US"/>
        </w:rPr>
        <w:lastRenderedPageBreak/>
        <w:t>EN QUÉ CONSISTEN</w:t>
      </w:r>
      <w:r w:rsidR="00B55388" w:rsidRPr="00C33D74">
        <w:rPr>
          <w:rFonts w:ascii="Palatino Linotype" w:eastAsia="Calibri" w:hAnsi="Palatino Linotype" w:cs="Times New Roman"/>
          <w:b/>
          <w:i/>
          <w:szCs w:val="22"/>
          <w:lang w:val="es-MX" w:eastAsia="en-US"/>
        </w:rPr>
        <w:t>.</w:t>
      </w:r>
      <w:r w:rsidR="00B55388" w:rsidRPr="00C33D74">
        <w:rPr>
          <w:rFonts w:ascii="Palatino Linotype" w:eastAsia="Calibri" w:hAnsi="Palatino Linotype" w:cs="Times New Roman"/>
          <w:i/>
          <w:szCs w:val="22"/>
          <w:lang w:val="es-MX" w:eastAsia="en-US"/>
        </w:rPr>
        <w:t xml:space="preserve"> </w:t>
      </w:r>
      <w:r w:rsidR="00B55388" w:rsidRPr="00C33D74">
        <w:rPr>
          <w:rFonts w:ascii="Palatino Linotype" w:eastAsia="Calibri" w:hAnsi="Palatino Linotype" w:cs="Times New Roman"/>
          <w:i/>
          <w:sz w:val="22"/>
          <w:szCs w:val="22"/>
          <w:lang w:val="es-MX" w:eastAsia="en-US"/>
        </w:rPr>
        <w:t xml:space="preserve">El tercer párrafo del artículo 1o. de la Constitución Política de los Estados Unidos Mexicanos dispone, entre otras cuestiones, que todas las autoridades, en el ámbito de sus competencias, tienen la obligación de promover, respetar, proteger y garantizar los derechos humanos de conformidad con los principios de universalidad, interdependencia, indivisibilidad y progresividad, los que consisten en lo siguiente: i) universalidad: que son inherentes a todos y conciernen a la comunidad internacional en su totalidad; en esta medida, son inviolables, lo que no quiere decir que sean absolutos, sino que son protegidos porque no puede infringirse la dignidad humana, pues lo razonable es pensar que se adecuan a las circunstancias; por ello, en razón de esta flexibilidad es que son universales, ya que su naturaleza permite que, al amoldarse a las contingencias, siempre estén con la persona. En relación con lo anterior, la Corte Interamericana de Derechos Humanos (Caso de la "Masacre de </w:t>
      </w:r>
      <w:proofErr w:type="spellStart"/>
      <w:r w:rsidR="00B55388" w:rsidRPr="00C33D74">
        <w:rPr>
          <w:rFonts w:ascii="Palatino Linotype" w:eastAsia="Calibri" w:hAnsi="Palatino Linotype" w:cs="Times New Roman"/>
          <w:i/>
          <w:sz w:val="22"/>
          <w:szCs w:val="22"/>
          <w:lang w:val="es-MX" w:eastAsia="en-US"/>
        </w:rPr>
        <w:t>Mapiripán</w:t>
      </w:r>
      <w:proofErr w:type="spellEnd"/>
      <w:r w:rsidR="00B55388" w:rsidRPr="00C33D74">
        <w:rPr>
          <w:rFonts w:ascii="Palatino Linotype" w:eastAsia="Calibri" w:hAnsi="Palatino Linotype" w:cs="Times New Roman"/>
          <w:i/>
          <w:sz w:val="22"/>
          <w:szCs w:val="22"/>
          <w:lang w:val="es-MX" w:eastAsia="en-US"/>
        </w:rPr>
        <w:t xml:space="preserve"> vs Colombia) ha señalado que los tratados de derechos humanos son instrumentos vivos, cuya interpretación tiene que acompañar la evolución de los tiempos y las condiciones de vida actuales, interpretación evolutiva que es consecuente con las reglas generales de interpretación consagradas en el artículo 29 de la Convención Americana sobre Derechos Humanos, así como las establecidas por la Convención de Viena sobre el Derecho de los Tratados. De ahí que dichos derechos, dentro de sus límites, son inalterables, es decir, que su núcleo esencial es intangible; por ello, la Norma Fundamental señala que ni aun en los estados de excepción se "suspenden", pues en todo caso, siempre se estará de conformidad con los principios del derecho internacional humanitario; </w:t>
      </w:r>
      <w:r w:rsidR="00B55388" w:rsidRPr="00C33D74">
        <w:rPr>
          <w:rFonts w:ascii="Palatino Linotype" w:eastAsia="Calibri" w:hAnsi="Palatino Linotype" w:cs="Times New Roman"/>
          <w:b/>
          <w:i/>
          <w:sz w:val="22"/>
          <w:szCs w:val="22"/>
          <w:lang w:val="es-MX" w:eastAsia="en-US"/>
        </w:rPr>
        <w:t xml:space="preserve">ii) interdependencia e indivisibilidad: que están relacionados entre sí, esto es, no puede hacerse ninguna separación ni pensar que unos son más importantes que otros, deben interpretarse y tomarse en su conjunto y no como elementos aislados. Todos los derechos humanos y las libertades fundamentales son indivisibles e interdependientes; debe darse </w:t>
      </w:r>
      <w:r w:rsidR="00B55388" w:rsidRPr="00C33D74">
        <w:rPr>
          <w:rFonts w:ascii="Palatino Linotype" w:eastAsia="Calibri" w:hAnsi="Palatino Linotype" w:cs="Times New Roman"/>
          <w:b/>
          <w:i/>
          <w:sz w:val="22"/>
          <w:szCs w:val="22"/>
          <w:lang w:val="es-MX" w:eastAsia="en-US"/>
        </w:rPr>
        <w:lastRenderedPageBreak/>
        <w:t>igual atención y urgente consideración a la aplicación, promoción y protección de los derechos civiles, políticos, económicos, sociales y culturales; esto es, complementarse, potenciarse o reforzarse recíprocamente;</w:t>
      </w:r>
      <w:r w:rsidR="00B55388" w:rsidRPr="00C33D74">
        <w:rPr>
          <w:rFonts w:ascii="Palatino Linotype" w:eastAsia="Calibri" w:hAnsi="Palatino Linotype" w:cs="Times New Roman"/>
          <w:i/>
          <w:sz w:val="22"/>
          <w:szCs w:val="22"/>
          <w:lang w:val="es-MX" w:eastAsia="en-US"/>
        </w:rPr>
        <w:t xml:space="preserve"> y iii) progresividad: constituye el compromiso de los Estados para adoptar providencias, tanto a nivel interno como mediante la cooperación internacional, especialmente económica y técnica, para lograr progresivamente la plena efectividad de los derechos que se derivan de las normas económicas, sociales y sobre educación, ciencia y cultura, principio que no puede entenderse en el sentido de que los gobiernos no tengan la obligación inmediata de empeñarse por lograr la realización íntegra de tales derechos, sino en la posibilidad de ir avanzando gradual y constantemente hacia su más completa realización, en función de sus recursos materiales; así, este principio exige que a medida que mejora el nivel de desarrollo de un Estado, mejore el nivel de compromiso de garantizar los derechos económicos, sociales y culturales. CUARTO TRIBUNAL COLEGIADO EN MATERIA ADMINISTRATIVA DEL PRIMER CIRCUITO. Amparo en revisión 184/2012. Margarita Quezada Labra. 16 de agosto de 2012. Unanimidad de votos. Ponente: Jean Claude </w:t>
      </w:r>
      <w:proofErr w:type="spellStart"/>
      <w:r w:rsidR="00B55388" w:rsidRPr="00C33D74">
        <w:rPr>
          <w:rFonts w:ascii="Palatino Linotype" w:eastAsia="Calibri" w:hAnsi="Palatino Linotype" w:cs="Times New Roman"/>
          <w:i/>
          <w:sz w:val="22"/>
          <w:szCs w:val="22"/>
          <w:lang w:val="es-MX" w:eastAsia="en-US"/>
        </w:rPr>
        <w:t>Tron</w:t>
      </w:r>
      <w:proofErr w:type="spellEnd"/>
      <w:r w:rsidR="00B55388" w:rsidRPr="00C33D74">
        <w:rPr>
          <w:rFonts w:ascii="Palatino Linotype" w:eastAsia="Calibri" w:hAnsi="Palatino Linotype" w:cs="Times New Roman"/>
          <w:i/>
          <w:sz w:val="22"/>
          <w:szCs w:val="22"/>
          <w:lang w:val="es-MX" w:eastAsia="en-US"/>
        </w:rPr>
        <w:t xml:space="preserve"> </w:t>
      </w:r>
      <w:proofErr w:type="spellStart"/>
      <w:r w:rsidR="00B55388" w:rsidRPr="00C33D74">
        <w:rPr>
          <w:rFonts w:ascii="Palatino Linotype" w:eastAsia="Calibri" w:hAnsi="Palatino Linotype" w:cs="Times New Roman"/>
          <w:i/>
          <w:sz w:val="22"/>
          <w:szCs w:val="22"/>
          <w:lang w:val="es-MX" w:eastAsia="en-US"/>
        </w:rPr>
        <w:t>Petit</w:t>
      </w:r>
      <w:proofErr w:type="spellEnd"/>
      <w:r w:rsidR="00B55388" w:rsidRPr="00C33D74">
        <w:rPr>
          <w:rFonts w:ascii="Palatino Linotype" w:eastAsia="Calibri" w:hAnsi="Palatino Linotype" w:cs="Times New Roman"/>
          <w:i/>
          <w:sz w:val="22"/>
          <w:szCs w:val="22"/>
          <w:lang w:val="es-MX" w:eastAsia="en-US"/>
        </w:rPr>
        <w:t xml:space="preserve">. Secretaria: </w:t>
      </w:r>
      <w:proofErr w:type="spellStart"/>
      <w:r w:rsidR="00B55388" w:rsidRPr="00C33D74">
        <w:rPr>
          <w:rFonts w:ascii="Palatino Linotype" w:eastAsia="Calibri" w:hAnsi="Palatino Linotype" w:cs="Times New Roman"/>
          <w:i/>
          <w:sz w:val="22"/>
          <w:szCs w:val="22"/>
          <w:lang w:val="es-MX" w:eastAsia="en-US"/>
        </w:rPr>
        <w:t>Aideé</w:t>
      </w:r>
      <w:proofErr w:type="spellEnd"/>
      <w:r w:rsidR="00B55388" w:rsidRPr="00C33D74">
        <w:rPr>
          <w:rFonts w:ascii="Palatino Linotype" w:eastAsia="Calibri" w:hAnsi="Palatino Linotype" w:cs="Times New Roman"/>
          <w:i/>
          <w:sz w:val="22"/>
          <w:szCs w:val="22"/>
          <w:lang w:val="es-MX" w:eastAsia="en-US"/>
        </w:rPr>
        <w:t xml:space="preserve"> Pineda Núñez</w:t>
      </w:r>
    </w:p>
    <w:p w14:paraId="23FC036A" w14:textId="52C00A11" w:rsidR="005D02E7" w:rsidRPr="00C33D74" w:rsidRDefault="005D02E7" w:rsidP="00B55388">
      <w:pPr>
        <w:pBdr>
          <w:top w:val="nil"/>
          <w:left w:val="nil"/>
          <w:bottom w:val="nil"/>
          <w:right w:val="nil"/>
          <w:between w:val="nil"/>
          <w:bar w:val="nil"/>
        </w:pBdr>
        <w:spacing w:before="240" w:after="240" w:line="360" w:lineRule="auto"/>
        <w:ind w:left="567" w:right="616"/>
        <w:contextualSpacing/>
        <w:jc w:val="both"/>
        <w:rPr>
          <w:rFonts w:ascii="Palatino Linotype" w:eastAsia="Calibri" w:hAnsi="Palatino Linotype" w:cs="Times New Roman"/>
          <w:i/>
          <w:lang w:val="es-MX" w:eastAsia="en-US"/>
        </w:rPr>
      </w:pPr>
    </w:p>
    <w:p w14:paraId="692EE7D6" w14:textId="2F077D59" w:rsidR="00662AAA" w:rsidRPr="00C33D74" w:rsidRDefault="00662AAA" w:rsidP="00662AAA">
      <w:pPr>
        <w:pBdr>
          <w:top w:val="nil"/>
          <w:left w:val="nil"/>
          <w:bottom w:val="nil"/>
          <w:right w:val="nil"/>
          <w:between w:val="nil"/>
          <w:bar w:val="nil"/>
        </w:pBdr>
        <w:spacing w:before="240" w:after="240" w:line="360" w:lineRule="auto"/>
        <w:ind w:left="567" w:right="616"/>
        <w:contextualSpacing/>
        <w:jc w:val="both"/>
        <w:rPr>
          <w:rFonts w:ascii="Palatino Linotype" w:eastAsia="Calibri" w:hAnsi="Palatino Linotype" w:cs="Times New Roman"/>
          <w:b/>
          <w:i/>
          <w:lang w:val="es-MX" w:eastAsia="en-US"/>
        </w:rPr>
      </w:pPr>
      <w:r w:rsidRPr="00C33D74">
        <w:rPr>
          <w:rFonts w:ascii="Palatino Linotype" w:eastAsia="Calibri" w:hAnsi="Palatino Linotype" w:cs="Times New Roman"/>
          <w:b/>
          <w:i/>
          <w:lang w:val="es-MX" w:eastAsia="en-US"/>
        </w:rPr>
        <w:t xml:space="preserve">PRINCIPIOS DE OPTIMIZACIÓN INTERPRETATIVA DE LOS DERECHOS HUMANOS RECONOCIDOS EN LA CONSTITUCIÓN FEDERAL (UNIVERSALIDAD, INTERDEPENDENCIA, INDIVISIBILIDAD Y PROGRESIVIDAD). ORIENTAN LA INTERPRETACIÓN DE LOS PRECEPTOS CONSTITUCIONALES EN ESA MATERIA Y SON DE INELUDIBLE OBSERVANCIA PARA TODAS LAS AUTORIDADES.   </w:t>
      </w:r>
    </w:p>
    <w:p w14:paraId="4D608996" w14:textId="77777777" w:rsidR="00662AAA" w:rsidRPr="00C33D74" w:rsidRDefault="00662AAA" w:rsidP="00662AAA">
      <w:pPr>
        <w:pBdr>
          <w:top w:val="nil"/>
          <w:left w:val="nil"/>
          <w:bottom w:val="nil"/>
          <w:right w:val="nil"/>
          <w:between w:val="nil"/>
          <w:bar w:val="nil"/>
        </w:pBdr>
        <w:spacing w:before="240" w:after="240" w:line="360" w:lineRule="auto"/>
        <w:ind w:right="616"/>
        <w:contextualSpacing/>
        <w:jc w:val="both"/>
        <w:rPr>
          <w:rFonts w:ascii="Palatino Linotype" w:eastAsia="Calibri" w:hAnsi="Palatino Linotype" w:cs="Times New Roman"/>
          <w:b/>
          <w:i/>
          <w:lang w:val="es-MX" w:eastAsia="en-US"/>
        </w:rPr>
      </w:pPr>
    </w:p>
    <w:p w14:paraId="5A5B47A9" w14:textId="6264C660" w:rsidR="00662AAA" w:rsidRPr="00C33D74" w:rsidRDefault="00662AAA" w:rsidP="00B55388">
      <w:pPr>
        <w:pBdr>
          <w:top w:val="nil"/>
          <w:left w:val="nil"/>
          <w:bottom w:val="nil"/>
          <w:right w:val="nil"/>
          <w:between w:val="nil"/>
          <w:bar w:val="nil"/>
        </w:pBdr>
        <w:spacing w:before="240" w:after="240" w:line="360" w:lineRule="auto"/>
        <w:ind w:left="567" w:right="616"/>
        <w:contextualSpacing/>
        <w:jc w:val="both"/>
        <w:rPr>
          <w:rFonts w:ascii="Palatino Linotype" w:hAnsi="Palatino Linotype"/>
          <w:i/>
          <w:color w:val="000000" w:themeColor="text1"/>
          <w:shd w:val="clear" w:color="auto" w:fill="FFFFFF"/>
        </w:rPr>
      </w:pPr>
      <w:r w:rsidRPr="00C33D74">
        <w:rPr>
          <w:rFonts w:ascii="Palatino Linotype" w:hAnsi="Palatino Linotype"/>
          <w:i/>
          <w:color w:val="000000" w:themeColor="text1"/>
          <w:shd w:val="clear" w:color="auto" w:fill="FFFFFF"/>
        </w:rPr>
        <w:t>El 10 de junio de 2011 se promulgaron reformas a la </w:t>
      </w:r>
      <w:hyperlink r:id="rId13" w:history="1">
        <w:r w:rsidRPr="00C33D74">
          <w:rPr>
            <w:rFonts w:ascii="Palatino Linotype" w:hAnsi="Palatino Linotype"/>
            <w:i/>
            <w:color w:val="000000" w:themeColor="text1"/>
            <w:shd w:val="clear" w:color="auto" w:fill="FFFFFF"/>
          </w:rPr>
          <w:t>Constitución Política de los Estados Unidos Mexicanos</w:t>
        </w:r>
      </w:hyperlink>
      <w:r w:rsidRPr="00C33D74">
        <w:rPr>
          <w:rFonts w:ascii="Palatino Linotype" w:hAnsi="Palatino Linotype"/>
          <w:i/>
          <w:color w:val="000000" w:themeColor="text1"/>
          <w:shd w:val="clear" w:color="auto" w:fill="FFFFFF"/>
        </w:rPr>
        <w:t xml:space="preserve"> en materia de derechos humanos, de las que sobresale la modificación de su artículo 1o. que establece la obligación de toda autoridad de promover, respetar y garantizar los derechos humanos, favoreciendo la protección más amplia posible a favor de la persona, de conformidad con los principios de universalidad, interdependencia, indivisibilidad y progresividad. En virtud de éstos, la valoración de los derechos fundamentales queda vinculada a la premisa de que deben respetarse en beneficio de todo ser humano, sin distinción de edad, género, raza, religión, ideas, condición económica, de vida, salud, nacionalidad o preferencias (universalidad); además, tales derechos han de apreciarse como relacionados de forma que no sería posible distinguirlos en orden de importancia o como prerrogativas independientes, prescindibles o excluyentes unas ante otras, sino que todos deben cumplirse en la mayor medida posible, así sea en diferente grado por la presencia de otro derecho fundamental que también deba respetarse y que resulte eventualmente preferible, por asegurar un beneficio mayor al individuo, sin que el derecho fundamental que ceda se entienda excluido definitivamente (indivisibilidad e interdependencia); asimismo, con el entendimiento de que cada uno de esos derechos, o todos en su conjunto, obedecen a un contexto de necesidades pasadas y actuales, mas no niegan la posibilidad de verse expandidos, por adecuación a nuevas condiciones sociales que determinen la necesidad y vigencia de otras prerrogativas que deban reconocerse a favor del individuo (progresividad). De esta guisa, los referidos principios orientan la </w:t>
      </w:r>
      <w:r w:rsidRPr="00C33D74">
        <w:rPr>
          <w:rFonts w:ascii="Palatino Linotype" w:hAnsi="Palatino Linotype"/>
          <w:i/>
          <w:color w:val="000000" w:themeColor="text1"/>
          <w:shd w:val="clear" w:color="auto" w:fill="FFFFFF"/>
        </w:rPr>
        <w:lastRenderedPageBreak/>
        <w:t xml:space="preserve">interpretación de los restantes preceptos constitucionales en materia de derechos fundamentales, conduciendo a su realización de los restantes preceptos constitucionales en materia de derechos fundamentales, conduciendo a su realización </w:t>
      </w:r>
      <w:r w:rsidR="00D51CCC" w:rsidRPr="00C33D74">
        <w:rPr>
          <w:rFonts w:ascii="Palatino Linotype" w:hAnsi="Palatino Linotype"/>
          <w:i/>
          <w:color w:val="000000" w:themeColor="text1"/>
          <w:shd w:val="clear" w:color="auto" w:fill="FFFFFF"/>
        </w:rPr>
        <w:t xml:space="preserve">y observancia más plena e inmejorable posibles, vinculando el proceder de toda autoridad en el cumplimiento del mandato de promover, respetar , proteger y garantizar los derechos humanos reconocidos en la Constitución y los tratados internacionales de la materia, por lo que se constituyen como auténticos principios de optimización e interpretación constitucional que el legislador decidió objetivar la Norma Suprema y, que por ende, resultan de ineludible observancia para todas las autoridades, y más aún para las jurisdiccionales. </w:t>
      </w:r>
    </w:p>
    <w:p w14:paraId="4F1B3833" w14:textId="0A4314FC" w:rsidR="00723019" w:rsidRPr="00C33D74" w:rsidRDefault="00723019" w:rsidP="00B55388">
      <w:pPr>
        <w:pBdr>
          <w:top w:val="nil"/>
          <w:left w:val="nil"/>
          <w:bottom w:val="nil"/>
          <w:right w:val="nil"/>
          <w:between w:val="nil"/>
          <w:bar w:val="nil"/>
        </w:pBdr>
        <w:spacing w:before="240" w:after="240" w:line="360" w:lineRule="auto"/>
        <w:ind w:left="567" w:right="616"/>
        <w:contextualSpacing/>
        <w:jc w:val="both"/>
        <w:rPr>
          <w:rFonts w:ascii="Palatino Linotype" w:hAnsi="Palatino Linotype"/>
          <w:i/>
          <w:color w:val="000000" w:themeColor="text1"/>
          <w:shd w:val="clear" w:color="auto" w:fill="FFFFFF"/>
        </w:rPr>
      </w:pPr>
    </w:p>
    <w:p w14:paraId="4A88BC39" w14:textId="0F437581" w:rsidR="00723019" w:rsidRPr="00C33D74" w:rsidRDefault="00723019" w:rsidP="00B55388">
      <w:pPr>
        <w:pBdr>
          <w:top w:val="nil"/>
          <w:left w:val="nil"/>
          <w:bottom w:val="nil"/>
          <w:right w:val="nil"/>
          <w:between w:val="nil"/>
          <w:bar w:val="nil"/>
        </w:pBdr>
        <w:spacing w:before="240" w:after="240" w:line="360" w:lineRule="auto"/>
        <w:ind w:left="567" w:right="616"/>
        <w:contextualSpacing/>
        <w:jc w:val="both"/>
        <w:rPr>
          <w:rFonts w:ascii="Palatino Linotype" w:hAnsi="Palatino Linotype"/>
          <w:i/>
          <w:color w:val="000000" w:themeColor="text1"/>
          <w:shd w:val="clear" w:color="auto" w:fill="FFFFFF"/>
        </w:rPr>
      </w:pPr>
      <w:r w:rsidRPr="00C33D74">
        <w:rPr>
          <w:rFonts w:ascii="Palatino Linotype" w:hAnsi="Palatino Linotype"/>
          <w:i/>
          <w:color w:val="000000" w:themeColor="text1"/>
          <w:shd w:val="clear" w:color="auto" w:fill="FFFFFF"/>
        </w:rPr>
        <w:t>SEGUNDO TRIBUNAL COLEGIADO EN MATERIA ADMINISTRATIVA DEL CUARTO CIRCUITO. “</w:t>
      </w:r>
    </w:p>
    <w:p w14:paraId="2D171740" w14:textId="77777777" w:rsidR="00662AAA" w:rsidRPr="00C33D74" w:rsidRDefault="00662AAA" w:rsidP="00B55388">
      <w:pPr>
        <w:pBdr>
          <w:top w:val="nil"/>
          <w:left w:val="nil"/>
          <w:bottom w:val="nil"/>
          <w:right w:val="nil"/>
          <w:between w:val="nil"/>
          <w:bar w:val="nil"/>
        </w:pBdr>
        <w:spacing w:before="240" w:after="240" w:line="360" w:lineRule="auto"/>
        <w:ind w:left="567" w:right="616"/>
        <w:contextualSpacing/>
        <w:jc w:val="both"/>
        <w:rPr>
          <w:rFonts w:ascii="Palatino Linotype" w:hAnsi="Palatino Linotype"/>
          <w:i/>
          <w:color w:val="333333"/>
          <w:shd w:val="clear" w:color="auto" w:fill="FFFFFF"/>
        </w:rPr>
      </w:pPr>
    </w:p>
    <w:p w14:paraId="09DD3CE7" w14:textId="77777777" w:rsidR="00B55388" w:rsidRPr="00C33D74" w:rsidRDefault="00B55388" w:rsidP="005D02E7">
      <w:pPr>
        <w:pBdr>
          <w:top w:val="nil"/>
          <w:left w:val="nil"/>
          <w:bottom w:val="nil"/>
          <w:right w:val="nil"/>
          <w:between w:val="nil"/>
          <w:bar w:val="nil"/>
        </w:pBdr>
        <w:spacing w:before="240" w:after="240" w:line="360" w:lineRule="auto"/>
        <w:contextualSpacing/>
        <w:jc w:val="both"/>
        <w:rPr>
          <w:rFonts w:ascii="Palatino Linotype" w:eastAsia="Calibri" w:hAnsi="Palatino Linotype" w:cs="Times New Roman"/>
          <w:lang w:val="es-MX" w:eastAsia="en-US"/>
        </w:rPr>
      </w:pPr>
    </w:p>
    <w:p w14:paraId="70F3F7DC" w14:textId="6852D6B6" w:rsidR="001D722A" w:rsidRPr="00C33D74" w:rsidRDefault="0016562F" w:rsidP="0016562F">
      <w:pPr>
        <w:numPr>
          <w:ilvl w:val="0"/>
          <w:numId w:val="1"/>
        </w:numPr>
        <w:pBdr>
          <w:top w:val="nil"/>
          <w:left w:val="nil"/>
          <w:bottom w:val="nil"/>
          <w:right w:val="nil"/>
          <w:between w:val="nil"/>
          <w:bar w:val="nil"/>
        </w:pBdr>
        <w:spacing w:before="240" w:after="240" w:line="360" w:lineRule="auto"/>
        <w:ind w:left="0" w:firstLine="0"/>
        <w:contextualSpacing/>
        <w:jc w:val="both"/>
        <w:rPr>
          <w:rFonts w:ascii="Palatino Linotype" w:eastAsia="Calibri" w:hAnsi="Palatino Linotype" w:cs="Times New Roman"/>
          <w:lang w:val="es-MX" w:eastAsia="en-US"/>
        </w:rPr>
      </w:pPr>
      <w:r w:rsidRPr="00C33D74">
        <w:rPr>
          <w:rFonts w:ascii="Palatino Linotype" w:eastAsia="Calibri" w:hAnsi="Palatino Linotype" w:cs="Times New Roman"/>
          <w:lang w:val="es-MX" w:eastAsia="en-US"/>
        </w:rPr>
        <w:t>Así</w:t>
      </w:r>
      <w:r w:rsidR="00B55388" w:rsidRPr="00C33D74">
        <w:rPr>
          <w:rFonts w:ascii="Palatino Linotype" w:eastAsia="Calibri" w:hAnsi="Palatino Linotype" w:cs="Times New Roman"/>
          <w:lang w:val="es-MX" w:eastAsia="en-US"/>
        </w:rPr>
        <w:t xml:space="preserve">, el </w:t>
      </w:r>
      <w:r w:rsidR="00183835" w:rsidRPr="00C33D74">
        <w:rPr>
          <w:rFonts w:ascii="Palatino Linotype" w:eastAsia="Calibri" w:hAnsi="Palatino Linotype" w:cs="Times New Roman"/>
          <w:b/>
          <w:lang w:val="es-MX" w:eastAsia="en-US"/>
        </w:rPr>
        <w:t>SUJETO OBLIGADO</w:t>
      </w:r>
      <w:r w:rsidR="00183835" w:rsidRPr="00C33D74">
        <w:rPr>
          <w:rFonts w:ascii="Palatino Linotype" w:eastAsia="Calibri" w:hAnsi="Palatino Linotype" w:cs="Times New Roman"/>
          <w:lang w:val="es-MX" w:eastAsia="en-US"/>
        </w:rPr>
        <w:t xml:space="preserve"> </w:t>
      </w:r>
      <w:r w:rsidR="00B55388" w:rsidRPr="00C33D74">
        <w:rPr>
          <w:rFonts w:ascii="Palatino Linotype" w:eastAsia="Calibri" w:hAnsi="Palatino Linotype" w:cs="Times New Roman"/>
          <w:lang w:val="es-MX" w:eastAsia="en-US"/>
        </w:rPr>
        <w:t>deberá</w:t>
      </w:r>
      <w:r w:rsidR="00D51CCC" w:rsidRPr="00C33D74">
        <w:rPr>
          <w:rFonts w:ascii="Palatino Linotype" w:eastAsia="Calibri" w:hAnsi="Palatino Linotype" w:cs="Times New Roman"/>
          <w:lang w:val="es-MX" w:eastAsia="en-US"/>
        </w:rPr>
        <w:t xml:space="preserve"> realizar entrega de la </w:t>
      </w:r>
      <w:r w:rsidRPr="00C33D74">
        <w:rPr>
          <w:rFonts w:ascii="Palatino Linotype" w:eastAsia="Calibri" w:hAnsi="Palatino Linotype" w:cs="Times New Roman"/>
          <w:lang w:val="es-MX" w:eastAsia="en-US"/>
        </w:rPr>
        <w:t xml:space="preserve">información solicitada de conformidad con el criterio emitido por el Pleno del Instituto de Transparencia, Acceso a la Información Pública y Protección de Datos Personales del  </w:t>
      </w:r>
      <w:r w:rsidR="00B55388" w:rsidRPr="00C33D74">
        <w:rPr>
          <w:rFonts w:ascii="Palatino Linotype" w:eastAsia="Calibri" w:hAnsi="Palatino Linotype" w:cs="Times New Roman"/>
          <w:lang w:val="es-MX" w:eastAsia="en-US"/>
        </w:rPr>
        <w:t xml:space="preserve"> </w:t>
      </w:r>
      <w:r w:rsidR="001D722A" w:rsidRPr="00C33D74">
        <w:rPr>
          <w:rFonts w:ascii="Palatino Linotype" w:eastAsia="Times New Roman" w:hAnsi="Palatino Linotype" w:cs="Times New Roman"/>
          <w:bCs/>
          <w:szCs w:val="22"/>
          <w:lang w:val="es-MX" w:eastAsia="en-US"/>
        </w:rPr>
        <w:t xml:space="preserve"> Estado de México y Municipios, publicado en el Periódico Oficial del Gobierno del Estado Libre y Soberano de México “Gaceta del Gobierno” el diecinueve de octubre de dos mil once, </w:t>
      </w:r>
      <w:r w:rsidR="001D722A" w:rsidRPr="00C33D74">
        <w:rPr>
          <w:rFonts w:ascii="Palatino Linotype" w:eastAsia="Times New Roman" w:hAnsi="Palatino Linotype" w:cs="Times New Roman"/>
          <w:szCs w:val="22"/>
          <w:lang w:eastAsia="en-US"/>
        </w:rPr>
        <w:t>cuyo rubro y texto dispone:</w:t>
      </w:r>
    </w:p>
    <w:p w14:paraId="5A78A317" w14:textId="77777777" w:rsidR="001D722A" w:rsidRPr="00C33D74" w:rsidRDefault="001D722A" w:rsidP="001D722A">
      <w:pPr>
        <w:tabs>
          <w:tab w:val="left" w:pos="142"/>
          <w:tab w:val="left" w:pos="284"/>
          <w:tab w:val="left" w:pos="426"/>
        </w:tabs>
        <w:spacing w:before="240" w:after="240" w:line="360" w:lineRule="auto"/>
        <w:contextualSpacing/>
        <w:jc w:val="both"/>
        <w:rPr>
          <w:rFonts w:ascii="Palatino Linotype" w:eastAsia="Times New Roman" w:hAnsi="Palatino Linotype" w:cs="Times New Roman"/>
          <w:szCs w:val="22"/>
          <w:lang w:val="es-MX" w:eastAsia="en-US"/>
        </w:rPr>
      </w:pPr>
    </w:p>
    <w:p w14:paraId="6115800C" w14:textId="77777777" w:rsidR="001D722A" w:rsidRPr="00C33D74" w:rsidRDefault="001D722A" w:rsidP="001D722A">
      <w:pPr>
        <w:autoSpaceDE w:val="0"/>
        <w:autoSpaceDN w:val="0"/>
        <w:adjustRightInd w:val="0"/>
        <w:spacing w:line="360" w:lineRule="auto"/>
        <w:ind w:left="567" w:right="567"/>
        <w:jc w:val="both"/>
        <w:rPr>
          <w:rFonts w:ascii="Palatino Linotype" w:eastAsia="Calibri" w:hAnsi="Palatino Linotype" w:cs="Arial"/>
          <w:b/>
          <w:i/>
          <w:sz w:val="22"/>
          <w:szCs w:val="22"/>
          <w:lang w:val="es-MX" w:eastAsia="es-MX"/>
        </w:rPr>
      </w:pPr>
      <w:r w:rsidRPr="00C33D74">
        <w:rPr>
          <w:rFonts w:ascii="Palatino Linotype" w:eastAsia="Calibri" w:hAnsi="Palatino Linotype" w:cs="Arial"/>
          <w:b/>
          <w:i/>
          <w:sz w:val="22"/>
          <w:szCs w:val="22"/>
          <w:lang w:val="es-MX" w:eastAsia="es-MX"/>
        </w:rPr>
        <w:t>“CRITERIO 0002-11</w:t>
      </w:r>
    </w:p>
    <w:p w14:paraId="10DE2C45" w14:textId="77777777" w:rsidR="001D722A" w:rsidRPr="00C33D74" w:rsidRDefault="001D722A" w:rsidP="001D722A">
      <w:pPr>
        <w:autoSpaceDE w:val="0"/>
        <w:autoSpaceDN w:val="0"/>
        <w:adjustRightInd w:val="0"/>
        <w:spacing w:line="360" w:lineRule="auto"/>
        <w:ind w:left="567" w:right="567"/>
        <w:jc w:val="both"/>
        <w:rPr>
          <w:rFonts w:ascii="Palatino Linotype" w:eastAsia="Calibri" w:hAnsi="Palatino Linotype" w:cs="Arial"/>
          <w:i/>
          <w:sz w:val="22"/>
          <w:szCs w:val="22"/>
          <w:lang w:val="es-MX" w:eastAsia="es-MX"/>
        </w:rPr>
      </w:pPr>
      <w:r w:rsidRPr="00C33D74">
        <w:rPr>
          <w:rFonts w:ascii="Palatino Linotype" w:eastAsia="Calibri" w:hAnsi="Palatino Linotype" w:cs="Arial"/>
          <w:b/>
          <w:i/>
          <w:sz w:val="22"/>
          <w:szCs w:val="22"/>
          <w:lang w:val="es-MX" w:eastAsia="es-MX"/>
        </w:rPr>
        <w:lastRenderedPageBreak/>
        <w:t xml:space="preserve">INFORMACIÓN PÚBLICA, CONCEPTO DE, EN MATERIA DE TRANSPARENCIA. INTERPRETACIÓN TEMÁTICA DE LOS ARTÍCULOS 2, FRACCIÓN </w:t>
      </w:r>
      <w:r w:rsidRPr="00C33D74">
        <w:rPr>
          <w:rFonts w:ascii="Palatino Linotype" w:eastAsia="Calibri" w:hAnsi="Palatino Linotype" w:cs="Arial"/>
          <w:b/>
          <w:bCs/>
          <w:i/>
          <w:sz w:val="22"/>
          <w:szCs w:val="22"/>
          <w:lang w:val="es-MX" w:eastAsia="es-MX"/>
        </w:rPr>
        <w:t xml:space="preserve">V, XV, Y XVI, </w:t>
      </w:r>
      <w:r w:rsidRPr="00C33D74">
        <w:rPr>
          <w:rFonts w:ascii="Palatino Linotype" w:eastAsia="Calibri" w:hAnsi="Palatino Linotype" w:cs="Arial"/>
          <w:b/>
          <w:i/>
          <w:sz w:val="22"/>
          <w:szCs w:val="22"/>
          <w:lang w:val="es-MX" w:eastAsia="es-MX"/>
        </w:rPr>
        <w:t>3, 4,11 Y 41.</w:t>
      </w:r>
      <w:r w:rsidRPr="00C33D74">
        <w:rPr>
          <w:rFonts w:ascii="Palatino Linotype" w:eastAsia="Calibr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5519BA" w14:textId="77777777" w:rsidR="001D722A" w:rsidRPr="00C33D74" w:rsidRDefault="001D722A" w:rsidP="001D722A">
      <w:pPr>
        <w:autoSpaceDE w:val="0"/>
        <w:autoSpaceDN w:val="0"/>
        <w:adjustRightInd w:val="0"/>
        <w:spacing w:line="360" w:lineRule="auto"/>
        <w:ind w:left="567" w:right="567"/>
        <w:jc w:val="both"/>
        <w:rPr>
          <w:rFonts w:ascii="Palatino Linotype" w:eastAsia="Calibri" w:hAnsi="Palatino Linotype" w:cs="Arial"/>
          <w:i/>
          <w:sz w:val="22"/>
          <w:szCs w:val="22"/>
          <w:lang w:val="es-MX" w:eastAsia="es-MX"/>
        </w:rPr>
      </w:pPr>
      <w:r w:rsidRPr="00C33D74">
        <w:rPr>
          <w:rFonts w:ascii="Palatino Linotype" w:eastAsia="Calibri" w:hAnsi="Palatino Linotype" w:cs="Arial"/>
          <w:i/>
          <w:sz w:val="22"/>
          <w:szCs w:val="22"/>
          <w:lang w:val="es-MX" w:eastAsia="es-MX"/>
        </w:rPr>
        <w:t>En consecuencia el acceso a la información se refiere a que se cumplan cualquiera de los siguientes tres supuestos:</w:t>
      </w:r>
    </w:p>
    <w:p w14:paraId="79C8B30F" w14:textId="77777777" w:rsidR="001D722A" w:rsidRPr="00C33D74" w:rsidRDefault="001D722A" w:rsidP="001D722A">
      <w:pPr>
        <w:autoSpaceDE w:val="0"/>
        <w:autoSpaceDN w:val="0"/>
        <w:adjustRightInd w:val="0"/>
        <w:spacing w:line="360" w:lineRule="auto"/>
        <w:ind w:left="567" w:right="567"/>
        <w:jc w:val="both"/>
        <w:rPr>
          <w:rFonts w:ascii="Palatino Linotype" w:eastAsia="Calibri" w:hAnsi="Palatino Linotype" w:cs="Arial"/>
          <w:i/>
          <w:sz w:val="22"/>
          <w:szCs w:val="22"/>
          <w:lang w:val="es-MX" w:eastAsia="es-MX"/>
        </w:rPr>
      </w:pPr>
      <w:r w:rsidRPr="00C33D74">
        <w:rPr>
          <w:rFonts w:ascii="Palatino Linotype" w:eastAsia="Calibri" w:hAnsi="Palatino Linotype" w:cs="Arial"/>
          <w:i/>
          <w:sz w:val="22"/>
          <w:szCs w:val="22"/>
          <w:lang w:val="es-MX" w:eastAsia="es-MX"/>
        </w:rPr>
        <w:t>Que se trate de información registrada en cualquier soporte documental, que en ejercicio de las atribuciones conferidas, sea generada por los Sujetos Obligados;</w:t>
      </w:r>
    </w:p>
    <w:p w14:paraId="238A3306" w14:textId="77777777" w:rsidR="001D722A" w:rsidRPr="00C33D74" w:rsidRDefault="001D722A" w:rsidP="001D722A">
      <w:pPr>
        <w:autoSpaceDE w:val="0"/>
        <w:autoSpaceDN w:val="0"/>
        <w:adjustRightInd w:val="0"/>
        <w:spacing w:line="360" w:lineRule="auto"/>
        <w:ind w:left="567" w:right="567"/>
        <w:jc w:val="both"/>
        <w:rPr>
          <w:rFonts w:ascii="Palatino Linotype" w:eastAsia="Calibri" w:hAnsi="Palatino Linotype" w:cs="Arial"/>
          <w:i/>
          <w:sz w:val="22"/>
          <w:szCs w:val="22"/>
          <w:lang w:val="es-MX" w:eastAsia="es-MX"/>
        </w:rPr>
      </w:pPr>
      <w:r w:rsidRPr="00C33D74">
        <w:rPr>
          <w:rFonts w:ascii="Palatino Linotype" w:eastAsia="Calibri"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7D4284D" w14:textId="77777777" w:rsidR="001D722A" w:rsidRPr="00C33D74" w:rsidRDefault="001D722A" w:rsidP="001D722A">
      <w:pPr>
        <w:autoSpaceDE w:val="0"/>
        <w:autoSpaceDN w:val="0"/>
        <w:adjustRightInd w:val="0"/>
        <w:spacing w:line="360" w:lineRule="auto"/>
        <w:ind w:left="567" w:right="567"/>
        <w:jc w:val="both"/>
        <w:rPr>
          <w:rFonts w:ascii="Palatino Linotype" w:eastAsia="Calibri" w:hAnsi="Palatino Linotype" w:cs="Times New Roman"/>
          <w:sz w:val="22"/>
          <w:szCs w:val="22"/>
          <w:lang w:val="es-MX" w:eastAsia="en-US"/>
        </w:rPr>
      </w:pPr>
      <w:r w:rsidRPr="00C33D74">
        <w:rPr>
          <w:rFonts w:ascii="Palatino Linotype" w:eastAsia="Calibri"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11AD182" w14:textId="77777777" w:rsidR="001D722A" w:rsidRPr="00C33D74" w:rsidRDefault="001D722A" w:rsidP="001D722A">
      <w:pPr>
        <w:tabs>
          <w:tab w:val="left" w:pos="142"/>
          <w:tab w:val="left" w:pos="284"/>
          <w:tab w:val="left" w:pos="426"/>
        </w:tabs>
        <w:spacing w:before="240" w:after="240" w:line="360" w:lineRule="auto"/>
        <w:contextualSpacing/>
        <w:jc w:val="both"/>
        <w:rPr>
          <w:rFonts w:ascii="Palatino Linotype" w:eastAsia="Times New Roman" w:hAnsi="Palatino Linotype" w:cs="Times New Roman"/>
          <w:szCs w:val="22"/>
          <w:lang w:val="es-MX" w:eastAsia="en-US"/>
        </w:rPr>
      </w:pPr>
    </w:p>
    <w:p w14:paraId="2CE469A1" w14:textId="77777777" w:rsidR="001D722A" w:rsidRPr="00C33D74" w:rsidRDefault="001D722A" w:rsidP="0016562F">
      <w:pPr>
        <w:numPr>
          <w:ilvl w:val="0"/>
          <w:numId w:val="1"/>
        </w:numPr>
        <w:tabs>
          <w:tab w:val="left" w:pos="142"/>
          <w:tab w:val="left" w:pos="284"/>
          <w:tab w:val="left" w:pos="426"/>
        </w:tabs>
        <w:spacing w:before="240" w:after="240" w:line="360" w:lineRule="auto"/>
        <w:ind w:left="0" w:firstLine="0"/>
        <w:contextualSpacing/>
        <w:jc w:val="both"/>
        <w:rPr>
          <w:rFonts w:ascii="Palatino Linotype" w:eastAsia="Times New Roman" w:hAnsi="Palatino Linotype" w:cs="Times New Roman"/>
          <w:szCs w:val="22"/>
          <w:lang w:val="es-MX" w:eastAsia="en-US"/>
        </w:rPr>
      </w:pPr>
      <w:r w:rsidRPr="00C33D74">
        <w:rPr>
          <w:rFonts w:ascii="Palatino Linotype" w:eastAsia="Times New Roman" w:hAnsi="Palatino Linotype" w:cs="Times New Roman"/>
          <w:szCs w:val="22"/>
          <w:lang w:val="es-MX" w:eastAsia="en-US"/>
        </w:rPr>
        <w:t xml:space="preserve">El </w:t>
      </w:r>
      <w:r w:rsidRPr="00C33D74">
        <w:rPr>
          <w:rFonts w:ascii="Palatino Linotype" w:eastAsia="Times New Roman" w:hAnsi="Palatino Linotype" w:cs="Times New Roman"/>
          <w:szCs w:val="22"/>
          <w:lang w:val="es-ES" w:eastAsia="en-US"/>
        </w:rPr>
        <w:t>derecho de acceso a la información encuentra su materia elemental en los documentos, y la Ley de Transparencia local nos brinda el siguiente concepto, para darnos un mejor panorama:</w:t>
      </w:r>
    </w:p>
    <w:p w14:paraId="51B513A3" w14:textId="77777777" w:rsidR="001D722A" w:rsidRPr="00C33D74" w:rsidRDefault="001D722A" w:rsidP="0016562F">
      <w:pPr>
        <w:tabs>
          <w:tab w:val="left" w:pos="142"/>
          <w:tab w:val="left" w:pos="284"/>
          <w:tab w:val="left" w:pos="426"/>
        </w:tabs>
        <w:spacing w:before="240" w:after="240" w:line="360" w:lineRule="auto"/>
        <w:contextualSpacing/>
        <w:jc w:val="both"/>
        <w:rPr>
          <w:rFonts w:ascii="Palatino Linotype" w:eastAsia="Times New Roman" w:hAnsi="Palatino Linotype" w:cs="Times New Roman"/>
          <w:szCs w:val="22"/>
          <w:lang w:val="es-MX" w:eastAsia="en-US"/>
        </w:rPr>
      </w:pPr>
    </w:p>
    <w:p w14:paraId="2ABF3F5D" w14:textId="77777777" w:rsidR="001D722A" w:rsidRPr="00C33D74" w:rsidRDefault="001D722A" w:rsidP="0016562F">
      <w:pPr>
        <w:autoSpaceDE w:val="0"/>
        <w:autoSpaceDN w:val="0"/>
        <w:adjustRightInd w:val="0"/>
        <w:spacing w:line="360" w:lineRule="auto"/>
        <w:ind w:left="567" w:right="567"/>
        <w:jc w:val="both"/>
        <w:rPr>
          <w:rFonts w:ascii="Palatino Linotype" w:eastAsia="Calibri" w:hAnsi="Palatino Linotype" w:cs="Times New Roman"/>
          <w:i/>
          <w:sz w:val="28"/>
          <w:szCs w:val="22"/>
          <w:lang w:val="es-ES" w:eastAsia="en-US"/>
        </w:rPr>
      </w:pPr>
      <w:r w:rsidRPr="00C33D74">
        <w:rPr>
          <w:rFonts w:ascii="Palatino Linotype" w:eastAsia="Calibri" w:hAnsi="Palatino Linotype" w:cs="Bookman Old Style,Bold"/>
          <w:b/>
          <w:bCs/>
          <w:i/>
          <w:sz w:val="22"/>
          <w:szCs w:val="20"/>
          <w:lang w:val="es-MX" w:eastAsia="en-US"/>
        </w:rPr>
        <w:t xml:space="preserve">XI. Documento: </w:t>
      </w:r>
      <w:r w:rsidRPr="00C33D74">
        <w:rPr>
          <w:rFonts w:ascii="Palatino Linotype" w:eastAsia="Calibri" w:hAnsi="Palatino Linotype" w:cs="Bookman Old Style"/>
          <w:i/>
          <w:sz w:val="22"/>
          <w:szCs w:val="20"/>
          <w:lang w:val="es-MX" w:eastAsia="en-US"/>
        </w:rPr>
        <w:t xml:space="preserve">Los </w:t>
      </w:r>
      <w:r w:rsidRPr="00C33D74">
        <w:rPr>
          <w:rFonts w:ascii="Palatino Linotype" w:eastAsia="Calibri" w:hAnsi="Palatino Linotype" w:cs="Bookman Old Style"/>
          <w:b/>
          <w:i/>
          <w:sz w:val="22"/>
          <w:szCs w:val="20"/>
          <w:lang w:val="es-MX" w:eastAsia="en-US"/>
        </w:rPr>
        <w:t xml:space="preserve">expedientes, </w:t>
      </w:r>
      <w:r w:rsidRPr="00C33D74">
        <w:rPr>
          <w:rFonts w:ascii="Palatino Linotype" w:eastAsia="Calibri" w:hAnsi="Palatino Linotype" w:cs="Bookman Old Style"/>
          <w:i/>
          <w:sz w:val="22"/>
          <w:szCs w:val="20"/>
          <w:lang w:val="es-MX" w:eastAsia="en-US"/>
        </w:rPr>
        <w:t xml:space="preserve">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C33D74">
        <w:rPr>
          <w:rFonts w:ascii="Palatino Linotype" w:eastAsia="Calibri" w:hAnsi="Palatino Linotype" w:cs="Bookman Old Style"/>
          <w:i/>
          <w:sz w:val="22"/>
          <w:szCs w:val="20"/>
          <w:lang w:val="es-MX" w:eastAsia="en-US"/>
        </w:rPr>
        <w:lastRenderedPageBreak/>
        <w:t>elaboración. Los documentos podrán estar en cualquier medio, sea escrito, impreso,  sonoro, visual, electrónico, informático u holográfico;</w:t>
      </w:r>
    </w:p>
    <w:p w14:paraId="05EEA2E3" w14:textId="77777777" w:rsidR="001D722A" w:rsidRPr="00C33D74" w:rsidRDefault="001D722A" w:rsidP="0016562F">
      <w:pPr>
        <w:tabs>
          <w:tab w:val="left" w:pos="142"/>
          <w:tab w:val="left" w:pos="284"/>
          <w:tab w:val="left" w:pos="426"/>
        </w:tabs>
        <w:spacing w:before="240" w:after="240" w:line="360" w:lineRule="auto"/>
        <w:contextualSpacing/>
        <w:jc w:val="both"/>
        <w:rPr>
          <w:rFonts w:ascii="Palatino Linotype" w:eastAsia="Times New Roman" w:hAnsi="Palatino Linotype" w:cs="Times New Roman"/>
          <w:szCs w:val="22"/>
          <w:lang w:val="es-MX" w:eastAsia="en-US"/>
        </w:rPr>
      </w:pPr>
    </w:p>
    <w:p w14:paraId="2EEB989C" w14:textId="77777777" w:rsidR="001D722A" w:rsidRPr="00C33D74" w:rsidRDefault="001D722A" w:rsidP="0016562F">
      <w:pPr>
        <w:numPr>
          <w:ilvl w:val="0"/>
          <w:numId w:val="1"/>
        </w:numPr>
        <w:tabs>
          <w:tab w:val="left" w:pos="142"/>
          <w:tab w:val="left" w:pos="284"/>
          <w:tab w:val="left" w:pos="426"/>
        </w:tabs>
        <w:spacing w:before="240" w:after="240" w:line="360" w:lineRule="auto"/>
        <w:ind w:left="0" w:firstLine="0"/>
        <w:contextualSpacing/>
        <w:jc w:val="both"/>
        <w:rPr>
          <w:rFonts w:ascii="Palatino Linotype" w:eastAsia="Times New Roman" w:hAnsi="Palatino Linotype" w:cs="Times New Roman"/>
          <w:szCs w:val="22"/>
          <w:lang w:val="es-MX" w:eastAsia="en-US"/>
        </w:rPr>
      </w:pPr>
      <w:r w:rsidRPr="00C33D74">
        <w:rPr>
          <w:rFonts w:ascii="Palatino Linotype" w:eastAsia="Times New Roman" w:hAnsi="Palatino Linotype" w:cs="Times New Roman"/>
          <w:szCs w:val="22"/>
          <w:lang w:val="es-MX" w:eastAsia="en-US"/>
        </w:rPr>
        <w:t xml:space="preserve">Es </w:t>
      </w:r>
      <w:r w:rsidRPr="00C33D74">
        <w:rPr>
          <w:rFonts w:ascii="Palatino Linotype" w:eastAsia="Times New Roman" w:hAnsi="Palatino Linotype" w:cs="Times New Roman"/>
          <w:szCs w:val="22"/>
          <w:lang w:val="es-ES" w:eastAsia="en-U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A6C4D1E" w14:textId="77777777" w:rsidR="001D722A" w:rsidRPr="00C33D74" w:rsidRDefault="001D722A" w:rsidP="0016562F">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C33D74">
        <w:rPr>
          <w:rFonts w:ascii="Palatino Linotype" w:eastAsia="Times New Roman" w:hAnsi="Palatino Linotype"/>
        </w:rPr>
        <w:t>Además, debemos tomar en cuenta el contenido del artículo 4 de la Ley de Transparencia y Acceso a la Información Pública del Estado de México y Municipios, el cual establece lo siguiente:</w:t>
      </w:r>
    </w:p>
    <w:p w14:paraId="37D745D3" w14:textId="77777777" w:rsidR="001D722A" w:rsidRPr="00C33D74" w:rsidRDefault="001D722A" w:rsidP="0016562F">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589E85E5" w14:textId="77777777" w:rsidR="001D722A" w:rsidRPr="00C33D74" w:rsidRDefault="001D722A" w:rsidP="0016562F">
      <w:pPr>
        <w:autoSpaceDE w:val="0"/>
        <w:autoSpaceDN w:val="0"/>
        <w:adjustRightInd w:val="0"/>
        <w:spacing w:line="360" w:lineRule="auto"/>
        <w:ind w:left="567" w:right="567"/>
        <w:jc w:val="both"/>
        <w:rPr>
          <w:rFonts w:ascii="Palatino Linotype" w:hAnsi="Palatino Linotype" w:cs="Bookman Old Style"/>
          <w:i/>
          <w:szCs w:val="20"/>
        </w:rPr>
      </w:pPr>
      <w:r w:rsidRPr="00C33D74">
        <w:rPr>
          <w:rFonts w:ascii="Palatino Linotype" w:hAnsi="Palatino Linotype" w:cs="Bookman Old Style,Bold"/>
          <w:b/>
          <w:bCs/>
          <w:i/>
          <w:szCs w:val="20"/>
        </w:rPr>
        <w:t xml:space="preserve">“Artículo 4. </w:t>
      </w:r>
      <w:r w:rsidRPr="00C33D74">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54837EA7" w14:textId="77777777" w:rsidR="001D722A" w:rsidRPr="00C33D74" w:rsidRDefault="001D722A" w:rsidP="0016562F">
      <w:pPr>
        <w:autoSpaceDE w:val="0"/>
        <w:autoSpaceDN w:val="0"/>
        <w:adjustRightInd w:val="0"/>
        <w:spacing w:line="360" w:lineRule="auto"/>
        <w:ind w:left="567" w:right="567"/>
        <w:jc w:val="both"/>
        <w:rPr>
          <w:rFonts w:ascii="Palatino Linotype" w:hAnsi="Palatino Linotype" w:cs="Bookman Old Style"/>
          <w:i/>
          <w:szCs w:val="20"/>
        </w:rPr>
      </w:pPr>
    </w:p>
    <w:p w14:paraId="539EAC0D" w14:textId="77777777" w:rsidR="001D722A" w:rsidRPr="00C33D74" w:rsidRDefault="001D722A" w:rsidP="0016562F">
      <w:pPr>
        <w:autoSpaceDE w:val="0"/>
        <w:autoSpaceDN w:val="0"/>
        <w:adjustRightInd w:val="0"/>
        <w:spacing w:line="360" w:lineRule="auto"/>
        <w:ind w:left="567" w:right="567"/>
        <w:jc w:val="both"/>
        <w:rPr>
          <w:rFonts w:ascii="Palatino Linotype" w:hAnsi="Palatino Linotype" w:cs="Bookman Old Style"/>
          <w:i/>
          <w:szCs w:val="20"/>
        </w:rPr>
      </w:pPr>
      <w:r w:rsidRPr="00C33D74">
        <w:rPr>
          <w:rFonts w:ascii="Palatino Linotype" w:hAnsi="Palatino Linotype" w:cs="Bookman Old Style"/>
          <w:i/>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C33D74">
        <w:rPr>
          <w:rFonts w:ascii="Palatino Linotype" w:hAnsi="Palatino Linotype" w:cs="Bookman Old Style"/>
          <w:i/>
          <w:szCs w:val="20"/>
        </w:rPr>
        <w:lastRenderedPageBreak/>
        <w:t>en los términos de las causas legítimas y estrictamente necesarias previstas por esta Ley.</w:t>
      </w:r>
    </w:p>
    <w:p w14:paraId="093B5155" w14:textId="77777777" w:rsidR="001D722A" w:rsidRPr="00C33D74" w:rsidRDefault="001D722A" w:rsidP="0016562F">
      <w:pPr>
        <w:autoSpaceDE w:val="0"/>
        <w:autoSpaceDN w:val="0"/>
        <w:adjustRightInd w:val="0"/>
        <w:spacing w:line="360" w:lineRule="auto"/>
        <w:ind w:left="567" w:right="567"/>
        <w:jc w:val="both"/>
        <w:rPr>
          <w:rFonts w:ascii="Palatino Linotype" w:hAnsi="Palatino Linotype" w:cs="Bookman Old Style"/>
          <w:i/>
          <w:szCs w:val="20"/>
        </w:rPr>
      </w:pPr>
    </w:p>
    <w:p w14:paraId="43ABDEDA" w14:textId="77777777" w:rsidR="001D722A" w:rsidRPr="00C33D74" w:rsidRDefault="001D722A" w:rsidP="0016562F">
      <w:pPr>
        <w:autoSpaceDE w:val="0"/>
        <w:autoSpaceDN w:val="0"/>
        <w:adjustRightInd w:val="0"/>
        <w:spacing w:line="360" w:lineRule="auto"/>
        <w:ind w:left="567" w:right="567"/>
        <w:jc w:val="both"/>
        <w:rPr>
          <w:rFonts w:ascii="Palatino Linotype" w:hAnsi="Palatino Linotype" w:cs="Bookman Old Style"/>
          <w:i/>
          <w:szCs w:val="20"/>
        </w:rPr>
      </w:pPr>
      <w:r w:rsidRPr="00C33D74">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33913B25" w14:textId="77777777" w:rsidR="001D722A" w:rsidRPr="00C33D74" w:rsidRDefault="001D722A" w:rsidP="001D722A">
      <w:pPr>
        <w:autoSpaceDE w:val="0"/>
        <w:autoSpaceDN w:val="0"/>
        <w:adjustRightInd w:val="0"/>
        <w:spacing w:line="276" w:lineRule="auto"/>
        <w:ind w:right="567"/>
        <w:jc w:val="both"/>
        <w:rPr>
          <w:rFonts w:ascii="Palatino Linotype" w:eastAsia="Times New Roman" w:hAnsi="Palatino Linotype" w:cs="Arial"/>
          <w:i/>
          <w:color w:val="000000"/>
          <w:sz w:val="28"/>
        </w:rPr>
      </w:pPr>
    </w:p>
    <w:p w14:paraId="6596CE22" w14:textId="77777777" w:rsidR="001D722A" w:rsidRPr="00C33D74" w:rsidRDefault="001D722A" w:rsidP="001D722A">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C33D74">
        <w:rPr>
          <w:rFonts w:ascii="Palatino Linotype" w:eastAsia="Times New Roman" w:hAnsi="Palatino Linotype"/>
        </w:rPr>
        <w:t xml:space="preserve">Es </w:t>
      </w:r>
      <w:r w:rsidRPr="00C33D74">
        <w:rPr>
          <w:rFonts w:ascii="Palatino Linotype" w:eastAsia="Times New Roman"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33D74">
        <w:rPr>
          <w:rFonts w:ascii="Palatino Linotype" w:eastAsia="Times New Roman" w:hAnsi="Palatino Linotype"/>
          <w:vertAlign w:val="superscript"/>
          <w:lang w:val="es-ES"/>
        </w:rPr>
        <w:footnoteReference w:id="12"/>
      </w:r>
      <w:r w:rsidRPr="00C33D74">
        <w:rPr>
          <w:rFonts w:ascii="Palatino Linotype" w:eastAsia="Times New Roman"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6EEA6E" w14:textId="77777777" w:rsidR="001D722A" w:rsidRPr="00C33D74" w:rsidRDefault="001D722A" w:rsidP="001D722A">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6B24765E" w14:textId="77777777" w:rsidR="001D722A" w:rsidRPr="00C33D74" w:rsidRDefault="001D722A" w:rsidP="001D722A">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C33D74">
        <w:rPr>
          <w:rFonts w:ascii="Palatino Linotype" w:eastAsia="Times New Roman" w:hAnsi="Palatino Linotype"/>
        </w:rPr>
        <w:t xml:space="preserve">Robustece </w:t>
      </w:r>
      <w:r w:rsidRPr="00C33D74">
        <w:rPr>
          <w:rFonts w:ascii="Palatino Linotype" w:eastAsia="Times New Roman"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70DDF060" w14:textId="77777777" w:rsidR="001D722A" w:rsidRPr="00C33D74" w:rsidRDefault="001D722A" w:rsidP="001D722A">
      <w:pPr>
        <w:pStyle w:val="Prrafodelista"/>
        <w:tabs>
          <w:tab w:val="left" w:pos="142"/>
          <w:tab w:val="left" w:pos="284"/>
          <w:tab w:val="left" w:pos="426"/>
        </w:tabs>
        <w:spacing w:before="240" w:after="240" w:line="360" w:lineRule="auto"/>
        <w:ind w:left="0"/>
        <w:jc w:val="both"/>
        <w:rPr>
          <w:rFonts w:ascii="Palatino Linotype" w:eastAsia="Times New Roman" w:hAnsi="Palatino Linotype"/>
          <w:lang w:val="es-ES"/>
        </w:rPr>
      </w:pPr>
    </w:p>
    <w:p w14:paraId="0D5B9960" w14:textId="77777777" w:rsidR="001D722A" w:rsidRPr="00C33D74" w:rsidRDefault="001D722A" w:rsidP="0016562F">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szCs w:val="26"/>
        </w:rPr>
      </w:pPr>
      <w:r w:rsidRPr="00C33D74">
        <w:rPr>
          <w:rFonts w:ascii="Palatino Linotype" w:hAnsi="Palatino Linotype"/>
          <w:b/>
          <w:i/>
        </w:rPr>
        <w:t>ACCESO A LA INFORMACIÓN. IMPLICACIÓN DEL PRINCIPIO DE MÁXIMA PUBLICIDAD EN EL DERECHO FUNDAMENTAL RELATIVO.</w:t>
      </w:r>
      <w:r w:rsidRPr="00C33D7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w:t>
      </w:r>
      <w:r w:rsidRPr="00C33D74">
        <w:rPr>
          <w:rFonts w:ascii="Palatino Linotype" w:hAnsi="Palatino Linotype"/>
          <w:i/>
        </w:rPr>
        <w:lastRenderedPageBreak/>
        <w:t>en la legislación secundaria y justificados bajo determinadas circunstancias, se podrá clasificar como confidencial o reservada, esto es, considerarla con una calidad diversa.”</w:t>
      </w:r>
    </w:p>
    <w:p w14:paraId="0E17AD27" w14:textId="77777777" w:rsidR="001D722A" w:rsidRPr="00C33D74" w:rsidRDefault="001D722A" w:rsidP="001D722A">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25957072" w14:textId="238DE64A" w:rsidR="00ED03E6" w:rsidRPr="00C33D74" w:rsidRDefault="001D722A" w:rsidP="00ED03E6">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C33D74">
        <w:rPr>
          <w:rFonts w:ascii="Palatino Linotype" w:eastAsia="Times New Roman" w:hAnsi="Palatino Linotype"/>
          <w:lang w:val="es-ES"/>
        </w:rPr>
        <w:t>Tal y como se ha señalado, el derecho de acceso a la información se basa en permitir que la ciudadanía conozca de primera mano toda aquella infor</w:t>
      </w:r>
      <w:r w:rsidR="00ED03E6" w:rsidRPr="00C33D74">
        <w:rPr>
          <w:rFonts w:ascii="Palatino Linotype" w:eastAsia="Times New Roman" w:hAnsi="Palatino Linotype"/>
          <w:lang w:val="es-ES"/>
        </w:rPr>
        <w:t>mación que se encuentra en poder</w:t>
      </w:r>
      <w:r w:rsidRPr="00C33D74">
        <w:rPr>
          <w:rFonts w:ascii="Palatino Linotype" w:eastAsia="Times New Roman" w:hAnsi="Palatino Linotype"/>
          <w:lang w:val="es-ES"/>
        </w:rPr>
        <w:t xml:space="preserve"> de los Sujetos Obligados, ya sea porque la genera, posee o administra, toda vez que, a través de dicha acción permite que las personas ejerzan un medio de control sobre las acciones que se están ejerciendo y evaluar su desempeño, as</w:t>
      </w:r>
      <w:r w:rsidR="00ED03E6" w:rsidRPr="00C33D74">
        <w:rPr>
          <w:rFonts w:ascii="Palatino Linotype" w:eastAsia="Times New Roman" w:hAnsi="Palatino Linotype"/>
          <w:lang w:val="es-ES"/>
        </w:rPr>
        <w:t xml:space="preserve">í es dable ordenar la entrega  de los documentos donde se aprecie respecto de del operativo realizado para disolver, reprimir o contener a los ciudadanos que se manifestaron en contra del puente vehicular de San Mateo </w:t>
      </w:r>
      <w:proofErr w:type="spellStart"/>
      <w:r w:rsidR="00ED03E6" w:rsidRPr="00C33D74">
        <w:rPr>
          <w:rFonts w:ascii="Palatino Linotype" w:eastAsia="Times New Roman" w:hAnsi="Palatino Linotype"/>
          <w:lang w:val="es-ES"/>
        </w:rPr>
        <w:t>Tecoloapan</w:t>
      </w:r>
      <w:proofErr w:type="spellEnd"/>
      <w:r w:rsidR="00ED03E6" w:rsidRPr="00C33D74">
        <w:rPr>
          <w:rFonts w:ascii="Palatino Linotype" w:eastAsia="Times New Roman" w:hAnsi="Palatino Linotype"/>
          <w:lang w:val="es-ES"/>
        </w:rPr>
        <w:t xml:space="preserve"> y que se ubicaron en la calzada de Jinetes, frente al centro comercial la tarde noche del 9 de octubre de dos mil diecinueve: a) Elementos de seguridad, policías municipales, miembros de fuerzas especiales del municipio de Atizapán de Zaragoza o estatales que participaron; b) Número de elementos  y corporación a la que pertenecen; y c) Quien coordinó el operativo, y quien ordenó la acci</w:t>
      </w:r>
      <w:r w:rsidR="0016562F" w:rsidRPr="00C33D74">
        <w:rPr>
          <w:rFonts w:ascii="Palatino Linotype" w:eastAsia="Times New Roman" w:hAnsi="Palatino Linotype"/>
          <w:lang w:val="es-ES"/>
        </w:rPr>
        <w:t xml:space="preserve">ón, en términos del considerando </w:t>
      </w:r>
      <w:r w:rsidR="0016562F" w:rsidRPr="00C33D74">
        <w:rPr>
          <w:rFonts w:ascii="Palatino Linotype" w:eastAsia="Times New Roman" w:hAnsi="Palatino Linotype"/>
          <w:b/>
          <w:lang w:val="es-ES"/>
        </w:rPr>
        <w:t>QUINTO</w:t>
      </w:r>
      <w:r w:rsidR="0016562F" w:rsidRPr="00C33D74">
        <w:rPr>
          <w:rFonts w:ascii="Palatino Linotype" w:eastAsia="Times New Roman" w:hAnsi="Palatino Linotype"/>
          <w:lang w:val="es-ES"/>
        </w:rPr>
        <w:t>.</w:t>
      </w:r>
    </w:p>
    <w:p w14:paraId="51993E99" w14:textId="79BAB820" w:rsidR="008D221F" w:rsidRPr="00C33D74" w:rsidRDefault="005A46E5" w:rsidP="005A46E5">
      <w:pPr>
        <w:pStyle w:val="Ttulo1"/>
        <w:rPr>
          <w:rFonts w:ascii="Palatino Linotype" w:hAnsi="Palatino Linotype"/>
          <w:b/>
          <w:color w:val="000000" w:themeColor="text1"/>
          <w:sz w:val="24"/>
          <w:szCs w:val="24"/>
        </w:rPr>
      </w:pPr>
      <w:bookmarkStart w:id="82" w:name="_Toc521949107"/>
      <w:bookmarkStart w:id="83" w:name="_Toc522209067"/>
      <w:bookmarkStart w:id="84" w:name="_Toc523908140"/>
      <w:bookmarkStart w:id="85" w:name="_Toc35552923"/>
      <w:r w:rsidRPr="00C33D74">
        <w:rPr>
          <w:rFonts w:ascii="Palatino Linotype" w:hAnsi="Palatino Linotype" w:cs="Times New Roman"/>
          <w:b/>
          <w:color w:val="000000" w:themeColor="text1"/>
          <w:sz w:val="24"/>
          <w:szCs w:val="24"/>
          <w:lang w:eastAsia="es-ES_tradnl"/>
        </w:rPr>
        <w:t>QUINTO</w:t>
      </w:r>
      <w:r w:rsidR="008D221F" w:rsidRPr="00C33D74">
        <w:rPr>
          <w:rFonts w:ascii="Palatino Linotype" w:hAnsi="Palatino Linotype" w:cs="Times New Roman"/>
          <w:b/>
          <w:color w:val="000000" w:themeColor="text1"/>
          <w:sz w:val="24"/>
          <w:szCs w:val="24"/>
          <w:lang w:eastAsia="es-ES_tradnl"/>
        </w:rPr>
        <w:t>.</w:t>
      </w:r>
      <w:r w:rsidR="008D221F" w:rsidRPr="00C33D74">
        <w:rPr>
          <w:rFonts w:ascii="Palatino Linotype" w:hAnsi="Palatino Linotype"/>
          <w:b/>
          <w:color w:val="000000" w:themeColor="text1"/>
          <w:sz w:val="24"/>
          <w:szCs w:val="24"/>
        </w:rPr>
        <w:t xml:space="preserve"> De la elaboración de la versión pública y el acuerdo de clasificación como información confidencial.</w:t>
      </w:r>
      <w:bookmarkEnd w:id="82"/>
      <w:bookmarkEnd w:id="83"/>
      <w:bookmarkEnd w:id="84"/>
      <w:bookmarkEnd w:id="85"/>
    </w:p>
    <w:p w14:paraId="2A02439D" w14:textId="77777777" w:rsidR="008D221F" w:rsidRPr="00C33D74" w:rsidRDefault="008D221F" w:rsidP="008D221F">
      <w:pPr>
        <w:contextualSpacing/>
        <w:jc w:val="both"/>
        <w:rPr>
          <w:rFonts w:ascii="Palatino Linotype" w:eastAsia="MS Mincho" w:hAnsi="Palatino Linotype" w:cstheme="majorBidi"/>
        </w:rPr>
      </w:pPr>
    </w:p>
    <w:p w14:paraId="724D187D" w14:textId="4CB8C573" w:rsidR="008D221F" w:rsidRPr="00C33D74" w:rsidRDefault="008D221F" w:rsidP="009F74EB">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C33D74">
        <w:rPr>
          <w:rFonts w:ascii="Palatino Linotype" w:hAnsi="Palatino Linotype" w:cs="Arial"/>
          <w:color w:val="000000" w:themeColor="text1"/>
        </w:rPr>
        <w:t xml:space="preserve">Es necesario señalar que debido a la naturaleza de la información solicitada </w:t>
      </w:r>
      <w:r w:rsidR="00081F53" w:rsidRPr="00C33D74">
        <w:rPr>
          <w:rFonts w:ascii="Palatino Linotype" w:hAnsi="Palatino Linotype" w:cs="Arial"/>
          <w:color w:val="000000" w:themeColor="text1"/>
        </w:rPr>
        <w:t xml:space="preserve">y toda vez que el ente recurrido refiere la existencia de datos personales susceptibles,  además de que </w:t>
      </w:r>
      <w:r w:rsidRPr="00C33D74">
        <w:rPr>
          <w:rFonts w:ascii="Palatino Linotype" w:hAnsi="Palatino Linotype" w:cs="Arial"/>
          <w:color w:val="000000" w:themeColor="text1"/>
        </w:rPr>
        <w:t xml:space="preserve">este Instituto de Transparencia, Acceso a la </w:t>
      </w:r>
      <w:r w:rsidRPr="00C33D74">
        <w:rPr>
          <w:rFonts w:ascii="Palatino Linotype" w:hAnsi="Palatino Linotype" w:cs="Arial"/>
          <w:color w:val="000000" w:themeColor="text1"/>
        </w:rPr>
        <w:lastRenderedPageBreak/>
        <w:t xml:space="preserve">Información Pública y Protección de Datos Personales del Estado de México tiene el deber de velar por la protección de los datos personales aun tratándose de servidores públicos y en su caso generar la </w:t>
      </w:r>
      <w:r w:rsidRPr="00C33D74">
        <w:rPr>
          <w:rFonts w:ascii="Palatino Linotype" w:hAnsi="Palatino Linotype" w:cs="Arial"/>
          <w:b/>
          <w:color w:val="000000" w:themeColor="text1"/>
          <w:u w:val="single"/>
        </w:rPr>
        <w:t>versión pública</w:t>
      </w:r>
      <w:r w:rsidRPr="00C33D74">
        <w:rPr>
          <w:rFonts w:ascii="Palatino Linotype" w:hAnsi="Palatino Linotype" w:cs="Arial"/>
          <w:color w:val="000000" w:themeColor="text1"/>
        </w:rPr>
        <w:t xml:space="preserve"> del documento por las consideraciones que se estimen pertinentes.</w:t>
      </w:r>
    </w:p>
    <w:p w14:paraId="12B16A66"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3B4B8F9D"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33D74">
        <w:rPr>
          <w:rFonts w:ascii="Palatino Linotype" w:hAnsi="Palatino Linotype"/>
          <w:vertAlign w:val="superscript"/>
        </w:rPr>
        <w:footnoteReference w:id="13"/>
      </w:r>
      <w:r w:rsidRPr="00C33D74">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33D74">
        <w:rPr>
          <w:rFonts w:ascii="Palatino Linotype" w:hAnsi="Palatino Linotype"/>
          <w:vertAlign w:val="superscript"/>
        </w:rPr>
        <w:footnoteReference w:id="14"/>
      </w:r>
      <w:r w:rsidRPr="00C33D74">
        <w:rPr>
          <w:rFonts w:ascii="Palatino Linotype" w:hAnsi="Palatino Linotype" w:cs="Arial"/>
          <w:color w:val="000000" w:themeColor="text1"/>
        </w:rPr>
        <w:t xml:space="preserve"> En este caso, la clasificación total o parcial de la información </w:t>
      </w:r>
      <w:r w:rsidRPr="00C33D74">
        <w:rPr>
          <w:rFonts w:ascii="Palatino Linotype" w:hAnsi="Palatino Linotype" w:cs="Arial"/>
          <w:color w:val="000000" w:themeColor="text1"/>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66B39CB9"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C33D74"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251F23DD" w14:textId="5ED413F5" w:rsidR="008D221F" w:rsidRPr="00C33D74" w:rsidRDefault="004F028B" w:rsidP="00935384">
      <w:pPr>
        <w:pStyle w:val="Ttulo1"/>
        <w:rPr>
          <w:rFonts w:ascii="Palatino Linotype" w:hAnsi="Palatino Linotype"/>
          <w:b/>
          <w:color w:val="000000" w:themeColor="text1"/>
          <w:sz w:val="24"/>
          <w:szCs w:val="24"/>
        </w:rPr>
      </w:pPr>
      <w:bookmarkStart w:id="86" w:name="_Toc35552924"/>
      <w:r w:rsidRPr="00C33D74">
        <w:rPr>
          <w:rFonts w:ascii="Palatino Linotype" w:hAnsi="Palatino Linotype"/>
          <w:b/>
          <w:color w:val="000000" w:themeColor="text1"/>
          <w:sz w:val="24"/>
          <w:szCs w:val="24"/>
        </w:rPr>
        <w:t xml:space="preserve">I. </w:t>
      </w:r>
      <w:r w:rsidR="008D221F" w:rsidRPr="00C33D74">
        <w:rPr>
          <w:rFonts w:ascii="Palatino Linotype" w:hAnsi="Palatino Linotype"/>
          <w:b/>
          <w:color w:val="000000" w:themeColor="text1"/>
          <w:sz w:val="24"/>
          <w:szCs w:val="24"/>
        </w:rPr>
        <w:t>Requisitos previos.</w:t>
      </w:r>
      <w:bookmarkEnd w:id="86"/>
    </w:p>
    <w:p w14:paraId="36AF8F95" w14:textId="77777777" w:rsidR="008D221F" w:rsidRPr="00C33D74"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rPr>
      </w:pPr>
      <w:r w:rsidRPr="00C33D74">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34CC1DD"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Además, se debe señalar el procedimiento, de los tres que establecen los artículos 132 y 106 de la Ley Estatal y General, </w:t>
      </w:r>
      <w:r w:rsidRPr="00C33D74">
        <w:rPr>
          <w:rFonts w:ascii="Palatino Linotype" w:hAnsi="Palatino Linotype" w:cs="Arial"/>
          <w:color w:val="000000"/>
        </w:rPr>
        <w:t>respectivamente</w:t>
      </w:r>
      <w:r w:rsidRPr="00C33D7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A308E05"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33D74">
        <w:rPr>
          <w:rFonts w:ascii="Palatino Linotype" w:hAnsi="Palatino Linotype" w:cs="Arial"/>
          <w:b/>
          <w:color w:val="000000" w:themeColor="text1"/>
          <w:u w:val="single"/>
        </w:rPr>
        <w:t xml:space="preserve">no se puede hacer un acuerdo para clasificar de manera general todos los documentos de un expediente o área,  </w:t>
      </w:r>
      <w:r w:rsidRPr="00C33D7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C33D74"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4C9D2168" w14:textId="33E3D311" w:rsidR="008D221F" w:rsidRPr="00C33D74" w:rsidRDefault="004F028B" w:rsidP="00935384">
      <w:pPr>
        <w:pStyle w:val="Ttulo1"/>
        <w:rPr>
          <w:rFonts w:ascii="Palatino Linotype" w:hAnsi="Palatino Linotype"/>
          <w:b/>
          <w:color w:val="000000" w:themeColor="text1"/>
          <w:sz w:val="24"/>
          <w:szCs w:val="24"/>
        </w:rPr>
      </w:pPr>
      <w:bookmarkStart w:id="87" w:name="_Toc35552925"/>
      <w:r w:rsidRPr="00C33D74">
        <w:rPr>
          <w:rFonts w:ascii="Palatino Linotype" w:hAnsi="Palatino Linotype"/>
          <w:b/>
          <w:color w:val="000000" w:themeColor="text1"/>
          <w:sz w:val="24"/>
          <w:szCs w:val="24"/>
        </w:rPr>
        <w:t xml:space="preserve">II. </w:t>
      </w:r>
      <w:r w:rsidR="008D221F" w:rsidRPr="00C33D74">
        <w:rPr>
          <w:rFonts w:ascii="Palatino Linotype" w:hAnsi="Palatino Linotype"/>
          <w:b/>
          <w:color w:val="000000" w:themeColor="text1"/>
          <w:sz w:val="24"/>
          <w:szCs w:val="24"/>
        </w:rPr>
        <w:t>Supuestos de clasificación</w:t>
      </w:r>
      <w:bookmarkEnd w:id="87"/>
    </w:p>
    <w:p w14:paraId="431776F6" w14:textId="77777777" w:rsidR="008D221F" w:rsidRPr="00C33D74"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C33D74">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34AECEC3"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5648C32F"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bCs/>
          <w:i/>
          <w:color w:val="000000" w:themeColor="text1"/>
          <w:sz w:val="22"/>
          <w:lang w:val="es-MX"/>
        </w:rPr>
        <w:t xml:space="preserve">I. </w:t>
      </w:r>
      <w:r w:rsidRPr="00C33D74">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4074B94B"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bCs/>
          <w:i/>
          <w:color w:val="000000" w:themeColor="text1"/>
          <w:sz w:val="22"/>
          <w:lang w:val="es-MX"/>
        </w:rPr>
        <w:t xml:space="preserve">II. </w:t>
      </w:r>
      <w:r w:rsidRPr="00C33D74">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bCs/>
          <w:i/>
          <w:color w:val="000000" w:themeColor="text1"/>
          <w:sz w:val="22"/>
          <w:lang w:val="es-MX"/>
        </w:rPr>
        <w:t xml:space="preserve">III. </w:t>
      </w:r>
      <w:r w:rsidRPr="00C33D74">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522D5F6D"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C33D74" w:rsidRDefault="008D221F" w:rsidP="008D221F">
      <w:pPr>
        <w:spacing w:after="120"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Como consecuencia de lo anterior, el </w:t>
      </w:r>
      <w:r w:rsidRPr="00C33D74">
        <w:rPr>
          <w:rFonts w:ascii="Palatino Linotype" w:hAnsi="Palatino Linotype" w:cs="Arial"/>
          <w:b/>
          <w:color w:val="000000" w:themeColor="text1"/>
        </w:rPr>
        <w:t>SUJETO OBLIGADO</w:t>
      </w:r>
      <w:r w:rsidRPr="00C33D74">
        <w:rPr>
          <w:rFonts w:ascii="Palatino Linotype" w:hAnsi="Palatino Linotype" w:cs="Arial"/>
          <w:color w:val="000000" w:themeColor="text1"/>
        </w:rPr>
        <w:t xml:space="preserve"> debe identificar claramente el tipo de información y hacer un juicio de subsunción o encaje</w:t>
      </w:r>
      <w:r w:rsidRPr="00C33D74">
        <w:rPr>
          <w:rFonts w:ascii="Palatino Linotype" w:hAnsi="Palatino Linotype" w:cs="Arial"/>
          <w:color w:val="000000" w:themeColor="text1"/>
          <w:vertAlign w:val="superscript"/>
        </w:rPr>
        <w:footnoteReference w:id="15"/>
      </w:r>
      <w:r w:rsidRPr="00C33D74">
        <w:rPr>
          <w:rFonts w:ascii="Palatino Linotype" w:hAnsi="Palatino Linotype" w:cs="Arial"/>
          <w:color w:val="000000" w:themeColor="text1"/>
        </w:rPr>
        <w:t xml:space="preserve"> para </w:t>
      </w:r>
      <w:r w:rsidRPr="00C33D74">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DEB4D68" w14:textId="72D4DEA5" w:rsidR="008D221F" w:rsidRPr="00C33D74" w:rsidRDefault="004F028B" w:rsidP="00935384">
      <w:pPr>
        <w:pStyle w:val="Ttulo1"/>
        <w:rPr>
          <w:rFonts w:ascii="Palatino Linotype" w:hAnsi="Palatino Linotype"/>
          <w:b/>
          <w:color w:val="000000" w:themeColor="text1"/>
          <w:sz w:val="24"/>
          <w:szCs w:val="24"/>
        </w:rPr>
      </w:pPr>
      <w:bookmarkStart w:id="88" w:name="_Toc35552926"/>
      <w:r w:rsidRPr="00C33D74">
        <w:rPr>
          <w:rFonts w:ascii="Palatino Linotype" w:hAnsi="Palatino Linotype"/>
          <w:b/>
          <w:color w:val="000000" w:themeColor="text1"/>
          <w:sz w:val="24"/>
          <w:szCs w:val="24"/>
        </w:rPr>
        <w:t xml:space="preserve">III. </w:t>
      </w:r>
      <w:r w:rsidR="008D221F" w:rsidRPr="00C33D74">
        <w:rPr>
          <w:rFonts w:ascii="Palatino Linotype" w:hAnsi="Palatino Linotype"/>
          <w:b/>
          <w:color w:val="000000" w:themeColor="text1"/>
          <w:sz w:val="24"/>
          <w:szCs w:val="24"/>
        </w:rPr>
        <w:t>Formalidades para emitir el acuerdo de clasificación.</w:t>
      </w:r>
      <w:bookmarkEnd w:id="88"/>
    </w:p>
    <w:p w14:paraId="37055EE1" w14:textId="77777777" w:rsidR="008D221F" w:rsidRPr="00C33D74"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550C459"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Evidentemente, esta decisión implica una restricción a un derecho humano, por lo tanto, puede generar un agravio a la particular y, en consecuencia, es </w:t>
      </w:r>
      <w:r w:rsidRPr="00C33D74">
        <w:rPr>
          <w:rFonts w:ascii="Palatino Linotype" w:hAnsi="Palatino Linotype" w:cs="Arial"/>
          <w:color w:val="000000" w:themeColor="text1"/>
        </w:rPr>
        <w:lastRenderedPageBreak/>
        <w:t xml:space="preserve">necesario que </w:t>
      </w:r>
      <w:r w:rsidRPr="00C33D74">
        <w:rPr>
          <w:rFonts w:ascii="Palatino Linotype" w:hAnsi="Palatino Linotype" w:cs="Arial"/>
          <w:b/>
          <w:color w:val="000000" w:themeColor="text1"/>
          <w:u w:val="single"/>
        </w:rPr>
        <w:t>el acto reúna con los requisitos elementales</w:t>
      </w:r>
      <w:r w:rsidRPr="00C33D7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7D569A5D"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6CDBB1"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31350386" w14:textId="21F94F5B" w:rsidR="008D221F" w:rsidRPr="00C33D74" w:rsidRDefault="004F028B" w:rsidP="00935384">
      <w:pPr>
        <w:pStyle w:val="Ttulo1"/>
        <w:rPr>
          <w:rFonts w:ascii="Palatino Linotype" w:hAnsi="Palatino Linotype"/>
          <w:b/>
          <w:color w:val="000000" w:themeColor="text1"/>
          <w:sz w:val="24"/>
          <w:szCs w:val="24"/>
        </w:rPr>
      </w:pPr>
      <w:bookmarkStart w:id="89" w:name="_Toc35552927"/>
      <w:r w:rsidRPr="00C33D74">
        <w:rPr>
          <w:rFonts w:ascii="Palatino Linotype" w:hAnsi="Palatino Linotype"/>
          <w:b/>
          <w:color w:val="000000" w:themeColor="text1"/>
          <w:sz w:val="24"/>
          <w:szCs w:val="24"/>
        </w:rPr>
        <w:t xml:space="preserve">IV. </w:t>
      </w:r>
      <w:r w:rsidR="008D221F" w:rsidRPr="00C33D74">
        <w:rPr>
          <w:rFonts w:ascii="Palatino Linotype" w:hAnsi="Palatino Linotype"/>
          <w:b/>
          <w:color w:val="000000" w:themeColor="text1"/>
          <w:sz w:val="24"/>
          <w:szCs w:val="24"/>
        </w:rPr>
        <w:t>Requisitos de fondo del acuerdo de clasificación</w:t>
      </w:r>
      <w:bookmarkEnd w:id="89"/>
    </w:p>
    <w:p w14:paraId="59D4E6A6"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C33D74">
        <w:rPr>
          <w:rFonts w:ascii="Palatino Linotype" w:hAnsi="Palatino Linotype" w:cs="Arial"/>
          <w:color w:val="000000" w:themeColor="text1"/>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7D742BA8"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De lo anterior, se desprende que para una correcta </w:t>
      </w:r>
      <w:r w:rsidRPr="00C33D74">
        <w:rPr>
          <w:rFonts w:ascii="Palatino Linotype" w:hAnsi="Palatino Linotype" w:cs="Arial"/>
          <w:b/>
          <w:color w:val="000000" w:themeColor="text1"/>
        </w:rPr>
        <w:t>clasificación total o parcial</w:t>
      </w:r>
      <w:r w:rsidRPr="00C33D7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78720FC0"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C33D74">
        <w:rPr>
          <w:rFonts w:ascii="Palatino Linotype" w:hAnsi="Palatino Linotype" w:cs="Arial"/>
          <w:color w:val="000000" w:themeColor="text1"/>
        </w:rPr>
        <w:lastRenderedPageBreak/>
        <w:t>cuales llegaron a la conclusión de que esos hechos son ciertos, normalmente a partir del análisis de las pruebas, lo cual se debe exteriorizar en una argumentación o juicio de hecho....”</w:t>
      </w:r>
      <w:r w:rsidRPr="00C33D74">
        <w:rPr>
          <w:rFonts w:ascii="Palatino Linotype" w:hAnsi="Palatino Linotype" w:cs="Arial"/>
          <w:color w:val="000000" w:themeColor="text1"/>
          <w:vertAlign w:val="superscript"/>
        </w:rPr>
        <w:footnoteReference w:id="16"/>
      </w:r>
    </w:p>
    <w:p w14:paraId="4AD3428B"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5ACA9D6"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C33D74" w:rsidRDefault="008D221F" w:rsidP="008D221F">
      <w:pPr>
        <w:spacing w:after="120" w:line="360" w:lineRule="auto"/>
        <w:ind w:left="709" w:right="425"/>
        <w:contextualSpacing/>
        <w:jc w:val="both"/>
        <w:rPr>
          <w:rFonts w:ascii="Palatino Linotype" w:hAnsi="Palatino Linotype" w:cs="Arial"/>
          <w:i/>
          <w:color w:val="000000" w:themeColor="text1"/>
          <w:sz w:val="22"/>
          <w:lang w:val="es-MX"/>
        </w:rPr>
      </w:pPr>
      <w:r w:rsidRPr="00C33D74">
        <w:rPr>
          <w:rFonts w:ascii="Palatino Linotype" w:hAnsi="Palatino Linotype" w:cs="Arial"/>
          <w:b/>
          <w:i/>
          <w:color w:val="000000" w:themeColor="text1"/>
          <w:sz w:val="22"/>
          <w:lang w:val="es-MX"/>
        </w:rPr>
        <w:t>FUNDAMENTACIÓN Y MOTIVACIÓN.</w:t>
      </w:r>
      <w:r w:rsidRPr="00C33D74">
        <w:rPr>
          <w:rFonts w:ascii="Palatino Linotype" w:hAnsi="Palatino Linotype" w:cs="Arial"/>
          <w:i/>
          <w:color w:val="000000" w:themeColor="text1"/>
          <w:sz w:val="22"/>
          <w:lang w:val="es-MX"/>
        </w:rPr>
        <w:t xml:space="preserve"> La </w:t>
      </w:r>
      <w:r w:rsidRPr="00C33D74">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3D74">
        <w:rPr>
          <w:rFonts w:ascii="Palatino Linotype" w:hAnsi="Palatino Linotype" w:cs="Arial"/>
          <w:i/>
          <w:color w:val="000000" w:themeColor="text1"/>
          <w:sz w:val="22"/>
          <w:lang w:val="es-MX"/>
        </w:rPr>
        <w:t>.</w:t>
      </w:r>
    </w:p>
    <w:p w14:paraId="01D25056" w14:textId="77777777" w:rsidR="008D221F" w:rsidRPr="00C33D74" w:rsidRDefault="008D221F" w:rsidP="008D221F">
      <w:pPr>
        <w:spacing w:after="120" w:line="360" w:lineRule="auto"/>
        <w:ind w:left="709" w:right="425"/>
        <w:contextualSpacing/>
        <w:jc w:val="both"/>
        <w:rPr>
          <w:rFonts w:ascii="Palatino Linotype" w:hAnsi="Palatino Linotype" w:cs="Arial"/>
          <w:color w:val="000000" w:themeColor="text1"/>
        </w:rPr>
      </w:pPr>
    </w:p>
    <w:p w14:paraId="7C60993A"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4A92EE1A"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C33D74">
        <w:rPr>
          <w:rFonts w:ascii="Palatino Linotype" w:hAnsi="Palatino Linotype" w:cs="Arial"/>
          <w:color w:val="000000" w:themeColor="text1"/>
        </w:rPr>
        <w:lastRenderedPageBreak/>
        <w:t>modo, la persona que se sienta afectada pueda impugnar la decisión, permitiéndole una real y auténtica defensa.</w:t>
      </w:r>
    </w:p>
    <w:p w14:paraId="01C530DE"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04F06AD3"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053CE90F"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Ahora bien, </w:t>
      </w:r>
      <w:r w:rsidRPr="00C33D74">
        <w:rPr>
          <w:rFonts w:ascii="Palatino Linotype" w:hAnsi="Palatino Linotype" w:cs="Arial"/>
          <w:b/>
          <w:color w:val="000000" w:themeColor="text1"/>
          <w:u w:val="single"/>
        </w:rPr>
        <w:t>para cada caso además de fundar y motivar</w:t>
      </w:r>
      <w:r w:rsidRPr="00C33D74">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33D74">
        <w:rPr>
          <w:rFonts w:ascii="Palatino Linotype" w:hAnsi="Palatino Linotype" w:cs="Arial"/>
          <w:color w:val="000000" w:themeColor="text1"/>
          <w:vertAlign w:val="superscript"/>
        </w:rPr>
        <w:footnoteReference w:id="17"/>
      </w:r>
      <w:r w:rsidRPr="00C33D74">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5C5054A"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b/>
          <w:color w:val="000000" w:themeColor="text1"/>
          <w:u w:val="single"/>
        </w:rPr>
        <w:t xml:space="preserve">Otro tipo de información confidencial constituyen los secretos bancario, fiduciario, industrial, comercial, fiscal, bursátil y postal, cuya titularidad </w:t>
      </w:r>
      <w:r w:rsidRPr="00C33D74">
        <w:rPr>
          <w:rFonts w:ascii="Palatino Linotype" w:hAnsi="Palatino Linotype" w:cs="Arial"/>
          <w:b/>
          <w:color w:val="000000" w:themeColor="text1"/>
          <w:u w:val="single"/>
        </w:rPr>
        <w:lastRenderedPageBreak/>
        <w:t>corresponda a particulares,</w:t>
      </w:r>
      <w:r w:rsidRPr="00C33D74">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45E9EE51" w14:textId="7A4022AF" w:rsidR="008D221F" w:rsidRPr="00C33D74" w:rsidRDefault="004F028B" w:rsidP="00935384">
      <w:pPr>
        <w:pStyle w:val="Ttulo1"/>
        <w:rPr>
          <w:rFonts w:ascii="Palatino Linotype" w:hAnsi="Palatino Linotype"/>
          <w:b/>
          <w:color w:val="000000" w:themeColor="text1"/>
          <w:sz w:val="24"/>
        </w:rPr>
      </w:pPr>
      <w:bookmarkStart w:id="90" w:name="_Toc35552928"/>
      <w:r w:rsidRPr="00C33D74">
        <w:rPr>
          <w:rFonts w:ascii="Palatino Linotype" w:hAnsi="Palatino Linotype"/>
          <w:b/>
          <w:color w:val="000000" w:themeColor="text1"/>
          <w:sz w:val="24"/>
        </w:rPr>
        <w:t xml:space="preserve">V. </w:t>
      </w:r>
      <w:r w:rsidR="008D221F" w:rsidRPr="00C33D74">
        <w:rPr>
          <w:rFonts w:ascii="Palatino Linotype" w:hAnsi="Palatino Linotype"/>
          <w:b/>
          <w:color w:val="000000" w:themeColor="text1"/>
          <w:sz w:val="24"/>
        </w:rPr>
        <w:t>Condiciones especiales de la clasificación de la información como confidencial.</w:t>
      </w:r>
      <w:bookmarkEnd w:id="90"/>
    </w:p>
    <w:p w14:paraId="3A687823" w14:textId="77777777" w:rsidR="008D221F" w:rsidRPr="00C33D74" w:rsidRDefault="008D221F" w:rsidP="008D221F">
      <w:pPr>
        <w:spacing w:after="120" w:line="360" w:lineRule="auto"/>
        <w:ind w:left="426" w:right="49" w:hanging="426"/>
        <w:contextualSpacing/>
        <w:jc w:val="both"/>
        <w:rPr>
          <w:rFonts w:ascii="Palatino Linotype" w:hAnsi="Palatino Linotype" w:cs="Arial"/>
          <w:b/>
          <w:color w:val="000000" w:themeColor="text1"/>
          <w:lang w:val="es-MX"/>
        </w:rPr>
      </w:pPr>
    </w:p>
    <w:p w14:paraId="677BB4ED" w14:textId="7BC9EBDD" w:rsidR="00081F53" w:rsidRPr="00C33D74" w:rsidRDefault="00081F53" w:rsidP="00081F53">
      <w:pPr>
        <w:pStyle w:val="Ttulo1"/>
        <w:numPr>
          <w:ilvl w:val="0"/>
          <w:numId w:val="40"/>
        </w:numPr>
        <w:ind w:left="0" w:firstLine="0"/>
        <w:rPr>
          <w:rFonts w:ascii="Palatino Linotype" w:hAnsi="Palatino Linotype"/>
          <w:b/>
          <w:color w:val="000000" w:themeColor="text1"/>
          <w:sz w:val="24"/>
          <w:szCs w:val="24"/>
        </w:rPr>
      </w:pPr>
      <w:bookmarkStart w:id="91" w:name="_Toc35552929"/>
      <w:r w:rsidRPr="00C33D74">
        <w:rPr>
          <w:rFonts w:ascii="Palatino Linotype" w:hAnsi="Palatino Linotype"/>
          <w:b/>
          <w:color w:val="000000" w:themeColor="text1"/>
          <w:sz w:val="24"/>
          <w:szCs w:val="24"/>
        </w:rPr>
        <w:t>Del Consentimiento.</w:t>
      </w:r>
      <w:bookmarkEnd w:id="91"/>
      <w:r w:rsidRPr="00C33D74">
        <w:rPr>
          <w:rFonts w:ascii="Palatino Linotype" w:hAnsi="Palatino Linotype"/>
          <w:b/>
          <w:color w:val="000000" w:themeColor="text1"/>
          <w:sz w:val="24"/>
          <w:szCs w:val="24"/>
        </w:rPr>
        <w:t xml:space="preserve"> </w:t>
      </w:r>
    </w:p>
    <w:p w14:paraId="11AEE1C6" w14:textId="77777777" w:rsidR="00081F53" w:rsidRPr="00C33D74" w:rsidRDefault="00081F53" w:rsidP="00081F53">
      <w:pPr>
        <w:rPr>
          <w:rFonts w:ascii="Palatino Linotype" w:hAnsi="Palatino Linotype"/>
          <w:lang w:val="es-MX" w:eastAsia="en-US"/>
        </w:rPr>
      </w:pPr>
    </w:p>
    <w:p w14:paraId="54D5A0F8" w14:textId="77777777" w:rsidR="008D221F" w:rsidRPr="00C33D74" w:rsidRDefault="008D221F" w:rsidP="009F74EB">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1BB0F91C" w14:textId="77777777" w:rsidR="008D221F" w:rsidRPr="00C33D74" w:rsidRDefault="008D221F" w:rsidP="008D221F">
      <w:pPr>
        <w:spacing w:after="120" w:line="360" w:lineRule="auto"/>
        <w:ind w:left="567" w:right="567"/>
        <w:contextualSpacing/>
        <w:jc w:val="both"/>
        <w:rPr>
          <w:rFonts w:ascii="Palatino Linotype" w:hAnsi="Palatino Linotype" w:cs="Arial"/>
          <w:bCs/>
          <w:i/>
          <w:color w:val="000000" w:themeColor="text1"/>
          <w:sz w:val="22"/>
          <w:lang w:val="es-MX"/>
        </w:rPr>
      </w:pPr>
      <w:r w:rsidRPr="00C33D74">
        <w:rPr>
          <w:rFonts w:ascii="Palatino Linotype" w:hAnsi="Palatino Linotype" w:cs="Arial"/>
          <w:bCs/>
          <w:i/>
          <w:color w:val="000000" w:themeColor="text1"/>
          <w:sz w:val="22"/>
          <w:lang w:val="es-MX"/>
        </w:rPr>
        <w:t>I.</w:t>
      </w:r>
      <w:r w:rsidRPr="00C33D74">
        <w:rPr>
          <w:rFonts w:ascii="Palatino Linotype" w:hAnsi="Palatino Linotype" w:cs="Arial"/>
          <w:i/>
          <w:color w:val="000000" w:themeColor="text1"/>
          <w:sz w:val="22"/>
          <w:lang w:val="es-MX"/>
        </w:rPr>
        <w:t xml:space="preserve"> La información se encuentre en registros públicos o fuentes de acceso público;</w:t>
      </w:r>
    </w:p>
    <w:p w14:paraId="6F517432" w14:textId="77777777" w:rsidR="008D221F" w:rsidRPr="00C33D74" w:rsidRDefault="008D221F" w:rsidP="008D221F">
      <w:pPr>
        <w:spacing w:after="120" w:line="360" w:lineRule="auto"/>
        <w:ind w:left="567" w:right="567"/>
        <w:contextualSpacing/>
        <w:jc w:val="both"/>
        <w:rPr>
          <w:rFonts w:ascii="Palatino Linotype" w:hAnsi="Palatino Linotype" w:cs="Arial"/>
          <w:bCs/>
          <w:i/>
          <w:color w:val="000000" w:themeColor="text1"/>
          <w:sz w:val="22"/>
          <w:lang w:val="es-MX"/>
        </w:rPr>
      </w:pPr>
      <w:r w:rsidRPr="00C33D74">
        <w:rPr>
          <w:rFonts w:ascii="Palatino Linotype" w:hAnsi="Palatino Linotype" w:cs="Arial"/>
          <w:bCs/>
          <w:i/>
          <w:color w:val="000000" w:themeColor="text1"/>
          <w:sz w:val="22"/>
          <w:lang w:val="es-MX"/>
        </w:rPr>
        <w:t xml:space="preserve">II. </w:t>
      </w:r>
      <w:r w:rsidRPr="00C33D74">
        <w:rPr>
          <w:rFonts w:ascii="Palatino Linotype" w:hAnsi="Palatino Linotype" w:cs="Arial"/>
          <w:i/>
          <w:color w:val="000000" w:themeColor="text1"/>
          <w:sz w:val="22"/>
          <w:lang w:val="es-MX"/>
        </w:rPr>
        <w:t>Por Ley tenga el carácter de pública;</w:t>
      </w:r>
    </w:p>
    <w:p w14:paraId="22E397E1"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bCs/>
          <w:i/>
          <w:color w:val="000000" w:themeColor="text1"/>
          <w:sz w:val="22"/>
          <w:lang w:val="es-MX"/>
        </w:rPr>
        <w:t xml:space="preserve">III. </w:t>
      </w:r>
      <w:r w:rsidRPr="00C33D74">
        <w:rPr>
          <w:rFonts w:ascii="Palatino Linotype" w:hAnsi="Palatino Linotype" w:cs="Arial"/>
          <w:i/>
          <w:color w:val="000000" w:themeColor="text1"/>
          <w:sz w:val="22"/>
          <w:lang w:val="es-MX"/>
        </w:rPr>
        <w:t xml:space="preserve">Exista una orden judicial; </w:t>
      </w:r>
    </w:p>
    <w:p w14:paraId="10465401"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bCs/>
          <w:i/>
          <w:color w:val="000000" w:themeColor="text1"/>
          <w:sz w:val="22"/>
          <w:lang w:val="es-MX"/>
        </w:rPr>
        <w:t xml:space="preserve">IV. </w:t>
      </w:r>
      <w:r w:rsidRPr="00C33D74">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51165DA" w14:textId="77777777" w:rsidR="008D221F" w:rsidRPr="00C33D74" w:rsidRDefault="008D221F" w:rsidP="008D221F">
      <w:pPr>
        <w:spacing w:after="120" w:line="360" w:lineRule="auto"/>
        <w:ind w:left="567" w:right="567"/>
        <w:contextualSpacing/>
        <w:jc w:val="both"/>
        <w:rPr>
          <w:rFonts w:ascii="Palatino Linotype" w:hAnsi="Palatino Linotype" w:cs="Arial"/>
          <w:i/>
          <w:color w:val="000000" w:themeColor="text1"/>
          <w:sz w:val="22"/>
          <w:lang w:val="es-MX"/>
        </w:rPr>
      </w:pPr>
      <w:r w:rsidRPr="00C33D74">
        <w:rPr>
          <w:rFonts w:ascii="Palatino Linotype" w:hAnsi="Palatino Linotype" w:cs="Arial"/>
          <w:bCs/>
          <w:i/>
          <w:color w:val="000000" w:themeColor="text1"/>
          <w:sz w:val="22"/>
          <w:lang w:val="es-MX"/>
        </w:rPr>
        <w:t xml:space="preserve">V. </w:t>
      </w:r>
      <w:r w:rsidRPr="00C33D74">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6096380F" w14:textId="77777777" w:rsidR="008D221F" w:rsidRPr="00C33D74" w:rsidRDefault="008D221F" w:rsidP="009F74EB">
      <w:pPr>
        <w:numPr>
          <w:ilvl w:val="0"/>
          <w:numId w:val="1"/>
        </w:numPr>
        <w:spacing w:after="120" w:line="360" w:lineRule="auto"/>
        <w:ind w:left="0" w:firstLine="0"/>
        <w:contextualSpacing/>
        <w:jc w:val="both"/>
        <w:rPr>
          <w:rFonts w:ascii="Palatino Linotype" w:hAnsi="Palatino Linotype" w:cs="Arial"/>
          <w:color w:val="000000" w:themeColor="text1"/>
        </w:rPr>
      </w:pPr>
      <w:r w:rsidRPr="00C33D74">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C33D74">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7DF16E5D" w14:textId="77777777" w:rsidR="008D221F" w:rsidRPr="00C33D74" w:rsidRDefault="008D221F" w:rsidP="008D221F">
      <w:pPr>
        <w:spacing w:after="120" w:line="360" w:lineRule="auto"/>
        <w:ind w:left="426" w:right="49" w:hanging="426"/>
        <w:contextualSpacing/>
        <w:jc w:val="both"/>
        <w:rPr>
          <w:rFonts w:ascii="Palatino Linotype" w:hAnsi="Palatino Linotype" w:cs="Arial"/>
          <w:color w:val="000000" w:themeColor="text1"/>
        </w:rPr>
      </w:pPr>
    </w:p>
    <w:p w14:paraId="24860051" w14:textId="642468BE" w:rsidR="008D221F" w:rsidRPr="00C33D74" w:rsidRDefault="008D221F" w:rsidP="009F74EB">
      <w:pPr>
        <w:numPr>
          <w:ilvl w:val="0"/>
          <w:numId w:val="1"/>
        </w:numPr>
        <w:spacing w:after="120" w:line="360" w:lineRule="auto"/>
        <w:ind w:left="0" w:right="49" w:firstLine="0"/>
        <w:jc w:val="both"/>
        <w:rPr>
          <w:rFonts w:ascii="Palatino Linotype" w:eastAsia="MS Mincho" w:hAnsi="Palatino Linotype" w:cstheme="majorBidi"/>
        </w:rPr>
      </w:pPr>
      <w:r w:rsidRPr="00C33D74">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1EFD7DB" w14:textId="77777777" w:rsidR="00081F53" w:rsidRPr="00C33D74" w:rsidRDefault="00081F53" w:rsidP="00081F53">
      <w:pPr>
        <w:pStyle w:val="Prrafodelista"/>
        <w:rPr>
          <w:rFonts w:ascii="Palatino Linotype" w:eastAsia="MS Mincho" w:hAnsi="Palatino Linotype" w:cstheme="majorBidi"/>
        </w:rPr>
      </w:pPr>
    </w:p>
    <w:p w14:paraId="6D3F754D" w14:textId="7C7DA0B9" w:rsidR="00FD1C5F" w:rsidRPr="00C33D74" w:rsidRDefault="008D221F" w:rsidP="00811102">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C33D74">
        <w:rPr>
          <w:rFonts w:ascii="Palatino Linotype" w:hAnsi="Palatino Linotype" w:cs="Arial"/>
          <w:color w:val="000000" w:themeColor="text1"/>
        </w:rPr>
        <w:t>Luego entonces, en térm</w:t>
      </w:r>
      <w:r w:rsidR="00777A1A" w:rsidRPr="00C33D74">
        <w:rPr>
          <w:rFonts w:ascii="Palatino Linotype" w:hAnsi="Palatino Linotype" w:cs="Arial"/>
          <w:color w:val="000000" w:themeColor="text1"/>
        </w:rPr>
        <w:t>inos del artículo 179 fracción</w:t>
      </w:r>
      <w:r w:rsidR="00811102" w:rsidRPr="00C33D74">
        <w:rPr>
          <w:rFonts w:ascii="Palatino Linotype" w:hAnsi="Palatino Linotype" w:cs="Arial"/>
          <w:color w:val="000000" w:themeColor="text1"/>
        </w:rPr>
        <w:t xml:space="preserve"> I, </w:t>
      </w:r>
      <w:r w:rsidR="004F028B" w:rsidRPr="00C33D74">
        <w:rPr>
          <w:rFonts w:ascii="Palatino Linotype" w:hAnsi="Palatino Linotype" w:cs="Arial"/>
          <w:color w:val="000000" w:themeColor="text1"/>
        </w:rPr>
        <w:t xml:space="preserve"> IV</w:t>
      </w:r>
      <w:r w:rsidR="00811102" w:rsidRPr="00C33D74">
        <w:rPr>
          <w:rFonts w:ascii="Palatino Linotype" w:hAnsi="Palatino Linotype" w:cs="Arial"/>
          <w:color w:val="000000" w:themeColor="text1"/>
        </w:rPr>
        <w:t xml:space="preserve"> y XIII</w:t>
      </w:r>
      <w:r w:rsidRPr="00C33D74">
        <w:rPr>
          <w:rFonts w:ascii="Palatino Linotype" w:hAnsi="Palatino Linotype" w:cs="Arial"/>
          <w:color w:val="000000" w:themeColor="text1"/>
        </w:rPr>
        <w:t xml:space="preserve"> de la Ley de Tra</w:t>
      </w:r>
      <w:r w:rsidR="0089659C" w:rsidRPr="00C33D74">
        <w:rPr>
          <w:rFonts w:ascii="Palatino Linotype" w:hAnsi="Palatino Linotype" w:cs="Arial"/>
          <w:color w:val="000000" w:themeColor="text1"/>
        </w:rPr>
        <w:t>n</w:t>
      </w:r>
      <w:r w:rsidRPr="00C33D74">
        <w:rPr>
          <w:rFonts w:ascii="Palatino Linotype" w:hAnsi="Palatino Linotype" w:cs="Arial"/>
          <w:color w:val="000000" w:themeColor="text1"/>
        </w:rPr>
        <w:t>sparencia y Acceso a la Información Pública del Estado de México</w:t>
      </w:r>
      <w:r w:rsidR="00777A1A" w:rsidRPr="00C33D74">
        <w:rPr>
          <w:rFonts w:ascii="Palatino Linotype" w:hAnsi="Palatino Linotype" w:cs="Arial"/>
          <w:color w:val="000000" w:themeColor="text1"/>
        </w:rPr>
        <w:t xml:space="preserve"> y Municipios</w:t>
      </w:r>
      <w:r w:rsidRPr="00C33D74">
        <w:rPr>
          <w:rFonts w:ascii="Palatino Linotype" w:hAnsi="Palatino Linotype" w:cs="Arial"/>
          <w:color w:val="000000" w:themeColor="text1"/>
        </w:rPr>
        <w:t>, resultan</w:t>
      </w:r>
      <w:r w:rsidR="00AC24EE" w:rsidRPr="00C33D74">
        <w:rPr>
          <w:rFonts w:ascii="Palatino Linotype" w:hAnsi="Palatino Linotype" w:cs="Arial"/>
          <w:color w:val="000000" w:themeColor="text1"/>
        </w:rPr>
        <w:t xml:space="preserve"> </w:t>
      </w:r>
      <w:r w:rsidRPr="00C33D74">
        <w:rPr>
          <w:rFonts w:ascii="Palatino Linotype" w:eastAsia="Times New Roman" w:hAnsi="Palatino Linotype" w:cs="Arial"/>
        </w:rPr>
        <w:t>fundadas las</w:t>
      </w:r>
      <w:r w:rsidRPr="00C33D74">
        <w:rPr>
          <w:rFonts w:ascii="Palatino Linotype" w:eastAsia="Times New Roman" w:hAnsi="Palatino Linotype" w:cs="Arial"/>
          <w:b/>
        </w:rPr>
        <w:t xml:space="preserve"> </w:t>
      </w:r>
      <w:r w:rsidRPr="00C33D74">
        <w:rPr>
          <w:rFonts w:ascii="Palatino Linotype" w:eastAsia="Times New Roman" w:hAnsi="Palatino Linotype" w:cs="Arial"/>
          <w:lang w:val="es-ES"/>
        </w:rPr>
        <w:t xml:space="preserve">razones o motivos de inconformidad hechos valer por </w:t>
      </w:r>
      <w:r w:rsidR="00777A1A" w:rsidRPr="00C33D74">
        <w:rPr>
          <w:rFonts w:ascii="Palatino Linotype" w:eastAsia="Times New Roman" w:hAnsi="Palatino Linotype" w:cs="Arial"/>
          <w:lang w:val="es-ES"/>
        </w:rPr>
        <w:t xml:space="preserve">el </w:t>
      </w:r>
      <w:r w:rsidRPr="00C33D74">
        <w:rPr>
          <w:rFonts w:ascii="Palatino Linotype" w:eastAsia="Times New Roman" w:hAnsi="Palatino Linotype" w:cs="Arial"/>
          <w:b/>
          <w:lang w:val="es-ES"/>
        </w:rPr>
        <w:t>RECURRENTE</w:t>
      </w:r>
      <w:r w:rsidRPr="00C33D74">
        <w:rPr>
          <w:rFonts w:ascii="Palatino Linotype" w:eastAsia="Times New Roman" w:hAnsi="Palatino Linotype" w:cs="Arial"/>
          <w:lang w:val="es-ES"/>
        </w:rPr>
        <w:t xml:space="preserve"> </w:t>
      </w:r>
      <w:r w:rsidRPr="00C33D74">
        <w:rPr>
          <w:rFonts w:ascii="Palatino Linotype" w:eastAsia="Calibri" w:hAnsi="Palatino Linotype" w:cs="Arial"/>
          <w:lang w:val="es-ES"/>
        </w:rPr>
        <w:t xml:space="preserve">en el recurso de </w:t>
      </w:r>
      <w:r w:rsidR="00AC24EE" w:rsidRPr="00C33D74">
        <w:rPr>
          <w:rFonts w:ascii="Palatino Linotype" w:eastAsia="Calibri" w:hAnsi="Palatino Linotype" w:cs="Arial"/>
          <w:lang w:val="es-ES"/>
        </w:rPr>
        <w:t>revisión de mérito, razón por la</w:t>
      </w:r>
      <w:r w:rsidRPr="00C33D74">
        <w:rPr>
          <w:rFonts w:ascii="Palatino Linotype" w:eastAsia="Calibri" w:hAnsi="Palatino Linotype" w:cs="Arial"/>
          <w:lang w:val="es-ES"/>
        </w:rPr>
        <w:t xml:space="preserve"> cual es dable ordenar en versión publica </w:t>
      </w:r>
      <w:r w:rsidR="00941409" w:rsidRPr="00C33D74">
        <w:rPr>
          <w:rFonts w:ascii="Palatino Linotype" w:eastAsia="MS Mincho" w:hAnsi="Palatino Linotype" w:cs="Times New Roman"/>
        </w:rPr>
        <w:t>el o los documen</w:t>
      </w:r>
      <w:r w:rsidR="004F028B" w:rsidRPr="00C33D74">
        <w:rPr>
          <w:rFonts w:ascii="Palatino Linotype" w:eastAsia="MS Mincho" w:hAnsi="Palatino Linotype" w:cs="Times New Roman"/>
        </w:rPr>
        <w:t>tos donde conste</w:t>
      </w:r>
      <w:r w:rsidR="00AC24EE" w:rsidRPr="00C33D74">
        <w:rPr>
          <w:rFonts w:ascii="Palatino Linotype" w:eastAsia="MS Mincho" w:hAnsi="Palatino Linotype" w:cs="Times New Roman"/>
        </w:rPr>
        <w:t xml:space="preserve"> o se </w:t>
      </w:r>
      <w:r w:rsidR="00183835" w:rsidRPr="00C33D74">
        <w:rPr>
          <w:rFonts w:ascii="Palatino Linotype" w:eastAsia="MS Mincho" w:hAnsi="Palatino Linotype" w:cs="Times New Roman"/>
        </w:rPr>
        <w:t xml:space="preserve">la información solicitada. </w:t>
      </w:r>
    </w:p>
    <w:p w14:paraId="6BACAAB5" w14:textId="098ABA08" w:rsidR="008976CF" w:rsidRPr="00C33D74" w:rsidRDefault="00260059" w:rsidP="008976CF">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3D74">
        <w:rPr>
          <w:rFonts w:ascii="Palatino Linotype" w:hAnsi="Palatino Linotype"/>
          <w:color w:val="000000" w:themeColor="text1"/>
          <w:lang w:val="es-ES" w:eastAsia="es-MX"/>
        </w:rPr>
        <w:t xml:space="preserve">Por lo anteriormente expuesto y fundado, este </w:t>
      </w:r>
      <w:r w:rsidRPr="00C33D74">
        <w:rPr>
          <w:rFonts w:ascii="Palatino Linotype" w:hAnsi="Palatino Linotype"/>
          <w:b/>
          <w:bCs/>
          <w:color w:val="000000" w:themeColor="text1"/>
          <w:lang w:val="es-ES" w:eastAsia="es-MX"/>
        </w:rPr>
        <w:t>ÓRGANO GARANTE</w:t>
      </w:r>
      <w:r w:rsidRPr="00C33D74">
        <w:rPr>
          <w:rFonts w:ascii="Palatino Linotype" w:hAnsi="Palatino Linotype"/>
          <w:color w:val="000000" w:themeColor="text1"/>
          <w:lang w:val="es-ES" w:eastAsia="es-MX"/>
        </w:rPr>
        <w:t xml:space="preserve"> emite los siguientes:</w:t>
      </w:r>
    </w:p>
    <w:p w14:paraId="2A0F6E58" w14:textId="2D08EA9B" w:rsidR="00C33D74" w:rsidRDefault="00C33D74" w:rsidP="00C33D74">
      <w:pPr>
        <w:tabs>
          <w:tab w:val="left" w:pos="426"/>
        </w:tabs>
        <w:spacing w:line="360" w:lineRule="auto"/>
        <w:contextualSpacing/>
        <w:jc w:val="both"/>
        <w:rPr>
          <w:rFonts w:ascii="Palatino Linotype" w:hAnsi="Palatino Linotype"/>
          <w:color w:val="000000" w:themeColor="text1"/>
          <w:lang w:val="es-ES" w:eastAsia="es-MX"/>
        </w:rPr>
      </w:pPr>
    </w:p>
    <w:p w14:paraId="4A1CFE78" w14:textId="792B5A44" w:rsidR="00C33D74" w:rsidRDefault="00C33D74" w:rsidP="00C33D74">
      <w:pPr>
        <w:tabs>
          <w:tab w:val="left" w:pos="426"/>
        </w:tabs>
        <w:spacing w:line="360" w:lineRule="auto"/>
        <w:contextualSpacing/>
        <w:jc w:val="both"/>
        <w:rPr>
          <w:rFonts w:ascii="Palatino Linotype" w:hAnsi="Palatino Linotype"/>
          <w:color w:val="000000" w:themeColor="text1"/>
          <w:lang w:val="es-ES" w:eastAsia="es-MX"/>
        </w:rPr>
      </w:pPr>
    </w:p>
    <w:p w14:paraId="0F32D51F" w14:textId="5815AEB6" w:rsidR="00C33D74" w:rsidRDefault="00C33D74" w:rsidP="00C33D74">
      <w:pPr>
        <w:tabs>
          <w:tab w:val="left" w:pos="426"/>
        </w:tabs>
        <w:spacing w:line="360" w:lineRule="auto"/>
        <w:contextualSpacing/>
        <w:jc w:val="both"/>
        <w:rPr>
          <w:rFonts w:ascii="Palatino Linotype" w:hAnsi="Palatino Linotype"/>
          <w:color w:val="000000" w:themeColor="text1"/>
          <w:lang w:val="es-ES" w:eastAsia="es-MX"/>
        </w:rPr>
      </w:pPr>
    </w:p>
    <w:p w14:paraId="52DC6A69" w14:textId="70F2D8E3" w:rsidR="00C33D74" w:rsidRDefault="00C33D74" w:rsidP="00C33D74">
      <w:pPr>
        <w:tabs>
          <w:tab w:val="left" w:pos="426"/>
        </w:tabs>
        <w:spacing w:line="360" w:lineRule="auto"/>
        <w:contextualSpacing/>
        <w:jc w:val="both"/>
        <w:rPr>
          <w:rFonts w:ascii="Palatino Linotype" w:hAnsi="Palatino Linotype"/>
          <w:color w:val="000000" w:themeColor="text1"/>
          <w:lang w:val="es-ES" w:eastAsia="es-MX"/>
        </w:rPr>
      </w:pPr>
    </w:p>
    <w:p w14:paraId="2F777A32" w14:textId="518FC007" w:rsidR="00C33D74" w:rsidRDefault="00C33D74" w:rsidP="00C33D74">
      <w:pPr>
        <w:tabs>
          <w:tab w:val="left" w:pos="426"/>
        </w:tabs>
        <w:spacing w:line="360" w:lineRule="auto"/>
        <w:contextualSpacing/>
        <w:jc w:val="both"/>
        <w:rPr>
          <w:rFonts w:ascii="Palatino Linotype" w:hAnsi="Palatino Linotype"/>
          <w:color w:val="000000" w:themeColor="text1"/>
          <w:lang w:val="es-ES" w:eastAsia="es-MX"/>
        </w:rPr>
      </w:pPr>
    </w:p>
    <w:p w14:paraId="12C6C09C" w14:textId="77777777" w:rsidR="00C33D74" w:rsidRPr="00C33D74" w:rsidRDefault="00C33D74" w:rsidP="00C33D74">
      <w:pPr>
        <w:tabs>
          <w:tab w:val="left" w:pos="426"/>
        </w:tabs>
        <w:spacing w:line="360" w:lineRule="auto"/>
        <w:contextualSpacing/>
        <w:jc w:val="both"/>
        <w:rPr>
          <w:rFonts w:ascii="Palatino Linotype" w:eastAsia="MS Mincho" w:hAnsi="Palatino Linotype" w:cs="Arial"/>
          <w:color w:val="000000" w:themeColor="text1"/>
          <w:lang w:val="es-MX"/>
        </w:rPr>
      </w:pPr>
    </w:p>
    <w:p w14:paraId="5B5DC487" w14:textId="77777777" w:rsidR="00260059" w:rsidRPr="00C33D74" w:rsidRDefault="00260059" w:rsidP="00260059">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92" w:name="_Toc521949108"/>
      <w:bookmarkStart w:id="93" w:name="_Toc522209068"/>
      <w:bookmarkStart w:id="94" w:name="_Toc35552930"/>
      <w:r w:rsidRPr="00C33D74">
        <w:rPr>
          <w:rFonts w:ascii="Palatino Linotype" w:eastAsiaTheme="majorEastAsia" w:hAnsi="Palatino Linotype" w:cstheme="majorBidi"/>
          <w:b/>
          <w:sz w:val="26"/>
          <w:szCs w:val="26"/>
          <w:lang w:val="es-MX" w:eastAsia="en-US"/>
        </w:rPr>
        <w:lastRenderedPageBreak/>
        <w:t>R E S O L U T I V O S</w:t>
      </w:r>
      <w:bookmarkEnd w:id="92"/>
      <w:bookmarkEnd w:id="93"/>
      <w:bookmarkEnd w:id="94"/>
    </w:p>
    <w:p w14:paraId="37495625" w14:textId="77777777" w:rsidR="00260059" w:rsidRPr="00C33D74" w:rsidRDefault="00260059" w:rsidP="00260059">
      <w:pPr>
        <w:jc w:val="both"/>
        <w:rPr>
          <w:rFonts w:ascii="Palatino Linotype" w:hAnsi="Palatino Linotype"/>
          <w:lang w:val="es-MX" w:eastAsia="en-US"/>
        </w:rPr>
      </w:pPr>
    </w:p>
    <w:p w14:paraId="137AA0E3" w14:textId="41634FA4" w:rsidR="00260059" w:rsidRPr="00C33D74" w:rsidRDefault="00260059" w:rsidP="00260059">
      <w:pPr>
        <w:spacing w:before="240" w:after="360" w:line="360" w:lineRule="auto"/>
        <w:jc w:val="both"/>
        <w:rPr>
          <w:rFonts w:ascii="Palatino Linotype" w:eastAsia="Times New Roman" w:hAnsi="Palatino Linotype" w:cs="Arial"/>
          <w:color w:val="000000"/>
          <w:lang w:val="es-ES"/>
        </w:rPr>
      </w:pPr>
      <w:r w:rsidRPr="00C33D74">
        <w:rPr>
          <w:rFonts w:ascii="Palatino Linotype" w:eastAsia="MS Mincho" w:hAnsi="Palatino Linotype" w:cs="Times New Roman"/>
          <w:b/>
          <w:color w:val="000000"/>
        </w:rPr>
        <w:t>PRIMERO.</w:t>
      </w:r>
      <w:r w:rsidRPr="00C33D74">
        <w:rPr>
          <w:rFonts w:ascii="Palatino Linotype" w:eastAsia="MS Gothic" w:hAnsi="Palatino Linotype" w:cs="Times New Roman"/>
          <w:b/>
          <w:color w:val="000000"/>
          <w:lang w:val="es-MX" w:eastAsia="en-US"/>
        </w:rPr>
        <w:t xml:space="preserve"> </w:t>
      </w:r>
      <w:r w:rsidR="00777A1A" w:rsidRPr="00C33D74">
        <w:rPr>
          <w:rFonts w:ascii="Palatino Linotype" w:eastAsia="Times New Roman" w:hAnsi="Palatino Linotype" w:cs="Arial"/>
          <w:color w:val="000000"/>
          <w:lang w:val="es-ES"/>
        </w:rPr>
        <w:t xml:space="preserve">Resultan </w:t>
      </w:r>
      <w:r w:rsidR="00535E71" w:rsidRPr="00C33D74">
        <w:rPr>
          <w:rFonts w:ascii="Palatino Linotype" w:eastAsia="Times New Roman" w:hAnsi="Palatino Linotype" w:cs="Arial"/>
          <w:color w:val="000000"/>
          <w:lang w:val="es-ES"/>
        </w:rPr>
        <w:t>fundadas las razones o</w:t>
      </w:r>
      <w:r w:rsidRPr="00C33D74">
        <w:rPr>
          <w:rFonts w:ascii="Palatino Linotype" w:eastAsia="Times New Roman" w:hAnsi="Palatino Linotype" w:cs="Arial"/>
          <w:color w:val="000000"/>
          <w:lang w:val="es-ES"/>
        </w:rPr>
        <w:t xml:space="preserve"> motivos de inconformidad hechos valer </w:t>
      </w:r>
      <w:r w:rsidRPr="00C33D74">
        <w:rPr>
          <w:rFonts w:ascii="Palatino Linotype" w:eastAsia="MS Mincho" w:hAnsi="Palatino Linotype" w:cs="Times New Roman"/>
          <w:color w:val="000000"/>
        </w:rPr>
        <w:t>en</w:t>
      </w:r>
      <w:r w:rsidR="00B11433" w:rsidRPr="00C33D74">
        <w:rPr>
          <w:rFonts w:ascii="Palatino Linotype" w:eastAsia="MS Mincho" w:hAnsi="Palatino Linotype" w:cs="Times New Roman"/>
          <w:color w:val="000000"/>
        </w:rPr>
        <w:t xml:space="preserve"> el recurso de revisión </w:t>
      </w:r>
      <w:r w:rsidR="0016562F" w:rsidRPr="00C33D74">
        <w:rPr>
          <w:rFonts w:ascii="Palatino Linotype" w:eastAsia="MS Mincho" w:hAnsi="Palatino Linotype" w:cs="Times New Roman"/>
          <w:b/>
          <w:bCs/>
          <w:color w:val="000000"/>
        </w:rPr>
        <w:t>00538/INFOEM/IP/RR/2020</w:t>
      </w:r>
      <w:r w:rsidRPr="00C33D74">
        <w:rPr>
          <w:rFonts w:ascii="Palatino Linotype" w:eastAsia="MS Mincho" w:hAnsi="Palatino Linotype" w:cs="Arial"/>
          <w:b/>
          <w:bCs/>
          <w:color w:val="000000"/>
        </w:rPr>
        <w:t xml:space="preserve">, </w:t>
      </w:r>
      <w:r w:rsidR="00113A8A" w:rsidRPr="00C33D74">
        <w:rPr>
          <w:rFonts w:ascii="Palatino Linotype" w:eastAsia="Times New Roman" w:hAnsi="Palatino Linotype" w:cs="Times New Roman"/>
          <w:color w:val="000000"/>
        </w:rPr>
        <w:t>en términos de los</w:t>
      </w:r>
      <w:r w:rsidR="00531946" w:rsidRPr="00C33D74">
        <w:rPr>
          <w:rFonts w:ascii="Palatino Linotype" w:eastAsia="Times New Roman" w:hAnsi="Palatino Linotype" w:cs="Times New Roman"/>
          <w:color w:val="000000"/>
        </w:rPr>
        <w:t xml:space="preserve"> </w:t>
      </w:r>
      <w:r w:rsidR="00531946" w:rsidRPr="00C33D74">
        <w:rPr>
          <w:rFonts w:ascii="Palatino Linotype" w:eastAsia="Times New Roman" w:hAnsi="Palatino Linotype" w:cs="Times New Roman"/>
          <w:b/>
          <w:color w:val="000000"/>
        </w:rPr>
        <w:t>Considerando</w:t>
      </w:r>
      <w:r w:rsidR="00113A8A" w:rsidRPr="00C33D74">
        <w:rPr>
          <w:rFonts w:ascii="Palatino Linotype" w:eastAsia="Times New Roman" w:hAnsi="Palatino Linotype" w:cs="Times New Roman"/>
          <w:b/>
          <w:color w:val="000000"/>
        </w:rPr>
        <w:t>s</w:t>
      </w:r>
      <w:r w:rsidR="00531946" w:rsidRPr="00C33D74">
        <w:rPr>
          <w:rFonts w:ascii="Palatino Linotype" w:eastAsia="Times New Roman" w:hAnsi="Palatino Linotype" w:cs="Times New Roman"/>
          <w:b/>
          <w:color w:val="000000"/>
        </w:rPr>
        <w:t xml:space="preserve"> </w:t>
      </w:r>
      <w:r w:rsidR="00811102" w:rsidRPr="00C33D74">
        <w:rPr>
          <w:rFonts w:ascii="Palatino Linotype" w:eastAsia="Times New Roman" w:hAnsi="Palatino Linotype" w:cs="Times New Roman"/>
          <w:b/>
          <w:color w:val="000000"/>
        </w:rPr>
        <w:t>CUARTO</w:t>
      </w:r>
      <w:r w:rsidR="00975C87" w:rsidRPr="00C33D74">
        <w:rPr>
          <w:rFonts w:ascii="Palatino Linotype" w:eastAsia="Times New Roman" w:hAnsi="Palatino Linotype" w:cs="Times New Roman"/>
          <w:b/>
          <w:color w:val="000000"/>
        </w:rPr>
        <w:t xml:space="preserve"> Y</w:t>
      </w:r>
      <w:r w:rsidR="00811102" w:rsidRPr="00C33D74">
        <w:rPr>
          <w:rFonts w:ascii="Palatino Linotype" w:eastAsia="Times New Roman" w:hAnsi="Palatino Linotype" w:cs="Times New Roman"/>
          <w:b/>
          <w:color w:val="000000"/>
        </w:rPr>
        <w:t xml:space="preserve"> QUINTO </w:t>
      </w:r>
      <w:r w:rsidRPr="00C33D74">
        <w:rPr>
          <w:rFonts w:ascii="Palatino Linotype" w:eastAsia="Times New Roman" w:hAnsi="Palatino Linotype" w:cs="Times New Roman"/>
          <w:color w:val="000000"/>
        </w:rPr>
        <w:t>de la presente resolución.</w:t>
      </w:r>
    </w:p>
    <w:p w14:paraId="54C2DC3C" w14:textId="50F73C6D" w:rsidR="004F028B" w:rsidRPr="00C33D74" w:rsidRDefault="00260059" w:rsidP="004F028B">
      <w:pPr>
        <w:shd w:val="clear" w:color="auto" w:fill="FFFFFF"/>
        <w:spacing w:before="240" w:after="240" w:line="360" w:lineRule="auto"/>
        <w:jc w:val="both"/>
        <w:rPr>
          <w:rFonts w:ascii="Palatino Linotype" w:eastAsia="Times New Roman" w:hAnsi="Palatino Linotype" w:cs="Arial"/>
          <w:color w:val="000000"/>
          <w:lang w:val="es-ES"/>
        </w:rPr>
      </w:pPr>
      <w:r w:rsidRPr="00C33D74">
        <w:rPr>
          <w:rFonts w:ascii="Palatino Linotype" w:eastAsia="Times New Roman" w:hAnsi="Palatino Linotype" w:cs="Arial"/>
          <w:b/>
          <w:color w:val="000000"/>
          <w:lang w:val="es-ES"/>
        </w:rPr>
        <w:t xml:space="preserve">SEGUNDO. </w:t>
      </w:r>
      <w:r w:rsidR="00811102" w:rsidRPr="00C33D74">
        <w:rPr>
          <w:rFonts w:ascii="Palatino Linotype" w:eastAsia="Calibri" w:hAnsi="Palatino Linotype" w:cs="Arial"/>
          <w:color w:val="000000"/>
          <w:lang w:val="es-ES"/>
        </w:rPr>
        <w:t xml:space="preserve">Se </w:t>
      </w:r>
      <w:r w:rsidR="0016562F" w:rsidRPr="00C33D74">
        <w:rPr>
          <w:rFonts w:ascii="Palatino Linotype" w:eastAsia="Calibri" w:hAnsi="Palatino Linotype" w:cs="Arial"/>
          <w:b/>
          <w:color w:val="000000"/>
          <w:lang w:val="es-ES"/>
        </w:rPr>
        <w:t xml:space="preserve">REVOCA </w:t>
      </w:r>
      <w:r w:rsidR="0016562F" w:rsidRPr="00C33D74">
        <w:rPr>
          <w:rFonts w:ascii="Palatino Linotype" w:eastAsia="Calibri" w:hAnsi="Palatino Linotype" w:cs="Arial"/>
          <w:color w:val="000000"/>
          <w:lang w:val="es-ES"/>
        </w:rPr>
        <w:t>la</w:t>
      </w:r>
      <w:r w:rsidR="00B11433" w:rsidRPr="00C33D74">
        <w:rPr>
          <w:rFonts w:ascii="Palatino Linotype" w:eastAsia="Calibri" w:hAnsi="Palatino Linotype" w:cs="Arial"/>
          <w:color w:val="000000"/>
          <w:lang w:val="es-ES"/>
        </w:rPr>
        <w:t xml:space="preserve"> respuesta emitida</w:t>
      </w:r>
      <w:r w:rsidR="00811102" w:rsidRPr="00C33D74">
        <w:rPr>
          <w:rFonts w:ascii="Palatino Linotype" w:eastAsia="Calibri" w:hAnsi="Palatino Linotype" w:cs="Arial"/>
          <w:color w:val="000000"/>
          <w:lang w:val="es-ES"/>
        </w:rPr>
        <w:t xml:space="preserve"> por el </w:t>
      </w:r>
      <w:r w:rsidR="0016562F" w:rsidRPr="00C33D74">
        <w:rPr>
          <w:rFonts w:ascii="Palatino Linotype" w:eastAsia="Calibri" w:hAnsi="Palatino Linotype" w:cs="Arial"/>
          <w:b/>
          <w:color w:val="000000"/>
          <w:lang w:val="es-ES"/>
        </w:rPr>
        <w:t xml:space="preserve">Ayuntamiento de Atizapán de Zaragoza </w:t>
      </w:r>
      <w:r w:rsidRPr="00C33D74">
        <w:rPr>
          <w:rFonts w:ascii="Palatino Linotype" w:eastAsia="Calibri" w:hAnsi="Palatino Linotype" w:cs="Arial"/>
          <w:color w:val="000000"/>
          <w:lang w:val="es-ES"/>
        </w:rPr>
        <w:t xml:space="preserve">y se </w:t>
      </w:r>
      <w:r w:rsidR="001F575A" w:rsidRPr="00C33D74">
        <w:rPr>
          <w:rFonts w:ascii="Palatino Linotype" w:eastAsia="Calibri" w:hAnsi="Palatino Linotype" w:cs="Arial"/>
          <w:b/>
          <w:color w:val="000000"/>
          <w:lang w:val="es-ES"/>
        </w:rPr>
        <w:t>ORDENA</w:t>
      </w:r>
      <w:r w:rsidRPr="00C33D74">
        <w:rPr>
          <w:rFonts w:ascii="Palatino Linotype" w:eastAsia="Calibri" w:hAnsi="Palatino Linotype" w:cs="Arial"/>
          <w:color w:val="000000"/>
          <w:lang w:val="es-ES"/>
        </w:rPr>
        <w:t xml:space="preserve"> </w:t>
      </w:r>
      <w:r w:rsidRPr="00C33D74">
        <w:rPr>
          <w:rFonts w:ascii="Palatino Linotype" w:eastAsia="Times New Roman" w:hAnsi="Palatino Linotype" w:cs="Arial"/>
          <w:color w:val="000000"/>
          <w:lang w:val="es-ES"/>
        </w:rPr>
        <w:t>entrega</w:t>
      </w:r>
      <w:r w:rsidR="001F575A" w:rsidRPr="00C33D74">
        <w:rPr>
          <w:rFonts w:ascii="Palatino Linotype" w:eastAsia="Times New Roman" w:hAnsi="Palatino Linotype" w:cs="Arial"/>
          <w:color w:val="000000"/>
          <w:lang w:val="es-ES"/>
        </w:rPr>
        <w:t>r</w:t>
      </w:r>
      <w:r w:rsidRPr="00C33D74">
        <w:rPr>
          <w:rFonts w:ascii="Palatino Linotype" w:eastAsia="Times New Roman" w:hAnsi="Palatino Linotype" w:cs="Arial"/>
          <w:color w:val="000000"/>
          <w:lang w:val="es-ES"/>
        </w:rPr>
        <w:t xml:space="preserve"> vía</w:t>
      </w:r>
      <w:r w:rsidR="00A75C7E" w:rsidRPr="00C33D74">
        <w:rPr>
          <w:rFonts w:ascii="Palatino Linotype" w:eastAsia="Times New Roman" w:hAnsi="Palatino Linotype" w:cs="Arial"/>
          <w:color w:val="000000"/>
          <w:lang w:val="es-ES"/>
        </w:rPr>
        <w:t xml:space="preserve"> Sistema de Acceso a la Información Mexiquense </w:t>
      </w:r>
      <w:r w:rsidR="00A75C7E" w:rsidRPr="00C33D74">
        <w:rPr>
          <w:rFonts w:ascii="Palatino Linotype" w:eastAsia="Times New Roman" w:hAnsi="Palatino Linotype" w:cs="Arial"/>
          <w:b/>
          <w:color w:val="000000"/>
        </w:rPr>
        <w:t>(</w:t>
      </w:r>
      <w:r w:rsidR="00535E71" w:rsidRPr="00C33D74">
        <w:rPr>
          <w:rFonts w:ascii="Palatino Linotype" w:eastAsia="Times New Roman" w:hAnsi="Palatino Linotype" w:cs="Arial"/>
          <w:b/>
          <w:color w:val="000000"/>
        </w:rPr>
        <w:t>SAIMEX</w:t>
      </w:r>
      <w:r w:rsidR="00A75C7E" w:rsidRPr="00C33D74">
        <w:rPr>
          <w:rFonts w:ascii="Palatino Linotype" w:eastAsia="Times New Roman" w:hAnsi="Palatino Linotype" w:cs="Arial"/>
          <w:b/>
          <w:color w:val="000000"/>
        </w:rPr>
        <w:t>)</w:t>
      </w:r>
      <w:r w:rsidR="004F028B" w:rsidRPr="00C33D74">
        <w:rPr>
          <w:rFonts w:ascii="Palatino Linotype" w:eastAsia="Times New Roman" w:hAnsi="Palatino Linotype" w:cs="Arial"/>
          <w:color w:val="000000"/>
          <w:lang w:val="es-ES"/>
        </w:rPr>
        <w:t xml:space="preserve">, </w:t>
      </w:r>
      <w:r w:rsidR="00113A8A" w:rsidRPr="00C33D74">
        <w:rPr>
          <w:rFonts w:ascii="Palatino Linotype" w:eastAsia="Times New Roman" w:hAnsi="Palatino Linotype" w:cs="Arial"/>
          <w:color w:val="000000"/>
          <w:lang w:val="es-ES"/>
        </w:rPr>
        <w:t>en versión pública</w:t>
      </w:r>
      <w:r w:rsidR="00EE0E06" w:rsidRPr="00C33D74">
        <w:rPr>
          <w:rFonts w:ascii="Palatino Linotype" w:eastAsia="Times New Roman" w:hAnsi="Palatino Linotype" w:cs="Arial"/>
          <w:color w:val="000000"/>
          <w:lang w:val="es-ES"/>
        </w:rPr>
        <w:t xml:space="preserve"> de ser procedente</w:t>
      </w:r>
      <w:r w:rsidR="00113A8A" w:rsidRPr="00C33D74">
        <w:rPr>
          <w:rFonts w:ascii="Palatino Linotype" w:eastAsia="Times New Roman" w:hAnsi="Palatino Linotype" w:cs="Arial"/>
          <w:color w:val="000000"/>
          <w:lang w:val="es-ES"/>
        </w:rPr>
        <w:t>,</w:t>
      </w:r>
      <w:r w:rsidR="00E41FC7" w:rsidRPr="00C33D74">
        <w:rPr>
          <w:rFonts w:ascii="Palatino Linotype" w:eastAsia="Times New Roman" w:hAnsi="Palatino Linotype" w:cs="Arial"/>
          <w:color w:val="000000"/>
          <w:lang w:val="es-ES"/>
        </w:rPr>
        <w:t xml:space="preserve"> la siguiente información: </w:t>
      </w:r>
    </w:p>
    <w:p w14:paraId="55489FAE" w14:textId="028604E5" w:rsidR="0016562F" w:rsidRPr="00C33D74" w:rsidRDefault="0016562F" w:rsidP="00D914F5">
      <w:pPr>
        <w:tabs>
          <w:tab w:val="left" w:pos="142"/>
          <w:tab w:val="left" w:pos="284"/>
          <w:tab w:val="left" w:pos="426"/>
        </w:tabs>
        <w:spacing w:before="240" w:after="240" w:line="360" w:lineRule="auto"/>
        <w:ind w:left="630" w:right="599"/>
        <w:jc w:val="both"/>
        <w:rPr>
          <w:rFonts w:ascii="Palatino Linotype" w:eastAsia="Times New Roman" w:hAnsi="Palatino Linotype"/>
          <w:b/>
          <w:lang w:val="es-ES"/>
        </w:rPr>
      </w:pPr>
      <w:r w:rsidRPr="00C33D74">
        <w:rPr>
          <w:rFonts w:ascii="Palatino Linotype" w:eastAsia="Times New Roman" w:hAnsi="Palatino Linotype"/>
          <w:b/>
          <w:lang w:val="es-ES"/>
        </w:rPr>
        <w:t>I. Del operativo</w:t>
      </w:r>
      <w:r w:rsidR="000B5063" w:rsidRPr="00C33D74">
        <w:rPr>
          <w:rFonts w:ascii="Palatino Linotype" w:eastAsia="Times New Roman" w:hAnsi="Palatino Linotype"/>
          <w:b/>
          <w:lang w:val="es-ES"/>
        </w:rPr>
        <w:t xml:space="preserve"> realizado con motivo de la manifestación de ciudadanos que se</w:t>
      </w:r>
      <w:r w:rsidRPr="00C33D74">
        <w:rPr>
          <w:rFonts w:ascii="Palatino Linotype" w:eastAsia="Times New Roman" w:hAnsi="Palatino Linotype"/>
          <w:b/>
          <w:lang w:val="es-ES"/>
        </w:rPr>
        <w:t xml:space="preserve"> ubicaron en la calzada de Jinetes, la tarde-noche del 9 de octubre de dos mil diecinueve: </w:t>
      </w:r>
    </w:p>
    <w:p w14:paraId="5249FB3B" w14:textId="77777777" w:rsidR="004659E3" w:rsidRPr="00C33D74" w:rsidRDefault="00D914F5" w:rsidP="004659E3">
      <w:pPr>
        <w:tabs>
          <w:tab w:val="left" w:pos="142"/>
          <w:tab w:val="left" w:pos="284"/>
          <w:tab w:val="left" w:pos="426"/>
        </w:tabs>
        <w:spacing w:before="240" w:after="240" w:line="360" w:lineRule="auto"/>
        <w:ind w:left="630" w:right="599"/>
        <w:jc w:val="both"/>
        <w:rPr>
          <w:rFonts w:ascii="Palatino Linotype" w:eastAsia="Times New Roman" w:hAnsi="Palatino Linotype"/>
          <w:b/>
          <w:lang w:val="es-ES"/>
        </w:rPr>
      </w:pPr>
      <w:r w:rsidRPr="00C33D74">
        <w:rPr>
          <w:rFonts w:ascii="Palatino Linotype" w:eastAsia="Times New Roman" w:hAnsi="Palatino Linotype"/>
          <w:b/>
          <w:lang w:val="es-ES"/>
        </w:rPr>
        <w:t xml:space="preserve"> a</w:t>
      </w:r>
      <w:r w:rsidR="0016562F" w:rsidRPr="00C33D74">
        <w:rPr>
          <w:rFonts w:ascii="Palatino Linotype" w:eastAsia="Times New Roman" w:hAnsi="Palatino Linotype"/>
          <w:b/>
          <w:lang w:val="es-ES"/>
        </w:rPr>
        <w:t xml:space="preserve">) Número de </w:t>
      </w:r>
      <w:r w:rsidRPr="00C33D74">
        <w:rPr>
          <w:rFonts w:ascii="Palatino Linotype" w:eastAsia="Times New Roman" w:hAnsi="Palatino Linotype"/>
          <w:b/>
          <w:lang w:val="es-ES"/>
        </w:rPr>
        <w:t>elementos</w:t>
      </w:r>
      <w:r w:rsidR="00B81E29" w:rsidRPr="00C33D74">
        <w:rPr>
          <w:rFonts w:ascii="Palatino Linotype" w:eastAsia="Times New Roman" w:hAnsi="Palatino Linotype"/>
          <w:b/>
          <w:lang w:val="es-ES"/>
        </w:rPr>
        <w:t xml:space="preserve"> que participaron y</w:t>
      </w:r>
      <w:r w:rsidR="0016562F" w:rsidRPr="00C33D74">
        <w:rPr>
          <w:rFonts w:ascii="Palatino Linotype" w:eastAsia="Times New Roman" w:hAnsi="Palatino Linotype"/>
          <w:b/>
          <w:lang w:val="es-ES"/>
        </w:rPr>
        <w:t xml:space="preserve"> corporación a la que pertenecen; y </w:t>
      </w:r>
    </w:p>
    <w:p w14:paraId="410C1B31" w14:textId="4C0D1156" w:rsidR="00703EE5" w:rsidRPr="00C33D74" w:rsidRDefault="001F40A6" w:rsidP="001F40A6">
      <w:pPr>
        <w:tabs>
          <w:tab w:val="left" w:pos="142"/>
          <w:tab w:val="left" w:pos="284"/>
          <w:tab w:val="left" w:pos="426"/>
        </w:tabs>
        <w:spacing w:before="240" w:after="240" w:line="360" w:lineRule="auto"/>
        <w:ind w:left="630" w:right="599"/>
        <w:jc w:val="both"/>
        <w:rPr>
          <w:rFonts w:ascii="Palatino Linotype" w:eastAsia="Times New Roman" w:hAnsi="Palatino Linotype"/>
          <w:b/>
          <w:lang w:val="es-ES"/>
        </w:rPr>
      </w:pPr>
      <w:r w:rsidRPr="00C33D74">
        <w:rPr>
          <w:rFonts w:ascii="Palatino Linotype" w:eastAsia="Times New Roman" w:hAnsi="Palatino Linotype"/>
          <w:b/>
          <w:lang w:val="es-ES"/>
        </w:rPr>
        <w:t xml:space="preserve">b)  </w:t>
      </w:r>
      <w:r w:rsidR="0016562F" w:rsidRPr="00C33D74">
        <w:rPr>
          <w:rFonts w:ascii="Palatino Linotype" w:eastAsia="Times New Roman" w:hAnsi="Palatino Linotype"/>
          <w:b/>
          <w:lang w:val="es-ES"/>
        </w:rPr>
        <w:t>Quien coordinó el operativo, así como quien ordenó la acción.</w:t>
      </w:r>
    </w:p>
    <w:p w14:paraId="688003A1" w14:textId="56EFE504" w:rsidR="00B90005" w:rsidRPr="00C33D74" w:rsidRDefault="0033527F" w:rsidP="00551F27">
      <w:pPr>
        <w:spacing w:line="360" w:lineRule="auto"/>
        <w:jc w:val="both"/>
        <w:rPr>
          <w:rFonts w:ascii="Palatino Linotype" w:eastAsia="Calibri" w:hAnsi="Palatino Linotype" w:cs="Arial"/>
          <w:b/>
        </w:rPr>
      </w:pPr>
      <w:r w:rsidRPr="00C33D7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149E4" w:rsidRPr="00C33D74">
        <w:rPr>
          <w:rFonts w:ascii="Palatino Linotype" w:eastAsia="Calibri" w:hAnsi="Palatino Linotype" w:cs="Arial"/>
        </w:rPr>
        <w:t>nga a disposición de</w:t>
      </w:r>
      <w:r w:rsidR="00EE0E06" w:rsidRPr="00C33D74">
        <w:rPr>
          <w:rFonts w:ascii="Palatino Linotype" w:eastAsia="Calibri" w:hAnsi="Palatino Linotype" w:cs="Arial"/>
        </w:rPr>
        <w:t>l</w:t>
      </w:r>
      <w:r w:rsidR="00811102" w:rsidRPr="00C33D74">
        <w:rPr>
          <w:rFonts w:ascii="Palatino Linotype" w:eastAsia="Calibri" w:hAnsi="Palatino Linotype" w:cs="Arial"/>
          <w:b/>
        </w:rPr>
        <w:t xml:space="preserve"> Recurrente</w:t>
      </w:r>
      <w:r w:rsidRPr="00C33D74">
        <w:rPr>
          <w:rFonts w:ascii="Palatino Linotype" w:eastAsia="Calibri" w:hAnsi="Palatino Linotype" w:cs="Arial"/>
          <w:b/>
        </w:rPr>
        <w:t>.</w:t>
      </w:r>
    </w:p>
    <w:p w14:paraId="015349C2" w14:textId="77777777" w:rsidR="00551F27" w:rsidRPr="00C33D74" w:rsidRDefault="00551F27" w:rsidP="00551F27">
      <w:pPr>
        <w:spacing w:line="360" w:lineRule="auto"/>
        <w:jc w:val="both"/>
        <w:rPr>
          <w:rFonts w:ascii="Palatino Linotype" w:eastAsia="Calibri" w:hAnsi="Palatino Linotype" w:cs="Arial"/>
          <w:b/>
        </w:rPr>
      </w:pPr>
    </w:p>
    <w:p w14:paraId="47427B2C" w14:textId="77777777" w:rsidR="00260059" w:rsidRPr="00C33D74"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r w:rsidRPr="00C33D74">
        <w:rPr>
          <w:rFonts w:ascii="Palatino Linotype" w:eastAsiaTheme="majorEastAsia" w:hAnsi="Palatino Linotype" w:cstheme="majorBidi"/>
          <w:b/>
          <w:color w:val="000000" w:themeColor="text1"/>
          <w:szCs w:val="26"/>
          <w:lang w:val="es-MX" w:eastAsia="en-US"/>
        </w:rPr>
        <w:t>TERCERO. Notifíquese</w:t>
      </w:r>
      <w:r w:rsidRPr="00C33D74">
        <w:rPr>
          <w:rFonts w:ascii="Palatino Linotype" w:eastAsiaTheme="majorEastAsia" w:hAnsi="Palatino Linotype" w:cstheme="majorBidi"/>
          <w:color w:val="000000" w:themeColor="text1"/>
          <w:szCs w:val="26"/>
          <w:lang w:val="es-MX" w:eastAsia="en-US"/>
        </w:rPr>
        <w:t xml:space="preserve"> al Titular de la Unidad de Transparencia del </w:t>
      </w:r>
      <w:r w:rsidRPr="00C33D74">
        <w:rPr>
          <w:rFonts w:ascii="Palatino Linotype" w:eastAsiaTheme="majorEastAsia" w:hAnsi="Palatino Linotype" w:cstheme="majorBidi"/>
          <w:b/>
          <w:color w:val="000000" w:themeColor="text1"/>
          <w:szCs w:val="26"/>
          <w:lang w:val="es-MX" w:eastAsia="en-US"/>
        </w:rPr>
        <w:t>SUJETO OBLIGADO</w:t>
      </w:r>
      <w:r w:rsidRPr="00C33D74">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458BF3EE" w:rsidR="00260059" w:rsidRPr="00C33D74" w:rsidRDefault="00260059" w:rsidP="00260059">
      <w:pPr>
        <w:shd w:val="clear" w:color="auto" w:fill="FFFFFF"/>
        <w:spacing w:before="240" w:after="360" w:line="360" w:lineRule="auto"/>
        <w:jc w:val="both"/>
        <w:rPr>
          <w:rFonts w:ascii="Palatino Linotype" w:eastAsia="Times New Roman" w:hAnsi="Palatino Linotype" w:cs="Times New Roman"/>
          <w:lang w:val="es-ES"/>
        </w:rPr>
      </w:pPr>
      <w:r w:rsidRPr="00C33D74">
        <w:rPr>
          <w:rFonts w:ascii="Palatino Linotype" w:eastAsiaTheme="majorEastAsia" w:hAnsi="Palatino Linotype" w:cstheme="majorBidi"/>
          <w:b/>
          <w:lang w:val="es-MX" w:eastAsia="en-US"/>
        </w:rPr>
        <w:t>CUARTO. Notifíquese</w:t>
      </w:r>
      <w:r w:rsidRPr="00C33D74">
        <w:rPr>
          <w:rFonts w:ascii="Palatino Linotype" w:eastAsiaTheme="majorEastAsia" w:hAnsi="Palatino Linotype" w:cstheme="majorBidi"/>
          <w:lang w:val="es-MX" w:eastAsia="en-US"/>
        </w:rPr>
        <w:t xml:space="preserve"> a</w:t>
      </w:r>
      <w:r w:rsidR="00811102" w:rsidRPr="00C33D74">
        <w:rPr>
          <w:rFonts w:ascii="Palatino Linotype" w:eastAsia="Times New Roman" w:hAnsi="Palatino Linotype" w:cs="Times New Roman"/>
          <w:lang w:val="es-ES"/>
        </w:rPr>
        <w:t xml:space="preserve">l </w:t>
      </w:r>
      <w:r w:rsidR="00811102" w:rsidRPr="00C33D74">
        <w:rPr>
          <w:rFonts w:ascii="Palatino Linotype" w:eastAsia="Times New Roman" w:hAnsi="Palatino Linotype" w:cs="Times New Roman"/>
          <w:b/>
          <w:lang w:val="es-ES"/>
        </w:rPr>
        <w:t xml:space="preserve">recurrente </w:t>
      </w:r>
      <w:r w:rsidR="00AC24EE" w:rsidRPr="00C33D74">
        <w:rPr>
          <w:rFonts w:ascii="Palatino Linotype" w:eastAsia="Times New Roman" w:hAnsi="Palatino Linotype" w:cs="Times New Roman"/>
          <w:lang w:val="es-ES"/>
        </w:rPr>
        <w:t xml:space="preserve">la </w:t>
      </w:r>
      <w:r w:rsidRPr="00C33D74">
        <w:rPr>
          <w:rFonts w:ascii="Palatino Linotype" w:eastAsia="Times New Roman" w:hAnsi="Palatino Linotype" w:cs="Times New Roman"/>
          <w:lang w:val="es-ES"/>
        </w:rPr>
        <w:t xml:space="preserve">presente </w:t>
      </w:r>
      <w:r w:rsidR="00811102" w:rsidRPr="00C33D74">
        <w:rPr>
          <w:rFonts w:ascii="Palatino Linotype" w:eastAsia="Times New Roman" w:hAnsi="Palatino Linotype" w:cs="Times New Roman"/>
          <w:b/>
          <w:lang w:val="es-ES"/>
        </w:rPr>
        <w:t>resolución.</w:t>
      </w:r>
      <w:r w:rsidRPr="00C33D74">
        <w:rPr>
          <w:rFonts w:ascii="Palatino Linotype" w:eastAsia="Times New Roman" w:hAnsi="Palatino Linotype" w:cs="Times New Roman"/>
          <w:lang w:val="es-ES"/>
        </w:rPr>
        <w:t xml:space="preserve"> </w:t>
      </w:r>
    </w:p>
    <w:p w14:paraId="018E5136" w14:textId="2326B28F" w:rsidR="00474A9F" w:rsidRDefault="00260059" w:rsidP="00474A9F">
      <w:pPr>
        <w:spacing w:before="240" w:after="360" w:line="360" w:lineRule="auto"/>
        <w:jc w:val="both"/>
        <w:rPr>
          <w:rFonts w:ascii="Palatino Linotype" w:eastAsia="MS Mincho" w:hAnsi="Palatino Linotype" w:cs="Times New Roman"/>
          <w:color w:val="000000" w:themeColor="text1"/>
        </w:rPr>
      </w:pPr>
      <w:r w:rsidRPr="00C33D74">
        <w:rPr>
          <w:rFonts w:ascii="Palatino Linotype" w:eastAsia="MS Mincho" w:hAnsi="Palatino Linotype" w:cs="Times New Roman"/>
          <w:b/>
          <w:color w:val="000000" w:themeColor="text1"/>
        </w:rPr>
        <w:t xml:space="preserve">QUINTO. </w:t>
      </w:r>
      <w:r w:rsidRPr="00C33D74">
        <w:rPr>
          <w:rFonts w:ascii="Palatino Linotype" w:eastAsia="MS Mincho" w:hAnsi="Palatino Linotype" w:cs="Times New Roman"/>
          <w:color w:val="000000" w:themeColor="text1"/>
        </w:rPr>
        <w:t>Se hace del conocimiento de</w:t>
      </w:r>
      <w:r w:rsidR="00EE0E06" w:rsidRPr="00C33D74">
        <w:rPr>
          <w:rFonts w:ascii="Palatino Linotype" w:eastAsia="MS Mincho" w:hAnsi="Palatino Linotype" w:cs="Times New Roman"/>
          <w:color w:val="000000" w:themeColor="text1"/>
        </w:rPr>
        <w:t xml:space="preserve">l </w:t>
      </w:r>
      <w:r w:rsidR="00EE0E06" w:rsidRPr="00C33D74">
        <w:rPr>
          <w:rFonts w:ascii="Palatino Linotype" w:eastAsia="MS Mincho" w:hAnsi="Palatino Linotype" w:cs="Times New Roman"/>
          <w:b/>
          <w:color w:val="000000" w:themeColor="text1"/>
        </w:rPr>
        <w:t xml:space="preserve">Recurrente </w:t>
      </w:r>
      <w:r w:rsidRPr="00C33D74">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C33D74">
        <w:rPr>
          <w:rFonts w:ascii="Palatino Linotype" w:eastAsia="MS Mincho" w:hAnsi="Palatino Linotype" w:cs="Times New Roman"/>
          <w:color w:val="000000" w:themeColor="text1"/>
        </w:rPr>
        <w:t>rminos de las leyes aplicables.</w:t>
      </w:r>
    </w:p>
    <w:p w14:paraId="60407BD1" w14:textId="17A93E72" w:rsidR="00C33D74" w:rsidRDefault="00C33D74" w:rsidP="00C33D74">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Pr="00C33D74">
        <w:rPr>
          <w:rFonts w:ascii="Palatino Linotype" w:hAnsi="Palatino Linotype"/>
          <w:color w:val="000000" w:themeColor="text1"/>
        </w:rPr>
        <w:t xml:space="preserve"> </w:t>
      </w:r>
      <w:r>
        <w:rPr>
          <w:rFonts w:ascii="Palatino Linotype" w:hAnsi="Palatino Linotype"/>
          <w:color w:val="000000" w:themeColor="text1"/>
        </w:rPr>
        <w:t>EMITIENDO VOTO PARTICULAR;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154E71AC" w14:textId="77777777" w:rsidR="00C33D74" w:rsidRDefault="00C33D74" w:rsidP="00C33D74">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C33D74" w14:paraId="033324C1" w14:textId="77777777" w:rsidTr="00C33D74">
        <w:trPr>
          <w:trHeight w:val="1807"/>
        </w:trPr>
        <w:tc>
          <w:tcPr>
            <w:tcW w:w="9073" w:type="dxa"/>
            <w:gridSpan w:val="3"/>
            <w:vAlign w:val="center"/>
          </w:tcPr>
          <w:p w14:paraId="051BD62D" w14:textId="77777777" w:rsidR="00C33D74" w:rsidRDefault="00C33D74">
            <w:pPr>
              <w:pStyle w:val="Prrafodelista"/>
              <w:spacing w:line="276" w:lineRule="auto"/>
              <w:ind w:left="0"/>
              <w:jc w:val="center"/>
              <w:rPr>
                <w:rFonts w:ascii="Palatino Linotype" w:hAnsi="Palatino Linotype" w:cs="Arial"/>
                <w:color w:val="000000" w:themeColor="text1"/>
              </w:rPr>
            </w:pPr>
          </w:p>
          <w:p w14:paraId="17F43093" w14:textId="77777777" w:rsidR="00C33D74" w:rsidRDefault="00C33D7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DF84209" w14:textId="77777777" w:rsidR="00C33D74" w:rsidRDefault="00C33D74">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80A0374" w14:textId="77777777" w:rsidR="00C33D74" w:rsidRDefault="00C33D74">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C33D74" w14:paraId="67DCD30C" w14:textId="77777777" w:rsidTr="00C33D74">
        <w:trPr>
          <w:trHeight w:val="2156"/>
        </w:trPr>
        <w:tc>
          <w:tcPr>
            <w:tcW w:w="4253" w:type="dxa"/>
            <w:vAlign w:val="center"/>
          </w:tcPr>
          <w:p w14:paraId="5C15A8A6" w14:textId="77777777" w:rsidR="00C33D74" w:rsidRDefault="00C33D74">
            <w:pPr>
              <w:spacing w:line="276" w:lineRule="auto"/>
              <w:jc w:val="center"/>
              <w:rPr>
                <w:rFonts w:ascii="Palatino Linotype" w:hAnsi="Palatino Linotype" w:cs="Times New Roman"/>
                <w:b/>
                <w:color w:val="000000" w:themeColor="text1"/>
              </w:rPr>
            </w:pPr>
          </w:p>
          <w:p w14:paraId="45F3CC69" w14:textId="77777777" w:rsidR="00C33D74" w:rsidRDefault="00C33D74">
            <w:pPr>
              <w:spacing w:line="276" w:lineRule="auto"/>
              <w:jc w:val="center"/>
              <w:rPr>
                <w:rFonts w:ascii="Palatino Linotype" w:hAnsi="Palatino Linotype" w:cs="Times New Roman"/>
                <w:b/>
                <w:color w:val="000000" w:themeColor="text1"/>
              </w:rPr>
            </w:pPr>
          </w:p>
          <w:p w14:paraId="34F5BC66" w14:textId="77777777" w:rsidR="00C33D74" w:rsidRDefault="00C33D74">
            <w:pPr>
              <w:spacing w:line="276" w:lineRule="auto"/>
              <w:jc w:val="center"/>
              <w:rPr>
                <w:rFonts w:ascii="Palatino Linotype" w:hAnsi="Palatino Linotype" w:cs="Times New Roman"/>
                <w:b/>
                <w:color w:val="000000" w:themeColor="text1"/>
              </w:rPr>
            </w:pPr>
          </w:p>
          <w:p w14:paraId="5249703E" w14:textId="77777777" w:rsidR="00C33D74" w:rsidRDefault="00C33D7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6663D689"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F2A21B5"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2E5BF1B9" w14:textId="77777777" w:rsidR="00C33D74" w:rsidRDefault="00C33D74">
            <w:pPr>
              <w:spacing w:line="276" w:lineRule="auto"/>
              <w:jc w:val="center"/>
              <w:rPr>
                <w:rFonts w:ascii="Palatino Linotype" w:hAnsi="Palatino Linotype" w:cs="Times New Roman"/>
                <w:b/>
                <w:color w:val="000000" w:themeColor="text1"/>
              </w:rPr>
            </w:pPr>
          </w:p>
          <w:p w14:paraId="18551F4D" w14:textId="77777777" w:rsidR="00C33D74" w:rsidRDefault="00C33D74">
            <w:pPr>
              <w:spacing w:line="276" w:lineRule="auto"/>
              <w:jc w:val="center"/>
              <w:rPr>
                <w:rFonts w:ascii="Palatino Linotype" w:hAnsi="Palatino Linotype" w:cs="Times New Roman"/>
                <w:b/>
                <w:color w:val="000000" w:themeColor="text1"/>
              </w:rPr>
            </w:pPr>
          </w:p>
          <w:p w14:paraId="149E7F54" w14:textId="77777777" w:rsidR="00C33D74" w:rsidRDefault="00C33D74">
            <w:pPr>
              <w:spacing w:line="276" w:lineRule="auto"/>
              <w:jc w:val="center"/>
              <w:rPr>
                <w:rFonts w:ascii="Palatino Linotype" w:hAnsi="Palatino Linotype" w:cs="Times New Roman"/>
                <w:b/>
                <w:color w:val="000000" w:themeColor="text1"/>
              </w:rPr>
            </w:pPr>
          </w:p>
          <w:p w14:paraId="1F876F64" w14:textId="77777777" w:rsidR="00C33D74" w:rsidRDefault="00C33D7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9C919CF"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2EFE2CF"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33D74" w14:paraId="44B8B3B4" w14:textId="77777777" w:rsidTr="00C33D74">
        <w:trPr>
          <w:trHeight w:val="2244"/>
        </w:trPr>
        <w:tc>
          <w:tcPr>
            <w:tcW w:w="4536" w:type="dxa"/>
            <w:gridSpan w:val="2"/>
            <w:vAlign w:val="center"/>
          </w:tcPr>
          <w:p w14:paraId="1D9967E0" w14:textId="77777777" w:rsidR="00C33D74" w:rsidRDefault="00C33D74">
            <w:pPr>
              <w:spacing w:line="276" w:lineRule="auto"/>
              <w:jc w:val="center"/>
              <w:rPr>
                <w:rFonts w:ascii="Palatino Linotype" w:hAnsi="Palatino Linotype" w:cs="Times New Roman"/>
                <w:b/>
                <w:color w:val="000000" w:themeColor="text1"/>
              </w:rPr>
            </w:pPr>
          </w:p>
          <w:p w14:paraId="2132C129" w14:textId="77777777" w:rsidR="00C33D74" w:rsidRDefault="00C33D74">
            <w:pPr>
              <w:spacing w:line="276" w:lineRule="auto"/>
              <w:jc w:val="center"/>
              <w:rPr>
                <w:rFonts w:ascii="Palatino Linotype" w:hAnsi="Palatino Linotype" w:cs="Times New Roman"/>
                <w:b/>
                <w:color w:val="000000" w:themeColor="text1"/>
              </w:rPr>
            </w:pPr>
          </w:p>
          <w:p w14:paraId="332911FE" w14:textId="77777777" w:rsidR="00C33D74" w:rsidRDefault="00C33D74">
            <w:pPr>
              <w:spacing w:line="276" w:lineRule="auto"/>
              <w:jc w:val="center"/>
              <w:rPr>
                <w:rFonts w:ascii="Palatino Linotype" w:hAnsi="Palatino Linotype" w:cs="Times New Roman"/>
                <w:b/>
                <w:color w:val="000000" w:themeColor="text1"/>
              </w:rPr>
            </w:pPr>
          </w:p>
          <w:p w14:paraId="49A41DC8" w14:textId="77777777" w:rsidR="00C33D74" w:rsidRDefault="00C33D74">
            <w:pPr>
              <w:spacing w:line="276" w:lineRule="auto"/>
              <w:jc w:val="center"/>
              <w:rPr>
                <w:rFonts w:ascii="Palatino Linotype" w:hAnsi="Palatino Linotype" w:cs="Times New Roman"/>
                <w:b/>
                <w:color w:val="000000" w:themeColor="text1"/>
              </w:rPr>
            </w:pPr>
          </w:p>
          <w:p w14:paraId="381759B3"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2D8EBE9"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6DF3937" w14:textId="77777777" w:rsidR="00C33D74" w:rsidRDefault="00C33D74">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3CA2B84A" w14:textId="77777777" w:rsidR="00C33D74" w:rsidRDefault="00C33D74">
            <w:pPr>
              <w:spacing w:line="276" w:lineRule="auto"/>
              <w:jc w:val="center"/>
              <w:rPr>
                <w:rFonts w:ascii="Palatino Linotype" w:hAnsi="Palatino Linotype" w:cs="Times New Roman"/>
                <w:color w:val="000000" w:themeColor="text1"/>
              </w:rPr>
            </w:pPr>
          </w:p>
          <w:p w14:paraId="4984C965" w14:textId="77777777" w:rsidR="00C33D74" w:rsidRDefault="00C33D74">
            <w:pPr>
              <w:spacing w:line="276" w:lineRule="auto"/>
              <w:jc w:val="center"/>
              <w:rPr>
                <w:rFonts w:ascii="Palatino Linotype" w:hAnsi="Palatino Linotype" w:cs="Times New Roman"/>
                <w:color w:val="000000" w:themeColor="text1"/>
              </w:rPr>
            </w:pPr>
          </w:p>
          <w:p w14:paraId="062F11B8" w14:textId="77777777" w:rsidR="00C33D74" w:rsidRDefault="00C33D74">
            <w:pPr>
              <w:spacing w:line="276" w:lineRule="auto"/>
              <w:jc w:val="center"/>
              <w:rPr>
                <w:rFonts w:ascii="Palatino Linotype" w:hAnsi="Palatino Linotype" w:cs="Times New Roman"/>
                <w:color w:val="000000" w:themeColor="text1"/>
              </w:rPr>
            </w:pPr>
          </w:p>
          <w:p w14:paraId="56C77425" w14:textId="77777777" w:rsidR="00C33D74" w:rsidRDefault="00C33D74">
            <w:pPr>
              <w:spacing w:line="276" w:lineRule="auto"/>
              <w:jc w:val="center"/>
              <w:rPr>
                <w:rFonts w:ascii="Palatino Linotype" w:hAnsi="Palatino Linotype" w:cs="Times New Roman"/>
                <w:color w:val="000000" w:themeColor="text1"/>
              </w:rPr>
            </w:pPr>
          </w:p>
          <w:p w14:paraId="3CBF810A"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9C62F0E"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307FE6E" w14:textId="4D3BDCBB"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33D74" w14:paraId="42A111DC" w14:textId="77777777" w:rsidTr="00C33D74">
        <w:trPr>
          <w:trHeight w:val="1953"/>
        </w:trPr>
        <w:tc>
          <w:tcPr>
            <w:tcW w:w="9073" w:type="dxa"/>
            <w:gridSpan w:val="3"/>
            <w:vAlign w:val="center"/>
          </w:tcPr>
          <w:p w14:paraId="7CD2CFE3" w14:textId="2C4589CC" w:rsidR="00C33D74" w:rsidRDefault="00C33D74">
            <w:pPr>
              <w:pStyle w:val="Prrafodelista"/>
              <w:spacing w:line="276" w:lineRule="auto"/>
              <w:ind w:left="0"/>
              <w:jc w:val="center"/>
              <w:rPr>
                <w:rFonts w:ascii="Palatino Linotype" w:hAnsi="Palatino Linotype"/>
                <w:color w:val="000000" w:themeColor="text1"/>
              </w:rPr>
            </w:pPr>
          </w:p>
          <w:p w14:paraId="3E7E2CF4" w14:textId="427262AC" w:rsidR="00C33D74" w:rsidRDefault="00C33D74">
            <w:pPr>
              <w:pStyle w:val="Prrafodelista"/>
              <w:spacing w:line="276" w:lineRule="auto"/>
              <w:ind w:left="0"/>
              <w:jc w:val="center"/>
              <w:rPr>
                <w:rFonts w:ascii="Palatino Linotype" w:hAnsi="Palatino Linotype"/>
                <w:color w:val="000000" w:themeColor="text1"/>
              </w:rPr>
            </w:pPr>
          </w:p>
          <w:p w14:paraId="098F5F4A" w14:textId="2C31500A" w:rsidR="00C33D74" w:rsidRDefault="00C33D74">
            <w:pPr>
              <w:pStyle w:val="Prrafodelista"/>
              <w:spacing w:line="276" w:lineRule="auto"/>
              <w:ind w:left="0"/>
              <w:jc w:val="center"/>
              <w:rPr>
                <w:rFonts w:ascii="Palatino Linotype" w:hAnsi="Palatino Linotype"/>
                <w:color w:val="000000" w:themeColor="text1"/>
              </w:rPr>
            </w:pPr>
          </w:p>
          <w:p w14:paraId="5C475AC5" w14:textId="0FFB29D7" w:rsidR="00C33D74" w:rsidRDefault="00C33D74">
            <w:pPr>
              <w:pStyle w:val="Prrafodelista"/>
              <w:spacing w:line="276" w:lineRule="auto"/>
              <w:ind w:left="0"/>
              <w:jc w:val="center"/>
              <w:rPr>
                <w:rFonts w:ascii="Palatino Linotype" w:hAnsi="Palatino Linotype"/>
                <w:color w:val="000000" w:themeColor="text1"/>
              </w:rPr>
            </w:pPr>
          </w:p>
          <w:p w14:paraId="38721CF2" w14:textId="279B5CBF" w:rsidR="00C33D74" w:rsidRDefault="00C33D7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CCD408A" w14:textId="7B1434B1"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931B2B1" w14:textId="77777777" w:rsidR="00C33D74" w:rsidRDefault="00C33D7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836EB6E" w14:textId="707935D9" w:rsidR="00C33D74" w:rsidRDefault="00C33D74" w:rsidP="00C33D74">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00538/INFOEM/IP/RR/</w:t>
      </w:r>
      <w:r w:rsidR="00365D3E">
        <w:rPr>
          <w:rFonts w:ascii="Palatino Linotype" w:hAnsi="Palatino Linotype" w:cs="Arial"/>
          <w:b/>
          <w:bCs/>
          <w:color w:val="000000" w:themeColor="text1"/>
          <w:lang w:eastAsia="es-MX"/>
        </w:rPr>
        <w:t>2020</w:t>
      </w:r>
      <w:r>
        <w:rPr>
          <w:rFonts w:ascii="Palatino Linotype" w:hAnsi="Palatino Linotype" w:cs="Arial"/>
          <w:color w:val="000000" w:themeColor="text1"/>
        </w:rPr>
        <w:t>.</w:t>
      </w:r>
    </w:p>
    <w:p w14:paraId="1E9CE5BA" w14:textId="77777777" w:rsidR="00C33D74" w:rsidRPr="00C33D74" w:rsidRDefault="00C33D74" w:rsidP="00474A9F">
      <w:pPr>
        <w:spacing w:before="240" w:after="360" w:line="360" w:lineRule="auto"/>
        <w:jc w:val="both"/>
        <w:rPr>
          <w:rFonts w:ascii="Palatino Linotype" w:eastAsia="MS Mincho" w:hAnsi="Palatino Linotype" w:cs="Times New Roman"/>
          <w:color w:val="000000" w:themeColor="text1"/>
        </w:rPr>
      </w:pPr>
    </w:p>
    <w:sectPr w:rsidR="00C33D74" w:rsidRPr="00C33D74" w:rsidSect="005B118B">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48827" w14:textId="77777777" w:rsidR="004146AA" w:rsidRDefault="004146AA" w:rsidP="00587366">
      <w:r>
        <w:separator/>
      </w:r>
    </w:p>
  </w:endnote>
  <w:endnote w:type="continuationSeparator" w:id="0">
    <w:p w14:paraId="672B06C6" w14:textId="77777777" w:rsidR="004146AA" w:rsidRDefault="004146A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150B88C" w:rsidR="004146AA" w:rsidRPr="00883450" w:rsidRDefault="004146A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05760">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05760">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4146AA" w:rsidRDefault="004146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2B1C7BE" w:rsidR="004146AA" w:rsidRPr="00883450" w:rsidRDefault="004146A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5760" w:rsidRPr="002057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5760" w:rsidRPr="00205760">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4146AA" w:rsidRPr="00883450" w:rsidRDefault="004146A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5FDC2" w14:textId="77777777" w:rsidR="004146AA" w:rsidRDefault="004146AA" w:rsidP="00587366">
      <w:r>
        <w:separator/>
      </w:r>
    </w:p>
  </w:footnote>
  <w:footnote w:type="continuationSeparator" w:id="0">
    <w:p w14:paraId="23BB5B54" w14:textId="77777777" w:rsidR="004146AA" w:rsidRDefault="004146AA" w:rsidP="00587366">
      <w:r>
        <w:continuationSeparator/>
      </w:r>
    </w:p>
  </w:footnote>
  <w:footnote w:id="1">
    <w:p w14:paraId="5057D611" w14:textId="77777777" w:rsidR="004146AA" w:rsidRDefault="004146AA" w:rsidP="003B6F7B">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68410C95" w14:textId="77777777" w:rsidR="004146AA" w:rsidRPr="00ED2A04" w:rsidRDefault="004146AA" w:rsidP="00B05EA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3">
    <w:p w14:paraId="228C96A2" w14:textId="77777777" w:rsidR="004146AA" w:rsidRPr="00ED2A04" w:rsidRDefault="004146AA" w:rsidP="00B05EA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4">
    <w:p w14:paraId="067B8AEA" w14:textId="77777777" w:rsidR="004146AA" w:rsidRPr="000406A4" w:rsidRDefault="004146AA" w:rsidP="00B05EA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5">
    <w:p w14:paraId="4C8CE01D" w14:textId="77777777" w:rsidR="004146AA" w:rsidRPr="000406A4" w:rsidRDefault="004146AA" w:rsidP="00B05EA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6">
    <w:p w14:paraId="537E9FB6" w14:textId="77777777" w:rsidR="004146AA" w:rsidRPr="000406A4" w:rsidRDefault="004146AA" w:rsidP="00B05EA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7">
    <w:p w14:paraId="3BC1E787" w14:textId="77777777" w:rsidR="004146AA" w:rsidRPr="000406A4" w:rsidRDefault="004146AA" w:rsidP="00B05EA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8">
    <w:p w14:paraId="18DBFACA" w14:textId="77777777" w:rsidR="004146AA" w:rsidRPr="000406A4" w:rsidRDefault="004146AA" w:rsidP="00B05EA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9">
    <w:p w14:paraId="4A30DB91" w14:textId="77777777" w:rsidR="004146AA" w:rsidRPr="00AF123A" w:rsidRDefault="004146AA" w:rsidP="00B05EA0">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10">
    <w:p w14:paraId="4F642EC1" w14:textId="77777777" w:rsidR="004146AA" w:rsidRPr="00A4142C" w:rsidRDefault="004146AA" w:rsidP="00B05EA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1">
    <w:p w14:paraId="2863B6FD" w14:textId="2ED0E917" w:rsidR="004146AA" w:rsidRDefault="004146AA">
      <w:pPr>
        <w:pStyle w:val="Textonotapie"/>
      </w:pPr>
      <w:r>
        <w:rPr>
          <w:rStyle w:val="Refdenotaalpie"/>
        </w:rPr>
        <w:footnoteRef/>
      </w:r>
      <w:r>
        <w:t xml:space="preserve"> Consultable en: </w:t>
      </w:r>
      <w:hyperlink r:id="rId8" w:history="1">
        <w:r w:rsidRPr="002E46C5">
          <w:rPr>
            <w:rStyle w:val="Hipervnculo"/>
            <w:lang w:val="es-ES_tradnl"/>
          </w:rPr>
          <w:t>https://www.cndh.org.mx/sites/all/doc/cartillas/2015-2016/34-Principios-universalidad.pdf</w:t>
        </w:r>
      </w:hyperlink>
      <w:r>
        <w:t xml:space="preserve">. </w:t>
      </w:r>
    </w:p>
  </w:footnote>
  <w:footnote w:id="12">
    <w:p w14:paraId="50AB75EA" w14:textId="77777777" w:rsidR="004146AA" w:rsidRDefault="004146AA" w:rsidP="001D722A">
      <w:pPr>
        <w:pStyle w:val="Textonotapie"/>
      </w:pPr>
      <w:r>
        <w:rPr>
          <w:rStyle w:val="Refdenotaalpie"/>
        </w:rPr>
        <w:footnoteRef/>
      </w:r>
      <w:r>
        <w:t xml:space="preserve"> Ley de Transparencia y Acceso a la Información Pública del Estado de México y Municipios. Artículo 9. …</w:t>
      </w:r>
    </w:p>
    <w:p w14:paraId="5CD76939" w14:textId="77777777" w:rsidR="004146AA" w:rsidRDefault="004146AA" w:rsidP="001D722A">
      <w:pPr>
        <w:pStyle w:val="Textonotapie"/>
      </w:pPr>
      <w:r>
        <w:t>II. Eficacia: Obligación del Instituto para tutelar, de manera efectiva, el derecho de acceso a la información;</w:t>
      </w:r>
    </w:p>
    <w:p w14:paraId="4EEC9A08" w14:textId="77777777" w:rsidR="004146AA" w:rsidRDefault="004146AA" w:rsidP="001D722A">
      <w:pPr>
        <w:pStyle w:val="Textonotapie"/>
      </w:pPr>
      <w:r>
        <w:t xml:space="preserve">… </w:t>
      </w:r>
    </w:p>
  </w:footnote>
  <w:footnote w:id="13">
    <w:p w14:paraId="410C2C9D" w14:textId="77777777" w:rsidR="004146AA" w:rsidRPr="00034B44" w:rsidRDefault="004146AA"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4146AA" w:rsidRPr="00034B44" w:rsidRDefault="004146AA"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4">
    <w:p w14:paraId="3E5CC9D1" w14:textId="77777777" w:rsidR="004146AA" w:rsidRPr="00034B44" w:rsidRDefault="004146AA"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5">
    <w:p w14:paraId="08B73963" w14:textId="77777777" w:rsidR="004146AA" w:rsidRPr="00034B44" w:rsidRDefault="004146AA"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4146AA" w:rsidRPr="00034B44" w:rsidRDefault="004146AA"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4146AA" w:rsidRPr="00034B44" w:rsidRDefault="004146AA"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6">
    <w:p w14:paraId="7CAE56BE" w14:textId="77777777" w:rsidR="004146AA" w:rsidRPr="00034B44" w:rsidRDefault="004146AA"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7">
    <w:p w14:paraId="4742BA26" w14:textId="77777777" w:rsidR="004146AA" w:rsidRPr="00034B44" w:rsidRDefault="004146AA"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4146AA" w:rsidRPr="00034B44" w:rsidRDefault="004146AA"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4146AA" w:rsidRPr="00034B44" w:rsidRDefault="004146AA"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A740" w14:textId="2DCFE8AA" w:rsidR="004146AA" w:rsidRDefault="00205760">
    <w:pPr>
      <w:pStyle w:val="Encabezado"/>
    </w:pPr>
    <w:r>
      <w:rPr>
        <w:noProof/>
      </w:rPr>
      <w:pict w14:anchorId="1C1D7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797"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2A2BF66" w:rsidR="004146AA" w:rsidRDefault="00205760">
    <w:pPr>
      <w:pStyle w:val="Encabezado"/>
    </w:pPr>
    <w:r>
      <w:rPr>
        <w:noProof/>
      </w:rPr>
      <w:pict w14:anchorId="28957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798" o:spid="_x0000_s2051" type="#_x0000_t75" style="position:absolute;margin-left:-82.8pt;margin-top:-136.9pt;width:609.4pt;height:793.75pt;z-index:-251656192;mso-position-horizontal-relative:margin;mso-position-vertical-relative:margin" o:allowincell="f">
          <v:imagedata r:id="rId1" o:title="hoja de resolución"/>
          <w10:wrap anchorx="margin" anchory="margin"/>
        </v:shape>
      </w:pict>
    </w:r>
    <w:r w:rsidR="004146AA">
      <w:tab/>
    </w:r>
    <w:r w:rsidR="004146AA">
      <w:tab/>
    </w:r>
  </w:p>
  <w:p w14:paraId="64F5F23E" w14:textId="390690E5" w:rsidR="004146AA" w:rsidRDefault="004146AA">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146AA" w:rsidRPr="00E1705A" w14:paraId="07F2896E" w14:textId="77777777" w:rsidTr="0095485F">
      <w:trPr>
        <w:trHeight w:val="138"/>
      </w:trPr>
      <w:tc>
        <w:tcPr>
          <w:tcW w:w="2552" w:type="dxa"/>
          <w:vAlign w:val="center"/>
        </w:tcPr>
        <w:p w14:paraId="4A5B1974" w14:textId="77777777" w:rsidR="004146AA" w:rsidRPr="00E1705A" w:rsidRDefault="004146AA"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BC02E96" w:rsidR="004146AA" w:rsidRPr="00E1705A" w:rsidRDefault="004146AA" w:rsidP="009573B2">
          <w:pPr>
            <w:pStyle w:val="Encabezado"/>
            <w:rPr>
              <w:rFonts w:ascii="Palatino Linotype" w:hAnsi="Palatino Linotype"/>
              <w:b/>
              <w:sz w:val="22"/>
              <w:szCs w:val="22"/>
            </w:rPr>
          </w:pPr>
          <w:r>
            <w:rPr>
              <w:rFonts w:ascii="Palatino Linotype" w:hAnsi="Palatino Linotype" w:cs="Arial"/>
              <w:b/>
              <w:bCs/>
              <w:sz w:val="22"/>
              <w:szCs w:val="22"/>
              <w:lang w:eastAsia="es-MX"/>
            </w:rPr>
            <w:t>00538/INFOEM/IP/RR/2020</w:t>
          </w:r>
        </w:p>
      </w:tc>
    </w:tr>
    <w:tr w:rsidR="004146AA" w:rsidRPr="00E1705A" w14:paraId="095EB01B" w14:textId="77777777" w:rsidTr="0095485F">
      <w:trPr>
        <w:trHeight w:val="321"/>
      </w:trPr>
      <w:tc>
        <w:tcPr>
          <w:tcW w:w="2552" w:type="dxa"/>
          <w:vAlign w:val="center"/>
        </w:tcPr>
        <w:p w14:paraId="6E000A51" w14:textId="4DA3E277" w:rsidR="004146AA" w:rsidRPr="00E1705A" w:rsidRDefault="004146AA"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58F9B4A8" w:rsidR="004146AA" w:rsidRPr="00E1705A" w:rsidRDefault="004146AA" w:rsidP="001149E4">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4146AA" w:rsidRPr="00E1705A" w14:paraId="14F3CE0D" w14:textId="77777777" w:rsidTr="0095485F">
      <w:trPr>
        <w:trHeight w:val="321"/>
      </w:trPr>
      <w:tc>
        <w:tcPr>
          <w:tcW w:w="2552" w:type="dxa"/>
          <w:vAlign w:val="center"/>
        </w:tcPr>
        <w:p w14:paraId="12248485" w14:textId="2D643AEB" w:rsidR="004146AA" w:rsidRPr="00E1705A" w:rsidRDefault="004146AA"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4146AA" w:rsidRPr="00E1705A" w:rsidRDefault="004146AA"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4146AA" w:rsidRDefault="004146AA" w:rsidP="005873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7BE3C729" w:rsidR="004146AA" w:rsidRDefault="00205760" w:rsidP="000B5D79">
    <w:pPr>
      <w:pStyle w:val="Encabezado"/>
      <w:tabs>
        <w:tab w:val="clear" w:pos="4252"/>
        <w:tab w:val="clear" w:pos="8504"/>
        <w:tab w:val="left" w:pos="3103"/>
      </w:tabs>
    </w:pPr>
    <w:r>
      <w:rPr>
        <w:noProof/>
      </w:rPr>
      <w:pict w14:anchorId="6C5C5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796"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4146AA">
      <w:tab/>
    </w:r>
    <w:r w:rsidR="004146AA">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4146AA" w:rsidRPr="00182113" w14:paraId="665387B4" w14:textId="77777777" w:rsidTr="0095485F">
      <w:trPr>
        <w:trHeight w:val="138"/>
      </w:trPr>
      <w:tc>
        <w:tcPr>
          <w:tcW w:w="2551" w:type="dxa"/>
          <w:vAlign w:val="center"/>
        </w:tcPr>
        <w:p w14:paraId="01509DD6" w14:textId="77777777" w:rsidR="004146AA" w:rsidRPr="005B118B" w:rsidRDefault="004146AA"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E13A967" w:rsidR="004146AA" w:rsidRPr="005B118B" w:rsidRDefault="004146AA" w:rsidP="00CC360E">
          <w:pPr>
            <w:pStyle w:val="Encabezado"/>
            <w:rPr>
              <w:rFonts w:ascii="Palatino Linotype" w:hAnsi="Palatino Linotype"/>
              <w:b/>
              <w:sz w:val="22"/>
              <w:szCs w:val="22"/>
            </w:rPr>
          </w:pPr>
          <w:r>
            <w:rPr>
              <w:rFonts w:ascii="Palatino Linotype" w:hAnsi="Palatino Linotype" w:cs="Arial"/>
              <w:b/>
              <w:bCs/>
              <w:sz w:val="22"/>
              <w:szCs w:val="22"/>
              <w:lang w:eastAsia="es-MX"/>
            </w:rPr>
            <w:t>00538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/2020</w:t>
          </w:r>
        </w:p>
      </w:tc>
    </w:tr>
    <w:tr w:rsidR="004146AA" w:rsidRPr="00205760" w14:paraId="78C9F2F4" w14:textId="77777777" w:rsidTr="0095485F">
      <w:trPr>
        <w:trHeight w:val="227"/>
      </w:trPr>
      <w:tc>
        <w:tcPr>
          <w:tcW w:w="2551" w:type="dxa"/>
          <w:vAlign w:val="center"/>
        </w:tcPr>
        <w:p w14:paraId="2D89FED3" w14:textId="77777777" w:rsidR="004146AA" w:rsidRPr="005B118B" w:rsidRDefault="004146AA"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8503226" w:rsidR="004146AA" w:rsidRPr="00205760" w:rsidRDefault="00205760" w:rsidP="00920A0E">
          <w:pPr>
            <w:pStyle w:val="Encabezado"/>
            <w:rPr>
              <w:rFonts w:ascii="Palatino Linotype" w:hAnsi="Palatino Linotype"/>
              <w:b/>
              <w:sz w:val="22"/>
              <w:szCs w:val="22"/>
              <w:highlight w:val="black"/>
            </w:rPr>
          </w:pPr>
          <w:r w:rsidRPr="00205760">
            <w:rPr>
              <w:rFonts w:ascii="Palatino Linotype" w:hAnsi="Palatino Linotype"/>
              <w:b/>
              <w:sz w:val="22"/>
              <w:szCs w:val="22"/>
              <w:highlight w:val="black"/>
            </w:rPr>
            <w:t>----------------------------------------------------------------------------------------------</w:t>
          </w:r>
        </w:p>
      </w:tc>
    </w:tr>
    <w:tr w:rsidR="004146AA" w:rsidRPr="00182113" w14:paraId="1A862673" w14:textId="77777777" w:rsidTr="0095485F">
      <w:trPr>
        <w:trHeight w:val="232"/>
      </w:trPr>
      <w:tc>
        <w:tcPr>
          <w:tcW w:w="2551" w:type="dxa"/>
          <w:vAlign w:val="center"/>
        </w:tcPr>
        <w:p w14:paraId="767A6F60" w14:textId="77777777" w:rsidR="004146AA" w:rsidRPr="005B118B" w:rsidRDefault="004146AA"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1E6DD662" w:rsidR="004146AA" w:rsidRPr="005B118B" w:rsidRDefault="004146AA" w:rsidP="00FB1F4A">
          <w:pPr>
            <w:pStyle w:val="Encabezado"/>
            <w:rPr>
              <w:rFonts w:ascii="Palatino Linotype" w:hAnsi="Palatino Linotype"/>
              <w:b/>
              <w:sz w:val="22"/>
              <w:szCs w:val="22"/>
            </w:rPr>
          </w:pPr>
          <w:r>
            <w:rPr>
              <w:rFonts w:ascii="Palatino Linotype" w:hAnsi="Palatino Linotype"/>
              <w:b/>
              <w:sz w:val="22"/>
              <w:szCs w:val="22"/>
            </w:rPr>
            <w:t xml:space="preserve">Ayuntamiento de Atizapán de Zaragoza </w:t>
          </w:r>
        </w:p>
      </w:tc>
    </w:tr>
    <w:tr w:rsidR="004146AA" w:rsidRPr="00182113" w14:paraId="4416531B" w14:textId="77777777" w:rsidTr="0095485F">
      <w:trPr>
        <w:trHeight w:val="320"/>
      </w:trPr>
      <w:tc>
        <w:tcPr>
          <w:tcW w:w="2551" w:type="dxa"/>
          <w:vAlign w:val="center"/>
        </w:tcPr>
        <w:p w14:paraId="277DD3E2" w14:textId="77777777" w:rsidR="004146AA" w:rsidRPr="005B118B" w:rsidRDefault="004146AA"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4146AA" w:rsidRPr="005B118B" w:rsidRDefault="004146AA"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4146AA" w:rsidRDefault="004146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720F"/>
    <w:multiLevelType w:val="hybridMultilevel"/>
    <w:tmpl w:val="A4106F26"/>
    <w:lvl w:ilvl="0" w:tplc="0394BE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65A0E"/>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8F54F38"/>
    <w:multiLevelType w:val="hybridMultilevel"/>
    <w:tmpl w:val="B51C751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0C6A6DA9"/>
    <w:multiLevelType w:val="hybridMultilevel"/>
    <w:tmpl w:val="8C2A93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3" w15:restartNumberingAfterBreak="0">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583504"/>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C9C3830"/>
    <w:multiLevelType w:val="hybridMultilevel"/>
    <w:tmpl w:val="A0DE029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C1C2F"/>
    <w:multiLevelType w:val="hybridMultilevel"/>
    <w:tmpl w:val="5DBA3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5" w15:restartNumberingAfterBreak="0">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E00AD7"/>
    <w:multiLevelType w:val="hybridMultilevel"/>
    <w:tmpl w:val="5D6699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0" w15:restartNumberingAfterBreak="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3C7984"/>
    <w:multiLevelType w:val="hybridMultilevel"/>
    <w:tmpl w:val="3B9C52C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34" w15:restartNumberingAfterBreak="0">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B0515D"/>
    <w:multiLevelType w:val="hybridMultilevel"/>
    <w:tmpl w:val="202E02EC"/>
    <w:lvl w:ilvl="0" w:tplc="3F88AEA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900F76"/>
    <w:multiLevelType w:val="hybridMultilevel"/>
    <w:tmpl w:val="1D7EA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2819CA"/>
    <w:multiLevelType w:val="hybridMultilevel"/>
    <w:tmpl w:val="03F2B6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38"/>
  </w:num>
  <w:num w:numId="3">
    <w:abstractNumId w:val="29"/>
  </w:num>
  <w:num w:numId="4">
    <w:abstractNumId w:val="10"/>
  </w:num>
  <w:num w:numId="5">
    <w:abstractNumId w:val="40"/>
  </w:num>
  <w:num w:numId="6">
    <w:abstractNumId w:val="22"/>
  </w:num>
  <w:num w:numId="7">
    <w:abstractNumId w:val="24"/>
  </w:num>
  <w:num w:numId="8">
    <w:abstractNumId w:val="20"/>
  </w:num>
  <w:num w:numId="9">
    <w:abstractNumId w:val="18"/>
  </w:num>
  <w:num w:numId="10">
    <w:abstractNumId w:val="36"/>
  </w:num>
  <w:num w:numId="11">
    <w:abstractNumId w:val="34"/>
  </w:num>
  <w:num w:numId="12">
    <w:abstractNumId w:val="35"/>
  </w:num>
  <w:num w:numId="13">
    <w:abstractNumId w:val="30"/>
  </w:num>
  <w:num w:numId="14">
    <w:abstractNumId w:val="48"/>
  </w:num>
  <w:num w:numId="15">
    <w:abstractNumId w:val="37"/>
  </w:num>
  <w:num w:numId="16">
    <w:abstractNumId w:val="43"/>
  </w:num>
  <w:num w:numId="17">
    <w:abstractNumId w:val="12"/>
  </w:num>
  <w:num w:numId="18">
    <w:abstractNumId w:val="44"/>
  </w:num>
  <w:num w:numId="19">
    <w:abstractNumId w:val="8"/>
  </w:num>
  <w:num w:numId="20">
    <w:abstractNumId w:val="19"/>
  </w:num>
  <w:num w:numId="21">
    <w:abstractNumId w:val="27"/>
  </w:num>
  <w:num w:numId="22">
    <w:abstractNumId w:val="25"/>
  </w:num>
  <w:num w:numId="23">
    <w:abstractNumId w:val="45"/>
  </w:num>
  <w:num w:numId="24">
    <w:abstractNumId w:val="42"/>
  </w:num>
  <w:num w:numId="25">
    <w:abstractNumId w:val="32"/>
  </w:num>
  <w:num w:numId="26">
    <w:abstractNumId w:val="6"/>
  </w:num>
  <w:num w:numId="27">
    <w:abstractNumId w:val="3"/>
  </w:num>
  <w:num w:numId="28">
    <w:abstractNumId w:val="16"/>
  </w:num>
  <w:num w:numId="29">
    <w:abstractNumId w:val="26"/>
  </w:num>
  <w:num w:numId="30">
    <w:abstractNumId w:val="21"/>
  </w:num>
  <w:num w:numId="31">
    <w:abstractNumId w:val="33"/>
  </w:num>
  <w:num w:numId="32">
    <w:abstractNumId w:val="11"/>
  </w:num>
  <w:num w:numId="33">
    <w:abstractNumId w:val="5"/>
  </w:num>
  <w:num w:numId="34">
    <w:abstractNumId w:val="13"/>
  </w:num>
  <w:num w:numId="35">
    <w:abstractNumId w:val="17"/>
  </w:num>
  <w:num w:numId="36">
    <w:abstractNumId w:val="1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8"/>
  </w:num>
  <w:num w:numId="40">
    <w:abstractNumId w:val="7"/>
  </w:num>
  <w:num w:numId="41">
    <w:abstractNumId w:val="4"/>
  </w:num>
  <w:num w:numId="42">
    <w:abstractNumId w:val="47"/>
  </w:num>
  <w:num w:numId="43">
    <w:abstractNumId w:val="23"/>
  </w:num>
  <w:num w:numId="44">
    <w:abstractNumId w:val="1"/>
  </w:num>
  <w:num w:numId="45">
    <w:abstractNumId w:val="46"/>
  </w:num>
  <w:num w:numId="46">
    <w:abstractNumId w:val="41"/>
  </w:num>
  <w:num w:numId="47">
    <w:abstractNumId w:val="9"/>
  </w:num>
  <w:num w:numId="48">
    <w:abstractNumId w:val="14"/>
  </w:num>
  <w:num w:numId="49">
    <w:abstractNumId w:val="0"/>
  </w:num>
  <w:num w:numId="50">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08"/>
  <w:hyphenationZone w:val="425"/>
  <w:characterSpacingControl w:val="doNotCompress"/>
  <w:hdrShapeDefaults>
    <o:shapedefaults v:ext="edit" spidmax="2052">
      <o:colormru v:ext="edit" colors="#4ab2d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37543"/>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270"/>
    <w:rsid w:val="000568A9"/>
    <w:rsid w:val="00056A79"/>
    <w:rsid w:val="00061041"/>
    <w:rsid w:val="00064A1E"/>
    <w:rsid w:val="00064B95"/>
    <w:rsid w:val="000660E0"/>
    <w:rsid w:val="000702DD"/>
    <w:rsid w:val="00071E0B"/>
    <w:rsid w:val="00073BB0"/>
    <w:rsid w:val="00077450"/>
    <w:rsid w:val="0007788B"/>
    <w:rsid w:val="000800AC"/>
    <w:rsid w:val="00081F53"/>
    <w:rsid w:val="00082F9E"/>
    <w:rsid w:val="00083944"/>
    <w:rsid w:val="0008542A"/>
    <w:rsid w:val="000903E3"/>
    <w:rsid w:val="0009065C"/>
    <w:rsid w:val="00090A45"/>
    <w:rsid w:val="00093278"/>
    <w:rsid w:val="0009482B"/>
    <w:rsid w:val="000957B6"/>
    <w:rsid w:val="00096045"/>
    <w:rsid w:val="000A0262"/>
    <w:rsid w:val="000A2F40"/>
    <w:rsid w:val="000A357C"/>
    <w:rsid w:val="000A487A"/>
    <w:rsid w:val="000A5750"/>
    <w:rsid w:val="000A77ED"/>
    <w:rsid w:val="000B146E"/>
    <w:rsid w:val="000B1620"/>
    <w:rsid w:val="000B2479"/>
    <w:rsid w:val="000B301D"/>
    <w:rsid w:val="000B5050"/>
    <w:rsid w:val="000B5063"/>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4D26"/>
    <w:rsid w:val="000E5B59"/>
    <w:rsid w:val="000E7EC3"/>
    <w:rsid w:val="000F287A"/>
    <w:rsid w:val="000F52A3"/>
    <w:rsid w:val="000F7A7E"/>
    <w:rsid w:val="0010128D"/>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4DC7"/>
    <w:rsid w:val="00155908"/>
    <w:rsid w:val="00155C09"/>
    <w:rsid w:val="00156030"/>
    <w:rsid w:val="0015793E"/>
    <w:rsid w:val="00163093"/>
    <w:rsid w:val="001648EE"/>
    <w:rsid w:val="00164B65"/>
    <w:rsid w:val="0016562F"/>
    <w:rsid w:val="00166794"/>
    <w:rsid w:val="001703B9"/>
    <w:rsid w:val="0017229A"/>
    <w:rsid w:val="00175A64"/>
    <w:rsid w:val="001775DF"/>
    <w:rsid w:val="00180865"/>
    <w:rsid w:val="00181280"/>
    <w:rsid w:val="00182D35"/>
    <w:rsid w:val="00183835"/>
    <w:rsid w:val="00187D0F"/>
    <w:rsid w:val="0019030C"/>
    <w:rsid w:val="001912C3"/>
    <w:rsid w:val="001917EA"/>
    <w:rsid w:val="00191B48"/>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3026"/>
    <w:rsid w:val="001D4579"/>
    <w:rsid w:val="001D5ECE"/>
    <w:rsid w:val="001D722A"/>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0A6"/>
    <w:rsid w:val="001F575A"/>
    <w:rsid w:val="00201125"/>
    <w:rsid w:val="002011A5"/>
    <w:rsid w:val="002031F3"/>
    <w:rsid w:val="00203CEB"/>
    <w:rsid w:val="002048A8"/>
    <w:rsid w:val="00205760"/>
    <w:rsid w:val="00207D18"/>
    <w:rsid w:val="002109A1"/>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0DB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46C5"/>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94F"/>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3CBF"/>
    <w:rsid w:val="0034560B"/>
    <w:rsid w:val="00345D0F"/>
    <w:rsid w:val="00346B67"/>
    <w:rsid w:val="003472B3"/>
    <w:rsid w:val="003477AE"/>
    <w:rsid w:val="00347C10"/>
    <w:rsid w:val="00350DEA"/>
    <w:rsid w:val="00352C98"/>
    <w:rsid w:val="0035346E"/>
    <w:rsid w:val="003553FE"/>
    <w:rsid w:val="003567ED"/>
    <w:rsid w:val="0036073F"/>
    <w:rsid w:val="003646B1"/>
    <w:rsid w:val="00365830"/>
    <w:rsid w:val="00365ABF"/>
    <w:rsid w:val="00365D3E"/>
    <w:rsid w:val="0036610C"/>
    <w:rsid w:val="0037183E"/>
    <w:rsid w:val="003721B2"/>
    <w:rsid w:val="00376390"/>
    <w:rsid w:val="00376637"/>
    <w:rsid w:val="00376A81"/>
    <w:rsid w:val="003775AD"/>
    <w:rsid w:val="0038031D"/>
    <w:rsid w:val="00380B78"/>
    <w:rsid w:val="00381879"/>
    <w:rsid w:val="003854DE"/>
    <w:rsid w:val="00386B04"/>
    <w:rsid w:val="00386EC7"/>
    <w:rsid w:val="00387DC9"/>
    <w:rsid w:val="00392426"/>
    <w:rsid w:val="00393B71"/>
    <w:rsid w:val="003A2CC3"/>
    <w:rsid w:val="003A39ED"/>
    <w:rsid w:val="003A3A8E"/>
    <w:rsid w:val="003A44DA"/>
    <w:rsid w:val="003A6A5A"/>
    <w:rsid w:val="003A6BAD"/>
    <w:rsid w:val="003B08F2"/>
    <w:rsid w:val="003B55AD"/>
    <w:rsid w:val="003B5DA2"/>
    <w:rsid w:val="003B67FD"/>
    <w:rsid w:val="003B6F7B"/>
    <w:rsid w:val="003B7F49"/>
    <w:rsid w:val="003C3DCD"/>
    <w:rsid w:val="003C5056"/>
    <w:rsid w:val="003C7282"/>
    <w:rsid w:val="003D3371"/>
    <w:rsid w:val="003D364F"/>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6AA"/>
    <w:rsid w:val="00414ADE"/>
    <w:rsid w:val="004152AD"/>
    <w:rsid w:val="00415AD1"/>
    <w:rsid w:val="0041697B"/>
    <w:rsid w:val="00416CD2"/>
    <w:rsid w:val="0042068A"/>
    <w:rsid w:val="00421EB2"/>
    <w:rsid w:val="0042285F"/>
    <w:rsid w:val="00422A6E"/>
    <w:rsid w:val="0042363B"/>
    <w:rsid w:val="004239B3"/>
    <w:rsid w:val="00424EEA"/>
    <w:rsid w:val="00425423"/>
    <w:rsid w:val="00426092"/>
    <w:rsid w:val="00426D7C"/>
    <w:rsid w:val="004279B4"/>
    <w:rsid w:val="00430202"/>
    <w:rsid w:val="004304C0"/>
    <w:rsid w:val="00431E4E"/>
    <w:rsid w:val="00432B72"/>
    <w:rsid w:val="00433016"/>
    <w:rsid w:val="004342F1"/>
    <w:rsid w:val="00434EB9"/>
    <w:rsid w:val="0043690E"/>
    <w:rsid w:val="00436DA3"/>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659E3"/>
    <w:rsid w:val="0047025A"/>
    <w:rsid w:val="00470830"/>
    <w:rsid w:val="00471AA4"/>
    <w:rsid w:val="00472177"/>
    <w:rsid w:val="00473924"/>
    <w:rsid w:val="0047461F"/>
    <w:rsid w:val="00474A9F"/>
    <w:rsid w:val="0047722C"/>
    <w:rsid w:val="00477646"/>
    <w:rsid w:val="004816D3"/>
    <w:rsid w:val="00481921"/>
    <w:rsid w:val="00481A7B"/>
    <w:rsid w:val="00481BE5"/>
    <w:rsid w:val="00481E3F"/>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464"/>
    <w:rsid w:val="004A57C5"/>
    <w:rsid w:val="004A5F59"/>
    <w:rsid w:val="004A6BCE"/>
    <w:rsid w:val="004B1405"/>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297"/>
    <w:rsid w:val="004D78A7"/>
    <w:rsid w:val="004D7E02"/>
    <w:rsid w:val="004E1AAF"/>
    <w:rsid w:val="004E34F7"/>
    <w:rsid w:val="004E5180"/>
    <w:rsid w:val="004F028B"/>
    <w:rsid w:val="004F180C"/>
    <w:rsid w:val="004F41BB"/>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3D44"/>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46E5"/>
    <w:rsid w:val="005A5003"/>
    <w:rsid w:val="005B118B"/>
    <w:rsid w:val="005B15EB"/>
    <w:rsid w:val="005B34CA"/>
    <w:rsid w:val="005B6696"/>
    <w:rsid w:val="005B7C5D"/>
    <w:rsid w:val="005C1A74"/>
    <w:rsid w:val="005C3294"/>
    <w:rsid w:val="005C3EA6"/>
    <w:rsid w:val="005C459D"/>
    <w:rsid w:val="005C6A1B"/>
    <w:rsid w:val="005C6F55"/>
    <w:rsid w:val="005C7E0D"/>
    <w:rsid w:val="005D02E7"/>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AAA"/>
    <w:rsid w:val="00662C69"/>
    <w:rsid w:val="00664C1C"/>
    <w:rsid w:val="006668DC"/>
    <w:rsid w:val="00667A80"/>
    <w:rsid w:val="00672268"/>
    <w:rsid w:val="00673A73"/>
    <w:rsid w:val="00683948"/>
    <w:rsid w:val="00683DBE"/>
    <w:rsid w:val="00684855"/>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5F14"/>
    <w:rsid w:val="006F619D"/>
    <w:rsid w:val="006F66D1"/>
    <w:rsid w:val="006F7CA6"/>
    <w:rsid w:val="00700EAB"/>
    <w:rsid w:val="00702E2D"/>
    <w:rsid w:val="00703374"/>
    <w:rsid w:val="00703672"/>
    <w:rsid w:val="00703A62"/>
    <w:rsid w:val="00703D40"/>
    <w:rsid w:val="00703EE5"/>
    <w:rsid w:val="00704381"/>
    <w:rsid w:val="00704712"/>
    <w:rsid w:val="007066C5"/>
    <w:rsid w:val="00707096"/>
    <w:rsid w:val="00711B2B"/>
    <w:rsid w:val="00711F33"/>
    <w:rsid w:val="00715428"/>
    <w:rsid w:val="007175A3"/>
    <w:rsid w:val="0071789F"/>
    <w:rsid w:val="00717DA9"/>
    <w:rsid w:val="00721F66"/>
    <w:rsid w:val="00722530"/>
    <w:rsid w:val="00723019"/>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BA6"/>
    <w:rsid w:val="00765665"/>
    <w:rsid w:val="00772077"/>
    <w:rsid w:val="00772773"/>
    <w:rsid w:val="00774DFD"/>
    <w:rsid w:val="00776AF5"/>
    <w:rsid w:val="00777013"/>
    <w:rsid w:val="00777A1A"/>
    <w:rsid w:val="00783650"/>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25F5"/>
    <w:rsid w:val="007D6C08"/>
    <w:rsid w:val="007D703F"/>
    <w:rsid w:val="007D709E"/>
    <w:rsid w:val="007D7EF3"/>
    <w:rsid w:val="007E30E1"/>
    <w:rsid w:val="007E417F"/>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1102"/>
    <w:rsid w:val="00812291"/>
    <w:rsid w:val="00812E2C"/>
    <w:rsid w:val="008167F5"/>
    <w:rsid w:val="00820091"/>
    <w:rsid w:val="008200A3"/>
    <w:rsid w:val="00820561"/>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80639"/>
    <w:rsid w:val="008820AA"/>
    <w:rsid w:val="00883450"/>
    <w:rsid w:val="008847C8"/>
    <w:rsid w:val="0088655E"/>
    <w:rsid w:val="008927AE"/>
    <w:rsid w:val="00892D91"/>
    <w:rsid w:val="00893753"/>
    <w:rsid w:val="0089659C"/>
    <w:rsid w:val="00896BB3"/>
    <w:rsid w:val="008972CA"/>
    <w:rsid w:val="008976CF"/>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B58DB"/>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5310"/>
    <w:rsid w:val="008D7A0A"/>
    <w:rsid w:val="008E11CC"/>
    <w:rsid w:val="008E1DB3"/>
    <w:rsid w:val="008E241C"/>
    <w:rsid w:val="008E2CD4"/>
    <w:rsid w:val="008E40FB"/>
    <w:rsid w:val="008E79C6"/>
    <w:rsid w:val="008F0782"/>
    <w:rsid w:val="008F114A"/>
    <w:rsid w:val="008F12E6"/>
    <w:rsid w:val="008F1759"/>
    <w:rsid w:val="008F22E9"/>
    <w:rsid w:val="008F24A0"/>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0A0E"/>
    <w:rsid w:val="00930A12"/>
    <w:rsid w:val="009316E9"/>
    <w:rsid w:val="00931874"/>
    <w:rsid w:val="0093243C"/>
    <w:rsid w:val="00935384"/>
    <w:rsid w:val="00940E57"/>
    <w:rsid w:val="00941409"/>
    <w:rsid w:val="00942DB3"/>
    <w:rsid w:val="0094362A"/>
    <w:rsid w:val="00945309"/>
    <w:rsid w:val="00951D15"/>
    <w:rsid w:val="00953E8D"/>
    <w:rsid w:val="0095485F"/>
    <w:rsid w:val="0095513F"/>
    <w:rsid w:val="00955339"/>
    <w:rsid w:val="009563A5"/>
    <w:rsid w:val="009573B2"/>
    <w:rsid w:val="00957509"/>
    <w:rsid w:val="009606E6"/>
    <w:rsid w:val="00962F40"/>
    <w:rsid w:val="00965C4A"/>
    <w:rsid w:val="009703CF"/>
    <w:rsid w:val="00970F42"/>
    <w:rsid w:val="00972668"/>
    <w:rsid w:val="009727B4"/>
    <w:rsid w:val="0097281C"/>
    <w:rsid w:val="00975145"/>
    <w:rsid w:val="009756E9"/>
    <w:rsid w:val="00975C87"/>
    <w:rsid w:val="00975E7A"/>
    <w:rsid w:val="00975EBD"/>
    <w:rsid w:val="0098253C"/>
    <w:rsid w:val="00982B0A"/>
    <w:rsid w:val="00982F3B"/>
    <w:rsid w:val="00985E23"/>
    <w:rsid w:val="009864F1"/>
    <w:rsid w:val="00992F53"/>
    <w:rsid w:val="009942EC"/>
    <w:rsid w:val="00994D80"/>
    <w:rsid w:val="009974ED"/>
    <w:rsid w:val="0099752D"/>
    <w:rsid w:val="009A101D"/>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3101"/>
    <w:rsid w:val="009E37D5"/>
    <w:rsid w:val="009E4942"/>
    <w:rsid w:val="009E6B37"/>
    <w:rsid w:val="009E71F2"/>
    <w:rsid w:val="009F40D4"/>
    <w:rsid w:val="009F50DE"/>
    <w:rsid w:val="009F6BE1"/>
    <w:rsid w:val="009F728F"/>
    <w:rsid w:val="009F74EB"/>
    <w:rsid w:val="009F7BB0"/>
    <w:rsid w:val="00A05CF7"/>
    <w:rsid w:val="00A07D84"/>
    <w:rsid w:val="00A11AF8"/>
    <w:rsid w:val="00A12D58"/>
    <w:rsid w:val="00A13811"/>
    <w:rsid w:val="00A14ECC"/>
    <w:rsid w:val="00A23406"/>
    <w:rsid w:val="00A235D0"/>
    <w:rsid w:val="00A247D7"/>
    <w:rsid w:val="00A26007"/>
    <w:rsid w:val="00A2603D"/>
    <w:rsid w:val="00A274EA"/>
    <w:rsid w:val="00A30433"/>
    <w:rsid w:val="00A3221A"/>
    <w:rsid w:val="00A3276A"/>
    <w:rsid w:val="00A32F9D"/>
    <w:rsid w:val="00A3367B"/>
    <w:rsid w:val="00A349D2"/>
    <w:rsid w:val="00A369C4"/>
    <w:rsid w:val="00A37F67"/>
    <w:rsid w:val="00A462D5"/>
    <w:rsid w:val="00A463AD"/>
    <w:rsid w:val="00A46653"/>
    <w:rsid w:val="00A518CE"/>
    <w:rsid w:val="00A5309D"/>
    <w:rsid w:val="00A55FF4"/>
    <w:rsid w:val="00A562CE"/>
    <w:rsid w:val="00A56536"/>
    <w:rsid w:val="00A572BC"/>
    <w:rsid w:val="00A575AA"/>
    <w:rsid w:val="00A62D42"/>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31B4"/>
    <w:rsid w:val="00AE47F9"/>
    <w:rsid w:val="00AE550B"/>
    <w:rsid w:val="00AE7FC4"/>
    <w:rsid w:val="00AF1F04"/>
    <w:rsid w:val="00AF4C3E"/>
    <w:rsid w:val="00AF6DF1"/>
    <w:rsid w:val="00AF6E5C"/>
    <w:rsid w:val="00AF7C72"/>
    <w:rsid w:val="00B00B11"/>
    <w:rsid w:val="00B016F7"/>
    <w:rsid w:val="00B01906"/>
    <w:rsid w:val="00B055B9"/>
    <w:rsid w:val="00B05EA0"/>
    <w:rsid w:val="00B0770C"/>
    <w:rsid w:val="00B1018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65CA"/>
    <w:rsid w:val="00B27596"/>
    <w:rsid w:val="00B27B61"/>
    <w:rsid w:val="00B27F82"/>
    <w:rsid w:val="00B30C9E"/>
    <w:rsid w:val="00B312C7"/>
    <w:rsid w:val="00B3242C"/>
    <w:rsid w:val="00B324A3"/>
    <w:rsid w:val="00B335B9"/>
    <w:rsid w:val="00B436D6"/>
    <w:rsid w:val="00B44916"/>
    <w:rsid w:val="00B44CF8"/>
    <w:rsid w:val="00B50B84"/>
    <w:rsid w:val="00B53A6E"/>
    <w:rsid w:val="00B53BC4"/>
    <w:rsid w:val="00B540CE"/>
    <w:rsid w:val="00B54A5F"/>
    <w:rsid w:val="00B55388"/>
    <w:rsid w:val="00B560C1"/>
    <w:rsid w:val="00B5631A"/>
    <w:rsid w:val="00B56599"/>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1E29"/>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A78CF"/>
    <w:rsid w:val="00BB1153"/>
    <w:rsid w:val="00BB3156"/>
    <w:rsid w:val="00BB3227"/>
    <w:rsid w:val="00BB4943"/>
    <w:rsid w:val="00BB5111"/>
    <w:rsid w:val="00BB6662"/>
    <w:rsid w:val="00BB7BCB"/>
    <w:rsid w:val="00BC01AB"/>
    <w:rsid w:val="00BC10E6"/>
    <w:rsid w:val="00BC3150"/>
    <w:rsid w:val="00BC3A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60B5"/>
    <w:rsid w:val="00C274ED"/>
    <w:rsid w:val="00C3172F"/>
    <w:rsid w:val="00C33D74"/>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347D"/>
    <w:rsid w:val="00C65B57"/>
    <w:rsid w:val="00C743ED"/>
    <w:rsid w:val="00C75816"/>
    <w:rsid w:val="00C75E4D"/>
    <w:rsid w:val="00C80A90"/>
    <w:rsid w:val="00C820CB"/>
    <w:rsid w:val="00C850BE"/>
    <w:rsid w:val="00C85551"/>
    <w:rsid w:val="00C86AC8"/>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1CC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7610E"/>
    <w:rsid w:val="00D76796"/>
    <w:rsid w:val="00D778B0"/>
    <w:rsid w:val="00D83C17"/>
    <w:rsid w:val="00D8568B"/>
    <w:rsid w:val="00D85885"/>
    <w:rsid w:val="00D875C7"/>
    <w:rsid w:val="00D87652"/>
    <w:rsid w:val="00D914F5"/>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FC7"/>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6764E"/>
    <w:rsid w:val="00E7098A"/>
    <w:rsid w:val="00E71D6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B33"/>
    <w:rsid w:val="00EC6F13"/>
    <w:rsid w:val="00EC7352"/>
    <w:rsid w:val="00ED03E6"/>
    <w:rsid w:val="00ED3ABA"/>
    <w:rsid w:val="00ED7B32"/>
    <w:rsid w:val="00EE0E06"/>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32C6"/>
    <w:rsid w:val="00F251A9"/>
    <w:rsid w:val="00F25BAE"/>
    <w:rsid w:val="00F2649C"/>
    <w:rsid w:val="00F2706D"/>
    <w:rsid w:val="00F27C1E"/>
    <w:rsid w:val="00F32BDB"/>
    <w:rsid w:val="00F37CFE"/>
    <w:rsid w:val="00F416C5"/>
    <w:rsid w:val="00F4344A"/>
    <w:rsid w:val="00F445F3"/>
    <w:rsid w:val="00F45B7A"/>
    <w:rsid w:val="00F46AE7"/>
    <w:rsid w:val="00F47D3F"/>
    <w:rsid w:val="00F56DBA"/>
    <w:rsid w:val="00F5720B"/>
    <w:rsid w:val="00F574EA"/>
    <w:rsid w:val="00F57C6E"/>
    <w:rsid w:val="00F60655"/>
    <w:rsid w:val="00F60C62"/>
    <w:rsid w:val="00F66361"/>
    <w:rsid w:val="00F67946"/>
    <w:rsid w:val="00F71B09"/>
    <w:rsid w:val="00F71C0C"/>
    <w:rsid w:val="00F721D8"/>
    <w:rsid w:val="00F7228F"/>
    <w:rsid w:val="00F72F45"/>
    <w:rsid w:val="00F73266"/>
    <w:rsid w:val="00F739E9"/>
    <w:rsid w:val="00F77CE3"/>
    <w:rsid w:val="00F835ED"/>
    <w:rsid w:val="00F84541"/>
    <w:rsid w:val="00F84995"/>
    <w:rsid w:val="00F85237"/>
    <w:rsid w:val="00F85279"/>
    <w:rsid w:val="00F85F15"/>
    <w:rsid w:val="00F86E56"/>
    <w:rsid w:val="00F86F7A"/>
    <w:rsid w:val="00F87655"/>
    <w:rsid w:val="00F9000A"/>
    <w:rsid w:val="00F91F42"/>
    <w:rsid w:val="00F925F9"/>
    <w:rsid w:val="00F92D06"/>
    <w:rsid w:val="00F931D5"/>
    <w:rsid w:val="00F93ED4"/>
    <w:rsid w:val="00F95148"/>
    <w:rsid w:val="00F95464"/>
    <w:rsid w:val="00F97D82"/>
    <w:rsid w:val="00FA0EE3"/>
    <w:rsid w:val="00FA1C3F"/>
    <w:rsid w:val="00FA21B1"/>
    <w:rsid w:val="00FA2B03"/>
    <w:rsid w:val="00FA2FD2"/>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1C5F"/>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7B"/>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3B6F7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B05EA0"/>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99"/>
    <w:rsid w:val="00B05E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00974099">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47280053">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971521985">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669099">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050482">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37783072">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2014694">
      <w:bodyDiv w:val="1"/>
      <w:marLeft w:val="0"/>
      <w:marRight w:val="0"/>
      <w:marTop w:val="0"/>
      <w:marBottom w:val="0"/>
      <w:divBdr>
        <w:top w:val="none" w:sz="0" w:space="0" w:color="auto"/>
        <w:left w:val="none" w:sz="0" w:space="0" w:color="auto"/>
        <w:bottom w:val="none" w:sz="0" w:space="0" w:color="auto"/>
        <w:right w:val="none" w:sz="0" w:space="0" w:color="auto"/>
      </w:divBdr>
    </w:div>
    <w:div w:id="1813060539">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4910376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068457794">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6177.page" TargetMode="External"/><Relationship Id="rId13" Type="http://schemas.openxmlformats.org/officeDocument/2006/relationships/hyperlink" Target="https://legislacion.vlex.com.mx/vid/constitucion-politica-unidos-mexicanos-4257867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erechos_civiles_y_pol%C3%ADtic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857824.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51887.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ndh.org.mx/sites/all/doc/cartillas/2015-2016/34-Principios-universalidad.pdf"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FFDD-60A6-46EB-A1D3-07162222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12349</Words>
  <Characters>67921</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2020-08-17T17:08:00Z</cp:lastPrinted>
  <dcterms:created xsi:type="dcterms:W3CDTF">2020-08-17T17:06:00Z</dcterms:created>
  <dcterms:modified xsi:type="dcterms:W3CDTF">2020-09-08T23:30:00Z</dcterms:modified>
</cp:coreProperties>
</file>