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1D6EAAD7"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F253AA">
        <w:rPr>
          <w:rFonts w:ascii="Palatino Linotype" w:hAnsi="Palatino Linotype"/>
          <w:sz w:val="24"/>
          <w:szCs w:val="24"/>
          <w:lang w:eastAsia="es-MX"/>
        </w:rPr>
        <w:t>once de noviembre de</w:t>
      </w:r>
      <w:r w:rsidR="00F253AA" w:rsidRPr="00C35F18">
        <w:rPr>
          <w:rFonts w:ascii="Palatino Linotype" w:hAnsi="Palatino Linotype"/>
          <w:sz w:val="24"/>
          <w:szCs w:val="24"/>
          <w:lang w:eastAsia="es-MX"/>
        </w:rPr>
        <w:t xml:space="preserve"> dos mil </w:t>
      </w:r>
      <w:r w:rsidR="00F253AA">
        <w:rPr>
          <w:rFonts w:ascii="Palatino Linotype" w:hAnsi="Palatino Linotype"/>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2569784B"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530C20">
        <w:rPr>
          <w:rFonts w:ascii="Palatino Linotype" w:hAnsi="Palatino Linotype" w:cs="Arial"/>
          <w:b/>
          <w:bCs/>
          <w:sz w:val="24"/>
          <w:lang w:eastAsia="es-MX"/>
        </w:rPr>
        <w:t>0357</w:t>
      </w:r>
      <w:r w:rsidR="002D7560">
        <w:rPr>
          <w:rFonts w:ascii="Palatino Linotype" w:hAnsi="Palatino Linotype" w:cs="Arial"/>
          <w:b/>
          <w:bCs/>
          <w:sz w:val="24"/>
          <w:lang w:eastAsia="es-MX"/>
        </w:rPr>
        <w:t>5</w:t>
      </w:r>
      <w:r w:rsidR="002B18DA" w:rsidRPr="002B18DA">
        <w:rPr>
          <w:rFonts w:ascii="Palatino Linotype" w:hAnsi="Palatino Linotype" w:cs="Arial"/>
          <w:b/>
          <w:bCs/>
          <w:sz w:val="24"/>
          <w:lang w:eastAsia="es-MX"/>
        </w:rPr>
        <w:t>/INFOEM/IP/RR/2020</w:t>
      </w:r>
      <w:r w:rsidRPr="00584718">
        <w:rPr>
          <w:rFonts w:ascii="Palatino Linotype" w:hAnsi="Palatino Linotype" w:cs="Arial"/>
          <w:sz w:val="24"/>
        </w:rPr>
        <w:t xml:space="preserve">, </w:t>
      </w:r>
      <w:r w:rsidRPr="00584718">
        <w:rPr>
          <w:rFonts w:ascii="Palatino Linotype" w:hAnsi="Palatino Linotype" w:cs="Arial"/>
          <w:sz w:val="24"/>
          <w:szCs w:val="24"/>
        </w:rPr>
        <w:t>interpuesto por</w:t>
      </w:r>
      <w:r w:rsidR="002B18DA">
        <w:rPr>
          <w:rFonts w:ascii="Palatino Linotype" w:hAnsi="Palatino Linotype" w:cs="Arial"/>
          <w:sz w:val="24"/>
          <w:szCs w:val="24"/>
        </w:rPr>
        <w:t xml:space="preserve"> el </w:t>
      </w:r>
      <w:r w:rsidR="002B18DA" w:rsidRPr="002B18DA">
        <w:rPr>
          <w:rFonts w:ascii="Palatino Linotype" w:hAnsi="Palatino Linotype" w:cs="Arial"/>
          <w:b/>
          <w:sz w:val="24"/>
          <w:szCs w:val="24"/>
        </w:rPr>
        <w:t>C.</w:t>
      </w:r>
      <w:r w:rsidRPr="002B18DA">
        <w:rPr>
          <w:rFonts w:ascii="Palatino Linotype" w:hAnsi="Palatino Linotype" w:cs="Arial"/>
          <w:b/>
          <w:sz w:val="24"/>
          <w:szCs w:val="24"/>
        </w:rPr>
        <w:t xml:space="preserve"> </w:t>
      </w:r>
      <w:r w:rsidR="00300C7C">
        <w:rPr>
          <w:rFonts w:ascii="Palatino Linotype" w:hAnsi="Palatino Linotype" w:cs="Arial"/>
          <w:b/>
        </w:rPr>
        <w:t>xxxxxxxxxxxxxxxxxx</w:t>
      </w:r>
      <w:bookmarkStart w:id="0" w:name="_GoBack"/>
      <w:bookmarkEnd w:id="0"/>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0B5E4D" w:rsidRPr="000B5E4D">
        <w:rPr>
          <w:rFonts w:ascii="Palatino Linotype" w:hAnsi="Palatino Linotype" w:cs="Arial"/>
          <w:b/>
          <w:sz w:val="24"/>
          <w:szCs w:val="24"/>
        </w:rPr>
        <w:t xml:space="preserve">Ayuntamiento de </w:t>
      </w:r>
      <w:r w:rsidR="002D7560">
        <w:rPr>
          <w:rFonts w:ascii="Palatino Linotype" w:hAnsi="Palatino Linotype" w:cs="Arial"/>
          <w:b/>
          <w:sz w:val="24"/>
          <w:szCs w:val="24"/>
        </w:rPr>
        <w:t>Morelos</w:t>
      </w:r>
      <w:r w:rsidR="00866FC6">
        <w:rPr>
          <w:rFonts w:ascii="Palatino Linotype" w:hAnsi="Palatino Linotype" w:cs="Arial"/>
          <w:b/>
          <w:sz w:val="24"/>
          <w:szCs w:val="24"/>
        </w:rPr>
        <w:t>,</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1849BFAC"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530C20">
        <w:rPr>
          <w:rFonts w:ascii="Palatino Linotype" w:hAnsi="Palatino Linotype" w:cs="Arial"/>
          <w:sz w:val="24"/>
        </w:rPr>
        <w:t>nueve de agosto</w:t>
      </w:r>
      <w:r w:rsidR="002B18DA">
        <w:rPr>
          <w:rFonts w:ascii="Palatino Linotype" w:hAnsi="Palatino Linotype" w:cs="Arial"/>
          <w:sz w:val="24"/>
        </w:rPr>
        <w:t xml:space="preserve"> de dos mil 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w:t>
      </w:r>
      <w:proofErr w:type="gramStart"/>
      <w:r w:rsidR="0035578B" w:rsidRPr="00584718">
        <w:rPr>
          <w:rFonts w:ascii="Palatino Linotype" w:hAnsi="Palatino Linotype" w:cs="Arial"/>
          <w:sz w:val="24"/>
        </w:rPr>
        <w:t>acceso</w:t>
      </w:r>
      <w:proofErr w:type="gramEnd"/>
      <w:r w:rsidR="0035578B" w:rsidRPr="00584718">
        <w:rPr>
          <w:rFonts w:ascii="Palatino Linotype" w:hAnsi="Palatino Linotype" w:cs="Arial"/>
          <w:sz w:val="24"/>
        </w:rPr>
        <w:t xml:space="preserve"> a la información pública, registrada bajo el número de expediente </w:t>
      </w:r>
      <w:r w:rsidR="00166AE4" w:rsidRPr="00166AE4">
        <w:rPr>
          <w:rFonts w:ascii="Palatino Linotype" w:hAnsi="Palatino Linotype" w:cs="Arial"/>
          <w:b/>
          <w:sz w:val="24"/>
        </w:rPr>
        <w:t>00040/MORELOS/IP/2020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77777777" w:rsidR="000510FC" w:rsidRPr="00415FD8" w:rsidRDefault="000510FC" w:rsidP="00166AE4">
      <w:pPr>
        <w:pStyle w:val="Sinespaciado"/>
      </w:pPr>
    </w:p>
    <w:p w14:paraId="4396A7F9" w14:textId="252F6302" w:rsidR="00C10D63" w:rsidRDefault="000B5E4D" w:rsidP="002B18DA">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00E27E28" w:rsidRPr="00E27E28">
        <w:rPr>
          <w:rFonts w:ascii="Palatino Linotype" w:eastAsia="Times New Roman" w:hAnsi="Palatino Linotype" w:cs="Times New Roman"/>
          <w:i/>
          <w:lang w:val="es-ES_tradnl" w:eastAsia="es-ES"/>
        </w:rPr>
        <w:t xml:space="preserve">solicito los RECIBOS DE NOMINA de la primera quincena de enero 2019 a la primer quincena de junio 2020 en formato </w:t>
      </w:r>
      <w:proofErr w:type="spellStart"/>
      <w:r w:rsidR="00E27E28" w:rsidRPr="00E27E28">
        <w:rPr>
          <w:rFonts w:ascii="Palatino Linotype" w:eastAsia="Times New Roman" w:hAnsi="Palatino Linotype" w:cs="Times New Roman"/>
          <w:i/>
          <w:lang w:val="es-ES_tradnl" w:eastAsia="es-ES"/>
        </w:rPr>
        <w:t>pdf</w:t>
      </w:r>
      <w:proofErr w:type="spellEnd"/>
      <w:r w:rsidR="00E27E28" w:rsidRPr="00E27E28">
        <w:rPr>
          <w:rFonts w:ascii="Palatino Linotype" w:eastAsia="Times New Roman" w:hAnsi="Palatino Linotype" w:cs="Times New Roman"/>
          <w:i/>
          <w:lang w:val="es-ES_tradnl" w:eastAsia="es-ES"/>
        </w:rPr>
        <w:t xml:space="preserve"> abierto</w:t>
      </w:r>
      <w:r w:rsidR="00E27E28">
        <w:rPr>
          <w:rFonts w:ascii="Palatino Linotype" w:eastAsia="Times New Roman" w:hAnsi="Palatino Linotype" w:cs="Times New Roman"/>
          <w:i/>
          <w:lang w:val="es-ES_tradnl" w:eastAsia="es-ES"/>
        </w:rPr>
        <w:t>”</w:t>
      </w:r>
      <w:r w:rsidR="00530C20" w:rsidRPr="00530C20">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496F173C" w14:textId="77777777" w:rsidR="002B18DA" w:rsidRPr="002B18DA" w:rsidRDefault="002B18DA" w:rsidP="002B18DA">
      <w:pPr>
        <w:spacing w:after="0" w:line="360" w:lineRule="auto"/>
        <w:ind w:left="851" w:right="851"/>
        <w:jc w:val="both"/>
        <w:rPr>
          <w:rFonts w:ascii="Palatino Linotype" w:eastAsia="Times New Roman" w:hAnsi="Palatino Linotype" w:cs="Times New Roman"/>
          <w:b/>
          <w:i/>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371200" w14:textId="77777777" w:rsidR="00962F8F" w:rsidRDefault="00962F8F" w:rsidP="00415FD8">
      <w:pPr>
        <w:spacing w:after="0" w:line="360" w:lineRule="auto"/>
        <w:jc w:val="both"/>
        <w:rPr>
          <w:rFonts w:ascii="Palatino Linotype" w:hAnsi="Palatino Linotype" w:cs="Arial"/>
          <w:b/>
          <w:sz w:val="28"/>
        </w:rPr>
      </w:pPr>
    </w:p>
    <w:p w14:paraId="430884E7" w14:textId="77777777" w:rsidR="00530C20" w:rsidRDefault="00530C20"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45DB3136"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36561C2A" w14:textId="699B50E0" w:rsidR="00415FD8" w:rsidRPr="00584718" w:rsidRDefault="00256400" w:rsidP="00415FD8">
      <w:pPr>
        <w:pStyle w:val="Sinespaciado"/>
      </w:pPr>
      <w:r w:rsidRPr="00256400">
        <w:rPr>
          <w:noProof/>
          <w:lang w:eastAsia="es-MX"/>
        </w:rPr>
        <w:t xml:space="preserve"> </w:t>
      </w:r>
    </w:p>
    <w:p w14:paraId="63254B74" w14:textId="04FBCB59" w:rsidR="0035578B" w:rsidRDefault="0035578B" w:rsidP="00415FD8">
      <w:pPr>
        <w:pStyle w:val="Sinespaciado"/>
        <w:rPr>
          <w:rFonts w:ascii="Palatino Linotype" w:eastAsiaTheme="minorHAnsi" w:hAnsi="Palatino Linotype" w:cs="Arial"/>
          <w:noProof/>
          <w:lang w:eastAsia="es-MX"/>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2F09A4AB" w14:textId="40E3C16F" w:rsidR="005F0EA1"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A20003">
        <w:rPr>
          <w:rFonts w:ascii="Palatino Linotype" w:hAnsi="Palatino Linotype" w:cs="Arial"/>
          <w:sz w:val="24"/>
          <w:szCs w:val="24"/>
        </w:rPr>
        <w:t>dos de septiembre de dos mil veinte</w:t>
      </w:r>
      <w:r w:rsidR="0035578B" w:rsidRPr="00584718">
        <w:rPr>
          <w:rFonts w:ascii="Palatino Linotype" w:hAnsi="Palatino Linotype" w:cs="Arial"/>
          <w:sz w:val="24"/>
          <w:szCs w:val="24"/>
        </w:rPr>
        <w:t xml:space="preserve">, el cual fue registrado con el expediente número </w:t>
      </w:r>
      <w:r w:rsidR="00A20003" w:rsidRPr="00A20003">
        <w:rPr>
          <w:rFonts w:ascii="Palatino Linotype" w:hAnsi="Palatino Linotype" w:cs="Arial"/>
          <w:b/>
          <w:sz w:val="24"/>
          <w:szCs w:val="24"/>
        </w:rPr>
        <w:t>03570/INFOEM/IP/RR/2020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2F6474D9"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247A7F" w:rsidRPr="00247A7F">
        <w:rPr>
          <w:rFonts w:ascii="Palatino Linotype" w:hAnsi="Palatino Linotype" w:cs="Arial"/>
          <w:i/>
          <w:sz w:val="24"/>
        </w:rPr>
        <w:t xml:space="preserve">solicito los RECIBOS DE NOMINA de la primera quincena de enero 2019 a la primer quincena de junio 2020 en formato </w:t>
      </w:r>
      <w:proofErr w:type="spellStart"/>
      <w:r w:rsidR="00247A7F" w:rsidRPr="00247A7F">
        <w:rPr>
          <w:rFonts w:ascii="Palatino Linotype" w:hAnsi="Palatino Linotype" w:cs="Arial"/>
          <w:i/>
          <w:sz w:val="24"/>
        </w:rPr>
        <w:t>pdf</w:t>
      </w:r>
      <w:proofErr w:type="spellEnd"/>
      <w:r w:rsidR="00247A7F" w:rsidRPr="00247A7F">
        <w:rPr>
          <w:rFonts w:ascii="Palatino Linotype" w:hAnsi="Palatino Linotype" w:cs="Arial"/>
          <w:i/>
          <w:sz w:val="24"/>
        </w:rPr>
        <w:t xml:space="preserve"> abierto</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24ABD044"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247A7F" w:rsidRPr="00247A7F">
        <w:rPr>
          <w:rFonts w:ascii="Palatino Linotype" w:hAnsi="Palatino Linotype"/>
          <w:i/>
          <w:color w:val="000000"/>
          <w:sz w:val="24"/>
        </w:rPr>
        <w:t>ya paso el tiempo para la entrega de la información y no hay respuesta a la solicitud de información</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7616B2CD"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A20003">
        <w:rPr>
          <w:rFonts w:ascii="Palatino Linotype" w:hAnsi="Palatino Linotype" w:cs="Arial"/>
          <w:sz w:val="24"/>
          <w:szCs w:val="24"/>
        </w:rPr>
        <w:t>ocho de septiembre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w:t>
      </w:r>
      <w:r w:rsidR="000510FC">
        <w:rPr>
          <w:rFonts w:ascii="Palatino Linotype" w:hAnsi="Palatino Linotype" w:cs="Arial"/>
          <w:sz w:val="24"/>
          <w:szCs w:val="24"/>
        </w:rPr>
        <w:lastRenderedPageBreak/>
        <w:t xml:space="preserve">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9C31DF"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306874">
        <w:rPr>
          <w:rFonts w:ascii="Palatino Linotype" w:hAnsi="Palatino Linotype" w:cs="Arial"/>
          <w:sz w:val="24"/>
          <w:szCs w:val="24"/>
        </w:rPr>
        <w:t xml:space="preserve">no </w:t>
      </w:r>
      <w:r w:rsidR="00A20003">
        <w:rPr>
          <w:rFonts w:ascii="Palatino Linotype" w:hAnsi="Palatino Linotype" w:cs="Arial"/>
          <w:sz w:val="24"/>
          <w:szCs w:val="24"/>
        </w:rPr>
        <w:t>presento</w:t>
      </w:r>
      <w:r w:rsidR="00AD3BA3" w:rsidRPr="00584718">
        <w:rPr>
          <w:rFonts w:ascii="Palatino Linotype" w:hAnsi="Palatino Linotype" w:cs="Arial"/>
          <w:sz w:val="24"/>
          <w:szCs w:val="24"/>
        </w:rPr>
        <w:t xml:space="preserve"> su inf</w:t>
      </w:r>
      <w:r w:rsidR="00A20003">
        <w:rPr>
          <w:rFonts w:ascii="Palatino Linotype" w:hAnsi="Palatino Linotype" w:cs="Arial"/>
          <w:sz w:val="24"/>
          <w:szCs w:val="24"/>
        </w:rPr>
        <w:t>orme justificado; por su parte</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4ED820C5"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4E3190">
        <w:rPr>
          <w:rFonts w:ascii="Palatino Linotype" w:hAnsi="Palatino Linotype" w:cs="Arial"/>
          <w:sz w:val="24"/>
          <w:szCs w:val="24"/>
        </w:rPr>
        <w:t>veintiséis de octubre</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932FEBE" w14:textId="77777777" w:rsidR="00247A7F" w:rsidRDefault="00247A7F" w:rsidP="00415FD8">
      <w:pPr>
        <w:spacing w:after="0" w:line="360" w:lineRule="auto"/>
        <w:jc w:val="both"/>
        <w:rPr>
          <w:rFonts w:ascii="Palatino Linotype" w:hAnsi="Palatino Linotype" w:cs="Arial"/>
          <w:sz w:val="24"/>
          <w:szCs w:val="24"/>
        </w:rPr>
      </w:pPr>
    </w:p>
    <w:p w14:paraId="74C51A56" w14:textId="77777777" w:rsidR="00247A7F" w:rsidRPr="009414EB" w:rsidRDefault="00247A7F" w:rsidP="00247A7F">
      <w:pPr>
        <w:spacing w:after="0" w:line="360" w:lineRule="auto"/>
        <w:jc w:val="both"/>
        <w:rPr>
          <w:rFonts w:ascii="Palatino Linotype" w:hAnsi="Palatino Linotype" w:cs="Arial"/>
          <w:b/>
          <w:sz w:val="28"/>
          <w:szCs w:val="28"/>
        </w:rPr>
      </w:pPr>
      <w:r w:rsidRPr="009414EB">
        <w:rPr>
          <w:rFonts w:ascii="Palatino Linotype" w:hAnsi="Palatino Linotype" w:cs="Arial"/>
          <w:b/>
          <w:sz w:val="28"/>
          <w:szCs w:val="28"/>
        </w:rPr>
        <w:t>SÉPTIMO. De la ampliación del término para resolver.</w:t>
      </w:r>
    </w:p>
    <w:p w14:paraId="04636923" w14:textId="05069E11" w:rsidR="00247A7F" w:rsidRDefault="00247A7F" w:rsidP="00247A7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5E3215">
        <w:rPr>
          <w:rFonts w:ascii="Palatino Linotype" w:hAnsi="Palatino Linotype" w:cs="Arial"/>
          <w:sz w:val="24"/>
          <w:szCs w:val="24"/>
        </w:rPr>
        <w:t>veintinueve de octubre</w:t>
      </w:r>
      <w:r>
        <w:rPr>
          <w:rFonts w:ascii="Palatino Linotype" w:hAnsi="Palatino Linotype" w:cs="Arial"/>
          <w:sz w:val="24"/>
          <w:szCs w:val="24"/>
        </w:rPr>
        <w:t xml:space="preserve"> de dos mil veinte, se amplió el término para resolver el recurso de revisión en términos del artículo 181 párrafo tercero de la Ley de Transparencia y Acceso a la Información Pública del Estado de México y Municipios por un plazo de quince días hábiles.</w:t>
      </w:r>
    </w:p>
    <w:p w14:paraId="60CF4EC1" w14:textId="77777777" w:rsidR="00247A7F" w:rsidRDefault="00247A7F" w:rsidP="00247A7F">
      <w:pPr>
        <w:spacing w:after="0" w:line="360" w:lineRule="auto"/>
        <w:jc w:val="both"/>
        <w:rPr>
          <w:rFonts w:ascii="Palatino Linotype" w:hAnsi="Palatino Linotype" w:cs="Arial"/>
          <w:sz w:val="24"/>
          <w:szCs w:val="24"/>
        </w:rPr>
      </w:pPr>
    </w:p>
    <w:p w14:paraId="546DFEE1" w14:textId="77777777" w:rsidR="004E3190" w:rsidRDefault="004E3190" w:rsidP="00415FD8">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05B58AF"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087FAF">
        <w:rPr>
          <w:rFonts w:ascii="Palatino Linotype" w:hAnsi="Palatino Linotype" w:cs="Arial"/>
          <w:sz w:val="24"/>
        </w:rPr>
        <w:t>, 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1AA259B" w14:textId="77777777" w:rsidR="002378FC" w:rsidRPr="00584718" w:rsidRDefault="002378FC"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584718">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54EEC394" w14:textId="1EE9704E" w:rsidR="008A5A24" w:rsidRPr="0059011D" w:rsidRDefault="00907575" w:rsidP="0059011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3835CDDF" w14:textId="77777777" w:rsidR="00A92D65" w:rsidRDefault="00A92D65" w:rsidP="00A92D65">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14:paraId="0327B790" w14:textId="77777777" w:rsidR="00A92D65" w:rsidRPr="004F59FF" w:rsidRDefault="00A92D65" w:rsidP="00A92D65">
      <w:pPr>
        <w:pStyle w:val="Sinespaciado"/>
        <w:jc w:val="both"/>
        <w:rPr>
          <w:rFonts w:ascii="Palatino Linotype" w:hAnsi="Palatino Linotype"/>
          <w:b/>
          <w:sz w:val="14"/>
          <w:szCs w:val="26"/>
          <w:lang w:val="es-ES"/>
        </w:rPr>
      </w:pPr>
    </w:p>
    <w:p w14:paraId="25B9B0BC" w14:textId="77777777" w:rsidR="00A92D65" w:rsidRPr="00890DBD" w:rsidRDefault="00A92D65" w:rsidP="00A92D65">
      <w:pPr>
        <w:pStyle w:val="Sinespaciado"/>
        <w:spacing w:line="360" w:lineRule="auto"/>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FBDD039" w14:textId="77777777" w:rsidR="00A92D65" w:rsidRPr="00890DBD" w:rsidRDefault="00A92D65" w:rsidP="00A92D65">
      <w:pPr>
        <w:pStyle w:val="Sinespaciado"/>
        <w:rPr>
          <w:rFonts w:ascii="Palatino Linotype" w:hAnsi="Palatino Linotype"/>
        </w:rPr>
      </w:pPr>
    </w:p>
    <w:p w14:paraId="0FEA06D5"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2014D0FA"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14:paraId="59A1D81E"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30ECD3D0"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14:paraId="08868F09"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2D29EFC9"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14:paraId="3CE0CF9B"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14:paraId="17894221"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07BAB725"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2110C10A"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1ACA51C2"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5EAF50FF"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06C33875" w14:textId="77777777" w:rsidR="00A92D65" w:rsidRDefault="00A92D65" w:rsidP="00A92D65">
      <w:pPr>
        <w:pStyle w:val="Sinespaciado"/>
        <w:jc w:val="both"/>
        <w:rPr>
          <w:rFonts w:ascii="Palatino Linotype" w:hAnsi="Palatino Linotype"/>
          <w:b/>
          <w:i/>
          <w:lang w:val="es-ES"/>
        </w:rPr>
      </w:pPr>
      <w:r w:rsidRPr="00890DBD">
        <w:rPr>
          <w:rFonts w:ascii="Palatino Linotype" w:hAnsi="Palatino Linotype"/>
          <w:b/>
          <w:i/>
          <w:lang w:val="es-ES"/>
        </w:rPr>
        <w:t>[Énfasis añadido]</w:t>
      </w:r>
    </w:p>
    <w:p w14:paraId="054E6EDF" w14:textId="77777777" w:rsidR="00A92D65" w:rsidRDefault="00A92D65" w:rsidP="00A92D65">
      <w:pPr>
        <w:pStyle w:val="Sinespaciado"/>
        <w:jc w:val="both"/>
        <w:rPr>
          <w:rFonts w:ascii="Palatino Linotype" w:hAnsi="Palatino Linotype"/>
          <w:b/>
          <w:i/>
          <w:lang w:val="es-ES"/>
        </w:rPr>
      </w:pPr>
    </w:p>
    <w:p w14:paraId="0A59909D" w14:textId="77777777" w:rsidR="00A92D65" w:rsidRPr="00263F52" w:rsidRDefault="00A92D65" w:rsidP="00A92D65">
      <w:pPr>
        <w:pStyle w:val="Sinespaciado"/>
        <w:jc w:val="both"/>
        <w:rPr>
          <w:rFonts w:ascii="Palatino Linotype" w:hAnsi="Palatino Linotype"/>
          <w:b/>
          <w:lang w:val="es-ES"/>
        </w:rPr>
      </w:pPr>
    </w:p>
    <w:p w14:paraId="44FCFAFE" w14:textId="290D7BAD" w:rsidR="00A92D65" w:rsidRDefault="00A92D65" w:rsidP="00A92D65">
      <w:pPr>
        <w:autoSpaceDE w:val="0"/>
        <w:autoSpaceDN w:val="0"/>
        <w:adjustRightInd w:val="0"/>
        <w:spacing w:after="0" w:line="360" w:lineRule="auto"/>
        <w:jc w:val="both"/>
        <w:rPr>
          <w:rFonts w:ascii="Palatino Linotype" w:hAnsi="Palatino Linotype" w:cs="Arial"/>
          <w:b/>
          <w:sz w:val="28"/>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w:t>
      </w:r>
      <w:r w:rsidRPr="00890DBD">
        <w:rPr>
          <w:rFonts w:ascii="Palatino Linotype" w:hAnsi="Palatino Linotype"/>
          <w:sz w:val="24"/>
          <w:szCs w:val="24"/>
        </w:rPr>
        <w:lastRenderedPageBreak/>
        <w:t>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89A4002" w:rsidR="002813C0" w:rsidRPr="00161CEB" w:rsidRDefault="00A92D65"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lastRenderedPageBreak/>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398FA4E2" w:rsidR="00D51568" w:rsidRPr="00584718" w:rsidRDefault="00A92D65"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lastRenderedPageBreak/>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Default="0000428F"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w:t>
      </w:r>
      <w:r w:rsidRPr="00584718">
        <w:rPr>
          <w:rFonts w:ascii="Palatino Linotype" w:hAnsi="Palatino Linotype"/>
          <w:lang w:eastAsia="es-MX"/>
        </w:rPr>
        <w:lastRenderedPageBreak/>
        <w:t xml:space="preserve">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2746F36F" w14:textId="77777777" w:rsidR="002B18DA" w:rsidRDefault="002B18DA"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8763E82" w14:textId="77777777" w:rsidR="00AC7C92" w:rsidRDefault="00AC7C92"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01ACC8" w14:textId="694E607A" w:rsidR="00DE24A4" w:rsidRDefault="00DE24A4" w:rsidP="00B1246B">
      <w:pPr>
        <w:autoSpaceDE w:val="0"/>
        <w:autoSpaceDN w:val="0"/>
        <w:adjustRightInd w:val="0"/>
        <w:spacing w:after="0"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Pr>
          <w:rFonts w:ascii="Palatino Linotype" w:hAnsi="Palatino Linotype"/>
          <w:sz w:val="24"/>
          <w:szCs w:val="24"/>
        </w:rPr>
        <w:t>determinar</w:t>
      </w:r>
      <w:r w:rsidRPr="00823454">
        <w:rPr>
          <w:rFonts w:ascii="Palatino Linotype" w:hAnsi="Palatino Linotype"/>
          <w:sz w:val="24"/>
          <w:szCs w:val="24"/>
        </w:rPr>
        <w:t xml:space="preserve"> que</w:t>
      </w:r>
      <w:r>
        <w:rPr>
          <w:rFonts w:ascii="Palatino Linotype" w:hAnsi="Palatino Linotype"/>
          <w:sz w:val="24"/>
          <w:szCs w:val="24"/>
        </w:rPr>
        <w:t xml:space="preserve"> el hoy Recurrente requirió lo siguiente:</w:t>
      </w:r>
    </w:p>
    <w:p w14:paraId="0529FCC2" w14:textId="77777777" w:rsidR="00DE24A4" w:rsidRDefault="00DE24A4" w:rsidP="00B1246B">
      <w:pPr>
        <w:autoSpaceDE w:val="0"/>
        <w:autoSpaceDN w:val="0"/>
        <w:adjustRightInd w:val="0"/>
        <w:spacing w:after="0" w:line="360" w:lineRule="auto"/>
        <w:jc w:val="both"/>
        <w:rPr>
          <w:rFonts w:ascii="Palatino Linotype" w:hAnsi="Palatino Linotype"/>
          <w:sz w:val="24"/>
          <w:szCs w:val="24"/>
        </w:rPr>
      </w:pPr>
    </w:p>
    <w:p w14:paraId="4B48F31E" w14:textId="67830E98" w:rsidR="00AC7C92" w:rsidRPr="00183210" w:rsidRDefault="00183210" w:rsidP="00183210">
      <w:pPr>
        <w:pStyle w:val="Prrafodelista"/>
        <w:numPr>
          <w:ilvl w:val="0"/>
          <w:numId w:val="6"/>
        </w:numPr>
        <w:autoSpaceDE w:val="0"/>
        <w:autoSpaceDN w:val="0"/>
        <w:adjustRightInd w:val="0"/>
        <w:spacing w:line="360" w:lineRule="auto"/>
        <w:jc w:val="both"/>
        <w:rPr>
          <w:rFonts w:ascii="Palatino Linotype" w:hAnsi="Palatino Linotype" w:cs="Arial"/>
        </w:rPr>
      </w:pPr>
      <w:r w:rsidRPr="00183210">
        <w:rPr>
          <w:rFonts w:ascii="Palatino Linotype" w:hAnsi="Palatino Linotype" w:cs="Arial"/>
        </w:rPr>
        <w:lastRenderedPageBreak/>
        <w:t xml:space="preserve">Recibos de nómina de la primera quincena de enero 2019 a la </w:t>
      </w:r>
      <w:proofErr w:type="gramStart"/>
      <w:r w:rsidRPr="00183210">
        <w:rPr>
          <w:rFonts w:ascii="Palatino Linotype" w:hAnsi="Palatino Linotype" w:cs="Arial"/>
        </w:rPr>
        <w:t>primer</w:t>
      </w:r>
      <w:proofErr w:type="gramEnd"/>
      <w:r w:rsidRPr="00183210">
        <w:rPr>
          <w:rFonts w:ascii="Palatino Linotype" w:hAnsi="Palatino Linotype" w:cs="Arial"/>
        </w:rPr>
        <w:t xml:space="preserve"> quincena de junio 2020 en formato </w:t>
      </w:r>
      <w:proofErr w:type="spellStart"/>
      <w:r w:rsidRPr="00183210">
        <w:rPr>
          <w:rFonts w:ascii="Palatino Linotype" w:hAnsi="Palatino Linotype" w:cs="Arial"/>
        </w:rPr>
        <w:t>pdf</w:t>
      </w:r>
      <w:proofErr w:type="spellEnd"/>
      <w:r w:rsidRPr="00183210">
        <w:rPr>
          <w:rFonts w:ascii="Palatino Linotype" w:hAnsi="Palatino Linotype" w:cs="Arial"/>
        </w:rPr>
        <w:t xml:space="preserve"> abierto. </w:t>
      </w:r>
    </w:p>
    <w:p w14:paraId="49EBEFEA" w14:textId="77777777" w:rsidR="00183210" w:rsidRDefault="00183210"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1F9A303" w14:textId="5EF8C265" w:rsidR="00547FF1" w:rsidRPr="00811D16" w:rsidRDefault="00547FF1" w:rsidP="00547FF1">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los </w:t>
      </w:r>
      <w:r w:rsidRPr="00811D16">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0EF4FED" w14:textId="77777777" w:rsidR="00547FF1" w:rsidRPr="00811D16" w:rsidRDefault="00547FF1" w:rsidP="00547FF1">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57DA2CE3" w14:textId="77777777" w:rsidR="00547FF1" w:rsidRPr="00F975C8" w:rsidRDefault="00547FF1" w:rsidP="00547FF1">
      <w:pPr>
        <w:spacing w:line="360" w:lineRule="auto"/>
        <w:jc w:val="both"/>
        <w:rPr>
          <w:rFonts w:ascii="Palatino Linotype" w:hAnsi="Palatino Linotype" w:cs="Arial"/>
          <w:i/>
          <w:lang w:val="es-ES"/>
        </w:rPr>
      </w:pPr>
    </w:p>
    <w:p w14:paraId="67F8DF9F" w14:textId="77777777" w:rsidR="00547FF1" w:rsidRPr="005E4EB4" w:rsidRDefault="00547FF1" w:rsidP="00547FF1">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51A7CAD3" w14:textId="77777777" w:rsidR="00547FF1" w:rsidRPr="00F975C8" w:rsidRDefault="00547FF1" w:rsidP="00547FF1">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lastRenderedPageBreak/>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2D1CE85B" w14:textId="77777777" w:rsidR="00547FF1" w:rsidRPr="00F975C8" w:rsidRDefault="00547FF1" w:rsidP="00547FF1">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90AAD85" w14:textId="77777777" w:rsidR="00547FF1" w:rsidRPr="00F975C8" w:rsidRDefault="00547FF1" w:rsidP="00547FF1">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39AFA594" w14:textId="77777777" w:rsidR="00547FF1" w:rsidRPr="00F975C8" w:rsidRDefault="00547FF1" w:rsidP="00547FF1">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226FE593" w14:textId="77777777" w:rsidR="00547FF1" w:rsidRDefault="00547FF1" w:rsidP="00547FF1">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23111D59" w14:textId="77777777" w:rsidR="00547FF1" w:rsidRPr="005E4EB4" w:rsidRDefault="00547FF1" w:rsidP="00547FF1">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 o nómina,</w:t>
      </w:r>
      <w:r>
        <w:rPr>
          <w:rFonts w:ascii="Palatino Linotype" w:hAnsi="Palatino Linotype" w:cs="Arial"/>
          <w:sz w:val="24"/>
          <w:szCs w:val="24"/>
          <w:lang w:eastAsia="es-MX"/>
        </w:rPr>
        <w:t xml:space="preserve"> así como la nómina general</w:t>
      </w:r>
      <w:r w:rsidRPr="005E4EB4">
        <w:rPr>
          <w:rFonts w:ascii="Palatino Linotype" w:hAnsi="Palatino Linotype" w:cs="Arial"/>
          <w:sz w:val="24"/>
          <w:szCs w:val="24"/>
          <w:lang w:eastAsia="es-MX"/>
        </w:rPr>
        <w:t xml:space="preserve"> consisten en un registro conformado por el conjunto de trabajadores a los cuales se les va a remunerar por los </w:t>
      </w:r>
      <w:hyperlink r:id="rId10"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629F9B1F" w14:textId="77777777" w:rsidR="00547FF1" w:rsidRPr="005E4EB4" w:rsidRDefault="00547FF1" w:rsidP="00547FF1">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tanto </w:t>
      </w:r>
      <w:r>
        <w:rPr>
          <w:rFonts w:ascii="Palatino Linotype" w:hAnsi="Palatino Linotype" w:cs="Arial"/>
          <w:sz w:val="24"/>
          <w:szCs w:val="24"/>
        </w:rPr>
        <w:t xml:space="preserve">la nómina general como </w:t>
      </w:r>
      <w:r w:rsidRPr="005E4EB4">
        <w:rPr>
          <w:rFonts w:ascii="Palatino Linotype" w:hAnsi="Palatino Linotype" w:cs="Arial"/>
          <w:sz w:val="24"/>
          <w:szCs w:val="24"/>
        </w:rPr>
        <w:t>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200EF285" w14:textId="77777777" w:rsidR="00547FF1" w:rsidRPr="005E4EB4" w:rsidRDefault="00547FF1" w:rsidP="00547FF1">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87A8E43" w14:textId="77777777" w:rsidR="00547FF1" w:rsidRPr="00F975C8" w:rsidRDefault="00547FF1" w:rsidP="00547FF1">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0B09827" w14:textId="77777777" w:rsidR="00547FF1" w:rsidRDefault="00547FF1" w:rsidP="00547FF1">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61C9D4BA" w14:textId="77777777" w:rsidR="00547FF1" w:rsidRPr="005E4EB4" w:rsidRDefault="00547FF1" w:rsidP="00547FF1">
      <w:pPr>
        <w:pStyle w:val="Sinespaciado"/>
      </w:pPr>
    </w:p>
    <w:p w14:paraId="16F2C521" w14:textId="77777777" w:rsidR="00547FF1" w:rsidRPr="005E4EB4" w:rsidRDefault="00547FF1" w:rsidP="00547FF1">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7A81497E" w14:textId="77777777" w:rsidR="00547FF1" w:rsidRPr="005E4EB4" w:rsidRDefault="00547FF1" w:rsidP="00547FF1">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4CED640E" w14:textId="77777777" w:rsidR="00547FF1" w:rsidRPr="00F975C8" w:rsidRDefault="00547FF1" w:rsidP="00547FF1">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4A243B89" w14:textId="77777777" w:rsidR="00547FF1" w:rsidRPr="00F975C8" w:rsidRDefault="00547FF1" w:rsidP="00547FF1">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6B0CD76D" w14:textId="77777777" w:rsidR="00547FF1" w:rsidRPr="00F975C8" w:rsidRDefault="00547FF1" w:rsidP="00547FF1">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66B15693" w14:textId="77777777" w:rsidR="00547FF1" w:rsidRPr="00F975C8" w:rsidRDefault="00547FF1" w:rsidP="00547FF1">
      <w:pPr>
        <w:tabs>
          <w:tab w:val="left" w:pos="9072"/>
        </w:tabs>
        <w:spacing w:before="240" w:line="360" w:lineRule="auto"/>
        <w:ind w:left="851" w:right="902"/>
        <w:jc w:val="both"/>
        <w:rPr>
          <w:rFonts w:ascii="Palatino Linotype" w:hAnsi="Palatino Linotype"/>
          <w:bCs/>
          <w:i/>
        </w:rPr>
      </w:pPr>
      <w:r>
        <w:rPr>
          <w:rFonts w:ascii="Palatino Linotype" w:hAnsi="Palatino Linotype"/>
          <w:bCs/>
          <w:i/>
        </w:rPr>
        <w:lastRenderedPageBreak/>
        <w:t>(</w:t>
      </w:r>
      <w:r w:rsidRPr="00F975C8">
        <w:rPr>
          <w:rFonts w:ascii="Palatino Linotype" w:hAnsi="Palatino Linotype"/>
          <w:bCs/>
          <w:i/>
        </w:rPr>
        <w:t>…</w:t>
      </w:r>
      <w:r>
        <w:rPr>
          <w:rFonts w:ascii="Palatino Linotype" w:hAnsi="Palatino Linotype"/>
          <w:bCs/>
          <w:i/>
        </w:rPr>
        <w:t>)</w:t>
      </w:r>
    </w:p>
    <w:p w14:paraId="3C53277C" w14:textId="77777777" w:rsidR="00547FF1" w:rsidRPr="00F975C8" w:rsidRDefault="00547FF1" w:rsidP="00547FF1">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D1E90F8" w14:textId="77777777" w:rsidR="00547FF1" w:rsidRDefault="00547FF1" w:rsidP="00547FF1">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78AC5A86" w14:textId="77777777" w:rsidR="00547FF1" w:rsidRDefault="00547FF1" w:rsidP="00547FF1">
      <w:pPr>
        <w:tabs>
          <w:tab w:val="left" w:pos="9072"/>
        </w:tabs>
        <w:spacing w:before="240" w:line="360" w:lineRule="auto"/>
        <w:ind w:left="851" w:right="902"/>
        <w:jc w:val="both"/>
        <w:rPr>
          <w:rFonts w:ascii="Palatino Linotype" w:hAnsi="Palatino Linotype"/>
          <w:b/>
          <w:bCs/>
          <w:i/>
        </w:rPr>
      </w:pPr>
    </w:p>
    <w:p w14:paraId="0719BE1F" w14:textId="77777777" w:rsidR="00547FF1" w:rsidRPr="007658D5" w:rsidRDefault="00547FF1" w:rsidP="00547FF1">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19F4D0F" w14:textId="77777777" w:rsidR="00547FF1" w:rsidRPr="007658D5" w:rsidRDefault="00547FF1" w:rsidP="00547FF1">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575BE8DA" w14:textId="77777777" w:rsidR="00547FF1" w:rsidRPr="00F975C8" w:rsidRDefault="00547FF1" w:rsidP="00547FF1">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7C00DA12" w14:textId="77777777" w:rsidR="00547FF1" w:rsidRPr="00F975C8" w:rsidRDefault="00547FF1" w:rsidP="00547FF1">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47BAD8E7" w14:textId="77777777" w:rsidR="00547FF1" w:rsidRPr="00F975C8" w:rsidRDefault="00547FF1" w:rsidP="00547FF1">
      <w:pPr>
        <w:numPr>
          <w:ilvl w:val="0"/>
          <w:numId w:val="7"/>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lastRenderedPageBreak/>
        <w:t>Los municipios del Estado de México;</w:t>
      </w:r>
    </w:p>
    <w:p w14:paraId="661FF334" w14:textId="77777777" w:rsidR="00547FF1" w:rsidRPr="007658D5" w:rsidRDefault="00547FF1" w:rsidP="00547FF1">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72C1F132" w14:textId="77777777" w:rsidR="00547FF1" w:rsidRPr="00F975C8" w:rsidRDefault="00547FF1" w:rsidP="00547FF1">
      <w:pPr>
        <w:pStyle w:val="Sinespaciado"/>
        <w:rPr>
          <w:rStyle w:val="apple-style-span"/>
          <w:rFonts w:ascii="Palatino Linotype" w:eastAsia="Calibri" w:hAnsi="Palatino Linotype" w:cs="Arial"/>
          <w:color w:val="000000"/>
        </w:rPr>
      </w:pPr>
    </w:p>
    <w:p w14:paraId="154F0D2B" w14:textId="77777777" w:rsidR="00547FF1" w:rsidRDefault="00547FF1" w:rsidP="00547FF1">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14B8E3CB" w14:textId="77777777" w:rsidR="00547FF1" w:rsidRPr="003E0BC5" w:rsidRDefault="00547FF1" w:rsidP="00547FF1">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1407ACEE" w14:textId="77777777" w:rsidR="00547FF1" w:rsidRPr="00F975C8" w:rsidRDefault="00547FF1" w:rsidP="00547FF1">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0581D332" w14:textId="77777777" w:rsidR="00547FF1" w:rsidRPr="00F975C8" w:rsidRDefault="00547FF1" w:rsidP="00547FF1">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608FE97F" w14:textId="77777777" w:rsidR="00547FF1" w:rsidRPr="00F975C8" w:rsidRDefault="00547FF1" w:rsidP="00547FF1">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0BFDA028" w14:textId="77777777" w:rsidR="00547FF1" w:rsidRDefault="00547FF1" w:rsidP="00547FF1">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1BF5CB0B" w14:textId="77777777" w:rsidR="00547FF1" w:rsidRPr="003E0BC5" w:rsidRDefault="00547FF1" w:rsidP="00547FF1">
      <w:pPr>
        <w:pStyle w:val="Sinespaciado"/>
        <w:rPr>
          <w:rStyle w:val="apple-style-span"/>
          <w:rFonts w:ascii="Palatino Linotype" w:hAnsi="Palatino Linotype" w:cs="Arial"/>
          <w:b/>
          <w:bCs/>
          <w:i/>
          <w:color w:val="000000"/>
        </w:rPr>
      </w:pPr>
    </w:p>
    <w:p w14:paraId="3F7B146D" w14:textId="77777777" w:rsidR="00547FF1" w:rsidRPr="003E0BC5" w:rsidRDefault="00547FF1" w:rsidP="00547FF1">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6FCB729C" w14:textId="77777777" w:rsidR="00547FF1" w:rsidRPr="00F975C8" w:rsidRDefault="00547FF1" w:rsidP="00547FF1">
      <w:pPr>
        <w:pStyle w:val="Sinespaciado"/>
        <w:rPr>
          <w:rFonts w:ascii="Palatino Linotype" w:hAnsi="Palatino Linotype"/>
        </w:rPr>
      </w:pPr>
    </w:p>
    <w:p w14:paraId="6AF8C2C8" w14:textId="77777777" w:rsidR="00547FF1" w:rsidRPr="003E0BC5" w:rsidRDefault="00547FF1" w:rsidP="00547FF1">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w:t>
      </w:r>
      <w:r w:rsidRPr="003E0BC5">
        <w:rPr>
          <w:rFonts w:ascii="Palatino Linotype" w:hAnsi="Palatino Linotype"/>
          <w:sz w:val="24"/>
          <w:szCs w:val="24"/>
        </w:rPr>
        <w:lastRenderedPageBreak/>
        <w:t>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4555316" w14:textId="77777777" w:rsidR="00547FF1" w:rsidRPr="00F975C8" w:rsidRDefault="00547FF1" w:rsidP="00547FF1">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38616A81" w14:textId="77777777" w:rsidR="00547FF1" w:rsidRPr="00A535E3" w:rsidRDefault="00547FF1" w:rsidP="00547FF1">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0C3FA5D7" w14:textId="77777777" w:rsidR="00547FF1" w:rsidRPr="00F975C8" w:rsidRDefault="00547FF1" w:rsidP="00547FF1">
      <w:pPr>
        <w:ind w:left="851" w:right="758"/>
        <w:jc w:val="both"/>
        <w:rPr>
          <w:rFonts w:ascii="Palatino Linotype" w:hAnsi="Palatino Linotype"/>
          <w:i/>
        </w:rPr>
      </w:pPr>
    </w:p>
    <w:p w14:paraId="00C9EDD2" w14:textId="77777777" w:rsidR="00547FF1" w:rsidRPr="003E0BC5" w:rsidRDefault="00547FF1" w:rsidP="00547FF1">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5DB5340E" w14:textId="77777777" w:rsidR="00547FF1" w:rsidRPr="003E0BC5" w:rsidRDefault="00547FF1" w:rsidP="00547FF1">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0B9AE1B8" w14:textId="77777777" w:rsidR="00547FF1" w:rsidRDefault="00547FF1" w:rsidP="00547FF1">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lastRenderedPageBreak/>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2019</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4FD20C9C" w14:textId="77777777" w:rsidR="00547FF1" w:rsidRDefault="00E9446F" w:rsidP="00547FF1">
      <w:pPr>
        <w:spacing w:before="240" w:after="240" w:line="360" w:lineRule="auto"/>
        <w:jc w:val="both"/>
        <w:rPr>
          <w:rFonts w:ascii="Palatino Linotype" w:hAnsi="Palatino Linotype"/>
          <w:color w:val="000000"/>
          <w:sz w:val="24"/>
          <w:szCs w:val="24"/>
          <w:lang w:val="es-ES"/>
        </w:rPr>
      </w:pPr>
      <w:hyperlink r:id="rId11" w:history="1">
        <w:r w:rsidR="00547FF1" w:rsidRPr="00D55602">
          <w:rPr>
            <w:rStyle w:val="Hipervnculo"/>
            <w:rFonts w:ascii="Palatino Linotype" w:hAnsi="Palatino Linotype"/>
            <w:sz w:val="24"/>
            <w:szCs w:val="24"/>
            <w:lang w:val="es-ES"/>
          </w:rPr>
          <w:t>https://www.osfem.gob.mx/04_Normatividad/doc/Normatividad/2019/19.-LineamInfMensualMpal_2019.pdf</w:t>
        </w:r>
      </w:hyperlink>
    </w:p>
    <w:p w14:paraId="483AA26D" w14:textId="77777777" w:rsidR="00547FF1" w:rsidRPr="00684CBE" w:rsidRDefault="00547FF1" w:rsidP="00547FF1">
      <w:pPr>
        <w:spacing w:before="240" w:after="240" w:line="360" w:lineRule="auto"/>
        <w:jc w:val="both"/>
        <w:rPr>
          <w:rStyle w:val="Hipervnculo"/>
          <w:rFonts w:ascii="Palatino Linotype" w:hAnsi="Palatino Linotype"/>
          <w:i/>
          <w:sz w:val="24"/>
          <w:szCs w:val="24"/>
          <w:lang w:val="es-ES"/>
        </w:rPr>
      </w:pPr>
      <w:r>
        <w:rPr>
          <w:rFonts w:ascii="Palatino Linotype" w:hAnsi="Palatino Linotype"/>
          <w:noProof/>
          <w:sz w:val="24"/>
          <w:szCs w:val="24"/>
          <w:lang w:eastAsia="es-MX"/>
        </w:rPr>
        <mc:AlternateContent>
          <mc:Choice Requires="wps">
            <w:drawing>
              <wp:anchor distT="0" distB="0" distL="114300" distR="114300" simplePos="0" relativeHeight="251714560" behindDoc="0" locked="0" layoutInCell="1" allowOverlap="1" wp14:anchorId="58C8C273" wp14:editId="36E123DB">
                <wp:simplePos x="0" y="0"/>
                <wp:positionH relativeFrom="column">
                  <wp:posOffset>739140</wp:posOffset>
                </wp:positionH>
                <wp:positionV relativeFrom="paragraph">
                  <wp:posOffset>1378585</wp:posOffset>
                </wp:positionV>
                <wp:extent cx="4150360" cy="4135755"/>
                <wp:effectExtent l="0" t="0" r="21590" b="36195"/>
                <wp:wrapNone/>
                <wp:docPr id="28" name="Conector recto 28"/>
                <wp:cNvGraphicFramePr/>
                <a:graphic xmlns:a="http://schemas.openxmlformats.org/drawingml/2006/main">
                  <a:graphicData uri="http://schemas.microsoft.com/office/word/2010/wordprocessingShape">
                    <wps:wsp>
                      <wps:cNvCnPr/>
                      <wps:spPr>
                        <a:xfrm>
                          <a:off x="0" y="0"/>
                          <a:ext cx="4150360" cy="4135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8208D" id="Conector recto 2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08.55pt" to="385pt,4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" strokecolor="#5b9bd5 [3204]" strokeweight=".5pt">
                <v:stroke joinstyle="miter"/>
              </v:line>
            </w:pict>
          </mc:Fallback>
        </mc:AlternateContent>
      </w: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tal como se demuestra en las siguientes imágenes ilustrativas: </w:t>
      </w:r>
    </w:p>
    <w:p w14:paraId="0C75FCB4" w14:textId="77777777" w:rsidR="00547FF1" w:rsidRDefault="00547FF1" w:rsidP="00547FF1">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w:drawing>
          <wp:anchor distT="0" distB="0" distL="114300" distR="114300" simplePos="0" relativeHeight="251710464" behindDoc="0" locked="0" layoutInCell="1" allowOverlap="1" wp14:anchorId="19D911BE" wp14:editId="378A5E98">
            <wp:simplePos x="0" y="0"/>
            <wp:positionH relativeFrom="page">
              <wp:align>center</wp:align>
            </wp:positionH>
            <wp:positionV relativeFrom="paragraph">
              <wp:posOffset>19547</wp:posOffset>
            </wp:positionV>
            <wp:extent cx="5689600" cy="6937375"/>
            <wp:effectExtent l="19050" t="19050" r="25400" b="15875"/>
            <wp:wrapThrough wrapText="bothSides">
              <wp:wrapPolygon edited="0">
                <wp:start x="-72" y="-59"/>
                <wp:lineTo x="-72" y="21590"/>
                <wp:lineTo x="21624" y="21590"/>
                <wp:lineTo x="21624" y="-59"/>
                <wp:lineTo x="-72" y="-59"/>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9600" cy="6937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56C3559" w14:textId="77777777" w:rsidR="00547FF1" w:rsidRDefault="00547FF1" w:rsidP="00547FF1">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w:drawing>
          <wp:anchor distT="0" distB="0" distL="114300" distR="114300" simplePos="0" relativeHeight="251713536" behindDoc="0" locked="0" layoutInCell="1" allowOverlap="1" wp14:anchorId="525BCC60" wp14:editId="26BC72F1">
            <wp:simplePos x="0" y="0"/>
            <wp:positionH relativeFrom="page">
              <wp:align>center</wp:align>
            </wp:positionH>
            <wp:positionV relativeFrom="paragraph">
              <wp:posOffset>86548</wp:posOffset>
            </wp:positionV>
            <wp:extent cx="5754370" cy="3378835"/>
            <wp:effectExtent l="19050" t="19050" r="17780" b="12065"/>
            <wp:wrapThrough wrapText="bothSides">
              <wp:wrapPolygon edited="0">
                <wp:start x="-72" y="-122"/>
                <wp:lineTo x="-72" y="21555"/>
                <wp:lineTo x="21595" y="21555"/>
                <wp:lineTo x="21595" y="-122"/>
                <wp:lineTo x="-72" y="-122"/>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4370" cy="3378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i/>
          <w:noProof/>
          <w:sz w:val="24"/>
          <w:szCs w:val="24"/>
          <w:lang w:eastAsia="es-MX"/>
        </w:rPr>
        <w:drawing>
          <wp:anchor distT="0" distB="0" distL="114300" distR="114300" simplePos="0" relativeHeight="251712512" behindDoc="0" locked="0" layoutInCell="1" allowOverlap="1" wp14:anchorId="269248E4" wp14:editId="5503154A">
            <wp:simplePos x="0" y="0"/>
            <wp:positionH relativeFrom="page">
              <wp:align>center</wp:align>
            </wp:positionH>
            <wp:positionV relativeFrom="paragraph">
              <wp:posOffset>3694430</wp:posOffset>
            </wp:positionV>
            <wp:extent cx="5753100" cy="3366135"/>
            <wp:effectExtent l="19050" t="19050" r="19050" b="24765"/>
            <wp:wrapThrough wrapText="bothSides">
              <wp:wrapPolygon edited="0">
                <wp:start x="-72" y="-122"/>
                <wp:lineTo x="-72" y="21637"/>
                <wp:lineTo x="21600" y="21637"/>
                <wp:lineTo x="21600" y="-122"/>
                <wp:lineTo x="-72" y="-122"/>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475466" w14:textId="77777777" w:rsidR="00547FF1" w:rsidRPr="0078693A" w:rsidRDefault="00547FF1" w:rsidP="00547FF1">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711488" behindDoc="0" locked="0" layoutInCell="1" allowOverlap="1" wp14:anchorId="72549624" wp14:editId="3210D040">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28B18" id="Rectángulo 8" o:spid="_x0000_s1026" style="position:absolute;margin-left:24.95pt;margin-top:704.3pt;width:372pt;height:21.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así como la Nómina General, en consecuencia, la información solicitada debe de obrar en los archivos del </w:t>
      </w:r>
      <w:r>
        <w:rPr>
          <w:rFonts w:ascii="Palatino Linotype" w:hAnsi="Palatino Linotype" w:cs="Arial"/>
          <w:b/>
          <w:sz w:val="24"/>
          <w:szCs w:val="24"/>
          <w:lang w:val="es-ES"/>
        </w:rPr>
        <w:t xml:space="preserve">Sujeto Obligado. </w:t>
      </w:r>
    </w:p>
    <w:p w14:paraId="227DA852" w14:textId="77777777" w:rsidR="00547FF1" w:rsidRPr="00B272A6" w:rsidRDefault="00547FF1" w:rsidP="00547FF1">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9AF0E68" w14:textId="77777777" w:rsidR="00547FF1" w:rsidRPr="00F975C8" w:rsidRDefault="00547FF1" w:rsidP="00547FF1">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5BC88399" w14:textId="77777777" w:rsidR="00547FF1" w:rsidRPr="00F975C8" w:rsidRDefault="00547FF1" w:rsidP="00547FF1">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366D59ED" w14:textId="77777777" w:rsidR="00547FF1" w:rsidRPr="00B272A6" w:rsidRDefault="00547FF1" w:rsidP="00547FF1">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1C1FAEAB" w14:textId="77777777" w:rsidR="00547FF1" w:rsidRPr="00F975C8" w:rsidRDefault="00547FF1" w:rsidP="00547FF1">
      <w:pPr>
        <w:pStyle w:val="Sinespaciado"/>
        <w:rPr>
          <w:lang w:val="es-ES"/>
        </w:rPr>
      </w:pPr>
    </w:p>
    <w:p w14:paraId="067C9A3C" w14:textId="77777777" w:rsidR="00547FF1" w:rsidRDefault="00547FF1" w:rsidP="00547FF1">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7535A78A" w14:textId="77777777" w:rsidR="00547FF1" w:rsidRPr="00F975C8" w:rsidRDefault="00547FF1" w:rsidP="00547FF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26695EBB" w14:textId="77777777" w:rsidR="00547FF1" w:rsidRPr="0039245A" w:rsidRDefault="00547FF1" w:rsidP="00547FF1">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39245A">
        <w:rPr>
          <w:rFonts w:ascii="Palatino Linotype" w:hAnsi="Palatino Linotype" w:cs="Arial"/>
          <w:b/>
          <w:i/>
          <w:u w:val="single"/>
          <w:lang w:val="es-ES"/>
        </w:rPr>
        <w:lastRenderedPageBreak/>
        <w:t>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336400AE" w14:textId="77777777" w:rsidR="00547FF1" w:rsidRPr="00F975C8" w:rsidRDefault="00547FF1" w:rsidP="00547FF1">
      <w:pPr>
        <w:pStyle w:val="Sinespaciado"/>
        <w:rPr>
          <w:lang w:val="es-ES"/>
        </w:rPr>
      </w:pPr>
    </w:p>
    <w:p w14:paraId="1E7AD766" w14:textId="77777777" w:rsidR="00547FF1" w:rsidRPr="00F975C8" w:rsidRDefault="00547FF1" w:rsidP="00547FF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69A622C4" w14:textId="77777777" w:rsidR="00547FF1" w:rsidRPr="00B272A6" w:rsidRDefault="00547FF1" w:rsidP="00547FF1">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2590BAAE" w14:textId="77777777" w:rsidR="00547FF1" w:rsidRPr="00B272A6" w:rsidRDefault="00547FF1" w:rsidP="00547FF1">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3C567A41" w14:textId="77777777" w:rsidR="00547FF1" w:rsidRDefault="00547FF1" w:rsidP="00547FF1">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5C9CEFAC" w14:textId="77777777" w:rsidR="00547FF1" w:rsidRPr="00F975C8" w:rsidRDefault="00547FF1" w:rsidP="00547FF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0BA36E15" w14:textId="77777777" w:rsidR="00547FF1" w:rsidRPr="00F975C8" w:rsidRDefault="00547FF1" w:rsidP="00547FF1">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C2D1E1" w14:textId="77777777" w:rsidR="00547FF1" w:rsidRPr="00F975C8" w:rsidRDefault="00547FF1" w:rsidP="00547FF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27FA6BB2" w14:textId="77777777" w:rsidR="00547FF1" w:rsidRPr="0039245A" w:rsidRDefault="00547FF1" w:rsidP="00547FF1">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4D026607" w14:textId="77777777" w:rsidR="00547FF1" w:rsidRPr="00F975C8" w:rsidRDefault="00547FF1" w:rsidP="00547FF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7010F6A1" w14:textId="77777777" w:rsidR="00547FF1" w:rsidRPr="00B272A6" w:rsidRDefault="00547FF1" w:rsidP="00547FF1">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5D26165" w14:textId="77777777" w:rsidR="00547FF1" w:rsidRPr="00F975C8" w:rsidRDefault="00547FF1" w:rsidP="00547FF1">
      <w:pPr>
        <w:ind w:left="709" w:right="757"/>
        <w:jc w:val="both"/>
        <w:rPr>
          <w:rFonts w:ascii="Palatino Linotype" w:hAnsi="Palatino Linotype" w:cs="Arial"/>
          <w:i/>
          <w:lang w:val="es-ES"/>
        </w:rPr>
      </w:pPr>
    </w:p>
    <w:p w14:paraId="02EF308B" w14:textId="77777777" w:rsidR="00547FF1" w:rsidRDefault="00547FF1" w:rsidP="00547FF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2D25F799" w14:textId="77777777" w:rsidR="00547FF1" w:rsidRPr="00FA7CFC" w:rsidRDefault="00547FF1" w:rsidP="00547FF1">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4987DC8" w14:textId="77777777" w:rsidR="00547FF1" w:rsidRPr="00FA7CFC" w:rsidRDefault="00547FF1" w:rsidP="00547FF1">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091E19EE" w14:textId="77777777" w:rsidR="00547FF1" w:rsidRDefault="00547FF1" w:rsidP="00547FF1">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2D582BF" w14:textId="77777777" w:rsidR="00547FF1" w:rsidRDefault="00547FF1" w:rsidP="00547FF1">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405B793" w14:textId="77777777" w:rsidR="00547FF1" w:rsidRDefault="00547FF1" w:rsidP="00547FF1">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 xml:space="preserve">La remuneración bruta y neta de todos los servidores públicos de base o de confianza, de todas las percepciones, incluyendo sueldos, prestaciones, gratificaciones, primas, comisiones, dietas, bonos, estímulos, ingresos y </w:t>
      </w:r>
      <w:r w:rsidRPr="00682B6F">
        <w:rPr>
          <w:rFonts w:ascii="Palatino Linotype" w:hAnsi="Palatino Linotype"/>
          <w:b/>
          <w:i/>
          <w:u w:val="single"/>
        </w:rPr>
        <w:lastRenderedPageBreak/>
        <w:t>sistemas de compensación, señalando la periodicidad de dicha remuneración;</w:t>
      </w:r>
    </w:p>
    <w:p w14:paraId="5A60423D" w14:textId="77777777" w:rsidR="00547FF1" w:rsidRPr="00682B6F" w:rsidRDefault="00547FF1" w:rsidP="00547FF1">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39DA1512" w14:textId="77777777" w:rsidR="00547FF1" w:rsidRDefault="00547FF1" w:rsidP="00547FF1">
      <w:pPr>
        <w:pStyle w:val="Sinespaciado"/>
      </w:pPr>
    </w:p>
    <w:p w14:paraId="023FB173" w14:textId="7E67377D" w:rsidR="00B872B9" w:rsidRDefault="00547FF1" w:rsidP="00547F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p>
    <w:p w14:paraId="60873150" w14:textId="77777777" w:rsidR="00B872B9" w:rsidRDefault="00B872B9"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w:t>
      </w:r>
      <w:r w:rsidRPr="00FB59FD">
        <w:rPr>
          <w:rFonts w:ascii="Palatino Linotype" w:eastAsia="Times New Roman" w:hAnsi="Palatino Linotype" w:cs="Times New Roman"/>
          <w:sz w:val="24"/>
          <w:szCs w:val="24"/>
          <w:lang w:val="es-ES" w:eastAsia="es-MX"/>
        </w:rPr>
        <w:lastRenderedPageBreak/>
        <w:t>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7C00201" w14:textId="77777777" w:rsidR="00B872B9" w:rsidRDefault="00B872B9"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C19E690" w14:textId="77777777" w:rsidR="00B872B9" w:rsidRDefault="00B872B9"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w:t>
      </w:r>
      <w:r w:rsidRPr="00FB59FD">
        <w:rPr>
          <w:rFonts w:ascii="Palatino Linotype" w:eastAsia="Times New Roman"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FB59FD">
        <w:rPr>
          <w:rFonts w:ascii="Palatino Linotype" w:eastAsia="Calibri" w:hAnsi="Palatino Linotype" w:cs="Times New Roman"/>
          <w:sz w:val="24"/>
          <w:szCs w:val="24"/>
          <w:lang w:val="es-ES" w:eastAsia="es-ES"/>
        </w:rPr>
        <w:lastRenderedPageBreak/>
        <w:t xml:space="preserve">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FB59FD">
        <w:rPr>
          <w:rFonts w:ascii="Palatino Linotype" w:eastAsia="Times New Roman" w:hAnsi="Palatino Linotype" w:cs="Arial"/>
          <w:sz w:val="24"/>
          <w:szCs w:val="24"/>
          <w:lang w:val="es-ES" w:eastAsia="es-ES"/>
        </w:rPr>
        <w:lastRenderedPageBreak/>
        <w:t>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0E0E99D" w14:textId="77777777" w:rsidR="003433D1" w:rsidRPr="001571EB" w:rsidRDefault="003433D1" w:rsidP="003433D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F6F17DB" w14:textId="77777777" w:rsidR="003433D1" w:rsidRPr="00E60DEF" w:rsidRDefault="003433D1" w:rsidP="003433D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3F31502" w14:textId="77777777" w:rsidR="003433D1" w:rsidRPr="00E60DEF" w:rsidRDefault="003433D1" w:rsidP="003433D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F79CF82" w14:textId="77777777" w:rsidR="003433D1" w:rsidRPr="001571EB" w:rsidRDefault="003433D1" w:rsidP="003433D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F1A89A3" w14:textId="77777777" w:rsidR="003433D1" w:rsidRPr="001571EB" w:rsidRDefault="003433D1" w:rsidP="003433D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81F2322" w14:textId="77777777" w:rsidR="003433D1" w:rsidRPr="001571EB" w:rsidRDefault="003433D1" w:rsidP="003433D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D939EEC" w14:textId="77777777" w:rsidR="003433D1" w:rsidRPr="001571EB" w:rsidRDefault="003433D1" w:rsidP="003433D1">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344C031" w14:textId="77777777" w:rsidR="003433D1" w:rsidRPr="001571EB" w:rsidRDefault="003433D1" w:rsidP="003433D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F8DE667" w14:textId="77777777" w:rsidR="003433D1" w:rsidRPr="001571EB" w:rsidRDefault="003433D1" w:rsidP="003433D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1CCC5A7" w14:textId="77777777" w:rsidR="003433D1" w:rsidRPr="001571EB" w:rsidRDefault="003433D1" w:rsidP="003433D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C74F0A" w14:textId="77777777" w:rsidR="003433D1" w:rsidRPr="00E60DEF" w:rsidRDefault="003433D1" w:rsidP="003433D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4301563" w14:textId="77777777" w:rsidR="003433D1" w:rsidRPr="001571EB" w:rsidRDefault="003433D1" w:rsidP="003433D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3B1603E" w14:textId="77777777" w:rsidR="003433D1" w:rsidRPr="00E60DEF" w:rsidRDefault="003433D1" w:rsidP="003433D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6C5E5DE" w14:textId="77777777" w:rsidR="003433D1" w:rsidRPr="001571EB" w:rsidRDefault="003433D1" w:rsidP="003433D1">
      <w:pPr>
        <w:spacing w:line="240" w:lineRule="auto"/>
        <w:ind w:left="851" w:right="851"/>
        <w:jc w:val="both"/>
        <w:rPr>
          <w:rFonts w:ascii="Palatino Linotype" w:hAnsi="Palatino Linotype" w:cs="Arial"/>
          <w:b/>
          <w:i/>
          <w:u w:val="single"/>
        </w:rPr>
      </w:pPr>
    </w:p>
    <w:p w14:paraId="31104A18" w14:textId="77777777" w:rsidR="003433D1" w:rsidRPr="001571EB" w:rsidRDefault="003433D1" w:rsidP="003433D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8F74964" w14:textId="77777777" w:rsidR="003433D1" w:rsidRPr="001571EB" w:rsidRDefault="003433D1" w:rsidP="003433D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1C776E5" w14:textId="77777777" w:rsidR="003433D1" w:rsidRPr="001571EB" w:rsidRDefault="003433D1" w:rsidP="003433D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C28E270" w14:textId="77777777" w:rsidR="003433D1" w:rsidRDefault="003433D1" w:rsidP="003433D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783EC2E" w14:textId="77777777" w:rsidR="003433D1" w:rsidRDefault="003433D1" w:rsidP="003433D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B08868A"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11E3035"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E2C0D15"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AFEE8CB"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035BD64" w14:textId="77777777" w:rsidR="003433D1" w:rsidRPr="00EE0180"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8AF72BB" w14:textId="77777777" w:rsidR="003433D1" w:rsidRPr="001571EB" w:rsidRDefault="003433D1" w:rsidP="003433D1">
      <w:pPr>
        <w:autoSpaceDE w:val="0"/>
        <w:autoSpaceDN w:val="0"/>
        <w:adjustRightInd w:val="0"/>
        <w:spacing w:before="120" w:after="120"/>
        <w:ind w:left="567" w:right="850"/>
        <w:jc w:val="both"/>
        <w:rPr>
          <w:rFonts w:ascii="Palatino Linotype" w:eastAsia="Times New Roman" w:hAnsi="Palatino Linotype" w:cs="Arial"/>
          <w:i/>
        </w:rPr>
      </w:pPr>
    </w:p>
    <w:p w14:paraId="0DD13BC4" w14:textId="77777777" w:rsidR="003433D1" w:rsidRPr="001571EB" w:rsidRDefault="003433D1" w:rsidP="003433D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EEE7AC9" w14:textId="77777777" w:rsidR="003433D1" w:rsidRPr="001571EB" w:rsidRDefault="003433D1" w:rsidP="003433D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E94DC9" w14:textId="77777777" w:rsidR="003433D1" w:rsidRDefault="003433D1" w:rsidP="003433D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A59C68D" w14:textId="77777777" w:rsidR="003433D1" w:rsidRDefault="003433D1" w:rsidP="003433D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122E157"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22BC9CE"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4E9BFC6"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66EE3E6"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729C7A4" w14:textId="77777777" w:rsidR="003433D1"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8DCDDA9" w14:textId="77777777" w:rsidR="003433D1" w:rsidRPr="00EE0180"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6EDB4516" w14:textId="6C305244" w:rsidR="005016B8" w:rsidRDefault="003433D1" w:rsidP="003433D1">
      <w:pPr>
        <w:spacing w:after="0" w:line="360" w:lineRule="auto"/>
        <w:jc w:val="both"/>
        <w:rPr>
          <w:rFonts w:ascii="Palatino Linotype" w:hAnsi="Palatino Linotype" w:cs="Arial"/>
          <w:sz w:val="24"/>
          <w:szCs w:val="24"/>
          <w:lang w:eastAsia="es-CO"/>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584718">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43B4F70E"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FE4228" w:rsidRPr="00FE4228">
        <w:rPr>
          <w:rFonts w:ascii="Palatino Linotype" w:hAnsi="Palatino Linotype" w:cs="Arial"/>
          <w:b/>
          <w:sz w:val="24"/>
        </w:rPr>
        <w:t>00072/VABRAVO/IP/2020</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lastRenderedPageBreak/>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35A49BA1"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FE4228">
        <w:rPr>
          <w:rFonts w:ascii="Palatino Linotype" w:eastAsia="Times New Roman" w:hAnsi="Palatino Linotype" w:cs="Arial"/>
          <w:b/>
          <w:sz w:val="24"/>
          <w:szCs w:val="24"/>
        </w:rPr>
        <w:t>QUINTO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5DAE7B80"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166AE4" w:rsidRPr="00166AE4">
        <w:rPr>
          <w:rFonts w:ascii="Palatino Linotype" w:hAnsi="Palatino Linotype" w:cs="Arial"/>
          <w:b/>
          <w:sz w:val="24"/>
        </w:rPr>
        <w:t>00040/MORELOS/IP/2020</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FE4228">
        <w:rPr>
          <w:rFonts w:ascii="Palatino Linotype" w:eastAsia="Times New Roman" w:hAnsi="Palatino Linotype" w:cs="Arial"/>
          <w:b/>
          <w:sz w:val="24"/>
          <w:szCs w:val="24"/>
        </w:rPr>
        <w:t>QUINTO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5D0D5B81"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lastRenderedPageBreak/>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166AE4">
        <w:rPr>
          <w:rFonts w:ascii="Palatino Linotype" w:eastAsia="MS Mincho" w:hAnsi="Palatino Linotype" w:cs="Times New Roman"/>
          <w:b/>
          <w:sz w:val="24"/>
        </w:rPr>
        <w:t>QUINTO</w:t>
      </w:r>
      <w:r w:rsidRPr="00584718">
        <w:rPr>
          <w:rFonts w:ascii="Palatino Linotype" w:eastAsia="MS Mincho" w:hAnsi="Palatino Linotype" w:cs="Times New Roman"/>
          <w:sz w:val="24"/>
        </w:rPr>
        <w:t xml:space="preserve"> de la presente resolución. </w:t>
      </w:r>
    </w:p>
    <w:p w14:paraId="7AB98E25" w14:textId="77777777" w:rsidR="00E973CB" w:rsidRDefault="00E973CB"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50D51E46" w:rsidR="00FA3867" w:rsidRPr="00584718" w:rsidRDefault="001125E7" w:rsidP="00415FD8">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MAYORÍA D</w:t>
      </w:r>
      <w:r w:rsidR="00E10586" w:rsidRPr="00137787">
        <w:rPr>
          <w:rFonts w:ascii="Palatino Linotype" w:hAnsi="Palatino Linotype" w:cs="Arial"/>
          <w:sz w:val="24"/>
          <w:szCs w:val="24"/>
        </w:rPr>
        <w:t>E VOTOS, EL PLENO DEL INSTITUTO DE TRANSPARENCIA, ACCESO A LA INFORMACIÓN PÚBLICA Y PROTECCIÓN DE DATOS PERSONALES DEL ESTADO DE MÉXICO Y MUNICIPIOS, CONFORMADO POR LOS COMISIONADOS ZULEMA MARTÍNEZ SÁNCHEZ; EVA ABAID YAPUR</w:t>
      </w:r>
      <w:r w:rsidR="005E3215">
        <w:rPr>
          <w:rFonts w:ascii="Palatino Linotype" w:hAnsi="Palatino Linotype" w:cs="Arial"/>
          <w:sz w:val="24"/>
          <w:szCs w:val="24"/>
        </w:rPr>
        <w:t>,</w:t>
      </w:r>
      <w:r w:rsidR="00E10586" w:rsidRPr="00137787">
        <w:rPr>
          <w:rFonts w:ascii="Palatino Linotype" w:hAnsi="Palatino Linotype" w:cs="Arial"/>
          <w:sz w:val="24"/>
          <w:szCs w:val="24"/>
        </w:rPr>
        <w:t xml:space="preserve"> JOSÉ GUADALUPE LUNA HERNÁNDEZ, JAVIER MARTÍNEZ CRUZ </w:t>
      </w:r>
      <w:r w:rsidR="0021417B">
        <w:rPr>
          <w:rFonts w:ascii="Palatino Linotype" w:hAnsi="Palatino Linotype" w:cs="Arial"/>
          <w:sz w:val="24"/>
          <w:szCs w:val="24"/>
        </w:rPr>
        <w:t>EMITIENDO VOT</w:t>
      </w:r>
      <w:r>
        <w:rPr>
          <w:rFonts w:ascii="Palatino Linotype" w:hAnsi="Palatino Linotype" w:cs="Arial"/>
          <w:sz w:val="24"/>
          <w:szCs w:val="24"/>
        </w:rPr>
        <w:t xml:space="preserve">O EN CONTRA CON VOTO </w:t>
      </w:r>
      <w:r w:rsidR="0021417B">
        <w:rPr>
          <w:rFonts w:ascii="Palatino Linotype" w:hAnsi="Palatino Linotype" w:cs="Arial"/>
          <w:sz w:val="24"/>
          <w:szCs w:val="24"/>
        </w:rPr>
        <w:t>DISIDENTE</w:t>
      </w:r>
      <w:r w:rsidR="00E10586" w:rsidRPr="00137787">
        <w:rPr>
          <w:rFonts w:ascii="Palatino Linotype" w:hAnsi="Palatino Linotype" w:cs="Arial"/>
          <w:sz w:val="24"/>
          <w:szCs w:val="24"/>
        </w:rPr>
        <w:t xml:space="preserve"> Y LUIS GUSTAVO PARRA NORIEGA; </w:t>
      </w:r>
      <w:r w:rsidR="005E3215" w:rsidRPr="00137787">
        <w:rPr>
          <w:rFonts w:ascii="Palatino Linotype" w:hAnsi="Palatino Linotype" w:cs="Arial"/>
          <w:sz w:val="24"/>
          <w:szCs w:val="24"/>
        </w:rPr>
        <w:t xml:space="preserve">EN LA </w:t>
      </w:r>
      <w:r w:rsidR="005E3215">
        <w:rPr>
          <w:rFonts w:ascii="Palatino Linotype" w:hAnsi="Palatino Linotype" w:cs="Arial"/>
          <w:sz w:val="24"/>
          <w:szCs w:val="24"/>
        </w:rPr>
        <w:t>VIGÉSIMA SEXTA</w:t>
      </w:r>
      <w:r w:rsidR="005E3215" w:rsidRPr="00137787">
        <w:rPr>
          <w:rFonts w:ascii="Palatino Linotype" w:hAnsi="Palatino Linotype" w:cs="Arial"/>
          <w:sz w:val="24"/>
          <w:szCs w:val="24"/>
        </w:rPr>
        <w:t xml:space="preserve"> SESIÓN ORDINARIA CELEBRADA EL </w:t>
      </w:r>
      <w:r w:rsidR="005E3215">
        <w:rPr>
          <w:rFonts w:ascii="Palatino Linotype" w:eastAsia="Times New Roman" w:hAnsi="Palatino Linotype" w:cs="Arial"/>
          <w:color w:val="000000"/>
          <w:sz w:val="24"/>
          <w:szCs w:val="24"/>
          <w:lang w:eastAsia="es-MX"/>
        </w:rPr>
        <w:t xml:space="preserve">ONCE DE NOVIEMBRE </w:t>
      </w:r>
      <w:r w:rsidR="005E3215" w:rsidRPr="00137787">
        <w:rPr>
          <w:rFonts w:ascii="Palatino Linotype" w:hAnsi="Palatino Linotype" w:cs="Arial"/>
          <w:sz w:val="24"/>
          <w:szCs w:val="24"/>
        </w:rPr>
        <w:t>DE DOS MIL VEINTE</w:t>
      </w:r>
      <w:r w:rsidR="00E10586" w:rsidRPr="00137787">
        <w:rPr>
          <w:rFonts w:ascii="Palatino Linotype" w:hAnsi="Palatino Linotype" w:cs="Arial"/>
          <w:sz w:val="24"/>
          <w:szCs w:val="24"/>
        </w:rPr>
        <w:t>,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sidR="0021417B">
        <w:rPr>
          <w:rFonts w:ascii="Palatino Linotype" w:hAnsi="Palatino Linotype" w:cs="Arial"/>
          <w:sz w:val="24"/>
          <w:szCs w:val="24"/>
        </w:rPr>
        <w:t>---------------------</w:t>
      </w:r>
      <w:r w:rsidR="00CA1CB9">
        <w:rPr>
          <w:rFonts w:ascii="Palatino Linotype" w:hAnsi="Palatino Linotype" w:cs="Arial"/>
          <w:sz w:val="24"/>
          <w:szCs w:val="24"/>
        </w:rPr>
        <w:t>--------</w:t>
      </w:r>
    </w:p>
    <w:p w14:paraId="72690C1E" w14:textId="77777777" w:rsidR="00DD2B15" w:rsidRDefault="00DD2B15" w:rsidP="00415FD8">
      <w:pPr>
        <w:spacing w:after="0" w:line="360" w:lineRule="auto"/>
        <w:jc w:val="both"/>
        <w:rPr>
          <w:rFonts w:ascii="Palatino Linotype" w:hAnsi="Palatino Linotype" w:cs="Arial"/>
          <w:sz w:val="24"/>
          <w:szCs w:val="24"/>
        </w:rPr>
      </w:pPr>
    </w:p>
    <w:p w14:paraId="47B223FC" w14:textId="181B4D58" w:rsidR="00E1219F" w:rsidRDefault="00F01E46" w:rsidP="00E1219F">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9903E1" w14:textId="77777777" w:rsidR="00E1219F" w:rsidRDefault="00E1219F" w:rsidP="007C15B3">
                            <w:pPr>
                              <w:spacing w:after="0" w:line="240" w:lineRule="auto"/>
                              <w:jc w:val="center"/>
                              <w:rPr>
                                <w:rFonts w:ascii="Palatino Linotype" w:hAnsi="Palatino Linotype"/>
                                <w:b/>
                              </w:rPr>
                            </w:pPr>
                          </w:p>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79903E1" w14:textId="77777777" w:rsidR="00E1219F" w:rsidRDefault="00E1219F" w:rsidP="007C15B3">
                      <w:pPr>
                        <w:spacing w:after="0" w:line="240" w:lineRule="auto"/>
                        <w:jc w:val="center"/>
                        <w:rPr>
                          <w:rFonts w:ascii="Palatino Linotype" w:hAnsi="Palatino Linotype"/>
                          <w:b/>
                        </w:rPr>
                      </w:pPr>
                    </w:p>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242C046A" w14:textId="77777777" w:rsidR="00E1219F" w:rsidRPr="00584718" w:rsidRDefault="00E1219F"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4DF2765" w:rsidR="000510FC" w:rsidRPr="00F55D03" w:rsidRDefault="00E1219F" w:rsidP="007C15B3">
                            <w:pPr>
                              <w:spacing w:after="0" w:line="240" w:lineRule="auto"/>
                              <w:jc w:val="center"/>
                              <w:rPr>
                                <w:rFonts w:ascii="Palatino Linotype" w:hAnsi="Palatino Linotype"/>
                                <w:b/>
                              </w:rPr>
                            </w:pPr>
                            <w:r>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4DF2765" w:rsidR="000510FC" w:rsidRPr="00F55D03" w:rsidRDefault="00E1219F" w:rsidP="007C15B3">
                      <w:pPr>
                        <w:spacing w:after="0" w:line="240" w:lineRule="auto"/>
                        <w:jc w:val="center"/>
                        <w:rPr>
                          <w:rFonts w:ascii="Palatino Linotype" w:hAnsi="Palatino Linotype"/>
                          <w:b/>
                        </w:rPr>
                      </w:pPr>
                      <w:r>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591B8BF7" w14:textId="5CB98781" w:rsidR="00FA3867" w:rsidRPr="00584718" w:rsidRDefault="00F01E46" w:rsidP="00DD2B15">
      <w:pPr>
        <w:spacing w:after="0" w:line="480" w:lineRule="auto"/>
        <w:rPr>
          <w:rFonts w:ascii="Palatino Linotype" w:hAnsi="Palatino Linotype"/>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ACFCBF" w14:textId="77777777" w:rsidR="00DD2B15" w:rsidRDefault="00DD2B15" w:rsidP="00415FD8">
      <w:pPr>
        <w:tabs>
          <w:tab w:val="left" w:pos="5415"/>
        </w:tabs>
        <w:spacing w:after="0" w:line="240" w:lineRule="auto"/>
        <w:ind w:right="51"/>
        <w:jc w:val="both"/>
        <w:rPr>
          <w:rFonts w:ascii="Palatino Linotype" w:hAnsi="Palatino Linotype" w:cs="Arial"/>
          <w:sz w:val="16"/>
          <w:szCs w:val="16"/>
        </w:rPr>
      </w:pPr>
    </w:p>
    <w:p w14:paraId="3FF727C1" w14:textId="77777777" w:rsidR="00E1219F" w:rsidRDefault="00E1219F" w:rsidP="00415FD8">
      <w:pPr>
        <w:tabs>
          <w:tab w:val="left" w:pos="5415"/>
        </w:tabs>
        <w:spacing w:after="0" w:line="240" w:lineRule="auto"/>
        <w:ind w:right="51"/>
        <w:jc w:val="both"/>
        <w:rPr>
          <w:rFonts w:ascii="Palatino Linotype" w:hAnsi="Palatino Linotype" w:cs="Arial"/>
          <w:sz w:val="16"/>
          <w:szCs w:val="16"/>
        </w:rPr>
      </w:pPr>
    </w:p>
    <w:p w14:paraId="67E7D532" w14:textId="238A422B"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21417B" w:rsidRPr="0021417B">
        <w:rPr>
          <w:rFonts w:ascii="Palatino Linotype" w:hAnsi="Palatino Linotype" w:cs="Arial"/>
          <w:sz w:val="16"/>
          <w:szCs w:val="16"/>
        </w:rPr>
        <w:t>once de noviembre de dos mil 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E075AA">
        <w:rPr>
          <w:rFonts w:ascii="Palatino Linotype" w:hAnsi="Palatino Linotype" w:cs="Arial"/>
          <w:b/>
          <w:bCs/>
          <w:sz w:val="16"/>
          <w:szCs w:val="16"/>
          <w:lang w:eastAsia="es-MX"/>
        </w:rPr>
        <w:t>03575</w:t>
      </w:r>
      <w:r w:rsidR="002B18DA">
        <w:rPr>
          <w:rFonts w:ascii="Palatino Linotype" w:hAnsi="Palatino Linotype" w:cs="Arial"/>
          <w:b/>
          <w:bCs/>
          <w:sz w:val="16"/>
          <w:szCs w:val="16"/>
          <w:lang w:eastAsia="es-MX"/>
        </w:rPr>
        <w:t>/INFOEM/IP/RR/2020</w:t>
      </w:r>
      <w:r w:rsidRPr="000510FC">
        <w:rPr>
          <w:rFonts w:ascii="Palatino Linotype" w:hAnsi="Palatino Linotype" w:cs="Arial"/>
          <w:bCs/>
          <w:sz w:val="16"/>
          <w:szCs w:val="16"/>
          <w:lang w:eastAsia="es-MX"/>
        </w:rPr>
        <w:t>.</w:t>
      </w:r>
    </w:p>
    <w:p w14:paraId="345214E0" w14:textId="762967DD" w:rsidR="00FA3867" w:rsidRPr="005A797B" w:rsidRDefault="0015171A"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w:t>
      </w:r>
      <w:r w:rsidR="002B18DA">
        <w:rPr>
          <w:rFonts w:ascii="Palatino Linotype" w:hAnsi="Palatino Linotype" w:cs="Arial"/>
          <w:bCs/>
          <w:sz w:val="16"/>
          <w:szCs w:val="16"/>
          <w:lang w:eastAsia="es-MX"/>
        </w:rPr>
        <w:t>/</w:t>
      </w:r>
      <w:r w:rsidR="00247A7F">
        <w:rPr>
          <w:rFonts w:ascii="Palatino Linotype" w:hAnsi="Palatino Linotype" w:cs="Arial"/>
          <w:bCs/>
          <w:sz w:val="16"/>
          <w:szCs w:val="16"/>
          <w:lang w:eastAsia="es-MX"/>
        </w:rPr>
        <w:t>RDPG</w:t>
      </w:r>
    </w:p>
    <w:sectPr w:rsidR="00FA3867" w:rsidRPr="005A797B" w:rsidSect="00D77A67">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1D7CE" w14:textId="77777777" w:rsidR="00E9446F" w:rsidRDefault="00E9446F" w:rsidP="006168E4">
      <w:pPr>
        <w:spacing w:after="0" w:line="240" w:lineRule="auto"/>
      </w:pPr>
      <w:r>
        <w:separator/>
      </w:r>
    </w:p>
  </w:endnote>
  <w:endnote w:type="continuationSeparator" w:id="0">
    <w:p w14:paraId="4BF43D00" w14:textId="77777777" w:rsidR="00E9446F" w:rsidRDefault="00E9446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0C7C">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0C7C">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0C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0C7C">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E347A" w14:textId="77777777" w:rsidR="00E9446F" w:rsidRDefault="00E9446F" w:rsidP="006168E4">
      <w:pPr>
        <w:spacing w:after="0" w:line="240" w:lineRule="auto"/>
      </w:pPr>
      <w:r>
        <w:separator/>
      </w:r>
    </w:p>
  </w:footnote>
  <w:footnote w:type="continuationSeparator" w:id="0">
    <w:p w14:paraId="235A69F2" w14:textId="77777777" w:rsidR="00E9446F" w:rsidRDefault="00E9446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BE890" w14:textId="21E29072" w:rsidR="00C2094A" w:rsidRDefault="00E9446F">
    <w:pPr>
      <w:pStyle w:val="Encabezado"/>
    </w:pPr>
    <w:r>
      <w:rPr>
        <w:noProof/>
        <w:lang w:val="es-MX" w:eastAsia="es-MX"/>
      </w:rPr>
      <w:pict w14:anchorId="0BCC2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322E1A1E" w:rsidR="000510FC" w:rsidRDefault="00E9446F">
    <w:pPr>
      <w:pStyle w:val="Encabezado"/>
    </w:pPr>
    <w:r>
      <w:rPr>
        <w:noProof/>
        <w:lang w:val="es-MX" w:eastAsia="es-MX"/>
      </w:rPr>
      <w:pict w14:anchorId="2DACC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15.9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C741311" w:rsidR="000510FC" w:rsidRPr="00B4142F" w:rsidRDefault="002D7560"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03575</w:t>
          </w:r>
          <w:r w:rsidR="002B18DA">
            <w:rPr>
              <w:rFonts w:ascii="Palatino Linotype" w:hAnsi="Palatino Linotype" w:cs="Arial"/>
              <w:bCs/>
              <w:sz w:val="24"/>
              <w:lang w:eastAsia="es-MX"/>
            </w:rPr>
            <w:t>/INFOEM/IP/RR/2020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DE73588" w:rsidR="000510FC" w:rsidRPr="00B7426B" w:rsidRDefault="00166AE4" w:rsidP="00B215E0">
          <w:pPr>
            <w:spacing w:after="0" w:line="276" w:lineRule="auto"/>
            <w:ind w:left="639" w:right="214"/>
            <w:jc w:val="right"/>
            <w:rPr>
              <w:rFonts w:ascii="Palatino Linotype" w:hAnsi="Palatino Linotype" w:cs="Arial"/>
              <w:szCs w:val="20"/>
            </w:rPr>
          </w:pPr>
          <w:r w:rsidRPr="00166AE4">
            <w:rPr>
              <w:rFonts w:ascii="Palatino Linotype" w:hAnsi="Palatino Linotype" w:cs="Arial"/>
              <w:szCs w:val="20"/>
            </w:rPr>
            <w:t>Ayuntamiento de Morelos</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6B182D5" w:rsidR="000510FC" w:rsidRPr="00B4142F" w:rsidRDefault="002D7560"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03575</w:t>
          </w:r>
          <w:r w:rsidR="002B18DA">
            <w:rPr>
              <w:rFonts w:ascii="Palatino Linotype" w:hAnsi="Palatino Linotype" w:cs="Arial"/>
              <w:bCs/>
              <w:sz w:val="24"/>
              <w:lang w:eastAsia="es-MX"/>
            </w:rPr>
            <w:t>/INFOEM/IP/RR/2020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51F5AA5" w:rsidR="000510FC" w:rsidRPr="00F06FED" w:rsidRDefault="00300C7C"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w:t>
          </w:r>
          <w:proofErr w:type="spellEnd"/>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A81040A" w:rsidR="000510FC" w:rsidRDefault="00787A75" w:rsidP="002D7560">
          <w:pPr>
            <w:spacing w:after="0" w:line="276" w:lineRule="auto"/>
            <w:ind w:left="639" w:right="214"/>
            <w:jc w:val="right"/>
            <w:rPr>
              <w:rFonts w:ascii="Palatino Linotype" w:hAnsi="Palatino Linotype" w:cs="Arial"/>
              <w:szCs w:val="20"/>
            </w:rPr>
          </w:pPr>
          <w:r>
            <w:rPr>
              <w:rFonts w:ascii="Palatino Linotype" w:hAnsi="Palatino Linotype" w:cs="Arial"/>
              <w:szCs w:val="20"/>
            </w:rPr>
            <w:t xml:space="preserve">Ayuntamiento de </w:t>
          </w:r>
          <w:r w:rsidR="002D7560">
            <w:rPr>
              <w:rFonts w:ascii="Palatino Linotype" w:hAnsi="Palatino Linotype" w:cs="Arial"/>
              <w:szCs w:val="20"/>
            </w:rPr>
            <w:t>Morelos</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253EBC58" w:rsidR="000510FC" w:rsidRDefault="00E9446F">
    <w:pPr>
      <w:pStyle w:val="Encabezado"/>
    </w:pPr>
    <w:r>
      <w:rPr>
        <w:noProof/>
        <w:lang w:val="es-MX" w:eastAsia="es-MX"/>
      </w:rPr>
      <w:pict w14:anchorId="72CC4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19.1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D33DCB"/>
    <w:multiLevelType w:val="hybridMultilevel"/>
    <w:tmpl w:val="9020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0257C66"/>
    <w:multiLevelType w:val="hybridMultilevel"/>
    <w:tmpl w:val="34FAD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389"/>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87FAF"/>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25E7"/>
    <w:rsid w:val="001132C3"/>
    <w:rsid w:val="001152DA"/>
    <w:rsid w:val="00116EE8"/>
    <w:rsid w:val="001178FA"/>
    <w:rsid w:val="00117DA2"/>
    <w:rsid w:val="00124855"/>
    <w:rsid w:val="001260E7"/>
    <w:rsid w:val="00126A06"/>
    <w:rsid w:val="00130240"/>
    <w:rsid w:val="00130E29"/>
    <w:rsid w:val="0013189B"/>
    <w:rsid w:val="001363FD"/>
    <w:rsid w:val="001372F1"/>
    <w:rsid w:val="00141DD7"/>
    <w:rsid w:val="0014223D"/>
    <w:rsid w:val="00145F3D"/>
    <w:rsid w:val="0015171A"/>
    <w:rsid w:val="00153C63"/>
    <w:rsid w:val="00157906"/>
    <w:rsid w:val="0016006B"/>
    <w:rsid w:val="00160D80"/>
    <w:rsid w:val="0016106E"/>
    <w:rsid w:val="00166884"/>
    <w:rsid w:val="00166AE4"/>
    <w:rsid w:val="00170585"/>
    <w:rsid w:val="00174A84"/>
    <w:rsid w:val="00175588"/>
    <w:rsid w:val="00175897"/>
    <w:rsid w:val="001758FD"/>
    <w:rsid w:val="001764D0"/>
    <w:rsid w:val="0018321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1417B"/>
    <w:rsid w:val="002205C0"/>
    <w:rsid w:val="00221357"/>
    <w:rsid w:val="002218C3"/>
    <w:rsid w:val="00222EF8"/>
    <w:rsid w:val="00230CB8"/>
    <w:rsid w:val="00232CE6"/>
    <w:rsid w:val="00232D81"/>
    <w:rsid w:val="00233D67"/>
    <w:rsid w:val="002363B0"/>
    <w:rsid w:val="002378FC"/>
    <w:rsid w:val="00245D6A"/>
    <w:rsid w:val="00247A7F"/>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8DA"/>
    <w:rsid w:val="002B1D4A"/>
    <w:rsid w:val="002B45F6"/>
    <w:rsid w:val="002C06B2"/>
    <w:rsid w:val="002C09FC"/>
    <w:rsid w:val="002C1256"/>
    <w:rsid w:val="002C415A"/>
    <w:rsid w:val="002C4D79"/>
    <w:rsid w:val="002C7515"/>
    <w:rsid w:val="002D1675"/>
    <w:rsid w:val="002D1EC2"/>
    <w:rsid w:val="002D3016"/>
    <w:rsid w:val="002D4ACB"/>
    <w:rsid w:val="002D6287"/>
    <w:rsid w:val="002D7560"/>
    <w:rsid w:val="002E0624"/>
    <w:rsid w:val="002E1F73"/>
    <w:rsid w:val="002E35DE"/>
    <w:rsid w:val="002E5F6E"/>
    <w:rsid w:val="002E6A03"/>
    <w:rsid w:val="002F18E1"/>
    <w:rsid w:val="002F227A"/>
    <w:rsid w:val="002F37BE"/>
    <w:rsid w:val="002F3EC4"/>
    <w:rsid w:val="002F4873"/>
    <w:rsid w:val="002F6BF0"/>
    <w:rsid w:val="00300C7C"/>
    <w:rsid w:val="00300D0B"/>
    <w:rsid w:val="0030122A"/>
    <w:rsid w:val="00306096"/>
    <w:rsid w:val="0030613C"/>
    <w:rsid w:val="00306874"/>
    <w:rsid w:val="00310087"/>
    <w:rsid w:val="003127C2"/>
    <w:rsid w:val="00315457"/>
    <w:rsid w:val="0031594E"/>
    <w:rsid w:val="00317FD2"/>
    <w:rsid w:val="003279CD"/>
    <w:rsid w:val="00327A1D"/>
    <w:rsid w:val="00330260"/>
    <w:rsid w:val="00330A97"/>
    <w:rsid w:val="00331683"/>
    <w:rsid w:val="00340234"/>
    <w:rsid w:val="003417B9"/>
    <w:rsid w:val="003433D1"/>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051E"/>
    <w:rsid w:val="003D153D"/>
    <w:rsid w:val="003D35E6"/>
    <w:rsid w:val="003D721D"/>
    <w:rsid w:val="003D7780"/>
    <w:rsid w:val="003E1C9C"/>
    <w:rsid w:val="003E4B02"/>
    <w:rsid w:val="003E4F65"/>
    <w:rsid w:val="003E6567"/>
    <w:rsid w:val="003F151A"/>
    <w:rsid w:val="003F1CE3"/>
    <w:rsid w:val="003F2874"/>
    <w:rsid w:val="003F297D"/>
    <w:rsid w:val="003F2CB1"/>
    <w:rsid w:val="003F31B6"/>
    <w:rsid w:val="003F5F69"/>
    <w:rsid w:val="004012CF"/>
    <w:rsid w:val="00402FF3"/>
    <w:rsid w:val="004110D2"/>
    <w:rsid w:val="00414C1F"/>
    <w:rsid w:val="00415FD8"/>
    <w:rsid w:val="00417EE9"/>
    <w:rsid w:val="004216D8"/>
    <w:rsid w:val="0042285E"/>
    <w:rsid w:val="00423213"/>
    <w:rsid w:val="00424BB4"/>
    <w:rsid w:val="00427F2E"/>
    <w:rsid w:val="00430603"/>
    <w:rsid w:val="0043127F"/>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3190"/>
    <w:rsid w:val="004E6BE9"/>
    <w:rsid w:val="004F1ECB"/>
    <w:rsid w:val="004F2DD4"/>
    <w:rsid w:val="004F7AF7"/>
    <w:rsid w:val="005016B8"/>
    <w:rsid w:val="00501E21"/>
    <w:rsid w:val="00502899"/>
    <w:rsid w:val="00503927"/>
    <w:rsid w:val="00512153"/>
    <w:rsid w:val="00513B00"/>
    <w:rsid w:val="005152E2"/>
    <w:rsid w:val="00521689"/>
    <w:rsid w:val="00522352"/>
    <w:rsid w:val="00522A0E"/>
    <w:rsid w:val="00523CF0"/>
    <w:rsid w:val="00523DFA"/>
    <w:rsid w:val="00525911"/>
    <w:rsid w:val="0052678C"/>
    <w:rsid w:val="00530C20"/>
    <w:rsid w:val="00530C63"/>
    <w:rsid w:val="005318CA"/>
    <w:rsid w:val="005322DA"/>
    <w:rsid w:val="00547FF1"/>
    <w:rsid w:val="005575BB"/>
    <w:rsid w:val="00557A82"/>
    <w:rsid w:val="00562653"/>
    <w:rsid w:val="00562DA8"/>
    <w:rsid w:val="005645BE"/>
    <w:rsid w:val="00567D72"/>
    <w:rsid w:val="00570592"/>
    <w:rsid w:val="005733EB"/>
    <w:rsid w:val="0057689F"/>
    <w:rsid w:val="00582600"/>
    <w:rsid w:val="00584718"/>
    <w:rsid w:val="0059011D"/>
    <w:rsid w:val="00590D02"/>
    <w:rsid w:val="005A08C7"/>
    <w:rsid w:val="005A0B6E"/>
    <w:rsid w:val="005A0F33"/>
    <w:rsid w:val="005A797B"/>
    <w:rsid w:val="005B05B0"/>
    <w:rsid w:val="005B6443"/>
    <w:rsid w:val="005C3510"/>
    <w:rsid w:val="005C6DED"/>
    <w:rsid w:val="005D2B59"/>
    <w:rsid w:val="005D370F"/>
    <w:rsid w:val="005E3215"/>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17A30"/>
    <w:rsid w:val="0062063C"/>
    <w:rsid w:val="00620A58"/>
    <w:rsid w:val="00627191"/>
    <w:rsid w:val="00637208"/>
    <w:rsid w:val="0063729B"/>
    <w:rsid w:val="006375B6"/>
    <w:rsid w:val="00641B5F"/>
    <w:rsid w:val="00651AA0"/>
    <w:rsid w:val="00652151"/>
    <w:rsid w:val="00656E56"/>
    <w:rsid w:val="006615F9"/>
    <w:rsid w:val="006639E2"/>
    <w:rsid w:val="00666AD1"/>
    <w:rsid w:val="00670673"/>
    <w:rsid w:val="00673857"/>
    <w:rsid w:val="00676967"/>
    <w:rsid w:val="00685C89"/>
    <w:rsid w:val="0069410C"/>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548E"/>
    <w:rsid w:val="0070767C"/>
    <w:rsid w:val="00711195"/>
    <w:rsid w:val="00711421"/>
    <w:rsid w:val="00714A48"/>
    <w:rsid w:val="00715527"/>
    <w:rsid w:val="00717553"/>
    <w:rsid w:val="00717934"/>
    <w:rsid w:val="0072333B"/>
    <w:rsid w:val="00725024"/>
    <w:rsid w:val="0073126C"/>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87A75"/>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D69B9"/>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0887"/>
    <w:rsid w:val="008212A5"/>
    <w:rsid w:val="008217D2"/>
    <w:rsid w:val="00830D0D"/>
    <w:rsid w:val="00834D80"/>
    <w:rsid w:val="00847D23"/>
    <w:rsid w:val="0085412C"/>
    <w:rsid w:val="00862368"/>
    <w:rsid w:val="00865FA4"/>
    <w:rsid w:val="00866FC6"/>
    <w:rsid w:val="008707E9"/>
    <w:rsid w:val="00873D6E"/>
    <w:rsid w:val="00874E71"/>
    <w:rsid w:val="008773E7"/>
    <w:rsid w:val="008777C8"/>
    <w:rsid w:val="00884054"/>
    <w:rsid w:val="008845FD"/>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27D"/>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4FC"/>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149"/>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E7BD3"/>
    <w:rsid w:val="009F0A85"/>
    <w:rsid w:val="009F6606"/>
    <w:rsid w:val="00A03D7D"/>
    <w:rsid w:val="00A04A4E"/>
    <w:rsid w:val="00A0661B"/>
    <w:rsid w:val="00A07A43"/>
    <w:rsid w:val="00A112FB"/>
    <w:rsid w:val="00A20003"/>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2D65"/>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C7C92"/>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50140"/>
    <w:rsid w:val="00B52518"/>
    <w:rsid w:val="00B52C95"/>
    <w:rsid w:val="00B554F8"/>
    <w:rsid w:val="00B6516B"/>
    <w:rsid w:val="00B658BC"/>
    <w:rsid w:val="00B7426B"/>
    <w:rsid w:val="00B74A60"/>
    <w:rsid w:val="00B777F6"/>
    <w:rsid w:val="00B77D04"/>
    <w:rsid w:val="00B8387B"/>
    <w:rsid w:val="00B85A40"/>
    <w:rsid w:val="00B86A10"/>
    <w:rsid w:val="00B872B9"/>
    <w:rsid w:val="00BA4DC0"/>
    <w:rsid w:val="00BA7AD1"/>
    <w:rsid w:val="00BA7AEB"/>
    <w:rsid w:val="00BB243B"/>
    <w:rsid w:val="00BB31BE"/>
    <w:rsid w:val="00BB3580"/>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094A"/>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1ECC"/>
    <w:rsid w:val="00D06CA0"/>
    <w:rsid w:val="00D07D61"/>
    <w:rsid w:val="00D10FED"/>
    <w:rsid w:val="00D170A2"/>
    <w:rsid w:val="00D26D95"/>
    <w:rsid w:val="00D27721"/>
    <w:rsid w:val="00D33028"/>
    <w:rsid w:val="00D36BD5"/>
    <w:rsid w:val="00D420D9"/>
    <w:rsid w:val="00D42929"/>
    <w:rsid w:val="00D51568"/>
    <w:rsid w:val="00D53833"/>
    <w:rsid w:val="00D54F2B"/>
    <w:rsid w:val="00D560CA"/>
    <w:rsid w:val="00D60396"/>
    <w:rsid w:val="00D617B5"/>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BB1"/>
    <w:rsid w:val="00DA3F35"/>
    <w:rsid w:val="00DA67C7"/>
    <w:rsid w:val="00DB34DB"/>
    <w:rsid w:val="00DB3C03"/>
    <w:rsid w:val="00DB5C0A"/>
    <w:rsid w:val="00DB7041"/>
    <w:rsid w:val="00DC6A2E"/>
    <w:rsid w:val="00DD13E2"/>
    <w:rsid w:val="00DD2B15"/>
    <w:rsid w:val="00DE1B70"/>
    <w:rsid w:val="00DE24A4"/>
    <w:rsid w:val="00DE52EA"/>
    <w:rsid w:val="00DF003C"/>
    <w:rsid w:val="00DF0645"/>
    <w:rsid w:val="00DF4501"/>
    <w:rsid w:val="00DF62A4"/>
    <w:rsid w:val="00E02F35"/>
    <w:rsid w:val="00E075AA"/>
    <w:rsid w:val="00E07824"/>
    <w:rsid w:val="00E10586"/>
    <w:rsid w:val="00E1072D"/>
    <w:rsid w:val="00E10BB4"/>
    <w:rsid w:val="00E1219F"/>
    <w:rsid w:val="00E1601D"/>
    <w:rsid w:val="00E17D32"/>
    <w:rsid w:val="00E216D9"/>
    <w:rsid w:val="00E238D2"/>
    <w:rsid w:val="00E26FCA"/>
    <w:rsid w:val="00E27219"/>
    <w:rsid w:val="00E27E28"/>
    <w:rsid w:val="00E30229"/>
    <w:rsid w:val="00E33BA9"/>
    <w:rsid w:val="00E4612B"/>
    <w:rsid w:val="00E478F1"/>
    <w:rsid w:val="00E53811"/>
    <w:rsid w:val="00E6265C"/>
    <w:rsid w:val="00E631BE"/>
    <w:rsid w:val="00E632AA"/>
    <w:rsid w:val="00E63D4F"/>
    <w:rsid w:val="00E64E0A"/>
    <w:rsid w:val="00E72AC7"/>
    <w:rsid w:val="00E75B63"/>
    <w:rsid w:val="00E85365"/>
    <w:rsid w:val="00E854AF"/>
    <w:rsid w:val="00E855FE"/>
    <w:rsid w:val="00E8604E"/>
    <w:rsid w:val="00E9008B"/>
    <w:rsid w:val="00E90766"/>
    <w:rsid w:val="00E9446F"/>
    <w:rsid w:val="00E96217"/>
    <w:rsid w:val="00E973CB"/>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2B6"/>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53AA"/>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4228"/>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689570892">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6722204">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535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Normatividad/doc/Normatividad/2019/19.-LineamInfMensualMpal_201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nografias.com/trabajos14/verific-servicios/verific-servicios.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47F5B-7B06-4FBE-81B5-64F8B6B8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9947</Words>
  <Characters>54711</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2017-07-07T18:23:00Z</cp:lastPrinted>
  <dcterms:created xsi:type="dcterms:W3CDTF">2020-11-17T23:42:00Z</dcterms:created>
  <dcterms:modified xsi:type="dcterms:W3CDTF">2020-12-17T00:55:00Z</dcterms:modified>
</cp:coreProperties>
</file>