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3F5" w:rsidRDefault="00AF0019">
      <w:pPr>
        <w:spacing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4303F5" w:rsidRDefault="004303F5">
      <w:pPr>
        <w:spacing w:line="360" w:lineRule="auto"/>
        <w:jc w:val="both"/>
        <w:rPr>
          <w:rFonts w:ascii="Palatino Linotype" w:eastAsia="Palatino Linotype" w:hAnsi="Palatino Linotype" w:cs="Palatino Linotype"/>
          <w:b/>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00817/INFOEM/IP/RR/2020</w:t>
      </w:r>
      <w:r>
        <w:rPr>
          <w:rFonts w:ascii="Palatino Linotype" w:eastAsia="Palatino Linotype" w:hAnsi="Palatino Linotype" w:cs="Palatino Linotype"/>
        </w:rPr>
        <w:t>, promovido por la C.</w:t>
      </w:r>
      <w:r>
        <w:rPr>
          <w:rFonts w:ascii="Palatino Linotype" w:eastAsia="Palatino Linotype" w:hAnsi="Palatino Linotype" w:cs="Palatino Linotype"/>
          <w:b/>
        </w:rPr>
        <w:t xml:space="preserve"> </w:t>
      </w:r>
      <w:r w:rsidR="005E0DEE">
        <w:rPr>
          <w:rFonts w:ascii="Palatino Linotype" w:eastAsia="Palatino Linotype" w:hAnsi="Palatino Linotype" w:cs="Palatino Linotype"/>
          <w:b/>
          <w:sz w:val="22"/>
          <w:szCs w:val="22"/>
        </w:rPr>
        <w:t>xxxxxxx</w:t>
      </w:r>
      <w:r>
        <w:rPr>
          <w:rFonts w:ascii="Palatino Linotype" w:eastAsia="Palatino Linotype" w:hAnsi="Palatino Linotype" w:cs="Palatino Linotype"/>
          <w:b/>
          <w:sz w:val="22"/>
          <w:szCs w:val="22"/>
        </w:rPr>
        <w:t xml:space="preserve"> </w:t>
      </w:r>
      <w:r w:rsidR="005E0DEE">
        <w:rPr>
          <w:rFonts w:ascii="Palatino Linotype" w:eastAsia="Palatino Linotype" w:hAnsi="Palatino Linotype" w:cs="Palatino Linotype"/>
          <w:b/>
          <w:sz w:val="22"/>
          <w:szCs w:val="22"/>
        </w:rPr>
        <w:t>xxxxxxx</w:t>
      </w:r>
      <w:r>
        <w:rPr>
          <w:rFonts w:ascii="Palatino Linotype" w:eastAsia="Palatino Linotype" w:hAnsi="Palatino Linotype" w:cs="Palatino Linotype"/>
          <w:b/>
          <w:sz w:val="22"/>
          <w:szCs w:val="22"/>
        </w:rPr>
        <w:t xml:space="preserve"> </w:t>
      </w:r>
      <w:r w:rsidR="005E0DEE">
        <w:rPr>
          <w:rFonts w:ascii="Palatino Linotype" w:eastAsia="Palatino Linotype" w:hAnsi="Palatino Linotype" w:cs="Palatino Linotype"/>
          <w:b/>
          <w:sz w:val="22"/>
          <w:szCs w:val="22"/>
        </w:rPr>
        <w:t>xxxxxx</w:t>
      </w:r>
      <w:r>
        <w:rPr>
          <w:rFonts w:ascii="Palatino Linotype" w:eastAsia="Palatino Linotype" w:hAnsi="Palatino Linotype" w:cs="Palatino Linotype"/>
          <w:b/>
          <w:sz w:val="22"/>
          <w:szCs w:val="22"/>
        </w:rPr>
        <w:t xml:space="preserve"> y/o </w:t>
      </w:r>
      <w:r w:rsidR="005E0DEE">
        <w:rPr>
          <w:rFonts w:ascii="Palatino Linotype" w:eastAsia="Palatino Linotype" w:hAnsi="Palatino Linotype" w:cs="Palatino Linotype"/>
          <w:b/>
          <w:sz w:val="22"/>
          <w:szCs w:val="22"/>
        </w:rPr>
        <w:t>xxxxxxx</w:t>
      </w:r>
      <w:r>
        <w:rPr>
          <w:rFonts w:ascii="Palatino Linotype" w:eastAsia="Palatino Linotype" w:hAnsi="Palatino Linotype" w:cs="Palatino Linotype"/>
          <w:b/>
          <w:sz w:val="22"/>
          <w:szCs w:val="22"/>
        </w:rPr>
        <w:t xml:space="preserve"> </w:t>
      </w:r>
      <w:r w:rsidR="005E0DEE">
        <w:rPr>
          <w:rFonts w:ascii="Palatino Linotype" w:eastAsia="Palatino Linotype" w:hAnsi="Palatino Linotype" w:cs="Palatino Linotype"/>
          <w:b/>
          <w:sz w:val="22"/>
          <w:szCs w:val="22"/>
        </w:rPr>
        <w:t>xxxxxxxx</w:t>
      </w:r>
      <w:r>
        <w:rPr>
          <w:rFonts w:ascii="Palatino Linotype" w:eastAsia="Palatino Linotype" w:hAnsi="Palatino Linotype" w:cs="Palatino Linotype"/>
          <w:b/>
          <w:sz w:val="22"/>
          <w:szCs w:val="22"/>
        </w:rPr>
        <w:t xml:space="preserve"> </w:t>
      </w:r>
      <w:r w:rsidR="005E0DEE">
        <w:rPr>
          <w:rFonts w:ascii="Palatino Linotype" w:eastAsia="Palatino Linotype" w:hAnsi="Palatino Linotype" w:cs="Palatino Linotype"/>
          <w:b/>
          <w:sz w:val="22"/>
          <w:szCs w:val="22"/>
        </w:rPr>
        <w:t>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LA RECURRENTE</w:t>
      </w:r>
      <w:r>
        <w:rPr>
          <w:rFonts w:ascii="Palatino Linotype" w:eastAsia="Palatino Linotype" w:hAnsi="Palatino Linotype" w:cs="Palatino Linotype"/>
        </w:rPr>
        <w:t xml:space="preserve">, en contra de la falta de respuesta en que incurre el </w:t>
      </w:r>
      <w:r>
        <w:rPr>
          <w:rFonts w:ascii="Palatino Linotype" w:eastAsia="Palatino Linotype" w:hAnsi="Palatino Linotype" w:cs="Palatino Linotype"/>
          <w:b/>
        </w:rPr>
        <w:t>Sistema para el Desarrollo Integral de la Familia del Estado de México</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procede a dictar la presente resolución con base en lo siguiente: </w:t>
      </w:r>
    </w:p>
    <w:p w:rsidR="004303F5" w:rsidRDefault="004303F5">
      <w:pPr>
        <w:spacing w:line="360" w:lineRule="auto"/>
        <w:jc w:val="center"/>
        <w:rPr>
          <w:rFonts w:ascii="Palatino Linotype" w:eastAsia="Palatino Linotype" w:hAnsi="Palatino Linotype" w:cs="Palatino Linotype"/>
          <w:b/>
        </w:rPr>
      </w:pPr>
    </w:p>
    <w:p w:rsidR="004303F5" w:rsidRDefault="00AF0019">
      <w:pPr>
        <w:spacing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rsidR="004303F5" w:rsidRDefault="00AF0019">
      <w:pPr>
        <w:numPr>
          <w:ilvl w:val="0"/>
          <w:numId w:val="3"/>
        </w:numPr>
        <w:pBdr>
          <w:top w:val="nil"/>
          <w:left w:val="nil"/>
          <w:bottom w:val="nil"/>
          <w:right w:val="nil"/>
          <w:between w:val="nil"/>
        </w:pBdr>
        <w:tabs>
          <w:tab w:val="left" w:pos="709"/>
        </w:tabs>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dos de diciembre de dos mil diecinueve,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presentó, a través de la Plataforma Nacional de Transparencia, vinculada con el Sistema de Acceso a la Información Mexiquense, en lo subsecuente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ante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la solicitud de acceso a la información pública, a la que se le asignó el número </w:t>
      </w:r>
      <w:r>
        <w:rPr>
          <w:rFonts w:ascii="Palatino Linotype" w:eastAsia="Palatino Linotype" w:hAnsi="Palatino Linotype" w:cs="Palatino Linotype"/>
          <w:b/>
          <w:color w:val="000000"/>
        </w:rPr>
        <w:t>00135/DIFEM/IP/2019</w:t>
      </w:r>
      <w:r>
        <w:rPr>
          <w:rFonts w:ascii="Palatino Linotype" w:eastAsia="Palatino Linotype" w:hAnsi="Palatino Linotype" w:cs="Palatino Linotype"/>
          <w:color w:val="000000"/>
        </w:rPr>
        <w:t>, mediante la cual requirió por correo electrónico y SAIMEX, lo siguiente:</w:t>
      </w:r>
    </w:p>
    <w:p w:rsidR="004303F5" w:rsidRDefault="00AF0019">
      <w:pPr>
        <w:spacing w:before="280" w:after="280"/>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“Acuerdo de la Directora General del Sistema para el Desarrollo Integral de la Familia del Estado de México por el que se modifican los lineamientos de la acción de desarrollo social.” </w:t>
      </w:r>
      <w:r>
        <w:rPr>
          <w:rFonts w:ascii="Palatino Linotype" w:eastAsia="Palatino Linotype" w:hAnsi="Palatino Linotype" w:cs="Palatino Linotype"/>
          <w:sz w:val="22"/>
          <w:szCs w:val="22"/>
        </w:rPr>
        <w:t>(Sic)</w:t>
      </w:r>
    </w:p>
    <w:p w:rsidR="004303F5" w:rsidRDefault="00AF0019">
      <w:pPr>
        <w:numPr>
          <w:ilvl w:val="0"/>
          <w:numId w:val="1"/>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las constancias que obran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fecha dos de diciembre de dos mil diecinueve,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en términos de lo dispuesto por el artículo 159 de la Ley de Transparencia y Acceso a la Información Pública del Estado de México y Municipios, requirió a la particular para que aclarara su solicitud de acceso a la información, en razón de lo siguiente:</w:t>
      </w:r>
    </w:p>
    <w:p w:rsidR="004303F5" w:rsidRDefault="00AF0019">
      <w:pPr>
        <w:spacing w:before="28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rsidR="004303F5" w:rsidRDefault="00AF001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Especificar que Lineamiento de la acción de Desarrollo Social requiere en particular</w:t>
      </w:r>
    </w:p>
    <w:p w:rsidR="004303F5" w:rsidRDefault="00AF001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4303F5" w:rsidRDefault="00AF001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4303F5" w:rsidRDefault="00AF0019">
      <w:pPr>
        <w:spacing w:after="28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MAESTRA ITANDEHUI MARÍA BORJA GARCÍA” (Sic)</w:t>
      </w:r>
    </w:p>
    <w:p w:rsidR="004303F5" w:rsidRDefault="00AF0019">
      <w:pPr>
        <w:widowControl w:val="0"/>
        <w:numPr>
          <w:ilvl w:val="0"/>
          <w:numId w:val="1"/>
        </w:numPr>
        <w:pBdr>
          <w:top w:val="nil"/>
          <w:left w:val="nil"/>
          <w:bottom w:val="nil"/>
          <w:right w:val="nil"/>
          <w:between w:val="nil"/>
        </w:pBdr>
        <w:tabs>
          <w:tab w:val="left" w:pos="0"/>
        </w:tabs>
        <w:spacing w:before="280" w:line="360" w:lineRule="auto"/>
        <w:ind w:left="0" w:firstLine="0"/>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color w:val="000000"/>
        </w:rPr>
        <w:t xml:space="preserve">De las constancias que integran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advierte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no dio respuesta a la solicitud de acceso a la información.</w:t>
      </w:r>
    </w:p>
    <w:p w:rsidR="004303F5" w:rsidRDefault="004303F5">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1"/>
        </w:numPr>
        <w:pBdr>
          <w:top w:val="nil"/>
          <w:left w:val="nil"/>
          <w:bottom w:val="nil"/>
          <w:right w:val="nil"/>
          <w:between w:val="nil"/>
        </w:pBdr>
        <w:tabs>
          <w:tab w:val="left" w:pos="0"/>
        </w:tabs>
        <w:spacing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 falta de respuesta en que incurre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fecha treinta de enero de dos mil veinte,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a través del</w:t>
      </w:r>
      <w:r>
        <w:rPr>
          <w:rFonts w:ascii="Palatino Linotype" w:eastAsia="Palatino Linotype" w:hAnsi="Palatino Linotype" w:cs="Palatino Linotype"/>
          <w:b/>
          <w:color w:val="000000"/>
        </w:rPr>
        <w:t xml:space="preserve"> SAIMEX, </w:t>
      </w:r>
      <w:r>
        <w:rPr>
          <w:rFonts w:ascii="Palatino Linotype" w:eastAsia="Palatino Linotype" w:hAnsi="Palatino Linotype" w:cs="Palatino Linotype"/>
          <w:color w:val="000000"/>
        </w:rPr>
        <w:t>interpuso el recurso de revisión objeto del presente estudio, al que se le asignó el número al rubro citado, en el que señaló como acto impugnado, lo siguiente:</w:t>
      </w:r>
    </w:p>
    <w:p w:rsidR="004303F5" w:rsidRDefault="00AF0019">
      <w:pPr>
        <w:spacing w:before="280" w:after="280"/>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“Explicando el acuerdo requerido, es que solo necesito saber en qué consiste el antes mencionado acuerdo </w:t>
      </w:r>
      <w:r>
        <w:rPr>
          <w:rFonts w:ascii="Palatino Linotype" w:eastAsia="Palatino Linotype" w:hAnsi="Palatino Linotype" w:cs="Palatino Linotype"/>
          <w:sz w:val="22"/>
          <w:szCs w:val="22"/>
        </w:rPr>
        <w:t>(Sic)</w:t>
      </w:r>
    </w:p>
    <w:p w:rsidR="004303F5" w:rsidRDefault="00AF001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indicó como razones o motivos de inconformidad:</w:t>
      </w:r>
    </w:p>
    <w:p w:rsidR="004303F5" w:rsidRDefault="00AF0019">
      <w:pPr>
        <w:spacing w:before="280" w:after="280"/>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 xml:space="preserve">“Explicando el acuerdo requerido, es que solo necesito saber en que consiste el antes mencionado acuerdo </w:t>
      </w:r>
      <w:r>
        <w:rPr>
          <w:rFonts w:ascii="Palatino Linotype" w:eastAsia="Palatino Linotype" w:hAnsi="Palatino Linotype" w:cs="Palatino Linotype"/>
          <w:sz w:val="22"/>
          <w:szCs w:val="22"/>
        </w:rPr>
        <w:t>(Sic)</w:t>
      </w:r>
    </w:p>
    <w:p w:rsidR="004303F5" w:rsidRDefault="00AF0019">
      <w:pPr>
        <w:widowControl w:val="0"/>
        <w:numPr>
          <w:ilvl w:val="0"/>
          <w:numId w:val="1"/>
        </w:numPr>
        <w:pBdr>
          <w:top w:val="nil"/>
          <w:left w:val="nil"/>
          <w:bottom w:val="nil"/>
          <w:right w:val="nil"/>
          <w:between w:val="nil"/>
        </w:pBdr>
        <w:tabs>
          <w:tab w:val="left" w:pos="0"/>
        </w:tabs>
        <w:spacing w:before="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treinta de enero de dos mil veinte,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Comisionada </w:t>
      </w:r>
      <w:r>
        <w:rPr>
          <w:rFonts w:ascii="Palatino Linotype" w:eastAsia="Palatino Linotype" w:hAnsi="Palatino Linotype" w:cs="Palatino Linotype"/>
          <w:b/>
          <w:color w:val="000000"/>
        </w:rPr>
        <w:t>EVA ABAID YAPUR</w:t>
      </w:r>
      <w:r>
        <w:rPr>
          <w:rFonts w:ascii="Palatino Linotype" w:eastAsia="Palatino Linotype" w:hAnsi="Palatino Linotype" w:cs="Palatino Linotype"/>
          <w:color w:val="000000"/>
        </w:rPr>
        <w:t>, a efecto de que decretara su admisión o desechamiento.</w:t>
      </w:r>
    </w:p>
    <w:p w:rsidR="004303F5" w:rsidRDefault="004303F5">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seis de febrero de dos mil veinte,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realizara manifestaciones, alegatos y ofreciera las pruebas que a su derecho conviniera y, en el caso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para que exhibiera el Informe Justificado correspondiente.</w:t>
      </w:r>
    </w:p>
    <w:p w:rsidR="004303F5" w:rsidRDefault="004303F5">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4303F5" w:rsidRDefault="00AF0019">
      <w:pPr>
        <w:numPr>
          <w:ilvl w:val="0"/>
          <w:numId w:val="1"/>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advierte que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no presentó manifestaciones, alegatos ni rindió los medios de prueba que a su derecho convinieran; por su parte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remitió los archivos electrónicos </w:t>
      </w:r>
      <w:r>
        <w:rPr>
          <w:rFonts w:ascii="Palatino Linotype" w:eastAsia="Palatino Linotype" w:hAnsi="Palatino Linotype" w:cs="Palatino Linotype"/>
          <w:b/>
          <w:color w:val="000000"/>
        </w:rPr>
        <w:t xml:space="preserve">CUMPLIMEINTO A LA RESOLUCIÓN817 DE 2020SOLICITUD 135.DOC </w:t>
      </w:r>
      <w:r>
        <w:rPr>
          <w:rFonts w:ascii="Palatino Linotype" w:eastAsia="Palatino Linotype" w:hAnsi="Palatino Linotype" w:cs="Palatino Linotype"/>
          <w:color w:val="000000"/>
        </w:rPr>
        <w:t xml:space="preserve">e </w:t>
      </w:r>
      <w:r>
        <w:rPr>
          <w:rFonts w:ascii="Palatino Linotype" w:eastAsia="Palatino Linotype" w:hAnsi="Palatino Linotype" w:cs="Palatino Linotype"/>
          <w:b/>
          <w:color w:val="000000"/>
        </w:rPr>
        <w:t xml:space="preserve">INFORME de cumplimiento de resolución </w:t>
      </w:r>
      <w:r>
        <w:rPr>
          <w:rFonts w:ascii="Palatino Linotype" w:eastAsia="Palatino Linotype" w:hAnsi="Palatino Linotype" w:cs="Palatino Linotype"/>
          <w:b/>
          <w:color w:val="000000"/>
        </w:rPr>
        <w:lastRenderedPageBreak/>
        <w:t xml:space="preserve">INFOEM817 2020.doc </w:t>
      </w:r>
      <w:r>
        <w:rPr>
          <w:rFonts w:ascii="Palatino Linotype" w:eastAsia="Palatino Linotype" w:hAnsi="Palatino Linotype" w:cs="Palatino Linotype"/>
          <w:color w:val="000000"/>
        </w:rPr>
        <w:t>mismos que no se pusieron a la vista del particular, en términos del artículo 185, fracción III de la Ley de Transparencia y Acceso a la Información Pública del Estado de México y Municipios, sin embargo su contenido se hace del conocimiento del particular a continuación:</w:t>
      </w:r>
    </w:p>
    <w:p w:rsidR="004303F5" w:rsidRDefault="00AF0019">
      <w:pPr>
        <w:spacing w:before="28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DE JUSTIFICACIÓN AL RECURSO DE REVISIÓN</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00817/INFOEM/IP/RR/2020</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Derivado del recurso de revisión No. 00817/INFOEM/IP/RR/2020, de fecha 30 de enero de 2020, en el que se solicita lo siguiente:</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ACTO IMPUGNADO: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“Explicando el acuerdo requerido, es que solo necesito saber en qué consiste el antes mencionado acuerdo”.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Comento que la solicitud 00135/DIFEM/IP/2019, ingresada con fecha 2 de diciembre de 2019 a las 12:46:29, en la que  solicita “Acuerdo de la Directora General del Sistema para el Desarrollo Integral de la Familia del Estado de México por el que se modifican los lineamientos de la acción de desarrollo social”; se solicitó Aclaración Parcial de acuerdo al artículo 159 de la Ley de Transparencia y Acceso a la Información Pública del Estado de México y Municipios “Solicito de la manera más atenta, especificar que Lineamiento de la acción de Desarrollo Social requiere en particular para poder hacer la búsqueda y darle respuesta satisfactoria”.</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mismo día con dos minutos y segundo de diferencia ingresa una nueva solicitud ya solicitando con folio No.00136/DIFEM/IP/2019, por medio de la cual se solicita lo siguiente:</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“Lineamientos de operación de la acción de desarrollo social adopciones”</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este sentido y en cumplimiento a la petición, se brindó la información solicitada, se transcribe respuesta proporcionada:</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Al respecto me permito informarle que con fundamento en los artículos 1, 4, 11, 12, 23, 51, 59, 162 y 163 de la Ley de Transparencia y Acceso a la información Pública </w:t>
      </w:r>
      <w:r>
        <w:rPr>
          <w:rFonts w:ascii="Palatino Linotype" w:eastAsia="Palatino Linotype" w:hAnsi="Palatino Linotype" w:cs="Palatino Linotype"/>
          <w:i/>
          <w:sz w:val="22"/>
          <w:szCs w:val="22"/>
        </w:rPr>
        <w:lastRenderedPageBreak/>
        <w:t>del Estado de México y Municipios y con fundamento en los Artículos 88 y 90 de la Ley de los Derechos de las Niñas, Niños y Adolescentes del Estado de México y 20 del Reglamento Interior del Sistema para el Desarrollo Integral de la Familia del Estado de México,  en los que se señalan el objeto y la atribuciones de esta Procuraduría, los cuales van encaminados a la protección integral y la restitución de los derechos de la Niñas, Niños y Adolescentes y después de realizar una búsqueda en los archivos a partir de la creación de esta Procuraduría de Protección de Niñas, Niños y Adolescentes que pertenece al sujeto obligado Sistema para el Desarrollo Integral de la Familia del Estado de México, se informa que mediante acuerdo del Comité de Admisión, Seguimiento y Evaluación de los Programas Sociales del Sistema para el Desarrollo Integral de la Familia del Estado de México CASE-DIFEM-ORD-10-2016-004 tomado en su Sesión de fecha 20 de mayo de 2016, se aprobó la abrogación de los Lineamientos de Operación de la Acción de Desarrollo Social “Adopciones”.</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 decir, se le proporcionó de manera oportuna la información solicitada; sin embargo, a través del recurso de revisión 00817/INFOEM/IP/RR/2020, ahora se solicita el contenido del acuerdo anteriormente señalado, por lo que, a continuación, se describe el acuerdo: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Décima Sesión Ordinaria CASE-DIFEM, 20/02/2016</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Acuerdo CASE-DIFEM-ORD-10-2016-004 </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Admisión, Seguimiento y Evaluación de Programas de Desarrollo Social del Sistema para el Desarrollo Integral de la Familia del Estado de México, aprueban por unanimidad de votos la abrogación de los Lineamientos de Operación de la Acción Adopciones, bajo la operación de la Dirección de Servicios Jurídico-Asistenciales”.</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conclusión, el recurso de revisión esta interpuesto a una solicitud que no era clara en su requerimiento y a la cual se solicitó aclaración el día dos de diciembre a las 17:32:37, a pesar de ello, pasaron los 10 días que marca la Ley para su aclaración sin tener la respuesta del solicitante; sin embargo, en cumplimiento de la normatividad y el derecho que tiene la ciudadanía al acceso a la información se entrega nuevamente la información con la que cuenta este Sujeto Obligado.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DE CUMPLIMIENTO DE LA RESOLUCIÓN</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spacing w:after="28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la sesión del 11 de febrero 2020, el Comité de Transparencia del Sistema para el Desarrollo Integral de la Familia del Estado de México, aprobó estructura de la Información que será entregada para dar cumplimiento a la Resolución emitida por el INFOEM, mismo que fue entregado vía SAIMEX, con ello se atiende al Recurso de Revisión 0817/INFOEM/IP/RR/2020. Así mismo con fundamento a los artículos 198 y 199 de la Ley de Transparencia y Acceso a la Información Pública del Estada de México y Municipios se informa se dio cumplimiento a la Normatividad aplicable</w:t>
      </w:r>
    </w:p>
    <w:p w:rsidR="004303F5" w:rsidRDefault="00AF0019">
      <w:pPr>
        <w:numPr>
          <w:ilvl w:val="0"/>
          <w:numId w:val="1"/>
        </w:numPr>
        <w:pBdr>
          <w:top w:val="nil"/>
          <w:left w:val="nil"/>
          <w:bottom w:val="nil"/>
          <w:right w:val="nil"/>
          <w:between w:val="nil"/>
        </w:pBdr>
        <w:spacing w:before="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Una vez analizado el estado procesal que guardaba el expediente, en diecinueve de marzo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4303F5" w:rsidRDefault="004303F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303F5" w:rsidRDefault="00AF001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fecha diecinueve de marzo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303F5" w:rsidRDefault="00AF0019">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CONSIDERANDO</w:t>
      </w:r>
    </w:p>
    <w:p w:rsidR="004303F5" w:rsidRDefault="004303F5">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color w:val="000000"/>
          <w:sz w:val="28"/>
          <w:szCs w:val="28"/>
        </w:rPr>
      </w:pPr>
    </w:p>
    <w:p w:rsidR="004303F5" w:rsidRDefault="00AF0019">
      <w:pPr>
        <w:widowControl w:val="0"/>
        <w:numPr>
          <w:ilvl w:val="0"/>
          <w:numId w:val="2"/>
        </w:numPr>
        <w:pBdr>
          <w:top w:val="nil"/>
          <w:left w:val="nil"/>
          <w:bottom w:val="nil"/>
          <w:right w:val="nil"/>
          <w:between w:val="nil"/>
        </w:pBdr>
        <w:tabs>
          <w:tab w:val="left" w:pos="1701"/>
          <w:tab w:val="left" w:pos="1843"/>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Competencia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w:t>
      </w:r>
      <w:r>
        <w:rPr>
          <w:rFonts w:ascii="Palatino Linotype" w:eastAsia="Palatino Linotype" w:hAnsi="Palatino Linotype" w:cs="Palatino Linotype"/>
          <w:color w:val="000000"/>
        </w:rPr>
        <w:lastRenderedPageBreak/>
        <w:t>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4303F5" w:rsidRDefault="004303F5">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2"/>
        </w:numPr>
        <w:pBdr>
          <w:top w:val="nil"/>
          <w:left w:val="nil"/>
          <w:bottom w:val="nil"/>
          <w:right w:val="nil"/>
          <w:between w:val="nil"/>
        </w:pBdr>
        <w:tabs>
          <w:tab w:val="left" w:pos="1701"/>
          <w:tab w:val="left" w:pos="1843"/>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 Interés.</w:t>
      </w:r>
      <w:r>
        <w:rPr>
          <w:rFonts w:ascii="Palatino Linotype" w:eastAsia="Palatino Linotype" w:hAnsi="Palatino Linotype" w:cs="Palatino Linotype"/>
          <w:color w:val="000000"/>
        </w:rPr>
        <w:t xml:space="preserve"> El recurso de revisión fue interpuesto por parte legítima en atención a que fue presentado por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quien formuló la solicitud de información pública número </w:t>
      </w:r>
      <w:r>
        <w:rPr>
          <w:rFonts w:ascii="Palatino Linotype" w:eastAsia="Palatino Linotype" w:hAnsi="Palatino Linotype" w:cs="Palatino Linotype"/>
          <w:b/>
          <w:color w:val="000000"/>
        </w:rPr>
        <w:t>0135/DIFEM/IP/2019</w:t>
      </w:r>
      <w:r>
        <w:rPr>
          <w:rFonts w:ascii="Palatino Linotype" w:eastAsia="Palatino Linotype" w:hAnsi="Palatino Linotype" w:cs="Palatino Linotype"/>
          <w:color w:val="000000"/>
        </w:rPr>
        <w:t>.</w:t>
      </w:r>
    </w:p>
    <w:p w:rsidR="004303F5" w:rsidRDefault="004303F5">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2"/>
        </w:numPr>
        <w:pBdr>
          <w:top w:val="nil"/>
          <w:left w:val="nil"/>
          <w:bottom w:val="nil"/>
          <w:right w:val="nil"/>
          <w:between w:val="nil"/>
        </w:pBdr>
        <w:spacing w:after="280"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Oportunidad. </w:t>
      </w:r>
      <w:r>
        <w:rPr>
          <w:rFonts w:ascii="Palatino Linotype" w:eastAsia="Palatino Linotype" w:hAnsi="Palatino Linotype" w:cs="Palatino Linotype"/>
          <w:color w:val="000000"/>
        </w:rPr>
        <w:t>Es de precisar que la Ley de Transparencia y Acceso a la Información Pública del Estado de México y Municipios, describe el mecanismo de procedencia de los recursos de revisión, como se puede apreciar en el siguiente artículo:</w:t>
      </w:r>
    </w:p>
    <w:p w:rsidR="004303F5" w:rsidRDefault="00AF0019">
      <w:pPr>
        <w:spacing w:before="28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163.</w:t>
      </w:r>
      <w:r>
        <w:rPr>
          <w:rFonts w:ascii="Palatino Linotype" w:eastAsia="Palatino Linotype" w:hAnsi="Palatino Linotype" w:cs="Palatino Linotype"/>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4303F5" w:rsidRDefault="00AF001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4303F5" w:rsidRDefault="004303F5">
      <w:pPr>
        <w:spacing w:line="360" w:lineRule="auto"/>
        <w:ind w:right="49"/>
        <w:jc w:val="both"/>
        <w:rPr>
          <w:rFonts w:ascii="Palatino Linotype" w:eastAsia="Palatino Linotype" w:hAnsi="Palatino Linotype" w:cs="Palatino Linotype"/>
          <w:color w:val="000000"/>
        </w:rPr>
      </w:pPr>
    </w:p>
    <w:p w:rsidR="004303F5" w:rsidRDefault="00AF0019">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interpretación al precepto legal inserto, se obtiene que el plazo que les asiste a los Sujetos Obligados para entregar la respuesta a una solicitud de información pública </w:t>
      </w:r>
      <w:r>
        <w:rPr>
          <w:rFonts w:ascii="Palatino Linotype" w:eastAsia="Palatino Linotype" w:hAnsi="Palatino Linotype" w:cs="Palatino Linotype"/>
          <w:color w:val="000000"/>
        </w:rPr>
        <w:lastRenderedPageBreak/>
        <w:t>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4303F5" w:rsidRDefault="004303F5">
      <w:pPr>
        <w:spacing w:line="360" w:lineRule="auto"/>
        <w:ind w:right="49"/>
        <w:jc w:val="both"/>
        <w:rPr>
          <w:rFonts w:ascii="Palatino Linotype" w:eastAsia="Palatino Linotype" w:hAnsi="Palatino Linotype" w:cs="Palatino Linotype"/>
          <w:color w:val="000000"/>
        </w:rPr>
      </w:pPr>
    </w:p>
    <w:p w:rsidR="004303F5" w:rsidRDefault="00AF0019">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se constituye la figura jurídica de la </w:t>
      </w:r>
      <w:r>
        <w:rPr>
          <w:rFonts w:ascii="Palatino Linotype" w:eastAsia="Palatino Linotype" w:hAnsi="Palatino Linotype" w:cs="Palatino Linotype"/>
          <w:b/>
          <w:color w:val="000000"/>
        </w:rPr>
        <w:t>NEGATIVA FICTA</w:t>
      </w:r>
      <w:r>
        <w:rPr>
          <w:rFonts w:ascii="Palatino Linotype" w:eastAsia="Palatino Linotype" w:hAnsi="Palatino Linotype" w:cs="Palatino Linotype"/>
          <w:color w:val="000000"/>
        </w:rPr>
        <w:t>, cuya esencia consiste en atribuir un efecto negativo al silencio de la autoridad administrativa frente a las instancias y solicitudes que hagan los particulares.</w:t>
      </w:r>
    </w:p>
    <w:p w:rsidR="004303F5" w:rsidRDefault="00AF0019">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178 de la Ley de Transparencia y Acceso a la Información Pública del Estado de México y Municipios, establece:</w:t>
      </w:r>
    </w:p>
    <w:p w:rsidR="004303F5" w:rsidRDefault="004303F5">
      <w:pPr>
        <w:ind w:left="851" w:right="902"/>
        <w:jc w:val="both"/>
        <w:rPr>
          <w:rFonts w:ascii="Palatino Linotype" w:eastAsia="Palatino Linotype" w:hAnsi="Palatino Linotype" w:cs="Palatino Linotype"/>
          <w:i/>
          <w:color w:val="000000"/>
          <w:sz w:val="22"/>
          <w:szCs w:val="22"/>
        </w:rPr>
      </w:pPr>
    </w:p>
    <w:p w:rsidR="004303F5" w:rsidRDefault="00AF001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178. </w:t>
      </w:r>
      <w:r>
        <w:rPr>
          <w:rFonts w:ascii="Palatino Linotype" w:eastAsia="Palatino Linotype" w:hAnsi="Palatino Linotype" w:cs="Palatino Linotype"/>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303F5" w:rsidRDefault="00AF001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 falta de respuesta del sujeto obligado, dentro de los plazos establecidos en esta Ley, a una solicitud de acceso a la información pública, el recurso podrá ser interpuesto en cualquier momento</w:t>
      </w:r>
      <w:r>
        <w:rPr>
          <w:rFonts w:ascii="Palatino Linotype" w:eastAsia="Palatino Linotype" w:hAnsi="Palatino Linotype" w:cs="Palatino Linotype"/>
          <w:i/>
          <w:color w:val="000000"/>
          <w:sz w:val="22"/>
          <w:szCs w:val="22"/>
        </w:rPr>
        <w:t>, acompañado con el documento que pruebe la fecha en que presentó la solicitud.</w:t>
      </w:r>
    </w:p>
    <w:p w:rsidR="004303F5" w:rsidRDefault="00AF001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 que se interponga ante la Unidad de Transparencia, ésta deberá remitir el recurso de revisión al Instituto a más tardar al día siguiente de haberlo recibido.” (Sic)</w:t>
      </w:r>
    </w:p>
    <w:p w:rsidR="004303F5" w:rsidRDefault="00AF0019">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sin embargo, tratándose de negativa ficta </w:t>
      </w:r>
      <w:r>
        <w:rPr>
          <w:rFonts w:ascii="Palatino Linotype" w:eastAsia="Palatino Linotype" w:hAnsi="Palatino Linotype" w:cs="Palatino Linotype"/>
          <w:color w:val="000000"/>
        </w:rPr>
        <w:lastRenderedPageBreak/>
        <w:t xml:space="preserve">no existe resolución que se haga del conocimiento del particular a partir de la cual pueda computarse dicho plazo, por tal motivo es pertinente establecer que no existe plazo para la interposición del recurso de revisión. </w:t>
      </w:r>
    </w:p>
    <w:p w:rsidR="004303F5" w:rsidRDefault="004303F5">
      <w:pPr>
        <w:spacing w:line="360" w:lineRule="auto"/>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4303F5" w:rsidRDefault="004303F5">
      <w:pPr>
        <w:ind w:left="851" w:right="899"/>
        <w:jc w:val="center"/>
        <w:rPr>
          <w:rFonts w:ascii="Palatino Linotype" w:eastAsia="Palatino Linotype" w:hAnsi="Palatino Linotype" w:cs="Palatino Linotype"/>
          <w:b/>
          <w:sz w:val="22"/>
          <w:szCs w:val="22"/>
        </w:rPr>
      </w:pPr>
    </w:p>
    <w:p w:rsidR="004303F5" w:rsidRDefault="00AF0019">
      <w:pPr>
        <w:ind w:left="851" w:right="899"/>
        <w:jc w:val="center"/>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Criterio 0001-15</w:t>
      </w:r>
    </w:p>
    <w:p w:rsidR="004303F5" w:rsidRDefault="00AF0019">
      <w:pPr>
        <w:spacing w:after="28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NEGATIVA FICTA. PLAZO PARA INTERPONER EL RECURSO DE REVISIÓN TRATÁNDOSE DE.</w:t>
      </w:r>
      <w:r>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rsidR="004303F5" w:rsidRDefault="00AF0019">
      <w:pPr>
        <w:widowControl w:val="0"/>
        <w:numPr>
          <w:ilvl w:val="0"/>
          <w:numId w:val="2"/>
        </w:numPr>
        <w:pBdr>
          <w:top w:val="nil"/>
          <w:left w:val="nil"/>
          <w:bottom w:val="nil"/>
          <w:right w:val="nil"/>
          <w:between w:val="nil"/>
        </w:pBdr>
        <w:tabs>
          <w:tab w:val="left" w:pos="1701"/>
          <w:tab w:val="left" w:pos="1843"/>
        </w:tabs>
        <w:spacing w:before="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Procedibilidad.</w:t>
      </w:r>
      <w:r>
        <w:rPr>
          <w:rFonts w:ascii="Palatino Linotype" w:eastAsia="Palatino Linotype" w:hAnsi="Palatino Linotype" w:cs="Palatino Linotype"/>
          <w:color w:val="000000"/>
        </w:rPr>
        <w:t xml:space="preserve"> Del análisis efectuado, se advierte la procedibilidad del presente recurso de revisión, en razón de acreditación plena de todos y cada uno de los elementos formales exigidos por el artículo 180 de la Ley de Transparencia y </w:t>
      </w:r>
      <w:r>
        <w:rPr>
          <w:rFonts w:ascii="Palatino Linotype" w:eastAsia="Palatino Linotype" w:hAnsi="Palatino Linotype" w:cs="Palatino Linotype"/>
          <w:color w:val="000000"/>
        </w:rPr>
        <w:lastRenderedPageBreak/>
        <w:t xml:space="preserve">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w:t>
      </w:r>
    </w:p>
    <w:p w:rsidR="004303F5" w:rsidRDefault="004303F5">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2"/>
        </w:numPr>
        <w:pBdr>
          <w:top w:val="nil"/>
          <w:left w:val="nil"/>
          <w:bottom w:val="nil"/>
          <w:right w:val="nil"/>
          <w:between w:val="nil"/>
        </w:pBdr>
        <w:tabs>
          <w:tab w:val="left" w:pos="1276"/>
        </w:tabs>
        <w:spacing w:after="280"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Estudio y resolución del asunto.</w:t>
      </w:r>
      <w:r>
        <w:rPr>
          <w:rFonts w:ascii="Palatino Linotype" w:eastAsia="Palatino Linotype" w:hAnsi="Palatino Linotype" w:cs="Palatino Linotype"/>
          <w:color w:val="000000"/>
        </w:rPr>
        <w:t xml:space="preserve"> Del análisis efectuado, se advierte que el Recurso de Revisión de que se trata es procedente; toda vez, que se actualizan las hipótesis previstas en las fracciones VII del artículo 179 de la Ley de la materia, que a la letra dice:</w:t>
      </w:r>
    </w:p>
    <w:p w:rsidR="004303F5" w:rsidRDefault="00AF0019">
      <w:pPr>
        <w:spacing w:before="28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179.</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revisión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medio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protección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otorga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particulares,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hacer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valer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derecho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acceso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procederá</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contra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siguientes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causas:</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4303F5" w:rsidRDefault="00AF0019">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falta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respuesta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una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solicitud</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acceso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p>
    <w:p w:rsidR="004303F5" w:rsidRDefault="004303F5">
      <w:pPr>
        <w:ind w:left="851" w:right="902"/>
        <w:jc w:val="both"/>
        <w:rPr>
          <w:rFonts w:ascii="Palatino Linotype" w:eastAsia="Palatino Linotype" w:hAnsi="Palatino Linotype" w:cs="Palatino Linotype"/>
          <w:b/>
          <w:i/>
          <w:sz w:val="22"/>
          <w:szCs w:val="22"/>
        </w:rPr>
      </w:pPr>
    </w:p>
    <w:p w:rsidR="004303F5" w:rsidRDefault="00AF0019">
      <w:pPr>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r>
        <w:rPr>
          <w:rFonts w:ascii="Palatino Linotype" w:eastAsia="Palatino Linotype" w:hAnsi="Palatino Linotype" w:cs="Palatino Linotype"/>
          <w:b/>
          <w:i/>
        </w:rPr>
        <w:t xml:space="preserve"> </w:t>
      </w:r>
    </w:p>
    <w:p w:rsidR="004303F5" w:rsidRDefault="00AF0019">
      <w:pPr>
        <w:ind w:left="851"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(Énfasis añadido.)</w:t>
      </w:r>
    </w:p>
    <w:p w:rsidR="004303F5" w:rsidRDefault="004303F5">
      <w:pPr>
        <w:spacing w:line="360" w:lineRule="auto"/>
        <w:ind w:right="49"/>
        <w:jc w:val="both"/>
        <w:rPr>
          <w:rFonts w:ascii="Palatino Linotype" w:eastAsia="Palatino Linotype" w:hAnsi="Palatino Linotype" w:cs="Palatino Linotype"/>
        </w:rPr>
      </w:pPr>
    </w:p>
    <w:p w:rsidR="004303F5" w:rsidRDefault="00AF001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Una vez determinada la vía sobre la que versará el presente asunto y previa revisión del expediente electrónico formado en 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por motivo de la solicitud de información y del recurso a que da origen, se observa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dio respuesta a la solicitud de información planteada por el particular, lo que se traduce como la configuración de la </w:t>
      </w:r>
      <w:r>
        <w:rPr>
          <w:rFonts w:ascii="Palatino Linotype" w:eastAsia="Palatino Linotype" w:hAnsi="Palatino Linotype" w:cs="Palatino Linotype"/>
          <w:b/>
        </w:rPr>
        <w:t xml:space="preserve">NEGATIVA FICTA; </w:t>
      </w:r>
      <w:r>
        <w:rPr>
          <w:rFonts w:ascii="Palatino Linotype" w:eastAsia="Palatino Linotype" w:hAnsi="Palatino Linotype" w:cs="Palatino Linotype"/>
        </w:rPr>
        <w:t xml:space="preserve">lo anterior, ya que si bien hizo el requerimiento de aclaración, también lo es que ante la ausencia del desahogo del mismo, no se desprendió pronunciamiento alguno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4303F5" w:rsidRDefault="004303F5">
      <w:pPr>
        <w:spacing w:line="360" w:lineRule="auto"/>
        <w:ind w:right="49"/>
        <w:jc w:val="both"/>
        <w:rPr>
          <w:rFonts w:ascii="Palatino Linotype" w:eastAsia="Palatino Linotype" w:hAnsi="Palatino Linotype" w:cs="Palatino Linotype"/>
        </w:rPr>
      </w:pPr>
    </w:p>
    <w:p w:rsidR="004303F5" w:rsidRDefault="00AF0019">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Previo a exponer los argumentos que justifiquen la afirmación que antecede, primeramente, es importante recordar que</w:t>
      </w:r>
      <w:r>
        <w:rPr>
          <w:rFonts w:ascii="Palatino Linotype" w:eastAsia="Palatino Linotype" w:hAnsi="Palatino Linotype" w:cs="Palatino Linotype"/>
          <w:color w:val="000000"/>
        </w:rPr>
        <w:t xml:space="preserve"> el particular requirió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información referida en el Resultando I de la Presente resolución.</w:t>
      </w:r>
    </w:p>
    <w:p w:rsidR="004303F5" w:rsidRDefault="004303F5">
      <w:pPr>
        <w:spacing w:line="360" w:lineRule="auto"/>
        <w:ind w:right="49"/>
        <w:jc w:val="both"/>
        <w:rPr>
          <w:rFonts w:ascii="Palatino Linotype" w:eastAsia="Palatino Linotype" w:hAnsi="Palatino Linotype" w:cs="Palatino Linotype"/>
          <w:color w:val="000000"/>
        </w:rPr>
      </w:pPr>
    </w:p>
    <w:p w:rsidR="004303F5" w:rsidRDefault="00AF0019">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de las constancias que obran en el expediente electrónico del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el servidor público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solicitó una aclaración respecto de la información solicitada por el particular, sin que esta haya sido atendida por el particular y de esta forma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dio respuesta o tramitación alguna a la solicitud de acceso a la información, motivo por el cual el hoy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medio de defensa de análisis</w:t>
      </w:r>
    </w:p>
    <w:p w:rsidR="004303F5" w:rsidRDefault="004303F5">
      <w:pPr>
        <w:spacing w:line="360" w:lineRule="auto"/>
        <w:ind w:right="49"/>
        <w:jc w:val="both"/>
        <w:rPr>
          <w:rFonts w:ascii="Palatino Linotype" w:eastAsia="Palatino Linotype" w:hAnsi="Palatino Linotype" w:cs="Palatino Linotype"/>
        </w:rPr>
      </w:pPr>
    </w:p>
    <w:p w:rsidR="004303F5" w:rsidRDefault="00AF001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rindió su Informe Justificado adjuntando </w:t>
      </w:r>
      <w:r>
        <w:rPr>
          <w:rFonts w:ascii="Palatino Linotype" w:eastAsia="Palatino Linotype" w:hAnsi="Palatino Linotype" w:cs="Palatino Linotype"/>
          <w:b/>
        </w:rPr>
        <w:t xml:space="preserve">CUMPLIMEINTO A LA RESOLUCIÓN817 DE 2020SOLICITUD 135.DOC e INFORME de cumplimiento de resolución INFOEM817 2020.doc </w:t>
      </w:r>
      <w:r>
        <w:rPr>
          <w:rFonts w:ascii="Palatino Linotype" w:eastAsia="Palatino Linotype" w:hAnsi="Palatino Linotype" w:cs="Palatino Linotype"/>
        </w:rPr>
        <w:t>mediante los cuales el servidor público habilitado informó lo siguiente:</w:t>
      </w:r>
    </w:p>
    <w:p w:rsidR="004303F5" w:rsidRDefault="004303F5">
      <w:pPr>
        <w:ind w:left="851" w:right="902"/>
        <w:jc w:val="both"/>
        <w:rPr>
          <w:rFonts w:ascii="Palatino Linotype" w:eastAsia="Palatino Linotype" w:hAnsi="Palatino Linotype" w:cs="Palatino Linotype"/>
          <w:b/>
          <w:i/>
          <w:sz w:val="22"/>
          <w:szCs w:val="22"/>
        </w:rPr>
      </w:pPr>
    </w:p>
    <w:p w:rsidR="004303F5" w:rsidRDefault="00AF0019">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DE JUSTIFICACIÓN AL RECURSO DE REVISIÓN</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00817/INFOEM/IP/RR/2020</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Derivado del recurso de revisión No. 00817/INFOEM/IP/RR/2020, de fecha 30 de enero de 2020, en el que se solicita lo siguiente:</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ACTO IMPUGNADO: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“Explicando el acuerdo requerido, es que solo necesito saber en qué consiste el antes mencionado acuerdo”.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Comento que la solicitud 00135/DIFEM/IP/2019, ingresada con fecha 2 de diciembre de 2019 a las 12:46:29, en la que  solicita “Acuerdo de la Directora General del Sistema para el Desarrollo Integral de la Familia del Estado de México por el que se modifican los lineamientos de la acción de desarrollo social”; se solicitó Aclaración Parcial de acuerdo al artículo 159 de la Ley de Transparencia y Acceso a la Información Pública del Estado de México y Municipios “Solicito de la manera más atenta, especificar que Lineamiento de la acción de Desarrollo Social requiere en particular para poder hacer la búsqueda y darle respuesta satisfactoria”.</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mismo día con dos minutos y segundo de diferencia ingresa una nueva solicitud ya solicitando con folio No.00136/DIFEM/IP/2019, por medio de la cual se solicita lo siguiente:</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“Lineamientos de operación de la acción de desarrollo social adopciones”</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este sentido y en cumplimiento a la petición, se brindó la información solicitada, se transcribe respuesta proporcionada:</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Al respecto me permito informarle que con fundamento en los artículos 1, 4, 11, 12, 23, 51, 59, 162 y 163 de la Ley de Transparencia y Acceso a la información Pública del Estado de México y Municipios y con fundamento en los Artículos 88 y 90 de la Ley de los Derechos de las Niñas, Niños y Adolescentes del Estado de México y 20 del Reglamento Interior del Sistema para el Desarrollo Integral de la Familia del Estado de México,  en los que se señalan el objeto y la atribuciones de esta Procuraduría, los cuales van encaminados a la protección integral y la restitución de los derechos de la Niñas, Niños y Adolescentes y después de realizar una búsqueda en los archivos a partir de la creación de esta Procuraduría de Protección de Niñas, Niños y Adolescentes que pertenece al sujeto obligado Sistema para el Desarrollo Integral de la Familia del Estado de México, se informa que mediante acuerdo del Comité de Admisión, Seguimiento y Evaluación de los Programas Sociales del Sistema para el Desarrollo Integral de la Familia del Estado de México CASE-DIFEM-ORD-10-2016-004 tomado en su Sesión de fecha 20 de mayo de 2016, se aprobó la abrogación de los Lineamientos de Operación de la Acción de Desarrollo Social “Adopciones”.</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 decir, se le proporcionó de manera oportuna la información solicitada; sin embargo, a través del recurso de revisión 00817/INFOEM/IP/RR/2020, ahora se solicita el contenido del acuerdo anteriormente señalado, por lo que, a continuación, se describe el acuerdo: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Décima Sesión Ordinaria CASE-DIFEM, 20/02/2016</w:t>
      </w: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Acuerdo CASE-DIFEM-ORD-10-2016-004 </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Admisión, Seguimiento y Evaluación de Programas de Desarrollo Social del Sistema para el Desarrollo Integral de la Familia del Estado de México, aprueban por unanimidad de votos la abrogación de los Lineamientos de Operación de la Acción Adopciones, bajo la operación de la Dirección de Servicios Jurídico-Asistenciales”.</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conclusión, el recurso de revisión esta interpuesto a una solicitud que no era clara en su requerimiento y a la cual se solicitó aclaración el día dos de diciembre a las 17:32:37, a pesar de ello, pasaron los 10 días que marca la Ley para su aclaración sin tener la respuesta del solicitante; sin embargo, en cumplimiento de la normatividad y el derecho que tiene la ciudadanía al acceso a la información se entrega nuevamente la información con la que cuenta este Sujeto Obligado.</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INFORME DE CUMPLIMIENTO DE LA RESOLUCIÓN</w:t>
      </w:r>
    </w:p>
    <w:p w:rsidR="004303F5" w:rsidRDefault="004303F5">
      <w:pPr>
        <w:ind w:left="851" w:right="902"/>
        <w:jc w:val="both"/>
        <w:rPr>
          <w:rFonts w:ascii="Palatino Linotype" w:eastAsia="Palatino Linotype" w:hAnsi="Palatino Linotype" w:cs="Palatino Linotype"/>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sesión del 11 de febrero 2020, el Comité de Transparencia del Sistema para el Desarrollo Integral de la Familia del Estado de México, aprobó estructura de la Información que será entregada para dar cumplimiento a la Resolución emitida por el INFOEM, mismo que fue entregado vía SAIMEX, con ello se atiende al Recurso de Revisión 0817/INFOEM/IP/RR/2020. Así mismo con fundamento a los artículos 198 y 199 de la Ley de Transparencia y Acceso a la Información Pública del Estada de México y Municipios se informa se dio cumplimiento a la Normatividad aplicable</w:t>
      </w:r>
    </w:p>
    <w:p w:rsidR="004303F5" w:rsidRDefault="004303F5">
      <w:pPr>
        <w:spacing w:line="360" w:lineRule="auto"/>
        <w:jc w:val="both"/>
        <w:rPr>
          <w:rFonts w:ascii="Palatino Linotype" w:eastAsia="Palatino Linotype" w:hAnsi="Palatino Linotype" w:cs="Palatino Linotype"/>
          <w:color w:val="222222"/>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no se omite comentar que,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303F5" w:rsidRDefault="004303F5">
      <w:pPr>
        <w:spacing w:line="360" w:lineRule="auto"/>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303F5" w:rsidRDefault="004303F5">
      <w:pPr>
        <w:ind w:right="760"/>
        <w:jc w:val="both"/>
        <w:rPr>
          <w:rFonts w:ascii="Palatino Linotype" w:eastAsia="Palatino Linotype" w:hAnsi="Palatino Linotype" w:cs="Palatino Linotype"/>
          <w:b/>
          <w:i/>
          <w:sz w:val="22"/>
          <w:szCs w:val="22"/>
        </w:rPr>
      </w:pPr>
    </w:p>
    <w:p w:rsidR="004303F5" w:rsidRDefault="00AF001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(sic)</w:t>
      </w:r>
    </w:p>
    <w:p w:rsidR="004303F5" w:rsidRDefault="004303F5">
      <w:pPr>
        <w:spacing w:line="360" w:lineRule="auto"/>
        <w:jc w:val="both"/>
        <w:rPr>
          <w:rFonts w:ascii="Palatino Linotype" w:eastAsia="Palatino Linotype" w:hAnsi="Palatino Linotype" w:cs="Palatino Linotype"/>
          <w:color w:val="222222"/>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importante señalar que el particular al momento de presentar su solicitud de acceso a la información, omitió precisar la temporalidad; sin embargo, 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 no obstante, el Órgano Garante </w:t>
      </w:r>
      <w:r>
        <w:rPr>
          <w:rFonts w:ascii="Palatino Linotype" w:eastAsia="Palatino Linotype" w:hAnsi="Palatino Linotype" w:cs="Palatino Linotype"/>
        </w:rPr>
        <w:lastRenderedPageBreak/>
        <w:t>Nacional refiere que el no precisar temporalidad no es impedimento para atender dicho derecho humano.</w:t>
      </w:r>
    </w:p>
    <w:p w:rsidR="004303F5" w:rsidRDefault="004303F5">
      <w:pPr>
        <w:spacing w:line="360" w:lineRule="auto"/>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este Órgano Garante en el ámbito de sus atribuciones establecidas en los artículos 13 y 181 de la Ley de Transparencia y Acceso a la Información Pública del Estado de México y Municipios; bajo el amparo del principio de máxima publicidad </w:t>
      </w:r>
      <w:r>
        <w:rPr>
          <w:rFonts w:ascii="Palatino Linotype" w:eastAsia="Palatino Linotype" w:hAnsi="Palatino Linotype" w:cs="Palatino Linotype"/>
          <w:color w:val="000000"/>
        </w:rPr>
        <w:t>determina que la información solicitada corresponderá a la vigente a la fecha de la solicitud, es decir, al 2 de diciembre de 2019.</w:t>
      </w:r>
    </w:p>
    <w:p w:rsidR="004303F5" w:rsidRDefault="004303F5">
      <w:pPr>
        <w:widowControl w:val="0"/>
        <w:spacing w:line="360" w:lineRule="auto"/>
        <w:jc w:val="both"/>
        <w:rPr>
          <w:rFonts w:ascii="Palatino Linotype" w:eastAsia="Palatino Linotype" w:hAnsi="Palatino Linotype" w:cs="Palatino Linotype"/>
          <w:color w:val="000000"/>
        </w:rPr>
      </w:pPr>
    </w:p>
    <w:p w:rsidR="004303F5" w:rsidRDefault="00AF0019">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Establecido lo anterior, esta Ponencia Resolutora procede al análisis de la información proporcionada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a través del informe justificado, a efecto de verificar si resulta suficiente para satisfacer el derecho humano de acceso a la información pública de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w:t>
      </w:r>
    </w:p>
    <w:p w:rsidR="004303F5" w:rsidRDefault="004303F5">
      <w:pPr>
        <w:widowControl w:val="0"/>
        <w:tabs>
          <w:tab w:val="left" w:pos="1701"/>
          <w:tab w:val="left" w:pos="1843"/>
        </w:tabs>
        <w:spacing w:line="360" w:lineRule="auto"/>
        <w:jc w:val="both"/>
        <w:rPr>
          <w:rFonts w:ascii="Palatino Linotype" w:eastAsia="Palatino Linotype" w:hAnsi="Palatino Linotype" w:cs="Palatino Linotype"/>
        </w:rPr>
      </w:pPr>
    </w:p>
    <w:p w:rsidR="004303F5" w:rsidRDefault="00AF0019">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este Instituto como ente garante del Derecho de Acceso a la Información analizó la información remitida mediante Informe Justificado y advirtió que no satisfizo a lo solicitado; por lo que, actualiza la fracción V del artículo 179 de la Ley de Transparencia y Acceso a la Información Pública del Estado de México y Municipios, en atención a ello, se analizará punto por punto lo solicitado y lo remitido en respuesta como se muestra a continuación.</w:t>
      </w:r>
    </w:p>
    <w:p w:rsidR="004303F5" w:rsidRDefault="004303F5">
      <w:pPr>
        <w:widowControl w:val="0"/>
        <w:tabs>
          <w:tab w:val="left" w:pos="1701"/>
          <w:tab w:val="left" w:pos="1843"/>
        </w:tabs>
        <w:spacing w:after="280" w:line="360" w:lineRule="auto"/>
        <w:jc w:val="both"/>
        <w:rPr>
          <w:rFonts w:ascii="Palatino Linotype" w:eastAsia="Palatino Linotype" w:hAnsi="Palatino Linotype" w:cs="Palatino Linotype"/>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
        <w:gridCol w:w="2836"/>
        <w:gridCol w:w="1387"/>
        <w:gridCol w:w="2127"/>
        <w:gridCol w:w="1853"/>
      </w:tblGrid>
      <w:tr w:rsidR="004303F5">
        <w:trPr>
          <w:trHeight w:val="33"/>
        </w:trPr>
        <w:tc>
          <w:tcPr>
            <w:tcW w:w="864"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4303F5" w:rsidRDefault="00AF0019">
            <w:pPr>
              <w:widowControl w:val="0"/>
              <w:jc w:val="center"/>
              <w:rPr>
                <w:rFonts w:ascii="Palatino Linotype" w:eastAsia="Palatino Linotype" w:hAnsi="Palatino Linotype" w:cs="Palatino Linotype"/>
                <w:b/>
              </w:rPr>
            </w:pPr>
            <w:r>
              <w:rPr>
                <w:rFonts w:ascii="Palatino Linotype" w:eastAsia="Palatino Linotype" w:hAnsi="Palatino Linotype" w:cs="Palatino Linotype"/>
                <w:b/>
              </w:rPr>
              <w:t>No.</w:t>
            </w:r>
          </w:p>
        </w:tc>
        <w:tc>
          <w:tcPr>
            <w:tcW w:w="283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4303F5" w:rsidRDefault="00AF0019">
            <w:pPr>
              <w:widowControl w:val="0"/>
              <w:jc w:val="center"/>
              <w:rPr>
                <w:rFonts w:ascii="Palatino Linotype" w:eastAsia="Palatino Linotype" w:hAnsi="Palatino Linotype" w:cs="Palatino Linotype"/>
                <w:b/>
              </w:rPr>
            </w:pPr>
            <w:r>
              <w:rPr>
                <w:rFonts w:ascii="Palatino Linotype" w:eastAsia="Palatino Linotype" w:hAnsi="Palatino Linotype" w:cs="Palatino Linotype"/>
                <w:b/>
              </w:rPr>
              <w:t>Información requerida</w:t>
            </w:r>
          </w:p>
        </w:tc>
        <w:tc>
          <w:tcPr>
            <w:tcW w:w="138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Respuesta a la solicitud</w:t>
            </w:r>
          </w:p>
        </w:tc>
        <w:tc>
          <w:tcPr>
            <w:tcW w:w="212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4303F5" w:rsidRDefault="00AF0019">
            <w:pPr>
              <w:widowControl w:val="0"/>
              <w:jc w:val="center"/>
              <w:rPr>
                <w:rFonts w:ascii="Palatino Linotype" w:eastAsia="Palatino Linotype" w:hAnsi="Palatino Linotype" w:cs="Palatino Linotype"/>
                <w:b/>
              </w:rPr>
            </w:pPr>
            <w:r>
              <w:rPr>
                <w:rFonts w:ascii="Palatino Linotype" w:eastAsia="Palatino Linotype" w:hAnsi="Palatino Linotype" w:cs="Palatino Linotype"/>
                <w:b/>
              </w:rPr>
              <w:t>Informe justificado</w:t>
            </w:r>
          </w:p>
          <w:p w:rsidR="004303F5" w:rsidRDefault="004303F5">
            <w:pPr>
              <w:widowControl w:val="0"/>
              <w:jc w:val="center"/>
              <w:rPr>
                <w:rFonts w:ascii="Palatino Linotype" w:eastAsia="Palatino Linotype" w:hAnsi="Palatino Linotype" w:cs="Palatino Linotype"/>
                <w:b/>
              </w:rPr>
            </w:pPr>
          </w:p>
        </w:tc>
        <w:tc>
          <w:tcPr>
            <w:tcW w:w="1853"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4303F5" w:rsidRDefault="00AF0019">
            <w:pPr>
              <w:widowControl w:val="0"/>
              <w:jc w:val="center"/>
              <w:rPr>
                <w:rFonts w:ascii="Palatino Linotype" w:eastAsia="Palatino Linotype" w:hAnsi="Palatino Linotype" w:cs="Palatino Linotype"/>
                <w:b/>
              </w:rPr>
            </w:pPr>
            <w:r>
              <w:rPr>
                <w:rFonts w:ascii="Palatino Linotype" w:eastAsia="Palatino Linotype" w:hAnsi="Palatino Linotype" w:cs="Palatino Linotype"/>
                <w:b/>
              </w:rPr>
              <w:t>Colma</w:t>
            </w:r>
          </w:p>
        </w:tc>
      </w:tr>
      <w:tr w:rsidR="004303F5">
        <w:trPr>
          <w:trHeight w:val="33"/>
        </w:trPr>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03F5" w:rsidRDefault="00AF0019">
            <w:pPr>
              <w:widowControl w:val="0"/>
              <w:jc w:val="center"/>
              <w:rPr>
                <w:rFonts w:ascii="Palatino Linotype" w:eastAsia="Palatino Linotype" w:hAnsi="Palatino Linotype" w:cs="Palatino Linotype"/>
              </w:rPr>
            </w:pPr>
            <w:r>
              <w:rPr>
                <w:rFonts w:ascii="Palatino Linotype" w:eastAsia="Palatino Linotype" w:hAnsi="Palatino Linotype" w:cs="Palatino Linotype"/>
              </w:rPr>
              <w:lastRenderedPageBreak/>
              <w:t>1</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4303F5" w:rsidRDefault="00AF0019">
            <w:pPr>
              <w:rPr>
                <w:rFonts w:ascii="Palatino Linotype" w:eastAsia="Palatino Linotype" w:hAnsi="Palatino Linotype" w:cs="Palatino Linotype"/>
                <w:i/>
              </w:rPr>
            </w:pPr>
            <w:r>
              <w:rPr>
                <w:rFonts w:ascii="Palatino Linotype" w:eastAsia="Palatino Linotype" w:hAnsi="Palatino Linotype" w:cs="Palatino Linotype"/>
                <w:i/>
              </w:rPr>
              <w:t>Acuerdo de la Directora General del Sistema para el Desarrollo Integral de la Familia del Estado de México por el que se modifican los lineamientos de la acción de desarrollo social.”</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03F5" w:rsidRDefault="00AF0019">
            <w:pPr>
              <w:widowControl w:val="0"/>
              <w:jc w:val="center"/>
              <w:rPr>
                <w:rFonts w:ascii="Palatino Linotype" w:eastAsia="Palatino Linotype" w:hAnsi="Palatino Linotype" w:cs="Palatino Linotype"/>
                <w:b/>
                <w:i/>
              </w:rPr>
            </w:pPr>
            <w:r>
              <w:rPr>
                <w:rFonts w:ascii="Palatino Linotype" w:eastAsia="Palatino Linotype" w:hAnsi="Palatino Linotype" w:cs="Palatino Linotype"/>
                <w:b/>
                <w:i/>
              </w:rPr>
              <w:t>Décima Sesión Ordinaria CASE-DIFEM, 20/02/2016</w:t>
            </w:r>
          </w:p>
          <w:p w:rsidR="004303F5" w:rsidRDefault="00AF0019">
            <w:pPr>
              <w:widowControl w:val="0"/>
              <w:jc w:val="center"/>
              <w:rPr>
                <w:rFonts w:ascii="Palatino Linotype" w:eastAsia="Palatino Linotype" w:hAnsi="Palatino Linotype" w:cs="Palatino Linotype"/>
              </w:rPr>
            </w:pPr>
            <w:r>
              <w:rPr>
                <w:rFonts w:ascii="Palatino Linotype" w:eastAsia="Palatino Linotype" w:hAnsi="Palatino Linotype" w:cs="Palatino Linotype"/>
                <w:b/>
                <w:i/>
              </w:rPr>
              <w:t>Acuerdo CASE-DIFEM-ORD-10-2016-004</w:t>
            </w:r>
          </w:p>
        </w:tc>
        <w:tc>
          <w:tcPr>
            <w:tcW w:w="1853" w:type="dxa"/>
            <w:tcBorders>
              <w:top w:val="single" w:sz="4" w:space="0" w:color="000000"/>
              <w:left w:val="single" w:sz="4" w:space="0" w:color="000000"/>
              <w:bottom w:val="single" w:sz="4" w:space="0" w:color="000000"/>
              <w:right w:val="single" w:sz="4" w:space="0" w:color="000000"/>
            </w:tcBorders>
            <w:vAlign w:val="center"/>
          </w:tcPr>
          <w:p w:rsidR="004303F5" w:rsidRDefault="00AF0019">
            <w:pPr>
              <w:widowControl w:val="0"/>
              <w:jc w:val="center"/>
              <w:rPr>
                <w:rFonts w:ascii="Palatino Linotype" w:eastAsia="Palatino Linotype" w:hAnsi="Palatino Linotype" w:cs="Palatino Linotype"/>
              </w:rPr>
            </w:pPr>
            <w:r>
              <w:rPr>
                <w:rFonts w:ascii="Palatino Linotype" w:eastAsia="Palatino Linotype" w:hAnsi="Palatino Linotype" w:cs="Palatino Linotype"/>
              </w:rPr>
              <w:t>No</w:t>
            </w:r>
          </w:p>
        </w:tc>
      </w:tr>
    </w:tbl>
    <w:p w:rsidR="004303F5" w:rsidRDefault="004303F5">
      <w:pPr>
        <w:spacing w:before="280" w:line="360" w:lineRule="auto"/>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es de señalar que del análisis a </w:t>
      </w:r>
      <w:r>
        <w:rPr>
          <w:rFonts w:ascii="Palatino Linotype" w:eastAsia="Palatino Linotype" w:hAnsi="Palatino Linotype" w:cs="Palatino Linotype"/>
          <w:color w:val="000000"/>
        </w:rPr>
        <w:t xml:space="preserve">las constancias que obran en el expediente electrónico denominado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advierte que </w:t>
      </w:r>
      <w:r>
        <w:rPr>
          <w:rFonts w:ascii="Palatino Linotype" w:eastAsia="Palatino Linotype" w:hAnsi="Palatino Linotype" w:cs="Palatino Linotype"/>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4303F5" w:rsidRDefault="004303F5">
      <w:pPr>
        <w:spacing w:line="360" w:lineRule="auto"/>
        <w:ind w:right="51"/>
        <w:jc w:val="both"/>
        <w:rPr>
          <w:rFonts w:ascii="Palatino Linotype" w:eastAsia="Palatino Linotype" w:hAnsi="Palatino Linotype" w:cs="Palatino Linotype"/>
        </w:rPr>
      </w:pPr>
    </w:p>
    <w:p w:rsidR="004303F5" w:rsidRDefault="00AF001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 efecto de determinar la legalidad de dicha respuesta, es necesario tomar en cuenta las siguientes disposiciones de la Ley de la materia, que a la letra señalan:</w:t>
      </w:r>
    </w:p>
    <w:p w:rsidR="004303F5" w:rsidRDefault="004303F5">
      <w:pPr>
        <w:ind w:right="51"/>
        <w:jc w:val="both"/>
        <w:rPr>
          <w:rFonts w:ascii="Palatino Linotype" w:eastAsia="Palatino Linotype" w:hAnsi="Palatino Linotype" w:cs="Palatino Linotype"/>
        </w:rPr>
      </w:pP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rsidR="004303F5" w:rsidRDefault="004303F5">
      <w:pPr>
        <w:ind w:left="567" w:right="618"/>
        <w:jc w:val="both"/>
        <w:rPr>
          <w:rFonts w:ascii="Palatino Linotype" w:eastAsia="Palatino Linotype" w:hAnsi="Palatino Linotype" w:cs="Palatino Linotype"/>
          <w:i/>
          <w:sz w:val="22"/>
          <w:szCs w:val="22"/>
        </w:rPr>
      </w:pP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303F5" w:rsidRDefault="004303F5">
      <w:pPr>
        <w:ind w:left="567" w:right="618"/>
        <w:jc w:val="both"/>
        <w:rPr>
          <w:rFonts w:ascii="Palatino Linotype" w:eastAsia="Palatino Linotype" w:hAnsi="Palatino Linotype" w:cs="Palatino Linotype"/>
          <w:i/>
          <w:sz w:val="22"/>
          <w:szCs w:val="22"/>
        </w:rPr>
      </w:pP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53</w:t>
      </w:r>
      <w:r>
        <w:rPr>
          <w:rFonts w:ascii="Palatino Linotype" w:eastAsia="Palatino Linotype" w:hAnsi="Palatino Linotype" w:cs="Palatino Linotype"/>
          <w:i/>
          <w:sz w:val="22"/>
          <w:szCs w:val="22"/>
        </w:rPr>
        <w:t>. Las Unidades de Transparencia tendrán las siguientes funciones:</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4303F5" w:rsidRDefault="00AF0019">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Entregar, en su caso, a los particulares la información solicitada;</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Presentar ante el Comité, el proyecto de clasificación de información;</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Promover e implementar políticas de transparencia proactiva procurando su accesibilidad;</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Fomentar la transparencia y accesibilidad al interior del sujeto obligado;</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w:t>
      </w:r>
      <w:r>
        <w:rPr>
          <w:rFonts w:ascii="Palatino Linotype" w:eastAsia="Palatino Linotype" w:hAnsi="Palatino Linotype" w:cs="Palatino Linotype"/>
          <w:i/>
          <w:sz w:val="22"/>
          <w:szCs w:val="22"/>
        </w:rPr>
        <w:lastRenderedPageBreak/>
        <w:t>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4303F5" w:rsidRDefault="004303F5">
      <w:pPr>
        <w:ind w:left="567" w:right="618"/>
        <w:jc w:val="both"/>
        <w:rPr>
          <w:rFonts w:ascii="Palatino Linotype" w:eastAsia="Palatino Linotype" w:hAnsi="Palatino Linotype" w:cs="Palatino Linotype"/>
          <w:i/>
          <w:sz w:val="22"/>
          <w:szCs w:val="22"/>
        </w:rPr>
      </w:pP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Los servidores públicos habilitados tendrán las funciones siguientes:</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Localizar la información que le solicite la Unidad de Transparencia;</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Proporcionar la información que obre en los archivos y que le sea solicitada por la Unidad de Transparencia;</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Apoyar a la Unidad de Transparencia en lo que esta le solicite para el cumplimiento de sus funciones;</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Proporcionar a la Unidad de Transparencia, las modificaciones a la información pública de oficio que obre en su poder;</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Dar cuenta a la Unidad de Transparencia del vencimiento de los plazos de reserva.</w:t>
      </w:r>
    </w:p>
    <w:p w:rsidR="004303F5" w:rsidRDefault="004303F5">
      <w:pPr>
        <w:ind w:left="567" w:right="618"/>
        <w:jc w:val="both"/>
        <w:rPr>
          <w:rFonts w:ascii="Palatino Linotype" w:eastAsia="Palatino Linotype" w:hAnsi="Palatino Linotype" w:cs="Palatino Linotype"/>
          <w:i/>
          <w:sz w:val="22"/>
          <w:szCs w:val="22"/>
        </w:rPr>
      </w:pP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4303F5" w:rsidRDefault="004303F5">
      <w:pPr>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y los solicitantes, y tiene bajo su responsabilidad el tramitar internamente la solicitud de información.</w:t>
      </w:r>
    </w:p>
    <w:p w:rsidR="004303F5" w:rsidRDefault="004303F5">
      <w:pPr>
        <w:spacing w:line="360" w:lineRule="auto"/>
        <w:ind w:left="426"/>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tal manera que, si bien, el Titular de la Unidad de Transparencia no tiene bajo su resguardo el archivo que contiene la documentación en donde consta la información requerida, sino que puede obrar en las distintas áreas que conforman la estructura del </w:t>
      </w:r>
      <w:r>
        <w:rPr>
          <w:rFonts w:ascii="Palatino Linotype" w:eastAsia="Palatino Linotype" w:hAnsi="Palatino Linotype" w:cs="Palatino Linotype"/>
          <w:b/>
        </w:rPr>
        <w:t>SUJETO OBLIGADO</w:t>
      </w:r>
      <w:r>
        <w:rPr>
          <w:rFonts w:ascii="Palatino Linotype" w:eastAsia="Palatino Linotype" w:hAnsi="Palatino Linotype" w:cs="Palatino Linotype"/>
        </w:rPr>
        <w:t>, es por ello que debe turnar la solicitud a los servidores públicos habilitados que pudieran generar, administrar o poseer la información; pues los mismos, tienen como función, buscar, localizar y poseer la información, así como entregarla.</w:t>
      </w:r>
    </w:p>
    <w:p w:rsidR="004303F5" w:rsidRDefault="004303F5">
      <w:pPr>
        <w:spacing w:line="360" w:lineRule="auto"/>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rsidR="004303F5" w:rsidRDefault="004303F5">
      <w:pPr>
        <w:spacing w:line="360" w:lineRule="auto"/>
        <w:jc w:val="both"/>
        <w:rPr>
          <w:rFonts w:ascii="Palatino Linotype" w:eastAsia="Palatino Linotype" w:hAnsi="Palatino Linotype" w:cs="Palatino Linotype"/>
        </w:rPr>
      </w:pPr>
    </w:p>
    <w:p w:rsidR="004303F5" w:rsidRDefault="00AF0019">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lo anterior, y derivado que la solicitud se encuentra relacionado con acuerdos generados y esto con lo establecido en el Reglamento Interior del Sistema para el Desarrollo Integral de la Familia del Estado de México en sus artículos 12, fracción IX que a la letra señala:</w:t>
      </w:r>
    </w:p>
    <w:p w:rsidR="004303F5" w:rsidRDefault="004303F5">
      <w:pPr>
        <w:widowControl w:val="0"/>
        <w:pBdr>
          <w:top w:val="nil"/>
          <w:left w:val="nil"/>
          <w:bottom w:val="nil"/>
          <w:right w:val="nil"/>
          <w:between w:val="nil"/>
        </w:pBdr>
        <w:tabs>
          <w:tab w:val="left" w:pos="1276"/>
        </w:tabs>
        <w:spacing w:before="280" w:line="360" w:lineRule="auto"/>
        <w:ind w:right="49"/>
        <w:jc w:val="both"/>
        <w:rPr>
          <w:rFonts w:ascii="Palatino Linotype" w:eastAsia="Palatino Linotype" w:hAnsi="Palatino Linotype" w:cs="Palatino Linotype"/>
          <w:color w:val="000000"/>
        </w:rPr>
      </w:pPr>
    </w:p>
    <w:p w:rsidR="004303F5" w:rsidRDefault="00AF0019">
      <w:pPr>
        <w:widowControl w:val="0"/>
        <w:pBdr>
          <w:top w:val="nil"/>
          <w:left w:val="nil"/>
          <w:bottom w:val="nil"/>
          <w:right w:val="nil"/>
          <w:between w:val="nil"/>
        </w:pBdr>
        <w:tabs>
          <w:tab w:val="left" w:pos="1276"/>
        </w:tabs>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12.- La Dirección General del DIFEM</w:t>
      </w:r>
      <w:r>
        <w:rPr>
          <w:rFonts w:ascii="Palatino Linotype" w:eastAsia="Palatino Linotype" w:hAnsi="Palatino Linotype" w:cs="Palatino Linotype"/>
          <w:i/>
          <w:color w:val="000000"/>
          <w:sz w:val="22"/>
          <w:szCs w:val="22"/>
        </w:rPr>
        <w:t xml:space="preserve"> estará a cargo de un Director General, a quien </w:t>
      </w:r>
      <w:r>
        <w:rPr>
          <w:rFonts w:ascii="Palatino Linotype" w:eastAsia="Palatino Linotype" w:hAnsi="Palatino Linotype" w:cs="Palatino Linotype"/>
          <w:b/>
          <w:i/>
          <w:color w:val="000000"/>
          <w:sz w:val="22"/>
          <w:szCs w:val="22"/>
        </w:rPr>
        <w:t>le corresponde, además de las atribuciones señaladas en la Ley, las siguientes:</w:t>
      </w:r>
    </w:p>
    <w:p w:rsidR="004303F5" w:rsidRDefault="004303F5">
      <w:pPr>
        <w:widowControl w:val="0"/>
        <w:pBdr>
          <w:top w:val="nil"/>
          <w:left w:val="nil"/>
          <w:bottom w:val="nil"/>
          <w:right w:val="nil"/>
          <w:between w:val="nil"/>
        </w:pBdr>
        <w:tabs>
          <w:tab w:val="left" w:pos="1276"/>
        </w:tabs>
        <w:ind w:left="851" w:right="902"/>
        <w:jc w:val="both"/>
        <w:rPr>
          <w:rFonts w:ascii="Palatino Linotype" w:eastAsia="Palatino Linotype" w:hAnsi="Palatino Linotype" w:cs="Palatino Linotype"/>
          <w:i/>
          <w:color w:val="000000"/>
          <w:sz w:val="22"/>
          <w:szCs w:val="22"/>
        </w:rPr>
      </w:pPr>
    </w:p>
    <w:p w:rsidR="004303F5" w:rsidRDefault="00AF0019">
      <w:pPr>
        <w:widowControl w:val="0"/>
        <w:pBdr>
          <w:top w:val="nil"/>
          <w:left w:val="nil"/>
          <w:bottom w:val="nil"/>
          <w:right w:val="nil"/>
          <w:between w:val="nil"/>
        </w:pBdr>
        <w:tabs>
          <w:tab w:val="left" w:pos="1276"/>
        </w:tabs>
        <w:ind w:left="851" w:right="902"/>
        <w:jc w:val="both"/>
        <w:rPr>
          <w:color w:val="000000"/>
        </w:rPr>
      </w:pPr>
      <w:r>
        <w:rPr>
          <w:rFonts w:ascii="Palatino Linotype" w:eastAsia="Palatino Linotype" w:hAnsi="Palatino Linotype" w:cs="Palatino Linotype"/>
          <w:i/>
          <w:color w:val="000000"/>
          <w:sz w:val="22"/>
          <w:szCs w:val="22"/>
        </w:rPr>
        <w:t>…</w:t>
      </w:r>
    </w:p>
    <w:p w:rsidR="004303F5" w:rsidRDefault="00AF0019">
      <w:pPr>
        <w:widowControl w:val="0"/>
        <w:pBdr>
          <w:top w:val="nil"/>
          <w:left w:val="nil"/>
          <w:bottom w:val="nil"/>
          <w:right w:val="nil"/>
          <w:between w:val="nil"/>
        </w:pBdr>
        <w:tabs>
          <w:tab w:val="left" w:pos="1276"/>
        </w:tabs>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 Proponer a la Junta de Gobierno la celebración de</w:t>
      </w:r>
      <w:r>
        <w:rPr>
          <w:rFonts w:ascii="Palatino Linotype" w:eastAsia="Palatino Linotype" w:hAnsi="Palatino Linotype" w:cs="Palatino Linotype"/>
          <w:i/>
          <w:color w:val="000000"/>
          <w:sz w:val="22"/>
          <w:szCs w:val="22"/>
        </w:rPr>
        <w:t xml:space="preserve"> convenios, </w:t>
      </w:r>
      <w:r>
        <w:rPr>
          <w:rFonts w:ascii="Palatino Linotype" w:eastAsia="Palatino Linotype" w:hAnsi="Palatino Linotype" w:cs="Palatino Linotype"/>
          <w:b/>
          <w:i/>
          <w:color w:val="000000"/>
          <w:sz w:val="22"/>
          <w:szCs w:val="22"/>
        </w:rPr>
        <w:t xml:space="preserve">acuerdos </w:t>
      </w:r>
      <w:r>
        <w:rPr>
          <w:rFonts w:ascii="Palatino Linotype" w:eastAsia="Palatino Linotype" w:hAnsi="Palatino Linotype" w:cs="Palatino Linotype"/>
          <w:i/>
          <w:color w:val="000000"/>
          <w:sz w:val="22"/>
          <w:szCs w:val="22"/>
        </w:rPr>
        <w:t xml:space="preserve">y contratos </w:t>
      </w:r>
      <w:r>
        <w:rPr>
          <w:rFonts w:ascii="Palatino Linotype" w:eastAsia="Palatino Linotype" w:hAnsi="Palatino Linotype" w:cs="Palatino Linotype"/>
          <w:b/>
          <w:i/>
          <w:color w:val="000000"/>
          <w:sz w:val="22"/>
          <w:szCs w:val="22"/>
        </w:rPr>
        <w:t>relacionados con las funciones del DIFEM;</w:t>
      </w:r>
    </w:p>
    <w:p w:rsidR="004303F5" w:rsidRDefault="004303F5">
      <w:pPr>
        <w:widowControl w:val="0"/>
        <w:pBdr>
          <w:top w:val="nil"/>
          <w:left w:val="nil"/>
          <w:bottom w:val="nil"/>
          <w:right w:val="nil"/>
          <w:between w:val="nil"/>
        </w:pBdr>
        <w:tabs>
          <w:tab w:val="left" w:pos="1276"/>
        </w:tabs>
        <w:ind w:left="851" w:right="902"/>
        <w:jc w:val="both"/>
        <w:rPr>
          <w:rFonts w:ascii="Palatino Linotype" w:eastAsia="Palatino Linotype" w:hAnsi="Palatino Linotype" w:cs="Palatino Linotype"/>
          <w:i/>
          <w:color w:val="000000"/>
          <w:sz w:val="22"/>
          <w:szCs w:val="22"/>
        </w:rPr>
      </w:pPr>
    </w:p>
    <w:p w:rsidR="004303F5" w:rsidRDefault="00AF0019">
      <w:pPr>
        <w:widowControl w:val="0"/>
        <w:pBdr>
          <w:top w:val="nil"/>
          <w:left w:val="nil"/>
          <w:bottom w:val="nil"/>
          <w:right w:val="nil"/>
          <w:between w:val="nil"/>
        </w:pBdr>
        <w:tabs>
          <w:tab w:val="left" w:pos="127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los preceptos normativos se puede concluir que la información solicitada encuadra en las atribuciones que cuenta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como son la de suscribir convenios, acuerdos y contratos, al contar con las atribuciones deberá entregar la información previa búsqueda exhaustiva y razonable.</w:t>
      </w:r>
    </w:p>
    <w:p w:rsidR="004303F5" w:rsidRDefault="004303F5">
      <w:pPr>
        <w:widowControl w:val="0"/>
        <w:pBdr>
          <w:top w:val="nil"/>
          <w:left w:val="nil"/>
          <w:bottom w:val="nil"/>
          <w:right w:val="nil"/>
          <w:between w:val="nil"/>
        </w:pBdr>
        <w:tabs>
          <w:tab w:val="left" w:pos="1276"/>
        </w:tabs>
        <w:spacing w:line="360" w:lineRule="auto"/>
        <w:ind w:right="49"/>
        <w:jc w:val="both"/>
        <w:rPr>
          <w:rFonts w:ascii="Palatino Linotype" w:eastAsia="Palatino Linotype" w:hAnsi="Palatino Linotype" w:cs="Palatino Linotype"/>
          <w:color w:val="000000"/>
        </w:rPr>
      </w:pPr>
    </w:p>
    <w:p w:rsidR="004303F5" w:rsidRDefault="00AF0019">
      <w:pPr>
        <w:widowControl w:val="0"/>
        <w:pBdr>
          <w:top w:val="nil"/>
          <w:left w:val="nil"/>
          <w:bottom w:val="nil"/>
          <w:right w:val="nil"/>
          <w:between w:val="nil"/>
        </w:pBdr>
        <w:tabs>
          <w:tab w:val="left" w:pos="127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del análisis al documento que hace referencia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se advierte por parte de esta Ponencia Resolutora que no es el vigente a la fecha de la solicitud de acceso a la información ejercido por el particular; esto en atención a que en fecha 15 de septiembre de 2017 mediante la publicación en Gaceta de Gobierno de la misma fecha la Directora General del Sistema para el Desarrollo Integral de la Familia del Estado De México por el que se modifican Los Lineamiento de la Acción de Desarrollo Social como se muestra a continuación</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w:t>
      </w:r>
      <w:r>
        <w:rPr>
          <w:noProof/>
        </w:rPr>
        <mc:AlternateContent>
          <mc:Choice Requires="wpg">
            <w:drawing>
              <wp:anchor distT="0" distB="0" distL="114300" distR="114300" simplePos="0" relativeHeight="251658240" behindDoc="0" locked="0" layoutInCell="1" hidden="0" allowOverlap="1">
                <wp:simplePos x="0" y="0"/>
                <wp:positionH relativeFrom="column">
                  <wp:posOffset>-25399</wp:posOffset>
                </wp:positionH>
                <wp:positionV relativeFrom="paragraph">
                  <wp:posOffset>2057400</wp:posOffset>
                </wp:positionV>
                <wp:extent cx="5816600" cy="3140075"/>
                <wp:effectExtent l="0" t="0" r="0" b="0"/>
                <wp:wrapNone/>
                <wp:docPr id="7" name="Conector recto de flecha 7"/>
                <wp:cNvGraphicFramePr/>
                <a:graphic xmlns:a="http://schemas.openxmlformats.org/drawingml/2006/main">
                  <a:graphicData uri="http://schemas.microsoft.com/office/word/2010/wordprocessingShape">
                    <wps:wsp>
                      <wps:cNvCnPr/>
                      <wps:spPr>
                        <a:xfrm>
                          <a:off x="2450400" y="2222663"/>
                          <a:ext cx="5791200" cy="31146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2057400</wp:posOffset>
                </wp:positionV>
                <wp:extent cx="5816600" cy="3140075"/>
                <wp:effectExtent b="0" l="0" r="0" t="0"/>
                <wp:wrapNone/>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16600" cy="3140075"/>
                        </a:xfrm>
                        <a:prstGeom prst="rect"/>
                        <a:ln/>
                      </pic:spPr>
                    </pic:pic>
                  </a:graphicData>
                </a:graphic>
              </wp:anchor>
            </w:drawing>
          </mc:Fallback>
        </mc:AlternateContent>
      </w:r>
    </w:p>
    <w:p w:rsidR="004303F5" w:rsidRDefault="00AF0019">
      <w:pPr>
        <w:widowControl w:val="0"/>
        <w:pBdr>
          <w:top w:val="nil"/>
          <w:left w:val="nil"/>
          <w:bottom w:val="nil"/>
          <w:right w:val="nil"/>
          <w:between w:val="nil"/>
        </w:pBdr>
        <w:tabs>
          <w:tab w:val="left" w:pos="1276"/>
        </w:tabs>
        <w:spacing w:after="80" w:line="360" w:lineRule="auto"/>
        <w:ind w:right="49"/>
        <w:jc w:val="both"/>
        <w:rPr>
          <w:rFonts w:ascii="Palatino Linotype" w:eastAsia="Palatino Linotype" w:hAnsi="Palatino Linotype" w:cs="Palatino Linotype"/>
          <w:color w:val="000000"/>
        </w:rPr>
      </w:pPr>
      <w:r>
        <w:rPr>
          <w:noProof/>
          <w:color w:val="000000"/>
        </w:rPr>
        <w:lastRenderedPageBreak/>
        <w:drawing>
          <wp:inline distT="0" distB="0" distL="0" distR="0">
            <wp:extent cx="6986160" cy="5700960"/>
            <wp:effectExtent l="-642599" t="642600" r="-642599" b="6426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2283" t="11958" r="12598"/>
                    <a:stretch>
                      <a:fillRect/>
                    </a:stretch>
                  </pic:blipFill>
                  <pic:spPr>
                    <a:xfrm rot="16200000">
                      <a:off x="0" y="0"/>
                      <a:ext cx="6986160" cy="5700960"/>
                    </a:xfrm>
                    <a:prstGeom prst="rect">
                      <a:avLst/>
                    </a:prstGeom>
                    <a:ln/>
                  </pic:spPr>
                </pic:pic>
              </a:graphicData>
            </a:graphic>
          </wp:inline>
        </w:drawing>
      </w:r>
    </w:p>
    <w:p w:rsidR="004303F5" w:rsidRDefault="00AF0019">
      <w:pPr>
        <w:widowControl w:val="0"/>
        <w:pBdr>
          <w:top w:val="nil"/>
          <w:left w:val="nil"/>
          <w:bottom w:val="nil"/>
          <w:right w:val="nil"/>
          <w:between w:val="nil"/>
        </w:pBdr>
        <w:spacing w:before="8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Atento a lo anterior se observa que existen diferentes Acuerdos para modificar los lineamientos de operación de la acción de desarrollo social que si bien el Servidor Público Habilitado solicitó una aclaración, resultaba conveniente el dar atención a la solicitud sin que mediara aclaración alguna, pues al no ser específico se entiende a lo general, motivo por el cual deberá remitir los documento en donde consten todos los acuerdos en los que se hayan modificados los lineamientos de acción de desarrollo social vigentes a la fecha de la solicitud.</w:t>
      </w:r>
    </w:p>
    <w:p w:rsidR="004303F5" w:rsidRDefault="00AF0019">
      <w:pPr>
        <w:widowControl w:val="0"/>
        <w:pBdr>
          <w:top w:val="nil"/>
          <w:left w:val="nil"/>
          <w:bottom w:val="nil"/>
          <w:right w:val="nil"/>
          <w:between w:val="nil"/>
        </w:pBdr>
        <w:spacing w:before="36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4303F5" w:rsidRDefault="00AF001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4303F5" w:rsidRDefault="00AF001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303F5" w:rsidRDefault="004303F5">
      <w:pPr>
        <w:spacing w:line="360" w:lineRule="auto"/>
        <w:jc w:val="both"/>
        <w:rPr>
          <w:rFonts w:ascii="Palatino Linotype" w:eastAsia="Palatino Linotype" w:hAnsi="Palatino Linotype" w:cs="Palatino Linotype"/>
        </w:rPr>
      </w:pPr>
    </w:p>
    <w:p w:rsidR="004303F5" w:rsidRDefault="00AF00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303F5" w:rsidRDefault="004303F5">
      <w:pPr>
        <w:ind w:left="851" w:right="901"/>
        <w:jc w:val="center"/>
        <w:rPr>
          <w:rFonts w:ascii="Palatino Linotype" w:eastAsia="Palatino Linotype" w:hAnsi="Palatino Linotype" w:cs="Palatino Linotype"/>
          <w:sz w:val="22"/>
          <w:szCs w:val="22"/>
        </w:rPr>
      </w:pPr>
    </w:p>
    <w:p w:rsidR="004303F5" w:rsidRDefault="00AF0019">
      <w:pPr>
        <w:ind w:left="851"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CRITERIO 0002-11</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303F5" w:rsidRDefault="00AF0019">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rsidR="004303F5" w:rsidRDefault="00AF001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4303F5" w:rsidRDefault="00AF0019">
      <w:pPr>
        <w:ind w:left="851" w:right="90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4303F5" w:rsidRDefault="004303F5">
      <w:pPr>
        <w:widowControl w:val="0"/>
        <w:pBdr>
          <w:top w:val="nil"/>
          <w:left w:val="nil"/>
          <w:bottom w:val="nil"/>
          <w:right w:val="nil"/>
          <w:between w:val="nil"/>
        </w:pBdr>
        <w:tabs>
          <w:tab w:val="left" w:pos="1276"/>
        </w:tabs>
        <w:spacing w:before="280" w:line="360" w:lineRule="auto"/>
        <w:ind w:right="49"/>
        <w:jc w:val="both"/>
        <w:rPr>
          <w:rFonts w:ascii="Palatino Linotype" w:eastAsia="Palatino Linotype" w:hAnsi="Palatino Linotype" w:cs="Palatino Linotype"/>
          <w:color w:val="000000"/>
        </w:rPr>
      </w:pPr>
    </w:p>
    <w:p w:rsidR="004303F5" w:rsidRDefault="00AF0019">
      <w:pPr>
        <w:widowControl w:val="0"/>
        <w:pBdr>
          <w:top w:val="nil"/>
          <w:left w:val="nil"/>
          <w:bottom w:val="nil"/>
          <w:right w:val="nil"/>
          <w:between w:val="nil"/>
        </w:pBdr>
        <w:tabs>
          <w:tab w:val="left" w:pos="1276"/>
        </w:tabs>
        <w:spacing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virtud de lo anterior, no bastará con hacer referencia al documento en el cual se encuentra la información motivo por el cual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deberá remitir el documento o documentos en donde se desprende la información contenida en las modificaciones a los Lineamientos de la Acción de Desarrollo Social vigentes a la fecha </w:t>
      </w:r>
      <w:r>
        <w:rPr>
          <w:rFonts w:ascii="Palatino Linotype" w:eastAsia="Palatino Linotype" w:hAnsi="Palatino Linotype" w:cs="Palatino Linotype"/>
          <w:color w:val="000000"/>
        </w:rPr>
        <w:lastRenderedPageBreak/>
        <w:t>de la solicitud ejercida por el particular.</w:t>
      </w:r>
    </w:p>
    <w:p w:rsidR="004303F5" w:rsidRDefault="00AF0019">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anteriormente expuesto, esta Autoridad estima que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devienen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por lo que, lo procedente es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la información descrita a lo largo del presente considerando.</w:t>
      </w:r>
    </w:p>
    <w:p w:rsidR="004303F5" w:rsidRDefault="00AF0019">
      <w:pPr>
        <w:widowControl w:val="0"/>
        <w:pBdr>
          <w:top w:val="nil"/>
          <w:left w:val="nil"/>
          <w:bottom w:val="nil"/>
          <w:right w:val="nil"/>
          <w:between w:val="nil"/>
        </w:pBdr>
        <w:tabs>
          <w:tab w:val="left" w:pos="1276"/>
        </w:tabs>
        <w:spacing w:before="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vigésimo segundo, vigésimo tercero y vigésimo cuarto,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4303F5" w:rsidRDefault="00AF0019">
      <w:pPr>
        <w:widowControl w:val="0"/>
        <w:pBdr>
          <w:top w:val="nil"/>
          <w:left w:val="nil"/>
          <w:bottom w:val="nil"/>
          <w:right w:val="nil"/>
          <w:between w:val="nil"/>
        </w:pBdr>
        <w:tabs>
          <w:tab w:val="left" w:pos="1276"/>
        </w:tabs>
        <w:spacing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rsidR="004303F5" w:rsidRDefault="00AF0019">
      <w:pPr>
        <w:spacing w:before="280" w:after="280" w:line="276"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rsidR="004303F5" w:rsidRDefault="00AF0019">
      <w:pPr>
        <w:widowControl w:val="0"/>
        <w:numPr>
          <w:ilvl w:val="0"/>
          <w:numId w:val="4"/>
        </w:numPr>
        <w:pBdr>
          <w:top w:val="nil"/>
          <w:left w:val="nil"/>
          <w:bottom w:val="nil"/>
          <w:right w:val="nil"/>
          <w:between w:val="nil"/>
        </w:pBdr>
        <w:tabs>
          <w:tab w:val="left" w:pos="1701"/>
        </w:tabs>
        <w:spacing w:before="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Resultan </w:t>
      </w:r>
      <w:r>
        <w:rPr>
          <w:rFonts w:ascii="Palatino Linotype" w:eastAsia="Palatino Linotype" w:hAnsi="Palatino Linotype" w:cs="Palatino Linotype"/>
          <w:b/>
          <w:color w:val="000000"/>
        </w:rPr>
        <w:t>fundadas</w:t>
      </w:r>
      <w:r>
        <w:rPr>
          <w:rFonts w:ascii="Palatino Linotype" w:eastAsia="Palatino Linotype" w:hAnsi="Palatino Linotype" w:cs="Palatino Linotype"/>
          <w:color w:val="000000"/>
        </w:rPr>
        <w:t xml:space="preserve"> las </w:t>
      </w:r>
      <w:r>
        <w:rPr>
          <w:rFonts w:ascii="Palatino Linotype" w:eastAsia="Palatino Linotype" w:hAnsi="Palatino Linotype" w:cs="Palatino Linotype"/>
          <w:color w:val="000000"/>
          <w:highlight w:val="white"/>
        </w:rPr>
        <w:t>razones</w:t>
      </w:r>
      <w:r>
        <w:rPr>
          <w:rFonts w:ascii="Palatino Linotype" w:eastAsia="Palatino Linotype" w:hAnsi="Palatino Linotype" w:cs="Palatino Linotype"/>
          <w:color w:val="000000"/>
        </w:rPr>
        <w:t xml:space="preserve"> o motivos de inconformidad hechas valer por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QUINTO</w:t>
      </w:r>
      <w:r>
        <w:rPr>
          <w:rFonts w:ascii="Palatino Linotype" w:eastAsia="Palatino Linotype" w:hAnsi="Palatino Linotype" w:cs="Palatino Linotype"/>
          <w:color w:val="000000"/>
        </w:rPr>
        <w:t xml:space="preserve"> de la presente resolución.</w:t>
      </w:r>
    </w:p>
    <w:p w:rsidR="004303F5" w:rsidRDefault="004303F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4"/>
        </w:numPr>
        <w:pBdr>
          <w:top w:val="nil"/>
          <w:left w:val="nil"/>
          <w:bottom w:val="nil"/>
          <w:right w:val="nil"/>
          <w:between w:val="nil"/>
        </w:pBdr>
        <w:tabs>
          <w:tab w:val="left" w:pos="1701"/>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rPr>
        <w:t>Se</w:t>
      </w:r>
      <w:r>
        <w:rPr>
          <w:rFonts w:ascii="Palatino Linotype" w:eastAsia="Palatino Linotype" w:hAnsi="Palatino Linotype" w:cs="Palatino Linotype"/>
          <w:b/>
          <w:color w:val="222222"/>
        </w:rPr>
        <w:t xml:space="preserve"> ORDENA </w:t>
      </w:r>
      <w:r>
        <w:rPr>
          <w:rFonts w:ascii="Palatino Linotype" w:eastAsia="Palatino Linotype" w:hAnsi="Palatino Linotype" w:cs="Palatino Linotype"/>
          <w:color w:val="222222"/>
        </w:rPr>
        <w:t xml:space="preserve">al </w:t>
      </w:r>
      <w:r>
        <w:rPr>
          <w:rFonts w:ascii="Palatino Linotype" w:eastAsia="Palatino Linotype" w:hAnsi="Palatino Linotype" w:cs="Palatino Linotype"/>
          <w:b/>
          <w:color w:val="222222"/>
        </w:rPr>
        <w:t xml:space="preserve">SUJETO OBLIGADO </w:t>
      </w:r>
      <w:r>
        <w:rPr>
          <w:rFonts w:ascii="Palatino Linotype" w:eastAsia="Palatino Linotype" w:hAnsi="Palatino Linotype" w:cs="Palatino Linotype"/>
          <w:color w:val="222222"/>
        </w:rPr>
        <w:t xml:space="preserve">atienda la solicitud de acceso a la información pública número </w:t>
      </w:r>
      <w:r>
        <w:rPr>
          <w:rFonts w:ascii="Palatino Linotype" w:eastAsia="Palatino Linotype" w:hAnsi="Palatino Linotype" w:cs="Palatino Linotype"/>
          <w:b/>
          <w:color w:val="000000"/>
        </w:rPr>
        <w:t>00135/DIFEM/IP/2019</w:t>
      </w:r>
      <w:r>
        <w:rPr>
          <w:rFonts w:ascii="Palatino Linotype" w:eastAsia="Palatino Linotype" w:hAnsi="Palatino Linotype" w:cs="Palatino Linotype"/>
          <w:color w:val="222222"/>
        </w:rPr>
        <w:t>,</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color w:val="222222"/>
        </w:rPr>
        <w:t>y haga entrega</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color w:val="222222"/>
        </w:rPr>
        <w:t xml:space="preserve">vía </w:t>
      </w:r>
      <w:r>
        <w:rPr>
          <w:rFonts w:ascii="Palatino Linotype" w:eastAsia="Palatino Linotype" w:hAnsi="Palatino Linotype" w:cs="Palatino Linotype"/>
          <w:b/>
          <w:color w:val="222222"/>
        </w:rPr>
        <w:t xml:space="preserve">SAIMEX </w:t>
      </w:r>
      <w:r>
        <w:rPr>
          <w:rFonts w:ascii="Palatino Linotype" w:eastAsia="Palatino Linotype" w:hAnsi="Palatino Linotype" w:cs="Palatino Linotype"/>
          <w:color w:val="222222"/>
        </w:rPr>
        <w:t>y</w:t>
      </w:r>
      <w:r>
        <w:rPr>
          <w:rFonts w:ascii="Palatino Linotype" w:eastAsia="Palatino Linotype" w:hAnsi="Palatino Linotype" w:cs="Palatino Linotype"/>
          <w:b/>
          <w:color w:val="222222"/>
        </w:rPr>
        <w:t xml:space="preserve"> correo electrónico, </w:t>
      </w:r>
      <w:r>
        <w:rPr>
          <w:rFonts w:ascii="Palatino Linotype" w:eastAsia="Palatino Linotype" w:hAnsi="Palatino Linotype" w:cs="Palatino Linotype"/>
          <w:color w:val="222222"/>
        </w:rPr>
        <w:t xml:space="preserve">en términos del Considerando </w:t>
      </w:r>
      <w:r>
        <w:rPr>
          <w:rFonts w:ascii="Palatino Linotype" w:eastAsia="Palatino Linotype" w:hAnsi="Palatino Linotype" w:cs="Palatino Linotype"/>
          <w:b/>
          <w:color w:val="222222"/>
        </w:rPr>
        <w:t>QUINTO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b/>
          <w:color w:val="222222"/>
        </w:rPr>
        <w:t>previa búsqueda exhaustiva y razonable</w:t>
      </w:r>
      <w:r>
        <w:rPr>
          <w:rFonts w:ascii="Palatino Linotype" w:eastAsia="Palatino Linotype" w:hAnsi="Palatino Linotype" w:cs="Palatino Linotype"/>
          <w:color w:val="222222"/>
        </w:rPr>
        <w:t>, de lo siguiente:</w:t>
      </w:r>
    </w:p>
    <w:p w:rsidR="004303F5" w:rsidRDefault="004303F5">
      <w:pPr>
        <w:pBdr>
          <w:top w:val="nil"/>
          <w:left w:val="nil"/>
          <w:bottom w:val="nil"/>
          <w:right w:val="nil"/>
          <w:between w:val="nil"/>
        </w:pBdr>
        <w:ind w:left="708"/>
        <w:rPr>
          <w:rFonts w:ascii="Palatino Linotype" w:eastAsia="Palatino Linotype" w:hAnsi="Palatino Linotype" w:cs="Palatino Linotype"/>
          <w:color w:val="000000"/>
        </w:rPr>
      </w:pPr>
    </w:p>
    <w:p w:rsidR="004303F5" w:rsidRDefault="00AF0019">
      <w:pPr>
        <w:widowControl w:val="0"/>
        <w:tabs>
          <w:tab w:val="left" w:pos="1701"/>
        </w:tabs>
        <w:spacing w:before="280" w:after="28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documento o documentos donde consten los Acuerdos de la Directora General del Sistema para el Desarrollo Integral de la Familia del Estado de México por el que se modifican los lineamientos de la acción de desarrollo social vigentes al 2 de diciembre de 2019.”</w:t>
      </w:r>
    </w:p>
    <w:p w:rsidR="004303F5" w:rsidRDefault="004303F5">
      <w:pPr>
        <w:widowControl w:val="0"/>
        <w:pBdr>
          <w:top w:val="nil"/>
          <w:left w:val="nil"/>
          <w:bottom w:val="nil"/>
          <w:right w:val="nil"/>
          <w:between w:val="nil"/>
        </w:pBdr>
        <w:tabs>
          <w:tab w:val="left" w:pos="1701"/>
        </w:tabs>
        <w:spacing w:before="280" w:line="360" w:lineRule="auto"/>
        <w:jc w:val="both"/>
        <w:rPr>
          <w:rFonts w:ascii="Palatino Linotype" w:eastAsia="Palatino Linotype" w:hAnsi="Palatino Linotype" w:cs="Palatino Linotype"/>
          <w:color w:val="000000"/>
        </w:rPr>
      </w:pPr>
    </w:p>
    <w:p w:rsidR="004303F5" w:rsidRDefault="00AF0019">
      <w:pPr>
        <w:widowControl w:val="0"/>
        <w:numPr>
          <w:ilvl w:val="0"/>
          <w:numId w:val="4"/>
        </w:numPr>
        <w:pBdr>
          <w:top w:val="nil"/>
          <w:left w:val="nil"/>
          <w:bottom w:val="nil"/>
          <w:right w:val="nil"/>
          <w:between w:val="nil"/>
        </w:pBdr>
        <w:tabs>
          <w:tab w:val="left" w:pos="1701"/>
        </w:tabs>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highlight w:val="white"/>
        </w:rPr>
        <w:t xml:space="preserve">al </w:t>
      </w:r>
      <w:r>
        <w:rPr>
          <w:rFonts w:ascii="Palatino Linotype" w:eastAsia="Palatino Linotype" w:hAnsi="Palatino Linotype" w:cs="Palatino Linotype"/>
          <w:color w:val="000000"/>
        </w:rPr>
        <w:t>Titular</w:t>
      </w:r>
      <w:r>
        <w:rPr>
          <w:rFonts w:ascii="Palatino Linotype" w:eastAsia="Palatino Linotype" w:hAnsi="Palatino Linotype" w:cs="Palatino Linotype"/>
          <w:color w:val="000000"/>
          <w:highlight w:val="white"/>
        </w:rPr>
        <w:t xml:space="preserve"> de la Unidad de Transparencia del</w:t>
      </w:r>
      <w:r>
        <w:rPr>
          <w:rFonts w:ascii="Palatino Linotype" w:eastAsia="Palatino Linotype" w:hAnsi="Palatino Linotype" w:cs="Palatino Linotype"/>
          <w:b/>
          <w:color w:val="000000"/>
          <w:highlight w:val="white"/>
        </w:rPr>
        <w:t xml:space="preserve"> SUJETO OBLIGADO</w:t>
      </w:r>
      <w:r>
        <w:rPr>
          <w:rFonts w:ascii="Palatino Linotype" w:eastAsia="Palatino Linotype" w:hAnsi="Palatino Linotype" w:cs="Palatino Linotype"/>
          <w:color w:val="000000"/>
          <w:highlight w:val="white"/>
        </w:rPr>
        <w:t xml:space="preserve"> para que, </w:t>
      </w:r>
      <w:r>
        <w:rPr>
          <w:rFonts w:ascii="Palatino Linotype" w:eastAsia="Palatino Linotype" w:hAnsi="Palatino Linotype" w:cs="Palatino Linotype"/>
          <w:color w:val="000000"/>
        </w:rPr>
        <w:t>conforme</w:t>
      </w:r>
      <w:r>
        <w:rPr>
          <w:rFonts w:ascii="Palatino Linotype" w:eastAsia="Palatino Linotype" w:hAnsi="Palatino Linotype" w:cs="Palatino Linotype"/>
          <w:color w:val="000000"/>
          <w:highlight w:val="white"/>
        </w:rPr>
        <w:t xml:space="preserve"> a los artículos 186, último párrafo y 189, párrafo segundo de la Ley de </w:t>
      </w:r>
      <w:r>
        <w:rPr>
          <w:rFonts w:ascii="Palatino Linotype" w:eastAsia="Palatino Linotype" w:hAnsi="Palatino Linotype" w:cs="Palatino Linotype"/>
          <w:color w:val="000000"/>
        </w:rPr>
        <w:t>Transparencia</w:t>
      </w:r>
      <w:r>
        <w:rPr>
          <w:rFonts w:ascii="Palatino Linotype" w:eastAsia="Palatino Linotype" w:hAnsi="Palatino Linotype" w:cs="Palatino Linotype"/>
          <w:color w:val="000000"/>
          <w:highlight w:val="white"/>
        </w:rPr>
        <w:t xml:space="preserve"> y </w:t>
      </w:r>
      <w:r>
        <w:rPr>
          <w:rFonts w:ascii="Palatino Linotype" w:eastAsia="Palatino Linotype" w:hAnsi="Palatino Linotype" w:cs="Palatino Linotype"/>
          <w:color w:val="000000"/>
        </w:rPr>
        <w:t>Acceso</w:t>
      </w:r>
      <w:r>
        <w:rPr>
          <w:rFonts w:ascii="Palatino Linotype" w:eastAsia="Palatino Linotype" w:hAnsi="Palatino Linotype" w:cs="Palatino Linotype"/>
          <w:color w:val="000000"/>
          <w:highlight w:val="white"/>
        </w:rPr>
        <w:t xml:space="preserve"> a la Información Pública del Estado de México y Municipios, dé </w:t>
      </w:r>
      <w:r>
        <w:rPr>
          <w:rFonts w:ascii="Palatino Linotype" w:eastAsia="Palatino Linotype" w:hAnsi="Palatino Linotype" w:cs="Palatino Linotype"/>
          <w:color w:val="000000"/>
        </w:rPr>
        <w:t>cumplimiento</w:t>
      </w:r>
      <w:r>
        <w:rPr>
          <w:rFonts w:ascii="Palatino Linotype" w:eastAsia="Palatino Linotype" w:hAnsi="Palatino Linotype" w:cs="Palatino Linotype"/>
          <w:color w:val="000000"/>
          <w:highlight w:val="white"/>
        </w:rPr>
        <w:t xml:space="preserve"> a lo ordenado dentro del plazo de diez días hábiles, debiendo informar a este Instituto en un plazo </w:t>
      </w:r>
      <w:r>
        <w:rPr>
          <w:rFonts w:ascii="Palatino Linotype" w:eastAsia="Palatino Linotype" w:hAnsi="Palatino Linotype" w:cs="Palatino Linotype"/>
          <w:color w:val="000000"/>
        </w:rPr>
        <w:t>de</w:t>
      </w:r>
      <w:r>
        <w:rPr>
          <w:rFonts w:ascii="Palatino Linotype" w:eastAsia="Palatino Linotype" w:hAnsi="Palatino Linotype" w:cs="Palatino Linotype"/>
          <w:color w:val="000000"/>
          <w:highlight w:val="white"/>
        </w:rPr>
        <w:t xml:space="preserve"> tres días hábiles siguientes sobre el cumplimiento dado a la resolución.</w:t>
      </w:r>
    </w:p>
    <w:p w:rsidR="004303F5" w:rsidRDefault="004303F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highlight w:val="white"/>
        </w:rPr>
      </w:pPr>
    </w:p>
    <w:p w:rsidR="004303F5" w:rsidRDefault="00AF0019">
      <w:pPr>
        <w:widowControl w:val="0"/>
        <w:numPr>
          <w:ilvl w:val="0"/>
          <w:numId w:val="4"/>
        </w:numPr>
        <w:pBdr>
          <w:top w:val="nil"/>
          <w:left w:val="nil"/>
          <w:bottom w:val="nil"/>
          <w:right w:val="nil"/>
          <w:between w:val="nil"/>
        </w:pBdr>
        <w:tabs>
          <w:tab w:val="left" w:pos="1701"/>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fundamento en el artículo 198 de la Ley de Transparencia y Acceso a la Información Pública del Estado de México y Municipios, se apercibe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en caso de negarse a cumplir la presente resolución o hacerlo de manera parcial se actuará de conformidad con lo previsto en los artículos 213, 214, 216 y 217 de dicha Ley.</w:t>
      </w:r>
    </w:p>
    <w:p w:rsidR="004303F5" w:rsidRDefault="004303F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4"/>
        </w:numPr>
        <w:pBdr>
          <w:top w:val="nil"/>
          <w:left w:val="nil"/>
          <w:bottom w:val="nil"/>
          <w:right w:val="nil"/>
          <w:between w:val="nil"/>
        </w:pBdr>
        <w:tabs>
          <w:tab w:val="left" w:pos="1701"/>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al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la presente </w:t>
      </w:r>
      <w:r>
        <w:rPr>
          <w:rFonts w:ascii="Palatino Linotype" w:eastAsia="Palatino Linotype" w:hAnsi="Palatino Linotype" w:cs="Palatino Linotype"/>
          <w:color w:val="000000"/>
          <w:highlight w:val="white"/>
        </w:rPr>
        <w:t>resolución</w:t>
      </w:r>
      <w:r>
        <w:rPr>
          <w:rFonts w:ascii="Palatino Linotype" w:eastAsia="Palatino Linotype" w:hAnsi="Palatino Linotype" w:cs="Palatino Linotype"/>
          <w:color w:val="000000"/>
        </w:rPr>
        <w:t>.</w:t>
      </w:r>
    </w:p>
    <w:p w:rsidR="004303F5" w:rsidRDefault="004303F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rsidR="004303F5" w:rsidRDefault="00AF0019">
      <w:pPr>
        <w:widowControl w:val="0"/>
        <w:numPr>
          <w:ilvl w:val="0"/>
          <w:numId w:val="4"/>
        </w:numPr>
        <w:pBdr>
          <w:top w:val="nil"/>
          <w:left w:val="nil"/>
          <w:bottom w:val="nil"/>
          <w:right w:val="nil"/>
          <w:between w:val="nil"/>
        </w:pBdr>
        <w:tabs>
          <w:tab w:val="left" w:pos="1701"/>
        </w:tabs>
        <w:spacing w:line="360" w:lineRule="auto"/>
        <w:ind w:left="0" w:right="49" w:firstLine="0"/>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Hágase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del conocimiento</w:t>
      </w:r>
      <w:r>
        <w:rPr>
          <w:rFonts w:ascii="Palatino Linotype" w:eastAsia="Palatino Linotype" w:hAnsi="Palatino Linotype" w:cs="Palatino Linotype"/>
          <w:color w:val="000000"/>
        </w:rPr>
        <w:t xml:space="preserve"> del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303F5" w:rsidRDefault="004303F5">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color w:val="222222"/>
        </w:rPr>
      </w:pPr>
    </w:p>
    <w:p w:rsidR="004303F5" w:rsidRDefault="00AF0019">
      <w:pPr>
        <w:widowControl w:val="0"/>
        <w:numPr>
          <w:ilvl w:val="0"/>
          <w:numId w:val="4"/>
        </w:numPr>
        <w:pBdr>
          <w:top w:val="nil"/>
          <w:left w:val="nil"/>
          <w:bottom w:val="nil"/>
          <w:right w:val="nil"/>
          <w:between w:val="nil"/>
        </w:pBdr>
        <w:tabs>
          <w:tab w:val="left" w:pos="1701"/>
        </w:tabs>
        <w:spacing w:after="240" w:line="360" w:lineRule="auto"/>
        <w:ind w:left="0" w:right="49" w:firstLine="0"/>
        <w:jc w:val="both"/>
        <w:rPr>
          <w:rFonts w:ascii="Palatino Linotype" w:eastAsia="Palatino Linotype" w:hAnsi="Palatino Linotype" w:cs="Palatino Linotype"/>
          <w:color w:val="222222"/>
        </w:rPr>
      </w:pPr>
      <w:r>
        <w:rPr>
          <w:rFonts w:ascii="Palatino Linotype" w:eastAsia="Palatino Linotype" w:hAnsi="Palatino Linotype" w:cs="Palatino Linotype"/>
          <w:b/>
          <w:color w:val="222222"/>
        </w:rPr>
        <w:t xml:space="preserve">Gírese oficio </w:t>
      </w:r>
      <w:r>
        <w:rPr>
          <w:rFonts w:ascii="Palatino Linotype" w:eastAsia="Palatino Linotype" w:hAnsi="Palatino Linotype" w:cs="Palatino Linotype"/>
          <w:color w:val="222222"/>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Pr>
          <w:rFonts w:ascii="Palatino Linotype" w:eastAsia="Palatino Linotype" w:hAnsi="Palatino Linotype" w:cs="Palatino Linotype"/>
          <w:b/>
          <w:color w:val="222222"/>
        </w:rPr>
        <w:t>QUINTO</w:t>
      </w:r>
      <w:r>
        <w:rPr>
          <w:rFonts w:ascii="Palatino Linotype" w:eastAsia="Palatino Linotype" w:hAnsi="Palatino Linotype" w:cs="Palatino Linotype"/>
          <w:color w:val="222222"/>
        </w:rPr>
        <w:t xml:space="preserve"> de la presente resolución.</w:t>
      </w:r>
    </w:p>
    <w:p w:rsidR="004303F5" w:rsidRDefault="00AF001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DÉCIMA TERECRA SESIÓN ORDINARIA CELEBRADA EL DÍA DOCE DE AGOSTO DE DOS MIL VEINTE, ANTE EL SECRETARIO TÉCNICO DEL PLENO, ALEXIS TAPIA RAMÍREZ.</w:t>
      </w:r>
    </w:p>
    <w:tbl>
      <w:tblPr>
        <w:tblStyle w:val="a0"/>
        <w:tblW w:w="9214" w:type="dxa"/>
        <w:jc w:val="center"/>
        <w:tblInd w:w="0" w:type="dxa"/>
        <w:tblLayout w:type="fixed"/>
        <w:tblLook w:val="0400" w:firstRow="0" w:lastRow="0" w:firstColumn="0" w:lastColumn="0" w:noHBand="0" w:noVBand="1"/>
      </w:tblPr>
      <w:tblGrid>
        <w:gridCol w:w="4757"/>
        <w:gridCol w:w="4457"/>
      </w:tblGrid>
      <w:tr w:rsidR="004303F5">
        <w:trPr>
          <w:jc w:val="center"/>
        </w:trPr>
        <w:tc>
          <w:tcPr>
            <w:tcW w:w="9214" w:type="dxa"/>
            <w:gridSpan w:val="2"/>
            <w:shd w:val="clear" w:color="auto" w:fill="auto"/>
          </w:tcPr>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Zulema Martínez Sánchez</w:t>
            </w: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rPr>
              <w:t>Comisionada Presidenta</w:t>
            </w: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4303F5">
        <w:trPr>
          <w:jc w:val="center"/>
        </w:trPr>
        <w:tc>
          <w:tcPr>
            <w:tcW w:w="4757" w:type="dxa"/>
            <w:shd w:val="clear" w:color="auto" w:fill="auto"/>
          </w:tcPr>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Eva Abaid Yapur</w:t>
            </w:r>
          </w:p>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rPr>
              <w:t>Comisionada</w:t>
            </w: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c>
          <w:tcPr>
            <w:tcW w:w="4457" w:type="dxa"/>
            <w:shd w:val="clear" w:color="auto" w:fill="auto"/>
          </w:tcPr>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José Guadalupe Luna Hernández</w:t>
            </w:r>
          </w:p>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4303F5">
        <w:trPr>
          <w:jc w:val="center"/>
        </w:trPr>
        <w:tc>
          <w:tcPr>
            <w:tcW w:w="4757" w:type="dxa"/>
            <w:shd w:val="clear" w:color="auto" w:fill="auto"/>
          </w:tcPr>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Javier Martínez Cruz</w:t>
            </w:r>
          </w:p>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b/>
              </w:rPr>
              <w:t>(RÚBRICA)</w:t>
            </w:r>
          </w:p>
        </w:tc>
        <w:tc>
          <w:tcPr>
            <w:tcW w:w="4457" w:type="dxa"/>
            <w:shd w:val="clear" w:color="auto" w:fill="auto"/>
          </w:tcPr>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Luis Gustavo Parra Noriega</w:t>
            </w:r>
          </w:p>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rPr>
              <w:t>Comisionado</w:t>
            </w: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(RÚBRICA)</w:t>
            </w:r>
          </w:p>
        </w:tc>
      </w:tr>
      <w:tr w:rsidR="004303F5">
        <w:trPr>
          <w:trHeight w:val="768"/>
          <w:jc w:val="center"/>
        </w:trPr>
        <w:tc>
          <w:tcPr>
            <w:tcW w:w="9214" w:type="dxa"/>
            <w:gridSpan w:val="2"/>
            <w:shd w:val="clear" w:color="auto" w:fill="auto"/>
          </w:tcPr>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4303F5">
            <w:pPr>
              <w:jc w:val="center"/>
              <w:rPr>
                <w:rFonts w:ascii="Palatino Linotype" w:eastAsia="Palatino Linotype" w:hAnsi="Palatino Linotype" w:cs="Palatino Linotype"/>
                <w:b/>
              </w:rPr>
            </w:pPr>
          </w:p>
          <w:p w:rsidR="004303F5" w:rsidRDefault="00AF0019">
            <w:pPr>
              <w:jc w:val="center"/>
              <w:rPr>
                <w:rFonts w:ascii="Palatino Linotype" w:eastAsia="Palatino Linotype" w:hAnsi="Palatino Linotype" w:cs="Palatino Linotype"/>
                <w:b/>
              </w:rPr>
            </w:pPr>
            <w:r>
              <w:rPr>
                <w:rFonts w:ascii="Palatino Linotype" w:eastAsia="Palatino Linotype" w:hAnsi="Palatino Linotype" w:cs="Palatino Linotype"/>
                <w:b/>
              </w:rPr>
              <w:t>Alexis Tapia Ramírez</w:t>
            </w:r>
          </w:p>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rPr>
              <w:t>Secretario Técnico del Pleno</w:t>
            </w:r>
          </w:p>
          <w:p w:rsidR="004303F5" w:rsidRDefault="00AF0019">
            <w:pPr>
              <w:jc w:val="center"/>
              <w:rPr>
                <w:rFonts w:ascii="Palatino Linotype" w:eastAsia="Palatino Linotype" w:hAnsi="Palatino Linotype" w:cs="Palatino Linotype"/>
              </w:rPr>
            </w:pPr>
            <w:r>
              <w:rPr>
                <w:rFonts w:ascii="Palatino Linotype" w:eastAsia="Palatino Linotype" w:hAnsi="Palatino Linotype" w:cs="Palatino Linotype"/>
                <w:b/>
              </w:rPr>
              <w:t>(RÚBRICA)</w:t>
            </w:r>
          </w:p>
        </w:tc>
      </w:tr>
    </w:tbl>
    <w:p w:rsidR="004303F5" w:rsidRDefault="004303F5">
      <w:pPr>
        <w:spacing w:before="280"/>
        <w:jc w:val="both"/>
        <w:rPr>
          <w:rFonts w:ascii="Palatino Linotype" w:eastAsia="Palatino Linotype" w:hAnsi="Palatino Linotype" w:cs="Palatino Linotype"/>
          <w:sz w:val="22"/>
          <w:szCs w:val="22"/>
        </w:rPr>
      </w:pPr>
    </w:p>
    <w:p w:rsidR="004303F5" w:rsidRDefault="004303F5">
      <w:pPr>
        <w:jc w:val="both"/>
        <w:rPr>
          <w:rFonts w:ascii="Palatino Linotype" w:eastAsia="Palatino Linotype" w:hAnsi="Palatino Linotype" w:cs="Palatino Linotype"/>
          <w:sz w:val="22"/>
          <w:szCs w:val="22"/>
        </w:rPr>
      </w:pPr>
    </w:p>
    <w:p w:rsidR="004303F5" w:rsidRDefault="00AF0019">
      <w:pPr>
        <w:jc w:val="both"/>
        <w:rPr>
          <w:rFonts w:ascii="Palatino Linotype" w:eastAsia="Palatino Linotype" w:hAnsi="Palatino Linotype" w:cs="Palatino Linotype"/>
          <w:sz w:val="22"/>
          <w:szCs w:val="22"/>
        </w:rPr>
      </w:pPr>
      <w:bookmarkStart w:id="2" w:name="_heading=h.30j0zll" w:colFirst="0" w:colLast="0"/>
      <w:bookmarkEnd w:id="2"/>
      <w:r>
        <w:rPr>
          <w:rFonts w:ascii="Palatino Linotype" w:eastAsia="Palatino Linotype" w:hAnsi="Palatino Linotype" w:cs="Palatino Linotype"/>
          <w:sz w:val="22"/>
          <w:szCs w:val="22"/>
        </w:rPr>
        <w:t>Esta hoja corresponde a la resolución de fecha doce de agosto de dos mil veinte, emitida en el recurso de revisión número 00817/INFOEM/IP/RR/2020.</w:t>
      </w:r>
    </w:p>
    <w:p w:rsidR="004303F5" w:rsidRDefault="00AF0019">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YSM/LGMJ</w:t>
      </w:r>
    </w:p>
    <w:sectPr w:rsidR="004303F5">
      <w:headerReference w:type="default" r:id="rId10"/>
      <w:footerReference w:type="default" r:id="rId11"/>
      <w:headerReference w:type="first" r:id="rId12"/>
      <w:footerReference w:type="first" r:id="rId1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CEE" w:rsidRDefault="00E63CEE">
      <w:r>
        <w:separator/>
      </w:r>
    </w:p>
  </w:endnote>
  <w:endnote w:type="continuationSeparator" w:id="0">
    <w:p w:rsidR="00E63CEE" w:rsidRDefault="00E6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3F5" w:rsidRDefault="00AF001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E0DEE">
      <w:rPr>
        <w:rFonts w:ascii="Palatino Linotype" w:eastAsia="Palatino Linotype" w:hAnsi="Palatino Linotype" w:cs="Palatino Linotype"/>
        <w:noProof/>
        <w:color w:val="000000"/>
        <w:sz w:val="22"/>
        <w:szCs w:val="22"/>
      </w:rPr>
      <w:t>20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E0DEE">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3F5" w:rsidRDefault="00AF0019">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E0DE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E0DEE">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CEE" w:rsidRDefault="00E63CEE">
      <w:r>
        <w:separator/>
      </w:r>
    </w:p>
  </w:footnote>
  <w:footnote w:type="continuationSeparator" w:id="0">
    <w:p w:rsidR="00E63CEE" w:rsidRDefault="00E63CEE">
      <w:r>
        <w:continuationSeparator/>
      </w:r>
    </w:p>
  </w:footnote>
  <w:footnote w:id="1">
    <w:p w:rsidR="004303F5" w:rsidRDefault="00AF001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Publicada en Periódico Oficial Gaceta de Gobierno que puede consultarce en la siguiente liga electrónica: </w:t>
      </w:r>
      <w:r>
        <w:rPr>
          <w:rFonts w:ascii="Palatino Linotype" w:eastAsia="Palatino Linotype" w:hAnsi="Palatino Linotype" w:cs="Palatino Linotype"/>
          <w:color w:val="000000"/>
          <w:sz w:val="20"/>
          <w:szCs w:val="20"/>
        </w:rPr>
        <w:t>https://legislacion.edomex.gob.mx/sites/legislacion.edomex.gob.mx/files/files/pdf/gct/2017/sep159.pdf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3F5" w:rsidRDefault="004303F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2"/>
      <w:tblW w:w="9534" w:type="dxa"/>
      <w:tblInd w:w="-142" w:type="dxa"/>
      <w:tblLayout w:type="fixed"/>
      <w:tblLook w:val="0400" w:firstRow="0" w:lastRow="0" w:firstColumn="0" w:lastColumn="0" w:noHBand="0" w:noVBand="1"/>
    </w:tblPr>
    <w:tblGrid>
      <w:gridCol w:w="3260"/>
      <w:gridCol w:w="2551"/>
      <w:gridCol w:w="3723"/>
    </w:tblGrid>
    <w:tr w:rsidR="004303F5">
      <w:tc>
        <w:tcPr>
          <w:tcW w:w="3260" w:type="dxa"/>
          <w:vMerge w:val="restart"/>
        </w:tcPr>
        <w:p w:rsidR="004303F5" w:rsidRDefault="00AF0019">
          <w:pPr>
            <w:rPr>
              <w:rFonts w:ascii="Palatino Linotype" w:eastAsia="Palatino Linotype" w:hAnsi="Palatino Linotype" w:cs="Palatino Linotype"/>
              <w:b/>
              <w:sz w:val="22"/>
              <w:szCs w:val="22"/>
            </w:rPr>
          </w:pPr>
          <w:r>
            <w:rPr>
              <w:noProof/>
            </w:rPr>
            <w:drawing>
              <wp:inline distT="0" distB="0" distL="0" distR="0">
                <wp:extent cx="1663700" cy="8382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3700" cy="838200"/>
                        </a:xfrm>
                        <a:prstGeom prst="rect">
                          <a:avLst/>
                        </a:prstGeom>
                        <a:ln/>
                      </pic:spPr>
                    </pic:pic>
                  </a:graphicData>
                </a:graphic>
              </wp:inline>
            </w:drawing>
          </w:r>
        </w:p>
      </w:tc>
      <w:tc>
        <w:tcPr>
          <w:tcW w:w="2551" w:type="dxa"/>
          <w:shd w:val="clear" w:color="auto" w:fill="auto"/>
        </w:tcPr>
        <w:p w:rsidR="004303F5" w:rsidRDefault="00AF00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3" w:type="dxa"/>
          <w:shd w:val="clear" w:color="auto" w:fill="auto"/>
          <w:vAlign w:val="center"/>
        </w:tcPr>
        <w:p w:rsidR="004303F5" w:rsidRDefault="00AF00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00817/INFOEM/IP/RR/2020</w:t>
          </w:r>
        </w:p>
      </w:tc>
    </w:tr>
    <w:tr w:rsidR="004303F5">
      <w:tc>
        <w:tcPr>
          <w:tcW w:w="3260" w:type="dxa"/>
          <w:vMerge/>
        </w:tcPr>
        <w:p w:rsidR="004303F5" w:rsidRDefault="004303F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4303F5" w:rsidRDefault="00AF00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3" w:type="dxa"/>
          <w:shd w:val="clear" w:color="auto" w:fill="auto"/>
          <w:vAlign w:val="center"/>
        </w:tcPr>
        <w:p w:rsidR="004303F5" w:rsidRDefault="00AF00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4303F5">
      <w:trPr>
        <w:trHeight w:val="228"/>
      </w:trPr>
      <w:tc>
        <w:tcPr>
          <w:tcW w:w="3260" w:type="dxa"/>
          <w:vMerge/>
        </w:tcPr>
        <w:p w:rsidR="004303F5" w:rsidRDefault="004303F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4303F5" w:rsidRDefault="00AF00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3" w:type="dxa"/>
          <w:shd w:val="clear" w:color="auto" w:fill="auto"/>
        </w:tcPr>
        <w:p w:rsidR="004303F5" w:rsidRDefault="00AF00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Eva Abaid Yapur</w:t>
          </w:r>
        </w:p>
      </w:tc>
    </w:tr>
  </w:tbl>
  <w:p w:rsidR="004303F5" w:rsidRDefault="004303F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3F5" w:rsidRDefault="004303F5">
    <w:pPr>
      <w:rPr>
        <w:rFonts w:ascii="Palatino Linotype" w:eastAsia="Palatino Linotype" w:hAnsi="Palatino Linotype" w:cs="Palatino Linotype"/>
        <w:sz w:val="28"/>
        <w:szCs w:val="28"/>
      </w:rPr>
    </w:pPr>
  </w:p>
  <w:tbl>
    <w:tblPr>
      <w:tblStyle w:val="a1"/>
      <w:tblW w:w="10490" w:type="dxa"/>
      <w:tblInd w:w="-1276" w:type="dxa"/>
      <w:tblLayout w:type="fixed"/>
      <w:tblLook w:val="0400" w:firstRow="0" w:lastRow="0" w:firstColumn="0" w:lastColumn="0" w:noHBand="0" w:noVBand="1"/>
    </w:tblPr>
    <w:tblGrid>
      <w:gridCol w:w="4252"/>
      <w:gridCol w:w="2552"/>
      <w:gridCol w:w="3686"/>
    </w:tblGrid>
    <w:tr w:rsidR="004303F5">
      <w:tc>
        <w:tcPr>
          <w:tcW w:w="4252" w:type="dxa"/>
          <w:vMerge w:val="restart"/>
          <w:shd w:val="clear" w:color="auto" w:fill="auto"/>
        </w:tcPr>
        <w:p w:rsidR="004303F5" w:rsidRDefault="00AF0019">
          <w:pPr>
            <w:rPr>
              <w:rFonts w:ascii="Palatino Linotype" w:eastAsia="Palatino Linotype" w:hAnsi="Palatino Linotype" w:cs="Palatino Linotype"/>
              <w:b/>
              <w:sz w:val="22"/>
              <w:szCs w:val="22"/>
            </w:rPr>
          </w:pPr>
          <w:r>
            <w:rPr>
              <w:noProof/>
            </w:rPr>
            <w:drawing>
              <wp:inline distT="0" distB="0" distL="0" distR="0">
                <wp:extent cx="1663700" cy="8382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3700" cy="838200"/>
                        </a:xfrm>
                        <a:prstGeom prst="rect">
                          <a:avLst/>
                        </a:prstGeom>
                        <a:ln/>
                      </pic:spPr>
                    </pic:pic>
                  </a:graphicData>
                </a:graphic>
              </wp:inline>
            </w:drawing>
          </w:r>
        </w:p>
      </w:tc>
      <w:tc>
        <w:tcPr>
          <w:tcW w:w="2552" w:type="dxa"/>
          <w:shd w:val="clear" w:color="auto" w:fill="auto"/>
        </w:tcPr>
        <w:p w:rsidR="004303F5" w:rsidRDefault="00AF00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rsidR="004303F5" w:rsidRDefault="00AF00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00817/INFOEM/IP/RR/2020</w:t>
          </w:r>
        </w:p>
      </w:tc>
    </w:tr>
    <w:tr w:rsidR="004303F5">
      <w:tc>
        <w:tcPr>
          <w:tcW w:w="4252" w:type="dxa"/>
          <w:vMerge/>
          <w:shd w:val="clear" w:color="auto" w:fill="auto"/>
        </w:tcPr>
        <w:p w:rsidR="004303F5" w:rsidRDefault="004303F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4303F5" w:rsidRDefault="00AF00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rsidR="004303F5" w:rsidRDefault="005E0DE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r w:rsidR="00AF0019">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w:t>
          </w:r>
          <w:r w:rsidR="00AF0019">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r w:rsidR="00AF0019">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w:t>
          </w:r>
          <w:r w:rsidR="00AF0019">
            <w:rPr>
              <w:rFonts w:ascii="Palatino Linotype" w:eastAsia="Palatino Linotype" w:hAnsi="Palatino Linotype" w:cs="Palatino Linotype"/>
              <w:b/>
              <w:sz w:val="22"/>
              <w:szCs w:val="22"/>
            </w:rPr>
            <w:t>/</w:t>
          </w:r>
          <w:r>
            <w:rPr>
              <w:rFonts w:ascii="Palatino Linotype" w:eastAsia="Palatino Linotype" w:hAnsi="Palatino Linotype" w:cs="Palatino Linotype"/>
              <w:b/>
              <w:sz w:val="22"/>
              <w:szCs w:val="22"/>
            </w:rPr>
            <w:t>x</w:t>
          </w:r>
          <w:r w:rsidR="00AF0019">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w:t>
          </w:r>
          <w:r w:rsidR="00AF0019">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w:t>
          </w:r>
          <w:r w:rsidR="00AF0019">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p>
      </w:tc>
    </w:tr>
    <w:tr w:rsidR="004303F5">
      <w:trPr>
        <w:trHeight w:val="228"/>
      </w:trPr>
      <w:tc>
        <w:tcPr>
          <w:tcW w:w="4252" w:type="dxa"/>
          <w:vMerge/>
          <w:shd w:val="clear" w:color="auto" w:fill="auto"/>
        </w:tcPr>
        <w:p w:rsidR="004303F5" w:rsidRDefault="004303F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4303F5" w:rsidRDefault="00AF00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rsidR="004303F5" w:rsidRDefault="00AF00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para el Desarrollo Integral de la Familia del Estado de México</w:t>
          </w:r>
        </w:p>
      </w:tc>
    </w:tr>
    <w:tr w:rsidR="004303F5">
      <w:tc>
        <w:tcPr>
          <w:tcW w:w="4252" w:type="dxa"/>
          <w:vMerge/>
          <w:shd w:val="clear" w:color="auto" w:fill="auto"/>
        </w:tcPr>
        <w:p w:rsidR="004303F5" w:rsidRDefault="004303F5">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4303F5" w:rsidRDefault="00AF00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tcPr>
        <w:p w:rsidR="004303F5" w:rsidRDefault="00AF00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Eva Abaid Yapur</w:t>
          </w:r>
        </w:p>
      </w:tc>
    </w:tr>
  </w:tbl>
  <w:p w:rsidR="004303F5" w:rsidRDefault="004303F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2C68"/>
    <w:multiLevelType w:val="multilevel"/>
    <w:tmpl w:val="75DE223E"/>
    <w:lvl w:ilvl="0">
      <w:start w:val="1"/>
      <w:numFmt w:val="upperRoman"/>
      <w:lvlText w:val="%1."/>
      <w:lvlJc w:val="left"/>
      <w:pPr>
        <w:ind w:left="1080" w:hanging="72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3E7999"/>
    <w:multiLevelType w:val="multilevel"/>
    <w:tmpl w:val="694CEBD8"/>
    <w:lvl w:ilvl="0">
      <w:start w:val="1"/>
      <w:numFmt w:val="upperRoman"/>
      <w:lvlText w:val="%1."/>
      <w:lvlJc w:val="left"/>
      <w:pPr>
        <w:ind w:left="720" w:hanging="360"/>
      </w:pPr>
      <w:rPr>
        <w:b/>
        <w:i w:val="0"/>
        <w:strike w:val="0"/>
        <w:color w:val="000000"/>
        <w:sz w:val="28"/>
        <w:szCs w:val="28"/>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C63580"/>
    <w:multiLevelType w:val="multilevel"/>
    <w:tmpl w:val="40D6E198"/>
    <w:lvl w:ilvl="0">
      <w:start w:val="1"/>
      <w:numFmt w:val="decimal"/>
      <w:lvlText w:val="%1."/>
      <w:lvlJc w:val="left"/>
      <w:pPr>
        <w:ind w:left="720" w:hanging="360"/>
      </w:pPr>
      <w:rPr>
        <w:b/>
        <w:smallCaps w:val="0"/>
        <w:strike w:val="0"/>
        <w:sz w:val="28"/>
        <w:szCs w:val="28"/>
        <w:vertAlign w:val="baseline"/>
      </w:rPr>
    </w:lvl>
    <w:lvl w:ilvl="1">
      <w:start w:val="1"/>
      <w:numFmt w:val="decimal"/>
      <w:lvlText w:val="%2."/>
      <w:lvlJc w:val="left"/>
      <w:pPr>
        <w:ind w:left="1080" w:hanging="360"/>
      </w:pPr>
      <w:rPr>
        <w:smallCaps w:val="0"/>
        <w:strike w:val="0"/>
        <w:sz w:val="24"/>
        <w:szCs w:val="24"/>
        <w:vertAlign w:val="baseline"/>
      </w:rPr>
    </w:lvl>
    <w:lvl w:ilvl="2">
      <w:start w:val="1"/>
      <w:numFmt w:val="decimal"/>
      <w:lvlText w:val="%3."/>
      <w:lvlJc w:val="left"/>
      <w:pPr>
        <w:ind w:left="1800" w:hanging="360"/>
      </w:pPr>
      <w:rPr>
        <w:smallCaps w:val="0"/>
        <w:strike w:val="0"/>
        <w:sz w:val="24"/>
        <w:szCs w:val="24"/>
        <w:vertAlign w:val="baseline"/>
      </w:rPr>
    </w:lvl>
    <w:lvl w:ilvl="3">
      <w:start w:val="1"/>
      <w:numFmt w:val="decimal"/>
      <w:lvlText w:val="%4."/>
      <w:lvlJc w:val="left"/>
      <w:pPr>
        <w:ind w:left="2520" w:hanging="360"/>
      </w:pPr>
      <w:rPr>
        <w:smallCaps w:val="0"/>
        <w:strike w:val="0"/>
        <w:sz w:val="24"/>
        <w:szCs w:val="24"/>
        <w:vertAlign w:val="baseline"/>
      </w:rPr>
    </w:lvl>
    <w:lvl w:ilvl="4">
      <w:start w:val="1"/>
      <w:numFmt w:val="decimal"/>
      <w:lvlText w:val="%5."/>
      <w:lvlJc w:val="left"/>
      <w:pPr>
        <w:ind w:left="3240" w:hanging="360"/>
      </w:pPr>
      <w:rPr>
        <w:smallCaps w:val="0"/>
        <w:strike w:val="0"/>
        <w:sz w:val="24"/>
        <w:szCs w:val="24"/>
        <w:vertAlign w:val="baseline"/>
      </w:rPr>
    </w:lvl>
    <w:lvl w:ilvl="5">
      <w:start w:val="1"/>
      <w:numFmt w:val="decimal"/>
      <w:lvlText w:val="%6."/>
      <w:lvlJc w:val="left"/>
      <w:pPr>
        <w:ind w:left="3960" w:hanging="360"/>
      </w:pPr>
      <w:rPr>
        <w:smallCaps w:val="0"/>
        <w:strike w:val="0"/>
        <w:sz w:val="24"/>
        <w:szCs w:val="24"/>
        <w:vertAlign w:val="baseline"/>
      </w:rPr>
    </w:lvl>
    <w:lvl w:ilvl="6">
      <w:start w:val="1"/>
      <w:numFmt w:val="decimal"/>
      <w:lvlText w:val="%7."/>
      <w:lvlJc w:val="left"/>
      <w:pPr>
        <w:ind w:left="4680" w:hanging="360"/>
      </w:pPr>
      <w:rPr>
        <w:smallCaps w:val="0"/>
        <w:strike w:val="0"/>
        <w:sz w:val="24"/>
        <w:szCs w:val="24"/>
        <w:vertAlign w:val="baseline"/>
      </w:rPr>
    </w:lvl>
    <w:lvl w:ilvl="7">
      <w:start w:val="1"/>
      <w:numFmt w:val="decimal"/>
      <w:lvlText w:val="%8."/>
      <w:lvlJc w:val="left"/>
      <w:pPr>
        <w:ind w:left="5400" w:hanging="360"/>
      </w:pPr>
      <w:rPr>
        <w:smallCaps w:val="0"/>
        <w:strike w:val="0"/>
        <w:sz w:val="24"/>
        <w:szCs w:val="24"/>
        <w:vertAlign w:val="baseline"/>
      </w:rPr>
    </w:lvl>
    <w:lvl w:ilvl="8">
      <w:start w:val="1"/>
      <w:numFmt w:val="decimal"/>
      <w:lvlText w:val="%9."/>
      <w:lvlJc w:val="left"/>
      <w:pPr>
        <w:ind w:left="6120" w:hanging="360"/>
      </w:pPr>
      <w:rPr>
        <w:smallCaps w:val="0"/>
        <w:strike w:val="0"/>
        <w:sz w:val="24"/>
        <w:szCs w:val="24"/>
        <w:vertAlign w:val="baseline"/>
      </w:rPr>
    </w:lvl>
  </w:abstractNum>
  <w:abstractNum w:abstractNumId="3">
    <w:nsid w:val="3F057472"/>
    <w:multiLevelType w:val="multilevel"/>
    <w:tmpl w:val="083404D8"/>
    <w:lvl w:ilvl="0">
      <w:start w:val="1"/>
      <w:numFmt w:val="decimal"/>
      <w:lvlText w:val="%1."/>
      <w:lvlJc w:val="left"/>
      <w:pPr>
        <w:ind w:left="720" w:hanging="360"/>
      </w:pPr>
      <w:rPr>
        <w:b/>
        <w:small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3F5"/>
    <w:rsid w:val="00057055"/>
    <w:rsid w:val="004303F5"/>
    <w:rsid w:val="005E0DEE"/>
    <w:rsid w:val="00AF0019"/>
    <w:rsid w:val="00E63C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FB27C-BAEB-44F2-9E3A-FDD22567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qFormat/>
    <w:rsid w:val="001C4E80"/>
    <w:pPr>
      <w:spacing w:beforeAutospacing="1" w:afterAutospacing="1"/>
    </w:pPr>
  </w:style>
  <w:style w:type="paragraph" w:customStyle="1" w:styleId="j">
    <w:name w:val="j"/>
    <w:basedOn w:val="Normal"/>
    <w:qFormat/>
    <w:rsid w:val="001C4E80"/>
    <w:pPr>
      <w:spacing w:beforeAutospacing="1" w:afterAutospacing="1"/>
    </w:pPr>
  </w:style>
  <w:style w:type="paragraph" w:customStyle="1" w:styleId="m5212863947045306324gmail-msonormal">
    <w:name w:val="m_5212863947045306324gmail-msonormal"/>
    <w:basedOn w:val="Normal"/>
    <w:qFormat/>
    <w:rsid w:val="003A73F9"/>
    <w:pPr>
      <w:spacing w:beforeAutospacing="1" w:afterAutospacing="1"/>
    </w:p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yw8UCodRy4t6ToDhPGzILbuMMw==">AMUW2mXhF+nng55QuSjNl9ccfSFRlZx8tZEVhrdgNHWmVNe1Z/bELy2vQ5m4ijhD9P3XDiN92OQ60MtW2gMsvA2uAxKsLZynapqceIAbsOId6CrMlbBkmChHBvqT1TJyuyL+Xn2OKm2u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6681</Words>
  <Characters>36748</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A cid</cp:lastModifiedBy>
  <cp:revision>3</cp:revision>
  <dcterms:created xsi:type="dcterms:W3CDTF">2020-08-26T23:33:00Z</dcterms:created>
  <dcterms:modified xsi:type="dcterms:W3CDTF">2020-09-08T02:38:00Z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