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6BB6" w:rsidRDefault="003C3F8F">
      <w:pPr>
        <w:spacing w:line="360" w:lineRule="auto"/>
        <w:jc w:val="both"/>
        <w:rPr>
          <w:rFonts w:ascii="Palatino Linotype" w:hAnsi="Palatino Linotype" w:cs="Arial"/>
          <w:color w:val="FF0000"/>
          <w:lang w:val="es-ES"/>
        </w:rPr>
      </w:pPr>
      <w:r>
        <w:rPr>
          <w:rFonts w:ascii="Palatino Linotype" w:hAnsi="Palatino Linotype" w:cs="Arial"/>
          <w:lang w:val="es-ES"/>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de fecha diecinueve de agosto de dos mil veinte.</w:t>
      </w:r>
    </w:p>
    <w:p w:rsidR="00B36BB6" w:rsidRDefault="00B36BB6">
      <w:pPr>
        <w:spacing w:line="360" w:lineRule="auto"/>
        <w:jc w:val="both"/>
        <w:rPr>
          <w:rFonts w:ascii="Palatino Linotype" w:hAnsi="Palatino Linotype" w:cs="Arial"/>
          <w:lang w:val="es-ES"/>
        </w:rPr>
      </w:pPr>
    </w:p>
    <w:p w:rsidR="00B36BB6" w:rsidRDefault="003C3F8F">
      <w:pPr>
        <w:spacing w:line="360" w:lineRule="auto"/>
        <w:jc w:val="both"/>
        <w:rPr>
          <w:rFonts w:ascii="Palatino Linotype" w:hAnsi="Palatino Linotype" w:cs="Arial"/>
          <w:lang w:val="es-ES"/>
        </w:rPr>
      </w:pPr>
      <w:r>
        <w:rPr>
          <w:rFonts w:ascii="Palatino Linotype" w:hAnsi="Palatino Linotype"/>
          <w:lang w:val="es-ES"/>
        </w:rPr>
        <w:t xml:space="preserve">VISTO el expediente formado con motivo del recurso de revisión </w:t>
      </w:r>
      <w:r>
        <w:rPr>
          <w:rFonts w:ascii="Palatino Linotype" w:hAnsi="Palatino Linotype"/>
          <w:b/>
          <w:lang w:val="es-ES"/>
        </w:rPr>
        <w:t>01067/INFOEM/IP/RR/2020,</w:t>
      </w:r>
      <w:r>
        <w:rPr>
          <w:rFonts w:ascii="Palatino Linotype" w:hAnsi="Palatino Linotype"/>
          <w:lang w:val="es-ES"/>
        </w:rPr>
        <w:t xml:space="preserve"> </w:t>
      </w:r>
      <w:r>
        <w:rPr>
          <w:rFonts w:ascii="Palatino Linotype" w:hAnsi="Palatino Linotype"/>
        </w:rPr>
        <w:t>promovido por el C.</w:t>
      </w:r>
      <w:r>
        <w:rPr>
          <w:rFonts w:ascii="Palatino Linotype" w:hAnsi="Palatino Linotype"/>
          <w:b/>
        </w:rPr>
        <w:t xml:space="preserve"> </w:t>
      </w:r>
      <w:r w:rsidR="00BD2345" w:rsidRPr="00BD2345">
        <w:rPr>
          <w:rFonts w:ascii="Palatino Linotype" w:hAnsi="Palatino Linotype"/>
          <w:b/>
        </w:rPr>
        <w:t>Xxxxxxx xxxx xxxx</w:t>
      </w:r>
      <w:bookmarkStart w:id="0" w:name="_GoBack"/>
      <w:bookmarkEnd w:id="0"/>
      <w:r>
        <w:rPr>
          <w:rFonts w:ascii="Palatino Linotype" w:hAnsi="Palatino Linotype" w:cs="Arial"/>
        </w:rPr>
        <w:t>, en lo sucesivo</w:t>
      </w:r>
      <w:r>
        <w:rPr>
          <w:rFonts w:ascii="Palatino Linotype" w:hAnsi="Palatino Linotype" w:cs="Arial"/>
          <w:b/>
        </w:rPr>
        <w:t xml:space="preserve"> EL RECURRENTE</w:t>
      </w:r>
      <w:r>
        <w:rPr>
          <w:rFonts w:ascii="Palatino Linotype" w:hAnsi="Palatino Linotype"/>
          <w:b/>
          <w:lang w:val="es-ES"/>
        </w:rPr>
        <w:t>,</w:t>
      </w:r>
      <w:r>
        <w:rPr>
          <w:rFonts w:ascii="Palatino Linotype" w:hAnsi="Palatino Linotype"/>
          <w:lang w:val="es-ES"/>
        </w:rPr>
        <w:t xml:space="preserve"> </w:t>
      </w:r>
      <w:r>
        <w:rPr>
          <w:rFonts w:ascii="Palatino Linotype" w:hAnsi="Palatino Linotype" w:cs="Arial"/>
          <w:lang w:val="es-ES"/>
        </w:rPr>
        <w:t xml:space="preserve">en contra de la respuesta del </w:t>
      </w:r>
      <w:r>
        <w:rPr>
          <w:rFonts w:ascii="Palatino Linotype" w:hAnsi="Palatino Linotype" w:cs="Arial"/>
          <w:b/>
          <w:lang w:val="es-ES"/>
        </w:rPr>
        <w:t xml:space="preserve">Organismo Público Descentralizado para la Prestación de Los Servicios de Agua Potable Alcantarillado y Saneamiento de Atizapán de Zaragoza por sus siglas S.A.P.A.S.A., </w:t>
      </w:r>
      <w:r>
        <w:rPr>
          <w:rFonts w:ascii="Palatino Linotype" w:hAnsi="Palatino Linotype" w:cs="Arial"/>
          <w:lang w:val="es-ES"/>
        </w:rPr>
        <w:t xml:space="preserve">en lo sucesivo </w:t>
      </w:r>
      <w:r>
        <w:rPr>
          <w:rFonts w:ascii="Palatino Linotype" w:hAnsi="Palatino Linotype" w:cs="Arial"/>
          <w:b/>
          <w:lang w:val="es-ES"/>
        </w:rPr>
        <w:t xml:space="preserve">EL SUJETO OBLIGADO, </w:t>
      </w:r>
      <w:r>
        <w:rPr>
          <w:rFonts w:ascii="Palatino Linotype" w:hAnsi="Palatino Linotype" w:cs="Arial"/>
          <w:lang w:val="es-ES"/>
        </w:rPr>
        <w:t>se procede a dictar la presente resolución con base en lo siguiente:</w:t>
      </w:r>
    </w:p>
    <w:p w:rsidR="00B36BB6" w:rsidRDefault="003C3F8F">
      <w:pPr>
        <w:spacing w:line="360" w:lineRule="auto"/>
        <w:jc w:val="center"/>
        <w:rPr>
          <w:rFonts w:ascii="Palatino Linotype" w:hAnsi="Palatino Linotype" w:cs="Arial"/>
          <w:b/>
          <w:lang w:val="es-ES"/>
        </w:rPr>
      </w:pPr>
      <w:r>
        <w:rPr>
          <w:rFonts w:ascii="Palatino Linotype" w:hAnsi="Palatino Linotype" w:cs="Arial"/>
          <w:b/>
          <w:lang w:val="es-ES"/>
        </w:rPr>
        <w:t>R E S U L T A N D O</w:t>
      </w:r>
    </w:p>
    <w:p w:rsidR="00B36BB6" w:rsidRDefault="003C3F8F">
      <w:pPr>
        <w:spacing w:line="360" w:lineRule="auto"/>
        <w:jc w:val="both"/>
        <w:rPr>
          <w:rFonts w:ascii="Palatino Linotype" w:hAnsi="Palatino Linotype" w:cs="Arial"/>
          <w:lang w:val="es-ES"/>
        </w:rPr>
      </w:pPr>
      <w:r>
        <w:rPr>
          <w:rFonts w:ascii="Palatino Linotype" w:hAnsi="Palatino Linotype" w:cs="Arial"/>
          <w:b/>
          <w:sz w:val="28"/>
          <w:szCs w:val="28"/>
          <w:lang w:val="es-ES"/>
        </w:rPr>
        <w:t>I.</w:t>
      </w:r>
      <w:r>
        <w:rPr>
          <w:rFonts w:ascii="Palatino Linotype" w:hAnsi="Palatino Linotype" w:cs="Arial"/>
          <w:b/>
          <w:lang w:val="es-ES"/>
        </w:rPr>
        <w:t xml:space="preserve"> </w:t>
      </w:r>
      <w:r>
        <w:rPr>
          <w:rFonts w:ascii="Palatino Linotype" w:hAnsi="Palatino Linotype" w:cs="Arial"/>
          <w:lang w:val="es-ES"/>
        </w:rPr>
        <w:t xml:space="preserve">En fecha dieciséis de enero de dos mil veinte, </w:t>
      </w:r>
      <w:r>
        <w:rPr>
          <w:rFonts w:ascii="Palatino Linotype" w:hAnsi="Palatino Linotype" w:cs="Arial"/>
          <w:b/>
          <w:lang w:val="es-ES"/>
        </w:rPr>
        <w:t>EL RECURRENTE</w:t>
      </w:r>
      <w:r>
        <w:rPr>
          <w:rFonts w:ascii="Palatino Linotype" w:hAnsi="Palatino Linotype" w:cs="Arial"/>
          <w:lang w:val="es-ES"/>
        </w:rPr>
        <w:t xml:space="preserve"> presentó a través del Sistema de Acceso a la Información Mexiquense, en lo subsecuente EL </w:t>
      </w:r>
      <w:r>
        <w:rPr>
          <w:rFonts w:ascii="Palatino Linotype" w:hAnsi="Palatino Linotype" w:cs="Arial"/>
          <w:b/>
          <w:lang w:val="es-ES"/>
        </w:rPr>
        <w:t>SAIMEX</w:t>
      </w:r>
      <w:r>
        <w:rPr>
          <w:rFonts w:ascii="Palatino Linotype" w:hAnsi="Palatino Linotype" w:cs="Arial"/>
          <w:lang w:val="es-ES"/>
        </w:rPr>
        <w:t xml:space="preserve">, ante </w:t>
      </w:r>
      <w:r>
        <w:rPr>
          <w:rFonts w:ascii="Palatino Linotype" w:hAnsi="Palatino Linotype" w:cs="Arial"/>
          <w:b/>
          <w:lang w:val="es-ES"/>
        </w:rPr>
        <w:t>EL SUJETO OBLIGADO</w:t>
      </w:r>
      <w:r>
        <w:rPr>
          <w:rFonts w:ascii="Palatino Linotype" w:hAnsi="Palatino Linotype" w:cs="Arial"/>
          <w:lang w:val="es-ES"/>
        </w:rPr>
        <w:t xml:space="preserve">, la solicitud de acceso a la información pública, a la que se le asignó el número de expediente </w:t>
      </w:r>
      <w:r>
        <w:rPr>
          <w:rFonts w:ascii="Palatino Linotype" w:hAnsi="Palatino Linotype" w:cs="Arial"/>
          <w:b/>
          <w:lang w:val="es-ES"/>
        </w:rPr>
        <w:t>00005/OASATIZARA/IP/2020</w:t>
      </w:r>
      <w:r>
        <w:rPr>
          <w:rFonts w:ascii="Palatino Linotype" w:hAnsi="Palatino Linotype" w:cs="Arial"/>
          <w:lang w:val="es-ES"/>
        </w:rPr>
        <w:t>, mediante la cual solicitó:</w:t>
      </w:r>
    </w:p>
    <w:p w:rsidR="00B36BB6" w:rsidRDefault="00B36BB6">
      <w:pPr>
        <w:spacing w:line="360" w:lineRule="auto"/>
        <w:jc w:val="both"/>
        <w:rPr>
          <w:rFonts w:ascii="Palatino Linotype" w:hAnsi="Palatino Linotype" w:cs="Arial"/>
          <w:sz w:val="2"/>
          <w:lang w:val="es-ES"/>
        </w:rPr>
      </w:pPr>
    </w:p>
    <w:tbl>
      <w:tblPr>
        <w:tblStyle w:val="Tablaconcuadrcula"/>
        <w:tblW w:w="9006" w:type="dxa"/>
        <w:tblLook w:val="04A0" w:firstRow="1" w:lastRow="0" w:firstColumn="1" w:lastColumn="0" w:noHBand="0" w:noVBand="1"/>
      </w:tblPr>
      <w:tblGrid>
        <w:gridCol w:w="3428"/>
        <w:gridCol w:w="5578"/>
      </w:tblGrid>
      <w:tr w:rsidR="00B36BB6">
        <w:trPr>
          <w:trHeight w:val="589"/>
        </w:trPr>
        <w:tc>
          <w:tcPr>
            <w:tcW w:w="3427" w:type="dxa"/>
            <w:shd w:val="clear" w:color="auto" w:fill="000000" w:themeFill="text1"/>
            <w:vAlign w:val="center"/>
          </w:tcPr>
          <w:p w:rsidR="00B36BB6" w:rsidRDefault="003C3F8F">
            <w:pPr>
              <w:spacing w:line="360" w:lineRule="auto"/>
              <w:jc w:val="center"/>
              <w:rPr>
                <w:rFonts w:ascii="Palatino Linotype" w:hAnsi="Palatino Linotype"/>
                <w:b/>
                <w:color w:val="FFFFFF" w:themeColor="background1"/>
                <w:lang w:val="es-ES"/>
              </w:rPr>
            </w:pPr>
            <w:r>
              <w:rPr>
                <w:rFonts w:ascii="Palatino Linotype" w:hAnsi="Palatino Linotype"/>
                <w:b/>
                <w:color w:val="FFFFFF" w:themeColor="background1"/>
                <w:lang w:val="es-ES"/>
              </w:rPr>
              <w:t>Número de Solicitud</w:t>
            </w:r>
          </w:p>
        </w:tc>
        <w:tc>
          <w:tcPr>
            <w:tcW w:w="5578" w:type="dxa"/>
            <w:shd w:val="clear" w:color="auto" w:fill="000000" w:themeFill="text1"/>
            <w:vAlign w:val="center"/>
          </w:tcPr>
          <w:p w:rsidR="00B36BB6" w:rsidRDefault="003C3F8F">
            <w:pPr>
              <w:tabs>
                <w:tab w:val="left" w:pos="1125"/>
              </w:tabs>
              <w:spacing w:line="360" w:lineRule="auto"/>
              <w:jc w:val="center"/>
              <w:rPr>
                <w:rFonts w:ascii="Palatino Linotype" w:hAnsi="Palatino Linotype"/>
                <w:b/>
                <w:lang w:val="es-ES"/>
              </w:rPr>
            </w:pPr>
            <w:r>
              <w:rPr>
                <w:rFonts w:ascii="Palatino Linotype" w:hAnsi="Palatino Linotype"/>
                <w:b/>
                <w:lang w:val="es-ES"/>
              </w:rPr>
              <w:t>Contenido</w:t>
            </w:r>
          </w:p>
        </w:tc>
      </w:tr>
      <w:tr w:rsidR="00B36BB6">
        <w:trPr>
          <w:trHeight w:val="1083"/>
        </w:trPr>
        <w:tc>
          <w:tcPr>
            <w:tcW w:w="3427" w:type="dxa"/>
            <w:vAlign w:val="center"/>
          </w:tcPr>
          <w:p w:rsidR="00B36BB6" w:rsidRDefault="003C3F8F">
            <w:pPr>
              <w:spacing w:line="360" w:lineRule="auto"/>
              <w:jc w:val="center"/>
              <w:rPr>
                <w:rFonts w:ascii="Palatino Linotype" w:hAnsi="Palatino Linotype"/>
                <w:lang w:val="es-ES"/>
              </w:rPr>
            </w:pPr>
            <w:r>
              <w:rPr>
                <w:rFonts w:ascii="Palatino Linotype" w:hAnsi="Palatino Linotype" w:cs="Arial"/>
                <w:b/>
                <w:lang w:val="es-ES"/>
              </w:rPr>
              <w:t>00005/OASATIZARA/IP/2020</w:t>
            </w:r>
          </w:p>
        </w:tc>
        <w:tc>
          <w:tcPr>
            <w:tcW w:w="5578" w:type="dxa"/>
          </w:tcPr>
          <w:p w:rsidR="00B36BB6" w:rsidRDefault="003C3F8F">
            <w:pPr>
              <w:spacing w:line="360" w:lineRule="auto"/>
              <w:jc w:val="both"/>
              <w:rPr>
                <w:rFonts w:ascii="Palatino Linotype" w:hAnsi="Palatino Linotype"/>
                <w:lang w:val="es-ES"/>
              </w:rPr>
            </w:pPr>
            <w:r>
              <w:rPr>
                <w:rFonts w:ascii="Palatino Linotype" w:hAnsi="Palatino Linotype"/>
                <w:lang w:val="es-ES"/>
              </w:rPr>
              <w:t xml:space="preserve">“COPIA DE LOS CHEQUES EMITIDOS POR ESTE ORGANISMOS Y QUE CORRESPONDEN A </w:t>
            </w:r>
            <w:r>
              <w:rPr>
                <w:rFonts w:ascii="Palatino Linotype" w:hAnsi="Palatino Linotype"/>
                <w:lang w:val="es-ES"/>
              </w:rPr>
              <w:lastRenderedPageBreak/>
              <w:t>LIQUIDACIONES O LAUDOS LABORALES YA SEA POR RESOLUCIÓN O MUTUO ACUERDO DE LAS PARTES Y QUE SE REFIEREN AL AÑ0 2019”(sic)</w:t>
            </w:r>
          </w:p>
        </w:tc>
      </w:tr>
    </w:tbl>
    <w:p w:rsidR="00B36BB6" w:rsidRDefault="00B36BB6">
      <w:pPr>
        <w:pStyle w:val="Prrafodelista"/>
        <w:spacing w:before="240" w:after="240" w:line="360" w:lineRule="auto"/>
        <w:ind w:left="0"/>
        <w:contextualSpacing/>
        <w:jc w:val="both"/>
        <w:rPr>
          <w:rFonts w:ascii="Palatino Linotype" w:hAnsi="Palatino Linotype"/>
          <w:b/>
          <w:sz w:val="28"/>
          <w:szCs w:val="28"/>
        </w:rPr>
      </w:pPr>
    </w:p>
    <w:p w:rsidR="00B36BB6" w:rsidRDefault="003C3F8F">
      <w:pPr>
        <w:tabs>
          <w:tab w:val="left" w:pos="426"/>
        </w:tabs>
        <w:spacing w:beforeAutospacing="1" w:afterAutospacing="1" w:line="360" w:lineRule="auto"/>
        <w:contextualSpacing/>
        <w:jc w:val="both"/>
        <w:rPr>
          <w:rFonts w:ascii="Palatino Linotype" w:hAnsi="Palatino Linotype" w:cs="Arial"/>
        </w:rPr>
      </w:pPr>
      <w:r>
        <w:rPr>
          <w:rFonts w:ascii="Palatino Linotype" w:hAnsi="Palatino Linotype"/>
          <w:b/>
          <w:sz w:val="28"/>
          <w:szCs w:val="28"/>
        </w:rPr>
        <w:t>II.</w:t>
      </w:r>
      <w:r>
        <w:rPr>
          <w:rFonts w:ascii="Palatino Linotype" w:hAnsi="Palatino Linotype"/>
          <w:sz w:val="28"/>
          <w:szCs w:val="28"/>
        </w:rPr>
        <w:t xml:space="preserve"> </w:t>
      </w:r>
      <w:r>
        <w:rPr>
          <w:rFonts w:ascii="Palatino Linotype" w:hAnsi="Palatino Linotype"/>
        </w:rPr>
        <w:t xml:space="preserve">su parte </w:t>
      </w:r>
      <w:r>
        <w:rPr>
          <w:rFonts w:ascii="Palatino Linotype" w:hAnsi="Palatino Linotype"/>
          <w:b/>
        </w:rPr>
        <w:t>EL SUJETO OBLIGADO</w:t>
      </w:r>
      <w:r>
        <w:rPr>
          <w:rFonts w:ascii="Palatino Linotype" w:hAnsi="Palatino Linotype"/>
        </w:rPr>
        <w:t xml:space="preserve"> en fecha diecisiete de enero de dos mil veinte, solicitó a los Servidores Públicos Habilitados Competentes la información requerida en la solicitud de acceso a la información, </w:t>
      </w:r>
      <w:r>
        <w:rPr>
          <w:rFonts w:ascii="Palatino Linotype" w:hAnsi="Palatino Linotype" w:cs="Arial"/>
          <w:bCs/>
        </w:rPr>
        <w:t>tal como se desprende de la siguiente imagen:</w:t>
      </w:r>
    </w:p>
    <w:p w:rsidR="00B36BB6" w:rsidRDefault="003C3F8F">
      <w:pPr>
        <w:spacing w:line="360" w:lineRule="auto"/>
        <w:jc w:val="both"/>
        <w:rPr>
          <w:rFonts w:ascii="Palatino Linotype" w:hAnsi="Palatino Linotype"/>
        </w:rPr>
      </w:pPr>
      <w:r>
        <w:rPr>
          <w:noProof/>
          <w:lang w:eastAsia="es-MX"/>
        </w:rPr>
        <w:drawing>
          <wp:inline distT="0" distB="0" distL="0" distR="0">
            <wp:extent cx="5514975" cy="2000250"/>
            <wp:effectExtent l="0" t="0" r="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pic:cNvPicPr>
                      <a:picLocks noChangeAspect="1" noChangeArrowheads="1"/>
                    </pic:cNvPicPr>
                  </pic:nvPicPr>
                  <pic:blipFill>
                    <a:blip r:embed="rId8"/>
                    <a:srcRect l="14437" t="25974" r="14128" b="49281"/>
                    <a:stretch>
                      <a:fillRect/>
                    </a:stretch>
                  </pic:blipFill>
                  <pic:spPr bwMode="auto">
                    <a:xfrm>
                      <a:off x="0" y="0"/>
                      <a:ext cx="5514975" cy="2000250"/>
                    </a:xfrm>
                    <a:prstGeom prst="rect">
                      <a:avLst/>
                    </a:prstGeom>
                  </pic:spPr>
                </pic:pic>
              </a:graphicData>
            </a:graphic>
          </wp:inline>
        </w:drawing>
      </w:r>
    </w:p>
    <w:p w:rsidR="00B36BB6" w:rsidRDefault="003C3F8F">
      <w:pPr>
        <w:pStyle w:val="Prrafodelista"/>
        <w:spacing w:before="240" w:after="240" w:line="360" w:lineRule="auto"/>
        <w:ind w:left="0"/>
        <w:contextualSpacing/>
        <w:jc w:val="both"/>
        <w:rPr>
          <w:rFonts w:ascii="Palatino Linotype" w:hAnsi="Palatino Linotype"/>
        </w:rPr>
      </w:pPr>
      <w:r>
        <w:rPr>
          <w:rFonts w:ascii="Palatino Linotype" w:hAnsi="Palatino Linotype"/>
        </w:rPr>
        <w:t xml:space="preserve">Cabe precisar que de una revisión a la página de IPOMEX del </w:t>
      </w:r>
      <w:r>
        <w:rPr>
          <w:rFonts w:ascii="Palatino Linotype" w:hAnsi="Palatino Linotype"/>
          <w:b/>
        </w:rPr>
        <w:t>SUJETO OBLIGADO</w:t>
      </w:r>
      <w:r>
        <w:rPr>
          <w:rFonts w:ascii="Palatino Linotype" w:hAnsi="Palatino Linotype"/>
        </w:rPr>
        <w:t xml:space="preserve"> se encontró que la primera servidora pública a la que se le requirió la solicitud de acceso a la información ostenta el cargo de Coordinadora de Tesorería, como se observa de la siguiente imagen:</w:t>
      </w:r>
    </w:p>
    <w:p w:rsidR="00B36BB6" w:rsidRDefault="003C3F8F">
      <w:pPr>
        <w:pStyle w:val="Prrafodelista"/>
        <w:spacing w:before="240" w:after="240" w:line="360" w:lineRule="auto"/>
        <w:ind w:left="0"/>
        <w:contextualSpacing/>
        <w:jc w:val="both"/>
        <w:rPr>
          <w:lang w:eastAsia="es-MX"/>
        </w:rPr>
      </w:pPr>
      <w:r>
        <w:rPr>
          <w:noProof/>
          <w:lang w:eastAsia="es-MX"/>
        </w:rPr>
        <w:lastRenderedPageBreak/>
        <w:drawing>
          <wp:inline distT="0" distB="0" distL="0" distR="0">
            <wp:extent cx="5600700" cy="3181350"/>
            <wp:effectExtent l="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0"/>
                    <pic:cNvPicPr>
                      <a:picLocks noChangeAspect="1" noChangeArrowheads="1"/>
                    </pic:cNvPicPr>
                  </pic:nvPicPr>
                  <pic:blipFill>
                    <a:blip r:embed="rId9"/>
                    <a:srcRect l="21734" t="35635" r="38565" b="7933"/>
                    <a:stretch>
                      <a:fillRect/>
                    </a:stretch>
                  </pic:blipFill>
                  <pic:spPr bwMode="auto">
                    <a:xfrm>
                      <a:off x="0" y="0"/>
                      <a:ext cx="5600700" cy="3181350"/>
                    </a:xfrm>
                    <a:prstGeom prst="rect">
                      <a:avLst/>
                    </a:prstGeom>
                  </pic:spPr>
                </pic:pic>
              </a:graphicData>
            </a:graphic>
          </wp:inline>
        </w:drawing>
      </w:r>
    </w:p>
    <w:p w:rsidR="00B36BB6" w:rsidRDefault="003C3F8F">
      <w:pPr>
        <w:pStyle w:val="Prrafodelista"/>
        <w:spacing w:before="240" w:after="240" w:line="360" w:lineRule="auto"/>
        <w:ind w:left="0"/>
        <w:contextualSpacing/>
        <w:jc w:val="both"/>
        <w:rPr>
          <w:rFonts w:ascii="Palatino Linotype" w:hAnsi="Palatino Linotype"/>
        </w:rPr>
      </w:pPr>
      <w:r>
        <w:rPr>
          <w:rFonts w:ascii="Palatino Linotype" w:hAnsi="Palatino Linotype"/>
        </w:rPr>
        <w:t>Asimismo, de dicha revisión no se encontró información del cargo que ostenta la segunda servidora a la que se le requirió la información.</w:t>
      </w:r>
    </w:p>
    <w:p w:rsidR="00B36BB6" w:rsidRDefault="00B36BB6">
      <w:pPr>
        <w:pStyle w:val="Prrafodelista"/>
        <w:spacing w:before="240" w:after="240" w:line="360" w:lineRule="auto"/>
        <w:ind w:left="0"/>
        <w:contextualSpacing/>
        <w:jc w:val="both"/>
        <w:rPr>
          <w:rFonts w:ascii="Palatino Linotype" w:hAnsi="Palatino Linotype"/>
          <w:sz w:val="18"/>
          <w:szCs w:val="28"/>
        </w:rPr>
      </w:pPr>
    </w:p>
    <w:p w:rsidR="00B36BB6" w:rsidRDefault="003C3F8F">
      <w:pPr>
        <w:pStyle w:val="Prrafodelista"/>
        <w:spacing w:before="240" w:after="240" w:line="360" w:lineRule="auto"/>
        <w:ind w:left="0"/>
        <w:contextualSpacing/>
        <w:jc w:val="both"/>
        <w:rPr>
          <w:rFonts w:ascii="Palatino Linotype" w:hAnsi="Palatino Linotype"/>
        </w:rPr>
      </w:pPr>
      <w:r>
        <w:rPr>
          <w:rFonts w:ascii="Palatino Linotype" w:hAnsi="Palatino Linotype"/>
          <w:b/>
          <w:sz w:val="28"/>
          <w:szCs w:val="28"/>
        </w:rPr>
        <w:t>III.</w:t>
      </w:r>
      <w:r>
        <w:rPr>
          <w:rFonts w:ascii="Palatino Linotype" w:hAnsi="Palatino Linotype"/>
          <w:sz w:val="28"/>
          <w:szCs w:val="28"/>
        </w:rPr>
        <w:t xml:space="preserve"> </w:t>
      </w:r>
      <w:r>
        <w:rPr>
          <w:rFonts w:ascii="Palatino Linotype" w:hAnsi="Palatino Linotype"/>
        </w:rPr>
        <w:t xml:space="preserve">En fecha siete de febrero de dos mil veinte, </w:t>
      </w:r>
      <w:r>
        <w:rPr>
          <w:rFonts w:ascii="Palatino Linotype" w:hAnsi="Palatino Linotype"/>
          <w:b/>
        </w:rPr>
        <w:t>EL SUJETO OBLIGADO</w:t>
      </w:r>
      <w:r>
        <w:rPr>
          <w:rFonts w:ascii="Palatino Linotype" w:hAnsi="Palatino Linotype"/>
        </w:rPr>
        <w:t xml:space="preserve"> le notificó que el plazo para dar respuesta a la solicitud de información pública se había prorrogado por siete días, de conformidad con el artículo 163 de la Ley de Transparencia y Acceso a la Información Pública del Estado de México y Municipios.</w:t>
      </w:r>
    </w:p>
    <w:p w:rsidR="00B36BB6" w:rsidRDefault="00B36BB6">
      <w:pPr>
        <w:pStyle w:val="Prrafodelista"/>
        <w:spacing w:before="240" w:after="240" w:line="360" w:lineRule="auto"/>
        <w:ind w:left="0"/>
        <w:contextualSpacing/>
        <w:jc w:val="both"/>
        <w:rPr>
          <w:rFonts w:ascii="Palatino Linotype" w:hAnsi="Palatino Linotype"/>
        </w:rPr>
      </w:pPr>
    </w:p>
    <w:p w:rsidR="00B36BB6" w:rsidRDefault="003C3F8F">
      <w:pPr>
        <w:pStyle w:val="Prrafodelista"/>
        <w:spacing w:before="240" w:after="240" w:line="360" w:lineRule="auto"/>
        <w:ind w:left="0"/>
        <w:contextualSpacing/>
        <w:jc w:val="both"/>
        <w:rPr>
          <w:rFonts w:ascii="Palatino Linotype" w:hAnsi="Palatino Linotype"/>
        </w:rPr>
      </w:pPr>
      <w:r>
        <w:rPr>
          <w:rFonts w:ascii="Palatino Linotype" w:hAnsi="Palatino Linotype"/>
        </w:rPr>
        <w:t>Es importante señalar que, de conformidad con el artículo señalado, no da cumplimiento con lo estipulado ya que no adjuntó el Acuerdo de avale lo anterior.</w:t>
      </w:r>
    </w:p>
    <w:p w:rsidR="00B36BB6" w:rsidRDefault="003C3F8F">
      <w:pPr>
        <w:pStyle w:val="Prrafodelista"/>
        <w:spacing w:before="240" w:after="240" w:line="360" w:lineRule="auto"/>
        <w:ind w:left="0"/>
        <w:contextualSpacing/>
        <w:jc w:val="both"/>
        <w:rPr>
          <w:rFonts w:ascii="Palatino Linotype" w:hAnsi="Palatino Linotype" w:cs="Arial"/>
          <w:lang w:val="es-ES_tradnl"/>
        </w:rPr>
      </w:pPr>
      <w:r>
        <w:rPr>
          <w:rFonts w:ascii="Palatino Linotype" w:hAnsi="Palatino Linotype"/>
          <w:b/>
          <w:sz w:val="28"/>
          <w:szCs w:val="28"/>
        </w:rPr>
        <w:t>IV.</w:t>
      </w:r>
      <w:r>
        <w:rPr>
          <w:rFonts w:ascii="Palatino Linotype" w:hAnsi="Palatino Linotype"/>
        </w:rPr>
        <w:t xml:space="preserve"> De las constancias que obran en </w:t>
      </w:r>
      <w:r>
        <w:rPr>
          <w:rFonts w:ascii="Palatino Linotype" w:hAnsi="Palatino Linotype"/>
          <w:b/>
        </w:rPr>
        <w:t>EL SAIMEX,</w:t>
      </w:r>
      <w:r>
        <w:rPr>
          <w:rFonts w:ascii="Palatino Linotype" w:hAnsi="Palatino Linotype"/>
        </w:rPr>
        <w:t xml:space="preserve"> se advierte que en fecha diecisiete de febrero de dos mil veinte, </w:t>
      </w:r>
      <w:r>
        <w:rPr>
          <w:rFonts w:ascii="Palatino Linotype" w:hAnsi="Palatino Linotype" w:cs="Arial"/>
          <w:lang w:val="es-ES_tradnl"/>
        </w:rPr>
        <w:t>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B36BB6" w:rsidRDefault="003C3F8F">
      <w:pPr>
        <w:spacing w:line="276" w:lineRule="auto"/>
        <w:ind w:left="851" w:right="616"/>
        <w:jc w:val="right"/>
        <w:rPr>
          <w:rFonts w:ascii="Palatino Linotype" w:hAnsi="Palatino Linotype" w:cs="Arial"/>
          <w:i/>
          <w:lang w:val="es-ES"/>
        </w:rPr>
      </w:pPr>
      <w:r>
        <w:rPr>
          <w:rFonts w:ascii="Palatino Linotype" w:hAnsi="Palatino Linotype" w:cs="Arial"/>
          <w:i/>
          <w:lang w:val="es-ES"/>
        </w:rPr>
        <w:t>“Folio de la solicitud: 00005/OASATIZARA/IP/2020</w:t>
      </w:r>
    </w:p>
    <w:p w:rsidR="00B36BB6" w:rsidRDefault="003C3F8F">
      <w:pPr>
        <w:spacing w:line="276" w:lineRule="auto"/>
        <w:ind w:left="851" w:right="616"/>
        <w:jc w:val="both"/>
        <w:rPr>
          <w:rFonts w:ascii="Palatino Linotype" w:hAnsi="Palatino Linotype" w:cs="Arial"/>
          <w:i/>
          <w:lang w:val="es-ES"/>
        </w:rPr>
      </w:pPr>
      <w:r>
        <w:rPr>
          <w:rFonts w:ascii="Palatino Linotype" w:hAnsi="Palatino Linotype" w:cs="Arial"/>
          <w:i/>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36BB6" w:rsidRDefault="003C3F8F">
      <w:pPr>
        <w:spacing w:line="276" w:lineRule="auto"/>
        <w:ind w:left="851" w:right="616"/>
        <w:jc w:val="both"/>
        <w:rPr>
          <w:rFonts w:ascii="Palatino Linotype" w:hAnsi="Palatino Linotype" w:cs="Arial"/>
          <w:i/>
          <w:lang w:val="es-ES"/>
        </w:rPr>
      </w:pPr>
      <w:r>
        <w:rPr>
          <w:rFonts w:ascii="Palatino Linotype" w:hAnsi="Palatino Linotype" w:cs="Arial"/>
          <w:i/>
          <w:lang w:val="es-ES"/>
        </w:rPr>
        <w:t>Derivado del Oficio SAPASA/CF/MABA/B00B01/2020/068 signado por la C. María Antonieta Becerril Ayala en su caracter de Coordinadora de Finanzas con fecha 14 de Febrero del año 2020, informa: Al respecto y con fundamento en lo dispuesto por los Artículos 58 y 59 fraccion I,II,III.IV,V,y VI de la Ley de Transparencia y Acceso a la Información Publica del Estado de México y Municipios, remito a esa Unidad de Transparencia y acceso a la Información del Organismo Publico Descentralizado para la Prestación de los Servicios de Agua Potable, Alcantarillado y Saneamiento del Municipio de Atizapan de Zaragoza, le informo que en esta Coordinación de Finanzas no ha emitido cheques por concepto de liquidaciones y laudos laborales por resolución durante el ejercicio fiscal 2019.</w:t>
      </w:r>
    </w:p>
    <w:p w:rsidR="00B36BB6" w:rsidRDefault="003C3F8F">
      <w:pPr>
        <w:spacing w:line="276" w:lineRule="auto"/>
        <w:ind w:left="851" w:right="616"/>
        <w:jc w:val="both"/>
        <w:rPr>
          <w:rFonts w:ascii="Palatino Linotype" w:hAnsi="Palatino Linotype" w:cs="Arial"/>
          <w:i/>
          <w:lang w:val="es-ES"/>
        </w:rPr>
      </w:pPr>
      <w:r>
        <w:rPr>
          <w:rFonts w:ascii="Palatino Linotype" w:hAnsi="Palatino Linotype" w:cs="Arial"/>
          <w:i/>
          <w:lang w:val="es-ES"/>
        </w:rPr>
        <w:t>ATENTAMENTE</w:t>
      </w:r>
    </w:p>
    <w:p w:rsidR="00B36BB6" w:rsidRDefault="003C3F8F">
      <w:pPr>
        <w:spacing w:line="276" w:lineRule="auto"/>
        <w:ind w:left="851" w:right="616"/>
        <w:jc w:val="both"/>
        <w:rPr>
          <w:rFonts w:ascii="Palatino Linotype" w:hAnsi="Palatino Linotype" w:cs="Arial"/>
          <w:i/>
          <w:lang w:val="es-ES"/>
        </w:rPr>
      </w:pPr>
      <w:r>
        <w:rPr>
          <w:rFonts w:ascii="Palatino Linotype" w:hAnsi="Palatino Linotype" w:cs="Arial"/>
          <w:i/>
          <w:lang w:val="es-ES"/>
        </w:rPr>
        <w:t>C.P IVONNE BERENICE GONZALEZ ARREOLA”</w:t>
      </w:r>
    </w:p>
    <w:p w:rsidR="00B36BB6" w:rsidRDefault="00B36BB6">
      <w:pPr>
        <w:spacing w:line="276" w:lineRule="auto"/>
        <w:ind w:left="851" w:right="616"/>
        <w:jc w:val="both"/>
        <w:rPr>
          <w:rFonts w:ascii="Palatino Linotype" w:hAnsi="Palatino Linotype" w:cs="Arial"/>
          <w:i/>
          <w:lang w:val="es-ES"/>
        </w:rPr>
      </w:pPr>
    </w:p>
    <w:p w:rsidR="00B36BB6" w:rsidRDefault="003C3F8F">
      <w:pPr>
        <w:spacing w:line="360" w:lineRule="auto"/>
        <w:jc w:val="both"/>
        <w:rPr>
          <w:rFonts w:ascii="Palatino Linotype" w:hAnsi="Palatino Linotype" w:cs="Arial"/>
          <w:lang w:val="es-ES"/>
        </w:rPr>
      </w:pPr>
      <w:r>
        <w:rPr>
          <w:rFonts w:ascii="Palatino Linotype" w:hAnsi="Palatino Linotype" w:cs="Arial"/>
          <w:lang w:val="es-ES"/>
        </w:rPr>
        <w:t xml:space="preserve">Cabe precisar que </w:t>
      </w:r>
      <w:r>
        <w:rPr>
          <w:rFonts w:ascii="Palatino Linotype" w:hAnsi="Palatino Linotype" w:cs="Arial"/>
          <w:b/>
          <w:lang w:val="es-ES"/>
        </w:rPr>
        <w:t>EL SUJETO OBLIGADO</w:t>
      </w:r>
      <w:r>
        <w:rPr>
          <w:rFonts w:ascii="Palatino Linotype" w:hAnsi="Palatino Linotype" w:cs="Arial"/>
          <w:lang w:val="es-ES"/>
        </w:rPr>
        <w:t xml:space="preserve"> adjuntó un archivo electrónico denominado </w:t>
      </w:r>
      <w:r>
        <w:rPr>
          <w:rFonts w:ascii="Palatino Linotype" w:hAnsi="Palatino Linotype" w:cs="Arial"/>
          <w:b/>
          <w:i/>
          <w:lang w:val="es-ES"/>
        </w:rPr>
        <w:t>17-02-2020.pdf,</w:t>
      </w:r>
      <w:r>
        <w:rPr>
          <w:rFonts w:ascii="Palatino Linotype" w:hAnsi="Palatino Linotype" w:cs="Arial"/>
          <w:lang w:val="es-ES"/>
        </w:rPr>
        <w:t xml:space="preserve"> el cual no se inserta en el presente apartado al ser del concomimiento de las partes; aunado a que, será materia de estudio en el apartado correspondiente y el cual contiene el escrito de la Coordinadora de Finanzas en la que le informó que no ha emitido cheques por concepto de liquidaciones o laudos laborales por resolución durante el ejercicio 2019.</w:t>
      </w:r>
    </w:p>
    <w:p w:rsidR="00B36BB6" w:rsidRDefault="00B36BB6">
      <w:pPr>
        <w:spacing w:line="360" w:lineRule="auto"/>
        <w:jc w:val="both"/>
        <w:rPr>
          <w:rFonts w:ascii="Palatino Linotype" w:hAnsi="Palatino Linotype" w:cs="Arial"/>
          <w:i/>
          <w:lang w:val="es-ES"/>
        </w:rPr>
      </w:pPr>
    </w:p>
    <w:p w:rsidR="00B36BB6" w:rsidRDefault="003C3F8F">
      <w:pPr>
        <w:spacing w:line="360" w:lineRule="auto"/>
        <w:jc w:val="both"/>
        <w:rPr>
          <w:rFonts w:ascii="Palatino Linotype" w:hAnsi="Palatino Linotype" w:cs="Arial"/>
          <w:lang w:val="es-ES"/>
        </w:rPr>
      </w:pPr>
      <w:r>
        <w:rPr>
          <w:rFonts w:ascii="Palatino Linotype" w:hAnsi="Palatino Linotype" w:cs="Arial"/>
          <w:b/>
          <w:sz w:val="28"/>
          <w:szCs w:val="28"/>
          <w:lang w:val="es-ES"/>
        </w:rPr>
        <w:t xml:space="preserve">V. </w:t>
      </w:r>
      <w:r>
        <w:rPr>
          <w:rFonts w:ascii="Palatino Linotype" w:hAnsi="Palatino Linotype"/>
          <w:lang w:val="es-ES"/>
        </w:rPr>
        <w:t xml:space="preserve">Inconforme con la </w:t>
      </w:r>
      <w:r>
        <w:rPr>
          <w:rFonts w:ascii="Palatino Linotype" w:hAnsi="Palatino Linotype" w:cs="Arial"/>
          <w:lang w:val="es-ES"/>
        </w:rPr>
        <w:t xml:space="preserve">respuesta el diecisiete de febrero de dos mil veinte, </w:t>
      </w:r>
      <w:r>
        <w:rPr>
          <w:rFonts w:ascii="Palatino Linotype" w:hAnsi="Palatino Linotype"/>
          <w:b/>
          <w:lang w:val="es-ES"/>
        </w:rPr>
        <w:t>EL RECURRENTE</w:t>
      </w:r>
      <w:r>
        <w:rPr>
          <w:rFonts w:ascii="Palatino Linotype" w:hAnsi="Palatino Linotype"/>
          <w:lang w:val="es-ES"/>
        </w:rPr>
        <w:t xml:space="preserve"> interpuso el recursos de revisión objeto del presente estudio, el cual fue registrado en </w:t>
      </w:r>
      <w:r>
        <w:rPr>
          <w:rFonts w:ascii="Palatino Linotype" w:hAnsi="Palatino Linotype"/>
          <w:b/>
          <w:lang w:val="es-ES"/>
        </w:rPr>
        <w:t>EL SAIMEX</w:t>
      </w:r>
      <w:r>
        <w:rPr>
          <w:rFonts w:ascii="Palatino Linotype" w:hAnsi="Palatino Linotype"/>
          <w:lang w:val="es-ES"/>
        </w:rPr>
        <w:t xml:space="preserve"> y se le asignó el número de expediente</w:t>
      </w:r>
      <w:r>
        <w:rPr>
          <w:rFonts w:ascii="Palatino Linotype" w:hAnsi="Palatino Linotype" w:cs="Arial"/>
          <w:lang w:val="es-ES"/>
        </w:rPr>
        <w:t xml:space="preserve"> </w:t>
      </w:r>
      <w:r>
        <w:rPr>
          <w:rFonts w:ascii="Palatino Linotype" w:hAnsi="Palatino Linotype"/>
          <w:lang w:eastAsia="es-MX"/>
        </w:rPr>
        <w:br/>
      </w:r>
      <w:r>
        <w:rPr>
          <w:rFonts w:ascii="Palatino Linotype" w:hAnsi="Palatino Linotype"/>
          <w:b/>
          <w:lang w:eastAsia="es-MX"/>
        </w:rPr>
        <w:t>01067/INFOEM/IP/RR/2020</w:t>
      </w:r>
      <w:r>
        <w:rPr>
          <w:rFonts w:ascii="Palatino Linotype" w:hAnsi="Palatino Linotype"/>
          <w:lang w:eastAsia="es-MX"/>
        </w:rPr>
        <w:t xml:space="preserve">, </w:t>
      </w:r>
      <w:r>
        <w:rPr>
          <w:rFonts w:ascii="Palatino Linotype" w:hAnsi="Palatino Linotype" w:cs="Arial"/>
          <w:lang w:val="es-ES"/>
        </w:rPr>
        <w:t>en el que señaló como acto impugnado y razones o motivos de inconformidad lo siguiente:</w:t>
      </w:r>
    </w:p>
    <w:tbl>
      <w:tblPr>
        <w:tblStyle w:val="Tablaconcuadrcula"/>
        <w:tblW w:w="8828" w:type="dxa"/>
        <w:jc w:val="center"/>
        <w:tblLook w:val="04A0" w:firstRow="1" w:lastRow="0" w:firstColumn="1" w:lastColumn="0" w:noHBand="0" w:noVBand="1"/>
      </w:tblPr>
      <w:tblGrid>
        <w:gridCol w:w="2689"/>
        <w:gridCol w:w="2409"/>
        <w:gridCol w:w="3730"/>
      </w:tblGrid>
      <w:tr w:rsidR="00B36BB6">
        <w:trPr>
          <w:jc w:val="center"/>
        </w:trPr>
        <w:tc>
          <w:tcPr>
            <w:tcW w:w="2689" w:type="dxa"/>
            <w:shd w:val="clear" w:color="auto" w:fill="000000" w:themeFill="text1"/>
            <w:vAlign w:val="center"/>
          </w:tcPr>
          <w:p w:rsidR="00B36BB6" w:rsidRDefault="003C3F8F">
            <w:pPr>
              <w:jc w:val="center"/>
              <w:rPr>
                <w:rFonts w:ascii="Palatino Linotype" w:hAnsi="Palatino Linotype"/>
                <w:b/>
              </w:rPr>
            </w:pPr>
            <w:r>
              <w:rPr>
                <w:rFonts w:ascii="Palatino Linotype" w:eastAsiaTheme="minorHAnsi" w:hAnsi="Palatino Linotype"/>
                <w:b/>
              </w:rPr>
              <w:t>Número de Recurso</w:t>
            </w:r>
          </w:p>
        </w:tc>
        <w:tc>
          <w:tcPr>
            <w:tcW w:w="2409" w:type="dxa"/>
            <w:shd w:val="clear" w:color="auto" w:fill="000000" w:themeFill="text1"/>
            <w:vAlign w:val="center"/>
          </w:tcPr>
          <w:p w:rsidR="00B36BB6" w:rsidRDefault="003C3F8F">
            <w:pPr>
              <w:jc w:val="center"/>
              <w:rPr>
                <w:rFonts w:ascii="Palatino Linotype" w:hAnsi="Palatino Linotype"/>
                <w:b/>
              </w:rPr>
            </w:pPr>
            <w:r>
              <w:rPr>
                <w:rFonts w:ascii="Palatino Linotype" w:eastAsiaTheme="minorHAnsi" w:hAnsi="Palatino Linotype"/>
                <w:b/>
              </w:rPr>
              <w:t>Acto Impugnado</w:t>
            </w:r>
          </w:p>
        </w:tc>
        <w:tc>
          <w:tcPr>
            <w:tcW w:w="3730" w:type="dxa"/>
            <w:shd w:val="clear" w:color="auto" w:fill="000000" w:themeFill="text1"/>
            <w:vAlign w:val="center"/>
          </w:tcPr>
          <w:p w:rsidR="00B36BB6" w:rsidRDefault="003C3F8F">
            <w:pPr>
              <w:jc w:val="center"/>
              <w:rPr>
                <w:rFonts w:ascii="Palatino Linotype" w:hAnsi="Palatino Linotype"/>
                <w:b/>
              </w:rPr>
            </w:pPr>
            <w:r>
              <w:rPr>
                <w:rFonts w:ascii="Palatino Linotype" w:eastAsiaTheme="minorHAnsi" w:hAnsi="Palatino Linotype"/>
                <w:b/>
              </w:rPr>
              <w:t>Razones o motivos de inconformidad</w:t>
            </w:r>
          </w:p>
        </w:tc>
      </w:tr>
      <w:tr w:rsidR="00B36BB6">
        <w:trPr>
          <w:trHeight w:val="1384"/>
          <w:jc w:val="center"/>
        </w:trPr>
        <w:tc>
          <w:tcPr>
            <w:tcW w:w="2689" w:type="dxa"/>
          </w:tcPr>
          <w:p w:rsidR="00B36BB6" w:rsidRDefault="003C3F8F">
            <w:pPr>
              <w:rPr>
                <w:rFonts w:ascii="Palatino Linotype" w:hAnsi="Palatino Linotype"/>
                <w:sz w:val="20"/>
                <w:szCs w:val="20"/>
              </w:rPr>
            </w:pPr>
            <w:r>
              <w:rPr>
                <w:rFonts w:ascii="Palatino Linotype" w:hAnsi="Palatino Linotype"/>
                <w:b/>
                <w:sz w:val="20"/>
                <w:szCs w:val="20"/>
                <w:lang w:eastAsia="es-MX"/>
              </w:rPr>
              <w:t>01067/INFOEM/IP/RR/2020</w:t>
            </w:r>
          </w:p>
        </w:tc>
        <w:tc>
          <w:tcPr>
            <w:tcW w:w="2409" w:type="dxa"/>
          </w:tcPr>
          <w:p w:rsidR="00B36BB6" w:rsidRDefault="003C3F8F">
            <w:pPr>
              <w:jc w:val="both"/>
              <w:rPr>
                <w:rFonts w:ascii="Palatino Linotype" w:hAnsi="Palatino Linotype"/>
                <w:i/>
              </w:rPr>
            </w:pPr>
            <w:r>
              <w:rPr>
                <w:rFonts w:ascii="Palatino Linotype" w:eastAsiaTheme="minorHAnsi" w:hAnsi="Palatino Linotype"/>
                <w:i/>
              </w:rPr>
              <w:t>“respuesta”</w:t>
            </w:r>
          </w:p>
        </w:tc>
        <w:tc>
          <w:tcPr>
            <w:tcW w:w="3730" w:type="dxa"/>
          </w:tcPr>
          <w:p w:rsidR="00B36BB6" w:rsidRDefault="003C3F8F">
            <w:pPr>
              <w:jc w:val="both"/>
              <w:rPr>
                <w:rFonts w:ascii="Palatino Linotype" w:hAnsi="Palatino Linotype"/>
                <w:i/>
              </w:rPr>
            </w:pPr>
            <w:r>
              <w:rPr>
                <w:rFonts w:ascii="Palatino Linotype" w:eastAsiaTheme="minorHAnsi" w:hAnsi="Palatino Linotype"/>
                <w:i/>
              </w:rPr>
              <w:t>“se niega la información sobre los cheques emitidos sin embargo en los discos remitidos por el area de finanzas al osfem se tiene contabilidaza una erogación realizada en el ejercicio fiscal en mención , por lo anterior solicito sea entrega dicha documentación.”</w:t>
            </w:r>
          </w:p>
        </w:tc>
      </w:tr>
    </w:tbl>
    <w:p w:rsidR="00B36BB6" w:rsidRDefault="00B36BB6">
      <w:pPr>
        <w:spacing w:line="360" w:lineRule="auto"/>
        <w:ind w:right="49"/>
        <w:jc w:val="both"/>
        <w:rPr>
          <w:rFonts w:ascii="Palatino Linotype" w:hAnsi="Palatino Linotype" w:cs="Arial"/>
          <w:b/>
          <w:sz w:val="28"/>
          <w:szCs w:val="28"/>
          <w:lang w:val="es-ES"/>
        </w:rPr>
      </w:pPr>
    </w:p>
    <w:p w:rsidR="00B36BB6" w:rsidRDefault="003C3F8F">
      <w:pPr>
        <w:spacing w:line="360" w:lineRule="auto"/>
        <w:ind w:right="49"/>
        <w:jc w:val="both"/>
        <w:rPr>
          <w:rFonts w:ascii="Palatino Linotype" w:hAnsi="Palatino Linotype"/>
          <w:lang w:eastAsia="es-MX"/>
        </w:rPr>
      </w:pPr>
      <w:r>
        <w:rPr>
          <w:rFonts w:ascii="Palatino Linotype" w:hAnsi="Palatino Linotype" w:cs="Arial"/>
          <w:b/>
          <w:sz w:val="28"/>
          <w:szCs w:val="28"/>
          <w:lang w:val="es-ES"/>
        </w:rPr>
        <w:t>VI.</w:t>
      </w:r>
      <w:r>
        <w:rPr>
          <w:rFonts w:ascii="Palatino Linotype" w:hAnsi="Palatino Linotype" w:cs="Arial"/>
          <w:b/>
          <w:sz w:val="28"/>
          <w:lang w:val="es-ES"/>
        </w:rPr>
        <w:t xml:space="preserve"> </w:t>
      </w:r>
      <w:r>
        <w:rPr>
          <w:rFonts w:ascii="Palatino Linotype" w:hAnsi="Palatino Linotype" w:cs="Arial"/>
          <w:lang w:val="es-ES"/>
        </w:rPr>
        <w:t>El diecisiete de febrero de dos mil veinte</w:t>
      </w:r>
      <w:r>
        <w:rPr>
          <w:rFonts w:ascii="Palatino Linotype" w:hAnsi="Palatino Linotype"/>
          <w:lang w:val="es-ES"/>
        </w:rPr>
        <w:t>, el</w:t>
      </w:r>
      <w:r>
        <w:rPr>
          <w:rFonts w:ascii="Palatino Linotype" w:hAnsi="Palatino Linotype" w:cs="Arial"/>
          <w:lang w:val="es-ES"/>
        </w:rPr>
        <w:t xml:space="preserve"> </w:t>
      </w:r>
      <w:r>
        <w:rPr>
          <w:rFonts w:ascii="Palatino Linotype" w:hAnsi="Palatino Linotype" w:cs="Arial"/>
          <w:lang w:val="es-ES_tradnl"/>
        </w:rPr>
        <w:t>recurso de revisión de que</w:t>
      </w:r>
      <w:r>
        <w:rPr>
          <w:rFonts w:ascii="Palatino Linotype" w:hAnsi="Palatino Linotype" w:cs="Arial"/>
          <w:lang w:val="es-ES"/>
        </w:rPr>
        <w:t xml:space="preserve"> se trata</w:t>
      </w:r>
      <w:r>
        <w:rPr>
          <w:rFonts w:ascii="Palatino Linotype" w:hAnsi="Palatino Linotype" w:cs="Arial"/>
          <w:lang w:val="es-ES_tradnl"/>
        </w:rPr>
        <w:t xml:space="preserve"> se envió electrónicamente al Instituto de </w:t>
      </w:r>
      <w:r>
        <w:rPr>
          <w:rFonts w:ascii="Palatino Linotype" w:eastAsia="Arial Unicode MS" w:hAnsi="Palatino Linotype" w:cs="Arial"/>
          <w:lang w:val="es-ES"/>
        </w:rPr>
        <w:t>Transparencia</w:t>
      </w:r>
      <w:r>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Pr>
          <w:rFonts w:ascii="Palatino Linotype" w:hAnsi="Palatino Linotype"/>
          <w:lang w:val="es-ES"/>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lang w:val="es-ES"/>
        </w:rPr>
        <w:t>, el recurso</w:t>
      </w:r>
      <w:r>
        <w:rPr>
          <w:rFonts w:ascii="Palatino Linotype" w:hAnsi="Palatino Linotype" w:cs="Arial"/>
          <w:szCs w:val="20"/>
          <w:lang w:val="es-ES"/>
        </w:rPr>
        <w:t xml:space="preserve"> de revisión</w:t>
      </w:r>
      <w:r>
        <w:rPr>
          <w:rFonts w:ascii="Palatino Linotype" w:hAnsi="Palatino Linotype"/>
          <w:lang w:val="es-ES"/>
        </w:rPr>
        <w:t xml:space="preserve"> a la </w:t>
      </w:r>
      <w:r>
        <w:rPr>
          <w:rFonts w:ascii="Palatino Linotype" w:hAnsi="Palatino Linotype" w:cs="Arial"/>
          <w:lang w:val="es-ES_tradnl"/>
        </w:rPr>
        <w:t xml:space="preserve">Comisionada </w:t>
      </w:r>
      <w:r>
        <w:rPr>
          <w:rFonts w:ascii="Palatino Linotype" w:hAnsi="Palatino Linotype" w:cs="Arial"/>
          <w:b/>
          <w:lang w:val="es-ES_tradnl"/>
        </w:rPr>
        <w:t xml:space="preserve">EVA ABAID YAPUR, </w:t>
      </w:r>
      <w:r>
        <w:rPr>
          <w:rFonts w:ascii="Palatino Linotype" w:hAnsi="Palatino Linotype" w:cs="Arial"/>
          <w:lang w:val="es-ES_tradnl"/>
        </w:rPr>
        <w:t>a efecto de que decretaran su admisión o desechamiento.</w:t>
      </w:r>
      <w:r>
        <w:rPr>
          <w:rFonts w:ascii="Palatino Linotype" w:hAnsi="Palatino Linotype"/>
          <w:lang w:eastAsia="es-MX"/>
        </w:rPr>
        <w:t xml:space="preserve"> </w:t>
      </w:r>
    </w:p>
    <w:p w:rsidR="00B36BB6" w:rsidRDefault="00B36BB6">
      <w:pPr>
        <w:spacing w:line="360" w:lineRule="auto"/>
        <w:ind w:right="49"/>
        <w:jc w:val="both"/>
        <w:rPr>
          <w:rFonts w:ascii="Palatino Linotype" w:hAnsi="Palatino Linotype"/>
          <w:sz w:val="12"/>
          <w:lang w:eastAsia="es-MX"/>
        </w:rPr>
      </w:pPr>
    </w:p>
    <w:p w:rsidR="00B36BB6" w:rsidRDefault="003C3F8F">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cs="Arial"/>
          <w:b/>
          <w:sz w:val="28"/>
          <w:lang w:val="es-ES_tradnl"/>
        </w:rPr>
        <w:t xml:space="preserve">VII. </w:t>
      </w:r>
      <w:r>
        <w:rPr>
          <w:rFonts w:ascii="Palatino Linotype" w:eastAsia="MS Mincho" w:hAnsi="Palatino Linotype" w:cs="Arial"/>
          <w:lang w:val="es-ES_tradnl"/>
        </w:rPr>
        <w:t>De las constancias del expediente electrónico del</w:t>
      </w:r>
      <w:r>
        <w:rPr>
          <w:rFonts w:ascii="Palatino Linotype" w:eastAsia="MS Mincho" w:hAnsi="Palatino Linotype" w:cs="Arial"/>
          <w:b/>
          <w:lang w:val="es-ES_tradnl"/>
        </w:rPr>
        <w:t xml:space="preserve"> SAIMEX</w:t>
      </w:r>
      <w:r>
        <w:rPr>
          <w:rFonts w:ascii="Palatino Linotype" w:eastAsia="MS Mincho" w:hAnsi="Palatino Linotype" w:cs="Arial"/>
          <w:lang w:val="es-ES_tradnl"/>
        </w:rPr>
        <w:t xml:space="preserve">, se desprende que el veintiuno de febrero de dos mil veinte,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Pr>
          <w:rFonts w:ascii="Palatino Linotype" w:eastAsia="MS Mincho" w:hAnsi="Palatino Linotype" w:cs="Arial"/>
          <w:b/>
          <w:lang w:val="es-ES_tradnl"/>
        </w:rPr>
        <w:t xml:space="preserve">EL SUJETO OBLIGADO </w:t>
      </w:r>
      <w:r>
        <w:rPr>
          <w:rFonts w:ascii="Palatino Linotype" w:eastAsia="MS Mincho" w:hAnsi="Palatino Linotype" w:cs="Arial"/>
          <w:lang w:val="es-ES_tradnl"/>
        </w:rPr>
        <w:t>rindiera su</w:t>
      </w:r>
      <w:r>
        <w:rPr>
          <w:rFonts w:ascii="Palatino Linotype" w:eastAsia="MS Mincho" w:hAnsi="Palatino Linotype" w:cs="Arial"/>
          <w:b/>
          <w:lang w:val="es-ES_tradnl"/>
        </w:rPr>
        <w:t xml:space="preserve"> </w:t>
      </w:r>
      <w:r>
        <w:rPr>
          <w:rFonts w:ascii="Palatino Linotype" w:eastAsia="MS Mincho" w:hAnsi="Palatino Linotype" w:cs="Arial"/>
          <w:lang w:val="es-ES_tradnl"/>
        </w:rPr>
        <w:t>Informe Justificado respectivamente.</w:t>
      </w:r>
    </w:p>
    <w:p w:rsidR="00B36BB6" w:rsidRDefault="00B36BB6">
      <w:pPr>
        <w:tabs>
          <w:tab w:val="center" w:pos="4252"/>
          <w:tab w:val="right" w:pos="8504"/>
        </w:tabs>
        <w:spacing w:line="360" w:lineRule="auto"/>
        <w:jc w:val="both"/>
        <w:rPr>
          <w:rFonts w:ascii="Palatino Linotype" w:eastAsia="MS Mincho" w:hAnsi="Palatino Linotype" w:cs="Arial"/>
          <w:sz w:val="20"/>
          <w:lang w:val="es-ES_tradnl"/>
        </w:rPr>
      </w:pPr>
    </w:p>
    <w:p w:rsidR="00B36BB6" w:rsidRDefault="003C3F8F">
      <w:pPr>
        <w:spacing w:line="360" w:lineRule="auto"/>
        <w:jc w:val="both"/>
        <w:rPr>
          <w:rFonts w:ascii="Palatino Linotype" w:hAnsi="Palatino Linotype" w:cs="Arial"/>
          <w:lang w:val="es-ES"/>
        </w:rPr>
      </w:pPr>
      <w:r>
        <w:rPr>
          <w:rFonts w:ascii="Palatino Linotype" w:hAnsi="Palatino Linotype"/>
          <w:b/>
          <w:sz w:val="28"/>
          <w:szCs w:val="28"/>
          <w:lang w:eastAsia="es-MX"/>
        </w:rPr>
        <w:t>VIII.</w:t>
      </w:r>
      <w:r>
        <w:rPr>
          <w:rFonts w:ascii="Palatino Linotype" w:hAnsi="Palatino Linotype"/>
          <w:b/>
          <w:lang w:eastAsia="es-MX"/>
        </w:rPr>
        <w:t xml:space="preserve"> </w:t>
      </w:r>
      <w:r>
        <w:rPr>
          <w:rFonts w:ascii="Palatino Linotype" w:hAnsi="Palatino Linotype" w:cs="Arial"/>
          <w:lang w:val="es-ES"/>
        </w:rPr>
        <w:t xml:space="preserve">De las constancias que obran en el expediente electrónico del </w:t>
      </w:r>
      <w:r>
        <w:rPr>
          <w:rFonts w:ascii="Palatino Linotype" w:hAnsi="Palatino Linotype" w:cs="Arial"/>
          <w:b/>
          <w:lang w:val="es-ES"/>
        </w:rPr>
        <w:t>SAIMEX</w:t>
      </w:r>
      <w:r>
        <w:rPr>
          <w:rFonts w:ascii="Palatino Linotype" w:hAnsi="Palatino Linotype" w:cs="Arial"/>
          <w:lang w:val="es-ES"/>
        </w:rPr>
        <w:t xml:space="preserve">, se advierte que </w:t>
      </w:r>
      <w:r>
        <w:rPr>
          <w:rFonts w:ascii="Palatino Linotype" w:hAnsi="Palatino Linotype" w:cs="Arial"/>
          <w:b/>
          <w:lang w:val="es-ES"/>
        </w:rPr>
        <w:t>EL SUJETO OBLIGADO</w:t>
      </w:r>
      <w:r>
        <w:rPr>
          <w:rFonts w:ascii="Palatino Linotype" w:hAnsi="Palatino Linotype" w:cs="Arial"/>
          <w:lang w:val="es-ES"/>
        </w:rPr>
        <w:t xml:space="preserve"> fue omiso en rendir el Informe Justificado; por su parte, </w:t>
      </w:r>
      <w:r>
        <w:rPr>
          <w:rFonts w:ascii="Palatino Linotype" w:hAnsi="Palatino Linotype" w:cs="Arial"/>
          <w:b/>
          <w:lang w:val="es-ES"/>
        </w:rPr>
        <w:t>EL RECURRENTE</w:t>
      </w:r>
      <w:r>
        <w:rPr>
          <w:rFonts w:ascii="Palatino Linotype" w:hAnsi="Palatino Linotype" w:cs="Arial"/>
          <w:lang w:val="es-ES"/>
        </w:rPr>
        <w:t xml:space="preserve"> no presentó manifestaciones, alegatos ni ofreció los medios de prueba que a su derecho convinieran.</w:t>
      </w:r>
    </w:p>
    <w:p w:rsidR="00B36BB6" w:rsidRDefault="00B36BB6">
      <w:pPr>
        <w:tabs>
          <w:tab w:val="center" w:pos="4252"/>
          <w:tab w:val="right" w:pos="8504"/>
        </w:tabs>
        <w:spacing w:line="360" w:lineRule="auto"/>
        <w:jc w:val="both"/>
        <w:rPr>
          <w:rFonts w:ascii="Palatino Linotype" w:eastAsia="MS Mincho" w:hAnsi="Palatino Linotype"/>
          <w:b/>
          <w:sz w:val="18"/>
          <w:szCs w:val="28"/>
          <w:lang w:val="es-ES_tradnl"/>
        </w:rPr>
      </w:pPr>
    </w:p>
    <w:p w:rsidR="00B36BB6" w:rsidRDefault="003C3F8F">
      <w:pPr>
        <w:tabs>
          <w:tab w:val="center" w:pos="4252"/>
          <w:tab w:val="right" w:pos="8504"/>
        </w:tabs>
        <w:spacing w:line="360" w:lineRule="auto"/>
        <w:jc w:val="both"/>
        <w:rPr>
          <w:rFonts w:ascii="Palatino Linotype" w:eastAsia="MS Mincho" w:hAnsi="Palatino Linotype" w:cs="Arial"/>
          <w:lang w:val="es-ES_tradnl"/>
        </w:rPr>
      </w:pPr>
      <w:r>
        <w:rPr>
          <w:rFonts w:ascii="Palatino Linotype" w:eastAsia="MS Mincho" w:hAnsi="Palatino Linotype"/>
          <w:b/>
          <w:sz w:val="28"/>
          <w:szCs w:val="28"/>
          <w:lang w:val="es-ES_tradnl"/>
        </w:rPr>
        <w:t xml:space="preserve">IX. </w:t>
      </w:r>
      <w:r>
        <w:rPr>
          <w:rFonts w:ascii="Palatino Linotype" w:eastAsia="MS Mincho" w:hAnsi="Palatino Linotype" w:cs="Arial"/>
          <w:lang w:val="es-ES_tradnl"/>
        </w:rPr>
        <w:t xml:space="preserve">Una vez analizado el estado procesal que guarda el expediente, en fecha tres de agosto de dos mil veinte, la Comisionada </w:t>
      </w:r>
      <w:r>
        <w:rPr>
          <w:rFonts w:ascii="Palatino Linotype" w:eastAsia="MS Mincho" w:hAnsi="Palatino Linotype" w:cs="Arial"/>
          <w:b/>
          <w:lang w:val="es-ES_tradnl"/>
        </w:rPr>
        <w:t xml:space="preserve">EVA ABAID YAPUR </w:t>
      </w:r>
      <w:r>
        <w:rPr>
          <w:rFonts w:ascii="Palatino Linotype" w:eastAsia="MS Mincho" w:hAnsi="Palatino Linotype" w:cs="Arial"/>
          <w:lang w:val="es-ES_tradnl"/>
        </w:rPr>
        <w:t xml:space="preserve">acordó el cierre de instrucción en el recurso de revisión, así como la remisión del expediente a efecto de ser resuelto, de conformidad con lo establecido en el artículo 185 fracciones VI y VIII de la Ley de Transparencia y Acceso a la Información Pública del Estado de México y Municipios; </w:t>
      </w:r>
    </w:p>
    <w:p w:rsidR="00B36BB6" w:rsidRDefault="00B36BB6">
      <w:pPr>
        <w:tabs>
          <w:tab w:val="center" w:pos="4252"/>
          <w:tab w:val="right" w:pos="8504"/>
        </w:tabs>
        <w:spacing w:line="360" w:lineRule="auto"/>
        <w:jc w:val="both"/>
        <w:rPr>
          <w:rFonts w:ascii="Palatino Linotype" w:eastAsia="MS Mincho" w:hAnsi="Palatino Linotype" w:cs="Arial"/>
          <w:sz w:val="14"/>
          <w:lang w:val="es-ES_tradnl"/>
        </w:rPr>
      </w:pPr>
    </w:p>
    <w:p w:rsidR="00B36BB6" w:rsidRDefault="003C3F8F">
      <w:pPr>
        <w:pStyle w:val="Default"/>
        <w:spacing w:line="360" w:lineRule="auto"/>
        <w:ind w:right="49"/>
        <w:jc w:val="both"/>
        <w:rPr>
          <w:rFonts w:ascii="Palatino Linotype" w:hAnsi="Palatino Linotype"/>
        </w:rPr>
      </w:pPr>
      <w:r>
        <w:rPr>
          <w:rFonts w:ascii="Palatino Linotype" w:hAnsi="Palatino Linotype"/>
          <w:b/>
          <w:sz w:val="28"/>
          <w:szCs w:val="28"/>
          <w:lang w:val="es-ES_tradnl"/>
        </w:rPr>
        <w:t>IX.</w:t>
      </w:r>
      <w:r>
        <w:rPr>
          <w:rFonts w:ascii="Palatino Linotype" w:hAnsi="Palatino Linotype"/>
          <w:lang w:val="es-ES_tradnl"/>
        </w:rPr>
        <w:t xml:space="preserve"> En fecha </w:t>
      </w:r>
      <w:r>
        <w:rPr>
          <w:rFonts w:ascii="Palatino Linotype" w:eastAsia="MS Mincho" w:hAnsi="Palatino Linotype"/>
          <w:lang w:val="es-ES_tradnl" w:eastAsia="es-ES"/>
        </w:rPr>
        <w:t>res de agosto de dos mil veinte</w:t>
      </w:r>
      <w:r>
        <w:rPr>
          <w:rFonts w:ascii="Palatino Linotype" w:hAnsi="Palatino Linotype"/>
          <w:lang w:val="es-ES_tradnl"/>
        </w:rPr>
        <w:t xml:space="preserve">, </w:t>
      </w:r>
      <w:r>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Pr>
          <w:rFonts w:ascii="Palatino Linotype" w:hAnsi="Palatino Linotype"/>
        </w:rPr>
        <w:t>; y</w:t>
      </w:r>
    </w:p>
    <w:p w:rsidR="00B36BB6" w:rsidRDefault="00B36BB6">
      <w:pPr>
        <w:pStyle w:val="Default"/>
        <w:spacing w:line="360" w:lineRule="auto"/>
        <w:ind w:right="49"/>
        <w:jc w:val="both"/>
        <w:rPr>
          <w:rFonts w:ascii="Palatino Linotype" w:hAnsi="Palatino Linotype"/>
        </w:rPr>
      </w:pPr>
    </w:p>
    <w:p w:rsidR="00B36BB6" w:rsidRPr="00FB7851" w:rsidRDefault="003C3F8F">
      <w:pPr>
        <w:jc w:val="center"/>
        <w:rPr>
          <w:rFonts w:ascii="Palatino Linotype" w:hAnsi="Palatino Linotype"/>
          <w:b/>
          <w:szCs w:val="28"/>
          <w:lang w:val="pt-BR"/>
        </w:rPr>
      </w:pPr>
      <w:r w:rsidRPr="00FB7851">
        <w:rPr>
          <w:rFonts w:ascii="Palatino Linotype" w:hAnsi="Palatino Linotype"/>
          <w:b/>
          <w:szCs w:val="28"/>
          <w:lang w:val="pt-BR"/>
        </w:rPr>
        <w:t>C O N S I D E R A N D O</w:t>
      </w:r>
    </w:p>
    <w:p w:rsidR="00B36BB6" w:rsidRPr="00FB7851" w:rsidRDefault="00B36BB6">
      <w:pPr>
        <w:jc w:val="center"/>
        <w:rPr>
          <w:rFonts w:ascii="Palatino Linotype" w:hAnsi="Palatino Linotype"/>
          <w:b/>
          <w:szCs w:val="28"/>
          <w:lang w:val="pt-BR"/>
        </w:rPr>
      </w:pPr>
    </w:p>
    <w:p w:rsidR="00B36BB6" w:rsidRDefault="003C3F8F">
      <w:pPr>
        <w:spacing w:line="360" w:lineRule="auto"/>
        <w:ind w:right="50"/>
        <w:jc w:val="both"/>
        <w:rPr>
          <w:rFonts w:ascii="Palatino Linotype" w:hAnsi="Palatino Linotype" w:cs="Arial"/>
          <w:b/>
          <w:lang w:val="es-ES"/>
        </w:rPr>
      </w:pPr>
      <w:r>
        <w:rPr>
          <w:rFonts w:ascii="Palatino Linotype" w:hAnsi="Palatino Linotype"/>
          <w:b/>
          <w:sz w:val="28"/>
          <w:szCs w:val="28"/>
          <w:lang w:val="es-ES"/>
        </w:rPr>
        <w:t>PRIMERO</w:t>
      </w:r>
      <w:r>
        <w:rPr>
          <w:rFonts w:ascii="Palatino Linotype" w:hAnsi="Palatino Linotype"/>
          <w:b/>
          <w:lang w:val="es-ES"/>
        </w:rPr>
        <w:t>.</w:t>
      </w:r>
      <w:r>
        <w:rPr>
          <w:rFonts w:ascii="Palatino Linotype" w:hAnsi="Palatino Linotype"/>
          <w:lang w:val="es-ES"/>
        </w:rPr>
        <w:t xml:space="preserve"> </w:t>
      </w:r>
      <w:r>
        <w:rPr>
          <w:rFonts w:ascii="Palatino Linotype" w:hAnsi="Palatino Linotype"/>
          <w:b/>
          <w:i/>
          <w:lang w:val="es-ES"/>
        </w:rPr>
        <w:t>Competencia</w:t>
      </w:r>
      <w:r>
        <w:rPr>
          <w:rFonts w:ascii="Palatino Linotype" w:hAnsi="Palatino Linotype"/>
          <w:i/>
          <w:lang w:val="es-ES"/>
        </w:rPr>
        <w:t>.</w:t>
      </w:r>
      <w:r>
        <w:rPr>
          <w:rFonts w:ascii="Palatino Linotype" w:hAnsi="Palatino Linotype"/>
          <w:b/>
          <w:lang w:val="es-ES"/>
        </w:rPr>
        <w:t xml:space="preserve"> </w:t>
      </w:r>
      <w:r>
        <w:rPr>
          <w:rFonts w:ascii="Palatino Linotype" w:hAnsi="Palatino Linotype"/>
          <w:lang w:val="es-ES"/>
        </w:rPr>
        <w:t xml:space="preserve">Este Instituto de </w:t>
      </w:r>
      <w:r>
        <w:rPr>
          <w:rFonts w:ascii="Palatino Linotype" w:hAnsi="Palatino Linotype" w:cs="Arial"/>
          <w:lang w:val="es-ES"/>
        </w:rPr>
        <w:t>Transparencia</w:t>
      </w:r>
      <w:r>
        <w:rPr>
          <w:rFonts w:ascii="Palatino Linotype" w:hAnsi="Palatino Linotype"/>
          <w:lang w:val="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Pr>
          <w:rFonts w:ascii="Palatino Linotype" w:hAnsi="Palatino Linotype" w:cs="Arial"/>
          <w:lang w:val="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B36BB6" w:rsidRDefault="00B36BB6">
      <w:pPr>
        <w:spacing w:line="360" w:lineRule="auto"/>
        <w:jc w:val="both"/>
        <w:rPr>
          <w:rFonts w:ascii="Palatino Linotype" w:hAnsi="Palatino Linotype" w:cs="Arial"/>
          <w:b/>
          <w:lang w:val="es-ES"/>
        </w:rPr>
      </w:pPr>
    </w:p>
    <w:p w:rsidR="00B36BB6" w:rsidRDefault="003C3F8F">
      <w:pPr>
        <w:spacing w:line="360" w:lineRule="auto"/>
        <w:jc w:val="both"/>
        <w:rPr>
          <w:rFonts w:ascii="Palatino Linotype" w:hAnsi="Palatino Linotype" w:cs="Arial"/>
          <w:b/>
          <w:bCs/>
          <w:lang w:val="es-ES"/>
        </w:rPr>
      </w:pPr>
      <w:r>
        <w:rPr>
          <w:rFonts w:ascii="Palatino Linotype" w:hAnsi="Palatino Linotype" w:cs="Arial"/>
          <w:b/>
          <w:sz w:val="28"/>
          <w:lang w:val="es-ES"/>
        </w:rPr>
        <w:t>SEGUNDO</w:t>
      </w:r>
      <w:r>
        <w:rPr>
          <w:rFonts w:ascii="Palatino Linotype" w:hAnsi="Palatino Linotype" w:cs="Arial"/>
          <w:b/>
        </w:rPr>
        <w:t xml:space="preserve">. </w:t>
      </w:r>
      <w:r>
        <w:rPr>
          <w:rFonts w:ascii="Palatino Linotype" w:hAnsi="Palatino Linotype" w:cs="Arial"/>
          <w:b/>
          <w:i/>
          <w:lang w:val="es-ES"/>
        </w:rPr>
        <w:t>Interés.</w:t>
      </w:r>
      <w:r>
        <w:rPr>
          <w:rFonts w:ascii="Palatino Linotype" w:hAnsi="Palatino Linotype" w:cs="Arial"/>
          <w:b/>
          <w:lang w:val="es-ES"/>
        </w:rPr>
        <w:t xml:space="preserve"> </w:t>
      </w:r>
      <w:r>
        <w:rPr>
          <w:rFonts w:ascii="Palatino Linotype" w:hAnsi="Palatino Linotype" w:cs="Arial"/>
          <w:lang w:val="es-ES"/>
        </w:rPr>
        <w:t xml:space="preserve">El recurso de revisión fue interpuesto por parte legítima, en atención a que fue presentado por </w:t>
      </w:r>
      <w:r>
        <w:rPr>
          <w:rFonts w:ascii="Palatino Linotype" w:hAnsi="Palatino Linotype" w:cs="Arial"/>
          <w:b/>
          <w:lang w:val="es-ES"/>
        </w:rPr>
        <w:t>EL RECURRENTE</w:t>
      </w:r>
      <w:r>
        <w:rPr>
          <w:rFonts w:ascii="Palatino Linotype" w:hAnsi="Palatino Linotype" w:cs="Arial"/>
          <w:lang w:val="es-ES"/>
        </w:rPr>
        <w:t xml:space="preserve">, quien es la misma persona que formuló la solicitud de acceso a la información pública </w:t>
      </w:r>
      <w:r>
        <w:rPr>
          <w:rFonts w:ascii="Palatino Linotype" w:hAnsi="Palatino Linotype" w:cs="Arial"/>
          <w:bCs/>
          <w:lang w:val="es-ES"/>
        </w:rPr>
        <w:t xml:space="preserve">al </w:t>
      </w:r>
      <w:r>
        <w:rPr>
          <w:rFonts w:ascii="Palatino Linotype" w:hAnsi="Palatino Linotype" w:cs="Arial"/>
          <w:b/>
          <w:bCs/>
          <w:lang w:val="es-ES"/>
        </w:rPr>
        <w:t>SUJETO OBLIGADO.</w:t>
      </w:r>
    </w:p>
    <w:p w:rsidR="00B36BB6" w:rsidRDefault="00B36BB6">
      <w:pPr>
        <w:spacing w:line="360" w:lineRule="auto"/>
        <w:ind w:right="49"/>
        <w:contextualSpacing/>
        <w:jc w:val="both"/>
        <w:rPr>
          <w:rFonts w:ascii="Palatino Linotype" w:hAnsi="Palatino Linotype"/>
          <w:b/>
          <w:sz w:val="20"/>
          <w:lang w:val="es-ES"/>
        </w:rPr>
      </w:pPr>
    </w:p>
    <w:p w:rsidR="00B36BB6" w:rsidRDefault="003C3F8F">
      <w:pPr>
        <w:pStyle w:val="Prrafodelista"/>
        <w:spacing w:line="360" w:lineRule="auto"/>
        <w:ind w:left="0" w:right="49"/>
        <w:jc w:val="both"/>
        <w:rPr>
          <w:rFonts w:ascii="Palatino Linotype" w:hAnsi="Palatino Linotype" w:cs="Arial"/>
        </w:rPr>
      </w:pPr>
      <w:r>
        <w:rPr>
          <w:rFonts w:ascii="Palatino Linotype" w:hAnsi="Palatino Linotype"/>
          <w:b/>
          <w:sz w:val="28"/>
        </w:rPr>
        <w:t xml:space="preserve">TERCERO. </w:t>
      </w:r>
      <w:r>
        <w:rPr>
          <w:rFonts w:ascii="Palatino Linotype" w:hAnsi="Palatino Linotype" w:cs="Arial"/>
          <w:b/>
          <w:i/>
        </w:rPr>
        <w:t>Oportunidad.</w:t>
      </w:r>
      <w:r>
        <w:rPr>
          <w:rFonts w:ascii="Palatino Linotype" w:hAnsi="Palatino Linotype" w:cs="Arial"/>
          <w:b/>
        </w:rPr>
        <w:t xml:space="preserve"> </w:t>
      </w:r>
      <w:r>
        <w:rPr>
          <w:rFonts w:ascii="Palatino Linotype" w:hAnsi="Palatino Linotype" w:cs="Arial"/>
        </w:rPr>
        <w:t xml:space="preserve">El recurso de revisión fue interpuesto dentro del plazo 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36BB6" w:rsidRDefault="00B36BB6">
      <w:pPr>
        <w:ind w:left="851" w:right="899"/>
        <w:jc w:val="both"/>
        <w:rPr>
          <w:rFonts w:ascii="Palatino Linotype" w:hAnsi="Palatino Linotype" w:cs="Arial"/>
        </w:rPr>
      </w:pPr>
    </w:p>
    <w:p w:rsidR="00B36BB6" w:rsidRDefault="003C3F8F">
      <w:pPr>
        <w:ind w:left="851" w:right="899"/>
        <w:jc w:val="both"/>
        <w:rPr>
          <w:rFonts w:ascii="Palatino Linotype" w:hAnsi="Palatino Linotype" w:cs="Arial"/>
          <w:i/>
        </w:rPr>
      </w:pPr>
      <w:r>
        <w:rPr>
          <w:rFonts w:ascii="Palatino Linotype" w:hAnsi="Palatino Linotype" w:cs="Arial"/>
          <w:b/>
          <w:i/>
        </w:rPr>
        <w:t>“Artículo 178.</w:t>
      </w:r>
      <w:r>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36BB6" w:rsidRDefault="003C3F8F">
      <w:pPr>
        <w:ind w:left="851" w:right="899"/>
        <w:jc w:val="both"/>
        <w:rPr>
          <w:rFonts w:ascii="Palatino Linotype" w:hAnsi="Palatino Linotype" w:cs="Arial"/>
          <w:i/>
        </w:rPr>
      </w:pPr>
      <w:r>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36BB6" w:rsidRDefault="003C3F8F">
      <w:pPr>
        <w:ind w:left="851" w:right="899"/>
        <w:jc w:val="both"/>
        <w:rPr>
          <w:rFonts w:ascii="Palatino Linotype" w:hAnsi="Palatino Linotype" w:cs="Arial"/>
          <w:i/>
        </w:rPr>
      </w:pPr>
      <w:r>
        <w:rPr>
          <w:rFonts w:ascii="Palatino Linotype" w:hAnsi="Palatino Linotype" w:cs="Arial"/>
          <w:i/>
        </w:rPr>
        <w:t>En el caso de que se interponga ante la Unidad de Transparencia, ésta deberá remitir el recurso de revisión al Instituto a más tardar al día siguiente de haberlo recibido.</w:t>
      </w:r>
      <w:r>
        <w:rPr>
          <w:rFonts w:ascii="Palatino Linotype" w:hAnsi="Palatino Linotype" w:cs="Arial"/>
          <w:b/>
          <w:i/>
        </w:rPr>
        <w:t>”</w:t>
      </w:r>
    </w:p>
    <w:p w:rsidR="00B36BB6" w:rsidRDefault="00B36BB6">
      <w:pPr>
        <w:ind w:left="851" w:right="899"/>
        <w:jc w:val="both"/>
        <w:rPr>
          <w:rFonts w:ascii="Palatino Linotype" w:hAnsi="Palatino Linotype" w:cs="Arial"/>
        </w:rPr>
      </w:pPr>
    </w:p>
    <w:p w:rsidR="00B36BB6" w:rsidRDefault="003C3F8F">
      <w:pPr>
        <w:spacing w:line="360" w:lineRule="auto"/>
        <w:jc w:val="both"/>
        <w:rPr>
          <w:rFonts w:ascii="Palatino Linotype" w:hAnsi="Palatino Linotype"/>
        </w:rPr>
      </w:pPr>
      <w:r>
        <w:rPr>
          <w:rFonts w:ascii="Palatino Linotype" w:hAnsi="Palatino Linotype" w:cs="Arial"/>
        </w:rPr>
        <w:t xml:space="preserve">En efecto, atendiendo a que </w:t>
      </w:r>
      <w:r>
        <w:rPr>
          <w:rFonts w:ascii="Palatino Linotype" w:hAnsi="Palatino Linotype" w:cs="Arial"/>
          <w:b/>
        </w:rPr>
        <w:t>EL SUJETO OBLIGADO</w:t>
      </w:r>
      <w:r>
        <w:rPr>
          <w:rFonts w:ascii="Palatino Linotype" w:hAnsi="Palatino Linotype" w:cs="Arial"/>
        </w:rPr>
        <w:t xml:space="preserve"> notificó la respuesta a la solicitud de información pública el día </w:t>
      </w:r>
      <w:r>
        <w:rPr>
          <w:rFonts w:ascii="Palatino Linotype" w:hAnsi="Palatino Linotype" w:cs="Arial"/>
          <w:b/>
        </w:rPr>
        <w:t>diecisiete de febrero de dos mil diecinueve</w:t>
      </w:r>
      <w:r>
        <w:rPr>
          <w:rFonts w:ascii="Palatino Linotype" w:hAnsi="Palatino Linotype" w:cs="Arial"/>
        </w:rPr>
        <w:t>, el plazo de quince días hábiles que el artículo 178 de la ley de la materia otorga al</w:t>
      </w:r>
      <w:r>
        <w:rPr>
          <w:rFonts w:ascii="Palatino Linotype" w:hAnsi="Palatino Linotype" w:cs="Arial"/>
          <w:b/>
        </w:rPr>
        <w:t xml:space="preserve"> RECURRENTE</w:t>
      </w:r>
      <w:r>
        <w:rPr>
          <w:rFonts w:ascii="Palatino Linotype" w:hAnsi="Palatino Linotype" w:cs="Arial"/>
        </w:rPr>
        <w:t xml:space="preserve"> para presentar el recurso de revisión, transcurrió del </w:t>
      </w:r>
      <w:r>
        <w:rPr>
          <w:rFonts w:ascii="Palatino Linotype" w:hAnsi="Palatino Linotype" w:cs="Arial"/>
          <w:b/>
        </w:rPr>
        <w:t>dieciocho de febrero al diez de marzo del dos mil veinte</w:t>
      </w:r>
      <w:r>
        <w:rPr>
          <w:rFonts w:ascii="Palatino Linotype" w:hAnsi="Palatino Linotype" w:cs="Arial"/>
        </w:rPr>
        <w:t xml:space="preserve">, </w:t>
      </w:r>
      <w:r>
        <w:rPr>
          <w:rFonts w:ascii="Palatino Linotype" w:hAnsi="Palatino Linotype" w:cs="Arial"/>
          <w:lang w:val="es-ES_tradnl"/>
        </w:rPr>
        <w:t>sin contemplar en el cómputo los días veintidós, veintitrés y veintinueve de febrero, uno siete y ocho de marzo de enero de dos mil veinte, por corresponder a sábados y domingos</w:t>
      </w:r>
      <w:r>
        <w:rPr>
          <w:rFonts w:ascii="Palatino Linotype" w:hAnsi="Palatino Linotype" w:cs="Arial"/>
        </w:rPr>
        <w:t xml:space="preserve">, considerados como días inhábiles, en términos del artículo 3 fracción X de la </w:t>
      </w:r>
      <w:r>
        <w:rPr>
          <w:rFonts w:ascii="Palatino Linotype" w:hAnsi="Palatino Linotype"/>
        </w:rPr>
        <w:t>Ley de Transparencia y Acceso a la Información Pública del Estado de México y Municipios; así como, el dos de marzo de dos mil veinte, considerado como día inhábil en términos del Calendario oficial publicado en el Periódico Oficial “Gaceta del Gobierno”, el diecinueve de diciembre de dos mil diecinueve.</w:t>
      </w:r>
    </w:p>
    <w:p w:rsidR="00B36BB6" w:rsidRDefault="003C3F8F">
      <w:pPr>
        <w:pStyle w:val="Prrafodelista"/>
        <w:widowControl w:val="0"/>
        <w:spacing w:before="120" w:after="120" w:line="360" w:lineRule="auto"/>
        <w:ind w:left="0"/>
        <w:contextualSpacing/>
        <w:jc w:val="both"/>
        <w:rPr>
          <w:rFonts w:ascii="Palatino Linotype" w:hAnsi="Palatino Linotype"/>
        </w:rPr>
      </w:pPr>
      <w:r>
        <w:rPr>
          <w:rFonts w:ascii="Palatino Linotype" w:hAnsi="Palatino Linotype"/>
        </w:rPr>
        <w:t xml:space="preserve">En ese tenor, se advierte que </w:t>
      </w:r>
      <w:r>
        <w:rPr>
          <w:rFonts w:ascii="Palatino Linotype" w:hAnsi="Palatino Linotype"/>
          <w:b/>
        </w:rPr>
        <w:t>EL RECURRENTE</w:t>
      </w:r>
      <w:r>
        <w:rPr>
          <w:rFonts w:ascii="Palatino Linotype" w:hAnsi="Palatino Linotype"/>
        </w:rPr>
        <w:t xml:space="preserve"> presentó el medio de impugnación al rubro anotado, el mismo día en que se le notificó la respuesta impugnada, es decir, el diecisiete de febrero de dos mil veinte; no obstante lo anterior, ello no implica que su interposición sea extemporánea, en atención a que si bien el artículo 178 de la Ley de Transparencia y Acceso a la Información Pública del Estado de México y Municipios, establece que los recursos de revisión se han de promover dentro de los quince días hábiles siguientes en que </w:t>
      </w:r>
      <w:r>
        <w:rPr>
          <w:rFonts w:ascii="Palatino Linotype" w:hAnsi="Palatino Linotype"/>
          <w:b/>
        </w:rPr>
        <w:t>EL RECURRENTE</w:t>
      </w:r>
      <w:r>
        <w:rPr>
          <w:rFonts w:ascii="Palatino Linotype" w:hAnsi="Palatino Linotype"/>
        </w:rPr>
        <w:t xml:space="preserve"> tenga conocimiento de las respuestas impugnadas, no prohíbe que se presenten el mismo día en que les sea notificada; es decir, no indica que de presentarse el recurso de revisión el mismo día de su notificación, éste resulte extemporáneo.</w:t>
      </w:r>
    </w:p>
    <w:p w:rsidR="00B36BB6" w:rsidRDefault="00B36BB6">
      <w:pPr>
        <w:pStyle w:val="Prrafodelista"/>
        <w:widowControl w:val="0"/>
        <w:spacing w:before="120" w:after="120" w:line="360" w:lineRule="auto"/>
        <w:ind w:left="0"/>
        <w:contextualSpacing/>
        <w:jc w:val="both"/>
        <w:rPr>
          <w:rFonts w:ascii="Palatino Linotype" w:hAnsi="Palatino Linotype"/>
          <w:sz w:val="12"/>
        </w:rPr>
      </w:pPr>
    </w:p>
    <w:p w:rsidR="00B36BB6" w:rsidRDefault="003C3F8F">
      <w:pPr>
        <w:pStyle w:val="Prrafodelista"/>
        <w:widowControl w:val="0"/>
        <w:spacing w:before="120" w:after="120" w:line="360" w:lineRule="auto"/>
        <w:ind w:left="0"/>
        <w:contextualSpacing/>
        <w:jc w:val="both"/>
        <w:rPr>
          <w:rFonts w:ascii="Palatino Linotype" w:hAnsi="Palatino Linotype"/>
        </w:rPr>
      </w:pPr>
      <w:r>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B36BB6" w:rsidRDefault="00B36BB6">
      <w:pPr>
        <w:pStyle w:val="Prrafodelista"/>
        <w:widowControl w:val="0"/>
        <w:spacing w:before="120" w:after="120" w:line="360" w:lineRule="auto"/>
        <w:ind w:left="0"/>
        <w:contextualSpacing/>
        <w:jc w:val="both"/>
        <w:rPr>
          <w:rFonts w:ascii="Palatino Linotype" w:hAnsi="Palatino Linotype"/>
          <w:sz w:val="14"/>
        </w:rPr>
      </w:pPr>
    </w:p>
    <w:p w:rsidR="00B36BB6" w:rsidRDefault="003C3F8F">
      <w:pPr>
        <w:pStyle w:val="Prrafodelista"/>
        <w:widowControl w:val="0"/>
        <w:spacing w:line="276" w:lineRule="auto"/>
        <w:ind w:left="851" w:right="902"/>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RECURSO DE RECLAMACIÓN. SU INTERPOSICIÓN NO ES EXTEMPORÁNEA SI SE REALIZA ANTES DE QUE INICIE EL PLAZO PARA HACERLO</w:t>
      </w:r>
      <w:r>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B36BB6" w:rsidRDefault="00B36BB6">
      <w:pPr>
        <w:pStyle w:val="Prrafodelista"/>
        <w:widowControl w:val="0"/>
        <w:spacing w:line="276" w:lineRule="auto"/>
        <w:ind w:left="851" w:right="902"/>
        <w:jc w:val="both"/>
        <w:rPr>
          <w:rFonts w:ascii="Palatino Linotype" w:hAnsi="Palatino Linotype"/>
          <w:i/>
          <w:sz w:val="10"/>
          <w:szCs w:val="22"/>
        </w:rPr>
      </w:pPr>
    </w:p>
    <w:p w:rsidR="00B36BB6" w:rsidRDefault="003C3F8F">
      <w:pPr>
        <w:pStyle w:val="Prrafodelista"/>
        <w:widowControl w:val="0"/>
        <w:spacing w:line="276" w:lineRule="auto"/>
        <w:ind w:left="851" w:right="902"/>
        <w:jc w:val="both"/>
        <w:rPr>
          <w:rFonts w:ascii="Palatino Linotype" w:hAnsi="Palatino Linotype"/>
          <w:i/>
          <w:sz w:val="22"/>
          <w:szCs w:val="22"/>
        </w:rPr>
      </w:pPr>
      <w:r>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B36BB6" w:rsidRDefault="00B36BB6">
      <w:pPr>
        <w:pStyle w:val="Prrafodelista"/>
        <w:widowControl w:val="0"/>
        <w:spacing w:line="276" w:lineRule="auto"/>
        <w:ind w:left="851" w:right="902"/>
        <w:jc w:val="both"/>
        <w:rPr>
          <w:rFonts w:ascii="Palatino Linotype" w:hAnsi="Palatino Linotype"/>
          <w:i/>
          <w:sz w:val="10"/>
          <w:szCs w:val="22"/>
        </w:rPr>
      </w:pPr>
    </w:p>
    <w:p w:rsidR="00B36BB6" w:rsidRDefault="003C3F8F">
      <w:pPr>
        <w:pStyle w:val="Prrafodelista"/>
        <w:widowControl w:val="0"/>
        <w:spacing w:line="276" w:lineRule="auto"/>
        <w:ind w:left="851" w:right="902"/>
        <w:jc w:val="both"/>
        <w:rPr>
          <w:rFonts w:ascii="Palatino Linotype" w:hAnsi="Palatino Linotype"/>
          <w:i/>
          <w:sz w:val="22"/>
          <w:szCs w:val="22"/>
        </w:rPr>
      </w:pPr>
      <w:r>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B36BB6" w:rsidRDefault="00B36BB6">
      <w:pPr>
        <w:pStyle w:val="Prrafodelista"/>
        <w:widowControl w:val="0"/>
        <w:spacing w:line="276" w:lineRule="auto"/>
        <w:ind w:left="851" w:right="902"/>
        <w:jc w:val="both"/>
        <w:rPr>
          <w:rFonts w:ascii="Palatino Linotype" w:hAnsi="Palatino Linotype"/>
          <w:i/>
          <w:sz w:val="8"/>
          <w:szCs w:val="22"/>
        </w:rPr>
      </w:pPr>
    </w:p>
    <w:p w:rsidR="00B36BB6" w:rsidRDefault="003C3F8F">
      <w:pPr>
        <w:pStyle w:val="Prrafodelista"/>
        <w:widowControl w:val="0"/>
        <w:spacing w:line="276" w:lineRule="auto"/>
        <w:ind w:left="851" w:right="902"/>
        <w:jc w:val="both"/>
        <w:rPr>
          <w:rFonts w:ascii="Palatino Linotype" w:hAnsi="Palatino Linotype"/>
          <w:i/>
          <w:sz w:val="22"/>
          <w:szCs w:val="22"/>
        </w:rPr>
      </w:pPr>
      <w:r>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B36BB6" w:rsidRDefault="00B36BB6">
      <w:pPr>
        <w:pStyle w:val="Prrafodelista"/>
        <w:widowControl w:val="0"/>
        <w:spacing w:line="276" w:lineRule="auto"/>
        <w:ind w:left="851" w:right="902"/>
        <w:jc w:val="both"/>
        <w:rPr>
          <w:rFonts w:ascii="Palatino Linotype" w:hAnsi="Palatino Linotype"/>
          <w:i/>
          <w:sz w:val="10"/>
          <w:szCs w:val="22"/>
        </w:rPr>
      </w:pPr>
    </w:p>
    <w:p w:rsidR="00B36BB6" w:rsidRDefault="003C3F8F">
      <w:pPr>
        <w:pStyle w:val="Prrafodelista"/>
        <w:widowControl w:val="0"/>
        <w:spacing w:line="276" w:lineRule="auto"/>
        <w:ind w:left="851" w:right="902"/>
        <w:jc w:val="both"/>
        <w:rPr>
          <w:rFonts w:ascii="Palatino Linotype" w:hAnsi="Palatino Linotype"/>
          <w:i/>
          <w:sz w:val="22"/>
          <w:szCs w:val="22"/>
        </w:rPr>
      </w:pPr>
      <w:r>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B36BB6" w:rsidRDefault="00B36BB6">
      <w:pPr>
        <w:pStyle w:val="Prrafodelista"/>
        <w:widowControl w:val="0"/>
        <w:spacing w:line="276" w:lineRule="auto"/>
        <w:ind w:left="851" w:right="902"/>
        <w:jc w:val="both"/>
        <w:rPr>
          <w:rFonts w:ascii="Palatino Linotype" w:hAnsi="Palatino Linotype"/>
          <w:i/>
          <w:sz w:val="12"/>
          <w:szCs w:val="22"/>
        </w:rPr>
      </w:pPr>
    </w:p>
    <w:p w:rsidR="00B36BB6" w:rsidRDefault="003C3F8F">
      <w:pPr>
        <w:pStyle w:val="Prrafodelista"/>
        <w:widowControl w:val="0"/>
        <w:spacing w:line="276" w:lineRule="auto"/>
        <w:ind w:left="851" w:right="902"/>
        <w:jc w:val="both"/>
        <w:rPr>
          <w:rFonts w:ascii="Palatino Linotype" w:hAnsi="Palatino Linotype"/>
          <w:i/>
          <w:sz w:val="22"/>
          <w:szCs w:val="22"/>
        </w:rPr>
      </w:pPr>
      <w:r>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B36BB6" w:rsidRDefault="00B36BB6">
      <w:pPr>
        <w:spacing w:line="360" w:lineRule="auto"/>
        <w:jc w:val="both"/>
        <w:rPr>
          <w:rFonts w:ascii="Palatino Linotype" w:hAnsi="Palatino Linotype" w:cs="Arial"/>
          <w:sz w:val="2"/>
        </w:rPr>
      </w:pPr>
    </w:p>
    <w:p w:rsidR="00B36BB6" w:rsidRDefault="003C3F8F">
      <w:pPr>
        <w:pStyle w:val="Prrafodelista"/>
        <w:widowControl w:val="0"/>
        <w:spacing w:before="120" w:after="120" w:line="360" w:lineRule="auto"/>
        <w:ind w:left="0"/>
        <w:contextualSpacing/>
        <w:jc w:val="both"/>
        <w:rPr>
          <w:rFonts w:ascii="Palatino Linotype" w:hAnsi="Palatino Linotype"/>
        </w:rPr>
      </w:pPr>
      <w:r>
        <w:rPr>
          <w:rFonts w:ascii="Palatino Linotype" w:hAnsi="Palatino Linotype"/>
        </w:rPr>
        <w:t xml:space="preserve">En ese tenor, si el recurso de revisión que nos ocupa, se interpuso el </w:t>
      </w:r>
      <w:r>
        <w:rPr>
          <w:rFonts w:ascii="Palatino Linotype" w:hAnsi="Palatino Linotype"/>
          <w:b/>
          <w:u w:val="single"/>
        </w:rPr>
        <w:t>diecisiete de enero de dos mil veinte</w:t>
      </w:r>
      <w:r>
        <w:rPr>
          <w:rFonts w:ascii="Palatino Linotype" w:hAnsi="Palatino Linotype"/>
        </w:rPr>
        <w:t>, éste se encuentra dentro de los márgenes temporales previstos en el citado precepto legal y, por tanto, su interposición considera oportuna.</w:t>
      </w:r>
    </w:p>
    <w:p w:rsidR="00B36BB6" w:rsidRDefault="00B36BB6">
      <w:pPr>
        <w:pStyle w:val="Prrafodelista"/>
        <w:widowControl w:val="0"/>
        <w:spacing w:before="120" w:after="120" w:line="360" w:lineRule="auto"/>
        <w:ind w:left="0"/>
        <w:contextualSpacing/>
        <w:jc w:val="both"/>
        <w:rPr>
          <w:rFonts w:ascii="Palatino Linotype" w:hAnsi="Palatino Linotype"/>
          <w:sz w:val="18"/>
        </w:rPr>
      </w:pPr>
    </w:p>
    <w:p w:rsidR="00B36BB6" w:rsidRDefault="003C3F8F">
      <w:pPr>
        <w:pStyle w:val="Prrafodelista"/>
        <w:widowControl w:val="0"/>
        <w:tabs>
          <w:tab w:val="left" w:pos="1418"/>
        </w:tabs>
        <w:spacing w:before="200" w:after="200" w:line="360" w:lineRule="auto"/>
        <w:ind w:left="0"/>
        <w:contextualSpacing/>
        <w:jc w:val="both"/>
        <w:rPr>
          <w:rFonts w:ascii="Palatino Linotype" w:hAnsi="Palatino Linotype"/>
          <w:b/>
        </w:rPr>
      </w:pPr>
      <w:r>
        <w:rPr>
          <w:rFonts w:ascii="Palatino Linotype" w:hAnsi="Palatino Linotype" w:cs="Arial"/>
          <w:b/>
          <w:sz w:val="28"/>
          <w:szCs w:val="28"/>
        </w:rPr>
        <w:t>CUARTO.</w:t>
      </w:r>
      <w:r>
        <w:rPr>
          <w:rFonts w:ascii="Palatino Linotype" w:hAnsi="Palatino Linotype" w:cs="Arial"/>
          <w:b/>
          <w:szCs w:val="28"/>
        </w:rPr>
        <w:t xml:space="preserve"> Procedibilidad. </w:t>
      </w:r>
      <w:r>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Pr>
          <w:rFonts w:ascii="Palatino Linotype" w:hAnsi="Palatino Linotype" w:cs="Arial"/>
          <w:b/>
          <w:szCs w:val="28"/>
        </w:rPr>
        <w:t>SAIMEX</w:t>
      </w:r>
      <w:r>
        <w:rPr>
          <w:rFonts w:ascii="Palatino Linotype" w:hAnsi="Palatino Linotype" w:cs="Arial"/>
          <w:szCs w:val="28"/>
        </w:rPr>
        <w:t>.</w:t>
      </w:r>
    </w:p>
    <w:p w:rsidR="00B36BB6" w:rsidRDefault="003C3F8F">
      <w:pPr>
        <w:spacing w:line="360" w:lineRule="auto"/>
        <w:jc w:val="both"/>
        <w:rPr>
          <w:rFonts w:ascii="Palatino Linotype" w:hAnsi="Palatino Linotype" w:cs="Arial"/>
        </w:rPr>
      </w:pPr>
      <w:r>
        <w:rPr>
          <w:rFonts w:ascii="Palatino Linotype" w:hAnsi="Palatino Linotype" w:cs="Arial"/>
          <w:b/>
          <w:sz w:val="28"/>
          <w:szCs w:val="28"/>
        </w:rPr>
        <w:t>QUINTO</w:t>
      </w:r>
      <w:r>
        <w:rPr>
          <w:rFonts w:ascii="Palatino Linotype" w:hAnsi="Palatino Linotype" w:cs="Arial"/>
          <w:b/>
        </w:rPr>
        <w:t xml:space="preserve">. </w:t>
      </w:r>
      <w:r>
        <w:rPr>
          <w:rFonts w:ascii="Palatino Linotype" w:hAnsi="Palatino Linotype" w:cs="Arial"/>
          <w:b/>
          <w:i/>
        </w:rPr>
        <w:t>Estudio y resolución del recurso</w:t>
      </w:r>
      <w:r>
        <w:rPr>
          <w:rFonts w:ascii="Palatino Linotype" w:hAnsi="Palatino Linotype" w:cs="Arial"/>
        </w:rPr>
        <w:t xml:space="preserve">. Una vez determinada la vía sobre la que versará el presente recurso, y previa revisión del expediente electrónico formado en </w:t>
      </w:r>
      <w:r>
        <w:rPr>
          <w:rFonts w:ascii="Palatino Linotype" w:hAnsi="Palatino Linotype" w:cs="Arial"/>
          <w:b/>
        </w:rPr>
        <w:t>EL SAIMEX</w:t>
      </w:r>
      <w:r>
        <w:rPr>
          <w:rFonts w:ascii="Palatino Linotype" w:hAnsi="Palatino Linotype" w:cs="Arial"/>
        </w:rPr>
        <w:t xml:space="preserve"> con motivo de la solicitud de información y del recurso a que da origen, es conveniente analizar si la respuesta del </w:t>
      </w:r>
      <w:r>
        <w:rPr>
          <w:rFonts w:ascii="Palatino Linotype" w:hAnsi="Palatino Linotype" w:cs="Arial"/>
          <w:b/>
          <w:lang w:eastAsia="es-MX"/>
        </w:rPr>
        <w:t>SUJETO OBLIGADO</w:t>
      </w:r>
      <w:r>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Pr>
          <w:rFonts w:ascii="Palatino Linotype" w:hAnsi="Palatino Linotype" w:cs="Arial"/>
          <w:b/>
        </w:rPr>
        <w:t>EL RECURRENTE</w:t>
      </w:r>
      <w:r>
        <w:rPr>
          <w:rFonts w:ascii="Palatino Linotype" w:hAnsi="Palatino Linotype" w:cs="Arial"/>
        </w:rPr>
        <w:t>, consistió en copia de los cheques emitidos por ese organismos y que corresponden a liquidaciones o laudos laborales ya sea por resolución o mutuo acuerdo de las partes del ejercicio fiscal 2019.</w:t>
      </w:r>
    </w:p>
    <w:p w:rsidR="00B36BB6" w:rsidRDefault="00FB7851">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24764</wp:posOffset>
                </wp:positionH>
                <wp:positionV relativeFrom="paragraph">
                  <wp:posOffset>544829</wp:posOffset>
                </wp:positionV>
                <wp:extent cx="5746115" cy="1000125"/>
                <wp:effectExtent l="38100" t="38100" r="64135" b="85725"/>
                <wp:wrapNone/>
                <wp:docPr id="38" name="Conector recto 38"/>
                <wp:cNvGraphicFramePr/>
                <a:graphic xmlns:a="http://schemas.openxmlformats.org/drawingml/2006/main">
                  <a:graphicData uri="http://schemas.microsoft.com/office/word/2010/wordprocessingShape">
                    <wps:wsp>
                      <wps:cNvCnPr/>
                      <wps:spPr>
                        <a:xfrm>
                          <a:off x="0" y="0"/>
                          <a:ext cx="5746115" cy="10001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17F6C8" id="Conector recto 3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42.9pt" to="454.4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S2uwEAAMcDAAAOAAAAZHJzL2Uyb0RvYy54bWysU9uO0zAQfUfiHyy/0ySFLihqug9dwQuC&#10;issHeJ1xY8k3jU2T/j1jJ80iQFoJ8WLHnjln5hxP9veTNewCGLV3HW82NWfgpO+1O3f8+7f3r95x&#10;FpNwvTDeQcevEPn94eWL/Rha2PrBmx6QEYmL7Rg6PqQU2qqKcgAr4sYHcBRUHq1IdMRz1aMYid2a&#10;alvXd9XosQ/oJcRItw9zkB8Kv1Ig02elIiRmOk69pbJiWR/zWh32oj2jCIOWSxviH7qwQjsqulI9&#10;iCTYD9R/UFkt0Uev0kZ6W3mltISigdQ09W9qvg4iQNFC5sSw2hT/H638dDkh033HX9NLOWHpjY70&#10;UjJ5ZJg3RgFyaQyxpeSjO+FyiuGEWfKk0OadxLCpOHtdnYUpMUmXu7dv7ppmx5mkWFPXdbPdZdbq&#10;CR4wpg/gLcsfHTfaZemiFZePMc2ptxTC5XbmBspXuhrIycZ9AUVyqOS2oMsgwdEguwgaASEluNQs&#10;pUt2hiltzAqsnwcu+RkKZchWcPM8eEWUyt6lFWy18/g3gjTdWlZz/s2BWXe24NH31/I0xRqalmLu&#10;Mtl5HH89F/jT/3f4CQAA//8DAFBLAwQUAAYACAAAACEASu1mcNwAAAAIAQAADwAAAGRycy9kb3du&#10;cmV2LnhtbEyPzU7DMBCE70i8g7VI3KiDA1US4lQICalHmnLg6MRLfojtyHab9O27nOC2oxnNflPu&#10;VjOxM/owOCvhcZMAQ9s6PdhOwufx/SEDFqKyWk3OooQLBthVtzelKrRb7AHPdewYldhQKAl9jHPB&#10;eWh7NCps3IyWvG/njYokfce1VwuVm4mLJNlyowZLH3o141uP7U99MhK+fDOK/WWZhRu3dT7OKD4O&#10;KOX93fr6AiziGv/C8ItP6FARU+NOVgc2SUhzCkrInmkA2XmS0dFIEE9pCrwq+f8B1RUAAP//AwBQ&#10;SwECLQAUAAYACAAAACEAtoM4kv4AAADhAQAAEwAAAAAAAAAAAAAAAAAAAAAAW0NvbnRlbnRfVHlw&#10;ZXNdLnhtbFBLAQItABQABgAIAAAAIQA4/SH/1gAAAJQBAAALAAAAAAAAAAAAAAAAAC8BAABfcmVs&#10;cy8ucmVsc1BLAQItABQABgAIAAAAIQB8JrS2uwEAAMcDAAAOAAAAAAAAAAAAAAAAAC4CAABkcnMv&#10;ZTJvRG9jLnhtbFBLAQItABQABgAIAAAAIQBK7WZw3AAAAAgBAAAPAAAAAAAAAAAAAAAAABUEAABk&#10;cnMvZG93bnJldi54bWxQSwUGAAAAAAQABADzAAAAHgUAAAAA&#10;" strokecolor="#4f81bd [3204]" strokeweight="2pt">
                <v:shadow on="t" color="black" opacity="24903f" origin=",.5" offset="0,.55556mm"/>
              </v:line>
            </w:pict>
          </mc:Fallback>
        </mc:AlternateContent>
      </w:r>
      <w:r w:rsidR="003C3F8F">
        <w:rPr>
          <w:rFonts w:ascii="Palatino Linotype" w:hAnsi="Palatino Linotype" w:cs="Arial"/>
        </w:rPr>
        <w:t xml:space="preserve">En respuesta, </w:t>
      </w:r>
      <w:r w:rsidR="003C3F8F">
        <w:rPr>
          <w:rFonts w:ascii="Palatino Linotype" w:hAnsi="Palatino Linotype" w:cs="Arial"/>
          <w:b/>
        </w:rPr>
        <w:t>EL SUJETO OBLIGADO</w:t>
      </w:r>
      <w:r w:rsidR="003C3F8F">
        <w:rPr>
          <w:rFonts w:ascii="Palatino Linotype" w:hAnsi="Palatino Linotype" w:cs="Arial"/>
        </w:rPr>
        <w:t xml:space="preserve"> le informó que la Coordinación de Finanzas no ha emitido cheques por esos conceptos, como se muestra a continuación:</w:t>
      </w:r>
    </w:p>
    <w:p w:rsidR="00B36BB6" w:rsidRDefault="00B36BB6">
      <w:pPr>
        <w:pStyle w:val="Prrafodelista"/>
        <w:widowControl w:val="0"/>
        <w:spacing w:after="120" w:line="360" w:lineRule="auto"/>
        <w:ind w:left="0"/>
        <w:contextualSpacing/>
        <w:jc w:val="both"/>
        <w:rPr>
          <w:rFonts w:ascii="Palatino Linotype" w:hAnsi="Palatino Linotype" w:cs="Arial"/>
        </w:rPr>
      </w:pPr>
    </w:p>
    <w:p w:rsidR="00B36BB6" w:rsidRDefault="003C3F8F">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0" distR="0" simplePos="0" relativeHeight="44" behindDoc="0" locked="0" layoutInCell="1" allowOverlap="1" wp14:anchorId="3006CB24">
                <wp:simplePos x="0" y="0"/>
                <wp:positionH relativeFrom="margin">
                  <wp:align>right</wp:align>
                </wp:positionH>
                <wp:positionV relativeFrom="paragraph">
                  <wp:posOffset>3002915</wp:posOffset>
                </wp:positionV>
                <wp:extent cx="5507990" cy="2392680"/>
                <wp:effectExtent l="0" t="0" r="19050" b="28575"/>
                <wp:wrapNone/>
                <wp:docPr id="3" name="Conector recto 11"/>
                <wp:cNvGraphicFramePr/>
                <a:graphic xmlns:a="http://schemas.openxmlformats.org/drawingml/2006/main">
                  <a:graphicData uri="http://schemas.microsoft.com/office/word/2010/wordprocessingShape">
                    <wps:wsp>
                      <wps:cNvCnPr/>
                      <wps:spPr>
                        <a:xfrm>
                          <a:off x="0" y="0"/>
                          <a:ext cx="5507280" cy="2392200"/>
                        </a:xfrm>
                        <a:prstGeom prst="line">
                          <a:avLst/>
                        </a:prstGeom>
                        <a:ln>
                          <a:solidFill>
                            <a:srgbClr val="FF0000"/>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22.35pt,157.9pt" to="455.95pt,346.2pt" ID="Conector recto 11" stroked="t" style="position:absolute;mso-position-horizontal:right;mso-position-horizontal-relative:margin" wp14:anchorId="3006CB24">
                <v:stroke color="red" weight="9360" joinstyle="round" endcap="flat"/>
                <v:fill o:detectmouseclick="t" on="false"/>
              </v:line>
            </w:pict>
          </mc:Fallback>
        </mc:AlternateContent>
      </w:r>
    </w:p>
    <w:p w:rsidR="00B36BB6" w:rsidRDefault="00B36BB6">
      <w:pPr>
        <w:pStyle w:val="Prrafodelista"/>
        <w:widowControl w:val="0"/>
        <w:spacing w:after="120" w:line="360" w:lineRule="auto"/>
        <w:ind w:left="0"/>
        <w:contextualSpacing/>
        <w:jc w:val="both"/>
        <w:rPr>
          <w:rFonts w:ascii="Palatino Linotype" w:hAnsi="Palatino Linotype" w:cs="Arial"/>
        </w:rPr>
      </w:pPr>
    </w:p>
    <w:p w:rsidR="00B36BB6" w:rsidRDefault="003C3F8F">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14975" cy="7258050"/>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2"/>
                    <pic:cNvPicPr>
                      <a:picLocks noChangeAspect="1" noChangeArrowheads="1"/>
                    </pic:cNvPicPr>
                  </pic:nvPicPr>
                  <pic:blipFill>
                    <a:blip r:embed="rId10"/>
                    <a:srcRect l="34799" t="16599" r="35510" b="16978"/>
                    <a:stretch>
                      <a:fillRect/>
                    </a:stretch>
                  </pic:blipFill>
                  <pic:spPr bwMode="auto">
                    <a:xfrm>
                      <a:off x="0" y="0"/>
                      <a:ext cx="5514975" cy="7258050"/>
                    </a:xfrm>
                    <a:prstGeom prst="rect">
                      <a:avLst/>
                    </a:prstGeom>
                  </pic:spPr>
                </pic:pic>
              </a:graphicData>
            </a:graphic>
          </wp:inline>
        </w:drawing>
      </w:r>
      <w:r>
        <w:rPr>
          <w:noProof/>
          <w:lang w:eastAsia="es-MX"/>
        </w:rPr>
        <mc:AlternateContent>
          <mc:Choice Requires="wps">
            <w:drawing>
              <wp:anchor distT="0" distB="0" distL="0" distR="0" simplePos="0" relativeHeight="45" behindDoc="0" locked="0" layoutInCell="1" allowOverlap="1" wp14:anchorId="0057AA1E">
                <wp:simplePos x="0" y="0"/>
                <wp:positionH relativeFrom="column">
                  <wp:posOffset>558165</wp:posOffset>
                </wp:positionH>
                <wp:positionV relativeFrom="paragraph">
                  <wp:posOffset>3697605</wp:posOffset>
                </wp:positionV>
                <wp:extent cx="4535805" cy="1097280"/>
                <wp:effectExtent l="19050" t="19050" r="19050" b="28575"/>
                <wp:wrapNone/>
                <wp:docPr id="4" name="Rectángulo 13"/>
                <wp:cNvGraphicFramePr/>
                <a:graphic xmlns:a="http://schemas.openxmlformats.org/drawingml/2006/main">
                  <a:graphicData uri="http://schemas.microsoft.com/office/word/2010/wordprocessingShape">
                    <wps:wsp>
                      <wps:cNvSpPr/>
                      <wps:spPr>
                        <a:xfrm>
                          <a:off x="0" y="0"/>
                          <a:ext cx="4535280" cy="109656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3" stroked="t" style="position:absolute;margin-left:43.95pt;margin-top:291.15pt;width:357.05pt;height:86.3pt" wp14:anchorId="0057AA1E">
                <w10:wrap type="none"/>
                <v:fill o:detectmouseclick="t" on="false"/>
                <v:stroke color="red" weight="38160" joinstyle="round" endcap="flat"/>
              </v:rect>
            </w:pict>
          </mc:Fallback>
        </mc:AlternateContent>
      </w:r>
    </w:p>
    <w:p w:rsidR="00B36BB6" w:rsidRDefault="003C3F8F">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 xml:space="preserve">Por lo anterior, es que </w:t>
      </w:r>
      <w:r>
        <w:rPr>
          <w:rFonts w:ascii="Palatino Linotype" w:hAnsi="Palatino Linotype" w:cs="Arial"/>
          <w:b/>
        </w:rPr>
        <w:t>EL SUJETO OBLIGADO</w:t>
      </w:r>
      <w:r>
        <w:rPr>
          <w:rFonts w:ascii="Palatino Linotype" w:hAnsi="Palatino Linotype" w:cs="Arial"/>
        </w:rPr>
        <w:t xml:space="preserve"> señaló que no ha emitido cheques por concepto de laudos o acuerdos en el ejercicio fiscal 2019.</w:t>
      </w:r>
    </w:p>
    <w:p w:rsidR="00B36BB6" w:rsidRDefault="00B36BB6">
      <w:pPr>
        <w:pStyle w:val="Prrafodelista"/>
        <w:widowControl w:val="0"/>
        <w:spacing w:after="120" w:line="360" w:lineRule="auto"/>
        <w:ind w:left="0"/>
        <w:contextualSpacing/>
        <w:jc w:val="both"/>
        <w:rPr>
          <w:rFonts w:ascii="Palatino Linotype" w:hAnsi="Palatino Linotype" w:cs="Arial"/>
        </w:rPr>
      </w:pPr>
    </w:p>
    <w:p w:rsidR="00B36BB6" w:rsidRDefault="003C3F8F">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De lo anterior, el Manual de Organización del Organismo Público Descentralizado para la Prestación de Los Servicios de Agua Potable Alcantarillado y Saneamiento de Atizapán de Zaragoza, estable cuáles son las atribuciones y funciones de las áreas que la componen y de la que se desprende dicha Coordinación, como a continuación se observa:</w:t>
      </w:r>
    </w:p>
    <w:p w:rsidR="00B36BB6" w:rsidRDefault="003C3F8F">
      <w:pPr>
        <w:pStyle w:val="Prrafodelista"/>
        <w:widowControl w:val="0"/>
        <w:spacing w:after="120" w:line="360" w:lineRule="auto"/>
        <w:ind w:left="0"/>
        <w:contextualSpacing/>
        <w:jc w:val="both"/>
        <w:rPr>
          <w:rFonts w:ascii="Palatino Linotype" w:hAnsi="Palatino Linotype" w:cs="Arial"/>
        </w:rPr>
      </w:pPr>
      <w:r>
        <w:rPr>
          <w:noProof/>
          <w:lang w:eastAsia="es-MX"/>
        </w:rPr>
        <w:drawing>
          <wp:inline distT="0" distB="0" distL="0" distR="0">
            <wp:extent cx="5543550" cy="3838575"/>
            <wp:effectExtent l="0" t="0" r="0" b="952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1"/>
                    <a:srcRect l="29879" t="13282" r="31100" b="9139"/>
                    <a:stretch>
                      <a:fillRect/>
                    </a:stretch>
                  </pic:blipFill>
                  <pic:spPr bwMode="auto">
                    <a:xfrm>
                      <a:off x="0" y="0"/>
                      <a:ext cx="5543550" cy="3838575"/>
                    </a:xfrm>
                    <a:prstGeom prst="rect">
                      <a:avLst/>
                    </a:prstGeom>
                  </pic:spPr>
                </pic:pic>
              </a:graphicData>
            </a:graphic>
          </wp:inline>
        </w:drawing>
      </w:r>
    </w:p>
    <w:p w:rsidR="00B36BB6" w:rsidRDefault="003C3F8F">
      <w:pPr>
        <w:pStyle w:val="Prrafodelista"/>
        <w:widowControl w:val="0"/>
        <w:spacing w:after="120" w:line="360" w:lineRule="auto"/>
        <w:ind w:left="0"/>
        <w:contextualSpacing/>
        <w:jc w:val="both"/>
        <w:rPr>
          <w:rFonts w:ascii="Palatino Linotype" w:hAnsi="Palatino Linotype" w:cs="Arial"/>
        </w:rPr>
      </w:pPr>
      <w:r>
        <w:rPr>
          <w:noProof/>
          <w:lang w:eastAsia="es-MX"/>
        </w:rPr>
        <mc:AlternateContent>
          <mc:Choice Requires="wps">
            <w:drawing>
              <wp:anchor distT="0" distB="0" distL="0" distR="0" simplePos="0" relativeHeight="47" behindDoc="0" locked="0" layoutInCell="1" allowOverlap="1" wp14:anchorId="48A99E36">
                <wp:simplePos x="0" y="0"/>
                <wp:positionH relativeFrom="column">
                  <wp:posOffset>796290</wp:posOffset>
                </wp:positionH>
                <wp:positionV relativeFrom="paragraph">
                  <wp:posOffset>4145280</wp:posOffset>
                </wp:positionV>
                <wp:extent cx="3783330" cy="1183005"/>
                <wp:effectExtent l="19050" t="19050" r="28575" b="19050"/>
                <wp:wrapNone/>
                <wp:docPr id="7" name="Rectángulo 15"/>
                <wp:cNvGraphicFramePr/>
                <a:graphic xmlns:a="http://schemas.openxmlformats.org/drawingml/2006/main">
                  <a:graphicData uri="http://schemas.microsoft.com/office/word/2010/wordprocessingShape">
                    <wps:wsp>
                      <wps:cNvSpPr/>
                      <wps:spPr>
                        <a:xfrm>
                          <a:off x="0" y="0"/>
                          <a:ext cx="3782520" cy="118224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5" stroked="t" style="position:absolute;margin-left:62.7pt;margin-top:326.4pt;width:297.8pt;height:93.05pt" wp14:anchorId="48A99E36">
                <w10:wrap type="none"/>
                <v:fill o:detectmouseclick="t" on="false"/>
                <v:stroke color="red" weight="38160" joinstyle="round" endcap="flat"/>
              </v:rect>
            </w:pict>
          </mc:Fallback>
        </mc:AlternateContent>
      </w:r>
      <w:r>
        <w:rPr>
          <w:noProof/>
          <w:lang w:eastAsia="es-MX"/>
        </w:rPr>
        <mc:AlternateContent>
          <mc:Choice Requires="wps">
            <w:drawing>
              <wp:anchor distT="0" distB="0" distL="0" distR="0" simplePos="0" relativeHeight="48" behindDoc="0" locked="0" layoutInCell="1" allowOverlap="1" wp14:anchorId="3E3B300C">
                <wp:simplePos x="0" y="0"/>
                <wp:positionH relativeFrom="column">
                  <wp:posOffset>139065</wp:posOffset>
                </wp:positionH>
                <wp:positionV relativeFrom="paragraph">
                  <wp:posOffset>401955</wp:posOffset>
                </wp:positionV>
                <wp:extent cx="5421630" cy="935355"/>
                <wp:effectExtent l="19050" t="19050" r="28575" b="19050"/>
                <wp:wrapNone/>
                <wp:docPr id="8" name="Rectángulo 17"/>
                <wp:cNvGraphicFramePr/>
                <a:graphic xmlns:a="http://schemas.openxmlformats.org/drawingml/2006/main">
                  <a:graphicData uri="http://schemas.microsoft.com/office/word/2010/wordprocessingShape">
                    <wps:wsp>
                      <wps:cNvSpPr/>
                      <wps:spPr>
                        <a:xfrm>
                          <a:off x="0" y="0"/>
                          <a:ext cx="5420880" cy="93456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7" stroked="t" style="position:absolute;margin-left:10.95pt;margin-top:31.65pt;width:426.8pt;height:73.55pt" wp14:anchorId="3E3B300C">
                <w10:wrap type="none"/>
                <v:fill o:detectmouseclick="t" on="false"/>
                <v:stroke color="red" weight="38160" joinstyle="round" endcap="flat"/>
              </v:rect>
            </w:pict>
          </mc:Fallback>
        </mc:AlternateContent>
      </w:r>
      <w:r>
        <w:rPr>
          <w:noProof/>
          <w:lang w:eastAsia="es-MX"/>
        </w:rPr>
        <mc:AlternateContent>
          <mc:Choice Requires="wps">
            <w:drawing>
              <wp:anchor distT="0" distB="0" distL="0" distR="0" simplePos="0" relativeHeight="49" behindDoc="0" locked="0" layoutInCell="1" allowOverlap="1" wp14:anchorId="1F5693E6">
                <wp:simplePos x="0" y="0"/>
                <wp:positionH relativeFrom="column">
                  <wp:posOffset>-622935</wp:posOffset>
                </wp:positionH>
                <wp:positionV relativeFrom="paragraph">
                  <wp:posOffset>1735455</wp:posOffset>
                </wp:positionV>
                <wp:extent cx="1068705" cy="859155"/>
                <wp:effectExtent l="0" t="19050" r="38100" b="38100"/>
                <wp:wrapNone/>
                <wp:docPr id="9" name="Flecha derecha 18"/>
                <wp:cNvGraphicFramePr/>
                <a:graphic xmlns:a="http://schemas.openxmlformats.org/drawingml/2006/main">
                  <a:graphicData uri="http://schemas.microsoft.com/office/word/2010/wordprocessingShape">
                    <wps:wsp>
                      <wps:cNvSpPr/>
                      <wps:spPr>
                        <a:xfrm>
                          <a:off x="0" y="0"/>
                          <a:ext cx="1068120" cy="858600"/>
                        </a:xfrm>
                        <a:prstGeom prst="rightArrow">
                          <a:avLst>
                            <a:gd name="adj1" fmla="val 50000"/>
                            <a:gd name="adj2" fmla="val 50000"/>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3" coordsize="21600,21600" o:spt="13" adj="10800,10800" path="m0@5l@3@5l@3,l21600,10800l@3,21600l@3@6l0@6xe">
                <v:stroke joinstyle="miter"/>
                <v:formulas>
                  <v:f eqn="val 21600"/>
                  <v:f eqn="val #1"/>
                  <v:f eqn="val #0"/>
                  <v:f eqn="sum width 0 @2"/>
                  <v:f eqn="prod 1 @1 2"/>
                  <v:f eqn="sum 10800 0 @4"/>
                  <v:f eqn="sum 10800 @4 0"/>
                  <v:f eqn="prod @5 @2 10800"/>
                  <v:f eqn="sum @3 @7 0"/>
                </v:formulas>
                <v:path gradientshapeok="t" o:connecttype="rect" textboxrect="0,@5,@8,@6"/>
                <v:handles>
                  <v:h position="0,@5"/>
                  <v:h position="@3,0"/>
                </v:handles>
              </v:shapetype>
              <v:shape id="shape_0" ID="Flecha derecha 18" fillcolor="red" stroked="t" style="position:absolute;margin-left:-49.05pt;margin-top:136.65pt;width:84.05pt;height:67.55pt" wp14:anchorId="1F5693E6" type="shapetype_13">
                <w10:wrap type="none"/>
                <v:fill o:detectmouseclick="t" type="solid" color2="aqua"/>
                <v:stroke color="red" weight="25560" joinstyle="round" endcap="flat"/>
              </v:shape>
            </w:pict>
          </mc:Fallback>
        </mc:AlternateContent>
      </w:r>
      <w:r>
        <w:rPr>
          <w:noProof/>
          <w:lang w:eastAsia="es-MX"/>
        </w:rPr>
        <w:drawing>
          <wp:anchor distT="0" distB="0" distL="114300" distR="114300" simplePos="0" relativeHeight="46" behindDoc="0" locked="0" layoutInCell="1" allowOverlap="1">
            <wp:simplePos x="0" y="0"/>
            <wp:positionH relativeFrom="margin">
              <wp:posOffset>-7620</wp:posOffset>
            </wp:positionH>
            <wp:positionV relativeFrom="paragraph">
              <wp:posOffset>29845</wp:posOffset>
            </wp:positionV>
            <wp:extent cx="5610225" cy="7115175"/>
            <wp:effectExtent l="0" t="0" r="0" b="0"/>
            <wp:wrapSquare wrapText="bothSides"/>
            <wp:docPr id="1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4"/>
                    <pic:cNvPicPr>
                      <a:picLocks noChangeAspect="1" noChangeArrowheads="1"/>
                    </pic:cNvPicPr>
                  </pic:nvPicPr>
                  <pic:blipFill>
                    <a:blip r:embed="rId12"/>
                    <a:srcRect l="21734" t="15714" r="23286" b="21816"/>
                    <a:stretch>
                      <a:fillRect/>
                    </a:stretch>
                  </pic:blipFill>
                  <pic:spPr bwMode="auto">
                    <a:xfrm>
                      <a:off x="0" y="0"/>
                      <a:ext cx="5610225" cy="7115175"/>
                    </a:xfrm>
                    <a:prstGeom prst="rect">
                      <a:avLst/>
                    </a:prstGeom>
                  </pic:spPr>
                </pic:pic>
              </a:graphicData>
            </a:graphic>
          </wp:anchor>
        </w:drawing>
      </w:r>
      <w:r>
        <w:rPr>
          <w:rFonts w:ascii="Palatino Linotype" w:hAnsi="Palatino Linotype" w:cs="Arial"/>
        </w:rPr>
        <w:br/>
      </w:r>
      <w:r>
        <w:rPr>
          <w:noProof/>
          <w:lang w:eastAsia="es-MX"/>
        </w:rPr>
        <w:drawing>
          <wp:inline distT="0" distB="0" distL="0" distR="0">
            <wp:extent cx="5524500" cy="7143750"/>
            <wp:effectExtent l="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6"/>
                    <pic:cNvPicPr>
                      <a:picLocks noChangeAspect="1" noChangeArrowheads="1"/>
                    </pic:cNvPicPr>
                  </pic:nvPicPr>
                  <pic:blipFill>
                    <a:blip r:embed="rId13"/>
                    <a:srcRect l="25286" t="19026" r="28205" b="7023"/>
                    <a:stretch>
                      <a:fillRect/>
                    </a:stretch>
                  </pic:blipFill>
                  <pic:spPr bwMode="auto">
                    <a:xfrm>
                      <a:off x="0" y="0"/>
                      <a:ext cx="5524500" cy="7143750"/>
                    </a:xfrm>
                    <a:prstGeom prst="rect">
                      <a:avLst/>
                    </a:prstGeom>
                  </pic:spPr>
                </pic:pic>
              </a:graphicData>
            </a:graphic>
          </wp:inline>
        </w:drawing>
      </w:r>
    </w:p>
    <w:p w:rsidR="00B36BB6" w:rsidRDefault="003C3F8F">
      <w:pPr>
        <w:pStyle w:val="Prrafodelista"/>
        <w:widowControl w:val="0"/>
        <w:spacing w:after="120" w:line="360" w:lineRule="auto"/>
        <w:ind w:left="0"/>
        <w:contextualSpacing/>
        <w:jc w:val="both"/>
        <w:rPr>
          <w:rFonts w:ascii="Palatino Linotype" w:hAnsi="Palatino Linotype" w:cs="Arial"/>
        </w:rPr>
      </w:pPr>
      <w:r>
        <w:rPr>
          <w:rFonts w:ascii="Palatino Linotype" w:hAnsi="Palatino Linotype" w:cs="Arial"/>
        </w:rPr>
        <w:t>Esto es, de acuerdo a la normativa la Coordinación de Tesorería tiene como función el vigilar y supervisar la información financiera y contable sea registrada y presentada conforme a la Legislación aplicable, aunado al de establecer el sistema para el registro de operaciones que realiza el Organismos, presentando la información financiera mensual y anual en términos de los artículos 4 y 12 de la normativa en estudio.</w:t>
      </w:r>
    </w:p>
    <w:p w:rsidR="00B36BB6" w:rsidRDefault="00B36BB6">
      <w:pPr>
        <w:pStyle w:val="Prrafodelista"/>
        <w:widowControl w:val="0"/>
        <w:spacing w:after="120" w:line="360" w:lineRule="auto"/>
        <w:ind w:left="0"/>
        <w:contextualSpacing/>
        <w:jc w:val="both"/>
        <w:rPr>
          <w:rFonts w:ascii="Palatino Linotype" w:hAnsi="Palatino Linotype" w:cs="Arial"/>
        </w:rPr>
      </w:pPr>
    </w:p>
    <w:p w:rsidR="00B36BB6" w:rsidRDefault="003C3F8F">
      <w:pPr>
        <w:pStyle w:val="Prrafodelista"/>
        <w:widowControl w:val="0"/>
        <w:spacing w:line="276" w:lineRule="auto"/>
        <w:ind w:left="851" w:right="616"/>
        <w:jc w:val="both"/>
        <w:rPr>
          <w:rFonts w:ascii="Palatino Linotype" w:hAnsi="Palatino Linotype"/>
          <w:i/>
          <w:sz w:val="22"/>
          <w:szCs w:val="22"/>
        </w:rPr>
      </w:pPr>
      <w:r>
        <w:rPr>
          <w:rFonts w:ascii="Palatino Linotype" w:hAnsi="Palatino Linotype"/>
          <w:b/>
          <w:i/>
          <w:sz w:val="22"/>
          <w:szCs w:val="22"/>
        </w:rPr>
        <w:t>Artículo 4.</w:t>
      </w:r>
      <w:r>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B36BB6" w:rsidRDefault="003C3F8F">
      <w:pPr>
        <w:pStyle w:val="Prrafodelista"/>
        <w:widowControl w:val="0"/>
        <w:spacing w:line="276" w:lineRule="auto"/>
        <w:ind w:left="851" w:right="616"/>
        <w:jc w:val="both"/>
        <w:rPr>
          <w:rFonts w:ascii="Palatino Linotype" w:hAnsi="Palatino Linotype"/>
          <w:i/>
          <w:sz w:val="22"/>
          <w:szCs w:val="22"/>
        </w:rPr>
      </w:pPr>
      <w:r>
        <w:rPr>
          <w:rFonts w:ascii="Palatino Linotype" w:hAnsi="Palatino Linotype"/>
          <w:i/>
          <w:sz w:val="22"/>
          <w:szCs w:val="22"/>
        </w:rPr>
        <w:t>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B36BB6" w:rsidRDefault="003C3F8F">
      <w:pPr>
        <w:pStyle w:val="Prrafodelista"/>
        <w:widowControl w:val="0"/>
        <w:spacing w:line="276" w:lineRule="auto"/>
        <w:ind w:left="851" w:right="618"/>
        <w:jc w:val="both"/>
        <w:rPr>
          <w:rFonts w:ascii="Palatino Linotype" w:hAnsi="Palatino Linotype"/>
          <w:i/>
          <w:sz w:val="22"/>
          <w:szCs w:val="22"/>
        </w:rPr>
      </w:pPr>
      <w:r>
        <w:rPr>
          <w:rFonts w:ascii="Palatino Linotype" w:hAnsi="Palatino Linotype"/>
          <w:b/>
          <w:i/>
          <w:sz w:val="22"/>
          <w:szCs w:val="22"/>
        </w:rPr>
        <w:t xml:space="preserve">Artículo 12. </w:t>
      </w:r>
      <w:r>
        <w:rPr>
          <w:rFonts w:ascii="Palatino Linotype" w:hAnsi="Palatino Linotype"/>
          <w:i/>
          <w:sz w:val="22"/>
          <w:szCs w:val="22"/>
        </w:rPr>
        <w:t>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36BB6" w:rsidRDefault="00B36BB6">
      <w:pPr>
        <w:pStyle w:val="Prrafodelista"/>
        <w:widowControl w:val="0"/>
        <w:spacing w:line="276" w:lineRule="auto"/>
        <w:ind w:left="851" w:right="616"/>
        <w:jc w:val="both"/>
        <w:rPr>
          <w:rFonts w:ascii="Palatino Linotype" w:hAnsi="Palatino Linotype" w:cs="Arial"/>
          <w:i/>
          <w:sz w:val="22"/>
          <w:szCs w:val="22"/>
        </w:rPr>
      </w:pPr>
    </w:p>
    <w:p w:rsidR="00B36BB6" w:rsidRDefault="003C3F8F">
      <w:pPr>
        <w:widowControl w:val="0"/>
        <w:spacing w:line="360" w:lineRule="auto"/>
        <w:jc w:val="both"/>
        <w:rPr>
          <w:rFonts w:ascii="Palatino Linotype" w:eastAsia="Calibri" w:hAnsi="Palatino Linotype" w:cs="Arial"/>
        </w:rPr>
      </w:pPr>
      <w:r>
        <w:rPr>
          <w:rFonts w:ascii="Palatino Linotype" w:eastAsia="Calibri" w:hAnsi="Palatino Linotype" w:cs="Arial"/>
        </w:rPr>
        <w:t>En este sentido, se atiende con lo dispuesto los artículos 1, 7, 18 y 19 de la Ley de Transparencia y Acceso a la Información Pública del Estado de México y Municipios, como a continuación se expone:</w:t>
      </w:r>
    </w:p>
    <w:p w:rsidR="00B36BB6" w:rsidRDefault="003C3F8F">
      <w:pPr>
        <w:widowControl w:val="0"/>
        <w:spacing w:line="276" w:lineRule="auto"/>
        <w:ind w:left="851" w:right="618"/>
        <w:jc w:val="both"/>
        <w:rPr>
          <w:rFonts w:ascii="Palatino Linotype" w:hAnsi="Palatino Linotype"/>
          <w:i/>
        </w:rPr>
      </w:pPr>
      <w:r>
        <w:rPr>
          <w:rFonts w:ascii="Palatino Linotype" w:hAnsi="Palatino Linotype"/>
          <w:b/>
          <w:i/>
        </w:rPr>
        <w:t>Artículo 1.</w:t>
      </w:r>
      <w:r>
        <w:rPr>
          <w:rFonts w:ascii="Palatino Linotype" w:hAnsi="Palatino Linotype"/>
          <w:i/>
        </w:rPr>
        <w:t xml:space="preserve"> La presente Ley es de orden público e interés general, es reglamentaria de los párrafos décimo séptimo, décimo octavo y décimo noveno del artículo 5 de la Constitución Política del Estado Libre y Soberano de México. </w:t>
      </w:r>
    </w:p>
    <w:p w:rsidR="00B36BB6" w:rsidRDefault="003C3F8F">
      <w:pPr>
        <w:widowControl w:val="0"/>
        <w:spacing w:line="276" w:lineRule="auto"/>
        <w:ind w:left="851" w:right="618"/>
        <w:jc w:val="both"/>
        <w:rPr>
          <w:rFonts w:ascii="Palatino Linotype" w:hAnsi="Palatino Linotype"/>
          <w:i/>
        </w:rPr>
      </w:pPr>
      <w:r>
        <w:rPr>
          <w:rFonts w:ascii="Palatino Linotype" w:hAnsi="Palatino Linotype"/>
          <w:b/>
          <w:i/>
          <w:u w:val="single"/>
        </w:rPr>
        <w:t>Tiene por objeto establecer los principios, bases generales y procedimientos para tutelar y garantizar la transparencia y el derecho humano de acceso a la información pública en posesión de los sujetos obligados.</w:t>
      </w:r>
      <w:r>
        <w:rPr>
          <w:rFonts w:ascii="Palatino Linotype" w:hAnsi="Palatino Linotype"/>
          <w:i/>
        </w:rPr>
        <w:t xml:space="preserve"> </w:t>
      </w:r>
    </w:p>
    <w:p w:rsidR="00B36BB6" w:rsidRDefault="003C3F8F">
      <w:pPr>
        <w:widowControl w:val="0"/>
        <w:spacing w:line="276" w:lineRule="auto"/>
        <w:ind w:left="851" w:right="618"/>
        <w:jc w:val="both"/>
        <w:rPr>
          <w:rFonts w:ascii="Palatino Linotype" w:hAnsi="Palatino Linotype"/>
          <w:i/>
        </w:rPr>
      </w:pPr>
      <w:r>
        <w:rPr>
          <w:rFonts w:ascii="Palatino Linotype" w:hAnsi="Palatino Linotype"/>
          <w:i/>
        </w:rPr>
        <w:t>Asimismo, armonizar las disposiciones legales del Estado de México, con lo señalado por el artículo 6, apartado A, de la Constitución Política de los Estados Unidos Mexicanos en la materia y con lo establecido por la Ley General de Transparencia y Acceso a la Información Pública.</w:t>
      </w:r>
    </w:p>
    <w:p w:rsidR="00B36BB6" w:rsidRDefault="003C3F8F">
      <w:pPr>
        <w:widowControl w:val="0"/>
        <w:spacing w:line="276" w:lineRule="auto"/>
        <w:ind w:left="851" w:right="618"/>
        <w:jc w:val="both"/>
        <w:rPr>
          <w:rFonts w:ascii="Palatino Linotype" w:hAnsi="Palatino Linotype"/>
          <w:i/>
        </w:rPr>
      </w:pPr>
      <w:r>
        <w:rPr>
          <w:rFonts w:ascii="Palatino Linotype" w:hAnsi="Palatino Linotype"/>
          <w:b/>
          <w:i/>
        </w:rPr>
        <w:t>Artículo 7.</w:t>
      </w:r>
      <w:r>
        <w:rPr>
          <w:rFonts w:ascii="Palatino Linotype"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B36BB6" w:rsidRDefault="003C3F8F">
      <w:pPr>
        <w:widowControl w:val="0"/>
        <w:spacing w:line="276" w:lineRule="auto"/>
        <w:ind w:left="851" w:right="618"/>
        <w:jc w:val="both"/>
        <w:rPr>
          <w:rFonts w:ascii="Palatino Linotype" w:hAnsi="Palatino Linotype"/>
          <w:i/>
        </w:rPr>
      </w:pPr>
      <w:r>
        <w:rPr>
          <w:rFonts w:ascii="Palatino Linotype" w:hAnsi="Palatino Linotype"/>
          <w:b/>
          <w:i/>
        </w:rPr>
        <w:t>Artículo 18.</w:t>
      </w:r>
      <w:r>
        <w:rPr>
          <w:rFonts w:ascii="Palatino Linotype" w:hAnsi="Palatino Linotype"/>
          <w:i/>
        </w:rPr>
        <w:t xml:space="preserve"> Los sujetos obligados deberán documentar todo acto que derive del ejercicio de sus facultades, competencias o funciones, considerando desde su origen la eventual publicidad y reutilización de la información que generen. </w:t>
      </w:r>
    </w:p>
    <w:p w:rsidR="00B36BB6" w:rsidRDefault="003C3F8F">
      <w:pPr>
        <w:widowControl w:val="0"/>
        <w:spacing w:line="276" w:lineRule="auto"/>
        <w:ind w:left="851" w:right="618"/>
        <w:jc w:val="both"/>
        <w:rPr>
          <w:rFonts w:ascii="Palatino Linotype" w:hAnsi="Palatino Linotype"/>
          <w:i/>
        </w:rPr>
      </w:pPr>
      <w:r>
        <w:rPr>
          <w:rFonts w:ascii="Palatino Linotype" w:hAnsi="Palatino Linotype"/>
          <w:b/>
          <w:i/>
        </w:rPr>
        <w:t>Artículo 19.</w:t>
      </w:r>
      <w:r>
        <w:rPr>
          <w:rFonts w:ascii="Palatino Linotype" w:hAnsi="Palatino Linotype"/>
          <w:i/>
        </w:rPr>
        <w:t xml:space="preserve">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B36BB6" w:rsidRDefault="00B36BB6">
      <w:pPr>
        <w:widowControl w:val="0"/>
        <w:spacing w:line="276" w:lineRule="auto"/>
        <w:ind w:left="851" w:right="618"/>
        <w:jc w:val="both"/>
        <w:rPr>
          <w:rFonts w:ascii="Palatino Linotype" w:hAnsi="Palatino Linotype"/>
          <w:i/>
        </w:rPr>
      </w:pPr>
    </w:p>
    <w:p w:rsidR="00B36BB6" w:rsidRDefault="003C3F8F">
      <w:pPr>
        <w:shd w:val="clear" w:color="auto" w:fill="FFFFFF"/>
        <w:spacing w:line="360" w:lineRule="auto"/>
        <w:jc w:val="both"/>
        <w:rPr>
          <w:rFonts w:ascii="Palatino Linotype" w:hAnsi="Palatino Linotype" w:cs="Arial"/>
        </w:rPr>
      </w:pPr>
      <w:r>
        <w:rPr>
          <w:rFonts w:ascii="Palatino Linotype" w:eastAsia="Calibri" w:hAnsi="Palatino Linotype" w:cs="Arial"/>
        </w:rPr>
        <w:t xml:space="preserve">De esta forma, </w:t>
      </w:r>
      <w:r>
        <w:rPr>
          <w:rFonts w:ascii="Palatino Linotype" w:eastAsia="Calibri" w:hAnsi="Palatino Linotype" w:cs="Arial"/>
          <w:b/>
        </w:rPr>
        <w:t>EL SUJETO OBLIGADO</w:t>
      </w:r>
      <w:r>
        <w:rPr>
          <w:rFonts w:ascii="Palatino Linotype" w:eastAsia="Calibri" w:hAnsi="Palatino Linotype" w:cs="Arial"/>
        </w:rPr>
        <w:t xml:space="preserve"> le señaló que en el ejercicio fiscal requerido no ha expedido cheques por concepto de laudos o acuerdo entre las partes, </w:t>
      </w:r>
      <w:r>
        <w:rPr>
          <w:rFonts w:ascii="Palatino Linotype" w:hAnsi="Palatino Linotype" w:cs="Arial"/>
        </w:rPr>
        <w:t xml:space="preserve">lo cual constituye un hecho negativo. </w:t>
      </w:r>
    </w:p>
    <w:p w:rsidR="00B36BB6" w:rsidRDefault="00FB7851">
      <w:pPr>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simplePos x="0" y="0"/>
                <wp:positionH relativeFrom="column">
                  <wp:posOffset>-22861</wp:posOffset>
                </wp:positionH>
                <wp:positionV relativeFrom="paragraph">
                  <wp:posOffset>1506219</wp:posOffset>
                </wp:positionV>
                <wp:extent cx="5895975" cy="2066925"/>
                <wp:effectExtent l="38100" t="38100" r="66675" b="85725"/>
                <wp:wrapNone/>
                <wp:docPr id="39" name="Conector recto 39"/>
                <wp:cNvGraphicFramePr/>
                <a:graphic xmlns:a="http://schemas.openxmlformats.org/drawingml/2006/main">
                  <a:graphicData uri="http://schemas.microsoft.com/office/word/2010/wordprocessingShape">
                    <wps:wsp>
                      <wps:cNvCnPr/>
                      <wps:spPr>
                        <a:xfrm>
                          <a:off x="0" y="0"/>
                          <a:ext cx="5895975" cy="2066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6BC779" id="Conector recto 3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pt,118.6pt" to="462.45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8VvQEAAMcDAAAOAAAAZHJzL2Uyb0RvYy54bWysU8tu2zAQvBfoPxC8x5IV2I0Fyzk4aC9F&#10;a/TxAQy1tAjwhSXrx993SclK0RYIUPRCityd2Z3havt4sYadAKP2ruPLRc0ZOOl77Y4d//7t/d0D&#10;ZzEJ1wvjHXT8CpE/7t6+2Z5DC40fvOkBGZG42J5Dx4eUQltVUQ5gRVz4AI6CyqMViY54rHoUZ2K3&#10;pmrqel2dPfYBvYQY6fZpDPJd4VcKZPqsVITETMept1RWLOtzXqvdVrRHFGHQcmpD/EMXVmhHRWeq&#10;J5EE+4H6DyqrJfroVVpIbyuvlJZQNJCaZf2bmq+DCFC0kDkxzDbF/0crP50OyHTf8fsNZ05YeqM9&#10;vZRMHhnmjVGAXDqH2FLy3h1wOsVwwCz5otDmncSwS3H2OjsLl8QkXa4eNqvNuxVnkmJNvV5vmlVm&#10;rV7gAWP6AN6y/NFxo12WLlpx+hjTmHpLIVxuZ2ygfKWrgZxs3BdQJIdKNgVdBgn2BtlJ0AgIKcGl&#10;5VS6ZGeY0sbMwPp14JSfoVCGbAYvXwfPiFLZuzSDrXYe/0aQLreW1Zh/c2DUnS149v21PE2xhqal&#10;mDtNdh7HX88F/vL/7X4CAAD//wMAUEsDBBQABgAIAAAAIQCSgwgx3gAAAAoBAAAPAAAAZHJzL2Rv&#10;d25yZXYueG1sTI/LTsMwEEX3SPyDNUjsWgcXUpJmUiEkJJY0sGDpxNM8iB+K3Sb9e8yKLkf36N4z&#10;xX7RIzvT5HtrEB7WCTAyjVW9aRG+Pt9Wz8B8kEbJ0RpCuJCHfXl7U8hc2dkc6FyFlsUS43OJ0IXg&#10;cs5905GWfm0dmZgd7aRliOfUcjXJOZbrkYskSbmWvYkLnXT02lHzU500wvdUD+L9Mjthh7TKBkfi&#10;40CI93fLyw5YoCX8w/CnH9WhjE61PRnl2Yiw2qSRRBCbrQAWgUw8ZsBqhKdUbIGXBb9+ofwFAAD/&#10;/wMAUEsBAi0AFAAGAAgAAAAhALaDOJL+AAAA4QEAABMAAAAAAAAAAAAAAAAAAAAAAFtDb250ZW50&#10;X1R5cGVzXS54bWxQSwECLQAUAAYACAAAACEAOP0h/9YAAACUAQAACwAAAAAAAAAAAAAAAAAvAQAA&#10;X3JlbHMvLnJlbHNQSwECLQAUAAYACAAAACEA6q2/Fb0BAADHAwAADgAAAAAAAAAAAAAAAAAuAgAA&#10;ZHJzL2Uyb0RvYy54bWxQSwECLQAUAAYACAAAACEAkoMIMd4AAAAKAQAADwAAAAAAAAAAAAAAAAAX&#10;BAAAZHJzL2Rvd25yZXYueG1sUEsFBgAAAAAEAAQA8wAAACIFAAAAAA==&#10;" strokecolor="#4f81bd [3204]" strokeweight="2pt">
                <v:shadow on="t" color="black" opacity="24903f" origin=",.5" offset="0,.55556mm"/>
              </v:line>
            </w:pict>
          </mc:Fallback>
        </mc:AlternateContent>
      </w:r>
      <w:r w:rsidR="003C3F8F">
        <w:rPr>
          <w:rFonts w:ascii="Palatino Linotype" w:hAnsi="Palatino Linotype" w:cs="Arial"/>
        </w:rPr>
        <w:t xml:space="preserve">Ahora bien, </w:t>
      </w:r>
      <w:r w:rsidR="003C3F8F">
        <w:rPr>
          <w:rFonts w:ascii="Palatino Linotype" w:hAnsi="Palatino Linotype"/>
        </w:rPr>
        <w:t xml:space="preserve">es importante precisar que el ahora </w:t>
      </w:r>
      <w:r w:rsidR="003C3F8F">
        <w:rPr>
          <w:rFonts w:ascii="Palatino Linotype" w:hAnsi="Palatino Linotype"/>
          <w:b/>
        </w:rPr>
        <w:t>RECURRENTE</w:t>
      </w:r>
      <w:r w:rsidR="003C3F8F">
        <w:rPr>
          <w:rFonts w:ascii="Palatino Linotype" w:hAnsi="Palatino Linotype"/>
        </w:rPr>
        <w:t xml:space="preserve"> señaló en sus razones y motivos de inconformidad que “. . .</w:t>
      </w:r>
      <w:r w:rsidR="003C3F8F">
        <w:rPr>
          <w:rFonts w:ascii="Palatino Linotype" w:hAnsi="Palatino Linotype"/>
          <w:i/>
          <w:lang w:eastAsia="es-MX"/>
        </w:rPr>
        <w:t xml:space="preserve"> sin embargo en los discos remitidos por el area de finanzas al osfem se tiene contabilidaza una erogación realizada en el ejercicio fiscal en mención ., </w:t>
      </w:r>
      <w:r w:rsidR="003C3F8F">
        <w:rPr>
          <w:rFonts w:ascii="Palatino Linotype" w:hAnsi="Palatino Linotype"/>
          <w:lang w:eastAsia="es-MX"/>
        </w:rPr>
        <w:t xml:space="preserve">por lo </w:t>
      </w:r>
      <w:r w:rsidR="003C3F8F">
        <w:rPr>
          <w:rFonts w:ascii="Palatino Linotype" w:hAnsi="Palatino Linotype" w:cs="Arial"/>
        </w:rPr>
        <w:t xml:space="preserve">que de una revisión al portal oficial del </w:t>
      </w:r>
      <w:r w:rsidR="003C3F8F">
        <w:rPr>
          <w:rFonts w:ascii="Palatino Linotype" w:hAnsi="Palatino Linotype" w:cs="Arial"/>
          <w:b/>
        </w:rPr>
        <w:t>SUJETO OBLIGADO</w:t>
      </w:r>
      <w:r w:rsidR="003C3F8F">
        <w:rPr>
          <w:rFonts w:ascii="Palatino Linotype" w:hAnsi="Palatino Linotype" w:cs="Arial"/>
        </w:rPr>
        <w:t xml:space="preserve"> en el</w:t>
      </w:r>
      <w:r w:rsidR="003C3F8F">
        <w:rPr>
          <w:rFonts w:ascii="Palatino Linotype" w:hAnsi="Palatino Linotype" w:cs="Arial"/>
          <w:b/>
        </w:rPr>
        <w:t xml:space="preserve"> IPOMEX</w:t>
      </w:r>
      <w:r w:rsidR="003C3F8F">
        <w:rPr>
          <w:rFonts w:ascii="Palatino Linotype" w:hAnsi="Palatino Linotype" w:cs="Arial"/>
        </w:rPr>
        <w:t xml:space="preserve"> Información Mexiquense se advirtió lo siguiente:</w:t>
      </w:r>
    </w:p>
    <w:p w:rsidR="00B36BB6" w:rsidRDefault="00FB7851">
      <w:pPr>
        <w:shd w:val="clear" w:color="auto" w:fill="FFFFFF"/>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1312" behindDoc="0" locked="0" layoutInCell="1" allowOverlap="1">
                <wp:simplePos x="0" y="0"/>
                <wp:positionH relativeFrom="column">
                  <wp:posOffset>-13336</wp:posOffset>
                </wp:positionH>
                <wp:positionV relativeFrom="paragraph">
                  <wp:posOffset>4818379</wp:posOffset>
                </wp:positionV>
                <wp:extent cx="5895975" cy="1495425"/>
                <wp:effectExtent l="38100" t="38100" r="66675" b="85725"/>
                <wp:wrapNone/>
                <wp:docPr id="40" name="Conector recto 40"/>
                <wp:cNvGraphicFramePr/>
                <a:graphic xmlns:a="http://schemas.openxmlformats.org/drawingml/2006/main">
                  <a:graphicData uri="http://schemas.microsoft.com/office/word/2010/wordprocessingShape">
                    <wps:wsp>
                      <wps:cNvCnPr/>
                      <wps:spPr>
                        <a:xfrm>
                          <a:off x="0" y="0"/>
                          <a:ext cx="5895975" cy="1495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F8B881" id="Conector recto 4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379.4pt" to="463.2pt,4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FvvQEAAMcDAAAOAAAAZHJzL2Uyb0RvYy54bWysU8tu2zAQvBfIPxC8x7IMq40Fyzk4aC9F&#10;a/TxAQy1tAjwhSVr2X/fJWUrRVsgQNELKXJ3ZneGq+3j2Rp2Aozau47XiyVn4KTvtTt2/Pu39/cP&#10;nMUkXC+Md9DxC0T+uLt7sx1DCys/eNMDMiJxsR1Dx4eUQltVUQ5gRVz4AI6CyqMViY54rHoUI7Fb&#10;U62Wy7fV6LEP6CXESLdPU5DvCr9SINNnpSIkZjpOvaWyYlmf81rttqI9ogiDltc2xD90YYV2VHSm&#10;ehJJsB+o/6CyWqKPXqWF9LbySmkJRQOpqZe/qfk6iABFC5kTw2xT/H+08tPpgEz3HV+TPU5YeqM9&#10;vZRMHhnmjVGAXBpDbCl57w54PcVwwCz5rNDmncSwc3H2MjsL58QkXTYPm2bzruFMUqxeb5r1qsms&#10;1Qs8YEwfwFuWPzputMvSRStOH2OaUm8phMvtTA2Ur3QxkJON+wKK5FDJVUGXQYK9QXYSNAJCSnCp&#10;vpYu2RmmtDEzcPk68JqfoVCGbAbXr4NnRKnsXZrBVjuPfyNI51vLasq/OTDpzhY8+/5SnqZYQ9NS&#10;zL1Odh7HX88F/vL/7X4CAAD//wMAUEsDBBQABgAIAAAAIQAL2Y5Q3gAAAAoBAAAPAAAAZHJzL2Rv&#10;d25yZXYueG1sTI/LTsMwEEX3SPyDNUjsWqemhCbEqRASEksaWLB04iEP4odit0n/numq7GY0R3fO&#10;LfaLGdkJp9A7K2GzToChbZzubSvh6/NttQMWorJajc6ihDMG2Je3N4XKtZvtAU9VbBmF2JArCV2M&#10;Puc8NB0aFdbOo6Xbj5uMirROLdeTmincjFwkScqN6i196JTH1w6b3+poJHxP9SDez7MXbkirbPAo&#10;Pg4o5f3d8vIMLOISrzBc9EkdSnKq3dHqwEYJK7EhUsLT444qEJCJdAuspiHbPgAvC/6/QvkHAAD/&#10;/wMAUEsBAi0AFAAGAAgAAAAhALaDOJL+AAAA4QEAABMAAAAAAAAAAAAAAAAAAAAAAFtDb250ZW50&#10;X1R5cGVzXS54bWxQSwECLQAUAAYACAAAACEAOP0h/9YAAACUAQAACwAAAAAAAAAAAAAAAAAvAQAA&#10;X3JlbHMvLnJlbHNQSwECLQAUAAYACAAAACEAj7SRb70BAADHAwAADgAAAAAAAAAAAAAAAAAuAgAA&#10;ZHJzL2Uyb0RvYy54bWxQSwECLQAUAAYACAAAACEAC9mOUN4AAAAKAQAADwAAAAAAAAAAAAAAAAAX&#10;BAAAZHJzL2Rvd25yZXYueG1sUEsFBgAAAAAEAAQA8wAAACIFAAAAAA==&#10;" strokecolor="#4f81bd [3204]" strokeweight="2pt">
                <v:shadow on="t" color="black" opacity="24903f" origin=",.5" offset="0,.55556mm"/>
              </v:line>
            </w:pict>
          </mc:Fallback>
        </mc:AlternateContent>
      </w:r>
      <w:r w:rsidR="003C3F8F">
        <w:rPr>
          <w:noProof/>
          <w:lang w:eastAsia="es-MX"/>
        </w:rPr>
        <w:drawing>
          <wp:inline distT="0" distB="0" distL="0" distR="0">
            <wp:extent cx="5600700" cy="4686300"/>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
                    <pic:cNvPicPr>
                      <a:picLocks noChangeAspect="1" noChangeArrowheads="1"/>
                    </pic:cNvPicPr>
                  </pic:nvPicPr>
                  <pic:blipFill>
                    <a:blip r:embed="rId14"/>
                    <a:srcRect l="-172" t="1206" r="15658" b="5522"/>
                    <a:stretch>
                      <a:fillRect/>
                    </a:stretch>
                  </pic:blipFill>
                  <pic:spPr bwMode="auto">
                    <a:xfrm>
                      <a:off x="0" y="0"/>
                      <a:ext cx="5600700" cy="4686300"/>
                    </a:xfrm>
                    <a:prstGeom prst="rect">
                      <a:avLst/>
                    </a:prstGeom>
                  </pic:spPr>
                </pic:pic>
              </a:graphicData>
            </a:graphic>
          </wp:inline>
        </w:drawing>
      </w:r>
      <w:r w:rsidR="003C3F8F">
        <w:rPr>
          <w:noProof/>
          <w:lang w:eastAsia="es-MX"/>
        </w:rPr>
        <mc:AlternateContent>
          <mc:Choice Requires="wps">
            <w:drawing>
              <wp:anchor distT="0" distB="0" distL="0" distR="0" simplePos="0" relativeHeight="50" behindDoc="0" locked="0" layoutInCell="1" allowOverlap="1" wp14:anchorId="6087E659">
                <wp:simplePos x="0" y="0"/>
                <wp:positionH relativeFrom="column">
                  <wp:posOffset>1263015</wp:posOffset>
                </wp:positionH>
                <wp:positionV relativeFrom="paragraph">
                  <wp:posOffset>2123440</wp:posOffset>
                </wp:positionV>
                <wp:extent cx="2554605" cy="668655"/>
                <wp:effectExtent l="19050" t="19050" r="19050" b="19050"/>
                <wp:wrapNone/>
                <wp:docPr id="12" name="Rectángulo 3"/>
                <wp:cNvGraphicFramePr/>
                <a:graphic xmlns:a="http://schemas.openxmlformats.org/drawingml/2006/main">
                  <a:graphicData uri="http://schemas.microsoft.com/office/word/2010/wordprocessingShape">
                    <wps:wsp>
                      <wps:cNvSpPr/>
                      <wps:spPr>
                        <a:xfrm>
                          <a:off x="0" y="0"/>
                          <a:ext cx="2553840" cy="66816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 stroked="t" style="position:absolute;margin-left:99.45pt;margin-top:167.2pt;width:201.05pt;height:52.55pt" wp14:anchorId="6087E659">
                <w10:wrap type="none"/>
                <v:fill o:detectmouseclick="t" on="false"/>
                <v:stroke color="red" weight="38160" joinstyle="round" endcap="flat"/>
              </v:rect>
            </w:pict>
          </mc:Fallback>
        </mc:AlternateContent>
      </w:r>
    </w:p>
    <w:p w:rsidR="00B36BB6" w:rsidRDefault="003C3F8F">
      <w:pPr>
        <w:shd w:val="clear" w:color="auto" w:fill="FFFFFF"/>
        <w:spacing w:line="360" w:lineRule="auto"/>
        <w:jc w:val="both"/>
        <w:rPr>
          <w:rFonts w:ascii="Palatino Linotype" w:hAnsi="Palatino Linotype" w:cs="Arial"/>
        </w:rPr>
      </w:pPr>
      <w:r>
        <w:rPr>
          <w:noProof/>
          <w:lang w:eastAsia="es-MX"/>
        </w:rPr>
        <w:drawing>
          <wp:inline distT="0" distB="0" distL="0" distR="0">
            <wp:extent cx="5591175" cy="7086600"/>
            <wp:effectExtent l="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4"/>
                    <pic:cNvPicPr>
                      <a:picLocks noChangeAspect="1" noChangeArrowheads="1"/>
                    </pic:cNvPicPr>
                  </pic:nvPicPr>
                  <pic:blipFill>
                    <a:blip r:embed="rId15"/>
                    <a:srcRect l="15281" t="17224" r="35004" b="42042"/>
                    <a:stretch>
                      <a:fillRect/>
                    </a:stretch>
                  </pic:blipFill>
                  <pic:spPr bwMode="auto">
                    <a:xfrm>
                      <a:off x="0" y="0"/>
                      <a:ext cx="5591175" cy="7086600"/>
                    </a:xfrm>
                    <a:prstGeom prst="rect">
                      <a:avLst/>
                    </a:prstGeom>
                  </pic:spPr>
                </pic:pic>
              </a:graphicData>
            </a:graphic>
          </wp:inline>
        </w:drawing>
      </w:r>
      <w:r>
        <w:rPr>
          <w:noProof/>
          <w:lang w:eastAsia="es-MX"/>
        </w:rPr>
        <mc:AlternateContent>
          <mc:Choice Requires="wps">
            <w:drawing>
              <wp:anchor distT="0" distB="0" distL="0" distR="0" simplePos="0" relativeHeight="51" behindDoc="0" locked="0" layoutInCell="1" allowOverlap="1" wp14:anchorId="6BF712A2">
                <wp:simplePos x="0" y="0"/>
                <wp:positionH relativeFrom="column">
                  <wp:posOffset>-118110</wp:posOffset>
                </wp:positionH>
                <wp:positionV relativeFrom="paragraph">
                  <wp:posOffset>859155</wp:posOffset>
                </wp:positionV>
                <wp:extent cx="4030980" cy="1421130"/>
                <wp:effectExtent l="19050" t="19050" r="28575" b="28575"/>
                <wp:wrapNone/>
                <wp:docPr id="14" name="Rectángulo 5"/>
                <wp:cNvGraphicFramePr/>
                <a:graphic xmlns:a="http://schemas.openxmlformats.org/drawingml/2006/main">
                  <a:graphicData uri="http://schemas.microsoft.com/office/word/2010/wordprocessingShape">
                    <wps:wsp>
                      <wps:cNvSpPr/>
                      <wps:spPr>
                        <a:xfrm>
                          <a:off x="0" y="0"/>
                          <a:ext cx="4030200" cy="142056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5" stroked="t" style="position:absolute;margin-left:-9.3pt;margin-top:67.65pt;width:317.3pt;height:111.8pt" wp14:anchorId="6BF712A2">
                <w10:wrap type="none"/>
                <v:fill o:detectmouseclick="t" on="false"/>
                <v:stroke color="red" weight="38160" joinstyle="round" endcap="flat"/>
              </v:rect>
            </w:pict>
          </mc:Fallback>
        </mc:AlternateContent>
      </w:r>
      <w:r>
        <w:rPr>
          <w:noProof/>
          <w:lang w:eastAsia="es-MX"/>
        </w:rPr>
        <mc:AlternateContent>
          <mc:Choice Requires="wps">
            <w:drawing>
              <wp:anchor distT="0" distB="0" distL="0" distR="0" simplePos="0" relativeHeight="52" behindDoc="0" locked="0" layoutInCell="1" allowOverlap="1" wp14:anchorId="1B8041E3">
                <wp:simplePos x="0" y="0"/>
                <wp:positionH relativeFrom="column">
                  <wp:posOffset>-765810</wp:posOffset>
                </wp:positionH>
                <wp:positionV relativeFrom="paragraph">
                  <wp:posOffset>4411980</wp:posOffset>
                </wp:positionV>
                <wp:extent cx="802005" cy="325755"/>
                <wp:effectExtent l="0" t="19050" r="38100" b="38100"/>
                <wp:wrapNone/>
                <wp:docPr id="15" name="Flecha derecha 6"/>
                <wp:cNvGraphicFramePr/>
                <a:graphic xmlns:a="http://schemas.openxmlformats.org/drawingml/2006/main">
                  <a:graphicData uri="http://schemas.microsoft.com/office/word/2010/wordprocessingShape">
                    <wps:wsp>
                      <wps:cNvSpPr/>
                      <wps:spPr>
                        <a:xfrm>
                          <a:off x="0" y="0"/>
                          <a:ext cx="801360" cy="325080"/>
                        </a:xfrm>
                        <a:prstGeom prst="rightArrow">
                          <a:avLst>
                            <a:gd name="adj1" fmla="val 50000"/>
                            <a:gd name="adj2" fmla="val 50000"/>
                          </a:avLst>
                        </a:prstGeom>
                        <a:solidFill>
                          <a:srgbClr val="FF0000"/>
                        </a:solidFill>
                        <a:ln>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 id="shape_0" ID="Flecha derecha 6" fillcolor="red" stroked="t" style="position:absolute;margin-left:-60.3pt;margin-top:347.4pt;width:63.05pt;height:25.55pt" wp14:anchorId="1B8041E3" type="shapetype_13">
                <w10:wrap type="none"/>
                <v:fill o:detectmouseclick="t" type="solid" color2="aqua"/>
                <v:stroke color="red" weight="25560" joinstyle="round" endcap="flat"/>
              </v:shape>
            </w:pict>
          </mc:Fallback>
        </mc:AlternateContent>
      </w:r>
    </w:p>
    <w:p w:rsidR="00B36BB6" w:rsidRDefault="003C3F8F">
      <w:pPr>
        <w:shd w:val="clear" w:color="auto" w:fill="FFFFFF"/>
        <w:spacing w:line="360" w:lineRule="auto"/>
        <w:jc w:val="both"/>
        <w:rPr>
          <w:rFonts w:ascii="Palatino Linotype" w:hAnsi="Palatino Linotype" w:cs="Arial"/>
        </w:rPr>
      </w:pPr>
      <w:r>
        <w:rPr>
          <w:noProof/>
          <w:lang w:eastAsia="es-MX"/>
        </w:rPr>
        <w:drawing>
          <wp:inline distT="0" distB="0" distL="0" distR="0">
            <wp:extent cx="5581650" cy="3257550"/>
            <wp:effectExtent l="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7"/>
                    <pic:cNvPicPr>
                      <a:picLocks noChangeAspect="1" noChangeArrowheads="1"/>
                    </pic:cNvPicPr>
                  </pic:nvPicPr>
                  <pic:blipFill>
                    <a:blip r:embed="rId16"/>
                    <a:srcRect l="3398" t="20531" r="4787" b="7628"/>
                    <a:stretch>
                      <a:fillRect/>
                    </a:stretch>
                  </pic:blipFill>
                  <pic:spPr bwMode="auto">
                    <a:xfrm>
                      <a:off x="0" y="0"/>
                      <a:ext cx="5581650" cy="3257550"/>
                    </a:xfrm>
                    <a:prstGeom prst="rect">
                      <a:avLst/>
                    </a:prstGeom>
                  </pic:spPr>
                </pic:pic>
              </a:graphicData>
            </a:graphic>
          </wp:inline>
        </w:drawing>
      </w:r>
    </w:p>
    <w:p w:rsidR="00B36BB6" w:rsidRDefault="003C3F8F">
      <w:pPr>
        <w:shd w:val="clear" w:color="auto" w:fill="FFFFFF"/>
        <w:spacing w:line="360" w:lineRule="auto"/>
        <w:jc w:val="both"/>
        <w:rPr>
          <w:rFonts w:ascii="Palatino Linotype" w:hAnsi="Palatino Linotype" w:cs="Arial"/>
        </w:rPr>
      </w:pPr>
      <w:r>
        <w:rPr>
          <w:noProof/>
          <w:lang w:eastAsia="es-MX"/>
        </w:rPr>
        <w:drawing>
          <wp:inline distT="0" distB="0" distL="0" distR="0">
            <wp:extent cx="5612130" cy="561975"/>
            <wp:effectExtent l="0" t="0" r="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9"/>
                    <pic:cNvPicPr>
                      <a:picLocks noChangeAspect="1" noChangeArrowheads="1"/>
                    </pic:cNvPicPr>
                  </pic:nvPicPr>
                  <pic:blipFill>
                    <a:blip r:embed="rId17"/>
                    <a:stretch>
                      <a:fillRect/>
                    </a:stretch>
                  </pic:blipFill>
                  <pic:spPr bwMode="auto">
                    <a:xfrm>
                      <a:off x="0" y="0"/>
                      <a:ext cx="5612130" cy="561975"/>
                    </a:xfrm>
                    <a:prstGeom prst="rect">
                      <a:avLst/>
                    </a:prstGeom>
                  </pic:spPr>
                </pic:pic>
              </a:graphicData>
            </a:graphic>
          </wp:inline>
        </w:drawing>
      </w:r>
    </w:p>
    <w:p w:rsidR="00B36BB6" w:rsidRDefault="003C3F8F">
      <w:pPr>
        <w:shd w:val="clear" w:color="auto" w:fill="FFFFFF"/>
        <w:spacing w:line="360" w:lineRule="auto"/>
        <w:jc w:val="both"/>
        <w:rPr>
          <w:rFonts w:ascii="Palatino Linotype" w:hAnsi="Palatino Linotype" w:cs="Arial"/>
        </w:rPr>
      </w:pPr>
      <w:r>
        <w:rPr>
          <w:rFonts w:ascii="Palatino Linotype" w:hAnsi="Palatino Linotype" w:cs="Arial"/>
        </w:rPr>
        <w:t>De lo expuesto, se desprende que en la partida 1522 relativa a liquidaciones por indemnizaciones, por sueldos y salarios caídos, pago de liquidaciones derivadas de laudos emitidos o sentencia dictada por autoridad competente, favorables a los servidores públicos, en función de los sueldos, salarios y/o prestaciones percibidas durante el litigio de acuerdo a lo que establece el Manual para la Planeación, Programación y Presupuesto de Egresos Municipal para el ejercicio fiscal 2019.</w:t>
      </w:r>
    </w:p>
    <w:p w:rsidR="00B36BB6" w:rsidRDefault="003C3F8F">
      <w:pPr>
        <w:shd w:val="clear" w:color="auto" w:fill="FFFFFF"/>
        <w:spacing w:line="360" w:lineRule="auto"/>
        <w:jc w:val="both"/>
        <w:rPr>
          <w:rFonts w:ascii="Palatino Linotype" w:hAnsi="Palatino Linotype" w:cs="Arial"/>
        </w:rPr>
      </w:pPr>
      <w:r>
        <w:rPr>
          <w:rFonts w:ascii="Palatino Linotype" w:hAnsi="Palatino Linotype" w:cs="Arial"/>
        </w:rPr>
        <w:t xml:space="preserve">De esta forma se observó que </w:t>
      </w:r>
      <w:r>
        <w:rPr>
          <w:rFonts w:ascii="Palatino Linotype" w:hAnsi="Palatino Linotype" w:cs="Arial"/>
          <w:b/>
        </w:rPr>
        <w:t>EL SUJETO OBLIGADO</w:t>
      </w:r>
      <w:r>
        <w:rPr>
          <w:rFonts w:ascii="Palatino Linotype" w:hAnsi="Palatino Linotype" w:cs="Arial"/>
        </w:rPr>
        <w:t xml:space="preserve"> erogó recurso público por este concepto</w:t>
      </w:r>
      <w:r>
        <w:rPr>
          <w:rStyle w:val="Ancladenotaalpie"/>
          <w:rFonts w:ascii="Palatino Linotype" w:hAnsi="Palatino Linotype" w:cs="Arial"/>
        </w:rPr>
        <w:footnoteReference w:id="1"/>
      </w:r>
      <w:r>
        <w:rPr>
          <w:rFonts w:ascii="Palatino Linotype" w:hAnsi="Palatino Linotype" w:cs="Arial"/>
        </w:rPr>
        <w:t>, por lo que debe realizar una búsqueda exhaustiva y razonable de la información requerida y transparentar el gasto realizado ya que el ejercicio de los recursos públicos es de interés general y obligación de la Autoridad dar a conocer dicho gasto que realiza.</w:t>
      </w:r>
    </w:p>
    <w:p w:rsidR="00B36BB6" w:rsidRDefault="00FB7851">
      <w:pPr>
        <w:shd w:val="clear" w:color="auto" w:fill="FFFFFF"/>
        <w:spacing w:line="360" w:lineRule="auto"/>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847725</wp:posOffset>
                </wp:positionV>
                <wp:extent cx="5829300" cy="3581400"/>
                <wp:effectExtent l="38100" t="19050" r="76200" b="95250"/>
                <wp:wrapNone/>
                <wp:docPr id="41" name="Conector recto 41"/>
                <wp:cNvGraphicFramePr/>
                <a:graphic xmlns:a="http://schemas.openxmlformats.org/drawingml/2006/main">
                  <a:graphicData uri="http://schemas.microsoft.com/office/word/2010/wordprocessingShape">
                    <wps:wsp>
                      <wps:cNvCnPr/>
                      <wps:spPr>
                        <a:xfrm>
                          <a:off x="0" y="0"/>
                          <a:ext cx="5829300" cy="3581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712D828" id="Conector recto 4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pt,66.75pt" to="457.2pt,3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eYvQEAAMcDAAAOAAAAZHJzL2Uyb0RvYy54bWysU9tu2zAMfR/QfxD03thO2yEz4vQhxfYy&#10;bMEuH6DKVCxAN1Ba7Pz9KDlxh21AgWEvkinykDyH9PZxsoadAKP2ruPNquYMnPS9dseOf//2/nbD&#10;WUzC9cJ4Bx0/Q+SPu5s32zG0sPaDNz0goyQutmPo+JBSaKsqygGsiCsfwJFTebQikYnHqkcxUnZr&#10;qnVdv61Gj31ALyFGen2anXxX8isFMn1WKkJipuPUWyonlvM5n9VuK9ojijBoeWlD/EMXVmhHRZdU&#10;TyIJ9gP1H6msluijV2klva28UlpC4UBsmvo3Nl8HEaBwIXFiWGSK/y+t/HQ6INN9x+8bzpywNKM9&#10;TUomjwzzxchBKo0hthS8dwe8WDEcMFOeFNp8Exk2FWXPi7IwJSbp8WGzfndX0wAk+e4eNs09GZSn&#10;eoEHjOkDeMvyR8eNdpm6aMXpY0xz6DWEcLmduYHylc4GcrBxX0ARHSq5LuiySLA3yE6CVkBICS4V&#10;QlS6RGeY0sYswPp14CU+Q6Es2QJuXgcviFLZu7SArXYe/5YgTdeW1Rx/VWDmnSV49v25jKZIQ9tS&#10;xL1sdl7HX+0Cf/n/dj8BAAD//wMAUEsDBBQABgAIAAAAIQCXlwkQ3wAAAAoBAAAPAAAAZHJzL2Rv&#10;d25yZXYueG1sTI/LTsMwEEX3SPyDNUjsWqdJG5oQp0JISCxpYMHSiad5EI+t2G3Sv8es6HJmju6c&#10;WxwWPbILTq43JGCzjoAhNUb11Ar4+nxb7YE5L0nJ0RAKuKKDQ3l/V8hcmZmOeKl8y0IIuVwK6Ly3&#10;Oeeu6VBLtzYWKdxOZtLSh3FquZrkHML1yOMoSrmWPYUPnbT42mHzU521gO+pHuL362xjM6RVNliM&#10;P44oxOPD8vIMzOPi/2H40w/qUAan2pxJOTYKWCVpIMM+SXbAApBttltgtYA0e9oBLwt+W6H8BQAA&#10;//8DAFBLAQItABQABgAIAAAAIQC2gziS/gAAAOEBAAATAAAAAAAAAAAAAAAAAAAAAABbQ29udGVu&#10;dF9UeXBlc10ueG1sUEsBAi0AFAAGAAgAAAAhADj9If/WAAAAlAEAAAsAAAAAAAAAAAAAAAAALwEA&#10;AF9yZWxzLy5yZWxzUEsBAi0AFAAGAAgAAAAhAFU0p5i9AQAAxwMAAA4AAAAAAAAAAAAAAAAALgIA&#10;AGRycy9lMm9Eb2MueG1sUEsBAi0AFAAGAAgAAAAhAJeXCRDfAAAACgEAAA8AAAAAAAAAAAAAAAAA&#10;FwQAAGRycy9kb3ducmV2LnhtbFBLBQYAAAAABAAEAPMAAAAjBQAAAAA=&#10;" strokecolor="#4f81bd [3204]" strokeweight="2pt">
                <v:shadow on="t" color="black" opacity="24903f" origin=",.5" offset="0,.55556mm"/>
              </v:line>
            </w:pict>
          </mc:Fallback>
        </mc:AlternateContent>
      </w:r>
      <w:r w:rsidR="003C3F8F">
        <w:rPr>
          <w:rFonts w:ascii="Palatino Linotype" w:hAnsi="Palatino Linotype" w:cs="Arial"/>
        </w:rPr>
        <w:t xml:space="preserve">Aunado a ello, sirven de referencia los registros 3, 5 y 7 de la liga electrónica </w:t>
      </w:r>
      <w:hyperlink r:id="rId18">
        <w:r w:rsidR="003C3F8F">
          <w:rPr>
            <w:rStyle w:val="EnlacedeInternet"/>
            <w:rFonts w:ascii="Palatino Linotype" w:hAnsi="Palatino Linotype" w:cs="Arial"/>
          </w:rPr>
          <w:t>https://www.ipomex.org.mx/ipo3/lgt/indice/OASATIZAPANDEZARAGOZA/art_92_xl/1.web</w:t>
        </w:r>
      </w:hyperlink>
      <w:r w:rsidR="003C3F8F">
        <w:rPr>
          <w:rFonts w:ascii="Palatino Linotype" w:hAnsi="Palatino Linotype" w:cs="Arial"/>
        </w:rPr>
        <w:t xml:space="preserve"> de la que se desprende lo siguiente:</w:t>
      </w:r>
    </w:p>
    <w:p w:rsidR="00B36BB6" w:rsidRDefault="00FB7851">
      <w:pPr>
        <w:shd w:val="clear" w:color="auto" w:fill="FFFFFF"/>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4475479</wp:posOffset>
                </wp:positionV>
                <wp:extent cx="5886450" cy="1876425"/>
                <wp:effectExtent l="38100" t="38100" r="76200" b="85725"/>
                <wp:wrapNone/>
                <wp:docPr id="42" name="Conector recto 42"/>
                <wp:cNvGraphicFramePr/>
                <a:graphic xmlns:a="http://schemas.openxmlformats.org/drawingml/2006/main">
                  <a:graphicData uri="http://schemas.microsoft.com/office/word/2010/wordprocessingShape">
                    <wps:wsp>
                      <wps:cNvCnPr/>
                      <wps:spPr>
                        <a:xfrm>
                          <a:off x="0" y="0"/>
                          <a:ext cx="5886450" cy="1876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40F665" id="Conector recto 4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pt,352.4pt" to="463.2pt,5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f7vAEAAMcDAAAOAAAAZHJzL2Uyb0RvYy54bWysU02P0zAQvSPxHyzfaZqoLVXUdA9dwQVB&#10;BewP8DrjxpK/NDZN+u8Zu20WAdJKiIsde+a9mfc82T1M1rAzYNTedbxeLDkDJ32v3anjT98/vNty&#10;FpNwvTDeQccvEPnD/u2b3RhaaPzgTQ/IiMTFdgwdH1IKbVVFOYAVceEDOAoqj1YkOuKp6lGMxG5N&#10;1SyXm2r02Af0EmKk28drkO8Lv1Ig0xelIiRmOk69pbJiWZ/zWu13oj2hCIOWtzbEP3RhhXZUdKZ6&#10;FEmwH6j/oLJaoo9epYX0tvJKaQlFA6mpl7+p+TaIAEULmRPDbFP8f7Ty8/mITPcdXzWcOWHpjQ70&#10;UjJ5ZJg3RgFyaQyxpeSDO+LtFMMRs+RJoc07iWFTcfYyOwtTYpIu19vtZrWmB5AUq7fvN6tmnVmr&#10;F3jAmD6Ctyx/dNxol6WLVpw/xXRNvacQLrdzbaB8pYuBnGzcV1Akh0o2BV0GCQ4G2VnQCAgpwaX6&#10;VrpkZ5jSxszA5evAW36GQhmyGVy/Dp4RpbJ3aQZb7Tz+jSBN95bVNf/uwFV3tuDZ95fyNMUampZi&#10;7m2y8zj+ei7wl/9v/xMAAP//AwBQSwMEFAAGAAgAAAAhAFhNQl3dAAAACgEAAA8AAABkcnMvZG93&#10;bnJldi54bWxMj8tOwzAQRfdI/IM1SOxaG1MFmsapEBISS5qyYOnE0zyIH4rdJv17hhUsR/fozrnF&#10;frEju+AUe+8UPKwFMHSNN71rFXwe31bPwGLSzujRO1RwxQj78vam0LnxszvgpUotoxIXc62gSynk&#10;nMemQ6vj2gd0lJ38ZHWic2q5mfRM5XbkUoiMW907+tDpgK8dNt/V2Sr4mupBvl/nIP2QVdshoPw4&#10;oFL3d8vLDljCJf3B8KtP6lCSU+3PzkQ2KlhlBCp4EhtaQPlWZhtgNYFCiEfgZcH/Tyh/AAAA//8D&#10;AFBLAQItABQABgAIAAAAIQC2gziS/gAAAOEBAAATAAAAAAAAAAAAAAAAAAAAAABbQ29udGVudF9U&#10;eXBlc10ueG1sUEsBAi0AFAAGAAgAAAAhADj9If/WAAAAlAEAAAsAAAAAAAAAAAAAAAAALwEAAF9y&#10;ZWxzLy5yZWxzUEsBAi0AFAAGAAgAAAAhAKP01/u8AQAAxwMAAA4AAAAAAAAAAAAAAAAALgIAAGRy&#10;cy9lMm9Eb2MueG1sUEsBAi0AFAAGAAgAAAAhAFhNQl3dAAAACgEAAA8AAAAAAAAAAAAAAAAAFgQA&#10;AGRycy9kb3ducmV2LnhtbFBLBQYAAAAABAAEAPMAAAAgBQAAAAA=&#10;" strokecolor="#4f81bd [3204]" strokeweight="2pt">
                <v:shadow on="t" color="black" opacity="24903f" origin=",.5" offset="0,.55556mm"/>
              </v:line>
            </w:pict>
          </mc:Fallback>
        </mc:AlternateContent>
      </w:r>
      <w:r w:rsidR="003C3F8F">
        <w:rPr>
          <w:noProof/>
          <w:lang w:eastAsia="es-MX"/>
        </w:rPr>
        <w:drawing>
          <wp:inline distT="0" distB="0" distL="0" distR="0">
            <wp:extent cx="5612130" cy="4343400"/>
            <wp:effectExtent l="0" t="0" r="0" b="0"/>
            <wp:docPr id="19"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3"/>
                    <pic:cNvPicPr>
                      <a:picLocks noChangeAspect="1" noChangeArrowheads="1"/>
                    </pic:cNvPicPr>
                  </pic:nvPicPr>
                  <pic:blipFill>
                    <a:blip r:embed="rId19"/>
                    <a:stretch>
                      <a:fillRect/>
                    </a:stretch>
                  </pic:blipFill>
                  <pic:spPr bwMode="auto">
                    <a:xfrm>
                      <a:off x="0" y="0"/>
                      <a:ext cx="5612130" cy="4343400"/>
                    </a:xfrm>
                    <a:prstGeom prst="rect">
                      <a:avLst/>
                    </a:prstGeom>
                  </pic:spPr>
                </pic:pic>
              </a:graphicData>
            </a:graphic>
          </wp:inline>
        </w:drawing>
      </w:r>
    </w:p>
    <w:p w:rsidR="00B36BB6" w:rsidRDefault="00FB7851">
      <w:pPr>
        <w:shd w:val="clear" w:color="auto" w:fill="FFFFFF"/>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4384" behindDoc="0" locked="0" layoutInCell="1" allowOverlap="1">
                <wp:simplePos x="0" y="0"/>
                <wp:positionH relativeFrom="column">
                  <wp:posOffset>43815</wp:posOffset>
                </wp:positionH>
                <wp:positionV relativeFrom="paragraph">
                  <wp:posOffset>3351530</wp:posOffset>
                </wp:positionV>
                <wp:extent cx="5791200" cy="2990850"/>
                <wp:effectExtent l="38100" t="19050" r="76200" b="95250"/>
                <wp:wrapNone/>
                <wp:docPr id="43" name="Conector recto 43"/>
                <wp:cNvGraphicFramePr/>
                <a:graphic xmlns:a="http://schemas.openxmlformats.org/drawingml/2006/main">
                  <a:graphicData uri="http://schemas.microsoft.com/office/word/2010/wordprocessingShape">
                    <wps:wsp>
                      <wps:cNvCnPr/>
                      <wps:spPr>
                        <a:xfrm>
                          <a:off x="0" y="0"/>
                          <a:ext cx="5791200" cy="2990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E344215" id="Conector recto 4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5pt,263.9pt" to="459.45pt,4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ZvwEAAMcDAAAOAAAAZHJzL2Uyb0RvYy54bWysU9tu2zAMfR+wfxD0vthO160x4vQhxfpS&#10;bMEuH6DKVCxAN1Ba7Px9KSVxh3VAgaEvkinykDyH9Pp2soYdAKP2ruPNouYMnPS9dvuO//r55cMN&#10;ZzEJ1wvjHXT8CJHfbt6/W4+hhaUfvOkBGSVxsR1Dx4eUQltVUQ5gRVz4AI6cyqMViUzcVz2KkbJb&#10;Uy3r+lM1euwDegkx0uvdyck3Jb9SINM3pSIkZjpOvaVyYjkf81lt1qLdowiDluc2xH90YYV2VHRO&#10;dSeSYL9Rv0hltUQfvUoL6W3lldISCgdi09R/sfkxiACFC4kTwyxTfLu08uthh0z3Hf94xZkTlma0&#10;pUnJ5JFhvhg5SKUxxJaCt26HZyuGHWbKk0KbbyLDpqLscVYWpsQkPV5/XjU0Ls4k+ZarVX1zXbSv&#10;nuEBY7oHb1n+6LjRLlMXrTg8xEQlKfQSQkZu59RA+UpHAznYuO+giA6VXBZ0WSTYGmQHQSsgpASX&#10;mkyI8pXoDFPamBlYvw48x2colCWbwc3r4BlRKnuXZrDVzuO/EqTp0rI6xV8UOPHOEjz6/lhGU6Sh&#10;bSkMz5ud1/FPu8Cf/7/NEwAAAP//AwBQSwMEFAAGAAgAAAAhAHoGgBDcAAAACQEAAA8AAABkcnMv&#10;ZG93bnJldi54bWxMj0tPxDAMhO9I/IfISNzYdCNR2tJ0hZCQOLKFA8e0MX3QPJRkt91/jznBzfaM&#10;xt/Uh80s7IwhTs5K2O8yYGh7pyc7SPh4f7krgMWkrFaLsyjhghEOzfVVrSrtVnvEc5sGRiE2VkrC&#10;mJKvOI/9iEbFnfNoSftywahEaxi4DmqlcLNwkWU5N2qy9GFUHp9H7L/bk5HwGbpZvF5WL9yct+Xs&#10;UbwdUcrbm+3pEVjCLf2Z4Ref0KEhps6drI5skZCXZJRwLx6oAenlvqBLR0NZFMCbmv9v0PwAAAD/&#10;/wMAUEsBAi0AFAAGAAgAAAAhALaDOJL+AAAA4QEAABMAAAAAAAAAAAAAAAAAAAAAAFtDb250ZW50&#10;X1R5cGVzXS54bWxQSwECLQAUAAYACAAAACEAOP0h/9YAAACUAQAACwAAAAAAAAAAAAAAAAAvAQAA&#10;X3JlbHMvLnJlbHNQSwECLQAUAAYACAAAACEAE/nB2b8BAADHAwAADgAAAAAAAAAAAAAAAAAuAgAA&#10;ZHJzL2Uyb0RvYy54bWxQSwECLQAUAAYACAAAACEAegaAENwAAAAJAQAADwAAAAAAAAAAAAAAAAAZ&#10;BAAAZHJzL2Rvd25yZXYueG1sUEsFBgAAAAAEAAQA8wAAACIFAAAAAA==&#10;" strokecolor="#4f81bd [3204]" strokeweight="2pt">
                <v:shadow on="t" color="black" opacity="24903f" origin=",.5" offset="0,.55556mm"/>
              </v:line>
            </w:pict>
          </mc:Fallback>
        </mc:AlternateContent>
      </w:r>
      <w:r w:rsidR="003C3F8F">
        <w:rPr>
          <w:noProof/>
          <w:lang w:eastAsia="es-MX"/>
        </w:rPr>
        <w:drawing>
          <wp:inline distT="0" distB="0" distL="0" distR="0">
            <wp:extent cx="5276850" cy="3248025"/>
            <wp:effectExtent l="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0"/>
                    <pic:cNvPicPr>
                      <a:picLocks noChangeAspect="1" noChangeArrowheads="1"/>
                    </pic:cNvPicPr>
                  </pic:nvPicPr>
                  <pic:blipFill>
                    <a:blip r:embed="rId20"/>
                    <a:stretch>
                      <a:fillRect/>
                    </a:stretch>
                  </pic:blipFill>
                  <pic:spPr bwMode="auto">
                    <a:xfrm>
                      <a:off x="0" y="0"/>
                      <a:ext cx="5276850" cy="3248025"/>
                    </a:xfrm>
                    <a:prstGeom prst="rect">
                      <a:avLst/>
                    </a:prstGeom>
                  </pic:spPr>
                </pic:pic>
              </a:graphicData>
            </a:graphic>
          </wp:inline>
        </w:drawing>
      </w:r>
      <w:r w:rsidR="003C3F8F">
        <w:rPr>
          <w:noProof/>
          <w:lang w:eastAsia="es-MX"/>
        </w:rPr>
        <mc:AlternateContent>
          <mc:Choice Requires="wps">
            <w:drawing>
              <wp:anchor distT="0" distB="0" distL="0" distR="0" simplePos="0" relativeHeight="53" behindDoc="0" locked="0" layoutInCell="1" allowOverlap="1" wp14:anchorId="72A5DCA0">
                <wp:simplePos x="0" y="0"/>
                <wp:positionH relativeFrom="column">
                  <wp:posOffset>2099945</wp:posOffset>
                </wp:positionH>
                <wp:positionV relativeFrom="paragraph">
                  <wp:posOffset>1697355</wp:posOffset>
                </wp:positionV>
                <wp:extent cx="3316605" cy="2540"/>
                <wp:effectExtent l="38100" t="76200" r="0" b="95250"/>
                <wp:wrapNone/>
                <wp:docPr id="20" name="Conector recto de flecha 21"/>
                <wp:cNvGraphicFramePr/>
                <a:graphic xmlns:a="http://schemas.openxmlformats.org/drawingml/2006/main">
                  <a:graphicData uri="http://schemas.microsoft.com/office/word/2010/wordprocessingShape">
                    <wps:wsp>
                      <wps:cNvSpPr/>
                      <wps:spPr>
                        <a:xfrm flipH="1">
                          <a:off x="0" y="0"/>
                          <a:ext cx="3315960" cy="1800"/>
                        </a:xfrm>
                        <a:custGeom>
                          <a:avLst/>
                          <a:gdLst/>
                          <a:ahLst/>
                          <a:cxnLst/>
                          <a:rect l="l" t="t" r="r" b="b"/>
                          <a:pathLst>
                            <a:path w="21600" h="21600">
                              <a:moveTo>
                                <a:pt x="0" y="0"/>
                              </a:moveTo>
                              <a:lnTo>
                                <a:pt x="21600" y="21600"/>
                              </a:lnTo>
                            </a:path>
                          </a:pathLst>
                        </a:custGeom>
                        <a:noFill/>
                        <a:ln>
                          <a:solidFill>
                            <a:srgbClr val="4A7EBB"/>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mc:Fallback>
        </mc:AlternateContent>
      </w:r>
      <w:r w:rsidR="003C3F8F">
        <w:rPr>
          <w:noProof/>
          <w:lang w:eastAsia="es-MX"/>
        </w:rPr>
        <mc:AlternateContent>
          <mc:Choice Requires="wps">
            <w:drawing>
              <wp:anchor distT="0" distB="0" distL="0" distR="0" simplePos="0" relativeHeight="73" behindDoc="0" locked="0" layoutInCell="1" allowOverlap="1" wp14:anchorId="47635F8A">
                <wp:simplePos x="0" y="0"/>
                <wp:positionH relativeFrom="margin">
                  <wp:align>left</wp:align>
                </wp:positionH>
                <wp:positionV relativeFrom="paragraph">
                  <wp:posOffset>1202055</wp:posOffset>
                </wp:positionV>
                <wp:extent cx="1954530" cy="163830"/>
                <wp:effectExtent l="0" t="0" r="28575" b="28575"/>
                <wp:wrapNone/>
                <wp:docPr id="21" name="Rectángulo 28"/>
                <wp:cNvGraphicFramePr/>
                <a:graphic xmlns:a="http://schemas.openxmlformats.org/drawingml/2006/main">
                  <a:graphicData uri="http://schemas.microsoft.com/office/word/2010/wordprocessingShape">
                    <wps:wsp>
                      <wps:cNvSpPr/>
                      <wps:spPr>
                        <a:xfrm>
                          <a:off x="0" y="0"/>
                          <a:ext cx="1953720" cy="163080"/>
                        </a:xfrm>
                        <a:prstGeom prst="rect">
                          <a:avLst/>
                        </a:prstGeom>
                        <a:noFill/>
                        <a:ln>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ángulo 28" stroked="t" style="position:absolute;margin-left:0pt;margin-top:94.65pt;width:153.8pt;height:12.8pt;mso-position-horizontal:left;mso-position-horizontal-relative:margin" wp14:anchorId="47635F8A">
                <w10:wrap type="none"/>
                <v:fill o:detectmouseclick="t" on="false"/>
                <v:stroke color="#f79646" weight="25560" joinstyle="round" endcap="flat"/>
              </v:rect>
            </w:pict>
          </mc:Fallback>
        </mc:AlternateContent>
      </w:r>
    </w:p>
    <w:p w:rsidR="00B36BB6" w:rsidRDefault="00FB7851">
      <w:pPr>
        <w:shd w:val="clear" w:color="auto" w:fill="FFFFFF"/>
        <w:spacing w:line="360" w:lineRule="auto"/>
        <w:jc w:val="both"/>
        <w:rPr>
          <w:rFonts w:ascii="Palatino Linotype" w:hAnsi="Palatino Linotype" w:cs="Arial"/>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24764</wp:posOffset>
                </wp:positionH>
                <wp:positionV relativeFrom="paragraph">
                  <wp:posOffset>3494405</wp:posOffset>
                </wp:positionV>
                <wp:extent cx="5819775" cy="2876550"/>
                <wp:effectExtent l="38100" t="19050" r="66675" b="95250"/>
                <wp:wrapNone/>
                <wp:docPr id="44" name="Conector recto 44"/>
                <wp:cNvGraphicFramePr/>
                <a:graphic xmlns:a="http://schemas.openxmlformats.org/drawingml/2006/main">
                  <a:graphicData uri="http://schemas.microsoft.com/office/word/2010/wordprocessingShape">
                    <wps:wsp>
                      <wps:cNvCnPr/>
                      <wps:spPr>
                        <a:xfrm>
                          <a:off x="0" y="0"/>
                          <a:ext cx="5819775" cy="2876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07B1AE6" id="Conector recto 4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95pt,275.15pt" to="460.2pt,5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oNvwEAAMcDAAAOAAAAZHJzL2Uyb0RvYy54bWysU02P0zAQvSPxHyzfaZJquy1R0z10BRcE&#10;FSw/wOuMG0v+0tg06b9n7LZZBEgrIS52xp73Zt7zZPswWcNOgFF71/FmUXMGTvpeu2PHvz99eLfh&#10;LCbhemG8g46fIfKH3ds32zG0sPSDNz0gIxIX2zF0fEgptFUV5QBWxIUP4OhSebQiUYjHqkcxErs1&#10;1bKu76vRYx/QS4iRTh8vl3xX+JUCmb4oFSEx03HqLZUVy/qc12q3Fe0RRRi0vLYh/qELK7SjojPV&#10;o0iC/UD9B5XVEn30Ki2kt5VXSksoGkhNU/+m5tsgAhQtZE4Ms03x/9HKz6cDMt13/O6OMycsvdGe&#10;XkomjwzzxuiCXBpDbCl57w54jWI4YJY8KbR5JzFsKs6eZ2dhSkzS4WrTvF+vV5xJultu1verVfG+&#10;eoEHjOkjeMvyR8eNdlm6aMXpU0xUklJvKRTkdi4NlK90NpCTjfsKiuRQyWVBl0GCvUF2EjQCQkpw&#10;qcmCiK9kZ5jSxszA+nXgNT9DoQzZDG5eB8+IUtm7NIOtdh7/RpCmW8vqkn9z4KI7W/Ds+3N5mmIN&#10;TUtReJ3sPI6/xgX+8v/tfgIAAP//AwBQSwMEFAAGAAgAAAAhANbEfPrdAAAACgEAAA8AAABkcnMv&#10;ZG93bnJldi54bWxMj8tOwzAQRfdI/IM1SOyojUMrEuJUCAmJJU1ZsHTiIQ/isRW7Tfr3mBUsR/fo&#10;3jPlfrUTO+McBkcK7jcCGFLrzECdgo/j690jsBA1GT05QgUXDLCvrq9KXRi30AHPdexYKqFQaAV9&#10;jL7gPLQ9Wh02ziOl7MvNVsd0zh03s15SuZ24FGLHrR4oLfTa40uP7Xd9sgo+52aUb5fFSzfu6nz0&#10;KN8PqNTtzfr8BCziGv9g+NVP6lAlp8adyAQ2KcjyBCrYbkUGLOW5FA/AmgQKkWXAq5L/f6H6AQAA&#10;//8DAFBLAQItABQABgAIAAAAIQC2gziS/gAAAOEBAAATAAAAAAAAAAAAAAAAAAAAAABbQ29udGVu&#10;dF9UeXBlc10ueG1sUEsBAi0AFAAGAAgAAAAhADj9If/WAAAAlAEAAAsAAAAAAAAAAAAAAAAALwEA&#10;AF9yZWxzLy5yZWxzUEsBAi0AFAAGAAgAAAAhAOQtug2/AQAAxwMAAA4AAAAAAAAAAAAAAAAALgIA&#10;AGRycy9lMm9Eb2MueG1sUEsBAi0AFAAGAAgAAAAhANbEfPrdAAAACgEAAA8AAAAAAAAAAAAAAAAA&#10;GQQAAGRycy9kb3ducmV2LnhtbFBLBQYAAAAABAAEAPMAAAAjBQAAAAA=&#10;" strokecolor="#4f81bd [3204]" strokeweight="2pt">
                <v:shadow on="t" color="black" opacity="24903f" origin=",.5" offset="0,.55556mm"/>
              </v:line>
            </w:pict>
          </mc:Fallback>
        </mc:AlternateContent>
      </w:r>
      <w:r w:rsidR="003C3F8F">
        <w:rPr>
          <w:noProof/>
          <w:lang w:eastAsia="es-MX"/>
        </w:rPr>
        <w:drawing>
          <wp:inline distT="0" distB="0" distL="0" distR="0">
            <wp:extent cx="5267325" cy="3371850"/>
            <wp:effectExtent l="0" t="0" r="0" b="0"/>
            <wp:docPr id="2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2"/>
                    <pic:cNvPicPr>
                      <a:picLocks noChangeAspect="1" noChangeArrowheads="1"/>
                    </pic:cNvPicPr>
                  </pic:nvPicPr>
                  <pic:blipFill>
                    <a:blip r:embed="rId21"/>
                    <a:stretch>
                      <a:fillRect/>
                    </a:stretch>
                  </pic:blipFill>
                  <pic:spPr bwMode="auto">
                    <a:xfrm>
                      <a:off x="0" y="0"/>
                      <a:ext cx="5267325" cy="3371850"/>
                    </a:xfrm>
                    <a:prstGeom prst="rect">
                      <a:avLst/>
                    </a:prstGeom>
                  </pic:spPr>
                </pic:pic>
              </a:graphicData>
            </a:graphic>
          </wp:inline>
        </w:drawing>
      </w:r>
      <w:r w:rsidR="003C3F8F">
        <w:rPr>
          <w:noProof/>
          <w:lang w:eastAsia="es-MX"/>
        </w:rPr>
        <mc:AlternateContent>
          <mc:Choice Requires="wps">
            <w:drawing>
              <wp:anchor distT="0" distB="0" distL="0" distR="0" simplePos="0" relativeHeight="66" behindDoc="0" locked="0" layoutInCell="1" allowOverlap="1" wp14:anchorId="7C4EE2F3">
                <wp:simplePos x="0" y="0"/>
                <wp:positionH relativeFrom="column">
                  <wp:posOffset>2166620</wp:posOffset>
                </wp:positionH>
                <wp:positionV relativeFrom="paragraph">
                  <wp:posOffset>1700530</wp:posOffset>
                </wp:positionV>
                <wp:extent cx="3316605" cy="2540"/>
                <wp:effectExtent l="38100" t="76200" r="0" b="95250"/>
                <wp:wrapNone/>
                <wp:docPr id="23" name="Conector recto de flecha 23"/>
                <wp:cNvGraphicFramePr/>
                <a:graphic xmlns:a="http://schemas.openxmlformats.org/drawingml/2006/main">
                  <a:graphicData uri="http://schemas.microsoft.com/office/word/2010/wordprocessingShape">
                    <wps:wsp>
                      <wps:cNvSpPr/>
                      <wps:spPr>
                        <a:xfrm flipH="1">
                          <a:off x="0" y="0"/>
                          <a:ext cx="3315960" cy="1800"/>
                        </a:xfrm>
                        <a:custGeom>
                          <a:avLst/>
                          <a:gdLst/>
                          <a:ahLst/>
                          <a:cxnLst/>
                          <a:rect l="l" t="t" r="r" b="b"/>
                          <a:pathLst>
                            <a:path w="21600" h="21600">
                              <a:moveTo>
                                <a:pt x="0" y="0"/>
                              </a:moveTo>
                              <a:lnTo>
                                <a:pt x="21600" y="21600"/>
                              </a:lnTo>
                            </a:path>
                          </a:pathLst>
                        </a:custGeom>
                        <a:noFill/>
                        <a:ln>
                          <a:solidFill>
                            <a:srgbClr val="4A7EBB"/>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mc:Fallback>
        </mc:AlternateContent>
      </w:r>
      <w:r w:rsidR="003C3F8F">
        <w:rPr>
          <w:noProof/>
          <w:lang w:eastAsia="es-MX"/>
        </w:rPr>
        <mc:AlternateContent>
          <mc:Choice Requires="wps">
            <w:drawing>
              <wp:anchor distT="0" distB="0" distL="0" distR="0" simplePos="0" relativeHeight="71" behindDoc="0" locked="0" layoutInCell="1" allowOverlap="1" wp14:anchorId="00324E09">
                <wp:simplePos x="0" y="0"/>
                <wp:positionH relativeFrom="column">
                  <wp:posOffset>53340</wp:posOffset>
                </wp:positionH>
                <wp:positionV relativeFrom="paragraph">
                  <wp:posOffset>1183005</wp:posOffset>
                </wp:positionV>
                <wp:extent cx="1954530" cy="163830"/>
                <wp:effectExtent l="0" t="0" r="28575" b="28575"/>
                <wp:wrapNone/>
                <wp:docPr id="24" name="Rectángulo 26"/>
                <wp:cNvGraphicFramePr/>
                <a:graphic xmlns:a="http://schemas.openxmlformats.org/drawingml/2006/main">
                  <a:graphicData uri="http://schemas.microsoft.com/office/word/2010/wordprocessingShape">
                    <wps:wsp>
                      <wps:cNvSpPr/>
                      <wps:spPr>
                        <a:xfrm>
                          <a:off x="0" y="0"/>
                          <a:ext cx="1953720" cy="163080"/>
                        </a:xfrm>
                        <a:prstGeom prst="rect">
                          <a:avLst/>
                        </a:prstGeom>
                        <a:noFill/>
                        <a:ln>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ángulo 26" stroked="t" style="position:absolute;margin-left:4.2pt;margin-top:93.15pt;width:153.8pt;height:12.8pt" wp14:anchorId="00324E09">
                <w10:wrap type="none"/>
                <v:fill o:detectmouseclick="t" on="false"/>
                <v:stroke color="#f79646" weight="25560" joinstyle="round" endcap="flat"/>
              </v:rect>
            </w:pict>
          </mc:Fallback>
        </mc:AlternateContent>
      </w:r>
    </w:p>
    <w:p w:rsidR="00B36BB6" w:rsidRDefault="003C3F8F">
      <w:pPr>
        <w:shd w:val="clear" w:color="auto" w:fill="FFFFFF"/>
        <w:spacing w:line="360" w:lineRule="auto"/>
        <w:jc w:val="both"/>
        <w:rPr>
          <w:rFonts w:ascii="Palatino Linotype" w:hAnsi="Palatino Linotype" w:cs="Arial"/>
        </w:rPr>
      </w:pPr>
      <w:r>
        <w:rPr>
          <w:noProof/>
          <w:lang w:eastAsia="es-MX"/>
        </w:rPr>
        <w:drawing>
          <wp:inline distT="0" distB="0" distL="0" distR="0">
            <wp:extent cx="5543550" cy="3362325"/>
            <wp:effectExtent l="0" t="0" r="0" b="0"/>
            <wp:docPr id="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4"/>
                    <pic:cNvPicPr>
                      <a:picLocks noChangeAspect="1" noChangeArrowheads="1"/>
                    </pic:cNvPicPr>
                  </pic:nvPicPr>
                  <pic:blipFill>
                    <a:blip r:embed="rId22"/>
                    <a:stretch>
                      <a:fillRect/>
                    </a:stretch>
                  </pic:blipFill>
                  <pic:spPr bwMode="auto">
                    <a:xfrm>
                      <a:off x="0" y="0"/>
                      <a:ext cx="5543550" cy="3362325"/>
                    </a:xfrm>
                    <a:prstGeom prst="rect">
                      <a:avLst/>
                    </a:prstGeom>
                  </pic:spPr>
                </pic:pic>
              </a:graphicData>
            </a:graphic>
          </wp:inline>
        </w:drawing>
      </w:r>
      <w:r>
        <w:rPr>
          <w:noProof/>
          <w:lang w:eastAsia="es-MX"/>
        </w:rPr>
        <mc:AlternateContent>
          <mc:Choice Requires="wps">
            <w:drawing>
              <wp:anchor distT="0" distB="0" distL="0" distR="0" simplePos="0" relativeHeight="69" behindDoc="0" locked="0" layoutInCell="1" allowOverlap="1" wp14:anchorId="26F2FBF1">
                <wp:simplePos x="0" y="0"/>
                <wp:positionH relativeFrom="margin">
                  <wp:align>right</wp:align>
                </wp:positionH>
                <wp:positionV relativeFrom="paragraph">
                  <wp:posOffset>1703705</wp:posOffset>
                </wp:positionV>
                <wp:extent cx="3316605" cy="2540"/>
                <wp:effectExtent l="38100" t="76200" r="0" b="95250"/>
                <wp:wrapNone/>
                <wp:docPr id="26" name="Conector recto de flecha 25"/>
                <wp:cNvGraphicFramePr/>
                <a:graphic xmlns:a="http://schemas.openxmlformats.org/drawingml/2006/main">
                  <a:graphicData uri="http://schemas.microsoft.com/office/word/2010/wordprocessingShape">
                    <wps:wsp>
                      <wps:cNvSpPr/>
                      <wps:spPr>
                        <a:xfrm flipH="1">
                          <a:off x="0" y="0"/>
                          <a:ext cx="3315960" cy="1800"/>
                        </a:xfrm>
                        <a:custGeom>
                          <a:avLst/>
                          <a:gdLst/>
                          <a:ahLst/>
                          <a:cxnLst/>
                          <a:rect l="l" t="t" r="r" b="b"/>
                          <a:pathLst>
                            <a:path w="21600" h="21600">
                              <a:moveTo>
                                <a:pt x="0" y="0"/>
                              </a:moveTo>
                              <a:lnTo>
                                <a:pt x="21600" y="21600"/>
                              </a:lnTo>
                            </a:path>
                          </a:pathLst>
                        </a:custGeom>
                        <a:noFill/>
                        <a:ln>
                          <a:solidFill>
                            <a:srgbClr val="4A7EBB"/>
                          </a:solidFill>
                          <a:round/>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mc:Fallback>
        </mc:AlternateContent>
      </w:r>
      <w:r>
        <w:rPr>
          <w:noProof/>
          <w:lang w:eastAsia="es-MX"/>
        </w:rPr>
        <mc:AlternateContent>
          <mc:Choice Requires="wps">
            <w:drawing>
              <wp:anchor distT="0" distB="0" distL="0" distR="0" simplePos="0" relativeHeight="72" behindDoc="0" locked="0" layoutInCell="1" allowOverlap="1" wp14:anchorId="1FE72482">
                <wp:simplePos x="0" y="0"/>
                <wp:positionH relativeFrom="column">
                  <wp:posOffset>114300</wp:posOffset>
                </wp:positionH>
                <wp:positionV relativeFrom="paragraph">
                  <wp:posOffset>1228090</wp:posOffset>
                </wp:positionV>
                <wp:extent cx="1954530" cy="163830"/>
                <wp:effectExtent l="0" t="0" r="28575" b="28575"/>
                <wp:wrapNone/>
                <wp:docPr id="27" name="Rectángulo 27"/>
                <wp:cNvGraphicFramePr/>
                <a:graphic xmlns:a="http://schemas.openxmlformats.org/drawingml/2006/main">
                  <a:graphicData uri="http://schemas.microsoft.com/office/word/2010/wordprocessingShape">
                    <wps:wsp>
                      <wps:cNvSpPr/>
                      <wps:spPr>
                        <a:xfrm>
                          <a:off x="0" y="0"/>
                          <a:ext cx="1953720" cy="163080"/>
                        </a:xfrm>
                        <a:prstGeom prst="rect">
                          <a:avLst/>
                        </a:prstGeom>
                        <a:noFill/>
                        <a:ln>
                          <a:round/>
                        </a:ln>
                      </wps:spPr>
                      <wps:style>
                        <a:lnRef idx="2">
                          <a:schemeClr val="accent6"/>
                        </a:lnRef>
                        <a:fillRef idx="1">
                          <a:schemeClr val="lt1"/>
                        </a:fillRef>
                        <a:effectRef idx="0">
                          <a:schemeClr val="accent6"/>
                        </a:effectRef>
                        <a:fontRef idx="minor"/>
                      </wps:style>
                      <wps:bodyPr/>
                    </wps:wsp>
                  </a:graphicData>
                </a:graphic>
              </wp:anchor>
            </w:drawing>
          </mc:Choice>
          <mc:Fallback>
            <w:pict>
              <v:rect id="shape_0" ID="Rectángulo 27" stroked="t" style="position:absolute;margin-left:9pt;margin-top:96.7pt;width:153.8pt;height:12.8pt" wp14:anchorId="1FE72482">
                <w10:wrap type="none"/>
                <v:fill o:detectmouseclick="t" on="false"/>
                <v:stroke color="#f79646" weight="25560" joinstyle="round" endcap="flat"/>
              </v:rect>
            </w:pict>
          </mc:Fallback>
        </mc:AlternateContent>
      </w:r>
    </w:p>
    <w:p w:rsidR="00B36BB6" w:rsidRDefault="003C3F8F">
      <w:pPr>
        <w:spacing w:before="200" w:after="200" w:line="360" w:lineRule="auto"/>
        <w:jc w:val="both"/>
        <w:rPr>
          <w:rFonts w:ascii="Palatino Linotype" w:hAnsi="Palatino Linotype" w:cs="Arial"/>
          <w:color w:val="000000"/>
        </w:rPr>
      </w:pPr>
      <w:r>
        <w:rPr>
          <w:rFonts w:ascii="Palatino Linotype" w:hAnsi="Palatino Linotype" w:cs="Arial"/>
          <w:color w:val="000000"/>
        </w:rPr>
        <w:t xml:space="preserve">Es así que, de la evidencia proporcionada se desprende que efectivamente se signaron convenios en materia laboral dentro del periodo referido aunado a que del ejercicio del presupuesto de egresos de enero a septiembre (a manera de ejemplo) se puede visualizar que </w:t>
      </w:r>
      <w:r>
        <w:rPr>
          <w:rFonts w:ascii="Palatino Linotype" w:hAnsi="Palatino Linotype" w:cs="Arial"/>
          <w:b/>
          <w:color w:val="000000"/>
        </w:rPr>
        <w:t>EL SUJETO OBLIGADO</w:t>
      </w:r>
      <w:r>
        <w:rPr>
          <w:rFonts w:ascii="Palatino Linotype" w:hAnsi="Palatino Linotype" w:cs="Arial"/>
          <w:color w:val="000000"/>
        </w:rPr>
        <w:t xml:space="preserve"> erogó recurso público por tales conceptos; ante ello, deberá de transparentar el ejercicio de recursos públicos dando a conocer la información  peticionada.</w:t>
      </w:r>
    </w:p>
    <w:p w:rsidR="00B36BB6" w:rsidRDefault="003C3F8F">
      <w:pPr>
        <w:spacing w:before="200" w:after="200" w:line="360" w:lineRule="auto"/>
        <w:jc w:val="both"/>
        <w:rPr>
          <w:rFonts w:ascii="Palatino Linotype" w:hAnsi="Palatino Linotype" w:cs="Arial"/>
          <w:color w:val="000000"/>
        </w:rPr>
      </w:pPr>
      <w:r>
        <w:rPr>
          <w:rFonts w:ascii="Palatino Linotype" w:hAnsi="Palatino Linotype" w:cs="Arial"/>
          <w:color w:val="000000"/>
        </w:rPr>
        <w:t xml:space="preserve">Ahora bien, es momento de analizar la documentación que se debe de proporcionar por </w:t>
      </w:r>
      <w:r>
        <w:rPr>
          <w:rFonts w:ascii="Palatino Linotype" w:hAnsi="Palatino Linotype" w:cs="Arial"/>
          <w:b/>
          <w:color w:val="000000"/>
        </w:rPr>
        <w:t>EL SUJETO OBLIGADO</w:t>
      </w:r>
      <w:r>
        <w:rPr>
          <w:rFonts w:ascii="Palatino Linotype" w:hAnsi="Palatino Linotype" w:cs="Arial"/>
          <w:color w:val="000000"/>
        </w:rPr>
        <w:t xml:space="preserve"> a fin de satisfacer el derecho humano de acceso a la información accionado por el particular, ahora </w:t>
      </w:r>
      <w:r>
        <w:rPr>
          <w:rFonts w:ascii="Palatino Linotype" w:hAnsi="Palatino Linotype" w:cs="Arial"/>
          <w:b/>
          <w:color w:val="000000"/>
        </w:rPr>
        <w:t>RECURRENTE</w:t>
      </w:r>
      <w:r>
        <w:rPr>
          <w:rFonts w:ascii="Palatino Linotype" w:hAnsi="Palatino Linotype" w:cs="Arial"/>
          <w:color w:val="000000"/>
        </w:rPr>
        <w:t xml:space="preserve">; ante ello, es menester referirnos a los Lineamientos para la entrega del informe mensual Municipal 2019, </w:t>
      </w:r>
      <w:r w:rsidR="00FB7851">
        <w:rPr>
          <w:rFonts w:ascii="Palatino Linotype" w:hAnsi="Palatino Linotype" w:cs="Arial"/>
          <w:noProof/>
          <w:color w:val="000000"/>
          <w:lang w:eastAsia="es-MX"/>
        </w:rPr>
        <mc:AlternateContent>
          <mc:Choice Requires="wps">
            <w:drawing>
              <wp:anchor distT="0" distB="0" distL="114300" distR="114300" simplePos="0" relativeHeight="251666432" behindDoc="0" locked="0" layoutInCell="1" allowOverlap="1">
                <wp:simplePos x="0" y="0"/>
                <wp:positionH relativeFrom="column">
                  <wp:posOffset>34289</wp:posOffset>
                </wp:positionH>
                <wp:positionV relativeFrom="paragraph">
                  <wp:posOffset>694055</wp:posOffset>
                </wp:positionV>
                <wp:extent cx="5781675" cy="5543550"/>
                <wp:effectExtent l="38100" t="19050" r="66675" b="95250"/>
                <wp:wrapNone/>
                <wp:docPr id="45" name="Conector recto 45"/>
                <wp:cNvGraphicFramePr/>
                <a:graphic xmlns:a="http://schemas.openxmlformats.org/drawingml/2006/main">
                  <a:graphicData uri="http://schemas.microsoft.com/office/word/2010/wordprocessingShape">
                    <wps:wsp>
                      <wps:cNvCnPr/>
                      <wps:spPr>
                        <a:xfrm>
                          <a:off x="0" y="0"/>
                          <a:ext cx="5781675" cy="55435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17FE5AB" id="Conector recto 4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pt,54.65pt" to="457.95pt,4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k9vwEAAMcDAAAOAAAAZHJzL2Uyb0RvYy54bWysU02P0zAQvSPxHyzfaZKy2V1FTffQFVwQ&#10;VLD8AK8zbiz5S2PTpP+esdtmESCthLjYGXvem3nPk83DbA07AkbtXc+bVc0ZOOkH7Q49//704d09&#10;ZzEJNwjjHfT8BJE/bN++2Uyhg7UfvRkAGZG42E2h52NKoauqKEewIq58AEeXyqMViUI8VAOKidit&#10;qdZ1fVtNHoeAXkKMdPp4vuTbwq8UyPRFqQiJmZ5Tb6msWNbnvFbbjegOKMKo5aUN8Q9dWKEdFV2o&#10;HkUS7AfqP6isluijV2klva28UlpC0UBqmvo3Nd9GEaBoIXNiWGyK/49Wfj7ukemh5zctZ05YeqMd&#10;vZRMHhnmjdEFuTSF2FHyzu3xEsWwxyx5VmjzTmLYXJw9Lc7CnJikw/buvrm9owqS7tr25n3bFu+r&#10;F3jAmD6Ctyx/9Nxol6WLThw/xUQlKfWaQkFu59xA+UonAznZuK+gSA6VXBd0GSTYGWRHQSMgpASX&#10;miyI+Ep2hiltzAKsXwde8jMUypAt4OZ18IIolb1LC9hq5/FvBGm+tqzO+VcHzrqzBc9+OJWnKdbQ&#10;tBSFl8nO4/hrXOAv/9/2JwAAAP//AwBQSwMEFAAGAAgAAAAhAEHCU6fdAAAACQEAAA8AAABkcnMv&#10;ZG93bnJldi54bWxMj0tPwzAQhO9I/AdrkbhRpy6tmhCnQkhIHGnKgaMTL3kQP2S7TfrvWU5w290Z&#10;zX5THhYzsQuGODgrYb3KgKFtnR5sJ+Hj9PqwBxaTslpNzqKEK0Y4VLc3pSq0m+0RL3XqGIXYWCgJ&#10;fUq+4Dy2PRoVV86jJe3LBaMSraHjOqiZws3ERZbtuFGDpQ+98vjSY/tdn42Ez9CM4u06e+HGXZ2P&#10;HsX7EaW8v1uen4AlXNKfGX7xCR0qYmrc2erIJgnbRzLSOcs3wEjP19scWEPDXmyAVyX/36D6AQAA&#10;//8DAFBLAQItABQABgAIAAAAIQC2gziS/gAAAOEBAAATAAAAAAAAAAAAAAAAAAAAAABbQ29udGVu&#10;dF9UeXBlc10ueG1sUEsBAi0AFAAGAAgAAAAhADj9If/WAAAAlAEAAAsAAAAAAAAAAAAAAAAALwEA&#10;AF9yZWxzLy5yZWxzUEsBAi0AFAAGAAgAAAAhAPnxyT2/AQAAxwMAAA4AAAAAAAAAAAAAAAAALgIA&#10;AGRycy9lMm9Eb2MueG1sUEsBAi0AFAAGAAgAAAAhAEHCU6fdAAAACQEAAA8AAAAAAAAAAAAAAAAA&#10;GQQAAGRycy9kb3ducmV2LnhtbFBLBQYAAAAABAAEAPMAAAAjBQAAAAA=&#10;" strokecolor="#4f81bd [3204]" strokeweight="2pt">
                <v:shadow on="t" color="black" opacity="24903f" origin=",.5" offset="0,.55556mm"/>
              </v:line>
            </w:pict>
          </mc:Fallback>
        </mc:AlternateContent>
      </w:r>
      <w:r>
        <w:rPr>
          <w:rFonts w:ascii="Palatino Linotype" w:hAnsi="Palatino Linotype" w:cs="Arial"/>
          <w:color w:val="000000"/>
        </w:rPr>
        <w:t>dispone lo siguiente:</w:t>
      </w:r>
    </w:p>
    <w:p w:rsidR="00B36BB6" w:rsidRDefault="003C3F8F">
      <w:pPr>
        <w:spacing w:before="200" w:after="200" w:line="360" w:lineRule="auto"/>
        <w:jc w:val="both"/>
        <w:rPr>
          <w:rFonts w:ascii="Palatino Linotype" w:hAnsi="Palatino Linotype" w:cs="Arial"/>
          <w:color w:val="000000"/>
        </w:rPr>
      </w:pPr>
      <w:r>
        <w:rPr>
          <w:noProof/>
          <w:lang w:eastAsia="es-MX"/>
        </w:rPr>
        <w:drawing>
          <wp:inline distT="0" distB="0" distL="0" distR="0">
            <wp:extent cx="5572125" cy="7162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a:picLocks noChangeAspect="1" noChangeArrowheads="1"/>
                    </pic:cNvPicPr>
                  </pic:nvPicPr>
                  <pic:blipFill>
                    <a:blip r:embed="rId23"/>
                    <a:srcRect l="30892" t="8150" r="31611" b="6422"/>
                    <a:stretch>
                      <a:fillRect/>
                    </a:stretch>
                  </pic:blipFill>
                  <pic:spPr bwMode="auto">
                    <a:xfrm>
                      <a:off x="0" y="0"/>
                      <a:ext cx="5572125" cy="7162800"/>
                    </a:xfrm>
                    <a:prstGeom prst="rect">
                      <a:avLst/>
                    </a:prstGeom>
                  </pic:spPr>
                </pic:pic>
              </a:graphicData>
            </a:graphic>
          </wp:inline>
        </w:drawing>
      </w:r>
    </w:p>
    <w:p w:rsidR="00B36BB6" w:rsidRDefault="003C3F8F">
      <w:pPr>
        <w:spacing w:before="200" w:after="200" w:line="360" w:lineRule="auto"/>
        <w:jc w:val="both"/>
        <w:rPr>
          <w:rFonts w:ascii="Palatino Linotype" w:hAnsi="Palatino Linotype" w:cs="Arial"/>
          <w:color w:val="000000"/>
        </w:rPr>
      </w:pPr>
      <w:r>
        <w:rPr>
          <w:noProof/>
          <w:lang w:eastAsia="es-MX"/>
        </w:rPr>
        <w:drawing>
          <wp:inline distT="0" distB="0" distL="0" distR="0">
            <wp:extent cx="5686425" cy="71151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a:picLocks noChangeAspect="1" noChangeArrowheads="1"/>
                    </pic:cNvPicPr>
                  </pic:nvPicPr>
                  <pic:blipFill>
                    <a:blip r:embed="rId24"/>
                    <a:srcRect l="22232" t="11171" r="24813" b="21521"/>
                    <a:stretch>
                      <a:fillRect/>
                    </a:stretch>
                  </pic:blipFill>
                  <pic:spPr bwMode="auto">
                    <a:xfrm>
                      <a:off x="0" y="0"/>
                      <a:ext cx="5686425" cy="7115175"/>
                    </a:xfrm>
                    <a:prstGeom prst="rect">
                      <a:avLst/>
                    </a:prstGeom>
                  </pic:spPr>
                </pic:pic>
              </a:graphicData>
            </a:graphic>
          </wp:inline>
        </w:drawing>
      </w:r>
    </w:p>
    <w:p w:rsidR="00B36BB6" w:rsidRDefault="00FB7851">
      <w:pPr>
        <w:spacing w:before="200" w:after="200" w:line="360" w:lineRule="auto"/>
        <w:jc w:val="both"/>
        <w:rPr>
          <w:rFonts w:ascii="Palatino Linotype" w:hAnsi="Palatino Linotype" w:cs="Arial"/>
          <w:color w:val="000000"/>
        </w:rPr>
      </w:pPr>
      <w:r>
        <w:rPr>
          <w:noProof/>
          <w:lang w:eastAsia="es-MX"/>
        </w:rPr>
        <mc:AlternateContent>
          <mc:Choice Requires="wps">
            <w:drawing>
              <wp:anchor distT="0" distB="0" distL="114300" distR="114300" simplePos="0" relativeHeight="251667456" behindDoc="0" locked="0" layoutInCell="1" allowOverlap="1">
                <wp:simplePos x="0" y="0"/>
                <wp:positionH relativeFrom="column">
                  <wp:posOffset>81915</wp:posOffset>
                </wp:positionH>
                <wp:positionV relativeFrom="paragraph">
                  <wp:posOffset>2465705</wp:posOffset>
                </wp:positionV>
                <wp:extent cx="5715000" cy="3657600"/>
                <wp:effectExtent l="38100" t="19050" r="76200" b="95250"/>
                <wp:wrapNone/>
                <wp:docPr id="46" name="Conector recto 46"/>
                <wp:cNvGraphicFramePr/>
                <a:graphic xmlns:a="http://schemas.openxmlformats.org/drawingml/2006/main">
                  <a:graphicData uri="http://schemas.microsoft.com/office/word/2010/wordprocessingShape">
                    <wps:wsp>
                      <wps:cNvCnPr/>
                      <wps:spPr>
                        <a:xfrm>
                          <a:off x="0" y="0"/>
                          <a:ext cx="5715000" cy="3657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1DC5F54" id="Conector recto 4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6.45pt,194.15pt" to="456.45pt,4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gRvAEAAMcDAAAOAAAAZHJzL2Uyb0RvYy54bWysU02P0zAQvSPxHyzfaZJCuyhquoeu4IKg&#10;guUHeJ1xY8lfGpsm/feMnTaLAGklxMXOeObNzHsz2d1P1rAzYNTedbxZ1ZyBk77X7tTx748f3rzn&#10;LCbhemG8g45fIPL7/etXuzG0sPaDNz0goyQutmPo+JBSaKsqygGsiCsfwJFTebQikYmnqkcxUnZr&#10;qnVdb6vRYx/QS4iRXh9mJ9+X/EqBTF+UipCY6Tj1lsqJ5XzKZ7XfifaEIgxaXtsQ/9CFFdpR0SXV&#10;g0iC/UD9RyqrJfroVVpJbyuvlJZQOBCbpv6NzbdBBChcSJwYFpni/0srP5+PyHTf8XdbzpywNKMD&#10;TUomjwzzxchBKo0hthR8cEe8WjEcMVOeFNp8Exk2FWUvi7IwJSbpcXPXbOqaBiDJ93a7uduSQXmq&#10;Z3jAmD6Ctyx/dNxol6mLVpw/xTSH3kIIl9uZGyhf6WIgBxv3FRTRoZLrgi6LBAeD7CxoBYSU4FJz&#10;LV2iM0xpYxZg/TLwGp+hUJZsATcvgxdEqexdWsBWO49/S5CmW8tqjr8pMPPOEjz5/lJGU6ShbSni&#10;Xjc7r+OvdoE//3/7nwAAAP//AwBQSwMEFAAGAAgAAAAhAOKXswDcAAAACgEAAA8AAABkcnMvZG93&#10;bnJldi54bWxMj0tPxDAMhO9I/IfISNzYlBZVbWm6QkhIHNmyB45pY/qgeSjJbrv/HsMFbh57NP6m&#10;3m96YWf0YbJGwP0uAYamt2oyg4Dj+8tdASxEaZRcrEEBFwywb66valkpu5oDnts4MAoxoZICxhhd&#10;xXnoR9Qy7KxDQ7dP67WMJP3AlZcrheuFp0mScy0nQx9G6fB5xP6rPWkBH76b09fL6lI75205O0zf&#10;DijE7c329Ags4hb/zPCDT+jQEFNnT0YFtpBOS3IKyIoiA0aG8nfT0ZA/ZMCbmv+v0HwDAAD//wMA&#10;UEsBAi0AFAAGAAgAAAAhALaDOJL+AAAA4QEAABMAAAAAAAAAAAAAAAAAAAAAAFtDb250ZW50X1R5&#10;cGVzXS54bWxQSwECLQAUAAYACAAAACEAOP0h/9YAAACUAQAACwAAAAAAAAAAAAAAAAAvAQAAX3Jl&#10;bHMvLnJlbHNQSwECLQAUAAYACAAAACEA56OoEbwBAADHAwAADgAAAAAAAAAAAAAAAAAuAgAAZHJz&#10;L2Uyb0RvYy54bWxQSwECLQAUAAYACAAAACEA4pezANwAAAAKAQAADwAAAAAAAAAAAAAAAAAWBAAA&#10;ZHJzL2Rvd25yZXYueG1sUEsFBgAAAAAEAAQA8wAAAB8FAAAAAA==&#10;" strokecolor="#4f81bd [3204]" strokeweight="2pt">
                <v:shadow on="t" color="black" opacity="24903f" origin=",.5" offset="0,.55556mm"/>
              </v:line>
            </w:pict>
          </mc:Fallback>
        </mc:AlternateContent>
      </w:r>
      <w:r w:rsidR="003C3F8F">
        <w:rPr>
          <w:noProof/>
          <w:lang w:eastAsia="es-MX"/>
        </w:rPr>
        <w:drawing>
          <wp:inline distT="0" distB="0" distL="0" distR="0">
            <wp:extent cx="5705475" cy="2286000"/>
            <wp:effectExtent l="0" t="0" r="0" b="0"/>
            <wp:docPr id="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1"/>
                    <pic:cNvPicPr>
                      <a:picLocks noChangeAspect="1" noChangeArrowheads="1"/>
                    </pic:cNvPicPr>
                  </pic:nvPicPr>
                  <pic:blipFill>
                    <a:blip r:embed="rId25"/>
                    <a:stretch>
                      <a:fillRect/>
                    </a:stretch>
                  </pic:blipFill>
                  <pic:spPr bwMode="auto">
                    <a:xfrm>
                      <a:off x="0" y="0"/>
                      <a:ext cx="5705475" cy="2286000"/>
                    </a:xfrm>
                    <a:prstGeom prst="rect">
                      <a:avLst/>
                    </a:prstGeom>
                  </pic:spPr>
                </pic:pic>
              </a:graphicData>
            </a:graphic>
          </wp:inline>
        </w:drawing>
      </w:r>
      <w:r w:rsidR="003C3F8F">
        <w:rPr>
          <w:noProof/>
          <w:lang w:eastAsia="es-MX"/>
        </w:rPr>
        <mc:AlternateContent>
          <mc:Choice Requires="wps">
            <w:drawing>
              <wp:anchor distT="0" distB="0" distL="0" distR="0" simplePos="0" relativeHeight="74" behindDoc="0" locked="0" layoutInCell="1" allowOverlap="1" wp14:anchorId="2C0050E4">
                <wp:simplePos x="0" y="0"/>
                <wp:positionH relativeFrom="column">
                  <wp:posOffset>139065</wp:posOffset>
                </wp:positionH>
                <wp:positionV relativeFrom="paragraph">
                  <wp:posOffset>1421130</wp:posOffset>
                </wp:positionV>
                <wp:extent cx="5421630" cy="392430"/>
                <wp:effectExtent l="19050" t="19050" r="28575" b="28575"/>
                <wp:wrapNone/>
                <wp:docPr id="31" name="Rectángulo 34"/>
                <wp:cNvGraphicFramePr/>
                <a:graphic xmlns:a="http://schemas.openxmlformats.org/drawingml/2006/main">
                  <a:graphicData uri="http://schemas.microsoft.com/office/word/2010/wordprocessingShape">
                    <wps:wsp>
                      <wps:cNvSpPr/>
                      <wps:spPr>
                        <a:xfrm>
                          <a:off x="0" y="0"/>
                          <a:ext cx="5420880" cy="391680"/>
                        </a:xfrm>
                        <a:prstGeom prst="rect">
                          <a:avLst/>
                        </a:prstGeom>
                        <a:noFill/>
                        <a:ln w="38160">
                          <a:solidFill>
                            <a:srgbClr val="FF0000"/>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34" stroked="t" style="position:absolute;margin-left:10.95pt;margin-top:111.9pt;width:426.8pt;height:30.8pt" wp14:anchorId="2C0050E4">
                <w10:wrap type="none"/>
                <v:fill o:detectmouseclick="t" on="false"/>
                <v:stroke color="red" weight="38160" joinstyle="round" endcap="flat"/>
              </v:rect>
            </w:pict>
          </mc:Fallback>
        </mc:AlternateContent>
      </w:r>
    </w:p>
    <w:p w:rsidR="00B36BB6" w:rsidRDefault="003C3F8F">
      <w:pPr>
        <w:spacing w:before="200" w:after="200" w:line="360" w:lineRule="auto"/>
        <w:jc w:val="both"/>
        <w:rPr>
          <w:rFonts w:ascii="Palatino Linotype" w:hAnsi="Palatino Linotype" w:cs="Arial"/>
          <w:color w:val="000000"/>
        </w:rPr>
      </w:pPr>
      <w:r>
        <w:rPr>
          <w:noProof/>
          <w:lang w:eastAsia="es-MX"/>
        </w:rPr>
        <w:drawing>
          <wp:inline distT="0" distB="0" distL="0" distR="0">
            <wp:extent cx="5476875" cy="47625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noChangeArrowheads="1"/>
                    </pic:cNvPicPr>
                  </pic:nvPicPr>
                  <pic:blipFill>
                    <a:blip r:embed="rId26"/>
                    <a:srcRect l="28681" t="9355" r="28883" b="28770"/>
                    <a:stretch>
                      <a:fillRect/>
                    </a:stretch>
                  </pic:blipFill>
                  <pic:spPr bwMode="auto">
                    <a:xfrm>
                      <a:off x="0" y="0"/>
                      <a:ext cx="5476875" cy="4762500"/>
                    </a:xfrm>
                    <a:prstGeom prst="rect">
                      <a:avLst/>
                    </a:prstGeom>
                  </pic:spPr>
                </pic:pic>
              </a:graphicData>
            </a:graphic>
          </wp:inline>
        </w:drawing>
      </w:r>
    </w:p>
    <w:p w:rsidR="00B36BB6" w:rsidRDefault="003C3F8F">
      <w:pPr>
        <w:spacing w:before="200" w:after="200" w:line="360" w:lineRule="auto"/>
        <w:jc w:val="both"/>
        <w:rPr>
          <w:rFonts w:ascii="Palatino Linotype" w:hAnsi="Palatino Linotype" w:cs="Arial"/>
          <w:color w:val="000000"/>
        </w:rPr>
      </w:pPr>
      <w:r>
        <w:rPr>
          <w:rFonts w:ascii="Palatino Linotype" w:hAnsi="Palatino Linotype" w:cs="Arial"/>
          <w:color w:val="000000"/>
        </w:rPr>
        <w:t xml:space="preserve">Es de expuesto, que de acuerdo a los Lineamientos insertos con anterioridad que </w:t>
      </w:r>
      <w:r>
        <w:rPr>
          <w:rFonts w:ascii="Palatino Linotype" w:hAnsi="Palatino Linotype" w:cs="Arial"/>
          <w:b/>
          <w:color w:val="000000"/>
        </w:rPr>
        <w:t>EL SUJETO OBLIGADO</w:t>
      </w:r>
      <w:r>
        <w:rPr>
          <w:rFonts w:ascii="Palatino Linotype" w:hAnsi="Palatino Linotype" w:cs="Arial"/>
          <w:color w:val="000000"/>
        </w:rPr>
        <w:t xml:space="preserve"> debe asentar registros contables y que de entre dicha información son las pólizas de egresos, los cuales deben de ser informadas de manera mensual al Órganos Superior de Fiscalización del Estado de México, y del que se observó son los registros de las pólizas de cheques con su documento comprobatorio; por lo que, de acuerdo a ello, la Autoridad genera, posee y administra la información requerida por el particular.</w:t>
      </w:r>
    </w:p>
    <w:p w:rsidR="00B36BB6" w:rsidRDefault="003C3F8F">
      <w:pPr>
        <w:spacing w:before="200" w:after="200" w:line="360" w:lineRule="auto"/>
        <w:jc w:val="both"/>
        <w:rPr>
          <w:rFonts w:ascii="Palatino Linotype" w:hAnsi="Palatino Linotype" w:cs="Arial"/>
        </w:rPr>
      </w:pPr>
      <w:r>
        <w:rPr>
          <w:rFonts w:ascii="Palatino Linotype" w:hAnsi="Palatino Linotype" w:cs="Arial"/>
          <w:color w:val="000000"/>
        </w:rPr>
        <w:t xml:space="preserve">Por tanto, se determina ordenar la entrega de los documentos donde conste la información solicitada por la particular, en </w:t>
      </w:r>
      <w:r>
        <w:rPr>
          <w:rFonts w:ascii="Palatino Linotype" w:hAnsi="Palatino Linotype" w:cs="Arial"/>
          <w:b/>
          <w:color w:val="000000"/>
        </w:rPr>
        <w:t>versión pública</w:t>
      </w:r>
      <w:r>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B36BB6" w:rsidRDefault="003C3F8F">
      <w:pPr>
        <w:spacing w:beforeAutospacing="1" w:afterAutospacing="1" w:line="360" w:lineRule="auto"/>
        <w:jc w:val="both"/>
        <w:rPr>
          <w:rFonts w:ascii="Palatino Linotype" w:eastAsia="Arial Unicode MS" w:hAnsi="Palatino Linotype" w:cs="Arial"/>
        </w:rPr>
      </w:pPr>
      <w:r>
        <w:rPr>
          <w:rFonts w:ascii="Palatino Linotype" w:hAnsi="Palatino Linotype"/>
          <w:color w:val="000000"/>
        </w:rPr>
        <w:t xml:space="preserve">Ahora </w:t>
      </w:r>
      <w:r>
        <w:rPr>
          <w:rFonts w:ascii="Palatino Linotype" w:hAnsi="Palatino Linotype" w:cs="Arial"/>
          <w:lang w:eastAsia="es-MX"/>
        </w:rPr>
        <w:t>bien</w:t>
      </w:r>
      <w:r>
        <w:rPr>
          <w:rFonts w:ascii="Palatino Linotype" w:hAnsi="Palatino Linotype"/>
          <w:color w:val="000000"/>
        </w:rPr>
        <w:t xml:space="preserve">, en relación a la </w:t>
      </w:r>
      <w:r>
        <w:rPr>
          <w:rFonts w:ascii="Palatino Linotype" w:hAnsi="Palatino Linotype"/>
          <w:b/>
          <w:color w:val="000000"/>
        </w:rPr>
        <w:t xml:space="preserve">versión pública </w:t>
      </w:r>
      <w:r>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Pr>
          <w:rFonts w:ascii="Palatino Linotype" w:eastAsia="Arial Unicode MS" w:hAnsi="Palatino Linotype" w:cs="Arial"/>
        </w:rPr>
        <w:t>omitirse, eliminarse o suprimirse la</w:t>
      </w:r>
      <w:r>
        <w:rPr>
          <w:rFonts w:ascii="Palatino Linotype" w:hAnsi="Palatino Linotype"/>
          <w:color w:val="000000"/>
        </w:rPr>
        <w:t xml:space="preserve"> información </w:t>
      </w:r>
      <w:r>
        <w:rPr>
          <w:rFonts w:ascii="Palatino Linotype" w:hAnsi="Palatino Linotype"/>
          <w:b/>
          <w:color w:val="000000"/>
        </w:rPr>
        <w:t>confidencial</w:t>
      </w:r>
      <w:r>
        <w:rPr>
          <w:rFonts w:ascii="Palatino Linotype" w:eastAsia="Arial Unicode MS" w:hAnsi="Palatino Linotype" w:cs="Arial"/>
        </w:rPr>
        <w:t xml:space="preserve">. </w:t>
      </w:r>
    </w:p>
    <w:p w:rsidR="00B36BB6" w:rsidRDefault="003C3F8F">
      <w:pPr>
        <w:spacing w:beforeAutospacing="1" w:afterAutospacing="1" w:line="360" w:lineRule="auto"/>
        <w:jc w:val="both"/>
        <w:rPr>
          <w:rFonts w:ascii="Palatino Linotype" w:hAnsi="Palatino Linotype" w:cs="Arial"/>
        </w:rPr>
      </w:pPr>
      <w:r>
        <w:rPr>
          <w:rFonts w:ascii="Palatino Linotype" w:eastAsia="Arial Unicode MS" w:hAnsi="Palatino Linotype" w:cs="Arial"/>
        </w:rPr>
        <w:t xml:space="preserve">En ese sentido, </w:t>
      </w:r>
      <w:r>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Pr>
          <w:rFonts w:ascii="Palatino Linotype" w:hAnsi="Palatino Linotype" w:cs="Arial"/>
        </w:rPr>
        <w:t xml:space="preserve"> que el Comité de Transparencia del </w:t>
      </w:r>
      <w:r>
        <w:rPr>
          <w:rFonts w:ascii="Palatino Linotype" w:hAnsi="Palatino Linotype" w:cs="Arial"/>
          <w:b/>
        </w:rPr>
        <w:t>SUJETO OBLIGADO</w:t>
      </w:r>
      <w:r>
        <w:rPr>
          <w:rFonts w:ascii="Palatino Linotype" w:hAnsi="Palatino Linotype" w:cs="Arial"/>
        </w:rPr>
        <w:t xml:space="preserve"> emita el Acuerdo de Clasificación correspondiente</w:t>
      </w:r>
      <w:r>
        <w:rPr>
          <w:rFonts w:ascii="Palatino Linotype" w:hAnsi="Palatino Linotype" w:cs="Arial"/>
          <w:lang w:val="es-ES_tradnl"/>
        </w:rPr>
        <w:t xml:space="preserve"> debidamente fundado y motivado, en el cual se</w:t>
      </w:r>
      <w:r>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B36BB6" w:rsidRDefault="003C3F8F">
      <w:pPr>
        <w:spacing w:beforeAutospacing="1" w:afterAutospacing="1" w:line="360" w:lineRule="auto"/>
        <w:jc w:val="both"/>
        <w:rPr>
          <w:rFonts w:ascii="Palatino Linotype" w:eastAsia="Arial Unicode MS" w:hAnsi="Palatino Linotype" w:cs="Arial"/>
        </w:rPr>
      </w:pPr>
      <w:r>
        <w:rPr>
          <w:rFonts w:ascii="Palatino Linotype" w:hAnsi="Palatino Linotype" w:cs="Arial"/>
          <w:lang w:eastAsia="es-MX"/>
        </w:rPr>
        <w:t xml:space="preserve">Así, respecto de </w:t>
      </w:r>
      <w:r>
        <w:rPr>
          <w:rFonts w:ascii="Palatino Linotype" w:eastAsia="Arial Unicode MS" w:hAnsi="Palatino Linotype" w:cs="Arial"/>
        </w:rPr>
        <w:t xml:space="preserve">los </w:t>
      </w:r>
      <w:r>
        <w:rPr>
          <w:rFonts w:ascii="Palatino Linotype" w:hAnsi="Palatino Linotype" w:cs="Arial"/>
        </w:rPr>
        <w:t>documentos</w:t>
      </w:r>
      <w:r>
        <w:rPr>
          <w:rFonts w:ascii="Palatino Linotype" w:eastAsia="Arial Unicode MS" w:hAnsi="Palatino Linotype" w:cs="Arial"/>
        </w:rPr>
        <w:t xml:space="preserve"> que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ha de entregar en </w:t>
      </w:r>
      <w:r>
        <w:rPr>
          <w:rFonts w:ascii="Palatino Linotype" w:eastAsia="Arial Unicode MS" w:hAnsi="Palatino Linotype" w:cs="Arial"/>
          <w:b/>
        </w:rPr>
        <w:t>versión pública</w:t>
      </w:r>
      <w:r>
        <w:rPr>
          <w:rFonts w:ascii="Palatino Linotype" w:eastAsia="Arial Unicode MS" w:hAnsi="Palatino Linotype" w:cs="Arial"/>
        </w:rPr>
        <w:t>, se deberá omitir, eliminar o suprimir la información personal, como Registro Federal de Contribuyentes (RFC), Clave Única de Registro de Población (CURP), o cuenta bancaria del particular.</w:t>
      </w:r>
    </w:p>
    <w:p w:rsidR="00B36BB6" w:rsidRDefault="003C3F8F">
      <w:pPr>
        <w:spacing w:beforeAutospacing="1" w:afterAutospacing="1" w:line="360" w:lineRule="auto"/>
        <w:jc w:val="both"/>
        <w:rPr>
          <w:rFonts w:ascii="Palatino Linotype" w:hAnsi="Palatino Linotype" w:cs="Arial"/>
        </w:rPr>
      </w:pPr>
      <w:r>
        <w:rPr>
          <w:rFonts w:ascii="Palatino Linotype" w:hAnsi="Palatino Linotype"/>
        </w:rPr>
        <w:t xml:space="preserve">En el caso específico de la información solicitada, pueden obrar datos que son considerados </w:t>
      </w:r>
      <w:r>
        <w:rPr>
          <w:rFonts w:ascii="Palatino Linotype" w:hAnsi="Palatino Linotype" w:cs="Arial"/>
        </w:rPr>
        <w:t>confidenciales</w:t>
      </w:r>
      <w:r>
        <w:rPr>
          <w:rFonts w:ascii="Palatino Linotype" w:hAnsi="Palatino Linotype"/>
        </w:rPr>
        <w:t xml:space="preserve">, cuyo acceso </w:t>
      </w:r>
      <w:r>
        <w:rPr>
          <w:rFonts w:ascii="Palatino Linotype" w:hAnsi="Palatino Linotype" w:cs="Arial"/>
        </w:rPr>
        <w:t>debe</w:t>
      </w:r>
      <w:r>
        <w:rPr>
          <w:rFonts w:ascii="Palatino Linotype" w:hAnsi="Palatino Linotype"/>
        </w:rPr>
        <w:t xml:space="preserve"> ser restringido, los cuales </w:t>
      </w:r>
      <w:r>
        <w:rPr>
          <w:rFonts w:ascii="Palatino Linotype" w:hAnsi="Palatino Linotype" w:cs="Arial"/>
        </w:rPr>
        <w:t>deben testarse al momento de la elaboración de versiones públicas, como es el caso del RFC, CURP, la Clave interbancaria o cuenta del particular.</w:t>
      </w:r>
    </w:p>
    <w:p w:rsidR="00B36BB6" w:rsidRDefault="003C3F8F">
      <w:pPr>
        <w:spacing w:beforeAutospacing="1" w:afterAutospacing="1" w:line="360" w:lineRule="auto"/>
        <w:jc w:val="both"/>
        <w:rPr>
          <w:rFonts w:ascii="Palatino Linotype" w:hAnsi="Palatino Linotype"/>
        </w:rPr>
      </w:pPr>
      <w:r>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Pr>
          <w:rFonts w:ascii="Palatino Linotype" w:hAnsi="Palatino Linotype" w:cs="Arial"/>
        </w:rPr>
        <w:t>del</w:t>
      </w:r>
      <w:r>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Pr>
          <w:rFonts w:ascii="Palatino Linotype" w:hAnsi="Palatino Linotype"/>
        </w:rPr>
        <w:t xml:space="preserve"> y finalmente la homoclave; la cual, para su obtención es necesario acreditar personalidad, fecha de nacimiento entre otros con documentos oficiales.</w:t>
      </w:r>
    </w:p>
    <w:p w:rsidR="00B36BB6" w:rsidRDefault="003C3F8F">
      <w:pPr>
        <w:spacing w:beforeAutospacing="1" w:afterAutospacing="1" w:line="360" w:lineRule="auto"/>
        <w:jc w:val="both"/>
        <w:rPr>
          <w:rFonts w:ascii="Palatino Linotype" w:hAnsi="Palatino Linotype"/>
          <w:b/>
          <w:bCs/>
          <w:color w:val="000000"/>
        </w:rPr>
      </w:pPr>
      <w:r>
        <w:rPr>
          <w:rFonts w:ascii="Palatino Linotype" w:hAnsi="Palatino Linotype" w:cs="Arial"/>
          <w:lang w:eastAsia="es-MX"/>
        </w:rPr>
        <w:t xml:space="preserve">Al respecto, </w:t>
      </w:r>
      <w:r>
        <w:rPr>
          <w:rFonts w:ascii="Palatino Linotype" w:hAnsi="Palatino Linotype" w:cs="Arial"/>
          <w:color w:val="000000"/>
        </w:rPr>
        <w:t xml:space="preserve">es aplicable el Criterio 19/17 de la Segunda Época, emitido por </w:t>
      </w:r>
      <w:r>
        <w:rPr>
          <w:rFonts w:ascii="Palatino Linotype" w:eastAsia="Arial Unicode MS" w:hAnsi="Palatino Linotype" w:cs="Arial"/>
          <w:color w:val="000000"/>
        </w:rPr>
        <w:t xml:space="preserve">el Instituto Nacional de </w:t>
      </w:r>
      <w:r>
        <w:rPr>
          <w:rFonts w:ascii="Palatino Linotype" w:hAnsi="Palatino Linotype"/>
          <w:bCs/>
        </w:rPr>
        <w:t>Transparencia</w:t>
      </w:r>
      <w:r>
        <w:rPr>
          <w:rFonts w:ascii="Palatino Linotype" w:eastAsia="Arial Unicode MS" w:hAnsi="Palatino Linotype" w:cs="Arial"/>
          <w:color w:val="000000"/>
        </w:rPr>
        <w:t xml:space="preserve">, Acceso a la </w:t>
      </w:r>
      <w:r>
        <w:rPr>
          <w:rFonts w:ascii="Palatino Linotype" w:hAnsi="Palatino Linotype" w:cs="Arial"/>
        </w:rPr>
        <w:t>Información</w:t>
      </w:r>
      <w:r>
        <w:rPr>
          <w:rFonts w:ascii="Palatino Linotype" w:eastAsia="Arial Unicode MS" w:hAnsi="Palatino Linotype" w:cs="Arial"/>
          <w:color w:val="000000"/>
        </w:rPr>
        <w:t xml:space="preserve"> y Protección de Datos Personales,</w:t>
      </w:r>
      <w:r>
        <w:rPr>
          <w:rFonts w:ascii="Palatino Linotype" w:hAnsi="Palatino Linotype"/>
          <w:bCs/>
          <w:color w:val="000000"/>
        </w:rPr>
        <w:t xml:space="preserve"> que dice:</w:t>
      </w:r>
      <w:r>
        <w:rPr>
          <w:rFonts w:ascii="Palatino Linotype" w:hAnsi="Palatino Linotype"/>
          <w:b/>
          <w:bCs/>
          <w:color w:val="000000"/>
        </w:rPr>
        <w:t xml:space="preserve"> </w:t>
      </w:r>
    </w:p>
    <w:p w:rsidR="00B36BB6" w:rsidRDefault="003C3F8F">
      <w:pPr>
        <w:tabs>
          <w:tab w:val="left" w:pos="7655"/>
        </w:tabs>
        <w:spacing w:line="276" w:lineRule="auto"/>
        <w:ind w:left="851" w:right="902"/>
        <w:jc w:val="both"/>
        <w:rPr>
          <w:rFonts w:ascii="Palatino Linotype" w:hAnsi="Palatino Linotype" w:cs="Arial"/>
          <w:bCs/>
          <w:i/>
        </w:rPr>
      </w:pPr>
      <w:r>
        <w:rPr>
          <w:rFonts w:ascii="Palatino Linotype" w:hAnsi="Palatino Linotype" w:cs="Arial"/>
          <w:bCs/>
          <w:i/>
        </w:rPr>
        <w:t>“</w:t>
      </w:r>
      <w:r>
        <w:rPr>
          <w:rFonts w:ascii="Palatino Linotype" w:hAnsi="Palatino Linotype" w:cs="Arial"/>
          <w:b/>
          <w:bCs/>
          <w:i/>
        </w:rPr>
        <w:t>Registro Federal de Contribuyentes (RFC) de personas físicas. El RFC es una clave</w:t>
      </w:r>
      <w:r>
        <w:rPr>
          <w:rFonts w:ascii="Palatino Linotype" w:hAnsi="Palatino Linotype" w:cs="Arial"/>
          <w:bCs/>
          <w:i/>
        </w:rPr>
        <w:t xml:space="preserve"> de carácter fiscal, única e irrepetible, </w:t>
      </w:r>
      <w:r>
        <w:rPr>
          <w:rFonts w:ascii="Palatino Linotype" w:hAnsi="Palatino Linotype" w:cs="Arial"/>
          <w:b/>
          <w:bCs/>
          <w:i/>
        </w:rPr>
        <w:t>que permite identificar al titular, su edad y fecha de nacimiento</w:t>
      </w:r>
      <w:r>
        <w:rPr>
          <w:rFonts w:ascii="Palatino Linotype" w:hAnsi="Palatino Linotype" w:cs="Arial"/>
          <w:bCs/>
          <w:i/>
        </w:rPr>
        <w:t xml:space="preserve">, </w:t>
      </w:r>
      <w:r>
        <w:rPr>
          <w:rFonts w:ascii="Palatino Linotype" w:hAnsi="Palatino Linotype" w:cs="Arial"/>
          <w:i/>
          <w:lang w:eastAsia="es-MX"/>
        </w:rPr>
        <w:t>por</w:t>
      </w:r>
      <w:r>
        <w:rPr>
          <w:rFonts w:ascii="Palatino Linotype" w:hAnsi="Palatino Linotype" w:cs="Arial"/>
          <w:bCs/>
          <w:i/>
        </w:rPr>
        <w:t xml:space="preserve"> lo que </w:t>
      </w:r>
      <w:r>
        <w:rPr>
          <w:rFonts w:ascii="Palatino Linotype" w:hAnsi="Palatino Linotype" w:cs="Arial"/>
          <w:b/>
          <w:bCs/>
          <w:i/>
        </w:rPr>
        <w:t>es un dato personal de carácter confidencial</w:t>
      </w:r>
      <w:r>
        <w:rPr>
          <w:rFonts w:ascii="Palatino Linotype" w:hAnsi="Palatino Linotype" w:cs="Arial"/>
          <w:i/>
        </w:rPr>
        <w:t>.</w:t>
      </w:r>
    </w:p>
    <w:p w:rsidR="00B36BB6" w:rsidRDefault="003C3F8F">
      <w:pPr>
        <w:tabs>
          <w:tab w:val="left" w:pos="7655"/>
        </w:tabs>
        <w:spacing w:line="276" w:lineRule="auto"/>
        <w:ind w:left="851" w:right="902"/>
        <w:jc w:val="both"/>
        <w:rPr>
          <w:rFonts w:ascii="Palatino Linotype" w:hAnsi="Palatino Linotype" w:cs="Arial"/>
          <w:bCs/>
          <w:i/>
        </w:rPr>
      </w:pPr>
      <w:r>
        <w:rPr>
          <w:rFonts w:ascii="Palatino Linotype" w:hAnsi="Palatino Linotype" w:cs="Arial"/>
          <w:bCs/>
          <w:i/>
        </w:rPr>
        <w:t>Resoluciones:</w:t>
      </w:r>
    </w:p>
    <w:p w:rsidR="00B36BB6" w:rsidRDefault="003C3F8F">
      <w:pPr>
        <w:tabs>
          <w:tab w:val="left" w:pos="7655"/>
        </w:tabs>
        <w:spacing w:line="276" w:lineRule="auto"/>
        <w:ind w:left="851" w:right="902"/>
        <w:jc w:val="both"/>
        <w:rPr>
          <w:rFonts w:ascii="Palatino Linotype" w:hAnsi="Palatino Linotype" w:cs="Arial"/>
          <w:bCs/>
          <w:i/>
        </w:rPr>
      </w:pPr>
      <w:r>
        <w:rPr>
          <w:rFonts w:ascii="Palatino Linotype" w:hAnsi="Palatino Linotype" w:cs="Arial"/>
          <w:bCs/>
          <w:i/>
        </w:rPr>
        <w:t>• RRA 0189/</w:t>
      </w:r>
      <w:r>
        <w:rPr>
          <w:rFonts w:ascii="Palatino Linotype" w:hAnsi="Palatino Linotype" w:cs="Arial"/>
          <w:i/>
          <w:lang w:eastAsia="es-MX"/>
        </w:rPr>
        <w:t>17</w:t>
      </w:r>
      <w:r>
        <w:rPr>
          <w:rFonts w:ascii="Palatino Linotype" w:hAnsi="Palatino Linotype" w:cs="Arial"/>
          <w:bCs/>
          <w:i/>
        </w:rPr>
        <w:t>. Morena. 08 de febrero de 2017. Por unanimidad. Comisionado Ponente Joel Salas Suárez.</w:t>
      </w:r>
    </w:p>
    <w:p w:rsidR="00B36BB6" w:rsidRDefault="003C3F8F">
      <w:pPr>
        <w:tabs>
          <w:tab w:val="left" w:pos="7655"/>
        </w:tabs>
        <w:spacing w:line="276" w:lineRule="auto"/>
        <w:ind w:left="851" w:right="902"/>
        <w:jc w:val="both"/>
        <w:rPr>
          <w:rFonts w:ascii="Palatino Linotype" w:hAnsi="Palatino Linotype" w:cs="Arial"/>
          <w:bCs/>
          <w:i/>
        </w:rPr>
      </w:pPr>
      <w:r>
        <w:rPr>
          <w:rFonts w:ascii="Palatino Linotype" w:hAnsi="Palatino Linotype" w:cs="Arial"/>
          <w:bCs/>
          <w:i/>
        </w:rPr>
        <w:t xml:space="preserve">• RRA 0677/17. Universidad Nacional Autónoma de México. 08 de marzo de 2017. Por unanimidad. Comisionado Ponente Rosendoevgueni Monterrey Chepov. </w:t>
      </w:r>
    </w:p>
    <w:p w:rsidR="00B36BB6" w:rsidRDefault="003C3F8F">
      <w:pPr>
        <w:tabs>
          <w:tab w:val="left" w:pos="7655"/>
        </w:tabs>
        <w:spacing w:line="276" w:lineRule="auto"/>
        <w:ind w:left="851" w:right="902"/>
        <w:jc w:val="both"/>
        <w:rPr>
          <w:rFonts w:ascii="Palatino Linotype" w:hAnsi="Palatino Linotype" w:cs="Arial"/>
          <w:i/>
        </w:rPr>
      </w:pPr>
      <w:r>
        <w:rPr>
          <w:rFonts w:ascii="Palatino Linotype" w:hAnsi="Palatino Linotype" w:cs="Arial"/>
          <w:bCs/>
          <w:i/>
        </w:rPr>
        <w:t xml:space="preserve">• RRA 1564/17. Tribunal Electoral del Poder Judicial de la Federación. 26 de abril de 2017. Por </w:t>
      </w:r>
      <w:r>
        <w:rPr>
          <w:rFonts w:ascii="Palatino Linotype" w:hAnsi="Palatino Linotype" w:cs="Arial"/>
          <w:i/>
          <w:lang w:eastAsia="es-MX"/>
        </w:rPr>
        <w:t>unanimidad</w:t>
      </w:r>
      <w:r>
        <w:rPr>
          <w:rFonts w:ascii="Palatino Linotype" w:hAnsi="Palatino Linotype" w:cs="Arial"/>
          <w:bCs/>
          <w:i/>
        </w:rPr>
        <w:t>. Comisionado Ponente Oscar Mauricio Guerra Ford.</w:t>
      </w:r>
      <w:r>
        <w:rPr>
          <w:rFonts w:ascii="Palatino Linotype" w:hAnsi="Palatino Linotype" w:cs="Arial"/>
          <w:i/>
        </w:rPr>
        <w:t>” (Sic)</w:t>
      </w:r>
    </w:p>
    <w:p w:rsidR="00B36BB6" w:rsidRDefault="003C3F8F">
      <w:pPr>
        <w:tabs>
          <w:tab w:val="left" w:pos="7655"/>
        </w:tabs>
        <w:ind w:left="851" w:right="899"/>
        <w:jc w:val="both"/>
        <w:rPr>
          <w:rFonts w:ascii="Palatino Linotype" w:hAnsi="Palatino Linotype" w:cs="Arial"/>
        </w:rPr>
      </w:pPr>
      <w:r>
        <w:rPr>
          <w:rFonts w:ascii="Palatino Linotype" w:hAnsi="Palatino Linotype" w:cs="Arial"/>
        </w:rPr>
        <w:t>(Énfasis añadido)</w:t>
      </w:r>
    </w:p>
    <w:p w:rsidR="00B36BB6" w:rsidRDefault="003C3F8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el RFC se vincula al nombre de su </w:t>
      </w:r>
      <w:r>
        <w:rPr>
          <w:rFonts w:ascii="Palatino Linotype" w:hAnsi="Palatino Linotype"/>
          <w:bCs/>
        </w:rPr>
        <w:t>titular</w:t>
      </w:r>
      <w:r>
        <w:rPr>
          <w:rFonts w:ascii="Palatino Linotype" w:hAnsi="Palatino Linotype" w:cs="Arial"/>
          <w:lang w:eastAsia="es-MX"/>
        </w:rPr>
        <w:t xml:space="preserve">, permitiendo identificar la edad de la persona y fecha de nacimiento, determinando </w:t>
      </w:r>
      <w:r>
        <w:rPr>
          <w:rFonts w:ascii="Palatino Linotype" w:hAnsi="Palatino Linotype" w:cs="Arial"/>
        </w:rPr>
        <w:t>la</w:t>
      </w:r>
      <w:r>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Pr>
          <w:rFonts w:ascii="Palatino Linotype" w:hAnsi="Palatino Linotype"/>
          <w:lang w:eastAsia="es-MX"/>
        </w:rPr>
        <w:t>Municipios</w:t>
      </w:r>
      <w:r>
        <w:rPr>
          <w:rFonts w:ascii="Palatino Linotype" w:hAnsi="Palatino Linotype" w:cs="Arial"/>
          <w:lang w:eastAsia="es-MX"/>
        </w:rPr>
        <w:t xml:space="preserve">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p>
    <w:p w:rsidR="00B36BB6" w:rsidRDefault="003C3F8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Por cuanto hace a la </w:t>
      </w:r>
      <w:r>
        <w:rPr>
          <w:rFonts w:ascii="Palatino Linotype" w:hAnsi="Palatino Linotype" w:cs="Arial"/>
        </w:rPr>
        <w:t>CURP</w:t>
      </w:r>
      <w:r>
        <w:rPr>
          <w:rFonts w:ascii="Palatino Linotype" w:hAnsi="Palatino Linotype" w:cs="Arial"/>
          <w:b/>
        </w:rPr>
        <w:t xml:space="preserve">, </w:t>
      </w:r>
      <w:r>
        <w:rPr>
          <w:rFonts w:ascii="Palatino Linotype" w:hAnsi="Palatino Linotype" w:cs="Arial"/>
          <w:lang w:eastAsia="es-MX"/>
        </w:rPr>
        <w:t xml:space="preserve">constituye un dato personal, ya que </w:t>
      </w:r>
      <w:r>
        <w:rPr>
          <w:rFonts w:ascii="Palatino Linotype" w:hAnsi="Palatino Linotype"/>
          <w:lang w:eastAsia="es-MX"/>
        </w:rPr>
        <w:t>tiene</w:t>
      </w:r>
      <w:r>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B36BB6" w:rsidRDefault="003C3F8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Lo </w:t>
      </w:r>
      <w:r>
        <w:rPr>
          <w:rFonts w:ascii="Palatino Linotype" w:hAnsi="Palatino Linotype"/>
          <w:lang w:eastAsia="es-MX"/>
        </w:rPr>
        <w:t>anterior</w:t>
      </w:r>
      <w:r>
        <w:rPr>
          <w:rFonts w:ascii="Palatino Linotype" w:hAnsi="Palatino Linotype" w:cs="Arial"/>
          <w:lang w:eastAsia="es-MX"/>
        </w:rPr>
        <w:t xml:space="preserve">, </w:t>
      </w:r>
      <w:r>
        <w:rPr>
          <w:rFonts w:ascii="Palatino Linotype" w:hAnsi="Palatino Linotype" w:cs="Arial"/>
        </w:rPr>
        <w:t>tiene</w:t>
      </w:r>
      <w:r>
        <w:rPr>
          <w:rFonts w:ascii="Palatino Linotype" w:hAnsi="Palatino Linotype" w:cs="Arial"/>
          <w:lang w:eastAsia="es-MX"/>
        </w:rPr>
        <w:t xml:space="preserve"> sustento en los artículos 86 y 91 de la Ley General de Población, la cual señala lo siguiente:</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Bold"/>
          <w:bCs/>
          <w:i/>
          <w:lang w:eastAsia="es-MX"/>
        </w:rPr>
        <w:t>“</w:t>
      </w:r>
      <w:r>
        <w:rPr>
          <w:rFonts w:ascii="Palatino Linotype" w:hAnsi="Palatino Linotype" w:cs="Arial,Bold"/>
          <w:b/>
          <w:bCs/>
          <w:i/>
          <w:lang w:eastAsia="es-MX"/>
        </w:rPr>
        <w:t xml:space="preserve">Artículo 86. </w:t>
      </w:r>
      <w:r>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Bold"/>
          <w:b/>
          <w:bCs/>
          <w:i/>
          <w:lang w:eastAsia="es-MX"/>
        </w:rPr>
        <w:t xml:space="preserve">Artículo 91. </w:t>
      </w:r>
      <w:r>
        <w:rPr>
          <w:rFonts w:ascii="Palatino Linotype" w:hAnsi="Palatino Linotype" w:cs="Arial"/>
          <w:b/>
          <w:i/>
          <w:lang w:eastAsia="es-MX"/>
        </w:rPr>
        <w:t>Al incorporar a una persona en el Registro Nacional de Población</w:t>
      </w:r>
      <w:r>
        <w:rPr>
          <w:rFonts w:ascii="Palatino Linotype" w:hAnsi="Palatino Linotype" w:cs="Arial"/>
          <w:i/>
          <w:lang w:eastAsia="es-MX"/>
        </w:rPr>
        <w:t xml:space="preserve">, se le asignará una clave </w:t>
      </w:r>
      <w:r>
        <w:rPr>
          <w:rFonts w:ascii="Palatino Linotype" w:hAnsi="Palatino Linotype" w:cs="Arial"/>
          <w:b/>
          <w:i/>
          <w:lang w:eastAsia="es-MX"/>
        </w:rPr>
        <w:t>que se denominará Clave Única de Registro de Población</w:t>
      </w:r>
      <w:r>
        <w:rPr>
          <w:rFonts w:ascii="Palatino Linotype" w:hAnsi="Palatino Linotype" w:cs="Arial"/>
          <w:i/>
          <w:lang w:eastAsia="es-MX"/>
        </w:rPr>
        <w:t xml:space="preserve">. </w:t>
      </w:r>
      <w:r>
        <w:rPr>
          <w:rFonts w:ascii="Palatino Linotype" w:hAnsi="Palatino Linotype" w:cs="Arial"/>
          <w:b/>
          <w:i/>
          <w:lang w:eastAsia="es-MX"/>
        </w:rPr>
        <w:t>Esta servirá para</w:t>
      </w:r>
      <w:r>
        <w:rPr>
          <w:rFonts w:ascii="Palatino Linotype" w:hAnsi="Palatino Linotype" w:cs="Arial"/>
          <w:i/>
          <w:lang w:eastAsia="es-MX"/>
        </w:rPr>
        <w:t xml:space="preserve"> registrarla e </w:t>
      </w:r>
      <w:r>
        <w:rPr>
          <w:rFonts w:ascii="Palatino Linotype" w:hAnsi="Palatino Linotype" w:cs="Arial"/>
          <w:b/>
          <w:i/>
          <w:lang w:eastAsia="es-MX"/>
        </w:rPr>
        <w:t>identificarla en forma individual</w:t>
      </w:r>
      <w:r>
        <w:rPr>
          <w:rFonts w:ascii="Palatino Linotype" w:hAnsi="Palatino Linotype" w:cs="Arial"/>
          <w:i/>
          <w:lang w:eastAsia="es-MX"/>
        </w:rPr>
        <w:t xml:space="preserve">.” </w:t>
      </w:r>
    </w:p>
    <w:p w:rsidR="00B36BB6" w:rsidRDefault="003C3F8F">
      <w:pPr>
        <w:spacing w:line="276" w:lineRule="auto"/>
        <w:ind w:left="851" w:right="902"/>
        <w:jc w:val="both"/>
        <w:rPr>
          <w:rFonts w:ascii="Palatino Linotype" w:hAnsi="Palatino Linotype" w:cs="Arial"/>
          <w:i/>
        </w:rPr>
      </w:pPr>
      <w:r>
        <w:rPr>
          <w:rFonts w:ascii="Palatino Linotype" w:hAnsi="Palatino Linotype" w:cs="Arial"/>
          <w:i/>
        </w:rPr>
        <w:t>(Énfasis añadido)</w:t>
      </w:r>
    </w:p>
    <w:p w:rsidR="00B36BB6" w:rsidRDefault="003C3F8F">
      <w:pPr>
        <w:spacing w:beforeAutospacing="1" w:afterAutospacing="1" w:line="360" w:lineRule="auto"/>
        <w:jc w:val="both"/>
        <w:rPr>
          <w:rFonts w:ascii="Palatino Linotype" w:hAnsi="Palatino Linotype"/>
          <w:lang w:eastAsia="es-MX"/>
        </w:rPr>
      </w:pPr>
      <w:r>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Pr>
          <w:rFonts w:ascii="Palatino Linotype" w:hAnsi="Palatino Linotype"/>
          <w:bCs/>
        </w:rPr>
        <w:t>identidad</w:t>
      </w:r>
      <w:r>
        <w:rPr>
          <w:rFonts w:ascii="Palatino Linotype" w:hAnsi="Palatino Linotype"/>
          <w:lang w:eastAsia="es-MX"/>
        </w:rPr>
        <w:t xml:space="preserve"> (acta de nacimiento, carta de naturalización o documento migratorio), la </w:t>
      </w:r>
      <w:r>
        <w:rPr>
          <w:rFonts w:ascii="Palatino Linotype" w:hAnsi="Palatino Linotype" w:cs="Arial"/>
        </w:rPr>
        <w:t>cual</w:t>
      </w:r>
      <w:r>
        <w:rPr>
          <w:rFonts w:ascii="Palatino Linotype" w:hAnsi="Palatino Linotype"/>
          <w:lang w:eastAsia="es-MX"/>
        </w:rPr>
        <w:t xml:space="preserve"> se integra de</w:t>
      </w:r>
      <w:r>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B36BB6" w:rsidRDefault="003C3F8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Al respecto, el </w:t>
      </w:r>
      <w:r>
        <w:rPr>
          <w:rFonts w:ascii="Palatino Linotype" w:eastAsia="Arial Unicode MS" w:hAnsi="Palatino Linotype" w:cs="Arial"/>
        </w:rPr>
        <w:t>Instituto Nacional de Transparencia, Acceso a la Información y Protección de Datos Personales (INAI),</w:t>
      </w:r>
      <w:r>
        <w:rPr>
          <w:rFonts w:ascii="Palatino Linotype" w:hAnsi="Palatino Linotype" w:cs="Arial"/>
          <w:lang w:eastAsia="es-MX"/>
        </w:rPr>
        <w:t xml:space="preserve"> a través del Criterio 18/17 de la Segunda Época, señala literalmente lo siguiente:</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Clave Única de Registro de Población (CURP).</w:t>
      </w:r>
      <w:r>
        <w:rPr>
          <w:rFonts w:ascii="Palatino Linotype" w:hAnsi="Palatino Linotype" w:cs="Arial"/>
          <w:i/>
          <w:lang w:eastAsia="es-MX"/>
        </w:rPr>
        <w:t xml:space="preserve"> </w:t>
      </w:r>
      <w:r>
        <w:rPr>
          <w:rFonts w:ascii="Palatino Linotype" w:hAnsi="Palatino Linotype" w:cs="Arial"/>
          <w:b/>
          <w:i/>
          <w:lang w:eastAsia="es-MX"/>
        </w:rPr>
        <w:t>La Clave Única de Registro de Población se integra por datos personales que sólo conciernen al particular titular</w:t>
      </w:r>
      <w:r>
        <w:rPr>
          <w:rFonts w:ascii="Palatino Linotype" w:hAnsi="Palatino Linotype" w:cs="Arial"/>
          <w:i/>
          <w:lang w:eastAsia="es-MX"/>
        </w:rPr>
        <w:t xml:space="preserve"> de la misma, </w:t>
      </w:r>
      <w:r>
        <w:rPr>
          <w:rFonts w:ascii="Palatino Linotype" w:hAnsi="Palatino Linotype" w:cs="Arial"/>
          <w:b/>
          <w:i/>
          <w:lang w:eastAsia="es-MX"/>
        </w:rPr>
        <w:t>como lo son su nombre, apellidos, fecha de nacimiento, lugar de nacimiento y sexo</w:t>
      </w:r>
      <w:r>
        <w:rPr>
          <w:rFonts w:ascii="Palatino Linotype" w:hAnsi="Palatino Linotype" w:cs="Arial"/>
          <w:i/>
          <w:lang w:eastAsia="es-MX"/>
        </w:rPr>
        <w:t xml:space="preserve">. Dichos datos, constituyen información que distingue plenamente a una persona física del resto de los habitantes del país, </w:t>
      </w:r>
      <w:r>
        <w:rPr>
          <w:rFonts w:ascii="Palatino Linotype" w:hAnsi="Palatino Linotype" w:cs="Arial"/>
          <w:b/>
          <w:i/>
          <w:lang w:eastAsia="es-MX"/>
        </w:rPr>
        <w:t>por lo que la CURP está considerada como información confidencial</w:t>
      </w:r>
      <w:r>
        <w:rPr>
          <w:rFonts w:ascii="Palatino Linotype" w:hAnsi="Palatino Linotype" w:cs="Arial"/>
          <w:i/>
          <w:lang w:eastAsia="es-MX"/>
        </w:rPr>
        <w:t xml:space="preserve">. </w:t>
      </w:r>
    </w:p>
    <w:p w:rsidR="00B36BB6" w:rsidRDefault="003C3F8F">
      <w:pPr>
        <w:spacing w:line="276" w:lineRule="auto"/>
        <w:ind w:left="851" w:right="902"/>
        <w:jc w:val="both"/>
        <w:rPr>
          <w:rFonts w:ascii="Palatino Linotype" w:hAnsi="Palatino Linotype" w:cs="Arial"/>
          <w:bCs/>
          <w:i/>
          <w:lang w:eastAsia="es-MX"/>
        </w:rPr>
      </w:pPr>
      <w:r>
        <w:rPr>
          <w:rFonts w:ascii="Palatino Linotype" w:hAnsi="Palatino Linotype" w:cs="Arial"/>
          <w:bCs/>
          <w:i/>
          <w:lang w:eastAsia="es-MX"/>
        </w:rPr>
        <w:t>Resoluciones:</w:t>
      </w:r>
    </w:p>
    <w:p w:rsidR="00B36BB6" w:rsidRDefault="003C3F8F">
      <w:pPr>
        <w:spacing w:line="276" w:lineRule="auto"/>
        <w:ind w:left="851" w:right="902"/>
        <w:jc w:val="both"/>
        <w:rPr>
          <w:rFonts w:ascii="Palatino Linotype" w:hAnsi="Palatino Linotype" w:cs="Arial"/>
          <w:bCs/>
          <w:i/>
          <w:lang w:eastAsia="es-MX"/>
        </w:rPr>
      </w:pPr>
      <w:r>
        <w:rPr>
          <w:rFonts w:ascii="Palatino Linotype" w:hAnsi="Palatino Linotype" w:cs="Arial"/>
          <w:bCs/>
          <w:i/>
          <w:lang w:eastAsia="es-MX"/>
        </w:rPr>
        <w:t>• RRA 3995/16. Secretaría de la Defensa Nacional. 1 de febrero de 2017. Por unanimidad. Comisionado Ponente Rosendoevgueni Monterrey Chepov.</w:t>
      </w:r>
    </w:p>
    <w:p w:rsidR="00B36BB6" w:rsidRDefault="003C3F8F">
      <w:pPr>
        <w:spacing w:line="276" w:lineRule="auto"/>
        <w:ind w:left="851" w:right="902"/>
        <w:jc w:val="both"/>
        <w:rPr>
          <w:rFonts w:ascii="Palatino Linotype" w:hAnsi="Palatino Linotype" w:cs="Arial"/>
          <w:bCs/>
          <w:i/>
          <w:lang w:eastAsia="es-MX"/>
        </w:rPr>
      </w:pPr>
      <w:r>
        <w:rPr>
          <w:rFonts w:ascii="Palatino Linotype" w:hAnsi="Palatino Linotype" w:cs="Arial"/>
          <w:bCs/>
          <w:i/>
          <w:lang w:eastAsia="es-MX"/>
        </w:rPr>
        <w:t xml:space="preserve">• RRA 0937/17. Senado de la República. 15 de marzo de 2017. Por unanimidad. Comisionada Ponente </w:t>
      </w:r>
      <w:r>
        <w:rPr>
          <w:rFonts w:ascii="Palatino Linotype" w:hAnsi="Palatino Linotype" w:cs="Arial"/>
          <w:i/>
          <w:lang w:eastAsia="es-MX"/>
        </w:rPr>
        <w:t>Ximena</w:t>
      </w:r>
      <w:r>
        <w:rPr>
          <w:rFonts w:ascii="Palatino Linotype" w:hAnsi="Palatino Linotype" w:cs="Arial"/>
          <w:bCs/>
          <w:i/>
          <w:lang w:eastAsia="es-MX"/>
        </w:rPr>
        <w:t xml:space="preserve"> Puente de la Mora. </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Cs/>
          <w:i/>
          <w:lang w:eastAsia="es-MX"/>
        </w:rPr>
        <w:t xml:space="preserve">• RRA 0478/17. Secretaría de Relaciones Exteriores. 26 de abril de 2017. Por unanimidad. </w:t>
      </w:r>
      <w:r>
        <w:rPr>
          <w:rFonts w:ascii="Palatino Linotype" w:hAnsi="Palatino Linotype" w:cs="Arial"/>
          <w:i/>
          <w:lang w:eastAsia="es-MX"/>
        </w:rPr>
        <w:t>Comisionada</w:t>
      </w:r>
      <w:r>
        <w:rPr>
          <w:rFonts w:ascii="Palatino Linotype" w:hAnsi="Palatino Linotype" w:cs="Arial"/>
          <w:bCs/>
          <w:i/>
          <w:lang w:eastAsia="es-MX"/>
        </w:rPr>
        <w:t xml:space="preserve"> Ponente Areli Cano Guadiana.</w:t>
      </w:r>
      <w:r>
        <w:rPr>
          <w:rFonts w:ascii="Palatino Linotype" w:hAnsi="Palatino Linotype" w:cs="Arial"/>
          <w:i/>
          <w:lang w:eastAsia="es-MX"/>
        </w:rPr>
        <w:t xml:space="preserve">” </w:t>
      </w:r>
      <w:r>
        <w:rPr>
          <w:rFonts w:ascii="Palatino Linotype" w:hAnsi="Palatino Linotype" w:cs="Arial"/>
          <w:i/>
        </w:rPr>
        <w:t>(Sic)</w:t>
      </w:r>
    </w:p>
    <w:p w:rsidR="00B36BB6" w:rsidRDefault="003C3F8F">
      <w:pPr>
        <w:spacing w:line="276" w:lineRule="auto"/>
        <w:ind w:left="851" w:right="902"/>
        <w:jc w:val="both"/>
        <w:rPr>
          <w:rFonts w:ascii="Palatino Linotype" w:hAnsi="Palatino Linotype" w:cs="Arial"/>
        </w:rPr>
      </w:pPr>
      <w:r>
        <w:rPr>
          <w:rFonts w:ascii="Palatino Linotype" w:hAnsi="Palatino Linotype" w:cs="Arial"/>
        </w:rPr>
        <w:t>(Énfasis añadido)</w:t>
      </w:r>
    </w:p>
    <w:p w:rsidR="00B36BB6" w:rsidRDefault="003C3F8F">
      <w:pPr>
        <w:spacing w:beforeAutospacing="1" w:afterAutospacing="1" w:line="360" w:lineRule="auto"/>
        <w:jc w:val="both"/>
        <w:rPr>
          <w:rFonts w:ascii="Palatino Linotype" w:hAnsi="Palatino Linotype" w:cs="Arial"/>
          <w:lang w:eastAsia="es-MX"/>
        </w:rPr>
      </w:pPr>
      <w:r>
        <w:rPr>
          <w:rFonts w:ascii="Palatino Linotype" w:hAnsi="Palatino Linotype" w:cs="Arial"/>
          <w:lang w:eastAsia="es-MX"/>
        </w:rPr>
        <w:t xml:space="preserve">De lo anterior, se desprende que la </w:t>
      </w:r>
      <w:r>
        <w:rPr>
          <w:rFonts w:ascii="Palatino Linotype" w:hAnsi="Palatino Linotype"/>
          <w:lang w:eastAsia="es-MX"/>
        </w:rPr>
        <w:t xml:space="preserve">CURP </w:t>
      </w:r>
      <w:r>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Pr>
          <w:rFonts w:ascii="Palatino Linotype" w:hAnsi="Palatino Linotype"/>
          <w:bCs/>
        </w:rPr>
        <w:t>personal</w:t>
      </w:r>
      <w:r>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Pr>
          <w:rFonts w:ascii="Palatino Linotype" w:hAnsi="Palatino Linotype" w:cs="Arial"/>
        </w:rPr>
        <w:t>4, fracción XI</w:t>
      </w:r>
      <w:r>
        <w:rPr>
          <w:rFonts w:ascii="Palatino Linotype" w:hAnsi="Palatino Linotype" w:cs="Arial"/>
          <w:lang w:eastAsia="es-MX"/>
        </w:rPr>
        <w:t xml:space="preserve"> </w:t>
      </w:r>
      <w:r>
        <w:rPr>
          <w:rFonts w:ascii="Palatino Linotype" w:hAnsi="Palatino Linotype" w:cs="Arial"/>
        </w:rPr>
        <w:t>de la Ley de Protección de Datos Personales en Posesión de Sujetos Obligados del Estado de México y Municipios</w:t>
      </w:r>
      <w:r>
        <w:rPr>
          <w:rFonts w:ascii="Palatino Linotype" w:hAnsi="Palatino Linotype" w:cs="Arial"/>
          <w:lang w:eastAsia="es-MX"/>
        </w:rPr>
        <w:t>.</w:t>
      </w:r>
    </w:p>
    <w:p w:rsidR="00B36BB6" w:rsidRDefault="003C3F8F">
      <w:pPr>
        <w:spacing w:beforeAutospacing="1" w:afterAutospacing="1" w:line="360" w:lineRule="auto"/>
        <w:jc w:val="both"/>
        <w:rPr>
          <w:rFonts w:ascii="Palatino Linotype" w:hAnsi="Palatino Linotype" w:cs="Arial"/>
          <w:lang w:val="es-ES_tradnl"/>
        </w:rPr>
      </w:pPr>
      <w:r>
        <w:rPr>
          <w:rFonts w:ascii="Palatino Linotype" w:hAnsi="Palatino Linotype" w:cs="Arial"/>
          <w:lang w:val="es-ES_tradnl"/>
        </w:rPr>
        <w:t xml:space="preserve">Por </w:t>
      </w:r>
      <w:r>
        <w:rPr>
          <w:rFonts w:ascii="Palatino Linotype" w:hAnsi="Palatino Linotype" w:cs="Arial"/>
          <w:lang w:eastAsia="es-MX"/>
        </w:rPr>
        <w:t>ende</w:t>
      </w:r>
      <w:r>
        <w:rPr>
          <w:rFonts w:ascii="Palatino Linotype" w:hAnsi="Palatino Linotype" w:cs="Arial"/>
          <w:lang w:val="es-ES_tradnl"/>
        </w:rPr>
        <w:t xml:space="preserve">,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confidenciales, sin pasar por alto que la clasificación respectiva tiene </w:t>
      </w:r>
      <w:r>
        <w:rPr>
          <w:rFonts w:ascii="Palatino Linotype" w:hAnsi="Palatino Linotype" w:cs="Arial"/>
        </w:rPr>
        <w:t>que</w:t>
      </w:r>
      <w:r>
        <w:rPr>
          <w:rFonts w:ascii="Palatino Linotype" w:hAnsi="Palatino Linotype" w:cs="Arial"/>
          <w:lang w:val="es-ES_tradnl"/>
        </w:rPr>
        <w:t xml:space="preserve"> cumplirse a través de la forma y formalidades que la Ley impone; </w:t>
      </w:r>
      <w:r>
        <w:rPr>
          <w:rFonts w:ascii="Palatino Linotype" w:hAnsi="Palatino Linotype" w:cs="Arial"/>
        </w:rPr>
        <w:t>es</w:t>
      </w:r>
      <w:r>
        <w:rPr>
          <w:rFonts w:ascii="Palatino Linotype" w:hAnsi="Palatino Linotype" w:cs="Arial"/>
          <w:lang w:val="es-ES_tradnl"/>
        </w:rPr>
        <w:t xml:space="preserve"> decir, mediante Acuerdo debidamente fundado y motivado, en </w:t>
      </w:r>
      <w:r>
        <w:rPr>
          <w:rFonts w:ascii="Palatino Linotype" w:hAnsi="Palatino Linotype" w:cs="Arial"/>
          <w:lang w:eastAsia="es-MX"/>
        </w:rPr>
        <w:t>términos</w:t>
      </w:r>
      <w:r>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B36BB6" w:rsidRDefault="003C3F8F">
      <w:pPr>
        <w:spacing w:line="276" w:lineRule="auto"/>
        <w:ind w:left="851" w:right="902"/>
        <w:jc w:val="center"/>
        <w:rPr>
          <w:rFonts w:ascii="Palatino Linotype" w:hAnsi="Palatino Linotype" w:cs="Arial"/>
          <w:b/>
          <w:i/>
        </w:rPr>
      </w:pPr>
      <w:r>
        <w:rPr>
          <w:rFonts w:ascii="Palatino Linotype" w:hAnsi="Palatino Linotype" w:cs="Arial"/>
          <w:b/>
          <w:i/>
        </w:rPr>
        <w:t>Ley de Transparencia y Acceso a la Información Pública del Estado de México y Municipios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 xml:space="preserve">Artículo 49. </w:t>
      </w:r>
      <w:r>
        <w:rPr>
          <w:rFonts w:ascii="Palatino Linotype" w:hAnsi="Palatino Linotype" w:cs="Arial"/>
          <w:i/>
          <w:lang w:eastAsia="es-MX"/>
        </w:rPr>
        <w:t xml:space="preserve">Los </w:t>
      </w:r>
      <w:r>
        <w:rPr>
          <w:rFonts w:ascii="Palatino Linotype" w:hAnsi="Palatino Linotype" w:cs="Arial"/>
          <w:i/>
        </w:rPr>
        <w:t>Comités</w:t>
      </w:r>
      <w:r>
        <w:rPr>
          <w:rFonts w:ascii="Palatino Linotype" w:hAnsi="Palatino Linotype" w:cs="Arial"/>
          <w:i/>
          <w:lang w:eastAsia="es-MX"/>
        </w:rPr>
        <w:t xml:space="preserve"> de Transparencia </w:t>
      </w:r>
      <w:r>
        <w:rPr>
          <w:rFonts w:ascii="Palatino Linotype" w:hAnsi="Palatino Linotype"/>
          <w:i/>
        </w:rPr>
        <w:t>tendrán</w:t>
      </w:r>
      <w:r>
        <w:rPr>
          <w:rFonts w:ascii="Palatino Linotype" w:hAnsi="Palatino Linotype" w:cs="Arial"/>
          <w:i/>
          <w:lang w:eastAsia="es-MX"/>
        </w:rPr>
        <w:t xml:space="preserve"> las siguientes atribuciones: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VIII.</w:t>
      </w:r>
      <w:r>
        <w:rPr>
          <w:rFonts w:ascii="Palatino Linotype" w:hAnsi="Palatino Linotype" w:cs="Arial"/>
          <w:i/>
          <w:lang w:eastAsia="es-MX"/>
        </w:rPr>
        <w:t xml:space="preserve"> </w:t>
      </w:r>
      <w:r>
        <w:rPr>
          <w:rFonts w:ascii="Palatino Linotype" w:hAnsi="Palatino Linotype" w:cs="Arial"/>
          <w:b/>
          <w:i/>
          <w:lang w:eastAsia="es-MX"/>
        </w:rPr>
        <w:t>Aprobar</w:t>
      </w:r>
      <w:r>
        <w:rPr>
          <w:rFonts w:ascii="Palatino Linotype" w:hAnsi="Palatino Linotype" w:cs="Arial"/>
          <w:i/>
          <w:lang w:eastAsia="es-MX"/>
        </w:rPr>
        <w:t xml:space="preserve">, </w:t>
      </w:r>
      <w:r>
        <w:rPr>
          <w:rFonts w:ascii="Palatino Linotype" w:hAnsi="Palatino Linotype" w:cs="Arial"/>
          <w:i/>
        </w:rPr>
        <w:t>modificar</w:t>
      </w:r>
      <w:r>
        <w:rPr>
          <w:rFonts w:ascii="Palatino Linotype" w:hAnsi="Palatino Linotype" w:cs="Arial"/>
          <w:i/>
          <w:lang w:eastAsia="es-MX"/>
        </w:rPr>
        <w:t xml:space="preserve"> o revocar la clasificación de la información;</w:t>
      </w:r>
    </w:p>
    <w:p w:rsidR="00B36BB6" w:rsidRDefault="003C3F8F">
      <w:pPr>
        <w:spacing w:line="276" w:lineRule="auto"/>
        <w:ind w:left="851" w:right="902"/>
        <w:jc w:val="both"/>
        <w:rPr>
          <w:rFonts w:ascii="Palatino Linotype" w:hAnsi="Palatino Linotype" w:cs="Arial"/>
          <w:b/>
          <w:i/>
          <w:lang w:eastAsia="es-MX"/>
        </w:rPr>
      </w:pPr>
      <w:r>
        <w:rPr>
          <w:rFonts w:ascii="Palatino Linotype" w:hAnsi="Palatino Linotype" w:cs="Arial"/>
          <w:b/>
          <w:i/>
          <w:lang w:eastAsia="es-MX"/>
        </w:rPr>
        <w:t>Artículo 132.</w:t>
      </w:r>
      <w:r>
        <w:rPr>
          <w:rFonts w:ascii="Palatino Linotype" w:hAnsi="Palatino Linotype" w:cs="Arial"/>
          <w:i/>
          <w:lang w:eastAsia="es-MX"/>
        </w:rPr>
        <w:t xml:space="preserve"> </w:t>
      </w:r>
      <w:r>
        <w:rPr>
          <w:rFonts w:ascii="Palatino Linotype" w:hAnsi="Palatino Linotype" w:cs="Arial"/>
          <w:b/>
          <w:i/>
          <w:lang w:eastAsia="es-MX"/>
        </w:rPr>
        <w:t>La clasificación de la información se llevará a cabo en el momento en que:</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mediante resolución de autoridad competente; o</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w:t>
      </w:r>
      <w:r>
        <w:rPr>
          <w:rFonts w:ascii="Palatino Linotype" w:hAnsi="Palatino Linotype" w:cs="Arial"/>
          <w:b/>
          <w:i/>
          <w:lang w:eastAsia="es-MX"/>
        </w:rPr>
        <w:t>Se generen versiones públicas para dar cumplimiento a las obligaciones de transparencia previstas en esta Ley</w:t>
      </w:r>
      <w:r>
        <w:rPr>
          <w:rFonts w:ascii="Palatino Linotype" w:hAnsi="Palatino Linotype" w:cs="Arial"/>
          <w:i/>
          <w:lang w:eastAsia="es-MX"/>
        </w:rPr>
        <w:t>.”</w:t>
      </w:r>
    </w:p>
    <w:p w:rsidR="00B36BB6" w:rsidRDefault="003C3F8F">
      <w:pPr>
        <w:spacing w:line="276" w:lineRule="auto"/>
        <w:ind w:left="851" w:right="902"/>
        <w:jc w:val="center"/>
        <w:rPr>
          <w:rFonts w:ascii="Palatino Linotype" w:hAnsi="Palatino Linotype" w:cs="Arial"/>
          <w:b/>
          <w:i/>
        </w:rPr>
      </w:pPr>
      <w:r>
        <w:rPr>
          <w:rFonts w:ascii="Palatino Linotype" w:hAnsi="Palatino Linotype" w:cs="Arial"/>
          <w:b/>
          <w:i/>
          <w:lang w:eastAsia="es-MX"/>
        </w:rPr>
        <w:t xml:space="preserve">Lineamientos Generales en materia de Clasificación y Desclasificación de la </w:t>
      </w:r>
      <w:r>
        <w:rPr>
          <w:rFonts w:ascii="Palatino Linotype" w:hAnsi="Palatino Linotype" w:cs="Arial"/>
          <w:b/>
          <w:i/>
        </w:rPr>
        <w:t>Información</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w:t>
      </w:r>
      <w:r>
        <w:rPr>
          <w:rFonts w:ascii="Palatino Linotype" w:hAnsi="Palatino Linotype" w:cs="Arial"/>
          <w:b/>
          <w:i/>
          <w:lang w:eastAsia="es-MX"/>
        </w:rPr>
        <w:t>Segundo.-</w:t>
      </w:r>
      <w:r>
        <w:rPr>
          <w:rFonts w:ascii="Palatino Linotype" w:hAnsi="Palatino Linotype" w:cs="Arial"/>
          <w:i/>
          <w:lang w:eastAsia="es-MX"/>
        </w:rPr>
        <w:t xml:space="preserve"> Para efectos de los </w:t>
      </w:r>
      <w:r>
        <w:rPr>
          <w:rFonts w:ascii="Palatino Linotype" w:hAnsi="Palatino Linotype" w:cs="Arial"/>
          <w:i/>
        </w:rPr>
        <w:t>presentes</w:t>
      </w:r>
      <w:r>
        <w:rPr>
          <w:rFonts w:ascii="Palatino Linotype" w:hAnsi="Palatino Linotype" w:cs="Arial"/>
          <w:i/>
          <w:lang w:eastAsia="es-MX"/>
        </w:rPr>
        <w:t xml:space="preserve"> Lineamientos Generales, se entenderá por:</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XVIII.</w:t>
      </w:r>
      <w:r>
        <w:rPr>
          <w:rFonts w:ascii="Palatino Linotype" w:hAnsi="Palatino Linotype" w:cs="Arial"/>
          <w:i/>
          <w:lang w:eastAsia="es-MX"/>
        </w:rPr>
        <w:t xml:space="preserve"> </w:t>
      </w:r>
      <w:r>
        <w:rPr>
          <w:rFonts w:ascii="Palatino Linotype" w:hAnsi="Palatino Linotype" w:cs="Arial"/>
          <w:b/>
          <w:i/>
          <w:lang w:eastAsia="es-MX"/>
        </w:rPr>
        <w:t>Versión pública:</w:t>
      </w:r>
      <w:r>
        <w:rPr>
          <w:rFonts w:ascii="Palatino Linotype" w:hAnsi="Palatino Linotype" w:cs="Arial"/>
          <w:i/>
          <w:lang w:eastAsia="es-MX"/>
        </w:rPr>
        <w:t xml:space="preserve"> El </w:t>
      </w:r>
      <w:r>
        <w:rPr>
          <w:rFonts w:ascii="Palatino Linotype" w:hAnsi="Palatino Linotype" w:cs="Arial"/>
          <w:bCs/>
          <w:i/>
        </w:rPr>
        <w:t>documento</w:t>
      </w:r>
      <w:r>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Pr>
          <w:rFonts w:ascii="Palatino Linotype" w:hAnsi="Palatino Linotype" w:cs="Arial"/>
          <w:b/>
          <w:i/>
          <w:lang w:eastAsia="es-MX"/>
        </w:rPr>
        <w:t>fundando y motivando la</w:t>
      </w:r>
      <w:r>
        <w:rPr>
          <w:rFonts w:ascii="Palatino Linotype" w:hAnsi="Palatino Linotype" w:cs="Arial"/>
          <w:i/>
          <w:lang w:eastAsia="es-MX"/>
        </w:rPr>
        <w:t xml:space="preserve"> reserva o </w:t>
      </w:r>
      <w:r>
        <w:rPr>
          <w:rFonts w:ascii="Palatino Linotype" w:hAnsi="Palatino Linotype" w:cs="Arial"/>
          <w:b/>
          <w:i/>
          <w:lang w:eastAsia="es-MX"/>
        </w:rPr>
        <w:t>confidencialidad</w:t>
      </w:r>
      <w:r>
        <w:rPr>
          <w:rFonts w:ascii="Palatino Linotype" w:hAnsi="Palatino Linotype" w:cs="Arial"/>
          <w:i/>
          <w:lang w:eastAsia="es-MX"/>
        </w:rPr>
        <w:t xml:space="preserve">, a través de la resolución que para tal efecto emita el </w:t>
      </w:r>
      <w:r>
        <w:rPr>
          <w:rFonts w:ascii="Palatino Linotype" w:hAnsi="Palatino Linotype" w:cs="Arial"/>
          <w:bCs/>
          <w:i/>
        </w:rPr>
        <w:t>Comité</w:t>
      </w:r>
      <w:r>
        <w:rPr>
          <w:rFonts w:ascii="Palatino Linotype" w:hAnsi="Palatino Linotype" w:cs="Arial"/>
          <w:i/>
          <w:lang w:eastAsia="es-MX"/>
        </w:rPr>
        <w:t xml:space="preserve"> de Transparencia.</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Cuarto.</w:t>
      </w:r>
      <w:r>
        <w:rPr>
          <w:rFonts w:ascii="Palatino Linotype" w:hAnsi="Palatino Linotype" w:cs="Arial"/>
          <w:i/>
          <w:lang w:eastAsia="es-MX"/>
        </w:rPr>
        <w:t xml:space="preserve"> </w:t>
      </w:r>
      <w:r>
        <w:rPr>
          <w:rFonts w:ascii="Palatino Linotype" w:hAnsi="Palatino Linotype" w:cs="Arial"/>
          <w:b/>
          <w:i/>
          <w:lang w:eastAsia="es-MX"/>
        </w:rPr>
        <w:t>Para clasificar la información como</w:t>
      </w:r>
      <w:r>
        <w:rPr>
          <w:rFonts w:ascii="Palatino Linotype" w:hAnsi="Palatino Linotype" w:cs="Arial"/>
          <w:i/>
          <w:lang w:eastAsia="es-MX"/>
        </w:rPr>
        <w:t xml:space="preserve"> reservada o </w:t>
      </w:r>
      <w:r>
        <w:rPr>
          <w:rFonts w:ascii="Palatino Linotype" w:hAnsi="Palatino Linotype" w:cs="Arial"/>
          <w:b/>
          <w:i/>
          <w:lang w:eastAsia="es-MX"/>
        </w:rPr>
        <w:t xml:space="preserve">confidencial, de manera total o parcial, el titular del </w:t>
      </w:r>
      <w:r>
        <w:rPr>
          <w:rFonts w:ascii="Palatino Linotype" w:hAnsi="Palatino Linotype" w:cs="Arial"/>
          <w:b/>
          <w:bCs/>
          <w:i/>
        </w:rPr>
        <w:t>área</w:t>
      </w:r>
      <w:r>
        <w:rPr>
          <w:rFonts w:ascii="Palatino Linotype" w:hAnsi="Palatino Linotype" w:cs="Arial"/>
          <w:b/>
          <w:i/>
          <w:lang w:eastAsia="es-MX"/>
        </w:rPr>
        <w:t xml:space="preserve"> del sujeto </w:t>
      </w:r>
      <w:r>
        <w:rPr>
          <w:rFonts w:ascii="Palatino Linotype" w:hAnsi="Palatino Linotype" w:cs="Arial"/>
          <w:b/>
          <w:i/>
        </w:rPr>
        <w:t>obligado</w:t>
      </w:r>
      <w:r>
        <w:rPr>
          <w:rFonts w:ascii="Palatino Linotype" w:hAnsi="Palatino Linotype" w:cs="Arial"/>
          <w:b/>
          <w:i/>
          <w:lang w:eastAsia="es-MX"/>
        </w:rPr>
        <w:t xml:space="preserve"> deberá atender lo dispuesto por el Título Sexto de la Ley General</w:t>
      </w:r>
      <w:r>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 xml:space="preserve">Los sujetos obligados deberán aplicar, de manera estricta, las excepciones al derecho de acceso a la </w:t>
      </w:r>
      <w:r>
        <w:rPr>
          <w:rFonts w:ascii="Palatino Linotype" w:hAnsi="Palatino Linotype" w:cs="Arial"/>
          <w:bCs/>
          <w:i/>
        </w:rPr>
        <w:t>información</w:t>
      </w:r>
      <w:r>
        <w:rPr>
          <w:rFonts w:ascii="Palatino Linotype" w:hAnsi="Palatino Linotype" w:cs="Arial"/>
          <w:i/>
          <w:lang w:eastAsia="es-MX"/>
        </w:rPr>
        <w:t xml:space="preserve"> y sólo </w:t>
      </w:r>
      <w:r>
        <w:rPr>
          <w:rFonts w:ascii="Palatino Linotype" w:hAnsi="Palatino Linotype" w:cs="Arial"/>
          <w:i/>
        </w:rPr>
        <w:t>podrán</w:t>
      </w:r>
      <w:r>
        <w:rPr>
          <w:rFonts w:ascii="Palatino Linotype" w:hAnsi="Palatino Linotype" w:cs="Arial"/>
          <w:i/>
          <w:lang w:eastAsia="es-MX"/>
        </w:rPr>
        <w:t xml:space="preserve"> invocarlas cuando acrediten su procedencia.</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Quinto.</w:t>
      </w:r>
      <w:r>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Pr>
          <w:rFonts w:ascii="Palatino Linotype" w:hAnsi="Palatino Linotype" w:cs="Arial"/>
          <w:i/>
        </w:rPr>
        <w:t>corresponderá</w:t>
      </w:r>
      <w:r>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Sexto.</w:t>
      </w:r>
      <w:r>
        <w:rPr>
          <w:rFonts w:ascii="Palatino Linotype" w:hAnsi="Palatino Linotype" w:cs="Arial"/>
          <w:i/>
          <w:lang w:eastAsia="es-MX"/>
        </w:rPr>
        <w:t xml:space="preserve"> Los sujetos obligados no podrán emitir acuerdos de carácter general ni particular que clasifiquen </w:t>
      </w:r>
      <w:r>
        <w:rPr>
          <w:rFonts w:ascii="Palatino Linotype" w:hAnsi="Palatino Linotype" w:cs="Arial"/>
          <w:bCs/>
          <w:i/>
        </w:rPr>
        <w:t>documentos</w:t>
      </w:r>
      <w:r>
        <w:rPr>
          <w:rFonts w:ascii="Palatino Linotype" w:hAnsi="Palatino Linotype" w:cs="Arial"/>
          <w:i/>
          <w:lang w:eastAsia="es-MX"/>
        </w:rPr>
        <w:t xml:space="preserve"> o expedientes como reservados, ni clasificar documentos antes de que se genere la información o cuando éstos no obren en sus archivos.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 xml:space="preserve">La clasificación de </w:t>
      </w:r>
      <w:r>
        <w:rPr>
          <w:rFonts w:ascii="Palatino Linotype" w:hAnsi="Palatino Linotype" w:cs="Arial"/>
          <w:i/>
        </w:rPr>
        <w:t>información</w:t>
      </w:r>
      <w:r>
        <w:rPr>
          <w:rFonts w:ascii="Palatino Linotype" w:hAnsi="Palatino Linotype" w:cs="Arial"/>
          <w:i/>
          <w:lang w:eastAsia="es-MX"/>
        </w:rPr>
        <w:t xml:space="preserve"> se realizará conforme a un análisis caso por caso, mediante la aplicación </w:t>
      </w:r>
      <w:r>
        <w:rPr>
          <w:rFonts w:ascii="Palatino Linotype" w:hAnsi="Palatino Linotype" w:cs="Arial"/>
          <w:bCs/>
          <w:i/>
        </w:rPr>
        <w:t>de</w:t>
      </w:r>
      <w:r>
        <w:rPr>
          <w:rFonts w:ascii="Palatino Linotype" w:hAnsi="Palatino Linotype" w:cs="Arial"/>
          <w:i/>
          <w:lang w:eastAsia="es-MX"/>
        </w:rPr>
        <w:t xml:space="preserve"> la prueba de daño y de interés público.</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Séptimo.</w:t>
      </w:r>
      <w:r>
        <w:rPr>
          <w:rFonts w:ascii="Palatino Linotype" w:hAnsi="Palatino Linotype" w:cs="Arial"/>
          <w:i/>
          <w:lang w:eastAsia="es-MX"/>
        </w:rPr>
        <w:t xml:space="preserve"> La clasificación </w:t>
      </w:r>
      <w:r>
        <w:rPr>
          <w:rFonts w:ascii="Palatino Linotype" w:hAnsi="Palatino Linotype" w:cs="Arial"/>
          <w:bCs/>
          <w:i/>
        </w:rPr>
        <w:t>de</w:t>
      </w:r>
      <w:r>
        <w:rPr>
          <w:rFonts w:ascii="Palatino Linotype" w:hAnsi="Palatino Linotype" w:cs="Arial"/>
          <w:i/>
          <w:lang w:eastAsia="es-MX"/>
        </w:rPr>
        <w:t xml:space="preserve"> la </w:t>
      </w:r>
      <w:r>
        <w:rPr>
          <w:rFonts w:ascii="Palatino Linotype" w:hAnsi="Palatino Linotype" w:cs="Arial"/>
          <w:i/>
        </w:rPr>
        <w:t>información</w:t>
      </w:r>
      <w:r>
        <w:rPr>
          <w:rFonts w:ascii="Palatino Linotype" w:hAnsi="Palatino Linotype" w:cs="Arial"/>
          <w:i/>
          <w:lang w:eastAsia="es-MX"/>
        </w:rPr>
        <w:t xml:space="preserve"> se llevará a cabo en el momento en que:</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I.</w:t>
      </w:r>
      <w:r>
        <w:rPr>
          <w:rFonts w:ascii="Palatino Linotype" w:hAnsi="Palatino Linotype" w:cs="Arial"/>
          <w:i/>
          <w:lang w:eastAsia="es-MX"/>
        </w:rPr>
        <w:t xml:space="preserve"> Se reciba una solicitud de acceso a la información;</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II.</w:t>
      </w:r>
      <w:r>
        <w:rPr>
          <w:rFonts w:ascii="Palatino Linotype" w:hAnsi="Palatino Linotype" w:cs="Arial"/>
          <w:i/>
          <w:lang w:eastAsia="es-MX"/>
        </w:rPr>
        <w:t xml:space="preserve"> Se determine </w:t>
      </w:r>
      <w:r>
        <w:rPr>
          <w:rFonts w:ascii="Palatino Linotype" w:hAnsi="Palatino Linotype" w:cs="Arial"/>
          <w:bCs/>
          <w:i/>
        </w:rPr>
        <w:t>mediante</w:t>
      </w:r>
      <w:r>
        <w:rPr>
          <w:rFonts w:ascii="Palatino Linotype" w:hAnsi="Palatino Linotype" w:cs="Arial"/>
          <w:i/>
          <w:lang w:eastAsia="es-MX"/>
        </w:rPr>
        <w:t xml:space="preserve"> resolución de autoridad competente, o</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III.</w:t>
      </w:r>
      <w:r>
        <w:rPr>
          <w:rFonts w:ascii="Palatino Linotype" w:hAnsi="Palatino Linotype" w:cs="Arial"/>
          <w:i/>
          <w:lang w:eastAsia="es-MX"/>
        </w:rPr>
        <w:t xml:space="preserve"> Se generen </w:t>
      </w:r>
      <w:r>
        <w:rPr>
          <w:rFonts w:ascii="Palatino Linotype" w:hAnsi="Palatino Linotype" w:cs="Arial"/>
          <w:bCs/>
          <w:i/>
        </w:rPr>
        <w:t>versiones</w:t>
      </w:r>
      <w:r>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 xml:space="preserve">Los titulares de las áreas deberán revisar la clasificación al momento de la recepción de una solicitud de </w:t>
      </w:r>
      <w:r>
        <w:rPr>
          <w:rFonts w:ascii="Palatino Linotype" w:hAnsi="Palatino Linotype" w:cs="Arial"/>
          <w:bCs/>
          <w:i/>
        </w:rPr>
        <w:t>acceso</w:t>
      </w:r>
      <w:r>
        <w:rPr>
          <w:rFonts w:ascii="Palatino Linotype" w:hAnsi="Palatino Linotype" w:cs="Arial"/>
          <w:i/>
          <w:lang w:eastAsia="es-MX"/>
        </w:rPr>
        <w:t xml:space="preserve"> a la información, para verificar si encuadra en una causal de reserva o de confidencialidad.</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Octavo.</w:t>
      </w:r>
      <w:r>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Pr>
          <w:rFonts w:ascii="Palatino Linotype" w:hAnsi="Palatino Linotype" w:cs="Arial"/>
          <w:bCs/>
          <w:i/>
        </w:rPr>
        <w:t>expresamente</w:t>
      </w:r>
      <w:r>
        <w:rPr>
          <w:rFonts w:ascii="Palatino Linotype" w:hAnsi="Palatino Linotype" w:cs="Arial"/>
          <w:i/>
          <w:lang w:eastAsia="es-MX"/>
        </w:rPr>
        <w:t xml:space="preserve"> le otorga el carácter de reservada o confidencial.</w:t>
      </w:r>
    </w:p>
    <w:p w:rsidR="00B36BB6" w:rsidRDefault="003C3F8F">
      <w:pPr>
        <w:spacing w:line="276" w:lineRule="auto"/>
        <w:ind w:left="851" w:right="902"/>
        <w:jc w:val="both"/>
        <w:rPr>
          <w:rFonts w:ascii="Palatino Linotype" w:hAnsi="Palatino Linotype" w:cs="Arial"/>
          <w:bCs/>
          <w:i/>
        </w:rPr>
      </w:pPr>
      <w:r>
        <w:rPr>
          <w:rFonts w:ascii="Palatino Linotype" w:hAnsi="Palatino Linotype" w:cs="Arial"/>
          <w:i/>
          <w:lang w:eastAsia="es-MX"/>
        </w:rPr>
        <w:t xml:space="preserve">Para </w:t>
      </w:r>
      <w:r>
        <w:rPr>
          <w:rFonts w:ascii="Palatino Linotype" w:hAnsi="Palatino Linotype" w:cs="Arial"/>
          <w:bCs/>
          <w:i/>
        </w:rPr>
        <w:t xml:space="preserve">motivar la clasificación se deberán señalar las razones o circunstancias especiales que lo </w:t>
      </w:r>
      <w:r>
        <w:rPr>
          <w:rFonts w:ascii="Palatino Linotype" w:hAnsi="Palatino Linotype" w:cs="Arial"/>
          <w:i/>
          <w:lang w:eastAsia="es-MX"/>
        </w:rPr>
        <w:t>llevaron</w:t>
      </w:r>
      <w:r>
        <w:rPr>
          <w:rFonts w:ascii="Palatino Linotype" w:hAnsi="Palatino Linotype" w:cs="Arial"/>
          <w:bCs/>
          <w:i/>
        </w:rPr>
        <w:t xml:space="preserve"> a concluir que el caso particular se ajusta al supuesto previsto por la norma legal invocada como fundamento.</w:t>
      </w:r>
    </w:p>
    <w:p w:rsidR="00B36BB6" w:rsidRDefault="003C3F8F">
      <w:pPr>
        <w:spacing w:line="276" w:lineRule="auto"/>
        <w:ind w:left="851" w:right="902"/>
        <w:jc w:val="both"/>
        <w:rPr>
          <w:rFonts w:ascii="Palatino Linotype" w:hAnsi="Palatino Linotype" w:cs="Arial"/>
          <w:bCs/>
          <w:i/>
        </w:rPr>
      </w:pPr>
      <w:r>
        <w:rPr>
          <w:rFonts w:ascii="Palatino Linotype" w:hAnsi="Palatino Linotype" w:cs="Arial"/>
          <w:bCs/>
          <w:i/>
        </w:rPr>
        <w:t xml:space="preserve">En caso de referirse a información reservada, la motivación de la clasificación también deberá comprender las circunstancias que justifican el establecimiento de determinado plazo </w:t>
      </w:r>
      <w:r>
        <w:rPr>
          <w:rFonts w:ascii="Palatino Linotype" w:hAnsi="Palatino Linotype" w:cs="Arial"/>
          <w:i/>
          <w:lang w:eastAsia="es-MX"/>
        </w:rPr>
        <w:t>de</w:t>
      </w:r>
      <w:r>
        <w:rPr>
          <w:rFonts w:ascii="Palatino Linotype" w:hAnsi="Palatino Linotype" w:cs="Arial"/>
          <w:bCs/>
          <w:i/>
        </w:rPr>
        <w:t xml:space="preserve"> </w:t>
      </w:r>
      <w:r>
        <w:rPr>
          <w:rFonts w:ascii="Palatino Linotype" w:hAnsi="Palatino Linotype" w:cs="Arial"/>
          <w:i/>
          <w:lang w:eastAsia="es-MX"/>
        </w:rPr>
        <w:t>reserva</w:t>
      </w:r>
      <w:r>
        <w:rPr>
          <w:rFonts w:ascii="Palatino Linotype" w:hAnsi="Palatino Linotype" w:cs="Arial"/>
          <w:bCs/>
          <w:i/>
        </w:rPr>
        <w:t>.</w:t>
      </w:r>
    </w:p>
    <w:p w:rsidR="00B36BB6" w:rsidRDefault="003C3F8F">
      <w:pPr>
        <w:spacing w:line="276" w:lineRule="auto"/>
        <w:ind w:left="851" w:right="902"/>
        <w:jc w:val="both"/>
        <w:rPr>
          <w:rFonts w:ascii="Palatino Linotype" w:hAnsi="Palatino Linotype" w:cs="Arial"/>
          <w:bCs/>
          <w:i/>
        </w:rPr>
      </w:pPr>
      <w:r>
        <w:rPr>
          <w:rFonts w:ascii="Palatino Linotype" w:hAnsi="Palatino Linotype" w:cs="Arial"/>
          <w:i/>
          <w:lang w:eastAsia="es-MX"/>
        </w:rPr>
        <w:t>Tratándose</w:t>
      </w:r>
      <w:r>
        <w:rPr>
          <w:rFonts w:ascii="Palatino Linotype" w:hAnsi="Palatino Linotype" w:cs="Arial"/>
          <w:bCs/>
          <w:i/>
        </w:rPr>
        <w:t xml:space="preserve"> de información clasificada como confidencial respecto de la cual se haya </w:t>
      </w:r>
      <w:r>
        <w:rPr>
          <w:rFonts w:ascii="Palatino Linotype" w:hAnsi="Palatino Linotype" w:cs="Arial"/>
          <w:i/>
          <w:lang w:eastAsia="es-MX"/>
        </w:rPr>
        <w:t>determinado</w:t>
      </w:r>
      <w:r>
        <w:rPr>
          <w:rFonts w:ascii="Palatino Linotype" w:hAnsi="Palatino Linotype" w:cs="Arial"/>
          <w:bCs/>
          <w:i/>
        </w:rPr>
        <w:t xml:space="preserve"> </w:t>
      </w:r>
      <w:r>
        <w:rPr>
          <w:rFonts w:ascii="Palatino Linotype" w:hAnsi="Palatino Linotype" w:cs="Arial"/>
          <w:i/>
          <w:lang w:eastAsia="es-MX"/>
        </w:rPr>
        <w:t>su</w:t>
      </w:r>
      <w:r>
        <w:rPr>
          <w:rFonts w:ascii="Palatino Linotype" w:hAnsi="Palatino Linotype" w:cs="Arial"/>
          <w:bCs/>
          <w:i/>
        </w:rPr>
        <w:t xml:space="preserve"> conservación permanente por tener valor histórico, ésta conservará tal carácter de conformidad con la normativa aplicable en materia de archivos.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Cs/>
          <w:i/>
        </w:rPr>
        <w:t>Los documentos contenidos</w:t>
      </w:r>
      <w:r>
        <w:rPr>
          <w:rFonts w:ascii="Palatino Linotype" w:hAnsi="Palatino Linotype" w:cs="Arial"/>
          <w:i/>
          <w:lang w:eastAsia="es-MX"/>
        </w:rPr>
        <w:t xml:space="preserve"> en los archivos históricos y los identificados como históricos confidenciales no serán susceptibles de clasificación como reservados.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Noveno.</w:t>
      </w:r>
      <w:r>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Décimo.</w:t>
      </w:r>
      <w:r>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Pr>
          <w:rFonts w:ascii="Palatino Linotype" w:hAnsi="Palatino Linotype" w:cs="Arial"/>
          <w:i/>
        </w:rPr>
        <w:t>documentos</w:t>
      </w:r>
      <w:r>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Pr>
          <w:rFonts w:ascii="Palatino Linotype" w:hAnsi="Palatino Linotype" w:cs="Arial"/>
          <w:i/>
        </w:rPr>
        <w:t>que</w:t>
      </w:r>
      <w:r>
        <w:rPr>
          <w:rFonts w:ascii="Palatino Linotype" w:hAnsi="Palatino Linotype" w:cs="Arial"/>
          <w:i/>
          <w:lang w:eastAsia="es-MX"/>
        </w:rPr>
        <w:t xml:space="preserve"> rija la actuación del sujeto obligado.</w:t>
      </w:r>
    </w:p>
    <w:p w:rsidR="00B36BB6" w:rsidRDefault="003C3F8F">
      <w:pPr>
        <w:spacing w:line="276" w:lineRule="auto"/>
        <w:ind w:left="851" w:right="902"/>
        <w:jc w:val="both"/>
        <w:rPr>
          <w:rFonts w:ascii="Palatino Linotype" w:hAnsi="Palatino Linotype" w:cs="Arial"/>
          <w:i/>
          <w:lang w:eastAsia="es-MX"/>
        </w:rPr>
      </w:pPr>
      <w:r>
        <w:rPr>
          <w:rFonts w:ascii="Palatino Linotype" w:hAnsi="Palatino Linotype" w:cs="Arial"/>
          <w:b/>
          <w:i/>
          <w:lang w:eastAsia="es-MX"/>
        </w:rPr>
        <w:t>Décimo primero.</w:t>
      </w:r>
      <w:r>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B36BB6" w:rsidRDefault="003C3F8F">
      <w:pPr>
        <w:spacing w:line="276" w:lineRule="auto"/>
        <w:ind w:left="851" w:right="902"/>
        <w:jc w:val="both"/>
        <w:rPr>
          <w:rFonts w:ascii="Palatino Linotype" w:hAnsi="Palatino Linotype" w:cs="Arial"/>
          <w:lang w:eastAsia="es-MX"/>
        </w:rPr>
      </w:pPr>
      <w:r>
        <w:rPr>
          <w:rFonts w:ascii="Palatino Linotype" w:hAnsi="Palatino Linotype" w:cs="Arial"/>
          <w:lang w:eastAsia="es-MX"/>
        </w:rPr>
        <w:t>(Énfasis Añadido)</w:t>
      </w:r>
    </w:p>
    <w:p w:rsidR="00B36BB6" w:rsidRDefault="003C3F8F">
      <w:pPr>
        <w:spacing w:beforeAutospacing="1" w:afterAutospacing="1" w:line="360" w:lineRule="auto"/>
        <w:jc w:val="both"/>
        <w:rPr>
          <w:rFonts w:ascii="Palatino Linotype" w:hAnsi="Palatino Linotype" w:cs="Arial"/>
        </w:rPr>
      </w:pPr>
      <w:r>
        <w:rPr>
          <w:rFonts w:ascii="Palatino Linotype" w:hAnsi="Palatino Linotype"/>
        </w:rPr>
        <w:t xml:space="preserve">Es importante referir que, </w:t>
      </w:r>
      <w:r>
        <w:rPr>
          <w:rFonts w:ascii="Palatino Linotype" w:hAnsi="Palatino Linotype"/>
          <w:b/>
        </w:rPr>
        <w:t>EL SUJETO OBLIGADO</w:t>
      </w:r>
      <w:r>
        <w:rPr>
          <w:rFonts w:ascii="Palatino Linotype" w:hAnsi="Palatino Linotype"/>
        </w:rPr>
        <w:t xml:space="preserve"> deberá seguir el procedimiento legal establecido para su </w:t>
      </w:r>
      <w:r>
        <w:rPr>
          <w:rFonts w:ascii="Palatino Linotype" w:hAnsi="Palatino Linotype"/>
          <w:lang w:eastAsia="es-MX"/>
        </w:rPr>
        <w:t>clasificación</w:t>
      </w:r>
      <w:r>
        <w:rPr>
          <w:rFonts w:ascii="Palatino Linotype" w:hAnsi="Palatino Linotype"/>
        </w:rPr>
        <w:t>, esto es, que su Comité de</w:t>
      </w:r>
      <w:r>
        <w:rPr>
          <w:rFonts w:ascii="Palatino Linotype" w:hAnsi="Palatino Linotype" w:cs="Arial"/>
        </w:rPr>
        <w:t xml:space="preserve"> Transparencia emita un Acuerdo de Clasificación que cumpla con las formalidades previstas, antes citadas</w:t>
      </w:r>
      <w:r>
        <w:rPr>
          <w:rFonts w:ascii="Palatino Linotype" w:hAnsi="Palatino Linotype" w:cs="Arial"/>
          <w:b/>
        </w:rPr>
        <w:t xml:space="preserve"> </w:t>
      </w:r>
      <w:r>
        <w:rPr>
          <w:rFonts w:ascii="Palatino Linotype" w:hAnsi="Palatino Linotype" w:cs="Arial"/>
        </w:rPr>
        <w:t xml:space="preserve">que lo sustente, en el </w:t>
      </w:r>
      <w:r>
        <w:rPr>
          <w:rFonts w:ascii="Palatino Linotype" w:hAnsi="Palatino Linotype" w:cs="Arial"/>
          <w:lang w:eastAsia="es-MX"/>
        </w:rPr>
        <w:t>que</w:t>
      </w:r>
      <w:r>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36BB6" w:rsidRDefault="003C3F8F">
      <w:pPr>
        <w:widowControl w:val="0"/>
        <w:spacing w:line="360" w:lineRule="auto"/>
        <w:jc w:val="both"/>
        <w:rPr>
          <w:rFonts w:ascii="Palatino Linotype" w:eastAsia="Calibri" w:hAnsi="Palatino Linotype" w:cs="Arial"/>
        </w:rPr>
      </w:pPr>
      <w:r>
        <w:rPr>
          <w:rFonts w:ascii="Palatino Linotype" w:eastAsia="Calibri" w:hAnsi="Palatino Linotype" w:cs="Arial"/>
        </w:rPr>
        <w:t xml:space="preserve">Atento a lo anterior, de conformidad con el artículo 186, fracción III de la Ley de Transparencia y Acceso a la Información Pública del Estado de México y Municipios, se determina </w:t>
      </w:r>
      <w:r>
        <w:rPr>
          <w:rFonts w:ascii="Palatino Linotype" w:eastAsia="Calibri" w:hAnsi="Palatino Linotype" w:cs="Arial"/>
          <w:b/>
        </w:rPr>
        <w:t>REVOCAR</w:t>
      </w:r>
      <w:r>
        <w:rPr>
          <w:rFonts w:ascii="Palatino Linotype" w:eastAsia="Calibri" w:hAnsi="Palatino Linotype" w:cs="Arial"/>
        </w:rPr>
        <w:t xml:space="preserve"> la respuesta del </w:t>
      </w:r>
      <w:r>
        <w:rPr>
          <w:rFonts w:ascii="Palatino Linotype" w:eastAsia="Calibri" w:hAnsi="Palatino Linotype" w:cs="Arial"/>
          <w:b/>
        </w:rPr>
        <w:t>SUJETO OBLIGADO</w:t>
      </w:r>
      <w:r>
        <w:rPr>
          <w:rFonts w:ascii="Palatino Linotype" w:eastAsia="Calibri" w:hAnsi="Palatino Linotype" w:cs="Arial"/>
        </w:rPr>
        <w:t>.</w:t>
      </w:r>
    </w:p>
    <w:p w:rsidR="00B36BB6" w:rsidRDefault="003C3F8F">
      <w:pPr>
        <w:widowControl w:val="0"/>
        <w:spacing w:before="240" w:after="120" w:line="360" w:lineRule="auto"/>
        <w:jc w:val="both"/>
        <w:rPr>
          <w:rFonts w:ascii="Palatino Linotype" w:hAnsi="Palatino Linotype" w:cs="Arial"/>
        </w:rPr>
      </w:pPr>
      <w:r>
        <w:rPr>
          <w:rFonts w:ascii="Palatino Linotype" w:hAnsi="Palatino Linotype" w:cs="Arial"/>
        </w:rPr>
        <w:t xml:space="preserve">Así, con fundamento en lo prescrito en los artículos 5, </w:t>
      </w:r>
      <w:r>
        <w:rPr>
          <w:rFonts w:ascii="Palatino Linotype" w:hAnsi="Palatino Linotype"/>
        </w:rPr>
        <w:t>párrafos vigésimo segundo, vigésimo tercero y vigésimo cuarto, fracciones IV y V</w:t>
      </w:r>
      <w:r>
        <w:rPr>
          <w:rFonts w:ascii="Palatino Linotype" w:hAnsi="Palatino Linotype" w:cs="Arial"/>
        </w:rPr>
        <w:t xml:space="preserve"> de la Constitución Política del Estado Libre y Soberano de México; </w:t>
      </w:r>
      <w:r>
        <w:rPr>
          <w:rFonts w:ascii="Palatino Linotype" w:hAnsi="Palatino Linotype"/>
        </w:rPr>
        <w:t xml:space="preserve">2, fracción II, 9, </w:t>
      </w:r>
      <w:r>
        <w:rPr>
          <w:rFonts w:ascii="Palatino Linotype" w:hAnsi="Palatino Linotype" w:cs="Arial"/>
          <w:lang w:val="es-ES_tradnl"/>
        </w:rPr>
        <w:t>29</w:t>
      </w:r>
      <w:r>
        <w:rPr>
          <w:rFonts w:ascii="Palatino Linotype" w:hAnsi="Palatino Linotype"/>
        </w:rPr>
        <w:t>, 36, fracciones I y II, 176, 178, 179, 181, 185, fracción I, 186 y 188</w:t>
      </w:r>
      <w:r>
        <w:rPr>
          <w:rFonts w:ascii="Palatino Linotype" w:hAnsi="Palatino Linotype" w:cs="Arial"/>
        </w:rPr>
        <w:t xml:space="preserve"> de la Ley de Transparencia y Acceso a la Información Pública del Estado de México y Municipios, este Pleno:</w:t>
      </w:r>
    </w:p>
    <w:p w:rsidR="00B36BB6" w:rsidRDefault="003C3F8F">
      <w:pPr>
        <w:spacing w:before="360" w:after="240" w:line="360" w:lineRule="auto"/>
        <w:jc w:val="center"/>
        <w:rPr>
          <w:rFonts w:ascii="Palatino Linotype" w:hAnsi="Palatino Linotype"/>
          <w:b/>
          <w:bCs/>
          <w:spacing w:val="40"/>
          <w:sz w:val="28"/>
        </w:rPr>
      </w:pPr>
      <w:r>
        <w:rPr>
          <w:rFonts w:ascii="Palatino Linotype" w:hAnsi="Palatino Linotype"/>
          <w:b/>
          <w:bCs/>
          <w:spacing w:val="40"/>
          <w:sz w:val="28"/>
        </w:rPr>
        <w:t>RESUELVE</w:t>
      </w:r>
    </w:p>
    <w:p w:rsidR="00B36BB6" w:rsidRDefault="003C3F8F">
      <w:pPr>
        <w:pStyle w:val="Prrafodelista"/>
        <w:widowControl w:val="0"/>
        <w:numPr>
          <w:ilvl w:val="0"/>
          <w:numId w:val="1"/>
        </w:numPr>
        <w:tabs>
          <w:tab w:val="left" w:pos="1701"/>
        </w:tabs>
        <w:spacing w:before="240" w:line="360" w:lineRule="auto"/>
        <w:ind w:left="0" w:firstLine="0"/>
        <w:jc w:val="both"/>
        <w:rPr>
          <w:rFonts w:ascii="Palatino Linotype" w:hAnsi="Palatino Linotype" w:cs="Arial"/>
        </w:rPr>
      </w:pPr>
      <w:r>
        <w:rPr>
          <w:rFonts w:ascii="Palatino Linotype" w:hAnsi="Palatino Linotype" w:cs="Arial"/>
        </w:rPr>
        <w:t xml:space="preserve">Resultan </w:t>
      </w:r>
      <w:r>
        <w:rPr>
          <w:rFonts w:ascii="Palatino Linotype" w:hAnsi="Palatino Linotype" w:cs="Arial"/>
          <w:b/>
        </w:rPr>
        <w:t>fundadas</w:t>
      </w:r>
      <w:r>
        <w:rPr>
          <w:rFonts w:ascii="Palatino Linotype" w:hAnsi="Palatino Linotype" w:cs="Arial"/>
        </w:rPr>
        <w:t xml:space="preserve"> las </w:t>
      </w:r>
      <w:r>
        <w:rPr>
          <w:rFonts w:ascii="Palatino Linotype" w:hAnsi="Palatino Linotype"/>
          <w:shd w:val="clear" w:color="auto" w:fill="FFFFFF"/>
        </w:rPr>
        <w:t>razones</w:t>
      </w:r>
      <w:r>
        <w:rPr>
          <w:rFonts w:ascii="Palatino Linotype" w:hAnsi="Palatino Linotype" w:cs="Arial"/>
        </w:rPr>
        <w:t xml:space="preserve"> o motivos de inconformidad hechas valer por </w:t>
      </w:r>
      <w:r>
        <w:rPr>
          <w:rFonts w:ascii="Palatino Linotype" w:eastAsia="Calibri" w:hAnsi="Palatino Linotype"/>
          <w:b/>
          <w:szCs w:val="22"/>
          <w:lang w:eastAsia="en-US"/>
        </w:rPr>
        <w:t xml:space="preserve">EL RECURRENTE </w:t>
      </w:r>
      <w:r>
        <w:rPr>
          <w:rFonts w:ascii="Palatino Linotype" w:eastAsia="Calibri" w:hAnsi="Palatino Linotype"/>
          <w:szCs w:val="22"/>
          <w:lang w:eastAsia="en-US"/>
        </w:rPr>
        <w:t>en el recurso de revisión</w:t>
      </w:r>
      <w:r>
        <w:rPr>
          <w:rFonts w:ascii="Palatino Linotype" w:eastAsia="Calibri" w:hAnsi="Palatino Linotype"/>
          <w:b/>
          <w:szCs w:val="22"/>
          <w:lang w:eastAsia="en-US"/>
        </w:rPr>
        <w:t xml:space="preserve"> 01067/INFOEM/IP/RR/2020</w:t>
      </w:r>
      <w:r>
        <w:rPr>
          <w:rFonts w:ascii="Palatino Linotype" w:hAnsi="Palatino Linotype" w:cs="Arial"/>
          <w:b/>
        </w:rPr>
        <w:t>,</w:t>
      </w:r>
      <w:r>
        <w:rPr>
          <w:rFonts w:ascii="Palatino Linotype" w:hAnsi="Palatino Linotype" w:cs="Arial"/>
        </w:rPr>
        <w:t xml:space="preserve"> en términos del Considerando </w:t>
      </w:r>
      <w:r>
        <w:rPr>
          <w:rFonts w:ascii="Palatino Linotype" w:hAnsi="Palatino Linotype" w:cs="Arial"/>
          <w:b/>
        </w:rPr>
        <w:t>QUINTO</w:t>
      </w:r>
      <w:r>
        <w:rPr>
          <w:rFonts w:ascii="Palatino Linotype" w:hAnsi="Palatino Linotype" w:cs="Arial"/>
        </w:rPr>
        <w:t xml:space="preserve"> de la presente resolución.</w:t>
      </w:r>
    </w:p>
    <w:p w:rsidR="00B36BB6" w:rsidRDefault="003C3F8F">
      <w:pPr>
        <w:pStyle w:val="Prrafodelista"/>
        <w:widowControl w:val="0"/>
        <w:numPr>
          <w:ilvl w:val="0"/>
          <w:numId w:val="1"/>
        </w:numPr>
        <w:tabs>
          <w:tab w:val="left" w:pos="1701"/>
        </w:tabs>
        <w:spacing w:before="240" w:afterAutospacing="1" w:line="360" w:lineRule="auto"/>
        <w:ind w:left="0" w:firstLine="0"/>
        <w:jc w:val="both"/>
        <w:rPr>
          <w:rFonts w:ascii="Palatino Linotype" w:hAnsi="Palatino Linotype"/>
          <w:highlight w:val="white"/>
        </w:rPr>
      </w:pPr>
      <w:r>
        <w:rPr>
          <w:rFonts w:ascii="Palatino Linotype" w:hAnsi="Palatino Linotype"/>
          <w:color w:val="222222"/>
          <w:lang w:eastAsia="es-MX"/>
        </w:rPr>
        <w:t xml:space="preserve">Se </w:t>
      </w:r>
      <w:r>
        <w:rPr>
          <w:rFonts w:ascii="Palatino Linotype" w:hAnsi="Palatino Linotype"/>
          <w:b/>
          <w:color w:val="222222"/>
          <w:lang w:eastAsia="es-MX"/>
        </w:rPr>
        <w:t>REVOCA</w:t>
      </w:r>
      <w:r>
        <w:rPr>
          <w:rFonts w:ascii="Palatino Linotype" w:hAnsi="Palatino Linotype"/>
          <w:color w:val="222222"/>
          <w:lang w:eastAsia="es-MX"/>
        </w:rPr>
        <w:t xml:space="preserve"> la respuesta del </w:t>
      </w:r>
      <w:r>
        <w:rPr>
          <w:rFonts w:ascii="Palatino Linotype" w:hAnsi="Palatino Linotype"/>
          <w:b/>
          <w:color w:val="222222"/>
          <w:lang w:eastAsia="es-MX"/>
        </w:rPr>
        <w:t>SUJETO OBLIGADO</w:t>
      </w:r>
      <w:r>
        <w:rPr>
          <w:rFonts w:ascii="Palatino Linotype" w:hAnsi="Palatino Linotype"/>
          <w:color w:val="222222"/>
          <w:lang w:eastAsia="es-MX"/>
        </w:rPr>
        <w:t xml:space="preserve"> atienda la solicitud de información </w:t>
      </w:r>
      <w:r>
        <w:rPr>
          <w:rFonts w:ascii="Palatino Linotype" w:hAnsi="Palatino Linotype"/>
          <w:b/>
          <w:color w:val="222222"/>
          <w:lang w:eastAsia="es-MX"/>
        </w:rPr>
        <w:t xml:space="preserve">00005/OASATIZARA/IP/2020 </w:t>
      </w:r>
      <w:r>
        <w:rPr>
          <w:rFonts w:ascii="Palatino Linotype" w:hAnsi="Palatino Linotype"/>
          <w:color w:val="222222"/>
          <w:lang w:eastAsia="es-MX"/>
        </w:rPr>
        <w:t xml:space="preserve">y haga entrega al </w:t>
      </w:r>
      <w:r>
        <w:rPr>
          <w:rFonts w:ascii="Palatino Linotype" w:hAnsi="Palatino Linotype"/>
          <w:b/>
          <w:color w:val="222222"/>
          <w:lang w:eastAsia="es-MX"/>
        </w:rPr>
        <w:t>RECURRENTE</w:t>
      </w:r>
      <w:r>
        <w:rPr>
          <w:rFonts w:ascii="Palatino Linotype" w:hAnsi="Palatino Linotype"/>
          <w:color w:val="222222"/>
          <w:lang w:eastAsia="es-MX"/>
        </w:rPr>
        <w:t xml:space="preserve">, en términos del Considerando </w:t>
      </w:r>
      <w:r>
        <w:rPr>
          <w:rFonts w:ascii="Palatino Linotype" w:hAnsi="Palatino Linotype"/>
          <w:b/>
          <w:color w:val="222222"/>
          <w:lang w:eastAsia="es-MX"/>
        </w:rPr>
        <w:t>QUINTO</w:t>
      </w:r>
      <w:r>
        <w:rPr>
          <w:rFonts w:ascii="Palatino Linotype" w:hAnsi="Palatino Linotype"/>
          <w:color w:val="222222"/>
          <w:lang w:eastAsia="es-MX"/>
        </w:rPr>
        <w:t xml:space="preserve"> de esta resolución, vía el </w:t>
      </w:r>
      <w:r>
        <w:rPr>
          <w:rFonts w:ascii="Palatino Linotype" w:hAnsi="Palatino Linotype"/>
          <w:b/>
          <w:color w:val="222222"/>
          <w:lang w:eastAsia="es-MX"/>
        </w:rPr>
        <w:t>SAIMEX</w:t>
      </w:r>
      <w:r>
        <w:rPr>
          <w:rFonts w:ascii="Palatino Linotype" w:hAnsi="Palatino Linotype"/>
          <w:color w:val="222222"/>
          <w:lang w:eastAsia="es-MX"/>
        </w:rPr>
        <w:t xml:space="preserve">, </w:t>
      </w:r>
      <w:r>
        <w:rPr>
          <w:rFonts w:ascii="Palatino Linotype" w:hAnsi="Palatino Linotype"/>
          <w:b/>
          <w:color w:val="222222"/>
          <w:lang w:eastAsia="es-MX"/>
        </w:rPr>
        <w:t>previa búsqueda exhaustiva y razonable</w:t>
      </w:r>
      <w:r>
        <w:rPr>
          <w:rFonts w:ascii="Palatino Linotype" w:hAnsi="Palatino Linotype"/>
          <w:color w:val="222222"/>
          <w:lang w:eastAsia="es-MX"/>
        </w:rPr>
        <w:t xml:space="preserve">, de ser procedente en </w:t>
      </w:r>
      <w:r>
        <w:rPr>
          <w:rFonts w:ascii="Palatino Linotype" w:hAnsi="Palatino Linotype"/>
          <w:b/>
          <w:color w:val="222222"/>
          <w:lang w:eastAsia="es-MX"/>
        </w:rPr>
        <w:t>versión pública</w:t>
      </w:r>
      <w:r>
        <w:rPr>
          <w:rFonts w:ascii="Palatino Linotype" w:hAnsi="Palatino Linotype"/>
          <w:color w:val="222222"/>
          <w:lang w:eastAsia="es-MX"/>
        </w:rPr>
        <w:t>, de lo siguiente:</w:t>
      </w:r>
    </w:p>
    <w:p w:rsidR="00B36BB6" w:rsidRDefault="003C3F8F">
      <w:pPr>
        <w:pStyle w:val="Prrafodelista"/>
        <w:spacing w:beforeAutospacing="1" w:afterAutospacing="1"/>
        <w:ind w:left="851" w:right="899"/>
        <w:contextualSpacing/>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“Los cheques o los documentos donde consten los montos entregados con motivo de</w:t>
      </w:r>
      <w:r>
        <w:t xml:space="preserve"> </w:t>
      </w:r>
      <w:r>
        <w:rPr>
          <w:rFonts w:ascii="Palatino Linotype" w:hAnsi="Palatino Linotype"/>
          <w:i/>
          <w:iCs/>
          <w:color w:val="222222"/>
          <w:sz w:val="22"/>
          <w:szCs w:val="22"/>
          <w:lang w:eastAsia="es-MX"/>
        </w:rPr>
        <w:t>liquidaciones por indemnizaciones, por sueldos y salarios caídos, pago de liquidaciones derivadas de laudos emitidos o convenios en materia laboral durante el ejercicio fiscal 2019.</w:t>
      </w:r>
    </w:p>
    <w:p w:rsidR="00B36BB6" w:rsidRDefault="00B36BB6">
      <w:pPr>
        <w:pStyle w:val="Prrafodelista"/>
        <w:spacing w:beforeAutospacing="1" w:afterAutospacing="1"/>
        <w:ind w:left="851" w:right="899"/>
        <w:contextualSpacing/>
        <w:jc w:val="both"/>
        <w:rPr>
          <w:rFonts w:ascii="Palatino Linotype" w:hAnsi="Palatino Linotype"/>
          <w:i/>
          <w:iCs/>
          <w:color w:val="222222"/>
          <w:sz w:val="22"/>
          <w:szCs w:val="22"/>
          <w:lang w:eastAsia="es-MX"/>
        </w:rPr>
      </w:pPr>
    </w:p>
    <w:p w:rsidR="00B36BB6" w:rsidRDefault="003C3F8F">
      <w:pPr>
        <w:pStyle w:val="Prrafodelista"/>
        <w:widowControl w:val="0"/>
        <w:tabs>
          <w:tab w:val="left" w:pos="1701"/>
        </w:tabs>
        <w:spacing w:before="240" w:afterAutospacing="1"/>
        <w:ind w:left="851" w:right="899"/>
        <w:contextualSpacing/>
        <w:jc w:val="both"/>
        <w:rPr>
          <w:rFonts w:ascii="Palatino Linotype" w:hAnsi="Palatino Linotype"/>
          <w:bCs/>
          <w:i/>
          <w:sz w:val="22"/>
          <w:szCs w:val="22"/>
        </w:rPr>
      </w:pPr>
      <w:r>
        <w:rPr>
          <w:rFonts w:ascii="Palatino Linotype" w:hAnsi="Palatino Linotype" w:cs="Arial"/>
          <w:i/>
          <w:sz w:val="22"/>
          <w:szCs w:val="22"/>
          <w:lang w:eastAsia="es-MX"/>
        </w:rPr>
        <w:t>Debiendo</w:t>
      </w:r>
      <w:r>
        <w:rPr>
          <w:rFonts w:ascii="Palatino Linotype" w:hAnsi="Palatino Linotype" w:cs="Arial"/>
          <w:i/>
          <w:sz w:val="22"/>
          <w:szCs w:val="22"/>
        </w:rPr>
        <w:t xml:space="preserve"> notificar al </w:t>
      </w:r>
      <w:r>
        <w:rPr>
          <w:rFonts w:ascii="Palatino Linotype" w:hAnsi="Palatino Linotype" w:cs="Arial"/>
          <w:b/>
          <w:i/>
          <w:sz w:val="22"/>
          <w:szCs w:val="22"/>
        </w:rPr>
        <w:t>RECURRENTE</w:t>
      </w:r>
      <w:r>
        <w:rPr>
          <w:rFonts w:ascii="Palatino Linotype" w:hAnsi="Palatino Linotype" w:cs="Arial"/>
          <w:i/>
          <w:sz w:val="22"/>
          <w:szCs w:val="22"/>
        </w:rPr>
        <w:t xml:space="preserve"> el Acuerdo de Clasificación de la información que emita en su caso el Comité de Transparencia con motivo de la versión pública.</w:t>
      </w:r>
      <w:r>
        <w:rPr>
          <w:rFonts w:ascii="Palatino Linotype" w:hAnsi="Palatino Linotype"/>
          <w:bCs/>
          <w:i/>
          <w:sz w:val="22"/>
          <w:szCs w:val="22"/>
        </w:rPr>
        <w:t>”</w:t>
      </w:r>
    </w:p>
    <w:p w:rsidR="00B36BB6" w:rsidRDefault="00B36BB6">
      <w:pPr>
        <w:pStyle w:val="Prrafodelista"/>
        <w:widowControl w:val="0"/>
        <w:tabs>
          <w:tab w:val="left" w:pos="1701"/>
        </w:tabs>
        <w:spacing w:before="240" w:afterAutospacing="1"/>
        <w:ind w:left="851" w:right="899"/>
        <w:contextualSpacing/>
        <w:jc w:val="both"/>
        <w:rPr>
          <w:rFonts w:ascii="Palatino Linotype" w:hAnsi="Palatino Linotype"/>
          <w:highlight w:val="white"/>
        </w:rPr>
      </w:pPr>
    </w:p>
    <w:p w:rsidR="00B36BB6" w:rsidRDefault="003C3F8F">
      <w:pPr>
        <w:pStyle w:val="Prrafodelista"/>
        <w:widowControl w:val="0"/>
        <w:numPr>
          <w:ilvl w:val="0"/>
          <w:numId w:val="1"/>
        </w:numPr>
        <w:tabs>
          <w:tab w:val="left" w:pos="1701"/>
        </w:tabs>
        <w:spacing w:before="240" w:line="360" w:lineRule="auto"/>
        <w:ind w:left="0" w:firstLine="0"/>
        <w:jc w:val="both"/>
        <w:rPr>
          <w:rFonts w:ascii="Palatino Linotype" w:hAnsi="Palatino Linotype"/>
          <w:highlight w:val="white"/>
        </w:rPr>
      </w:pPr>
      <w:r>
        <w:rPr>
          <w:rFonts w:ascii="Palatino Linotype" w:hAnsi="Palatino Linotype"/>
          <w:b/>
          <w:szCs w:val="17"/>
          <w:lang w:eastAsia="es-ES_tradnl"/>
        </w:rPr>
        <w:t>Notifíquese</w:t>
      </w:r>
      <w:r>
        <w:rPr>
          <w:rFonts w:ascii="Palatino Linotype" w:hAnsi="Palatino Linotype"/>
          <w:szCs w:val="17"/>
          <w:lang w:eastAsia="es-ES_tradnl"/>
        </w:rPr>
        <w:t xml:space="preserve"> </w:t>
      </w:r>
      <w:r>
        <w:rPr>
          <w:rFonts w:ascii="Palatino Linotype" w:hAnsi="Palatino Linotype"/>
          <w:shd w:val="clear" w:color="auto" w:fill="FFFFFF"/>
        </w:rPr>
        <w:t xml:space="preserve">al </w:t>
      </w:r>
      <w:r>
        <w:rPr>
          <w:rFonts w:ascii="Palatino Linotype" w:hAnsi="Palatino Linotype" w:cs="Arial"/>
        </w:rPr>
        <w:t>Titular</w:t>
      </w:r>
      <w:r>
        <w:rPr>
          <w:rFonts w:ascii="Palatino Linotype" w:hAnsi="Palatino Linotype"/>
          <w:shd w:val="clear" w:color="auto" w:fill="FFFFFF"/>
        </w:rPr>
        <w:t xml:space="preserve"> de la Unidad de Transparencia del</w:t>
      </w:r>
      <w:r>
        <w:rPr>
          <w:rStyle w:val="apple-converted-space"/>
          <w:rFonts w:ascii="Palatino Linotype" w:eastAsiaTheme="majorEastAsia" w:hAnsi="Palatino Linotype"/>
          <w:b/>
          <w:shd w:val="clear" w:color="auto" w:fill="FFFFFF"/>
        </w:rPr>
        <w:t xml:space="preserve"> </w:t>
      </w:r>
      <w:r>
        <w:rPr>
          <w:rFonts w:ascii="Palatino Linotype" w:hAnsi="Palatino Linotype"/>
          <w:b/>
          <w:shd w:val="clear" w:color="auto" w:fill="FFFFFF"/>
        </w:rPr>
        <w:t>SUJETO OBLIGADO</w:t>
      </w:r>
      <w:r>
        <w:rPr>
          <w:rFonts w:ascii="Palatino Linotype" w:hAnsi="Palatino Linotype"/>
          <w:shd w:val="clear" w:color="auto" w:fill="FFFFFF"/>
        </w:rPr>
        <w:t xml:space="preserve"> para que, </w:t>
      </w:r>
      <w:r>
        <w:rPr>
          <w:rFonts w:ascii="Palatino Linotype" w:hAnsi="Palatino Linotype" w:cs="Arial"/>
        </w:rPr>
        <w:t>conforme</w:t>
      </w:r>
      <w:r>
        <w:rPr>
          <w:rFonts w:ascii="Palatino Linotype" w:hAnsi="Palatino Linotype"/>
          <w:shd w:val="clear" w:color="auto" w:fill="FFFFFF"/>
        </w:rPr>
        <w:t xml:space="preserve"> a los artículos 186, último párrafo y 189, párrafo segundo de la Ley de </w:t>
      </w:r>
      <w:r>
        <w:rPr>
          <w:rFonts w:ascii="Palatino Linotype" w:hAnsi="Palatino Linotype"/>
          <w:szCs w:val="17"/>
          <w:lang w:eastAsia="es-ES_tradnl"/>
        </w:rPr>
        <w:t>Transparencia</w:t>
      </w:r>
      <w:r>
        <w:rPr>
          <w:rFonts w:ascii="Palatino Linotype" w:hAnsi="Palatino Linotype"/>
          <w:shd w:val="clear" w:color="auto" w:fill="FFFFFF"/>
        </w:rPr>
        <w:t xml:space="preserve"> y </w:t>
      </w:r>
      <w:r>
        <w:rPr>
          <w:rFonts w:ascii="Palatino Linotype" w:hAnsi="Palatino Linotype" w:cs="Arial"/>
        </w:rPr>
        <w:t>Acceso</w:t>
      </w:r>
      <w:r>
        <w:rPr>
          <w:rFonts w:ascii="Palatino Linotype" w:hAnsi="Palatino Linotype"/>
          <w:shd w:val="clear" w:color="auto" w:fill="FFFFFF"/>
        </w:rPr>
        <w:t xml:space="preserve"> a la Información Pública del Estado de México y Municipios, dé </w:t>
      </w:r>
      <w:r>
        <w:rPr>
          <w:rFonts w:ascii="Palatino Linotype" w:hAnsi="Palatino Linotype" w:cs="Arial"/>
        </w:rPr>
        <w:t>cumplimiento</w:t>
      </w:r>
      <w:r>
        <w:rPr>
          <w:rFonts w:ascii="Palatino Linotype" w:hAnsi="Palatino Linotype"/>
          <w:shd w:val="clear" w:color="auto" w:fill="FFFFFF"/>
        </w:rPr>
        <w:t xml:space="preserve"> a lo ordenado dentro del plazo de diez días hábiles, debiendo informar a este Instituto en un plazo </w:t>
      </w:r>
      <w:r>
        <w:rPr>
          <w:rFonts w:ascii="Palatino Linotype" w:eastAsiaTheme="minorEastAsia" w:hAnsi="Palatino Linotype"/>
          <w:szCs w:val="17"/>
          <w:lang w:eastAsia="es-ES_tradnl"/>
        </w:rPr>
        <w:t>de</w:t>
      </w:r>
      <w:r>
        <w:rPr>
          <w:rFonts w:ascii="Palatino Linotype" w:hAnsi="Palatino Linotype"/>
          <w:shd w:val="clear" w:color="auto" w:fill="FFFFFF"/>
        </w:rPr>
        <w:t xml:space="preserve"> tres días hábiles siguientes sobre el cumplimiento dado a la resolución.</w:t>
      </w:r>
    </w:p>
    <w:p w:rsidR="00B36BB6" w:rsidRDefault="003C3F8F">
      <w:pPr>
        <w:pStyle w:val="Prrafodelista"/>
        <w:widowControl w:val="0"/>
        <w:numPr>
          <w:ilvl w:val="0"/>
          <w:numId w:val="1"/>
        </w:numPr>
        <w:tabs>
          <w:tab w:val="left" w:pos="1701"/>
        </w:tabs>
        <w:spacing w:before="240" w:after="240" w:line="360" w:lineRule="auto"/>
        <w:ind w:left="0" w:firstLine="0"/>
        <w:jc w:val="both"/>
        <w:rPr>
          <w:rFonts w:ascii="Palatino Linotype" w:hAnsi="Palatino Linotype"/>
          <w:szCs w:val="17"/>
          <w:lang w:eastAsia="es-ES_tradnl"/>
        </w:rPr>
      </w:pPr>
      <w:r>
        <w:rPr>
          <w:rFonts w:ascii="Palatino Linotype" w:hAnsi="Palatino Linotype"/>
          <w:b/>
          <w:szCs w:val="17"/>
          <w:lang w:eastAsia="es-ES_tradnl"/>
        </w:rPr>
        <w:t>Notifíquese</w:t>
      </w:r>
      <w:r>
        <w:rPr>
          <w:rFonts w:ascii="Palatino Linotype" w:hAnsi="Palatino Linotype"/>
          <w:szCs w:val="17"/>
          <w:lang w:eastAsia="es-ES_tradnl"/>
        </w:rPr>
        <w:t xml:space="preserve"> al</w:t>
      </w:r>
      <w:r>
        <w:rPr>
          <w:rFonts w:ascii="Palatino Linotype" w:hAnsi="Palatino Linotype"/>
          <w:b/>
        </w:rPr>
        <w:t xml:space="preserve"> RECURRENTE</w:t>
      </w:r>
      <w:r>
        <w:rPr>
          <w:rFonts w:ascii="Palatino Linotype" w:hAnsi="Palatino Linotype"/>
          <w:szCs w:val="17"/>
          <w:lang w:eastAsia="es-ES_tradnl"/>
        </w:rPr>
        <w:t xml:space="preserve"> la </w:t>
      </w:r>
      <w:r>
        <w:rPr>
          <w:rFonts w:ascii="Palatino Linotype" w:hAnsi="Palatino Linotype" w:cs="Arial"/>
        </w:rPr>
        <w:t>presente</w:t>
      </w:r>
      <w:r>
        <w:rPr>
          <w:rFonts w:ascii="Palatino Linotype" w:hAnsi="Palatino Linotype"/>
          <w:szCs w:val="17"/>
          <w:lang w:eastAsia="es-ES_tradnl"/>
        </w:rPr>
        <w:t xml:space="preserve"> </w:t>
      </w:r>
      <w:r>
        <w:rPr>
          <w:rFonts w:ascii="Palatino Linotype" w:hAnsi="Palatino Linotype"/>
          <w:shd w:val="clear" w:color="auto" w:fill="FFFFFF"/>
        </w:rPr>
        <w:t>resolución</w:t>
      </w:r>
      <w:r>
        <w:rPr>
          <w:rFonts w:ascii="Palatino Linotype" w:hAnsi="Palatino Linotype"/>
          <w:szCs w:val="17"/>
          <w:lang w:eastAsia="es-ES_tradnl"/>
        </w:rPr>
        <w:t>.</w:t>
      </w:r>
    </w:p>
    <w:p w:rsidR="00B36BB6" w:rsidRDefault="003C3F8F">
      <w:pPr>
        <w:pStyle w:val="Prrafodelista"/>
        <w:widowControl w:val="0"/>
        <w:numPr>
          <w:ilvl w:val="0"/>
          <w:numId w:val="1"/>
        </w:numPr>
        <w:tabs>
          <w:tab w:val="left" w:pos="1701"/>
        </w:tabs>
        <w:spacing w:before="240" w:after="240" w:line="360" w:lineRule="auto"/>
        <w:ind w:left="0" w:right="49" w:firstLine="0"/>
        <w:jc w:val="both"/>
        <w:rPr>
          <w:rFonts w:ascii="Palatino Linotype" w:hAnsi="Palatino Linotype"/>
          <w:color w:val="222222"/>
          <w:szCs w:val="17"/>
          <w:lang w:eastAsia="es-ES_tradnl"/>
        </w:rPr>
      </w:pPr>
      <w:r>
        <w:rPr>
          <w:rFonts w:ascii="Palatino Linotype" w:hAnsi="Palatino Linotype"/>
          <w:b/>
          <w:szCs w:val="17"/>
          <w:lang w:eastAsia="es-ES_tradnl"/>
        </w:rPr>
        <w:t>Hágase</w:t>
      </w:r>
      <w:r>
        <w:rPr>
          <w:rFonts w:ascii="Palatino Linotype" w:hAnsi="Palatino Linotype"/>
          <w:szCs w:val="17"/>
          <w:lang w:eastAsia="es-ES_tradnl"/>
        </w:rPr>
        <w:t xml:space="preserve"> </w:t>
      </w:r>
      <w:r>
        <w:rPr>
          <w:rFonts w:ascii="Palatino Linotype" w:hAnsi="Palatino Linotype"/>
          <w:b/>
          <w:szCs w:val="17"/>
          <w:lang w:eastAsia="es-ES_tradnl"/>
        </w:rPr>
        <w:t>del conocimiento</w:t>
      </w:r>
      <w:r>
        <w:rPr>
          <w:rFonts w:ascii="Palatino Linotype" w:hAnsi="Palatino Linotype"/>
          <w:szCs w:val="17"/>
          <w:lang w:eastAsia="es-ES_tradnl"/>
        </w:rPr>
        <w:t xml:space="preserve"> </w:t>
      </w:r>
      <w:r>
        <w:rPr>
          <w:rFonts w:ascii="Palatino Linotype" w:hAnsi="Palatino Linotype"/>
        </w:rPr>
        <w:t>del</w:t>
      </w:r>
      <w:r>
        <w:rPr>
          <w:rFonts w:ascii="Palatino Linotype" w:hAnsi="Palatino Linotype"/>
          <w:b/>
        </w:rPr>
        <w:t xml:space="preserve"> RECURRENTE</w:t>
      </w:r>
      <w:r>
        <w:rPr>
          <w:rFonts w:ascii="Palatino Linotype" w:hAnsi="Palatino Linotype"/>
        </w:rPr>
        <w:t xml:space="preserve"> </w:t>
      </w:r>
      <w:r>
        <w:rPr>
          <w:rFonts w:ascii="Palatino Linotype" w:hAnsi="Palatino Linotype"/>
          <w:szCs w:val="17"/>
          <w:lang w:eastAsia="es-ES_tradnl"/>
        </w:rPr>
        <w:t xml:space="preserve">que, de conformidad </w:t>
      </w:r>
      <w:r>
        <w:rPr>
          <w:rFonts w:ascii="Palatino Linotype" w:hAnsi="Palatino Linotype" w:cs="Arial"/>
        </w:rPr>
        <w:t>con</w:t>
      </w:r>
      <w:r>
        <w:rPr>
          <w:rFonts w:ascii="Palatino Linotype" w:hAnsi="Palatino Linotype"/>
          <w:szCs w:val="17"/>
          <w:lang w:eastAsia="es-ES_tradnl"/>
        </w:rPr>
        <w:t xml:space="preserve"> lo </w:t>
      </w:r>
      <w:r>
        <w:rPr>
          <w:rFonts w:ascii="Palatino Linotype" w:hAnsi="Palatino Linotype" w:cs="Arial"/>
        </w:rPr>
        <w:t>establecido</w:t>
      </w:r>
      <w:r>
        <w:rPr>
          <w:rFonts w:ascii="Palatino Linotype" w:hAnsi="Palatino Linotype"/>
          <w:szCs w:val="17"/>
          <w:lang w:eastAsia="es-ES_tradnl"/>
        </w:rPr>
        <w:t xml:space="preserve"> en el artículo 196 de la Ley de </w:t>
      </w:r>
      <w:r>
        <w:rPr>
          <w:rFonts w:ascii="Palatino Linotype" w:hAnsi="Palatino Linotype" w:cs="Arial"/>
        </w:rPr>
        <w:t>Transparencia</w:t>
      </w:r>
      <w:r>
        <w:rPr>
          <w:rFonts w:ascii="Palatino Linotype" w:hAnsi="Palatino Linotype"/>
          <w:szCs w:val="17"/>
          <w:lang w:eastAsia="es-ES_tradnl"/>
        </w:rPr>
        <w:t xml:space="preserve"> y </w:t>
      </w:r>
      <w:r>
        <w:rPr>
          <w:rFonts w:ascii="Palatino Linotype" w:hAnsi="Palatino Linotype" w:cs="Arial"/>
        </w:rPr>
        <w:t>Acceso</w:t>
      </w:r>
      <w:r>
        <w:rPr>
          <w:rFonts w:ascii="Palatino Linotype" w:hAnsi="Palatino Linotype"/>
          <w:szCs w:val="17"/>
          <w:lang w:eastAsia="es-ES_tradnl"/>
        </w:rPr>
        <w:t xml:space="preserve"> a la Información </w:t>
      </w:r>
      <w:r>
        <w:rPr>
          <w:rFonts w:ascii="Palatino Linotype" w:hAnsi="Palatino Linotype"/>
          <w:lang w:eastAsia="es-ES_tradnl"/>
        </w:rPr>
        <w:t>Pública</w:t>
      </w:r>
      <w:r>
        <w:rPr>
          <w:rFonts w:ascii="Palatino Linotype" w:hAnsi="Palatino Linotype"/>
          <w:szCs w:val="17"/>
          <w:lang w:eastAsia="es-ES_tradnl"/>
        </w:rPr>
        <w:t xml:space="preserve"> del Estado de México y Municipios, podrá impugnarla vía Juicio de Amparo en los términos de las leyes aplicables.</w:t>
      </w:r>
    </w:p>
    <w:p w:rsidR="00B36BB6" w:rsidRDefault="003C3F8F">
      <w:pPr>
        <w:pStyle w:val="Prrafodelista"/>
        <w:widowControl w:val="0"/>
        <w:numPr>
          <w:ilvl w:val="0"/>
          <w:numId w:val="1"/>
        </w:numPr>
        <w:spacing w:before="120" w:after="120" w:line="360" w:lineRule="auto"/>
        <w:ind w:left="0" w:firstLine="0"/>
        <w:jc w:val="both"/>
        <w:rPr>
          <w:rFonts w:ascii="Palatino Linotype" w:hAnsi="Palatino Linotype"/>
          <w:highlight w:val="white"/>
        </w:rPr>
      </w:pP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B36BB6" w:rsidRDefault="00B36BB6">
      <w:pPr>
        <w:widowControl w:val="0"/>
        <w:tabs>
          <w:tab w:val="left" w:pos="1701"/>
        </w:tabs>
        <w:spacing w:before="120" w:after="120" w:line="360" w:lineRule="auto"/>
        <w:jc w:val="both"/>
        <w:rPr>
          <w:rFonts w:ascii="Palatino Linotype" w:hAnsi="Palatino Linotype"/>
          <w:sz w:val="10"/>
          <w:lang w:eastAsia="es-ES_tradnl"/>
        </w:rPr>
      </w:pPr>
    </w:p>
    <w:p w:rsidR="00B36BB6" w:rsidRDefault="003C3F8F">
      <w:pPr>
        <w:pStyle w:val="Prrafodelista"/>
        <w:widowControl w:val="0"/>
        <w:tabs>
          <w:tab w:val="left" w:pos="1701"/>
          <w:tab w:val="left" w:pos="2268"/>
        </w:tabs>
        <w:spacing w:before="120" w:after="120" w:line="360" w:lineRule="auto"/>
        <w:ind w:left="0"/>
        <w:jc w:val="both"/>
        <w:rPr>
          <w:rFonts w:ascii="Palatino Linotype" w:hAnsi="Palatino Linotype" w:cs="Arial"/>
          <w:color w:val="000000" w:themeColor="text1"/>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color w:val="000000" w:themeColor="text1"/>
          <w:lang w:val="es-ES_tradnl"/>
        </w:rPr>
        <w:t xml:space="preserve">JOSÉ GUADALUPE LUNA HERNÁNDEZ, </w:t>
      </w:r>
      <w:r>
        <w:rPr>
          <w:rFonts w:ascii="Palatino Linotype" w:hAnsi="Palatino Linotype" w:cs="Arial"/>
          <w:color w:val="000000" w:themeColor="text1"/>
        </w:rPr>
        <w:t>JAVIER MARTÍNEZ CRUZ y LUIS GUSTAVO PARRA NORIEGA; EN LA DÉCIMA CUARTA SESIÓN ORDINARIA CELEBRADA EL DIECINUEVE DE AGOSTO DE DOS MIL VEINTE, ANTE EL SECRETARIO TÉCNICO DEL PLENO ALEXIS TAPIA RAMÍREZ.</w:t>
      </w:r>
    </w:p>
    <w:tbl>
      <w:tblPr>
        <w:tblW w:w="10368" w:type="dxa"/>
        <w:jc w:val="center"/>
        <w:tblLook w:val="04A0" w:firstRow="1" w:lastRow="0" w:firstColumn="1" w:lastColumn="0" w:noHBand="0" w:noVBand="1"/>
      </w:tblPr>
      <w:tblGrid>
        <w:gridCol w:w="5187"/>
        <w:gridCol w:w="5181"/>
      </w:tblGrid>
      <w:tr w:rsidR="00B36BB6">
        <w:trPr>
          <w:jc w:val="center"/>
        </w:trPr>
        <w:tc>
          <w:tcPr>
            <w:tcW w:w="10367" w:type="dxa"/>
            <w:gridSpan w:val="2"/>
          </w:tcPr>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B36BB6" w:rsidRDefault="003C3F8F">
            <w:pPr>
              <w:jc w:val="center"/>
              <w:rPr>
                <w:rFonts w:ascii="Palatino Linotype" w:hAnsi="Palatino Linotype" w:cs="Arial"/>
                <w:b/>
                <w:lang w:val="es-ES_tradnl"/>
              </w:rPr>
            </w:pPr>
            <w:r>
              <w:rPr>
                <w:rFonts w:ascii="Palatino Linotype" w:hAnsi="Palatino Linotype" w:cs="Arial"/>
                <w:b/>
                <w:lang w:val="es-ES_tradnl"/>
              </w:rPr>
              <w:t>Zulema Martínez Sánchez</w:t>
            </w:r>
          </w:p>
          <w:p w:rsidR="00B36BB6" w:rsidRDefault="003C3F8F">
            <w:pPr>
              <w:jc w:val="center"/>
              <w:rPr>
                <w:rFonts w:ascii="Palatino Linotype" w:hAnsi="Palatino Linotype" w:cs="Arial"/>
                <w:b/>
                <w:lang w:val="es-ES_tradnl"/>
              </w:rPr>
            </w:pPr>
            <w:r>
              <w:rPr>
                <w:rFonts w:ascii="Palatino Linotype" w:hAnsi="Palatino Linotype" w:cs="Arial"/>
                <w:lang w:val="es-ES_tradnl"/>
              </w:rPr>
              <w:t>Comisionada Presidenta</w:t>
            </w:r>
          </w:p>
          <w:p w:rsidR="00B36BB6" w:rsidRDefault="003C3F8F">
            <w:pPr>
              <w:jc w:val="center"/>
              <w:rPr>
                <w:rFonts w:ascii="Palatino Linotype" w:hAnsi="Palatino Linotype" w:cs="Arial"/>
                <w:b/>
                <w:lang w:val="es-ES_tradnl"/>
              </w:rPr>
            </w:pPr>
            <w:r>
              <w:rPr>
                <w:rFonts w:ascii="Palatino Linotype" w:hAnsi="Palatino Linotype" w:cs="Arial"/>
                <w:b/>
                <w:lang w:val="es-ES_tradnl"/>
              </w:rPr>
              <w:t>(RÚBRICA)</w:t>
            </w:r>
          </w:p>
        </w:tc>
      </w:tr>
      <w:tr w:rsidR="00B36BB6">
        <w:trPr>
          <w:jc w:val="center"/>
        </w:trPr>
        <w:tc>
          <w:tcPr>
            <w:tcW w:w="5186" w:type="dxa"/>
          </w:tcPr>
          <w:p w:rsidR="00B36BB6" w:rsidRDefault="00B36BB6">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B36BB6" w:rsidRDefault="003C3F8F">
            <w:pPr>
              <w:jc w:val="center"/>
              <w:rPr>
                <w:rFonts w:ascii="Palatino Linotype" w:hAnsi="Palatino Linotype" w:cs="Arial"/>
                <w:b/>
                <w:lang w:val="es-ES_tradnl"/>
              </w:rPr>
            </w:pPr>
            <w:r>
              <w:rPr>
                <w:rFonts w:ascii="Palatino Linotype" w:hAnsi="Palatino Linotype" w:cs="Arial"/>
                <w:b/>
                <w:lang w:val="es-ES_tradnl"/>
              </w:rPr>
              <w:t>Eva Abaid Yapur</w:t>
            </w:r>
          </w:p>
          <w:p w:rsidR="00B36BB6" w:rsidRDefault="003C3F8F">
            <w:pPr>
              <w:jc w:val="center"/>
              <w:rPr>
                <w:rFonts w:ascii="Palatino Linotype" w:hAnsi="Palatino Linotype" w:cs="Arial"/>
                <w:lang w:val="es-ES_tradnl"/>
              </w:rPr>
            </w:pPr>
            <w:r>
              <w:rPr>
                <w:rFonts w:ascii="Palatino Linotype" w:hAnsi="Palatino Linotype" w:cs="Arial"/>
                <w:lang w:val="es-ES_tradnl"/>
              </w:rPr>
              <w:t>Comisionada</w:t>
            </w:r>
          </w:p>
          <w:p w:rsidR="00B36BB6" w:rsidRDefault="003C3F8F">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B36BB6" w:rsidRDefault="00B36BB6">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B36BB6" w:rsidRDefault="003C3F8F">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B36BB6" w:rsidRDefault="003C3F8F">
            <w:pPr>
              <w:jc w:val="center"/>
              <w:rPr>
                <w:rFonts w:ascii="Palatino Linotype" w:hAnsi="Palatino Linotype" w:cs="Arial"/>
                <w:lang w:val="es-ES_tradnl"/>
              </w:rPr>
            </w:pPr>
            <w:r>
              <w:rPr>
                <w:rFonts w:ascii="Palatino Linotype" w:hAnsi="Palatino Linotype" w:cs="Arial"/>
                <w:lang w:val="es-ES_tradnl"/>
              </w:rPr>
              <w:t>Comisionado</w:t>
            </w:r>
          </w:p>
          <w:p w:rsidR="00B36BB6" w:rsidRDefault="003C3F8F">
            <w:pPr>
              <w:jc w:val="center"/>
              <w:rPr>
                <w:rFonts w:ascii="Palatino Linotype" w:hAnsi="Palatino Linotype" w:cs="Arial"/>
                <w:b/>
                <w:lang w:val="es-ES_tradnl"/>
              </w:rPr>
            </w:pPr>
            <w:r>
              <w:rPr>
                <w:rFonts w:ascii="Palatino Linotype" w:hAnsi="Palatino Linotype" w:cs="Arial"/>
                <w:b/>
                <w:lang w:val="es-ES_tradnl"/>
              </w:rPr>
              <w:t>(RÚBRICA)</w:t>
            </w:r>
          </w:p>
        </w:tc>
      </w:tr>
      <w:tr w:rsidR="00B36BB6">
        <w:trPr>
          <w:jc w:val="center"/>
        </w:trPr>
        <w:tc>
          <w:tcPr>
            <w:tcW w:w="5186" w:type="dxa"/>
          </w:tcPr>
          <w:p w:rsidR="00B36BB6" w:rsidRDefault="00B36BB6">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B36BB6" w:rsidRDefault="003C3F8F">
            <w:pPr>
              <w:jc w:val="center"/>
              <w:rPr>
                <w:rFonts w:ascii="Palatino Linotype" w:hAnsi="Palatino Linotype" w:cs="Arial"/>
                <w:b/>
                <w:lang w:val="es-ES_tradnl"/>
              </w:rPr>
            </w:pPr>
            <w:r>
              <w:rPr>
                <w:rFonts w:ascii="Palatino Linotype" w:hAnsi="Palatino Linotype" w:cs="Arial"/>
                <w:b/>
                <w:lang w:val="es-ES_tradnl"/>
              </w:rPr>
              <w:t>Javier Martínez Cruz</w:t>
            </w:r>
          </w:p>
          <w:p w:rsidR="00B36BB6" w:rsidRDefault="003C3F8F">
            <w:pPr>
              <w:jc w:val="center"/>
              <w:rPr>
                <w:rFonts w:ascii="Palatino Linotype" w:hAnsi="Palatino Linotype" w:cs="Arial"/>
                <w:lang w:val="es-ES_tradnl"/>
              </w:rPr>
            </w:pPr>
            <w:r>
              <w:rPr>
                <w:rFonts w:ascii="Palatino Linotype" w:hAnsi="Palatino Linotype" w:cs="Arial"/>
                <w:lang w:val="es-ES_tradnl"/>
              </w:rPr>
              <w:t>Comisionado</w:t>
            </w:r>
          </w:p>
          <w:p w:rsidR="00B36BB6" w:rsidRDefault="003C3F8F">
            <w:pPr>
              <w:jc w:val="center"/>
              <w:rPr>
                <w:rFonts w:ascii="Palatino Linotype" w:hAnsi="Palatino Linotype" w:cs="Arial"/>
                <w:b/>
                <w:lang w:val="es-ES_tradnl"/>
              </w:rPr>
            </w:pPr>
            <w:r>
              <w:rPr>
                <w:rFonts w:ascii="Palatino Linotype" w:hAnsi="Palatino Linotype" w:cs="Arial"/>
                <w:b/>
                <w:lang w:val="es-ES_tradnl"/>
              </w:rPr>
              <w:t>(RÚBRICA)</w:t>
            </w:r>
          </w:p>
        </w:tc>
        <w:tc>
          <w:tcPr>
            <w:tcW w:w="5181" w:type="dxa"/>
          </w:tcPr>
          <w:p w:rsidR="00B36BB6" w:rsidRDefault="00B36BB6">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B36BB6" w:rsidRDefault="003C3F8F">
            <w:pPr>
              <w:jc w:val="center"/>
              <w:rPr>
                <w:rFonts w:ascii="Palatino Linotype" w:hAnsi="Palatino Linotype" w:cs="Arial"/>
                <w:b/>
                <w:lang w:val="es-ES_tradnl"/>
              </w:rPr>
            </w:pPr>
            <w:r>
              <w:rPr>
                <w:rFonts w:ascii="Palatino Linotype" w:hAnsi="Palatino Linotype" w:cs="Arial"/>
                <w:b/>
                <w:lang w:val="es-ES_tradnl"/>
              </w:rPr>
              <w:t>Luis Gustavo Parra Noriega</w:t>
            </w:r>
          </w:p>
          <w:p w:rsidR="00B36BB6" w:rsidRDefault="003C3F8F">
            <w:pPr>
              <w:jc w:val="center"/>
              <w:rPr>
                <w:rFonts w:ascii="Palatino Linotype" w:hAnsi="Palatino Linotype" w:cs="Arial"/>
                <w:lang w:val="es-ES_tradnl"/>
              </w:rPr>
            </w:pPr>
            <w:r>
              <w:rPr>
                <w:rFonts w:ascii="Palatino Linotype" w:hAnsi="Palatino Linotype" w:cs="Arial"/>
                <w:lang w:val="es-ES_tradnl"/>
              </w:rPr>
              <w:t>Comisionado</w:t>
            </w:r>
          </w:p>
          <w:p w:rsidR="00B36BB6" w:rsidRDefault="003C3F8F">
            <w:pPr>
              <w:jc w:val="center"/>
              <w:rPr>
                <w:rFonts w:ascii="Palatino Linotype" w:hAnsi="Palatino Linotype" w:cs="Arial"/>
                <w:b/>
                <w:lang w:val="es-ES_tradnl"/>
              </w:rPr>
            </w:pPr>
            <w:r>
              <w:rPr>
                <w:rFonts w:ascii="Palatino Linotype" w:hAnsi="Palatino Linotype" w:cs="Arial"/>
                <w:b/>
                <w:lang w:val="es-ES_tradnl"/>
              </w:rPr>
              <w:t>(RÚBRICA)</w:t>
            </w:r>
          </w:p>
        </w:tc>
      </w:tr>
      <w:tr w:rsidR="00B36BB6">
        <w:trPr>
          <w:jc w:val="center"/>
        </w:trPr>
        <w:tc>
          <w:tcPr>
            <w:tcW w:w="10367" w:type="dxa"/>
            <w:gridSpan w:val="2"/>
          </w:tcPr>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FB7851" w:rsidRDefault="00FB7851">
            <w:pPr>
              <w:jc w:val="center"/>
              <w:rPr>
                <w:rFonts w:ascii="Palatino Linotype" w:hAnsi="Palatino Linotype" w:cs="Arial"/>
                <w:b/>
                <w:lang w:val="es-ES_tradnl"/>
              </w:rPr>
            </w:pPr>
          </w:p>
          <w:p w:rsidR="00B36BB6" w:rsidRDefault="003C3F8F">
            <w:pPr>
              <w:jc w:val="center"/>
              <w:rPr>
                <w:rFonts w:ascii="Palatino Linotype" w:hAnsi="Palatino Linotype" w:cs="Arial"/>
                <w:b/>
                <w:lang w:val="es-ES_tradnl"/>
              </w:rPr>
            </w:pPr>
            <w:r>
              <w:rPr>
                <w:rFonts w:ascii="Palatino Linotype" w:hAnsi="Palatino Linotype" w:cs="Arial"/>
                <w:b/>
                <w:lang w:val="es-ES_tradnl"/>
              </w:rPr>
              <w:t>Alexis Tapia Ramírez</w:t>
            </w:r>
          </w:p>
          <w:p w:rsidR="00B36BB6" w:rsidRDefault="003C3F8F">
            <w:pPr>
              <w:jc w:val="center"/>
              <w:rPr>
                <w:rFonts w:ascii="Palatino Linotype" w:hAnsi="Palatino Linotype" w:cs="Arial"/>
                <w:lang w:val="es-ES_tradnl"/>
              </w:rPr>
            </w:pPr>
            <w:r>
              <w:rPr>
                <w:rFonts w:ascii="Palatino Linotype" w:hAnsi="Palatino Linotype" w:cs="Arial"/>
                <w:lang w:val="es-ES_tradnl"/>
              </w:rPr>
              <w:t>Secretario Técnico del Pleno</w:t>
            </w:r>
          </w:p>
          <w:p w:rsidR="00B36BB6" w:rsidRDefault="003C3F8F">
            <w:pPr>
              <w:jc w:val="center"/>
              <w:rPr>
                <w:rFonts w:ascii="Palatino Linotype" w:hAnsi="Palatino Linotype" w:cs="Arial"/>
                <w:lang w:val="es-ES_tradnl"/>
              </w:rPr>
            </w:pPr>
            <w:r>
              <w:rPr>
                <w:rFonts w:ascii="Palatino Linotype" w:hAnsi="Palatino Linotype" w:cs="Arial"/>
                <w:b/>
                <w:lang w:val="es-ES_tradnl"/>
              </w:rPr>
              <w:t>(RÚBRICA)</w:t>
            </w:r>
          </w:p>
        </w:tc>
      </w:tr>
    </w:tbl>
    <w:p w:rsidR="00B36BB6" w:rsidRDefault="00B36BB6">
      <w:pPr>
        <w:ind w:right="49"/>
        <w:jc w:val="both"/>
        <w:rPr>
          <w:rFonts w:ascii="Palatino Linotype" w:hAnsi="Palatino Linotype"/>
          <w:sz w:val="20"/>
          <w:lang w:val="es-ES_tradnl"/>
        </w:rPr>
      </w:pPr>
    </w:p>
    <w:p w:rsidR="00FB7851" w:rsidRDefault="00FB7851">
      <w:pPr>
        <w:ind w:right="49"/>
        <w:jc w:val="both"/>
        <w:rPr>
          <w:rFonts w:ascii="Palatino Linotype" w:hAnsi="Palatino Linotype"/>
          <w:sz w:val="20"/>
          <w:lang w:val="es-ES_tradnl"/>
        </w:rPr>
      </w:pPr>
    </w:p>
    <w:p w:rsidR="00FB7851" w:rsidRDefault="00FB7851">
      <w:pPr>
        <w:ind w:right="49"/>
        <w:jc w:val="both"/>
        <w:rPr>
          <w:rFonts w:ascii="Palatino Linotype" w:hAnsi="Palatino Linotype"/>
          <w:sz w:val="20"/>
          <w:lang w:val="es-ES_tradnl"/>
        </w:rPr>
      </w:pPr>
    </w:p>
    <w:p w:rsidR="00B36BB6" w:rsidRDefault="003C3F8F">
      <w:pPr>
        <w:ind w:right="49"/>
        <w:jc w:val="both"/>
        <w:rPr>
          <w:rFonts w:ascii="Palatino Linotype" w:hAnsi="Palatino Linotype"/>
          <w:sz w:val="20"/>
          <w:lang w:val="es-ES_tradnl"/>
        </w:rPr>
      </w:pPr>
      <w:r>
        <w:rPr>
          <w:rFonts w:ascii="Palatino Linotype" w:hAnsi="Palatino Linotype"/>
          <w:sz w:val="20"/>
          <w:lang w:val="es-ES_tradnl"/>
        </w:rPr>
        <w:t>Esta hoja corresponde a la resolución del diecinueve de agosto de dos mil veinte, emitida en el recurso de revisión 01067/INFOEM/IP/RR/2020.</w:t>
      </w:r>
    </w:p>
    <w:p w:rsidR="00B36BB6" w:rsidRDefault="003C3F8F">
      <w:pPr>
        <w:spacing w:beforeAutospacing="1" w:afterAutospacing="1" w:line="360" w:lineRule="auto"/>
        <w:ind w:right="49"/>
        <w:jc w:val="both"/>
        <w:rPr>
          <w:rFonts w:ascii="Palatino Linotype" w:hAnsi="Palatino Linotype" w:cs="Arial"/>
        </w:rPr>
      </w:pPr>
      <w:r>
        <w:rPr>
          <w:rFonts w:ascii="Palatino Linotype" w:hAnsi="Palatino Linotype" w:cs="Arial"/>
          <w:sz w:val="20"/>
          <w:szCs w:val="20"/>
          <w:lang w:val="es-ES_tradnl"/>
        </w:rPr>
        <w:t>YSM/LAGO</w:t>
      </w:r>
    </w:p>
    <w:sectPr w:rsidR="00B36BB6">
      <w:headerReference w:type="default" r:id="rId27"/>
      <w:footerReference w:type="default" r:id="rId28"/>
      <w:headerReference w:type="first" r:id="rId29"/>
      <w:footerReference w:type="first" r:id="rId30"/>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F8F" w:rsidRDefault="003C3F8F">
      <w:r>
        <w:separator/>
      </w:r>
    </w:p>
  </w:endnote>
  <w:endnote w:type="continuationSeparator" w:id="0">
    <w:p w:rsidR="003C3F8F" w:rsidRDefault="003C3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6" w:rsidRDefault="003C3F8F">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BD2345">
      <w:rPr>
        <w:rFonts w:ascii="Palatino Linotype" w:hAnsi="Palatino Linotype" w:cs="Arial"/>
        <w:bCs/>
        <w:noProof/>
        <w:sz w:val="22"/>
        <w:szCs w:val="22"/>
      </w:rPr>
      <w:t>44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BD2345">
      <w:rPr>
        <w:rFonts w:ascii="Palatino Linotype" w:hAnsi="Palatino Linotype" w:cs="Arial"/>
        <w:bCs/>
        <w:noProof/>
        <w:sz w:val="22"/>
        <w:szCs w:val="22"/>
      </w:rPr>
      <w:t>46</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6" w:rsidRDefault="003C3F8F">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BD2345">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BD2345">
      <w:rPr>
        <w:rFonts w:ascii="Palatino Linotype" w:hAnsi="Palatino Linotype" w:cs="Arial"/>
        <w:bCs/>
        <w:noProof/>
        <w:sz w:val="22"/>
        <w:szCs w:val="22"/>
      </w:rPr>
      <w:t>46</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F8F" w:rsidRDefault="003C3F8F">
      <w:pPr>
        <w:rPr>
          <w:sz w:val="12"/>
        </w:rPr>
      </w:pPr>
      <w:r>
        <w:separator/>
      </w:r>
    </w:p>
  </w:footnote>
  <w:footnote w:type="continuationSeparator" w:id="0">
    <w:p w:rsidR="003C3F8F" w:rsidRDefault="003C3F8F">
      <w:pPr>
        <w:rPr>
          <w:sz w:val="12"/>
        </w:rPr>
      </w:pPr>
      <w:r>
        <w:continuationSeparator/>
      </w:r>
    </w:p>
  </w:footnote>
  <w:footnote w:id="1">
    <w:p w:rsidR="00B36BB6" w:rsidRDefault="003C3F8F">
      <w:pPr>
        <w:pStyle w:val="Textonotapie"/>
      </w:pPr>
      <w:r>
        <w:rPr>
          <w:rStyle w:val="Caracteresdenotaalpie"/>
        </w:rPr>
        <w:footnoteRef/>
      </w:r>
      <w:r>
        <w:t xml:space="preserve"> Información consultable en la liga electrónica </w:t>
      </w:r>
      <w:hyperlink r:id="rId1">
        <w:r>
          <w:rPr>
            <w:rStyle w:val="EnlacedeInternet"/>
          </w:rPr>
          <w:t>https://www.ipomex.org.mx/recursos/ipo/files_ipo3/2019/43021/11/63c115fd70ae14afc9786ca874abe443.pdf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6" w:rsidRDefault="00B36BB6">
    <w:pPr>
      <w:pStyle w:val="Encabezado"/>
      <w:tabs>
        <w:tab w:val="clear" w:pos="4252"/>
        <w:tab w:val="clear" w:pos="8504"/>
        <w:tab w:val="left" w:pos="2326"/>
      </w:tabs>
      <w:rPr>
        <w:rFonts w:ascii="Palatino Linotype" w:hAnsi="Palatino Linotype"/>
        <w:sz w:val="28"/>
        <w:szCs w:val="28"/>
      </w:rPr>
    </w:pPr>
  </w:p>
  <w:tbl>
    <w:tblPr>
      <w:tblW w:w="9534" w:type="dxa"/>
      <w:tblInd w:w="-142" w:type="dxa"/>
      <w:tblLook w:val="04A0" w:firstRow="1" w:lastRow="0" w:firstColumn="1" w:lastColumn="0" w:noHBand="0" w:noVBand="1"/>
    </w:tblPr>
    <w:tblGrid>
      <w:gridCol w:w="3253"/>
      <w:gridCol w:w="2557"/>
      <w:gridCol w:w="3724"/>
    </w:tblGrid>
    <w:tr w:rsidR="00B36BB6">
      <w:tc>
        <w:tcPr>
          <w:tcW w:w="3253" w:type="dxa"/>
          <w:vMerge w:val="restart"/>
        </w:tcPr>
        <w:p w:rsidR="00B36BB6" w:rsidRDefault="003C3F8F">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11"/>
                        <pic:cNvPicPr>
                          <a:picLocks noChangeAspect="1" noChangeArrowheads="1"/>
                        </pic:cNvPicPr>
                      </pic:nvPicPr>
                      <pic:blipFill>
                        <a:blip r:embed="rId1"/>
                        <a:stretch>
                          <a:fillRect/>
                        </a:stretch>
                      </pic:blipFill>
                      <pic:spPr bwMode="auto">
                        <a:xfrm>
                          <a:off x="0" y="0"/>
                          <a:ext cx="1663700" cy="838200"/>
                        </a:xfrm>
                        <a:prstGeom prst="rect">
                          <a:avLst/>
                        </a:prstGeom>
                      </pic:spPr>
                    </pic:pic>
                  </a:graphicData>
                </a:graphic>
              </wp:inline>
            </w:drawing>
          </w:r>
          <w:r>
            <w:rPr>
              <w:noProof/>
              <w:lang w:eastAsia="es-MX"/>
            </w:rPr>
            <w:drawing>
              <wp:anchor distT="0" distB="0" distL="0" distR="0" simplePos="0" relativeHeight="42" behindDoc="1" locked="0" layoutInCell="1" allowOverlap="1">
                <wp:simplePos x="0" y="0"/>
                <wp:positionH relativeFrom="column">
                  <wp:posOffset>-144780</wp:posOffset>
                </wp:positionH>
                <wp:positionV relativeFrom="paragraph">
                  <wp:posOffset>250190</wp:posOffset>
                </wp:positionV>
                <wp:extent cx="6858635" cy="9144635"/>
                <wp:effectExtent l="0" t="0" r="0" b="0"/>
                <wp:wrapNone/>
                <wp:docPr id="35"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PictureWatermark2095932798"/>
                        <pic:cNvPicPr>
                          <a:picLocks noChangeAspect="1" noChangeArrowheads="1"/>
                        </pic:cNvPicPr>
                      </pic:nvPicPr>
                      <pic:blipFill>
                        <a:blip r:embed="rId2"/>
                        <a:stretch>
                          <a:fillRect/>
                        </a:stretch>
                      </pic:blipFill>
                      <pic:spPr bwMode="auto">
                        <a:xfrm>
                          <a:off x="0" y="0"/>
                          <a:ext cx="6858635" cy="9144635"/>
                        </a:xfrm>
                        <a:prstGeom prst="rect">
                          <a:avLst/>
                        </a:prstGeom>
                      </pic:spPr>
                    </pic:pic>
                  </a:graphicData>
                </a:graphic>
              </wp:anchor>
            </w:drawing>
          </w:r>
        </w:p>
      </w:tc>
      <w:tc>
        <w:tcPr>
          <w:tcW w:w="2557"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B36BB6" w:rsidRDefault="003C3F8F">
          <w:pPr>
            <w:rPr>
              <w:rFonts w:ascii="Palatino Linotype" w:hAnsi="Palatino Linotype"/>
              <w:b/>
              <w:color w:val="808080" w:themeColor="background1" w:themeShade="80"/>
              <w:lang w:val="es-ES_tradnl"/>
            </w:rPr>
          </w:pPr>
          <w:r>
            <w:rPr>
              <w:rFonts w:ascii="Palatino Linotype" w:hAnsi="Palatino Linotype"/>
              <w:b/>
              <w:lang w:val="es-ES_tradnl"/>
            </w:rPr>
            <w:t>01067/INFOEM/IP/RR/2020</w:t>
          </w:r>
        </w:p>
      </w:tc>
    </w:tr>
    <w:tr w:rsidR="00B36BB6">
      <w:tc>
        <w:tcPr>
          <w:tcW w:w="3253" w:type="dxa"/>
          <w:vMerge/>
        </w:tcPr>
        <w:p w:rsidR="00B36BB6" w:rsidRDefault="00B36BB6">
          <w:pPr>
            <w:rPr>
              <w:rFonts w:ascii="Palatino Linotype" w:hAnsi="Palatino Linotype"/>
              <w:b/>
              <w:sz w:val="22"/>
              <w:szCs w:val="22"/>
              <w:lang w:val="es-ES_tradnl"/>
            </w:rPr>
          </w:pPr>
        </w:p>
      </w:tc>
      <w:tc>
        <w:tcPr>
          <w:tcW w:w="2557"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B36BB6" w:rsidRDefault="003C3F8F">
          <w:pPr>
            <w:rPr>
              <w:rFonts w:ascii="Palatino Linotype" w:hAnsi="Palatino Linotype"/>
              <w:b/>
              <w:color w:val="808080" w:themeColor="background1" w:themeShade="80"/>
              <w:lang w:val="es-ES_tradnl"/>
            </w:rPr>
          </w:pPr>
          <w:r>
            <w:rPr>
              <w:rFonts w:ascii="Palatino Linotype" w:hAnsi="Palatino Linotype"/>
              <w:b/>
              <w:lang w:val="es-ES_tradnl"/>
            </w:rPr>
            <w:t>Organismo Público Descentralizado para la Prestación de Los Servicios de Agua Potable Alcantarillado y Saneamiento de Atizapán de Zaragoza por sus siglas S.A.P.A.S.A.</w:t>
          </w:r>
        </w:p>
      </w:tc>
    </w:tr>
    <w:tr w:rsidR="00B36BB6">
      <w:trPr>
        <w:trHeight w:val="228"/>
      </w:trPr>
      <w:tc>
        <w:tcPr>
          <w:tcW w:w="3253" w:type="dxa"/>
          <w:vMerge/>
        </w:tcPr>
        <w:p w:rsidR="00B36BB6" w:rsidRDefault="00B36BB6">
          <w:pPr>
            <w:rPr>
              <w:rFonts w:ascii="Palatino Linotype" w:hAnsi="Palatino Linotype"/>
              <w:b/>
              <w:sz w:val="22"/>
              <w:szCs w:val="22"/>
              <w:lang w:val="es-ES_tradnl"/>
            </w:rPr>
          </w:pPr>
        </w:p>
      </w:tc>
      <w:tc>
        <w:tcPr>
          <w:tcW w:w="2557"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B36BB6" w:rsidRDefault="003C3F8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B36BB6" w:rsidRDefault="00B36BB6">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6BB6" w:rsidRDefault="003C3F8F">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43" behindDoc="1" locked="0" layoutInCell="1" allowOverlap="1">
          <wp:simplePos x="0" y="0"/>
          <wp:positionH relativeFrom="column">
            <wp:align>center</wp:align>
          </wp:positionH>
          <wp:positionV relativeFrom="margin">
            <wp:align>center</wp:align>
          </wp:positionV>
          <wp:extent cx="6858635" cy="9144635"/>
          <wp:effectExtent l="0" t="0" r="0" b="0"/>
          <wp:wrapNone/>
          <wp:docPr id="36"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0"/>
      <w:gridCol w:w="2548"/>
      <w:gridCol w:w="3692"/>
    </w:tblGrid>
    <w:tr w:rsidR="00B36BB6">
      <w:tc>
        <w:tcPr>
          <w:tcW w:w="4250" w:type="dxa"/>
          <w:vMerge w:val="restart"/>
          <w:shd w:val="clear" w:color="auto" w:fill="auto"/>
        </w:tcPr>
        <w:p w:rsidR="00B36BB6" w:rsidRDefault="003C3F8F">
          <w:pPr>
            <w:rPr>
              <w:rFonts w:ascii="Palatino Linotype" w:hAnsi="Palatino Linotype"/>
              <w:b/>
              <w:sz w:val="22"/>
              <w:szCs w:val="22"/>
              <w:lang w:val="es-ES_tradnl"/>
            </w:rPr>
          </w:pPr>
          <w:r>
            <w:rPr>
              <w:noProof/>
              <w:lang w:eastAsia="es-MX"/>
            </w:rPr>
            <w:drawing>
              <wp:inline distT="0" distB="0" distL="0" distR="0">
                <wp:extent cx="1663700" cy="838200"/>
                <wp:effectExtent l="0" t="0" r="0" b="0"/>
                <wp:docPr id="3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48"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92" w:type="dxa"/>
          <w:shd w:val="clear" w:color="auto" w:fill="auto"/>
          <w:vAlign w:val="center"/>
        </w:tcPr>
        <w:p w:rsidR="00B36BB6" w:rsidRDefault="003C3F8F">
          <w:pPr>
            <w:rPr>
              <w:rFonts w:ascii="Palatino Linotype" w:hAnsi="Palatino Linotype"/>
              <w:b/>
              <w:color w:val="808080" w:themeColor="background1" w:themeShade="80"/>
              <w:lang w:val="es-ES_tradnl"/>
            </w:rPr>
          </w:pPr>
          <w:r>
            <w:rPr>
              <w:rFonts w:ascii="Palatino Linotype" w:hAnsi="Palatino Linotype"/>
              <w:b/>
              <w:lang w:val="es-ES_tradnl"/>
            </w:rPr>
            <w:t xml:space="preserve">01067/INFOEM/IP/RR/2020 </w:t>
          </w:r>
        </w:p>
      </w:tc>
    </w:tr>
    <w:tr w:rsidR="00B36BB6">
      <w:tc>
        <w:tcPr>
          <w:tcW w:w="4250" w:type="dxa"/>
          <w:vMerge/>
          <w:shd w:val="clear" w:color="auto" w:fill="auto"/>
        </w:tcPr>
        <w:p w:rsidR="00B36BB6" w:rsidRDefault="00B36BB6">
          <w:pPr>
            <w:rPr>
              <w:rFonts w:ascii="Palatino Linotype" w:hAnsi="Palatino Linotype"/>
              <w:b/>
              <w:sz w:val="22"/>
              <w:szCs w:val="22"/>
              <w:lang w:val="es-ES_tradnl"/>
            </w:rPr>
          </w:pPr>
        </w:p>
      </w:tc>
      <w:tc>
        <w:tcPr>
          <w:tcW w:w="2548"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92" w:type="dxa"/>
          <w:shd w:val="clear" w:color="auto" w:fill="auto"/>
          <w:vAlign w:val="center"/>
        </w:tcPr>
        <w:p w:rsidR="00B36BB6" w:rsidRDefault="00BD2345">
          <w:pPr>
            <w:rPr>
              <w:rFonts w:ascii="Palatino Linotype" w:hAnsi="Palatino Linotype"/>
              <w:b/>
              <w:color w:val="808080" w:themeColor="background1" w:themeShade="80"/>
              <w:lang w:val="es-ES_tradnl"/>
            </w:rPr>
          </w:pPr>
          <w:r>
            <w:rPr>
              <w:rFonts w:ascii="Palatino Linotype" w:hAnsi="Palatino Linotype"/>
              <w:b/>
              <w:lang w:val="es-ES_tradnl"/>
            </w:rPr>
            <w:t>Xxxxxxx</w:t>
          </w:r>
          <w:r w:rsidR="003C3F8F">
            <w:rPr>
              <w:rFonts w:ascii="Palatino Linotype" w:hAnsi="Palatino Linotype"/>
              <w:b/>
              <w:lang w:val="es-ES_tradnl"/>
            </w:rPr>
            <w:t xml:space="preserve"> </w:t>
          </w:r>
          <w:r>
            <w:rPr>
              <w:rFonts w:ascii="Palatino Linotype" w:hAnsi="Palatino Linotype"/>
              <w:b/>
              <w:lang w:val="es-ES_tradnl"/>
            </w:rPr>
            <w:t>xxxx</w:t>
          </w:r>
          <w:r w:rsidR="003C3F8F">
            <w:rPr>
              <w:rFonts w:ascii="Palatino Linotype" w:hAnsi="Palatino Linotype"/>
              <w:b/>
              <w:lang w:val="es-ES_tradnl"/>
            </w:rPr>
            <w:t xml:space="preserve"> </w:t>
          </w:r>
          <w:r>
            <w:rPr>
              <w:rFonts w:ascii="Palatino Linotype" w:hAnsi="Palatino Linotype"/>
              <w:b/>
              <w:lang w:val="es-ES_tradnl"/>
            </w:rPr>
            <w:t>xxxx</w:t>
          </w:r>
        </w:p>
      </w:tc>
    </w:tr>
    <w:tr w:rsidR="00B36BB6">
      <w:trPr>
        <w:trHeight w:val="228"/>
      </w:trPr>
      <w:tc>
        <w:tcPr>
          <w:tcW w:w="4250" w:type="dxa"/>
          <w:vMerge/>
          <w:shd w:val="clear" w:color="auto" w:fill="auto"/>
        </w:tcPr>
        <w:p w:rsidR="00B36BB6" w:rsidRDefault="00B36BB6">
          <w:pPr>
            <w:rPr>
              <w:rFonts w:ascii="Palatino Linotype" w:hAnsi="Palatino Linotype"/>
              <w:b/>
              <w:sz w:val="22"/>
              <w:szCs w:val="22"/>
              <w:lang w:val="es-ES_tradnl"/>
            </w:rPr>
          </w:pPr>
        </w:p>
      </w:tc>
      <w:tc>
        <w:tcPr>
          <w:tcW w:w="2548"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92" w:type="dxa"/>
          <w:shd w:val="clear" w:color="auto" w:fill="auto"/>
          <w:vAlign w:val="center"/>
        </w:tcPr>
        <w:p w:rsidR="00B36BB6" w:rsidRDefault="003C3F8F">
          <w:pPr>
            <w:ind w:right="181"/>
            <w:jc w:val="both"/>
            <w:rPr>
              <w:rFonts w:ascii="Palatino Linotype" w:hAnsi="Palatino Linotype"/>
              <w:b/>
              <w:color w:val="808080" w:themeColor="background1" w:themeShade="80"/>
              <w:lang w:val="es-ES_tradnl"/>
            </w:rPr>
          </w:pPr>
          <w:r>
            <w:rPr>
              <w:rFonts w:ascii="Palatino Linotype" w:hAnsi="Palatino Linotype"/>
              <w:b/>
              <w:lang w:val="es-ES_tradnl"/>
            </w:rPr>
            <w:t>Organismo Público Descentralizado para la Prestación de Los Servicios de Agua Potable Alcantarillado y Saneamiento de Atizapán de Zaragoza por sus siglas S.A.P.A.S.A.</w:t>
          </w:r>
        </w:p>
      </w:tc>
    </w:tr>
    <w:tr w:rsidR="00B36BB6">
      <w:tc>
        <w:tcPr>
          <w:tcW w:w="4250" w:type="dxa"/>
          <w:vMerge/>
          <w:shd w:val="clear" w:color="auto" w:fill="auto"/>
        </w:tcPr>
        <w:p w:rsidR="00B36BB6" w:rsidRDefault="00B36BB6">
          <w:pPr>
            <w:rPr>
              <w:rFonts w:ascii="Palatino Linotype" w:hAnsi="Palatino Linotype"/>
              <w:b/>
              <w:sz w:val="22"/>
              <w:szCs w:val="22"/>
              <w:lang w:val="es-ES_tradnl"/>
            </w:rPr>
          </w:pPr>
        </w:p>
      </w:tc>
      <w:tc>
        <w:tcPr>
          <w:tcW w:w="2548" w:type="dxa"/>
          <w:shd w:val="clear" w:color="auto" w:fill="auto"/>
        </w:tcPr>
        <w:p w:rsidR="00B36BB6" w:rsidRDefault="003C3F8F">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92" w:type="dxa"/>
          <w:shd w:val="clear" w:color="auto" w:fill="auto"/>
        </w:tcPr>
        <w:p w:rsidR="00B36BB6" w:rsidRDefault="003C3F8F">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B36BB6" w:rsidRDefault="00B36BB6">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54496C"/>
    <w:multiLevelType w:val="multilevel"/>
    <w:tmpl w:val="05200E74"/>
    <w:lvl w:ilvl="0">
      <w:start w:val="1"/>
      <w:numFmt w:val="ordinalText"/>
      <w:lvlText w:val="%1."/>
      <w:lvlJc w:val="left"/>
      <w:pPr>
        <w:ind w:left="720"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8D3012A"/>
    <w:multiLevelType w:val="multilevel"/>
    <w:tmpl w:val="9468D11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BB6"/>
    <w:rsid w:val="003C3F8F"/>
    <w:rsid w:val="00B36BB6"/>
    <w:rsid w:val="00BD2345"/>
    <w:rsid w:val="00FB7851"/>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9EFE2A-A60B-4797-AC33-AEBA30D49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FootnoteAnchor">
    <w:name w:val="Footnote Anchor"/>
    <w:qFormat/>
    <w:rPr>
      <w:vertAlign w:val="superscript"/>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Caracteresdenotaalpie">
    <w:name w:val="Caracteres de nota al pie"/>
    <w:qFormat/>
  </w:style>
  <w:style w:type="character" w:customStyle="1" w:styleId="Ancladenotaalpie">
    <w:name w:val="Ancla de nota al pie"/>
    <w:rPr>
      <w:vertAlign w:val="superscript"/>
    </w:rPr>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qFormat/>
    <w:rsid w:val="0015349A"/>
    <w:rPr>
      <w:rFonts w:ascii="Courier New" w:hAnsi="Courier New"/>
      <w:sz w:val="20"/>
      <w:szCs w:val="20"/>
    </w:rPr>
  </w:style>
  <w:style w:type="paragraph" w:customStyle="1" w:styleId="Standard">
    <w:name w:val="Standard"/>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Autospacing="1" w:afterAutospacing="1"/>
    </w:pPr>
    <w:rPr>
      <w:lang w:eastAsia="es-MX"/>
    </w:rPr>
  </w:style>
  <w:style w:type="paragraph" w:customStyle="1" w:styleId="j">
    <w:name w:val="j"/>
    <w:basedOn w:val="Normal"/>
    <w:qFormat/>
    <w:rsid w:val="001C4E80"/>
    <w:pPr>
      <w:spacing w:beforeAutospacing="1" w:afterAutospacing="1"/>
    </w:pPr>
    <w:rPr>
      <w:lang w:eastAsia="es-MX"/>
    </w:rPr>
  </w:style>
  <w:style w:type="paragraph" w:customStyle="1" w:styleId="m5212863947045306324gmail-msonormal">
    <w:name w:val="m_5212863947045306324gmail-msonormal"/>
    <w:basedOn w:val="Normal"/>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ipomex.org.mx/ipo3/lgt/indice/OASATIZAPANDEZARAGOZA/art_92_xl/1.web" TargetMode="External"/><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ipomex.org.mx/recursos/ipo/files_ipo3/2019/43021/11/63c115fd70ae14afc9786ca874abe443.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AF060-F038-4A2D-9378-D7717BEA5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6416</Words>
  <Characters>35290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luis alberto guadarrama olivares</cp:lastModifiedBy>
  <cp:revision>2</cp:revision>
  <cp:lastPrinted>2020-01-22T19:55:00Z</cp:lastPrinted>
  <dcterms:created xsi:type="dcterms:W3CDTF">2020-08-27T19:15:00Z</dcterms:created>
  <dcterms:modified xsi:type="dcterms:W3CDTF">2020-08-27T19:15:00Z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