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466C8" w14:textId="2F3C6E7C"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995E6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25D94">
        <w:rPr>
          <w:rFonts w:ascii="Palatino Linotype" w:eastAsia="Times New Roman" w:hAnsi="Palatino Linotype" w:cs="Arial"/>
          <w:color w:val="000000"/>
          <w:sz w:val="24"/>
          <w:szCs w:val="24"/>
          <w:lang w:eastAsia="es-MX"/>
        </w:rPr>
        <w:t>doce de agosto</w:t>
      </w:r>
      <w:r w:rsidR="000F13C3" w:rsidRPr="00995E63">
        <w:rPr>
          <w:rFonts w:ascii="Palatino Linotype" w:eastAsia="Times New Roman" w:hAnsi="Palatino Linotype" w:cs="Arial"/>
          <w:color w:val="000000"/>
          <w:sz w:val="24"/>
          <w:szCs w:val="24"/>
          <w:lang w:eastAsia="es-MX"/>
        </w:rPr>
        <w:t xml:space="preserve"> de dos mil veinte.</w:t>
      </w:r>
      <w:r w:rsidR="000F13C3">
        <w:rPr>
          <w:rFonts w:ascii="Palatino Linotype" w:eastAsia="Times New Roman" w:hAnsi="Palatino Linotype" w:cs="Arial"/>
          <w:color w:val="000000"/>
          <w:sz w:val="24"/>
          <w:szCs w:val="24"/>
          <w:lang w:eastAsia="es-MX"/>
        </w:rPr>
        <w:t xml:space="preserve"> </w:t>
      </w:r>
      <w:r w:rsidR="008112F7">
        <w:rPr>
          <w:rFonts w:ascii="Palatino Linotype" w:eastAsia="Times New Roman" w:hAnsi="Palatino Linotype" w:cs="Arial"/>
          <w:color w:val="000000"/>
          <w:sz w:val="24"/>
          <w:szCs w:val="24"/>
          <w:lang w:eastAsia="es-MX"/>
        </w:rPr>
        <w:t xml:space="preserve"> </w:t>
      </w:r>
      <w:r w:rsidR="008D34AC">
        <w:rPr>
          <w:rFonts w:ascii="Palatino Linotype" w:eastAsia="Times New Roman" w:hAnsi="Palatino Linotype" w:cs="Arial"/>
          <w:color w:val="000000"/>
          <w:sz w:val="24"/>
          <w:szCs w:val="24"/>
          <w:lang w:eastAsia="es-MX"/>
        </w:rPr>
        <w:t xml:space="preserve"> </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1066486" w14:textId="631A3B46" w:rsidR="00A930BB" w:rsidRPr="00A930BB" w:rsidRDefault="002E076A" w:rsidP="000F13C3">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8112F7">
        <w:rPr>
          <w:rFonts w:ascii="Palatino Linotype" w:hAnsi="Palatino Linotype" w:cs="Arial"/>
          <w:b/>
          <w:bCs/>
          <w:sz w:val="24"/>
          <w:lang w:eastAsia="es-MX"/>
        </w:rPr>
        <w:t>0</w:t>
      </w:r>
      <w:r w:rsidR="00A930BB">
        <w:rPr>
          <w:rFonts w:ascii="Palatino Linotype" w:hAnsi="Palatino Linotype" w:cs="Arial"/>
          <w:b/>
          <w:bCs/>
          <w:sz w:val="24"/>
          <w:lang w:eastAsia="es-MX"/>
        </w:rPr>
        <w:t>0765</w:t>
      </w:r>
      <w:r w:rsidR="008112F7">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0F13C3">
        <w:rPr>
          <w:rFonts w:ascii="Palatino Linotype" w:hAnsi="Palatino Linotype" w:cs="Arial"/>
          <w:sz w:val="24"/>
          <w:szCs w:val="24"/>
        </w:rPr>
        <w:t xml:space="preserve">el </w:t>
      </w:r>
      <w:r w:rsidR="000F13C3">
        <w:rPr>
          <w:rFonts w:ascii="Palatino Linotype" w:hAnsi="Palatino Linotype" w:cs="Arial"/>
          <w:b/>
          <w:bCs/>
          <w:sz w:val="24"/>
          <w:szCs w:val="24"/>
        </w:rPr>
        <w:t xml:space="preserve">C. </w:t>
      </w:r>
      <w:r w:rsidR="00710DB4">
        <w:rPr>
          <w:rFonts w:ascii="Palatino Linotype" w:hAnsi="Palatino Linotype" w:cs="Arial"/>
          <w:b/>
          <w:bCs/>
          <w:sz w:val="24"/>
          <w:szCs w:val="24"/>
        </w:rPr>
        <w:t>XXXXXXXX</w:t>
      </w:r>
      <w:r w:rsidR="00A930BB">
        <w:rPr>
          <w:rFonts w:ascii="Palatino Linotype" w:hAnsi="Palatino Linotype" w:cs="Arial"/>
          <w:b/>
          <w:bCs/>
          <w:sz w:val="24"/>
          <w:szCs w:val="24"/>
        </w:rPr>
        <w:t xml:space="preserve">, </w:t>
      </w:r>
      <w:r w:rsidR="00A930BB">
        <w:rPr>
          <w:rFonts w:ascii="Palatino Linotype" w:hAnsi="Palatino Linotype" w:cs="Arial"/>
          <w:sz w:val="24"/>
          <w:szCs w:val="24"/>
        </w:rPr>
        <w:t xml:space="preserve">en lo subsecuente </w:t>
      </w:r>
      <w:r w:rsidR="00A930BB">
        <w:rPr>
          <w:rFonts w:ascii="Palatino Linotype" w:hAnsi="Palatino Linotype" w:cs="Arial"/>
          <w:b/>
          <w:bCs/>
          <w:sz w:val="24"/>
          <w:szCs w:val="24"/>
        </w:rPr>
        <w:t xml:space="preserve">El Recurrente, </w:t>
      </w:r>
      <w:r w:rsidR="00A930BB">
        <w:rPr>
          <w:rFonts w:ascii="Palatino Linotype" w:hAnsi="Palatino Linotype" w:cs="Arial"/>
          <w:sz w:val="24"/>
          <w:szCs w:val="24"/>
        </w:rPr>
        <w:t xml:space="preserve">en contra de la respuesta de </w:t>
      </w:r>
      <w:r w:rsidR="00A930BB">
        <w:rPr>
          <w:rFonts w:ascii="Palatino Linotype" w:hAnsi="Palatino Linotype" w:cs="Arial"/>
          <w:b/>
          <w:bCs/>
          <w:sz w:val="24"/>
          <w:szCs w:val="24"/>
        </w:rPr>
        <w:t xml:space="preserve">Gubernatura, </w:t>
      </w:r>
      <w:r w:rsidR="00A930BB">
        <w:rPr>
          <w:rFonts w:ascii="Palatino Linotype" w:hAnsi="Palatino Linotype" w:cs="Arial"/>
          <w:sz w:val="24"/>
          <w:szCs w:val="24"/>
        </w:rPr>
        <w:t xml:space="preserve">en lo subsecuente </w:t>
      </w:r>
      <w:r w:rsidR="00A930BB">
        <w:rPr>
          <w:rFonts w:ascii="Palatino Linotype" w:hAnsi="Palatino Linotype" w:cs="Arial"/>
          <w:b/>
          <w:bCs/>
          <w:sz w:val="24"/>
          <w:szCs w:val="24"/>
        </w:rPr>
        <w:t xml:space="preserve">El Sujeto Obligado, </w:t>
      </w:r>
      <w:r w:rsidR="00A930BB">
        <w:rPr>
          <w:rFonts w:ascii="Palatino Linotype" w:hAnsi="Palatino Linotype" w:cs="Arial"/>
          <w:sz w:val="24"/>
          <w:szCs w:val="24"/>
        </w:rPr>
        <w:t xml:space="preserve">se procede a dictar la presente resolución. </w:t>
      </w:r>
    </w:p>
    <w:p w14:paraId="06C5EDB9" w14:textId="77777777" w:rsidR="00A930BB" w:rsidRDefault="00A930BB" w:rsidP="000F13C3">
      <w:pPr>
        <w:tabs>
          <w:tab w:val="left" w:pos="1701"/>
        </w:tabs>
        <w:spacing w:before="240" w:line="360" w:lineRule="auto"/>
        <w:jc w:val="both"/>
        <w:rPr>
          <w:rFonts w:ascii="Palatino Linotype" w:hAnsi="Palatino Linotype" w:cs="Arial"/>
          <w:b/>
          <w:bCs/>
          <w:sz w:val="24"/>
          <w:szCs w:val="24"/>
        </w:rPr>
      </w:pPr>
    </w:p>
    <w:p w14:paraId="0DDEFEA7"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EDC1067"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92296C8" w14:textId="1CA35A25" w:rsidR="000F13C3" w:rsidRPr="00406203"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930BB">
        <w:rPr>
          <w:rFonts w:ascii="Palatino Linotype" w:hAnsi="Palatino Linotype" w:cs="Arial"/>
          <w:sz w:val="24"/>
        </w:rPr>
        <w:t xml:space="preserve">trece </w:t>
      </w:r>
      <w:r w:rsidR="000F13C3">
        <w:rPr>
          <w:rFonts w:ascii="Palatino Linotype" w:hAnsi="Palatino Linotype" w:cs="Arial"/>
          <w:sz w:val="24"/>
        </w:rPr>
        <w:t xml:space="preserve">de enero de dos mil veinte, </w:t>
      </w:r>
      <w:r w:rsidR="000F13C3">
        <w:rPr>
          <w:rFonts w:ascii="Palatino Linotype" w:hAnsi="Palatino Linotype" w:cs="Arial"/>
          <w:b/>
          <w:bCs/>
          <w:sz w:val="24"/>
        </w:rPr>
        <w:t xml:space="preserve">El Recurrente, </w:t>
      </w:r>
      <w:r w:rsidR="00406203">
        <w:rPr>
          <w:rFonts w:ascii="Palatino Linotype" w:hAnsi="Palatino Linotype" w:cs="Arial"/>
          <w:sz w:val="24"/>
        </w:rPr>
        <w:t>presentó a través del Sistema de Acceso a la Información Mexiquense (</w:t>
      </w:r>
      <w:r w:rsidR="00406203">
        <w:rPr>
          <w:rFonts w:ascii="Palatino Linotype" w:hAnsi="Palatino Linotype" w:cs="Arial"/>
          <w:b/>
          <w:sz w:val="24"/>
        </w:rPr>
        <w:t>SAIMEX)</w:t>
      </w:r>
      <w:r w:rsidR="00406203">
        <w:rPr>
          <w:rFonts w:ascii="Palatino Linotype" w:hAnsi="Palatino Linotype" w:cs="Arial"/>
          <w:sz w:val="24"/>
        </w:rPr>
        <w:t xml:space="preserve"> ante </w:t>
      </w:r>
      <w:r w:rsidR="00406203">
        <w:rPr>
          <w:rFonts w:ascii="Palatino Linotype" w:hAnsi="Palatino Linotype" w:cs="Arial"/>
          <w:b/>
          <w:sz w:val="24"/>
        </w:rPr>
        <w:t>El Sujeto Obligado</w:t>
      </w:r>
      <w:r w:rsidR="00406203">
        <w:rPr>
          <w:rFonts w:ascii="Palatino Linotype" w:hAnsi="Palatino Linotype" w:cs="Arial"/>
          <w:sz w:val="24"/>
        </w:rPr>
        <w:t xml:space="preserve">, solicitud de acceso a la información pública, registrada bajo el número de expediente </w:t>
      </w:r>
      <w:r w:rsidR="00A930BB">
        <w:rPr>
          <w:rFonts w:ascii="Palatino Linotype" w:hAnsi="Palatino Linotype" w:cs="Arial"/>
          <w:b/>
          <w:bCs/>
          <w:sz w:val="24"/>
        </w:rPr>
        <w:t>00009/GUBERNA/IP/2020</w:t>
      </w:r>
      <w:r w:rsidR="00406203">
        <w:rPr>
          <w:rFonts w:ascii="Palatino Linotype" w:hAnsi="Palatino Linotype" w:cs="Arial"/>
          <w:b/>
          <w:bCs/>
          <w:sz w:val="24"/>
        </w:rPr>
        <w:t xml:space="preserve">, </w:t>
      </w:r>
      <w:r w:rsidR="00406203">
        <w:rPr>
          <w:rFonts w:ascii="Palatino Linotype" w:hAnsi="Palatino Linotype" w:cs="Arial"/>
          <w:sz w:val="24"/>
        </w:rPr>
        <w:t xml:space="preserve">mediante la cual solicitó información en el tenor siguiente: </w:t>
      </w:r>
    </w:p>
    <w:p w14:paraId="317B43EF" w14:textId="49413300" w:rsidR="000F13C3" w:rsidRPr="00406203" w:rsidRDefault="00406203" w:rsidP="00406203">
      <w:pPr>
        <w:spacing w:before="240" w:line="360" w:lineRule="auto"/>
        <w:ind w:left="851" w:right="851"/>
        <w:jc w:val="both"/>
        <w:rPr>
          <w:rFonts w:ascii="Palatino Linotype" w:hAnsi="Palatino Linotype" w:cs="Arial"/>
          <w:b/>
          <w:bCs/>
          <w:i/>
          <w:iCs/>
        </w:rPr>
      </w:pPr>
      <w:r w:rsidRPr="00406203">
        <w:rPr>
          <w:rFonts w:ascii="Palatino Linotype" w:hAnsi="Palatino Linotype"/>
          <w:i/>
          <w:iCs/>
        </w:rPr>
        <w:t>“</w:t>
      </w:r>
      <w:r w:rsidR="00A930BB">
        <w:rPr>
          <w:rFonts w:ascii="Palatino Linotype" w:hAnsi="Palatino Linotype"/>
          <w:i/>
          <w:iCs/>
        </w:rPr>
        <w:t>Informe el número de plazas vacantes, denominación del puesto pendiente de ocupar y requisitos puntuales para ocupar la vacante y el procedimiento a seguir para concursar el puesto</w:t>
      </w:r>
      <w:r w:rsidRPr="00406203">
        <w:rPr>
          <w:rFonts w:ascii="Palatino Linotype" w:hAnsi="Palatino Linotype"/>
          <w:i/>
          <w:iCs/>
        </w:rPr>
        <w:t xml:space="preserve">” </w:t>
      </w:r>
      <w:r w:rsidRPr="00406203">
        <w:rPr>
          <w:rFonts w:ascii="Palatino Linotype" w:hAnsi="Palatino Linotype"/>
          <w:b/>
          <w:bCs/>
          <w:i/>
          <w:iCs/>
        </w:rPr>
        <w:t>[Sic]</w:t>
      </w:r>
    </w:p>
    <w:p w14:paraId="7BFAD9D3"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61836744" w14:textId="77777777" w:rsidR="006300AF" w:rsidRDefault="006300AF" w:rsidP="00B433C9">
      <w:pPr>
        <w:spacing w:before="240" w:line="360" w:lineRule="auto"/>
        <w:jc w:val="both"/>
        <w:rPr>
          <w:rFonts w:ascii="Palatino Linotype" w:hAnsi="Palatino Linotype" w:cs="Arial"/>
          <w:sz w:val="24"/>
        </w:rPr>
      </w:pPr>
    </w:p>
    <w:p w14:paraId="091D8009"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8BAF5CA" w14:textId="5BBAE522" w:rsidR="00406203" w:rsidRDefault="00B433C9" w:rsidP="004062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32985">
        <w:rPr>
          <w:rFonts w:ascii="Palatino Linotype" w:hAnsi="Palatino Linotype" w:cs="Arial"/>
          <w:sz w:val="24"/>
          <w:szCs w:val="24"/>
        </w:rPr>
        <w:t xml:space="preserve"> </w:t>
      </w:r>
      <w:r w:rsidR="00A930BB">
        <w:rPr>
          <w:rFonts w:ascii="Palatino Linotype" w:hAnsi="Palatino Linotype" w:cs="Arial"/>
          <w:sz w:val="24"/>
          <w:szCs w:val="24"/>
        </w:rPr>
        <w:t>catorce de enero</w:t>
      </w:r>
      <w:r w:rsidR="00406203">
        <w:rPr>
          <w:rFonts w:ascii="Palatino Linotype" w:hAnsi="Palatino Linotype" w:cs="Arial"/>
          <w:sz w:val="24"/>
          <w:szCs w:val="24"/>
        </w:rPr>
        <w:t xml:space="preserve"> de dos mil veinte, </w:t>
      </w:r>
      <w:r w:rsidR="00406203">
        <w:rPr>
          <w:rFonts w:ascii="Palatino Linotype" w:hAnsi="Palatino Linotype" w:cs="Arial"/>
          <w:b/>
          <w:bCs/>
          <w:sz w:val="24"/>
          <w:szCs w:val="24"/>
        </w:rPr>
        <w:t xml:space="preserve">El Sujeto Obligado </w:t>
      </w:r>
      <w:r w:rsidR="00406203">
        <w:rPr>
          <w:rFonts w:ascii="Palatino Linotype" w:hAnsi="Palatino Linotype" w:cs="Arial"/>
          <w:sz w:val="24"/>
          <w:szCs w:val="24"/>
        </w:rPr>
        <w:t xml:space="preserve">dio respuesta a la solicitud de información en los siguientes términos: </w:t>
      </w:r>
    </w:p>
    <w:p w14:paraId="0F018793" w14:textId="3B6D09FD" w:rsidR="00406203" w:rsidRPr="00406203" w:rsidRDefault="00406203" w:rsidP="00406203">
      <w:pPr>
        <w:spacing w:before="240" w:line="360" w:lineRule="auto"/>
        <w:ind w:left="851" w:right="851"/>
        <w:jc w:val="both"/>
        <w:rPr>
          <w:rFonts w:ascii="Palatino Linotype" w:hAnsi="Palatino Linotype" w:cs="Arial"/>
          <w:b/>
          <w:bCs/>
          <w:i/>
          <w:iCs/>
        </w:rPr>
      </w:pPr>
      <w:r w:rsidRPr="00406203">
        <w:rPr>
          <w:rFonts w:ascii="Palatino Linotype" w:eastAsia="Times New Roman" w:hAnsi="Palatino Linotype" w:cs="Times New Roman"/>
          <w:i/>
          <w:iCs/>
        </w:rPr>
        <w:t>“</w:t>
      </w:r>
      <w:r w:rsidR="00A930BB">
        <w:rPr>
          <w:rFonts w:ascii="Palatino Linotype" w:eastAsia="Times New Roman" w:hAnsi="Palatino Linotype" w:cs="Times New Roman"/>
          <w:i/>
          <w:iCs/>
        </w:rPr>
        <w:t xml:space="preserve">Se anexa documento” </w:t>
      </w:r>
      <w:r w:rsidRPr="00406203">
        <w:rPr>
          <w:rFonts w:ascii="Palatino Linotype" w:eastAsia="Times New Roman" w:hAnsi="Palatino Linotype" w:cs="Times New Roman"/>
          <w:b/>
          <w:bCs/>
          <w:i/>
          <w:iCs/>
        </w:rPr>
        <w:t xml:space="preserve">[Sic] </w:t>
      </w:r>
    </w:p>
    <w:p w14:paraId="77E7F308" w14:textId="51F42761" w:rsidR="00406203" w:rsidRDefault="00406203" w:rsidP="00B433C9">
      <w:pPr>
        <w:spacing w:before="240" w:line="360" w:lineRule="auto"/>
        <w:jc w:val="both"/>
        <w:rPr>
          <w:rFonts w:ascii="Palatino Linotype" w:hAnsi="Palatino Linotype" w:cs="Arial"/>
          <w:sz w:val="24"/>
          <w:szCs w:val="24"/>
        </w:rPr>
      </w:pPr>
    </w:p>
    <w:p w14:paraId="1E97889C" w14:textId="3F3F33AF" w:rsidR="00406203" w:rsidRPr="00406203" w:rsidRDefault="00406203"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bCs/>
          <w:sz w:val="24"/>
          <w:szCs w:val="24"/>
        </w:rPr>
        <w:t>“</w:t>
      </w:r>
      <w:r w:rsidR="00A930BB">
        <w:rPr>
          <w:rFonts w:ascii="Palatino Linotype" w:hAnsi="Palatino Linotype" w:cs="Arial"/>
          <w:b/>
          <w:bCs/>
          <w:sz w:val="24"/>
          <w:szCs w:val="24"/>
        </w:rPr>
        <w:t>0009 respuesta.pdf</w:t>
      </w:r>
      <w:r>
        <w:rPr>
          <w:rFonts w:ascii="Palatino Linotype" w:hAnsi="Palatino Linotype" w:cs="Arial"/>
          <w:b/>
          <w:bCs/>
          <w:sz w:val="24"/>
          <w:szCs w:val="24"/>
        </w:rPr>
        <w:t xml:space="preserve">”, </w:t>
      </w:r>
      <w:r>
        <w:rPr>
          <w:rFonts w:ascii="Palatino Linotype" w:hAnsi="Palatino Linotype" w:cs="Arial"/>
          <w:sz w:val="24"/>
          <w:szCs w:val="24"/>
        </w:rPr>
        <w:t xml:space="preserve">mismo que se tiene por reproducido en virtud de que será materia de análisis en el considerando respectivo. </w:t>
      </w:r>
    </w:p>
    <w:p w14:paraId="23C48872" w14:textId="77777777" w:rsidR="008112F7" w:rsidRDefault="008112F7" w:rsidP="008112F7">
      <w:pPr>
        <w:spacing w:before="240" w:line="360" w:lineRule="auto"/>
        <w:jc w:val="both"/>
        <w:rPr>
          <w:rFonts w:ascii="Palatino Linotype" w:hAnsi="Palatino Linotype" w:cs="Arial"/>
          <w:b/>
          <w:sz w:val="24"/>
          <w:szCs w:val="24"/>
        </w:rPr>
      </w:pPr>
    </w:p>
    <w:p w14:paraId="45B3480B"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041CA65" w14:textId="6DAAB861" w:rsidR="00A930BB" w:rsidRPr="00A930BB"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A930BB">
        <w:rPr>
          <w:rFonts w:ascii="Palatino Linotype" w:hAnsi="Palatino Linotype" w:cs="Arial"/>
          <w:sz w:val="24"/>
          <w:szCs w:val="24"/>
        </w:rPr>
        <w:t xml:space="preserve">veintiocho de enero del presente, el cual fue registrado en el sistema electrónico con el expediente número </w:t>
      </w:r>
      <w:r w:rsidR="00A930BB">
        <w:rPr>
          <w:rFonts w:ascii="Palatino Linotype" w:hAnsi="Palatino Linotype" w:cs="Arial"/>
          <w:b/>
          <w:bCs/>
          <w:sz w:val="24"/>
          <w:szCs w:val="24"/>
        </w:rPr>
        <w:t xml:space="preserve">00765/INFOEM/IP/RR/2020, </w:t>
      </w:r>
      <w:r w:rsidR="00A930BB">
        <w:rPr>
          <w:rFonts w:ascii="Palatino Linotype" w:hAnsi="Palatino Linotype" w:cs="Arial"/>
          <w:sz w:val="24"/>
          <w:szCs w:val="24"/>
        </w:rPr>
        <w:t xml:space="preserve">en el cual arguye las siguientes manifestaciones: </w:t>
      </w:r>
    </w:p>
    <w:p w14:paraId="63B8141A" w14:textId="77777777" w:rsidR="0053191B" w:rsidRPr="0053191B" w:rsidRDefault="0053191B" w:rsidP="00C20A86">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27E81EB6" w14:textId="3B648488" w:rsidR="0053191B" w:rsidRPr="00406203" w:rsidRDefault="001E14F4" w:rsidP="0053191B">
      <w:pPr>
        <w:spacing w:before="240" w:line="360" w:lineRule="auto"/>
        <w:ind w:left="851" w:right="851"/>
        <w:jc w:val="both"/>
        <w:rPr>
          <w:rFonts w:ascii="Palatino Linotype" w:hAnsi="Palatino Linotype"/>
          <w:b/>
          <w:i/>
          <w:color w:val="000000"/>
        </w:rPr>
      </w:pPr>
      <w:r w:rsidRPr="00406203">
        <w:rPr>
          <w:rFonts w:ascii="Palatino Linotype" w:hAnsi="Palatino Linotype"/>
          <w:i/>
          <w:color w:val="000000"/>
        </w:rPr>
        <w:t>“</w:t>
      </w:r>
      <w:r w:rsidR="00A930BB">
        <w:rPr>
          <w:rFonts w:ascii="Palatino Linotype" w:hAnsi="Palatino Linotype"/>
          <w:i/>
        </w:rPr>
        <w:t>No me proporcionan la información solicitada</w:t>
      </w:r>
      <w:r w:rsidR="0053191B" w:rsidRPr="00406203">
        <w:rPr>
          <w:rFonts w:ascii="Palatino Linotype" w:hAnsi="Palatino Linotype"/>
          <w:i/>
          <w:color w:val="000000"/>
        </w:rPr>
        <w:t xml:space="preserve">” </w:t>
      </w:r>
      <w:r w:rsidR="0053191B" w:rsidRPr="00406203">
        <w:rPr>
          <w:rFonts w:ascii="Palatino Linotype" w:hAnsi="Palatino Linotype"/>
          <w:b/>
          <w:i/>
          <w:color w:val="000000"/>
        </w:rPr>
        <w:t>[Sic]</w:t>
      </w:r>
    </w:p>
    <w:p w14:paraId="0EEEE9DD" w14:textId="77777777" w:rsidR="005A760E" w:rsidRPr="001E14F4" w:rsidRDefault="005A760E" w:rsidP="0053191B">
      <w:pPr>
        <w:spacing w:before="240" w:line="360" w:lineRule="auto"/>
        <w:ind w:left="851" w:right="851"/>
        <w:jc w:val="both"/>
        <w:rPr>
          <w:rFonts w:ascii="Palatino Linotype" w:hAnsi="Palatino Linotype" w:cs="Arial"/>
          <w:b/>
          <w:i/>
        </w:rPr>
      </w:pPr>
    </w:p>
    <w:p w14:paraId="7E8E6A2B" w14:textId="063BD113"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8BFE3D" w14:textId="13DEB951" w:rsidR="00B433C9" w:rsidRPr="00406203" w:rsidRDefault="00B433C9" w:rsidP="001E14F4">
      <w:pPr>
        <w:spacing w:before="240" w:line="360" w:lineRule="auto"/>
        <w:ind w:left="851" w:right="851"/>
        <w:jc w:val="both"/>
        <w:rPr>
          <w:rFonts w:ascii="Palatino Linotype" w:hAnsi="Palatino Linotype" w:cs="Arial"/>
          <w:i/>
        </w:rPr>
      </w:pPr>
      <w:r w:rsidRPr="00406203">
        <w:rPr>
          <w:rFonts w:ascii="Palatino Linotype" w:hAnsi="Palatino Linotype" w:cs="Arial"/>
          <w:i/>
        </w:rPr>
        <w:lastRenderedPageBreak/>
        <w:t>“</w:t>
      </w:r>
      <w:r w:rsidR="00A930BB">
        <w:rPr>
          <w:rFonts w:ascii="Palatino Linotype" w:hAnsi="Palatino Linotype"/>
          <w:i/>
        </w:rPr>
        <w:t>no envían la información solicitada</w:t>
      </w:r>
      <w:r w:rsidRPr="00406203">
        <w:rPr>
          <w:rFonts w:ascii="Palatino Linotype" w:hAnsi="Palatino Linotype" w:cs="Arial"/>
          <w:i/>
        </w:rPr>
        <w:t xml:space="preserve">” </w:t>
      </w:r>
      <w:r w:rsidRPr="00406203">
        <w:rPr>
          <w:rFonts w:ascii="Palatino Linotype" w:hAnsi="Palatino Linotype" w:cs="Arial"/>
          <w:b/>
          <w:i/>
        </w:rPr>
        <w:t>[Sic]</w:t>
      </w:r>
    </w:p>
    <w:p w14:paraId="6DA5457F" w14:textId="77777777" w:rsidR="001E14F4" w:rsidRDefault="001E14F4" w:rsidP="001E14F4">
      <w:pPr>
        <w:spacing w:before="240" w:line="360" w:lineRule="auto"/>
        <w:ind w:right="851"/>
        <w:jc w:val="both"/>
        <w:rPr>
          <w:rFonts w:ascii="Palatino Linotype" w:hAnsi="Palatino Linotype" w:cs="Arial"/>
          <w:i/>
        </w:rPr>
      </w:pPr>
    </w:p>
    <w:p w14:paraId="65839378" w14:textId="77777777" w:rsidR="00B433C9" w:rsidRDefault="001E14F4"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03BD59BC" w14:textId="6C4FF2AB"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545BC">
        <w:rPr>
          <w:rFonts w:ascii="Palatino Linotype" w:hAnsi="Palatino Linotype" w:cs="Arial"/>
          <w:sz w:val="24"/>
          <w:szCs w:val="24"/>
        </w:rPr>
        <w:t xml:space="preserve">cuatro de febrero del presente,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12282D6F" w14:textId="77777777" w:rsidR="00CE6269" w:rsidRDefault="00CE6269" w:rsidP="00712E3A">
      <w:pPr>
        <w:spacing w:before="240" w:line="360" w:lineRule="auto"/>
        <w:jc w:val="both"/>
        <w:rPr>
          <w:rFonts w:ascii="Palatino Linotype" w:hAnsi="Palatino Linotype" w:cs="Arial"/>
          <w:sz w:val="24"/>
          <w:szCs w:val="24"/>
        </w:rPr>
      </w:pPr>
    </w:p>
    <w:p w14:paraId="2A63AE47" w14:textId="77777777" w:rsidR="00B433C9" w:rsidRDefault="001E14F4"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51DD6912" w14:textId="2779BC02" w:rsidR="007545BC" w:rsidRPr="007545BC" w:rsidRDefault="0053191B" w:rsidP="0053191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el </w:t>
      </w:r>
      <w:r w:rsidR="007545BC">
        <w:rPr>
          <w:rFonts w:ascii="Palatino Linotype" w:hAnsi="Palatino Linotype" w:cs="Arial"/>
          <w:sz w:val="24"/>
          <w:szCs w:val="24"/>
        </w:rPr>
        <w:t xml:space="preserve">diez de febrero del presente, mismo que fue puesto a la vista del </w:t>
      </w:r>
      <w:r w:rsidR="007545BC">
        <w:rPr>
          <w:rFonts w:ascii="Palatino Linotype" w:hAnsi="Palatino Linotype" w:cs="Arial"/>
          <w:b/>
          <w:bCs/>
          <w:sz w:val="24"/>
          <w:szCs w:val="24"/>
        </w:rPr>
        <w:t xml:space="preserve">Recurrente </w:t>
      </w:r>
      <w:r w:rsidR="007545BC">
        <w:rPr>
          <w:rFonts w:ascii="Palatino Linotype" w:hAnsi="Palatino Linotype" w:cs="Arial"/>
          <w:sz w:val="24"/>
          <w:szCs w:val="24"/>
        </w:rPr>
        <w:t xml:space="preserve">en fecha diecinueve de febrero del año en curso. </w:t>
      </w:r>
    </w:p>
    <w:p w14:paraId="1E2C3F99" w14:textId="4F7AB79C" w:rsidR="0053191B" w:rsidRDefault="0053191B" w:rsidP="0053191B">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7545BC">
        <w:rPr>
          <w:rFonts w:ascii="Palatino Linotype" w:hAnsi="Palatino Linotype" w:cs="Arial"/>
          <w:b/>
          <w:sz w:val="24"/>
          <w:szCs w:val="24"/>
        </w:rPr>
        <w:t>veintiséis de febrero</w:t>
      </w:r>
      <w:r w:rsidR="0088251C">
        <w:rPr>
          <w:rFonts w:ascii="Palatino Linotype" w:hAnsi="Palatino Linotype" w:cs="Arial"/>
          <w:b/>
          <w:sz w:val="24"/>
          <w:szCs w:val="24"/>
        </w:rPr>
        <w:t xml:space="preserve">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4978A31F" w14:textId="5A74011D" w:rsidR="007545BC" w:rsidRDefault="007545BC" w:rsidP="007545BC">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lastRenderedPageBreak/>
        <w:t xml:space="preserve">Así, en fecha </w:t>
      </w:r>
      <w:r>
        <w:rPr>
          <w:rFonts w:ascii="Palatino Linotype" w:hAnsi="Palatino Linotype" w:cs="Arial"/>
          <w:b/>
          <w:bCs/>
          <w:sz w:val="24"/>
          <w:szCs w:val="24"/>
        </w:rPr>
        <w:t>diecinueve de marzo</w:t>
      </w:r>
      <w:r w:rsidRPr="0053191B">
        <w:rPr>
          <w:rFonts w:ascii="Palatino Linotype" w:hAnsi="Palatino Linotype" w:cs="Arial"/>
          <w:b/>
          <w:bCs/>
          <w:sz w:val="24"/>
          <w:szCs w:val="24"/>
        </w:rPr>
        <w:t xml:space="preserve"> del año </w:t>
      </w:r>
      <w:r>
        <w:rPr>
          <w:rFonts w:ascii="Palatino Linotype" w:hAnsi="Palatino Linotype" w:cs="Arial"/>
          <w:b/>
          <w:bCs/>
          <w:sz w:val="24"/>
          <w:szCs w:val="24"/>
        </w:rPr>
        <w:t>dos mil veinte</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se amplió plazo para dictar resolución, en términos del artículo 181 de la Ley de Transparencia y Acceso a la Información del Estado de México y Municipios.</w:t>
      </w:r>
      <w:r>
        <w:rPr>
          <w:rFonts w:ascii="Palatino Linotype" w:hAnsi="Palatino Linotype" w:cs="Arial"/>
          <w:sz w:val="24"/>
          <w:szCs w:val="24"/>
        </w:rPr>
        <w:t xml:space="preserve"> </w:t>
      </w:r>
    </w:p>
    <w:p w14:paraId="31E2B9C8" w14:textId="77777777" w:rsidR="007545BC" w:rsidRDefault="007545BC" w:rsidP="0053191B">
      <w:pPr>
        <w:spacing w:before="240" w:line="360" w:lineRule="auto"/>
        <w:jc w:val="both"/>
        <w:rPr>
          <w:rFonts w:ascii="Palatino Linotype" w:hAnsi="Palatino Linotype" w:cs="Arial"/>
          <w:sz w:val="24"/>
          <w:szCs w:val="24"/>
        </w:rPr>
      </w:pPr>
    </w:p>
    <w:p w14:paraId="318D8072"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1C85693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5210CC3" w14:textId="37D7B9B9" w:rsidR="000020BC" w:rsidRPr="008F797B" w:rsidRDefault="000020BC" w:rsidP="000020B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1E14F4">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0553E">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FF362C4" w14:textId="77777777" w:rsidR="003D53AD" w:rsidRPr="008F797B" w:rsidRDefault="003D53AD" w:rsidP="00D51B89">
      <w:pPr>
        <w:spacing w:before="240" w:line="360" w:lineRule="auto"/>
        <w:jc w:val="both"/>
        <w:rPr>
          <w:rFonts w:ascii="Palatino Linotype" w:hAnsi="Palatino Linotype" w:cs="Arial"/>
          <w:sz w:val="24"/>
          <w:szCs w:val="24"/>
        </w:rPr>
      </w:pPr>
    </w:p>
    <w:p w14:paraId="5720CF72"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20C324E1"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96A84C1"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C60D831" w14:textId="77777777" w:rsidR="004A55B1" w:rsidRPr="00161CEB" w:rsidRDefault="004A55B1" w:rsidP="004A55B1">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28DA9E6E" w14:textId="7B2C9F4C" w:rsidR="00516B8E" w:rsidRDefault="00516B8E" w:rsidP="00516B8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79E826BC" w14:textId="0973DB54" w:rsidR="00921046" w:rsidRDefault="00921046" w:rsidP="00516B8E">
      <w:pPr>
        <w:autoSpaceDE w:val="0"/>
        <w:autoSpaceDN w:val="0"/>
        <w:adjustRightInd w:val="0"/>
        <w:spacing w:after="0" w:line="360" w:lineRule="auto"/>
        <w:jc w:val="both"/>
        <w:rPr>
          <w:rFonts w:ascii="Palatino Linotype" w:hAnsi="Palatino Linotype" w:cs="Arial"/>
          <w:sz w:val="24"/>
          <w:szCs w:val="24"/>
        </w:rPr>
      </w:pPr>
    </w:p>
    <w:p w14:paraId="3CB1D4A5" w14:textId="77777777" w:rsidR="00031833" w:rsidRDefault="00031833" w:rsidP="00516B8E">
      <w:pPr>
        <w:autoSpaceDE w:val="0"/>
        <w:autoSpaceDN w:val="0"/>
        <w:adjustRightInd w:val="0"/>
        <w:spacing w:after="0" w:line="360" w:lineRule="auto"/>
        <w:jc w:val="both"/>
        <w:rPr>
          <w:rFonts w:ascii="Palatino Linotype" w:hAnsi="Palatino Linotype" w:cs="Arial"/>
          <w:sz w:val="24"/>
          <w:szCs w:val="24"/>
        </w:rPr>
      </w:pPr>
    </w:p>
    <w:p w14:paraId="65FCBC66"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Décima</w:t>
      </w:r>
    </w:p>
    <w:p w14:paraId="2BD4781D"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1110A8F6"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472E903A"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605FD703"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57C8750A"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03EF080"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499D3F9B" w14:textId="77777777" w:rsidR="00516B8E" w:rsidRDefault="00516B8E" w:rsidP="00516B8E">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309E06BC" w14:textId="77777777" w:rsidR="00516B8E" w:rsidRDefault="00516B8E" w:rsidP="00516B8E">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9752394"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DE2B0F7" w14:textId="77777777" w:rsidR="00516B8E" w:rsidRDefault="00516B8E" w:rsidP="00516B8E">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5CABE984" w14:textId="77777777" w:rsidR="00516B8E" w:rsidRDefault="00516B8E" w:rsidP="00516B8E">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4A2A5B79" w14:textId="77777777" w:rsidR="00516B8E" w:rsidRDefault="00516B8E" w:rsidP="00516B8E">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560407B9"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73A92B15" w14:textId="77777777" w:rsidR="00516B8E" w:rsidRDefault="00516B8E" w:rsidP="00516B8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BE6AD87"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“Artículo 191. El recurso será desechado por improcedente cuando:  </w:t>
      </w:r>
    </w:p>
    <w:p w14:paraId="1B9BF946"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49B6B51E"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014F0CB4"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50A70FD6"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3417524C"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7DBCEC79"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53C8C701" w14:textId="77777777" w:rsidR="00516B8E" w:rsidRDefault="00516B8E" w:rsidP="00516B8E">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588764AD" w14:textId="77777777" w:rsidR="00516B8E" w:rsidRDefault="00516B8E" w:rsidP="00516B8E">
      <w:pPr>
        <w:pStyle w:val="Prrafodelista"/>
        <w:autoSpaceDE w:val="0"/>
        <w:autoSpaceDN w:val="0"/>
        <w:adjustRightInd w:val="0"/>
        <w:spacing w:line="360" w:lineRule="auto"/>
        <w:ind w:right="616"/>
        <w:jc w:val="both"/>
        <w:rPr>
          <w:rFonts w:ascii="Palatino Linotype" w:hAnsi="Palatino Linotype" w:cs="Arial"/>
          <w:i/>
          <w:highlight w:val="yellow"/>
        </w:rPr>
      </w:pPr>
    </w:p>
    <w:p w14:paraId="5D2E2F97" w14:textId="77777777" w:rsidR="00516B8E" w:rsidRDefault="00516B8E" w:rsidP="00516B8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4FE49F87" w14:textId="77777777" w:rsidR="00516B8E" w:rsidRDefault="00516B8E" w:rsidP="00516B8E">
      <w:pPr>
        <w:autoSpaceDE w:val="0"/>
        <w:autoSpaceDN w:val="0"/>
        <w:adjustRightInd w:val="0"/>
        <w:spacing w:after="0" w:line="360" w:lineRule="auto"/>
        <w:jc w:val="both"/>
        <w:rPr>
          <w:rFonts w:ascii="Palatino Linotype" w:hAnsi="Palatino Linotype" w:cs="Arial"/>
          <w:sz w:val="24"/>
          <w:szCs w:val="24"/>
          <w:highlight w:val="yellow"/>
        </w:rPr>
      </w:pPr>
    </w:p>
    <w:p w14:paraId="10C8D88F" w14:textId="77777777" w:rsidR="00516B8E" w:rsidRDefault="00516B8E" w:rsidP="00516B8E">
      <w:pPr>
        <w:pStyle w:val="Prrafodelista"/>
        <w:numPr>
          <w:ilvl w:val="0"/>
          <w:numId w:val="46"/>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0428A99D" w14:textId="77777777" w:rsidR="00516B8E" w:rsidRDefault="00516B8E" w:rsidP="00516B8E">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26FFA056" w14:textId="515776E5" w:rsidR="00516B8E" w:rsidRDefault="00516B8E" w:rsidP="00516B8E">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E94F9D">
        <w:rPr>
          <w:rFonts w:ascii="Palatino Linotype" w:hAnsi="Palatino Linotype" w:cs="Arial"/>
          <w:b/>
          <w:bCs/>
        </w:rPr>
        <w:t>XXXXXX</w:t>
      </w:r>
      <w:r>
        <w:rPr>
          <w:rFonts w:ascii="Palatino Linotype" w:hAnsi="Palatino Linotype" w:cs="Arial"/>
          <w:sz w:val="24"/>
        </w:rPr>
        <w:t>, del cual no se colige que corresponda al nombre de una persona.</w:t>
      </w:r>
    </w:p>
    <w:p w14:paraId="37B6D4D7" w14:textId="77777777" w:rsidR="00516B8E" w:rsidRDefault="00516B8E" w:rsidP="00516B8E">
      <w:pPr>
        <w:autoSpaceDE w:val="0"/>
        <w:autoSpaceDN w:val="0"/>
        <w:adjustRightInd w:val="0"/>
        <w:spacing w:after="0" w:line="360" w:lineRule="auto"/>
        <w:jc w:val="both"/>
        <w:rPr>
          <w:rFonts w:ascii="Palatino Linotype" w:hAnsi="Palatino Linotype" w:cs="Arial"/>
          <w:sz w:val="24"/>
          <w:szCs w:val="24"/>
        </w:rPr>
      </w:pPr>
    </w:p>
    <w:p w14:paraId="7C100E86" w14:textId="77777777" w:rsidR="00516B8E" w:rsidRDefault="00516B8E" w:rsidP="00516B8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0F0A2364" w14:textId="77777777" w:rsidR="00516B8E" w:rsidRDefault="00516B8E" w:rsidP="00516B8E">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2FC7EC9" w14:textId="77777777" w:rsidR="00516B8E" w:rsidRDefault="00516B8E" w:rsidP="00516B8E">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7B98951F" w14:textId="77777777" w:rsidR="00516B8E" w:rsidRDefault="00516B8E" w:rsidP="00516B8E">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79DB7A1" w14:textId="77777777" w:rsidR="00516B8E" w:rsidRDefault="00516B8E" w:rsidP="00516B8E">
      <w:pPr>
        <w:spacing w:before="240" w:line="360" w:lineRule="auto"/>
        <w:ind w:left="851" w:right="851"/>
        <w:rPr>
          <w:rFonts w:ascii="Palatino Linotype" w:hAnsi="Palatino Linotype"/>
          <w:i/>
        </w:rPr>
      </w:pPr>
      <w:r>
        <w:rPr>
          <w:rFonts w:ascii="Palatino Linotype" w:hAnsi="Palatino Linotype"/>
          <w:b/>
          <w:i/>
        </w:rPr>
        <w:t>(…)” [Sic]</w:t>
      </w:r>
    </w:p>
    <w:p w14:paraId="689A6E95" w14:textId="77777777" w:rsidR="00516B8E" w:rsidRDefault="00516B8E" w:rsidP="00516B8E">
      <w:pPr>
        <w:pStyle w:val="Prrafodelista"/>
        <w:widowControl w:val="0"/>
        <w:autoSpaceDE w:val="0"/>
        <w:autoSpaceDN w:val="0"/>
        <w:adjustRightInd w:val="0"/>
        <w:ind w:left="0"/>
        <w:jc w:val="both"/>
        <w:rPr>
          <w:rFonts w:ascii="Palatino Linotype" w:hAnsi="Palatino Linotype"/>
          <w:highlight w:val="yellow"/>
        </w:rPr>
      </w:pPr>
    </w:p>
    <w:p w14:paraId="079134D5" w14:textId="709C3247" w:rsidR="00516B8E" w:rsidRDefault="00516B8E" w:rsidP="00516B8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Pr>
          <w:rFonts w:ascii="Palatino Linotype" w:hAnsi="Palatino Linotype"/>
        </w:rPr>
        <w:lastRenderedPageBreak/>
        <w:t xml:space="preserve">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E94F9D">
        <w:rPr>
          <w:rFonts w:ascii="Palatino Linotype" w:hAnsi="Palatino Linotype" w:cs="Arial"/>
          <w:b/>
          <w:bCs/>
        </w:rPr>
        <w:t>XXXXXXXX</w:t>
      </w:r>
      <w:r w:rsidRPr="00516B8E">
        <w:rPr>
          <w:rFonts w:ascii="Palatino Linotype" w:hAnsi="Palatino Linotype"/>
          <w:b/>
          <w:bCs/>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8A475AA" w14:textId="77777777" w:rsidR="00516B8E" w:rsidRDefault="00516B8E" w:rsidP="00516B8E">
      <w:pPr>
        <w:pStyle w:val="Prrafodelista"/>
        <w:widowControl w:val="0"/>
        <w:autoSpaceDE w:val="0"/>
        <w:autoSpaceDN w:val="0"/>
        <w:adjustRightInd w:val="0"/>
        <w:spacing w:line="360" w:lineRule="auto"/>
        <w:ind w:left="0"/>
        <w:jc w:val="both"/>
        <w:rPr>
          <w:rFonts w:ascii="Palatino Linotype" w:hAnsi="Palatino Linotype"/>
        </w:rPr>
      </w:pPr>
    </w:p>
    <w:p w14:paraId="0842F3FF" w14:textId="77777777" w:rsidR="00516B8E" w:rsidRDefault="00516B8E" w:rsidP="00516B8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w:t>
      </w:r>
      <w:bookmarkStart w:id="0" w:name="_GoBack"/>
      <w:bookmarkEnd w:id="0"/>
      <w:r>
        <w:rPr>
          <w:rFonts w:ascii="Palatino Linotype" w:hAnsi="Palatino Linotype" w:cs="Arial"/>
        </w:rPr>
        <w:t>caso, los recurrentes deban señalar, por el contrario la Ley de Transparencia prevé en su artículo 155, párrafo segundo la posibilidad de que las solicitudes de información sean anónimas, con nombre incompleto o seudónimo.</w:t>
      </w:r>
    </w:p>
    <w:p w14:paraId="0B972D12" w14:textId="77777777" w:rsidR="00516B8E" w:rsidRDefault="00516B8E" w:rsidP="00516B8E">
      <w:pPr>
        <w:pStyle w:val="Prrafodelista"/>
        <w:widowControl w:val="0"/>
        <w:autoSpaceDE w:val="0"/>
        <w:autoSpaceDN w:val="0"/>
        <w:adjustRightInd w:val="0"/>
        <w:ind w:left="0"/>
        <w:jc w:val="both"/>
        <w:rPr>
          <w:rFonts w:ascii="Palatino Linotype" w:hAnsi="Palatino Linotype"/>
          <w:highlight w:val="yellow"/>
        </w:rPr>
      </w:pPr>
    </w:p>
    <w:p w14:paraId="41A8BE31" w14:textId="77777777" w:rsidR="00516B8E" w:rsidRDefault="00516B8E" w:rsidP="00516B8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1952F8D" w14:textId="77777777" w:rsidR="00516B8E" w:rsidRDefault="00516B8E" w:rsidP="00516B8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35DB5530" w14:textId="77777777" w:rsidR="004A55B1" w:rsidRPr="00161CEB" w:rsidRDefault="004A55B1" w:rsidP="004A55B1">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lastRenderedPageBreak/>
        <w:t xml:space="preserve">CUARTO. </w:t>
      </w:r>
      <w:r w:rsidRPr="00C30E08">
        <w:rPr>
          <w:rFonts w:ascii="Palatino Linotype" w:hAnsi="Palatino Linotype" w:cs="Arial"/>
          <w:b/>
          <w:sz w:val="28"/>
          <w:szCs w:val="24"/>
        </w:rPr>
        <w:t>Del estudio de las causas de improcedencia y sobreseimiento.</w:t>
      </w:r>
    </w:p>
    <w:p w14:paraId="4610C0EB" w14:textId="77777777" w:rsidR="004A55B1" w:rsidRDefault="004A55B1" w:rsidP="004A55B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la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BC5DCC1" w14:textId="77777777" w:rsidR="004A55B1" w:rsidRDefault="004A55B1" w:rsidP="004A55B1">
      <w:pPr>
        <w:pStyle w:val="Prrafodelista"/>
        <w:autoSpaceDE w:val="0"/>
        <w:autoSpaceDN w:val="0"/>
        <w:adjustRightInd w:val="0"/>
        <w:spacing w:line="360" w:lineRule="auto"/>
        <w:ind w:left="0"/>
        <w:jc w:val="both"/>
        <w:rPr>
          <w:rFonts w:ascii="Palatino Linotype" w:hAnsi="Palatino Linotype" w:cs="Arial"/>
        </w:rPr>
      </w:pPr>
    </w:p>
    <w:p w14:paraId="40B28260" w14:textId="77777777" w:rsidR="004A55B1" w:rsidRDefault="004A55B1" w:rsidP="004A55B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B406170" w14:textId="77777777" w:rsidR="004A55B1" w:rsidRDefault="004A55B1" w:rsidP="004A55B1">
      <w:pPr>
        <w:pStyle w:val="Prrafodelista"/>
        <w:autoSpaceDE w:val="0"/>
        <w:autoSpaceDN w:val="0"/>
        <w:adjustRightInd w:val="0"/>
        <w:spacing w:line="360" w:lineRule="auto"/>
        <w:ind w:left="0"/>
        <w:jc w:val="both"/>
        <w:rPr>
          <w:rFonts w:ascii="Palatino Linotype" w:hAnsi="Palatino Linotype" w:cs="Arial"/>
        </w:rPr>
      </w:pPr>
    </w:p>
    <w:p w14:paraId="0FE6C0E2" w14:textId="77777777" w:rsidR="004A55B1" w:rsidRDefault="004A55B1" w:rsidP="004A55B1">
      <w:pPr>
        <w:pStyle w:val="Prrafodelista"/>
        <w:autoSpaceDE w:val="0"/>
        <w:autoSpaceDN w:val="0"/>
        <w:adjustRightInd w:val="0"/>
        <w:spacing w:line="360" w:lineRule="auto"/>
        <w:ind w:left="0"/>
        <w:jc w:val="both"/>
        <w:rPr>
          <w:rFonts w:ascii="Palatino Linotype" w:hAnsi="Palatino Linotype" w:cs="Arial"/>
        </w:rPr>
      </w:pP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282649C" w14:textId="77777777" w:rsidR="004A55B1" w:rsidRDefault="004A55B1" w:rsidP="004A55B1">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s</w:t>
      </w:r>
      <w:r w:rsidRPr="00552846">
        <w:rPr>
          <w:rFonts w:ascii="Palatino Linotype" w:hAnsi="Palatino Linotype" w:cs="Arial"/>
          <w:sz w:val="24"/>
          <w:szCs w:val="24"/>
        </w:rPr>
        <w:t xml:space="preserve"> solicitud</w:t>
      </w:r>
      <w:r>
        <w:rPr>
          <w:rFonts w:ascii="Palatino Linotype" w:hAnsi="Palatino Linotype" w:cs="Arial"/>
          <w:sz w:val="24"/>
          <w:szCs w:val="24"/>
        </w:rPr>
        <w:t>es</w:t>
      </w:r>
      <w:r w:rsidRPr="00552846">
        <w:rPr>
          <w:rFonts w:ascii="Palatino Linotype" w:hAnsi="Palatino Linotype" w:cs="Arial"/>
          <w:sz w:val="24"/>
          <w:szCs w:val="24"/>
        </w:rPr>
        <w:t xml:space="preserve"> de información ya q</w:t>
      </w:r>
      <w:r>
        <w:rPr>
          <w:rFonts w:ascii="Palatino Linotype" w:hAnsi="Palatino Linotype" w:cs="Arial"/>
          <w:sz w:val="24"/>
          <w:szCs w:val="24"/>
        </w:rPr>
        <w:t>ue de ellas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w:t>
      </w:r>
      <w:r>
        <w:rPr>
          <w:rFonts w:ascii="Palatino Linotype" w:hAnsi="Palatino Linotype" w:cs="Arial"/>
          <w:sz w:val="24"/>
          <w:szCs w:val="24"/>
        </w:rPr>
        <w:t>es</w:t>
      </w:r>
      <w:r w:rsidRPr="00552846">
        <w:rPr>
          <w:rFonts w:ascii="Palatino Linotype" w:hAnsi="Palatino Linotype" w:cs="Arial"/>
          <w:sz w:val="24"/>
          <w:szCs w:val="24"/>
        </w:rPr>
        <w:t>,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7F5A8B96" w14:textId="77777777" w:rsidR="004A55B1" w:rsidRDefault="004A55B1" w:rsidP="004A55B1">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03493C3F" w14:textId="3F535488" w:rsidR="00A0553E" w:rsidRDefault="005A51F9" w:rsidP="005A51F9">
      <w:pPr>
        <w:pStyle w:val="Sinespaciado"/>
        <w:spacing w:line="360" w:lineRule="auto"/>
        <w:jc w:val="both"/>
        <w:rPr>
          <w:rFonts w:ascii="Palatino Linotype" w:hAnsi="Palatino Linotype"/>
          <w:bCs/>
        </w:rPr>
      </w:pPr>
      <w:r>
        <w:rPr>
          <w:rFonts w:ascii="Palatino Linotype" w:hAnsi="Palatino Linotype"/>
        </w:rPr>
        <w:lastRenderedPageBreak/>
        <w:t xml:space="preserve">Una vez sentado lo anterior, en una aproximación inicial, es procedente mencionar que la solicitud de información </w:t>
      </w:r>
      <w:r w:rsidR="00516B8E">
        <w:rPr>
          <w:rFonts w:ascii="Palatino Linotype" w:hAnsi="Palatino Linotype"/>
          <w:b/>
        </w:rPr>
        <w:t>00009/GUBERNA/IP/2020</w:t>
      </w:r>
      <w:r w:rsidR="00A0553E">
        <w:rPr>
          <w:rFonts w:ascii="Palatino Linotype" w:hAnsi="Palatino Linotype"/>
          <w:b/>
        </w:rPr>
        <w:t xml:space="preserve"> </w:t>
      </w:r>
      <w:r w:rsidR="00A0553E">
        <w:rPr>
          <w:rFonts w:ascii="Palatino Linotype" w:hAnsi="Palatino Linotype"/>
          <w:bCs/>
        </w:rPr>
        <w:t xml:space="preserve">se nutre de </w:t>
      </w:r>
      <w:r w:rsidR="00EE7822" w:rsidRPr="00EE7822">
        <w:rPr>
          <w:rFonts w:ascii="Palatino Linotype" w:hAnsi="Palatino Linotype"/>
          <w:bCs/>
        </w:rPr>
        <w:t>múltiples</w:t>
      </w:r>
      <w:r w:rsidR="00A0553E">
        <w:rPr>
          <w:rFonts w:ascii="Palatino Linotype" w:hAnsi="Palatino Linotype"/>
          <w:b/>
        </w:rPr>
        <w:t xml:space="preserve"> </w:t>
      </w:r>
      <w:r w:rsidR="00A0553E">
        <w:rPr>
          <w:rFonts w:ascii="Palatino Linotype" w:hAnsi="Palatino Linotype"/>
          <w:bCs/>
        </w:rPr>
        <w:t xml:space="preserve">requerimientos, adicionalmente el particular fue omiso en señalar elemento temporal. Consecuentemente, de una interpretación gramatical el elemento temporal debe de ser concebido al </w:t>
      </w:r>
      <w:r w:rsidR="00516B8E">
        <w:rPr>
          <w:rFonts w:ascii="Palatino Linotype" w:hAnsi="Palatino Linotype"/>
          <w:bCs/>
        </w:rPr>
        <w:t>trece de enero de dos mil veinte</w:t>
      </w:r>
      <w:r w:rsidR="00A0553E">
        <w:rPr>
          <w:rFonts w:ascii="Palatino Linotype" w:hAnsi="Palatino Linotype"/>
          <w:bCs/>
        </w:rPr>
        <w:t xml:space="preserve">, al corresponder a la fecha en que se ejerció el derecho de acceso a la información pública. </w:t>
      </w:r>
    </w:p>
    <w:p w14:paraId="767C6C56" w14:textId="0E821F14" w:rsidR="00A0553E" w:rsidRPr="00A0553E" w:rsidRDefault="00A0553E" w:rsidP="005A51F9">
      <w:pPr>
        <w:pStyle w:val="Sinespaciado"/>
        <w:spacing w:line="360" w:lineRule="auto"/>
        <w:jc w:val="both"/>
        <w:rPr>
          <w:rFonts w:ascii="Palatino Linotype" w:hAnsi="Palatino Linotype"/>
          <w:bCs/>
        </w:rPr>
      </w:pPr>
    </w:p>
    <w:p w14:paraId="1DBA9491" w14:textId="01CB82F0" w:rsidR="001A6AAB" w:rsidRDefault="00A0553E" w:rsidP="001A6AA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Dicha precisión</w:t>
      </w:r>
      <w:r w:rsidR="001A6AAB">
        <w:rPr>
          <w:rFonts w:ascii="Palatino Linotype" w:eastAsia="Times New Roman" w:hAnsi="Palatino Linotype" w:cs="Times New Roman"/>
          <w:sz w:val="24"/>
          <w:szCs w:val="24"/>
          <w:lang w:eastAsia="es-ES"/>
        </w:rPr>
        <w:t xml:space="preserve"> con fundamento en los artículos 13 y 181 cuarto párrafo de la Ley en materia, normatividad cuyo contenido literal es el siguiente: </w:t>
      </w:r>
    </w:p>
    <w:p w14:paraId="19E23081" w14:textId="77777777" w:rsidR="001A6AAB" w:rsidRPr="00BC704A" w:rsidRDefault="001A6AAB" w:rsidP="001A6AA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56B96B0" w14:textId="77777777" w:rsidR="001A6AAB" w:rsidRPr="00BC704A" w:rsidRDefault="001A6AAB" w:rsidP="001A6AA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B809EE6" w14:textId="77777777" w:rsidR="001A6AAB" w:rsidRPr="00BC704A" w:rsidRDefault="001A6AAB" w:rsidP="001A6AA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705CC9E6" w14:textId="77777777" w:rsidR="001A6AAB" w:rsidRDefault="001A6AAB" w:rsidP="005A51F9">
      <w:pPr>
        <w:pStyle w:val="Sinespaciado"/>
        <w:spacing w:line="360" w:lineRule="auto"/>
        <w:jc w:val="both"/>
        <w:rPr>
          <w:rFonts w:ascii="Palatino Linotype" w:hAnsi="Palatino Linotype"/>
        </w:rPr>
      </w:pPr>
    </w:p>
    <w:p w14:paraId="32BA6F6C" w14:textId="3F9531AD" w:rsidR="00B46B3D" w:rsidRDefault="001A6AAB" w:rsidP="005A51F9">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w:t>
      </w:r>
      <w:r w:rsidR="00B46B3D">
        <w:rPr>
          <w:rFonts w:ascii="Palatino Linotype" w:hAnsi="Palatino Linotype"/>
        </w:rPr>
        <w:t xml:space="preserve">los requerimientos </w:t>
      </w:r>
      <w:r w:rsidR="00516B8E">
        <w:rPr>
          <w:rFonts w:ascii="Palatino Linotype" w:hAnsi="Palatino Linotype"/>
        </w:rPr>
        <w:t>del</w:t>
      </w:r>
      <w:r w:rsidR="00B46B3D">
        <w:rPr>
          <w:rFonts w:ascii="Palatino Linotype" w:hAnsi="Palatino Linotype"/>
        </w:rPr>
        <w:t xml:space="preserve"> ahora </w:t>
      </w:r>
      <w:r w:rsidR="00B46B3D">
        <w:rPr>
          <w:rFonts w:ascii="Palatino Linotype" w:hAnsi="Palatino Linotype"/>
          <w:b/>
        </w:rPr>
        <w:t xml:space="preserve">Recurrente, </w:t>
      </w:r>
      <w:r w:rsidR="00B46B3D">
        <w:rPr>
          <w:rFonts w:ascii="Palatino Linotype" w:hAnsi="Palatino Linotype"/>
        </w:rPr>
        <w:t xml:space="preserve">de manera objetiva se precisa que versa en conocer la siguiente información: </w:t>
      </w:r>
    </w:p>
    <w:p w14:paraId="3551473F" w14:textId="77777777" w:rsidR="00E07D1E" w:rsidRDefault="00E07D1E" w:rsidP="005A51F9">
      <w:pPr>
        <w:pStyle w:val="Sinespaciado"/>
        <w:spacing w:line="360" w:lineRule="auto"/>
        <w:jc w:val="both"/>
        <w:rPr>
          <w:rFonts w:ascii="Palatino Linotype" w:hAnsi="Palatino Linotype"/>
        </w:rPr>
      </w:pPr>
    </w:p>
    <w:p w14:paraId="1465E131" w14:textId="21C8F573" w:rsidR="001A6AAB" w:rsidRDefault="006B22EB" w:rsidP="00EE7822">
      <w:pPr>
        <w:pStyle w:val="Sinespaciado"/>
        <w:numPr>
          <w:ilvl w:val="0"/>
          <w:numId w:val="20"/>
        </w:numPr>
        <w:spacing w:line="360" w:lineRule="auto"/>
        <w:jc w:val="both"/>
        <w:rPr>
          <w:rFonts w:ascii="Palatino Linotype" w:hAnsi="Palatino Linotype"/>
        </w:rPr>
      </w:pPr>
      <w:r>
        <w:rPr>
          <w:rFonts w:ascii="Palatino Linotype" w:hAnsi="Palatino Linotype"/>
        </w:rPr>
        <w:t xml:space="preserve">El o los documentos donde conste el número de plazas vacantes, al trece de enero de dos mil veinte. </w:t>
      </w:r>
    </w:p>
    <w:p w14:paraId="378F3F77" w14:textId="29CFBE6C" w:rsidR="006611C1" w:rsidRDefault="006B22EB" w:rsidP="006611C1">
      <w:pPr>
        <w:pStyle w:val="Sinespaciado"/>
        <w:numPr>
          <w:ilvl w:val="0"/>
          <w:numId w:val="20"/>
        </w:numPr>
        <w:spacing w:line="360" w:lineRule="auto"/>
        <w:jc w:val="both"/>
        <w:rPr>
          <w:rFonts w:ascii="Palatino Linotype" w:hAnsi="Palatino Linotype"/>
        </w:rPr>
      </w:pPr>
      <w:r>
        <w:rPr>
          <w:rFonts w:ascii="Palatino Linotype" w:hAnsi="Palatino Linotype"/>
        </w:rPr>
        <w:lastRenderedPageBreak/>
        <w:t xml:space="preserve">El o los documentos donde conste la denominación del o los puestos pendientes a ocupar, al trece de enero de dos mil veinte. </w:t>
      </w:r>
    </w:p>
    <w:p w14:paraId="1A9116AE" w14:textId="71782927" w:rsidR="006611C1" w:rsidRDefault="006B22EB" w:rsidP="006611C1">
      <w:pPr>
        <w:pStyle w:val="Sinespaciado"/>
        <w:numPr>
          <w:ilvl w:val="0"/>
          <w:numId w:val="20"/>
        </w:numPr>
        <w:spacing w:line="360" w:lineRule="auto"/>
        <w:jc w:val="both"/>
        <w:rPr>
          <w:rFonts w:ascii="Palatino Linotype" w:hAnsi="Palatino Linotype"/>
        </w:rPr>
      </w:pPr>
      <w:r>
        <w:rPr>
          <w:rFonts w:ascii="Palatino Linotype" w:hAnsi="Palatino Linotype"/>
        </w:rPr>
        <w:t xml:space="preserve">El o los documentos donde conste la remuneración del o los puestos pendientes a ocupar, al trece de enero de dos mil veinte. </w:t>
      </w:r>
    </w:p>
    <w:p w14:paraId="2EC91895" w14:textId="28B99E23" w:rsidR="006611C1" w:rsidRDefault="006B22EB" w:rsidP="006611C1">
      <w:pPr>
        <w:pStyle w:val="Sinespaciado"/>
        <w:numPr>
          <w:ilvl w:val="0"/>
          <w:numId w:val="20"/>
        </w:numPr>
        <w:spacing w:line="360" w:lineRule="auto"/>
        <w:jc w:val="both"/>
        <w:rPr>
          <w:rFonts w:ascii="Palatino Linotype" w:hAnsi="Palatino Linotype"/>
        </w:rPr>
      </w:pPr>
      <w:r>
        <w:rPr>
          <w:rFonts w:ascii="Palatino Linotype" w:hAnsi="Palatino Linotype"/>
        </w:rPr>
        <w:t xml:space="preserve">El o los documentos donde consten los requisitos, así como el procedimiento para ocupar las plazas vacantes, al trece de enero de dos mil veinte. </w:t>
      </w:r>
    </w:p>
    <w:p w14:paraId="769F2893" w14:textId="73C0CE96" w:rsidR="001A6AAB" w:rsidRPr="000417AA" w:rsidRDefault="001A6AAB" w:rsidP="006611C1">
      <w:pPr>
        <w:pStyle w:val="Sinespaciado"/>
        <w:spacing w:line="360" w:lineRule="auto"/>
        <w:ind w:left="720"/>
        <w:jc w:val="both"/>
        <w:rPr>
          <w:rFonts w:ascii="Palatino Linotype" w:hAnsi="Palatino Linotype"/>
        </w:rPr>
      </w:pPr>
    </w:p>
    <w:p w14:paraId="78B9B324" w14:textId="1978269B" w:rsidR="00DE738A" w:rsidRDefault="00813FE7" w:rsidP="00DE738A">
      <w:pPr>
        <w:spacing w:before="240" w:line="360" w:lineRule="auto"/>
        <w:jc w:val="both"/>
        <w:rPr>
          <w:rFonts w:ascii="Palatino Linotype" w:hAnsi="Palatino Linotype" w:cs="Arial"/>
          <w:color w:val="000000"/>
          <w:sz w:val="24"/>
          <w:lang w:val="es-ES_tradnl"/>
        </w:rPr>
      </w:pPr>
      <w:r w:rsidRPr="002C07E7">
        <w:rPr>
          <w:rFonts w:ascii="Palatino Linotype" w:hAnsi="Palatino Linotype" w:cs="Arial"/>
          <w:sz w:val="24"/>
          <w:szCs w:val="24"/>
        </w:rPr>
        <w:t xml:space="preserve">Una vez sentado lo anterior, resulta oportuno traer a </w:t>
      </w:r>
      <w:r w:rsidR="00DD7C82" w:rsidRPr="002C07E7">
        <w:rPr>
          <w:rFonts w:ascii="Palatino Linotype" w:hAnsi="Palatino Linotype" w:cs="Arial"/>
          <w:sz w:val="24"/>
          <w:szCs w:val="24"/>
        </w:rPr>
        <w:t xml:space="preserve">colación </w:t>
      </w:r>
      <w:r w:rsidR="000A7ED7" w:rsidRPr="002C07E7">
        <w:rPr>
          <w:rFonts w:ascii="Palatino Linotype" w:hAnsi="Palatino Linotype" w:cs="Arial"/>
          <w:sz w:val="24"/>
          <w:szCs w:val="24"/>
        </w:rPr>
        <w:t xml:space="preserve">el artículo </w:t>
      </w:r>
      <w:r w:rsidR="006B22EB">
        <w:rPr>
          <w:rFonts w:ascii="Palatino Linotype" w:hAnsi="Palatino Linotype" w:cs="Arial"/>
          <w:sz w:val="24"/>
          <w:szCs w:val="24"/>
        </w:rPr>
        <w:t xml:space="preserve">12 Bis de la Ley Orgánica de la Administración Pública del Estado de México, </w:t>
      </w:r>
      <w:r w:rsidR="00D42E3C">
        <w:rPr>
          <w:rFonts w:ascii="Palatino Linotype" w:hAnsi="Palatino Linotype" w:cs="Arial"/>
          <w:sz w:val="24"/>
          <w:szCs w:val="24"/>
        </w:rPr>
        <w:t>porción normativa</w:t>
      </w:r>
      <w:r w:rsidR="00DE738A">
        <w:rPr>
          <w:rFonts w:ascii="Palatino Linotype" w:hAnsi="Palatino Linotype" w:cs="Arial"/>
          <w:color w:val="000000"/>
          <w:sz w:val="24"/>
          <w:lang w:val="es-ES_tradnl"/>
        </w:rPr>
        <w:t xml:space="preserve"> que dispone a la literalidad</w:t>
      </w:r>
      <w:r w:rsidR="00D42E3C">
        <w:rPr>
          <w:rFonts w:ascii="Palatino Linotype" w:hAnsi="Palatino Linotype" w:cs="Arial"/>
          <w:color w:val="000000"/>
          <w:sz w:val="24"/>
          <w:lang w:val="es-ES_tradnl"/>
        </w:rPr>
        <w:t xml:space="preserve"> lo siguiente</w:t>
      </w:r>
      <w:r w:rsidR="00DE738A">
        <w:rPr>
          <w:rFonts w:ascii="Palatino Linotype" w:hAnsi="Palatino Linotype" w:cs="Arial"/>
          <w:color w:val="000000"/>
          <w:sz w:val="24"/>
          <w:lang w:val="es-ES_tradnl"/>
        </w:rPr>
        <w:t>:</w:t>
      </w:r>
    </w:p>
    <w:p w14:paraId="61582D65" w14:textId="316DCE38" w:rsidR="00DE738A" w:rsidRPr="00DE738A" w:rsidRDefault="00D42E3C" w:rsidP="00DE738A">
      <w:pPr>
        <w:spacing w:before="240" w:line="360" w:lineRule="auto"/>
        <w:ind w:left="851" w:right="851"/>
        <w:jc w:val="both"/>
        <w:rPr>
          <w:rFonts w:ascii="Palatino Linotype" w:hAnsi="Palatino Linotype" w:cs="Arial"/>
          <w:i/>
          <w:iCs/>
        </w:rPr>
      </w:pPr>
      <w:r w:rsidRPr="00DE738A">
        <w:rPr>
          <w:rFonts w:ascii="Palatino Linotype" w:hAnsi="Palatino Linotype" w:cs="Arial"/>
          <w:i/>
          <w:iCs/>
        </w:rPr>
        <w:t xml:space="preserve"> </w:t>
      </w:r>
      <w:r w:rsidR="00DE738A" w:rsidRPr="00DE738A">
        <w:rPr>
          <w:rFonts w:ascii="Palatino Linotype" w:hAnsi="Palatino Linotype" w:cs="Arial"/>
          <w:i/>
          <w:iCs/>
        </w:rPr>
        <w:t xml:space="preserve">“Artículo 12 Bis. El Gobernador del Estado contará con el apoyo directo de la Oficina de la Gubernatura para el desempeño de sus funciones y el seguimiento permanente de las políticas públicas y su evaluación periódica, con el objeto de aportar elementos para la toma de decisiones, sin perjuicio de las atribuciones que ejercen las dependencias y entidades de la Administración Pública Estatal en el ámbito de sus respectivas competencias. El Gobernador del Estado designará al jefe de dicha Oficina.  </w:t>
      </w:r>
    </w:p>
    <w:p w14:paraId="03A2768A" w14:textId="527F2AA0" w:rsidR="006B22EB" w:rsidRPr="00DE738A" w:rsidRDefault="00DE738A" w:rsidP="00DE738A">
      <w:pPr>
        <w:spacing w:before="240" w:line="360" w:lineRule="auto"/>
        <w:ind w:left="851" w:right="851"/>
        <w:jc w:val="both"/>
        <w:rPr>
          <w:rFonts w:ascii="Palatino Linotype" w:hAnsi="Palatino Linotype" w:cs="Arial"/>
          <w:b/>
          <w:bCs/>
          <w:i/>
          <w:iCs/>
        </w:rPr>
      </w:pPr>
      <w:r w:rsidRPr="00D42E3C">
        <w:rPr>
          <w:rFonts w:ascii="Palatino Linotype" w:hAnsi="Palatino Linotype" w:cs="Arial"/>
          <w:i/>
          <w:iCs/>
        </w:rPr>
        <w:t xml:space="preserve"> La Oficina de la Gubernatura contará con las unidades de apoyo técnico y estructura que el Gobernador del Estado determine, de acuerdo con el presupuesto asignado.”</w:t>
      </w:r>
      <w:r w:rsidRPr="00DE738A">
        <w:rPr>
          <w:rFonts w:ascii="Palatino Linotype" w:hAnsi="Palatino Linotype" w:cs="Arial"/>
          <w:b/>
          <w:bCs/>
          <w:i/>
          <w:iCs/>
        </w:rPr>
        <w:t xml:space="preserve"> [Sic]</w:t>
      </w:r>
    </w:p>
    <w:p w14:paraId="3FBA053E" w14:textId="16547249" w:rsidR="00DE738A" w:rsidRDefault="00DE738A" w:rsidP="00DD7C82">
      <w:pPr>
        <w:spacing w:after="0" w:line="360" w:lineRule="auto"/>
        <w:jc w:val="both"/>
        <w:rPr>
          <w:rFonts w:ascii="Palatino Linotype" w:hAnsi="Palatino Linotype" w:cs="Arial"/>
        </w:rPr>
      </w:pPr>
      <w:r>
        <w:rPr>
          <w:rFonts w:ascii="Palatino Linotype" w:hAnsi="Palatino Linotype" w:cs="Arial"/>
        </w:rPr>
        <w:tab/>
      </w:r>
    </w:p>
    <w:p w14:paraId="542BAEBE" w14:textId="2ADB9048" w:rsidR="00DE738A" w:rsidRDefault="00DE738A" w:rsidP="00DD7C82">
      <w:pPr>
        <w:spacing w:after="0" w:line="360" w:lineRule="auto"/>
        <w:jc w:val="both"/>
        <w:rPr>
          <w:rFonts w:ascii="Palatino Linotype" w:hAnsi="Palatino Linotype" w:cs="Arial"/>
          <w:sz w:val="24"/>
          <w:szCs w:val="24"/>
        </w:rPr>
      </w:pPr>
    </w:p>
    <w:p w14:paraId="4B811987" w14:textId="4D526647" w:rsidR="00DE738A" w:rsidRDefault="00DE738A" w:rsidP="00DE738A">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lastRenderedPageBreak/>
        <w:t>En efecto, de la normatividad previamente plasmada se desprende que</w:t>
      </w:r>
      <w:r w:rsidR="009D7B14">
        <w:rPr>
          <w:rFonts w:ascii="Palatino Linotype" w:hAnsi="Palatino Linotype" w:cs="Arial"/>
          <w:sz w:val="24"/>
          <w:szCs w:val="24"/>
        </w:rPr>
        <w:t>,</w:t>
      </w:r>
      <w:r>
        <w:rPr>
          <w:rFonts w:ascii="Palatino Linotype" w:hAnsi="Palatino Linotype" w:cs="Arial"/>
          <w:sz w:val="24"/>
          <w:szCs w:val="24"/>
        </w:rPr>
        <w:t xml:space="preserve"> </w:t>
      </w:r>
      <w:r w:rsidR="009D7B14">
        <w:rPr>
          <w:rFonts w:ascii="Palatino Linotype" w:hAnsi="Palatino Linotype" w:cs="Arial"/>
          <w:sz w:val="24"/>
          <w:szCs w:val="24"/>
        </w:rPr>
        <w:t xml:space="preserve">en términos generales, </w:t>
      </w:r>
      <w:r w:rsidR="00D42E3C">
        <w:rPr>
          <w:rFonts w:ascii="Palatino Linotype" w:hAnsi="Palatino Linotype" w:cs="Arial"/>
          <w:sz w:val="24"/>
          <w:szCs w:val="24"/>
        </w:rPr>
        <w:t xml:space="preserve">las funciones conferidas al </w:t>
      </w:r>
      <w:r w:rsidR="00D42E3C">
        <w:rPr>
          <w:rFonts w:ascii="Palatino Linotype" w:hAnsi="Palatino Linotype" w:cs="Arial"/>
          <w:b/>
          <w:bCs/>
          <w:sz w:val="24"/>
          <w:szCs w:val="24"/>
        </w:rPr>
        <w:t xml:space="preserve">Sujeto Obligado </w:t>
      </w:r>
      <w:r w:rsidR="00D42E3C">
        <w:rPr>
          <w:rFonts w:ascii="Palatino Linotype" w:hAnsi="Palatino Linotype" w:cs="Arial"/>
          <w:sz w:val="24"/>
          <w:szCs w:val="24"/>
        </w:rPr>
        <w:t xml:space="preserve">se encuentran encauzadas al seguimiento de </w:t>
      </w:r>
      <w:r w:rsidR="009D7B14">
        <w:rPr>
          <w:rFonts w:ascii="Palatino Linotype" w:hAnsi="Palatino Linotype" w:cs="Arial"/>
          <w:sz w:val="24"/>
          <w:szCs w:val="24"/>
        </w:rPr>
        <w:t>actividades</w:t>
      </w:r>
      <w:r w:rsidR="00D42E3C">
        <w:rPr>
          <w:rFonts w:ascii="Palatino Linotype" w:hAnsi="Palatino Linotype" w:cs="Arial"/>
          <w:sz w:val="24"/>
          <w:szCs w:val="24"/>
        </w:rPr>
        <w:t xml:space="preserve"> del Gobernador del Estado, así como al </w:t>
      </w:r>
      <w:r w:rsidR="00F26F2C">
        <w:rPr>
          <w:rFonts w:ascii="Palatino Linotype" w:hAnsi="Palatino Linotype" w:cs="Arial"/>
          <w:sz w:val="24"/>
          <w:szCs w:val="24"/>
        </w:rPr>
        <w:t>alcance</w:t>
      </w:r>
      <w:r w:rsidR="00D42E3C">
        <w:rPr>
          <w:rFonts w:ascii="Palatino Linotype" w:hAnsi="Palatino Linotype" w:cs="Arial"/>
          <w:sz w:val="24"/>
          <w:szCs w:val="24"/>
        </w:rPr>
        <w:t xml:space="preserve"> de </w:t>
      </w:r>
      <w:r w:rsidR="00F26F2C">
        <w:rPr>
          <w:rFonts w:ascii="Palatino Linotype" w:hAnsi="Palatino Linotype" w:cs="Arial"/>
          <w:sz w:val="24"/>
          <w:szCs w:val="24"/>
        </w:rPr>
        <w:t>las políticas públicas</w:t>
      </w:r>
      <w:r w:rsidR="009D7B14">
        <w:rPr>
          <w:rFonts w:ascii="Palatino Linotype" w:hAnsi="Palatino Linotype" w:cs="Arial"/>
          <w:sz w:val="24"/>
          <w:szCs w:val="24"/>
        </w:rPr>
        <w:t xml:space="preserve"> planteadas por esté último.  De manera complementaria, es menester señalar que </w:t>
      </w:r>
      <w:r w:rsidR="009D7B14">
        <w:rPr>
          <w:rFonts w:ascii="Palatino Linotype" w:hAnsi="Palatino Linotype" w:cs="Arial"/>
          <w:b/>
          <w:bCs/>
          <w:sz w:val="24"/>
          <w:szCs w:val="24"/>
        </w:rPr>
        <w:t xml:space="preserve">El Sujeto Obligado </w:t>
      </w:r>
      <w:r w:rsidR="009D7B14">
        <w:rPr>
          <w:rFonts w:ascii="Palatino Linotype" w:hAnsi="Palatino Linotype" w:cs="Arial"/>
          <w:sz w:val="24"/>
          <w:szCs w:val="24"/>
        </w:rPr>
        <w:t xml:space="preserve">se auxilia de diversas unidades administrativas, sirviendo de sustento </w:t>
      </w:r>
      <w:r>
        <w:rPr>
          <w:rFonts w:ascii="Palatino Linotype" w:hAnsi="Palatino Linotype" w:cs="Arial"/>
          <w:color w:val="000000"/>
          <w:sz w:val="24"/>
          <w:lang w:val="es-ES_tradnl"/>
        </w:rPr>
        <w:t xml:space="preserve">la siguiente imagen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p>
    <w:p w14:paraId="443AEB27" w14:textId="68985CA5" w:rsidR="00DE738A" w:rsidRPr="00DE738A" w:rsidRDefault="00E94F9D" w:rsidP="00DD7C82">
      <w:pPr>
        <w:spacing w:after="0" w:line="360" w:lineRule="auto"/>
        <w:jc w:val="both"/>
        <w:rPr>
          <w:rFonts w:ascii="Palatino Linotype" w:hAnsi="Palatino Linotype" w:cs="Arial"/>
          <w:sz w:val="24"/>
          <w:szCs w:val="24"/>
          <w:lang w:val="es-ES_tradnl"/>
        </w:rPr>
      </w:pPr>
      <w:hyperlink r:id="rId10" w:history="1">
        <w:r w:rsidR="00DE738A" w:rsidRPr="008A0735">
          <w:rPr>
            <w:rStyle w:val="Hipervnculo"/>
            <w:rFonts w:ascii="Palatino Linotype" w:hAnsi="Palatino Linotype" w:cs="Arial"/>
            <w:sz w:val="24"/>
            <w:szCs w:val="24"/>
            <w:lang w:val="es-ES_tradnl"/>
          </w:rPr>
          <w:t>https://www.ipomex.org.mx/ipo3/lgt/indice/GUBERNATURA/art_92_ii_b/1.web</w:t>
        </w:r>
      </w:hyperlink>
      <w:r w:rsidR="00DE738A">
        <w:rPr>
          <w:rFonts w:ascii="Palatino Linotype" w:hAnsi="Palatino Linotype" w:cs="Arial"/>
          <w:sz w:val="24"/>
          <w:szCs w:val="24"/>
          <w:lang w:val="es-ES_tradnl"/>
        </w:rPr>
        <w:t xml:space="preserve"> </w:t>
      </w:r>
    </w:p>
    <w:p w14:paraId="4239FF9E" w14:textId="38271523" w:rsidR="006B22EB" w:rsidRDefault="00E84E7D" w:rsidP="00DD7C82">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11488" behindDoc="0" locked="0" layoutInCell="1" allowOverlap="1" wp14:anchorId="4BCA6C32" wp14:editId="08529CD4">
            <wp:simplePos x="0" y="0"/>
            <wp:positionH relativeFrom="margin">
              <wp:align>left</wp:align>
            </wp:positionH>
            <wp:positionV relativeFrom="paragraph">
              <wp:posOffset>333375</wp:posOffset>
            </wp:positionV>
            <wp:extent cx="5600700" cy="3381375"/>
            <wp:effectExtent l="19050" t="19050" r="19050" b="28575"/>
            <wp:wrapThrough wrapText="bothSides">
              <wp:wrapPolygon edited="0">
                <wp:start x="-73" y="-122"/>
                <wp:lineTo x="-73" y="21661"/>
                <wp:lineTo x="21600" y="21661"/>
                <wp:lineTo x="21600" y="-122"/>
                <wp:lineTo x="-73" y="-12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381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79B7FA4" w14:textId="3E377281" w:rsidR="00DE738A" w:rsidRDefault="00DE738A" w:rsidP="00DD7C82">
      <w:pPr>
        <w:spacing w:after="0" w:line="360" w:lineRule="auto"/>
        <w:jc w:val="both"/>
        <w:rPr>
          <w:rFonts w:ascii="Palatino Linotype" w:hAnsi="Palatino Linotype" w:cs="Arial"/>
          <w:sz w:val="24"/>
          <w:szCs w:val="24"/>
        </w:rPr>
      </w:pPr>
    </w:p>
    <w:p w14:paraId="5F386DF6" w14:textId="124EA1B2" w:rsidR="00DE738A" w:rsidRDefault="00165F87" w:rsidP="00DD7C82">
      <w:pPr>
        <w:spacing w:after="0" w:line="360" w:lineRule="auto"/>
        <w:jc w:val="both"/>
        <w:rPr>
          <w:rFonts w:ascii="Palatino Linotype" w:hAnsi="Palatino Linotype" w:cs="Arial"/>
          <w:b/>
          <w:bCs/>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Direcciones, Jefaturas y Unidades Administrativas para cumplir con sus fines </w:t>
      </w:r>
      <w:r>
        <w:rPr>
          <w:rFonts w:ascii="Palatino Linotype" w:hAnsi="Palatino Linotype" w:cs="Arial"/>
          <w:noProof/>
          <w:color w:val="000000"/>
          <w:sz w:val="24"/>
          <w:lang w:eastAsia="es-MX"/>
        </w:rPr>
        <w:lastRenderedPageBreak/>
        <w:t xml:space="preserve">y objetivos, resultando de nuestro interés los siguientes extractos correspondientes al Manual General de Organización del </w:t>
      </w:r>
      <w:r>
        <w:rPr>
          <w:rFonts w:ascii="Palatino Linotype" w:hAnsi="Palatino Linotype" w:cs="Arial"/>
          <w:b/>
          <w:bCs/>
          <w:noProof/>
          <w:color w:val="000000"/>
          <w:sz w:val="24"/>
          <w:lang w:eastAsia="es-MX"/>
        </w:rPr>
        <w:t xml:space="preserve">Sujeto Obligado: </w:t>
      </w:r>
    </w:p>
    <w:p w14:paraId="2D7653BF" w14:textId="77777777" w:rsidR="00165F87" w:rsidRPr="00D42E3C" w:rsidRDefault="00165F87" w:rsidP="00D42E3C">
      <w:pPr>
        <w:spacing w:before="240" w:line="360" w:lineRule="auto"/>
        <w:ind w:left="851" w:right="851"/>
        <w:jc w:val="both"/>
        <w:rPr>
          <w:rFonts w:ascii="Palatino Linotype" w:hAnsi="Palatino Linotype" w:cs="Arial"/>
          <w:b/>
          <w:bCs/>
          <w:i/>
          <w:iCs/>
          <w:noProof/>
          <w:color w:val="000000"/>
          <w:lang w:eastAsia="es-MX"/>
        </w:rPr>
      </w:pPr>
      <w:r w:rsidRPr="00D42E3C">
        <w:rPr>
          <w:rFonts w:ascii="Palatino Linotype" w:hAnsi="Palatino Linotype" w:cs="Arial"/>
          <w:b/>
          <w:bCs/>
          <w:i/>
          <w:iCs/>
          <w:noProof/>
          <w:color w:val="000000"/>
          <w:lang w:eastAsia="es-MX"/>
        </w:rPr>
        <w:t xml:space="preserve">“V.  OBJETIVO Y FUNCIONES POR UNIDAD ADMINISTRATIVA </w:t>
      </w:r>
    </w:p>
    <w:p w14:paraId="17037405" w14:textId="4001C44E" w:rsidR="00165F87" w:rsidRPr="00D42E3C" w:rsidRDefault="00165F87" w:rsidP="00D42E3C">
      <w:pPr>
        <w:spacing w:before="240" w:line="360" w:lineRule="auto"/>
        <w:ind w:left="851" w:right="851"/>
        <w:jc w:val="both"/>
        <w:rPr>
          <w:rFonts w:ascii="Palatino Linotype" w:hAnsi="Palatino Linotype" w:cs="Arial"/>
          <w:b/>
          <w:bCs/>
          <w:i/>
          <w:iCs/>
          <w:noProof/>
          <w:color w:val="000000"/>
          <w:lang w:eastAsia="es-MX"/>
        </w:rPr>
      </w:pPr>
      <w:r w:rsidRPr="00D42E3C">
        <w:rPr>
          <w:rFonts w:ascii="Palatino Linotype" w:hAnsi="Palatino Linotype" w:cs="Arial"/>
          <w:b/>
          <w:bCs/>
          <w:i/>
          <w:iCs/>
          <w:noProof/>
          <w:color w:val="000000"/>
          <w:lang w:eastAsia="es-MX"/>
        </w:rPr>
        <w:t xml:space="preserve"> 201100000</w:t>
      </w:r>
      <w:r w:rsidR="00D42E3C">
        <w:rPr>
          <w:rFonts w:ascii="Palatino Linotype" w:hAnsi="Palatino Linotype" w:cs="Arial"/>
          <w:b/>
          <w:bCs/>
          <w:i/>
          <w:iCs/>
          <w:noProof/>
          <w:color w:val="000000"/>
          <w:lang w:eastAsia="es-MX"/>
        </w:rPr>
        <w:t xml:space="preserve"> </w:t>
      </w:r>
      <w:r w:rsidRPr="00D42E3C">
        <w:rPr>
          <w:rFonts w:ascii="Palatino Linotype" w:hAnsi="Palatino Linotype" w:cs="Arial"/>
          <w:b/>
          <w:bCs/>
          <w:i/>
          <w:iCs/>
          <w:noProof/>
          <w:color w:val="000000"/>
          <w:lang w:eastAsia="es-MX"/>
        </w:rPr>
        <w:t xml:space="preserve">SECRETARÍA PARTICULAR </w:t>
      </w:r>
    </w:p>
    <w:p w14:paraId="17EB4F7B" w14:textId="1ED4C3DF" w:rsidR="00165F87" w:rsidRPr="00D42E3C" w:rsidRDefault="00165F87" w:rsidP="00D42E3C">
      <w:pPr>
        <w:spacing w:before="240" w:line="360" w:lineRule="auto"/>
        <w:ind w:left="851" w:right="851"/>
        <w:jc w:val="both"/>
        <w:rPr>
          <w:rFonts w:ascii="Palatino Linotype" w:hAnsi="Palatino Linotype" w:cs="Arial"/>
          <w:b/>
          <w:bCs/>
          <w:i/>
          <w:iCs/>
          <w:noProof/>
          <w:color w:val="000000"/>
          <w:lang w:eastAsia="es-MX"/>
        </w:rPr>
      </w:pPr>
      <w:r w:rsidRPr="00D42E3C">
        <w:rPr>
          <w:rFonts w:ascii="Palatino Linotype" w:hAnsi="Palatino Linotype" w:cs="Arial"/>
          <w:b/>
          <w:bCs/>
          <w:i/>
          <w:iCs/>
          <w:noProof/>
          <w:color w:val="000000"/>
          <w:lang w:eastAsia="es-MX"/>
        </w:rPr>
        <w:t xml:space="preserve"> OBJETIVO: </w:t>
      </w:r>
    </w:p>
    <w:p w14:paraId="0A032F38" w14:textId="36004F4C" w:rsidR="00165F87" w:rsidRPr="00D42E3C" w:rsidRDefault="00165F87" w:rsidP="00D42E3C">
      <w:pPr>
        <w:spacing w:before="240" w:line="360" w:lineRule="auto"/>
        <w:ind w:left="851" w:right="851"/>
        <w:jc w:val="both"/>
        <w:rPr>
          <w:rFonts w:ascii="Palatino Linotype" w:hAnsi="Palatino Linotype" w:cs="Arial"/>
          <w:i/>
          <w:iCs/>
          <w:noProof/>
          <w:color w:val="000000"/>
          <w:lang w:eastAsia="es-MX"/>
        </w:rPr>
      </w:pPr>
      <w:r w:rsidRPr="00D42E3C">
        <w:rPr>
          <w:rFonts w:ascii="Palatino Linotype" w:hAnsi="Palatino Linotype" w:cs="Arial"/>
          <w:b/>
          <w:bCs/>
          <w:i/>
          <w:iCs/>
          <w:noProof/>
          <w:color w:val="000000"/>
          <w:lang w:eastAsia="es-MX"/>
        </w:rPr>
        <w:t xml:space="preserve"> </w:t>
      </w:r>
      <w:r w:rsidRPr="00D42E3C">
        <w:rPr>
          <w:rFonts w:ascii="Palatino Linotype" w:hAnsi="Palatino Linotype" w:cs="Arial"/>
          <w:i/>
          <w:iCs/>
          <w:noProof/>
          <w:color w:val="000000"/>
          <w:lang w:eastAsia="es-MX"/>
        </w:rPr>
        <w:t xml:space="preserve">Contribuir al eficiente desarrollo de las funciones de la o del titular del Ejecutivo Estatal, mediante Ia organización y coordinación de las actividades propias de su cargo, así como mantenerla o mantenerlo informado sobre los compromisos oficiales contraídos. </w:t>
      </w:r>
    </w:p>
    <w:p w14:paraId="6D9DEB00" w14:textId="2CD6325D" w:rsidR="00165F87" w:rsidRPr="00D42E3C" w:rsidRDefault="00165F87"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FUNCIONES:</w:t>
      </w:r>
    </w:p>
    <w:p w14:paraId="3056EC22" w14:textId="409F3844" w:rsidR="00165F87" w:rsidRPr="00D42E3C" w:rsidRDefault="00165F87" w:rsidP="00D42E3C">
      <w:pPr>
        <w:spacing w:before="240" w:line="360" w:lineRule="auto"/>
        <w:ind w:left="851" w:right="851"/>
        <w:jc w:val="both"/>
        <w:rPr>
          <w:rFonts w:ascii="Palatino Linotype" w:hAnsi="Palatino Linotype" w:cs="Arial"/>
          <w:i/>
          <w:iCs/>
        </w:rPr>
      </w:pPr>
      <w:r w:rsidRPr="00D42E3C">
        <w:rPr>
          <w:rFonts w:ascii="Palatino Linotype" w:hAnsi="Palatino Linotype" w:cs="Arial"/>
          <w:i/>
          <w:iCs/>
        </w:rPr>
        <w:t>(…)</w:t>
      </w:r>
    </w:p>
    <w:p w14:paraId="08258CD2" w14:textId="77687409"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201200000</w:t>
      </w:r>
      <w:r>
        <w:rPr>
          <w:rFonts w:ascii="Palatino Linotype" w:hAnsi="Palatino Linotype" w:cs="Arial"/>
          <w:b/>
          <w:bCs/>
          <w:i/>
          <w:iCs/>
        </w:rPr>
        <w:t xml:space="preserve"> </w:t>
      </w:r>
      <w:r w:rsidRPr="00D42E3C">
        <w:rPr>
          <w:rFonts w:ascii="Palatino Linotype" w:hAnsi="Palatino Linotype" w:cs="Arial"/>
          <w:b/>
          <w:bCs/>
          <w:i/>
          <w:iCs/>
        </w:rPr>
        <w:t xml:space="preserve">SECRETARÍA PARTICULAR ADJUNTA </w:t>
      </w:r>
    </w:p>
    <w:p w14:paraId="1CEFBF0A" w14:textId="1BE26CD5"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 xml:space="preserve"> OBJETIVO: </w:t>
      </w:r>
    </w:p>
    <w:p w14:paraId="443C5FA5" w14:textId="5875EE56" w:rsidR="00D42E3C" w:rsidRPr="00D42E3C" w:rsidRDefault="00D42E3C" w:rsidP="00D42E3C">
      <w:pPr>
        <w:spacing w:before="240" w:line="360" w:lineRule="auto"/>
        <w:ind w:left="851" w:right="851"/>
        <w:jc w:val="both"/>
        <w:rPr>
          <w:rFonts w:ascii="Palatino Linotype" w:hAnsi="Palatino Linotype" w:cs="Arial"/>
          <w:i/>
          <w:iCs/>
        </w:rPr>
      </w:pPr>
      <w:r w:rsidRPr="00D42E3C">
        <w:rPr>
          <w:rFonts w:ascii="Palatino Linotype" w:hAnsi="Palatino Linotype" w:cs="Arial"/>
          <w:i/>
          <w:iCs/>
        </w:rPr>
        <w:t xml:space="preserve"> Coadyuvar en las actividades que realiza la C. Gobernadora o el C. Gobernador en giras, eventos, reuniones u otras, mediante el otorgamiento oportuno de apoyos informativos, de comunicación y atención directa, así como instruir el seguimiento de los asuntos que le sean turnados por la o el titular del Ejecutivo Estatal. </w:t>
      </w:r>
    </w:p>
    <w:p w14:paraId="69499437" w14:textId="3F45339B"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 xml:space="preserve"> FUNCIONES:</w:t>
      </w:r>
    </w:p>
    <w:p w14:paraId="1D81E281" w14:textId="34493324" w:rsidR="00DE738A" w:rsidRPr="00D42E3C" w:rsidRDefault="00D42E3C" w:rsidP="00D42E3C">
      <w:pPr>
        <w:pStyle w:val="Prrafodelista"/>
        <w:spacing w:before="240" w:after="160" w:line="360" w:lineRule="auto"/>
        <w:ind w:left="851" w:right="851"/>
        <w:jc w:val="both"/>
        <w:rPr>
          <w:rFonts w:ascii="Palatino Linotype" w:hAnsi="Palatino Linotype" w:cs="Arial"/>
          <w:bCs/>
          <w:i/>
          <w:iCs/>
          <w:sz w:val="22"/>
          <w:szCs w:val="22"/>
        </w:rPr>
      </w:pPr>
      <w:r w:rsidRPr="00D42E3C">
        <w:rPr>
          <w:rFonts w:ascii="Palatino Linotype" w:hAnsi="Palatino Linotype"/>
          <w:bCs/>
          <w:i/>
          <w:iCs/>
          <w:noProof/>
          <w:sz w:val="22"/>
          <w:szCs w:val="22"/>
        </w:rPr>
        <w:t>(…)</w:t>
      </w:r>
    </w:p>
    <w:p w14:paraId="7E8B9F10" w14:textId="73EE4CEA"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 xml:space="preserve">201120000 SECRETARÍA AUXILIAR </w:t>
      </w:r>
    </w:p>
    <w:p w14:paraId="498FF2FE" w14:textId="72E90C34"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lastRenderedPageBreak/>
        <w:t xml:space="preserve"> OBJETIVO: </w:t>
      </w:r>
    </w:p>
    <w:p w14:paraId="1EB96834" w14:textId="718617A8" w:rsidR="00D42E3C" w:rsidRPr="00D42E3C" w:rsidRDefault="00D42E3C" w:rsidP="00D42E3C">
      <w:pPr>
        <w:spacing w:before="240" w:line="360" w:lineRule="auto"/>
        <w:ind w:left="851" w:right="851"/>
        <w:jc w:val="both"/>
        <w:rPr>
          <w:rFonts w:ascii="Palatino Linotype" w:hAnsi="Palatino Linotype" w:cs="Arial"/>
          <w:i/>
          <w:iCs/>
        </w:rPr>
      </w:pPr>
      <w:r w:rsidRPr="00D42E3C">
        <w:rPr>
          <w:rFonts w:ascii="Palatino Linotype" w:hAnsi="Palatino Linotype" w:cs="Arial"/>
          <w:i/>
          <w:iCs/>
        </w:rPr>
        <w:t xml:space="preserve"> Apoyar a la o al Secretario Particular de la C. Gobernadora o del C. Gobernador del Estado, en </w:t>
      </w:r>
      <w:proofErr w:type="spellStart"/>
      <w:r w:rsidRPr="00D42E3C">
        <w:rPr>
          <w:rFonts w:ascii="Palatino Linotype" w:hAnsi="Palatino Linotype" w:cs="Arial"/>
          <w:i/>
          <w:iCs/>
        </w:rPr>
        <w:t>Ia</w:t>
      </w:r>
      <w:proofErr w:type="spellEnd"/>
      <w:r w:rsidRPr="00D42E3C">
        <w:rPr>
          <w:rFonts w:ascii="Palatino Linotype" w:hAnsi="Palatino Linotype" w:cs="Arial"/>
          <w:i/>
          <w:iCs/>
        </w:rPr>
        <w:t xml:space="preserve"> atención y tramitación de los asuntos que le confiera. </w:t>
      </w:r>
    </w:p>
    <w:p w14:paraId="7D12F9E2" w14:textId="70EB8CC3"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 xml:space="preserve"> FUNCIONES:</w:t>
      </w:r>
    </w:p>
    <w:p w14:paraId="178406F5" w14:textId="2E560EEC" w:rsidR="00D42E3C" w:rsidRPr="00D42E3C" w:rsidRDefault="00D42E3C" w:rsidP="00D42E3C">
      <w:pPr>
        <w:spacing w:before="240" w:line="360" w:lineRule="auto"/>
        <w:ind w:left="851" w:right="851"/>
        <w:jc w:val="both"/>
        <w:rPr>
          <w:rFonts w:ascii="Palatino Linotype" w:hAnsi="Palatino Linotype" w:cs="Arial"/>
          <w:i/>
          <w:iCs/>
        </w:rPr>
      </w:pPr>
      <w:r w:rsidRPr="00D42E3C">
        <w:rPr>
          <w:rFonts w:ascii="Palatino Linotype" w:hAnsi="Palatino Linotype" w:cs="Arial"/>
          <w:i/>
          <w:iCs/>
        </w:rPr>
        <w:t>(…)</w:t>
      </w:r>
    </w:p>
    <w:p w14:paraId="692EB129" w14:textId="135F3715"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 xml:space="preserve">201101000 SECRETARÍA PRIVADA </w:t>
      </w:r>
    </w:p>
    <w:p w14:paraId="65CD7B45" w14:textId="36873346"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b/>
          <w:bCs/>
          <w:i/>
          <w:iCs/>
        </w:rPr>
        <w:t xml:space="preserve"> OBJETIVO: </w:t>
      </w:r>
    </w:p>
    <w:p w14:paraId="4D47BD47" w14:textId="7BC6DF77" w:rsidR="00D42E3C" w:rsidRPr="00D42E3C" w:rsidRDefault="00D42E3C" w:rsidP="00D42E3C">
      <w:pPr>
        <w:spacing w:before="240" w:line="360" w:lineRule="auto"/>
        <w:ind w:left="851" w:right="851"/>
        <w:jc w:val="both"/>
        <w:rPr>
          <w:rFonts w:ascii="Palatino Linotype" w:hAnsi="Palatino Linotype" w:cs="Arial"/>
          <w:i/>
          <w:iCs/>
        </w:rPr>
      </w:pPr>
      <w:r w:rsidRPr="00D42E3C">
        <w:rPr>
          <w:rFonts w:ascii="Palatino Linotype" w:hAnsi="Palatino Linotype" w:cs="Arial"/>
          <w:i/>
          <w:iCs/>
        </w:rPr>
        <w:t xml:space="preserve"> Brindar atención directa a la C. Gobernadora o al C. Gobernador en las actividades de carácter privado, supervisando su desarrollo y realizando su seguimiento. </w:t>
      </w:r>
    </w:p>
    <w:p w14:paraId="1617E687" w14:textId="69F3A073" w:rsidR="00D42E3C" w:rsidRPr="00D42E3C" w:rsidRDefault="00D42E3C" w:rsidP="00D42E3C">
      <w:pPr>
        <w:spacing w:before="240" w:line="360" w:lineRule="auto"/>
        <w:ind w:left="851" w:right="851"/>
        <w:jc w:val="both"/>
        <w:rPr>
          <w:rFonts w:ascii="Palatino Linotype" w:hAnsi="Palatino Linotype" w:cs="Arial"/>
          <w:i/>
          <w:iCs/>
        </w:rPr>
      </w:pPr>
      <w:r w:rsidRPr="00D42E3C">
        <w:rPr>
          <w:rFonts w:ascii="Palatino Linotype" w:hAnsi="Palatino Linotype" w:cs="Arial"/>
          <w:i/>
          <w:iCs/>
        </w:rPr>
        <w:t xml:space="preserve"> FUNCIONES: </w:t>
      </w:r>
    </w:p>
    <w:p w14:paraId="425F3DEF" w14:textId="06922E74" w:rsidR="00D42E3C" w:rsidRPr="00D42E3C" w:rsidRDefault="00D42E3C" w:rsidP="00D42E3C">
      <w:pPr>
        <w:spacing w:before="240" w:line="360" w:lineRule="auto"/>
        <w:ind w:left="851" w:right="851"/>
        <w:jc w:val="both"/>
        <w:rPr>
          <w:rFonts w:ascii="Palatino Linotype" w:hAnsi="Palatino Linotype" w:cs="Arial"/>
          <w:b/>
          <w:bCs/>
          <w:i/>
          <w:iCs/>
        </w:rPr>
      </w:pPr>
      <w:r w:rsidRPr="00D42E3C">
        <w:rPr>
          <w:rFonts w:ascii="Palatino Linotype" w:hAnsi="Palatino Linotype" w:cs="Arial"/>
          <w:i/>
          <w:iCs/>
        </w:rPr>
        <w:t>(…)</w:t>
      </w:r>
      <w:r>
        <w:rPr>
          <w:rFonts w:ascii="Palatino Linotype" w:hAnsi="Palatino Linotype" w:cs="Arial"/>
          <w:i/>
          <w:iCs/>
        </w:rPr>
        <w:t xml:space="preserve">” </w:t>
      </w:r>
      <w:r>
        <w:rPr>
          <w:rFonts w:ascii="Palatino Linotype" w:hAnsi="Palatino Linotype" w:cs="Arial"/>
          <w:b/>
          <w:bCs/>
          <w:i/>
          <w:iCs/>
        </w:rPr>
        <w:t>[Sic]</w:t>
      </w:r>
    </w:p>
    <w:p w14:paraId="2DF37C12" w14:textId="46D0E989" w:rsidR="00D42E3C" w:rsidRPr="00D42E3C" w:rsidRDefault="00D42E3C" w:rsidP="00D42E3C">
      <w:pPr>
        <w:spacing w:line="360" w:lineRule="auto"/>
        <w:ind w:left="360"/>
        <w:jc w:val="both"/>
        <w:rPr>
          <w:rFonts w:ascii="Palatino Linotype" w:hAnsi="Palatino Linotype" w:cs="Arial"/>
        </w:rPr>
      </w:pPr>
    </w:p>
    <w:p w14:paraId="1DE12994" w14:textId="691E321C" w:rsidR="009D7B14" w:rsidRDefault="00D42E3C" w:rsidP="009D7B14">
      <w:pPr>
        <w:pStyle w:val="Sinespaciado"/>
        <w:spacing w:line="360" w:lineRule="auto"/>
        <w:jc w:val="both"/>
        <w:rPr>
          <w:rFonts w:ascii="Palatino Linotype" w:hAnsi="Palatino Linotype"/>
        </w:rPr>
      </w:pPr>
      <w:r w:rsidRPr="009D7B14">
        <w:rPr>
          <w:rFonts w:ascii="Palatino Linotype" w:hAnsi="Palatino Linotype" w:cs="Arial"/>
        </w:rPr>
        <w:t xml:space="preserve">En efecto, de la normatividad previamente plasmada se desprende que </w:t>
      </w:r>
      <w:r w:rsidR="009D7B14" w:rsidRPr="009D7B14">
        <w:rPr>
          <w:rFonts w:ascii="Palatino Linotype" w:hAnsi="Palatino Linotype" w:cs="Arial"/>
        </w:rPr>
        <w:t xml:space="preserve">ninguna de las unidades administrativas del </w:t>
      </w:r>
      <w:r w:rsidR="009D7B14" w:rsidRPr="009D7B14">
        <w:rPr>
          <w:rFonts w:ascii="Palatino Linotype" w:hAnsi="Palatino Linotype" w:cs="Arial"/>
          <w:b/>
          <w:bCs/>
        </w:rPr>
        <w:t xml:space="preserve">Sujeto Obligado, </w:t>
      </w:r>
      <w:r w:rsidR="009D7B14">
        <w:rPr>
          <w:rFonts w:ascii="Palatino Linotype" w:hAnsi="Palatino Linotype" w:cs="Arial"/>
        </w:rPr>
        <w:t xml:space="preserve">realiza funciones vinculadas con los recursos humanos. No obstante lo anterior, resulta imprescindible traer a colación los artículos </w:t>
      </w:r>
      <w:r w:rsidR="009D7B14">
        <w:rPr>
          <w:rFonts w:ascii="Palatino Linotype" w:hAnsi="Palatino Linotype"/>
        </w:rPr>
        <w:t xml:space="preserve">24, fracción XII y 92, fracciones VIII, X, XII y XVIII de la Ley de Transparencia y Acceso a la Información Pública del Estado de México y Municipios, normatividad invocada que a la letra reza lo siguiente: </w:t>
      </w:r>
    </w:p>
    <w:p w14:paraId="693D0634" w14:textId="77777777" w:rsidR="009D7B14" w:rsidRPr="00E66BD3" w:rsidRDefault="009D7B14" w:rsidP="009D7B14">
      <w:pPr>
        <w:spacing w:before="240" w:line="360" w:lineRule="auto"/>
        <w:ind w:left="851" w:right="851"/>
        <w:jc w:val="both"/>
        <w:rPr>
          <w:rFonts w:ascii="Palatino Linotype" w:hAnsi="Palatino Linotype"/>
          <w:i/>
        </w:rPr>
      </w:pPr>
      <w:r w:rsidRPr="00E66BD3">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6523E576" w14:textId="77777777" w:rsidR="009D7B14" w:rsidRPr="00E66BD3" w:rsidRDefault="009D7B14" w:rsidP="009D7B14">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83EB6D0" w14:textId="77777777" w:rsidR="009D7B14" w:rsidRDefault="009D7B14" w:rsidP="009D7B14">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67CDB0" w14:textId="77777777" w:rsidR="009D7B14" w:rsidRPr="009D7B14" w:rsidRDefault="009D7B14" w:rsidP="009D7B14">
      <w:pPr>
        <w:spacing w:before="240" w:line="360" w:lineRule="auto"/>
        <w:ind w:left="851" w:right="851"/>
        <w:jc w:val="both"/>
        <w:rPr>
          <w:rFonts w:ascii="Palatino Linotype" w:hAnsi="Palatino Linotype"/>
          <w:i/>
          <w:iCs/>
        </w:rPr>
      </w:pPr>
      <w:r w:rsidRPr="009D7B14">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C9E02B9" w14:textId="77777777" w:rsidR="009D7B14" w:rsidRPr="009D7B14" w:rsidRDefault="009D7B14" w:rsidP="009D7B14">
      <w:pPr>
        <w:spacing w:before="240" w:line="360" w:lineRule="auto"/>
        <w:ind w:left="851" w:right="851"/>
        <w:jc w:val="both"/>
        <w:rPr>
          <w:rFonts w:ascii="Palatino Linotype" w:hAnsi="Palatino Linotype"/>
          <w:i/>
          <w:iCs/>
        </w:rPr>
      </w:pPr>
      <w:r w:rsidRPr="009D7B14">
        <w:rPr>
          <w:rFonts w:ascii="Palatino Linotype" w:hAnsi="Palatino Linotype"/>
          <w:i/>
          <w:iCs/>
        </w:rPr>
        <w:t>(…)</w:t>
      </w:r>
    </w:p>
    <w:p w14:paraId="36EF31D9" w14:textId="77777777" w:rsidR="009D7B14" w:rsidRPr="009D7B14" w:rsidRDefault="009D7B14" w:rsidP="009D7B14">
      <w:pPr>
        <w:spacing w:before="240" w:line="360" w:lineRule="auto"/>
        <w:ind w:left="851" w:right="851"/>
        <w:jc w:val="both"/>
        <w:rPr>
          <w:rFonts w:ascii="Palatino Linotype" w:hAnsi="Palatino Linotype"/>
          <w:i/>
          <w:iCs/>
        </w:rPr>
      </w:pPr>
      <w:r w:rsidRPr="009D7B14">
        <w:rPr>
          <w:rFonts w:ascii="Palatino Linotype" w:hAnsi="Palatino Linotype"/>
          <w:i/>
          <w:iCs/>
        </w:rPr>
        <w:t>X. El número total de las plazas y del personal de base y de confianza, especificando el total de las vacantes, por nivel de puesto, para cada unidad administrativa;</w:t>
      </w:r>
    </w:p>
    <w:p w14:paraId="44E482AE" w14:textId="77777777" w:rsidR="009D7B14" w:rsidRPr="009D7B14" w:rsidRDefault="009D7B14" w:rsidP="009D7B14">
      <w:pPr>
        <w:spacing w:before="240" w:line="360" w:lineRule="auto"/>
        <w:ind w:left="851" w:right="851"/>
        <w:jc w:val="both"/>
        <w:rPr>
          <w:rFonts w:ascii="Palatino Linotype" w:hAnsi="Palatino Linotype"/>
          <w:i/>
          <w:iCs/>
        </w:rPr>
      </w:pPr>
      <w:r w:rsidRPr="009D7B14">
        <w:rPr>
          <w:rFonts w:ascii="Palatino Linotype" w:hAnsi="Palatino Linotype"/>
          <w:i/>
          <w:iCs/>
        </w:rPr>
        <w:t>(…)</w:t>
      </w:r>
    </w:p>
    <w:p w14:paraId="1C0584A4" w14:textId="77777777" w:rsidR="009D7B14" w:rsidRPr="009D7B14" w:rsidRDefault="009D7B14" w:rsidP="009D7B14">
      <w:pPr>
        <w:spacing w:before="240" w:line="360" w:lineRule="auto"/>
        <w:ind w:left="851" w:right="851"/>
        <w:jc w:val="both"/>
        <w:rPr>
          <w:rFonts w:ascii="Palatino Linotype" w:hAnsi="Palatino Linotype"/>
          <w:i/>
          <w:iCs/>
        </w:rPr>
      </w:pPr>
      <w:r w:rsidRPr="009D7B14">
        <w:rPr>
          <w:rFonts w:ascii="Palatino Linotype" w:hAnsi="Palatino Linotype"/>
          <w:i/>
          <w:iCs/>
        </w:rPr>
        <w:t>XII. El perfil de los puestos de los servidores públicos a su servicio en los casos que aplique;</w:t>
      </w:r>
    </w:p>
    <w:p w14:paraId="5EB93FA4" w14:textId="77777777" w:rsidR="009D7B14" w:rsidRPr="009D7B14" w:rsidRDefault="009D7B14" w:rsidP="009D7B14">
      <w:pPr>
        <w:spacing w:before="240" w:line="360" w:lineRule="auto"/>
        <w:ind w:left="851" w:right="851"/>
        <w:jc w:val="both"/>
        <w:rPr>
          <w:rFonts w:ascii="Palatino Linotype" w:hAnsi="Palatino Linotype"/>
          <w:i/>
          <w:iCs/>
        </w:rPr>
      </w:pPr>
      <w:r w:rsidRPr="009D7B14">
        <w:rPr>
          <w:rFonts w:ascii="Palatino Linotype" w:hAnsi="Palatino Linotype"/>
          <w:i/>
          <w:iCs/>
        </w:rPr>
        <w:lastRenderedPageBreak/>
        <w:t>(…)</w:t>
      </w:r>
    </w:p>
    <w:p w14:paraId="0F6E879E" w14:textId="1C2A8D1D" w:rsidR="009D7B14" w:rsidRPr="009D7B14" w:rsidRDefault="009D7B14" w:rsidP="009D7B14">
      <w:pPr>
        <w:spacing w:before="240" w:line="360" w:lineRule="auto"/>
        <w:ind w:left="851" w:right="851"/>
        <w:jc w:val="both"/>
        <w:rPr>
          <w:rFonts w:ascii="Palatino Linotype" w:hAnsi="Palatino Linotype"/>
          <w:b/>
          <w:bCs/>
          <w:i/>
          <w:iCs/>
        </w:rPr>
      </w:pPr>
      <w:r w:rsidRPr="009D7B14">
        <w:rPr>
          <w:rFonts w:ascii="Palatino Linotype" w:hAnsi="Palatino Linotype"/>
          <w:i/>
          <w:iCs/>
        </w:rPr>
        <w:t xml:space="preserve">XVIII. Las convocatorias a concursos para ocupar cargos públicos y los resultados finales de los mismos;” </w:t>
      </w:r>
      <w:r w:rsidRPr="009D7B14">
        <w:rPr>
          <w:rFonts w:ascii="Palatino Linotype" w:hAnsi="Palatino Linotype"/>
          <w:b/>
          <w:bCs/>
          <w:i/>
          <w:iCs/>
        </w:rPr>
        <w:t>[Sic]</w:t>
      </w:r>
    </w:p>
    <w:p w14:paraId="4318D168" w14:textId="2A265E58" w:rsidR="009D7B14" w:rsidRDefault="009D7B14" w:rsidP="009D7B14">
      <w:pPr>
        <w:pStyle w:val="Sinespaciado"/>
        <w:spacing w:line="360" w:lineRule="auto"/>
        <w:jc w:val="both"/>
        <w:rPr>
          <w:rFonts w:ascii="Palatino Linotype" w:hAnsi="Palatino Linotype"/>
        </w:rPr>
      </w:pPr>
    </w:p>
    <w:p w14:paraId="364B4A70" w14:textId="1C9D5EF7" w:rsidR="009D7B14" w:rsidRPr="00D90233" w:rsidRDefault="00D90233" w:rsidP="005A51F9">
      <w:pPr>
        <w:pStyle w:val="Sinespaciado"/>
        <w:spacing w:line="360" w:lineRule="auto"/>
        <w:jc w:val="both"/>
        <w:rPr>
          <w:rFonts w:ascii="Palatino Linotype" w:hAnsi="Palatino Linotype"/>
        </w:rPr>
      </w:pPr>
      <w:r>
        <w:rPr>
          <w:rFonts w:ascii="Palatino Linotype" w:hAnsi="Palatino Linotype"/>
        </w:rPr>
        <w:t xml:space="preserve">Complementa lo anterior, la tabla de aplicabilidad del </w:t>
      </w:r>
      <w:r>
        <w:rPr>
          <w:rFonts w:ascii="Palatino Linotype" w:hAnsi="Palatino Linotype"/>
          <w:b/>
          <w:bCs/>
        </w:rPr>
        <w:t xml:space="preserve">Sujeto Obligado, </w:t>
      </w:r>
      <w:r>
        <w:rPr>
          <w:rFonts w:ascii="Palatino Linotype" w:hAnsi="Palatino Linotype"/>
        </w:rPr>
        <w:t xml:space="preserve">sirve de sustento las siguientes imágenes ilustrativas, mismas que pueden ser consultadas en la siguiente dirección electrónica: </w:t>
      </w:r>
      <w:hyperlink r:id="rId12" w:history="1">
        <w:r w:rsidRPr="008A0735">
          <w:rPr>
            <w:rStyle w:val="Hipervnculo"/>
            <w:rFonts w:ascii="Palatino Linotype" w:hAnsi="Palatino Linotype"/>
          </w:rPr>
          <w:t>http://www.infoem.org.mx/es/contenido/transparencia/directorio-de-sujetos-obligados</w:t>
        </w:r>
      </w:hyperlink>
      <w:r>
        <w:rPr>
          <w:rFonts w:ascii="Palatino Linotype" w:hAnsi="Palatino Linotype"/>
        </w:rPr>
        <w:t xml:space="preserve"> </w:t>
      </w:r>
    </w:p>
    <w:p w14:paraId="47B2E096" w14:textId="5B54AD66" w:rsidR="009D7B14" w:rsidRDefault="009D7B14" w:rsidP="005A51F9">
      <w:pPr>
        <w:pStyle w:val="Sinespaciado"/>
        <w:spacing w:line="360" w:lineRule="auto"/>
        <w:jc w:val="both"/>
        <w:rPr>
          <w:rFonts w:ascii="Palatino Linotype" w:hAnsi="Palatino Linotype"/>
        </w:rPr>
      </w:pPr>
    </w:p>
    <w:p w14:paraId="2F89A5E8" w14:textId="5A8D0E1A" w:rsidR="009D7B14" w:rsidRDefault="00E84E7D" w:rsidP="005A51F9">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723776" behindDoc="0" locked="0" layoutInCell="1" allowOverlap="1" wp14:anchorId="31B13AA1" wp14:editId="7062D26F">
            <wp:simplePos x="0" y="0"/>
            <wp:positionH relativeFrom="page">
              <wp:align>center</wp:align>
            </wp:positionH>
            <wp:positionV relativeFrom="paragraph">
              <wp:posOffset>309245</wp:posOffset>
            </wp:positionV>
            <wp:extent cx="5760720" cy="3344545"/>
            <wp:effectExtent l="19050" t="19050" r="11430" b="27305"/>
            <wp:wrapThrough wrapText="bothSides">
              <wp:wrapPolygon edited="0">
                <wp:start x="-71" y="-123"/>
                <wp:lineTo x="-71" y="21653"/>
                <wp:lineTo x="21571" y="21653"/>
                <wp:lineTo x="21571" y="-123"/>
                <wp:lineTo x="-71" y="-123"/>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457E06B" w14:textId="77777777" w:rsidR="00E84E7D" w:rsidRDefault="00E84E7D" w:rsidP="005A51F9">
      <w:pPr>
        <w:pStyle w:val="Sinespaciado"/>
        <w:spacing w:line="360" w:lineRule="auto"/>
        <w:jc w:val="both"/>
        <w:rPr>
          <w:rFonts w:ascii="Palatino Linotype" w:hAnsi="Palatino Linotype"/>
        </w:rPr>
      </w:pPr>
    </w:p>
    <w:p w14:paraId="231EC501" w14:textId="74227765" w:rsidR="00E84E7D" w:rsidRDefault="00E84E7D" w:rsidP="005A51F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14560" behindDoc="0" locked="0" layoutInCell="1" allowOverlap="1" wp14:anchorId="0D479609" wp14:editId="085C7B4F">
            <wp:simplePos x="0" y="0"/>
            <wp:positionH relativeFrom="page">
              <wp:align>center</wp:align>
            </wp:positionH>
            <wp:positionV relativeFrom="paragraph">
              <wp:posOffset>19072</wp:posOffset>
            </wp:positionV>
            <wp:extent cx="5762625" cy="3400425"/>
            <wp:effectExtent l="19050" t="19050" r="28575" b="28575"/>
            <wp:wrapThrough wrapText="bothSides">
              <wp:wrapPolygon edited="0">
                <wp:start x="-71" y="-121"/>
                <wp:lineTo x="-71" y="21661"/>
                <wp:lineTo x="21636" y="21661"/>
                <wp:lineTo x="21636" y="-121"/>
                <wp:lineTo x="-71" y="-121"/>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4004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AFA8DD" w14:textId="77777777" w:rsidR="00E84E7D" w:rsidRDefault="00E84E7D" w:rsidP="005A51F9">
      <w:pPr>
        <w:pStyle w:val="Sinespaciado"/>
        <w:spacing w:line="360" w:lineRule="auto"/>
        <w:jc w:val="both"/>
        <w:rPr>
          <w:rFonts w:ascii="Palatino Linotype" w:hAnsi="Palatino Linotype"/>
        </w:rPr>
      </w:pPr>
    </w:p>
    <w:p w14:paraId="7E96AC13" w14:textId="71DB29C9" w:rsidR="005A0113" w:rsidRPr="00422258" w:rsidRDefault="00D90233" w:rsidP="005A51F9">
      <w:pPr>
        <w:pStyle w:val="Sinespaciado"/>
        <w:spacing w:line="360" w:lineRule="auto"/>
        <w:jc w:val="both"/>
        <w:rPr>
          <w:rFonts w:ascii="Palatino Linotype" w:hAnsi="Palatino Linotype"/>
          <w:b/>
        </w:rPr>
      </w:pPr>
      <w:r>
        <w:rPr>
          <w:rFonts w:ascii="Palatino Linotype" w:hAnsi="Palatino Linotype"/>
        </w:rPr>
        <w:t xml:space="preserve">En atención a lo descrito, se arriba a la conclusión de que la información </w:t>
      </w:r>
      <w:r w:rsidR="00422258">
        <w:rPr>
          <w:rFonts w:ascii="Palatino Linotype" w:hAnsi="Palatino Linotype"/>
        </w:rPr>
        <w:t xml:space="preserve">requerida </w:t>
      </w:r>
      <w:r>
        <w:rPr>
          <w:rFonts w:ascii="Palatino Linotype" w:hAnsi="Palatino Linotype"/>
        </w:rPr>
        <w:t>es</w:t>
      </w:r>
      <w:r w:rsidR="00AA7EDD">
        <w:rPr>
          <w:rFonts w:ascii="Palatino Linotype" w:hAnsi="Palatino Linotype"/>
        </w:rPr>
        <w:t xml:space="preserve"> susceptible de ser generada, poseída y administrada por </w:t>
      </w:r>
      <w:r w:rsidR="00AA7EDD">
        <w:rPr>
          <w:rFonts w:ascii="Palatino Linotype" w:hAnsi="Palatino Linotype"/>
          <w:b/>
        </w:rPr>
        <w:t>El Sujeto Obligado</w:t>
      </w:r>
      <w:r w:rsidR="005A0113">
        <w:rPr>
          <w:rFonts w:ascii="Palatino Linotype" w:hAnsi="Palatino Linotype"/>
          <w:bCs/>
        </w:rPr>
        <w:t>, insistiendo en que está estriba dentro de las fronteras conceptuales del alcance público y el interés general</w:t>
      </w:r>
      <w:r w:rsidR="00422258">
        <w:rPr>
          <w:rFonts w:ascii="Palatino Linotype" w:hAnsi="Palatino Linotype"/>
          <w:bCs/>
        </w:rPr>
        <w:t xml:space="preserve"> al ser información susceptible de ser publicada oficiosamente en el portal </w:t>
      </w:r>
      <w:r w:rsidR="00422258" w:rsidRPr="00422258">
        <w:rPr>
          <w:rFonts w:ascii="Palatino Linotype" w:hAnsi="Palatino Linotype"/>
          <w:b/>
        </w:rPr>
        <w:t>IPOMEX</w:t>
      </w:r>
      <w:r w:rsidR="00422258">
        <w:rPr>
          <w:rFonts w:ascii="Palatino Linotype" w:hAnsi="Palatino Linotype"/>
          <w:bCs/>
        </w:rPr>
        <w:t xml:space="preserve"> del </w:t>
      </w:r>
      <w:r w:rsidR="00422258">
        <w:rPr>
          <w:rFonts w:ascii="Palatino Linotype" w:hAnsi="Palatino Linotype"/>
          <w:b/>
        </w:rPr>
        <w:t xml:space="preserve">Sujeto Obligado. </w:t>
      </w:r>
    </w:p>
    <w:p w14:paraId="4006D67C" w14:textId="77777777" w:rsidR="005A0113" w:rsidRDefault="005A0113" w:rsidP="005A51F9">
      <w:pPr>
        <w:pStyle w:val="Sinespaciado"/>
        <w:spacing w:line="360" w:lineRule="auto"/>
        <w:jc w:val="both"/>
        <w:rPr>
          <w:rFonts w:ascii="Palatino Linotype" w:hAnsi="Palatino Linotype"/>
          <w:b/>
        </w:rPr>
      </w:pPr>
    </w:p>
    <w:p w14:paraId="6CF789B9" w14:textId="10BCFECB" w:rsidR="005A0113" w:rsidRPr="005A0113" w:rsidRDefault="006C63A0" w:rsidP="005A51F9">
      <w:pPr>
        <w:pStyle w:val="Sinespaciado"/>
        <w:spacing w:line="360" w:lineRule="auto"/>
        <w:jc w:val="both"/>
        <w:rPr>
          <w:rFonts w:ascii="Palatino Linotype" w:hAnsi="Palatino Linotype"/>
        </w:rPr>
      </w:pPr>
      <w:r w:rsidRPr="006B59AF">
        <w:rPr>
          <w:rFonts w:ascii="Palatino Linotype" w:hAnsi="Palatino Linotype"/>
        </w:rPr>
        <w:t xml:space="preserve">Aunado a lo anterior, como se mencionó en el antecedente segundo, en fecha </w:t>
      </w:r>
      <w:r w:rsidR="005A0113">
        <w:rPr>
          <w:rFonts w:ascii="Palatino Linotype" w:hAnsi="Palatino Linotype"/>
        </w:rPr>
        <w:t xml:space="preserve">catorce de enero de dos mil veinte, </w:t>
      </w:r>
      <w:r w:rsidR="005A0113">
        <w:rPr>
          <w:rFonts w:ascii="Palatino Linotype" w:hAnsi="Palatino Linotype"/>
          <w:b/>
          <w:bCs/>
        </w:rPr>
        <w:t xml:space="preserve">El Sujeto Obligado </w:t>
      </w:r>
      <w:r w:rsidR="005A0113">
        <w:rPr>
          <w:rFonts w:ascii="Palatino Linotype" w:hAnsi="Palatino Linotype"/>
        </w:rPr>
        <w:t xml:space="preserve">rindió su respuesta a la solicitud de información formulada por el particular, adjuntando para tal efecto lo siguiente: </w:t>
      </w:r>
    </w:p>
    <w:p w14:paraId="0F3FB321" w14:textId="6D397858" w:rsidR="006C63A0" w:rsidRDefault="005A0113" w:rsidP="006C63A0">
      <w:pPr>
        <w:pStyle w:val="Sinespaciado"/>
        <w:numPr>
          <w:ilvl w:val="0"/>
          <w:numId w:val="40"/>
        </w:numPr>
        <w:spacing w:line="360" w:lineRule="auto"/>
        <w:jc w:val="both"/>
        <w:rPr>
          <w:rFonts w:ascii="Palatino Linotype" w:hAnsi="Palatino Linotype"/>
          <w:b/>
          <w:bCs/>
        </w:rPr>
      </w:pPr>
      <w:r w:rsidRPr="006B59AF">
        <w:rPr>
          <w:rFonts w:ascii="Palatino Linotype" w:hAnsi="Palatino Linotype"/>
          <w:b/>
          <w:bCs/>
        </w:rPr>
        <w:t xml:space="preserve"> </w:t>
      </w:r>
      <w:r w:rsidR="006C63A0" w:rsidRPr="006B59AF">
        <w:rPr>
          <w:rFonts w:ascii="Palatino Linotype" w:hAnsi="Palatino Linotype"/>
          <w:b/>
          <w:bCs/>
        </w:rPr>
        <w:t>“</w:t>
      </w:r>
      <w:r w:rsidR="003036BB">
        <w:rPr>
          <w:rFonts w:ascii="Palatino Linotype" w:hAnsi="Palatino Linotype"/>
          <w:b/>
          <w:bCs/>
        </w:rPr>
        <w:t xml:space="preserve">0009 respuesta.pdf”: </w:t>
      </w:r>
      <w:r w:rsidR="003036BB">
        <w:rPr>
          <w:rFonts w:ascii="Palatino Linotype" w:hAnsi="Palatino Linotype"/>
        </w:rPr>
        <w:t xml:space="preserve">Oficio </w:t>
      </w:r>
      <w:r w:rsidR="003036BB">
        <w:rPr>
          <w:rFonts w:ascii="Palatino Linotype" w:hAnsi="Palatino Linotype"/>
          <w:b/>
          <w:bCs/>
        </w:rPr>
        <w:t xml:space="preserve">UTG/00013/2020 </w:t>
      </w:r>
      <w:r w:rsidR="004F7129">
        <w:rPr>
          <w:rFonts w:ascii="Palatino Linotype" w:hAnsi="Palatino Linotype"/>
        </w:rPr>
        <w:t xml:space="preserve">signado por el Titular de la Unidad de Transparencia de la Gubernatura del Estado de México y dirigido al </w:t>
      </w:r>
      <w:r w:rsidR="004F7129">
        <w:rPr>
          <w:rFonts w:ascii="Palatino Linotype" w:hAnsi="Palatino Linotype"/>
        </w:rPr>
        <w:lastRenderedPageBreak/>
        <w:t xml:space="preserve">particular, en lo medular, con base en los numerales 3, 23 y 24, fracciones XXXIII, XXXIV, XXXV y XXXVI de la Ley Orgánica de la Administración Pública del Estado de México, manifiesta que </w:t>
      </w:r>
      <w:r w:rsidR="004F7129">
        <w:rPr>
          <w:rFonts w:ascii="Palatino Linotype" w:hAnsi="Palatino Linotype"/>
          <w:b/>
          <w:bCs/>
        </w:rPr>
        <w:t xml:space="preserve">El Sujeto Obligado </w:t>
      </w:r>
      <w:r w:rsidR="004F7129">
        <w:rPr>
          <w:rFonts w:ascii="Palatino Linotype" w:hAnsi="Palatino Linotype"/>
        </w:rPr>
        <w:t xml:space="preserve">competente es la Secretaría de Finanzas; de fecha catorce de enero de dos mil veinte. </w:t>
      </w:r>
    </w:p>
    <w:p w14:paraId="11351056" w14:textId="3BC05AE1" w:rsidR="005A0113" w:rsidRDefault="005A0113" w:rsidP="005A0113">
      <w:pPr>
        <w:pStyle w:val="Sinespaciado"/>
        <w:spacing w:line="360" w:lineRule="auto"/>
        <w:jc w:val="both"/>
        <w:rPr>
          <w:rFonts w:ascii="Palatino Linotype" w:hAnsi="Palatino Linotype"/>
          <w:b/>
          <w:bCs/>
        </w:rPr>
      </w:pPr>
    </w:p>
    <w:p w14:paraId="0BFE4DE0" w14:textId="36E5867C" w:rsidR="004F7129" w:rsidRDefault="004F7129" w:rsidP="005A0113">
      <w:pPr>
        <w:pStyle w:val="Sinespaciado"/>
        <w:spacing w:line="360" w:lineRule="auto"/>
        <w:jc w:val="both"/>
        <w:rPr>
          <w:rFonts w:ascii="Palatino Linotype" w:hAnsi="Palatino Linotype"/>
        </w:rPr>
      </w:pPr>
      <w:r w:rsidRPr="004F7129">
        <w:rPr>
          <w:rFonts w:ascii="Palatino Linotype" w:hAnsi="Palatino Linotype"/>
        </w:rPr>
        <w:t xml:space="preserve">De esta manera, </w:t>
      </w:r>
      <w:r>
        <w:rPr>
          <w:rFonts w:ascii="Palatino Linotype" w:hAnsi="Palatino Linotype"/>
        </w:rPr>
        <w:t xml:space="preserve">es posible advertir la actualización de la hipótesis normativa inmersa en el artículo 179, fracción IV de la Ley de Transparencia y Acceso a la Información Pública del Estado de México y Municipios, disposición jurídica que señala a la literalidad: </w:t>
      </w:r>
    </w:p>
    <w:p w14:paraId="1E650E81" w14:textId="76B35430" w:rsidR="004F7129" w:rsidRPr="00422258" w:rsidRDefault="00422258" w:rsidP="00422258">
      <w:pPr>
        <w:pStyle w:val="Sinespaciado"/>
        <w:spacing w:before="240" w:after="160" w:line="360" w:lineRule="auto"/>
        <w:ind w:left="851" w:right="851"/>
        <w:jc w:val="both"/>
        <w:rPr>
          <w:rFonts w:ascii="Palatino Linotype" w:hAnsi="Palatino Linotype"/>
          <w:i/>
          <w:iCs/>
          <w:sz w:val="22"/>
          <w:szCs w:val="22"/>
        </w:rPr>
      </w:pPr>
      <w:r w:rsidRPr="00422258">
        <w:rPr>
          <w:rFonts w:ascii="Palatino Linotype" w:hAnsi="Palatino Linotype"/>
          <w:i/>
          <w:iCs/>
          <w:sz w:val="22"/>
          <w:szCs w:val="22"/>
        </w:rPr>
        <w:t>“</w:t>
      </w:r>
      <w:r w:rsidR="004F7129" w:rsidRPr="00422258">
        <w:rPr>
          <w:rFonts w:ascii="Palatino Linotype" w:hAnsi="Palatino Linotype"/>
          <w:i/>
          <w:iCs/>
          <w:sz w:val="22"/>
          <w:szCs w:val="22"/>
        </w:rPr>
        <w:t>Artículo 179. El recurso de revisión es un medio de protección que la Ley otorga a los particulares, para hacer valer su derecho de acceso a la información pública, y procederá en contra de las siguientes causas:</w:t>
      </w:r>
    </w:p>
    <w:p w14:paraId="7CBEB22C" w14:textId="1E612FF6" w:rsidR="004F7129" w:rsidRPr="00422258" w:rsidRDefault="004F7129" w:rsidP="00422258">
      <w:pPr>
        <w:pStyle w:val="Sinespaciado"/>
        <w:spacing w:before="240" w:after="160" w:line="360" w:lineRule="auto"/>
        <w:ind w:left="851" w:right="851"/>
        <w:jc w:val="both"/>
        <w:rPr>
          <w:rFonts w:ascii="Palatino Linotype" w:hAnsi="Palatino Linotype"/>
          <w:i/>
          <w:iCs/>
          <w:sz w:val="22"/>
          <w:szCs w:val="22"/>
        </w:rPr>
      </w:pPr>
      <w:r w:rsidRPr="00422258">
        <w:rPr>
          <w:rFonts w:ascii="Palatino Linotype" w:hAnsi="Palatino Linotype"/>
          <w:i/>
          <w:iCs/>
          <w:sz w:val="22"/>
          <w:szCs w:val="22"/>
        </w:rPr>
        <w:t>(…)</w:t>
      </w:r>
    </w:p>
    <w:p w14:paraId="1179A0ED" w14:textId="0FF92EE9" w:rsidR="004F7129" w:rsidRPr="00422258" w:rsidRDefault="004F7129" w:rsidP="00422258">
      <w:pPr>
        <w:pStyle w:val="Sinespaciado"/>
        <w:spacing w:before="240" w:after="160" w:line="360" w:lineRule="auto"/>
        <w:ind w:left="851" w:right="851"/>
        <w:jc w:val="both"/>
        <w:rPr>
          <w:rFonts w:ascii="Palatino Linotype" w:hAnsi="Palatino Linotype"/>
          <w:b/>
          <w:bCs/>
          <w:i/>
          <w:iCs/>
          <w:sz w:val="22"/>
          <w:szCs w:val="22"/>
          <w:u w:val="single"/>
        </w:rPr>
      </w:pPr>
      <w:r w:rsidRPr="00422258">
        <w:rPr>
          <w:rFonts w:ascii="Palatino Linotype" w:hAnsi="Palatino Linotype"/>
          <w:b/>
          <w:bCs/>
          <w:i/>
          <w:iCs/>
          <w:sz w:val="22"/>
          <w:szCs w:val="22"/>
          <w:u w:val="single"/>
        </w:rPr>
        <w:t>IV. La declaración de incompetencia por el sujeto obligado</w:t>
      </w:r>
    </w:p>
    <w:p w14:paraId="65895DB6" w14:textId="06DEC5FD" w:rsidR="004F7129" w:rsidRPr="00422258" w:rsidRDefault="004F7129" w:rsidP="00422258">
      <w:pPr>
        <w:pStyle w:val="Sinespaciado"/>
        <w:spacing w:before="240" w:after="160" w:line="360" w:lineRule="auto"/>
        <w:ind w:left="851" w:right="851"/>
        <w:jc w:val="both"/>
        <w:rPr>
          <w:rFonts w:ascii="Palatino Linotype" w:hAnsi="Palatino Linotype"/>
          <w:b/>
          <w:bCs/>
          <w:i/>
          <w:iCs/>
          <w:sz w:val="22"/>
          <w:szCs w:val="22"/>
        </w:rPr>
      </w:pPr>
      <w:r w:rsidRPr="00422258">
        <w:rPr>
          <w:rFonts w:ascii="Palatino Linotype" w:hAnsi="Palatino Linotype"/>
          <w:i/>
          <w:iCs/>
          <w:sz w:val="22"/>
          <w:szCs w:val="22"/>
        </w:rPr>
        <w:t xml:space="preserve">(…)” </w:t>
      </w:r>
      <w:r w:rsidRPr="00422258">
        <w:rPr>
          <w:rFonts w:ascii="Palatino Linotype" w:hAnsi="Palatino Linotype"/>
          <w:b/>
          <w:bCs/>
          <w:i/>
          <w:iCs/>
          <w:sz w:val="22"/>
          <w:szCs w:val="22"/>
        </w:rPr>
        <w:t>[Sic]</w:t>
      </w:r>
    </w:p>
    <w:p w14:paraId="73A65C3D" w14:textId="502D7FF4" w:rsidR="004F7129" w:rsidRDefault="004F7129" w:rsidP="005A0113">
      <w:pPr>
        <w:pStyle w:val="Sinespaciado"/>
        <w:spacing w:line="360" w:lineRule="auto"/>
        <w:jc w:val="both"/>
        <w:rPr>
          <w:rFonts w:ascii="Palatino Linotype" w:hAnsi="Palatino Linotype"/>
          <w:b/>
          <w:bCs/>
        </w:rPr>
      </w:pPr>
    </w:p>
    <w:p w14:paraId="7C928DC7" w14:textId="77777777" w:rsidR="004F7129" w:rsidRDefault="004F7129" w:rsidP="005A0113">
      <w:pPr>
        <w:pStyle w:val="Sinespaciado"/>
        <w:spacing w:line="360" w:lineRule="auto"/>
        <w:jc w:val="both"/>
        <w:rPr>
          <w:rFonts w:ascii="Palatino Linotype" w:hAnsi="Palatino Linotype"/>
          <w:b/>
          <w:bCs/>
        </w:rPr>
      </w:pPr>
    </w:p>
    <w:p w14:paraId="59C6FF60" w14:textId="10590007" w:rsidR="004F7129" w:rsidRDefault="007815E7" w:rsidP="005A51F9">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 xml:space="preserve">interpuso recurso de revisión en fecha </w:t>
      </w:r>
      <w:r w:rsidR="004F7129">
        <w:rPr>
          <w:rFonts w:ascii="Palatino Linotype" w:hAnsi="Palatino Linotype"/>
        </w:rPr>
        <w:t xml:space="preserve">veintiocho de enero, admitiéndose el cuatro de febrero, ambos del año dos mil veinte. Señalando como razones o motivos de inconformidad: </w:t>
      </w:r>
    </w:p>
    <w:p w14:paraId="4162C69D" w14:textId="64A3240A" w:rsidR="004F7129" w:rsidRPr="00EF38CD" w:rsidRDefault="004F7129" w:rsidP="00EF38CD">
      <w:pPr>
        <w:pStyle w:val="Sinespaciado"/>
        <w:spacing w:before="240" w:after="160" w:line="360" w:lineRule="auto"/>
        <w:ind w:left="851" w:right="851"/>
        <w:jc w:val="both"/>
        <w:rPr>
          <w:rFonts w:ascii="Palatino Linotype" w:hAnsi="Palatino Linotype"/>
          <w:b/>
          <w:bCs/>
          <w:i/>
          <w:iCs/>
          <w:sz w:val="22"/>
          <w:szCs w:val="22"/>
        </w:rPr>
      </w:pPr>
      <w:r w:rsidRPr="00EF38CD">
        <w:rPr>
          <w:rFonts w:ascii="Palatino Linotype" w:hAnsi="Palatino Linotype"/>
          <w:i/>
          <w:iCs/>
          <w:sz w:val="22"/>
          <w:szCs w:val="22"/>
        </w:rPr>
        <w:t xml:space="preserve">“no envían la información solicitada” </w:t>
      </w:r>
      <w:r w:rsidRPr="00EF38CD">
        <w:rPr>
          <w:rFonts w:ascii="Palatino Linotype" w:hAnsi="Palatino Linotype"/>
          <w:b/>
          <w:bCs/>
          <w:i/>
          <w:iCs/>
          <w:sz w:val="22"/>
          <w:szCs w:val="22"/>
        </w:rPr>
        <w:t>[Sic]</w:t>
      </w:r>
    </w:p>
    <w:p w14:paraId="269BCAFC" w14:textId="77777777" w:rsidR="004F7129" w:rsidRDefault="004F7129" w:rsidP="005A51F9">
      <w:pPr>
        <w:pStyle w:val="Sinespaciado"/>
        <w:spacing w:line="360" w:lineRule="auto"/>
        <w:jc w:val="both"/>
        <w:rPr>
          <w:rFonts w:ascii="Palatino Linotype" w:hAnsi="Palatino Linotype"/>
        </w:rPr>
      </w:pPr>
    </w:p>
    <w:p w14:paraId="03FF1520" w14:textId="44DC0CFB" w:rsidR="00ED1F7E" w:rsidRDefault="00E308FC"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lastRenderedPageBreak/>
        <w:t xml:space="preserve">Por otra parte, como fue referido en el antecedente </w:t>
      </w:r>
      <w:r w:rsidR="00ED1F7E">
        <w:rPr>
          <w:rFonts w:ascii="Palatino Linotype" w:hAnsi="Palatino Linotype"/>
          <w:color w:val="000000"/>
        </w:rPr>
        <w:t>quinto</w:t>
      </w:r>
      <w:r>
        <w:rPr>
          <w:rFonts w:ascii="Palatino Linotype" w:hAnsi="Palatino Linotype"/>
          <w:color w:val="000000"/>
        </w:rPr>
        <w:t xml:space="preserve">, </w:t>
      </w:r>
      <w:r w:rsidR="00ED1F7E">
        <w:rPr>
          <w:rFonts w:ascii="Palatino Linotype" w:hAnsi="Palatino Linotype"/>
          <w:b/>
          <w:bCs/>
          <w:color w:val="000000"/>
        </w:rPr>
        <w:t xml:space="preserve">El Sujeto Obligado </w:t>
      </w:r>
      <w:r w:rsidR="00ED1F7E">
        <w:rPr>
          <w:rFonts w:ascii="Palatino Linotype" w:hAnsi="Palatino Linotype"/>
          <w:color w:val="000000"/>
        </w:rPr>
        <w:t>rindió su informe justificado, adjuntando para tal efecto lo siguiente:</w:t>
      </w:r>
    </w:p>
    <w:p w14:paraId="48EACF93" w14:textId="134BAC4A" w:rsidR="00ED1F7E" w:rsidRPr="00EF38CD" w:rsidRDefault="004F7129" w:rsidP="00ED1F7E">
      <w:pPr>
        <w:pStyle w:val="Prrafodelista"/>
        <w:numPr>
          <w:ilvl w:val="0"/>
          <w:numId w:val="41"/>
        </w:numPr>
        <w:spacing w:line="360" w:lineRule="auto"/>
        <w:ind w:right="34"/>
        <w:contextualSpacing/>
        <w:jc w:val="both"/>
        <w:rPr>
          <w:rFonts w:ascii="Palatino Linotype" w:hAnsi="Palatino Linotype"/>
          <w:b/>
          <w:bCs/>
          <w:color w:val="000000"/>
        </w:rPr>
      </w:pPr>
      <w:r>
        <w:rPr>
          <w:rFonts w:ascii="Palatino Linotype" w:hAnsi="Palatino Linotype"/>
          <w:b/>
          <w:bCs/>
          <w:color w:val="000000"/>
        </w:rPr>
        <w:t xml:space="preserve">“0009 Informe de Justificación.pdf”: </w:t>
      </w:r>
      <w:r w:rsidR="006440C0">
        <w:rPr>
          <w:rFonts w:ascii="Palatino Linotype" w:hAnsi="Palatino Linotype"/>
          <w:color w:val="000000"/>
        </w:rPr>
        <w:t xml:space="preserve">Oficio </w:t>
      </w:r>
      <w:r w:rsidR="006440C0">
        <w:rPr>
          <w:rFonts w:ascii="Palatino Linotype" w:hAnsi="Palatino Linotype"/>
          <w:b/>
          <w:bCs/>
          <w:color w:val="000000"/>
        </w:rPr>
        <w:t xml:space="preserve">UTG/00049/2020 </w:t>
      </w:r>
      <w:r w:rsidR="00EF38CD">
        <w:rPr>
          <w:rFonts w:ascii="Palatino Linotype" w:hAnsi="Palatino Linotype"/>
          <w:color w:val="000000"/>
        </w:rPr>
        <w:t xml:space="preserve">signado por el Titular de la Unidad de Transparencia de Gubernatura y dirigido a la Comisionada Ponente, en lo medular resulta de nuestro interés lo siguiente: </w:t>
      </w:r>
    </w:p>
    <w:p w14:paraId="591D4994" w14:textId="30864964" w:rsidR="00EF38CD" w:rsidRDefault="00EF38CD" w:rsidP="00EF38CD">
      <w:pPr>
        <w:pStyle w:val="Prrafodelista"/>
        <w:spacing w:line="360" w:lineRule="auto"/>
        <w:ind w:left="720" w:right="34"/>
        <w:contextualSpacing/>
        <w:jc w:val="both"/>
        <w:rPr>
          <w:rFonts w:ascii="Palatino Linotype" w:hAnsi="Palatino Linotype"/>
          <w:i/>
          <w:iCs/>
          <w:color w:val="000000"/>
          <w:sz w:val="22"/>
          <w:szCs w:val="22"/>
        </w:rPr>
      </w:pPr>
      <w:r>
        <w:rPr>
          <w:rFonts w:ascii="Palatino Linotype" w:hAnsi="Palatino Linotype"/>
          <w:b/>
          <w:bCs/>
          <w:i/>
          <w:iCs/>
          <w:color w:val="000000"/>
          <w:sz w:val="22"/>
          <w:szCs w:val="22"/>
        </w:rPr>
        <w:t>“</w:t>
      </w:r>
      <w:r>
        <w:rPr>
          <w:rFonts w:ascii="Palatino Linotype" w:hAnsi="Palatino Linotype"/>
          <w:i/>
          <w:iCs/>
          <w:color w:val="000000"/>
          <w:sz w:val="22"/>
          <w:szCs w:val="22"/>
        </w:rPr>
        <w:t xml:space="preserve">…Esta Unidad de Transparencia considera inexactas, las razones por las cuales el recurrente </w:t>
      </w:r>
      <w:r w:rsidR="00676078">
        <w:rPr>
          <w:rFonts w:ascii="Palatino Linotype" w:hAnsi="Palatino Linotype"/>
          <w:i/>
          <w:iCs/>
          <w:color w:val="000000"/>
          <w:sz w:val="22"/>
          <w:szCs w:val="22"/>
        </w:rPr>
        <w:t xml:space="preserve">impugna la respuesta, </w:t>
      </w:r>
      <w:r w:rsidR="00D800E0">
        <w:rPr>
          <w:rFonts w:ascii="Palatino Linotype" w:hAnsi="Palatino Linotype"/>
          <w:i/>
          <w:iCs/>
          <w:color w:val="000000"/>
          <w:sz w:val="22"/>
          <w:szCs w:val="22"/>
        </w:rPr>
        <w:t xml:space="preserve">esta oficina después de realizar una búsqueda exhaustiva en los archivos no encontró información relativa a lo solicitado; ya que este Sujeto Obligado, no cuenta con las funciones ni atribuciones para contar con la información de referencia, apelando a los artículos 12 y 167 de la Ley de Transparencia y Acceso a la Información Pública del Estado de México y Municipios. </w:t>
      </w:r>
    </w:p>
    <w:p w14:paraId="2ABA443E" w14:textId="555F0489" w:rsidR="00D800E0" w:rsidRDefault="00D800E0" w:rsidP="00EF38CD">
      <w:pPr>
        <w:pStyle w:val="Prrafodelista"/>
        <w:spacing w:line="360" w:lineRule="auto"/>
        <w:ind w:left="720" w:right="34"/>
        <w:contextualSpacing/>
        <w:jc w:val="both"/>
        <w:rPr>
          <w:rFonts w:ascii="Palatino Linotype" w:hAnsi="Palatino Linotype"/>
          <w:b/>
          <w:bCs/>
          <w:i/>
          <w:iCs/>
          <w:color w:val="000000"/>
          <w:sz w:val="22"/>
          <w:szCs w:val="22"/>
        </w:rPr>
      </w:pPr>
      <w:r>
        <w:rPr>
          <w:rFonts w:ascii="Palatino Linotype" w:hAnsi="Palatino Linotype"/>
          <w:b/>
          <w:bCs/>
          <w:i/>
          <w:iCs/>
          <w:color w:val="000000"/>
          <w:sz w:val="22"/>
          <w:szCs w:val="22"/>
        </w:rPr>
        <w:t>(…)</w:t>
      </w:r>
    </w:p>
    <w:p w14:paraId="393DCE91" w14:textId="28FC9A00" w:rsidR="00D800E0" w:rsidRDefault="00D800E0" w:rsidP="00EF38CD">
      <w:pPr>
        <w:pStyle w:val="Prrafodelista"/>
        <w:spacing w:line="360" w:lineRule="auto"/>
        <w:ind w:left="720" w:right="34"/>
        <w:contextualSpacing/>
        <w:jc w:val="both"/>
        <w:rPr>
          <w:rFonts w:ascii="Palatino Linotype" w:hAnsi="Palatino Linotype"/>
          <w:i/>
          <w:iCs/>
          <w:color w:val="000000"/>
          <w:sz w:val="22"/>
          <w:szCs w:val="22"/>
        </w:rPr>
      </w:pPr>
      <w:r>
        <w:rPr>
          <w:rFonts w:ascii="Palatino Linotype" w:hAnsi="Palatino Linotype"/>
          <w:i/>
          <w:iCs/>
          <w:color w:val="000000"/>
          <w:sz w:val="22"/>
          <w:szCs w:val="22"/>
        </w:rPr>
        <w:t xml:space="preserve">Ahora bien, posiblemente quién pudiera contar con la documental solicitada, sea la Secretaría de </w:t>
      </w:r>
      <w:r w:rsidR="00F1099A">
        <w:rPr>
          <w:rFonts w:ascii="Palatino Linotype" w:hAnsi="Palatino Linotype"/>
          <w:i/>
          <w:iCs/>
          <w:color w:val="000000"/>
          <w:sz w:val="22"/>
          <w:szCs w:val="22"/>
        </w:rPr>
        <w:t>Justicia y Derechos Humanos del Estado de México, a quién es Sujeto Obligado por la Ley de Transparencia, que por su naturaleza y atribuciones como se muestra en la Ley Orgánica de la Administración Pública del Estado de México en el artículo 23 y 2 fracciones XXXIII, XXXIV, XXXV y XXXVI, además del artículo tercero también de la misma ley, considera que el Gobernador, contará con las dependencias</w:t>
      </w:r>
      <w:r w:rsidR="00AA02AB">
        <w:rPr>
          <w:rFonts w:ascii="Palatino Linotype" w:hAnsi="Palatino Linotype"/>
          <w:i/>
          <w:iCs/>
          <w:color w:val="000000"/>
          <w:sz w:val="22"/>
          <w:szCs w:val="22"/>
        </w:rPr>
        <w:t xml:space="preserve">, organismos y entidades para el despacho de los asuntos; además de lo registrado en el Manual General de Organización de la Secretaría de Finanzas, correspondiente a la Dirección General de Personal como lo vemos a continuación: </w:t>
      </w:r>
    </w:p>
    <w:p w14:paraId="7DACCC36" w14:textId="45C44312" w:rsidR="00AA02AB" w:rsidRDefault="0061633B" w:rsidP="00EF38CD">
      <w:pPr>
        <w:pStyle w:val="Prrafodelista"/>
        <w:spacing w:line="360" w:lineRule="auto"/>
        <w:ind w:left="720" w:right="34"/>
        <w:contextualSpacing/>
        <w:jc w:val="both"/>
        <w:rPr>
          <w:rFonts w:ascii="Palatino Linotype" w:hAnsi="Palatino Linotype"/>
          <w:i/>
          <w:iCs/>
          <w:color w:val="000000"/>
          <w:sz w:val="22"/>
          <w:szCs w:val="22"/>
        </w:rPr>
      </w:pPr>
      <w:r>
        <w:rPr>
          <w:rFonts w:ascii="Palatino Linotype" w:hAnsi="Palatino Linotype"/>
          <w:i/>
          <w:iCs/>
          <w:color w:val="000000"/>
          <w:sz w:val="22"/>
          <w:szCs w:val="22"/>
        </w:rPr>
        <w:t>(…)</w:t>
      </w:r>
    </w:p>
    <w:p w14:paraId="154DE567" w14:textId="31BB9DF9" w:rsidR="0061633B" w:rsidRDefault="0061633B" w:rsidP="00EF38CD">
      <w:pPr>
        <w:pStyle w:val="Prrafodelista"/>
        <w:spacing w:line="360" w:lineRule="auto"/>
        <w:ind w:left="720" w:right="34"/>
        <w:contextualSpacing/>
        <w:jc w:val="both"/>
        <w:rPr>
          <w:rFonts w:ascii="Palatino Linotype" w:hAnsi="Palatino Linotype"/>
          <w:i/>
          <w:iCs/>
          <w:color w:val="000000"/>
          <w:sz w:val="22"/>
          <w:szCs w:val="22"/>
        </w:rPr>
      </w:pPr>
      <w:r>
        <w:rPr>
          <w:rFonts w:ascii="Palatino Linotype" w:hAnsi="Palatino Linotype"/>
          <w:i/>
          <w:iCs/>
          <w:color w:val="000000"/>
          <w:sz w:val="22"/>
          <w:szCs w:val="22"/>
        </w:rPr>
        <w:t>Analizando las funciones del Sujeto Obligado denominado Secretaría de Finanzas, podrá advertirse que pudiese contar con la información de referencia, por tal motivo, la Gubernatura no cuenta con las atribuciones ni funciones para contar con dicha información, es por eso que se ampara esta tesis con el artículo 167 de la Ley de Transparencia y Acceso a la Información Pública del Estado de México y Municipios:</w:t>
      </w:r>
    </w:p>
    <w:p w14:paraId="05A82B6F" w14:textId="5F3BD6A6" w:rsidR="0061633B" w:rsidRPr="0061633B" w:rsidRDefault="0061633B" w:rsidP="00EF38CD">
      <w:pPr>
        <w:pStyle w:val="Prrafodelista"/>
        <w:spacing w:line="360" w:lineRule="auto"/>
        <w:ind w:left="720" w:right="34"/>
        <w:contextualSpacing/>
        <w:jc w:val="both"/>
        <w:rPr>
          <w:rFonts w:ascii="Palatino Linotype" w:hAnsi="Palatino Linotype"/>
          <w:b/>
          <w:bCs/>
          <w:i/>
          <w:iCs/>
          <w:color w:val="000000"/>
          <w:sz w:val="22"/>
          <w:szCs w:val="22"/>
        </w:rPr>
      </w:pPr>
      <w:r>
        <w:rPr>
          <w:rFonts w:ascii="Palatino Linotype" w:hAnsi="Palatino Linotype"/>
          <w:i/>
          <w:iCs/>
          <w:color w:val="000000"/>
          <w:sz w:val="22"/>
          <w:szCs w:val="22"/>
        </w:rPr>
        <w:lastRenderedPageBreak/>
        <w:t xml:space="preserve">(…)” </w:t>
      </w:r>
      <w:r>
        <w:rPr>
          <w:rFonts w:ascii="Palatino Linotype" w:hAnsi="Palatino Linotype"/>
          <w:b/>
          <w:bCs/>
          <w:i/>
          <w:iCs/>
          <w:color w:val="000000"/>
          <w:sz w:val="22"/>
          <w:szCs w:val="22"/>
        </w:rPr>
        <w:t>[Sic]</w:t>
      </w:r>
    </w:p>
    <w:p w14:paraId="2A39752E" w14:textId="77777777" w:rsidR="00ED1F7E" w:rsidRDefault="00ED1F7E" w:rsidP="00E308FC">
      <w:pPr>
        <w:pStyle w:val="Prrafodelista"/>
        <w:spacing w:line="360" w:lineRule="auto"/>
        <w:ind w:left="0" w:right="34"/>
        <w:contextualSpacing/>
        <w:jc w:val="both"/>
        <w:rPr>
          <w:rFonts w:ascii="Palatino Linotype" w:hAnsi="Palatino Linotype"/>
          <w:color w:val="000000"/>
        </w:rPr>
      </w:pPr>
    </w:p>
    <w:p w14:paraId="396DBF05" w14:textId="7230DF77" w:rsidR="00ED1F7E" w:rsidRDefault="00ED1F7E" w:rsidP="00E308FC">
      <w:pPr>
        <w:pStyle w:val="Prrafodelista"/>
        <w:spacing w:line="360" w:lineRule="auto"/>
        <w:ind w:left="0" w:right="34"/>
        <w:contextualSpacing/>
        <w:jc w:val="both"/>
        <w:rPr>
          <w:rFonts w:ascii="Palatino Linotype" w:hAnsi="Palatino Linotype"/>
          <w:color w:val="000000"/>
        </w:rPr>
      </w:pPr>
    </w:p>
    <w:p w14:paraId="4DDF0E7F" w14:textId="70357BA7" w:rsidR="00E84E7D" w:rsidRPr="00D36291" w:rsidRDefault="00E84E7D" w:rsidP="00E84E7D">
      <w:pPr>
        <w:pStyle w:val="Sinespaciado"/>
        <w:spacing w:line="360" w:lineRule="auto"/>
        <w:jc w:val="both"/>
        <w:rPr>
          <w:rFonts w:ascii="Palatino Linotype" w:hAnsi="Palatino Linotype"/>
        </w:rPr>
      </w:pPr>
      <w:r w:rsidRPr="00D36291">
        <w:rPr>
          <w:rFonts w:ascii="Palatino Linotype" w:hAnsi="Palatino Linotype"/>
        </w:rPr>
        <w:t xml:space="preserve">Una vez sentado lo anterior, cabe señalar que en alcance al informe justificado de fecha </w:t>
      </w:r>
      <w:r>
        <w:rPr>
          <w:rFonts w:ascii="Palatino Linotype" w:hAnsi="Palatino Linotype"/>
        </w:rPr>
        <w:t>quince de abril</w:t>
      </w:r>
      <w:r w:rsidRPr="00D36291">
        <w:rPr>
          <w:rFonts w:ascii="Palatino Linotype" w:hAnsi="Palatino Linotype"/>
        </w:rPr>
        <w:t xml:space="preserve"> de los corrientes, </w:t>
      </w:r>
      <w:r w:rsidRPr="00D36291">
        <w:rPr>
          <w:rFonts w:ascii="Palatino Linotype" w:hAnsi="Palatino Linotype"/>
          <w:b/>
        </w:rPr>
        <w:t xml:space="preserve">El Sujeto Obligado </w:t>
      </w:r>
      <w:r w:rsidRPr="00D36291">
        <w:rPr>
          <w:rFonts w:ascii="Palatino Linotype" w:hAnsi="Palatino Linotype"/>
        </w:rPr>
        <w:t xml:space="preserve">remitió </w:t>
      </w:r>
      <w:r>
        <w:rPr>
          <w:rFonts w:ascii="Palatino Linotype" w:hAnsi="Palatino Linotype"/>
        </w:rPr>
        <w:t xml:space="preserve">el documento electrónico </w:t>
      </w:r>
      <w:r>
        <w:rPr>
          <w:rFonts w:ascii="Palatino Linotype" w:hAnsi="Palatino Linotype"/>
          <w:b/>
          <w:bCs/>
        </w:rPr>
        <w:t xml:space="preserve">“0009 alcance al informe de justificación.docx”, </w:t>
      </w:r>
      <w:r>
        <w:rPr>
          <w:rFonts w:ascii="Palatino Linotype" w:hAnsi="Palatino Linotype"/>
        </w:rPr>
        <w:t xml:space="preserve">sirven de sustento las siguientes imágenes ilustrativas: </w:t>
      </w:r>
      <w:r w:rsidRPr="00D36291">
        <w:rPr>
          <w:rFonts w:ascii="Palatino Linotype" w:hAnsi="Palatino Linotype"/>
        </w:rPr>
        <w:t xml:space="preserve"> </w:t>
      </w:r>
    </w:p>
    <w:p w14:paraId="57F9CA32" w14:textId="0DCB5F66" w:rsidR="00E84E7D" w:rsidRPr="00E84E7D" w:rsidRDefault="00E84E7D" w:rsidP="00E308FC">
      <w:pPr>
        <w:pStyle w:val="Prrafodelista"/>
        <w:spacing w:line="360" w:lineRule="auto"/>
        <w:ind w:left="0" w:right="34"/>
        <w:contextualSpacing/>
        <w:jc w:val="both"/>
        <w:rPr>
          <w:rFonts w:ascii="Palatino Linotype" w:hAnsi="Palatino Linotype"/>
          <w:color w:val="000000"/>
          <w:lang w:val="es-MX"/>
        </w:rPr>
      </w:pPr>
      <w:r>
        <w:rPr>
          <w:rFonts w:ascii="Palatino Linotype" w:hAnsi="Palatino Linotype"/>
          <w:noProof/>
          <w:color w:val="000000"/>
          <w:lang w:val="es-MX" w:eastAsia="es-MX"/>
        </w:rPr>
        <mc:AlternateContent>
          <mc:Choice Requires="wps">
            <w:drawing>
              <wp:anchor distT="0" distB="0" distL="114300" distR="114300" simplePos="0" relativeHeight="251724800" behindDoc="0" locked="0" layoutInCell="1" allowOverlap="1" wp14:anchorId="4E1781A1" wp14:editId="019FDC97">
                <wp:simplePos x="0" y="0"/>
                <wp:positionH relativeFrom="column">
                  <wp:posOffset>-389471</wp:posOffset>
                </wp:positionH>
                <wp:positionV relativeFrom="paragraph">
                  <wp:posOffset>321741</wp:posOffset>
                </wp:positionV>
                <wp:extent cx="6439710" cy="5009745"/>
                <wp:effectExtent l="0" t="0" r="37465" b="19685"/>
                <wp:wrapNone/>
                <wp:docPr id="2" name="Conector recto 2"/>
                <wp:cNvGraphicFramePr/>
                <a:graphic xmlns:a="http://schemas.openxmlformats.org/drawingml/2006/main">
                  <a:graphicData uri="http://schemas.microsoft.com/office/word/2010/wordprocessingShape">
                    <wps:wsp>
                      <wps:cNvCnPr/>
                      <wps:spPr>
                        <a:xfrm>
                          <a:off x="0" y="0"/>
                          <a:ext cx="6439710" cy="5009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E99811" id="Conector recto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25.35pt" to="476.4pt,4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" strokecolor="#5b9bd5 [3204]" strokeweight=".5pt">
                <v:stroke joinstyle="miter"/>
              </v:line>
            </w:pict>
          </mc:Fallback>
        </mc:AlternateContent>
      </w:r>
    </w:p>
    <w:p w14:paraId="2B5AB7AC" w14:textId="4ED5AE3A" w:rsidR="00E84E7D" w:rsidRDefault="00E84E7D" w:rsidP="00E308FC">
      <w:pPr>
        <w:pStyle w:val="Prrafodelista"/>
        <w:spacing w:line="360" w:lineRule="auto"/>
        <w:ind w:left="0" w:right="34"/>
        <w:contextualSpacing/>
        <w:jc w:val="both"/>
        <w:rPr>
          <w:rFonts w:ascii="Palatino Linotype" w:hAnsi="Palatino Linotype"/>
          <w:color w:val="000000"/>
        </w:rPr>
      </w:pPr>
    </w:p>
    <w:p w14:paraId="7689CAF2" w14:textId="1F3BAAFD" w:rsidR="00E84E7D" w:rsidRDefault="00E84E7D" w:rsidP="00E308FC">
      <w:pPr>
        <w:pStyle w:val="Prrafodelista"/>
        <w:spacing w:line="360" w:lineRule="auto"/>
        <w:ind w:left="0" w:right="34"/>
        <w:contextualSpacing/>
        <w:jc w:val="both"/>
        <w:rPr>
          <w:rFonts w:ascii="Palatino Linotype" w:hAnsi="Palatino Linotype"/>
          <w:color w:val="000000"/>
        </w:rPr>
      </w:pPr>
    </w:p>
    <w:p w14:paraId="4F1B762A" w14:textId="6B910352" w:rsidR="00E84E7D" w:rsidRDefault="00E84E7D" w:rsidP="00E308FC">
      <w:pPr>
        <w:pStyle w:val="Prrafodelista"/>
        <w:spacing w:line="360" w:lineRule="auto"/>
        <w:ind w:left="0" w:right="34"/>
        <w:contextualSpacing/>
        <w:jc w:val="both"/>
        <w:rPr>
          <w:rFonts w:ascii="Palatino Linotype" w:hAnsi="Palatino Linotype"/>
          <w:color w:val="000000"/>
        </w:rPr>
      </w:pPr>
    </w:p>
    <w:p w14:paraId="3539475E" w14:textId="7173AE3F" w:rsidR="00E84E7D" w:rsidRDefault="00E84E7D" w:rsidP="00E308FC">
      <w:pPr>
        <w:pStyle w:val="Prrafodelista"/>
        <w:spacing w:line="360" w:lineRule="auto"/>
        <w:ind w:left="0" w:right="34"/>
        <w:contextualSpacing/>
        <w:jc w:val="both"/>
        <w:rPr>
          <w:rFonts w:ascii="Palatino Linotype" w:hAnsi="Palatino Linotype"/>
          <w:color w:val="000000"/>
        </w:rPr>
      </w:pPr>
    </w:p>
    <w:p w14:paraId="7DF0A390" w14:textId="13BFD51C" w:rsidR="00E84E7D" w:rsidRDefault="00E84E7D" w:rsidP="00E308FC">
      <w:pPr>
        <w:pStyle w:val="Prrafodelista"/>
        <w:spacing w:line="360" w:lineRule="auto"/>
        <w:ind w:left="0" w:right="34"/>
        <w:contextualSpacing/>
        <w:jc w:val="both"/>
        <w:rPr>
          <w:rFonts w:ascii="Palatino Linotype" w:hAnsi="Palatino Linotype"/>
          <w:color w:val="000000"/>
        </w:rPr>
      </w:pPr>
    </w:p>
    <w:p w14:paraId="415F4825" w14:textId="7F5F9D63" w:rsidR="00E84E7D" w:rsidRDefault="00E84E7D" w:rsidP="00E308FC">
      <w:pPr>
        <w:pStyle w:val="Prrafodelista"/>
        <w:spacing w:line="360" w:lineRule="auto"/>
        <w:ind w:left="0" w:right="34"/>
        <w:contextualSpacing/>
        <w:jc w:val="both"/>
        <w:rPr>
          <w:rFonts w:ascii="Palatino Linotype" w:hAnsi="Palatino Linotype"/>
          <w:color w:val="000000"/>
        </w:rPr>
      </w:pPr>
    </w:p>
    <w:p w14:paraId="1225D907" w14:textId="510390F9" w:rsidR="00E84E7D" w:rsidRDefault="00E84E7D" w:rsidP="00E308FC">
      <w:pPr>
        <w:pStyle w:val="Prrafodelista"/>
        <w:spacing w:line="360" w:lineRule="auto"/>
        <w:ind w:left="0" w:right="34"/>
        <w:contextualSpacing/>
        <w:jc w:val="both"/>
        <w:rPr>
          <w:rFonts w:ascii="Palatino Linotype" w:hAnsi="Palatino Linotype"/>
          <w:color w:val="000000"/>
        </w:rPr>
      </w:pPr>
    </w:p>
    <w:p w14:paraId="10DD797A" w14:textId="1B89E8B5" w:rsidR="00E84E7D" w:rsidRDefault="00E84E7D" w:rsidP="00E308FC">
      <w:pPr>
        <w:pStyle w:val="Prrafodelista"/>
        <w:spacing w:line="360" w:lineRule="auto"/>
        <w:ind w:left="0" w:right="34"/>
        <w:contextualSpacing/>
        <w:jc w:val="both"/>
        <w:rPr>
          <w:rFonts w:ascii="Palatino Linotype" w:hAnsi="Palatino Linotype"/>
          <w:color w:val="000000"/>
        </w:rPr>
      </w:pPr>
    </w:p>
    <w:p w14:paraId="14B121C0" w14:textId="6A688CDA" w:rsidR="00E84E7D" w:rsidRDefault="00E84E7D" w:rsidP="00E308FC">
      <w:pPr>
        <w:pStyle w:val="Prrafodelista"/>
        <w:spacing w:line="360" w:lineRule="auto"/>
        <w:ind w:left="0" w:right="34"/>
        <w:contextualSpacing/>
        <w:jc w:val="both"/>
        <w:rPr>
          <w:rFonts w:ascii="Palatino Linotype" w:hAnsi="Palatino Linotype"/>
          <w:color w:val="000000"/>
        </w:rPr>
      </w:pPr>
    </w:p>
    <w:p w14:paraId="47F079B0" w14:textId="6F791D64" w:rsidR="00E84E7D" w:rsidRDefault="00E84E7D" w:rsidP="00E308FC">
      <w:pPr>
        <w:pStyle w:val="Prrafodelista"/>
        <w:spacing w:line="360" w:lineRule="auto"/>
        <w:ind w:left="0" w:right="34"/>
        <w:contextualSpacing/>
        <w:jc w:val="both"/>
        <w:rPr>
          <w:rFonts w:ascii="Palatino Linotype" w:hAnsi="Palatino Linotype"/>
          <w:color w:val="000000"/>
        </w:rPr>
      </w:pPr>
    </w:p>
    <w:p w14:paraId="146977F9" w14:textId="2D2C3BA3" w:rsidR="00E84E7D" w:rsidRDefault="00E84E7D" w:rsidP="00E308FC">
      <w:pPr>
        <w:pStyle w:val="Prrafodelista"/>
        <w:spacing w:line="360" w:lineRule="auto"/>
        <w:ind w:left="0" w:right="34"/>
        <w:contextualSpacing/>
        <w:jc w:val="both"/>
        <w:rPr>
          <w:rFonts w:ascii="Palatino Linotype" w:hAnsi="Palatino Linotype"/>
          <w:color w:val="000000"/>
        </w:rPr>
      </w:pPr>
    </w:p>
    <w:p w14:paraId="14F8AE30" w14:textId="233F3657" w:rsidR="00E84E7D" w:rsidRDefault="00E84E7D" w:rsidP="00E308FC">
      <w:pPr>
        <w:pStyle w:val="Prrafodelista"/>
        <w:spacing w:line="360" w:lineRule="auto"/>
        <w:ind w:left="0" w:right="34"/>
        <w:contextualSpacing/>
        <w:jc w:val="both"/>
        <w:rPr>
          <w:rFonts w:ascii="Palatino Linotype" w:hAnsi="Palatino Linotype"/>
          <w:color w:val="000000"/>
        </w:rPr>
      </w:pPr>
    </w:p>
    <w:p w14:paraId="4B146559" w14:textId="6880D495" w:rsidR="00E84E7D" w:rsidRDefault="00E84E7D" w:rsidP="00E308FC">
      <w:pPr>
        <w:pStyle w:val="Prrafodelista"/>
        <w:spacing w:line="360" w:lineRule="auto"/>
        <w:ind w:left="0" w:right="34"/>
        <w:contextualSpacing/>
        <w:jc w:val="both"/>
        <w:rPr>
          <w:rFonts w:ascii="Palatino Linotype" w:hAnsi="Palatino Linotype"/>
          <w:color w:val="000000"/>
        </w:rPr>
      </w:pPr>
    </w:p>
    <w:p w14:paraId="31683C62" w14:textId="77777777" w:rsidR="00E84E7D" w:rsidRDefault="00E84E7D" w:rsidP="00E308FC">
      <w:pPr>
        <w:pStyle w:val="Prrafodelista"/>
        <w:spacing w:line="360" w:lineRule="auto"/>
        <w:ind w:left="0" w:right="34"/>
        <w:contextualSpacing/>
        <w:jc w:val="both"/>
        <w:rPr>
          <w:rFonts w:ascii="Palatino Linotype" w:hAnsi="Palatino Linotype"/>
          <w:color w:val="000000"/>
        </w:rPr>
      </w:pPr>
    </w:p>
    <w:p w14:paraId="3EAF226A" w14:textId="5FC806E9" w:rsidR="00E84E7D" w:rsidRDefault="00E84E7D" w:rsidP="00E308FC">
      <w:pPr>
        <w:pStyle w:val="Prrafodelista"/>
        <w:spacing w:line="360" w:lineRule="auto"/>
        <w:ind w:left="0" w:right="34"/>
        <w:contextualSpacing/>
        <w:jc w:val="both"/>
        <w:rPr>
          <w:rFonts w:ascii="Palatino Linotype" w:hAnsi="Palatino Linotype"/>
          <w:color w:val="000000"/>
        </w:rPr>
      </w:pPr>
    </w:p>
    <w:p w14:paraId="17BE00A6" w14:textId="6F2B9846" w:rsidR="00E84E7D" w:rsidRDefault="00E84E7D" w:rsidP="00E308FC">
      <w:pPr>
        <w:pStyle w:val="Prrafodelista"/>
        <w:spacing w:line="360" w:lineRule="auto"/>
        <w:ind w:left="0" w:right="34"/>
        <w:contextualSpacing/>
        <w:jc w:val="both"/>
        <w:rPr>
          <w:rFonts w:ascii="Palatino Linotype" w:hAnsi="Palatino Linotype"/>
          <w:color w:val="000000"/>
        </w:rPr>
      </w:pPr>
    </w:p>
    <w:p w14:paraId="767DA991" w14:textId="2B72899D" w:rsidR="00E84E7D" w:rsidRDefault="007D53D6"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noProof/>
          <w:color w:val="000000"/>
          <w:lang w:val="es-MX" w:eastAsia="es-MX"/>
        </w:rPr>
        <w:lastRenderedPageBreak/>
        <w:drawing>
          <wp:anchor distT="0" distB="0" distL="114300" distR="114300" simplePos="0" relativeHeight="251710463" behindDoc="0" locked="0" layoutInCell="1" allowOverlap="1" wp14:anchorId="019C5505" wp14:editId="64160547">
            <wp:simplePos x="0" y="0"/>
            <wp:positionH relativeFrom="margin">
              <wp:posOffset>339090</wp:posOffset>
            </wp:positionH>
            <wp:positionV relativeFrom="paragraph">
              <wp:posOffset>60960</wp:posOffset>
            </wp:positionV>
            <wp:extent cx="5700395" cy="7198360"/>
            <wp:effectExtent l="19050" t="19050" r="14605" b="21590"/>
            <wp:wrapThrough wrapText="bothSides">
              <wp:wrapPolygon edited="0">
                <wp:start x="-72" y="-57"/>
                <wp:lineTo x="-72" y="21608"/>
                <wp:lineTo x="21583" y="21608"/>
                <wp:lineTo x="21583" y="-57"/>
                <wp:lineTo x="-72" y="-5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0395" cy="7198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68D4096" w14:textId="3179487D" w:rsidR="00E84E7D" w:rsidRDefault="007D53D6" w:rsidP="00E308FC">
      <w:pPr>
        <w:pStyle w:val="Prrafodelista"/>
        <w:spacing w:line="360" w:lineRule="auto"/>
        <w:ind w:left="0" w:right="34"/>
        <w:contextualSpacing/>
        <w:jc w:val="both"/>
        <w:rPr>
          <w:rFonts w:ascii="Palatino Linotype" w:hAnsi="Palatino Linotype"/>
          <w:noProof/>
          <w:color w:val="000000"/>
        </w:rPr>
      </w:pPr>
      <w:r>
        <w:rPr>
          <w:rFonts w:ascii="Palatino Linotype" w:hAnsi="Palatino Linotype"/>
          <w:noProof/>
          <w:color w:val="000000"/>
          <w:lang w:val="es-MX" w:eastAsia="es-MX"/>
        </w:rPr>
        <w:lastRenderedPageBreak/>
        <w:drawing>
          <wp:anchor distT="0" distB="0" distL="114300" distR="114300" simplePos="0" relativeHeight="251725824" behindDoc="0" locked="0" layoutInCell="1" allowOverlap="1" wp14:anchorId="2996C231" wp14:editId="71C8F2A4">
            <wp:simplePos x="0" y="0"/>
            <wp:positionH relativeFrom="margin">
              <wp:align>right</wp:align>
            </wp:positionH>
            <wp:positionV relativeFrom="paragraph">
              <wp:posOffset>22225</wp:posOffset>
            </wp:positionV>
            <wp:extent cx="5659755" cy="7198360"/>
            <wp:effectExtent l="19050" t="19050" r="17145" b="21590"/>
            <wp:wrapThrough wrapText="bothSides">
              <wp:wrapPolygon edited="0">
                <wp:start x="-73" y="-57"/>
                <wp:lineTo x="-73" y="21608"/>
                <wp:lineTo x="21593" y="21608"/>
                <wp:lineTo x="21593" y="-57"/>
                <wp:lineTo x="-73" y="-5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9755" cy="71983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C2673F" w14:textId="49B7FFFB" w:rsidR="00E84E7D" w:rsidRDefault="00103D60" w:rsidP="00E308FC">
      <w:pPr>
        <w:pStyle w:val="Prrafodelista"/>
        <w:spacing w:line="360" w:lineRule="auto"/>
        <w:ind w:left="0" w:right="34"/>
        <w:contextualSpacing/>
        <w:jc w:val="both"/>
        <w:rPr>
          <w:rFonts w:ascii="Palatino Linotype" w:hAnsi="Palatino Linotype"/>
        </w:rPr>
      </w:pPr>
      <w:r>
        <w:rPr>
          <w:rFonts w:ascii="Palatino Linotype" w:hAnsi="Palatino Linotype"/>
          <w:color w:val="000000"/>
        </w:rPr>
        <w:lastRenderedPageBreak/>
        <w:t xml:space="preserve">Con base en lo anteriormente expuesto, este Órgano Garante arriba a la conclusión de que las precisiones plasmadas mediante el alcance al informe justificado </w:t>
      </w:r>
      <w:r w:rsidR="00C44BFB">
        <w:rPr>
          <w:rFonts w:ascii="Palatino Linotype" w:hAnsi="Palatino Linotype"/>
          <w:color w:val="000000"/>
        </w:rPr>
        <w:t xml:space="preserve">reflejan los elementos mínimos necesarios para colmar el derecho de acceso a la información pública, lo anterior bajo la óptica del principio </w:t>
      </w:r>
      <w:r w:rsidR="006B52A3">
        <w:rPr>
          <w:rFonts w:ascii="Palatino Linotype" w:hAnsi="Palatino Linotype"/>
          <w:color w:val="000000"/>
        </w:rPr>
        <w:t xml:space="preserve">general </w:t>
      </w:r>
      <w:r w:rsidR="00C44BFB">
        <w:rPr>
          <w:rFonts w:ascii="Palatino Linotype" w:hAnsi="Palatino Linotype"/>
          <w:color w:val="000000"/>
        </w:rPr>
        <w:t xml:space="preserve">de derecho </w:t>
      </w:r>
      <w:r w:rsidR="00C44BFB" w:rsidRPr="00C44BFB">
        <w:rPr>
          <w:rFonts w:ascii="Palatino Linotype" w:hAnsi="Palatino Linotype"/>
          <w:i/>
          <w:iCs/>
          <w:color w:val="000000"/>
        </w:rPr>
        <w:t>“</w:t>
      </w:r>
      <w:proofErr w:type="spellStart"/>
      <w:r w:rsidR="00C44BFB" w:rsidRPr="00C44BFB">
        <w:rPr>
          <w:rFonts w:ascii="Palatino Linotype" w:hAnsi="Palatino Linotype"/>
          <w:i/>
          <w:iCs/>
        </w:rPr>
        <w:t>Accesorium</w:t>
      </w:r>
      <w:proofErr w:type="spellEnd"/>
      <w:r w:rsidR="00C44BFB" w:rsidRPr="00C44BFB">
        <w:rPr>
          <w:rFonts w:ascii="Palatino Linotype" w:hAnsi="Palatino Linotype"/>
          <w:i/>
          <w:iCs/>
        </w:rPr>
        <w:t xml:space="preserve"> non </w:t>
      </w:r>
      <w:proofErr w:type="spellStart"/>
      <w:r w:rsidR="00C44BFB" w:rsidRPr="00C44BFB">
        <w:rPr>
          <w:rFonts w:ascii="Palatino Linotype" w:hAnsi="Palatino Linotype"/>
          <w:i/>
          <w:iCs/>
        </w:rPr>
        <w:t>ducit</w:t>
      </w:r>
      <w:proofErr w:type="spellEnd"/>
      <w:r w:rsidR="00C44BFB" w:rsidRPr="00C44BFB">
        <w:rPr>
          <w:rFonts w:ascii="Palatino Linotype" w:hAnsi="Palatino Linotype"/>
          <w:i/>
          <w:iCs/>
        </w:rPr>
        <w:t xml:space="preserve">, sed </w:t>
      </w:r>
      <w:proofErr w:type="spellStart"/>
      <w:r w:rsidR="00C44BFB" w:rsidRPr="00C44BFB">
        <w:rPr>
          <w:rFonts w:ascii="Palatino Linotype" w:hAnsi="Palatino Linotype"/>
          <w:i/>
          <w:iCs/>
        </w:rPr>
        <w:t>sequitur</w:t>
      </w:r>
      <w:proofErr w:type="spellEnd"/>
      <w:r w:rsidR="00C44BFB" w:rsidRPr="00C44BFB">
        <w:rPr>
          <w:rFonts w:ascii="Palatino Linotype" w:hAnsi="Palatino Linotype"/>
          <w:i/>
          <w:iCs/>
        </w:rPr>
        <w:t xml:space="preserve"> </w:t>
      </w:r>
      <w:proofErr w:type="spellStart"/>
      <w:r w:rsidR="00C44BFB" w:rsidRPr="00C44BFB">
        <w:rPr>
          <w:rFonts w:ascii="Palatino Linotype" w:hAnsi="Palatino Linotype"/>
          <w:i/>
          <w:iCs/>
        </w:rPr>
        <w:t>suum</w:t>
      </w:r>
      <w:proofErr w:type="spellEnd"/>
      <w:r w:rsidR="00C44BFB" w:rsidRPr="00C44BFB">
        <w:rPr>
          <w:rFonts w:ascii="Palatino Linotype" w:hAnsi="Palatino Linotype"/>
          <w:i/>
          <w:iCs/>
        </w:rPr>
        <w:t xml:space="preserve"> </w:t>
      </w:r>
      <w:proofErr w:type="spellStart"/>
      <w:r w:rsidR="00C44BFB" w:rsidRPr="00C44BFB">
        <w:rPr>
          <w:rFonts w:ascii="Palatino Linotype" w:hAnsi="Palatino Linotype"/>
          <w:i/>
          <w:iCs/>
        </w:rPr>
        <w:t>principalei</w:t>
      </w:r>
      <w:proofErr w:type="spellEnd"/>
      <w:r w:rsidR="00C44BFB" w:rsidRPr="00C44BFB">
        <w:rPr>
          <w:rFonts w:ascii="Palatino Linotype" w:hAnsi="Palatino Linotype"/>
          <w:i/>
          <w:iCs/>
        </w:rPr>
        <w:t>”</w:t>
      </w:r>
      <w:r w:rsidR="00C44BFB">
        <w:rPr>
          <w:rFonts w:ascii="Palatino Linotype" w:hAnsi="Palatino Linotype"/>
          <w:i/>
          <w:iCs/>
        </w:rPr>
        <w:t xml:space="preserve">- </w:t>
      </w:r>
      <w:r w:rsidR="00C44BFB">
        <w:rPr>
          <w:rFonts w:ascii="Palatino Linotype" w:hAnsi="Palatino Linotype"/>
        </w:rPr>
        <w:t xml:space="preserve">lo accesorio sigue la suerte de lo principal. </w:t>
      </w:r>
    </w:p>
    <w:p w14:paraId="0BD5B24A" w14:textId="469A66AF" w:rsidR="00C44BFB" w:rsidRDefault="00C44BFB" w:rsidP="00E308FC">
      <w:pPr>
        <w:pStyle w:val="Prrafodelista"/>
        <w:spacing w:line="360" w:lineRule="auto"/>
        <w:ind w:left="0" w:right="34"/>
        <w:contextualSpacing/>
        <w:jc w:val="both"/>
        <w:rPr>
          <w:rFonts w:ascii="Palatino Linotype" w:hAnsi="Palatino Linotype"/>
        </w:rPr>
      </w:pPr>
    </w:p>
    <w:p w14:paraId="24DDF692" w14:textId="20E40E89" w:rsidR="00C44BFB" w:rsidRPr="00E5738E" w:rsidRDefault="00C44BFB" w:rsidP="00C44BFB">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w:t>
      </w:r>
      <w:r w:rsidR="007D53D6" w:rsidRPr="007D53D6">
        <w:rPr>
          <w:rFonts w:ascii="Palatino Linotype" w:hAnsi="Palatino Linotype"/>
          <w:noProof/>
          <w:color w:val="000000"/>
        </w:rPr>
        <w:t xml:space="preserve"> </w:t>
      </w:r>
      <w:r w:rsidRPr="00E5738E">
        <w:rPr>
          <w:rFonts w:ascii="Palatino Linotype" w:hAnsi="Palatino Linotype" w:cs="Arial"/>
          <w:sz w:val="24"/>
          <w:szCs w:val="24"/>
        </w:rPr>
        <w:t xml:space="preserve">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00031833">
        <w:rPr>
          <w:rFonts w:ascii="Palatino Linotype" w:hAnsi="Palatino Linotype" w:cs="Arial"/>
          <w:b/>
          <w:sz w:val="24"/>
          <w:szCs w:val="24"/>
          <w:u w:val="single"/>
        </w:rPr>
        <w:t>revoque</w:t>
      </w:r>
      <w:r w:rsidRPr="00E5738E">
        <w:rPr>
          <w:rFonts w:ascii="Palatino Linotype" w:hAnsi="Palatino Linotype" w:cs="Arial"/>
          <w:b/>
          <w:sz w:val="24"/>
          <w:szCs w:val="24"/>
          <w:u w:val="single"/>
        </w:rPr>
        <w:t xml:space="preserv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7248FA4E" w14:textId="77777777" w:rsidR="00C44BFB" w:rsidRDefault="00C44BFB" w:rsidP="00C44BFB">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4B7762C" w14:textId="77777777" w:rsidR="00C44BFB" w:rsidRPr="009C1A6C" w:rsidRDefault="00C44BFB" w:rsidP="00C44BFB">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“Época: Novena</w:t>
      </w:r>
    </w:p>
    <w:p w14:paraId="3D3D6F4B" w14:textId="77777777" w:rsidR="00C44BFB" w:rsidRPr="009C1A6C" w:rsidRDefault="00C44BFB" w:rsidP="00C44B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168019</w:t>
      </w:r>
    </w:p>
    <w:p w14:paraId="78E36D14" w14:textId="77777777" w:rsidR="00C44BFB" w:rsidRPr="009C1A6C" w:rsidRDefault="00C44BFB" w:rsidP="00C44B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47DC9A7E" w14:textId="77777777" w:rsidR="00C44BFB" w:rsidRPr="009C1A6C" w:rsidRDefault="00C44BFB" w:rsidP="00C44BFB">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 xml:space="preserve">Fuente: Semanario </w:t>
      </w:r>
      <w:r>
        <w:rPr>
          <w:rFonts w:ascii="Palatino Linotype" w:hAnsi="Palatino Linotype"/>
          <w:i/>
          <w:sz w:val="22"/>
          <w:szCs w:val="22"/>
        </w:rPr>
        <w:t>judicial de la federación y su G</w:t>
      </w:r>
      <w:r w:rsidRPr="009C1A6C">
        <w:rPr>
          <w:rFonts w:ascii="Palatino Linotype" w:hAnsi="Palatino Linotype"/>
          <w:i/>
          <w:sz w:val="22"/>
          <w:szCs w:val="22"/>
        </w:rPr>
        <w:t>aceta</w:t>
      </w:r>
    </w:p>
    <w:p w14:paraId="751FA1EC" w14:textId="77777777" w:rsidR="00C44BFB" w:rsidRDefault="00C44BFB" w:rsidP="00C44B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 xml:space="preserve">Tomo XXIX, </w:t>
      </w:r>
      <w:proofErr w:type="gramStart"/>
      <w:r>
        <w:rPr>
          <w:rFonts w:ascii="Palatino Linotype" w:hAnsi="Palatino Linotype"/>
          <w:i/>
          <w:sz w:val="22"/>
          <w:szCs w:val="22"/>
        </w:rPr>
        <w:t>Enero</w:t>
      </w:r>
      <w:proofErr w:type="gramEnd"/>
      <w:r>
        <w:rPr>
          <w:rFonts w:ascii="Palatino Linotype" w:hAnsi="Palatino Linotype"/>
          <w:i/>
          <w:sz w:val="22"/>
          <w:szCs w:val="22"/>
        </w:rPr>
        <w:t xml:space="preserve"> de 2009</w:t>
      </w:r>
    </w:p>
    <w:p w14:paraId="5993C5E1" w14:textId="77777777" w:rsidR="00C44BFB" w:rsidRDefault="00C44BFB" w:rsidP="00C44B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151B3F5A" w14:textId="77777777" w:rsidR="00C44BFB" w:rsidRPr="009C1A6C" w:rsidRDefault="00C44BFB" w:rsidP="00C44B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I.7o.C.54 K</w:t>
      </w:r>
    </w:p>
    <w:p w14:paraId="515A27C7" w14:textId="77777777" w:rsidR="00C44BFB" w:rsidRPr="009C1A6C" w:rsidRDefault="00C44BFB" w:rsidP="00C44B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2837</w:t>
      </w:r>
    </w:p>
    <w:p w14:paraId="0AB4CD18" w14:textId="77777777" w:rsidR="00C44BFB" w:rsidRPr="0004467E" w:rsidRDefault="00C44BFB" w:rsidP="00C44BFB">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552CD65A" w14:textId="77777777" w:rsidR="00C44BFB" w:rsidRPr="0004467E" w:rsidRDefault="00C44BFB" w:rsidP="00C44BFB">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34282339" w14:textId="77777777" w:rsidR="00C44BFB" w:rsidRPr="0004467E" w:rsidRDefault="00C44BFB" w:rsidP="00C44BFB">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02DC0419" w14:textId="77777777" w:rsidR="00C44BFB" w:rsidRPr="0004467E" w:rsidRDefault="00C44BFB" w:rsidP="00C44BFB">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4D95E402" w14:textId="77777777" w:rsidR="00C44BFB" w:rsidRPr="0004467E" w:rsidRDefault="00C44BFB" w:rsidP="00C44BFB">
      <w:pPr>
        <w:ind w:right="141"/>
        <w:jc w:val="both"/>
        <w:rPr>
          <w:rFonts w:ascii="Palatino Linotype" w:hAnsi="Palatino Linotype" w:cs="Arial"/>
        </w:rPr>
      </w:pPr>
    </w:p>
    <w:p w14:paraId="0A591206" w14:textId="77777777" w:rsidR="00C44BFB" w:rsidRPr="0004467E" w:rsidRDefault="00C44BFB" w:rsidP="00C44BFB">
      <w:pPr>
        <w:spacing w:line="360" w:lineRule="auto"/>
        <w:jc w:val="both"/>
        <w:rPr>
          <w:rFonts w:ascii="Palatino Linotype" w:hAnsi="Palatino Linotype" w:cs="Arial"/>
          <w:sz w:val="24"/>
          <w:szCs w:val="24"/>
        </w:rPr>
      </w:pPr>
      <w:r w:rsidRPr="0004467E">
        <w:rPr>
          <w:rFonts w:ascii="Palatino Linotype" w:hAnsi="Palatino Linotype" w:cs="Arial"/>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16152CE0" w14:textId="77777777" w:rsidR="00C44BFB" w:rsidRPr="0004467E" w:rsidRDefault="00C44BFB" w:rsidP="00C44BFB">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456745CC" w14:textId="70E38564" w:rsidR="00C44BFB" w:rsidRPr="009D68FF" w:rsidRDefault="00031833" w:rsidP="00C44BFB">
      <w:pPr>
        <w:pStyle w:val="Prrafodelista"/>
        <w:numPr>
          <w:ilvl w:val="0"/>
          <w:numId w:val="50"/>
        </w:numPr>
        <w:spacing w:line="360" w:lineRule="auto"/>
        <w:ind w:right="851"/>
        <w:jc w:val="both"/>
        <w:rPr>
          <w:rFonts w:ascii="Palatino Linotype" w:hAnsi="Palatino Linotype" w:cs="Arial"/>
          <w:b/>
        </w:rPr>
      </w:pPr>
      <w:r>
        <w:rPr>
          <w:rFonts w:ascii="Palatino Linotype" w:hAnsi="Palatino Linotype" w:cs="Arial"/>
          <w:b/>
        </w:rPr>
        <w:t>Revocar</w:t>
      </w:r>
      <w:r w:rsidR="00C44BFB" w:rsidRPr="0004467E">
        <w:rPr>
          <w:rFonts w:ascii="Palatino Linotype" w:hAnsi="Palatino Linotype" w:cs="Arial"/>
          <w:b/>
        </w:rPr>
        <w:t xml:space="preserve"> el acto impugnado: </w:t>
      </w:r>
      <w:r w:rsidR="00C44BFB" w:rsidRPr="0004467E">
        <w:rPr>
          <w:rFonts w:ascii="Palatino Linotype" w:hAnsi="Palatino Linotype" w:cs="Arial"/>
        </w:rPr>
        <w:t xml:space="preserve">Se actualiza cuando el </w:t>
      </w:r>
      <w:r w:rsidR="00C44BFB" w:rsidRPr="0004467E">
        <w:rPr>
          <w:rFonts w:ascii="Palatino Linotype" w:hAnsi="Palatino Linotype" w:cs="Arial"/>
          <w:b/>
        </w:rPr>
        <w:t xml:space="preserve">Sujeto Obligado </w:t>
      </w:r>
      <w:r w:rsidR="00C44BFB" w:rsidRPr="0004467E">
        <w:rPr>
          <w:rFonts w:ascii="Palatino Linotype" w:hAnsi="Palatino Linotype" w:cs="Arial"/>
        </w:rPr>
        <w:t xml:space="preserve">después de haber otorgado una respuesta y hasta antes de dictada la resolución del recurso de revisión, emite una </w:t>
      </w:r>
      <w:r w:rsidR="006B52A3">
        <w:rPr>
          <w:rFonts w:ascii="Palatino Linotype" w:hAnsi="Palatino Linotype" w:cs="Arial"/>
        </w:rPr>
        <w:t xml:space="preserve">totalmente </w:t>
      </w:r>
      <w:r w:rsidR="00C44BFB" w:rsidRPr="0004467E">
        <w:rPr>
          <w:rFonts w:ascii="Palatino Linotype" w:hAnsi="Palatino Linotype" w:cs="Arial"/>
        </w:rPr>
        <w:t>diversa</w:t>
      </w:r>
      <w:r>
        <w:rPr>
          <w:rFonts w:ascii="Palatino Linotype" w:hAnsi="Palatino Linotype" w:cs="Arial"/>
        </w:rPr>
        <w:t xml:space="preserve">. </w:t>
      </w:r>
    </w:p>
    <w:p w14:paraId="25ED7455" w14:textId="77777777" w:rsidR="00C44BFB" w:rsidRPr="00E5738E" w:rsidRDefault="00C44BFB" w:rsidP="00C44BFB">
      <w:pPr>
        <w:pStyle w:val="Prrafodelista"/>
        <w:spacing w:line="360" w:lineRule="auto"/>
        <w:ind w:left="720" w:right="851"/>
        <w:jc w:val="both"/>
        <w:rPr>
          <w:rFonts w:ascii="Palatino Linotype" w:hAnsi="Palatino Linotype" w:cs="Arial"/>
          <w:b/>
        </w:rPr>
      </w:pPr>
    </w:p>
    <w:p w14:paraId="61367D3D" w14:textId="67B2A7DE" w:rsidR="00C44BFB" w:rsidRPr="0004467E" w:rsidRDefault="00C44BFB" w:rsidP="00C44BFB">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00D671C0" w:rsidRPr="006B52A3">
        <w:rPr>
          <w:rFonts w:ascii="Palatino Linotype" w:hAnsi="Palatino Linotype" w:cs="Arial"/>
          <w:b/>
          <w:sz w:val="24"/>
          <w:szCs w:val="24"/>
          <w:u w:val="single"/>
        </w:rPr>
        <w:t>revoca</w:t>
      </w:r>
      <w:r w:rsidRPr="0004467E">
        <w:rPr>
          <w:rFonts w:ascii="Palatino Linotype" w:hAnsi="Palatino Linotype" w:cs="Arial"/>
          <w:b/>
          <w:sz w:val="24"/>
          <w:szCs w:val="24"/>
        </w:rPr>
        <w:t xml:space="preserve">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026F7D08" w14:textId="77777777" w:rsidR="00C44BFB" w:rsidRPr="0004467E" w:rsidRDefault="00C44BFB" w:rsidP="00C44BFB">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0A1C56A7" w14:textId="77777777" w:rsidR="00C44BFB" w:rsidRDefault="00C44BFB" w:rsidP="00C44BFB">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lastRenderedPageBreak/>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7C3507BA" w14:textId="4845C227" w:rsidR="00C44BFB" w:rsidRPr="00717553" w:rsidRDefault="00C44BFB" w:rsidP="00C44BFB">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Pr>
          <w:rFonts w:ascii="Palatino Linotype" w:hAnsi="Palatino Linotype" w:cs="Arial"/>
          <w:b/>
          <w:sz w:val="24"/>
          <w:szCs w:val="24"/>
          <w:lang w:val="es-ES_tradnl"/>
        </w:rPr>
        <w:t>0765</w:t>
      </w:r>
      <w:r w:rsidRPr="002E3488">
        <w:rPr>
          <w:rFonts w:ascii="Palatino Linotype" w:hAnsi="Palatino Linotype" w:cs="Arial"/>
          <w:b/>
          <w:sz w:val="24"/>
          <w:szCs w:val="24"/>
          <w:lang w:val="es-ES_tradnl"/>
        </w:rPr>
        <w:t>/INFOEM/IP/RR/20</w:t>
      </w:r>
      <w:r>
        <w:rPr>
          <w:rFonts w:ascii="Palatino Linotype" w:hAnsi="Palatino Linotype" w:cs="Arial"/>
          <w:b/>
          <w:sz w:val="24"/>
          <w:szCs w:val="24"/>
          <w:lang w:val="es-ES_tradnl"/>
        </w:rPr>
        <w:t>20</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6FE1D88A" w14:textId="77777777" w:rsidR="00C44BFB" w:rsidRPr="00523CF0" w:rsidRDefault="00C44BFB" w:rsidP="00C44BFB">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463D219D" w14:textId="4BDEDDB8" w:rsidR="00C44BFB" w:rsidRDefault="00C44BFB" w:rsidP="00C44BFB">
      <w:pPr>
        <w:autoSpaceDE w:val="0"/>
        <w:autoSpaceDN w:val="0"/>
        <w:adjustRightInd w:val="0"/>
        <w:spacing w:line="360" w:lineRule="auto"/>
        <w:jc w:val="both"/>
        <w:rPr>
          <w:rFonts w:ascii="Palatino Linotype" w:hAnsi="Palatino Linotype" w:cs="Arial"/>
          <w:sz w:val="24"/>
          <w:szCs w:val="24"/>
        </w:rPr>
      </w:pPr>
    </w:p>
    <w:p w14:paraId="323F6B10" w14:textId="77777777" w:rsidR="00C44BFB" w:rsidRPr="00523CF0" w:rsidRDefault="00C44BFB" w:rsidP="00C44BFB">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45FB1549" w14:textId="7F461CE2" w:rsidR="00C44BFB" w:rsidRPr="00717553" w:rsidRDefault="00C44BFB" w:rsidP="00C44BFB">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00765</w:t>
      </w:r>
      <w:r w:rsidRPr="00AF55AC">
        <w:rPr>
          <w:rFonts w:ascii="Palatino Linotype" w:hAnsi="Palatino Linotype" w:cs="Arial"/>
          <w:b/>
          <w:sz w:val="24"/>
          <w:szCs w:val="24"/>
          <w:lang w:val="es-ES_tradnl"/>
        </w:rPr>
        <w:t>/INFOEM/IP/RR/20</w:t>
      </w:r>
      <w:r>
        <w:rPr>
          <w:rFonts w:ascii="Palatino Linotype" w:hAnsi="Palatino Linotype" w:cs="Arial"/>
          <w:b/>
          <w:sz w:val="24"/>
          <w:szCs w:val="24"/>
          <w:lang w:val="es-ES_tradnl"/>
        </w:rPr>
        <w:t>20</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w:t>
      </w:r>
      <w:r w:rsidR="00D671C0">
        <w:rPr>
          <w:rFonts w:ascii="Palatino Linotype" w:hAnsi="Palatino Linotype" w:cs="Arial"/>
          <w:sz w:val="24"/>
          <w:szCs w:val="24"/>
          <w:lang w:val="es-ES_tradnl"/>
        </w:rPr>
        <w:t xml:space="preserve">revocar </w:t>
      </w:r>
      <w:r w:rsidRPr="00AF55AC">
        <w:rPr>
          <w:rFonts w:ascii="Palatino Linotype" w:hAnsi="Palatino Linotype" w:cs="Arial"/>
          <w:sz w:val="24"/>
          <w:szCs w:val="24"/>
          <w:lang w:val="es-ES_tradnl"/>
        </w:rPr>
        <w:t xml:space="preserve">la respuesta el recurso de revisión quedó sin materia en términos del Considerando </w:t>
      </w:r>
      <w:r>
        <w:rPr>
          <w:rFonts w:ascii="Palatino Linotype" w:hAnsi="Palatino Linotype" w:cs="Arial"/>
          <w:b/>
          <w:sz w:val="24"/>
          <w:szCs w:val="24"/>
          <w:lang w:val="es-ES_tradnl"/>
        </w:rPr>
        <w:t>CUARTO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4C6C6E81" w14:textId="77777777" w:rsidR="00C44BFB" w:rsidRDefault="00C44BFB" w:rsidP="00C44BFB">
      <w:pPr>
        <w:spacing w:before="240" w:line="360" w:lineRule="auto"/>
        <w:jc w:val="both"/>
        <w:rPr>
          <w:rFonts w:ascii="Palatino Linotype" w:hAnsi="Palatino Linotype" w:cs="Arial"/>
          <w:sz w:val="24"/>
          <w:szCs w:val="24"/>
          <w:lang w:val="es-ES_tradnl"/>
        </w:rPr>
      </w:pPr>
    </w:p>
    <w:p w14:paraId="76D834A9" w14:textId="44296BA0" w:rsidR="00C44BFB" w:rsidRDefault="00C44BFB" w:rsidP="00C44BFB">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0412A3D5" w14:textId="77777777" w:rsidR="00AE089E" w:rsidRDefault="00AE089E" w:rsidP="00C44BFB">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F845CFD" w14:textId="1FB19A06" w:rsidR="00C44BFB" w:rsidRPr="005515AC" w:rsidRDefault="00C44BFB" w:rsidP="00C44BFB">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lastRenderedPageBreak/>
        <w:t>TERCERO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sidRPr="0004467E">
        <w:rPr>
          <w:rFonts w:ascii="Palatino Linotype" w:hAnsi="Palatino Linotype"/>
          <w:sz w:val="24"/>
          <w:szCs w:val="24"/>
          <w:shd w:val="clear" w:color="auto" w:fill="FFFFFF"/>
        </w:rPr>
        <w:t xml:space="preserve">la presente resolución </w:t>
      </w:r>
      <w:r>
        <w:rPr>
          <w:rFonts w:ascii="Palatino Linotype" w:hAnsi="Palatino Linotype"/>
          <w:sz w:val="24"/>
          <w:szCs w:val="24"/>
          <w:shd w:val="clear" w:color="auto" w:fill="FFFFFF"/>
        </w:rPr>
        <w:t>al</w:t>
      </w:r>
      <w:r>
        <w:rPr>
          <w:rFonts w:ascii="Palatino Linotype" w:hAnsi="Palatino Linotype"/>
          <w:b/>
          <w:sz w:val="24"/>
          <w:szCs w:val="24"/>
          <w:shd w:val="clear" w:color="auto" w:fill="FFFFFF"/>
        </w:rPr>
        <w:t xml:space="preserve"> RECURRENTE.</w:t>
      </w:r>
      <w:r>
        <w:rPr>
          <w:rFonts w:ascii="Palatino Linotype" w:hAnsi="Palatino Linotype"/>
          <w:sz w:val="24"/>
          <w:szCs w:val="24"/>
          <w:shd w:val="clear" w:color="auto" w:fill="FFFFFF"/>
        </w:rPr>
        <w:t xml:space="preserve"> </w:t>
      </w:r>
    </w:p>
    <w:p w14:paraId="73F02E2C" w14:textId="77777777" w:rsidR="00C44BFB" w:rsidRDefault="00C44BFB" w:rsidP="00C44BFB">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60284D23" w14:textId="77AE5F89" w:rsidR="00C44BFB" w:rsidRPr="003508B1" w:rsidRDefault="00C44BFB" w:rsidP="00C44BFB">
      <w:pPr>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CUARTO</w:t>
      </w:r>
      <w:r w:rsidRPr="00F55762">
        <w:rPr>
          <w:rFonts w:ascii="Palatino Linotype" w:hAnsi="Palatino Linotype" w:cs="Arial"/>
          <w:b/>
          <w:bCs/>
          <w:sz w:val="28"/>
          <w:lang w:eastAsia="es-MX"/>
        </w:rPr>
        <w:t>.</w:t>
      </w:r>
      <w:r w:rsidRPr="00F55762">
        <w:rPr>
          <w:rFonts w:ascii="Palatino Linotype" w:hAnsi="Palatino Linotype"/>
          <w:b/>
          <w:szCs w:val="17"/>
          <w:lang w:eastAsia="es-ES_tradnl"/>
        </w:rPr>
        <w:t xml:space="preserve"> </w:t>
      </w:r>
      <w:r w:rsidRPr="00F55762">
        <w:rPr>
          <w:rFonts w:ascii="Palatino Linotype" w:hAnsi="Palatino Linotype"/>
          <w:b/>
          <w:sz w:val="24"/>
          <w:szCs w:val="24"/>
          <w:lang w:eastAsia="es-ES_tradnl"/>
        </w:rPr>
        <w:t xml:space="preserve">Hágase del conocimiento </w:t>
      </w:r>
      <w:r>
        <w:rPr>
          <w:rFonts w:ascii="Palatino Linotype" w:hAnsi="Palatino Linotype"/>
          <w:sz w:val="24"/>
          <w:szCs w:val="24"/>
          <w:lang w:eastAsia="es-ES_tradnl"/>
        </w:rPr>
        <w:t>del</w:t>
      </w:r>
      <w:r w:rsidRPr="00F55762">
        <w:rPr>
          <w:rFonts w:ascii="Palatino Linotype" w:eastAsia="Calibri" w:hAnsi="Palatino Linotype" w:cs="Arial"/>
          <w:b/>
          <w:sz w:val="24"/>
          <w:szCs w:val="24"/>
          <w:lang w:eastAsia="es-MX"/>
        </w:rPr>
        <w:t xml:space="preserve"> RECURRENTE </w:t>
      </w:r>
      <w:r w:rsidRPr="00F55762">
        <w:rPr>
          <w:rFonts w:ascii="Palatino Linotype" w:hAnsi="Palatino Linotype"/>
          <w:sz w:val="24"/>
          <w:szCs w:val="24"/>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E42723" w14:textId="45178E6F" w:rsidR="00C44BFB" w:rsidRPr="00C44BFB" w:rsidRDefault="00C44BFB" w:rsidP="00E308FC">
      <w:pPr>
        <w:pStyle w:val="Prrafodelista"/>
        <w:spacing w:line="360" w:lineRule="auto"/>
        <w:ind w:left="0" w:right="34"/>
        <w:contextualSpacing/>
        <w:jc w:val="both"/>
        <w:rPr>
          <w:rFonts w:ascii="Palatino Linotype" w:hAnsi="Palatino Linotype"/>
          <w:color w:val="000000"/>
          <w:lang w:val="es-MX"/>
        </w:rPr>
      </w:pPr>
    </w:p>
    <w:p w14:paraId="4667C3CE" w14:textId="2B114919" w:rsidR="009D705A" w:rsidRDefault="00D671C0" w:rsidP="009D705A">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2752" behindDoc="0" locked="0" layoutInCell="1" allowOverlap="1" wp14:anchorId="1F03AD08" wp14:editId="6D62A577">
                <wp:simplePos x="0" y="0"/>
                <wp:positionH relativeFrom="margin">
                  <wp:posOffset>-297620</wp:posOffset>
                </wp:positionH>
                <wp:positionV relativeFrom="paragraph">
                  <wp:posOffset>2946400</wp:posOffset>
                </wp:positionV>
                <wp:extent cx="6567854" cy="2039815"/>
                <wp:effectExtent l="0" t="0" r="23495" b="36830"/>
                <wp:wrapNone/>
                <wp:docPr id="19" name="Conector recto 19"/>
                <wp:cNvGraphicFramePr/>
                <a:graphic xmlns:a="http://schemas.openxmlformats.org/drawingml/2006/main">
                  <a:graphicData uri="http://schemas.microsoft.com/office/word/2010/wordprocessingShape">
                    <wps:wsp>
                      <wps:cNvCnPr/>
                      <wps:spPr>
                        <a:xfrm>
                          <a:off x="0" y="0"/>
                          <a:ext cx="6567854" cy="2039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427975" id="Conector recto 19"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45pt,232pt" to="493.7pt,3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" strokecolor="#5b9bd5 [3204]" strokeweight=".5pt">
                <v:stroke joinstyle="miter"/>
                <w10:wrap anchorx="margin"/>
              </v:line>
            </w:pict>
          </mc:Fallback>
        </mc:AlternateContent>
      </w:r>
      <w:r w:rsidR="00C44BFB">
        <w:rPr>
          <w:rFonts w:ascii="Palatino Linotype" w:hAnsi="Palatino Linotype" w:cs="Arial"/>
          <w:sz w:val="24"/>
          <w:szCs w:val="24"/>
        </w:rPr>
        <w:t>A</w:t>
      </w:r>
      <w:r w:rsidR="009D705A" w:rsidRPr="00C91103">
        <w:rPr>
          <w:rFonts w:ascii="Palatino Linotype" w:hAnsi="Palatino Linotype" w:cs="Arial"/>
          <w:sz w:val="24"/>
          <w:szCs w:val="24"/>
        </w:rPr>
        <w:t xml:space="preserve">SÍ LO RESUELVE, POR UNANIMIDAD DE </w:t>
      </w:r>
      <w:r w:rsidR="009D705A">
        <w:rPr>
          <w:rFonts w:ascii="Palatino Linotype" w:hAnsi="Palatino Linotype" w:cs="Arial"/>
          <w:sz w:val="24"/>
          <w:szCs w:val="24"/>
        </w:rPr>
        <w:t>VOTOS,</w:t>
      </w:r>
      <w:r w:rsidR="009D705A" w:rsidRPr="00C91103">
        <w:rPr>
          <w:rFonts w:ascii="Palatino Linotype" w:hAnsi="Palatino Linotype" w:cs="Arial"/>
          <w:sz w:val="24"/>
          <w:szCs w:val="24"/>
        </w:rPr>
        <w:t xml:space="preserve"> EL PLENO DEL</w:t>
      </w:r>
      <w:r w:rsidR="009D705A"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9D705A" w:rsidRPr="00C91103">
        <w:rPr>
          <w:rFonts w:ascii="Palatino Linotype" w:hAnsi="Palatino Linotype" w:cs="Arial"/>
          <w:sz w:val="24"/>
          <w:szCs w:val="24"/>
        </w:rPr>
        <w:t xml:space="preserve">, CONFORMADO POR LOS COMISIONADOS ZULEMA </w:t>
      </w:r>
      <w:r w:rsidR="009D705A" w:rsidRPr="00F25D94">
        <w:rPr>
          <w:rFonts w:ascii="Palatino Linotype" w:hAnsi="Palatino Linotype" w:cs="Arial"/>
          <w:sz w:val="24"/>
          <w:szCs w:val="24"/>
        </w:rPr>
        <w:t>MARTÍNEZ SÁNCHEZ, EVA ABAID YAPUR, JOSÉ GUADALUPE LUNA HERNÁNDEZ, JAVIER MARTÍNEZ CRUZ</w:t>
      </w:r>
      <w:r w:rsidR="005D6CDC">
        <w:rPr>
          <w:rFonts w:ascii="Palatino Linotype" w:hAnsi="Palatino Linotype" w:cs="Arial"/>
          <w:sz w:val="24"/>
          <w:szCs w:val="24"/>
        </w:rPr>
        <w:t xml:space="preserve"> (VOTO PARTICULAR)</w:t>
      </w:r>
      <w:r w:rsidR="009D705A" w:rsidRPr="00F25D94">
        <w:rPr>
          <w:rFonts w:ascii="Palatino Linotype" w:hAnsi="Palatino Linotype" w:cs="Arial"/>
          <w:sz w:val="24"/>
          <w:szCs w:val="24"/>
        </w:rPr>
        <w:t xml:space="preserve"> Y LUIS GUSTAVO PARRA NORIEGA EN LA DÉCIMA </w:t>
      </w:r>
      <w:r w:rsidR="00F25D94" w:rsidRPr="00F25D94">
        <w:rPr>
          <w:rFonts w:ascii="Palatino Linotype" w:hAnsi="Palatino Linotype" w:cs="Arial"/>
          <w:sz w:val="24"/>
          <w:szCs w:val="24"/>
        </w:rPr>
        <w:t>TERCERA</w:t>
      </w:r>
      <w:r w:rsidR="009D705A" w:rsidRPr="00F25D94">
        <w:rPr>
          <w:rFonts w:ascii="Palatino Linotype" w:hAnsi="Palatino Linotype" w:cs="Arial"/>
          <w:sz w:val="24"/>
          <w:szCs w:val="24"/>
        </w:rPr>
        <w:t xml:space="preserve"> SESIÓN ORDINARIA CELEBRADA EL </w:t>
      </w:r>
      <w:r w:rsidR="00F25D94" w:rsidRPr="00F25D94">
        <w:rPr>
          <w:rFonts w:ascii="Palatino Linotype" w:hAnsi="Palatino Linotype" w:cs="Arial"/>
          <w:sz w:val="24"/>
          <w:szCs w:val="24"/>
        </w:rPr>
        <w:t>DOCE DE AGOSTO</w:t>
      </w:r>
      <w:r w:rsidR="009D705A">
        <w:rPr>
          <w:rFonts w:ascii="Palatino Linotype" w:hAnsi="Palatino Linotype" w:cs="Arial"/>
          <w:sz w:val="24"/>
          <w:szCs w:val="24"/>
        </w:rPr>
        <w:t xml:space="preserve"> DE DOS MIL VEINTE, ANTE EL </w:t>
      </w:r>
      <w:r w:rsidR="009D705A" w:rsidRPr="006C6A05">
        <w:rPr>
          <w:rFonts w:ascii="Palatino Linotype" w:hAnsi="Palatino Linotype" w:cs="Arial"/>
          <w:sz w:val="24"/>
          <w:szCs w:val="24"/>
        </w:rPr>
        <w:t>SECRETARIO TÉCNICO DEL PLENO, ALEXIS TAPIA RAMÍREZ.</w:t>
      </w:r>
      <w:r w:rsidR="009D705A">
        <w:rPr>
          <w:rFonts w:ascii="Palatino Linotype" w:hAnsi="Palatino Linotype" w:cs="Arial"/>
          <w:sz w:val="24"/>
          <w:szCs w:val="24"/>
        </w:rPr>
        <w:t xml:space="preserve">  </w:t>
      </w:r>
    </w:p>
    <w:p w14:paraId="15CF92E6" w14:textId="1943E329" w:rsidR="009D705A" w:rsidRDefault="009D705A" w:rsidP="009D705A">
      <w:pPr>
        <w:spacing w:before="240" w:line="360" w:lineRule="auto"/>
        <w:jc w:val="both"/>
        <w:rPr>
          <w:rFonts w:ascii="Palatino Linotype" w:hAnsi="Palatino Linotype" w:cs="Arial"/>
          <w:sz w:val="24"/>
          <w:szCs w:val="24"/>
        </w:rPr>
      </w:pPr>
    </w:p>
    <w:p w14:paraId="57434BF5" w14:textId="77777777" w:rsidR="009D705A" w:rsidRDefault="009D705A" w:rsidP="009D705A">
      <w:pPr>
        <w:spacing w:before="240" w:line="360" w:lineRule="auto"/>
        <w:jc w:val="both"/>
        <w:rPr>
          <w:rFonts w:ascii="Palatino Linotype" w:hAnsi="Palatino Linotype" w:cs="Arial"/>
          <w:sz w:val="24"/>
          <w:szCs w:val="24"/>
        </w:rPr>
      </w:pPr>
    </w:p>
    <w:p w14:paraId="4BC5DE01" w14:textId="77777777" w:rsidR="009D705A" w:rsidRDefault="009D705A" w:rsidP="009D705A">
      <w:pPr>
        <w:spacing w:before="240" w:line="360" w:lineRule="auto"/>
        <w:jc w:val="both"/>
        <w:rPr>
          <w:rFonts w:ascii="Palatino Linotype" w:hAnsi="Palatino Linotype" w:cs="Arial"/>
          <w:sz w:val="24"/>
          <w:szCs w:val="24"/>
        </w:rPr>
      </w:pPr>
    </w:p>
    <w:p w14:paraId="00E2AAB4" w14:textId="77777777" w:rsidR="009D705A" w:rsidRDefault="009D705A" w:rsidP="009D705A">
      <w:pPr>
        <w:spacing w:before="240" w:line="360" w:lineRule="auto"/>
        <w:jc w:val="both"/>
        <w:rPr>
          <w:rFonts w:ascii="Palatino Linotype" w:hAnsi="Palatino Linotype" w:cs="Arial"/>
          <w:sz w:val="24"/>
          <w:szCs w:val="24"/>
        </w:rPr>
      </w:pPr>
    </w:p>
    <w:p w14:paraId="5FBC9D82" w14:textId="0E4D644E" w:rsidR="002501FB" w:rsidRDefault="009D705A" w:rsidP="009D705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6CA17E26" w14:textId="77777777" w:rsidR="009D705A" w:rsidRPr="00D05C83" w:rsidRDefault="009D705A" w:rsidP="009D705A">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281228C9" wp14:editId="5BB370AC">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1B2E0A" w14:textId="77777777" w:rsidR="009D705A" w:rsidRPr="00EF2FC0" w:rsidRDefault="009D705A" w:rsidP="009D705A">
                            <w:pPr>
                              <w:jc w:val="center"/>
                              <w:rPr>
                                <w:rFonts w:ascii="Palatino Linotype" w:hAnsi="Palatino Linotype"/>
                              </w:rPr>
                            </w:pPr>
                            <w:r w:rsidRPr="00EF2FC0">
                              <w:rPr>
                                <w:rFonts w:ascii="Palatino Linotype" w:hAnsi="Palatino Linotype"/>
                                <w:b/>
                              </w:rPr>
                              <w:t>Zulema Martínez Sánchez</w:t>
                            </w:r>
                          </w:p>
                          <w:p w14:paraId="58C1EA75" w14:textId="77777777" w:rsidR="009D705A" w:rsidRDefault="009D705A" w:rsidP="009D705A">
                            <w:pPr>
                              <w:jc w:val="center"/>
                              <w:rPr>
                                <w:rFonts w:ascii="Palatino Linotype" w:hAnsi="Palatino Linotype"/>
                              </w:rPr>
                            </w:pPr>
                            <w:r>
                              <w:rPr>
                                <w:rFonts w:ascii="Palatino Linotype" w:hAnsi="Palatino Linotype"/>
                              </w:rPr>
                              <w:t>Comisionada Presidenta</w:t>
                            </w:r>
                          </w:p>
                          <w:p w14:paraId="224C6685" w14:textId="77777777" w:rsidR="009D705A" w:rsidRDefault="009D705A" w:rsidP="009D705A">
                            <w:pPr>
                              <w:jc w:val="center"/>
                              <w:rPr>
                                <w:rFonts w:ascii="Palatino Linotype" w:hAnsi="Palatino Linotype"/>
                                <w:b/>
                              </w:rPr>
                            </w:pPr>
                            <w:r>
                              <w:rPr>
                                <w:rFonts w:ascii="Palatino Linotype" w:hAnsi="Palatino Linotype"/>
                                <w:b/>
                              </w:rPr>
                              <w:t>(Rúbrica).</w:t>
                            </w:r>
                          </w:p>
                          <w:p w14:paraId="6805B1E3" w14:textId="77777777" w:rsidR="009D705A" w:rsidRPr="00016AF3" w:rsidRDefault="009D705A" w:rsidP="009D705A">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1228C9"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271B2E0A" w14:textId="77777777" w:rsidR="009D705A" w:rsidRPr="00EF2FC0" w:rsidRDefault="009D705A" w:rsidP="009D705A">
                      <w:pPr>
                        <w:jc w:val="center"/>
                        <w:rPr>
                          <w:rFonts w:ascii="Palatino Linotype" w:hAnsi="Palatino Linotype"/>
                        </w:rPr>
                      </w:pPr>
                      <w:r w:rsidRPr="00EF2FC0">
                        <w:rPr>
                          <w:rFonts w:ascii="Palatino Linotype" w:hAnsi="Palatino Linotype"/>
                          <w:b/>
                        </w:rPr>
                        <w:t>Zulema Martínez Sánchez</w:t>
                      </w:r>
                    </w:p>
                    <w:p w14:paraId="58C1EA75" w14:textId="77777777" w:rsidR="009D705A" w:rsidRDefault="009D705A" w:rsidP="009D705A">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224C6685" w14:textId="77777777" w:rsidR="009D705A" w:rsidRDefault="009D705A" w:rsidP="009D705A">
                      <w:pPr>
                        <w:jc w:val="center"/>
                        <w:rPr>
                          <w:rFonts w:ascii="Palatino Linotype" w:hAnsi="Palatino Linotype"/>
                          <w:b/>
                        </w:rPr>
                      </w:pPr>
                      <w:r>
                        <w:rPr>
                          <w:rFonts w:ascii="Palatino Linotype" w:hAnsi="Palatino Linotype"/>
                          <w:b/>
                        </w:rPr>
                        <w:t>(Rúbrica).</w:t>
                      </w:r>
                    </w:p>
                    <w:p w14:paraId="6805B1E3" w14:textId="77777777" w:rsidR="009D705A" w:rsidRPr="00016AF3" w:rsidRDefault="009D705A" w:rsidP="009D705A">
                      <w:pPr>
                        <w:jc w:val="center"/>
                        <w:rPr>
                          <w:rFonts w:ascii="Palatino Linotype" w:hAnsi="Palatino Linotype"/>
                          <w:b/>
                        </w:rPr>
                      </w:pPr>
                    </w:p>
                  </w:txbxContent>
                </v:textbox>
                <w10:wrap anchorx="page"/>
              </v:shape>
            </w:pict>
          </mc:Fallback>
        </mc:AlternateContent>
      </w:r>
    </w:p>
    <w:p w14:paraId="0A717769" w14:textId="77777777" w:rsidR="009D705A" w:rsidRDefault="009D705A" w:rsidP="009D705A">
      <w:pPr>
        <w:autoSpaceDE w:val="0"/>
        <w:autoSpaceDN w:val="0"/>
        <w:adjustRightInd w:val="0"/>
        <w:spacing w:before="240" w:line="480" w:lineRule="auto"/>
        <w:jc w:val="both"/>
        <w:rPr>
          <w:rFonts w:ascii="Palatino Linotype" w:hAnsi="Palatino Linotype" w:cs="Arial"/>
          <w:sz w:val="24"/>
          <w:szCs w:val="24"/>
        </w:rPr>
      </w:pPr>
    </w:p>
    <w:p w14:paraId="3DFEB782" w14:textId="77777777" w:rsidR="009D705A" w:rsidRDefault="009D705A" w:rsidP="009D705A">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0DF66588" wp14:editId="40A1CD3A">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864CCC" w14:textId="77777777" w:rsidR="009D705A" w:rsidRPr="00EF2FC0" w:rsidRDefault="009D705A" w:rsidP="009D705A">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643D0732" w14:textId="77777777" w:rsidR="009D705A" w:rsidRPr="00EF2FC0" w:rsidRDefault="009D705A" w:rsidP="009D705A">
                            <w:pPr>
                              <w:jc w:val="center"/>
                              <w:rPr>
                                <w:rFonts w:ascii="Palatino Linotype" w:hAnsi="Palatino Linotype"/>
                              </w:rPr>
                            </w:pPr>
                            <w:r w:rsidRPr="00EF2FC0">
                              <w:rPr>
                                <w:rFonts w:ascii="Palatino Linotype" w:hAnsi="Palatino Linotype"/>
                              </w:rPr>
                              <w:t>Comisionada</w:t>
                            </w:r>
                          </w:p>
                          <w:p w14:paraId="144A083F" w14:textId="77777777" w:rsidR="009D705A" w:rsidRDefault="009D705A" w:rsidP="009D705A">
                            <w:pPr>
                              <w:jc w:val="center"/>
                              <w:rPr>
                                <w:rFonts w:ascii="Palatino Linotype" w:hAnsi="Palatino Linotype"/>
                                <w:b/>
                              </w:rPr>
                            </w:pPr>
                            <w:r>
                              <w:rPr>
                                <w:rFonts w:ascii="Palatino Linotype" w:hAnsi="Palatino Linotype"/>
                                <w:b/>
                              </w:rPr>
                              <w:t>(Rúbrica).</w:t>
                            </w:r>
                          </w:p>
                          <w:p w14:paraId="772B0EC2" w14:textId="77777777" w:rsidR="009D705A" w:rsidRDefault="009D705A" w:rsidP="009D70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66588" id="Cuadro de texto 18" o:spid="_x0000_s1027" type="#_x0000_t202" style="position:absolute;left:0;text-align:left;margin-left:-26.25pt;margin-top:48.8pt;width:195.75pt;height:7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3D864CCC" w14:textId="77777777" w:rsidR="009D705A" w:rsidRPr="00EF2FC0" w:rsidRDefault="009D705A" w:rsidP="009D705A">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643D0732" w14:textId="77777777" w:rsidR="009D705A" w:rsidRPr="00EF2FC0" w:rsidRDefault="009D705A" w:rsidP="009D705A">
                      <w:pPr>
                        <w:jc w:val="center"/>
                        <w:rPr>
                          <w:rFonts w:ascii="Palatino Linotype" w:hAnsi="Palatino Linotype"/>
                        </w:rPr>
                      </w:pPr>
                      <w:r w:rsidRPr="00EF2FC0">
                        <w:rPr>
                          <w:rFonts w:ascii="Palatino Linotype" w:hAnsi="Palatino Linotype"/>
                        </w:rPr>
                        <w:t>Comisionada</w:t>
                      </w:r>
                    </w:p>
                    <w:p w14:paraId="144A083F" w14:textId="77777777" w:rsidR="009D705A" w:rsidRDefault="009D705A" w:rsidP="009D705A">
                      <w:pPr>
                        <w:jc w:val="center"/>
                        <w:rPr>
                          <w:rFonts w:ascii="Palatino Linotype" w:hAnsi="Palatino Linotype"/>
                          <w:b/>
                        </w:rPr>
                      </w:pPr>
                      <w:r>
                        <w:rPr>
                          <w:rFonts w:ascii="Palatino Linotype" w:hAnsi="Palatino Linotype"/>
                          <w:b/>
                        </w:rPr>
                        <w:t>(Rúbrica).</w:t>
                      </w:r>
                    </w:p>
                    <w:p w14:paraId="772B0EC2" w14:textId="77777777" w:rsidR="009D705A" w:rsidRDefault="009D705A" w:rsidP="009D705A">
                      <w:pPr>
                        <w:jc w:val="center"/>
                      </w:pPr>
                    </w:p>
                  </w:txbxContent>
                </v:textbox>
                <w10:wrap anchorx="margin"/>
              </v:shape>
            </w:pict>
          </mc:Fallback>
        </mc:AlternateContent>
      </w:r>
    </w:p>
    <w:p w14:paraId="6FD2D130" w14:textId="77777777" w:rsidR="009D705A" w:rsidRDefault="009D705A" w:rsidP="009D705A">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1A4AF41A" wp14:editId="48834E9B">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E21951" w14:textId="77777777" w:rsidR="009D705A" w:rsidRPr="00EF2FC0" w:rsidRDefault="009D705A" w:rsidP="009D705A">
                            <w:pPr>
                              <w:jc w:val="center"/>
                              <w:rPr>
                                <w:rFonts w:ascii="Palatino Linotype" w:hAnsi="Palatino Linotype"/>
                              </w:rPr>
                            </w:pPr>
                            <w:r>
                              <w:rPr>
                                <w:rFonts w:ascii="Palatino Linotype" w:hAnsi="Palatino Linotype"/>
                                <w:b/>
                              </w:rPr>
                              <w:t>José Guadalupe Luna Hernández</w:t>
                            </w:r>
                          </w:p>
                          <w:p w14:paraId="01F2278C" w14:textId="77777777" w:rsidR="009D705A" w:rsidRDefault="009D705A" w:rsidP="009D705A">
                            <w:pPr>
                              <w:jc w:val="center"/>
                              <w:rPr>
                                <w:rFonts w:ascii="Palatino Linotype" w:hAnsi="Palatino Linotype"/>
                              </w:rPr>
                            </w:pPr>
                            <w:r w:rsidRPr="00EF2FC0">
                              <w:rPr>
                                <w:rFonts w:ascii="Palatino Linotype" w:hAnsi="Palatino Linotype"/>
                              </w:rPr>
                              <w:t>Comisionado</w:t>
                            </w:r>
                          </w:p>
                          <w:p w14:paraId="41E3E7A6" w14:textId="77777777" w:rsidR="009D705A" w:rsidRPr="009234AD" w:rsidRDefault="009D705A" w:rsidP="009D705A">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AF41A" id="Cuadro de texto 23" o:spid="_x0000_s1028" type="#_x0000_t202" style="position:absolute;left:0;text-align:left;margin-left:280.2pt;margin-top:6.7pt;width:200.25pt;height:74.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49E21951" w14:textId="77777777" w:rsidR="009D705A" w:rsidRPr="00EF2FC0" w:rsidRDefault="009D705A" w:rsidP="009D705A">
                      <w:pPr>
                        <w:jc w:val="center"/>
                        <w:rPr>
                          <w:rFonts w:ascii="Palatino Linotype" w:hAnsi="Palatino Linotype"/>
                        </w:rPr>
                      </w:pPr>
                      <w:r>
                        <w:rPr>
                          <w:rFonts w:ascii="Palatino Linotype" w:hAnsi="Palatino Linotype"/>
                          <w:b/>
                        </w:rPr>
                        <w:t>José Guadalupe Luna Hernández</w:t>
                      </w:r>
                    </w:p>
                    <w:p w14:paraId="01F2278C" w14:textId="77777777" w:rsidR="009D705A" w:rsidRDefault="009D705A" w:rsidP="009D705A">
                      <w:pPr>
                        <w:jc w:val="center"/>
                        <w:rPr>
                          <w:rFonts w:ascii="Palatino Linotype" w:hAnsi="Palatino Linotype"/>
                        </w:rPr>
                      </w:pPr>
                      <w:r w:rsidRPr="00EF2FC0">
                        <w:rPr>
                          <w:rFonts w:ascii="Palatino Linotype" w:hAnsi="Palatino Linotype"/>
                        </w:rPr>
                        <w:t>Comisionado</w:t>
                      </w:r>
                    </w:p>
                    <w:p w14:paraId="41E3E7A6" w14:textId="77777777" w:rsidR="009D705A" w:rsidRPr="009234AD" w:rsidRDefault="009D705A" w:rsidP="009D705A">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5B00BE9" w14:textId="77777777" w:rsidR="009D705A" w:rsidRPr="00D54B7D" w:rsidRDefault="009D705A" w:rsidP="009D705A">
      <w:pPr>
        <w:spacing w:before="240" w:line="480" w:lineRule="auto"/>
        <w:jc w:val="both"/>
        <w:rPr>
          <w:rFonts w:ascii="Palatino Linotype" w:hAnsi="Palatino Linotype"/>
        </w:rPr>
      </w:pPr>
    </w:p>
    <w:p w14:paraId="4DC5ABA8" w14:textId="77777777" w:rsidR="009D705A" w:rsidRDefault="009D705A" w:rsidP="009D705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706B5CE2" wp14:editId="61D73C5E">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A9137" w14:textId="77777777" w:rsidR="009D705A" w:rsidRPr="00EF2FC0" w:rsidRDefault="009D705A" w:rsidP="009D705A">
                            <w:pPr>
                              <w:jc w:val="center"/>
                              <w:rPr>
                                <w:rFonts w:ascii="Palatino Linotype" w:hAnsi="Palatino Linotype"/>
                              </w:rPr>
                            </w:pPr>
                            <w:r w:rsidRPr="00EF2FC0">
                              <w:rPr>
                                <w:rFonts w:ascii="Palatino Linotype" w:hAnsi="Palatino Linotype"/>
                                <w:b/>
                              </w:rPr>
                              <w:t>Javier Martínez Cruz</w:t>
                            </w:r>
                          </w:p>
                          <w:p w14:paraId="64E1C784" w14:textId="77777777" w:rsidR="009D705A" w:rsidRDefault="009D705A" w:rsidP="009D705A">
                            <w:pPr>
                              <w:jc w:val="center"/>
                              <w:rPr>
                                <w:rFonts w:ascii="Palatino Linotype" w:hAnsi="Palatino Linotype"/>
                              </w:rPr>
                            </w:pPr>
                            <w:r w:rsidRPr="00EF2FC0">
                              <w:rPr>
                                <w:rFonts w:ascii="Palatino Linotype" w:hAnsi="Palatino Linotype"/>
                              </w:rPr>
                              <w:t>Comisionado</w:t>
                            </w:r>
                          </w:p>
                          <w:p w14:paraId="44AFF94E" w14:textId="77777777" w:rsidR="009D705A" w:rsidRPr="00F55D03" w:rsidRDefault="009D705A" w:rsidP="009D705A">
                            <w:pPr>
                              <w:jc w:val="center"/>
                              <w:rPr>
                                <w:rFonts w:ascii="Palatino Linotype" w:hAnsi="Palatino Linotype"/>
                                <w:b/>
                              </w:rPr>
                            </w:pPr>
                            <w:r>
                              <w:rPr>
                                <w:rFonts w:ascii="Palatino Linotype" w:hAnsi="Palatino Linotype"/>
                                <w:b/>
                              </w:rPr>
                              <w:t>(Rúbrica).</w:t>
                            </w:r>
                          </w:p>
                          <w:p w14:paraId="2DFC03D2" w14:textId="77777777" w:rsidR="009D705A" w:rsidRDefault="009D705A" w:rsidP="009D7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B5CE2" id="Cuadro de texto 24" o:spid="_x0000_s1029" type="#_x0000_t202" style="position:absolute;margin-left:-23.55pt;margin-top:45.9pt;width:195.75pt;height:73.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5F3A9137" w14:textId="77777777" w:rsidR="009D705A" w:rsidRPr="00EF2FC0" w:rsidRDefault="009D705A" w:rsidP="009D705A">
                      <w:pPr>
                        <w:jc w:val="center"/>
                        <w:rPr>
                          <w:rFonts w:ascii="Palatino Linotype" w:hAnsi="Palatino Linotype"/>
                        </w:rPr>
                      </w:pPr>
                      <w:r w:rsidRPr="00EF2FC0">
                        <w:rPr>
                          <w:rFonts w:ascii="Palatino Linotype" w:hAnsi="Palatino Linotype"/>
                          <w:b/>
                        </w:rPr>
                        <w:t>Javier Martínez Cruz</w:t>
                      </w:r>
                    </w:p>
                    <w:p w14:paraId="64E1C784" w14:textId="77777777" w:rsidR="009D705A" w:rsidRDefault="009D705A" w:rsidP="009D705A">
                      <w:pPr>
                        <w:jc w:val="center"/>
                        <w:rPr>
                          <w:rFonts w:ascii="Palatino Linotype" w:hAnsi="Palatino Linotype"/>
                        </w:rPr>
                      </w:pPr>
                      <w:r w:rsidRPr="00EF2FC0">
                        <w:rPr>
                          <w:rFonts w:ascii="Palatino Linotype" w:hAnsi="Palatino Linotype"/>
                        </w:rPr>
                        <w:t>Comisionado</w:t>
                      </w:r>
                    </w:p>
                    <w:p w14:paraId="44AFF94E" w14:textId="77777777" w:rsidR="009D705A" w:rsidRPr="00F55D03" w:rsidRDefault="009D705A" w:rsidP="009D705A">
                      <w:pPr>
                        <w:jc w:val="center"/>
                        <w:rPr>
                          <w:rFonts w:ascii="Palatino Linotype" w:hAnsi="Palatino Linotype"/>
                          <w:b/>
                        </w:rPr>
                      </w:pPr>
                      <w:r>
                        <w:rPr>
                          <w:rFonts w:ascii="Palatino Linotype" w:hAnsi="Palatino Linotype"/>
                          <w:b/>
                        </w:rPr>
                        <w:t>(Rúbrica).</w:t>
                      </w:r>
                    </w:p>
                    <w:p w14:paraId="2DFC03D2" w14:textId="77777777" w:rsidR="009D705A" w:rsidRDefault="009D705A" w:rsidP="009D705A"/>
                  </w:txbxContent>
                </v:textbox>
                <w10:wrap anchorx="margin"/>
              </v:shape>
            </w:pict>
          </mc:Fallback>
        </mc:AlternateContent>
      </w:r>
    </w:p>
    <w:p w14:paraId="335726D8" w14:textId="77777777" w:rsidR="009D705A" w:rsidRDefault="009D705A" w:rsidP="009D705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1933BC24" wp14:editId="70C56A52">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2B6B01" w14:textId="77777777" w:rsidR="009D705A" w:rsidRPr="00EF2FC0" w:rsidRDefault="009D705A" w:rsidP="009D705A">
                            <w:pPr>
                              <w:jc w:val="center"/>
                              <w:rPr>
                                <w:rFonts w:ascii="Palatino Linotype" w:hAnsi="Palatino Linotype"/>
                              </w:rPr>
                            </w:pPr>
                            <w:r>
                              <w:rPr>
                                <w:rFonts w:ascii="Palatino Linotype" w:hAnsi="Palatino Linotype"/>
                                <w:b/>
                              </w:rPr>
                              <w:t>Luis Gustavo Parra Noriega</w:t>
                            </w:r>
                          </w:p>
                          <w:p w14:paraId="74B4C56D" w14:textId="77777777" w:rsidR="009D705A" w:rsidRDefault="009D705A" w:rsidP="009D705A">
                            <w:pPr>
                              <w:jc w:val="center"/>
                              <w:rPr>
                                <w:rFonts w:ascii="Palatino Linotype" w:hAnsi="Palatino Linotype"/>
                              </w:rPr>
                            </w:pPr>
                            <w:r w:rsidRPr="00EF2FC0">
                              <w:rPr>
                                <w:rFonts w:ascii="Palatino Linotype" w:hAnsi="Palatino Linotype"/>
                              </w:rPr>
                              <w:t>Comisionado</w:t>
                            </w:r>
                          </w:p>
                          <w:p w14:paraId="5606CC0D" w14:textId="77777777" w:rsidR="009D705A" w:rsidRPr="00F55D03" w:rsidRDefault="009D705A" w:rsidP="009D705A">
                            <w:pPr>
                              <w:jc w:val="center"/>
                              <w:rPr>
                                <w:rFonts w:ascii="Palatino Linotype" w:hAnsi="Palatino Linotype"/>
                                <w:b/>
                              </w:rPr>
                            </w:pPr>
                            <w:r>
                              <w:rPr>
                                <w:rFonts w:ascii="Palatino Linotype" w:hAnsi="Palatino Linotype"/>
                                <w:b/>
                              </w:rPr>
                              <w:t>(Rúbrica).</w:t>
                            </w:r>
                          </w:p>
                          <w:p w14:paraId="5DCEE676" w14:textId="77777777" w:rsidR="009D705A" w:rsidRDefault="009D705A" w:rsidP="009D7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33BC24" id="Cuadro de texto 25" o:spid="_x0000_s1030" type="#_x0000_t202" style="position:absolute;margin-left:281.7pt;margin-top:4.2pt;width:200.25pt;height:7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382B6B01" w14:textId="77777777" w:rsidR="009D705A" w:rsidRPr="00EF2FC0" w:rsidRDefault="009D705A" w:rsidP="009D705A">
                      <w:pPr>
                        <w:jc w:val="center"/>
                        <w:rPr>
                          <w:rFonts w:ascii="Palatino Linotype" w:hAnsi="Palatino Linotype"/>
                        </w:rPr>
                      </w:pPr>
                      <w:r>
                        <w:rPr>
                          <w:rFonts w:ascii="Palatino Linotype" w:hAnsi="Palatino Linotype"/>
                          <w:b/>
                        </w:rPr>
                        <w:t>Luis Gustavo Parra Noriega</w:t>
                      </w:r>
                    </w:p>
                    <w:p w14:paraId="74B4C56D" w14:textId="77777777" w:rsidR="009D705A" w:rsidRDefault="009D705A" w:rsidP="009D705A">
                      <w:pPr>
                        <w:jc w:val="center"/>
                        <w:rPr>
                          <w:rFonts w:ascii="Palatino Linotype" w:hAnsi="Palatino Linotype"/>
                        </w:rPr>
                      </w:pPr>
                      <w:r w:rsidRPr="00EF2FC0">
                        <w:rPr>
                          <w:rFonts w:ascii="Palatino Linotype" w:hAnsi="Palatino Linotype"/>
                        </w:rPr>
                        <w:t>Comisionado</w:t>
                      </w:r>
                    </w:p>
                    <w:p w14:paraId="5606CC0D" w14:textId="77777777" w:rsidR="009D705A" w:rsidRPr="00F55D03" w:rsidRDefault="009D705A" w:rsidP="009D705A">
                      <w:pPr>
                        <w:jc w:val="center"/>
                        <w:rPr>
                          <w:rFonts w:ascii="Palatino Linotype" w:hAnsi="Palatino Linotype"/>
                          <w:b/>
                        </w:rPr>
                      </w:pPr>
                      <w:r>
                        <w:rPr>
                          <w:rFonts w:ascii="Palatino Linotype" w:hAnsi="Palatino Linotype"/>
                          <w:b/>
                        </w:rPr>
                        <w:t>(Rúbrica).</w:t>
                      </w:r>
                    </w:p>
                    <w:p w14:paraId="5DCEE676" w14:textId="77777777" w:rsidR="009D705A" w:rsidRDefault="009D705A" w:rsidP="009D705A"/>
                  </w:txbxContent>
                </v:textbox>
                <w10:wrap anchorx="margin"/>
              </v:shape>
            </w:pict>
          </mc:Fallback>
        </mc:AlternateContent>
      </w:r>
    </w:p>
    <w:p w14:paraId="317A0C01" w14:textId="77777777" w:rsidR="009D705A" w:rsidRDefault="009D705A" w:rsidP="009D705A">
      <w:pPr>
        <w:spacing w:before="240" w:line="480" w:lineRule="auto"/>
        <w:rPr>
          <w:rFonts w:ascii="Palatino Linotype" w:hAnsi="Palatino Linotype"/>
          <w:b/>
        </w:rPr>
      </w:pPr>
    </w:p>
    <w:p w14:paraId="322B4C8B" w14:textId="77777777" w:rsidR="009D705A" w:rsidRDefault="009D705A" w:rsidP="009D705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608CC34C" wp14:editId="132D3006">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6C319A" w14:textId="77777777" w:rsidR="009D705A" w:rsidRPr="007F6133" w:rsidRDefault="009D705A" w:rsidP="009D705A">
                            <w:pPr>
                              <w:jc w:val="center"/>
                              <w:rPr>
                                <w:rFonts w:ascii="Palatino Linotype" w:hAnsi="Palatino Linotype"/>
                                <w:b/>
                              </w:rPr>
                            </w:pPr>
                            <w:r>
                              <w:rPr>
                                <w:rFonts w:ascii="Palatino Linotype" w:hAnsi="Palatino Linotype"/>
                                <w:b/>
                              </w:rPr>
                              <w:t xml:space="preserve">Alexis Tapia Ramírez </w:t>
                            </w:r>
                          </w:p>
                          <w:p w14:paraId="02B7E100" w14:textId="77777777" w:rsidR="009D705A" w:rsidRDefault="009D705A" w:rsidP="009D705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33F80BC" w14:textId="77777777" w:rsidR="009D705A" w:rsidRDefault="009D705A" w:rsidP="009D705A">
                            <w:pPr>
                              <w:jc w:val="center"/>
                              <w:rPr>
                                <w:rFonts w:ascii="Palatino Linotype" w:hAnsi="Palatino Linotype"/>
                                <w:b/>
                              </w:rPr>
                            </w:pPr>
                            <w:r>
                              <w:rPr>
                                <w:rFonts w:ascii="Palatino Linotype" w:hAnsi="Palatino Linotype"/>
                                <w:b/>
                              </w:rPr>
                              <w:t>(Rúbrica).</w:t>
                            </w:r>
                          </w:p>
                          <w:p w14:paraId="163A8DEF" w14:textId="77777777" w:rsidR="009D705A" w:rsidRDefault="009D705A" w:rsidP="009D705A">
                            <w:pPr>
                              <w:jc w:val="center"/>
                              <w:rPr>
                                <w:rFonts w:ascii="Palatino Linotype" w:hAnsi="Palatino Linotype"/>
                              </w:rPr>
                            </w:pPr>
                          </w:p>
                          <w:p w14:paraId="5F63C7F0" w14:textId="77777777" w:rsidR="009D705A" w:rsidRPr="00EF2FC0" w:rsidRDefault="009D705A" w:rsidP="009D705A">
                            <w:pPr>
                              <w:jc w:val="center"/>
                              <w:rPr>
                                <w:rFonts w:ascii="Palatino Linotype" w:hAnsi="Palatino Linotype"/>
                              </w:rPr>
                            </w:pPr>
                          </w:p>
                          <w:p w14:paraId="11FA3249" w14:textId="77777777" w:rsidR="009D705A" w:rsidRDefault="009D705A" w:rsidP="009D7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8CC34C" id="Cuadro de texto 26" o:spid="_x0000_s1031" type="#_x0000_t202" style="position:absolute;margin-left:101.55pt;margin-top:18.2pt;width:248.25pt;height:1in;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656C319A" w14:textId="77777777" w:rsidR="009D705A" w:rsidRPr="007F6133" w:rsidRDefault="009D705A" w:rsidP="009D705A">
                      <w:pPr>
                        <w:jc w:val="center"/>
                        <w:rPr>
                          <w:rFonts w:ascii="Palatino Linotype" w:hAnsi="Palatino Linotype"/>
                          <w:b/>
                        </w:rPr>
                      </w:pPr>
                      <w:r>
                        <w:rPr>
                          <w:rFonts w:ascii="Palatino Linotype" w:hAnsi="Palatino Linotype"/>
                          <w:b/>
                        </w:rPr>
                        <w:t xml:space="preserve">Alexis Tapia Ramírez </w:t>
                      </w:r>
                    </w:p>
                    <w:p w14:paraId="02B7E100" w14:textId="77777777" w:rsidR="009D705A" w:rsidRDefault="009D705A" w:rsidP="009D705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33F80BC" w14:textId="77777777" w:rsidR="009D705A" w:rsidRDefault="009D705A" w:rsidP="009D705A">
                      <w:pPr>
                        <w:jc w:val="center"/>
                        <w:rPr>
                          <w:rFonts w:ascii="Palatino Linotype" w:hAnsi="Palatino Linotype"/>
                          <w:b/>
                        </w:rPr>
                      </w:pPr>
                      <w:r>
                        <w:rPr>
                          <w:rFonts w:ascii="Palatino Linotype" w:hAnsi="Palatino Linotype"/>
                          <w:b/>
                        </w:rPr>
                        <w:t>(Rúbrica).</w:t>
                      </w:r>
                    </w:p>
                    <w:p w14:paraId="163A8DEF" w14:textId="77777777" w:rsidR="009D705A" w:rsidRDefault="009D705A" w:rsidP="009D705A">
                      <w:pPr>
                        <w:jc w:val="center"/>
                        <w:rPr>
                          <w:rFonts w:ascii="Palatino Linotype" w:hAnsi="Palatino Linotype"/>
                        </w:rPr>
                      </w:pPr>
                    </w:p>
                    <w:p w14:paraId="5F63C7F0" w14:textId="77777777" w:rsidR="009D705A" w:rsidRPr="00EF2FC0" w:rsidRDefault="009D705A" w:rsidP="009D705A">
                      <w:pPr>
                        <w:jc w:val="center"/>
                        <w:rPr>
                          <w:rFonts w:ascii="Palatino Linotype" w:hAnsi="Palatino Linotype"/>
                        </w:rPr>
                      </w:pPr>
                    </w:p>
                    <w:p w14:paraId="11FA3249" w14:textId="77777777" w:rsidR="009D705A" w:rsidRDefault="009D705A" w:rsidP="009D705A"/>
                  </w:txbxContent>
                </v:textbox>
                <w10:wrap anchorx="margin"/>
              </v:shape>
            </w:pict>
          </mc:Fallback>
        </mc:AlternateContent>
      </w:r>
    </w:p>
    <w:p w14:paraId="42244397" w14:textId="77777777" w:rsidR="009D705A" w:rsidRPr="00D54B7D" w:rsidRDefault="009D705A" w:rsidP="009D705A">
      <w:pPr>
        <w:spacing w:before="240" w:line="480" w:lineRule="auto"/>
        <w:rPr>
          <w:rFonts w:ascii="Palatino Linotype" w:hAnsi="Palatino Linotype"/>
          <w:b/>
        </w:rPr>
      </w:pPr>
    </w:p>
    <w:p w14:paraId="0441E28F" w14:textId="77777777" w:rsidR="009D705A" w:rsidRDefault="009D705A" w:rsidP="009D705A">
      <w:pPr>
        <w:tabs>
          <w:tab w:val="left" w:pos="5415"/>
        </w:tabs>
        <w:spacing w:before="240" w:line="360" w:lineRule="auto"/>
        <w:ind w:right="51"/>
        <w:jc w:val="both"/>
        <w:rPr>
          <w:rFonts w:ascii="Palatino Linotype" w:hAnsi="Palatino Linotype" w:cs="Arial"/>
          <w:sz w:val="16"/>
          <w:szCs w:val="16"/>
        </w:rPr>
      </w:pPr>
    </w:p>
    <w:p w14:paraId="6E9D2E3C" w14:textId="78610E9F" w:rsidR="009D705A" w:rsidRDefault="009D705A" w:rsidP="009D705A">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F25D94">
        <w:rPr>
          <w:rFonts w:ascii="Palatino Linotype" w:hAnsi="Palatino Linotype" w:cs="Arial"/>
          <w:sz w:val="16"/>
          <w:szCs w:val="16"/>
        </w:rPr>
        <w:t>doce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00765/INFOEM/IP/RR/2020</w:t>
      </w:r>
    </w:p>
    <w:p w14:paraId="3E7AD7FB" w14:textId="2B376DFB" w:rsidR="00F25D94" w:rsidRDefault="00F25D94" w:rsidP="009D705A">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4D2F4040" w14:textId="77777777" w:rsidR="009D705A" w:rsidRDefault="009D705A" w:rsidP="00425AED">
      <w:pPr>
        <w:autoSpaceDE w:val="0"/>
        <w:autoSpaceDN w:val="0"/>
        <w:adjustRightInd w:val="0"/>
        <w:spacing w:before="240" w:line="360" w:lineRule="auto"/>
        <w:jc w:val="both"/>
        <w:rPr>
          <w:rFonts w:ascii="Palatino Linotype" w:hAnsi="Palatino Linotype" w:cs="Arial"/>
          <w:sz w:val="24"/>
          <w:szCs w:val="24"/>
        </w:rPr>
      </w:pPr>
    </w:p>
    <w:sectPr w:rsidR="009D705A"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480E5" w14:textId="77777777" w:rsidR="000F696C" w:rsidRDefault="000F696C" w:rsidP="006168E4">
      <w:pPr>
        <w:spacing w:after="0" w:line="240" w:lineRule="auto"/>
      </w:pPr>
      <w:r>
        <w:separator/>
      </w:r>
    </w:p>
  </w:endnote>
  <w:endnote w:type="continuationSeparator" w:id="0">
    <w:p w14:paraId="7DE66D25" w14:textId="77777777" w:rsidR="000F696C" w:rsidRDefault="000F696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6011" w14:textId="77777777" w:rsidR="00240082" w:rsidRPr="000B69FA" w:rsidRDefault="002400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4F9D">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4F9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F709" w14:textId="77777777" w:rsidR="00240082" w:rsidRPr="000B69FA" w:rsidRDefault="002400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4F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4F9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9A5AD" w14:textId="77777777" w:rsidR="000F696C" w:rsidRDefault="000F696C" w:rsidP="006168E4">
      <w:pPr>
        <w:spacing w:after="0" w:line="240" w:lineRule="auto"/>
      </w:pPr>
      <w:r>
        <w:separator/>
      </w:r>
    </w:p>
  </w:footnote>
  <w:footnote w:type="continuationSeparator" w:id="0">
    <w:p w14:paraId="4BC0B4C6" w14:textId="77777777" w:rsidR="000F696C" w:rsidRDefault="000F696C" w:rsidP="006168E4">
      <w:pPr>
        <w:spacing w:after="0" w:line="240" w:lineRule="auto"/>
      </w:pPr>
      <w:r>
        <w:continuationSeparator/>
      </w:r>
    </w:p>
  </w:footnote>
  <w:footnote w:id="1">
    <w:p w14:paraId="4FA9EE4E" w14:textId="77777777" w:rsidR="004A55B1" w:rsidRPr="00911081" w:rsidRDefault="004A55B1" w:rsidP="004A55B1">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5280712" w14:textId="77777777" w:rsidR="004A55B1" w:rsidRPr="00911081" w:rsidRDefault="004A55B1" w:rsidP="004A55B1">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08C3" w14:textId="77777777" w:rsidR="00240082" w:rsidRDefault="0024008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40082" w14:paraId="6BF650D5" w14:textId="77777777" w:rsidTr="00FB4AAD">
      <w:trPr>
        <w:trHeight w:val="227"/>
      </w:trPr>
      <w:tc>
        <w:tcPr>
          <w:tcW w:w="5529" w:type="dxa"/>
          <w:hideMark/>
        </w:tcPr>
        <w:p w14:paraId="1342FB22" w14:textId="77777777" w:rsidR="00240082" w:rsidRDefault="002400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BA8F61C" w14:textId="71201303" w:rsidR="00240082" w:rsidRPr="00B4142F" w:rsidRDefault="0024008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930BB">
            <w:rPr>
              <w:rFonts w:ascii="Palatino Linotype" w:hAnsi="Palatino Linotype" w:cs="Arial"/>
              <w:bCs/>
              <w:sz w:val="24"/>
              <w:lang w:eastAsia="es-MX"/>
            </w:rPr>
            <w:t>0765</w:t>
          </w:r>
          <w:r>
            <w:rPr>
              <w:rFonts w:ascii="Palatino Linotype" w:hAnsi="Palatino Linotype" w:cs="Arial"/>
              <w:bCs/>
              <w:sz w:val="24"/>
              <w:lang w:eastAsia="es-MX"/>
            </w:rPr>
            <w:t xml:space="preserve">/INFOEM/IP/RR/2020 </w:t>
          </w:r>
        </w:p>
      </w:tc>
    </w:tr>
    <w:tr w:rsidR="00240082" w14:paraId="25252146" w14:textId="77777777" w:rsidTr="00FB4AAD">
      <w:trPr>
        <w:trHeight w:val="242"/>
      </w:trPr>
      <w:tc>
        <w:tcPr>
          <w:tcW w:w="5529" w:type="dxa"/>
          <w:hideMark/>
        </w:tcPr>
        <w:p w14:paraId="6387F237" w14:textId="77777777" w:rsidR="00240082" w:rsidRDefault="002400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64051D" w14:textId="79683125" w:rsidR="00240082" w:rsidRPr="00F06FED" w:rsidRDefault="00A930BB" w:rsidP="008D34AC">
          <w:pPr>
            <w:spacing w:after="120" w:line="256" w:lineRule="auto"/>
            <w:ind w:left="639" w:right="214"/>
            <w:jc w:val="both"/>
            <w:rPr>
              <w:rFonts w:ascii="Palatino Linotype" w:hAnsi="Palatino Linotype" w:cs="Arial"/>
            </w:rPr>
          </w:pPr>
          <w:r>
            <w:rPr>
              <w:rFonts w:ascii="Palatino Linotype" w:hAnsi="Palatino Linotype" w:cs="Arial"/>
              <w:szCs w:val="20"/>
            </w:rPr>
            <w:t>Gubernatura</w:t>
          </w:r>
        </w:p>
      </w:tc>
    </w:tr>
    <w:tr w:rsidR="00240082" w14:paraId="43272129" w14:textId="77777777" w:rsidTr="00FB4AAD">
      <w:trPr>
        <w:trHeight w:val="342"/>
      </w:trPr>
      <w:tc>
        <w:tcPr>
          <w:tcW w:w="5529" w:type="dxa"/>
          <w:hideMark/>
        </w:tcPr>
        <w:p w14:paraId="1C7A3819" w14:textId="77777777" w:rsidR="00240082" w:rsidRDefault="0024008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C6DD5E" w14:textId="77777777" w:rsidR="00240082" w:rsidRDefault="0024008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F2FFCB5" w14:textId="77777777" w:rsidR="00240082" w:rsidRDefault="002400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40082" w14:paraId="435DC005" w14:textId="77777777" w:rsidTr="00FB4AAD">
      <w:trPr>
        <w:trHeight w:val="227"/>
      </w:trPr>
      <w:tc>
        <w:tcPr>
          <w:tcW w:w="5529" w:type="dxa"/>
          <w:hideMark/>
        </w:tcPr>
        <w:p w14:paraId="607A26B8"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2C4B9E" w14:textId="49BD0EC9" w:rsidR="00240082" w:rsidRPr="00B4142F" w:rsidRDefault="0024008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930BB">
            <w:rPr>
              <w:rFonts w:ascii="Palatino Linotype" w:hAnsi="Palatino Linotype" w:cs="Arial"/>
              <w:bCs/>
              <w:sz w:val="24"/>
              <w:lang w:eastAsia="es-MX"/>
            </w:rPr>
            <w:t>0765</w:t>
          </w:r>
          <w:r>
            <w:rPr>
              <w:rFonts w:ascii="Palatino Linotype" w:hAnsi="Palatino Linotype" w:cs="Arial"/>
              <w:bCs/>
              <w:sz w:val="24"/>
              <w:lang w:eastAsia="es-MX"/>
            </w:rPr>
            <w:t xml:space="preserve">/INFOEM/IP/RR/2020 </w:t>
          </w:r>
        </w:p>
      </w:tc>
    </w:tr>
    <w:tr w:rsidR="00240082" w14:paraId="186AC21D" w14:textId="77777777" w:rsidTr="00FB4AAD">
      <w:trPr>
        <w:trHeight w:val="196"/>
      </w:trPr>
      <w:tc>
        <w:tcPr>
          <w:tcW w:w="5529" w:type="dxa"/>
          <w:hideMark/>
        </w:tcPr>
        <w:p w14:paraId="7E9C4E90"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7EE6D8" w14:textId="0A0BEACA" w:rsidR="00240082" w:rsidRPr="00F06FED" w:rsidRDefault="00710DB4"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r w:rsidR="00240082">
            <w:rPr>
              <w:rFonts w:ascii="Palatino Linotype" w:hAnsi="Palatino Linotype" w:cs="Arial"/>
            </w:rPr>
            <w:t xml:space="preserve"> </w:t>
          </w:r>
        </w:p>
      </w:tc>
    </w:tr>
    <w:tr w:rsidR="00240082" w14:paraId="299C47CA" w14:textId="77777777" w:rsidTr="00FB4AAD">
      <w:trPr>
        <w:trHeight w:val="242"/>
      </w:trPr>
      <w:tc>
        <w:tcPr>
          <w:tcW w:w="5529" w:type="dxa"/>
          <w:hideMark/>
        </w:tcPr>
        <w:p w14:paraId="52A59D9D"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69C6A06" w14:textId="199A5087" w:rsidR="00240082" w:rsidRDefault="00A930BB" w:rsidP="008112F7">
          <w:pPr>
            <w:spacing w:after="120" w:line="256" w:lineRule="auto"/>
            <w:ind w:left="639" w:right="214"/>
            <w:jc w:val="both"/>
            <w:rPr>
              <w:rFonts w:ascii="Palatino Linotype" w:hAnsi="Palatino Linotype" w:cs="Arial"/>
              <w:szCs w:val="20"/>
            </w:rPr>
          </w:pPr>
          <w:r>
            <w:rPr>
              <w:rFonts w:ascii="Palatino Linotype" w:hAnsi="Palatino Linotype" w:cs="Arial"/>
              <w:szCs w:val="20"/>
            </w:rPr>
            <w:t>Gubernatura</w:t>
          </w:r>
        </w:p>
      </w:tc>
    </w:tr>
    <w:tr w:rsidR="00240082" w14:paraId="5DE18D76" w14:textId="77777777" w:rsidTr="00FB4AAD">
      <w:trPr>
        <w:trHeight w:val="342"/>
      </w:trPr>
      <w:tc>
        <w:tcPr>
          <w:tcW w:w="5529" w:type="dxa"/>
          <w:hideMark/>
        </w:tcPr>
        <w:p w14:paraId="6B7AE187" w14:textId="77777777" w:rsidR="00240082" w:rsidRDefault="0024008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42AED61" w14:textId="77777777" w:rsidR="00240082" w:rsidRDefault="0024008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0FCBEEF" w14:textId="77777777" w:rsidR="00240082" w:rsidRDefault="002400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C7583"/>
    <w:multiLevelType w:val="hybridMultilevel"/>
    <w:tmpl w:val="09F8C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77970"/>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F0B0A"/>
    <w:multiLevelType w:val="hybridMultilevel"/>
    <w:tmpl w:val="60E45E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173D3F5A"/>
    <w:multiLevelType w:val="hybridMultilevel"/>
    <w:tmpl w:val="88DCB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76CBD"/>
    <w:multiLevelType w:val="hybridMultilevel"/>
    <w:tmpl w:val="C3A4F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FF31CE"/>
    <w:multiLevelType w:val="hybridMultilevel"/>
    <w:tmpl w:val="092C5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E1C9C"/>
    <w:multiLevelType w:val="hybridMultilevel"/>
    <w:tmpl w:val="DB18E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FF210A"/>
    <w:multiLevelType w:val="hybridMultilevel"/>
    <w:tmpl w:val="F0E04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173288"/>
    <w:multiLevelType w:val="hybridMultilevel"/>
    <w:tmpl w:val="B0845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4" w15:restartNumberingAfterBreak="0">
    <w:nsid w:val="31B365E5"/>
    <w:multiLevelType w:val="hybridMultilevel"/>
    <w:tmpl w:val="D6D40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87EAA"/>
    <w:multiLevelType w:val="hybridMultilevel"/>
    <w:tmpl w:val="F810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CF120BF"/>
    <w:multiLevelType w:val="hybridMultilevel"/>
    <w:tmpl w:val="CD2A7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843637"/>
    <w:multiLevelType w:val="hybridMultilevel"/>
    <w:tmpl w:val="D33C4590"/>
    <w:lvl w:ilvl="0" w:tplc="838043D0">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9A06EC"/>
    <w:multiLevelType w:val="hybridMultilevel"/>
    <w:tmpl w:val="BE123BC6"/>
    <w:lvl w:ilvl="0" w:tplc="6BA28B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A7564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3F639B"/>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FB0609"/>
    <w:multiLevelType w:val="hybridMultilevel"/>
    <w:tmpl w:val="E73ECE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5E44341F"/>
    <w:multiLevelType w:val="hybridMultilevel"/>
    <w:tmpl w:val="92261E8E"/>
    <w:lvl w:ilvl="0" w:tplc="F4E2118C">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E29C8"/>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6E03F75"/>
    <w:multiLevelType w:val="hybridMultilevel"/>
    <w:tmpl w:val="F96E88D6"/>
    <w:lvl w:ilvl="0" w:tplc="178E1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4"/>
  </w:num>
  <w:num w:numId="3">
    <w:abstractNumId w:val="49"/>
  </w:num>
  <w:num w:numId="4">
    <w:abstractNumId w:val="40"/>
  </w:num>
  <w:num w:numId="5">
    <w:abstractNumId w:val="37"/>
  </w:num>
  <w:num w:numId="6">
    <w:abstractNumId w:val="48"/>
  </w:num>
  <w:num w:numId="7">
    <w:abstractNumId w:val="19"/>
  </w:num>
  <w:num w:numId="8">
    <w:abstractNumId w:val="28"/>
  </w:num>
  <w:num w:numId="9">
    <w:abstractNumId w:val="21"/>
  </w:num>
  <w:num w:numId="10">
    <w:abstractNumId w:val="45"/>
  </w:num>
  <w:num w:numId="11">
    <w:abstractNumId w:val="3"/>
  </w:num>
  <w:num w:numId="12">
    <w:abstractNumId w:val="9"/>
  </w:num>
  <w:num w:numId="13">
    <w:abstractNumId w:val="10"/>
  </w:num>
  <w:num w:numId="14">
    <w:abstractNumId w:val="16"/>
  </w:num>
  <w:num w:numId="15">
    <w:abstractNumId w:val="4"/>
  </w:num>
  <w:num w:numId="16">
    <w:abstractNumId w:val="11"/>
  </w:num>
  <w:num w:numId="17">
    <w:abstractNumId w:val="1"/>
  </w:num>
  <w:num w:numId="18">
    <w:abstractNumId w:val="43"/>
  </w:num>
  <w:num w:numId="19">
    <w:abstractNumId w:val="2"/>
  </w:num>
  <w:num w:numId="20">
    <w:abstractNumId w:val="32"/>
  </w:num>
  <w:num w:numId="21">
    <w:abstractNumId w:val="26"/>
  </w:num>
  <w:num w:numId="22">
    <w:abstractNumId w:val="0"/>
  </w:num>
  <w:num w:numId="23">
    <w:abstractNumId w:val="41"/>
  </w:num>
  <w:num w:numId="24">
    <w:abstractNumId w:val="22"/>
  </w:num>
  <w:num w:numId="25">
    <w:abstractNumId w:val="20"/>
  </w:num>
  <w:num w:numId="26">
    <w:abstractNumId w:val="34"/>
  </w:num>
  <w:num w:numId="27">
    <w:abstractNumId w:val="33"/>
  </w:num>
  <w:num w:numId="28">
    <w:abstractNumId w:val="29"/>
  </w:num>
  <w:num w:numId="29">
    <w:abstractNumId w:val="13"/>
  </w:num>
  <w:num w:numId="30">
    <w:abstractNumId w:val="7"/>
  </w:num>
  <w:num w:numId="31">
    <w:abstractNumId w:val="23"/>
  </w:num>
  <w:num w:numId="32">
    <w:abstractNumId w:val="31"/>
  </w:num>
  <w:num w:numId="33">
    <w:abstractNumId w:val="17"/>
  </w:num>
  <w:num w:numId="34">
    <w:abstractNumId w:val="39"/>
  </w:num>
  <w:num w:numId="35">
    <w:abstractNumId w:val="25"/>
  </w:num>
  <w:num w:numId="36">
    <w:abstractNumId w:val="30"/>
  </w:num>
  <w:num w:numId="37">
    <w:abstractNumId w:val="18"/>
  </w:num>
  <w:num w:numId="38">
    <w:abstractNumId w:val="5"/>
  </w:num>
  <w:num w:numId="39">
    <w:abstractNumId w:val="47"/>
  </w:num>
  <w:num w:numId="40">
    <w:abstractNumId w:val="14"/>
  </w:num>
  <w:num w:numId="41">
    <w:abstractNumId w:val="24"/>
  </w:num>
  <w:num w:numId="42">
    <w:abstractNumId w:val="15"/>
  </w:num>
  <w:num w:numId="43">
    <w:abstractNumId w:val="12"/>
  </w:num>
  <w:num w:numId="44">
    <w:abstractNumId w:val="6"/>
  </w:num>
  <w:num w:numId="45">
    <w:abstractNumId w:val="4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36"/>
  </w:num>
  <w:num w:numId="49">
    <w:abstractNumId w:val="38"/>
  </w:num>
  <w:num w:numId="50">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0BC"/>
    <w:rsid w:val="000026CF"/>
    <w:rsid w:val="000037E2"/>
    <w:rsid w:val="00010F2B"/>
    <w:rsid w:val="000134B1"/>
    <w:rsid w:val="00020A70"/>
    <w:rsid w:val="00022604"/>
    <w:rsid w:val="0002766F"/>
    <w:rsid w:val="000306A7"/>
    <w:rsid w:val="00031833"/>
    <w:rsid w:val="00031C92"/>
    <w:rsid w:val="000417AA"/>
    <w:rsid w:val="0004199A"/>
    <w:rsid w:val="00045379"/>
    <w:rsid w:val="000461DF"/>
    <w:rsid w:val="00055224"/>
    <w:rsid w:val="0005543E"/>
    <w:rsid w:val="0005622A"/>
    <w:rsid w:val="00061821"/>
    <w:rsid w:val="000623F9"/>
    <w:rsid w:val="00062482"/>
    <w:rsid w:val="0006349C"/>
    <w:rsid w:val="00063A10"/>
    <w:rsid w:val="00065CF3"/>
    <w:rsid w:val="000662F8"/>
    <w:rsid w:val="00073E78"/>
    <w:rsid w:val="00084541"/>
    <w:rsid w:val="00091552"/>
    <w:rsid w:val="00091C3A"/>
    <w:rsid w:val="000A2D37"/>
    <w:rsid w:val="000A3486"/>
    <w:rsid w:val="000A3557"/>
    <w:rsid w:val="000A3DFD"/>
    <w:rsid w:val="000A4DD1"/>
    <w:rsid w:val="000A6502"/>
    <w:rsid w:val="000A70F8"/>
    <w:rsid w:val="000A79DA"/>
    <w:rsid w:val="000A7ED7"/>
    <w:rsid w:val="000B4B51"/>
    <w:rsid w:val="000B7158"/>
    <w:rsid w:val="000C5B8B"/>
    <w:rsid w:val="000C6122"/>
    <w:rsid w:val="000C7A02"/>
    <w:rsid w:val="000D1B55"/>
    <w:rsid w:val="000D3C75"/>
    <w:rsid w:val="000D4349"/>
    <w:rsid w:val="000D6A1F"/>
    <w:rsid w:val="000D6FCC"/>
    <w:rsid w:val="000E686B"/>
    <w:rsid w:val="000F13C3"/>
    <w:rsid w:val="000F220F"/>
    <w:rsid w:val="000F3EE7"/>
    <w:rsid w:val="000F68B1"/>
    <w:rsid w:val="000F696C"/>
    <w:rsid w:val="000F6F19"/>
    <w:rsid w:val="000F7A70"/>
    <w:rsid w:val="000F7AC2"/>
    <w:rsid w:val="001010B8"/>
    <w:rsid w:val="00102D69"/>
    <w:rsid w:val="00103D60"/>
    <w:rsid w:val="0010747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61411"/>
    <w:rsid w:val="00165F87"/>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7B88"/>
    <w:rsid w:val="001C7319"/>
    <w:rsid w:val="001C7D87"/>
    <w:rsid w:val="001D3E87"/>
    <w:rsid w:val="001D5F16"/>
    <w:rsid w:val="001D6FAB"/>
    <w:rsid w:val="001E14F4"/>
    <w:rsid w:val="001E1D18"/>
    <w:rsid w:val="001F0A4F"/>
    <w:rsid w:val="001F0DD2"/>
    <w:rsid w:val="00203D3A"/>
    <w:rsid w:val="00203FF3"/>
    <w:rsid w:val="002044B4"/>
    <w:rsid w:val="00207086"/>
    <w:rsid w:val="00210E64"/>
    <w:rsid w:val="00211D60"/>
    <w:rsid w:val="00214417"/>
    <w:rsid w:val="0021501E"/>
    <w:rsid w:val="002205C0"/>
    <w:rsid w:val="00225507"/>
    <w:rsid w:val="0023373D"/>
    <w:rsid w:val="0023423C"/>
    <w:rsid w:val="00240082"/>
    <w:rsid w:val="0024112D"/>
    <w:rsid w:val="00244002"/>
    <w:rsid w:val="00244177"/>
    <w:rsid w:val="00246B55"/>
    <w:rsid w:val="002501FB"/>
    <w:rsid w:val="00254477"/>
    <w:rsid w:val="00255312"/>
    <w:rsid w:val="00255F03"/>
    <w:rsid w:val="00256FDF"/>
    <w:rsid w:val="002577FE"/>
    <w:rsid w:val="0025780C"/>
    <w:rsid w:val="00262460"/>
    <w:rsid w:val="00266AE6"/>
    <w:rsid w:val="00271298"/>
    <w:rsid w:val="002729E8"/>
    <w:rsid w:val="00273D0E"/>
    <w:rsid w:val="00285DBD"/>
    <w:rsid w:val="002968B6"/>
    <w:rsid w:val="00297EF9"/>
    <w:rsid w:val="002A07C4"/>
    <w:rsid w:val="002A2034"/>
    <w:rsid w:val="002A24F4"/>
    <w:rsid w:val="002A38BF"/>
    <w:rsid w:val="002A597E"/>
    <w:rsid w:val="002B0FB9"/>
    <w:rsid w:val="002B4382"/>
    <w:rsid w:val="002B5DBD"/>
    <w:rsid w:val="002B72F9"/>
    <w:rsid w:val="002C07E7"/>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64F"/>
    <w:rsid w:val="002F4C6A"/>
    <w:rsid w:val="002F70F6"/>
    <w:rsid w:val="00300D0B"/>
    <w:rsid w:val="003036BB"/>
    <w:rsid w:val="003043BE"/>
    <w:rsid w:val="00306096"/>
    <w:rsid w:val="00306974"/>
    <w:rsid w:val="00307014"/>
    <w:rsid w:val="00307100"/>
    <w:rsid w:val="0031645D"/>
    <w:rsid w:val="0032064F"/>
    <w:rsid w:val="00320A67"/>
    <w:rsid w:val="003272FB"/>
    <w:rsid w:val="00331499"/>
    <w:rsid w:val="00333232"/>
    <w:rsid w:val="003355E2"/>
    <w:rsid w:val="0033580E"/>
    <w:rsid w:val="00337E68"/>
    <w:rsid w:val="00343D1E"/>
    <w:rsid w:val="00347A94"/>
    <w:rsid w:val="003501D5"/>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A72E7"/>
    <w:rsid w:val="003B1E88"/>
    <w:rsid w:val="003B6193"/>
    <w:rsid w:val="003C207B"/>
    <w:rsid w:val="003C5243"/>
    <w:rsid w:val="003C53ED"/>
    <w:rsid w:val="003D0B7E"/>
    <w:rsid w:val="003D4E0F"/>
    <w:rsid w:val="003D53AD"/>
    <w:rsid w:val="003D76BE"/>
    <w:rsid w:val="003E16E1"/>
    <w:rsid w:val="003E504D"/>
    <w:rsid w:val="003E656A"/>
    <w:rsid w:val="003E78B7"/>
    <w:rsid w:val="003F3016"/>
    <w:rsid w:val="003F31E4"/>
    <w:rsid w:val="004012CF"/>
    <w:rsid w:val="00402FF3"/>
    <w:rsid w:val="00406203"/>
    <w:rsid w:val="004069EB"/>
    <w:rsid w:val="00410ACB"/>
    <w:rsid w:val="00412600"/>
    <w:rsid w:val="00422258"/>
    <w:rsid w:val="00422ED2"/>
    <w:rsid w:val="00423213"/>
    <w:rsid w:val="0042416D"/>
    <w:rsid w:val="00424728"/>
    <w:rsid w:val="00425AED"/>
    <w:rsid w:val="00436802"/>
    <w:rsid w:val="00442E45"/>
    <w:rsid w:val="00443AD4"/>
    <w:rsid w:val="0044438E"/>
    <w:rsid w:val="0044545B"/>
    <w:rsid w:val="00445C0F"/>
    <w:rsid w:val="00447E5D"/>
    <w:rsid w:val="00451448"/>
    <w:rsid w:val="004516EB"/>
    <w:rsid w:val="004529B6"/>
    <w:rsid w:val="00453DBD"/>
    <w:rsid w:val="00454CE6"/>
    <w:rsid w:val="0045612F"/>
    <w:rsid w:val="00457305"/>
    <w:rsid w:val="00457955"/>
    <w:rsid w:val="00462881"/>
    <w:rsid w:val="004640F2"/>
    <w:rsid w:val="00467337"/>
    <w:rsid w:val="00475990"/>
    <w:rsid w:val="00475F48"/>
    <w:rsid w:val="00477CC2"/>
    <w:rsid w:val="00477D47"/>
    <w:rsid w:val="0048180A"/>
    <w:rsid w:val="00481C7A"/>
    <w:rsid w:val="0048279E"/>
    <w:rsid w:val="00487DB5"/>
    <w:rsid w:val="004906C8"/>
    <w:rsid w:val="00492BC7"/>
    <w:rsid w:val="004967E2"/>
    <w:rsid w:val="004A075D"/>
    <w:rsid w:val="004A290F"/>
    <w:rsid w:val="004A55B1"/>
    <w:rsid w:val="004A55D8"/>
    <w:rsid w:val="004A5FFD"/>
    <w:rsid w:val="004A7301"/>
    <w:rsid w:val="004A7CE2"/>
    <w:rsid w:val="004B031A"/>
    <w:rsid w:val="004B1A6C"/>
    <w:rsid w:val="004B234F"/>
    <w:rsid w:val="004B59BB"/>
    <w:rsid w:val="004B5CDA"/>
    <w:rsid w:val="004C2845"/>
    <w:rsid w:val="004C5207"/>
    <w:rsid w:val="004C7961"/>
    <w:rsid w:val="004D08EB"/>
    <w:rsid w:val="004D546D"/>
    <w:rsid w:val="004D54E3"/>
    <w:rsid w:val="004E1A3D"/>
    <w:rsid w:val="004E2371"/>
    <w:rsid w:val="004E6BE9"/>
    <w:rsid w:val="004E754F"/>
    <w:rsid w:val="004F2525"/>
    <w:rsid w:val="004F4E56"/>
    <w:rsid w:val="004F7129"/>
    <w:rsid w:val="005001FE"/>
    <w:rsid w:val="005020E9"/>
    <w:rsid w:val="00503655"/>
    <w:rsid w:val="00504BE3"/>
    <w:rsid w:val="0050572A"/>
    <w:rsid w:val="00514207"/>
    <w:rsid w:val="005149BE"/>
    <w:rsid w:val="00515090"/>
    <w:rsid w:val="00516B8E"/>
    <w:rsid w:val="005179E4"/>
    <w:rsid w:val="00521E57"/>
    <w:rsid w:val="005305EA"/>
    <w:rsid w:val="0053191B"/>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913"/>
    <w:rsid w:val="005662E2"/>
    <w:rsid w:val="0056682A"/>
    <w:rsid w:val="0056781C"/>
    <w:rsid w:val="00567C0A"/>
    <w:rsid w:val="005733EB"/>
    <w:rsid w:val="005734C5"/>
    <w:rsid w:val="00580802"/>
    <w:rsid w:val="00581A22"/>
    <w:rsid w:val="005860CB"/>
    <w:rsid w:val="005878BC"/>
    <w:rsid w:val="00593E91"/>
    <w:rsid w:val="0059442D"/>
    <w:rsid w:val="00594D38"/>
    <w:rsid w:val="005A0113"/>
    <w:rsid w:val="005A0B49"/>
    <w:rsid w:val="005A0C1F"/>
    <w:rsid w:val="005A353A"/>
    <w:rsid w:val="005A51F9"/>
    <w:rsid w:val="005A6D57"/>
    <w:rsid w:val="005A71FD"/>
    <w:rsid w:val="005A760E"/>
    <w:rsid w:val="005B5B70"/>
    <w:rsid w:val="005B5F05"/>
    <w:rsid w:val="005C17BF"/>
    <w:rsid w:val="005C6982"/>
    <w:rsid w:val="005C6B74"/>
    <w:rsid w:val="005C7AEA"/>
    <w:rsid w:val="005D125D"/>
    <w:rsid w:val="005D2B59"/>
    <w:rsid w:val="005D3240"/>
    <w:rsid w:val="005D362F"/>
    <w:rsid w:val="005D370F"/>
    <w:rsid w:val="005D44D1"/>
    <w:rsid w:val="005D6CDC"/>
    <w:rsid w:val="005E3D7D"/>
    <w:rsid w:val="005E4D7C"/>
    <w:rsid w:val="005E60F6"/>
    <w:rsid w:val="005F048E"/>
    <w:rsid w:val="005F57F0"/>
    <w:rsid w:val="00601D64"/>
    <w:rsid w:val="006028C9"/>
    <w:rsid w:val="0060721D"/>
    <w:rsid w:val="0061042F"/>
    <w:rsid w:val="0061633B"/>
    <w:rsid w:val="006168E4"/>
    <w:rsid w:val="00621F47"/>
    <w:rsid w:val="0062497C"/>
    <w:rsid w:val="00625200"/>
    <w:rsid w:val="006255AA"/>
    <w:rsid w:val="006300AF"/>
    <w:rsid w:val="00631806"/>
    <w:rsid w:val="00637512"/>
    <w:rsid w:val="00640EE4"/>
    <w:rsid w:val="00641D2D"/>
    <w:rsid w:val="006440C0"/>
    <w:rsid w:val="006466F5"/>
    <w:rsid w:val="00650CFA"/>
    <w:rsid w:val="00652BC5"/>
    <w:rsid w:val="006611C1"/>
    <w:rsid w:val="00661753"/>
    <w:rsid w:val="0066216F"/>
    <w:rsid w:val="006654F6"/>
    <w:rsid w:val="006720B5"/>
    <w:rsid w:val="00676078"/>
    <w:rsid w:val="00676CAA"/>
    <w:rsid w:val="00682BC1"/>
    <w:rsid w:val="006848B7"/>
    <w:rsid w:val="006868A7"/>
    <w:rsid w:val="006915EA"/>
    <w:rsid w:val="006A3810"/>
    <w:rsid w:val="006A68B8"/>
    <w:rsid w:val="006A7CEB"/>
    <w:rsid w:val="006B0CA2"/>
    <w:rsid w:val="006B1953"/>
    <w:rsid w:val="006B1BF1"/>
    <w:rsid w:val="006B20F0"/>
    <w:rsid w:val="006B22EB"/>
    <w:rsid w:val="006B26E3"/>
    <w:rsid w:val="006B3085"/>
    <w:rsid w:val="006B52A3"/>
    <w:rsid w:val="006B59AF"/>
    <w:rsid w:val="006B69CF"/>
    <w:rsid w:val="006B7444"/>
    <w:rsid w:val="006C0F69"/>
    <w:rsid w:val="006C28CA"/>
    <w:rsid w:val="006C350D"/>
    <w:rsid w:val="006C5E56"/>
    <w:rsid w:val="006C63A0"/>
    <w:rsid w:val="006D23FC"/>
    <w:rsid w:val="006D643D"/>
    <w:rsid w:val="006E063C"/>
    <w:rsid w:val="006E3851"/>
    <w:rsid w:val="006F1167"/>
    <w:rsid w:val="006F4044"/>
    <w:rsid w:val="006F46DC"/>
    <w:rsid w:val="006F5C01"/>
    <w:rsid w:val="006F64CF"/>
    <w:rsid w:val="00700D67"/>
    <w:rsid w:val="00701033"/>
    <w:rsid w:val="00701A3F"/>
    <w:rsid w:val="00710DB4"/>
    <w:rsid w:val="00712E3A"/>
    <w:rsid w:val="00713BB2"/>
    <w:rsid w:val="00721506"/>
    <w:rsid w:val="007216DB"/>
    <w:rsid w:val="007246D3"/>
    <w:rsid w:val="00725F5A"/>
    <w:rsid w:val="007315CF"/>
    <w:rsid w:val="00732985"/>
    <w:rsid w:val="007404D5"/>
    <w:rsid w:val="00744287"/>
    <w:rsid w:val="00744EEF"/>
    <w:rsid w:val="00745D76"/>
    <w:rsid w:val="00746893"/>
    <w:rsid w:val="00747487"/>
    <w:rsid w:val="007505EB"/>
    <w:rsid w:val="00752E31"/>
    <w:rsid w:val="007545BC"/>
    <w:rsid w:val="00754CAE"/>
    <w:rsid w:val="00763EE7"/>
    <w:rsid w:val="0076623B"/>
    <w:rsid w:val="00767E4B"/>
    <w:rsid w:val="007718AD"/>
    <w:rsid w:val="007742A7"/>
    <w:rsid w:val="007815E7"/>
    <w:rsid w:val="007851D5"/>
    <w:rsid w:val="00793D5C"/>
    <w:rsid w:val="0079486A"/>
    <w:rsid w:val="00794F80"/>
    <w:rsid w:val="007A0454"/>
    <w:rsid w:val="007A1C9E"/>
    <w:rsid w:val="007A4CA1"/>
    <w:rsid w:val="007A5DFD"/>
    <w:rsid w:val="007B0398"/>
    <w:rsid w:val="007B2C77"/>
    <w:rsid w:val="007B5F0B"/>
    <w:rsid w:val="007B6549"/>
    <w:rsid w:val="007C1D20"/>
    <w:rsid w:val="007C3F2F"/>
    <w:rsid w:val="007D1A27"/>
    <w:rsid w:val="007D1B24"/>
    <w:rsid w:val="007D1F15"/>
    <w:rsid w:val="007D25B1"/>
    <w:rsid w:val="007D2878"/>
    <w:rsid w:val="007D53D6"/>
    <w:rsid w:val="007E319E"/>
    <w:rsid w:val="007E7B07"/>
    <w:rsid w:val="007E7BAB"/>
    <w:rsid w:val="007E7CFD"/>
    <w:rsid w:val="007E7DCE"/>
    <w:rsid w:val="007E7FA9"/>
    <w:rsid w:val="007F20AC"/>
    <w:rsid w:val="00802C56"/>
    <w:rsid w:val="00807368"/>
    <w:rsid w:val="00807750"/>
    <w:rsid w:val="00807E35"/>
    <w:rsid w:val="00811205"/>
    <w:rsid w:val="008112F7"/>
    <w:rsid w:val="00812295"/>
    <w:rsid w:val="00812C48"/>
    <w:rsid w:val="00813A54"/>
    <w:rsid w:val="00813FE7"/>
    <w:rsid w:val="008146F9"/>
    <w:rsid w:val="008153B2"/>
    <w:rsid w:val="00821AEB"/>
    <w:rsid w:val="008226B6"/>
    <w:rsid w:val="00824DCD"/>
    <w:rsid w:val="00827063"/>
    <w:rsid w:val="00833E8A"/>
    <w:rsid w:val="00844009"/>
    <w:rsid w:val="00844569"/>
    <w:rsid w:val="00844CDE"/>
    <w:rsid w:val="00847D23"/>
    <w:rsid w:val="008556FF"/>
    <w:rsid w:val="00857106"/>
    <w:rsid w:val="00857765"/>
    <w:rsid w:val="00863327"/>
    <w:rsid w:val="00863A40"/>
    <w:rsid w:val="00867BF6"/>
    <w:rsid w:val="00867F7E"/>
    <w:rsid w:val="00870F44"/>
    <w:rsid w:val="00870FA8"/>
    <w:rsid w:val="00872ECB"/>
    <w:rsid w:val="0087456A"/>
    <w:rsid w:val="00881050"/>
    <w:rsid w:val="0088251C"/>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D34AC"/>
    <w:rsid w:val="008E6375"/>
    <w:rsid w:val="008F17A1"/>
    <w:rsid w:val="008F4C65"/>
    <w:rsid w:val="008F7579"/>
    <w:rsid w:val="00902944"/>
    <w:rsid w:val="0090452D"/>
    <w:rsid w:val="00905422"/>
    <w:rsid w:val="00906BD5"/>
    <w:rsid w:val="009104D1"/>
    <w:rsid w:val="00913133"/>
    <w:rsid w:val="0091475B"/>
    <w:rsid w:val="00921046"/>
    <w:rsid w:val="00921DB9"/>
    <w:rsid w:val="0092403D"/>
    <w:rsid w:val="00931683"/>
    <w:rsid w:val="009402DB"/>
    <w:rsid w:val="00942E41"/>
    <w:rsid w:val="009440D8"/>
    <w:rsid w:val="009449B8"/>
    <w:rsid w:val="00944DC9"/>
    <w:rsid w:val="009454E7"/>
    <w:rsid w:val="0094603F"/>
    <w:rsid w:val="009608DD"/>
    <w:rsid w:val="009611E0"/>
    <w:rsid w:val="00962383"/>
    <w:rsid w:val="00963120"/>
    <w:rsid w:val="00963609"/>
    <w:rsid w:val="00965FEE"/>
    <w:rsid w:val="0096643B"/>
    <w:rsid w:val="009706B5"/>
    <w:rsid w:val="009719BF"/>
    <w:rsid w:val="00972BDF"/>
    <w:rsid w:val="00973EAE"/>
    <w:rsid w:val="00973F49"/>
    <w:rsid w:val="0098182D"/>
    <w:rsid w:val="009855E2"/>
    <w:rsid w:val="00987C03"/>
    <w:rsid w:val="00992977"/>
    <w:rsid w:val="0099557F"/>
    <w:rsid w:val="00995E63"/>
    <w:rsid w:val="009A3511"/>
    <w:rsid w:val="009A686F"/>
    <w:rsid w:val="009A7912"/>
    <w:rsid w:val="009B33A8"/>
    <w:rsid w:val="009B3487"/>
    <w:rsid w:val="009B7C61"/>
    <w:rsid w:val="009C3793"/>
    <w:rsid w:val="009C62BD"/>
    <w:rsid w:val="009C6973"/>
    <w:rsid w:val="009D26AD"/>
    <w:rsid w:val="009D341C"/>
    <w:rsid w:val="009D705A"/>
    <w:rsid w:val="009D7B14"/>
    <w:rsid w:val="009E1411"/>
    <w:rsid w:val="009E19FC"/>
    <w:rsid w:val="009E52F2"/>
    <w:rsid w:val="009F3C1F"/>
    <w:rsid w:val="009F4897"/>
    <w:rsid w:val="009F614E"/>
    <w:rsid w:val="009F762B"/>
    <w:rsid w:val="009F76BA"/>
    <w:rsid w:val="009F7E09"/>
    <w:rsid w:val="00A02047"/>
    <w:rsid w:val="00A035C0"/>
    <w:rsid w:val="00A036BE"/>
    <w:rsid w:val="00A0553E"/>
    <w:rsid w:val="00A0575E"/>
    <w:rsid w:val="00A12205"/>
    <w:rsid w:val="00A139AF"/>
    <w:rsid w:val="00A16C5C"/>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6D15"/>
    <w:rsid w:val="00A67D7C"/>
    <w:rsid w:val="00A70289"/>
    <w:rsid w:val="00A72105"/>
    <w:rsid w:val="00A72465"/>
    <w:rsid w:val="00A80C92"/>
    <w:rsid w:val="00A82461"/>
    <w:rsid w:val="00A851D8"/>
    <w:rsid w:val="00A870C4"/>
    <w:rsid w:val="00A87326"/>
    <w:rsid w:val="00A930BB"/>
    <w:rsid w:val="00A953BA"/>
    <w:rsid w:val="00A96F9F"/>
    <w:rsid w:val="00AA02AB"/>
    <w:rsid w:val="00AA0848"/>
    <w:rsid w:val="00AA0AAF"/>
    <w:rsid w:val="00AA3C06"/>
    <w:rsid w:val="00AA56F6"/>
    <w:rsid w:val="00AA5D62"/>
    <w:rsid w:val="00AA7EDD"/>
    <w:rsid w:val="00AB2BF2"/>
    <w:rsid w:val="00AB3710"/>
    <w:rsid w:val="00AB4B0F"/>
    <w:rsid w:val="00AB6C3B"/>
    <w:rsid w:val="00AB7F4A"/>
    <w:rsid w:val="00AC192B"/>
    <w:rsid w:val="00AC226E"/>
    <w:rsid w:val="00AC722C"/>
    <w:rsid w:val="00AC7906"/>
    <w:rsid w:val="00AD134F"/>
    <w:rsid w:val="00AD3428"/>
    <w:rsid w:val="00AD3AA2"/>
    <w:rsid w:val="00AD4B1A"/>
    <w:rsid w:val="00AE008F"/>
    <w:rsid w:val="00AE0331"/>
    <w:rsid w:val="00AE089E"/>
    <w:rsid w:val="00AF0161"/>
    <w:rsid w:val="00AF1D63"/>
    <w:rsid w:val="00AF2A1F"/>
    <w:rsid w:val="00AF2D9B"/>
    <w:rsid w:val="00B001A8"/>
    <w:rsid w:val="00B0749B"/>
    <w:rsid w:val="00B07750"/>
    <w:rsid w:val="00B10050"/>
    <w:rsid w:val="00B10A1E"/>
    <w:rsid w:val="00B11E08"/>
    <w:rsid w:val="00B149FA"/>
    <w:rsid w:val="00B22242"/>
    <w:rsid w:val="00B2330D"/>
    <w:rsid w:val="00B32CD3"/>
    <w:rsid w:val="00B34CED"/>
    <w:rsid w:val="00B34DDC"/>
    <w:rsid w:val="00B35A93"/>
    <w:rsid w:val="00B36527"/>
    <w:rsid w:val="00B3672D"/>
    <w:rsid w:val="00B433C9"/>
    <w:rsid w:val="00B46B3D"/>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A4D1F"/>
    <w:rsid w:val="00BA7AD1"/>
    <w:rsid w:val="00BB0F89"/>
    <w:rsid w:val="00BB2250"/>
    <w:rsid w:val="00BB721B"/>
    <w:rsid w:val="00BC0FDD"/>
    <w:rsid w:val="00BC22E0"/>
    <w:rsid w:val="00BC2A46"/>
    <w:rsid w:val="00BC3FA4"/>
    <w:rsid w:val="00BC4F87"/>
    <w:rsid w:val="00BD004A"/>
    <w:rsid w:val="00BD352C"/>
    <w:rsid w:val="00BD5023"/>
    <w:rsid w:val="00BD58AB"/>
    <w:rsid w:val="00BE28ED"/>
    <w:rsid w:val="00C008B2"/>
    <w:rsid w:val="00C01F6B"/>
    <w:rsid w:val="00C04CE1"/>
    <w:rsid w:val="00C10C04"/>
    <w:rsid w:val="00C12209"/>
    <w:rsid w:val="00C20A86"/>
    <w:rsid w:val="00C24A09"/>
    <w:rsid w:val="00C25084"/>
    <w:rsid w:val="00C357BE"/>
    <w:rsid w:val="00C44BFB"/>
    <w:rsid w:val="00C468F9"/>
    <w:rsid w:val="00C56C44"/>
    <w:rsid w:val="00C61B9E"/>
    <w:rsid w:val="00C62C2B"/>
    <w:rsid w:val="00C6332C"/>
    <w:rsid w:val="00C65493"/>
    <w:rsid w:val="00C65528"/>
    <w:rsid w:val="00C71CD1"/>
    <w:rsid w:val="00C73143"/>
    <w:rsid w:val="00C77685"/>
    <w:rsid w:val="00C77815"/>
    <w:rsid w:val="00C85378"/>
    <w:rsid w:val="00C91B10"/>
    <w:rsid w:val="00C9297C"/>
    <w:rsid w:val="00C95E6D"/>
    <w:rsid w:val="00CA0EF3"/>
    <w:rsid w:val="00CA6FDA"/>
    <w:rsid w:val="00CB3B6F"/>
    <w:rsid w:val="00CC0C5F"/>
    <w:rsid w:val="00CC2F3D"/>
    <w:rsid w:val="00CC5FF3"/>
    <w:rsid w:val="00CC6072"/>
    <w:rsid w:val="00CD061B"/>
    <w:rsid w:val="00CD365B"/>
    <w:rsid w:val="00CD4BFA"/>
    <w:rsid w:val="00CE2ADF"/>
    <w:rsid w:val="00CE6269"/>
    <w:rsid w:val="00CF1C84"/>
    <w:rsid w:val="00CF1D7D"/>
    <w:rsid w:val="00CF45D3"/>
    <w:rsid w:val="00CF51F9"/>
    <w:rsid w:val="00CF6B6C"/>
    <w:rsid w:val="00CF7EA2"/>
    <w:rsid w:val="00D004E5"/>
    <w:rsid w:val="00D042BB"/>
    <w:rsid w:val="00D06CA0"/>
    <w:rsid w:val="00D115BB"/>
    <w:rsid w:val="00D11797"/>
    <w:rsid w:val="00D12C68"/>
    <w:rsid w:val="00D134FB"/>
    <w:rsid w:val="00D1705C"/>
    <w:rsid w:val="00D17789"/>
    <w:rsid w:val="00D178CD"/>
    <w:rsid w:val="00D20CD3"/>
    <w:rsid w:val="00D21565"/>
    <w:rsid w:val="00D22F7D"/>
    <w:rsid w:val="00D26110"/>
    <w:rsid w:val="00D2737E"/>
    <w:rsid w:val="00D274A9"/>
    <w:rsid w:val="00D31F63"/>
    <w:rsid w:val="00D32644"/>
    <w:rsid w:val="00D33619"/>
    <w:rsid w:val="00D42E3C"/>
    <w:rsid w:val="00D449AE"/>
    <w:rsid w:val="00D477C3"/>
    <w:rsid w:val="00D51B89"/>
    <w:rsid w:val="00D525F0"/>
    <w:rsid w:val="00D52AC7"/>
    <w:rsid w:val="00D54CA9"/>
    <w:rsid w:val="00D54D64"/>
    <w:rsid w:val="00D6340F"/>
    <w:rsid w:val="00D65047"/>
    <w:rsid w:val="00D6535E"/>
    <w:rsid w:val="00D654EC"/>
    <w:rsid w:val="00D671C0"/>
    <w:rsid w:val="00D67311"/>
    <w:rsid w:val="00D72D16"/>
    <w:rsid w:val="00D742B9"/>
    <w:rsid w:val="00D7492C"/>
    <w:rsid w:val="00D800E0"/>
    <w:rsid w:val="00D8195B"/>
    <w:rsid w:val="00D821F8"/>
    <w:rsid w:val="00D848F9"/>
    <w:rsid w:val="00D84DDC"/>
    <w:rsid w:val="00D85695"/>
    <w:rsid w:val="00D8619F"/>
    <w:rsid w:val="00D86764"/>
    <w:rsid w:val="00D90233"/>
    <w:rsid w:val="00D95985"/>
    <w:rsid w:val="00DA0DF2"/>
    <w:rsid w:val="00DA41D7"/>
    <w:rsid w:val="00DA494B"/>
    <w:rsid w:val="00DB5C0A"/>
    <w:rsid w:val="00DD13E2"/>
    <w:rsid w:val="00DD7C82"/>
    <w:rsid w:val="00DE47A1"/>
    <w:rsid w:val="00DE738A"/>
    <w:rsid w:val="00DF003C"/>
    <w:rsid w:val="00DF137F"/>
    <w:rsid w:val="00DF4501"/>
    <w:rsid w:val="00DF6971"/>
    <w:rsid w:val="00DF78AE"/>
    <w:rsid w:val="00E00E78"/>
    <w:rsid w:val="00E076C1"/>
    <w:rsid w:val="00E07D1E"/>
    <w:rsid w:val="00E11E2E"/>
    <w:rsid w:val="00E13C83"/>
    <w:rsid w:val="00E14754"/>
    <w:rsid w:val="00E15555"/>
    <w:rsid w:val="00E15B7D"/>
    <w:rsid w:val="00E20DEE"/>
    <w:rsid w:val="00E2408E"/>
    <w:rsid w:val="00E308FC"/>
    <w:rsid w:val="00E371EC"/>
    <w:rsid w:val="00E37B7B"/>
    <w:rsid w:val="00E43116"/>
    <w:rsid w:val="00E4391F"/>
    <w:rsid w:val="00E444DA"/>
    <w:rsid w:val="00E571F8"/>
    <w:rsid w:val="00E64F0A"/>
    <w:rsid w:val="00E67668"/>
    <w:rsid w:val="00E70AEE"/>
    <w:rsid w:val="00E7107E"/>
    <w:rsid w:val="00E71C93"/>
    <w:rsid w:val="00E72AE3"/>
    <w:rsid w:val="00E73B51"/>
    <w:rsid w:val="00E8151C"/>
    <w:rsid w:val="00E81E9C"/>
    <w:rsid w:val="00E84E7D"/>
    <w:rsid w:val="00E87058"/>
    <w:rsid w:val="00E936FF"/>
    <w:rsid w:val="00E939C8"/>
    <w:rsid w:val="00E93A33"/>
    <w:rsid w:val="00E93B6B"/>
    <w:rsid w:val="00E94F9D"/>
    <w:rsid w:val="00EA1F89"/>
    <w:rsid w:val="00EA393E"/>
    <w:rsid w:val="00EB117B"/>
    <w:rsid w:val="00EB2BEB"/>
    <w:rsid w:val="00EB40D6"/>
    <w:rsid w:val="00EB4222"/>
    <w:rsid w:val="00EB5F75"/>
    <w:rsid w:val="00EB79CD"/>
    <w:rsid w:val="00ED1F7E"/>
    <w:rsid w:val="00EE0F2E"/>
    <w:rsid w:val="00EE1ECC"/>
    <w:rsid w:val="00EE2610"/>
    <w:rsid w:val="00EE2A41"/>
    <w:rsid w:val="00EE354B"/>
    <w:rsid w:val="00EE3C1D"/>
    <w:rsid w:val="00EE6EC2"/>
    <w:rsid w:val="00EE7822"/>
    <w:rsid w:val="00EF09FB"/>
    <w:rsid w:val="00EF102E"/>
    <w:rsid w:val="00EF38CD"/>
    <w:rsid w:val="00F02923"/>
    <w:rsid w:val="00F0351B"/>
    <w:rsid w:val="00F06472"/>
    <w:rsid w:val="00F1099A"/>
    <w:rsid w:val="00F13254"/>
    <w:rsid w:val="00F177B1"/>
    <w:rsid w:val="00F22566"/>
    <w:rsid w:val="00F22687"/>
    <w:rsid w:val="00F226DB"/>
    <w:rsid w:val="00F22963"/>
    <w:rsid w:val="00F232C2"/>
    <w:rsid w:val="00F24599"/>
    <w:rsid w:val="00F25D94"/>
    <w:rsid w:val="00F26944"/>
    <w:rsid w:val="00F26F2C"/>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874C4"/>
    <w:rsid w:val="00F91AEE"/>
    <w:rsid w:val="00FA047C"/>
    <w:rsid w:val="00FA2545"/>
    <w:rsid w:val="00FB4AAD"/>
    <w:rsid w:val="00FB4E3D"/>
    <w:rsid w:val="00FB5F2A"/>
    <w:rsid w:val="00FB6CF8"/>
    <w:rsid w:val="00FB70AE"/>
    <w:rsid w:val="00FC0FFE"/>
    <w:rsid w:val="00FC16E9"/>
    <w:rsid w:val="00FC279C"/>
    <w:rsid w:val="00FC45DE"/>
    <w:rsid w:val="00FC48CB"/>
    <w:rsid w:val="00FC4F9B"/>
    <w:rsid w:val="00FC59F0"/>
    <w:rsid w:val="00FC79F1"/>
    <w:rsid w:val="00FD4599"/>
    <w:rsid w:val="00FD4784"/>
    <w:rsid w:val="00FD65FE"/>
    <w:rsid w:val="00FD74EB"/>
    <w:rsid w:val="00FE214F"/>
    <w:rsid w:val="00FF04F8"/>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F8418"/>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character" w:customStyle="1" w:styleId="UnresolvedMention">
    <w:name w:val="Unresolved Mention"/>
    <w:basedOn w:val="Fuentedeprrafopredeter"/>
    <w:uiPriority w:val="99"/>
    <w:semiHidden/>
    <w:unhideWhenUsed/>
    <w:rsid w:val="0026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6898298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7791767">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foem.org.mx/es/contenido/transparencia/directorio-de-sujetos-obligado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pomex.org.mx/ipo3/lgt/indice/GUBERNATURA/art_92_ii_b/1.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5D90-FA7B-4ACD-A6B4-D8570D9A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31</Pages>
  <Words>5226</Words>
  <Characters>28746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2019-11-07T00:56:00Z</cp:lastPrinted>
  <dcterms:created xsi:type="dcterms:W3CDTF">2020-03-30T19:40:00Z</dcterms:created>
  <dcterms:modified xsi:type="dcterms:W3CDTF">2020-08-17T19:07:00Z</dcterms:modified>
</cp:coreProperties>
</file>