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EC8A" w14:textId="20DBE8A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0242F">
        <w:rPr>
          <w:rFonts w:ascii="Palatino Linotype" w:eastAsia="Times New Roman" w:hAnsi="Palatino Linotype" w:cs="Arial"/>
          <w:color w:val="000000"/>
          <w:sz w:val="24"/>
          <w:szCs w:val="24"/>
          <w:lang w:eastAsia="es-MX"/>
        </w:rPr>
        <w:t xml:space="preserve">veintiocho de octubre de dos mil veinte. </w:t>
      </w:r>
    </w:p>
    <w:p w14:paraId="0790B4D6" w14:textId="09E6A3EC" w:rsidR="00A0242F" w:rsidRPr="000E6E8E"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 xml:space="preserve">04080/INFOEM/IP/RR/2020, </w:t>
      </w:r>
      <w:r>
        <w:rPr>
          <w:rFonts w:ascii="Palatino Linotype" w:hAnsi="Palatino Linotype" w:cs="Arial"/>
          <w:sz w:val="24"/>
        </w:rPr>
        <w:t xml:space="preserve">interpuesto por el </w:t>
      </w:r>
      <w:r>
        <w:rPr>
          <w:rFonts w:ascii="Palatino Linotype" w:hAnsi="Palatino Linotype" w:cs="Arial"/>
          <w:b/>
          <w:sz w:val="24"/>
        </w:rPr>
        <w:t xml:space="preserve">C. </w:t>
      </w:r>
      <w:r w:rsidR="004A1E18">
        <w:rPr>
          <w:rFonts w:ascii="Palatino Linotype" w:hAnsi="Palatino Linotype" w:cs="Arial"/>
          <w:b/>
          <w:sz w:val="24"/>
        </w:rPr>
        <w:t>XXXXXXXXXXXX</w:t>
      </w:r>
      <w:r>
        <w:rPr>
          <w:rFonts w:ascii="Palatino Linotype" w:hAnsi="Palatino Linotype" w:cs="Arial"/>
          <w:b/>
          <w:sz w:val="24"/>
        </w:rPr>
        <w:t xml:space="preserve">, </w:t>
      </w:r>
      <w:r>
        <w:rPr>
          <w:rFonts w:ascii="Palatino Linotype" w:hAnsi="Palatino Linotype" w:cs="Arial"/>
          <w:bCs/>
          <w:sz w:val="24"/>
        </w:rPr>
        <w:t xml:space="preserve">en lo sucesivo </w:t>
      </w:r>
      <w:r>
        <w:rPr>
          <w:rFonts w:ascii="Palatino Linotype" w:hAnsi="Palatino Linotype" w:cs="Arial"/>
          <w:b/>
          <w:sz w:val="24"/>
        </w:rPr>
        <w:t xml:space="preserve">El Recurrente, </w:t>
      </w:r>
      <w:r>
        <w:rPr>
          <w:rFonts w:ascii="Palatino Linotype" w:hAnsi="Palatino Linotype" w:cs="Arial"/>
          <w:bCs/>
          <w:sz w:val="24"/>
        </w:rPr>
        <w:t>en contra de la</w:t>
      </w:r>
      <w:r w:rsidR="00B9640A">
        <w:rPr>
          <w:rFonts w:ascii="Palatino Linotype" w:hAnsi="Palatino Linotype" w:cs="Arial"/>
          <w:bCs/>
          <w:sz w:val="24"/>
        </w:rPr>
        <w:t xml:space="preserve"> falta de</w:t>
      </w:r>
      <w:r>
        <w:rPr>
          <w:rFonts w:ascii="Palatino Linotype" w:hAnsi="Palatino Linotype" w:cs="Arial"/>
          <w:bCs/>
          <w:sz w:val="24"/>
        </w:rPr>
        <w:t xml:space="preserve"> respuesta del </w:t>
      </w:r>
      <w:r>
        <w:rPr>
          <w:rFonts w:ascii="Palatino Linotype" w:hAnsi="Palatino Linotype" w:cs="Arial"/>
          <w:b/>
          <w:sz w:val="24"/>
        </w:rPr>
        <w:t xml:space="preserve">Ayuntamiento de Calimaya, </w:t>
      </w:r>
      <w:r>
        <w:rPr>
          <w:rFonts w:ascii="Palatino Linotype" w:hAnsi="Palatino Linotype" w:cs="Arial"/>
          <w:bCs/>
          <w:sz w:val="24"/>
        </w:rPr>
        <w:t xml:space="preserve">en lo sucesivo </w:t>
      </w:r>
      <w:r>
        <w:rPr>
          <w:rFonts w:ascii="Palatino Linotype" w:hAnsi="Palatino Linotype" w:cs="Arial"/>
          <w:b/>
          <w:sz w:val="24"/>
        </w:rPr>
        <w:t xml:space="preserve">El Sujeto Obligado, </w:t>
      </w:r>
      <w:r>
        <w:rPr>
          <w:rFonts w:ascii="Palatino Linotype" w:hAnsi="Palatino Linotype" w:cs="Arial"/>
          <w:sz w:val="24"/>
        </w:rPr>
        <w:t xml:space="preserve">se procede a dictar la presente resolución. </w:t>
      </w:r>
    </w:p>
    <w:p w14:paraId="1AF50879" w14:textId="77777777" w:rsidR="00643161" w:rsidRDefault="00643161" w:rsidP="00844569">
      <w:pPr>
        <w:tabs>
          <w:tab w:val="left" w:pos="1701"/>
        </w:tabs>
        <w:spacing w:before="240" w:line="360" w:lineRule="auto"/>
        <w:jc w:val="both"/>
        <w:rPr>
          <w:rFonts w:ascii="Palatino Linotype" w:hAnsi="Palatino Linotype" w:cs="Arial"/>
          <w:b/>
          <w:sz w:val="24"/>
          <w:szCs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BD3FBFA" w14:textId="541B658E" w:rsidR="00A0242F" w:rsidRDefault="008E7DB4" w:rsidP="008E7DB4">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0242F">
        <w:rPr>
          <w:rFonts w:ascii="Palatino Linotype" w:hAnsi="Palatino Linotype" w:cs="Arial"/>
          <w:sz w:val="24"/>
        </w:rPr>
        <w:t xml:space="preserve">tres de septiembre de dos mil veinte, </w:t>
      </w:r>
      <w:r w:rsidR="00A0242F">
        <w:rPr>
          <w:rFonts w:ascii="Palatino Linotype" w:hAnsi="Palatino Linotype" w:cs="Arial"/>
          <w:b/>
          <w:bCs/>
          <w:sz w:val="24"/>
        </w:rPr>
        <w:t xml:space="preserve">El Recurrente, </w:t>
      </w:r>
      <w:r w:rsidR="00A0242F">
        <w:rPr>
          <w:rFonts w:ascii="Palatino Linotype" w:hAnsi="Palatino Linotype" w:cs="Arial"/>
          <w:sz w:val="24"/>
        </w:rPr>
        <w:t>presentó a través del Sistema de Acceso de Información Mexiquense (</w:t>
      </w:r>
      <w:r w:rsidR="00A0242F">
        <w:rPr>
          <w:rFonts w:ascii="Palatino Linotype" w:hAnsi="Palatino Linotype" w:cs="Arial"/>
          <w:b/>
          <w:sz w:val="24"/>
        </w:rPr>
        <w:t>SAIMEX)</w:t>
      </w:r>
      <w:r w:rsidR="00A0242F">
        <w:rPr>
          <w:rFonts w:ascii="Palatino Linotype" w:hAnsi="Palatino Linotype" w:cs="Arial"/>
          <w:sz w:val="24"/>
        </w:rPr>
        <w:t xml:space="preserve"> ante </w:t>
      </w:r>
      <w:r w:rsidR="00A0242F">
        <w:rPr>
          <w:rFonts w:ascii="Palatino Linotype" w:hAnsi="Palatino Linotype" w:cs="Arial"/>
          <w:b/>
          <w:sz w:val="24"/>
        </w:rPr>
        <w:t>El Sujeto Obligado</w:t>
      </w:r>
      <w:r w:rsidR="00A0242F">
        <w:rPr>
          <w:rFonts w:ascii="Palatino Linotype" w:hAnsi="Palatino Linotype" w:cs="Arial"/>
          <w:sz w:val="24"/>
        </w:rPr>
        <w:t xml:space="preserve">, solicitud de acceso a la información pública, registrada bajo el número de expediente </w:t>
      </w:r>
      <w:r w:rsidR="00A0242F">
        <w:rPr>
          <w:rFonts w:ascii="Palatino Linotype" w:hAnsi="Palatino Linotype" w:cs="Arial"/>
          <w:b/>
          <w:bCs/>
          <w:sz w:val="24"/>
        </w:rPr>
        <w:t xml:space="preserve">00090/CALIMAYA/IP/2020, </w:t>
      </w:r>
      <w:r w:rsidR="00A0242F">
        <w:rPr>
          <w:rFonts w:ascii="Palatino Linotype" w:hAnsi="Palatino Linotype" w:cs="Arial"/>
          <w:sz w:val="24"/>
        </w:rPr>
        <w:t xml:space="preserve">mediante la cual solicitó información en el tenor siguiente: </w:t>
      </w:r>
    </w:p>
    <w:p w14:paraId="69DAAA95" w14:textId="1B288121" w:rsidR="00A0242F" w:rsidRPr="00A0242F" w:rsidRDefault="00A0242F" w:rsidP="00A0242F">
      <w:pPr>
        <w:pStyle w:val="infoemcitas"/>
        <w:rPr>
          <w:b/>
          <w:bCs/>
        </w:rPr>
      </w:pPr>
      <w:r w:rsidRPr="00A0242F">
        <w:t xml:space="preserve">“Solicito se me proporcione de manera pormenorizada el procedimiento o procedimientos que exista o existió en contra de los CC. </w:t>
      </w:r>
      <w:proofErr w:type="spellStart"/>
      <w:r w:rsidRPr="00A0242F">
        <w:t>Jose</w:t>
      </w:r>
      <w:proofErr w:type="spellEnd"/>
      <w:r w:rsidRPr="00A0242F">
        <w:t xml:space="preserve"> Juan </w:t>
      </w:r>
      <w:proofErr w:type="spellStart"/>
      <w:r w:rsidRPr="00A0242F">
        <w:t>Mondragon</w:t>
      </w:r>
      <w:proofErr w:type="spellEnd"/>
      <w:r w:rsidRPr="00A0242F">
        <w:t xml:space="preserve"> </w:t>
      </w:r>
      <w:proofErr w:type="spellStart"/>
      <w:r w:rsidRPr="00A0242F">
        <w:t>Valdes,Bernardo</w:t>
      </w:r>
      <w:proofErr w:type="spellEnd"/>
      <w:r w:rsidRPr="00A0242F">
        <w:t xml:space="preserve"> Delgado Carreño, Guillermina </w:t>
      </w:r>
      <w:proofErr w:type="spellStart"/>
      <w:r w:rsidRPr="00A0242F">
        <w:t>Velazquez</w:t>
      </w:r>
      <w:proofErr w:type="spellEnd"/>
      <w:r w:rsidRPr="00A0242F">
        <w:t xml:space="preserve"> Piña, estos procedimientos pudieron haber sido iniciados por el H. Ayuntamiento de Calimaya, el OSFEM o cualquier otra autoridad de los diferentes tipos de gobierno que existen, de la misma manera requiero la información que se refiere a la sanción, multa y/o </w:t>
      </w:r>
      <w:r w:rsidRPr="00A0242F">
        <w:lastRenderedPageBreak/>
        <w:t xml:space="preserve">sanción resarcitoria impuesta por el OSFEM, el Ayuntamiento de Calimaya o cualquier otra autoridad de los diferentes tipos de gobierno que existen a los </w:t>
      </w:r>
      <w:proofErr w:type="spellStart"/>
      <w:r w:rsidRPr="00A0242F">
        <w:t>CC.Bernardo</w:t>
      </w:r>
      <w:proofErr w:type="spellEnd"/>
      <w:r w:rsidRPr="00A0242F">
        <w:t xml:space="preserve"> Delgado Carreño, Guillermina </w:t>
      </w:r>
      <w:proofErr w:type="spellStart"/>
      <w:r w:rsidRPr="00A0242F">
        <w:t>Velazquez</w:t>
      </w:r>
      <w:proofErr w:type="spellEnd"/>
      <w:r w:rsidRPr="00A0242F">
        <w:t xml:space="preserve"> Piña, </w:t>
      </w:r>
      <w:proofErr w:type="spellStart"/>
      <w:r w:rsidRPr="00A0242F">
        <w:t>Jose</w:t>
      </w:r>
      <w:proofErr w:type="spellEnd"/>
      <w:r w:rsidRPr="00A0242F">
        <w:t xml:space="preserve"> Juan </w:t>
      </w:r>
      <w:proofErr w:type="spellStart"/>
      <w:r w:rsidRPr="00A0242F">
        <w:t>Mondragon</w:t>
      </w:r>
      <w:proofErr w:type="spellEnd"/>
      <w:r w:rsidRPr="00A0242F">
        <w:t xml:space="preserve"> </w:t>
      </w:r>
      <w:proofErr w:type="spellStart"/>
      <w:r w:rsidRPr="00A0242F">
        <w:t>Valdes</w:t>
      </w:r>
      <w:proofErr w:type="spellEnd"/>
      <w:r w:rsidRPr="00A0242F">
        <w:t xml:space="preserve"> y el estatus en que se encuentran las mismas. Los procedimientos pudieron ser de manera conjunta o separada para cada uno de los mencionados.” </w:t>
      </w:r>
      <w:r w:rsidRPr="00A0242F">
        <w:rPr>
          <w:b/>
          <w:bCs/>
        </w:rPr>
        <w:t>[Sic]</w:t>
      </w:r>
    </w:p>
    <w:p w14:paraId="2CCA8DAF" w14:textId="46F91A6B" w:rsidR="008E7DB4"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Pr>
          <w:rFonts w:ascii="Palatino Linotype" w:eastAsia="Times New Roman" w:hAnsi="Palatino Linotype" w:cs="Times New Roman"/>
          <w:sz w:val="24"/>
          <w:szCs w:val="24"/>
          <w:lang w:val="es-ES_tradnl" w:eastAsia="es-ES"/>
        </w:rPr>
        <w:t xml:space="preserve">. </w:t>
      </w:r>
    </w:p>
    <w:p w14:paraId="71AA2EF7" w14:textId="77777777" w:rsidR="008E7DB4" w:rsidRPr="00523CF0"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p>
    <w:p w14:paraId="28D8A302" w14:textId="77777777"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9F23F26" w14:textId="5F1580AC" w:rsidR="008E7DB4" w:rsidRDefault="008E7DB4" w:rsidP="008E7DB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68E7ACE1" w14:textId="55EDBC8A" w:rsidR="008E7DB4" w:rsidRDefault="00A0242F" w:rsidP="008E7DB4">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13536" behindDoc="0" locked="0" layoutInCell="1" allowOverlap="1" wp14:anchorId="1C66D6E6" wp14:editId="05B15B61">
                <wp:simplePos x="0" y="0"/>
                <wp:positionH relativeFrom="column">
                  <wp:posOffset>-203057</wp:posOffset>
                </wp:positionH>
                <wp:positionV relativeFrom="paragraph">
                  <wp:posOffset>97284</wp:posOffset>
                </wp:positionV>
                <wp:extent cx="5915608" cy="2425959"/>
                <wp:effectExtent l="0" t="0" r="28575" b="31750"/>
                <wp:wrapNone/>
                <wp:docPr id="2" name="Conector recto 2"/>
                <wp:cNvGraphicFramePr/>
                <a:graphic xmlns:a="http://schemas.openxmlformats.org/drawingml/2006/main">
                  <a:graphicData uri="http://schemas.microsoft.com/office/word/2010/wordprocessingShape">
                    <wps:wsp>
                      <wps:cNvCnPr/>
                      <wps:spPr>
                        <a:xfrm>
                          <a:off x="0" y="0"/>
                          <a:ext cx="5915608" cy="24259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B6B3E" id="Conector recto 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6pt,7.65pt" to="449.8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" strokecolor="#5b9bd5 [3204]" strokeweight=".5pt">
                <v:stroke joinstyle="miter"/>
              </v:line>
            </w:pict>
          </mc:Fallback>
        </mc:AlternateContent>
      </w:r>
    </w:p>
    <w:p w14:paraId="742DC32E" w14:textId="77777777" w:rsidR="00EF2ECF" w:rsidRDefault="00EF2ECF" w:rsidP="008E7DB4">
      <w:pPr>
        <w:spacing w:before="240" w:line="360" w:lineRule="auto"/>
        <w:jc w:val="both"/>
        <w:rPr>
          <w:rFonts w:ascii="Palatino Linotype" w:hAnsi="Palatino Linotype" w:cs="Arial"/>
          <w:b/>
          <w:sz w:val="28"/>
        </w:rPr>
      </w:pPr>
    </w:p>
    <w:p w14:paraId="62AB373D" w14:textId="77777777" w:rsidR="00EF2ECF" w:rsidRDefault="00EF2ECF" w:rsidP="008E7DB4">
      <w:pPr>
        <w:spacing w:before="240" w:line="360" w:lineRule="auto"/>
        <w:jc w:val="both"/>
        <w:rPr>
          <w:rFonts w:ascii="Palatino Linotype" w:hAnsi="Palatino Linotype" w:cs="Arial"/>
          <w:b/>
          <w:sz w:val="28"/>
        </w:rPr>
      </w:pPr>
    </w:p>
    <w:p w14:paraId="22453E74" w14:textId="77777777" w:rsidR="00EF2ECF" w:rsidRDefault="00EF2ECF" w:rsidP="008E7DB4">
      <w:pPr>
        <w:spacing w:before="240" w:line="360" w:lineRule="auto"/>
        <w:jc w:val="both"/>
        <w:rPr>
          <w:rFonts w:ascii="Palatino Linotype" w:hAnsi="Palatino Linotype" w:cs="Arial"/>
          <w:b/>
          <w:sz w:val="28"/>
        </w:rPr>
      </w:pPr>
    </w:p>
    <w:p w14:paraId="38A987A9" w14:textId="77777777" w:rsidR="00EF2ECF" w:rsidRDefault="00EF2ECF" w:rsidP="008E7DB4">
      <w:pPr>
        <w:spacing w:before="240" w:line="360" w:lineRule="auto"/>
        <w:jc w:val="both"/>
        <w:rPr>
          <w:rFonts w:ascii="Palatino Linotype" w:hAnsi="Palatino Linotype" w:cs="Arial"/>
          <w:b/>
          <w:sz w:val="28"/>
        </w:rPr>
      </w:pPr>
    </w:p>
    <w:p w14:paraId="01E3C1E9" w14:textId="4E7D70A0" w:rsidR="00EF2ECF" w:rsidRDefault="00DC4BD4" w:rsidP="008E7DB4">
      <w:pPr>
        <w:spacing w:before="240" w:line="360" w:lineRule="auto"/>
        <w:jc w:val="both"/>
        <w:rPr>
          <w:rFonts w:ascii="Palatino Linotype" w:hAnsi="Palatino Linotype" w:cs="Arial"/>
          <w:b/>
          <w:sz w:val="28"/>
        </w:rPr>
      </w:pPr>
      <w:r>
        <w:rPr>
          <w:rFonts w:ascii="Palatino Linotype" w:hAnsi="Palatino Linotype" w:cs="Arial"/>
          <w:b/>
          <w:noProof/>
          <w:sz w:val="28"/>
        </w:rPr>
        <w:lastRenderedPageBreak/>
        <w:drawing>
          <wp:anchor distT="0" distB="0" distL="114300" distR="114300" simplePos="0" relativeHeight="251674612" behindDoc="0" locked="0" layoutInCell="1" allowOverlap="1" wp14:anchorId="1B2484C2" wp14:editId="6EE06EF4">
            <wp:simplePos x="0" y="0"/>
            <wp:positionH relativeFrom="page">
              <wp:align>center</wp:align>
            </wp:positionH>
            <wp:positionV relativeFrom="paragraph">
              <wp:posOffset>38877</wp:posOffset>
            </wp:positionV>
            <wp:extent cx="5644515" cy="3284855"/>
            <wp:effectExtent l="0" t="0" r="0" b="0"/>
            <wp:wrapThrough wrapText="bothSides">
              <wp:wrapPolygon edited="0">
                <wp:start x="0" y="0"/>
                <wp:lineTo x="0" y="21420"/>
                <wp:lineTo x="21505" y="21420"/>
                <wp:lineTo x="2150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971" cy="32891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1D04A83B" w14:textId="0F363990" w:rsidR="00EF2ECF" w:rsidRDefault="008E7DB4" w:rsidP="008E7DB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F2ECF">
        <w:rPr>
          <w:rFonts w:ascii="Palatino Linotype" w:hAnsi="Palatino Linotype" w:cs="Arial"/>
          <w:sz w:val="24"/>
          <w:szCs w:val="24"/>
        </w:rPr>
        <w:t xml:space="preserve"> veintiocho de septiembre del año en curso, el cual fue registrado con el expediente número </w:t>
      </w:r>
      <w:r w:rsidR="00EF2ECF">
        <w:rPr>
          <w:rFonts w:ascii="Palatino Linotype" w:hAnsi="Palatino Linotype" w:cs="Arial"/>
          <w:b/>
          <w:bCs/>
          <w:sz w:val="24"/>
          <w:szCs w:val="24"/>
        </w:rPr>
        <w:t xml:space="preserve">04080/INFOEM/IP/RR/2020, </w:t>
      </w:r>
      <w:r w:rsidR="00EF2ECF">
        <w:rPr>
          <w:rFonts w:ascii="Palatino Linotype" w:hAnsi="Palatino Linotype" w:cs="Arial"/>
          <w:sz w:val="24"/>
          <w:szCs w:val="24"/>
        </w:rPr>
        <w:t xml:space="preserve">en el cual arguye las siguientes manifestaciones: </w:t>
      </w:r>
    </w:p>
    <w:p w14:paraId="106E64ED" w14:textId="77777777" w:rsidR="00EF2ECF" w:rsidRPr="00053099" w:rsidRDefault="00EF2ECF" w:rsidP="00EF2ECF">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014EF3C3" w14:textId="2E740584" w:rsidR="00EF2ECF" w:rsidRPr="00EF2ECF" w:rsidRDefault="00EF2ECF" w:rsidP="00EF2ECF">
      <w:pPr>
        <w:pStyle w:val="infoemcitas"/>
        <w:rPr>
          <w:rFonts w:cs="Arial"/>
          <w:b/>
          <w:bCs/>
          <w:sz w:val="24"/>
          <w:szCs w:val="24"/>
        </w:rPr>
      </w:pPr>
      <w:r>
        <w:t xml:space="preserve">“La falta de respuesta de la Información Solicitada, cuya fecha </w:t>
      </w:r>
      <w:proofErr w:type="spellStart"/>
      <w:r>
        <w:t>limite</w:t>
      </w:r>
      <w:proofErr w:type="spellEnd"/>
      <w:r>
        <w:t xml:space="preserve"> para su entregar era el 25 de septiembre de 2020” </w:t>
      </w:r>
      <w:r>
        <w:rPr>
          <w:b/>
          <w:bCs/>
        </w:rPr>
        <w:t>[Sic]</w:t>
      </w:r>
    </w:p>
    <w:p w14:paraId="35A1C125" w14:textId="77777777" w:rsidR="00EF2ECF" w:rsidRDefault="00EF2ECF" w:rsidP="008E7DB4">
      <w:pPr>
        <w:spacing w:before="240" w:line="360" w:lineRule="auto"/>
        <w:jc w:val="both"/>
        <w:rPr>
          <w:rFonts w:ascii="Palatino Linotype" w:hAnsi="Palatino Linotype" w:cs="Arial"/>
          <w:sz w:val="24"/>
          <w:szCs w:val="24"/>
        </w:rPr>
      </w:pPr>
    </w:p>
    <w:p w14:paraId="42F631E4" w14:textId="77777777" w:rsidR="008E7DB4" w:rsidRPr="00053099" w:rsidRDefault="008E7DB4" w:rsidP="008E7DB4">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79E4C59A" w14:textId="26EA5F54" w:rsidR="008E7DB4" w:rsidRPr="008E7DB4" w:rsidRDefault="008E7DB4" w:rsidP="00EF2ECF">
      <w:pPr>
        <w:pStyle w:val="infoemcitas"/>
        <w:rPr>
          <w:rFonts w:cs="Arial"/>
        </w:rPr>
      </w:pPr>
      <w:r w:rsidRPr="008E7DB4">
        <w:rPr>
          <w:rFonts w:cs="Arial"/>
        </w:rPr>
        <w:t>“</w:t>
      </w:r>
      <w:r w:rsidR="00EF2ECF">
        <w:t>El sujeto obligado no entrego la información solicitada</w:t>
      </w:r>
      <w:r w:rsidRPr="008E7DB4">
        <w:rPr>
          <w:rFonts w:eastAsia="Times New Roman" w:cs="Times New Roman"/>
          <w:lang w:eastAsia="es-MX"/>
        </w:rPr>
        <w:t xml:space="preserve">” </w:t>
      </w:r>
      <w:r w:rsidRPr="008E7DB4">
        <w:rPr>
          <w:rFonts w:cs="Arial"/>
          <w:b/>
        </w:rPr>
        <w:t>[Sic]</w:t>
      </w:r>
    </w:p>
    <w:p w14:paraId="587D939D" w14:textId="77777777" w:rsidR="008E7DB4" w:rsidRDefault="008E7DB4" w:rsidP="008E7DB4">
      <w:pPr>
        <w:spacing w:before="240" w:line="360" w:lineRule="auto"/>
        <w:jc w:val="both"/>
        <w:rPr>
          <w:rFonts w:ascii="Palatino Linotype" w:hAnsi="Palatino Linotype" w:cs="Arial"/>
          <w:b/>
          <w:bCs/>
          <w:sz w:val="24"/>
          <w:szCs w:val="24"/>
          <w:lang w:eastAsia="es-MX"/>
        </w:rPr>
      </w:pPr>
    </w:p>
    <w:p w14:paraId="6494D2D0" w14:textId="77777777"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C685B2A" w14:textId="3FDF5385" w:rsidR="008E7DB4"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F2ECF">
        <w:rPr>
          <w:rFonts w:ascii="Palatino Linotype" w:hAnsi="Palatino Linotype" w:cs="Arial"/>
          <w:sz w:val="24"/>
          <w:szCs w:val="24"/>
        </w:rPr>
        <w:t>dos de octubre</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0A7E3FCA" w14:textId="77777777" w:rsidR="008E7DB4" w:rsidRDefault="008E7DB4" w:rsidP="008E7DB4">
      <w:pPr>
        <w:spacing w:before="240" w:line="360" w:lineRule="auto"/>
        <w:jc w:val="both"/>
        <w:rPr>
          <w:rFonts w:ascii="Palatino Linotype" w:hAnsi="Palatino Linotype" w:cs="Arial"/>
          <w:sz w:val="24"/>
          <w:szCs w:val="24"/>
        </w:rPr>
      </w:pPr>
    </w:p>
    <w:p w14:paraId="2861E095" w14:textId="77777777" w:rsidR="008E7DB4" w:rsidRDefault="008E7DB4" w:rsidP="008E7DB4">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DF17072" w14:textId="77777777" w:rsidR="008E7DB4" w:rsidRDefault="008E7DB4" w:rsidP="008E7DB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273A7B8" w14:textId="47482BCB" w:rsidR="008E7DB4" w:rsidRPr="00C12209"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EF2ECF">
        <w:rPr>
          <w:rFonts w:ascii="Palatino Linotype" w:hAnsi="Palatino Linotype" w:cs="Arial"/>
          <w:b/>
          <w:sz w:val="24"/>
          <w:szCs w:val="24"/>
        </w:rPr>
        <w:t>quince de octubre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36C4E9AE"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E74E9">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40C281A" w14:textId="77777777" w:rsidR="00AE74E9" w:rsidRPr="006010FE" w:rsidRDefault="00AE74E9" w:rsidP="00AE74E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w:t>
      </w:r>
      <w:r w:rsidRPr="006E4CCA">
        <w:rPr>
          <w:rFonts w:ascii="Palatino Linotype" w:eastAsia="Times New Roman" w:hAnsi="Palatino Linotype" w:cs="Times New Roman"/>
          <w:b/>
          <w:sz w:val="24"/>
          <w:szCs w:val="24"/>
          <w:lang w:eastAsia="es-ES"/>
        </w:rPr>
        <w:t>El Sujeto Obligado</w:t>
      </w:r>
      <w:r w:rsidRPr="006010F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6E4CCA">
        <w:rPr>
          <w:rFonts w:ascii="Palatino Linotype" w:eastAsia="Times New Roman" w:hAnsi="Palatino Linotype" w:cs="Times New Roman"/>
          <w:b/>
          <w:sz w:val="24"/>
          <w:szCs w:val="24"/>
          <w:lang w:eastAsia="es-ES"/>
        </w:rPr>
        <w:t>Recurrente</w:t>
      </w:r>
      <w:r w:rsidRPr="006010FE">
        <w:rPr>
          <w:rFonts w:ascii="Palatino Linotype" w:eastAsia="Times New Roman" w:hAnsi="Palatino Linotype" w:cs="Times New Roman"/>
          <w:sz w:val="24"/>
          <w:szCs w:val="24"/>
          <w:lang w:eastAsia="es-ES"/>
        </w:rPr>
        <w:t xml:space="preserve"> interponiendo dicho medio de impugnación, el cual tiene como motivo de inconformidad la omisión de la autoridad en dar respuesta a su solicitud, en consecuencia se </w:t>
      </w:r>
      <w:r>
        <w:rPr>
          <w:rFonts w:ascii="Palatino Linotype" w:eastAsia="Times New Roman" w:hAnsi="Palatino Linotype" w:cs="Times New Roman"/>
          <w:sz w:val="24"/>
          <w:szCs w:val="24"/>
          <w:lang w:eastAsia="es-ES"/>
        </w:rPr>
        <w:t>actualizan</w:t>
      </w:r>
      <w:r w:rsidRPr="006010FE">
        <w:rPr>
          <w:rFonts w:ascii="Palatino Linotype" w:eastAsia="Times New Roman" w:hAnsi="Palatino Linotype" w:cs="Times New Roman"/>
          <w:sz w:val="24"/>
          <w:szCs w:val="24"/>
          <w:lang w:eastAsia="es-ES"/>
        </w:rPr>
        <w:t xml:space="preserv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w:t>
      </w:r>
      <w:r w:rsidRPr="006010FE">
        <w:rPr>
          <w:rFonts w:ascii="Palatino Linotype" w:eastAsia="Calibri" w:hAnsi="Palatino Linotype" w:cs="Times New Roman"/>
          <w:sz w:val="24"/>
          <w:szCs w:val="24"/>
          <w:lang w:eastAsia="es-ES"/>
        </w:rPr>
        <w:lastRenderedPageBreak/>
        <w:t>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DDA99AE" w14:textId="38EA26D3" w:rsidR="00C3768A" w:rsidRPr="00653D2A" w:rsidRDefault="00AE74E9" w:rsidP="00E5481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lang w:val="es-MX"/>
        </w:rPr>
        <w:t xml:space="preserve">Ahora bien, en una aproximación inicial, </w:t>
      </w:r>
      <w:r w:rsidR="00EF2ECF">
        <w:rPr>
          <w:rFonts w:ascii="Palatino Linotype" w:hAnsi="Palatino Linotype" w:cs="Arial"/>
          <w:lang w:val="es-MX"/>
        </w:rPr>
        <w:t xml:space="preserve">resulta oportuno mencionar que mediante la solicitud de información </w:t>
      </w:r>
      <w:r w:rsidR="00EF2ECF">
        <w:rPr>
          <w:rFonts w:ascii="Palatino Linotype" w:hAnsi="Palatino Linotype" w:cs="Arial"/>
          <w:b/>
          <w:bCs/>
          <w:lang w:val="es-MX"/>
        </w:rPr>
        <w:t xml:space="preserve">00090/CALIMAYA/IP/2020 </w:t>
      </w:r>
      <w:r w:rsidR="00EF2ECF">
        <w:rPr>
          <w:rFonts w:ascii="Palatino Linotype" w:hAnsi="Palatino Linotype" w:cs="Arial"/>
          <w:lang w:val="es-MX"/>
        </w:rPr>
        <w:t xml:space="preserve">el particular fue omiso en señalar elemento temporal, mismo que debe de ser concebido al tres de septiembre de dos mil veinte, al corresponder a la fecha en que se ejerció el derecho de acceso a la información pública, </w:t>
      </w:r>
      <w:r w:rsidR="0085598F">
        <w:rPr>
          <w:rFonts w:ascii="Palatino Linotype" w:hAnsi="Palatino Linotype" w:cs="Arial"/>
          <w:lang w:val="es-MX"/>
        </w:rPr>
        <w:t xml:space="preserve">dicha precisión </w:t>
      </w:r>
      <w:r w:rsidR="00812C93">
        <w:rPr>
          <w:rFonts w:ascii="Palatino Linotype" w:hAnsi="Palatino Linotype" w:cs="Arial"/>
          <w:lang w:val="es-MX"/>
        </w:rPr>
        <w:t>con fundamento</w:t>
      </w:r>
      <w:r w:rsidR="00E54816">
        <w:rPr>
          <w:rFonts w:ascii="Palatino Linotype" w:hAnsi="Palatino Linotype" w:cs="Arial"/>
        </w:rPr>
        <w:t xml:space="preserve"> en los artículos </w:t>
      </w:r>
      <w:r w:rsidR="00C3768A" w:rsidRPr="00653D2A">
        <w:rPr>
          <w:rFonts w:ascii="Palatino Linotype" w:hAnsi="Palatino Linotype"/>
        </w:rPr>
        <w:t xml:space="preserve">13 y 181 cuarto párrafo de la Ley en materia, los cuales a la letra rezan: </w:t>
      </w:r>
    </w:p>
    <w:p w14:paraId="66466A5F" w14:textId="77777777" w:rsidR="00C3768A" w:rsidRPr="009878C2" w:rsidRDefault="00C3768A" w:rsidP="00C3768A">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66BA743" w14:textId="77777777" w:rsidR="00C3768A" w:rsidRPr="009878C2" w:rsidRDefault="00C3768A" w:rsidP="00C3768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5AFC8CA1" w14:textId="77777777" w:rsidR="00C3768A" w:rsidRPr="009878C2" w:rsidRDefault="00C3768A" w:rsidP="00C3768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5ABEDC8" w14:textId="77777777" w:rsidR="00C3768A" w:rsidRDefault="00C3768A" w:rsidP="00C3768A">
      <w:pPr>
        <w:tabs>
          <w:tab w:val="left" w:pos="709"/>
        </w:tabs>
        <w:spacing w:before="240" w:line="360" w:lineRule="auto"/>
        <w:ind w:right="51"/>
        <w:jc w:val="both"/>
        <w:rPr>
          <w:rFonts w:ascii="Palatino Linotype" w:hAnsi="Palatino Linotype"/>
          <w:sz w:val="24"/>
          <w:szCs w:val="24"/>
        </w:rPr>
      </w:pPr>
    </w:p>
    <w:p w14:paraId="37574B13" w14:textId="7188833C"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e información podemos identificar que </w:t>
      </w:r>
      <w:r w:rsidR="00DE44AB">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lo siguiente: </w:t>
      </w:r>
    </w:p>
    <w:p w14:paraId="1D1F9AFF" w14:textId="163AFAEA" w:rsidR="0085598F" w:rsidRDefault="0085598F" w:rsidP="00AD1553">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b/>
          <w:bCs/>
        </w:rPr>
        <w:t xml:space="preserve">De los C. José Juan Mondragón Valdés, Bernardo Delgado Carreño y Guillermina Velázquez Piña: </w:t>
      </w:r>
    </w:p>
    <w:p w14:paraId="0E56E9BA" w14:textId="77777777" w:rsidR="0085598F" w:rsidRPr="0085598F" w:rsidRDefault="0085598F" w:rsidP="0071182B">
      <w:pPr>
        <w:pStyle w:val="Prrafodelista"/>
        <w:numPr>
          <w:ilvl w:val="0"/>
          <w:numId w:val="1"/>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lastRenderedPageBreak/>
        <w:t xml:space="preserve">El o los documentos en donde conste el procedimiento instaurado en su contra por el Ayuntamiento de Calimaya, el Órgano Superior de Fiscalización del Estado de México o autoridad competente, actualizado al tres de septiembre de dos mil veinte. </w:t>
      </w:r>
    </w:p>
    <w:p w14:paraId="4F177608" w14:textId="77777777" w:rsidR="0085598F" w:rsidRPr="0085598F" w:rsidRDefault="0085598F" w:rsidP="0071182B">
      <w:pPr>
        <w:pStyle w:val="Prrafodelista"/>
        <w:numPr>
          <w:ilvl w:val="0"/>
          <w:numId w:val="1"/>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t xml:space="preserve">El o los documentos donde conste la imposición de sanción, multa o sanción resarcitoria impuesta en su contra por el Ayuntamiento de Calimaya, el Órgano Superior de Fiscalización del Estado de México o autoridad competente, actualizado al tres de septiembre de dos mil veinte. </w:t>
      </w:r>
    </w:p>
    <w:p w14:paraId="6FB891E9" w14:textId="086FDACC" w:rsidR="0085598F" w:rsidRPr="0085598F" w:rsidRDefault="0085598F" w:rsidP="0071182B">
      <w:pPr>
        <w:pStyle w:val="Prrafodelista"/>
        <w:numPr>
          <w:ilvl w:val="0"/>
          <w:numId w:val="1"/>
        </w:numPr>
        <w:autoSpaceDE w:val="0"/>
        <w:autoSpaceDN w:val="0"/>
        <w:adjustRightInd w:val="0"/>
        <w:spacing w:before="240" w:after="160" w:line="360" w:lineRule="auto"/>
        <w:jc w:val="both"/>
        <w:rPr>
          <w:rFonts w:ascii="Palatino Linotype" w:hAnsi="Palatino Linotype" w:cs="Arial"/>
          <w:b/>
          <w:bCs/>
        </w:rPr>
      </w:pPr>
      <w:r>
        <w:rPr>
          <w:rFonts w:ascii="Palatino Linotype" w:hAnsi="Palatino Linotype" w:cs="Arial"/>
        </w:rPr>
        <w:t xml:space="preserve">El o los documentos en donde conste el estatus del procedimiento instaurado en su contra por </w:t>
      </w:r>
      <w:proofErr w:type="gramStart"/>
      <w:r>
        <w:rPr>
          <w:rFonts w:ascii="Palatino Linotype" w:hAnsi="Palatino Linotype" w:cs="Arial"/>
        </w:rPr>
        <w:t>el  Ayuntamiento</w:t>
      </w:r>
      <w:proofErr w:type="gramEnd"/>
      <w:r>
        <w:rPr>
          <w:rFonts w:ascii="Palatino Linotype" w:hAnsi="Palatino Linotype" w:cs="Arial"/>
        </w:rPr>
        <w:t xml:space="preserve"> de Calimaya, el Órgano Superior de Fiscalización del Estado de México o autoridad competente, actualizado al tres de septiembre de dos mil veinte.</w:t>
      </w:r>
    </w:p>
    <w:p w14:paraId="2ADE91DA" w14:textId="77777777" w:rsidR="009C5E96" w:rsidRDefault="009C5E96" w:rsidP="009C5E96">
      <w:pPr>
        <w:autoSpaceDE w:val="0"/>
        <w:autoSpaceDN w:val="0"/>
        <w:adjustRightInd w:val="0"/>
        <w:spacing w:before="240" w:line="360" w:lineRule="auto"/>
        <w:ind w:right="851"/>
        <w:jc w:val="both"/>
        <w:rPr>
          <w:rFonts w:ascii="Palatino Linotype" w:hAnsi="Palatino Linotype" w:cs="Arial"/>
          <w:b/>
          <w:highlight w:val="yellow"/>
        </w:rPr>
      </w:pPr>
    </w:p>
    <w:p w14:paraId="42D46506" w14:textId="1EF58F42" w:rsidR="0085598F" w:rsidRDefault="008D1DFF" w:rsidP="008D1DFF">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sidR="000468A1">
        <w:rPr>
          <w:rFonts w:ascii="Palatino Linotype" w:hAnsi="Palatino Linotype" w:cs="Arial"/>
          <w:sz w:val="24"/>
          <w:szCs w:val="24"/>
        </w:rPr>
        <w:t xml:space="preserve"> los requerimientos formulados por el particular, sirven de sustento las siguientes imágenes ilustrativas correspondientes al organigrama del </w:t>
      </w:r>
      <w:r w:rsidR="000468A1">
        <w:rPr>
          <w:rFonts w:ascii="Palatino Linotype" w:hAnsi="Palatino Linotype" w:cs="Arial"/>
          <w:b/>
          <w:bCs/>
          <w:sz w:val="24"/>
          <w:szCs w:val="24"/>
        </w:rPr>
        <w:t xml:space="preserve">Sujeto Obligado, </w:t>
      </w:r>
      <w:r w:rsidR="000468A1">
        <w:rPr>
          <w:rFonts w:ascii="Palatino Linotype" w:hAnsi="Palatino Linotype" w:cs="Arial"/>
          <w:sz w:val="24"/>
          <w:szCs w:val="24"/>
        </w:rPr>
        <w:t xml:space="preserve">mismo que es susceptible de ser consultado en la siguiente dirección electrónica: </w:t>
      </w:r>
    </w:p>
    <w:p w14:paraId="4D859AB6" w14:textId="40383DCC" w:rsidR="000468A1" w:rsidRPr="000468A1" w:rsidRDefault="009A504C" w:rsidP="008D1DFF">
      <w:pPr>
        <w:autoSpaceDE w:val="0"/>
        <w:autoSpaceDN w:val="0"/>
        <w:adjustRightInd w:val="0"/>
        <w:spacing w:before="240" w:line="360" w:lineRule="auto"/>
        <w:jc w:val="both"/>
        <w:rPr>
          <w:rFonts w:ascii="Palatino Linotype" w:hAnsi="Palatino Linotype" w:cs="Arial"/>
          <w:sz w:val="24"/>
          <w:szCs w:val="24"/>
        </w:rPr>
      </w:pPr>
      <w:hyperlink r:id="rId9" w:history="1">
        <w:r w:rsidR="000468A1" w:rsidRPr="0096385F">
          <w:rPr>
            <w:rStyle w:val="Hipervnculo"/>
            <w:rFonts w:ascii="Palatino Linotype" w:hAnsi="Palatino Linotype" w:cs="Arial"/>
            <w:sz w:val="24"/>
            <w:szCs w:val="24"/>
          </w:rPr>
          <w:t>https://www.ipomex.org.mx/ipo3/lgt/indice/CALIMAYA/art_92_ii_b/1.web</w:t>
        </w:r>
      </w:hyperlink>
      <w:r w:rsidR="000468A1">
        <w:rPr>
          <w:rFonts w:ascii="Palatino Linotype" w:hAnsi="Palatino Linotype" w:cs="Arial"/>
          <w:sz w:val="24"/>
          <w:szCs w:val="24"/>
        </w:rPr>
        <w:t xml:space="preserve"> </w:t>
      </w:r>
    </w:p>
    <w:p w14:paraId="19BE7710" w14:textId="49C13E86" w:rsidR="0085598F" w:rsidRDefault="000468A1"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14560" behindDoc="0" locked="0" layoutInCell="1" allowOverlap="1" wp14:anchorId="15887BA4" wp14:editId="5C6CDE68">
                <wp:simplePos x="0" y="0"/>
                <wp:positionH relativeFrom="column">
                  <wp:posOffset>-79239</wp:posOffset>
                </wp:positionH>
                <wp:positionV relativeFrom="paragraph">
                  <wp:posOffset>202857</wp:posOffset>
                </wp:positionV>
                <wp:extent cx="6054811" cy="1149178"/>
                <wp:effectExtent l="0" t="0" r="22225" b="32385"/>
                <wp:wrapNone/>
                <wp:docPr id="5" name="Conector recto 5"/>
                <wp:cNvGraphicFramePr/>
                <a:graphic xmlns:a="http://schemas.openxmlformats.org/drawingml/2006/main">
                  <a:graphicData uri="http://schemas.microsoft.com/office/word/2010/wordprocessingShape">
                    <wps:wsp>
                      <wps:cNvCnPr/>
                      <wps:spPr>
                        <a:xfrm>
                          <a:off x="0" y="0"/>
                          <a:ext cx="6054811" cy="11491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43B70" id="Conector recto 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25pt,15.95pt" to="470.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" strokecolor="#5b9bd5 [3204]" strokeweight=".5pt">
                <v:stroke joinstyle="miter"/>
              </v:line>
            </w:pict>
          </mc:Fallback>
        </mc:AlternateContent>
      </w:r>
    </w:p>
    <w:p w14:paraId="4CFAD22C" w14:textId="77777777" w:rsidR="0085598F" w:rsidRDefault="0085598F" w:rsidP="008D1DFF">
      <w:pPr>
        <w:autoSpaceDE w:val="0"/>
        <w:autoSpaceDN w:val="0"/>
        <w:adjustRightInd w:val="0"/>
        <w:spacing w:before="240" w:line="360" w:lineRule="auto"/>
        <w:jc w:val="both"/>
        <w:rPr>
          <w:rFonts w:ascii="Palatino Linotype" w:hAnsi="Palatino Linotype" w:cs="Arial"/>
          <w:sz w:val="24"/>
          <w:szCs w:val="24"/>
        </w:rPr>
      </w:pPr>
    </w:p>
    <w:p w14:paraId="20689A69" w14:textId="539A79C9" w:rsidR="0085598F" w:rsidRDefault="0005210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78712" behindDoc="0" locked="0" layoutInCell="1" allowOverlap="1" wp14:anchorId="795BE5E0" wp14:editId="683EF61A">
            <wp:simplePos x="0" y="0"/>
            <wp:positionH relativeFrom="page">
              <wp:posOffset>1012825</wp:posOffset>
            </wp:positionH>
            <wp:positionV relativeFrom="paragraph">
              <wp:posOffset>17780</wp:posOffset>
            </wp:positionV>
            <wp:extent cx="5744845" cy="3366135"/>
            <wp:effectExtent l="19050" t="19050" r="27305" b="24765"/>
            <wp:wrapThrough wrapText="bothSides">
              <wp:wrapPolygon edited="0">
                <wp:start x="-72" y="-122"/>
                <wp:lineTo x="-72" y="21637"/>
                <wp:lineTo x="21631" y="21637"/>
                <wp:lineTo x="21631" y="-122"/>
                <wp:lineTo x="-72" y="-122"/>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4845"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FBA66D" w14:textId="7DACB317" w:rsidR="0085598F" w:rsidRPr="007C6095" w:rsidRDefault="0005210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Tesorería Municipal, Dirección de Administración, así como de la Contraloría Municipal. En este tenor, resultan aplicables los artículos </w:t>
      </w:r>
      <w:r w:rsidR="00792003">
        <w:rPr>
          <w:rFonts w:ascii="Palatino Linotype" w:hAnsi="Palatino Linotype" w:cs="Arial"/>
          <w:sz w:val="24"/>
          <w:szCs w:val="24"/>
        </w:rPr>
        <w:t xml:space="preserve">96, </w:t>
      </w:r>
      <w:r w:rsidR="007C6095">
        <w:rPr>
          <w:rFonts w:ascii="Palatino Linotype" w:hAnsi="Palatino Linotype" w:cs="Arial"/>
          <w:sz w:val="24"/>
          <w:szCs w:val="24"/>
        </w:rPr>
        <w:t xml:space="preserve">97 y 98 del Bando Municipal del </w:t>
      </w:r>
      <w:r w:rsidR="007C6095">
        <w:rPr>
          <w:rFonts w:ascii="Palatino Linotype" w:hAnsi="Palatino Linotype" w:cs="Arial"/>
          <w:b/>
          <w:bCs/>
          <w:sz w:val="24"/>
          <w:szCs w:val="24"/>
        </w:rPr>
        <w:t xml:space="preserve">Sujeto Obligado, </w:t>
      </w:r>
      <w:r w:rsidR="007C6095">
        <w:rPr>
          <w:rFonts w:ascii="Palatino Linotype" w:hAnsi="Palatino Linotype" w:cs="Arial"/>
          <w:sz w:val="24"/>
          <w:szCs w:val="24"/>
        </w:rPr>
        <w:t xml:space="preserve">así como los numerales 3, fracciones XIII y XIV, 50 y 207 de la Ley de Responsabilidades Administrativas del Estado de México y Municipios, porciones normativas que disponen a la literalidad lo siguiente: </w:t>
      </w:r>
    </w:p>
    <w:p w14:paraId="19CA4014" w14:textId="7F090AA4" w:rsidR="007C6095" w:rsidRDefault="007C6095" w:rsidP="00052108">
      <w:pPr>
        <w:pStyle w:val="infoemcitas"/>
      </w:pPr>
    </w:p>
    <w:p w14:paraId="18EA2B71" w14:textId="6A915D3F" w:rsidR="007C6095" w:rsidRDefault="007C6095" w:rsidP="00052108">
      <w:pPr>
        <w:pStyle w:val="infoemcitas"/>
      </w:pPr>
    </w:p>
    <w:p w14:paraId="65B339DD" w14:textId="065F8455" w:rsidR="007C6095" w:rsidRPr="007C6095" w:rsidRDefault="007C6095" w:rsidP="007C6095">
      <w:pPr>
        <w:pStyle w:val="infoemcitas"/>
        <w:jc w:val="center"/>
        <w:rPr>
          <w:b/>
          <w:bCs/>
        </w:rPr>
      </w:pPr>
      <w:r>
        <w:rPr>
          <w:b/>
          <w:bCs/>
        </w:rPr>
        <w:lastRenderedPageBreak/>
        <w:t>Bando Municipal de Calimaya</w:t>
      </w:r>
    </w:p>
    <w:p w14:paraId="5A8FDE56" w14:textId="360F9B1E" w:rsidR="00C77216" w:rsidRDefault="007C6095" w:rsidP="00052108">
      <w:pPr>
        <w:pStyle w:val="infoemcitas"/>
      </w:pPr>
      <w:r>
        <w:t>“</w:t>
      </w:r>
      <w:r w:rsidR="00052108" w:rsidRPr="00052108">
        <w:t xml:space="preserve">Artículo 96.- </w:t>
      </w:r>
      <w:r w:rsidR="00052108" w:rsidRPr="00052108">
        <w:rPr>
          <w:b/>
          <w:bCs/>
          <w:u w:val="single"/>
        </w:rPr>
        <w:t>La Tesorería Municipal es el órgano encargado de la recaudación de los ingresos municipales</w:t>
      </w:r>
      <w:r w:rsidR="00052108" w:rsidRPr="00052108">
        <w:t xml:space="preserve"> y responsable de realizar las erogaciones que haga el ayuntamiento; estará a cargo un Tesorero Municipal, el cual al tomar posesión de su cargo, recibirá la hacienda pública de acuerdo con las previsiones a que se refiere el artículo 19 de la Ley Orgánica Municipal del Estado de México, y remitirá un ejemplar de dicha documentación al ayuntamiento, al Órgano Superior de Fiscalización del Estado de México y al archivo de la Tesorería.</w:t>
      </w:r>
      <w:r w:rsidR="00052108">
        <w:t xml:space="preserve"> </w:t>
      </w:r>
      <w:r w:rsidR="00052108" w:rsidRPr="00052108">
        <w:t>El Tesorero Municipal tendrá las atribuciones que le confiere la Ley Orgánica Municipal del Estado de México, en su artículo 95 y demás disposiciones aplicables. Para el ejercicio y despacho de sus atribuciones y responsabilidades administrativas la Tesorería Municipal, se auxiliará de las siguientes subdirecciones, las cuales estarán subordinadas a esta, y cuyas funciones y atribuciones estarán contempladas y reguladas por el Reglamento Orgánico Municipal, siendo:</w:t>
      </w:r>
    </w:p>
    <w:p w14:paraId="3A360416" w14:textId="77777777" w:rsidR="00C77216" w:rsidRDefault="00052108" w:rsidP="00052108">
      <w:pPr>
        <w:pStyle w:val="infoemcitas"/>
      </w:pPr>
      <w:r w:rsidRPr="00052108">
        <w:t>• La Subdirección de Tesorería</w:t>
      </w:r>
    </w:p>
    <w:p w14:paraId="64085307" w14:textId="77777777" w:rsidR="00C77216" w:rsidRDefault="00052108" w:rsidP="00052108">
      <w:pPr>
        <w:pStyle w:val="infoemcitas"/>
      </w:pPr>
      <w:r w:rsidRPr="00052108">
        <w:t xml:space="preserve"> • Subdirección de Catastro.</w:t>
      </w:r>
    </w:p>
    <w:p w14:paraId="1E4CC10F" w14:textId="77777777" w:rsidR="00C77216" w:rsidRDefault="00052108" w:rsidP="00052108">
      <w:pPr>
        <w:pStyle w:val="infoemcitas"/>
      </w:pPr>
      <w:r w:rsidRPr="00052108">
        <w:t>• La Subdirección de Contabilidad</w:t>
      </w:r>
    </w:p>
    <w:p w14:paraId="1173A2E8" w14:textId="77777777" w:rsidR="00C77216" w:rsidRPr="00812C93" w:rsidRDefault="00052108" w:rsidP="00052108">
      <w:pPr>
        <w:pStyle w:val="infoemcitas"/>
        <w:rPr>
          <w:b/>
          <w:bCs/>
          <w:u w:val="single"/>
        </w:rPr>
      </w:pPr>
      <w:r w:rsidRPr="00812C93">
        <w:rPr>
          <w:b/>
          <w:bCs/>
          <w:u w:val="single"/>
        </w:rPr>
        <w:t>Artículo 97.- Son atribuciones de la Dirección de Administración, las siguientes:</w:t>
      </w:r>
    </w:p>
    <w:p w14:paraId="76B2D9F1" w14:textId="465FD7A1" w:rsidR="00C77216" w:rsidRDefault="00052108" w:rsidP="0071182B">
      <w:pPr>
        <w:pStyle w:val="infoemcitas"/>
        <w:numPr>
          <w:ilvl w:val="0"/>
          <w:numId w:val="2"/>
        </w:numPr>
      </w:pPr>
      <w:r w:rsidRPr="00052108">
        <w:t>Contratar y asignar a las Dependencias de la Administración Pública Municipal el personal necesario para el ejercicio de sus atribuciones, suscribiendo los contratos respectivos en conjunto con Recursos Humanos.</w:t>
      </w:r>
    </w:p>
    <w:p w14:paraId="65D49DCB" w14:textId="77777777" w:rsidR="00C77216" w:rsidRDefault="00C77216" w:rsidP="0071182B">
      <w:pPr>
        <w:pStyle w:val="infoemcitas"/>
        <w:numPr>
          <w:ilvl w:val="0"/>
          <w:numId w:val="2"/>
        </w:numPr>
      </w:pPr>
      <w:r>
        <w:lastRenderedPageBreak/>
        <w:t xml:space="preserve"> </w:t>
      </w:r>
      <w:r w:rsidR="00052108" w:rsidRPr="00052108">
        <w:t>Dar cumplimiento a lo señalado por las leyes aplicables en lo referente a las adquisiciones, enajenaciones, arrendamientos y servicios, en coordinación con las dependencias y unidades administrativas interesadas;</w:t>
      </w:r>
    </w:p>
    <w:p w14:paraId="56A5FFAA" w14:textId="77777777" w:rsidR="00C77216" w:rsidRDefault="00052108" w:rsidP="0071182B">
      <w:pPr>
        <w:pStyle w:val="infoemcitas"/>
        <w:numPr>
          <w:ilvl w:val="0"/>
          <w:numId w:val="2"/>
        </w:numPr>
      </w:pPr>
      <w:r w:rsidRPr="00052108">
        <w:t>Coordinar al personal de Eventos Especiales y en conjunto con las demás dependencias administrativas para la celebración de eventos;</w:t>
      </w:r>
    </w:p>
    <w:p w14:paraId="7DF77FE5" w14:textId="57AF9C52" w:rsidR="00C77216" w:rsidRDefault="00052108" w:rsidP="0071182B">
      <w:pPr>
        <w:pStyle w:val="infoemcitas"/>
        <w:numPr>
          <w:ilvl w:val="0"/>
          <w:numId w:val="2"/>
        </w:numPr>
      </w:pPr>
      <w:r w:rsidRPr="00052108">
        <w:t xml:space="preserve">Desarrollar programas de mejoramiento y modernización de la </w:t>
      </w:r>
      <w:proofErr w:type="gramStart"/>
      <w:r w:rsidRPr="00052108">
        <w:t>ad-ministración</w:t>
      </w:r>
      <w:proofErr w:type="gramEnd"/>
      <w:r w:rsidRPr="00052108">
        <w:t xml:space="preserve"> municipal, en coordinación con las demás dependencias;</w:t>
      </w:r>
    </w:p>
    <w:p w14:paraId="5F125EEC" w14:textId="0400C7EC" w:rsidR="00C77216" w:rsidRDefault="00052108" w:rsidP="0071182B">
      <w:pPr>
        <w:pStyle w:val="infoemcitas"/>
        <w:numPr>
          <w:ilvl w:val="0"/>
          <w:numId w:val="2"/>
        </w:numPr>
      </w:pPr>
      <w:r w:rsidRPr="00052108">
        <w:t>Coordinarse con las demás dependencias de la administración municipal para la elaboración y actualización de reglamentos y manuales de organización;</w:t>
      </w:r>
    </w:p>
    <w:p w14:paraId="7730EFD5" w14:textId="77777777" w:rsidR="00C77216" w:rsidRDefault="00052108" w:rsidP="0071182B">
      <w:pPr>
        <w:pStyle w:val="infoemcitas"/>
        <w:numPr>
          <w:ilvl w:val="0"/>
          <w:numId w:val="2"/>
        </w:numPr>
      </w:pPr>
      <w:r w:rsidRPr="00C77216">
        <w:rPr>
          <w:b/>
          <w:bCs/>
          <w:u w:val="single"/>
        </w:rPr>
        <w:t>Elaborar las Actas Administrativas, por faltas cometidas por los servidores públicos, mediante Recursos Humanos;</w:t>
      </w:r>
      <w:r w:rsidRPr="00052108">
        <w:t xml:space="preserve"> y</w:t>
      </w:r>
    </w:p>
    <w:p w14:paraId="6F9E1093" w14:textId="1880FCEA" w:rsidR="00C77216" w:rsidRDefault="00052108" w:rsidP="0071182B">
      <w:pPr>
        <w:pStyle w:val="infoemcitas"/>
        <w:numPr>
          <w:ilvl w:val="0"/>
          <w:numId w:val="2"/>
        </w:numPr>
      </w:pPr>
      <w:r w:rsidRPr="00052108">
        <w:t>Realizar todas aquellas atribuciones que sean de su competencia, para el desarrollo institucional de la administración pública municipal</w:t>
      </w:r>
    </w:p>
    <w:p w14:paraId="4A1FE528" w14:textId="77777777" w:rsidR="00C77216" w:rsidRDefault="00052108" w:rsidP="00052108">
      <w:pPr>
        <w:pStyle w:val="infoemcitas"/>
      </w:pPr>
      <w:r w:rsidRPr="00052108">
        <w:t xml:space="preserve">Artículo 98.- La Contraloría Municipal tendrá un titular denominado Contralor Interno Municipal, quien será designado por el H. Ayuntamiento a propuesta del </w:t>
      </w:r>
      <w:proofErr w:type="gramStart"/>
      <w:r w:rsidRPr="00052108">
        <w:t>Presidente</w:t>
      </w:r>
      <w:proofErr w:type="gramEnd"/>
      <w:r w:rsidRPr="00052108">
        <w:t xml:space="preserve"> municipal.</w:t>
      </w:r>
      <w:r w:rsidR="00C77216">
        <w:t xml:space="preserve"> </w:t>
      </w:r>
      <w:r w:rsidRPr="00C77216">
        <w:rPr>
          <w:b/>
          <w:bCs/>
          <w:u w:val="single"/>
        </w:rPr>
        <w:t>La Contraloría Municipal tendrá a su cargo en el ámbito de su competencia, la investigación, substanciación y resolución de los procedimientos administrativos por faltas no graves en que los servidores públicos, proveedores y contratistas sean parte;</w:t>
      </w:r>
      <w:r w:rsidRPr="00052108">
        <w:t xml:space="preserve"> sus atribuciones serán las que se encuentran contempladas dentro de la Ley de Responsabilidades Administrativas del Estado de México y Municipios, Ley Orgánica Municipal, Reglamento Orgánico Municipal Reglamento interno de la Contraloría y demás </w:t>
      </w:r>
      <w:r w:rsidRPr="00052108">
        <w:lastRenderedPageBreak/>
        <w:t xml:space="preserve">reglamentación aplicable, además se auxiliara con el personal administrativo, operativo y de campo siguiente: </w:t>
      </w:r>
    </w:p>
    <w:p w14:paraId="5966D8EE" w14:textId="599D0344" w:rsidR="00C77216" w:rsidRDefault="00052108" w:rsidP="0071182B">
      <w:pPr>
        <w:pStyle w:val="infoemcitas"/>
        <w:numPr>
          <w:ilvl w:val="0"/>
          <w:numId w:val="3"/>
        </w:numPr>
      </w:pPr>
      <w:r w:rsidRPr="00052108">
        <w:t>Subcontralor;</w:t>
      </w:r>
    </w:p>
    <w:p w14:paraId="612EE773" w14:textId="416D201A" w:rsidR="00C77216" w:rsidRDefault="00052108" w:rsidP="0071182B">
      <w:pPr>
        <w:pStyle w:val="infoemcitas"/>
        <w:numPr>
          <w:ilvl w:val="0"/>
          <w:numId w:val="3"/>
        </w:numPr>
      </w:pPr>
      <w:r w:rsidRPr="00052108">
        <w:t>Autoridad Investigadora;</w:t>
      </w:r>
    </w:p>
    <w:p w14:paraId="3842E8E2" w14:textId="3B99DDA1" w:rsidR="00C77216" w:rsidRDefault="00052108" w:rsidP="0071182B">
      <w:pPr>
        <w:pStyle w:val="infoemcitas"/>
        <w:numPr>
          <w:ilvl w:val="0"/>
          <w:numId w:val="3"/>
        </w:numPr>
      </w:pPr>
      <w:r w:rsidRPr="00052108">
        <w:t>Autoridad Substanciadora</w:t>
      </w:r>
    </w:p>
    <w:p w14:paraId="1403F3A6" w14:textId="6E9D57D1" w:rsidR="00C77216" w:rsidRDefault="00052108" w:rsidP="0071182B">
      <w:pPr>
        <w:pStyle w:val="infoemcitas"/>
        <w:numPr>
          <w:ilvl w:val="0"/>
          <w:numId w:val="3"/>
        </w:numPr>
      </w:pPr>
      <w:r w:rsidRPr="00052108">
        <w:t>Autoridad Resolutora;</w:t>
      </w:r>
    </w:p>
    <w:p w14:paraId="7B20F0F2" w14:textId="75DA6DAC" w:rsidR="00C77216" w:rsidRDefault="00052108" w:rsidP="0071182B">
      <w:pPr>
        <w:pStyle w:val="infoemcitas"/>
        <w:numPr>
          <w:ilvl w:val="0"/>
          <w:numId w:val="3"/>
        </w:numPr>
      </w:pPr>
      <w:r w:rsidRPr="00052108">
        <w:t>Auditores de Obra; y</w:t>
      </w:r>
    </w:p>
    <w:p w14:paraId="5A002478" w14:textId="77777777" w:rsidR="00C77216" w:rsidRDefault="00052108" w:rsidP="0071182B">
      <w:pPr>
        <w:pStyle w:val="infoemcitas"/>
        <w:numPr>
          <w:ilvl w:val="0"/>
          <w:numId w:val="3"/>
        </w:numPr>
      </w:pPr>
      <w:r w:rsidRPr="00052108">
        <w:t>Auditores Financieros/administrativos.</w:t>
      </w:r>
    </w:p>
    <w:p w14:paraId="378A10A8" w14:textId="7AF15996" w:rsidR="00052108" w:rsidRDefault="00052108" w:rsidP="00C77216">
      <w:pPr>
        <w:pStyle w:val="infoemcitas"/>
        <w:ind w:left="1571"/>
        <w:rPr>
          <w:b/>
          <w:bCs/>
        </w:rPr>
      </w:pPr>
      <w:r w:rsidRPr="00052108">
        <w:t>Para el mejor desempeño de sus actividades el órgano interno de control municipal tendrá a su cargo las funciones que establece la Ley Orgánica Municipal del Estado de México y demás disposiciones aplicables.</w:t>
      </w:r>
      <w:r w:rsidR="007C6095">
        <w:t xml:space="preserve">” </w:t>
      </w:r>
      <w:r w:rsidR="007C6095">
        <w:rPr>
          <w:b/>
          <w:bCs/>
        </w:rPr>
        <w:t>[Sic]</w:t>
      </w:r>
    </w:p>
    <w:p w14:paraId="1806CB20" w14:textId="57AB5960" w:rsidR="007C6095" w:rsidRDefault="007C6095" w:rsidP="00C77216">
      <w:pPr>
        <w:pStyle w:val="infoemcitas"/>
        <w:ind w:left="1571"/>
        <w:rPr>
          <w:b/>
          <w:bCs/>
        </w:rPr>
      </w:pPr>
    </w:p>
    <w:p w14:paraId="748FE4B4" w14:textId="1CF23D67" w:rsidR="00F50C2C" w:rsidRDefault="007C6095" w:rsidP="007C6095">
      <w:pPr>
        <w:pStyle w:val="infoemcitas"/>
        <w:ind w:left="1571"/>
        <w:jc w:val="center"/>
        <w:rPr>
          <w:rFonts w:cs="Arial"/>
          <w:sz w:val="24"/>
          <w:szCs w:val="24"/>
        </w:rPr>
      </w:pPr>
      <w:r>
        <w:rPr>
          <w:b/>
          <w:bCs/>
        </w:rPr>
        <w:t xml:space="preserve">Ley de Responsabilidades Administrativas del Estado de México y Municipios </w:t>
      </w:r>
    </w:p>
    <w:p w14:paraId="4212C761" w14:textId="6C92DD8E" w:rsidR="00F50C2C" w:rsidRDefault="007C6095" w:rsidP="007C6095">
      <w:pPr>
        <w:pStyle w:val="infoemcitas"/>
      </w:pPr>
      <w:r>
        <w:t>“</w:t>
      </w:r>
      <w:r w:rsidR="00F50C2C">
        <w:t xml:space="preserve">Artículo </w:t>
      </w:r>
      <w:proofErr w:type="gramStart"/>
      <w:r w:rsidR="00F50C2C">
        <w:t>3.Para</w:t>
      </w:r>
      <w:proofErr w:type="gramEnd"/>
      <w:r w:rsidR="00F50C2C">
        <w:t xml:space="preserve"> los efectos de la presente Ley, se entenderá por:</w:t>
      </w:r>
    </w:p>
    <w:p w14:paraId="3D680D5E" w14:textId="23E584E0" w:rsidR="00F50C2C" w:rsidRDefault="00F50C2C" w:rsidP="007C6095">
      <w:pPr>
        <w:pStyle w:val="infoemcitas"/>
      </w:pPr>
      <w:r>
        <w:t>(…)</w:t>
      </w:r>
    </w:p>
    <w:p w14:paraId="61766448" w14:textId="3F98FA4A" w:rsidR="00F50C2C" w:rsidRDefault="00F50C2C" w:rsidP="007C6095">
      <w:pPr>
        <w:pStyle w:val="infoemcitas"/>
      </w:pPr>
      <w:r>
        <w:t xml:space="preserve">XIII. Falta </w:t>
      </w:r>
      <w:r w:rsidRPr="007C6095">
        <w:t>administrativa no grave:</w:t>
      </w:r>
      <w:r>
        <w:t xml:space="preserve"> A las faltas administrativas de los servidores públicos en los términos de la presente Ley, cuya imposición de la sanción corresponde a la Secretaría de la Contraloría del Estado de México y a los órganos internos de control.</w:t>
      </w:r>
    </w:p>
    <w:p w14:paraId="6AC6ADAA" w14:textId="540C70D6" w:rsidR="00792003" w:rsidRDefault="00792003" w:rsidP="007C6095">
      <w:pPr>
        <w:pStyle w:val="infoemcitas"/>
      </w:pPr>
      <w:r>
        <w:lastRenderedPageBreak/>
        <w:t>XIV. Falta administrativa grave: A las faltas administrativas de los servidores públicos catalogadas como graves en los términos de la presente Ley, cuya sanción corresponde al Tribunal de Justicia Administrativa del Estado de México.</w:t>
      </w:r>
    </w:p>
    <w:p w14:paraId="79C7D1D1" w14:textId="1E52E724" w:rsidR="00F50C2C" w:rsidRDefault="00F50C2C" w:rsidP="007C6095">
      <w:pPr>
        <w:pStyle w:val="infoemcitas"/>
        <w:rPr>
          <w:sz w:val="24"/>
          <w:szCs w:val="24"/>
        </w:rPr>
      </w:pPr>
      <w:r>
        <w:t>(…)</w:t>
      </w:r>
    </w:p>
    <w:p w14:paraId="3BCE21E5" w14:textId="6B833518" w:rsidR="00F50C2C" w:rsidRDefault="00F50C2C" w:rsidP="007C6095">
      <w:pPr>
        <w:pStyle w:val="infoemcitas"/>
      </w:pPr>
      <w:r>
        <w:t xml:space="preserve">Artículo </w:t>
      </w:r>
      <w:r w:rsidR="00812C93">
        <w:t>50. Incurre</w:t>
      </w:r>
      <w:r>
        <w:t xml:space="preserve"> en falta administrativa no grave, el servidor público </w:t>
      </w:r>
      <w:proofErr w:type="gramStart"/>
      <w:r>
        <w:t>que</w:t>
      </w:r>
      <w:proofErr w:type="gramEnd"/>
      <w:r>
        <w:t xml:space="preserve"> con sus actos u omisiones, incumpla o transgreda las obligaciones siguientes:</w:t>
      </w:r>
    </w:p>
    <w:p w14:paraId="6E3C17AF" w14:textId="02BDDF7D" w:rsidR="00F50C2C" w:rsidRDefault="00F50C2C" w:rsidP="007C6095">
      <w:pPr>
        <w:pStyle w:val="infoemcitas"/>
      </w:pPr>
      <w:r>
        <w:t>(…)</w:t>
      </w:r>
    </w:p>
    <w:p w14:paraId="49336E37" w14:textId="746EF4CF" w:rsidR="00F50C2C" w:rsidRDefault="00792003" w:rsidP="007C6095">
      <w:pPr>
        <w:pStyle w:val="infoemcitas"/>
        <w:rPr>
          <w:b/>
          <w:bCs/>
        </w:rPr>
      </w:pPr>
      <w:r>
        <w:t>Artículo 207. Las indemnizaciones resarcitorias y sanciones económicas impuestas por el Tribunal de Justicia Administrativa constituirán créditos fiscales a favor de la Hacienda Pública Estatal o Municipal, o del patrimonio de los entes públicos, según corresponda. Dichos créditos fiscales se harán efectivos por el procedimiento administrativo de ejecución, una vez notificada la resolución correspondiente emitida por el Tribunal de Justicia Administrativa, en los términos que al respecto establece el Código Financiero del Estado de México y Municipios.</w:t>
      </w:r>
      <w:r w:rsidR="007C6095">
        <w:t xml:space="preserve">” </w:t>
      </w:r>
      <w:r w:rsidR="007C6095">
        <w:rPr>
          <w:b/>
          <w:bCs/>
        </w:rPr>
        <w:t>[Sic]</w:t>
      </w:r>
    </w:p>
    <w:p w14:paraId="5FB29C70" w14:textId="77777777" w:rsidR="007C6095" w:rsidRPr="007C6095" w:rsidRDefault="007C6095" w:rsidP="007C6095">
      <w:pPr>
        <w:pStyle w:val="infoemcitas"/>
        <w:rPr>
          <w:b/>
          <w:bCs/>
          <w:sz w:val="24"/>
          <w:szCs w:val="24"/>
        </w:rPr>
      </w:pPr>
    </w:p>
    <w:p w14:paraId="6CCE7DE3" w14:textId="361BB074" w:rsidR="00F50C2C" w:rsidRDefault="00F50C2C"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sidR="007C6095">
        <w:rPr>
          <w:rFonts w:ascii="Palatino Linotype" w:hAnsi="Palatino Linotype" w:cs="Arial"/>
          <w:sz w:val="24"/>
          <w:szCs w:val="24"/>
        </w:rPr>
        <w:t xml:space="preserve">múltiples son las causas de </w:t>
      </w:r>
      <w:r w:rsidR="009D436E">
        <w:rPr>
          <w:rFonts w:ascii="Palatino Linotype" w:hAnsi="Palatino Linotype" w:cs="Arial"/>
          <w:sz w:val="24"/>
          <w:szCs w:val="24"/>
        </w:rPr>
        <w:t xml:space="preserve">responsabilidad administrativa de los servidores públicos, mismas que son clasificadas en no graves y graves, y que en atención a su gravedad </w:t>
      </w:r>
      <w:r w:rsidR="00812C93">
        <w:rPr>
          <w:rFonts w:ascii="Palatino Linotype" w:hAnsi="Palatino Linotype" w:cs="Arial"/>
          <w:sz w:val="24"/>
          <w:szCs w:val="24"/>
        </w:rPr>
        <w:t>y</w:t>
      </w:r>
      <w:r w:rsidR="009D436E">
        <w:rPr>
          <w:rFonts w:ascii="Palatino Linotype" w:hAnsi="Palatino Linotype" w:cs="Arial"/>
          <w:sz w:val="24"/>
          <w:szCs w:val="24"/>
        </w:rPr>
        <w:t xml:space="preserve"> reincidencia oscilan entre la amonestación, </w:t>
      </w:r>
      <w:r w:rsidR="009D436E" w:rsidRPr="009D436E">
        <w:rPr>
          <w:rFonts w:ascii="Palatino Linotype" w:hAnsi="Palatino Linotype" w:cs="Arial"/>
          <w:b/>
          <w:bCs/>
          <w:sz w:val="24"/>
          <w:szCs w:val="24"/>
          <w:u w:val="single"/>
        </w:rPr>
        <w:t>multa,</w:t>
      </w:r>
      <w:r w:rsidR="009D436E">
        <w:rPr>
          <w:rFonts w:ascii="Palatino Linotype" w:hAnsi="Palatino Linotype" w:cs="Arial"/>
          <w:sz w:val="24"/>
          <w:szCs w:val="24"/>
        </w:rPr>
        <w:t xml:space="preserve"> suspensión, destitución e inhabilitación.   </w:t>
      </w:r>
    </w:p>
    <w:p w14:paraId="7C906B2E" w14:textId="72F88623" w:rsidR="00C13217" w:rsidRPr="008C3DC4" w:rsidRDefault="00C13217" w:rsidP="00C1321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w:t>
      </w:r>
      <w:r w:rsidRPr="008C3DC4">
        <w:rPr>
          <w:rFonts w:ascii="Palatino Linotype" w:hAnsi="Palatino Linotype" w:cs="Arial"/>
          <w:sz w:val="24"/>
          <w:szCs w:val="24"/>
        </w:rPr>
        <w:t xml:space="preserve">resulta preciso señalar que la naturaleza de la información requerida estriba en el interés general y alcance público, robustece lo anterior los artículos 24, fracción XII y 92 fracción </w:t>
      </w:r>
      <w:r w:rsidR="00816D1D">
        <w:rPr>
          <w:rFonts w:ascii="Palatino Linotype" w:hAnsi="Palatino Linotype" w:cs="Arial"/>
          <w:sz w:val="24"/>
          <w:szCs w:val="24"/>
        </w:rPr>
        <w:t>XXI</w:t>
      </w:r>
      <w:r w:rsidRPr="008C3DC4">
        <w:rPr>
          <w:rFonts w:ascii="Palatino Linotype" w:hAnsi="Palatino Linotype" w:cs="Arial"/>
          <w:sz w:val="24"/>
          <w:szCs w:val="24"/>
        </w:rPr>
        <w:t xml:space="preserve"> de la Ley de Transparencia y Acceso a la </w:t>
      </w:r>
      <w:r w:rsidRPr="008C3DC4">
        <w:rPr>
          <w:rFonts w:ascii="Palatino Linotype" w:hAnsi="Palatino Linotype" w:cs="Arial"/>
          <w:sz w:val="24"/>
          <w:szCs w:val="24"/>
        </w:rPr>
        <w:lastRenderedPageBreak/>
        <w:t xml:space="preserve">Información Pública del Estado de México y Municipios, normatividad invocada que dispone a la literalidad: </w:t>
      </w:r>
    </w:p>
    <w:p w14:paraId="3B2D7EE2" w14:textId="77777777" w:rsidR="00816D1D" w:rsidRDefault="00816D1D" w:rsidP="00816D1D">
      <w:pPr>
        <w:spacing w:before="240" w:line="360" w:lineRule="auto"/>
        <w:ind w:left="851" w:right="851"/>
        <w:jc w:val="center"/>
        <w:rPr>
          <w:rFonts w:ascii="Palatino Linotype" w:hAnsi="Palatino Linotype" w:cs="Arial"/>
          <w:b/>
          <w:i/>
          <w:sz w:val="24"/>
        </w:rPr>
      </w:pPr>
      <w:r>
        <w:rPr>
          <w:rFonts w:ascii="Palatino Linotype" w:hAnsi="Palatino Linotype" w:cs="Arial"/>
          <w:b/>
          <w:i/>
          <w:sz w:val="24"/>
        </w:rPr>
        <w:t>Ley de Transparencia y Acceso a la Información Pública del Estado de México y Municipios</w:t>
      </w:r>
    </w:p>
    <w:p w14:paraId="5B6985BB" w14:textId="77777777" w:rsidR="00816D1D" w:rsidRPr="009535E0" w:rsidRDefault="00816D1D" w:rsidP="00816D1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9535E0">
        <w:rPr>
          <w:rFonts w:ascii="Palatino Linotype" w:hAnsi="Palatino Linotype"/>
          <w:i/>
        </w:rPr>
        <w:t>de acuerdo a</w:t>
      </w:r>
      <w:proofErr w:type="gramEnd"/>
      <w:r w:rsidRPr="009535E0">
        <w:rPr>
          <w:rFonts w:ascii="Palatino Linotype" w:hAnsi="Palatino Linotype"/>
          <w:i/>
        </w:rPr>
        <w:t xml:space="preserve"> su naturaleza:</w:t>
      </w:r>
    </w:p>
    <w:p w14:paraId="7A3C4AC5" w14:textId="77777777" w:rsidR="00816D1D" w:rsidRPr="00C231A5" w:rsidRDefault="00816D1D" w:rsidP="00816D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60D60B9" w14:textId="77777777" w:rsidR="00816D1D" w:rsidRPr="009535E0" w:rsidRDefault="00816D1D" w:rsidP="00816D1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A448E77" w14:textId="77777777" w:rsidR="00816D1D" w:rsidRPr="00C231A5" w:rsidRDefault="00816D1D" w:rsidP="00816D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31A75C6" w14:textId="77777777" w:rsidR="00816D1D" w:rsidRPr="009535E0" w:rsidRDefault="00816D1D" w:rsidP="00816D1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D709D5" w14:textId="77777777" w:rsidR="00816D1D" w:rsidRDefault="00816D1D" w:rsidP="00816D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A8AEB0E" w14:textId="5FB20580" w:rsidR="00816D1D" w:rsidRPr="00812C93" w:rsidRDefault="00816D1D" w:rsidP="00816D1D">
      <w:pPr>
        <w:pStyle w:val="infoemcitas"/>
        <w:rPr>
          <w:b/>
          <w:bCs/>
          <w:u w:val="single"/>
        </w:rPr>
      </w:pPr>
      <w:r>
        <w:t xml:space="preserve">XXI. La información curricular, desde el nivel de jefe de departamento o equivalente, hasta el titular del sujeto obligado, así como, </w:t>
      </w:r>
      <w:r w:rsidRPr="00812C93">
        <w:rPr>
          <w:b/>
          <w:bCs/>
          <w:u w:val="single"/>
        </w:rPr>
        <w:t>en su caso, las sanciones administrativas de que haya sido objeto.</w:t>
      </w:r>
    </w:p>
    <w:p w14:paraId="4B89D67E" w14:textId="05B7D156" w:rsidR="00816D1D" w:rsidRPr="00816D1D" w:rsidRDefault="00816D1D" w:rsidP="00816D1D">
      <w:pPr>
        <w:pStyle w:val="infoemcitas"/>
        <w:rPr>
          <w:b/>
          <w:bCs/>
          <w:sz w:val="24"/>
          <w:szCs w:val="24"/>
        </w:rPr>
      </w:pPr>
      <w:r>
        <w:lastRenderedPageBreak/>
        <w:t xml:space="preserve">(…)” </w:t>
      </w:r>
      <w:r>
        <w:rPr>
          <w:b/>
          <w:bCs/>
        </w:rPr>
        <w:t>[Sic]</w:t>
      </w:r>
    </w:p>
    <w:p w14:paraId="278586F3" w14:textId="29426FE5" w:rsidR="00816D1D" w:rsidRDefault="00816D1D" w:rsidP="00267074">
      <w:pPr>
        <w:spacing w:before="240" w:after="360" w:line="360" w:lineRule="auto"/>
        <w:ind w:right="49"/>
        <w:jc w:val="both"/>
        <w:rPr>
          <w:rFonts w:ascii="Palatino Linotype" w:hAnsi="Palatino Linotype" w:cs="Arial"/>
          <w:sz w:val="24"/>
          <w:szCs w:val="24"/>
        </w:rPr>
      </w:pPr>
    </w:p>
    <w:p w14:paraId="316D4F0B" w14:textId="6BD690B6" w:rsidR="00816D1D" w:rsidRDefault="00E8046A" w:rsidP="00816D1D">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676662" behindDoc="0" locked="0" layoutInCell="1" allowOverlap="1" wp14:anchorId="3776963A" wp14:editId="0D7A7650">
            <wp:simplePos x="0" y="0"/>
            <wp:positionH relativeFrom="margin">
              <wp:align>center</wp:align>
            </wp:positionH>
            <wp:positionV relativeFrom="paragraph">
              <wp:posOffset>2281298</wp:posOffset>
            </wp:positionV>
            <wp:extent cx="5686425" cy="3325495"/>
            <wp:effectExtent l="19050" t="19050" r="28575" b="27305"/>
            <wp:wrapThrough wrapText="bothSides">
              <wp:wrapPolygon edited="0">
                <wp:start x="-72" y="-124"/>
                <wp:lineTo x="-72" y="21654"/>
                <wp:lineTo x="21636" y="21654"/>
                <wp:lineTo x="21636" y="-124"/>
                <wp:lineTo x="-72" y="-124"/>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33254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16D1D" w:rsidRPr="008C3DC4">
        <w:rPr>
          <w:rFonts w:ascii="Palatino Linotype" w:hAnsi="Palatino Linotype" w:cs="Arial"/>
          <w:sz w:val="24"/>
          <w:szCs w:val="24"/>
        </w:rPr>
        <w:t>En este tenor, resulta inconcuso que la información requerida estriba en el interés público e interés social, robustece lo anterior la</w:t>
      </w:r>
      <w:r w:rsidR="00816D1D">
        <w:rPr>
          <w:rFonts w:ascii="Palatino Linotype" w:hAnsi="Palatino Linotype" w:cs="Arial"/>
          <w:sz w:val="24"/>
          <w:szCs w:val="24"/>
        </w:rPr>
        <w:t xml:space="preserve">s siguientes imágenes ilustrativas correspondientes a la </w:t>
      </w:r>
      <w:r w:rsidR="00816D1D" w:rsidRPr="008C3DC4">
        <w:rPr>
          <w:rFonts w:ascii="Palatino Linotype" w:hAnsi="Palatino Linotype" w:cs="Arial"/>
          <w:sz w:val="24"/>
          <w:szCs w:val="24"/>
        </w:rPr>
        <w:t xml:space="preserve"> tabla de aplicabilidad del </w:t>
      </w:r>
      <w:r w:rsidR="00816D1D" w:rsidRPr="008C3DC4">
        <w:rPr>
          <w:rFonts w:ascii="Palatino Linotype" w:hAnsi="Palatino Linotype" w:cs="Arial"/>
          <w:b/>
          <w:bCs/>
          <w:sz w:val="24"/>
          <w:szCs w:val="24"/>
        </w:rPr>
        <w:t xml:space="preserve">Sujeto Obligado, </w:t>
      </w:r>
      <w:r w:rsidR="00816D1D" w:rsidRPr="008C3DC4">
        <w:rPr>
          <w:rFonts w:ascii="Palatino Linotype" w:hAnsi="Palatino Linotype" w:cs="Arial"/>
          <w:sz w:val="24"/>
          <w:szCs w:val="24"/>
        </w:rPr>
        <w:t>soporte documental susceptible de ser consultado en la siguiente dirección electrónica:</w:t>
      </w:r>
      <w:r w:rsidR="00816D1D">
        <w:rPr>
          <w:rFonts w:ascii="Palatino Linotype" w:hAnsi="Palatino Linotype" w:cs="Arial"/>
          <w:sz w:val="24"/>
          <w:szCs w:val="24"/>
        </w:rPr>
        <w:t xml:space="preserve"> </w:t>
      </w:r>
      <w:hyperlink r:id="rId12" w:history="1">
        <w:r w:rsidR="00816D1D" w:rsidRPr="0096385F">
          <w:rPr>
            <w:rStyle w:val="Hipervnculo"/>
            <w:rFonts w:ascii="Palatino Linotype" w:hAnsi="Palatino Linotype" w:cs="Arial"/>
            <w:sz w:val="24"/>
            <w:szCs w:val="24"/>
          </w:rPr>
          <w:t>https://www.infoem.org.mx/es/contenido/transparencia/directorio-de-sujetos-obligados#</w:t>
        </w:r>
      </w:hyperlink>
      <w:r w:rsidR="00816D1D">
        <w:rPr>
          <w:rFonts w:ascii="Palatino Linotype" w:hAnsi="Palatino Linotype" w:cs="Arial"/>
          <w:sz w:val="24"/>
          <w:szCs w:val="24"/>
        </w:rPr>
        <w:t xml:space="preserve"> </w:t>
      </w:r>
    </w:p>
    <w:p w14:paraId="73B71546" w14:textId="596632A8" w:rsidR="00816D1D" w:rsidRDefault="00E8046A" w:rsidP="00816D1D">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18656" behindDoc="0" locked="0" layoutInCell="1" allowOverlap="1" wp14:anchorId="40B24241" wp14:editId="189B1B5E">
                <wp:simplePos x="0" y="0"/>
                <wp:positionH relativeFrom="column">
                  <wp:posOffset>-501401</wp:posOffset>
                </wp:positionH>
                <wp:positionV relativeFrom="paragraph">
                  <wp:posOffset>3690106</wp:posOffset>
                </wp:positionV>
                <wp:extent cx="6597570" cy="879676"/>
                <wp:effectExtent l="0" t="0" r="32385" b="34925"/>
                <wp:wrapNone/>
                <wp:docPr id="22" name="Conector recto 22"/>
                <wp:cNvGraphicFramePr/>
                <a:graphic xmlns:a="http://schemas.openxmlformats.org/drawingml/2006/main">
                  <a:graphicData uri="http://schemas.microsoft.com/office/word/2010/wordprocessingShape">
                    <wps:wsp>
                      <wps:cNvCnPr/>
                      <wps:spPr>
                        <a:xfrm>
                          <a:off x="0" y="0"/>
                          <a:ext cx="6597570" cy="8796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3DB42" id="Conector recto 2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9.5pt,290.55pt" to="480pt,3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" strokecolor="#5b9bd5 [3204]" strokeweight=".5pt">
                <v:stroke joinstyle="miter"/>
              </v:line>
            </w:pict>
          </mc:Fallback>
        </mc:AlternateContent>
      </w:r>
    </w:p>
    <w:p w14:paraId="1CB31EAC" w14:textId="64F85F21" w:rsidR="00816D1D" w:rsidRDefault="00816D1D" w:rsidP="00816D1D">
      <w:pPr>
        <w:spacing w:before="240" w:after="360" w:line="360" w:lineRule="auto"/>
        <w:ind w:right="49"/>
        <w:jc w:val="both"/>
        <w:rPr>
          <w:rFonts w:ascii="Palatino Linotype" w:hAnsi="Palatino Linotype" w:cs="Arial"/>
          <w:sz w:val="24"/>
          <w:szCs w:val="24"/>
        </w:rPr>
      </w:pPr>
    </w:p>
    <w:p w14:paraId="5A931C5E" w14:textId="099103DE" w:rsidR="00816D1D" w:rsidRDefault="00E8046A" w:rsidP="00816D1D">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717632" behindDoc="0" locked="0" layoutInCell="1" allowOverlap="1" wp14:anchorId="5D7C4455" wp14:editId="64D32933">
            <wp:simplePos x="0" y="0"/>
            <wp:positionH relativeFrom="margin">
              <wp:align>right</wp:align>
            </wp:positionH>
            <wp:positionV relativeFrom="paragraph">
              <wp:posOffset>3832185</wp:posOffset>
            </wp:positionV>
            <wp:extent cx="5750560" cy="3293745"/>
            <wp:effectExtent l="19050" t="19050" r="21590" b="20955"/>
            <wp:wrapThrough wrapText="bothSides">
              <wp:wrapPolygon edited="0">
                <wp:start x="-72" y="-125"/>
                <wp:lineTo x="-72" y="21612"/>
                <wp:lineTo x="21610" y="21612"/>
                <wp:lineTo x="21610" y="-125"/>
                <wp:lineTo x="-72" y="-125"/>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0560" cy="32937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715584" behindDoc="0" locked="0" layoutInCell="1" allowOverlap="1" wp14:anchorId="06E28CCF" wp14:editId="1B4E120D">
            <wp:simplePos x="0" y="0"/>
            <wp:positionH relativeFrom="margin">
              <wp:align>left</wp:align>
            </wp:positionH>
            <wp:positionV relativeFrom="paragraph">
              <wp:posOffset>143164</wp:posOffset>
            </wp:positionV>
            <wp:extent cx="5706110" cy="3368040"/>
            <wp:effectExtent l="19050" t="19050" r="27940" b="22860"/>
            <wp:wrapThrough wrapText="bothSides">
              <wp:wrapPolygon edited="0">
                <wp:start x="-72" y="-122"/>
                <wp:lineTo x="-72" y="21624"/>
                <wp:lineTo x="21634" y="21624"/>
                <wp:lineTo x="21634" y="-122"/>
                <wp:lineTo x="-72" y="-122"/>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6110" cy="33680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0C85A9" w14:textId="6AE90A3C" w:rsidR="00FC6793" w:rsidRDefault="00E8046A" w:rsidP="00816D1D">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 xml:space="preserve">De ahí que deba arribarse a la premisa de que la información requerida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es susceptible de ser generada, administrada o poseída por </w:t>
      </w:r>
      <w:r>
        <w:rPr>
          <w:rFonts w:ascii="Palatino Linotype" w:hAnsi="Palatino Linotype" w:cs="Arial"/>
          <w:b/>
          <w:bCs/>
          <w:sz w:val="24"/>
          <w:szCs w:val="24"/>
        </w:rPr>
        <w:t xml:space="preserve">El Sujeto Obligado, </w:t>
      </w:r>
      <w:r w:rsidR="00FC6793">
        <w:rPr>
          <w:rFonts w:ascii="Palatino Linotype" w:hAnsi="Palatino Linotype" w:cs="Arial"/>
          <w:sz w:val="24"/>
          <w:szCs w:val="24"/>
        </w:rPr>
        <w:t xml:space="preserve">resultando </w:t>
      </w:r>
      <w:r w:rsidR="00E7431F">
        <w:rPr>
          <w:rFonts w:ascii="Palatino Linotype" w:hAnsi="Palatino Linotype" w:cs="Arial"/>
          <w:sz w:val="24"/>
          <w:szCs w:val="24"/>
        </w:rPr>
        <w:t xml:space="preserve">viable </w:t>
      </w:r>
      <w:r w:rsidR="00FC6793">
        <w:rPr>
          <w:rFonts w:ascii="Palatino Linotype" w:hAnsi="Palatino Linotype" w:cs="Arial"/>
          <w:sz w:val="24"/>
          <w:szCs w:val="24"/>
        </w:rPr>
        <w:t xml:space="preserve">su entrega en versión pública de ser procedente. </w:t>
      </w:r>
    </w:p>
    <w:p w14:paraId="5C8BB5E9" w14:textId="7B1EFFAA" w:rsidR="00FC6793" w:rsidRDefault="00FC6793" w:rsidP="00FC6793">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cs="Arial"/>
          <w:sz w:val="24"/>
          <w:szCs w:val="24"/>
        </w:rPr>
        <w:t>Finalmente, con relación a los requerimientos identificados con los numerales 1 -procedimientos instaurados- y 2 -sanción, multa o sanción resarcitoria-, es posible advertir que son figuras recurribles</w:t>
      </w:r>
      <w:r w:rsidR="00812C93">
        <w:rPr>
          <w:rFonts w:ascii="Palatino Linotype" w:hAnsi="Palatino Linotype" w:cs="Arial"/>
          <w:sz w:val="24"/>
          <w:szCs w:val="24"/>
        </w:rPr>
        <w:t xml:space="preserve">, </w:t>
      </w:r>
      <w:r>
        <w:rPr>
          <w:rFonts w:ascii="Palatino Linotype" w:hAnsi="Palatino Linotype" w:cs="Arial"/>
          <w:sz w:val="24"/>
          <w:szCs w:val="24"/>
        </w:rPr>
        <w:t xml:space="preserve">por ello, de no haber quedado firmes </w:t>
      </w:r>
      <w:r>
        <w:rPr>
          <w:rFonts w:ascii="Palatino Linotype" w:hAnsi="Palatino Linotype"/>
          <w:sz w:val="24"/>
          <w:szCs w:val="24"/>
          <w:lang w:val="es-ES"/>
        </w:rPr>
        <w:t xml:space="preserve">resulta procedente la entrega del acuerdo de reserva, en los términos expresados a continuación. </w:t>
      </w:r>
    </w:p>
    <w:p w14:paraId="12FB4F8E" w14:textId="7155A888" w:rsidR="00816D1D" w:rsidRDefault="00816D1D" w:rsidP="00816D1D">
      <w:pPr>
        <w:spacing w:before="240" w:after="360" w:line="360" w:lineRule="auto"/>
        <w:ind w:right="49"/>
        <w:jc w:val="both"/>
        <w:rPr>
          <w:rFonts w:ascii="Palatino Linotype" w:hAnsi="Palatino Linotype" w:cs="Arial"/>
          <w:sz w:val="24"/>
          <w:szCs w:val="24"/>
          <w:lang w:val="es-ES"/>
        </w:rPr>
      </w:pPr>
    </w:p>
    <w:p w14:paraId="30B04CCB" w14:textId="77777777" w:rsidR="00FC6793" w:rsidRPr="00E97BEA" w:rsidRDefault="00FC6793" w:rsidP="0071182B">
      <w:pPr>
        <w:pStyle w:val="Prrafodelista"/>
        <w:numPr>
          <w:ilvl w:val="0"/>
          <w:numId w:val="5"/>
        </w:numPr>
        <w:spacing w:before="240" w:line="360" w:lineRule="auto"/>
        <w:jc w:val="both"/>
        <w:rPr>
          <w:rFonts w:ascii="Palatino Linotype" w:hAnsi="Palatino Linotype" w:cs="Arial"/>
          <w:b/>
          <w:bCs/>
          <w:sz w:val="28"/>
          <w:szCs w:val="28"/>
        </w:rPr>
      </w:pPr>
      <w:r w:rsidRPr="00E97BEA">
        <w:rPr>
          <w:rFonts w:ascii="Palatino Linotype" w:hAnsi="Palatino Linotype" w:cs="Arial"/>
          <w:b/>
          <w:bCs/>
          <w:sz w:val="28"/>
          <w:szCs w:val="28"/>
        </w:rPr>
        <w:t xml:space="preserve">De la clasificación de la información como reservada </w:t>
      </w:r>
    </w:p>
    <w:p w14:paraId="767EE7A7" w14:textId="77777777" w:rsidR="00FC6793" w:rsidRPr="00F825BB" w:rsidRDefault="00FC6793" w:rsidP="00FC6793">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La clasificación de la información es el proceso mediante el cual los </w:t>
      </w:r>
      <w:r w:rsidRPr="00F825BB">
        <w:rPr>
          <w:rFonts w:ascii="Palatino Linotype" w:hAnsi="Palatino Linotype"/>
          <w:b/>
          <w:sz w:val="24"/>
          <w:szCs w:val="24"/>
        </w:rPr>
        <w:t xml:space="preserve">Sujetos Obligados </w:t>
      </w:r>
      <w:r w:rsidRPr="00F825BB">
        <w:rPr>
          <w:rFonts w:ascii="Palatino Linotype" w:hAnsi="Palatino Linotype"/>
          <w:sz w:val="24"/>
          <w:szCs w:val="24"/>
        </w:rPr>
        <w:t xml:space="preserve">determinan que la información requerida actualiza alguno de los supuestos de confidencialidad </w:t>
      </w:r>
      <w:r w:rsidRPr="00F825BB">
        <w:rPr>
          <w:rFonts w:ascii="Palatino Linotype" w:hAnsi="Palatino Linotype"/>
          <w:b/>
          <w:sz w:val="24"/>
          <w:szCs w:val="24"/>
        </w:rPr>
        <w:t xml:space="preserve">o </w:t>
      </w:r>
      <w:r w:rsidRPr="00F825BB">
        <w:rPr>
          <w:rFonts w:ascii="Palatino Linotype" w:hAnsi="Palatino Linotype"/>
          <w:b/>
          <w:sz w:val="24"/>
          <w:szCs w:val="24"/>
          <w:u w:val="single"/>
        </w:rPr>
        <w:t>reserva,</w:t>
      </w:r>
      <w:r w:rsidRPr="00F825BB">
        <w:rPr>
          <w:rFonts w:ascii="Palatino Linotype" w:hAnsi="Palatino Linotype"/>
          <w:b/>
          <w:sz w:val="24"/>
          <w:szCs w:val="24"/>
        </w:rPr>
        <w:t xml:space="preserve"> </w:t>
      </w:r>
      <w:r w:rsidRPr="00F825BB">
        <w:rPr>
          <w:rFonts w:ascii="Palatino Linotype" w:hAnsi="Palatino Linotype"/>
          <w:sz w:val="24"/>
          <w:szCs w:val="24"/>
        </w:rPr>
        <w:t xml:space="preserve">de acuerdo con las bases y los principios inmersos en la normatividad aplicable. </w:t>
      </w:r>
    </w:p>
    <w:p w14:paraId="7D89DEAF" w14:textId="77777777" w:rsidR="00FC6793" w:rsidRPr="00F825BB" w:rsidRDefault="00FC6793" w:rsidP="00FC6793">
      <w:pPr>
        <w:spacing w:before="240" w:line="360" w:lineRule="auto"/>
        <w:jc w:val="both"/>
        <w:rPr>
          <w:rFonts w:ascii="Palatino Linotype" w:hAnsi="Palatino Linotype"/>
          <w:b/>
          <w:sz w:val="24"/>
          <w:szCs w:val="24"/>
        </w:rPr>
      </w:pPr>
      <w:r w:rsidRPr="00F825BB">
        <w:rPr>
          <w:rFonts w:ascii="Palatino Linotype" w:hAnsi="Palatino Linotype"/>
          <w:sz w:val="24"/>
          <w:szCs w:val="24"/>
        </w:rPr>
        <w:t>El artículo 140 de la Ley de Transparencia y Acceso a la Información del Estado de México y Municipios enlista de manera estricta y limitativa las causales de procedencia para clasificar soportes documentales como información reservada.</w:t>
      </w:r>
    </w:p>
    <w:p w14:paraId="2D30EADE" w14:textId="77777777" w:rsidR="00FC6793" w:rsidRPr="00F825BB" w:rsidRDefault="00FC6793" w:rsidP="00FC6793">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Para realizar la reserva la información, no basta con invocar alguna de las causales previstas en la Ley de transparencia local. En sentido contrario, dicha valoración debe realizarse a través de lo que se conoce como </w:t>
      </w:r>
      <w:r w:rsidRPr="00F825BB">
        <w:rPr>
          <w:rFonts w:ascii="Palatino Linotype" w:hAnsi="Palatino Linotype"/>
          <w:b/>
          <w:i/>
          <w:sz w:val="24"/>
          <w:szCs w:val="24"/>
        </w:rPr>
        <w:t xml:space="preserve">“prueba de daño”, </w:t>
      </w:r>
      <w:r w:rsidRPr="00F825BB">
        <w:rPr>
          <w:rFonts w:ascii="Palatino Linotype" w:hAnsi="Palatino Linotype"/>
          <w:sz w:val="24"/>
          <w:szCs w:val="24"/>
        </w:rPr>
        <w:t xml:space="preserve">que consiste en exponer los argumentos y razones, basados en elementos objetivos o verificables, a partir de los </w:t>
      </w:r>
      <w:r w:rsidRPr="00F825BB">
        <w:rPr>
          <w:rFonts w:ascii="Palatino Linotype" w:hAnsi="Palatino Linotype"/>
          <w:sz w:val="24"/>
          <w:szCs w:val="24"/>
        </w:rPr>
        <w:lastRenderedPageBreak/>
        <w:t>cuales se derive que la divulgación de información, en particular, puede afectar, poner en riesgo o dañar el interés protegido</w:t>
      </w:r>
      <w:r w:rsidRPr="00F825BB">
        <w:rPr>
          <w:sz w:val="24"/>
          <w:szCs w:val="24"/>
          <w:vertAlign w:val="superscript"/>
        </w:rPr>
        <w:footnoteReference w:id="2"/>
      </w:r>
      <w:r w:rsidRPr="00F825BB">
        <w:rPr>
          <w:rFonts w:ascii="Palatino Linotype" w:hAnsi="Palatino Linotype"/>
          <w:sz w:val="24"/>
          <w:szCs w:val="24"/>
        </w:rPr>
        <w:t>. Asimismo, ésta no debe basarse en meras especulaciones o suposiciones, sino en elementos objetivos que deban evaluar que existe un riego actual e inminente</w:t>
      </w:r>
      <w:r w:rsidRPr="00F825BB">
        <w:rPr>
          <w:sz w:val="24"/>
          <w:szCs w:val="24"/>
          <w:vertAlign w:val="superscript"/>
        </w:rPr>
        <w:footnoteReference w:id="3"/>
      </w:r>
      <w:r w:rsidRPr="00F825BB">
        <w:rPr>
          <w:rFonts w:ascii="Palatino Linotype" w:hAnsi="Palatino Linotype"/>
          <w:sz w:val="24"/>
          <w:szCs w:val="24"/>
        </w:rPr>
        <w:t>.</w:t>
      </w:r>
    </w:p>
    <w:p w14:paraId="48AF13E6" w14:textId="77777777" w:rsidR="00FC6793" w:rsidRPr="00F825BB" w:rsidRDefault="00FC6793" w:rsidP="00FC6793">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F825BB">
        <w:rPr>
          <w:rFonts w:ascii="Palatino Linotype" w:hAnsi="Palatino Linotype"/>
          <w:b/>
          <w:color w:val="000000" w:themeColor="text1"/>
          <w:sz w:val="24"/>
          <w:szCs w:val="24"/>
          <w:u w:val="single"/>
        </w:rPr>
        <w:t>sino de cada uno de los documentos que lo integran</w:t>
      </w:r>
      <w:r w:rsidRPr="00F825BB">
        <w:rPr>
          <w:rFonts w:ascii="Palatino Linotype" w:hAnsi="Palatino Linotype"/>
          <w:color w:val="000000" w:themeColor="text1"/>
          <w:sz w:val="24"/>
          <w:szCs w:val="24"/>
        </w:rPr>
        <w:t>.</w:t>
      </w:r>
    </w:p>
    <w:p w14:paraId="7F9B42CE" w14:textId="77777777" w:rsidR="00FC6793" w:rsidRPr="00F825BB" w:rsidRDefault="00FC6793" w:rsidP="00FC6793">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025EDA64" w14:textId="77777777" w:rsidR="00FC6793" w:rsidRPr="00F825BB" w:rsidRDefault="00FC6793" w:rsidP="00FC679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 </w:t>
      </w:r>
      <w:r w:rsidRPr="00F825BB">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0BECE40E" w14:textId="77777777" w:rsidR="00FC6793" w:rsidRPr="00F825BB" w:rsidRDefault="00FC6793" w:rsidP="00FC679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 </w:t>
      </w:r>
      <w:r w:rsidRPr="00F825BB">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19F5A9A2" w14:textId="77777777" w:rsidR="00FC6793" w:rsidRPr="00F825BB" w:rsidRDefault="00FC6793" w:rsidP="00FC679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lastRenderedPageBreak/>
        <w:t xml:space="preserve">III. </w:t>
      </w:r>
      <w:r w:rsidRPr="00F825BB">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00796D55" w14:textId="77777777" w:rsidR="00FC6793" w:rsidRPr="00F825BB" w:rsidRDefault="00FC6793" w:rsidP="00FC6793">
      <w:pPr>
        <w:pStyle w:val="j"/>
        <w:shd w:val="clear" w:color="auto" w:fill="FFFFFF"/>
        <w:suppressAutoHyphens/>
        <w:spacing w:line="360" w:lineRule="auto"/>
        <w:jc w:val="both"/>
        <w:textAlignment w:val="baseline"/>
        <w:rPr>
          <w:rFonts w:ascii="Palatino Linotype" w:hAnsi="Palatino Linotype"/>
          <w:color w:val="000000" w:themeColor="text1"/>
        </w:rPr>
      </w:pPr>
      <w:r w:rsidRPr="00F825BB">
        <w:rPr>
          <w:rFonts w:ascii="Palatino Linotype" w:hAnsi="Palatino Linotype"/>
          <w:color w:val="000000" w:themeColor="text1"/>
        </w:rPr>
        <w:t>Sobre el primer supuesto consideremos que según el diccionario del español jurídico, por riesgo podemos entender “la contingencia o proximidad de un daño”,</w:t>
      </w:r>
      <w:r w:rsidRPr="00F825BB">
        <w:rPr>
          <w:rStyle w:val="Refdenotaalpie"/>
          <w:rFonts w:ascii="Palatino Linotype" w:hAnsi="Palatino Linotype"/>
          <w:color w:val="000000" w:themeColor="text1"/>
        </w:rPr>
        <w:footnoteReference w:id="4"/>
      </w:r>
      <w:r w:rsidRPr="00F825BB">
        <w:rPr>
          <w:rFonts w:ascii="Palatino Linotype" w:hAnsi="Palatino Linotype"/>
          <w:color w:val="000000" w:themeColor="text1"/>
        </w:rPr>
        <w:t xml:space="preserve"> mientras que el daño es considerado como un “perjuicio o lesión”</w:t>
      </w:r>
      <w:r w:rsidRPr="00F825BB">
        <w:rPr>
          <w:rStyle w:val="Refdenotaalpie"/>
          <w:rFonts w:ascii="Palatino Linotype" w:hAnsi="Palatino Linotype"/>
          <w:color w:val="000000" w:themeColor="text1"/>
        </w:rPr>
        <w:footnoteReference w:id="5"/>
      </w:r>
      <w:r w:rsidRPr="00F825BB">
        <w:rPr>
          <w:rFonts w:ascii="Palatino Linotype" w:hAnsi="Palatino Linotype"/>
          <w:color w:val="000000" w:themeColor="text1"/>
        </w:rPr>
        <w:t>, mientras que según el Diccionario de la Lengua Española, lo real es</w:t>
      </w:r>
      <w:r w:rsidRPr="00F825BB">
        <w:rPr>
          <w:rFonts w:ascii="Palatino Linotype" w:eastAsia="Arial Unicode MS" w:hAnsi="Palatino Linotype" w:cs="Arial Unicode MS"/>
          <w:color w:val="000000" w:themeColor="text1"/>
          <w:spacing w:val="4"/>
          <w:shd w:val="clear" w:color="auto" w:fill="FFFFFF"/>
        </w:rPr>
        <w:t> lo “</w:t>
      </w:r>
      <w:r w:rsidRPr="00F825BB">
        <w:rPr>
          <w:rFonts w:ascii="Palatino Linotype" w:eastAsia="Times New Roman" w:hAnsi="Palatino Linotype"/>
          <w:color w:val="000000" w:themeColor="text1"/>
        </w:rPr>
        <w:t>(q)</w:t>
      </w:r>
      <w:proofErr w:type="spellStart"/>
      <w:r w:rsidRPr="00F825BB">
        <w:rPr>
          <w:rFonts w:ascii="Palatino Linotype" w:eastAsia="Times New Roman" w:hAnsi="Palatino Linotype"/>
          <w:color w:val="000000" w:themeColor="text1"/>
        </w:rPr>
        <w:t>ue</w:t>
      </w:r>
      <w:proofErr w:type="spellEnd"/>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tiene</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existencia</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objetiva”,</w:t>
      </w:r>
      <w:r w:rsidRPr="00F825BB">
        <w:rPr>
          <w:rStyle w:val="Refdenotaalpie"/>
          <w:rFonts w:ascii="Palatino Linotype" w:eastAsia="Times New Roman" w:hAnsi="Palatino Linotype"/>
          <w:color w:val="000000" w:themeColor="text1"/>
        </w:rPr>
        <w:footnoteReference w:id="6"/>
      </w:r>
      <w:r w:rsidRPr="00F825BB">
        <w:rPr>
          <w:rFonts w:ascii="Palatino Linotype" w:eastAsia="Times New Roman" w:hAnsi="Palatino Linotype"/>
          <w:color w:val="000000" w:themeColor="text1"/>
        </w:rPr>
        <w:t xml:space="preserve"> </w:t>
      </w:r>
      <w:r w:rsidRPr="00F825BB">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F825BB">
        <w:rPr>
          <w:rStyle w:val="Refdenotaalpie"/>
          <w:rFonts w:ascii="Palatino Linotype" w:eastAsia="Arial Unicode MS" w:hAnsi="Palatino Linotype" w:cs="Arial Unicode MS"/>
          <w:color w:val="000000" w:themeColor="text1"/>
          <w:spacing w:val="4"/>
          <w:shd w:val="clear" w:color="auto" w:fill="FFFFFF"/>
        </w:rPr>
        <w:footnoteReference w:id="7"/>
      </w:r>
      <w:r w:rsidRPr="00F825BB">
        <w:rPr>
          <w:rFonts w:ascii="Palatino Linotype" w:eastAsia="Arial Unicode MS" w:hAnsi="Palatino Linotype" w:cs="Arial Unicode MS"/>
          <w:color w:val="000000" w:themeColor="text1"/>
          <w:spacing w:val="4"/>
          <w:shd w:val="clear" w:color="auto" w:fill="FFFFFF"/>
        </w:rPr>
        <w:t xml:space="preserve"> es decir, </w:t>
      </w:r>
      <w:r w:rsidRPr="00F825BB">
        <w:rPr>
          <w:rFonts w:ascii="Palatino Linotype" w:hAnsi="Palatino Linotype" w:cstheme="minorBidi"/>
          <w:color w:val="000000" w:themeColor="text1"/>
          <w:lang w:val="es-MX" w:eastAsia="en-US"/>
        </w:rPr>
        <w:t>“(m)anifestar, declarar. Probar, sirviéndose de cualquier género de demostración, </w:t>
      </w:r>
      <w:hyperlink r:id="rId15" w:anchor="6nAyKjE" w:history="1">
        <w:r w:rsidRPr="00F825BB">
          <w:rPr>
            <w:rFonts w:ascii="Palatino Linotype" w:hAnsi="Palatino Linotype" w:cstheme="minorBidi"/>
            <w:color w:val="000000" w:themeColor="text1"/>
            <w:lang w:val="es-MX" w:eastAsia="en-US"/>
          </w:rPr>
          <w:t>enseñar</w:t>
        </w:r>
      </w:hyperlink>
      <w:r w:rsidRPr="00F825BB">
        <w:rPr>
          <w:rFonts w:ascii="Palatino Linotype" w:hAnsi="Palatino Linotype" w:cstheme="minorBidi"/>
          <w:color w:val="000000" w:themeColor="text1"/>
          <w:lang w:val="es-MX" w:eastAsia="en-US"/>
        </w:rPr>
        <w:t> mostrar o exponer algo)”.</w:t>
      </w:r>
      <w:r w:rsidRPr="00F825BB">
        <w:rPr>
          <w:rStyle w:val="Refdenotaalpie"/>
          <w:rFonts w:ascii="Palatino Linotype" w:hAnsi="Palatino Linotype" w:cstheme="minorBidi"/>
          <w:color w:val="000000" w:themeColor="text1"/>
          <w:lang w:val="es-MX" w:eastAsia="en-US"/>
        </w:rPr>
        <w:footnoteReference w:id="8"/>
      </w:r>
      <w:r w:rsidRPr="00F825BB">
        <w:rPr>
          <w:rFonts w:ascii="Palatino Linotype" w:hAnsi="Palatino Linotype" w:cstheme="minorBidi"/>
          <w:color w:val="000000" w:themeColor="text1"/>
          <w:lang w:val="es-MX" w:eastAsia="en-US"/>
        </w:rPr>
        <w:t xml:space="preserve"> Mientras que lo identificable es lo que puede ser identificado,</w:t>
      </w:r>
      <w:r w:rsidRPr="00F825BB">
        <w:rPr>
          <w:rStyle w:val="Refdenotaalpie"/>
          <w:rFonts w:ascii="Palatino Linotype" w:hAnsi="Palatino Linotype" w:cstheme="minorBidi"/>
          <w:color w:val="000000" w:themeColor="text1"/>
          <w:lang w:val="es-MX" w:eastAsia="en-US"/>
        </w:rPr>
        <w:footnoteReference w:id="9"/>
      </w:r>
      <w:r w:rsidRPr="00F825BB">
        <w:rPr>
          <w:rFonts w:ascii="Palatino Linotype" w:hAnsi="Palatino Linotype" w:cstheme="minorBidi"/>
          <w:color w:val="000000" w:themeColor="text1"/>
          <w:lang w:val="es-MX" w:eastAsia="en-US"/>
        </w:rPr>
        <w:t xml:space="preserve"> esto es,</w:t>
      </w:r>
      <w:r w:rsidRPr="00F825BB">
        <w:rPr>
          <w:rFonts w:ascii="Palatino Linotype" w:hAnsi="Palatino Linotype" w:cstheme="minorBidi"/>
          <w:color w:val="000000" w:themeColor="text1"/>
        </w:rPr>
        <w:t>  “(d)ar los datos necesarios para ser reconocido”.</w:t>
      </w:r>
      <w:r w:rsidRPr="00F825BB">
        <w:rPr>
          <w:rStyle w:val="Refdenotaalpie"/>
          <w:rFonts w:ascii="Palatino Linotype" w:hAnsi="Palatino Linotype" w:cstheme="minorBidi"/>
          <w:color w:val="000000" w:themeColor="text1"/>
        </w:rPr>
        <w:footnoteReference w:id="10"/>
      </w:r>
    </w:p>
    <w:p w14:paraId="4D641707" w14:textId="77777777" w:rsidR="00FC6793" w:rsidRPr="00F825BB" w:rsidRDefault="00FC6793" w:rsidP="00FC6793">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3D45222" w14:textId="77777777" w:rsidR="00FC6793" w:rsidRPr="00F825BB" w:rsidRDefault="00FC6793" w:rsidP="00FC6793">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lastRenderedPageBreak/>
        <w:t xml:space="preserve">Identificado ese riesgo, se debe demostrar que el mismo supera el interés público general porque se difunda dicha información. </w:t>
      </w:r>
    </w:p>
    <w:p w14:paraId="535F9CDF" w14:textId="77777777" w:rsidR="00FC6793" w:rsidRDefault="00FC6793" w:rsidP="00FC6793">
      <w:pPr>
        <w:spacing w:line="360" w:lineRule="auto"/>
        <w:jc w:val="both"/>
        <w:rPr>
          <w:rFonts w:ascii="Palatino Linotype" w:hAnsi="Palatino Linotype"/>
          <w:color w:val="000000" w:themeColor="text1"/>
          <w:sz w:val="24"/>
          <w:szCs w:val="24"/>
        </w:rPr>
      </w:pPr>
      <w:r w:rsidRPr="00E01285">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774B2D">
        <w:rPr>
          <w:rStyle w:val="Refdenotaalpie"/>
          <w:rFonts w:ascii="Palatino Linotype" w:hAnsi="Palatino Linotype"/>
          <w:color w:val="000000" w:themeColor="text1"/>
        </w:rPr>
        <w:footnoteReference w:id="11"/>
      </w:r>
      <w:r w:rsidRPr="00E01285">
        <w:rPr>
          <w:rFonts w:ascii="Palatino Linotype" w:hAnsi="Palatino Linotype"/>
          <w:color w:val="000000" w:themeColor="text1"/>
          <w:sz w:val="24"/>
          <w:szCs w:val="24"/>
        </w:rPr>
        <w:t>, siguiendo el principio de ponderación propuesto por el Tribunal Constitucional Alemán,</w:t>
      </w:r>
      <w:r w:rsidRPr="00774B2D">
        <w:rPr>
          <w:rStyle w:val="Refdenotaalpie"/>
          <w:rFonts w:ascii="Palatino Linotype" w:hAnsi="Palatino Linotype"/>
          <w:color w:val="000000" w:themeColor="text1"/>
        </w:rPr>
        <w:footnoteReference w:id="12"/>
      </w:r>
      <w:r w:rsidRPr="00E01285">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611EB89" w14:textId="77777777" w:rsidR="00FC6793" w:rsidRPr="00E01285" w:rsidRDefault="00FC6793" w:rsidP="00FC6793">
      <w:pPr>
        <w:spacing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 xml:space="preserve">Es así, </w:t>
      </w:r>
      <w:proofErr w:type="gramStart"/>
      <w:r>
        <w:rPr>
          <w:rFonts w:ascii="Palatino Linotype" w:hAnsi="Palatino Linotype"/>
          <w:color w:val="000000" w:themeColor="text1"/>
          <w:sz w:val="24"/>
          <w:szCs w:val="24"/>
        </w:rPr>
        <w:t>que</w:t>
      </w:r>
      <w:proofErr w:type="gramEnd"/>
      <w:r>
        <w:rPr>
          <w:rFonts w:ascii="Palatino Linotype" w:hAnsi="Palatino Linotype"/>
          <w:color w:val="000000" w:themeColor="text1"/>
          <w:sz w:val="24"/>
          <w:szCs w:val="24"/>
        </w:rPr>
        <w:t xml:space="preserve"> al configurarse tales requisitos, se otorga certidumbre jurídica y se protege la esfera más íntima del derecho humano constitucional y convencionalmente reconocido. </w:t>
      </w:r>
    </w:p>
    <w:p w14:paraId="47DA3BCD" w14:textId="77777777" w:rsidR="00FC6793" w:rsidRDefault="00FC6793" w:rsidP="0071182B">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1A350177" w14:textId="77777777" w:rsidR="00FC6793" w:rsidRPr="001571EB" w:rsidRDefault="00FC6793" w:rsidP="00FC679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E85EB79" w14:textId="77777777" w:rsidR="00FC6793" w:rsidRPr="00E60DEF" w:rsidRDefault="00FC6793" w:rsidP="00FC679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2A77877" w14:textId="77777777" w:rsidR="00FC6793" w:rsidRPr="00E60DEF" w:rsidRDefault="00FC6793" w:rsidP="00FC679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C562A5" w14:textId="77777777" w:rsidR="00FC6793" w:rsidRPr="001571EB"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8661FB2" w14:textId="77777777" w:rsidR="00FC6793" w:rsidRPr="001571EB" w:rsidRDefault="00FC6793" w:rsidP="00FC679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ABBA4" w14:textId="77777777" w:rsidR="00FC6793" w:rsidRPr="001571EB"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25D6376" w14:textId="77777777" w:rsidR="00FC6793" w:rsidRPr="001571EB" w:rsidRDefault="00FC6793" w:rsidP="00FC679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3BD7A62"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470CFD9C"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86A14D3"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8ADC39B" w14:textId="77777777" w:rsidR="00FC6793" w:rsidRPr="00E60DEF" w:rsidRDefault="00FC6793" w:rsidP="00FC679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D361329" w14:textId="77777777" w:rsidR="00FC6793" w:rsidRPr="001571EB" w:rsidRDefault="00FC6793" w:rsidP="00FC679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E89DD7D" w14:textId="77777777" w:rsidR="00FC6793" w:rsidRPr="00E60DEF"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A02FD31" w14:textId="77777777" w:rsidR="00FC6793" w:rsidRPr="001571EB" w:rsidRDefault="00FC6793" w:rsidP="00FC6793">
      <w:pPr>
        <w:spacing w:line="240" w:lineRule="auto"/>
        <w:ind w:left="851" w:right="851"/>
        <w:jc w:val="both"/>
        <w:rPr>
          <w:rFonts w:ascii="Palatino Linotype" w:hAnsi="Palatino Linotype" w:cs="Arial"/>
          <w:b/>
          <w:i/>
          <w:u w:val="single"/>
        </w:rPr>
      </w:pPr>
    </w:p>
    <w:p w14:paraId="0FB83983" w14:textId="77777777" w:rsidR="00FC6793" w:rsidRPr="001571EB" w:rsidRDefault="00FC6793" w:rsidP="00FC679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98321F8" w14:textId="77777777" w:rsidR="00FC6793" w:rsidRPr="001571EB" w:rsidRDefault="00FC6793" w:rsidP="00FC679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BAF698" w14:textId="77777777" w:rsidR="00FC6793" w:rsidRPr="001571EB" w:rsidRDefault="00FC6793" w:rsidP="00FC67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D92F457" w14:textId="77777777" w:rsidR="00FC6793" w:rsidRDefault="00FC6793" w:rsidP="00FC67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9B4A69E" w14:textId="77777777" w:rsidR="00FC6793" w:rsidRDefault="00FC6793" w:rsidP="00FC679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268BC5C"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70F01C4"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5C3AF11"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F200A78"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B3EA1FF" w14:textId="77777777" w:rsidR="00FC6793" w:rsidRPr="00EE0180"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D9659C" w14:textId="77777777" w:rsidR="00FC6793" w:rsidRPr="001571EB" w:rsidRDefault="00FC6793" w:rsidP="00FC6793">
      <w:pPr>
        <w:autoSpaceDE w:val="0"/>
        <w:autoSpaceDN w:val="0"/>
        <w:adjustRightInd w:val="0"/>
        <w:spacing w:before="120" w:after="120"/>
        <w:ind w:left="567" w:right="850"/>
        <w:jc w:val="both"/>
        <w:rPr>
          <w:rFonts w:ascii="Palatino Linotype" w:eastAsia="Times New Roman" w:hAnsi="Palatino Linotype" w:cs="Arial"/>
          <w:i/>
        </w:rPr>
      </w:pPr>
    </w:p>
    <w:p w14:paraId="3B1C17CB" w14:textId="77777777" w:rsidR="00FC6793" w:rsidRPr="001571EB" w:rsidRDefault="00FC6793" w:rsidP="00FC679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FC9A5FB" w14:textId="77777777" w:rsidR="00FC6793" w:rsidRPr="001571EB" w:rsidRDefault="00FC6793" w:rsidP="00FC679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5F162DA" w14:textId="77777777" w:rsidR="00FC6793" w:rsidRDefault="00FC6793" w:rsidP="00FC679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86A28C7" w14:textId="77777777" w:rsidR="00FC6793" w:rsidRDefault="00FC6793" w:rsidP="00FC679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BAB1D20"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E8955BB"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5AA9937"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CC481E3"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B7B011" w14:textId="6F431EAE" w:rsidR="00FC6793"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CFCF836" w14:textId="77777777" w:rsidR="00812C93" w:rsidRPr="00EE0180" w:rsidRDefault="00812C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6EA4469" w14:textId="18895DA9" w:rsidR="00FC6793" w:rsidRDefault="00FC6793" w:rsidP="00FC679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8DAE1DA" w14:textId="77777777" w:rsidR="00FC6793" w:rsidRDefault="00FC6793" w:rsidP="00FC6793">
      <w:pPr>
        <w:spacing w:after="0" w:line="360" w:lineRule="auto"/>
        <w:ind w:right="51"/>
        <w:jc w:val="both"/>
        <w:rPr>
          <w:rFonts w:ascii="Palatino Linotype" w:hAnsi="Palatino Linotype" w:cs="Arial"/>
          <w:sz w:val="24"/>
          <w:szCs w:val="24"/>
        </w:rPr>
      </w:pPr>
    </w:p>
    <w:p w14:paraId="0F19A2CB" w14:textId="4CFAD86D" w:rsidR="00FC6793" w:rsidRPr="00FB59FD"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812C93"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szCs w:val="24"/>
        </w:rPr>
        <w:t>00090/CALIMAYA/IP/2020</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6586F7B9" w14:textId="77777777"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3F364FB" w14:textId="77777777"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B75C182" w14:textId="77777777" w:rsidR="00FC6793" w:rsidRPr="00BE383C" w:rsidRDefault="00FC6793" w:rsidP="00FC6793">
      <w:pPr>
        <w:pStyle w:val="Sinespaciado"/>
        <w:spacing w:line="360" w:lineRule="auto"/>
        <w:jc w:val="both"/>
        <w:rPr>
          <w:rFonts w:ascii="Palatino Linotype" w:hAnsi="Palatino Linotype" w:cstheme="minorHAnsi"/>
        </w:rPr>
      </w:pPr>
    </w:p>
    <w:p w14:paraId="0F8D6747" w14:textId="2C5C4B76" w:rsidR="00FC6793" w:rsidRDefault="00FC6793" w:rsidP="00FC6793">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EC1B64">
        <w:rPr>
          <w:rFonts w:ascii="Palatino Linotype" w:hAnsi="Palatino Linotype" w:cs="Arial"/>
          <w:b/>
        </w:rPr>
        <w:t>00090/CALIMAYA/IP/2020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EBFDA79" w14:textId="77777777" w:rsidR="00FC6793" w:rsidRPr="00BE383C" w:rsidRDefault="00FC6793" w:rsidP="00FC6793">
      <w:pPr>
        <w:pStyle w:val="Sinespaciado"/>
        <w:spacing w:line="360" w:lineRule="auto"/>
        <w:jc w:val="both"/>
        <w:rPr>
          <w:rFonts w:ascii="Palatino Linotype" w:hAnsi="Palatino Linotype" w:cstheme="minorHAnsi"/>
        </w:rPr>
      </w:pPr>
    </w:p>
    <w:p w14:paraId="612D18F7" w14:textId="77777777" w:rsidR="00FC6793" w:rsidRPr="00BE383C" w:rsidRDefault="00FC6793" w:rsidP="00FC6793">
      <w:pPr>
        <w:pStyle w:val="Sinespaciado"/>
        <w:spacing w:line="360" w:lineRule="auto"/>
        <w:jc w:val="both"/>
        <w:rPr>
          <w:rFonts w:ascii="Palatino Linotype" w:hAnsi="Palatino Linotype" w:cstheme="minorHAnsi"/>
        </w:rPr>
      </w:pPr>
    </w:p>
    <w:p w14:paraId="1A23A0BD" w14:textId="77777777"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DA2071" w14:textId="77777777" w:rsidR="00FC6793" w:rsidRPr="00BE383C" w:rsidRDefault="00FC6793" w:rsidP="00FC6793">
      <w:pPr>
        <w:pStyle w:val="Sinespaciado"/>
        <w:spacing w:line="360" w:lineRule="auto"/>
        <w:jc w:val="both"/>
        <w:rPr>
          <w:rFonts w:ascii="Palatino Linotype" w:hAnsi="Palatino Linotype" w:cstheme="minorHAnsi"/>
        </w:rPr>
      </w:pPr>
    </w:p>
    <w:p w14:paraId="421B6837" w14:textId="661DAC46"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w:t>
      </w:r>
      <w:r w:rsidR="00EC1B64">
        <w:rPr>
          <w:rFonts w:ascii="Palatino Linotype" w:hAnsi="Palatino Linotype" w:cstheme="minorHAnsi"/>
        </w:rPr>
        <w:t>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w:t>
      </w:r>
      <w:proofErr w:type="gramStart"/>
      <w:r w:rsidRPr="00BE383C">
        <w:rPr>
          <w:rFonts w:ascii="Palatino Linotype" w:hAnsi="Palatino Linotype" w:cstheme="minorHAnsi"/>
        </w:rPr>
        <w:t>de acuerdo a</w:t>
      </w:r>
      <w:proofErr w:type="gramEnd"/>
      <w:r w:rsidRPr="00BE383C">
        <w:rPr>
          <w:rFonts w:ascii="Palatino Linotype" w:hAnsi="Palatino Linotype" w:cstheme="minorHAnsi"/>
        </w:rPr>
        <w:t xml:space="preserve"> lo estipulado por el artículo 196, de la Ley de Transparencia y Acceso a la Información Pública del Estado de México y Municipios.</w:t>
      </w:r>
    </w:p>
    <w:p w14:paraId="4F6C82DF" w14:textId="77777777" w:rsidR="00FC6793" w:rsidRDefault="00FC6793" w:rsidP="00FC679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E5963B" w14:textId="77777777" w:rsidR="00FC6793" w:rsidRPr="00BE383C" w:rsidRDefault="00FC6793" w:rsidP="00FC6793">
      <w:pPr>
        <w:pStyle w:val="Sinespaciado"/>
        <w:spacing w:line="360" w:lineRule="auto"/>
        <w:jc w:val="both"/>
        <w:rPr>
          <w:rFonts w:ascii="Palatino Linotype" w:eastAsia="MS Mincho" w:hAnsi="Palatino Linotype" w:cstheme="minorHAnsi"/>
        </w:rPr>
      </w:pPr>
    </w:p>
    <w:p w14:paraId="52C11A84" w14:textId="77777777"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52325EC" w14:textId="77777777" w:rsidR="00FC6793" w:rsidRDefault="00FC6793" w:rsidP="00FC6793">
      <w:pPr>
        <w:autoSpaceDE w:val="0"/>
        <w:autoSpaceDN w:val="0"/>
        <w:adjustRightInd w:val="0"/>
        <w:spacing w:after="0" w:line="360" w:lineRule="auto"/>
        <w:ind w:right="49"/>
        <w:jc w:val="both"/>
        <w:rPr>
          <w:rFonts w:ascii="Palatino Linotype" w:hAnsi="Palatino Linotype" w:cs="Arial"/>
          <w:sz w:val="24"/>
          <w:szCs w:val="24"/>
        </w:rPr>
      </w:pPr>
    </w:p>
    <w:p w14:paraId="3470E5F1" w14:textId="3FC7B924" w:rsidR="00EC1B64" w:rsidRDefault="009A5567" w:rsidP="00EC1B64">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w:t>
      </w:r>
      <w:r w:rsidR="00EC1B64">
        <w:rPr>
          <w:rFonts w:ascii="Palatino Linotype" w:eastAsia="Calibri" w:hAnsi="Palatino Linotype" w:cs="Times New Roman"/>
          <w:sz w:val="24"/>
          <w:szCs w:val="24"/>
          <w:lang w:eastAsia="es-ES_tradnl"/>
        </w:rPr>
        <w:t xml:space="preserve"> </w:t>
      </w:r>
      <w:r w:rsidR="00EC1B64"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C1B64" w:rsidRPr="00ED71C5">
        <w:rPr>
          <w:rFonts w:ascii="Palatino Linotype" w:eastAsia="Calibri" w:hAnsi="Palatino Linotype" w:cs="Times New Roman"/>
          <w:b/>
          <w:sz w:val="24"/>
          <w:szCs w:val="24"/>
          <w:lang w:eastAsia="es-ES_tradnl"/>
        </w:rPr>
        <w:t>SUJETO OBLIGADO</w:t>
      </w:r>
      <w:r w:rsidR="00EC1B64"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2E9B0F" w14:textId="77777777" w:rsidR="009A5567" w:rsidRPr="00906716" w:rsidRDefault="009A5567" w:rsidP="00EC1B64">
      <w:pPr>
        <w:spacing w:after="0" w:line="360" w:lineRule="auto"/>
        <w:jc w:val="both"/>
        <w:rPr>
          <w:rFonts w:ascii="Palatino Linotype" w:eastAsia="Calibri" w:hAnsi="Palatino Linotype" w:cs="Times New Roman"/>
          <w:sz w:val="24"/>
          <w:szCs w:val="24"/>
          <w:lang w:eastAsia="es-ES_tradnl"/>
        </w:rPr>
      </w:pPr>
    </w:p>
    <w:p w14:paraId="75C29CAC" w14:textId="050C12CD" w:rsidR="00EC1B64" w:rsidRDefault="00EC1B64" w:rsidP="00EC1B64">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w:t>
      </w:r>
      <w:r w:rsidR="002B7A1A">
        <w:rPr>
          <w:rFonts w:ascii="Palatino Linotype" w:hAnsi="Palatino Linotype" w:cs="Arial"/>
          <w:sz w:val="24"/>
          <w:szCs w:val="24"/>
        </w:rPr>
        <w:t>MAYORÍA</w:t>
      </w:r>
      <w:r w:rsidRPr="00C91103">
        <w:rPr>
          <w:rFonts w:ascii="Palatino Linotype" w:hAnsi="Palatino Linotype" w:cs="Arial"/>
          <w:sz w:val="24"/>
          <w:szCs w:val="24"/>
        </w:rPr>
        <w:t xml:space="preserve">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xml:space="preserve">, CONFORMADO POR LOS COMISIONADOS ZULEMA MARTÍNEZ SÁNCHEZ, EVA ABAID YAPUR, JOSÉ GUADALUPE LUNA HERNÁNDEZ, JAVIER MARTÍNEZ CRUZ </w:t>
      </w:r>
      <w:r w:rsidR="002B7A1A">
        <w:rPr>
          <w:rFonts w:ascii="Palatino Linotype" w:hAnsi="Palatino Linotype" w:cs="Arial"/>
          <w:sz w:val="24"/>
          <w:szCs w:val="24"/>
        </w:rPr>
        <w:t xml:space="preserve">(VOTO EN </w:t>
      </w:r>
      <w:r w:rsidR="002B7A1A">
        <w:rPr>
          <w:rFonts w:ascii="Palatino Linotype" w:hAnsi="Palatino Linotype" w:cs="Arial"/>
          <w:sz w:val="24"/>
          <w:szCs w:val="24"/>
        </w:rPr>
        <w:lastRenderedPageBreak/>
        <w:t xml:space="preserve">CONTRA CON VOTO DISIDENTE) </w:t>
      </w:r>
      <w:r w:rsidRPr="00272CE0">
        <w:rPr>
          <w:rFonts w:ascii="Palatino Linotype" w:hAnsi="Palatino Linotype" w:cs="Arial"/>
          <w:sz w:val="24"/>
          <w:szCs w:val="24"/>
        </w:rPr>
        <w:t xml:space="preserve">Y LUIS GUSTAVO PARRA NORIEGA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VIGÉSIMA CUARTA</w:t>
      </w:r>
      <w:r w:rsidRPr="00272CE0">
        <w:rPr>
          <w:rFonts w:ascii="Palatino Linotype" w:hAnsi="Palatino Linotype" w:cs="Arial"/>
          <w:sz w:val="24"/>
          <w:szCs w:val="24"/>
        </w:rPr>
        <w:t xml:space="preserve"> SESIÓN ORDINARIA CELEBRADA EL </w:t>
      </w:r>
      <w:r>
        <w:rPr>
          <w:rFonts w:ascii="Palatino Linotype" w:hAnsi="Palatino Linotype" w:cs="Arial"/>
          <w:sz w:val="24"/>
          <w:szCs w:val="24"/>
        </w:rPr>
        <w:t>VEINTIOCHO DE OCTUBRE</w:t>
      </w:r>
      <w:r w:rsidRPr="00272CE0">
        <w:rPr>
          <w:rFonts w:ascii="Palatino Linotype" w:hAnsi="Palatino Linotype" w:cs="Arial"/>
          <w:sz w:val="24"/>
          <w:szCs w:val="24"/>
        </w:rPr>
        <w:t xml:space="preserve"> DE DOS MIL VEINTE, ANTE EL 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46016340" w14:textId="77777777" w:rsidR="00EC1B64" w:rsidRDefault="00EC1B64" w:rsidP="00EC1B64">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26848" behindDoc="0" locked="0" layoutInCell="1" allowOverlap="1" wp14:anchorId="0968E5F7" wp14:editId="184AD973">
                <wp:simplePos x="0" y="0"/>
                <wp:positionH relativeFrom="column">
                  <wp:posOffset>-184396</wp:posOffset>
                </wp:positionH>
                <wp:positionV relativeFrom="paragraph">
                  <wp:posOffset>97946</wp:posOffset>
                </wp:positionV>
                <wp:extent cx="6354147" cy="5896946"/>
                <wp:effectExtent l="0" t="0" r="27940" b="27940"/>
                <wp:wrapNone/>
                <wp:docPr id="21" name="Conector recto 21"/>
                <wp:cNvGraphicFramePr/>
                <a:graphic xmlns:a="http://schemas.openxmlformats.org/drawingml/2006/main">
                  <a:graphicData uri="http://schemas.microsoft.com/office/word/2010/wordprocessingShape">
                    <wps:wsp>
                      <wps:cNvCnPr/>
                      <wps:spPr>
                        <a:xfrm>
                          <a:off x="0" y="0"/>
                          <a:ext cx="6354147" cy="5896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A59E4" id="Conector recto 2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7.7pt" to="485.85pt,4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" strokecolor="#5b9bd5 [3204]" strokeweight=".5pt">
                <v:stroke joinstyle="miter"/>
              </v:line>
            </w:pict>
          </mc:Fallback>
        </mc:AlternateContent>
      </w:r>
    </w:p>
    <w:p w14:paraId="3E497653" w14:textId="77777777" w:rsidR="00EC1B64" w:rsidRDefault="00EC1B64" w:rsidP="00EC1B64">
      <w:pPr>
        <w:spacing w:before="240" w:line="360" w:lineRule="auto"/>
        <w:jc w:val="both"/>
        <w:rPr>
          <w:rFonts w:ascii="Palatino Linotype" w:hAnsi="Palatino Linotype" w:cs="Arial"/>
          <w:sz w:val="24"/>
          <w:szCs w:val="24"/>
        </w:rPr>
      </w:pPr>
    </w:p>
    <w:p w14:paraId="234D3375" w14:textId="77777777" w:rsidR="00EC1B64" w:rsidRDefault="00EC1B64" w:rsidP="00EC1B64">
      <w:pPr>
        <w:spacing w:before="240" w:line="360" w:lineRule="auto"/>
        <w:jc w:val="both"/>
        <w:rPr>
          <w:rFonts w:ascii="Palatino Linotype" w:hAnsi="Palatino Linotype" w:cs="Arial"/>
          <w:sz w:val="24"/>
          <w:szCs w:val="24"/>
        </w:rPr>
      </w:pPr>
    </w:p>
    <w:p w14:paraId="63BBD928" w14:textId="77777777" w:rsidR="00EC1B64" w:rsidRDefault="00EC1B64" w:rsidP="00EC1B64">
      <w:pPr>
        <w:spacing w:before="240" w:line="360" w:lineRule="auto"/>
        <w:jc w:val="both"/>
        <w:rPr>
          <w:rFonts w:ascii="Palatino Linotype" w:hAnsi="Palatino Linotype" w:cs="Arial"/>
          <w:sz w:val="24"/>
          <w:szCs w:val="24"/>
        </w:rPr>
      </w:pPr>
    </w:p>
    <w:p w14:paraId="3886C293" w14:textId="77777777" w:rsidR="00EC1B64" w:rsidRDefault="00EC1B64" w:rsidP="00EC1B64">
      <w:pPr>
        <w:spacing w:before="240" w:line="360" w:lineRule="auto"/>
        <w:jc w:val="both"/>
        <w:rPr>
          <w:rFonts w:ascii="Palatino Linotype" w:hAnsi="Palatino Linotype" w:cs="Arial"/>
          <w:sz w:val="24"/>
          <w:szCs w:val="24"/>
        </w:rPr>
      </w:pPr>
    </w:p>
    <w:p w14:paraId="24E36296" w14:textId="77777777" w:rsidR="00EC1B64" w:rsidRDefault="00EC1B64" w:rsidP="00EC1B64">
      <w:pPr>
        <w:spacing w:before="240" w:line="360" w:lineRule="auto"/>
        <w:jc w:val="both"/>
        <w:rPr>
          <w:rFonts w:ascii="Palatino Linotype" w:hAnsi="Palatino Linotype" w:cs="Arial"/>
          <w:sz w:val="24"/>
          <w:szCs w:val="24"/>
        </w:rPr>
      </w:pPr>
    </w:p>
    <w:p w14:paraId="4249DE86" w14:textId="77777777" w:rsidR="00EC1B64" w:rsidRDefault="00EC1B64" w:rsidP="00EC1B64">
      <w:pPr>
        <w:spacing w:before="240" w:line="360" w:lineRule="auto"/>
        <w:jc w:val="both"/>
        <w:rPr>
          <w:rFonts w:ascii="Palatino Linotype" w:hAnsi="Palatino Linotype" w:cs="Arial"/>
          <w:sz w:val="24"/>
          <w:szCs w:val="24"/>
        </w:rPr>
      </w:pPr>
    </w:p>
    <w:p w14:paraId="26EA7FD7" w14:textId="77777777" w:rsidR="00EC1B64" w:rsidRDefault="00EC1B64" w:rsidP="00EC1B64">
      <w:pPr>
        <w:spacing w:before="240" w:line="360" w:lineRule="auto"/>
        <w:jc w:val="both"/>
        <w:rPr>
          <w:rFonts w:ascii="Palatino Linotype" w:hAnsi="Palatino Linotype" w:cs="Arial"/>
          <w:sz w:val="24"/>
          <w:szCs w:val="24"/>
        </w:rPr>
      </w:pPr>
    </w:p>
    <w:p w14:paraId="0D3727B0" w14:textId="77777777" w:rsidR="00EC1B64" w:rsidRDefault="00EC1B64" w:rsidP="00EC1B64">
      <w:pPr>
        <w:spacing w:before="240" w:line="360" w:lineRule="auto"/>
        <w:jc w:val="both"/>
        <w:rPr>
          <w:rFonts w:ascii="Palatino Linotype" w:hAnsi="Palatino Linotype" w:cs="Arial"/>
          <w:sz w:val="24"/>
          <w:szCs w:val="24"/>
        </w:rPr>
      </w:pPr>
    </w:p>
    <w:p w14:paraId="17FA307B" w14:textId="77777777" w:rsidR="00EC1B64" w:rsidRDefault="00EC1B64" w:rsidP="00EC1B64">
      <w:pPr>
        <w:spacing w:before="240" w:line="360" w:lineRule="auto"/>
        <w:jc w:val="both"/>
        <w:rPr>
          <w:rFonts w:ascii="Palatino Linotype" w:hAnsi="Palatino Linotype" w:cs="Arial"/>
          <w:sz w:val="24"/>
          <w:szCs w:val="24"/>
        </w:rPr>
      </w:pPr>
    </w:p>
    <w:p w14:paraId="7422923B" w14:textId="77777777" w:rsidR="00EC1B64" w:rsidRDefault="00EC1B64" w:rsidP="00EC1B64">
      <w:pPr>
        <w:spacing w:before="240" w:line="360" w:lineRule="auto"/>
        <w:jc w:val="both"/>
        <w:rPr>
          <w:rFonts w:ascii="Palatino Linotype" w:hAnsi="Palatino Linotype" w:cs="Arial"/>
          <w:sz w:val="24"/>
          <w:szCs w:val="24"/>
        </w:rPr>
      </w:pPr>
    </w:p>
    <w:p w14:paraId="6D50E06F" w14:textId="77777777" w:rsidR="00EC1B64" w:rsidRDefault="00EC1B64" w:rsidP="00EC1B64">
      <w:pPr>
        <w:spacing w:before="240" w:line="360" w:lineRule="auto"/>
        <w:jc w:val="both"/>
        <w:rPr>
          <w:rFonts w:ascii="Palatino Linotype" w:hAnsi="Palatino Linotype" w:cs="Arial"/>
          <w:sz w:val="24"/>
          <w:szCs w:val="24"/>
        </w:rPr>
      </w:pPr>
    </w:p>
    <w:p w14:paraId="52BEFE08" w14:textId="77777777" w:rsidR="00EC1B64" w:rsidRDefault="00EC1B64" w:rsidP="00EC1B64">
      <w:pPr>
        <w:spacing w:before="240" w:line="360" w:lineRule="auto"/>
        <w:jc w:val="both"/>
        <w:rPr>
          <w:rFonts w:ascii="Palatino Linotype" w:hAnsi="Palatino Linotype" w:cs="Arial"/>
          <w:sz w:val="24"/>
          <w:szCs w:val="24"/>
        </w:rPr>
      </w:pPr>
    </w:p>
    <w:p w14:paraId="04244E8E" w14:textId="77777777" w:rsidR="00EC1B64" w:rsidRDefault="00EC1B64" w:rsidP="00EC1B64">
      <w:pPr>
        <w:spacing w:before="240" w:line="360" w:lineRule="auto"/>
        <w:jc w:val="both"/>
        <w:rPr>
          <w:rFonts w:ascii="Palatino Linotype" w:hAnsi="Palatino Linotype" w:cs="Arial"/>
          <w:sz w:val="24"/>
          <w:szCs w:val="24"/>
        </w:rPr>
      </w:pPr>
    </w:p>
    <w:p w14:paraId="7FE6424C" w14:textId="77777777" w:rsidR="00EC1B64" w:rsidRPr="00D05C83" w:rsidRDefault="00EC1B64" w:rsidP="00EC1B6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0A84C468" wp14:editId="226F8307">
                <wp:simplePos x="0" y="0"/>
                <wp:positionH relativeFrom="page">
                  <wp:posOffset>2600325</wp:posOffset>
                </wp:positionH>
                <wp:positionV relativeFrom="paragraph">
                  <wp:posOffset>178435</wp:posOffset>
                </wp:positionV>
                <wp:extent cx="2551430" cy="971550"/>
                <wp:effectExtent l="0" t="0" r="20320" b="19050"/>
                <wp:wrapNone/>
                <wp:docPr id="17" name="Cuadro de texto 17"/>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C80896" w14:textId="77777777" w:rsidR="00EC1B64" w:rsidRPr="00EF2FC0" w:rsidRDefault="00EC1B64" w:rsidP="00EC1B64">
                            <w:pPr>
                              <w:jc w:val="center"/>
                              <w:rPr>
                                <w:rFonts w:ascii="Palatino Linotype" w:hAnsi="Palatino Linotype"/>
                              </w:rPr>
                            </w:pPr>
                            <w:r w:rsidRPr="00EF2FC0">
                              <w:rPr>
                                <w:rFonts w:ascii="Palatino Linotype" w:hAnsi="Palatino Linotype"/>
                                <w:b/>
                              </w:rPr>
                              <w:t>Zulema Martínez Sánchez</w:t>
                            </w:r>
                          </w:p>
                          <w:p w14:paraId="07FE2841" w14:textId="77777777" w:rsidR="00EC1B64" w:rsidRDefault="00EC1B64" w:rsidP="00EC1B64">
                            <w:pPr>
                              <w:jc w:val="center"/>
                              <w:rPr>
                                <w:rFonts w:ascii="Palatino Linotype" w:hAnsi="Palatino Linotype"/>
                              </w:rPr>
                            </w:pPr>
                            <w:r>
                              <w:rPr>
                                <w:rFonts w:ascii="Palatino Linotype" w:hAnsi="Palatino Linotype"/>
                              </w:rPr>
                              <w:t>Comisionada Presidenta</w:t>
                            </w:r>
                          </w:p>
                          <w:p w14:paraId="3C5AFD36" w14:textId="77777777" w:rsidR="00EC1B64" w:rsidRDefault="00EC1B64" w:rsidP="00EC1B64">
                            <w:pPr>
                              <w:jc w:val="center"/>
                              <w:rPr>
                                <w:rFonts w:ascii="Palatino Linotype" w:hAnsi="Palatino Linotype"/>
                                <w:b/>
                              </w:rPr>
                            </w:pPr>
                            <w:r>
                              <w:rPr>
                                <w:rFonts w:ascii="Palatino Linotype" w:hAnsi="Palatino Linotype"/>
                                <w:b/>
                              </w:rPr>
                              <w:t>(Rúbrica).</w:t>
                            </w:r>
                          </w:p>
                          <w:p w14:paraId="09B0D1EB" w14:textId="77777777" w:rsidR="00EC1B64" w:rsidRPr="00016AF3" w:rsidRDefault="00EC1B64" w:rsidP="00EC1B6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4C468" id="_x0000_t202" coordsize="21600,21600" o:spt="202" path="m,l,21600r21600,l21600,xe">
                <v:stroke joinstyle="miter"/>
                <v:path gradientshapeok="t" o:connecttype="rect"/>
              </v:shapetype>
              <v:shape id="Cuadro de texto 17" o:spid="_x0000_s1026" type="#_x0000_t202" style="position:absolute;left:0;text-align:left;margin-left:204.75pt;margin-top:14.05pt;width:200.9pt;height:76.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Vy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jMW1cpICAAC7BQAADgAAAAAAAAAAAAAAAAAuAgAAZHJzL2Uyb0RvYy54bWxQ&#10;SwECLQAUAAYACAAAACEAXjOe0N4AAAAKAQAADwAAAAAAAAAAAAAAAADsBAAAZHJzL2Rvd25yZXYu&#10;eG1sUEsFBgAAAAAEAAQA8wAAAPcFAAAAAA==&#10;" fillcolor="white [3201]" strokecolor="white [3212]" strokeweight=".5pt">
                <v:textbox>
                  <w:txbxContent>
                    <w:p w14:paraId="0FC80896" w14:textId="77777777" w:rsidR="00EC1B64" w:rsidRPr="00EF2FC0" w:rsidRDefault="00EC1B64" w:rsidP="00EC1B64">
                      <w:pPr>
                        <w:jc w:val="center"/>
                        <w:rPr>
                          <w:rFonts w:ascii="Palatino Linotype" w:hAnsi="Palatino Linotype"/>
                        </w:rPr>
                      </w:pPr>
                      <w:r w:rsidRPr="00EF2FC0">
                        <w:rPr>
                          <w:rFonts w:ascii="Palatino Linotype" w:hAnsi="Palatino Linotype"/>
                          <w:b/>
                        </w:rPr>
                        <w:t>Zulema Martínez Sánchez</w:t>
                      </w:r>
                    </w:p>
                    <w:p w14:paraId="07FE2841" w14:textId="77777777" w:rsidR="00EC1B64" w:rsidRDefault="00EC1B64" w:rsidP="00EC1B64">
                      <w:pPr>
                        <w:jc w:val="center"/>
                        <w:rPr>
                          <w:rFonts w:ascii="Palatino Linotype" w:hAnsi="Palatino Linotype"/>
                        </w:rPr>
                      </w:pPr>
                      <w:r>
                        <w:rPr>
                          <w:rFonts w:ascii="Palatino Linotype" w:hAnsi="Palatino Linotype"/>
                        </w:rPr>
                        <w:t>Comisionada Presidenta</w:t>
                      </w:r>
                    </w:p>
                    <w:p w14:paraId="3C5AFD36" w14:textId="77777777" w:rsidR="00EC1B64" w:rsidRDefault="00EC1B64" w:rsidP="00EC1B64">
                      <w:pPr>
                        <w:jc w:val="center"/>
                        <w:rPr>
                          <w:rFonts w:ascii="Palatino Linotype" w:hAnsi="Palatino Linotype"/>
                          <w:b/>
                        </w:rPr>
                      </w:pPr>
                      <w:r>
                        <w:rPr>
                          <w:rFonts w:ascii="Palatino Linotype" w:hAnsi="Palatino Linotype"/>
                          <w:b/>
                        </w:rPr>
                        <w:t>(Rúbrica).</w:t>
                      </w:r>
                    </w:p>
                    <w:p w14:paraId="09B0D1EB" w14:textId="77777777" w:rsidR="00EC1B64" w:rsidRPr="00016AF3" w:rsidRDefault="00EC1B64" w:rsidP="00EC1B64">
                      <w:pPr>
                        <w:jc w:val="center"/>
                        <w:rPr>
                          <w:rFonts w:ascii="Palatino Linotype" w:hAnsi="Palatino Linotype"/>
                          <w:b/>
                        </w:rPr>
                      </w:pPr>
                    </w:p>
                  </w:txbxContent>
                </v:textbox>
                <w10:wrap anchorx="page"/>
              </v:shape>
            </w:pict>
          </mc:Fallback>
        </mc:AlternateContent>
      </w:r>
    </w:p>
    <w:p w14:paraId="3F8A5DF6" w14:textId="77777777" w:rsidR="00EC1B64" w:rsidRDefault="00EC1B64" w:rsidP="00EC1B64">
      <w:pPr>
        <w:autoSpaceDE w:val="0"/>
        <w:autoSpaceDN w:val="0"/>
        <w:adjustRightInd w:val="0"/>
        <w:spacing w:before="240" w:line="480" w:lineRule="auto"/>
        <w:jc w:val="both"/>
        <w:rPr>
          <w:rFonts w:ascii="Palatino Linotype" w:hAnsi="Palatino Linotype" w:cs="Arial"/>
          <w:sz w:val="24"/>
          <w:szCs w:val="24"/>
        </w:rPr>
      </w:pPr>
    </w:p>
    <w:p w14:paraId="3A43860D" w14:textId="77777777" w:rsidR="00EC1B64" w:rsidRDefault="00EC1B64" w:rsidP="00EC1B6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2B0274B1" wp14:editId="18437947">
                <wp:simplePos x="0" y="0"/>
                <wp:positionH relativeFrom="margin">
                  <wp:posOffset>-333375</wp:posOffset>
                </wp:positionH>
                <wp:positionV relativeFrom="paragraph">
                  <wp:posOffset>619760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71DAEB" w14:textId="77777777" w:rsidR="00EC1B64" w:rsidRPr="00EF2FC0" w:rsidRDefault="00EC1B64" w:rsidP="00EC1B64">
                            <w:pPr>
                              <w:jc w:val="center"/>
                              <w:rPr>
                                <w:rFonts w:ascii="Palatino Linotype" w:hAnsi="Palatino Linotype"/>
                                <w:b/>
                              </w:rPr>
                            </w:pPr>
                            <w:r w:rsidRPr="00EF2FC0">
                              <w:rPr>
                                <w:rFonts w:ascii="Palatino Linotype" w:hAnsi="Palatino Linotype"/>
                                <w:b/>
                              </w:rPr>
                              <w:t>Eva Abaid Yapur</w:t>
                            </w:r>
                          </w:p>
                          <w:p w14:paraId="2DE84C34" w14:textId="77777777" w:rsidR="00EC1B64" w:rsidRPr="00EF2FC0" w:rsidRDefault="00EC1B64" w:rsidP="00EC1B64">
                            <w:pPr>
                              <w:jc w:val="center"/>
                              <w:rPr>
                                <w:rFonts w:ascii="Palatino Linotype" w:hAnsi="Palatino Linotype"/>
                              </w:rPr>
                            </w:pPr>
                            <w:r w:rsidRPr="00EF2FC0">
                              <w:rPr>
                                <w:rFonts w:ascii="Palatino Linotype" w:hAnsi="Palatino Linotype"/>
                              </w:rPr>
                              <w:t>Comisionada</w:t>
                            </w:r>
                          </w:p>
                          <w:p w14:paraId="43C030C5" w14:textId="77777777" w:rsidR="00EC1B64" w:rsidRDefault="00EC1B64" w:rsidP="00EC1B64">
                            <w:pPr>
                              <w:jc w:val="center"/>
                              <w:rPr>
                                <w:rFonts w:ascii="Palatino Linotype" w:hAnsi="Palatino Linotype"/>
                                <w:b/>
                              </w:rPr>
                            </w:pPr>
                            <w:r>
                              <w:rPr>
                                <w:rFonts w:ascii="Palatino Linotype" w:hAnsi="Palatino Linotype"/>
                                <w:b/>
                              </w:rPr>
                              <w:t>(Rúbrica).</w:t>
                            </w:r>
                          </w:p>
                          <w:p w14:paraId="3F1BD327" w14:textId="77777777" w:rsidR="00EC1B64" w:rsidRDefault="00EC1B64" w:rsidP="00EC1B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74B1" id="Cuadro de texto 20" o:spid="_x0000_s1027" type="#_x0000_t202" style="position:absolute;left:0;text-align:left;margin-left:-26.25pt;margin-top:48.8pt;width:195.75pt;height:7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Art80flAIAAMIFAAAOAAAAAAAAAAAAAAAAAC4CAABkcnMvZTJvRG9j&#10;LnhtbFBLAQItABQABgAIAAAAIQBvPLxT4QAAAAoBAAAPAAAAAAAAAAAAAAAAAO4EAABkcnMvZG93&#10;bnJldi54bWxQSwUGAAAAAAQABADzAAAA/AUAAAAA&#10;" fillcolor="white [3201]" strokecolor="white [3212]" strokeweight=".5pt">
                <v:textbox>
                  <w:txbxContent>
                    <w:p w14:paraId="5F71DAEB" w14:textId="77777777" w:rsidR="00EC1B64" w:rsidRPr="00EF2FC0" w:rsidRDefault="00EC1B64" w:rsidP="00EC1B64">
                      <w:pPr>
                        <w:jc w:val="center"/>
                        <w:rPr>
                          <w:rFonts w:ascii="Palatino Linotype" w:hAnsi="Palatino Linotype"/>
                          <w:b/>
                        </w:rPr>
                      </w:pPr>
                      <w:r w:rsidRPr="00EF2FC0">
                        <w:rPr>
                          <w:rFonts w:ascii="Palatino Linotype" w:hAnsi="Palatino Linotype"/>
                          <w:b/>
                        </w:rPr>
                        <w:t>Eva Abaid Yapur</w:t>
                      </w:r>
                    </w:p>
                    <w:p w14:paraId="2DE84C34" w14:textId="77777777" w:rsidR="00EC1B64" w:rsidRPr="00EF2FC0" w:rsidRDefault="00EC1B64" w:rsidP="00EC1B64">
                      <w:pPr>
                        <w:jc w:val="center"/>
                        <w:rPr>
                          <w:rFonts w:ascii="Palatino Linotype" w:hAnsi="Palatino Linotype"/>
                        </w:rPr>
                      </w:pPr>
                      <w:r w:rsidRPr="00EF2FC0">
                        <w:rPr>
                          <w:rFonts w:ascii="Palatino Linotype" w:hAnsi="Palatino Linotype"/>
                        </w:rPr>
                        <w:t>Comisionada</w:t>
                      </w:r>
                    </w:p>
                    <w:p w14:paraId="43C030C5" w14:textId="77777777" w:rsidR="00EC1B64" w:rsidRDefault="00EC1B64" w:rsidP="00EC1B64">
                      <w:pPr>
                        <w:jc w:val="center"/>
                        <w:rPr>
                          <w:rFonts w:ascii="Palatino Linotype" w:hAnsi="Palatino Linotype"/>
                          <w:b/>
                        </w:rPr>
                      </w:pPr>
                      <w:r>
                        <w:rPr>
                          <w:rFonts w:ascii="Palatino Linotype" w:hAnsi="Palatino Linotype"/>
                          <w:b/>
                        </w:rPr>
                        <w:t>(Rúbrica).</w:t>
                      </w:r>
                    </w:p>
                    <w:p w14:paraId="3F1BD327" w14:textId="77777777" w:rsidR="00EC1B64" w:rsidRDefault="00EC1B64" w:rsidP="00EC1B64">
                      <w:pPr>
                        <w:jc w:val="center"/>
                      </w:pPr>
                    </w:p>
                  </w:txbxContent>
                </v:textbox>
                <w10:wrap anchorx="margin"/>
              </v:shape>
            </w:pict>
          </mc:Fallback>
        </mc:AlternateContent>
      </w:r>
    </w:p>
    <w:p w14:paraId="4B7A78D7" w14:textId="77777777" w:rsidR="00EC1B64" w:rsidRDefault="00EC1B64" w:rsidP="00EC1B6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2752" behindDoc="0" locked="0" layoutInCell="1" allowOverlap="1" wp14:anchorId="6F905D80" wp14:editId="105FE6FF">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053FD" w14:textId="77777777" w:rsidR="00EC1B64" w:rsidRPr="00EF2FC0" w:rsidRDefault="00EC1B64" w:rsidP="00EC1B64">
                            <w:pPr>
                              <w:jc w:val="center"/>
                              <w:rPr>
                                <w:rFonts w:ascii="Palatino Linotype" w:hAnsi="Palatino Linotype"/>
                              </w:rPr>
                            </w:pPr>
                            <w:r>
                              <w:rPr>
                                <w:rFonts w:ascii="Palatino Linotype" w:hAnsi="Palatino Linotype"/>
                                <w:b/>
                              </w:rPr>
                              <w:t>José Guadalupe Luna Hernández</w:t>
                            </w:r>
                          </w:p>
                          <w:p w14:paraId="3B22DC10" w14:textId="77777777" w:rsidR="00EC1B64" w:rsidRDefault="00EC1B64" w:rsidP="00EC1B64">
                            <w:pPr>
                              <w:jc w:val="center"/>
                              <w:rPr>
                                <w:rFonts w:ascii="Palatino Linotype" w:hAnsi="Palatino Linotype"/>
                              </w:rPr>
                            </w:pPr>
                            <w:r w:rsidRPr="00EF2FC0">
                              <w:rPr>
                                <w:rFonts w:ascii="Palatino Linotype" w:hAnsi="Palatino Linotype"/>
                              </w:rPr>
                              <w:t>Comisionado</w:t>
                            </w:r>
                          </w:p>
                          <w:p w14:paraId="436132C5" w14:textId="77777777" w:rsidR="00EC1B64" w:rsidRPr="009234AD" w:rsidRDefault="00EC1B64" w:rsidP="00EC1B6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05D80" id="Cuadro de texto 23" o:spid="_x0000_s1028" type="#_x0000_t202" style="position:absolute;left:0;text-align:left;margin-left:280.2pt;margin-top:6.7pt;width:200.25pt;height:74.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298053FD" w14:textId="77777777" w:rsidR="00EC1B64" w:rsidRPr="00EF2FC0" w:rsidRDefault="00EC1B64" w:rsidP="00EC1B64">
                      <w:pPr>
                        <w:jc w:val="center"/>
                        <w:rPr>
                          <w:rFonts w:ascii="Palatino Linotype" w:hAnsi="Palatino Linotype"/>
                        </w:rPr>
                      </w:pPr>
                      <w:r>
                        <w:rPr>
                          <w:rFonts w:ascii="Palatino Linotype" w:hAnsi="Palatino Linotype"/>
                          <w:b/>
                        </w:rPr>
                        <w:t>José Guadalupe Luna Hernández</w:t>
                      </w:r>
                    </w:p>
                    <w:p w14:paraId="3B22DC10" w14:textId="77777777" w:rsidR="00EC1B64" w:rsidRDefault="00EC1B64" w:rsidP="00EC1B64">
                      <w:pPr>
                        <w:jc w:val="center"/>
                        <w:rPr>
                          <w:rFonts w:ascii="Palatino Linotype" w:hAnsi="Palatino Linotype"/>
                        </w:rPr>
                      </w:pPr>
                      <w:r w:rsidRPr="00EF2FC0">
                        <w:rPr>
                          <w:rFonts w:ascii="Palatino Linotype" w:hAnsi="Palatino Linotype"/>
                        </w:rPr>
                        <w:t>Comisionado</w:t>
                      </w:r>
                    </w:p>
                    <w:p w14:paraId="436132C5" w14:textId="77777777" w:rsidR="00EC1B64" w:rsidRPr="009234AD" w:rsidRDefault="00EC1B64" w:rsidP="00EC1B6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47A9AF6" w14:textId="77777777" w:rsidR="00EC1B64" w:rsidRPr="00D54B7D" w:rsidRDefault="00EC1B64" w:rsidP="00EC1B64">
      <w:pPr>
        <w:spacing w:before="240" w:line="480" w:lineRule="auto"/>
        <w:jc w:val="both"/>
        <w:rPr>
          <w:rFonts w:ascii="Palatino Linotype" w:hAnsi="Palatino Linotype"/>
        </w:rPr>
      </w:pPr>
    </w:p>
    <w:p w14:paraId="5E979473" w14:textId="77777777" w:rsidR="00EC1B64" w:rsidRDefault="00EC1B64" w:rsidP="00EC1B6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4A2D82E7" wp14:editId="4F03AF95">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58B0F" w14:textId="77777777" w:rsidR="00EC1B64" w:rsidRPr="00EF2FC0" w:rsidRDefault="00EC1B64" w:rsidP="00EC1B64">
                            <w:pPr>
                              <w:jc w:val="center"/>
                              <w:rPr>
                                <w:rFonts w:ascii="Palatino Linotype" w:hAnsi="Palatino Linotype"/>
                              </w:rPr>
                            </w:pPr>
                            <w:r w:rsidRPr="00EF2FC0">
                              <w:rPr>
                                <w:rFonts w:ascii="Palatino Linotype" w:hAnsi="Palatino Linotype"/>
                                <w:b/>
                              </w:rPr>
                              <w:t>Javier Martínez Cruz</w:t>
                            </w:r>
                          </w:p>
                          <w:p w14:paraId="3B14699C" w14:textId="77777777" w:rsidR="00EC1B64" w:rsidRDefault="00EC1B64" w:rsidP="00EC1B64">
                            <w:pPr>
                              <w:jc w:val="center"/>
                              <w:rPr>
                                <w:rFonts w:ascii="Palatino Linotype" w:hAnsi="Palatino Linotype"/>
                              </w:rPr>
                            </w:pPr>
                            <w:r w:rsidRPr="00EF2FC0">
                              <w:rPr>
                                <w:rFonts w:ascii="Palatino Linotype" w:hAnsi="Palatino Linotype"/>
                              </w:rPr>
                              <w:t>Comisionado</w:t>
                            </w:r>
                          </w:p>
                          <w:p w14:paraId="19245121" w14:textId="77777777" w:rsidR="00EC1B64" w:rsidRPr="00F55D03" w:rsidRDefault="00EC1B64" w:rsidP="00EC1B64">
                            <w:pPr>
                              <w:jc w:val="center"/>
                              <w:rPr>
                                <w:rFonts w:ascii="Palatino Linotype" w:hAnsi="Palatino Linotype"/>
                                <w:b/>
                              </w:rPr>
                            </w:pPr>
                            <w:r>
                              <w:rPr>
                                <w:rFonts w:ascii="Palatino Linotype" w:hAnsi="Palatino Linotype"/>
                                <w:b/>
                              </w:rPr>
                              <w:t>(Rúbrica).</w:t>
                            </w:r>
                          </w:p>
                          <w:p w14:paraId="21492619" w14:textId="77777777" w:rsidR="00EC1B64" w:rsidRDefault="00EC1B64" w:rsidP="00EC1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D82E7" id="Cuadro de texto 24" o:spid="_x0000_s1029" type="#_x0000_t202" style="position:absolute;margin-left:-23.55pt;margin-top:45.9pt;width:195.75pt;height:73.8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02E58B0F" w14:textId="77777777" w:rsidR="00EC1B64" w:rsidRPr="00EF2FC0" w:rsidRDefault="00EC1B64" w:rsidP="00EC1B64">
                      <w:pPr>
                        <w:jc w:val="center"/>
                        <w:rPr>
                          <w:rFonts w:ascii="Palatino Linotype" w:hAnsi="Palatino Linotype"/>
                        </w:rPr>
                      </w:pPr>
                      <w:r w:rsidRPr="00EF2FC0">
                        <w:rPr>
                          <w:rFonts w:ascii="Palatino Linotype" w:hAnsi="Palatino Linotype"/>
                          <w:b/>
                        </w:rPr>
                        <w:t>Javier Martínez Cruz</w:t>
                      </w:r>
                    </w:p>
                    <w:p w14:paraId="3B14699C" w14:textId="77777777" w:rsidR="00EC1B64" w:rsidRDefault="00EC1B64" w:rsidP="00EC1B64">
                      <w:pPr>
                        <w:jc w:val="center"/>
                        <w:rPr>
                          <w:rFonts w:ascii="Palatino Linotype" w:hAnsi="Palatino Linotype"/>
                        </w:rPr>
                      </w:pPr>
                      <w:r w:rsidRPr="00EF2FC0">
                        <w:rPr>
                          <w:rFonts w:ascii="Palatino Linotype" w:hAnsi="Palatino Linotype"/>
                        </w:rPr>
                        <w:t>Comisionado</w:t>
                      </w:r>
                    </w:p>
                    <w:p w14:paraId="19245121" w14:textId="77777777" w:rsidR="00EC1B64" w:rsidRPr="00F55D03" w:rsidRDefault="00EC1B64" w:rsidP="00EC1B64">
                      <w:pPr>
                        <w:jc w:val="center"/>
                        <w:rPr>
                          <w:rFonts w:ascii="Palatino Linotype" w:hAnsi="Palatino Linotype"/>
                          <w:b/>
                        </w:rPr>
                      </w:pPr>
                      <w:r>
                        <w:rPr>
                          <w:rFonts w:ascii="Palatino Linotype" w:hAnsi="Palatino Linotype"/>
                          <w:b/>
                        </w:rPr>
                        <w:t>(Rúbrica).</w:t>
                      </w:r>
                    </w:p>
                    <w:p w14:paraId="21492619" w14:textId="77777777" w:rsidR="00EC1B64" w:rsidRDefault="00EC1B64" w:rsidP="00EC1B64"/>
                  </w:txbxContent>
                </v:textbox>
                <w10:wrap anchorx="margin"/>
              </v:shape>
            </w:pict>
          </mc:Fallback>
        </mc:AlternateContent>
      </w:r>
    </w:p>
    <w:p w14:paraId="7826EBBF" w14:textId="77777777" w:rsidR="00EC1B64" w:rsidRDefault="00EC1B64" w:rsidP="00EC1B6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4800" behindDoc="0" locked="0" layoutInCell="1" allowOverlap="1" wp14:anchorId="5B73D4E6" wp14:editId="05BB595E">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474F06" w14:textId="77777777" w:rsidR="00EC1B64" w:rsidRPr="00EF2FC0" w:rsidRDefault="00EC1B64" w:rsidP="00EC1B64">
                            <w:pPr>
                              <w:jc w:val="center"/>
                              <w:rPr>
                                <w:rFonts w:ascii="Palatino Linotype" w:hAnsi="Palatino Linotype"/>
                              </w:rPr>
                            </w:pPr>
                            <w:r>
                              <w:rPr>
                                <w:rFonts w:ascii="Palatino Linotype" w:hAnsi="Palatino Linotype"/>
                                <w:b/>
                              </w:rPr>
                              <w:t>Luis Gustavo Parra Noriega</w:t>
                            </w:r>
                          </w:p>
                          <w:p w14:paraId="60AF46A9" w14:textId="77777777" w:rsidR="00EC1B64" w:rsidRDefault="00EC1B64" w:rsidP="00EC1B64">
                            <w:pPr>
                              <w:jc w:val="center"/>
                              <w:rPr>
                                <w:rFonts w:ascii="Palatino Linotype" w:hAnsi="Palatino Linotype"/>
                              </w:rPr>
                            </w:pPr>
                            <w:r w:rsidRPr="00EF2FC0">
                              <w:rPr>
                                <w:rFonts w:ascii="Palatino Linotype" w:hAnsi="Palatino Linotype"/>
                              </w:rPr>
                              <w:t>Comisionado</w:t>
                            </w:r>
                          </w:p>
                          <w:p w14:paraId="3F36A50D" w14:textId="77777777" w:rsidR="00EC1B64" w:rsidRDefault="00EC1B64" w:rsidP="00EC1B64">
                            <w:pPr>
                              <w:jc w:val="center"/>
                              <w:rPr>
                                <w:rFonts w:ascii="Palatino Linotype" w:hAnsi="Palatino Linotype"/>
                                <w:b/>
                              </w:rPr>
                            </w:pPr>
                            <w:r>
                              <w:rPr>
                                <w:rFonts w:ascii="Palatino Linotype" w:hAnsi="Palatino Linotype"/>
                                <w:b/>
                              </w:rPr>
                              <w:t>(Rúbrica).</w:t>
                            </w:r>
                          </w:p>
                          <w:p w14:paraId="2E66AD87" w14:textId="77777777" w:rsidR="00EC1B64" w:rsidRDefault="00EC1B64" w:rsidP="00EC1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3D4E6" id="Cuadro de texto 25" o:spid="_x0000_s1030" type="#_x0000_t202" style="position:absolute;margin-left:281.7pt;margin-top:4.2pt;width:200.25pt;height:73.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0E474F06" w14:textId="77777777" w:rsidR="00EC1B64" w:rsidRPr="00EF2FC0" w:rsidRDefault="00EC1B64" w:rsidP="00EC1B64">
                      <w:pPr>
                        <w:jc w:val="center"/>
                        <w:rPr>
                          <w:rFonts w:ascii="Palatino Linotype" w:hAnsi="Palatino Linotype"/>
                        </w:rPr>
                      </w:pPr>
                      <w:r>
                        <w:rPr>
                          <w:rFonts w:ascii="Palatino Linotype" w:hAnsi="Palatino Linotype"/>
                          <w:b/>
                        </w:rPr>
                        <w:t>Luis Gustavo Parra Noriega</w:t>
                      </w:r>
                    </w:p>
                    <w:p w14:paraId="60AF46A9" w14:textId="77777777" w:rsidR="00EC1B64" w:rsidRDefault="00EC1B64" w:rsidP="00EC1B64">
                      <w:pPr>
                        <w:jc w:val="center"/>
                        <w:rPr>
                          <w:rFonts w:ascii="Palatino Linotype" w:hAnsi="Palatino Linotype"/>
                        </w:rPr>
                      </w:pPr>
                      <w:r w:rsidRPr="00EF2FC0">
                        <w:rPr>
                          <w:rFonts w:ascii="Palatino Linotype" w:hAnsi="Palatino Linotype"/>
                        </w:rPr>
                        <w:t>Comisionado</w:t>
                      </w:r>
                    </w:p>
                    <w:p w14:paraId="3F36A50D" w14:textId="77777777" w:rsidR="00EC1B64" w:rsidRDefault="00EC1B64" w:rsidP="00EC1B64">
                      <w:pPr>
                        <w:jc w:val="center"/>
                        <w:rPr>
                          <w:rFonts w:ascii="Palatino Linotype" w:hAnsi="Palatino Linotype"/>
                          <w:b/>
                        </w:rPr>
                      </w:pPr>
                      <w:r>
                        <w:rPr>
                          <w:rFonts w:ascii="Palatino Linotype" w:hAnsi="Palatino Linotype"/>
                          <w:b/>
                        </w:rPr>
                        <w:t>(Rúbrica).</w:t>
                      </w:r>
                    </w:p>
                    <w:p w14:paraId="2E66AD87" w14:textId="77777777" w:rsidR="00EC1B64" w:rsidRDefault="00EC1B64" w:rsidP="00EC1B64"/>
                  </w:txbxContent>
                </v:textbox>
                <w10:wrap anchorx="margin"/>
              </v:shape>
            </w:pict>
          </mc:Fallback>
        </mc:AlternateContent>
      </w:r>
    </w:p>
    <w:p w14:paraId="082EF4C7" w14:textId="77777777" w:rsidR="00EC1B64" w:rsidRDefault="00EC1B64" w:rsidP="00EC1B64">
      <w:pPr>
        <w:spacing w:before="240" w:line="480" w:lineRule="auto"/>
        <w:rPr>
          <w:rFonts w:ascii="Palatino Linotype" w:hAnsi="Palatino Linotype"/>
          <w:b/>
        </w:rPr>
      </w:pPr>
    </w:p>
    <w:p w14:paraId="0C712979" w14:textId="77777777" w:rsidR="00EC1B64" w:rsidRDefault="00EC1B64" w:rsidP="00EC1B6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7F602E81" wp14:editId="27E51662">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1BEAA9" w14:textId="77777777" w:rsidR="00EC1B64" w:rsidRPr="007F6133" w:rsidRDefault="00EC1B64" w:rsidP="00EC1B64">
                            <w:pPr>
                              <w:jc w:val="center"/>
                              <w:rPr>
                                <w:rFonts w:ascii="Palatino Linotype" w:hAnsi="Palatino Linotype"/>
                                <w:b/>
                              </w:rPr>
                            </w:pPr>
                            <w:r>
                              <w:rPr>
                                <w:rFonts w:ascii="Palatino Linotype" w:hAnsi="Palatino Linotype"/>
                                <w:b/>
                              </w:rPr>
                              <w:t xml:space="preserve">Alexis Tapia Ramírez </w:t>
                            </w:r>
                          </w:p>
                          <w:p w14:paraId="2E062E56" w14:textId="77777777" w:rsidR="00EC1B64" w:rsidRDefault="00EC1B64" w:rsidP="00EC1B6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E2C6405" w14:textId="77777777" w:rsidR="00EC1B64" w:rsidRDefault="00EC1B64" w:rsidP="00EC1B64">
                            <w:pPr>
                              <w:jc w:val="center"/>
                              <w:rPr>
                                <w:rFonts w:ascii="Palatino Linotype" w:hAnsi="Palatino Linotype"/>
                                <w:b/>
                              </w:rPr>
                            </w:pPr>
                            <w:r>
                              <w:rPr>
                                <w:rFonts w:ascii="Palatino Linotype" w:hAnsi="Palatino Linotype"/>
                                <w:b/>
                              </w:rPr>
                              <w:t>(Rúbrica).</w:t>
                            </w:r>
                          </w:p>
                          <w:p w14:paraId="4805F84C" w14:textId="77777777" w:rsidR="00EC1B64" w:rsidRDefault="00EC1B64" w:rsidP="00EC1B64">
                            <w:pPr>
                              <w:jc w:val="center"/>
                              <w:rPr>
                                <w:rFonts w:ascii="Palatino Linotype" w:hAnsi="Palatino Linotype"/>
                              </w:rPr>
                            </w:pPr>
                          </w:p>
                          <w:p w14:paraId="28134557" w14:textId="77777777" w:rsidR="00EC1B64" w:rsidRPr="00EF2FC0" w:rsidRDefault="00EC1B64" w:rsidP="00EC1B64">
                            <w:pPr>
                              <w:jc w:val="center"/>
                              <w:rPr>
                                <w:rFonts w:ascii="Palatino Linotype" w:hAnsi="Palatino Linotype"/>
                              </w:rPr>
                            </w:pPr>
                          </w:p>
                          <w:p w14:paraId="0657EA42" w14:textId="77777777" w:rsidR="00EC1B64" w:rsidRDefault="00EC1B64" w:rsidP="00EC1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02E81" id="Cuadro de texto 26" o:spid="_x0000_s1031" type="#_x0000_t202" style="position:absolute;margin-left:101.55pt;margin-top:18.2pt;width:248.25pt;height:1in;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341BEAA9" w14:textId="77777777" w:rsidR="00EC1B64" w:rsidRPr="007F6133" w:rsidRDefault="00EC1B64" w:rsidP="00EC1B64">
                      <w:pPr>
                        <w:jc w:val="center"/>
                        <w:rPr>
                          <w:rFonts w:ascii="Palatino Linotype" w:hAnsi="Palatino Linotype"/>
                          <w:b/>
                        </w:rPr>
                      </w:pPr>
                      <w:r>
                        <w:rPr>
                          <w:rFonts w:ascii="Palatino Linotype" w:hAnsi="Palatino Linotype"/>
                          <w:b/>
                        </w:rPr>
                        <w:t xml:space="preserve">Alexis Tapia Ramírez </w:t>
                      </w:r>
                    </w:p>
                    <w:p w14:paraId="2E062E56" w14:textId="77777777" w:rsidR="00EC1B64" w:rsidRDefault="00EC1B64" w:rsidP="00EC1B6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E2C6405" w14:textId="77777777" w:rsidR="00EC1B64" w:rsidRDefault="00EC1B64" w:rsidP="00EC1B64">
                      <w:pPr>
                        <w:jc w:val="center"/>
                        <w:rPr>
                          <w:rFonts w:ascii="Palatino Linotype" w:hAnsi="Palatino Linotype"/>
                          <w:b/>
                        </w:rPr>
                      </w:pPr>
                      <w:r>
                        <w:rPr>
                          <w:rFonts w:ascii="Palatino Linotype" w:hAnsi="Palatino Linotype"/>
                          <w:b/>
                        </w:rPr>
                        <w:t>(Rúbrica).</w:t>
                      </w:r>
                    </w:p>
                    <w:p w14:paraId="4805F84C" w14:textId="77777777" w:rsidR="00EC1B64" w:rsidRDefault="00EC1B64" w:rsidP="00EC1B64">
                      <w:pPr>
                        <w:jc w:val="center"/>
                        <w:rPr>
                          <w:rFonts w:ascii="Palatino Linotype" w:hAnsi="Palatino Linotype"/>
                        </w:rPr>
                      </w:pPr>
                    </w:p>
                    <w:p w14:paraId="28134557" w14:textId="77777777" w:rsidR="00EC1B64" w:rsidRPr="00EF2FC0" w:rsidRDefault="00EC1B64" w:rsidP="00EC1B64">
                      <w:pPr>
                        <w:jc w:val="center"/>
                        <w:rPr>
                          <w:rFonts w:ascii="Palatino Linotype" w:hAnsi="Palatino Linotype"/>
                        </w:rPr>
                      </w:pPr>
                    </w:p>
                    <w:p w14:paraId="0657EA42" w14:textId="77777777" w:rsidR="00EC1B64" w:rsidRDefault="00EC1B64" w:rsidP="00EC1B64"/>
                  </w:txbxContent>
                </v:textbox>
                <w10:wrap anchorx="margin"/>
              </v:shape>
            </w:pict>
          </mc:Fallback>
        </mc:AlternateContent>
      </w:r>
    </w:p>
    <w:p w14:paraId="6C50BCC1" w14:textId="77777777" w:rsidR="00EC1B64" w:rsidRPr="00D54B7D" w:rsidRDefault="00EC1B64" w:rsidP="00EC1B64">
      <w:pPr>
        <w:spacing w:before="240" w:line="480" w:lineRule="auto"/>
        <w:rPr>
          <w:rFonts w:ascii="Palatino Linotype" w:hAnsi="Palatino Linotype"/>
          <w:b/>
        </w:rPr>
      </w:pPr>
    </w:p>
    <w:p w14:paraId="706621FC" w14:textId="77777777" w:rsidR="00EC1B64" w:rsidRDefault="00EC1B64" w:rsidP="00EC1B64">
      <w:pPr>
        <w:tabs>
          <w:tab w:val="left" w:pos="5415"/>
        </w:tabs>
        <w:spacing w:before="240" w:line="360" w:lineRule="auto"/>
        <w:ind w:right="51"/>
        <w:jc w:val="both"/>
        <w:rPr>
          <w:rFonts w:ascii="Palatino Linotype" w:hAnsi="Palatino Linotype" w:cs="Arial"/>
          <w:sz w:val="16"/>
          <w:szCs w:val="16"/>
        </w:rPr>
      </w:pPr>
    </w:p>
    <w:p w14:paraId="1932B3B7" w14:textId="3B39E2C4" w:rsidR="00EC1B64" w:rsidRDefault="00EC1B64" w:rsidP="00EC1B64">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veintiocho de octubre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 recurso</w:t>
      </w:r>
      <w:r w:rsidRPr="00861BBC">
        <w:rPr>
          <w:rFonts w:ascii="Palatino Linotype" w:hAnsi="Palatino Linotype" w:cs="Arial"/>
          <w:sz w:val="16"/>
          <w:szCs w:val="16"/>
        </w:rPr>
        <w:t xml:space="preserve">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9A5567">
        <w:rPr>
          <w:rFonts w:ascii="Palatino Linotype" w:hAnsi="Palatino Linotype" w:cs="Arial"/>
          <w:bCs/>
          <w:sz w:val="16"/>
          <w:szCs w:val="16"/>
          <w:lang w:eastAsia="es-MX"/>
        </w:rPr>
        <w:t>4080</w:t>
      </w:r>
      <w:r>
        <w:rPr>
          <w:rFonts w:ascii="Palatino Linotype" w:hAnsi="Palatino Linotype" w:cs="Arial"/>
          <w:bCs/>
          <w:sz w:val="16"/>
          <w:szCs w:val="16"/>
          <w:lang w:eastAsia="es-MX"/>
        </w:rPr>
        <w:t xml:space="preserve">/INFOEM/IP/RR/2020. </w:t>
      </w:r>
    </w:p>
    <w:p w14:paraId="36BD5E0F" w14:textId="35D0B2CE" w:rsidR="002B7A1A" w:rsidRDefault="002B7A1A" w:rsidP="00EC1B64">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0D16D815" w14:textId="77777777" w:rsidR="00816D1D" w:rsidRDefault="00816D1D" w:rsidP="00267074">
      <w:pPr>
        <w:spacing w:before="240" w:after="360" w:line="360" w:lineRule="auto"/>
        <w:ind w:right="49"/>
        <w:jc w:val="both"/>
        <w:rPr>
          <w:rFonts w:ascii="Palatino Linotype" w:hAnsi="Palatino Linotype" w:cs="Arial"/>
          <w:sz w:val="24"/>
          <w:szCs w:val="24"/>
        </w:rPr>
      </w:pPr>
    </w:p>
    <w:sectPr w:rsidR="00816D1D"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C1B88" w14:textId="77777777" w:rsidR="009A504C" w:rsidRDefault="009A504C" w:rsidP="006168E4">
      <w:pPr>
        <w:spacing w:after="0" w:line="240" w:lineRule="auto"/>
      </w:pPr>
      <w:r>
        <w:separator/>
      </w:r>
    </w:p>
  </w:endnote>
  <w:endnote w:type="continuationSeparator" w:id="0">
    <w:p w14:paraId="665AC99A" w14:textId="77777777" w:rsidR="009A504C" w:rsidRDefault="009A504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417">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41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4A76089D"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25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2571">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68BEC" w14:textId="77777777" w:rsidR="009A504C" w:rsidRDefault="009A504C" w:rsidP="006168E4">
      <w:pPr>
        <w:spacing w:after="0" w:line="240" w:lineRule="auto"/>
      </w:pPr>
      <w:r>
        <w:separator/>
      </w:r>
    </w:p>
  </w:footnote>
  <w:footnote w:type="continuationSeparator" w:id="0">
    <w:p w14:paraId="466166FB" w14:textId="77777777" w:rsidR="009A504C" w:rsidRDefault="009A504C" w:rsidP="006168E4">
      <w:pPr>
        <w:spacing w:after="0" w:line="240" w:lineRule="auto"/>
      </w:pPr>
      <w:r>
        <w:continuationSeparator/>
      </w:r>
    </w:p>
  </w:footnote>
  <w:footnote w:id="1">
    <w:p w14:paraId="7F813D15" w14:textId="77777777" w:rsidR="00EF2ECF" w:rsidRPr="005552A8" w:rsidRDefault="00EF2ECF"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EF2ECF" w:rsidRPr="005552A8" w:rsidRDefault="00EF2ECF"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4F2784" w14:textId="77777777" w:rsidR="00FC6793" w:rsidRDefault="00FC6793" w:rsidP="00FC679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4BABD5B5" w14:textId="77777777" w:rsidR="00FC6793" w:rsidRDefault="00FC6793" w:rsidP="00FC6793">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1A326A08" w14:textId="77777777" w:rsidR="00FC6793" w:rsidRPr="000553F9" w:rsidRDefault="00FC6793" w:rsidP="00FC679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5">
    <w:p w14:paraId="1B1A7041" w14:textId="77777777" w:rsidR="00FC6793" w:rsidRPr="000553F9" w:rsidRDefault="00FC6793" w:rsidP="00FC679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6">
    <w:p w14:paraId="60511BB1" w14:textId="77777777" w:rsidR="00FC6793" w:rsidRPr="000553F9" w:rsidRDefault="00FC6793" w:rsidP="00FC679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http://dle.rae.es/?id=VGqyuLj|VGtxgAo|VGuc9Wg</w:t>
        </w:r>
      </w:hyperlink>
      <w:r w:rsidRPr="000553F9">
        <w:rPr>
          <w:color w:val="000000" w:themeColor="text1"/>
        </w:rPr>
        <w:t xml:space="preserve"> </w:t>
      </w:r>
    </w:p>
  </w:footnote>
  <w:footnote w:id="7">
    <w:p w14:paraId="22A04A57" w14:textId="77777777" w:rsidR="00FC6793" w:rsidRPr="000553F9" w:rsidRDefault="00FC6793" w:rsidP="00FC679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http://dle.rae.es/?id=CAjNzMR</w:t>
        </w:r>
      </w:hyperlink>
      <w:r w:rsidRPr="000553F9">
        <w:rPr>
          <w:color w:val="000000" w:themeColor="text1"/>
        </w:rPr>
        <w:t xml:space="preserve"> </w:t>
      </w:r>
    </w:p>
  </w:footnote>
  <w:footnote w:id="8">
    <w:p w14:paraId="7A50BACD" w14:textId="77777777" w:rsidR="00FC6793" w:rsidRPr="000553F9" w:rsidRDefault="00FC6793" w:rsidP="00FC679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http://dle.rae.es/?id=CAqWkEB</w:t>
        </w:r>
      </w:hyperlink>
      <w:r w:rsidRPr="000553F9">
        <w:rPr>
          <w:color w:val="000000" w:themeColor="text1"/>
        </w:rPr>
        <w:t xml:space="preserve"> </w:t>
      </w:r>
    </w:p>
  </w:footnote>
  <w:footnote w:id="9">
    <w:p w14:paraId="061B4A74" w14:textId="77777777" w:rsidR="00FC6793" w:rsidRPr="000553F9" w:rsidRDefault="00FC6793" w:rsidP="00FC679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8" w:history="1">
        <w:r w:rsidRPr="000553F9">
          <w:rPr>
            <w:rStyle w:val="Hipervnculo"/>
            <w:color w:val="000000" w:themeColor="text1"/>
          </w:rPr>
          <w:t>http://dle.rae.es/?id=KtnHLLd</w:t>
        </w:r>
      </w:hyperlink>
      <w:r w:rsidRPr="000553F9">
        <w:rPr>
          <w:color w:val="000000" w:themeColor="text1"/>
        </w:rPr>
        <w:t xml:space="preserve"> </w:t>
      </w:r>
    </w:p>
  </w:footnote>
  <w:footnote w:id="10">
    <w:p w14:paraId="600400E8" w14:textId="77777777" w:rsidR="00FC6793" w:rsidRPr="000406A4" w:rsidRDefault="00FC6793" w:rsidP="00FC6793">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9" w:history="1">
        <w:r w:rsidRPr="000553F9">
          <w:rPr>
            <w:rStyle w:val="Hipervnculo"/>
            <w:color w:val="000000" w:themeColor="text1"/>
          </w:rPr>
          <w:t>http://dle.rae.es/?id=KtpfgjV</w:t>
        </w:r>
      </w:hyperlink>
      <w:r w:rsidRPr="000553F9">
        <w:rPr>
          <w:color w:val="000000" w:themeColor="text1"/>
        </w:rPr>
        <w:t xml:space="preserve"> </w:t>
      </w:r>
    </w:p>
  </w:footnote>
  <w:footnote w:id="11">
    <w:p w14:paraId="14A3AA09" w14:textId="77777777" w:rsidR="00FC6793" w:rsidRPr="00D75A73" w:rsidRDefault="00FC6793" w:rsidP="00FC6793">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2">
    <w:p w14:paraId="65BEE85E" w14:textId="77777777" w:rsidR="00FC6793" w:rsidRPr="00D75A73" w:rsidRDefault="00FC6793" w:rsidP="00FC6793">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76645D81" w:rsidR="003443B2" w:rsidRDefault="003443B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43B2" w14:paraId="17981A04" w14:textId="77777777" w:rsidTr="00FB4AAD">
      <w:trPr>
        <w:trHeight w:val="227"/>
      </w:trPr>
      <w:tc>
        <w:tcPr>
          <w:tcW w:w="5529" w:type="dxa"/>
          <w:hideMark/>
        </w:tcPr>
        <w:p w14:paraId="0E414BC5" w14:textId="75B4D793"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6B9CEEB5" w:rsidR="003443B2" w:rsidRPr="00B4142F" w:rsidRDefault="007A3BB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0242F">
            <w:rPr>
              <w:rFonts w:ascii="Palatino Linotype" w:hAnsi="Palatino Linotype" w:cs="Arial"/>
              <w:bCs/>
              <w:sz w:val="24"/>
              <w:lang w:eastAsia="es-MX"/>
            </w:rPr>
            <w:t>4080</w:t>
          </w:r>
          <w:r>
            <w:rPr>
              <w:rFonts w:ascii="Palatino Linotype" w:hAnsi="Palatino Linotype" w:cs="Arial"/>
              <w:bCs/>
              <w:sz w:val="24"/>
              <w:lang w:eastAsia="es-MX"/>
            </w:rPr>
            <w:t>/INFOEM/IP/RR/2020</w:t>
          </w:r>
        </w:p>
      </w:tc>
    </w:tr>
    <w:tr w:rsidR="003443B2" w14:paraId="637042F0" w14:textId="77777777" w:rsidTr="00FB4AAD">
      <w:trPr>
        <w:trHeight w:val="242"/>
      </w:trPr>
      <w:tc>
        <w:tcPr>
          <w:tcW w:w="5529" w:type="dxa"/>
          <w:hideMark/>
        </w:tcPr>
        <w:p w14:paraId="412AD568" w14:textId="582E7AD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C5D3C28" w:rsidR="003443B2" w:rsidRPr="00F06FED" w:rsidRDefault="007A3BB5"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A0242F">
            <w:rPr>
              <w:rFonts w:ascii="Palatino Linotype" w:hAnsi="Palatino Linotype" w:cs="Arial"/>
              <w:szCs w:val="20"/>
            </w:rPr>
            <w:t>Calimaya</w:t>
          </w:r>
        </w:p>
      </w:tc>
    </w:tr>
    <w:tr w:rsidR="003443B2" w14:paraId="21BFE746" w14:textId="77777777" w:rsidTr="00FB4AAD">
      <w:trPr>
        <w:trHeight w:val="342"/>
      </w:trPr>
      <w:tc>
        <w:tcPr>
          <w:tcW w:w="5529" w:type="dxa"/>
          <w:hideMark/>
        </w:tcPr>
        <w:p w14:paraId="64C4E314" w14:textId="77777777" w:rsidR="003443B2" w:rsidRDefault="003443B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43B2" w:rsidRDefault="003443B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43B2" w:rsidRDefault="003443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43B2" w14:paraId="385FD437" w14:textId="77777777" w:rsidTr="00FB4AAD">
      <w:trPr>
        <w:trHeight w:val="227"/>
      </w:trPr>
      <w:tc>
        <w:tcPr>
          <w:tcW w:w="5529" w:type="dxa"/>
          <w:hideMark/>
        </w:tcPr>
        <w:p w14:paraId="272860E8" w14:textId="4EDD1111"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69390EA0" w:rsidR="003443B2" w:rsidRPr="00B4142F" w:rsidRDefault="007A3BB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A2BBA">
            <w:rPr>
              <w:rFonts w:ascii="Palatino Linotype" w:hAnsi="Palatino Linotype" w:cs="Arial"/>
              <w:bCs/>
              <w:sz w:val="24"/>
              <w:lang w:eastAsia="es-MX"/>
            </w:rPr>
            <w:t>4080</w:t>
          </w:r>
          <w:r>
            <w:rPr>
              <w:rFonts w:ascii="Palatino Linotype" w:hAnsi="Palatino Linotype" w:cs="Arial"/>
              <w:bCs/>
              <w:sz w:val="24"/>
              <w:lang w:eastAsia="es-MX"/>
            </w:rPr>
            <w:t>/INFOEM/IP/RR/2020</w:t>
          </w:r>
        </w:p>
      </w:tc>
    </w:tr>
    <w:tr w:rsidR="003443B2" w14:paraId="33FC5097" w14:textId="77777777" w:rsidTr="00FB4AAD">
      <w:trPr>
        <w:trHeight w:val="196"/>
      </w:trPr>
      <w:tc>
        <w:tcPr>
          <w:tcW w:w="5529" w:type="dxa"/>
          <w:hideMark/>
        </w:tcPr>
        <w:p w14:paraId="4F5D01E5"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E75C070" w:rsidR="003443B2" w:rsidRPr="00F06FED" w:rsidRDefault="007A3BB5"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4A1E18">
            <w:rPr>
              <w:rFonts w:ascii="Palatino Linotype" w:hAnsi="Palatino Linotype" w:cs="Arial"/>
            </w:rPr>
            <w:t>XXXXXXXXXXXXX</w:t>
          </w:r>
          <w:r w:rsidR="00A0242F">
            <w:rPr>
              <w:rFonts w:ascii="Palatino Linotype" w:hAnsi="Palatino Linotype" w:cs="Arial"/>
            </w:rPr>
            <w:t xml:space="preserve"> </w:t>
          </w:r>
        </w:p>
      </w:tc>
    </w:tr>
    <w:tr w:rsidR="003443B2" w14:paraId="178280DE" w14:textId="77777777" w:rsidTr="00FB4AAD">
      <w:trPr>
        <w:trHeight w:val="242"/>
      </w:trPr>
      <w:tc>
        <w:tcPr>
          <w:tcW w:w="5529" w:type="dxa"/>
          <w:hideMark/>
        </w:tcPr>
        <w:p w14:paraId="71AC708B"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3C426CF" w:rsidR="003443B2" w:rsidRDefault="00374444"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0242F">
            <w:rPr>
              <w:rFonts w:ascii="Palatino Linotype" w:hAnsi="Palatino Linotype" w:cs="Arial"/>
              <w:szCs w:val="20"/>
            </w:rPr>
            <w:t>Calimaya</w:t>
          </w:r>
        </w:p>
      </w:tc>
    </w:tr>
    <w:tr w:rsidR="003443B2" w14:paraId="0518978B" w14:textId="77777777" w:rsidTr="00FB4AAD">
      <w:trPr>
        <w:trHeight w:val="342"/>
      </w:trPr>
      <w:tc>
        <w:tcPr>
          <w:tcW w:w="5529" w:type="dxa"/>
          <w:hideMark/>
        </w:tcPr>
        <w:p w14:paraId="04968A43" w14:textId="77777777" w:rsidR="003443B2" w:rsidRDefault="003443B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43B2" w:rsidRDefault="003443B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711437B9" w:rsidR="003443B2" w:rsidRDefault="003443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3"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2"/>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6335"/>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C19"/>
    <w:rsid w:val="00106372"/>
    <w:rsid w:val="00111B28"/>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7A1A"/>
    <w:rsid w:val="002C07C4"/>
    <w:rsid w:val="002C1B76"/>
    <w:rsid w:val="002C72D2"/>
    <w:rsid w:val="002D08E3"/>
    <w:rsid w:val="002D30CB"/>
    <w:rsid w:val="002D310D"/>
    <w:rsid w:val="002E2D7B"/>
    <w:rsid w:val="002E40DE"/>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1E18"/>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4CEF"/>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F1B61"/>
    <w:rsid w:val="006F53A9"/>
    <w:rsid w:val="006F5A35"/>
    <w:rsid w:val="006F610D"/>
    <w:rsid w:val="006F6E0E"/>
    <w:rsid w:val="00701033"/>
    <w:rsid w:val="00701F96"/>
    <w:rsid w:val="007024E8"/>
    <w:rsid w:val="0070371E"/>
    <w:rsid w:val="00705F8F"/>
    <w:rsid w:val="007064F6"/>
    <w:rsid w:val="007078A3"/>
    <w:rsid w:val="00711536"/>
    <w:rsid w:val="0071182B"/>
    <w:rsid w:val="007129C0"/>
    <w:rsid w:val="00713390"/>
    <w:rsid w:val="007142B5"/>
    <w:rsid w:val="00716BFE"/>
    <w:rsid w:val="00720774"/>
    <w:rsid w:val="007234D1"/>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2003"/>
    <w:rsid w:val="00794153"/>
    <w:rsid w:val="0079486A"/>
    <w:rsid w:val="00794E74"/>
    <w:rsid w:val="00794F80"/>
    <w:rsid w:val="0079666D"/>
    <w:rsid w:val="00797B4F"/>
    <w:rsid w:val="007A139A"/>
    <w:rsid w:val="007A1C9E"/>
    <w:rsid w:val="007A3BB5"/>
    <w:rsid w:val="007B2C77"/>
    <w:rsid w:val="007B7A6F"/>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46F9"/>
    <w:rsid w:val="00814D55"/>
    <w:rsid w:val="00816D1D"/>
    <w:rsid w:val="008230AE"/>
    <w:rsid w:val="00824DCD"/>
    <w:rsid w:val="00831D3F"/>
    <w:rsid w:val="00832986"/>
    <w:rsid w:val="00833DB5"/>
    <w:rsid w:val="00835692"/>
    <w:rsid w:val="008419A8"/>
    <w:rsid w:val="008436AD"/>
    <w:rsid w:val="00844569"/>
    <w:rsid w:val="00846539"/>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D29A7"/>
    <w:rsid w:val="008D5427"/>
    <w:rsid w:val="008E6375"/>
    <w:rsid w:val="008E7DB4"/>
    <w:rsid w:val="008F10A6"/>
    <w:rsid w:val="008F16D2"/>
    <w:rsid w:val="008F367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2418"/>
    <w:rsid w:val="009A504C"/>
    <w:rsid w:val="009A5567"/>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7627"/>
    <w:rsid w:val="00A11AE6"/>
    <w:rsid w:val="00A12205"/>
    <w:rsid w:val="00A21876"/>
    <w:rsid w:val="00A30C44"/>
    <w:rsid w:val="00A328AE"/>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658D4"/>
    <w:rsid w:val="00B75A2C"/>
    <w:rsid w:val="00B813AC"/>
    <w:rsid w:val="00B8287F"/>
    <w:rsid w:val="00B8376C"/>
    <w:rsid w:val="00B84260"/>
    <w:rsid w:val="00B86811"/>
    <w:rsid w:val="00B8738D"/>
    <w:rsid w:val="00B91F0B"/>
    <w:rsid w:val="00B9223B"/>
    <w:rsid w:val="00B92D47"/>
    <w:rsid w:val="00B961A5"/>
    <w:rsid w:val="00B9640A"/>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217"/>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4DB"/>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4BD4"/>
    <w:rsid w:val="00DC588B"/>
    <w:rsid w:val="00DC64BF"/>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F75"/>
    <w:rsid w:val="00EB7852"/>
    <w:rsid w:val="00EB79CD"/>
    <w:rsid w:val="00EC060D"/>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B51"/>
    <w:rsid w:val="00F40E4D"/>
    <w:rsid w:val="00F41DE4"/>
    <w:rsid w:val="00F42499"/>
    <w:rsid w:val="00F42753"/>
    <w:rsid w:val="00F46CE7"/>
    <w:rsid w:val="00F50C2C"/>
    <w:rsid w:val="00F510DB"/>
    <w:rsid w:val="00F604E0"/>
    <w:rsid w:val="00F6501E"/>
    <w:rsid w:val="00F70615"/>
    <w:rsid w:val="00F72722"/>
    <w:rsid w:val="00F727B0"/>
    <w:rsid w:val="00F7598B"/>
    <w:rsid w:val="00F87ADD"/>
    <w:rsid w:val="00F914FD"/>
    <w:rsid w:val="00F9164E"/>
    <w:rsid w:val="00F952BF"/>
    <w:rsid w:val="00F95515"/>
    <w:rsid w:val="00F974AA"/>
    <w:rsid w:val="00FA2545"/>
    <w:rsid w:val="00FA2BBA"/>
    <w:rsid w:val="00FA7CFC"/>
    <w:rsid w:val="00FB097C"/>
    <w:rsid w:val="00FB21C2"/>
    <w:rsid w:val="00FB4AAD"/>
    <w:rsid w:val="00FB4E3D"/>
    <w:rsid w:val="00FB5A22"/>
    <w:rsid w:val="00FB5F2A"/>
    <w:rsid w:val="00FC1407"/>
    <w:rsid w:val="00FC22E1"/>
    <w:rsid w:val="00FC2C8C"/>
    <w:rsid w:val="00FC4F9B"/>
    <w:rsid w:val="00FC59F0"/>
    <w:rsid w:val="00FC6793"/>
    <w:rsid w:val="00FD4599"/>
    <w:rsid w:val="00FD4784"/>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dle.rae.es/?id=FdI00Or"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ipo3/lgt/indice/CALIMAYA/art_92_ii_b/1.web"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30</Pages>
  <Words>4951</Words>
  <Characters>28222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2018-12-04T20:35:00Z</cp:lastPrinted>
  <dcterms:created xsi:type="dcterms:W3CDTF">2020-10-15T18:29:00Z</dcterms:created>
  <dcterms:modified xsi:type="dcterms:W3CDTF">2020-11-08T16:37:00Z</dcterms:modified>
</cp:coreProperties>
</file>