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68E" w:rsidRDefault="006F0117">
      <w:pPr>
        <w:spacing w:line="360" w:lineRule="auto"/>
        <w:jc w:val="both"/>
        <w:rPr>
          <w:rFonts w:ascii="Palatino Linotype" w:hAnsi="Palatino Linotype"/>
        </w:rPr>
      </w:pPr>
      <w:bookmarkStart w:id="0" w:name="_GoBack"/>
      <w:bookmarkEnd w:id="0"/>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doce de agosto de dos mil veinte.</w:t>
      </w:r>
    </w:p>
    <w:p w:rsidR="00A4268E" w:rsidRDefault="00A4268E">
      <w:pPr>
        <w:spacing w:line="360" w:lineRule="auto"/>
        <w:jc w:val="both"/>
        <w:rPr>
          <w:rFonts w:ascii="Palatino Linotype" w:hAnsi="Palatino Linotype"/>
        </w:rPr>
      </w:pPr>
    </w:p>
    <w:p w:rsidR="00A4268E" w:rsidRDefault="006F0117">
      <w:pPr>
        <w:spacing w:line="360" w:lineRule="auto"/>
        <w:jc w:val="both"/>
        <w:rPr>
          <w:rFonts w:ascii="Palatino Linotype" w:hAnsi="Palatino Linotype"/>
          <w:b/>
        </w:rPr>
      </w:pPr>
      <w:r>
        <w:rPr>
          <w:rFonts w:ascii="Palatino Linotype" w:hAnsi="Palatino Linotype"/>
          <w:sz w:val="28"/>
        </w:rPr>
        <w:t xml:space="preserve">VISTO </w:t>
      </w:r>
      <w:r>
        <w:rPr>
          <w:rFonts w:ascii="Palatino Linotype" w:hAnsi="Palatino Linotype"/>
        </w:rPr>
        <w:t xml:space="preserve">el expediente formado con motivo del recurso de revisión </w:t>
      </w:r>
      <w:r>
        <w:rPr>
          <w:rFonts w:ascii="Palatino Linotype" w:hAnsi="Palatino Linotype"/>
          <w:b/>
        </w:rPr>
        <w:t>00967/INFOEM/IP/RR/2020</w:t>
      </w:r>
      <w:r>
        <w:rPr>
          <w:rFonts w:ascii="Palatino Linotype" w:hAnsi="Palatino Linotype"/>
        </w:rPr>
        <w:t xml:space="preserve">, promovido por el </w:t>
      </w:r>
      <w:r>
        <w:rPr>
          <w:rFonts w:ascii="Palatino Linotype" w:hAnsi="Palatino Linotype"/>
          <w:b/>
        </w:rPr>
        <w:t xml:space="preserve">C. </w:t>
      </w:r>
      <w:proofErr w:type="spellStart"/>
      <w:r w:rsidR="009C0927" w:rsidRPr="009C0927">
        <w:rPr>
          <w:rFonts w:ascii="Palatino Linotype" w:hAnsi="Palatino Linotype"/>
          <w:b/>
        </w:rPr>
        <w:t>XXXX</w:t>
      </w:r>
      <w:proofErr w:type="spellEnd"/>
      <w:r w:rsidR="009C0927" w:rsidRPr="009C0927">
        <w:rPr>
          <w:rFonts w:ascii="Palatino Linotype" w:hAnsi="Palatino Linotype"/>
          <w:b/>
        </w:rPr>
        <w:t xml:space="preserve"> </w:t>
      </w:r>
      <w:proofErr w:type="spellStart"/>
      <w:r w:rsidR="009C0927" w:rsidRPr="009C0927">
        <w:rPr>
          <w:rFonts w:ascii="Palatino Linotype" w:hAnsi="Palatino Linotype"/>
          <w:b/>
        </w:rPr>
        <w:t>XXXXX</w:t>
      </w:r>
      <w:proofErr w:type="spellEnd"/>
      <w:r w:rsidR="009C0927" w:rsidRPr="009C0927">
        <w:rPr>
          <w:rFonts w:ascii="Palatino Linotype" w:hAnsi="Palatino Linotype"/>
          <w:b/>
        </w:rPr>
        <w:t xml:space="preserve"> </w:t>
      </w:r>
      <w:proofErr w:type="spellStart"/>
      <w:r w:rsidR="009C0927" w:rsidRPr="009C0927">
        <w:rPr>
          <w:rFonts w:ascii="Palatino Linotype" w:hAnsi="Palatino Linotype"/>
          <w:b/>
        </w:rPr>
        <w:t>XXXXX</w:t>
      </w:r>
      <w:proofErr w:type="spellEnd"/>
      <w:r w:rsidR="009C0927" w:rsidRPr="009C0927">
        <w:rPr>
          <w:rFonts w:ascii="Palatino Linotype" w:hAnsi="Palatino Linotype"/>
          <w:b/>
        </w:rPr>
        <w:t xml:space="preserve"> </w:t>
      </w:r>
      <w:proofErr w:type="spellStart"/>
      <w:r w:rsidR="009C0927" w:rsidRPr="009C0927">
        <w:rPr>
          <w:rFonts w:ascii="Palatino Linotype" w:hAnsi="Palatino Linotype"/>
          <w:b/>
        </w:rPr>
        <w:t>XXXXXXXXXX</w:t>
      </w:r>
      <w:proofErr w:type="spellEnd"/>
      <w:r>
        <w:rPr>
          <w:rFonts w:ascii="Palatino Linotype" w:hAnsi="Palatino Linotype"/>
        </w:rPr>
        <w:t xml:space="preserve">, en lo sucesivo </w:t>
      </w:r>
      <w:r>
        <w:rPr>
          <w:rFonts w:ascii="Palatino Linotype" w:hAnsi="Palatino Linotype"/>
          <w:b/>
        </w:rPr>
        <w:t>EL RECURRENTE,</w:t>
      </w:r>
      <w:r>
        <w:rPr>
          <w:rFonts w:ascii="Palatino Linotype" w:hAnsi="Palatino Linotype"/>
        </w:rPr>
        <w:t xml:space="preserve"> en contra de la respuesta emitida por el</w:t>
      </w:r>
      <w:r>
        <w:rPr>
          <w:rFonts w:ascii="Palatino Linotype" w:hAnsi="Palatino Linotype"/>
          <w:b/>
        </w:rPr>
        <w:t xml:space="preserve"> Ayuntamiento de Coatepec Harinas</w:t>
      </w:r>
      <w:r>
        <w:rPr>
          <w:rFonts w:ascii="Palatino Linotype" w:hAnsi="Palatino Linotype"/>
        </w:rPr>
        <w:t xml:space="preserve">, en lo sucesivo </w:t>
      </w:r>
      <w:r>
        <w:rPr>
          <w:rFonts w:ascii="Palatino Linotype" w:hAnsi="Palatino Linotype"/>
          <w:b/>
        </w:rPr>
        <w:t>EL SUJETO OBLIGADO</w:t>
      </w:r>
      <w:r>
        <w:rPr>
          <w:rFonts w:ascii="Palatino Linotype" w:hAnsi="Palatino Linotype"/>
        </w:rPr>
        <w:t xml:space="preserve">, se procede a dictar la presente resolución con base en lo que se expone: </w:t>
      </w:r>
    </w:p>
    <w:p w:rsidR="00A4268E" w:rsidRDefault="00A4268E">
      <w:pPr>
        <w:tabs>
          <w:tab w:val="left" w:pos="9072"/>
        </w:tabs>
        <w:spacing w:line="360" w:lineRule="auto"/>
        <w:jc w:val="both"/>
        <w:rPr>
          <w:rFonts w:ascii="Palatino Linotype" w:hAnsi="Palatino Linotype"/>
        </w:rPr>
      </w:pPr>
    </w:p>
    <w:p w:rsidR="00A4268E" w:rsidRDefault="006F0117">
      <w:pPr>
        <w:spacing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A4268E" w:rsidRDefault="00A4268E">
      <w:pPr>
        <w:spacing w:line="360" w:lineRule="auto"/>
        <w:jc w:val="center"/>
        <w:rPr>
          <w:rFonts w:ascii="Palatino Linotype" w:hAnsi="Palatino Linotype"/>
          <w:b/>
          <w:bCs/>
          <w:spacing w:val="60"/>
        </w:rPr>
      </w:pPr>
    </w:p>
    <w:p w:rsidR="00A4268E" w:rsidRDefault="006F0117">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rPr>
        <w:t xml:space="preserve">En fecha uno de febrero de dos mil veinte, </w:t>
      </w:r>
      <w:r>
        <w:rPr>
          <w:rFonts w:ascii="Palatino Linotype" w:hAnsi="Palatino Linotype"/>
          <w:b/>
        </w:rPr>
        <w:t>EL RECURRENTE</w:t>
      </w:r>
      <w:r>
        <w:rPr>
          <w:rFonts w:ascii="Palatino Linotype" w:hAnsi="Palatino Linotype"/>
        </w:rPr>
        <w:t xml:space="preserve"> presentó a través del Sistema de </w:t>
      </w:r>
      <w:r>
        <w:rPr>
          <w:rFonts w:ascii="Palatino Linotype" w:hAnsi="Palatino Linotype" w:cs="Arial"/>
        </w:rPr>
        <w:t>Acceso</w:t>
      </w:r>
      <w:r>
        <w:rPr>
          <w:rFonts w:ascii="Palatino Linotype" w:hAnsi="Palatino Linotype"/>
        </w:rPr>
        <w:t xml:space="preserve"> a la Información Mexiquense, en lo subsecuente </w:t>
      </w:r>
      <w:r>
        <w:rPr>
          <w:rFonts w:ascii="Palatino Linotype" w:hAnsi="Palatino Linotype"/>
          <w:b/>
        </w:rPr>
        <w:t xml:space="preserve">EL SAIMEX </w:t>
      </w:r>
      <w:r>
        <w:rPr>
          <w:rFonts w:ascii="Palatino Linotype" w:hAnsi="Palatino Linotype"/>
        </w:rPr>
        <w:t xml:space="preserve">misma que fue registrada el cuatro de febrero de dicha anualidad, ante </w:t>
      </w:r>
      <w:r>
        <w:rPr>
          <w:rFonts w:ascii="Palatino Linotype" w:hAnsi="Palatino Linotype"/>
          <w:b/>
        </w:rPr>
        <w:t>EL SUJETO OBLIGADO</w:t>
      </w:r>
      <w:r>
        <w:rPr>
          <w:rFonts w:ascii="Palatino Linotype" w:hAnsi="Palatino Linotype"/>
        </w:rPr>
        <w:t xml:space="preserve">, la solicitud de acceso a información pública, a la que se le asignó el número </w:t>
      </w:r>
      <w:r>
        <w:rPr>
          <w:rFonts w:ascii="Palatino Linotype" w:hAnsi="Palatino Linotype"/>
          <w:b/>
          <w:bCs/>
        </w:rPr>
        <w:t>00007/</w:t>
      </w:r>
      <w:proofErr w:type="spellStart"/>
      <w:r>
        <w:rPr>
          <w:rFonts w:ascii="Palatino Linotype" w:hAnsi="Palatino Linotype"/>
          <w:b/>
          <w:bCs/>
        </w:rPr>
        <w:t>COATHAR</w:t>
      </w:r>
      <w:proofErr w:type="spellEnd"/>
      <w:r>
        <w:rPr>
          <w:rFonts w:ascii="Palatino Linotype" w:hAnsi="Palatino Linotype"/>
          <w:b/>
          <w:bCs/>
        </w:rPr>
        <w:t>/IP/2020,</w:t>
      </w:r>
      <w:r>
        <w:rPr>
          <w:rFonts w:ascii="Palatino Linotype" w:hAnsi="Palatino Linotype"/>
        </w:rPr>
        <w:t xml:space="preserve"> mediante la cual solicitó, vía </w:t>
      </w:r>
      <w:r>
        <w:rPr>
          <w:rFonts w:ascii="Palatino Linotype" w:hAnsi="Palatino Linotype"/>
          <w:b/>
        </w:rPr>
        <w:t>SAIMEX</w:t>
      </w:r>
      <w:r>
        <w:rPr>
          <w:rFonts w:ascii="Palatino Linotype" w:hAnsi="Palatino Linotype"/>
        </w:rPr>
        <w:t xml:space="preserve">, lo </w:t>
      </w:r>
      <w:r>
        <w:rPr>
          <w:rFonts w:ascii="Palatino Linotype" w:hAnsi="Palatino Linotype" w:cs="Arial"/>
        </w:rPr>
        <w:t>siguiente</w:t>
      </w:r>
      <w:r>
        <w:rPr>
          <w:rFonts w:ascii="Palatino Linotype" w:hAnsi="Palatino Linotype"/>
        </w:rPr>
        <w:t>:</w:t>
      </w:r>
    </w:p>
    <w:p w:rsidR="00A4268E" w:rsidRDefault="00A4268E">
      <w:pPr>
        <w:pStyle w:val="Prrafodelista"/>
        <w:spacing w:line="360" w:lineRule="auto"/>
        <w:ind w:left="851" w:right="899"/>
        <w:jc w:val="both"/>
        <w:rPr>
          <w:rFonts w:ascii="Palatino Linotype" w:hAnsi="Palatino Linotype" w:cs="Arial"/>
          <w:i/>
        </w:rPr>
      </w:pPr>
    </w:p>
    <w:p w:rsidR="00A4268E" w:rsidRDefault="006F0117">
      <w:pPr>
        <w:pStyle w:val="Prrafodelista"/>
        <w:ind w:left="709" w:right="757"/>
        <w:jc w:val="both"/>
        <w:rPr>
          <w:rFonts w:ascii="Palatino Linotype" w:hAnsi="Palatino Linotype" w:cs="Arial"/>
          <w:i/>
          <w:sz w:val="22"/>
        </w:rPr>
      </w:pPr>
      <w:r>
        <w:rPr>
          <w:rFonts w:ascii="Palatino Linotype" w:hAnsi="Palatino Linotype" w:cs="Arial"/>
          <w:i/>
          <w:sz w:val="22"/>
        </w:rPr>
        <w:t xml:space="preserve">“Solicito la nómina correspondiente a la </w:t>
      </w:r>
      <w:proofErr w:type="spellStart"/>
      <w:r>
        <w:rPr>
          <w:rFonts w:ascii="Palatino Linotype" w:hAnsi="Palatino Linotype" w:cs="Arial"/>
          <w:i/>
          <w:sz w:val="22"/>
        </w:rPr>
        <w:t>1a</w:t>
      </w:r>
      <w:proofErr w:type="spellEnd"/>
      <w:r>
        <w:rPr>
          <w:rFonts w:ascii="Palatino Linotype" w:hAnsi="Palatino Linotype" w:cs="Arial"/>
          <w:i/>
          <w:sz w:val="22"/>
        </w:rPr>
        <w:t xml:space="preserve"> quincena de enero” </w:t>
      </w:r>
      <w:r>
        <w:rPr>
          <w:rFonts w:ascii="Palatino Linotype" w:hAnsi="Palatino Linotype"/>
          <w:sz w:val="22"/>
        </w:rPr>
        <w:t>(Sic)</w:t>
      </w:r>
    </w:p>
    <w:p w:rsidR="00A4268E" w:rsidRDefault="00A4268E">
      <w:pPr>
        <w:spacing w:line="360" w:lineRule="auto"/>
        <w:ind w:right="709"/>
        <w:jc w:val="both"/>
        <w:rPr>
          <w:rFonts w:ascii="Palatino Linotype" w:hAnsi="Palatino Linotype"/>
        </w:rPr>
      </w:pPr>
    </w:p>
    <w:p w:rsidR="00A4268E" w:rsidRDefault="006F0117">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 xml:space="preserve">Del expediente electrónico del </w:t>
      </w:r>
      <w:r>
        <w:rPr>
          <w:rFonts w:ascii="Palatino Linotype" w:hAnsi="Palatino Linotype" w:cs="Arial"/>
          <w:b/>
        </w:rPr>
        <w:t>SAIMEX,</w:t>
      </w:r>
      <w:r>
        <w:rPr>
          <w:rFonts w:ascii="Palatino Linotype" w:hAnsi="Palatino Linotype" w:cs="Arial"/>
        </w:rPr>
        <w:t xml:space="preserve"> se advierte que en fecha cuatro de febrero de dos mil veinte, </w:t>
      </w:r>
      <w:r>
        <w:rPr>
          <w:rFonts w:ascii="Palatino Linotype" w:hAnsi="Palatino Linotype" w:cs="Arial"/>
          <w:b/>
        </w:rPr>
        <w:t>EL SUJETO OBLIGADO</w:t>
      </w:r>
      <w:r>
        <w:rPr>
          <w:rFonts w:ascii="Palatino Linotype" w:hAnsi="Palatino Linotype" w:cs="Arial"/>
        </w:rPr>
        <w:t xml:space="preserve"> a manera de respuesta a la </w:t>
      </w:r>
      <w:r>
        <w:rPr>
          <w:rFonts w:ascii="Palatino Linotype" w:hAnsi="Palatino Linotype" w:cs="Arial"/>
        </w:rPr>
        <w:lastRenderedPageBreak/>
        <w:t xml:space="preserve">solicitud de acceso a la información pública requerida por </w:t>
      </w:r>
      <w:r>
        <w:rPr>
          <w:rFonts w:ascii="Palatino Linotype" w:hAnsi="Palatino Linotype" w:cs="Arial"/>
          <w:b/>
        </w:rPr>
        <w:t>EL RECURRENTE</w:t>
      </w:r>
      <w:r>
        <w:rPr>
          <w:rFonts w:ascii="Palatino Linotype" w:hAnsi="Palatino Linotype" w:cs="Arial"/>
        </w:rPr>
        <w:t>, se pronunció en estos términos:</w:t>
      </w:r>
    </w:p>
    <w:p w:rsidR="00A4268E" w:rsidRDefault="006F0117">
      <w:pPr>
        <w:pStyle w:val="Prrafodelista"/>
        <w:ind w:left="720" w:right="757"/>
        <w:jc w:val="right"/>
        <w:rPr>
          <w:rFonts w:ascii="Palatino Linotype" w:hAnsi="Palatino Linotype" w:cs="Arial"/>
          <w:i/>
          <w:sz w:val="22"/>
        </w:rPr>
      </w:pPr>
      <w:r>
        <w:rPr>
          <w:rFonts w:ascii="Palatino Linotype" w:hAnsi="Palatino Linotype" w:cs="Arial"/>
          <w:i/>
          <w:sz w:val="22"/>
        </w:rPr>
        <w:t>“Coatepec Harinas, México a 04 de Febrero de 2020</w:t>
      </w:r>
    </w:p>
    <w:p w:rsidR="00A4268E" w:rsidRDefault="006F0117">
      <w:pPr>
        <w:pStyle w:val="Prrafodelista"/>
        <w:ind w:left="720" w:right="757"/>
        <w:jc w:val="right"/>
        <w:rPr>
          <w:rFonts w:ascii="Palatino Linotype" w:hAnsi="Palatino Linotype" w:cs="Arial"/>
          <w:i/>
          <w:sz w:val="22"/>
        </w:rPr>
      </w:pPr>
      <w:r>
        <w:rPr>
          <w:rFonts w:ascii="Palatino Linotype" w:hAnsi="Palatino Linotype" w:cs="Arial"/>
          <w:i/>
          <w:sz w:val="22"/>
        </w:rPr>
        <w:t xml:space="preserve">Nombre del solicitante: </w:t>
      </w:r>
      <w:proofErr w:type="spellStart"/>
      <w:r w:rsidR="009C0927" w:rsidRPr="009C0927">
        <w:rPr>
          <w:rFonts w:ascii="Palatino Linotype" w:hAnsi="Palatino Linotype" w:cs="Arial"/>
          <w:i/>
          <w:sz w:val="22"/>
        </w:rPr>
        <w:t>XXXX</w:t>
      </w:r>
      <w:proofErr w:type="spellEnd"/>
      <w:r w:rsidR="009C0927" w:rsidRPr="009C0927">
        <w:rPr>
          <w:rFonts w:ascii="Palatino Linotype" w:hAnsi="Palatino Linotype" w:cs="Arial"/>
          <w:i/>
          <w:sz w:val="22"/>
        </w:rPr>
        <w:t xml:space="preserve"> </w:t>
      </w:r>
      <w:proofErr w:type="spellStart"/>
      <w:r w:rsidR="009C0927" w:rsidRPr="009C0927">
        <w:rPr>
          <w:rFonts w:ascii="Palatino Linotype" w:hAnsi="Palatino Linotype" w:cs="Arial"/>
          <w:i/>
          <w:sz w:val="22"/>
        </w:rPr>
        <w:t>XXXXX</w:t>
      </w:r>
      <w:proofErr w:type="spellEnd"/>
      <w:r w:rsidR="009C0927" w:rsidRPr="009C0927">
        <w:rPr>
          <w:rFonts w:ascii="Palatino Linotype" w:hAnsi="Palatino Linotype" w:cs="Arial"/>
          <w:i/>
          <w:sz w:val="22"/>
        </w:rPr>
        <w:t xml:space="preserve"> </w:t>
      </w:r>
      <w:proofErr w:type="spellStart"/>
      <w:r w:rsidR="009C0927" w:rsidRPr="009C0927">
        <w:rPr>
          <w:rFonts w:ascii="Palatino Linotype" w:hAnsi="Palatino Linotype" w:cs="Arial"/>
          <w:i/>
          <w:sz w:val="22"/>
        </w:rPr>
        <w:t>XXXXX</w:t>
      </w:r>
      <w:proofErr w:type="spellEnd"/>
      <w:r w:rsidR="009C0927" w:rsidRPr="009C0927">
        <w:rPr>
          <w:rFonts w:ascii="Palatino Linotype" w:hAnsi="Palatino Linotype" w:cs="Arial"/>
          <w:i/>
          <w:sz w:val="22"/>
        </w:rPr>
        <w:t xml:space="preserve"> </w:t>
      </w:r>
      <w:proofErr w:type="spellStart"/>
      <w:r w:rsidR="009C0927" w:rsidRPr="009C0927">
        <w:rPr>
          <w:rFonts w:ascii="Palatino Linotype" w:hAnsi="Palatino Linotype" w:cs="Arial"/>
          <w:i/>
          <w:sz w:val="22"/>
        </w:rPr>
        <w:t>XXXXXXXXXX</w:t>
      </w:r>
      <w:proofErr w:type="spellEnd"/>
    </w:p>
    <w:p w:rsidR="00A4268E" w:rsidRDefault="006F0117">
      <w:pPr>
        <w:pStyle w:val="Prrafodelista"/>
        <w:ind w:left="720" w:right="757"/>
        <w:jc w:val="right"/>
        <w:rPr>
          <w:rFonts w:ascii="Palatino Linotype" w:hAnsi="Palatino Linotype" w:cs="Arial"/>
          <w:i/>
          <w:sz w:val="22"/>
        </w:rPr>
      </w:pPr>
      <w:r>
        <w:rPr>
          <w:rFonts w:ascii="Palatino Linotype" w:hAnsi="Palatino Linotype" w:cs="Arial"/>
          <w:i/>
          <w:sz w:val="22"/>
        </w:rPr>
        <w:t>Folio de la solicitud: 00007/</w:t>
      </w:r>
      <w:proofErr w:type="spellStart"/>
      <w:r>
        <w:rPr>
          <w:rFonts w:ascii="Palatino Linotype" w:hAnsi="Palatino Linotype" w:cs="Arial"/>
          <w:i/>
          <w:sz w:val="22"/>
        </w:rPr>
        <w:t>COATHAR</w:t>
      </w:r>
      <w:proofErr w:type="spellEnd"/>
      <w:r>
        <w:rPr>
          <w:rFonts w:ascii="Palatino Linotype" w:hAnsi="Palatino Linotype" w:cs="Arial"/>
          <w:i/>
          <w:sz w:val="22"/>
        </w:rPr>
        <w:t>/IP/2020</w:t>
      </w:r>
    </w:p>
    <w:p w:rsidR="00A4268E" w:rsidRDefault="00A4268E">
      <w:pPr>
        <w:pStyle w:val="Prrafodelista"/>
        <w:ind w:left="720" w:right="757"/>
        <w:jc w:val="right"/>
        <w:rPr>
          <w:rFonts w:ascii="Palatino Linotype" w:hAnsi="Palatino Linotype" w:cs="Arial"/>
          <w:i/>
          <w:sz w:val="22"/>
        </w:rPr>
      </w:pPr>
    </w:p>
    <w:p w:rsidR="00A4268E" w:rsidRDefault="006F0117">
      <w:pPr>
        <w:pStyle w:val="Prrafodelista"/>
        <w:ind w:left="720" w:right="757"/>
        <w:jc w:val="both"/>
        <w:rPr>
          <w:rFonts w:ascii="Palatino Linotype" w:hAnsi="Palatino Linotype" w:cs="Arial"/>
          <w:i/>
          <w:sz w:val="22"/>
        </w:rPr>
      </w:pPr>
      <w:r>
        <w:rPr>
          <w:rFonts w:ascii="Palatino Linotype" w:hAnsi="Palatino Linotype" w:cs="Arial"/>
          <w:i/>
          <w:sz w:val="22"/>
        </w:rPr>
        <w:t>Sin otro particular y atento a cualquier observación, me despido quedando a sus órdenes, en calle Benito Juárez esq. José María Morelos s/n, centro de Coatepec Harinas, México, cp. 51700. En un horario de 9:00 a 18:00 horas de lunes a viernes o vía correo electrónico utransparenciach@gmail.com ATENTAMENTE LIC. OSWALDO GUADARRAMA ORTIZ TITULAR DE LA UNIDAD DE TRANSPARENCIA</w:t>
      </w:r>
    </w:p>
    <w:p w:rsidR="00A4268E" w:rsidRDefault="00A4268E">
      <w:pPr>
        <w:pStyle w:val="Prrafodelista"/>
        <w:ind w:left="720" w:right="757"/>
        <w:jc w:val="both"/>
        <w:rPr>
          <w:rFonts w:ascii="Palatino Linotype" w:hAnsi="Palatino Linotype" w:cs="Arial"/>
          <w:i/>
          <w:sz w:val="22"/>
        </w:rPr>
      </w:pPr>
    </w:p>
    <w:p w:rsidR="00A4268E" w:rsidRDefault="006F0117">
      <w:pPr>
        <w:pStyle w:val="Prrafodelista"/>
        <w:ind w:left="720" w:right="757"/>
        <w:jc w:val="both"/>
        <w:rPr>
          <w:rFonts w:ascii="Palatino Linotype" w:hAnsi="Palatino Linotype" w:cs="Arial"/>
          <w:i/>
          <w:sz w:val="22"/>
        </w:rPr>
      </w:pPr>
      <w:r>
        <w:rPr>
          <w:rFonts w:ascii="Palatino Linotype" w:hAnsi="Palatino Linotype" w:cs="Arial"/>
          <w:i/>
          <w:sz w:val="22"/>
        </w:rPr>
        <w:t>ATENTAMENTE</w:t>
      </w:r>
    </w:p>
    <w:p w:rsidR="00A4268E" w:rsidRDefault="006F0117">
      <w:pPr>
        <w:pStyle w:val="Prrafodelista"/>
        <w:ind w:left="720" w:right="757"/>
        <w:jc w:val="both"/>
        <w:rPr>
          <w:rFonts w:ascii="Palatino Linotype" w:hAnsi="Palatino Linotype" w:cs="Arial"/>
          <w:i/>
          <w:sz w:val="22"/>
        </w:rPr>
      </w:pPr>
      <w:r>
        <w:rPr>
          <w:rFonts w:ascii="Palatino Linotype" w:hAnsi="Palatino Linotype" w:cs="Arial"/>
          <w:i/>
          <w:sz w:val="22"/>
        </w:rPr>
        <w:t>Oswaldo Guadarrama Ortiz”</w:t>
      </w:r>
    </w:p>
    <w:p w:rsidR="00A4268E" w:rsidRDefault="00A4268E">
      <w:pPr>
        <w:pStyle w:val="Prrafodelista"/>
        <w:spacing w:line="360" w:lineRule="auto"/>
        <w:ind w:left="0"/>
        <w:jc w:val="both"/>
        <w:rPr>
          <w:rFonts w:ascii="Palatino Linotype" w:hAnsi="Palatino Linotype" w:cs="Arial"/>
        </w:rPr>
      </w:pPr>
    </w:p>
    <w:p w:rsidR="00A4268E" w:rsidRDefault="006F0117">
      <w:pPr>
        <w:pStyle w:val="Prrafodelista"/>
        <w:spacing w:line="360" w:lineRule="auto"/>
        <w:ind w:left="0"/>
        <w:jc w:val="both"/>
        <w:rPr>
          <w:rFonts w:ascii="Palatino Linotype" w:hAnsi="Palatino Linotype" w:cs="Arial"/>
        </w:rPr>
      </w:pPr>
      <w:r>
        <w:rPr>
          <w:rFonts w:ascii="Palatino Linotype" w:hAnsi="Palatino Linotype" w:cs="Arial"/>
        </w:rPr>
        <w:t xml:space="preserve">Adjunto a su respuesta, </w:t>
      </w:r>
      <w:r>
        <w:rPr>
          <w:rFonts w:ascii="Palatino Linotype" w:hAnsi="Palatino Linotype" w:cs="Arial"/>
          <w:b/>
        </w:rPr>
        <w:t xml:space="preserve">EL SUJETO OBLIGADO </w:t>
      </w:r>
      <w:r>
        <w:rPr>
          <w:rFonts w:ascii="Palatino Linotype" w:hAnsi="Palatino Linotype" w:cs="Arial"/>
        </w:rPr>
        <w:t xml:space="preserve">remitió el archivo electrónico denominado </w:t>
      </w:r>
      <w:r>
        <w:rPr>
          <w:rFonts w:ascii="Palatino Linotype" w:hAnsi="Palatino Linotype" w:cs="Arial"/>
          <w:b/>
        </w:rPr>
        <w:t xml:space="preserve">RESPUESTA A SOLICITUD 007.pdf, </w:t>
      </w:r>
      <w:r>
        <w:rPr>
          <w:rFonts w:ascii="Palatino Linotype" w:hAnsi="Palatino Linotype" w:cs="Arial"/>
        </w:rPr>
        <w:t>mediante el cual el Titular de la Unidad de Transparencia infirmó y proporcionó al ciudadano la liga electrónica donde podía consultar la información requerida.</w:t>
      </w:r>
    </w:p>
    <w:p w:rsidR="00A4268E" w:rsidRDefault="00A4268E">
      <w:pPr>
        <w:pStyle w:val="Prrafodelista"/>
        <w:spacing w:line="360" w:lineRule="auto"/>
        <w:ind w:left="0"/>
        <w:jc w:val="both"/>
        <w:rPr>
          <w:rFonts w:ascii="Palatino Linotype" w:hAnsi="Palatino Linotype" w:cs="Arial"/>
        </w:rPr>
      </w:pPr>
    </w:p>
    <w:p w:rsidR="00A4268E" w:rsidRDefault="006F0117">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rPr>
        <w:t xml:space="preserve">Inconforme con la </w:t>
      </w:r>
      <w:r>
        <w:rPr>
          <w:rFonts w:ascii="Palatino Linotype" w:hAnsi="Palatino Linotype" w:cs="Arial"/>
        </w:rPr>
        <w:t xml:space="preserve">respuesta </w:t>
      </w:r>
      <w:r>
        <w:rPr>
          <w:rFonts w:ascii="Palatino Linotype" w:hAnsi="Palatino Linotype"/>
        </w:rPr>
        <w:t xml:space="preserve">del </w:t>
      </w:r>
      <w:r>
        <w:rPr>
          <w:rFonts w:ascii="Palatino Linotype" w:hAnsi="Palatino Linotype"/>
          <w:b/>
        </w:rPr>
        <w:t>SUJETO OBLIGADO</w:t>
      </w:r>
      <w:r>
        <w:rPr>
          <w:rFonts w:ascii="Palatino Linotype" w:hAnsi="Palatino Linotype"/>
        </w:rPr>
        <w:t xml:space="preserve">, el once de febrero de dos mil veinte, </w:t>
      </w:r>
      <w:r>
        <w:rPr>
          <w:rFonts w:ascii="Palatino Linotype" w:hAnsi="Palatino Linotype"/>
          <w:b/>
        </w:rPr>
        <w:t>EL RECURRENTE</w:t>
      </w:r>
      <w:r>
        <w:rPr>
          <w:rFonts w:ascii="Palatino Linotype" w:hAnsi="Palatino Linotype"/>
        </w:rPr>
        <w:t xml:space="preserve"> interpuso el recurso de revisión objeto del presente estudio, el cual fue registrado en </w:t>
      </w:r>
      <w:r>
        <w:rPr>
          <w:rFonts w:ascii="Palatino Linotype" w:hAnsi="Palatino Linotype"/>
          <w:b/>
        </w:rPr>
        <w:t>EL SAIMEX</w:t>
      </w:r>
      <w:r>
        <w:rPr>
          <w:rFonts w:ascii="Palatino Linotype" w:hAnsi="Palatino Linotype"/>
        </w:rPr>
        <w:t xml:space="preserve"> y se le asignó el número de expediente </w:t>
      </w:r>
      <w:r>
        <w:rPr>
          <w:rFonts w:ascii="Palatino Linotype" w:hAnsi="Palatino Linotype" w:cs="Arial"/>
          <w:b/>
          <w:bCs/>
        </w:rPr>
        <w:t>00967/INFOEM/IP/RR/2020</w:t>
      </w:r>
      <w:r>
        <w:rPr>
          <w:rFonts w:ascii="Palatino Linotype" w:hAnsi="Palatino Linotype" w:cs="Arial"/>
        </w:rPr>
        <w:t>, en el que señaló como acto impugnado lo siguiente:</w:t>
      </w:r>
    </w:p>
    <w:p w:rsidR="00A4268E" w:rsidRDefault="00A4268E">
      <w:pPr>
        <w:pStyle w:val="Prrafodelista"/>
        <w:spacing w:line="360" w:lineRule="auto"/>
        <w:ind w:left="0"/>
        <w:jc w:val="both"/>
        <w:rPr>
          <w:rFonts w:ascii="Palatino Linotype" w:hAnsi="Palatino Linotype" w:cs="Arial"/>
        </w:rPr>
      </w:pPr>
    </w:p>
    <w:p w:rsidR="00A4268E" w:rsidRDefault="006F0117">
      <w:pPr>
        <w:pStyle w:val="Prrafodelista"/>
        <w:spacing w:line="360" w:lineRule="auto"/>
        <w:ind w:left="709" w:right="757"/>
        <w:jc w:val="both"/>
        <w:rPr>
          <w:rFonts w:ascii="Palatino Linotype" w:hAnsi="Palatino Linotype"/>
          <w:i/>
          <w:color w:val="000000"/>
          <w:sz w:val="22"/>
        </w:rPr>
      </w:pPr>
      <w:r>
        <w:rPr>
          <w:rFonts w:ascii="Palatino Linotype" w:hAnsi="Palatino Linotype"/>
          <w:i/>
          <w:color w:val="000000"/>
          <w:sz w:val="22"/>
        </w:rPr>
        <w:t>“Falta de información.”</w:t>
      </w:r>
    </w:p>
    <w:p w:rsidR="00A4268E" w:rsidRDefault="00A4268E">
      <w:pPr>
        <w:spacing w:line="360" w:lineRule="auto"/>
        <w:ind w:right="757"/>
        <w:jc w:val="both"/>
        <w:rPr>
          <w:rFonts w:ascii="Palatino Linotype" w:hAnsi="Palatino Linotype" w:cs="Arial"/>
          <w:spacing w:val="-6"/>
          <w:lang w:eastAsia="es-MX"/>
        </w:rPr>
      </w:pPr>
    </w:p>
    <w:p w:rsidR="00A4268E" w:rsidRDefault="006F0117">
      <w:pPr>
        <w:spacing w:line="360" w:lineRule="auto"/>
        <w:ind w:right="757"/>
        <w:jc w:val="both"/>
        <w:rPr>
          <w:rFonts w:ascii="Palatino Linotype" w:hAnsi="Palatino Linotype" w:cs="Arial"/>
        </w:rPr>
      </w:pPr>
      <w:r>
        <w:rPr>
          <w:rFonts w:ascii="Palatino Linotype" w:hAnsi="Palatino Linotype" w:cs="Arial"/>
          <w:spacing w:val="-6"/>
          <w:lang w:eastAsia="es-MX"/>
        </w:rPr>
        <w:t xml:space="preserve">Asimismo, manifestó como </w:t>
      </w:r>
      <w:r>
        <w:rPr>
          <w:rFonts w:ascii="Palatino Linotype" w:hAnsi="Palatino Linotype" w:cs="Arial"/>
        </w:rPr>
        <w:t>razones o motivos de inconformidad:</w:t>
      </w:r>
    </w:p>
    <w:p w:rsidR="00A4268E" w:rsidRDefault="00A4268E">
      <w:pPr>
        <w:pStyle w:val="Prrafodelista"/>
        <w:spacing w:line="360" w:lineRule="auto"/>
        <w:ind w:left="709" w:right="757"/>
        <w:jc w:val="both"/>
        <w:rPr>
          <w:rFonts w:ascii="Palatino Linotype" w:hAnsi="Palatino Linotype" w:cs="Arial"/>
          <w:i/>
          <w:spacing w:val="-6"/>
          <w:sz w:val="22"/>
          <w:lang w:eastAsia="es-MX"/>
        </w:rPr>
      </w:pPr>
    </w:p>
    <w:p w:rsidR="00A4268E" w:rsidRDefault="006F0117">
      <w:pPr>
        <w:pStyle w:val="Prrafodelista"/>
        <w:spacing w:line="360" w:lineRule="auto"/>
        <w:ind w:left="709" w:right="757"/>
        <w:jc w:val="both"/>
        <w:rPr>
          <w:rFonts w:ascii="Palatino Linotype" w:hAnsi="Palatino Linotype" w:cs="Arial"/>
          <w:i/>
          <w:sz w:val="22"/>
        </w:rPr>
      </w:pPr>
      <w:r>
        <w:rPr>
          <w:rFonts w:ascii="Palatino Linotype" w:hAnsi="Palatino Linotype" w:cs="Arial"/>
          <w:i/>
          <w:spacing w:val="-6"/>
          <w:sz w:val="22"/>
          <w:lang w:eastAsia="es-MX"/>
        </w:rPr>
        <w:lastRenderedPageBreak/>
        <w:t xml:space="preserve">“Me responden </w:t>
      </w:r>
      <w:proofErr w:type="spellStart"/>
      <w:r>
        <w:rPr>
          <w:rFonts w:ascii="Palatino Linotype" w:hAnsi="Palatino Linotype" w:cs="Arial"/>
          <w:i/>
          <w:spacing w:val="-6"/>
          <w:sz w:val="22"/>
          <w:lang w:eastAsia="es-MX"/>
        </w:rPr>
        <w:t>conun</w:t>
      </w:r>
      <w:proofErr w:type="spellEnd"/>
      <w:r>
        <w:rPr>
          <w:rFonts w:ascii="Palatino Linotype" w:hAnsi="Palatino Linotype" w:cs="Arial"/>
          <w:i/>
          <w:spacing w:val="-6"/>
          <w:sz w:val="22"/>
          <w:lang w:eastAsia="es-MX"/>
        </w:rPr>
        <w:t xml:space="preserve"> Link, en el cual no se encuentran ni el 40% de los empleados del H.” </w:t>
      </w:r>
    </w:p>
    <w:p w:rsidR="00A4268E" w:rsidRDefault="00A4268E">
      <w:pPr>
        <w:spacing w:line="360" w:lineRule="auto"/>
        <w:ind w:right="49"/>
        <w:rPr>
          <w:rFonts w:ascii="Palatino Linotype" w:hAnsi="Palatino Linotype" w:cs="Arial"/>
          <w:spacing w:val="-6"/>
          <w:lang w:eastAsia="es-MX"/>
        </w:rPr>
      </w:pPr>
    </w:p>
    <w:p w:rsidR="00A4268E" w:rsidRDefault="006F0117">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 xml:space="preserve">El recurso de que se trata se envió electrónicamente al Instituto de </w:t>
      </w:r>
      <w:r>
        <w:rPr>
          <w:rFonts w:ascii="Palatino Linotype" w:eastAsia="Arial Unicode MS" w:hAnsi="Palatino Linotype" w:cs="Arial"/>
        </w:rPr>
        <w:t>Transparencia</w:t>
      </w:r>
      <w:r>
        <w:rPr>
          <w:rFonts w:ascii="Palatino Linotype" w:hAnsi="Palatino Linotype" w:cs="Arial"/>
        </w:rPr>
        <w:t xml:space="preserve">, Acceso a la Información Pública y Protección de Datos Personales del Estado de México y Municipios en fecha </w:t>
      </w:r>
      <w:r>
        <w:rPr>
          <w:rFonts w:ascii="Palatino Linotype" w:hAnsi="Palatino Linotype"/>
        </w:rPr>
        <w:t>once de febrero de dos mil veinte</w:t>
      </w:r>
      <w:r>
        <w:rPr>
          <w:rFonts w:ascii="Palatino Linotype" w:hAnsi="Palatino Linotype" w:cs="Arial"/>
        </w:rPr>
        <w:t xml:space="preserve"> y con fundamento en el artículo 185, fracción I de la </w:t>
      </w:r>
      <w:r>
        <w:rPr>
          <w:rFonts w:ascii="Palatino Linotype" w:hAnsi="Palatino Linotype"/>
        </w:rPr>
        <w:t>Ley de Transparencia y Acceso a la Información Pública del Estado de México y Municipios</w:t>
      </w:r>
      <w:r>
        <w:rPr>
          <w:rFonts w:ascii="Palatino Linotype" w:hAnsi="Palatino Linotype" w:cs="Arial"/>
        </w:rPr>
        <w:t>, se turnó, a través del</w:t>
      </w:r>
      <w:r>
        <w:rPr>
          <w:rFonts w:ascii="Palatino Linotype" w:eastAsia="Arial Unicode MS" w:hAnsi="Palatino Linotype" w:cs="Arial"/>
        </w:rPr>
        <w:t xml:space="preserve"> </w:t>
      </w:r>
      <w:r>
        <w:rPr>
          <w:rFonts w:ascii="Palatino Linotype" w:eastAsia="Arial Unicode MS" w:hAnsi="Palatino Linotype" w:cs="Arial"/>
          <w:b/>
        </w:rPr>
        <w:t>SAIMEX</w:t>
      </w:r>
      <w:r>
        <w:rPr>
          <w:rFonts w:ascii="Palatino Linotype" w:hAnsi="Palatino Linotype"/>
        </w:rPr>
        <w:t xml:space="preserve">, a la </w:t>
      </w:r>
      <w:r>
        <w:rPr>
          <w:rFonts w:ascii="Palatino Linotype" w:hAnsi="Palatino Linotype" w:cs="Arial"/>
        </w:rPr>
        <w:t xml:space="preserve">Comisionada </w:t>
      </w:r>
      <w:r>
        <w:rPr>
          <w:rFonts w:ascii="Palatino Linotype" w:hAnsi="Palatino Linotype" w:cs="Arial"/>
          <w:b/>
        </w:rPr>
        <w:t>EVA ABAID YAPUR</w:t>
      </w:r>
      <w:r>
        <w:rPr>
          <w:rFonts w:ascii="Palatino Linotype" w:hAnsi="Palatino Linotype" w:cs="Arial"/>
        </w:rPr>
        <w:t>, a efecto de que decretara su admisión o desechamiento.</w:t>
      </w:r>
    </w:p>
    <w:p w:rsidR="00A4268E" w:rsidRDefault="00A4268E">
      <w:pPr>
        <w:pStyle w:val="Prrafodelista"/>
        <w:spacing w:line="360" w:lineRule="auto"/>
        <w:ind w:left="0"/>
        <w:jc w:val="both"/>
        <w:rPr>
          <w:rFonts w:ascii="Palatino Linotype" w:hAnsi="Palatino Linotype" w:cs="Arial"/>
        </w:rPr>
      </w:pPr>
    </w:p>
    <w:p w:rsidR="00A4268E" w:rsidRDefault="006F0117">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 xml:space="preserve">En fecha diecisiete de febrero de la presente anualidad, atento a lo dispuesto en el artículo 185, fracciones I, II y IV de la </w:t>
      </w:r>
      <w:r>
        <w:rPr>
          <w:rFonts w:ascii="Palatino Linotype" w:hAnsi="Palatino Linotype"/>
        </w:rPr>
        <w:t>Ley de Transparencia y Acceso a la Información Pública del Estado de México y Municipios, se a</w:t>
      </w:r>
      <w:r>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Pr>
          <w:rFonts w:ascii="Palatino Linotype" w:hAnsi="Palatino Linotype" w:cs="Arial"/>
          <w:b/>
        </w:rPr>
        <w:t>EL RECURRENTE</w:t>
      </w:r>
      <w:r>
        <w:rPr>
          <w:rFonts w:ascii="Palatino Linotype" w:hAnsi="Palatino Linotype" w:cs="Arial"/>
        </w:rPr>
        <w:t xml:space="preserve"> realizara manifestaciones y alegatos, así como ofreciera las pruebas que a su derecho conviniera y, en el caso del</w:t>
      </w:r>
      <w:r>
        <w:rPr>
          <w:rFonts w:ascii="Palatino Linotype" w:hAnsi="Palatino Linotype" w:cs="Arial"/>
          <w:b/>
        </w:rPr>
        <w:t xml:space="preserve"> SUJETO OBLIGADO</w:t>
      </w:r>
      <w:r>
        <w:rPr>
          <w:rFonts w:ascii="Palatino Linotype" w:hAnsi="Palatino Linotype" w:cs="Arial"/>
        </w:rPr>
        <w:t xml:space="preserve"> exhibiera el Informe Justificado. </w:t>
      </w:r>
    </w:p>
    <w:p w:rsidR="00A4268E" w:rsidRDefault="00A4268E">
      <w:pPr>
        <w:pStyle w:val="Prrafodelista"/>
        <w:spacing w:line="360" w:lineRule="auto"/>
        <w:ind w:left="0"/>
        <w:jc w:val="both"/>
        <w:rPr>
          <w:rFonts w:ascii="Palatino Linotype" w:hAnsi="Palatino Linotype" w:cs="Arial"/>
        </w:rPr>
      </w:pPr>
    </w:p>
    <w:p w:rsidR="00A4268E" w:rsidRDefault="006F0117">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 xml:space="preserve">De las constancias que obran en el </w:t>
      </w:r>
      <w:r>
        <w:rPr>
          <w:rFonts w:ascii="Palatino Linotype" w:hAnsi="Palatino Linotype" w:cs="Arial"/>
          <w:b/>
        </w:rPr>
        <w:t>SAIMEX</w:t>
      </w:r>
      <w:r>
        <w:rPr>
          <w:rFonts w:ascii="Palatino Linotype" w:hAnsi="Palatino Linotype" w:cs="Arial"/>
        </w:rPr>
        <w:t>, se advierte que</w:t>
      </w:r>
      <w:r>
        <w:rPr>
          <w:rFonts w:ascii="Palatino Linotype" w:hAnsi="Palatino Linotype" w:cs="Arial"/>
          <w:b/>
        </w:rPr>
        <w:t xml:space="preserve"> EL RECURRENTE </w:t>
      </w:r>
      <w:r>
        <w:rPr>
          <w:rFonts w:ascii="Palatino Linotype" w:hAnsi="Palatino Linotype" w:cs="Arial"/>
        </w:rPr>
        <w:t xml:space="preserve">no presentó manifestaciones y alegatos, ni ofreció los medios de prueba que a su derecho convinieran; mientras que por su parte, </w:t>
      </w:r>
      <w:r>
        <w:rPr>
          <w:rFonts w:ascii="Palatino Linotype" w:hAnsi="Palatino Linotype" w:cs="Arial"/>
          <w:b/>
        </w:rPr>
        <w:t>EL SUJETO OBLIGADO</w:t>
      </w:r>
      <w:r>
        <w:t xml:space="preserve"> </w:t>
      </w:r>
      <w:r>
        <w:rPr>
          <w:rFonts w:ascii="Palatino Linotype" w:hAnsi="Palatino Linotype" w:cs="Arial"/>
        </w:rPr>
        <w:t xml:space="preserve">rindió su Informe Justificado en fecha veintiuno de febrero de dos mil veinte, mismo que no fue puesto a disposición del particular por no actualizar lo dispuesto por la fracción III del </w:t>
      </w:r>
      <w:r>
        <w:rPr>
          <w:rFonts w:ascii="Palatino Linotype" w:hAnsi="Palatino Linotype" w:cs="Arial"/>
        </w:rPr>
        <w:lastRenderedPageBreak/>
        <w:t xml:space="preserve">artículo 185 de la Ley de Transparencia y Acceso a la Información Pública del Estado de México y Municipios, pues no modifica ni revoca el sentido de la respuesta proporcionada, situación que será analizada con posterioridad en la presente resolución, por lo que únicamente se inserta lo relativo al Informe Justificado del </w:t>
      </w:r>
      <w:r>
        <w:rPr>
          <w:rFonts w:ascii="Palatino Linotype" w:hAnsi="Palatino Linotype" w:cs="Arial"/>
          <w:b/>
        </w:rPr>
        <w:t>SUJETO OBLIGADO</w:t>
      </w:r>
      <w:r>
        <w:rPr>
          <w:rFonts w:ascii="Palatino Linotype" w:hAnsi="Palatino Linotype" w:cs="Arial"/>
        </w:rPr>
        <w:t>, a fin de que el ciudadano cuente con todas y cada una de las constancias que integran el expediente electrónico del recurso de revisión.</w:t>
      </w:r>
    </w:p>
    <w:p w:rsidR="00A4268E" w:rsidRDefault="009C0927">
      <w:pPr>
        <w:pStyle w:val="Prrafodelista"/>
        <w:spacing w:line="360" w:lineRule="auto"/>
        <w:ind w:left="0"/>
        <w:jc w:val="center"/>
        <w:rPr>
          <w:rFonts w:ascii="Palatino Linotype" w:hAnsi="Palatino Linotype" w:cs="Arial"/>
        </w:rPr>
      </w:pPr>
      <w:r>
        <w:rPr>
          <w:noProof/>
          <w:lang w:eastAsia="es-MX"/>
        </w:rPr>
        <w:drawing>
          <wp:inline distT="0" distB="0" distL="0" distR="0" wp14:anchorId="69C3AC07" wp14:editId="72421323">
            <wp:extent cx="5648325" cy="54006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8325" cy="5400675"/>
                    </a:xfrm>
                    <a:prstGeom prst="rect">
                      <a:avLst/>
                    </a:prstGeom>
                  </pic:spPr>
                </pic:pic>
              </a:graphicData>
            </a:graphic>
          </wp:inline>
        </w:drawing>
      </w:r>
    </w:p>
    <w:p w:rsidR="00A4268E" w:rsidRDefault="00A4268E">
      <w:pPr>
        <w:pStyle w:val="Prrafodelista"/>
        <w:spacing w:line="360" w:lineRule="auto"/>
        <w:ind w:left="0"/>
        <w:jc w:val="center"/>
        <w:rPr>
          <w:rFonts w:ascii="Palatino Linotype" w:hAnsi="Palatino Linotype" w:cs="Arial"/>
        </w:rPr>
      </w:pPr>
    </w:p>
    <w:p w:rsidR="00A4268E" w:rsidRDefault="006F0117">
      <w:pPr>
        <w:pStyle w:val="Prrafodelista"/>
        <w:spacing w:line="360" w:lineRule="auto"/>
        <w:ind w:left="0"/>
        <w:jc w:val="center"/>
        <w:rPr>
          <w:rFonts w:ascii="Palatino Linotype" w:hAnsi="Palatino Linotype" w:cs="Arial"/>
        </w:rPr>
      </w:pPr>
      <w:r>
        <w:rPr>
          <w:noProof/>
          <w:lang w:eastAsia="es-MX"/>
        </w:rPr>
        <w:drawing>
          <wp:inline distT="0" distB="0" distL="0" distR="0">
            <wp:extent cx="4810760" cy="56991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9"/>
                    <a:stretch>
                      <a:fillRect/>
                    </a:stretch>
                  </pic:blipFill>
                  <pic:spPr bwMode="auto">
                    <a:xfrm>
                      <a:off x="0" y="0"/>
                      <a:ext cx="4810760" cy="5699125"/>
                    </a:xfrm>
                    <a:prstGeom prst="rect">
                      <a:avLst/>
                    </a:prstGeom>
                  </pic:spPr>
                </pic:pic>
              </a:graphicData>
            </a:graphic>
          </wp:inline>
        </w:drawing>
      </w:r>
    </w:p>
    <w:p w:rsidR="00A4268E" w:rsidRDefault="006F0117">
      <w:pPr>
        <w:pStyle w:val="Prrafodelista"/>
        <w:numPr>
          <w:ilvl w:val="0"/>
          <w:numId w:val="1"/>
        </w:numPr>
        <w:spacing w:line="360" w:lineRule="auto"/>
        <w:ind w:left="0" w:firstLine="0"/>
        <w:jc w:val="both"/>
        <w:rPr>
          <w:rFonts w:ascii="Palatino Linotype" w:hAnsi="Palatino Linotype"/>
        </w:rPr>
      </w:pPr>
      <w:r>
        <w:rPr>
          <w:rFonts w:ascii="Palatino Linotype" w:hAnsi="Palatino Linotype" w:cs="Arial"/>
        </w:rPr>
        <w:t xml:space="preserve">Transcurrido el plazo señalado en el párrafo anterior y, una vez analizado el estado procesal que guardaba el expediente, en fecha </w:t>
      </w:r>
      <w:proofErr w:type="spellStart"/>
      <w:r>
        <w:rPr>
          <w:rFonts w:ascii="Palatino Linotype" w:hAnsi="Palatino Linotype" w:cs="Arial"/>
        </w:rPr>
        <w:t>XXXXXXX</w:t>
      </w:r>
      <w:proofErr w:type="spellEnd"/>
      <w:r>
        <w:rPr>
          <w:rFonts w:ascii="Palatino Linotype" w:hAnsi="Palatino Linotype" w:cs="Arial"/>
        </w:rPr>
        <w:t xml:space="preserve"> de dos mil veinte, la Comisionada Ponente acordó el cierre de instrucción, así como la remisión del mismo a efecto de ser resuelto, de conformidad con lo establecido en el artículo 185 fracciones </w:t>
      </w:r>
      <w:r>
        <w:rPr>
          <w:rFonts w:ascii="Palatino Linotype" w:hAnsi="Palatino Linotype" w:cs="Arial"/>
        </w:rPr>
        <w:lastRenderedPageBreak/>
        <w:t>VI y VIII de la Ley de Transparencia y Acceso a la Información Pública del Estado de México y Municipios.</w:t>
      </w:r>
    </w:p>
    <w:p w:rsidR="00A4268E" w:rsidRDefault="00A4268E">
      <w:pPr>
        <w:pStyle w:val="Prrafodelista"/>
        <w:spacing w:line="360" w:lineRule="auto"/>
        <w:ind w:left="0"/>
        <w:jc w:val="both"/>
        <w:rPr>
          <w:rFonts w:ascii="Palatino Linotype" w:hAnsi="Palatino Linotype"/>
        </w:rPr>
      </w:pPr>
    </w:p>
    <w:p w:rsidR="00A4268E" w:rsidRDefault="006F0117">
      <w:pPr>
        <w:spacing w:line="360" w:lineRule="auto"/>
        <w:jc w:val="center"/>
        <w:rPr>
          <w:rFonts w:ascii="Palatino Linotype" w:hAnsi="Palatino Linotype"/>
          <w:b/>
          <w:bCs/>
          <w:spacing w:val="60"/>
          <w:sz w:val="28"/>
        </w:rPr>
      </w:pPr>
      <w:r>
        <w:rPr>
          <w:rFonts w:ascii="Palatino Linotype" w:hAnsi="Palatino Linotype"/>
          <w:b/>
          <w:bCs/>
          <w:spacing w:val="60"/>
          <w:sz w:val="28"/>
        </w:rPr>
        <w:t>CONSIDERANDO</w:t>
      </w:r>
    </w:p>
    <w:p w:rsidR="00A4268E" w:rsidRDefault="00A4268E">
      <w:pPr>
        <w:spacing w:line="360" w:lineRule="auto"/>
        <w:jc w:val="center"/>
        <w:rPr>
          <w:rFonts w:ascii="Palatino Linotype" w:hAnsi="Palatino Linotype"/>
          <w:b/>
          <w:bCs/>
          <w:spacing w:val="60"/>
        </w:rPr>
      </w:pPr>
    </w:p>
    <w:p w:rsidR="00A4268E" w:rsidRDefault="006F0117">
      <w:pPr>
        <w:pStyle w:val="Prrafodelista"/>
        <w:widowControl w:val="0"/>
        <w:numPr>
          <w:ilvl w:val="0"/>
          <w:numId w:val="2"/>
        </w:numPr>
        <w:spacing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vigésimo segundo, vigésimo tercero y vigésimo cuarto, fracciones IV y V de la Constitución Política del Estado Libre y Soberano de México; 2, fracción II, 13, 29, 36, fracciones I y II, 176, 178, 179, 181, párrafo tercero y 185 de la Ley de Transparencia y Acceso a la Información Pública del Estado de México y Municipios</w:t>
      </w:r>
      <w:r>
        <w:rPr>
          <w:rFonts w:ascii="Palatino Linotype" w:hAnsi="Palatino Linotype" w:cs="Arial"/>
        </w:rPr>
        <w:t>; y 9, fracciones I y XXIV y 11 del Reglamento Interior del Instituto de Transparencia, Acceso a la Información Pública y Protección de Datos Personales del Estado de México y Municipios.</w:t>
      </w:r>
    </w:p>
    <w:p w:rsidR="00A4268E" w:rsidRDefault="00A4268E">
      <w:pPr>
        <w:pStyle w:val="Prrafodelista"/>
        <w:widowControl w:val="0"/>
        <w:spacing w:line="360" w:lineRule="auto"/>
        <w:ind w:left="0"/>
        <w:jc w:val="both"/>
        <w:rPr>
          <w:rFonts w:ascii="Palatino Linotype" w:hAnsi="Palatino Linotype" w:cs="Arial"/>
        </w:rPr>
      </w:pPr>
    </w:p>
    <w:p w:rsidR="00A4268E" w:rsidRDefault="006F0117">
      <w:pPr>
        <w:pStyle w:val="Prrafodelista"/>
        <w:widowControl w:val="0"/>
        <w:numPr>
          <w:ilvl w:val="0"/>
          <w:numId w:val="2"/>
        </w:numPr>
        <w:spacing w:line="360" w:lineRule="auto"/>
        <w:ind w:left="0" w:firstLine="0"/>
        <w:jc w:val="both"/>
        <w:rPr>
          <w:rFonts w:ascii="Palatino Linotype" w:hAnsi="Palatino Linotype" w:cs="Arial"/>
        </w:rPr>
      </w:pPr>
      <w:r>
        <w:rPr>
          <w:rFonts w:ascii="Palatino Linotype" w:hAnsi="Palatino Linotype" w:cs="Arial"/>
          <w:b/>
        </w:rPr>
        <w:t>Interés.</w:t>
      </w:r>
      <w:r>
        <w:rPr>
          <w:rFonts w:ascii="Palatino Linotype" w:hAnsi="Palatino Linotype" w:cs="Arial"/>
        </w:rPr>
        <w:t xml:space="preserve"> El recurso de revisión fue interpuesto por parte legítima en atención a que fue presentado por </w:t>
      </w:r>
      <w:r>
        <w:rPr>
          <w:rFonts w:ascii="Palatino Linotype" w:hAnsi="Palatino Linotype" w:cs="Arial"/>
          <w:b/>
        </w:rPr>
        <w:t>EL RECURRENTE</w:t>
      </w:r>
      <w:r>
        <w:rPr>
          <w:rFonts w:ascii="Palatino Linotype" w:hAnsi="Palatino Linotype" w:cs="Arial"/>
        </w:rPr>
        <w:t xml:space="preserve">, quien es la misma persona que formuló la solicitud de información pública número </w:t>
      </w:r>
      <w:r>
        <w:rPr>
          <w:rFonts w:ascii="Palatino Linotype" w:hAnsi="Palatino Linotype" w:cs="Arial"/>
          <w:b/>
          <w:bCs/>
        </w:rPr>
        <w:t>00007/</w:t>
      </w:r>
      <w:proofErr w:type="spellStart"/>
      <w:r>
        <w:rPr>
          <w:rFonts w:ascii="Palatino Linotype" w:hAnsi="Palatino Linotype" w:cs="Arial"/>
          <w:b/>
          <w:bCs/>
        </w:rPr>
        <w:t>COATHAR</w:t>
      </w:r>
      <w:proofErr w:type="spellEnd"/>
      <w:r>
        <w:rPr>
          <w:rFonts w:ascii="Palatino Linotype" w:hAnsi="Palatino Linotype" w:cs="Arial"/>
          <w:b/>
          <w:bCs/>
        </w:rPr>
        <w:t xml:space="preserve">/IP/2020 </w:t>
      </w:r>
      <w:r>
        <w:rPr>
          <w:rFonts w:ascii="Palatino Linotype" w:hAnsi="Palatino Linotype" w:cs="Arial"/>
        </w:rPr>
        <w:t>al</w:t>
      </w:r>
      <w:r>
        <w:rPr>
          <w:rFonts w:ascii="Palatino Linotype" w:hAnsi="Palatino Linotype" w:cs="Arial"/>
          <w:b/>
        </w:rPr>
        <w:t xml:space="preserve"> SUJETO OBLIGADO</w:t>
      </w:r>
      <w:r>
        <w:rPr>
          <w:rFonts w:ascii="Palatino Linotype" w:hAnsi="Palatino Linotype" w:cs="Arial"/>
        </w:rPr>
        <w:t>.</w:t>
      </w:r>
    </w:p>
    <w:p w:rsidR="00A4268E" w:rsidRDefault="00A4268E">
      <w:pPr>
        <w:pStyle w:val="Prrafodelista"/>
        <w:spacing w:line="360" w:lineRule="auto"/>
        <w:rPr>
          <w:rFonts w:ascii="Palatino Linotype" w:hAnsi="Palatino Linotype" w:cs="Arial"/>
          <w:b/>
        </w:rPr>
      </w:pPr>
    </w:p>
    <w:p w:rsidR="00A4268E" w:rsidRDefault="006F0117">
      <w:pPr>
        <w:pStyle w:val="Prrafodelista"/>
        <w:widowControl w:val="0"/>
        <w:numPr>
          <w:ilvl w:val="0"/>
          <w:numId w:val="2"/>
        </w:numPr>
        <w:spacing w:line="360" w:lineRule="auto"/>
        <w:ind w:left="0" w:firstLine="0"/>
        <w:jc w:val="both"/>
        <w:rPr>
          <w:rFonts w:ascii="Palatino Linotype" w:hAnsi="Palatino Linotype" w:cs="Arial"/>
        </w:rPr>
      </w:pPr>
      <w:r>
        <w:rPr>
          <w:rFonts w:ascii="Palatino Linotype" w:hAnsi="Palatino Linotype" w:cs="Arial"/>
          <w:b/>
        </w:rPr>
        <w:t xml:space="preserve">Oportunidad. </w:t>
      </w:r>
      <w:r>
        <w:rPr>
          <w:rFonts w:ascii="Palatino Linotype" w:eastAsiaTheme="minorEastAsia" w:hAnsi="Palatino Linotype" w:cs="Arial"/>
          <w:lang w:val="es-ES_tradnl"/>
        </w:rPr>
        <w:t xml:space="preserve">En efecto, atendiendo a que </w:t>
      </w:r>
      <w:r>
        <w:rPr>
          <w:rFonts w:ascii="Palatino Linotype" w:eastAsiaTheme="minorEastAsia" w:hAnsi="Palatino Linotype" w:cs="Arial"/>
          <w:b/>
          <w:lang w:val="es-ES_tradnl"/>
        </w:rPr>
        <w:t xml:space="preserve">EL SUJETO </w:t>
      </w:r>
      <w:r>
        <w:rPr>
          <w:rFonts w:ascii="Palatino Linotype" w:eastAsiaTheme="minorEastAsia" w:hAnsi="Palatino Linotype" w:cs="Arial"/>
          <w:b/>
          <w:lang w:val="es-ES_tradnl"/>
        </w:rPr>
        <w:lastRenderedPageBreak/>
        <w:t>OBLIGADO</w:t>
      </w:r>
      <w:r>
        <w:rPr>
          <w:rFonts w:ascii="Palatino Linotype" w:eastAsiaTheme="minorEastAsia" w:hAnsi="Palatino Linotype" w:cs="Arial"/>
          <w:lang w:val="es-ES_tradnl"/>
        </w:rPr>
        <w:t xml:space="preserve"> notificó la respuesta a la solicitud de información pública el</w:t>
      </w:r>
      <w:r>
        <w:rPr>
          <w:rFonts w:ascii="Palatino Linotype" w:eastAsiaTheme="minorEastAsia" w:hAnsi="Palatino Linotype" w:cs="Arial"/>
          <w:b/>
          <w:lang w:val="es-ES_tradnl"/>
        </w:rPr>
        <w:t xml:space="preserve"> cuatro de febrero de dos mil veinte; </w:t>
      </w:r>
      <w:r>
        <w:rPr>
          <w:rFonts w:ascii="Palatino Linotype" w:hAnsi="Palatino Linotype" w:cs="Arial"/>
        </w:rPr>
        <w:t>en consecuencia, el plazo de quince días hábiles que el artículo 178 de la ley de la materia otorga al</w:t>
      </w:r>
      <w:r>
        <w:rPr>
          <w:rFonts w:ascii="Palatino Linotype" w:hAnsi="Palatino Linotype" w:cs="Arial"/>
          <w:b/>
        </w:rPr>
        <w:t xml:space="preserve"> RECURRENTE</w:t>
      </w:r>
      <w:r>
        <w:rPr>
          <w:rFonts w:ascii="Palatino Linotype" w:hAnsi="Palatino Linotype" w:cs="Arial"/>
        </w:rPr>
        <w:t xml:space="preserve"> para presentar el recurso de revisión, transcurrió del</w:t>
      </w:r>
      <w:r>
        <w:rPr>
          <w:rFonts w:ascii="Palatino Linotype" w:hAnsi="Palatino Linotype" w:cs="Arial"/>
          <w:b/>
        </w:rPr>
        <w:t xml:space="preserve"> cinco al veinticinco de febrero de dos mil veinte</w:t>
      </w:r>
      <w:r>
        <w:rPr>
          <w:rFonts w:ascii="Palatino Linotype" w:hAnsi="Palatino Linotype" w:cs="Arial"/>
        </w:rPr>
        <w:t xml:space="preserve">, sin contemplar en el cómputo los días ocho, nueve, quince, dieciséis, veintidós y veintitrés de febrero de dos mil veinte, por corresponder a sábados y domingos, considerados como días inhábiles; en términos del artículo 3, fracción X de la </w:t>
      </w:r>
      <w:r>
        <w:rPr>
          <w:rFonts w:ascii="Palatino Linotype" w:hAnsi="Palatino Linotype"/>
        </w:rPr>
        <w:t>Ley de Transparencia y Acceso a la Información Pública del Estado de México y Municipios</w:t>
      </w:r>
      <w:r>
        <w:rPr>
          <w:rFonts w:ascii="Palatino Linotype" w:hAnsi="Palatino Linotype" w:cs="Arial"/>
        </w:rPr>
        <w:t>.</w:t>
      </w:r>
    </w:p>
    <w:p w:rsidR="00A4268E" w:rsidRDefault="00A4268E">
      <w:pPr>
        <w:spacing w:line="360" w:lineRule="auto"/>
        <w:jc w:val="both"/>
        <w:rPr>
          <w:rFonts w:ascii="Palatino Linotype" w:hAnsi="Palatino Linotype"/>
        </w:rPr>
      </w:pPr>
    </w:p>
    <w:p w:rsidR="00A4268E" w:rsidRDefault="006F0117">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En ese tenor, si el recurso de revisión que nos ocupa, se interpuso el</w:t>
      </w:r>
      <w:r>
        <w:rPr>
          <w:rFonts w:ascii="Palatino Linotype" w:eastAsiaTheme="minorEastAsia" w:hAnsi="Palatino Linotype" w:cs="Arial"/>
          <w:b/>
          <w:lang w:val="es-ES_tradnl"/>
        </w:rPr>
        <w:t xml:space="preserve"> once de febrero de dos mil veinte,</w:t>
      </w:r>
      <w:r>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A4268E" w:rsidRDefault="00A4268E">
      <w:pPr>
        <w:pStyle w:val="Prrafodelista"/>
        <w:widowControl w:val="0"/>
        <w:spacing w:line="360" w:lineRule="auto"/>
        <w:ind w:left="0"/>
        <w:jc w:val="both"/>
        <w:rPr>
          <w:rFonts w:ascii="Palatino Linotype" w:hAnsi="Palatino Linotype" w:cs="Arial"/>
          <w:b/>
          <w:u w:val="single"/>
        </w:rPr>
      </w:pPr>
    </w:p>
    <w:p w:rsidR="00A4268E" w:rsidRDefault="006F0117">
      <w:pPr>
        <w:pStyle w:val="Prrafodelista"/>
        <w:widowControl w:val="0"/>
        <w:numPr>
          <w:ilvl w:val="0"/>
          <w:numId w:val="2"/>
        </w:numPr>
        <w:spacing w:line="360" w:lineRule="auto"/>
        <w:ind w:left="0" w:firstLine="0"/>
        <w:jc w:val="both"/>
        <w:rPr>
          <w:rFonts w:ascii="Palatino Linotype" w:hAnsi="Palatino Linotype"/>
        </w:rPr>
      </w:pPr>
      <w:r>
        <w:rPr>
          <w:rFonts w:ascii="Palatino Linotype" w:hAnsi="Palatino Linotype" w:cs="Arial"/>
        </w:rPr>
        <w:t xml:space="preserve">Del análisis efectuado, se advierte que resulta procedente la interposición de los </w:t>
      </w:r>
      <w:r>
        <w:rPr>
          <w:rFonts w:ascii="Palatino Linotype" w:hAnsi="Palatino Linotype"/>
        </w:rPr>
        <w:t>recursos</w:t>
      </w:r>
      <w:r>
        <w:rPr>
          <w:rFonts w:ascii="Palatino Linotype" w:hAnsi="Palatino Linotype" w:cs="Arial"/>
        </w:rPr>
        <w:t xml:space="preserve"> y se concluye la acreditación </w:t>
      </w:r>
      <w:r>
        <w:rPr>
          <w:rFonts w:ascii="Palatino Linotype" w:hAnsi="Palatino Linotype"/>
        </w:rPr>
        <w:t>plena</w:t>
      </w:r>
      <w:r>
        <w:rPr>
          <w:rFonts w:ascii="Palatino Linotype" w:hAnsi="Palatino Linotype" w:cs="Arial"/>
        </w:rPr>
        <w:t xml:space="preserve"> de todos y cada uno de los elementos formales exigidos por el artículo 180 de la </w:t>
      </w:r>
      <w:r>
        <w:rPr>
          <w:rFonts w:ascii="Palatino Linotype" w:hAnsi="Palatino Linotype"/>
        </w:rPr>
        <w:t xml:space="preserve">Ley de Transparencia y Acceso a la Información Pública del </w:t>
      </w:r>
      <w:r>
        <w:rPr>
          <w:rFonts w:ascii="Palatino Linotype" w:hAnsi="Palatino Linotype" w:cs="Arial"/>
        </w:rPr>
        <w:t>Estado</w:t>
      </w:r>
      <w:r>
        <w:rPr>
          <w:rFonts w:ascii="Palatino Linotype" w:hAnsi="Palatino Linotype"/>
        </w:rPr>
        <w:t xml:space="preserve"> de México y Municipios, en atención a que fue presentado mediante el formato visible en </w:t>
      </w:r>
      <w:r>
        <w:rPr>
          <w:rFonts w:ascii="Palatino Linotype" w:hAnsi="Palatino Linotype"/>
          <w:b/>
        </w:rPr>
        <w:t>EL SAIMEX.</w:t>
      </w:r>
    </w:p>
    <w:p w:rsidR="00A4268E" w:rsidRDefault="00A4268E">
      <w:pPr>
        <w:pStyle w:val="Prrafodelista"/>
        <w:widowControl w:val="0"/>
        <w:spacing w:line="360" w:lineRule="auto"/>
        <w:ind w:left="0"/>
        <w:jc w:val="both"/>
        <w:rPr>
          <w:rFonts w:ascii="Palatino Linotype" w:hAnsi="Palatino Linotype"/>
        </w:rPr>
      </w:pPr>
    </w:p>
    <w:p w:rsidR="00A4268E" w:rsidRDefault="006F0117">
      <w:pPr>
        <w:pStyle w:val="Prrafodelista"/>
        <w:numPr>
          <w:ilvl w:val="0"/>
          <w:numId w:val="2"/>
        </w:numPr>
        <w:spacing w:line="360" w:lineRule="auto"/>
        <w:ind w:left="0" w:firstLine="0"/>
        <w:jc w:val="both"/>
        <w:rPr>
          <w:rFonts w:ascii="Palatino Linotype" w:hAnsi="Palatino Linotype"/>
        </w:rPr>
      </w:pPr>
      <w:r>
        <w:rPr>
          <w:rFonts w:ascii="Palatino Linotype" w:hAnsi="Palatino Linotype" w:cs="Arial"/>
          <w:b/>
        </w:rPr>
        <w:t>Estudio y resolución del recurso</w:t>
      </w:r>
      <w:r>
        <w:rPr>
          <w:rFonts w:ascii="Palatino Linotype" w:hAnsi="Palatino Linotype" w:cs="Arial"/>
          <w:b/>
          <w:color w:val="000000" w:themeColor="text1"/>
        </w:rPr>
        <w:t xml:space="preserve">. </w:t>
      </w:r>
      <w:r>
        <w:rPr>
          <w:rFonts w:ascii="Palatino Linotype" w:hAnsi="Palatino Linotype" w:cs="Arial"/>
        </w:rPr>
        <w:t xml:space="preserve">Es así que, una vez determinada la vía sobre la que versará el presente recurso, y previa revisión del expediente </w:t>
      </w:r>
      <w:r>
        <w:rPr>
          <w:rFonts w:ascii="Palatino Linotype" w:hAnsi="Palatino Linotype"/>
        </w:rPr>
        <w:t>electrónico</w:t>
      </w:r>
      <w:r>
        <w:rPr>
          <w:rFonts w:ascii="Palatino Linotype" w:hAnsi="Palatino Linotype" w:cs="Arial"/>
        </w:rPr>
        <w:t xml:space="preserve"> formado en el</w:t>
      </w:r>
      <w:r>
        <w:rPr>
          <w:rFonts w:ascii="Palatino Linotype" w:hAnsi="Palatino Linotype" w:cs="Arial"/>
          <w:b/>
        </w:rPr>
        <w:t xml:space="preserve"> SAIMEX</w:t>
      </w:r>
      <w:r>
        <w:rPr>
          <w:rFonts w:ascii="Palatino Linotype" w:hAnsi="Palatino Linotype" w:cs="Arial"/>
        </w:rPr>
        <w:t xml:space="preserve"> por motivo de la solicitud de información y del recurso a que da origen,  </w:t>
      </w:r>
      <w:r>
        <w:rPr>
          <w:rFonts w:ascii="Palatino Linotype" w:eastAsia="Arial Unicode MS" w:hAnsi="Palatino Linotype" w:cs="Arial"/>
        </w:rPr>
        <w:t>se advierte que es procedente, toda vez que se actualiza la hipótesis prevista en la fracción VI, del artículo 179 de la Ley de la materia, que a la letra dice:</w:t>
      </w:r>
    </w:p>
    <w:p w:rsidR="00A4268E" w:rsidRDefault="00A4268E">
      <w:pPr>
        <w:pStyle w:val="Prrafodelista"/>
        <w:widowControl w:val="0"/>
        <w:ind w:left="0"/>
        <w:jc w:val="both"/>
        <w:rPr>
          <w:rFonts w:ascii="Palatino Linotype" w:eastAsia="Arial Unicode MS" w:hAnsi="Palatino Linotype" w:cs="Arial"/>
        </w:rPr>
      </w:pPr>
    </w:p>
    <w:p w:rsidR="00A4268E" w:rsidRDefault="006F0117">
      <w:pPr>
        <w:widowControl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w:t>
      </w:r>
      <w:r>
        <w:rPr>
          <w:rFonts w:ascii="Palatino Linotype" w:eastAsia="Arial Unicode MS" w:hAnsi="Palatino Linotype" w:cs="Arial"/>
          <w:b/>
          <w:i/>
          <w:sz w:val="22"/>
        </w:rPr>
        <w:t>Artículo 179</w:t>
      </w:r>
      <w:r>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rsidR="00A4268E" w:rsidRDefault="00A4268E">
      <w:pPr>
        <w:widowControl w:val="0"/>
        <w:ind w:left="709" w:right="757"/>
        <w:jc w:val="both"/>
        <w:rPr>
          <w:rFonts w:ascii="Palatino Linotype" w:eastAsia="Arial Unicode MS" w:hAnsi="Palatino Linotype" w:cs="Arial"/>
          <w:i/>
          <w:sz w:val="22"/>
        </w:rPr>
      </w:pPr>
    </w:p>
    <w:p w:rsidR="00A4268E" w:rsidRDefault="006F0117">
      <w:pPr>
        <w:widowControl w:val="0"/>
        <w:ind w:left="709" w:right="757"/>
        <w:jc w:val="both"/>
        <w:rPr>
          <w:rFonts w:ascii="Palatino Linotype" w:eastAsia="Arial Unicode MS" w:hAnsi="Palatino Linotype" w:cs="Arial"/>
          <w:i/>
          <w:sz w:val="22"/>
        </w:rPr>
      </w:pPr>
      <w:r>
        <w:rPr>
          <w:rFonts w:ascii="Palatino Linotype" w:eastAsia="Arial Unicode MS" w:hAnsi="Palatino Linotype" w:cs="Arial"/>
          <w:b/>
          <w:i/>
          <w:sz w:val="22"/>
          <w:u w:val="single"/>
        </w:rPr>
        <w:t>VI. La entrega de información que no corresponda con lo solicitado;</w:t>
      </w:r>
      <w:r>
        <w:rPr>
          <w:rFonts w:ascii="Palatino Linotype" w:eastAsia="Arial Unicode MS" w:hAnsi="Palatino Linotype" w:cs="Arial"/>
          <w:i/>
          <w:sz w:val="22"/>
        </w:rPr>
        <w:t>…”</w:t>
      </w:r>
    </w:p>
    <w:p w:rsidR="00A4268E" w:rsidRDefault="00A4268E">
      <w:pPr>
        <w:widowControl w:val="0"/>
        <w:spacing w:line="360" w:lineRule="auto"/>
        <w:ind w:left="709" w:right="757"/>
        <w:jc w:val="both"/>
        <w:rPr>
          <w:rFonts w:ascii="Palatino Linotype" w:eastAsia="Arial Unicode MS" w:hAnsi="Palatino Linotype" w:cs="Arial"/>
          <w:i/>
          <w:sz w:val="22"/>
        </w:rPr>
      </w:pPr>
    </w:p>
    <w:p w:rsidR="00A4268E" w:rsidRDefault="006F0117">
      <w:pPr>
        <w:widowControl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El precepto legal citado establece como supuesto de procedencia del recurso de revisión, cuando la información y/o documentación proporcionada por </w:t>
      </w:r>
      <w:r>
        <w:rPr>
          <w:rFonts w:ascii="Palatino Linotype" w:eastAsia="Arial Unicode MS" w:hAnsi="Palatino Linotype" w:cs="Arial"/>
          <w:b/>
        </w:rPr>
        <w:t xml:space="preserve">EL SUJETO OBLIGADO </w:t>
      </w:r>
      <w:r>
        <w:rPr>
          <w:rFonts w:ascii="Palatino Linotype" w:eastAsia="Arial Unicode MS" w:hAnsi="Palatino Linotype" w:cs="Arial"/>
        </w:rPr>
        <w:t>no guarda relación total o parcial, con la requerida por el solicitante.</w:t>
      </w:r>
    </w:p>
    <w:p w:rsidR="00A4268E" w:rsidRDefault="00A4268E">
      <w:pPr>
        <w:widowControl w:val="0"/>
        <w:spacing w:line="360" w:lineRule="auto"/>
        <w:jc w:val="both"/>
        <w:rPr>
          <w:rFonts w:ascii="Palatino Linotype" w:eastAsia="Arial Unicode MS" w:hAnsi="Palatino Linotype" w:cs="Arial"/>
        </w:rPr>
      </w:pPr>
    </w:p>
    <w:p w:rsidR="00A4268E" w:rsidRDefault="006F0117">
      <w:pPr>
        <w:widowControl w:val="0"/>
        <w:spacing w:line="360" w:lineRule="auto"/>
        <w:jc w:val="both"/>
        <w:rPr>
          <w:rFonts w:ascii="Palatino Linotype" w:hAnsi="Palatino Linotype"/>
        </w:rPr>
      </w:pPr>
      <w:r>
        <w:rPr>
          <w:rFonts w:ascii="Palatino Linotype" w:hAnsi="Palatino Linotype" w:cs="Arial"/>
        </w:rPr>
        <w:t xml:space="preserve">Es así que, una vez determinada la vía sobre la que versará el presente recurso, y previa revisión del expediente </w:t>
      </w:r>
      <w:r>
        <w:rPr>
          <w:rFonts w:ascii="Palatino Linotype" w:hAnsi="Palatino Linotype"/>
        </w:rPr>
        <w:t>electrónico</w:t>
      </w:r>
      <w:r>
        <w:rPr>
          <w:rFonts w:ascii="Palatino Linotype" w:hAnsi="Palatino Linotype" w:cs="Arial"/>
        </w:rPr>
        <w:t xml:space="preserve"> formado en el</w:t>
      </w:r>
      <w:r>
        <w:rPr>
          <w:rFonts w:ascii="Palatino Linotype" w:hAnsi="Palatino Linotype" w:cs="Arial"/>
          <w:b/>
        </w:rPr>
        <w:t xml:space="preserve"> SAIMEX,</w:t>
      </w:r>
      <w:r>
        <w:rPr>
          <w:rFonts w:ascii="Palatino Linotype" w:hAnsi="Palatino Linotype" w:cs="Arial"/>
        </w:rPr>
        <w:t xml:space="preserve"> por motivo de la solicitud de información y del recurso a que da origen, es conveniente analizar si la respuesta del </w:t>
      </w:r>
      <w:r>
        <w:rPr>
          <w:rFonts w:ascii="Palatino Linotype" w:hAnsi="Palatino Linotype" w:cs="Arial"/>
          <w:b/>
          <w:lang w:eastAsia="es-MX"/>
        </w:rPr>
        <w:t>SUJETO OBLIGADO</w:t>
      </w:r>
      <w:r>
        <w:rPr>
          <w:rFonts w:ascii="Palatino Linotype" w:hAnsi="Palatino Linotype" w:cs="Arial"/>
        </w:rPr>
        <w:t xml:space="preserve"> cumple con los requisitos y procedimientos del derecho de acceso a la información; por lo que, en primer término debemos recordar que </w:t>
      </w:r>
      <w:r>
        <w:rPr>
          <w:rFonts w:ascii="Palatino Linotype" w:hAnsi="Palatino Linotype" w:cs="Arial"/>
          <w:b/>
        </w:rPr>
        <w:t xml:space="preserve">EL RECURRENTE </w:t>
      </w:r>
      <w:r>
        <w:rPr>
          <w:rFonts w:ascii="Palatino Linotype" w:hAnsi="Palatino Linotype"/>
        </w:rPr>
        <w:t xml:space="preserve">solicitó al </w:t>
      </w:r>
      <w:r>
        <w:rPr>
          <w:rFonts w:ascii="Palatino Linotype" w:hAnsi="Palatino Linotype"/>
          <w:b/>
        </w:rPr>
        <w:t xml:space="preserve">SUJETO OBLIGADO </w:t>
      </w:r>
      <w:r>
        <w:rPr>
          <w:rFonts w:ascii="Palatino Linotype" w:hAnsi="Palatino Linotype"/>
        </w:rPr>
        <w:t>la nómina de la primer quincena del mes de enero de 2019.</w:t>
      </w:r>
    </w:p>
    <w:p w:rsidR="00A4268E" w:rsidRDefault="00A4268E">
      <w:pPr>
        <w:widowControl w:val="0"/>
        <w:spacing w:line="360" w:lineRule="auto"/>
        <w:ind w:right="757"/>
        <w:jc w:val="both"/>
        <w:rPr>
          <w:rFonts w:ascii="Palatino Linotype" w:hAnsi="Palatino Linotype"/>
          <w:i/>
          <w:sz w:val="22"/>
        </w:rPr>
      </w:pPr>
    </w:p>
    <w:p w:rsidR="00A4268E" w:rsidRDefault="006F0117">
      <w:pPr>
        <w:spacing w:line="360" w:lineRule="auto"/>
        <w:jc w:val="both"/>
        <w:rPr>
          <w:rFonts w:ascii="Palatino Linotype" w:hAnsi="Palatino Linotype" w:cs="Arial"/>
        </w:rPr>
      </w:pPr>
      <w:r>
        <w:rPr>
          <w:rFonts w:ascii="Palatino Linotype" w:hAnsi="Palatino Linotype" w:cs="Arial"/>
        </w:rPr>
        <w:t xml:space="preserve">Así, como se indicó en el Resultando II de la presente Resolución, </w:t>
      </w:r>
      <w:r>
        <w:rPr>
          <w:rFonts w:ascii="Palatino Linotype" w:hAnsi="Palatino Linotype" w:cs="Arial"/>
          <w:b/>
        </w:rPr>
        <w:t>EL SUJETO OBLIGADO</w:t>
      </w:r>
      <w:r>
        <w:rPr>
          <w:rFonts w:ascii="Palatino Linotype" w:hAnsi="Palatino Linotype" w:cs="Arial"/>
        </w:rPr>
        <w:t xml:space="preserve"> en su respuesta a la solicitud de información del hoy </w:t>
      </w:r>
      <w:r>
        <w:rPr>
          <w:rFonts w:ascii="Palatino Linotype" w:hAnsi="Palatino Linotype" w:cs="Arial"/>
          <w:b/>
        </w:rPr>
        <w:t>RECURRENTE</w:t>
      </w:r>
      <w:r>
        <w:rPr>
          <w:rFonts w:ascii="Palatino Linotype" w:hAnsi="Palatino Linotype" w:cs="Arial"/>
        </w:rPr>
        <w:t>, proporcionó una liga electrónica donde podía consultarse la información, informando que la requerida correspondía a la contemplada en la fracción VIII del artículo 92 de la Ley de Transparencia y Acceso a la Información Pública del Estado de México y Municipios.</w:t>
      </w:r>
    </w:p>
    <w:p w:rsidR="00A4268E" w:rsidRDefault="00A4268E">
      <w:pPr>
        <w:spacing w:line="360" w:lineRule="auto"/>
        <w:jc w:val="both"/>
        <w:rPr>
          <w:rFonts w:ascii="Palatino Linotype" w:hAnsi="Palatino Linotype" w:cs="Arial"/>
        </w:rPr>
      </w:pPr>
    </w:p>
    <w:p w:rsidR="00A4268E" w:rsidRDefault="006F0117">
      <w:pPr>
        <w:spacing w:line="360" w:lineRule="auto"/>
        <w:jc w:val="both"/>
        <w:rPr>
          <w:rFonts w:ascii="Palatino Linotype" w:hAnsi="Palatino Linotype" w:cs="Arial"/>
        </w:rPr>
      </w:pPr>
      <w:r>
        <w:rPr>
          <w:rFonts w:ascii="Palatino Linotype" w:hAnsi="Palatino Linotype" w:cs="Arial"/>
        </w:rPr>
        <w:lastRenderedPageBreak/>
        <w:t>Información con la que pretendió colmar el derecho de acceso a la información pública accionado por el ciudadano.</w:t>
      </w:r>
    </w:p>
    <w:p w:rsidR="00A4268E" w:rsidRDefault="00A4268E">
      <w:pPr>
        <w:spacing w:line="360" w:lineRule="auto"/>
        <w:jc w:val="both"/>
        <w:rPr>
          <w:rFonts w:ascii="Palatino Linotype" w:hAnsi="Palatino Linotype" w:cs="Arial"/>
        </w:rPr>
      </w:pPr>
    </w:p>
    <w:p w:rsidR="00A4268E" w:rsidRDefault="006F0117">
      <w:pPr>
        <w:spacing w:line="360" w:lineRule="auto"/>
        <w:jc w:val="both"/>
        <w:rPr>
          <w:rFonts w:ascii="Palatino Linotype" w:hAnsi="Palatino Linotype" w:cs="Arial"/>
        </w:rPr>
      </w:pPr>
      <w:r>
        <w:rPr>
          <w:rFonts w:ascii="Palatino Linotype" w:hAnsi="Palatino Linotype" w:cs="Arial"/>
        </w:rPr>
        <w:t xml:space="preserve">Asimismo, en el presente recurso el recurrente fue omiso en verter sus manifestaciones y presentar los alegatos que a su derecho convinieran, por su parte </w:t>
      </w:r>
      <w:r>
        <w:rPr>
          <w:rFonts w:ascii="Palatino Linotype" w:hAnsi="Palatino Linotype" w:cs="Arial"/>
          <w:b/>
        </w:rPr>
        <w:t>EL SUJETO OBLIGADO</w:t>
      </w:r>
      <w:r>
        <w:rPr>
          <w:rFonts w:ascii="Palatino Linotype" w:hAnsi="Palatino Linotype" w:cs="Arial"/>
        </w:rPr>
        <w:t xml:space="preserve"> mediante su Informe Justificado reiteró su respuesta informando que la liga electrónica proporcionada correspondiente a una de las obligaciones de transparencia común, contenía la información requerida de manera actualizada.</w:t>
      </w:r>
    </w:p>
    <w:p w:rsidR="00A4268E" w:rsidRDefault="00A4268E">
      <w:pPr>
        <w:spacing w:line="360" w:lineRule="auto"/>
        <w:jc w:val="both"/>
        <w:rPr>
          <w:rFonts w:ascii="Palatino Linotype" w:hAnsi="Palatino Linotype" w:cs="Arial"/>
        </w:rPr>
      </w:pPr>
    </w:p>
    <w:p w:rsidR="00A4268E" w:rsidRDefault="006F0117">
      <w:pPr>
        <w:spacing w:line="360" w:lineRule="auto"/>
        <w:jc w:val="both"/>
        <w:rPr>
          <w:rFonts w:ascii="Palatino Linotype" w:hAnsi="Palatino Linotype" w:cs="Arial"/>
        </w:rPr>
      </w:pPr>
      <w:r>
        <w:rPr>
          <w:rFonts w:ascii="Palatino Linotype" w:hAnsi="Palatino Linotype" w:cs="Arial"/>
        </w:rPr>
        <w:t xml:space="preserve">Establecido lo anterior, resulta evidente que las razones o motivos de inconformidad hechos valer por </w:t>
      </w:r>
      <w:r>
        <w:rPr>
          <w:rFonts w:ascii="Palatino Linotype" w:hAnsi="Palatino Linotype" w:cs="Arial"/>
          <w:b/>
        </w:rPr>
        <w:t>EL RECURRENTE</w:t>
      </w:r>
      <w:r>
        <w:rPr>
          <w:rFonts w:ascii="Palatino Linotype" w:hAnsi="Palatino Linotype" w:cs="Arial"/>
        </w:rPr>
        <w:t xml:space="preserve"> resultan fundadas, en virtud de que </w:t>
      </w:r>
      <w:r>
        <w:rPr>
          <w:rFonts w:ascii="Palatino Linotype" w:hAnsi="Palatino Linotype" w:cs="Arial"/>
          <w:b/>
        </w:rPr>
        <w:t>EL SUJETO OBLIGADO</w:t>
      </w:r>
      <w:r>
        <w:rPr>
          <w:rFonts w:ascii="Palatino Linotype" w:hAnsi="Palatino Linotype" w:cs="Arial"/>
        </w:rPr>
        <w:t xml:space="preserve"> sí bien se pronunció respecto de la solicitud, enviando información pretendiendo colmar el derecho del ciudadano, sin que con ello se haya cumplido dicho objeto, como se verá más adelante.</w:t>
      </w:r>
    </w:p>
    <w:p w:rsidR="00A4268E" w:rsidRDefault="00A4268E">
      <w:pPr>
        <w:spacing w:line="360" w:lineRule="auto"/>
        <w:jc w:val="both"/>
        <w:rPr>
          <w:rFonts w:ascii="Palatino Linotype" w:hAnsi="Palatino Linotype" w:cs="Arial"/>
        </w:rPr>
      </w:pPr>
    </w:p>
    <w:p w:rsidR="00A4268E" w:rsidRDefault="006F0117">
      <w:pPr>
        <w:spacing w:line="360" w:lineRule="auto"/>
        <w:jc w:val="both"/>
        <w:rPr>
          <w:rFonts w:ascii="Palatino Linotype" w:hAnsi="Palatino Linotype" w:cs="Arial"/>
          <w:lang w:eastAsia="es-MX"/>
        </w:rPr>
      </w:pPr>
      <w:r>
        <w:rPr>
          <w:rFonts w:ascii="Palatino Linotype" w:hAnsi="Palatino Linotype" w:cs="Arial"/>
        </w:rPr>
        <w:t xml:space="preserve">En este sentido, antes de analizar el documento remitido por </w:t>
      </w:r>
      <w:r>
        <w:rPr>
          <w:rFonts w:ascii="Palatino Linotype" w:hAnsi="Palatino Linotype" w:cs="Arial"/>
          <w:b/>
        </w:rPr>
        <w:t>EL SUJETO OBLIGADO</w:t>
      </w:r>
      <w:r>
        <w:rPr>
          <w:rFonts w:ascii="Palatino Linotype" w:hAnsi="Palatino Linotype" w:cs="Arial"/>
        </w:rPr>
        <w:t xml:space="preserve"> en respuesta a la solicitud, es importante abordar para el caso que nos ocupa, lo que la norma conceptualiza como nómina, y por tanto</w:t>
      </w:r>
      <w:r>
        <w:rPr>
          <w:rFonts w:ascii="Palatino Linotype" w:hAnsi="Palatino Linotype"/>
          <w:lang w:val="es-ES"/>
        </w:rPr>
        <w:t xml:space="preserve">, </w:t>
      </w:r>
      <w:r>
        <w:rPr>
          <w:rFonts w:ascii="Palatino Linotype" w:hAnsi="Palatino Linotype" w:cs="Arial"/>
        </w:rPr>
        <w:t xml:space="preserve">debe destacarse que en </w:t>
      </w:r>
      <w:r>
        <w:rPr>
          <w:rFonts w:ascii="Palatino Linotype" w:hAnsi="Palatino Linotype" w:cs="Arial"/>
          <w:lang w:eastAsia="es-MX"/>
        </w:rPr>
        <w:t xml:space="preserve">el caso del artículo 804 de la Ley Federal de Trabajo, fracción II se establece:  </w:t>
      </w:r>
    </w:p>
    <w:p w:rsidR="00A4268E" w:rsidRDefault="00A4268E">
      <w:pPr>
        <w:spacing w:line="360" w:lineRule="auto"/>
        <w:jc w:val="both"/>
        <w:rPr>
          <w:rFonts w:ascii="Palatino Linotype" w:hAnsi="Palatino Linotype" w:cs="Arial"/>
        </w:rPr>
      </w:pPr>
    </w:p>
    <w:p w:rsidR="00A4268E" w:rsidRDefault="006F0117">
      <w:pPr>
        <w:pStyle w:val="Textosinformato"/>
        <w:tabs>
          <w:tab w:val="right" w:leader="dot" w:pos="8505"/>
        </w:tabs>
        <w:ind w:left="709" w:right="757"/>
        <w:jc w:val="both"/>
        <w:rPr>
          <w:rFonts w:ascii="Palatino Linotype" w:eastAsia="MS Mincho" w:hAnsi="Palatino Linotype" w:cs="Arial"/>
          <w:b/>
          <w:i/>
          <w:sz w:val="22"/>
          <w:szCs w:val="24"/>
        </w:rPr>
      </w:pPr>
      <w:r>
        <w:rPr>
          <w:rFonts w:ascii="Palatino Linotype" w:eastAsia="MS Mincho" w:hAnsi="Palatino Linotype" w:cs="Arial"/>
          <w:b/>
          <w:bCs/>
          <w:i/>
          <w:sz w:val="22"/>
          <w:szCs w:val="24"/>
        </w:rPr>
        <w:t xml:space="preserve"> “Artículo 804.-</w:t>
      </w:r>
      <w:r>
        <w:rPr>
          <w:rFonts w:ascii="Palatino Linotype" w:eastAsia="MS Mincho" w:hAnsi="Palatino Linotype" w:cs="Arial"/>
          <w:i/>
          <w:sz w:val="22"/>
          <w:szCs w:val="24"/>
        </w:rPr>
        <w:t xml:space="preserve"> El patrón tiene obligación de conservar y exhibir en juicio los documentos que a continuación se precisan:</w:t>
      </w:r>
    </w:p>
    <w:p w:rsidR="00A4268E" w:rsidRDefault="006F0117">
      <w:pPr>
        <w:pStyle w:val="Textosinformato"/>
        <w:tabs>
          <w:tab w:val="right" w:leader="dot" w:pos="8505"/>
        </w:tabs>
        <w:ind w:left="709" w:right="757"/>
        <w:jc w:val="both"/>
        <w:rPr>
          <w:rFonts w:ascii="Palatino Linotype" w:eastAsia="MS Mincho" w:hAnsi="Palatino Linotype" w:cs="Arial"/>
          <w:i/>
          <w:sz w:val="22"/>
          <w:szCs w:val="24"/>
        </w:rPr>
      </w:pPr>
      <w:r>
        <w:rPr>
          <w:rFonts w:ascii="Palatino Linotype" w:eastAsia="MS Mincho" w:hAnsi="Palatino Linotype" w:cs="Arial"/>
          <w:i/>
          <w:sz w:val="22"/>
          <w:szCs w:val="24"/>
        </w:rPr>
        <w:t>…</w:t>
      </w:r>
    </w:p>
    <w:p w:rsidR="00A4268E" w:rsidRDefault="006F0117">
      <w:pPr>
        <w:pStyle w:val="Textosinformato"/>
        <w:tabs>
          <w:tab w:val="right" w:leader="dot" w:pos="8505"/>
        </w:tabs>
        <w:ind w:left="709" w:right="757"/>
        <w:jc w:val="both"/>
        <w:rPr>
          <w:rFonts w:ascii="Palatino Linotype" w:eastAsia="MS Mincho" w:hAnsi="Palatino Linotype" w:cs="Arial"/>
          <w:i/>
          <w:sz w:val="22"/>
          <w:szCs w:val="24"/>
        </w:rPr>
      </w:pPr>
      <w:r>
        <w:rPr>
          <w:rFonts w:ascii="Palatino Linotype" w:eastAsia="MS Mincho" w:hAnsi="Palatino Linotype" w:cs="Arial"/>
          <w:b/>
          <w:i/>
          <w:sz w:val="22"/>
          <w:szCs w:val="24"/>
        </w:rPr>
        <w:t>II.</w:t>
      </w:r>
      <w:r>
        <w:rPr>
          <w:rFonts w:ascii="Palatino Linotype" w:eastAsia="MS Mincho" w:hAnsi="Palatino Linotype" w:cs="Arial"/>
          <w:i/>
          <w:sz w:val="22"/>
          <w:szCs w:val="24"/>
        </w:rPr>
        <w:t xml:space="preserve"> </w:t>
      </w:r>
      <w:r>
        <w:rPr>
          <w:rFonts w:ascii="Palatino Linotype" w:eastAsia="MS Mincho" w:hAnsi="Palatino Linotype" w:cs="Arial"/>
          <w:b/>
          <w:i/>
          <w:sz w:val="22"/>
          <w:szCs w:val="24"/>
        </w:rPr>
        <w:t>Listas de raya o</w:t>
      </w:r>
      <w:r>
        <w:rPr>
          <w:rFonts w:ascii="Palatino Linotype" w:eastAsia="MS Mincho" w:hAnsi="Palatino Linotype" w:cs="Arial"/>
          <w:i/>
          <w:sz w:val="22"/>
          <w:szCs w:val="24"/>
        </w:rPr>
        <w:t xml:space="preserve"> </w:t>
      </w:r>
      <w:r>
        <w:rPr>
          <w:rFonts w:ascii="Palatino Linotype" w:eastAsia="MS Mincho" w:hAnsi="Palatino Linotype" w:cs="Arial"/>
          <w:b/>
          <w:i/>
          <w:sz w:val="22"/>
          <w:szCs w:val="24"/>
        </w:rPr>
        <w:t>nómina de personal</w:t>
      </w:r>
      <w:r>
        <w:rPr>
          <w:rFonts w:ascii="Palatino Linotype" w:eastAsia="MS Mincho" w:hAnsi="Palatino Linotype" w:cs="Arial"/>
          <w:i/>
          <w:sz w:val="22"/>
          <w:szCs w:val="24"/>
        </w:rPr>
        <w:t xml:space="preserve">, cuando se lleven en el centro de trabajo; </w:t>
      </w:r>
      <w:r>
        <w:rPr>
          <w:rFonts w:ascii="Palatino Linotype" w:eastAsia="MS Mincho" w:hAnsi="Palatino Linotype" w:cs="Arial"/>
          <w:b/>
          <w:i/>
          <w:sz w:val="22"/>
          <w:szCs w:val="24"/>
        </w:rPr>
        <w:t xml:space="preserve">o </w:t>
      </w:r>
      <w:r>
        <w:rPr>
          <w:rFonts w:ascii="Palatino Linotype" w:eastAsia="MS Mincho" w:hAnsi="Palatino Linotype" w:cs="Arial"/>
          <w:i/>
          <w:sz w:val="22"/>
          <w:szCs w:val="24"/>
        </w:rPr>
        <w:t>recibos de pagos de salarios;</w:t>
      </w:r>
    </w:p>
    <w:p w:rsidR="00A4268E" w:rsidRDefault="006F0117">
      <w:pPr>
        <w:pStyle w:val="Textosinformato"/>
        <w:tabs>
          <w:tab w:val="right" w:leader="dot" w:pos="8505"/>
        </w:tabs>
        <w:ind w:left="709" w:right="757"/>
        <w:jc w:val="both"/>
        <w:rPr>
          <w:rFonts w:ascii="Palatino Linotype" w:eastAsia="MS Mincho" w:hAnsi="Palatino Linotype" w:cs="Arial"/>
          <w:i/>
          <w:sz w:val="22"/>
          <w:szCs w:val="24"/>
        </w:rPr>
      </w:pPr>
      <w:r>
        <w:rPr>
          <w:rFonts w:ascii="Palatino Linotype" w:eastAsia="MS Mincho" w:hAnsi="Palatino Linotype" w:cs="Arial"/>
          <w:i/>
          <w:sz w:val="22"/>
          <w:szCs w:val="24"/>
        </w:rPr>
        <w:t>…</w:t>
      </w:r>
    </w:p>
    <w:p w:rsidR="00A4268E" w:rsidRDefault="006F0117">
      <w:pPr>
        <w:pStyle w:val="Texto"/>
        <w:tabs>
          <w:tab w:val="right" w:leader="dot" w:pos="8505"/>
        </w:tabs>
        <w:spacing w:after="0" w:line="240" w:lineRule="auto"/>
        <w:ind w:left="709" w:right="757" w:firstLine="0"/>
        <w:rPr>
          <w:rFonts w:ascii="Palatino Linotype" w:hAnsi="Palatino Linotype"/>
          <w:i/>
          <w:sz w:val="22"/>
          <w:szCs w:val="24"/>
        </w:rPr>
      </w:pPr>
      <w:r>
        <w:rPr>
          <w:rFonts w:ascii="Palatino Linotype" w:hAnsi="Palatino Linotype"/>
          <w:i/>
          <w:sz w:val="22"/>
          <w:szCs w:val="24"/>
        </w:rPr>
        <w:lastRenderedPageBreak/>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A4268E" w:rsidRDefault="00A4268E">
      <w:pPr>
        <w:pStyle w:val="Texto"/>
        <w:tabs>
          <w:tab w:val="right" w:leader="dot" w:pos="8505"/>
        </w:tabs>
        <w:spacing w:after="0" w:line="240" w:lineRule="auto"/>
        <w:ind w:left="709" w:right="757" w:firstLine="0"/>
        <w:rPr>
          <w:rFonts w:ascii="Palatino Linotype" w:hAnsi="Palatino Linotype"/>
          <w:i/>
          <w:sz w:val="22"/>
          <w:szCs w:val="24"/>
        </w:rPr>
      </w:pPr>
    </w:p>
    <w:p w:rsidR="00A4268E" w:rsidRDefault="006F0117">
      <w:pPr>
        <w:pStyle w:val="Texto"/>
        <w:tabs>
          <w:tab w:val="right" w:leader="dot" w:pos="8505"/>
        </w:tabs>
        <w:spacing w:after="0" w:line="360" w:lineRule="auto"/>
        <w:ind w:left="709" w:right="757" w:firstLine="0"/>
        <w:rPr>
          <w:rFonts w:ascii="Palatino Linotype" w:hAnsi="Palatino Linotype"/>
          <w:i/>
          <w:sz w:val="22"/>
          <w:szCs w:val="24"/>
        </w:rPr>
      </w:pPr>
      <w:r>
        <w:rPr>
          <w:rFonts w:ascii="Palatino Linotype" w:hAnsi="Palatino Linotype"/>
          <w:i/>
          <w:sz w:val="22"/>
          <w:szCs w:val="24"/>
        </w:rPr>
        <w:t>(Énfasis añadido)</w:t>
      </w:r>
    </w:p>
    <w:p w:rsidR="00A4268E" w:rsidRDefault="006F0117">
      <w:pPr>
        <w:pStyle w:val="Texto"/>
        <w:tabs>
          <w:tab w:val="right" w:leader="dot" w:pos="8505"/>
        </w:tabs>
        <w:spacing w:after="0" w:line="360" w:lineRule="auto"/>
        <w:ind w:firstLine="0"/>
        <w:rPr>
          <w:rFonts w:ascii="Palatino Linotype" w:hAnsi="Palatino Linotype"/>
          <w:sz w:val="24"/>
          <w:szCs w:val="24"/>
          <w:lang w:eastAsia="es-MX"/>
        </w:rPr>
      </w:pPr>
      <w:r>
        <w:rPr>
          <w:rFonts w:ascii="Palatino Linotype" w:hAnsi="Palatino Linotype"/>
          <w:sz w:val="24"/>
          <w:szCs w:val="24"/>
          <w:lang w:eastAsia="es-MX"/>
        </w:rPr>
        <w:t xml:space="preserve">De lo anteriormente señalado, se puede llegar a la conclusión de que la nómina, consiste en un registro conformado por el conjunto de trabajadores a los cuales se les va a </w:t>
      </w:r>
      <w:r>
        <w:rPr>
          <w:rFonts w:ascii="Palatino Linotype" w:hAnsi="Palatino Linotype"/>
          <w:b/>
          <w:sz w:val="24"/>
          <w:szCs w:val="24"/>
          <w:lang w:eastAsia="es-MX"/>
        </w:rPr>
        <w:t xml:space="preserve">remunerar por los </w:t>
      </w:r>
      <w:hyperlink r:id="rId10">
        <w:r>
          <w:rPr>
            <w:rFonts w:ascii="Palatino Linotype" w:hAnsi="Palatino Linotype"/>
            <w:b/>
            <w:sz w:val="24"/>
            <w:szCs w:val="24"/>
            <w:lang w:eastAsia="es-MX"/>
          </w:rPr>
          <w:t>servicios</w:t>
        </w:r>
      </w:hyperlink>
      <w:r>
        <w:rPr>
          <w:rFonts w:ascii="Palatino Linotype" w:hAnsi="Palatino Linotype"/>
          <w:b/>
          <w:sz w:val="24"/>
          <w:szCs w:val="24"/>
          <w:lang w:eastAsia="es-MX"/>
        </w:rPr>
        <w:t xml:space="preserve"> que éstos le prestan al patrón, en el cual se asientan las percepciones brutas, deducciones y el neto</w:t>
      </w:r>
      <w:r>
        <w:rPr>
          <w:rFonts w:ascii="Palatino Linotype" w:hAnsi="Palatino Linotype"/>
          <w:sz w:val="24"/>
          <w:szCs w:val="24"/>
          <w:lang w:eastAsia="es-MX"/>
        </w:rPr>
        <w:t xml:space="preserve"> a recibir de dichos trabajadores.</w:t>
      </w:r>
    </w:p>
    <w:p w:rsidR="00A4268E" w:rsidRDefault="00A4268E">
      <w:pPr>
        <w:pStyle w:val="Texto"/>
        <w:tabs>
          <w:tab w:val="right" w:leader="dot" w:pos="8505"/>
        </w:tabs>
        <w:spacing w:after="0" w:line="360" w:lineRule="auto"/>
        <w:ind w:firstLine="0"/>
        <w:rPr>
          <w:rFonts w:ascii="Palatino Linotype" w:hAnsi="Palatino Linotype"/>
          <w:sz w:val="24"/>
          <w:szCs w:val="24"/>
          <w:lang w:eastAsia="es-MX"/>
        </w:rPr>
      </w:pPr>
    </w:p>
    <w:p w:rsidR="00A4268E" w:rsidRDefault="006F0117">
      <w:pPr>
        <w:spacing w:line="360" w:lineRule="auto"/>
        <w:jc w:val="both"/>
        <w:rPr>
          <w:rFonts w:ascii="Palatino Linotype" w:hAnsi="Palatino Linotype" w:cs="Arial"/>
        </w:rPr>
      </w:pPr>
      <w:r>
        <w:rPr>
          <w:rFonts w:ascii="Palatino Linotype" w:hAnsi="Palatino Linotype" w:cs="Arial"/>
        </w:rPr>
        <w:t>Ahora bien, tratándose de servidores públicos de los Municipios la Ley del Trabajo de los Servidores Públicos del Estado y Municipios, en su artículo 220-K fracciones II y IV y último párrafo, establecen lo siguiente:</w:t>
      </w:r>
    </w:p>
    <w:p w:rsidR="00A4268E" w:rsidRDefault="00A4268E">
      <w:pPr>
        <w:spacing w:line="360" w:lineRule="auto"/>
        <w:jc w:val="both"/>
        <w:rPr>
          <w:rFonts w:ascii="Palatino Linotype" w:hAnsi="Palatino Linotype" w:cs="Arial"/>
        </w:rPr>
      </w:pPr>
    </w:p>
    <w:p w:rsidR="00A4268E" w:rsidRDefault="006F0117">
      <w:pPr>
        <w:ind w:left="709" w:right="757"/>
        <w:jc w:val="both"/>
        <w:rPr>
          <w:rFonts w:ascii="Palatino Linotype" w:hAnsi="Palatino Linotype"/>
          <w:bCs/>
          <w:i/>
          <w:sz w:val="22"/>
        </w:rPr>
      </w:pPr>
      <w:r>
        <w:rPr>
          <w:rFonts w:ascii="Palatino Linotype" w:hAnsi="Palatino Linotype"/>
          <w:b/>
          <w:bCs/>
          <w:i/>
          <w:sz w:val="22"/>
        </w:rPr>
        <w:t>“ARTÍCULO 220 K.-</w:t>
      </w:r>
      <w:r>
        <w:rPr>
          <w:rFonts w:ascii="Palatino Linotype" w:hAnsi="Palatino Linotype"/>
          <w:bCs/>
          <w:i/>
          <w:sz w:val="22"/>
        </w:rPr>
        <w:t xml:space="preserve"> La institución o dependencia pública tiene la obligación de conservar y exhibir en el proceso los documentos que a continuación se precisan:</w:t>
      </w:r>
    </w:p>
    <w:p w:rsidR="00A4268E" w:rsidRDefault="006F0117">
      <w:pPr>
        <w:ind w:left="709" w:right="757"/>
        <w:jc w:val="both"/>
        <w:rPr>
          <w:rFonts w:ascii="Palatino Linotype" w:hAnsi="Palatino Linotype"/>
          <w:bCs/>
          <w:i/>
          <w:sz w:val="22"/>
        </w:rPr>
      </w:pPr>
      <w:r>
        <w:rPr>
          <w:rFonts w:ascii="Palatino Linotype" w:hAnsi="Palatino Linotype"/>
          <w:bCs/>
          <w:i/>
          <w:sz w:val="22"/>
        </w:rPr>
        <w:t>…</w:t>
      </w:r>
    </w:p>
    <w:p w:rsidR="00A4268E" w:rsidRDefault="00A4268E">
      <w:pPr>
        <w:ind w:left="709" w:right="757"/>
        <w:jc w:val="both"/>
        <w:rPr>
          <w:rFonts w:ascii="Palatino Linotype" w:hAnsi="Palatino Linotype"/>
          <w:bCs/>
          <w:i/>
          <w:sz w:val="22"/>
        </w:rPr>
      </w:pPr>
    </w:p>
    <w:p w:rsidR="00A4268E" w:rsidRDefault="006F0117">
      <w:pPr>
        <w:ind w:left="709" w:right="757"/>
        <w:jc w:val="both"/>
        <w:rPr>
          <w:rFonts w:ascii="Palatino Linotype" w:hAnsi="Palatino Linotype"/>
          <w:b/>
          <w:bCs/>
          <w:i/>
          <w:sz w:val="22"/>
        </w:rPr>
      </w:pPr>
      <w:r>
        <w:rPr>
          <w:rFonts w:ascii="Palatino Linotype" w:hAnsi="Palatino Linotype"/>
          <w:bCs/>
          <w:i/>
          <w:sz w:val="22"/>
        </w:rPr>
        <w:t xml:space="preserve">IV. </w:t>
      </w:r>
      <w:r>
        <w:rPr>
          <w:rFonts w:ascii="Palatino Linotype" w:hAnsi="Palatino Linotype"/>
          <w:b/>
          <w:bCs/>
          <w:i/>
          <w:sz w:val="22"/>
        </w:rPr>
        <w:t>Recibos o las constancias de depósito o del medio de información magnética o electrónica que sean utilizadas para el pago de salarios, prima vacacional, aguinaldo y demás prestaciones establecidas en la presente ley; y</w:t>
      </w:r>
    </w:p>
    <w:p w:rsidR="00A4268E" w:rsidRDefault="00A4268E">
      <w:pPr>
        <w:ind w:left="709" w:right="757"/>
        <w:jc w:val="both"/>
        <w:rPr>
          <w:rFonts w:ascii="Palatino Linotype" w:hAnsi="Palatino Linotype"/>
          <w:bCs/>
          <w:i/>
          <w:sz w:val="22"/>
        </w:rPr>
      </w:pPr>
    </w:p>
    <w:p w:rsidR="00A4268E" w:rsidRDefault="006F0117">
      <w:pPr>
        <w:ind w:left="709" w:right="757"/>
        <w:jc w:val="both"/>
        <w:rPr>
          <w:rFonts w:ascii="Palatino Linotype" w:hAnsi="Palatino Linotype"/>
          <w:bCs/>
          <w:i/>
          <w:sz w:val="22"/>
        </w:rPr>
      </w:pPr>
      <w:r>
        <w:rPr>
          <w:rFonts w:ascii="Palatino Linotype" w:hAnsi="Palatino Linotype"/>
          <w:bCs/>
          <w:i/>
          <w:sz w:val="22"/>
        </w:rPr>
        <w:t xml:space="preserve">Los documentos señalados en la fracción I de este artículo, deberán conservarse mientras dure la relación laboral y hasta un año después; los señalados por las fracciones </w:t>
      </w:r>
      <w:r>
        <w:rPr>
          <w:rFonts w:ascii="Palatino Linotype" w:hAnsi="Palatino Linotype"/>
          <w:b/>
          <w:bCs/>
          <w:i/>
          <w:sz w:val="22"/>
        </w:rPr>
        <w:t>II, III, IV durante el último año y un año después de que se extinga la relación laboral,</w:t>
      </w:r>
      <w:r>
        <w:rPr>
          <w:rFonts w:ascii="Palatino Linotype" w:hAnsi="Palatino Linotype"/>
          <w:bCs/>
          <w:i/>
          <w:sz w:val="22"/>
        </w:rPr>
        <w:t xml:space="preserve"> y los mencionados en la fracción V, conforme lo señalen las leyes que los rijan.</w:t>
      </w:r>
    </w:p>
    <w:p w:rsidR="00A4268E" w:rsidRDefault="00A4268E">
      <w:pPr>
        <w:ind w:left="709" w:right="757"/>
        <w:jc w:val="both"/>
        <w:rPr>
          <w:rFonts w:ascii="Palatino Linotype" w:hAnsi="Palatino Linotype"/>
          <w:bCs/>
          <w:i/>
          <w:sz w:val="22"/>
        </w:rPr>
      </w:pPr>
    </w:p>
    <w:p w:rsidR="00A4268E" w:rsidRDefault="006F0117">
      <w:pPr>
        <w:ind w:left="709" w:right="757"/>
        <w:jc w:val="both"/>
        <w:rPr>
          <w:rFonts w:ascii="Palatino Linotype" w:hAnsi="Palatino Linotype"/>
          <w:bCs/>
          <w:i/>
          <w:sz w:val="22"/>
        </w:rPr>
      </w:pPr>
      <w:r>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A4268E" w:rsidRDefault="00A4268E">
      <w:pPr>
        <w:ind w:left="709" w:right="757"/>
        <w:jc w:val="both"/>
        <w:rPr>
          <w:rFonts w:ascii="Palatino Linotype" w:hAnsi="Palatino Linotype"/>
          <w:bCs/>
          <w:i/>
          <w:sz w:val="22"/>
        </w:rPr>
      </w:pPr>
    </w:p>
    <w:p w:rsidR="00A4268E" w:rsidRDefault="006F0117">
      <w:pPr>
        <w:ind w:left="709" w:right="757"/>
        <w:jc w:val="both"/>
        <w:rPr>
          <w:rFonts w:ascii="Palatino Linotype" w:hAnsi="Palatino Linotype"/>
          <w:bCs/>
          <w:i/>
          <w:sz w:val="22"/>
        </w:rPr>
      </w:pPr>
      <w:r>
        <w:rPr>
          <w:rFonts w:ascii="Palatino Linotype" w:hAnsi="Palatino Linotype"/>
          <w:bCs/>
          <w:i/>
          <w:sz w:val="22"/>
        </w:rPr>
        <w:t>El incumplimiento por lo dispuesto por este artículo, establecerá la presunción de ser ciertos los hechos que el actor exprese en su demanda, en relación con tales documentos, salvo prueba en contrario.”</w:t>
      </w:r>
    </w:p>
    <w:p w:rsidR="00A4268E" w:rsidRDefault="00A4268E">
      <w:pPr>
        <w:ind w:left="709" w:right="757"/>
        <w:jc w:val="both"/>
        <w:rPr>
          <w:rFonts w:ascii="Palatino Linotype" w:hAnsi="Palatino Linotype"/>
          <w:i/>
          <w:sz w:val="22"/>
        </w:rPr>
      </w:pPr>
    </w:p>
    <w:p w:rsidR="00A4268E" w:rsidRDefault="006F0117">
      <w:pPr>
        <w:ind w:left="709" w:right="757"/>
        <w:jc w:val="both"/>
        <w:rPr>
          <w:rFonts w:ascii="Palatino Linotype" w:hAnsi="Palatino Linotype"/>
          <w:i/>
          <w:sz w:val="22"/>
        </w:rPr>
      </w:pPr>
      <w:r>
        <w:rPr>
          <w:rFonts w:ascii="Palatino Linotype" w:hAnsi="Palatino Linotype"/>
          <w:i/>
          <w:sz w:val="22"/>
        </w:rPr>
        <w:t>(Énfasis añadido)</w:t>
      </w:r>
    </w:p>
    <w:p w:rsidR="00A4268E" w:rsidRDefault="00A4268E">
      <w:pPr>
        <w:spacing w:line="360" w:lineRule="auto"/>
        <w:jc w:val="both"/>
        <w:rPr>
          <w:rFonts w:ascii="Palatino Linotype" w:hAnsi="Palatino Linotype"/>
          <w:bCs/>
          <w:i/>
        </w:rPr>
      </w:pPr>
    </w:p>
    <w:p w:rsidR="00A4268E" w:rsidRDefault="006F0117">
      <w:pPr>
        <w:spacing w:line="360" w:lineRule="auto"/>
        <w:jc w:val="both"/>
        <w:rPr>
          <w:rFonts w:ascii="Palatino Linotype" w:hAnsi="Palatino Linotype" w:cs="Arial"/>
        </w:rPr>
      </w:pPr>
      <w:r>
        <w:rPr>
          <w:rFonts w:ascii="Palatino Linotype" w:hAnsi="Palatino Linotype" w:cs="Arial"/>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A4268E" w:rsidRDefault="00A4268E">
      <w:pPr>
        <w:spacing w:line="360" w:lineRule="auto"/>
        <w:jc w:val="both"/>
        <w:rPr>
          <w:rFonts w:ascii="Palatino Linotype" w:hAnsi="Palatino Linotype" w:cs="Arial"/>
        </w:rPr>
      </w:pPr>
    </w:p>
    <w:p w:rsidR="00A4268E" w:rsidRDefault="006F0117">
      <w:pPr>
        <w:spacing w:line="360" w:lineRule="auto"/>
        <w:jc w:val="both"/>
        <w:rPr>
          <w:rFonts w:ascii="Palatino Linotype" w:hAnsi="Palatino Linotype" w:cs="Arial"/>
        </w:rPr>
      </w:pPr>
      <w:r>
        <w:rPr>
          <w:rFonts w:ascii="Palatino Linotype" w:hAnsi="Palatino Linotype" w:cs="Arial"/>
        </w:rPr>
        <w:t xml:space="preserve">Por ello, se advierte que todos los servidores públicos tienen el derecho de recibir </w:t>
      </w:r>
      <w:r>
        <w:rPr>
          <w:rFonts w:ascii="Palatino Linotype" w:hAnsi="Palatino Linotype" w:cs="Arial"/>
          <w:b/>
        </w:rPr>
        <w:t>remuneraciones</w:t>
      </w:r>
      <w:r>
        <w:rPr>
          <w:rFonts w:ascii="Palatino Linotype" w:hAnsi="Palatino Linotype" w:cs="Arial"/>
        </w:rPr>
        <w:t xml:space="preserve">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A4268E" w:rsidRDefault="00A4268E">
      <w:pPr>
        <w:spacing w:line="360" w:lineRule="auto"/>
        <w:jc w:val="both"/>
        <w:rPr>
          <w:rFonts w:ascii="Palatino Linotype" w:hAnsi="Palatino Linotype"/>
          <w:lang w:val="es-ES"/>
        </w:rPr>
      </w:pPr>
    </w:p>
    <w:p w:rsidR="00A4268E" w:rsidRDefault="006F0117">
      <w:pPr>
        <w:spacing w:line="360" w:lineRule="auto"/>
        <w:jc w:val="both"/>
        <w:rPr>
          <w:rFonts w:ascii="Palatino Linotype" w:hAnsi="Palatino Linotype" w:cs="Arial"/>
          <w:lang w:val="es-ES"/>
        </w:rPr>
      </w:pPr>
      <w:r>
        <w:rPr>
          <w:rFonts w:ascii="Palatino Linotype" w:hAnsi="Palatino Linotype"/>
          <w:lang w:val="es-ES"/>
        </w:rPr>
        <w:t xml:space="preserve">Adicionalmente, conviene precisar que </w:t>
      </w:r>
      <w:r>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w:t>
      </w:r>
      <w:r>
        <w:rPr>
          <w:rFonts w:ascii="Palatino Linotype" w:hAnsi="Palatino Linotype" w:cs="Arial"/>
          <w:lang w:val="es-ES"/>
        </w:rPr>
        <w:lastRenderedPageBreak/>
        <w:t>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A4268E" w:rsidRDefault="00A4268E">
      <w:pPr>
        <w:spacing w:line="360" w:lineRule="auto"/>
        <w:jc w:val="both"/>
        <w:rPr>
          <w:rFonts w:ascii="Palatino Linotype" w:hAnsi="Palatino Linotype" w:cs="Arial"/>
          <w:b/>
          <w:bCs/>
          <w:i/>
          <w:lang w:val="es-ES"/>
        </w:rPr>
      </w:pPr>
    </w:p>
    <w:p w:rsidR="00A4268E" w:rsidRDefault="006F0117">
      <w:pPr>
        <w:ind w:left="709" w:right="757"/>
        <w:jc w:val="both"/>
        <w:rPr>
          <w:rFonts w:ascii="Palatino Linotype" w:hAnsi="Palatino Linotype" w:cs="Arial"/>
          <w:i/>
          <w:sz w:val="22"/>
          <w:lang w:val="es-ES"/>
        </w:rPr>
      </w:pPr>
      <w:r>
        <w:rPr>
          <w:rFonts w:ascii="Palatino Linotype" w:hAnsi="Palatino Linotype" w:cs="Arial"/>
          <w:b/>
          <w:bCs/>
          <w:i/>
          <w:sz w:val="22"/>
          <w:lang w:val="es-ES"/>
        </w:rPr>
        <w:t xml:space="preserve">“NÓMINA </w:t>
      </w:r>
      <w:r>
        <w:rPr>
          <w:rFonts w:ascii="Palatino Linotype" w:hAnsi="Palatino Linotype" w:cs="Arial"/>
          <w:i/>
          <w:sz w:val="22"/>
          <w:lang w:val="es-ES"/>
        </w:rPr>
        <w:t>Listado general de los trabajadores de una institución, en</w:t>
      </w:r>
      <w:r>
        <w:rPr>
          <w:rFonts w:ascii="Palatino Linotype" w:hAnsi="Palatino Linotype" w:cs="Arial"/>
          <w:b/>
          <w:bCs/>
          <w:i/>
          <w:sz w:val="22"/>
          <w:lang w:val="es-ES"/>
        </w:rPr>
        <w:t xml:space="preserve"> </w:t>
      </w:r>
      <w:r>
        <w:rPr>
          <w:rFonts w:ascii="Palatino Linotype" w:hAnsi="Palatino Linotype" w:cs="Arial"/>
          <w:i/>
          <w:sz w:val="22"/>
          <w:lang w:val="es-ES"/>
        </w:rPr>
        <w:t>el cual se asientan las percepciones brutas, deducciones y</w:t>
      </w:r>
      <w:r>
        <w:rPr>
          <w:rFonts w:ascii="Palatino Linotype" w:hAnsi="Palatino Linotype" w:cs="Arial"/>
          <w:b/>
          <w:bCs/>
          <w:i/>
          <w:sz w:val="22"/>
          <w:lang w:val="es-ES"/>
        </w:rPr>
        <w:t xml:space="preserve"> </w:t>
      </w:r>
      <w:r>
        <w:rPr>
          <w:rFonts w:ascii="Palatino Linotype" w:hAnsi="Palatino Linotype" w:cs="Arial"/>
          <w:i/>
          <w:sz w:val="22"/>
          <w:lang w:val="es-ES"/>
        </w:rPr>
        <w:t xml:space="preserve">alcance neto </w:t>
      </w:r>
      <w:r>
        <w:rPr>
          <w:rFonts w:ascii="Palatino Linotype" w:hAnsi="Palatino Linotype" w:cs="Arial"/>
          <w:i/>
          <w:color w:val="000000"/>
          <w:sz w:val="22"/>
          <w:lang w:val="es-ES"/>
        </w:rPr>
        <w:t>de</w:t>
      </w:r>
      <w:r>
        <w:rPr>
          <w:rFonts w:ascii="Palatino Linotype" w:hAnsi="Palatino Linotype" w:cs="Arial"/>
          <w:i/>
          <w:sz w:val="22"/>
          <w:lang w:val="es-ES"/>
        </w:rPr>
        <w:t xml:space="preserve"> las mismas; la nómina es utilizada para</w:t>
      </w:r>
      <w:r>
        <w:rPr>
          <w:rFonts w:ascii="Palatino Linotype" w:hAnsi="Palatino Linotype" w:cs="Arial"/>
          <w:b/>
          <w:bCs/>
          <w:i/>
          <w:sz w:val="22"/>
          <w:lang w:val="es-ES"/>
        </w:rPr>
        <w:t xml:space="preserve"> </w:t>
      </w:r>
      <w:r>
        <w:rPr>
          <w:rFonts w:ascii="Palatino Linotype" w:hAnsi="Palatino Linotype" w:cs="Arial"/>
          <w:i/>
          <w:sz w:val="22"/>
          <w:lang w:val="es-ES"/>
        </w:rPr>
        <w:t>efectuar los pagos periódicos (semanales, quincenales o</w:t>
      </w:r>
      <w:r>
        <w:rPr>
          <w:rFonts w:ascii="Palatino Linotype" w:hAnsi="Palatino Linotype" w:cs="Arial"/>
          <w:b/>
          <w:bCs/>
          <w:i/>
          <w:sz w:val="22"/>
          <w:lang w:val="es-ES"/>
        </w:rPr>
        <w:t xml:space="preserve"> </w:t>
      </w:r>
      <w:r>
        <w:rPr>
          <w:rFonts w:ascii="Palatino Linotype" w:hAnsi="Palatino Linotype" w:cs="Arial"/>
          <w:i/>
          <w:sz w:val="22"/>
          <w:lang w:val="es-ES"/>
        </w:rPr>
        <w:t>mensuales) a los trabajadores por concepto de sueldos y</w:t>
      </w:r>
      <w:r>
        <w:rPr>
          <w:rFonts w:ascii="Palatino Linotype" w:hAnsi="Palatino Linotype" w:cs="Arial"/>
          <w:b/>
          <w:bCs/>
          <w:i/>
          <w:sz w:val="22"/>
          <w:lang w:val="es-ES"/>
        </w:rPr>
        <w:t xml:space="preserve"> </w:t>
      </w:r>
      <w:r>
        <w:rPr>
          <w:rFonts w:ascii="Palatino Linotype" w:hAnsi="Palatino Linotype" w:cs="Arial"/>
          <w:i/>
          <w:sz w:val="22"/>
          <w:lang w:val="es-ES"/>
        </w:rPr>
        <w:t>salarios.”</w:t>
      </w:r>
    </w:p>
    <w:p w:rsidR="00A4268E" w:rsidRDefault="00A4268E">
      <w:pPr>
        <w:spacing w:line="360" w:lineRule="auto"/>
        <w:jc w:val="both"/>
        <w:rPr>
          <w:rFonts w:ascii="Palatino Linotype" w:hAnsi="Palatino Linotype" w:cs="Arial"/>
          <w:i/>
          <w:lang w:val="es-ES"/>
        </w:rPr>
      </w:pPr>
    </w:p>
    <w:p w:rsidR="00A4268E" w:rsidRDefault="006F0117">
      <w:pPr>
        <w:spacing w:line="360" w:lineRule="auto"/>
        <w:jc w:val="both"/>
        <w:rPr>
          <w:rFonts w:ascii="Palatino Linotype" w:hAnsi="Palatino Linotype" w:cs="Arial"/>
          <w:lang w:val="es-ES"/>
        </w:rPr>
      </w:pPr>
      <w:r>
        <w:rPr>
          <w:rFonts w:ascii="Palatino Linotype" w:hAnsi="Palatino Linotype" w:cs="Arial"/>
          <w:lang w:val="es-ES"/>
        </w:rPr>
        <w:t xml:space="preserve">Una vez puntualizado esto, se advierte que la nómina contiene la información relativa a las remuneraciones de los servidores públicos. </w:t>
      </w:r>
    </w:p>
    <w:p w:rsidR="00A4268E" w:rsidRDefault="00A4268E">
      <w:pPr>
        <w:spacing w:line="360" w:lineRule="auto"/>
        <w:jc w:val="both"/>
        <w:rPr>
          <w:rFonts w:ascii="Palatino Linotype" w:hAnsi="Palatino Linotype" w:cs="Arial"/>
          <w:lang w:val="es-ES"/>
        </w:rPr>
      </w:pPr>
    </w:p>
    <w:p w:rsidR="00A4268E" w:rsidRDefault="006F0117">
      <w:pPr>
        <w:spacing w:line="360" w:lineRule="auto"/>
        <w:jc w:val="both"/>
        <w:rPr>
          <w:rFonts w:ascii="Palatino Linotype" w:hAnsi="Palatino Linotype"/>
        </w:rPr>
      </w:pPr>
      <w:r>
        <w:rPr>
          <w:rFonts w:ascii="Palatino Linotype" w:hAnsi="Palatino Linotype" w:cs="Arial"/>
          <w:lang w:val="es-ES"/>
        </w:rPr>
        <w:t xml:space="preserve">En este sentido, cabe abordar lo relativo a la información proporcionada por </w:t>
      </w:r>
      <w:r>
        <w:rPr>
          <w:rFonts w:ascii="Palatino Linotype" w:hAnsi="Palatino Linotype" w:cs="Arial"/>
          <w:b/>
          <w:lang w:val="es-ES"/>
        </w:rPr>
        <w:t>EL SUJETO OBLIGADO</w:t>
      </w:r>
      <w:r>
        <w:rPr>
          <w:rFonts w:ascii="Palatino Linotype" w:hAnsi="Palatino Linotype" w:cs="Arial"/>
          <w:lang w:val="es-ES"/>
        </w:rPr>
        <w:t xml:space="preserve"> consistente</w:t>
      </w:r>
      <w:r>
        <w:rPr>
          <w:rFonts w:ascii="Palatino Linotype" w:hAnsi="Palatino Linotype"/>
        </w:rPr>
        <w:t xml:space="preserve"> en las percepciones de los servidores públicos que corresponden a información que se encuentra relacionada en el Capítulo de Obligaciones de Transparencia Comunes de la Ley de Transparencia y Acceso a la Información Pública del Estado de México y Municipios, tal y como lo señala el artículo 92 fracción VIII, cuyo texto y sentido literal es el siguiente:</w:t>
      </w:r>
    </w:p>
    <w:p w:rsidR="00A4268E" w:rsidRDefault="00A4268E">
      <w:pPr>
        <w:spacing w:line="360" w:lineRule="auto"/>
        <w:jc w:val="both"/>
        <w:rPr>
          <w:rFonts w:ascii="Palatino Linotype" w:hAnsi="Palatino Linotype"/>
        </w:rPr>
      </w:pPr>
    </w:p>
    <w:p w:rsidR="00A4268E" w:rsidRDefault="006F0117">
      <w:pPr>
        <w:ind w:left="709" w:right="757"/>
        <w:jc w:val="both"/>
        <w:rPr>
          <w:rFonts w:ascii="Palatino Linotype" w:hAnsi="Palatino Linotype"/>
          <w:i/>
          <w:sz w:val="22"/>
        </w:rPr>
      </w:pPr>
      <w:r>
        <w:rPr>
          <w:rFonts w:ascii="Palatino Linotype" w:hAnsi="Palatino Linotype"/>
          <w:i/>
          <w:sz w:val="22"/>
        </w:rPr>
        <w:t>“</w:t>
      </w:r>
      <w:r>
        <w:rPr>
          <w:rFonts w:ascii="Palatino Linotype" w:hAnsi="Palatino Linotype"/>
          <w:b/>
          <w:i/>
          <w:sz w:val="22"/>
        </w:rPr>
        <w:t>Artículo 92</w:t>
      </w:r>
      <w:r>
        <w:rPr>
          <w:rFonts w:ascii="Palatino Linotype" w:hAnsi="Palatino Linotype"/>
          <w:i/>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4268E" w:rsidRDefault="006F0117">
      <w:pPr>
        <w:ind w:left="709" w:right="757"/>
        <w:jc w:val="both"/>
        <w:rPr>
          <w:rFonts w:ascii="Palatino Linotype" w:hAnsi="Palatino Linotype"/>
          <w:i/>
          <w:sz w:val="22"/>
        </w:rPr>
      </w:pPr>
      <w:r>
        <w:rPr>
          <w:rFonts w:ascii="Palatino Linotype" w:hAnsi="Palatino Linotype"/>
          <w:i/>
          <w:sz w:val="22"/>
        </w:rPr>
        <w:lastRenderedPageBreak/>
        <w:t>…</w:t>
      </w:r>
    </w:p>
    <w:p w:rsidR="00A4268E" w:rsidRDefault="00A4268E">
      <w:pPr>
        <w:ind w:left="709" w:right="757"/>
        <w:jc w:val="both"/>
        <w:rPr>
          <w:rFonts w:ascii="Palatino Linotype" w:hAnsi="Palatino Linotype"/>
          <w:i/>
          <w:sz w:val="22"/>
        </w:rPr>
      </w:pPr>
    </w:p>
    <w:p w:rsidR="00A4268E" w:rsidRDefault="006F0117">
      <w:pPr>
        <w:ind w:left="709" w:right="757"/>
        <w:jc w:val="both"/>
        <w:rPr>
          <w:rFonts w:ascii="Palatino Linotype" w:hAnsi="Palatino Linotype"/>
          <w:i/>
          <w:sz w:val="22"/>
        </w:rPr>
      </w:pPr>
      <w:r>
        <w:rPr>
          <w:rFonts w:ascii="Palatino Linotype" w:hAnsi="Palatino Linotype"/>
          <w:b/>
          <w:i/>
          <w:sz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i/>
          <w:sz w:val="22"/>
        </w:rPr>
        <w:t>;”</w:t>
      </w:r>
    </w:p>
    <w:p w:rsidR="00A4268E" w:rsidRDefault="00A4268E">
      <w:pPr>
        <w:ind w:left="709" w:right="757"/>
        <w:jc w:val="both"/>
        <w:rPr>
          <w:rFonts w:ascii="Palatino Linotype" w:hAnsi="Palatino Linotype"/>
          <w:i/>
          <w:sz w:val="22"/>
        </w:rPr>
      </w:pPr>
    </w:p>
    <w:p w:rsidR="00A4268E" w:rsidRDefault="006F0117">
      <w:pPr>
        <w:ind w:left="709" w:right="757"/>
        <w:jc w:val="both"/>
        <w:rPr>
          <w:rFonts w:ascii="Palatino Linotype" w:hAnsi="Palatino Linotype"/>
          <w:i/>
          <w:sz w:val="22"/>
        </w:rPr>
      </w:pPr>
      <w:r>
        <w:rPr>
          <w:rFonts w:ascii="Palatino Linotype" w:hAnsi="Palatino Linotype"/>
          <w:i/>
          <w:sz w:val="22"/>
        </w:rPr>
        <w:t>(Énfasis añadido)</w:t>
      </w:r>
    </w:p>
    <w:p w:rsidR="00A4268E" w:rsidRDefault="00A4268E">
      <w:pPr>
        <w:spacing w:line="360" w:lineRule="auto"/>
        <w:jc w:val="both"/>
        <w:rPr>
          <w:rFonts w:ascii="Palatino Linotype" w:hAnsi="Palatino Linotype"/>
          <w:i/>
        </w:rPr>
      </w:pPr>
    </w:p>
    <w:p w:rsidR="00A4268E" w:rsidRDefault="006F0117">
      <w:pPr>
        <w:spacing w:line="360" w:lineRule="auto"/>
        <w:jc w:val="both"/>
        <w:rPr>
          <w:rFonts w:ascii="Palatino Linotype" w:hAnsi="Palatino Linotype" w:cs="Arial"/>
          <w:lang w:val="es-ES"/>
        </w:rPr>
      </w:pPr>
      <w:r>
        <w:rPr>
          <w:rFonts w:ascii="Palatino Linotype" w:hAnsi="Palatino Linotype" w:cs="Arial"/>
          <w:lang w:val="es-ES"/>
        </w:rPr>
        <w:t>No obstante, dicha información es la relativa a las percepciones y deducciones de los servidores públicos conforme al cargo y nivel de plaza que desempeñan, y no así a lo efectivamente percibido en un tiempo determinado (quincena) ni al documento que en específico pretende acceder el particular.</w:t>
      </w:r>
    </w:p>
    <w:p w:rsidR="00A4268E" w:rsidRDefault="00A4268E">
      <w:pPr>
        <w:spacing w:line="360" w:lineRule="auto"/>
        <w:jc w:val="both"/>
        <w:rPr>
          <w:rFonts w:ascii="Palatino Linotype" w:hAnsi="Palatino Linotype" w:cs="Arial"/>
          <w:lang w:val="es-ES"/>
        </w:rPr>
      </w:pPr>
    </w:p>
    <w:p w:rsidR="00A4268E" w:rsidRDefault="006F0117">
      <w:pPr>
        <w:spacing w:line="360" w:lineRule="auto"/>
        <w:jc w:val="both"/>
        <w:rPr>
          <w:rFonts w:ascii="Palatino Linotype" w:hAnsi="Palatino Linotype" w:cs="Arial"/>
          <w:color w:val="000000"/>
          <w:lang w:val="es-ES"/>
        </w:rPr>
      </w:pPr>
      <w:r>
        <w:rPr>
          <w:rFonts w:ascii="Palatino Linotype" w:hAnsi="Palatino Linotype" w:cs="Arial"/>
          <w:color w:val="000000"/>
          <w:lang w:val="es-ES"/>
        </w:rPr>
        <w:t xml:space="preserve">A mayor abundamiento, este Órgano Autónomo considera que existe un documento que tal y como fue requerido por </w:t>
      </w:r>
      <w:r>
        <w:rPr>
          <w:rFonts w:ascii="Palatino Linotype" w:hAnsi="Palatino Linotype" w:cs="Arial"/>
          <w:b/>
          <w:color w:val="000000"/>
          <w:lang w:val="es-ES"/>
        </w:rPr>
        <w:t>EL</w:t>
      </w:r>
      <w:r>
        <w:rPr>
          <w:rFonts w:ascii="Palatino Linotype" w:hAnsi="Palatino Linotype" w:cs="Arial"/>
          <w:color w:val="000000"/>
          <w:lang w:val="es-ES"/>
        </w:rPr>
        <w:t xml:space="preserve"> </w:t>
      </w:r>
      <w:r>
        <w:rPr>
          <w:rFonts w:ascii="Palatino Linotype" w:hAnsi="Palatino Linotype" w:cs="Arial"/>
          <w:b/>
          <w:color w:val="000000"/>
          <w:lang w:val="es-ES"/>
        </w:rPr>
        <w:t>RECURRENTE</w:t>
      </w:r>
      <w:r>
        <w:rPr>
          <w:rFonts w:ascii="Palatino Linotype" w:hAnsi="Palatino Linotype" w:cs="Arial"/>
          <w:color w:val="000000"/>
          <w:lang w:val="es-ES"/>
        </w:rPr>
        <w:t xml:space="preserve">, puede colmar el derecho de acceso a la información del </w:t>
      </w:r>
      <w:r>
        <w:rPr>
          <w:rFonts w:ascii="Palatino Linotype" w:hAnsi="Palatino Linotype" w:cs="Arial"/>
          <w:b/>
          <w:color w:val="000000"/>
          <w:lang w:val="es-ES"/>
        </w:rPr>
        <w:t>RECURRENTE</w:t>
      </w:r>
      <w:r>
        <w:rPr>
          <w:rFonts w:ascii="Palatino Linotype" w:hAnsi="Palatino Linotype" w:cs="Arial"/>
          <w:color w:val="000000"/>
          <w:lang w:val="es-ES"/>
        </w:rPr>
        <w:t xml:space="preserve">, como lo es la denominada </w:t>
      </w:r>
      <w:r>
        <w:rPr>
          <w:rFonts w:ascii="Palatino Linotype" w:hAnsi="Palatino Linotype" w:cs="Arial"/>
          <w:i/>
          <w:color w:val="000000"/>
          <w:lang w:val="es-ES"/>
        </w:rPr>
        <w:t>nómina general</w:t>
      </w:r>
      <w:r>
        <w:rPr>
          <w:rFonts w:ascii="Palatino Linotype" w:hAnsi="Palatino Linotype" w:cs="Arial"/>
          <w:color w:val="000000"/>
          <w:lang w:val="es-ES"/>
        </w:rPr>
        <w:t xml:space="preserve">, ya que en este consta la información solicitada, pues tiene como objetivo presentar la información del pago de las </w:t>
      </w:r>
      <w:r>
        <w:rPr>
          <w:rFonts w:ascii="Palatino Linotype" w:hAnsi="Palatino Linotype" w:cs="Arial"/>
          <w:b/>
          <w:color w:val="000000"/>
          <w:lang w:val="es-ES"/>
        </w:rPr>
        <w:t>remuneraciones</w:t>
      </w:r>
      <w:r>
        <w:rPr>
          <w:rFonts w:ascii="Palatino Linotype" w:hAnsi="Palatino Linotype" w:cs="Arial"/>
          <w:color w:val="000000"/>
          <w:lang w:val="es-ES"/>
        </w:rPr>
        <w:t xml:space="preserve"> de cada uno de los servidores públicos de la entidad fiscalizable de que se trate, correspondiente a un periodo determinado. </w:t>
      </w:r>
    </w:p>
    <w:p w:rsidR="00A4268E" w:rsidRDefault="00A4268E">
      <w:pPr>
        <w:spacing w:line="360" w:lineRule="auto"/>
        <w:jc w:val="both"/>
        <w:rPr>
          <w:rFonts w:ascii="Palatino Linotype" w:hAnsi="Palatino Linotype" w:cs="Arial"/>
          <w:color w:val="000000"/>
          <w:lang w:val="es-ES"/>
        </w:rPr>
      </w:pPr>
    </w:p>
    <w:p w:rsidR="00A4268E" w:rsidRDefault="006F0117">
      <w:pPr>
        <w:spacing w:line="360" w:lineRule="auto"/>
        <w:jc w:val="both"/>
        <w:rPr>
          <w:rFonts w:ascii="Palatino Linotype" w:hAnsi="Palatino Linotype"/>
          <w:lang w:val="es-ES"/>
        </w:rPr>
      </w:pPr>
      <w:r>
        <w:rPr>
          <w:rFonts w:ascii="Palatino Linotype" w:hAnsi="Palatino Linotype" w:cs="Arial"/>
          <w:color w:val="000000"/>
          <w:lang w:val="es-ES"/>
        </w:rPr>
        <w:t>Al respecto, es necesario remitirnos a l</w:t>
      </w:r>
      <w:r>
        <w:rPr>
          <w:rFonts w:ascii="Palatino Linotype" w:hAnsi="Palatino Linotype"/>
          <w:color w:val="000000"/>
          <w:lang w:val="es-ES"/>
        </w:rPr>
        <w:t xml:space="preserve">os Lineamientos para la Elaboración y Presentación del Informe Mensual Municipal, visibles en la página oficial del Órgano Superior de Fiscalización del Estado de México (OSFEM) en el sitio de internet </w:t>
      </w:r>
      <w:hyperlink r:id="rId11">
        <w:r>
          <w:rPr>
            <w:rStyle w:val="Hipervnculo"/>
            <w:rFonts w:ascii="Palatino Linotype" w:hAnsi="Palatino Linotype"/>
            <w:lang w:val="es-ES"/>
          </w:rPr>
          <w:t>https://www.osfem.gob.mx/04_Normatividad/doc/Normatividad/2019/19.LineamInfMensualMpal_2019.pdf</w:t>
        </w:r>
      </w:hyperlink>
      <w:r>
        <w:rPr>
          <w:rFonts w:ascii="Palatino Linotype" w:hAnsi="Palatino Linotype"/>
          <w:color w:val="000000"/>
          <w:lang w:val="es-ES"/>
        </w:rPr>
        <w:t xml:space="preserve"> donde se destaca</w:t>
      </w:r>
      <w:r>
        <w:rPr>
          <w:rFonts w:ascii="Palatino Linotype" w:hAnsi="Palatino Linotype"/>
          <w:lang w:val="es-ES"/>
        </w:rPr>
        <w:t xml:space="preserve"> que dentro de los informes mensuales que </w:t>
      </w:r>
      <w:r>
        <w:rPr>
          <w:rFonts w:ascii="Palatino Linotype" w:hAnsi="Palatino Linotype"/>
          <w:b/>
          <w:lang w:val="es-ES"/>
        </w:rPr>
        <w:lastRenderedPageBreak/>
        <w:t xml:space="preserve">EL SUJETO OBLIGADO </w:t>
      </w:r>
      <w:r>
        <w:rPr>
          <w:rFonts w:ascii="Palatino Linotype" w:hAnsi="Palatino Linotype"/>
          <w:lang w:val="es-ES"/>
        </w:rPr>
        <w:t>tiene la obligación de rendir, se contempla precisamente la presentación de la Información referente a la Nómina General en los que se advierte:</w:t>
      </w:r>
    </w:p>
    <w:p w:rsidR="00A4268E" w:rsidRDefault="00A4268E">
      <w:pPr>
        <w:spacing w:line="360" w:lineRule="auto"/>
        <w:jc w:val="both"/>
        <w:rPr>
          <w:rFonts w:ascii="Palatino Linotype" w:hAnsi="Palatino Linotype"/>
          <w:color w:val="000000"/>
          <w:lang w:val="es-ES"/>
        </w:rPr>
      </w:pPr>
    </w:p>
    <w:p w:rsidR="00A4268E" w:rsidRDefault="006F0117">
      <w:pPr>
        <w:spacing w:line="360" w:lineRule="auto"/>
        <w:jc w:val="center"/>
        <w:rPr>
          <w:rFonts w:ascii="Palatino Linotype" w:hAnsi="Palatino Linotype"/>
          <w:color w:val="000000"/>
          <w:lang w:val="es-ES"/>
        </w:rPr>
      </w:pPr>
      <w:r>
        <w:rPr>
          <w:noProof/>
          <w:lang w:eastAsia="es-MX"/>
        </w:rPr>
        <w:drawing>
          <wp:inline distT="0" distB="0" distL="0" distR="0">
            <wp:extent cx="4362450" cy="2051050"/>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2"/>
                    <a:srcRect b="60577"/>
                    <a:stretch>
                      <a:fillRect/>
                    </a:stretch>
                  </pic:blipFill>
                  <pic:spPr bwMode="auto">
                    <a:xfrm>
                      <a:off x="0" y="0"/>
                      <a:ext cx="4362450" cy="2051050"/>
                    </a:xfrm>
                    <a:prstGeom prst="rect">
                      <a:avLst/>
                    </a:prstGeom>
                  </pic:spPr>
                </pic:pic>
              </a:graphicData>
            </a:graphic>
          </wp:inline>
        </w:drawing>
      </w:r>
    </w:p>
    <w:p w:rsidR="00A4268E" w:rsidRDefault="006F0117">
      <w:pPr>
        <w:jc w:val="center"/>
        <w:rPr>
          <w:rFonts w:ascii="Palatino Linotype" w:hAnsi="Palatino Linotype"/>
          <w:lang w:val="es-ES"/>
        </w:rPr>
      </w:pPr>
      <w:r>
        <w:rPr>
          <w:noProof/>
          <w:lang w:eastAsia="es-MX"/>
        </w:rPr>
        <w:drawing>
          <wp:inline distT="0" distB="0" distL="0" distR="0">
            <wp:extent cx="4351020" cy="3074035"/>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13"/>
                    <a:stretch>
                      <a:fillRect/>
                    </a:stretch>
                  </pic:blipFill>
                  <pic:spPr bwMode="auto">
                    <a:xfrm>
                      <a:off x="0" y="0"/>
                      <a:ext cx="4351020" cy="3074035"/>
                    </a:xfrm>
                    <a:prstGeom prst="rect">
                      <a:avLst/>
                    </a:prstGeom>
                  </pic:spPr>
                </pic:pic>
              </a:graphicData>
            </a:graphic>
          </wp:inline>
        </w:drawing>
      </w:r>
    </w:p>
    <w:p w:rsidR="00A4268E" w:rsidRDefault="00A4268E">
      <w:pPr>
        <w:rPr>
          <w:rFonts w:ascii="Palatino Linotype" w:hAnsi="Palatino Linotype"/>
          <w:lang w:val="es-ES"/>
        </w:rPr>
      </w:pPr>
    </w:p>
    <w:p w:rsidR="00A4268E" w:rsidRDefault="00A4268E">
      <w:pPr>
        <w:tabs>
          <w:tab w:val="left" w:pos="5660"/>
        </w:tabs>
        <w:rPr>
          <w:rFonts w:ascii="Palatino Linotype" w:hAnsi="Palatino Linotype"/>
          <w:lang w:val="es-ES"/>
        </w:rPr>
      </w:pPr>
    </w:p>
    <w:p w:rsidR="00A4268E" w:rsidRDefault="006F0117">
      <w:pPr>
        <w:spacing w:line="360" w:lineRule="auto"/>
        <w:jc w:val="both"/>
        <w:rPr>
          <w:rFonts w:ascii="Palatino Linotype" w:hAnsi="Palatino Linotype"/>
          <w:color w:val="000000"/>
          <w:lang w:val="es-ES"/>
        </w:rPr>
      </w:pPr>
      <w:r>
        <w:rPr>
          <w:noProof/>
          <w:lang w:eastAsia="es-MX"/>
        </w:rPr>
        <w:lastRenderedPageBreak/>
        <mc:AlternateContent>
          <mc:Choice Requires="wps">
            <w:drawing>
              <wp:anchor distT="0" distB="0" distL="0" distR="0" simplePos="0" relativeHeight="46" behindDoc="0" locked="0" layoutInCell="1" allowOverlap="1">
                <wp:simplePos x="0" y="0"/>
                <wp:positionH relativeFrom="column">
                  <wp:posOffset>153670</wp:posOffset>
                </wp:positionH>
                <wp:positionV relativeFrom="paragraph">
                  <wp:posOffset>861695</wp:posOffset>
                </wp:positionV>
                <wp:extent cx="3503295" cy="648335"/>
                <wp:effectExtent l="76200" t="38100" r="60325" b="76835"/>
                <wp:wrapNone/>
                <wp:docPr id="5" name="Rectángulo redondeado 15"/>
                <wp:cNvGraphicFramePr/>
                <a:graphic xmlns:a="http://schemas.openxmlformats.org/drawingml/2006/main">
                  <a:graphicData uri="http://schemas.microsoft.com/office/word/2010/wordprocessingShape">
                    <wps:wsp>
                      <wps:cNvSpPr/>
                      <wps:spPr>
                        <a:xfrm>
                          <a:off x="0" y="0"/>
                          <a:ext cx="3502800" cy="647640"/>
                        </a:xfrm>
                        <a:prstGeom prst="roundRect">
                          <a:avLst>
                            <a:gd name="adj" fmla="val 16667"/>
                          </a:avLst>
                        </a:prstGeom>
                        <a:noFill/>
                        <a:ln w="3816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oundrect w14:anchorId="609EAA8B" id="Rectángulo redondeado 15" o:spid="_x0000_s1026" style="position:absolute;margin-left:12.1pt;margin-top:67.85pt;width:275.85pt;height:51.05pt;z-index:46;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" filled="f" strokecolor="red" strokeweight="1.06mm">
                <v:shadow on="t" color="black" opacity="22937f" origin=",.5" offset="0,.64mm"/>
              </v:roundrect>
            </w:pict>
          </mc:Fallback>
        </mc:AlternateContent>
      </w:r>
      <w:r>
        <w:rPr>
          <w:lang w:eastAsia="es-MX"/>
        </w:rPr>
        <w:t xml:space="preserve"> </w:t>
      </w:r>
      <w:r>
        <w:rPr>
          <w:noProof/>
          <w:lang w:eastAsia="es-MX"/>
        </w:rPr>
        <w:drawing>
          <wp:inline distT="0" distB="0" distL="0" distR="0">
            <wp:extent cx="5667375" cy="3962400"/>
            <wp:effectExtent l="0" t="0" r="0" b="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2"/>
                    <pic:cNvPicPr>
                      <a:picLocks noChangeAspect="1" noChangeArrowheads="1"/>
                    </pic:cNvPicPr>
                  </pic:nvPicPr>
                  <pic:blipFill>
                    <a:blip r:embed="rId14"/>
                    <a:stretch>
                      <a:fillRect/>
                    </a:stretch>
                  </pic:blipFill>
                  <pic:spPr bwMode="auto">
                    <a:xfrm>
                      <a:off x="0" y="0"/>
                      <a:ext cx="5667375" cy="3962400"/>
                    </a:xfrm>
                    <a:prstGeom prst="rect">
                      <a:avLst/>
                    </a:prstGeom>
                  </pic:spPr>
                </pic:pic>
              </a:graphicData>
            </a:graphic>
          </wp:inline>
        </w:drawing>
      </w:r>
    </w:p>
    <w:p w:rsidR="00A4268E" w:rsidRDefault="00D95242">
      <w:pPr>
        <w:spacing w:line="360" w:lineRule="auto"/>
        <w:jc w:val="both"/>
        <w:rPr>
          <w:rFonts w:ascii="Palatino Linotype" w:hAnsi="Palatino Linotype"/>
          <w:color w:val="000000"/>
          <w:lang w:val="es-ES"/>
        </w:rPr>
      </w:pPr>
      <w:r>
        <w:rPr>
          <w:rFonts w:ascii="Palatino Linotype" w:hAnsi="Palatino Linotype"/>
          <w:noProof/>
          <w:color w:val="000000"/>
          <w:lang w:eastAsia="es-MX"/>
        </w:rPr>
        <mc:AlternateContent>
          <mc:Choice Requires="wps">
            <w:drawing>
              <wp:anchor distT="0" distB="0" distL="0" distR="0" simplePos="0" relativeHeight="51" behindDoc="0" locked="0" layoutInCell="1" allowOverlap="1">
                <wp:simplePos x="0" y="0"/>
                <wp:positionH relativeFrom="column">
                  <wp:posOffset>111125</wp:posOffset>
                </wp:positionH>
                <wp:positionV relativeFrom="paragraph">
                  <wp:posOffset>26670</wp:posOffset>
                </wp:positionV>
                <wp:extent cx="5821045" cy="3411220"/>
                <wp:effectExtent l="19050" t="19050" r="28575" b="19050"/>
                <wp:wrapNone/>
                <wp:docPr id="7" name="Conector recto 4"/>
                <wp:cNvGraphicFramePr/>
                <a:graphic xmlns:a="http://schemas.openxmlformats.org/drawingml/2006/main">
                  <a:graphicData uri="http://schemas.microsoft.com/office/word/2010/wordprocessingShape">
                    <wps:wsp>
                      <wps:cNvCnPr/>
                      <wps:spPr>
                        <a:xfrm>
                          <a:off x="0" y="0"/>
                          <a:ext cx="5821045" cy="3411220"/>
                        </a:xfrm>
                        <a:prstGeom prst="line">
                          <a:avLst/>
                        </a:prstGeom>
                        <a:ln w="28440">
                          <a:solidFill>
                            <a:srgbClr val="4A7EBB"/>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0F69371F" id="Conector recto 4" o:spid="_x0000_s1026" style="position:absolute;z-index:51;visibility:visible;mso-wrap-style:square;mso-wrap-distance-left:0;mso-wrap-distance-top:0;mso-wrap-distance-right:0;mso-wrap-distance-bottom:0;mso-position-horizontal:absolute;mso-position-horizontal-relative:text;mso-position-vertical:absolute;mso-position-vertical-relative:text" from="8.75pt,2.1pt" to="467.1pt,2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" strokecolor="#4a7ebb" strokeweight=".79mm"/>
            </w:pict>
          </mc:Fallback>
        </mc:AlternateContent>
      </w:r>
    </w:p>
    <w:p w:rsidR="00A4268E" w:rsidRDefault="006F0117">
      <w:pPr>
        <w:spacing w:line="360" w:lineRule="auto"/>
        <w:jc w:val="both"/>
        <w:rPr>
          <w:rFonts w:ascii="Palatino Linotype" w:hAnsi="Palatino Linotype"/>
          <w:color w:val="000000"/>
          <w:lang w:val="es-ES"/>
        </w:rPr>
      </w:pPr>
      <w:r>
        <w:rPr>
          <w:noProof/>
          <w:lang w:eastAsia="es-MX"/>
        </w:rPr>
        <w:lastRenderedPageBreak/>
        <w:drawing>
          <wp:inline distT="0" distB="0" distL="0" distR="0">
            <wp:extent cx="5789930" cy="3381375"/>
            <wp:effectExtent l="0" t="0" r="0" b="0"/>
            <wp:docPr id="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2"/>
                    <pic:cNvPicPr>
                      <a:picLocks noChangeAspect="1" noChangeArrowheads="1"/>
                    </pic:cNvPicPr>
                  </pic:nvPicPr>
                  <pic:blipFill>
                    <a:blip r:embed="rId15"/>
                    <a:srcRect t="12984"/>
                    <a:stretch>
                      <a:fillRect/>
                    </a:stretch>
                  </pic:blipFill>
                  <pic:spPr bwMode="auto">
                    <a:xfrm>
                      <a:off x="0" y="0"/>
                      <a:ext cx="5789930" cy="3381375"/>
                    </a:xfrm>
                    <a:prstGeom prst="rect">
                      <a:avLst/>
                    </a:prstGeom>
                  </pic:spPr>
                </pic:pic>
              </a:graphicData>
            </a:graphic>
          </wp:inline>
        </w:drawing>
      </w:r>
      <w:r>
        <w:rPr>
          <w:noProof/>
          <w:lang w:eastAsia="es-MX"/>
        </w:rPr>
        <mc:AlternateContent>
          <mc:Choice Requires="wps">
            <w:drawing>
              <wp:anchor distT="0" distB="0" distL="0" distR="0" simplePos="0" relativeHeight="50" behindDoc="0" locked="0" layoutInCell="1" allowOverlap="1">
                <wp:simplePos x="0" y="0"/>
                <wp:positionH relativeFrom="column">
                  <wp:posOffset>24130</wp:posOffset>
                </wp:positionH>
                <wp:positionV relativeFrom="paragraph">
                  <wp:posOffset>626110</wp:posOffset>
                </wp:positionV>
                <wp:extent cx="2131695" cy="363220"/>
                <wp:effectExtent l="57150" t="19050" r="60325" b="76200"/>
                <wp:wrapNone/>
                <wp:docPr id="8" name="Rectángulo redondeado 23"/>
                <wp:cNvGraphicFramePr/>
                <a:graphic xmlns:a="http://schemas.openxmlformats.org/drawingml/2006/main">
                  <a:graphicData uri="http://schemas.microsoft.com/office/word/2010/wordprocessingShape">
                    <wps:wsp>
                      <wps:cNvSpPr/>
                      <wps:spPr>
                        <a:xfrm>
                          <a:off x="0" y="0"/>
                          <a:ext cx="2131200" cy="362520"/>
                        </a:xfrm>
                        <a:prstGeom prst="roundRect">
                          <a:avLst>
                            <a:gd name="adj" fmla="val 16667"/>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A4268E" w:rsidRDefault="006F0117">
      <w:pPr>
        <w:spacing w:line="360" w:lineRule="auto"/>
        <w:jc w:val="center"/>
        <w:rPr>
          <w:rFonts w:ascii="Palatino Linotype" w:hAnsi="Palatino Linotype" w:cs="Arial"/>
          <w:color w:val="000000"/>
          <w:lang w:val="es-ES"/>
        </w:rPr>
      </w:pPr>
      <w:r>
        <w:rPr>
          <w:noProof/>
          <w:lang w:eastAsia="es-MX"/>
        </w:rPr>
        <mc:AlternateContent>
          <mc:Choice Requires="wps">
            <w:drawing>
              <wp:anchor distT="0" distB="0" distL="0" distR="0" simplePos="0" relativeHeight="47" behindDoc="0" locked="0" layoutInCell="1" allowOverlap="1">
                <wp:simplePos x="0" y="0"/>
                <wp:positionH relativeFrom="margin">
                  <wp:posOffset>144780</wp:posOffset>
                </wp:positionH>
                <wp:positionV relativeFrom="paragraph">
                  <wp:posOffset>248920</wp:posOffset>
                </wp:positionV>
                <wp:extent cx="1916430" cy="346075"/>
                <wp:effectExtent l="76200" t="38100" r="66040" b="74295"/>
                <wp:wrapNone/>
                <wp:docPr id="10" name="Rectángulo redondeado 18"/>
                <wp:cNvGraphicFramePr/>
                <a:graphic xmlns:a="http://schemas.openxmlformats.org/drawingml/2006/main">
                  <a:graphicData uri="http://schemas.microsoft.com/office/word/2010/wordprocessingShape">
                    <wps:wsp>
                      <wps:cNvSpPr/>
                      <wps:spPr>
                        <a:xfrm>
                          <a:off x="0" y="0"/>
                          <a:ext cx="1915920" cy="345600"/>
                        </a:xfrm>
                        <a:prstGeom prst="roundRect">
                          <a:avLst>
                            <a:gd name="adj" fmla="val 16667"/>
                          </a:avLst>
                        </a:prstGeom>
                        <a:noFill/>
                        <a:ln w="3816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lang w:eastAsia="es-MX"/>
        </w:rPr>
        <mc:AlternateContent>
          <mc:Choice Requires="wps">
            <w:drawing>
              <wp:anchor distT="0" distB="0" distL="0" distR="0" simplePos="0" relativeHeight="49" behindDoc="0" locked="0" layoutInCell="1" allowOverlap="1">
                <wp:simplePos x="0" y="0"/>
                <wp:positionH relativeFrom="margin">
                  <wp:align>center</wp:align>
                </wp:positionH>
                <wp:positionV relativeFrom="paragraph">
                  <wp:posOffset>1191260</wp:posOffset>
                </wp:positionV>
                <wp:extent cx="596900" cy="134620"/>
                <wp:effectExtent l="57150" t="19050" r="33020" b="76200"/>
                <wp:wrapNone/>
                <wp:docPr id="11" name="Rectángulo redondeado 31"/>
                <wp:cNvGraphicFramePr/>
                <a:graphic xmlns:a="http://schemas.openxmlformats.org/drawingml/2006/main">
                  <a:graphicData uri="http://schemas.microsoft.com/office/word/2010/wordprocessingShape">
                    <wps:wsp>
                      <wps:cNvSpPr/>
                      <wps:spPr>
                        <a:xfrm>
                          <a:off x="0" y="0"/>
                          <a:ext cx="596160" cy="133920"/>
                        </a:xfrm>
                        <a:prstGeom prst="roundRect">
                          <a:avLst>
                            <a:gd name="adj" fmla="val 16667"/>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lang w:eastAsia="es-MX"/>
        </w:rPr>
        <w:t xml:space="preserve">  </w:t>
      </w:r>
      <w:r>
        <w:rPr>
          <w:noProof/>
          <w:lang w:eastAsia="es-MX"/>
        </w:rPr>
        <w:drawing>
          <wp:inline distT="0" distB="0" distL="0" distR="0">
            <wp:extent cx="5791835" cy="3517265"/>
            <wp:effectExtent l="0" t="0" r="0" b="0"/>
            <wp:docPr id="1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4"/>
                    <pic:cNvPicPr>
                      <a:picLocks noChangeAspect="1" noChangeArrowheads="1"/>
                    </pic:cNvPicPr>
                  </pic:nvPicPr>
                  <pic:blipFill>
                    <a:blip r:embed="rId16"/>
                    <a:stretch>
                      <a:fillRect/>
                    </a:stretch>
                  </pic:blipFill>
                  <pic:spPr bwMode="auto">
                    <a:xfrm>
                      <a:off x="0" y="0"/>
                      <a:ext cx="5791835" cy="3517265"/>
                    </a:xfrm>
                    <a:prstGeom prst="rect">
                      <a:avLst/>
                    </a:prstGeom>
                  </pic:spPr>
                </pic:pic>
              </a:graphicData>
            </a:graphic>
          </wp:inline>
        </w:drawing>
      </w:r>
    </w:p>
    <w:p w:rsidR="00A4268E" w:rsidRDefault="006F0117">
      <w:pPr>
        <w:spacing w:line="360" w:lineRule="auto"/>
        <w:jc w:val="both"/>
        <w:rPr>
          <w:rFonts w:ascii="Palatino Linotype" w:hAnsi="Palatino Linotype" w:cs="Arial"/>
          <w:color w:val="000000"/>
          <w:lang w:val="es-ES"/>
        </w:rPr>
      </w:pPr>
      <w:r>
        <w:rPr>
          <w:noProof/>
          <w:lang w:eastAsia="es-MX"/>
        </w:rPr>
        <w:lastRenderedPageBreak/>
        <mc:AlternateContent>
          <mc:Choice Requires="wps">
            <w:drawing>
              <wp:anchor distT="0" distB="0" distL="0" distR="0" simplePos="0" relativeHeight="48" behindDoc="0" locked="0" layoutInCell="1" allowOverlap="1">
                <wp:simplePos x="0" y="0"/>
                <wp:positionH relativeFrom="margin">
                  <wp:posOffset>472440</wp:posOffset>
                </wp:positionH>
                <wp:positionV relativeFrom="paragraph">
                  <wp:posOffset>7008495</wp:posOffset>
                </wp:positionV>
                <wp:extent cx="5136515" cy="394970"/>
                <wp:effectExtent l="0" t="0" r="8255" b="6350"/>
                <wp:wrapNone/>
                <wp:docPr id="13" name="Rectángulo 30"/>
                <wp:cNvGraphicFramePr/>
                <a:graphic xmlns:a="http://schemas.openxmlformats.org/drawingml/2006/main">
                  <a:graphicData uri="http://schemas.microsoft.com/office/word/2010/wordprocessingShape">
                    <wps:wsp>
                      <wps:cNvSpPr/>
                      <wps:spPr>
                        <a:xfrm>
                          <a:off x="0" y="0"/>
                          <a:ext cx="5135760" cy="394200"/>
                        </a:xfrm>
                        <a:prstGeom prst="rect">
                          <a:avLst/>
                        </a:prstGeom>
                        <a:noFill/>
                        <a:ln w="19080">
                          <a:solidFill>
                            <a:srgbClr val="FF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30" stroked="t" style="position:absolute;margin-left:37.2pt;margin-top:551.85pt;width:404.35pt;height:31pt;mso-position-horizontal-relative:margin">
                <w10:wrap type="none"/>
                <v:fill o:detectmouseclick="t" on="false"/>
                <v:stroke color="red" weight="19080" joinstyle="miter" endcap="flat"/>
              </v:rect>
            </w:pict>
          </mc:Fallback>
        </mc:AlternateContent>
      </w:r>
      <w:r>
        <w:rPr>
          <w:rFonts w:ascii="Palatino Linotype" w:hAnsi="Palatino Linotype" w:cs="Arial"/>
          <w:color w:val="000000"/>
          <w:lang w:val="es-ES"/>
        </w:rPr>
        <w:t xml:space="preserve">Así, de las imágenes insertas se desprende que, se puede obtener la información requerida por </w:t>
      </w:r>
      <w:r>
        <w:rPr>
          <w:rFonts w:ascii="Palatino Linotype" w:hAnsi="Palatino Linotype" w:cs="Arial"/>
          <w:b/>
          <w:color w:val="000000"/>
          <w:lang w:eastAsia="es-MX"/>
        </w:rPr>
        <w:t>EL RECURRENTE</w:t>
      </w:r>
      <w:r>
        <w:rPr>
          <w:rFonts w:ascii="Palatino Linotype" w:hAnsi="Palatino Linotype" w:cs="Arial"/>
          <w:color w:val="000000"/>
          <w:lang w:val="es-ES"/>
        </w:rPr>
        <w:t xml:space="preserve">. Por lo tanto, no se puede tener por colmado el derecho de acceso a la información del </w:t>
      </w:r>
      <w:r>
        <w:rPr>
          <w:rFonts w:ascii="Palatino Linotype" w:hAnsi="Palatino Linotype" w:cs="Arial"/>
          <w:b/>
          <w:color w:val="000000"/>
          <w:lang w:val="es-ES"/>
        </w:rPr>
        <w:t>RECURRENTE</w:t>
      </w:r>
      <w:r>
        <w:rPr>
          <w:rFonts w:ascii="Palatino Linotype" w:hAnsi="Palatino Linotype" w:cs="Arial"/>
          <w:color w:val="000000"/>
          <w:lang w:val="es-ES"/>
        </w:rPr>
        <w:t>, ya que la información requerida no reúne los conceptos mínimos que debe contar la nómina, tales como el cargo del servidor público, concepto de las prestaciones y deducciones, entre otras.</w:t>
      </w:r>
    </w:p>
    <w:p w:rsidR="00A4268E" w:rsidRDefault="00A4268E">
      <w:pPr>
        <w:tabs>
          <w:tab w:val="left" w:pos="3686"/>
        </w:tabs>
        <w:spacing w:line="360" w:lineRule="auto"/>
        <w:jc w:val="both"/>
        <w:rPr>
          <w:rFonts w:ascii="Palatino Linotype" w:hAnsi="Palatino Linotype" w:cs="Arial"/>
          <w:color w:val="000000"/>
          <w:lang w:val="es-ES"/>
        </w:rPr>
      </w:pPr>
    </w:p>
    <w:p w:rsidR="00A4268E" w:rsidRDefault="006F0117">
      <w:pPr>
        <w:spacing w:line="360" w:lineRule="auto"/>
        <w:jc w:val="both"/>
        <w:rPr>
          <w:rFonts w:ascii="Palatino Linotype" w:hAnsi="Palatino Linotype" w:cs="Arial"/>
          <w:lang w:val="es-ES"/>
        </w:rPr>
      </w:pPr>
      <w:r>
        <w:rPr>
          <w:rFonts w:ascii="Palatino Linotype" w:hAnsi="Palatino Linotype" w:cs="Arial"/>
          <w:lang w:val="es-ES"/>
        </w:rPr>
        <w:t xml:space="preserve">Atento a lo anterior, resulta claro que existe la obligación por parte del </w:t>
      </w:r>
      <w:r>
        <w:rPr>
          <w:rFonts w:ascii="Palatino Linotype" w:hAnsi="Palatino Linotype" w:cs="Arial"/>
          <w:b/>
          <w:lang w:val="es-ES"/>
        </w:rPr>
        <w:t>SUJETO OBLIGADO</w:t>
      </w:r>
      <w:r>
        <w:rPr>
          <w:rFonts w:ascii="Palatino Linotype" w:hAnsi="Palatino Linotype" w:cs="Arial"/>
          <w:lang w:val="es-ES"/>
        </w:rPr>
        <w:t xml:space="preserve">, de entregar los informes mensuales al Órgano Superior de Fiscalización del Estado de México de conformidad con el artículo 32 de la Ley de Fiscalización Superior del Estado de México, en los cuales se incluye la </w:t>
      </w:r>
      <w:r>
        <w:rPr>
          <w:rFonts w:ascii="Palatino Linotype" w:hAnsi="Palatino Linotype" w:cs="Arial"/>
          <w:i/>
          <w:lang w:val="es-ES"/>
        </w:rPr>
        <w:t>nómina general</w:t>
      </w:r>
      <w:r>
        <w:rPr>
          <w:rFonts w:ascii="Palatino Linotype" w:hAnsi="Palatino Linotype" w:cs="Arial"/>
          <w:lang w:val="es-ES"/>
        </w:rPr>
        <w:t xml:space="preserve"> que comprende la información relativa al pago de las remuneraciones de cada uno de los servidores públicos correspondiente a un periodo determinado; en consecuencia, la información solicitada por </w:t>
      </w:r>
      <w:r>
        <w:rPr>
          <w:rFonts w:ascii="Palatino Linotype" w:hAnsi="Palatino Linotype" w:cs="Arial"/>
          <w:b/>
          <w:lang w:val="es-ES"/>
        </w:rPr>
        <w:t xml:space="preserve">EL RECURRENTE </w:t>
      </w:r>
      <w:r>
        <w:rPr>
          <w:rFonts w:ascii="Palatino Linotype" w:hAnsi="Palatino Linotype" w:cs="Arial"/>
          <w:lang w:val="es-ES"/>
        </w:rPr>
        <w:t xml:space="preserve">debe obrar en los archivos del </w:t>
      </w:r>
      <w:r>
        <w:rPr>
          <w:rFonts w:ascii="Palatino Linotype" w:hAnsi="Palatino Linotype" w:cs="Arial"/>
          <w:b/>
          <w:lang w:val="es-ES"/>
        </w:rPr>
        <w:t>SUJETO OBLIGADO</w:t>
      </w:r>
      <w:r>
        <w:rPr>
          <w:rFonts w:ascii="Palatino Linotype" w:hAnsi="Palatino Linotype" w:cs="Arial"/>
          <w:lang w:val="es-ES"/>
        </w:rPr>
        <w:t xml:space="preserve">. </w:t>
      </w:r>
    </w:p>
    <w:p w:rsidR="00A4268E" w:rsidRDefault="00A4268E">
      <w:pPr>
        <w:tabs>
          <w:tab w:val="left" w:pos="5909"/>
        </w:tabs>
        <w:spacing w:line="360" w:lineRule="auto"/>
        <w:jc w:val="both"/>
        <w:rPr>
          <w:rFonts w:ascii="Palatino Linotype" w:hAnsi="Palatino Linotype" w:cs="Arial"/>
          <w:lang w:val="es-ES"/>
        </w:rPr>
      </w:pPr>
    </w:p>
    <w:p w:rsidR="00A4268E" w:rsidRDefault="006F0117">
      <w:pPr>
        <w:spacing w:line="360" w:lineRule="auto"/>
        <w:jc w:val="both"/>
        <w:rPr>
          <w:rFonts w:ascii="Palatino Linotype" w:hAnsi="Palatino Linotype" w:cs="Arial"/>
          <w:bCs/>
          <w:lang w:val="es-ES"/>
        </w:rPr>
      </w:pPr>
      <w:r>
        <w:rPr>
          <w:rFonts w:ascii="Palatino Linotype" w:hAnsi="Palatino Linotype" w:cs="Arial"/>
          <w:lang w:val="es-ES"/>
        </w:rPr>
        <w:t>En este sentido, de acuerdo a la naturaleza de la información solicitada se concluye que ésta es de</w:t>
      </w:r>
      <w:r>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Pr>
          <w:rFonts w:ascii="Palatino Linotype" w:hAnsi="Palatino Linotype" w:cs="Arial"/>
          <w:lang w:val="es-ES"/>
        </w:rPr>
        <w:t xml:space="preserve"> </w:t>
      </w:r>
      <w:r>
        <w:rPr>
          <w:rFonts w:ascii="Palatino Linotype" w:hAnsi="Palatino Linotype" w:cs="Arial"/>
          <w:bCs/>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w:t>
      </w:r>
      <w:r>
        <w:rPr>
          <w:rFonts w:ascii="Palatino Linotype" w:hAnsi="Palatino Linotype" w:cs="Arial"/>
          <w:bCs/>
          <w:lang w:val="es-ES"/>
        </w:rPr>
        <w:lastRenderedPageBreak/>
        <w:t xml:space="preserve">se entreguen recursos públicos y con ello transparentar la forma, términos, causas y finalidad en la disposición de esos recursos; ya que, este precepto legal, como ya fue citado, establece: </w:t>
      </w:r>
    </w:p>
    <w:p w:rsidR="00A4268E" w:rsidRDefault="00A4268E">
      <w:pPr>
        <w:spacing w:line="360" w:lineRule="auto"/>
        <w:jc w:val="both"/>
        <w:rPr>
          <w:rFonts w:ascii="Palatino Linotype" w:hAnsi="Palatino Linotype" w:cs="Arial"/>
          <w:bCs/>
          <w:lang w:val="es-ES"/>
        </w:rPr>
      </w:pPr>
    </w:p>
    <w:p w:rsidR="00A4268E" w:rsidRDefault="006F0117">
      <w:pPr>
        <w:ind w:left="709" w:right="757"/>
        <w:jc w:val="both"/>
        <w:rPr>
          <w:rFonts w:ascii="Palatino Linotype" w:hAnsi="Palatino Linotype" w:cs="Arial"/>
          <w:bCs/>
          <w:i/>
          <w:sz w:val="22"/>
          <w:lang w:val="es-ES"/>
        </w:rPr>
      </w:pPr>
      <w:r>
        <w:rPr>
          <w:rFonts w:ascii="Palatino Linotype" w:hAnsi="Palatino Linotype" w:cs="Arial"/>
          <w:bCs/>
          <w:i/>
          <w:sz w:val="22"/>
          <w:lang w:val="es-ES"/>
        </w:rPr>
        <w:t>“</w:t>
      </w:r>
      <w:r>
        <w:rPr>
          <w:rFonts w:ascii="Palatino Linotype" w:hAnsi="Palatino Linotype" w:cs="Arial"/>
          <w:b/>
          <w:bCs/>
          <w:i/>
          <w:sz w:val="22"/>
          <w:lang w:val="es-ES"/>
        </w:rPr>
        <w:t>Artículo 23</w:t>
      </w:r>
      <w:r>
        <w:rPr>
          <w:rFonts w:ascii="Palatino Linotype" w:hAnsi="Palatino Linotype" w:cs="Arial"/>
          <w:bCs/>
          <w:i/>
          <w:sz w:val="22"/>
          <w:lang w:val="es-ES"/>
        </w:rPr>
        <w:t xml:space="preserve"> Son </w:t>
      </w:r>
      <w:r>
        <w:rPr>
          <w:rFonts w:ascii="Palatino Linotype" w:eastAsia="MS Mincho" w:hAnsi="Palatino Linotype" w:cs="Arial"/>
          <w:i/>
          <w:sz w:val="22"/>
          <w:lang w:val="es-ES"/>
        </w:rPr>
        <w:t>sujetos</w:t>
      </w:r>
      <w:r>
        <w:rPr>
          <w:rFonts w:ascii="Palatino Linotype" w:hAnsi="Palatino Linotype" w:cs="Arial"/>
          <w:bCs/>
          <w:i/>
          <w:sz w:val="22"/>
          <w:lang w:val="es-ES"/>
        </w:rPr>
        <w:t xml:space="preserve"> obligados a transparentar y permitir el acceso a su información y proteger los datos personales que obren en su poder:</w:t>
      </w:r>
    </w:p>
    <w:p w:rsidR="00A4268E" w:rsidRDefault="00A4268E">
      <w:pPr>
        <w:ind w:left="709" w:right="757"/>
        <w:jc w:val="both"/>
        <w:rPr>
          <w:rFonts w:ascii="Palatino Linotype" w:hAnsi="Palatino Linotype" w:cs="Arial"/>
          <w:bCs/>
          <w:i/>
          <w:sz w:val="22"/>
          <w:lang w:val="es-ES"/>
        </w:rPr>
      </w:pPr>
    </w:p>
    <w:p w:rsidR="00A4268E" w:rsidRDefault="006F0117">
      <w:pPr>
        <w:ind w:left="709" w:right="757"/>
        <w:jc w:val="both"/>
        <w:rPr>
          <w:rFonts w:ascii="Palatino Linotype" w:hAnsi="Palatino Linotype" w:cs="Arial"/>
          <w:bCs/>
          <w:i/>
          <w:sz w:val="22"/>
          <w:lang w:val="es-ES"/>
        </w:rPr>
      </w:pPr>
      <w:r>
        <w:rPr>
          <w:rFonts w:ascii="Palatino Linotype" w:hAnsi="Palatino Linotype" w:cs="Arial"/>
          <w:b/>
          <w:bCs/>
          <w:i/>
          <w:sz w:val="22"/>
          <w:lang w:val="es-ES"/>
        </w:rPr>
        <w:t>IV.</w:t>
      </w:r>
      <w:r>
        <w:rPr>
          <w:rFonts w:ascii="Palatino Linotype" w:hAnsi="Palatino Linotype" w:cs="Arial"/>
          <w:bCs/>
          <w:i/>
          <w:sz w:val="22"/>
          <w:lang w:val="es-ES"/>
        </w:rPr>
        <w:t xml:space="preserve"> Los ayuntamientos y las dependencias, organismos, órganos y entidades de la administración municipal;</w:t>
      </w:r>
    </w:p>
    <w:p w:rsidR="00A4268E" w:rsidRDefault="00A4268E">
      <w:pPr>
        <w:ind w:left="709" w:right="757"/>
        <w:jc w:val="both"/>
        <w:rPr>
          <w:rFonts w:ascii="Palatino Linotype" w:hAnsi="Palatino Linotype" w:cs="Arial"/>
          <w:bCs/>
          <w:i/>
          <w:sz w:val="22"/>
          <w:lang w:val="es-ES"/>
        </w:rPr>
      </w:pPr>
    </w:p>
    <w:p w:rsidR="00A4268E" w:rsidRDefault="006F0117">
      <w:pPr>
        <w:ind w:left="709" w:right="757"/>
        <w:jc w:val="both"/>
        <w:rPr>
          <w:rFonts w:ascii="Palatino Linotype" w:hAnsi="Palatino Linotype" w:cs="Arial"/>
          <w:b/>
          <w:bCs/>
          <w:i/>
          <w:sz w:val="22"/>
          <w:lang w:val="es-ES"/>
        </w:rPr>
      </w:pPr>
      <w:r>
        <w:rPr>
          <w:rFonts w:ascii="Palatino Linotype" w:hAnsi="Palatino Linotype" w:cs="Arial"/>
          <w:bCs/>
          <w:i/>
          <w:sz w:val="22"/>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cs="Arial"/>
          <w:b/>
          <w:bCs/>
          <w:i/>
          <w:sz w:val="22"/>
          <w:lang w:val="es-ES"/>
        </w:rPr>
        <w:t>”</w:t>
      </w:r>
    </w:p>
    <w:p w:rsidR="00A4268E" w:rsidRDefault="00A4268E">
      <w:pPr>
        <w:spacing w:line="360" w:lineRule="auto"/>
        <w:jc w:val="both"/>
        <w:rPr>
          <w:rFonts w:ascii="Palatino Linotype" w:hAnsi="Palatino Linotype" w:cs="Arial"/>
          <w:bCs/>
          <w:i/>
          <w:lang w:val="es-ES"/>
        </w:rPr>
      </w:pPr>
    </w:p>
    <w:p w:rsidR="00A4268E" w:rsidRDefault="006F0117">
      <w:pPr>
        <w:spacing w:line="360" w:lineRule="auto"/>
        <w:jc w:val="both"/>
        <w:rPr>
          <w:rFonts w:ascii="Palatino Linotype" w:hAnsi="Palatino Linotype" w:cs="Arial"/>
          <w:lang w:val="es-ES"/>
        </w:rPr>
      </w:pPr>
      <w:r>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A4268E" w:rsidRDefault="00A4268E">
      <w:pPr>
        <w:spacing w:line="360" w:lineRule="auto"/>
        <w:jc w:val="both"/>
        <w:rPr>
          <w:rFonts w:ascii="Palatino Linotype" w:hAnsi="Palatino Linotype" w:cs="Arial"/>
          <w:lang w:val="es-ES"/>
        </w:rPr>
      </w:pPr>
    </w:p>
    <w:p w:rsidR="00A4268E" w:rsidRDefault="006F0117">
      <w:pPr>
        <w:ind w:left="709" w:right="757"/>
        <w:jc w:val="both"/>
        <w:rPr>
          <w:rFonts w:ascii="Palatino Linotype" w:hAnsi="Palatino Linotype" w:cs="Arial"/>
          <w:b/>
          <w:i/>
          <w:sz w:val="22"/>
          <w:lang w:val="es-ES"/>
        </w:rPr>
      </w:pPr>
      <w:r>
        <w:rPr>
          <w:rFonts w:ascii="Palatino Linotype" w:hAnsi="Palatino Linotype" w:cs="Arial"/>
          <w:b/>
          <w:i/>
          <w:sz w:val="22"/>
          <w:lang w:val="es-ES"/>
        </w:rPr>
        <w:t xml:space="preserve">“Criterio 01/2003. </w:t>
      </w:r>
    </w:p>
    <w:p w:rsidR="00A4268E" w:rsidRDefault="006F0117">
      <w:pPr>
        <w:ind w:left="709" w:right="757"/>
        <w:jc w:val="both"/>
        <w:rPr>
          <w:rFonts w:ascii="Palatino Linotype" w:hAnsi="Palatino Linotype" w:cs="Arial"/>
          <w:i/>
          <w:sz w:val="22"/>
          <w:lang w:val="es-ES"/>
        </w:rPr>
      </w:pPr>
      <w:r>
        <w:rPr>
          <w:rFonts w:ascii="Palatino Linotype" w:hAnsi="Palatino Linotype" w:cs="Arial"/>
          <w:b/>
          <w:i/>
          <w:sz w:val="22"/>
          <w:lang w:val="es-ES"/>
        </w:rPr>
        <w:t>“INGRESOS DE LOS SERVIDORES PÚBLICOS. CONSTITUYEN INFORMACIÓN PÚBLICA AÚN Y CUANDO SU DIFUSIÓN PUEDE AFECTAR LA VIDA O LA SEGURIDAD DE AQUELLOS.</w:t>
      </w:r>
      <w:r>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hAnsi="Palatino Linotype" w:cs="Arial"/>
          <w:b/>
          <w:i/>
          <w:sz w:val="22"/>
          <w:lang w:val="es-ES"/>
        </w:rPr>
        <w:t xml:space="preserve">deben publicarse en medios remotos o locales de comunicación </w:t>
      </w:r>
      <w:r>
        <w:rPr>
          <w:rFonts w:ascii="Palatino Linotype" w:hAnsi="Palatino Linotype" w:cs="Arial"/>
          <w:b/>
          <w:i/>
          <w:sz w:val="22"/>
          <w:lang w:val="es-ES"/>
        </w:rPr>
        <w:lastRenderedPageBreak/>
        <w:t>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hAnsi="Palatino Linotype" w:cs="Arial"/>
          <w:i/>
          <w:sz w:val="22"/>
          <w:lang w:val="es-ES"/>
        </w:rPr>
        <w:t>…”</w:t>
      </w:r>
    </w:p>
    <w:p w:rsidR="00A4268E" w:rsidRDefault="00A4268E">
      <w:pPr>
        <w:ind w:left="709" w:right="757"/>
        <w:jc w:val="both"/>
        <w:rPr>
          <w:rFonts w:ascii="Palatino Linotype" w:hAnsi="Palatino Linotype" w:cs="Arial"/>
          <w:i/>
          <w:sz w:val="22"/>
          <w:lang w:val="es-ES"/>
        </w:rPr>
      </w:pPr>
    </w:p>
    <w:p w:rsidR="00A4268E" w:rsidRDefault="006F0117">
      <w:pPr>
        <w:ind w:left="709" w:right="757"/>
        <w:jc w:val="both"/>
        <w:rPr>
          <w:rFonts w:ascii="Palatino Linotype" w:hAnsi="Palatino Linotype" w:cs="Arial"/>
          <w:b/>
          <w:i/>
          <w:sz w:val="22"/>
          <w:lang w:val="es-ES"/>
        </w:rPr>
      </w:pPr>
      <w:r>
        <w:rPr>
          <w:rFonts w:ascii="Palatino Linotype" w:hAnsi="Palatino Linotype" w:cs="Arial"/>
          <w:b/>
          <w:i/>
          <w:sz w:val="22"/>
          <w:lang w:val="es-ES"/>
        </w:rPr>
        <w:t>“Criterio 02/2003.</w:t>
      </w:r>
    </w:p>
    <w:p w:rsidR="00A4268E" w:rsidRDefault="006F0117">
      <w:pPr>
        <w:ind w:left="709" w:right="757"/>
        <w:jc w:val="both"/>
        <w:rPr>
          <w:rFonts w:ascii="Palatino Linotype" w:hAnsi="Palatino Linotype" w:cs="Arial"/>
          <w:i/>
          <w:sz w:val="22"/>
          <w:lang w:val="es-ES"/>
        </w:rPr>
      </w:pPr>
      <w:r>
        <w:rPr>
          <w:rFonts w:ascii="Palatino Linotype" w:hAnsi="Palatino Linotype" w:cs="Arial"/>
          <w:b/>
          <w:i/>
          <w:sz w:val="22"/>
          <w:lang w:val="es-ES"/>
        </w:rPr>
        <w:t>INGRESOS DE LOS SERVIDORES PÚBLICOS, SON INFORMACIÓN PÚBLICA AÚN Y CUANDO CONSTITUYEN DATOS PERSONALES QUE SE REFIEREN AL PATRIMONIO DE AQUÉLLOS.</w:t>
      </w:r>
      <w:r>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hAnsi="Palatino Linotype" w:cs="Arial"/>
          <w:b/>
          <w:i/>
          <w:sz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hAnsi="Palatino Linotype" w:cs="Arial"/>
          <w:i/>
          <w:sz w:val="22"/>
          <w:lang w:val="es-ES"/>
        </w:rPr>
        <w:t xml:space="preserve"> el sistema de compensación…”</w:t>
      </w:r>
    </w:p>
    <w:p w:rsidR="00A4268E" w:rsidRDefault="00A4268E">
      <w:pPr>
        <w:ind w:left="709" w:right="757"/>
        <w:jc w:val="both"/>
        <w:rPr>
          <w:rFonts w:ascii="Palatino Linotype" w:hAnsi="Palatino Linotype" w:cs="Arial"/>
          <w:i/>
          <w:sz w:val="22"/>
          <w:lang w:val="es-ES"/>
        </w:rPr>
      </w:pPr>
    </w:p>
    <w:p w:rsidR="00A4268E" w:rsidRDefault="006F0117">
      <w:pPr>
        <w:ind w:left="709" w:right="757"/>
        <w:jc w:val="both"/>
        <w:rPr>
          <w:rFonts w:ascii="Palatino Linotype" w:hAnsi="Palatino Linotype" w:cs="Arial"/>
          <w:i/>
          <w:sz w:val="22"/>
          <w:lang w:val="es-ES"/>
        </w:rPr>
      </w:pPr>
      <w:r>
        <w:rPr>
          <w:rFonts w:ascii="Palatino Linotype" w:hAnsi="Palatino Linotype" w:cs="Arial"/>
          <w:i/>
          <w:sz w:val="22"/>
          <w:lang w:val="es-ES"/>
        </w:rPr>
        <w:t>(Énfasis añadido)</w:t>
      </w:r>
    </w:p>
    <w:p w:rsidR="00A4268E" w:rsidRDefault="00A4268E">
      <w:pPr>
        <w:spacing w:line="360" w:lineRule="auto"/>
        <w:ind w:left="709" w:right="757"/>
        <w:jc w:val="both"/>
        <w:rPr>
          <w:rFonts w:ascii="Palatino Linotype" w:hAnsi="Palatino Linotype" w:cs="Arial"/>
          <w:i/>
          <w:sz w:val="22"/>
          <w:lang w:val="es-ES"/>
        </w:rPr>
      </w:pPr>
    </w:p>
    <w:p w:rsidR="00A4268E" w:rsidRDefault="006F0117">
      <w:pPr>
        <w:spacing w:line="360" w:lineRule="auto"/>
        <w:jc w:val="both"/>
        <w:rPr>
          <w:rFonts w:ascii="Palatino Linotype" w:hAnsi="Palatino Linotype" w:cs="Arial"/>
          <w:lang w:val="es-ES"/>
        </w:rPr>
      </w:pPr>
      <w:r>
        <w:rPr>
          <w:rFonts w:ascii="Palatino Linotype" w:hAnsi="Palatino Linotype" w:cs="Arial"/>
          <w:lang w:val="es-ES"/>
        </w:rPr>
        <w:t xml:space="preserve">En este sentido, </w:t>
      </w:r>
      <w:r>
        <w:rPr>
          <w:rFonts w:ascii="Palatino Linotype" w:hAnsi="Palatino Linotype" w:cs="Arial"/>
          <w:b/>
          <w:lang w:val="es-ES"/>
        </w:rPr>
        <w:t>EL SUJETO OBLIGADO</w:t>
      </w:r>
      <w:r>
        <w:rPr>
          <w:rFonts w:ascii="Palatino Linotype" w:hAnsi="Palatino Linotype" w:cs="Arial"/>
          <w:lang w:val="es-ES"/>
        </w:rPr>
        <w:t xml:space="preserve"> se encuentra constreñido a entregar la información solicitada por </w:t>
      </w:r>
      <w:r>
        <w:rPr>
          <w:rFonts w:ascii="Palatino Linotype" w:hAnsi="Palatino Linotype" w:cs="Arial"/>
          <w:b/>
          <w:color w:val="000000"/>
          <w:lang w:eastAsia="es-MX"/>
        </w:rPr>
        <w:t>EL RECURRENTE</w:t>
      </w:r>
      <w:r>
        <w:rPr>
          <w:rFonts w:ascii="Palatino Linotype" w:hAnsi="Palatino Linotype" w:cs="Arial"/>
          <w:lang w:val="es-ES"/>
        </w:rPr>
        <w:t xml:space="preserve">, de acuerdo a lo dispuesto por los artículos 3, fracción XI y 12 </w:t>
      </w:r>
      <w:r>
        <w:rPr>
          <w:rFonts w:ascii="Palatino Linotype" w:hAnsi="Palatino Linotype" w:cs="Arial"/>
          <w:bCs/>
          <w:lang w:val="es-ES"/>
        </w:rPr>
        <w:t>de la Ley de Transparencia y Acceso a la Información Pública del Estado de México y Municipios</w:t>
      </w:r>
      <w:r>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A4268E" w:rsidRDefault="00A4268E">
      <w:pPr>
        <w:spacing w:line="360" w:lineRule="auto"/>
        <w:jc w:val="both"/>
        <w:rPr>
          <w:rFonts w:ascii="Palatino Linotype" w:hAnsi="Palatino Linotype" w:cs="Arial"/>
          <w:lang w:val="es-ES"/>
        </w:rPr>
      </w:pPr>
    </w:p>
    <w:p w:rsidR="00A4268E" w:rsidRDefault="006F0117">
      <w:pPr>
        <w:spacing w:line="360" w:lineRule="auto"/>
        <w:jc w:val="both"/>
        <w:rPr>
          <w:rFonts w:ascii="Palatino Linotype" w:hAnsi="Palatino Linotype" w:cs="Arial"/>
          <w:lang w:val="es-ES"/>
        </w:rPr>
      </w:pPr>
      <w:r>
        <w:rPr>
          <w:rFonts w:ascii="Palatino Linotype" w:hAnsi="Palatino Linotype" w:cs="Arial"/>
          <w:lang w:val="es-ES"/>
        </w:rPr>
        <w:t xml:space="preserve">Siendo aplicable, el criterio </w:t>
      </w:r>
      <w:r>
        <w:rPr>
          <w:rFonts w:ascii="Palatino Linotype" w:hAnsi="Palatino Linotype" w:cs="Arial"/>
          <w:bCs/>
          <w:lang w:val="es-ES"/>
        </w:rPr>
        <w:t xml:space="preserve">de interpretación en el orden administrativo número 0002-11, emitido por Acuerdo del Pleno del Instituto de Transparencia y Acceso a la </w:t>
      </w:r>
      <w:r>
        <w:rPr>
          <w:rFonts w:ascii="Palatino Linotype" w:hAnsi="Palatino Linotype" w:cs="Arial"/>
          <w:bCs/>
          <w:lang w:val="es-ES"/>
        </w:rPr>
        <w:lastRenderedPageBreak/>
        <w:t xml:space="preserve">Información Pública y Protección de Datos Personales del Estado de México y Municipios, publicado en el Periódico Oficial del Gobierno del Estado Libre y Soberano de México “Gaceta del Gobierno” el diecinueve de octubre de dos mil once, </w:t>
      </w:r>
      <w:r>
        <w:rPr>
          <w:rFonts w:ascii="Palatino Linotype" w:hAnsi="Palatino Linotype" w:cs="Arial"/>
          <w:lang w:val="es-ES"/>
        </w:rPr>
        <w:t>cuyo rubro y texto dispone:</w:t>
      </w:r>
    </w:p>
    <w:p w:rsidR="00A4268E" w:rsidRDefault="00A4268E">
      <w:pPr>
        <w:spacing w:line="360" w:lineRule="auto"/>
        <w:jc w:val="both"/>
        <w:rPr>
          <w:rFonts w:ascii="Palatino Linotype" w:hAnsi="Palatino Linotype" w:cs="Arial"/>
          <w:lang w:val="es-ES"/>
        </w:rPr>
      </w:pPr>
    </w:p>
    <w:p w:rsidR="00A4268E" w:rsidRDefault="006F0117">
      <w:pPr>
        <w:ind w:left="709" w:right="757"/>
        <w:jc w:val="both"/>
        <w:rPr>
          <w:rFonts w:ascii="Palatino Linotype" w:hAnsi="Palatino Linotype" w:cs="Arial"/>
          <w:b/>
          <w:i/>
          <w:sz w:val="22"/>
          <w:lang w:val="es-ES"/>
        </w:rPr>
      </w:pPr>
      <w:r>
        <w:rPr>
          <w:rFonts w:ascii="Palatino Linotype" w:hAnsi="Palatino Linotype" w:cs="Arial"/>
          <w:b/>
          <w:i/>
          <w:sz w:val="22"/>
          <w:lang w:val="es-ES"/>
        </w:rPr>
        <w:t>“CRITERIO 0002-11</w:t>
      </w:r>
    </w:p>
    <w:p w:rsidR="00A4268E" w:rsidRDefault="00A4268E">
      <w:pPr>
        <w:ind w:left="709" w:right="757"/>
        <w:jc w:val="both"/>
        <w:rPr>
          <w:rFonts w:ascii="Palatino Linotype" w:hAnsi="Palatino Linotype" w:cs="Arial"/>
          <w:b/>
          <w:i/>
          <w:sz w:val="22"/>
          <w:lang w:val="es-ES"/>
        </w:rPr>
      </w:pPr>
    </w:p>
    <w:p w:rsidR="00A4268E" w:rsidRDefault="006F0117">
      <w:pPr>
        <w:ind w:left="709" w:right="757"/>
        <w:jc w:val="both"/>
        <w:rPr>
          <w:rFonts w:ascii="Palatino Linotype" w:hAnsi="Palatino Linotype" w:cs="Arial"/>
          <w:i/>
          <w:sz w:val="22"/>
          <w:lang w:val="es-ES"/>
        </w:rPr>
      </w:pPr>
      <w:r>
        <w:rPr>
          <w:rFonts w:ascii="Palatino Linotype" w:hAnsi="Palatino Linotype" w:cs="Arial"/>
          <w:b/>
          <w:i/>
          <w:sz w:val="22"/>
          <w:lang w:val="es-ES"/>
        </w:rPr>
        <w:t xml:space="preserve">INFORMACIÓN PÚBLICA, CONCEPTO DE, EN MATERIA DE TRANSPARENCIA. INTERPRETACIÓN TEMÁTICA DE LOS ARTÍCULOS 2 2, FRACCIÓN </w:t>
      </w:r>
      <w:r>
        <w:rPr>
          <w:rFonts w:ascii="Palatino Linotype" w:hAnsi="Palatino Linotype" w:cs="Arial"/>
          <w:b/>
          <w:bCs/>
          <w:i/>
          <w:sz w:val="22"/>
          <w:lang w:val="es-ES"/>
        </w:rPr>
        <w:t xml:space="preserve">V, XV, Y XVI, </w:t>
      </w:r>
      <w:r>
        <w:rPr>
          <w:rFonts w:ascii="Palatino Linotype" w:hAnsi="Palatino Linotype" w:cs="Arial"/>
          <w:b/>
          <w:i/>
          <w:sz w:val="22"/>
          <w:lang w:val="es-ES"/>
        </w:rPr>
        <w:t>32, 4,11 Y 41.</w:t>
      </w:r>
      <w:r>
        <w:rPr>
          <w:rFonts w:ascii="Palatino Linotype" w:hAnsi="Palatino Linotype" w:cs="Arial"/>
          <w:i/>
          <w:sz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4268E" w:rsidRDefault="00A4268E">
      <w:pPr>
        <w:ind w:left="709" w:right="757"/>
        <w:jc w:val="both"/>
        <w:rPr>
          <w:rFonts w:ascii="Palatino Linotype" w:hAnsi="Palatino Linotype" w:cs="Arial"/>
          <w:i/>
          <w:sz w:val="22"/>
          <w:lang w:val="es-ES"/>
        </w:rPr>
      </w:pPr>
    </w:p>
    <w:p w:rsidR="00A4268E" w:rsidRDefault="006F0117">
      <w:pPr>
        <w:ind w:left="709" w:right="757"/>
        <w:jc w:val="both"/>
        <w:rPr>
          <w:rFonts w:ascii="Palatino Linotype" w:hAnsi="Palatino Linotype" w:cs="Arial"/>
          <w:i/>
          <w:sz w:val="22"/>
          <w:lang w:val="es-ES"/>
        </w:rPr>
      </w:pPr>
      <w:r>
        <w:rPr>
          <w:rFonts w:ascii="Palatino Linotype" w:hAnsi="Palatino Linotype" w:cs="Arial"/>
          <w:i/>
          <w:sz w:val="22"/>
          <w:lang w:val="es-ES"/>
        </w:rPr>
        <w:t>En consecuencia el acceso a la información se refiere a que se cumplan cualquiera de los siguientes tres supuestos:</w:t>
      </w:r>
    </w:p>
    <w:p w:rsidR="00A4268E" w:rsidRDefault="00A4268E">
      <w:pPr>
        <w:ind w:left="709" w:right="757"/>
        <w:jc w:val="both"/>
        <w:rPr>
          <w:rFonts w:ascii="Palatino Linotype" w:hAnsi="Palatino Linotype" w:cs="Arial"/>
          <w:b/>
          <w:i/>
          <w:sz w:val="22"/>
          <w:lang w:val="es-ES"/>
        </w:rPr>
      </w:pPr>
    </w:p>
    <w:p w:rsidR="00A4268E" w:rsidRDefault="006F0117">
      <w:pPr>
        <w:ind w:left="709" w:right="757"/>
        <w:jc w:val="both"/>
        <w:rPr>
          <w:rFonts w:ascii="Palatino Linotype" w:hAnsi="Palatino Linotype" w:cs="Arial"/>
          <w:b/>
          <w:i/>
          <w:sz w:val="22"/>
          <w:lang w:val="es-ES"/>
        </w:rPr>
      </w:pPr>
      <w:r>
        <w:rPr>
          <w:rFonts w:ascii="Palatino Linotype" w:hAnsi="Palatino Linotype" w:cs="Arial"/>
          <w:b/>
          <w:i/>
          <w:sz w:val="22"/>
          <w:lang w:val="es-ES"/>
        </w:rPr>
        <w:t>1) Que se trate de información registrada en cualquier soporte documental, que en ejercicio de las atribuciones conferidas, sea generada por los Sujetos Obligados;</w:t>
      </w:r>
    </w:p>
    <w:p w:rsidR="00A4268E" w:rsidRDefault="00A4268E">
      <w:pPr>
        <w:ind w:left="709" w:right="757"/>
        <w:jc w:val="both"/>
        <w:rPr>
          <w:rFonts w:ascii="Palatino Linotype" w:hAnsi="Palatino Linotype" w:cs="Arial"/>
          <w:i/>
          <w:sz w:val="22"/>
          <w:lang w:val="es-ES"/>
        </w:rPr>
      </w:pPr>
    </w:p>
    <w:p w:rsidR="00A4268E" w:rsidRDefault="006F0117">
      <w:pPr>
        <w:ind w:left="709" w:right="757"/>
        <w:jc w:val="both"/>
        <w:rPr>
          <w:rFonts w:ascii="Palatino Linotype" w:hAnsi="Palatino Linotype" w:cs="Arial"/>
          <w:i/>
          <w:sz w:val="22"/>
          <w:lang w:val="es-ES"/>
        </w:rPr>
      </w:pPr>
      <w:r>
        <w:rPr>
          <w:rFonts w:ascii="Palatino Linotype" w:hAnsi="Palatino Linotype" w:cs="Arial"/>
          <w:i/>
          <w:sz w:val="22"/>
          <w:lang w:val="es-ES"/>
        </w:rPr>
        <w:t>2) Que se trate de información registrada en cualquier soporte documental, que en ejercicio de las atribuciones conferidas, sea administrada por los Sujetos Obligados, y</w:t>
      </w:r>
    </w:p>
    <w:p w:rsidR="00A4268E" w:rsidRDefault="00A4268E">
      <w:pPr>
        <w:ind w:left="709" w:right="757"/>
        <w:jc w:val="both"/>
        <w:rPr>
          <w:rFonts w:ascii="Palatino Linotype" w:hAnsi="Palatino Linotype" w:cs="Arial"/>
          <w:i/>
          <w:sz w:val="22"/>
          <w:lang w:val="es-ES"/>
        </w:rPr>
      </w:pPr>
    </w:p>
    <w:p w:rsidR="00A4268E" w:rsidRDefault="006F0117">
      <w:pPr>
        <w:ind w:left="709" w:right="757"/>
        <w:jc w:val="both"/>
        <w:rPr>
          <w:rFonts w:ascii="Palatino Linotype" w:hAnsi="Palatino Linotype" w:cs="Arial"/>
          <w:i/>
          <w:sz w:val="22"/>
          <w:lang w:val="es-ES"/>
        </w:rPr>
      </w:pPr>
      <w:r>
        <w:rPr>
          <w:rFonts w:ascii="Palatino Linotype" w:hAnsi="Palatino Linotype" w:cs="Arial"/>
          <w:i/>
          <w:sz w:val="22"/>
          <w:lang w:val="es-ES"/>
        </w:rPr>
        <w:t xml:space="preserve">3) Que se trate de información registrada en cualquier soporte documental, que en ejercicio de las atribuciones conferidas, se encuentre en posesión de los Sujetos Obligados.” </w:t>
      </w:r>
    </w:p>
    <w:p w:rsidR="00A4268E" w:rsidRDefault="00A4268E">
      <w:pPr>
        <w:spacing w:line="360" w:lineRule="auto"/>
        <w:ind w:left="709" w:right="757"/>
        <w:jc w:val="both"/>
        <w:rPr>
          <w:rFonts w:ascii="Palatino Linotype" w:hAnsi="Palatino Linotype" w:cs="Arial"/>
          <w:i/>
          <w:sz w:val="22"/>
          <w:lang w:val="es-ES"/>
        </w:rPr>
      </w:pPr>
    </w:p>
    <w:p w:rsidR="00A4268E" w:rsidRDefault="006F0117">
      <w:pPr>
        <w:spacing w:line="360" w:lineRule="auto"/>
        <w:jc w:val="both"/>
        <w:rPr>
          <w:rFonts w:ascii="Palatino Linotype" w:eastAsia="Arial Unicode MS" w:hAnsi="Palatino Linotype" w:cs="Arial"/>
          <w:lang w:val="es-ES"/>
        </w:rPr>
      </w:pPr>
      <w:r>
        <w:rPr>
          <w:rFonts w:ascii="Palatino Linotype" w:eastAsia="Arial Unicode MS" w:hAnsi="Palatino Linotype" w:cs="Arial"/>
          <w:lang w:val="es-ES"/>
        </w:rPr>
        <w:t xml:space="preserve">Asimismo, es indispensable destacar que los documentos relacionados con anterioridad son elaborados por quincenas y atendiendo al requerimiento del ciudadano, este Órgano Garante determina ordenar la entrega de la misma al </w:t>
      </w:r>
      <w:r>
        <w:rPr>
          <w:rFonts w:ascii="Palatino Linotype" w:eastAsia="Arial Unicode MS" w:hAnsi="Palatino Linotype" w:cs="Arial"/>
          <w:b/>
          <w:lang w:val="es-ES"/>
        </w:rPr>
        <w:lastRenderedPageBreak/>
        <w:t>RECURRENTE</w:t>
      </w:r>
      <w:r>
        <w:rPr>
          <w:rFonts w:ascii="Palatino Linotype" w:eastAsia="Arial Unicode MS" w:hAnsi="Palatino Linotype" w:cs="Arial"/>
          <w:lang w:val="es-ES"/>
        </w:rPr>
        <w:t xml:space="preserve">, </w:t>
      </w:r>
      <w:r>
        <w:rPr>
          <w:rFonts w:ascii="Palatino Linotype" w:eastAsia="Arial Unicode MS" w:hAnsi="Palatino Linotype" w:cs="Arial"/>
          <w:b/>
          <w:lang w:val="es-ES"/>
        </w:rPr>
        <w:t>de la primera quincena del mes de enero del año 2019,</w:t>
      </w:r>
      <w:r>
        <w:rPr>
          <w:rFonts w:ascii="Palatino Linotype" w:eastAsia="Arial Unicode MS" w:hAnsi="Palatino Linotype" w:cs="Arial"/>
          <w:lang w:val="es-ES"/>
        </w:rPr>
        <w:t xml:space="preserve"> ya que de esta forma es generada por</w:t>
      </w:r>
      <w:r>
        <w:rPr>
          <w:rFonts w:ascii="Palatino Linotype" w:eastAsia="Arial Unicode MS" w:hAnsi="Palatino Linotype" w:cs="Arial"/>
          <w:b/>
          <w:lang w:val="es-ES"/>
        </w:rPr>
        <w:t xml:space="preserve"> </w:t>
      </w:r>
      <w:r>
        <w:rPr>
          <w:rFonts w:ascii="Palatino Linotype" w:eastAsia="Arial Unicode MS" w:hAnsi="Palatino Linotype" w:cs="Arial"/>
          <w:b/>
          <w:color w:val="000000"/>
          <w:lang w:eastAsia="es-MX"/>
        </w:rPr>
        <w:t xml:space="preserve">EL SUJETO OBLIGADO </w:t>
      </w:r>
      <w:r>
        <w:rPr>
          <w:rFonts w:ascii="Palatino Linotype" w:eastAsia="Arial Unicode MS" w:hAnsi="Palatino Linotype" w:cs="Arial"/>
          <w:color w:val="000000"/>
          <w:lang w:eastAsia="es-MX"/>
        </w:rPr>
        <w:t>y cumple con el periodo requerido por el particular</w:t>
      </w:r>
      <w:r>
        <w:rPr>
          <w:rFonts w:ascii="Palatino Linotype" w:eastAsia="Arial Unicode MS" w:hAnsi="Palatino Linotype" w:cs="Arial"/>
          <w:lang w:val="es-ES"/>
        </w:rPr>
        <w:t xml:space="preserve">; no se omite señalar que, deberá hacerlo en </w:t>
      </w:r>
      <w:r>
        <w:rPr>
          <w:rFonts w:ascii="Palatino Linotype" w:eastAsia="Arial Unicode MS" w:hAnsi="Palatino Linotype" w:cs="Arial"/>
          <w:b/>
          <w:lang w:val="es-ES"/>
        </w:rPr>
        <w:t>versión pública</w:t>
      </w:r>
      <w:r>
        <w:rPr>
          <w:rFonts w:ascii="Palatino Linotype" w:eastAsia="Arial Unicode MS" w:hAnsi="Palatino Linotype" w:cs="Arial"/>
          <w:lang w:val="es-ES"/>
        </w:rPr>
        <w:t>, esto es, omitirá, eliminará o suprimirá la información personal de cada funcionario público, susceptibles de ser clasificadas como confidencial o cualquier otro dato que ponga en riesgo la vida, seguridad o salud de dicha persona.</w:t>
      </w:r>
    </w:p>
    <w:p w:rsidR="00A4268E" w:rsidRDefault="00A4268E">
      <w:pPr>
        <w:spacing w:line="360" w:lineRule="auto"/>
        <w:jc w:val="both"/>
        <w:rPr>
          <w:rFonts w:ascii="Palatino Linotype" w:eastAsia="Arial Unicode MS" w:hAnsi="Palatino Linotype" w:cs="Arial"/>
          <w:lang w:val="es-ES"/>
        </w:rPr>
      </w:pPr>
    </w:p>
    <w:p w:rsidR="00A4268E" w:rsidRDefault="006F0117">
      <w:pPr>
        <w:pStyle w:val="Prrafodelista"/>
        <w:widowControl w:val="0"/>
        <w:spacing w:line="360" w:lineRule="auto"/>
        <w:ind w:left="0"/>
        <w:jc w:val="both"/>
        <w:rPr>
          <w:rFonts w:ascii="Palatino Linotype" w:hAnsi="Palatino Linotype" w:cs="Arial"/>
          <w:lang w:val="es-ES_tradnl"/>
        </w:rPr>
      </w:pPr>
      <w:r>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Pr>
          <w:rFonts w:ascii="Palatino Linotype" w:eastAsia="Arial Unicode MS" w:hAnsi="Palatino Linotype" w:cs="Arial"/>
        </w:rPr>
        <w:t>omitir, eliminar o suprimir la</w:t>
      </w:r>
      <w:r>
        <w:rPr>
          <w:rFonts w:ascii="Palatino Linotype" w:hAnsi="Palatino Linotype"/>
          <w:color w:val="000000"/>
        </w:rPr>
        <w:t xml:space="preserve"> información </w:t>
      </w:r>
      <w:r>
        <w:rPr>
          <w:rFonts w:ascii="Palatino Linotype" w:hAnsi="Palatino Linotype"/>
          <w:b/>
          <w:color w:val="000000"/>
        </w:rPr>
        <w:t>confidencial</w:t>
      </w:r>
      <w:r>
        <w:rPr>
          <w:rFonts w:ascii="Palatino Linotype" w:eastAsia="Arial Unicode MS" w:hAnsi="Palatino Linotype" w:cs="Arial"/>
        </w:rPr>
        <w:t xml:space="preserve">. En ese sentido, </w:t>
      </w:r>
      <w:r>
        <w:rPr>
          <w:rFonts w:ascii="Palatino Linotype" w:hAnsi="Palatino Linotype" w:cs="Arial"/>
          <w:lang w:val="es-ES_tradnl"/>
        </w:rPr>
        <w:t xml:space="preserve">sólo podrán </w:t>
      </w:r>
      <w:r>
        <w:rPr>
          <w:rFonts w:ascii="Palatino Linotype" w:hAnsi="Palatino Linotype" w:cs="Arial"/>
        </w:rPr>
        <w:t>ser</w:t>
      </w:r>
      <w:r>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Pr>
          <w:rFonts w:ascii="Palatino Linotype" w:hAnsi="Palatino Linotype" w:cs="Arial"/>
        </w:rPr>
        <w:t xml:space="preserve"> que el Comité de Transparencia del </w:t>
      </w:r>
      <w:r>
        <w:rPr>
          <w:rFonts w:ascii="Palatino Linotype" w:hAnsi="Palatino Linotype" w:cs="Arial"/>
          <w:b/>
        </w:rPr>
        <w:t>SUJETO OBLIGADO</w:t>
      </w:r>
      <w:r>
        <w:rPr>
          <w:rFonts w:ascii="Palatino Linotype" w:hAnsi="Palatino Linotype" w:cs="Arial"/>
        </w:rPr>
        <w:t xml:space="preserve"> emita el Acuerdo de Clasificación correspondiente</w:t>
      </w:r>
      <w:r>
        <w:rPr>
          <w:rFonts w:ascii="Palatino Linotype" w:hAnsi="Palatino Linotype" w:cs="Arial"/>
          <w:lang w:val="es-ES_tradnl"/>
        </w:rPr>
        <w:t xml:space="preserve"> debidamente fundado y motivado, en el cual se</w:t>
      </w:r>
      <w:r>
        <w:rPr>
          <w:rFonts w:ascii="Palatino Linotype" w:hAnsi="Palatino Linotype" w:cs="Arial"/>
        </w:rPr>
        <w:t xml:space="preserve"> sustente la versión pública, </w:t>
      </w:r>
      <w:r>
        <w:rPr>
          <w:rFonts w:ascii="Palatino Linotype" w:hAnsi="Palatino Linotype" w:cs="Arial"/>
          <w:lang w:val="es-ES_tradnl"/>
        </w:rPr>
        <w:t xml:space="preserve">en </w:t>
      </w:r>
      <w:r>
        <w:rPr>
          <w:rFonts w:ascii="Palatino Linotype" w:hAnsi="Palatino Linotype" w:cs="Arial"/>
          <w:lang w:eastAsia="es-MX"/>
        </w:rPr>
        <w:t>términos</w:t>
      </w:r>
      <w:r>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4268E" w:rsidRDefault="00A4268E">
      <w:pPr>
        <w:pStyle w:val="Prrafodelista"/>
        <w:widowControl w:val="0"/>
        <w:spacing w:line="360" w:lineRule="auto"/>
        <w:ind w:left="0"/>
        <w:jc w:val="both"/>
        <w:rPr>
          <w:rFonts w:ascii="Palatino Linotype" w:hAnsi="Palatino Linotype" w:cs="Arial"/>
          <w:lang w:val="es-ES_tradnl"/>
        </w:rPr>
      </w:pPr>
    </w:p>
    <w:p w:rsidR="00A4268E" w:rsidRDefault="006F0117">
      <w:pPr>
        <w:ind w:left="709" w:right="757"/>
        <w:jc w:val="center"/>
        <w:rPr>
          <w:rFonts w:ascii="Palatino Linotype" w:hAnsi="Palatino Linotype" w:cs="Arial"/>
          <w:b/>
          <w:i/>
          <w:sz w:val="22"/>
        </w:rPr>
      </w:pPr>
      <w:r>
        <w:rPr>
          <w:rFonts w:ascii="Palatino Linotype" w:hAnsi="Palatino Linotype" w:cs="Arial"/>
          <w:b/>
          <w:i/>
          <w:sz w:val="22"/>
        </w:rPr>
        <w:t>Ley de Transparencia y Acceso a la Información Pública del Estado de México y Municipios</w:t>
      </w:r>
    </w:p>
    <w:p w:rsidR="00A4268E" w:rsidRDefault="00A4268E">
      <w:pPr>
        <w:ind w:left="709" w:right="757"/>
        <w:jc w:val="center"/>
        <w:rPr>
          <w:rFonts w:ascii="Palatino Linotype" w:hAnsi="Palatino Linotype" w:cs="Arial"/>
          <w:b/>
          <w:i/>
          <w:sz w:val="22"/>
        </w:rPr>
      </w:pP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lastRenderedPageBreak/>
        <w:t>“</w:t>
      </w:r>
      <w:r>
        <w:rPr>
          <w:rFonts w:ascii="Palatino Linotype" w:hAnsi="Palatino Linotype" w:cs="Arial"/>
          <w:b/>
          <w:i/>
          <w:sz w:val="22"/>
          <w:szCs w:val="22"/>
          <w:lang w:eastAsia="es-MX"/>
        </w:rPr>
        <w:t xml:space="preserve">Artículo 49. </w:t>
      </w:r>
      <w:r>
        <w:rPr>
          <w:rFonts w:ascii="Palatino Linotype" w:hAnsi="Palatino Linotype" w:cs="Arial"/>
          <w:i/>
          <w:sz w:val="22"/>
          <w:szCs w:val="22"/>
          <w:lang w:eastAsia="es-MX"/>
        </w:rPr>
        <w:t xml:space="preserve">Los </w:t>
      </w:r>
      <w:r>
        <w:rPr>
          <w:rFonts w:ascii="Palatino Linotype" w:hAnsi="Palatino Linotype" w:cs="Arial"/>
          <w:i/>
          <w:sz w:val="22"/>
        </w:rPr>
        <w:t>Comités</w:t>
      </w:r>
      <w:r>
        <w:rPr>
          <w:rFonts w:ascii="Palatino Linotype" w:hAnsi="Palatino Linotype" w:cs="Arial"/>
          <w:i/>
          <w:sz w:val="22"/>
          <w:szCs w:val="22"/>
          <w:lang w:eastAsia="es-MX"/>
        </w:rPr>
        <w:t xml:space="preserve"> de </w:t>
      </w:r>
      <w:r>
        <w:rPr>
          <w:rFonts w:ascii="Palatino Linotype" w:hAnsi="Palatino Linotype" w:cs="Arial"/>
          <w:i/>
          <w:sz w:val="22"/>
          <w:lang w:eastAsia="es-MX"/>
        </w:rPr>
        <w:t>Transparencia</w:t>
      </w:r>
      <w:r>
        <w:rPr>
          <w:rFonts w:ascii="Palatino Linotype" w:hAnsi="Palatino Linotype" w:cs="Arial"/>
          <w:i/>
          <w:sz w:val="22"/>
          <w:szCs w:val="22"/>
          <w:lang w:eastAsia="es-MX"/>
        </w:rPr>
        <w:t xml:space="preserve"> </w:t>
      </w:r>
      <w:r>
        <w:rPr>
          <w:rFonts w:ascii="Palatino Linotype" w:hAnsi="Palatino Linotype"/>
          <w:i/>
          <w:sz w:val="22"/>
          <w:szCs w:val="22"/>
        </w:rPr>
        <w:t>tendrán</w:t>
      </w:r>
      <w:r>
        <w:rPr>
          <w:rFonts w:ascii="Palatino Linotype" w:hAnsi="Palatino Linotype" w:cs="Arial"/>
          <w:i/>
          <w:sz w:val="22"/>
          <w:szCs w:val="22"/>
          <w:lang w:eastAsia="es-MX"/>
        </w:rPr>
        <w:t xml:space="preserve"> las siguientes atribuciones:</w:t>
      </w: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VIII.</w:t>
      </w:r>
      <w:r>
        <w:rPr>
          <w:rFonts w:ascii="Palatino Linotype" w:hAnsi="Palatino Linotype" w:cs="Arial"/>
          <w:i/>
          <w:sz w:val="22"/>
          <w:szCs w:val="22"/>
          <w:lang w:eastAsia="es-MX"/>
        </w:rPr>
        <w:t xml:space="preserve"> Aprobar, </w:t>
      </w:r>
      <w:r>
        <w:rPr>
          <w:rFonts w:ascii="Palatino Linotype" w:hAnsi="Palatino Linotype" w:cs="Arial"/>
          <w:i/>
          <w:sz w:val="22"/>
        </w:rPr>
        <w:t>modificar</w:t>
      </w:r>
      <w:r>
        <w:rPr>
          <w:rFonts w:ascii="Palatino Linotype" w:hAnsi="Palatino Linotype" w:cs="Arial"/>
          <w:i/>
          <w:sz w:val="22"/>
          <w:szCs w:val="22"/>
          <w:lang w:eastAsia="es-MX"/>
        </w:rPr>
        <w:t xml:space="preserve"> o revocar la clasificación de la información;</w:t>
      </w:r>
    </w:p>
    <w:p w:rsidR="00A4268E" w:rsidRDefault="00A4268E">
      <w:pPr>
        <w:ind w:left="709" w:right="757"/>
        <w:jc w:val="both"/>
        <w:rPr>
          <w:rFonts w:ascii="Palatino Linotype" w:hAnsi="Palatino Linotype" w:cs="Arial"/>
          <w:b/>
          <w:i/>
          <w:sz w:val="22"/>
          <w:szCs w:val="22"/>
          <w:lang w:eastAsia="es-MX"/>
        </w:rPr>
      </w:pP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Artículo 132.</w:t>
      </w:r>
      <w:r>
        <w:rPr>
          <w:rFonts w:ascii="Palatino Linotype" w:hAnsi="Palatino Linotype" w:cs="Arial"/>
          <w:i/>
          <w:sz w:val="22"/>
          <w:szCs w:val="22"/>
          <w:lang w:eastAsia="es-MX"/>
        </w:rPr>
        <w:t xml:space="preserve"> La </w:t>
      </w:r>
      <w:r>
        <w:rPr>
          <w:rFonts w:ascii="Palatino Linotype" w:hAnsi="Palatino Linotype" w:cs="Arial"/>
          <w:i/>
          <w:sz w:val="22"/>
          <w:lang w:eastAsia="es-MX"/>
        </w:rPr>
        <w:t>clasificación</w:t>
      </w:r>
      <w:r>
        <w:rPr>
          <w:rFonts w:ascii="Palatino Linotype" w:hAnsi="Palatino Linotype" w:cs="Arial"/>
          <w:i/>
          <w:sz w:val="22"/>
          <w:szCs w:val="22"/>
          <w:lang w:eastAsia="es-MX"/>
        </w:rPr>
        <w:t xml:space="preserve"> de la información se llevará a cabo en el momento en que:</w:t>
      </w: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i/>
          <w:sz w:val="22"/>
          <w:lang w:eastAsia="es-MX"/>
        </w:rPr>
        <w:t>mediante</w:t>
      </w:r>
      <w:r>
        <w:rPr>
          <w:rFonts w:ascii="Palatino Linotype" w:hAnsi="Palatino Linotype" w:cs="Arial"/>
          <w:i/>
          <w:sz w:val="22"/>
          <w:szCs w:val="22"/>
          <w:lang w:eastAsia="es-MX"/>
        </w:rPr>
        <w:t xml:space="preserve"> resolución de autoridad competente; o</w:t>
      </w: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i/>
          <w:sz w:val="22"/>
          <w:lang w:eastAsia="es-MX"/>
        </w:rPr>
        <w:t>versiones</w:t>
      </w:r>
      <w:r>
        <w:rPr>
          <w:rFonts w:ascii="Palatino Linotype" w:hAnsi="Palatino Linotype" w:cs="Arial"/>
          <w:i/>
          <w:sz w:val="22"/>
          <w:szCs w:val="22"/>
          <w:lang w:eastAsia="es-MX"/>
        </w:rPr>
        <w:t xml:space="preserve"> públicas para dar cumplimiento a las obligaciones de transparencia previstas en esta Ley.”</w:t>
      </w:r>
    </w:p>
    <w:p w:rsidR="00A4268E" w:rsidRDefault="00A4268E">
      <w:pPr>
        <w:ind w:left="709" w:right="757"/>
        <w:jc w:val="center"/>
        <w:rPr>
          <w:rFonts w:ascii="Palatino Linotype" w:hAnsi="Palatino Linotype" w:cs="Arial"/>
          <w:b/>
          <w:i/>
          <w:sz w:val="22"/>
          <w:szCs w:val="22"/>
          <w:lang w:eastAsia="es-MX"/>
        </w:rPr>
      </w:pPr>
    </w:p>
    <w:p w:rsidR="00A4268E" w:rsidRDefault="006F0117">
      <w:pPr>
        <w:ind w:left="709"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rPr>
        <w:t>Información, así como para la elaboración de Versiones Públicas</w:t>
      </w:r>
    </w:p>
    <w:p w:rsidR="00A4268E" w:rsidRDefault="00A4268E">
      <w:pPr>
        <w:ind w:left="709" w:right="757"/>
        <w:jc w:val="both"/>
        <w:rPr>
          <w:rFonts w:ascii="Palatino Linotype" w:hAnsi="Palatino Linotype" w:cs="Arial"/>
          <w:i/>
          <w:sz w:val="22"/>
          <w:szCs w:val="22"/>
          <w:lang w:eastAsia="es-MX"/>
        </w:rPr>
      </w:pP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w:t>
      </w:r>
      <w:r>
        <w:rPr>
          <w:rFonts w:ascii="Palatino Linotype" w:hAnsi="Palatino Linotype" w:cs="Arial"/>
          <w:i/>
          <w:sz w:val="22"/>
          <w:lang w:eastAsia="es-MX"/>
        </w:rPr>
        <w:t>efectos</w:t>
      </w:r>
      <w:r>
        <w:rPr>
          <w:rFonts w:ascii="Palatino Linotype" w:hAnsi="Palatino Linotype" w:cs="Arial"/>
          <w:i/>
          <w:sz w:val="22"/>
          <w:szCs w:val="22"/>
          <w:lang w:eastAsia="es-MX"/>
        </w:rPr>
        <w:t xml:space="preserve"> de los </w:t>
      </w:r>
      <w:r>
        <w:rPr>
          <w:rFonts w:ascii="Palatino Linotype" w:hAnsi="Palatino Linotype" w:cs="Arial"/>
          <w:i/>
          <w:sz w:val="22"/>
        </w:rPr>
        <w:t>presentes</w:t>
      </w:r>
      <w:r>
        <w:rPr>
          <w:rFonts w:ascii="Palatino Linotype" w:hAnsi="Palatino Linotype" w:cs="Arial"/>
          <w:i/>
          <w:sz w:val="22"/>
          <w:szCs w:val="22"/>
          <w:lang w:eastAsia="es-MX"/>
        </w:rPr>
        <w:t xml:space="preserve"> Lineamientos Generales, se entenderá por:</w:t>
      </w:r>
    </w:p>
    <w:p w:rsidR="00A4268E" w:rsidRDefault="00A4268E">
      <w:pPr>
        <w:ind w:left="709" w:right="757"/>
        <w:jc w:val="both"/>
        <w:rPr>
          <w:rFonts w:ascii="Palatino Linotype" w:hAnsi="Palatino Linotype" w:cs="Arial"/>
          <w:b/>
          <w:i/>
          <w:sz w:val="22"/>
          <w:szCs w:val="22"/>
          <w:lang w:eastAsia="es-MX"/>
        </w:rPr>
      </w:pP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pública:</w:t>
      </w:r>
      <w:r>
        <w:rPr>
          <w:rFonts w:ascii="Palatino Linotype" w:hAnsi="Palatino Linotype" w:cs="Arial"/>
          <w:i/>
          <w:sz w:val="22"/>
          <w:szCs w:val="22"/>
          <w:lang w:eastAsia="es-MX"/>
        </w:rPr>
        <w:t xml:space="preserve"> El </w:t>
      </w:r>
      <w:r>
        <w:rPr>
          <w:rFonts w:ascii="Palatino Linotype" w:hAnsi="Palatino Linotype" w:cs="Arial"/>
          <w:bCs/>
          <w:i/>
          <w:sz w:val="22"/>
        </w:rPr>
        <w:t>documento</w:t>
      </w:r>
      <w:r>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u w:val="single"/>
          <w:lang w:eastAsia="es-MX"/>
        </w:rPr>
        <w:t>fundando y motivando la</w:t>
      </w:r>
      <w:r>
        <w:rPr>
          <w:rFonts w:ascii="Palatino Linotype" w:hAnsi="Palatino Linotype" w:cs="Arial"/>
          <w:i/>
          <w:sz w:val="22"/>
          <w:szCs w:val="22"/>
          <w:lang w:eastAsia="es-MX"/>
        </w:rPr>
        <w:t xml:space="preserve"> reserva o </w:t>
      </w:r>
      <w:r>
        <w:rPr>
          <w:rFonts w:ascii="Palatino Linotype" w:hAnsi="Palatino Linotype" w:cs="Arial"/>
          <w:b/>
          <w:i/>
          <w:sz w:val="22"/>
          <w:szCs w:val="22"/>
          <w:u w:val="single"/>
          <w:lang w:eastAsia="es-MX"/>
        </w:rPr>
        <w:t>confidencialidad</w:t>
      </w:r>
      <w:r>
        <w:rPr>
          <w:rFonts w:ascii="Palatino Linotype" w:hAnsi="Palatino Linotype" w:cs="Arial"/>
          <w:i/>
          <w:sz w:val="22"/>
          <w:szCs w:val="22"/>
          <w:lang w:eastAsia="es-MX"/>
        </w:rPr>
        <w:t xml:space="preserve">, a través de la resolución que para tal efecto emita el </w:t>
      </w:r>
      <w:r>
        <w:rPr>
          <w:rFonts w:ascii="Palatino Linotype" w:hAnsi="Palatino Linotype" w:cs="Arial"/>
          <w:bCs/>
          <w:i/>
          <w:sz w:val="22"/>
        </w:rPr>
        <w:t>Comité</w:t>
      </w:r>
      <w:r>
        <w:rPr>
          <w:rFonts w:ascii="Palatino Linotype" w:hAnsi="Palatino Linotype" w:cs="Arial"/>
          <w:i/>
          <w:sz w:val="22"/>
          <w:szCs w:val="22"/>
          <w:lang w:eastAsia="es-MX"/>
        </w:rPr>
        <w:t xml:space="preserve"> de Transparencia.</w:t>
      </w:r>
    </w:p>
    <w:p w:rsidR="00A4268E" w:rsidRDefault="00A4268E">
      <w:pPr>
        <w:ind w:left="709" w:right="757"/>
        <w:jc w:val="both"/>
        <w:rPr>
          <w:rFonts w:ascii="Palatino Linotype" w:hAnsi="Palatino Linotype" w:cs="Arial"/>
          <w:b/>
          <w:i/>
          <w:sz w:val="22"/>
          <w:szCs w:val="22"/>
          <w:lang w:eastAsia="es-MX"/>
        </w:rPr>
      </w:pP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confidencial, de manera total o parcial, el </w:t>
      </w:r>
      <w:r>
        <w:rPr>
          <w:rFonts w:ascii="Palatino Linotype" w:hAnsi="Palatino Linotype" w:cs="Arial"/>
          <w:i/>
          <w:sz w:val="22"/>
          <w:lang w:eastAsia="es-MX"/>
        </w:rPr>
        <w:t>titular</w:t>
      </w:r>
      <w:r>
        <w:rPr>
          <w:rFonts w:ascii="Palatino Linotype" w:hAnsi="Palatino Linotype" w:cs="Arial"/>
          <w:i/>
          <w:sz w:val="22"/>
          <w:szCs w:val="22"/>
          <w:lang w:eastAsia="es-MX"/>
        </w:rPr>
        <w:t xml:space="preserve"> del </w:t>
      </w:r>
      <w:r>
        <w:rPr>
          <w:rFonts w:ascii="Palatino Linotype" w:hAnsi="Palatino Linotype" w:cs="Arial"/>
          <w:bCs/>
          <w:i/>
          <w:sz w:val="22"/>
        </w:rPr>
        <w:t>área</w:t>
      </w:r>
      <w:r>
        <w:rPr>
          <w:rFonts w:ascii="Palatino Linotype" w:hAnsi="Palatino Linotype" w:cs="Arial"/>
          <w:i/>
          <w:sz w:val="22"/>
          <w:szCs w:val="22"/>
          <w:lang w:eastAsia="es-MX"/>
        </w:rPr>
        <w:t xml:space="preserve"> del sujeto </w:t>
      </w:r>
      <w:r>
        <w:rPr>
          <w:rFonts w:ascii="Palatino Linotype" w:hAnsi="Palatino Linotype" w:cs="Arial"/>
          <w:i/>
          <w:sz w:val="22"/>
        </w:rPr>
        <w:t>obligado</w:t>
      </w:r>
      <w:r>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4268E" w:rsidRDefault="00A4268E">
      <w:pPr>
        <w:ind w:left="709" w:right="757"/>
        <w:jc w:val="both"/>
        <w:rPr>
          <w:rFonts w:ascii="Palatino Linotype" w:hAnsi="Palatino Linotype" w:cs="Arial"/>
          <w:i/>
          <w:sz w:val="22"/>
          <w:szCs w:val="22"/>
          <w:lang w:eastAsia="es-MX"/>
        </w:rPr>
      </w:pP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sz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rPr>
        <w:t>podrán</w:t>
      </w:r>
      <w:r>
        <w:rPr>
          <w:rFonts w:ascii="Palatino Linotype" w:hAnsi="Palatino Linotype" w:cs="Arial"/>
          <w:i/>
          <w:sz w:val="22"/>
          <w:szCs w:val="22"/>
          <w:lang w:eastAsia="es-MX"/>
        </w:rPr>
        <w:t xml:space="preserve"> invocarlas cuando acrediten su procedencia.</w:t>
      </w:r>
    </w:p>
    <w:p w:rsidR="00A4268E" w:rsidRDefault="00A4268E">
      <w:pPr>
        <w:ind w:left="709" w:right="757"/>
        <w:jc w:val="both"/>
        <w:rPr>
          <w:rFonts w:ascii="Palatino Linotype" w:hAnsi="Palatino Linotype" w:cs="Arial"/>
          <w:b/>
          <w:i/>
          <w:sz w:val="22"/>
          <w:szCs w:val="22"/>
          <w:lang w:eastAsia="es-MX"/>
        </w:rPr>
      </w:pP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w:t>
      </w:r>
      <w:r>
        <w:rPr>
          <w:rFonts w:ascii="Palatino Linotype" w:hAnsi="Palatino Linotype" w:cs="Arial"/>
          <w:i/>
          <w:sz w:val="22"/>
          <w:lang w:eastAsia="es-MX"/>
        </w:rPr>
        <w:t>la</w:t>
      </w:r>
      <w:r>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Pr>
          <w:rFonts w:ascii="Palatino Linotype" w:hAnsi="Palatino Linotype" w:cs="Arial"/>
          <w:i/>
          <w:sz w:val="22"/>
        </w:rPr>
        <w:t>corresponderá</w:t>
      </w:r>
      <w:r>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4268E" w:rsidRDefault="00A4268E">
      <w:pPr>
        <w:ind w:left="709" w:right="757"/>
        <w:jc w:val="both"/>
        <w:rPr>
          <w:rFonts w:ascii="Palatino Linotype" w:hAnsi="Palatino Linotype" w:cs="Arial"/>
          <w:b/>
          <w:i/>
          <w:sz w:val="22"/>
          <w:szCs w:val="22"/>
          <w:lang w:eastAsia="es-MX"/>
        </w:rPr>
      </w:pP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lastRenderedPageBreak/>
        <w:t>Sexto.</w:t>
      </w:r>
      <w:r>
        <w:rPr>
          <w:rFonts w:ascii="Palatino Linotype" w:hAnsi="Palatino Linotype" w:cs="Arial"/>
          <w:i/>
          <w:sz w:val="22"/>
          <w:szCs w:val="22"/>
          <w:lang w:eastAsia="es-MX"/>
        </w:rPr>
        <w:t xml:space="preserve"> Los sujetos obligados no podrán emitir acuerdos de carácter general ni particular que clasifiquen </w:t>
      </w:r>
      <w:r>
        <w:rPr>
          <w:rFonts w:ascii="Palatino Linotype" w:hAnsi="Palatino Linotype" w:cs="Arial"/>
          <w:bCs/>
          <w:i/>
          <w:sz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La clasificación de </w:t>
      </w:r>
      <w:r>
        <w:rPr>
          <w:rFonts w:ascii="Palatino Linotype" w:hAnsi="Palatino Linotype" w:cs="Arial"/>
          <w:i/>
          <w:sz w:val="22"/>
        </w:rPr>
        <w:t>información</w:t>
      </w:r>
      <w:r>
        <w:rPr>
          <w:rFonts w:ascii="Palatino Linotype" w:hAnsi="Palatino Linotype" w:cs="Arial"/>
          <w:i/>
          <w:sz w:val="22"/>
          <w:szCs w:val="22"/>
          <w:lang w:eastAsia="es-MX"/>
        </w:rPr>
        <w:t xml:space="preserve"> se realizará conforme a un análisis caso por caso, mediante la aplicación </w:t>
      </w:r>
      <w:r>
        <w:rPr>
          <w:rFonts w:ascii="Palatino Linotype" w:hAnsi="Palatino Linotype" w:cs="Arial"/>
          <w:bCs/>
          <w:i/>
          <w:sz w:val="22"/>
        </w:rPr>
        <w:t>de</w:t>
      </w:r>
      <w:r>
        <w:rPr>
          <w:rFonts w:ascii="Palatino Linotype" w:hAnsi="Palatino Linotype" w:cs="Arial"/>
          <w:i/>
          <w:sz w:val="22"/>
          <w:szCs w:val="22"/>
          <w:lang w:eastAsia="es-MX"/>
        </w:rPr>
        <w:t xml:space="preserve"> la prueba de daño y de interés público.</w:t>
      </w:r>
    </w:p>
    <w:p w:rsidR="00A4268E" w:rsidRDefault="00A4268E">
      <w:pPr>
        <w:ind w:left="709" w:right="757"/>
        <w:jc w:val="both"/>
        <w:rPr>
          <w:rFonts w:ascii="Palatino Linotype" w:hAnsi="Palatino Linotype" w:cs="Arial"/>
          <w:b/>
          <w:i/>
          <w:sz w:val="22"/>
          <w:szCs w:val="22"/>
          <w:lang w:eastAsia="es-MX"/>
        </w:rPr>
      </w:pP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w:t>
      </w:r>
      <w:r>
        <w:rPr>
          <w:rFonts w:ascii="Palatino Linotype" w:hAnsi="Palatino Linotype" w:cs="Arial"/>
          <w:i/>
          <w:sz w:val="22"/>
          <w:lang w:eastAsia="es-MX"/>
        </w:rPr>
        <w:t>clasificación</w:t>
      </w:r>
      <w:r>
        <w:rPr>
          <w:rFonts w:ascii="Palatino Linotype" w:hAnsi="Palatino Linotype" w:cs="Arial"/>
          <w:i/>
          <w:sz w:val="22"/>
          <w:szCs w:val="22"/>
          <w:lang w:eastAsia="es-MX"/>
        </w:rPr>
        <w:t xml:space="preserve"> </w:t>
      </w:r>
      <w:r>
        <w:rPr>
          <w:rFonts w:ascii="Palatino Linotype" w:hAnsi="Palatino Linotype" w:cs="Arial"/>
          <w:bCs/>
          <w:i/>
          <w:sz w:val="22"/>
        </w:rPr>
        <w:t>de</w:t>
      </w:r>
      <w:r>
        <w:rPr>
          <w:rFonts w:ascii="Palatino Linotype" w:hAnsi="Palatino Linotype" w:cs="Arial"/>
          <w:i/>
          <w:sz w:val="22"/>
          <w:szCs w:val="22"/>
          <w:lang w:eastAsia="es-MX"/>
        </w:rPr>
        <w:t xml:space="preserve"> la </w:t>
      </w:r>
      <w:r>
        <w:rPr>
          <w:rFonts w:ascii="Palatino Linotype" w:hAnsi="Palatino Linotype" w:cs="Arial"/>
          <w:i/>
          <w:sz w:val="22"/>
        </w:rPr>
        <w:t>información</w:t>
      </w:r>
      <w:r>
        <w:rPr>
          <w:rFonts w:ascii="Palatino Linotype" w:hAnsi="Palatino Linotype" w:cs="Arial"/>
          <w:i/>
          <w:sz w:val="22"/>
          <w:szCs w:val="22"/>
          <w:lang w:eastAsia="es-MX"/>
        </w:rPr>
        <w:t xml:space="preserve"> se llevará a cabo en el momento en que:</w:t>
      </w:r>
    </w:p>
    <w:p w:rsidR="00A4268E" w:rsidRDefault="00A4268E">
      <w:pPr>
        <w:ind w:left="709" w:right="757"/>
        <w:jc w:val="both"/>
        <w:rPr>
          <w:rFonts w:ascii="Palatino Linotype" w:hAnsi="Palatino Linotype" w:cs="Arial"/>
          <w:b/>
          <w:i/>
          <w:sz w:val="22"/>
          <w:szCs w:val="22"/>
          <w:lang w:eastAsia="es-MX"/>
        </w:rPr>
      </w:pP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w:t>
      </w:r>
      <w:r>
        <w:rPr>
          <w:rFonts w:ascii="Palatino Linotype" w:hAnsi="Palatino Linotype" w:cs="Arial"/>
          <w:i/>
          <w:sz w:val="22"/>
          <w:lang w:eastAsia="es-MX"/>
        </w:rPr>
        <w:t>solicitud</w:t>
      </w:r>
      <w:r>
        <w:rPr>
          <w:rFonts w:ascii="Palatino Linotype" w:hAnsi="Palatino Linotype" w:cs="Arial"/>
          <w:i/>
          <w:sz w:val="22"/>
          <w:szCs w:val="22"/>
          <w:lang w:eastAsia="es-MX"/>
        </w:rPr>
        <w:t xml:space="preserve"> de acceso a la información;</w:t>
      </w: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bCs/>
          <w:i/>
          <w:sz w:val="22"/>
        </w:rPr>
        <w:t>mediante</w:t>
      </w:r>
      <w:r>
        <w:rPr>
          <w:rFonts w:ascii="Palatino Linotype" w:hAnsi="Palatino Linotype" w:cs="Arial"/>
          <w:i/>
          <w:sz w:val="22"/>
          <w:szCs w:val="22"/>
          <w:lang w:eastAsia="es-MX"/>
        </w:rPr>
        <w:t xml:space="preserve"> resolución de autoridad competente, o</w:t>
      </w: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sz w:val="22"/>
        </w:rPr>
        <w:t>versiones</w:t>
      </w:r>
      <w:r>
        <w:rPr>
          <w:rFonts w:ascii="Palatino Linotype" w:hAnsi="Palatino Linotype" w:cs="Arial"/>
          <w:i/>
          <w:sz w:val="22"/>
          <w:szCs w:val="22"/>
          <w:lang w:eastAsia="es-MX"/>
        </w:rPr>
        <w:t xml:space="preserve"> públicas para dar cumplimiento a las obligaciones de transparencia </w:t>
      </w:r>
      <w:r>
        <w:rPr>
          <w:rFonts w:ascii="Palatino Linotype" w:hAnsi="Palatino Linotype" w:cs="Arial"/>
          <w:i/>
          <w:sz w:val="22"/>
          <w:lang w:eastAsia="es-MX"/>
        </w:rPr>
        <w:t>previstas</w:t>
      </w:r>
      <w:r>
        <w:rPr>
          <w:rFonts w:ascii="Palatino Linotype" w:hAnsi="Palatino Linotype" w:cs="Arial"/>
          <w:i/>
          <w:sz w:val="22"/>
          <w:szCs w:val="22"/>
          <w:lang w:eastAsia="es-MX"/>
        </w:rPr>
        <w:t xml:space="preserve"> en la Ley General, la Ley Federal y las correspondientes de las entidades federativas.</w:t>
      </w:r>
    </w:p>
    <w:p w:rsidR="00A4268E" w:rsidRDefault="00A4268E">
      <w:pPr>
        <w:ind w:left="709" w:right="757"/>
        <w:jc w:val="both"/>
        <w:rPr>
          <w:rFonts w:ascii="Palatino Linotype" w:hAnsi="Palatino Linotype" w:cs="Arial"/>
          <w:i/>
          <w:sz w:val="22"/>
          <w:szCs w:val="22"/>
          <w:lang w:eastAsia="es-MX"/>
        </w:rPr>
      </w:pP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sz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A4268E" w:rsidRDefault="00A4268E">
      <w:pPr>
        <w:ind w:left="709" w:right="757"/>
        <w:jc w:val="both"/>
        <w:rPr>
          <w:rFonts w:ascii="Palatino Linotype" w:hAnsi="Palatino Linotype" w:cs="Arial"/>
          <w:b/>
          <w:i/>
          <w:sz w:val="22"/>
          <w:szCs w:val="22"/>
          <w:lang w:eastAsia="es-MX"/>
        </w:rPr>
      </w:pP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w:t>
      </w:r>
      <w:r>
        <w:rPr>
          <w:rFonts w:ascii="Palatino Linotype" w:hAnsi="Palatino Linotype" w:cs="Arial"/>
          <w:i/>
          <w:sz w:val="22"/>
          <w:lang w:eastAsia="es-MX"/>
        </w:rPr>
        <w:t>párrafo</w:t>
      </w:r>
      <w:r>
        <w:rPr>
          <w:rFonts w:ascii="Palatino Linotype" w:hAnsi="Palatino Linotype" w:cs="Arial"/>
          <w:i/>
          <w:sz w:val="22"/>
          <w:szCs w:val="22"/>
          <w:lang w:eastAsia="es-MX"/>
        </w:rPr>
        <w:t xml:space="preserve"> o numeral de la ley o tratado internacional suscrito por el Estado mexicano que </w:t>
      </w:r>
      <w:r>
        <w:rPr>
          <w:rFonts w:ascii="Palatino Linotype" w:hAnsi="Palatino Linotype" w:cs="Arial"/>
          <w:bCs/>
          <w:i/>
          <w:sz w:val="22"/>
        </w:rPr>
        <w:t>expresamente</w:t>
      </w:r>
      <w:r>
        <w:rPr>
          <w:rFonts w:ascii="Palatino Linotype" w:hAnsi="Palatino Linotype" w:cs="Arial"/>
          <w:i/>
          <w:sz w:val="22"/>
          <w:szCs w:val="22"/>
          <w:lang w:eastAsia="es-MX"/>
        </w:rPr>
        <w:t xml:space="preserve"> le otorga el carácter de reservada o confidencial.</w:t>
      </w:r>
    </w:p>
    <w:p w:rsidR="00A4268E" w:rsidRDefault="006F0117">
      <w:pPr>
        <w:ind w:left="709" w:right="757"/>
        <w:jc w:val="both"/>
        <w:rPr>
          <w:rFonts w:ascii="Palatino Linotype" w:hAnsi="Palatino Linotype" w:cs="Arial"/>
          <w:bCs/>
          <w:i/>
          <w:sz w:val="22"/>
        </w:rPr>
      </w:pPr>
      <w:r>
        <w:rPr>
          <w:rFonts w:ascii="Palatino Linotype" w:hAnsi="Palatino Linotype" w:cs="Arial"/>
          <w:i/>
          <w:sz w:val="22"/>
          <w:szCs w:val="22"/>
          <w:lang w:eastAsia="es-MX"/>
        </w:rPr>
        <w:t xml:space="preserve">Para </w:t>
      </w:r>
      <w:r>
        <w:rPr>
          <w:rFonts w:ascii="Palatino Linotype" w:hAnsi="Palatino Linotype" w:cs="Arial"/>
          <w:bCs/>
          <w:i/>
          <w:sz w:val="22"/>
        </w:rPr>
        <w:t xml:space="preserve">motivar la clasificación se deberán señalar las razones o circunstancias especiales que lo </w:t>
      </w:r>
      <w:r>
        <w:rPr>
          <w:rFonts w:ascii="Palatino Linotype" w:hAnsi="Palatino Linotype" w:cs="Arial"/>
          <w:i/>
          <w:sz w:val="22"/>
          <w:szCs w:val="22"/>
          <w:lang w:eastAsia="es-MX"/>
        </w:rPr>
        <w:t>llevaron</w:t>
      </w:r>
      <w:r>
        <w:rPr>
          <w:rFonts w:ascii="Palatino Linotype" w:hAnsi="Palatino Linotype" w:cs="Arial"/>
          <w:bCs/>
          <w:i/>
          <w:sz w:val="22"/>
        </w:rPr>
        <w:t xml:space="preserve"> a concluir que el caso particular se ajusta al supuesto previsto por la norma legal invocada como fundamento.</w:t>
      </w:r>
    </w:p>
    <w:p w:rsidR="00A4268E" w:rsidRDefault="00A4268E">
      <w:pPr>
        <w:ind w:left="709" w:right="757"/>
        <w:jc w:val="both"/>
        <w:rPr>
          <w:rFonts w:ascii="Palatino Linotype" w:hAnsi="Palatino Linotype" w:cs="Arial"/>
          <w:bCs/>
          <w:i/>
          <w:sz w:val="22"/>
        </w:rPr>
      </w:pPr>
    </w:p>
    <w:p w:rsidR="00A4268E" w:rsidRDefault="006F0117">
      <w:pPr>
        <w:ind w:left="709" w:right="757"/>
        <w:jc w:val="both"/>
        <w:rPr>
          <w:rFonts w:ascii="Palatino Linotype" w:hAnsi="Palatino Linotype" w:cs="Arial"/>
          <w:bCs/>
          <w:i/>
          <w:sz w:val="22"/>
        </w:rPr>
      </w:pPr>
      <w:r>
        <w:rPr>
          <w:rFonts w:ascii="Palatino Linotype" w:hAnsi="Palatino Linotype" w:cs="Arial"/>
          <w:bCs/>
          <w:i/>
          <w:sz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sz w:val="22"/>
        </w:rPr>
        <w:t xml:space="preserve"> </w:t>
      </w:r>
      <w:r>
        <w:rPr>
          <w:rFonts w:ascii="Palatino Linotype" w:hAnsi="Palatino Linotype" w:cs="Arial"/>
          <w:i/>
          <w:sz w:val="22"/>
          <w:szCs w:val="22"/>
          <w:lang w:eastAsia="es-MX"/>
        </w:rPr>
        <w:t>reserva</w:t>
      </w:r>
      <w:r>
        <w:rPr>
          <w:rFonts w:ascii="Palatino Linotype" w:hAnsi="Palatino Linotype" w:cs="Arial"/>
          <w:bCs/>
          <w:i/>
          <w:sz w:val="22"/>
        </w:rPr>
        <w:t>.</w:t>
      </w:r>
    </w:p>
    <w:p w:rsidR="00A4268E" w:rsidRDefault="00A4268E">
      <w:pPr>
        <w:ind w:left="709" w:right="757"/>
        <w:jc w:val="both"/>
        <w:rPr>
          <w:rFonts w:ascii="Palatino Linotype" w:hAnsi="Palatino Linotype" w:cs="Arial"/>
          <w:i/>
          <w:sz w:val="22"/>
          <w:szCs w:val="22"/>
          <w:lang w:eastAsia="es-MX"/>
        </w:rPr>
      </w:pPr>
    </w:p>
    <w:p w:rsidR="00A4268E" w:rsidRDefault="006F0117">
      <w:pPr>
        <w:ind w:left="709" w:right="757"/>
        <w:jc w:val="both"/>
        <w:rPr>
          <w:rFonts w:ascii="Palatino Linotype" w:hAnsi="Palatino Linotype" w:cs="Arial"/>
          <w:bCs/>
          <w:i/>
          <w:sz w:val="22"/>
        </w:rPr>
      </w:pPr>
      <w:r>
        <w:rPr>
          <w:rFonts w:ascii="Palatino Linotype" w:hAnsi="Palatino Linotype" w:cs="Arial"/>
          <w:i/>
          <w:sz w:val="22"/>
          <w:szCs w:val="22"/>
          <w:lang w:eastAsia="es-MX"/>
        </w:rPr>
        <w:t>Tratándose</w:t>
      </w:r>
      <w:r>
        <w:rPr>
          <w:rFonts w:ascii="Palatino Linotype" w:hAnsi="Palatino Linotype" w:cs="Arial"/>
          <w:bCs/>
          <w:i/>
          <w:sz w:val="22"/>
        </w:rPr>
        <w:t xml:space="preserve"> de información clasificada como confidencial respecto de la cual se haya </w:t>
      </w:r>
      <w:r>
        <w:rPr>
          <w:rFonts w:ascii="Palatino Linotype" w:hAnsi="Palatino Linotype" w:cs="Arial"/>
          <w:i/>
          <w:sz w:val="22"/>
          <w:lang w:eastAsia="es-MX"/>
        </w:rPr>
        <w:t>determinado</w:t>
      </w:r>
      <w:r>
        <w:rPr>
          <w:rFonts w:ascii="Palatino Linotype" w:hAnsi="Palatino Linotype" w:cs="Arial"/>
          <w:bCs/>
          <w:i/>
          <w:sz w:val="22"/>
        </w:rPr>
        <w:t xml:space="preserve"> </w:t>
      </w:r>
      <w:r>
        <w:rPr>
          <w:rFonts w:ascii="Palatino Linotype" w:hAnsi="Palatino Linotype" w:cs="Arial"/>
          <w:i/>
          <w:sz w:val="22"/>
          <w:szCs w:val="22"/>
          <w:lang w:eastAsia="es-MX"/>
        </w:rPr>
        <w:t>su</w:t>
      </w:r>
      <w:r>
        <w:rPr>
          <w:rFonts w:ascii="Palatino Linotype" w:hAnsi="Palatino Linotype" w:cs="Arial"/>
          <w:bCs/>
          <w:i/>
          <w:sz w:val="22"/>
        </w:rPr>
        <w:t xml:space="preserve"> conservación permanente por tener valor histórico, ésta conservará tal carácter de conformidad con la normativa aplicable en materia de archivos.</w:t>
      </w:r>
    </w:p>
    <w:p w:rsidR="00A4268E" w:rsidRDefault="00A4268E">
      <w:pPr>
        <w:ind w:left="709" w:right="757"/>
        <w:jc w:val="both"/>
        <w:rPr>
          <w:rFonts w:ascii="Palatino Linotype" w:hAnsi="Palatino Linotype" w:cs="Arial"/>
          <w:bCs/>
          <w:i/>
          <w:sz w:val="22"/>
        </w:rPr>
      </w:pP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bCs/>
          <w:i/>
          <w:sz w:val="22"/>
        </w:rPr>
        <w:t>Los documentos contenidos</w:t>
      </w:r>
      <w:r>
        <w:rPr>
          <w:rFonts w:ascii="Palatino Linotype" w:hAnsi="Palatino Linotype" w:cs="Arial"/>
          <w:i/>
          <w:sz w:val="22"/>
          <w:szCs w:val="22"/>
          <w:lang w:eastAsia="es-MX"/>
        </w:rPr>
        <w:t xml:space="preserve"> en los archivos históricos y los identificados como históricos confidenciales no </w:t>
      </w:r>
      <w:r>
        <w:rPr>
          <w:rFonts w:ascii="Palatino Linotype" w:hAnsi="Palatino Linotype" w:cs="Arial"/>
          <w:i/>
          <w:sz w:val="22"/>
          <w:lang w:eastAsia="es-MX"/>
        </w:rPr>
        <w:t>serán</w:t>
      </w:r>
      <w:r>
        <w:rPr>
          <w:rFonts w:ascii="Palatino Linotype" w:hAnsi="Palatino Linotype" w:cs="Arial"/>
          <w:i/>
          <w:sz w:val="22"/>
          <w:szCs w:val="22"/>
          <w:lang w:eastAsia="es-MX"/>
        </w:rPr>
        <w:t xml:space="preserve"> susceptibles de clasificación como reservados.</w:t>
      </w:r>
    </w:p>
    <w:p w:rsidR="00A4268E" w:rsidRDefault="00A4268E">
      <w:pPr>
        <w:ind w:left="709" w:right="757"/>
        <w:jc w:val="both"/>
        <w:rPr>
          <w:rFonts w:ascii="Palatino Linotype" w:hAnsi="Palatino Linotype" w:cs="Arial"/>
          <w:b/>
          <w:i/>
          <w:sz w:val="22"/>
          <w:szCs w:val="22"/>
          <w:lang w:eastAsia="es-MX"/>
        </w:rPr>
      </w:pP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w:t>
      </w:r>
      <w:r>
        <w:rPr>
          <w:rFonts w:ascii="Palatino Linotype" w:hAnsi="Palatino Linotype" w:cs="Arial"/>
          <w:i/>
          <w:sz w:val="22"/>
          <w:szCs w:val="22"/>
          <w:lang w:eastAsia="es-MX"/>
        </w:rPr>
        <w:lastRenderedPageBreak/>
        <w:t>fundando y motivando la clasificación de las partes o secciones que se testen, siguiendo los procedimientos establecidos en el Capítulo IX de los presentes lineamientos.</w:t>
      </w:r>
    </w:p>
    <w:p w:rsidR="00A4268E" w:rsidRDefault="00A4268E">
      <w:pPr>
        <w:ind w:left="709" w:right="757"/>
        <w:jc w:val="both"/>
        <w:rPr>
          <w:rFonts w:ascii="Palatino Linotype" w:hAnsi="Palatino Linotype" w:cs="Arial"/>
          <w:b/>
          <w:i/>
          <w:sz w:val="22"/>
          <w:szCs w:val="22"/>
          <w:lang w:eastAsia="es-MX"/>
        </w:rPr>
      </w:pP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w:t>
      </w:r>
      <w:r>
        <w:rPr>
          <w:rFonts w:ascii="Palatino Linotype" w:hAnsi="Palatino Linotype" w:cs="Arial"/>
          <w:i/>
          <w:sz w:val="22"/>
          <w:lang w:eastAsia="es-MX"/>
        </w:rPr>
        <w:t>naturaleza</w:t>
      </w:r>
      <w:r>
        <w:rPr>
          <w:rFonts w:ascii="Palatino Linotype" w:hAnsi="Palatino Linotype" w:cs="Arial"/>
          <w:i/>
          <w:sz w:val="22"/>
          <w:szCs w:val="22"/>
          <w:lang w:eastAsia="es-MX"/>
        </w:rPr>
        <w:t xml:space="preserve"> de sus atribuciones, tenga acceso a los </w:t>
      </w:r>
      <w:r>
        <w:rPr>
          <w:rFonts w:ascii="Palatino Linotype" w:hAnsi="Palatino Linotype" w:cs="Arial"/>
          <w:i/>
          <w:sz w:val="22"/>
        </w:rPr>
        <w:t>documentos</w:t>
      </w:r>
      <w:r>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rPr>
        <w:t>que</w:t>
      </w:r>
      <w:r>
        <w:rPr>
          <w:rFonts w:ascii="Palatino Linotype" w:hAnsi="Palatino Linotype" w:cs="Arial"/>
          <w:i/>
          <w:sz w:val="22"/>
          <w:szCs w:val="22"/>
          <w:lang w:eastAsia="es-MX"/>
        </w:rPr>
        <w:t xml:space="preserve"> rija la actuación del sujeto obligado.</w:t>
      </w:r>
    </w:p>
    <w:p w:rsidR="00A4268E" w:rsidRDefault="00A4268E">
      <w:pPr>
        <w:ind w:left="709" w:right="757"/>
        <w:jc w:val="both"/>
        <w:rPr>
          <w:rFonts w:ascii="Palatino Linotype" w:hAnsi="Palatino Linotype" w:cs="Arial"/>
          <w:b/>
          <w:i/>
          <w:sz w:val="22"/>
          <w:szCs w:val="22"/>
          <w:lang w:eastAsia="es-MX"/>
        </w:rPr>
      </w:pP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A4268E" w:rsidRDefault="00A4268E">
      <w:pPr>
        <w:ind w:left="709" w:right="757"/>
        <w:jc w:val="center"/>
        <w:rPr>
          <w:rFonts w:ascii="Palatino Linotype" w:hAnsi="Palatino Linotype" w:cs="Arial"/>
          <w:b/>
          <w:i/>
          <w:sz w:val="22"/>
          <w:szCs w:val="22"/>
          <w:lang w:eastAsia="es-MX"/>
        </w:rPr>
      </w:pPr>
    </w:p>
    <w:p w:rsidR="00A4268E" w:rsidRDefault="006F0117">
      <w:pPr>
        <w:ind w:left="709"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rsidR="00A4268E" w:rsidRDefault="006F0117">
      <w:pPr>
        <w:ind w:left="709"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rsidR="00A4268E" w:rsidRDefault="00A4268E">
      <w:pPr>
        <w:ind w:left="709" w:right="757"/>
        <w:jc w:val="both"/>
        <w:rPr>
          <w:rFonts w:ascii="Palatino Linotype" w:hAnsi="Palatino Linotype" w:cs="Arial"/>
          <w:b/>
          <w:i/>
          <w:sz w:val="22"/>
          <w:szCs w:val="22"/>
          <w:lang w:eastAsia="es-MX"/>
        </w:rPr>
      </w:pP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w:t>
      </w:r>
      <w:r>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Pr>
          <w:rFonts w:ascii="Palatino Linotype" w:hAnsi="Palatino Linotype" w:cs="Arial"/>
          <w:i/>
          <w:sz w:val="22"/>
          <w:szCs w:val="22"/>
          <w:lang w:eastAsia="es-MX"/>
        </w:rPr>
        <w:t xml:space="preserve"> para señalar la clasificación de documentos o expedientes, sin perjuicio de que establezcan los propios.</w:t>
      </w: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A4268E" w:rsidRDefault="00A4268E">
      <w:pPr>
        <w:ind w:left="709" w:right="757"/>
        <w:jc w:val="both"/>
        <w:rPr>
          <w:rFonts w:ascii="Palatino Linotype" w:hAnsi="Palatino Linotype" w:cs="Arial"/>
          <w:b/>
          <w:i/>
          <w:sz w:val="22"/>
          <w:szCs w:val="22"/>
          <w:lang w:eastAsia="es-MX"/>
        </w:rPr>
      </w:pPr>
    </w:p>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tercero. </w:t>
      </w:r>
      <w:r>
        <w:rPr>
          <w:rFonts w:ascii="Palatino Linotype" w:hAnsi="Palatino Linotype" w:cs="Arial"/>
          <w:b/>
          <w:i/>
          <w:sz w:val="22"/>
          <w:szCs w:val="22"/>
          <w:u w:val="single"/>
          <w:lang w:eastAsia="es-MX"/>
        </w:rPr>
        <w:t>El formato para señalar la clasificación parcial de un documento</w:t>
      </w:r>
      <w:r>
        <w:rPr>
          <w:rFonts w:ascii="Palatino Linotype" w:hAnsi="Palatino Linotype" w:cs="Arial"/>
          <w:i/>
          <w:sz w:val="22"/>
          <w:szCs w:val="22"/>
          <w:lang w:eastAsia="es-MX"/>
        </w:rPr>
        <w:t>, es el siguiente:</w:t>
      </w:r>
    </w:p>
    <w:p w:rsidR="00A4268E" w:rsidRDefault="00A4268E">
      <w:pPr>
        <w:ind w:left="709" w:right="757"/>
        <w:jc w:val="both"/>
        <w:rPr>
          <w:rFonts w:ascii="Palatino Linotype" w:hAnsi="Palatino Linotype" w:cs="Arial"/>
          <w:i/>
          <w:sz w:val="22"/>
          <w:szCs w:val="22"/>
          <w:lang w:eastAsia="es-MX"/>
        </w:rPr>
      </w:pPr>
    </w:p>
    <w:tbl>
      <w:tblPr>
        <w:tblW w:w="8407" w:type="dxa"/>
        <w:tblInd w:w="709" w:type="dxa"/>
        <w:tblLook w:val="04A0" w:firstRow="1" w:lastRow="0" w:firstColumn="1" w:lastColumn="0" w:noHBand="0" w:noVBand="1"/>
      </w:tblPr>
      <w:tblGrid>
        <w:gridCol w:w="1838"/>
        <w:gridCol w:w="2332"/>
        <w:gridCol w:w="4237"/>
      </w:tblGrid>
      <w:tr w:rsidR="00A4268E">
        <w:tc>
          <w:tcPr>
            <w:tcW w:w="1836" w:type="dxa"/>
            <w:tcBorders>
              <w:bottom w:val="single" w:sz="4" w:space="0" w:color="000000"/>
              <w:right w:val="single" w:sz="4" w:space="0" w:color="000000"/>
            </w:tcBorders>
          </w:tcPr>
          <w:p w:rsidR="00A4268E" w:rsidRDefault="00A4268E">
            <w:pPr>
              <w:spacing w:line="252" w:lineRule="auto"/>
              <w:ind w:right="757"/>
              <w:jc w:val="both"/>
              <w:rPr>
                <w:rFonts w:ascii="Palatino Linotype" w:hAnsi="Palatino Linotype" w:cs="Arial"/>
                <w:i/>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A4268E" w:rsidRDefault="006F0117">
            <w:pPr>
              <w:spacing w:line="252" w:lineRule="auto"/>
              <w:ind w:right="757"/>
              <w:jc w:val="center"/>
              <w:rPr>
                <w:rFonts w:ascii="Palatino Linotype" w:hAnsi="Palatino Linotype"/>
                <w:b/>
                <w:i/>
              </w:rPr>
            </w:pPr>
            <w:r>
              <w:rPr>
                <w:rFonts w:ascii="Palatino Linotype" w:hAnsi="Palatino Linotype"/>
                <w:b/>
                <w:i/>
                <w:sz w:val="22"/>
                <w:szCs w:val="22"/>
              </w:rPr>
              <w:t>Concepto</w:t>
            </w:r>
          </w:p>
        </w:tc>
        <w:tc>
          <w:tcPr>
            <w:tcW w:w="4239" w:type="dxa"/>
            <w:tcBorders>
              <w:top w:val="single" w:sz="4" w:space="0" w:color="000000"/>
              <w:left w:val="single" w:sz="4" w:space="0" w:color="000000"/>
              <w:bottom w:val="single" w:sz="4" w:space="0" w:color="000000"/>
              <w:right w:val="single" w:sz="4" w:space="0" w:color="000000"/>
            </w:tcBorders>
          </w:tcPr>
          <w:p w:rsidR="00A4268E" w:rsidRDefault="006F0117">
            <w:pPr>
              <w:spacing w:line="252" w:lineRule="auto"/>
              <w:ind w:right="757"/>
              <w:jc w:val="center"/>
              <w:rPr>
                <w:rFonts w:ascii="Palatino Linotype" w:hAnsi="Palatino Linotype"/>
                <w:b/>
                <w:i/>
              </w:rPr>
            </w:pPr>
            <w:r>
              <w:rPr>
                <w:rFonts w:ascii="Palatino Linotype" w:hAnsi="Palatino Linotype"/>
                <w:b/>
                <w:i/>
                <w:sz w:val="22"/>
                <w:szCs w:val="22"/>
              </w:rPr>
              <w:t>Dónde:</w:t>
            </w:r>
          </w:p>
        </w:tc>
      </w:tr>
      <w:tr w:rsidR="00A4268E">
        <w:tc>
          <w:tcPr>
            <w:tcW w:w="1836" w:type="dxa"/>
            <w:vMerge w:val="restart"/>
            <w:tcBorders>
              <w:top w:val="single" w:sz="4" w:space="0" w:color="000000"/>
              <w:left w:val="single" w:sz="4" w:space="0" w:color="000000"/>
              <w:bottom w:val="single" w:sz="4" w:space="0" w:color="000000"/>
              <w:right w:val="single" w:sz="4" w:space="0" w:color="000000"/>
            </w:tcBorders>
            <w:vAlign w:val="center"/>
          </w:tcPr>
          <w:p w:rsidR="00A4268E" w:rsidRDefault="006F0117">
            <w:pPr>
              <w:spacing w:line="252" w:lineRule="auto"/>
              <w:ind w:right="757"/>
              <w:jc w:val="center"/>
              <w:rPr>
                <w:rFonts w:ascii="Palatino Linotype" w:hAnsi="Palatino Linotype" w:cs="Arial"/>
                <w:b/>
                <w:i/>
                <w:lang w:eastAsia="es-MX"/>
              </w:rPr>
            </w:pPr>
            <w:r>
              <w:rPr>
                <w:rFonts w:ascii="Palatino Linotype" w:hAnsi="Palatino Linotype" w:cs="Arial"/>
                <w:b/>
                <w:i/>
                <w:sz w:val="22"/>
                <w:szCs w:val="22"/>
                <w:lang w:eastAsia="es-MX"/>
              </w:rPr>
              <w:t>Sello oficial o logotipo del sujeto obligado</w:t>
            </w:r>
          </w:p>
        </w:tc>
        <w:tc>
          <w:tcPr>
            <w:tcW w:w="2332" w:type="dxa"/>
            <w:tcBorders>
              <w:top w:val="single" w:sz="4" w:space="0" w:color="000000"/>
              <w:left w:val="single" w:sz="4" w:space="0" w:color="000000"/>
              <w:bottom w:val="single" w:sz="4" w:space="0" w:color="000000"/>
              <w:right w:val="single" w:sz="4" w:space="0" w:color="000000"/>
            </w:tcBorders>
          </w:tcPr>
          <w:p w:rsidR="00A4268E" w:rsidRDefault="006F0117">
            <w:pPr>
              <w:spacing w:line="252" w:lineRule="auto"/>
              <w:ind w:right="757"/>
              <w:jc w:val="center"/>
              <w:rPr>
                <w:rFonts w:ascii="Palatino Linotype" w:hAnsi="Palatino Linotype" w:cs="Arial"/>
                <w:i/>
                <w:lang w:eastAsia="es-MX"/>
              </w:rPr>
            </w:pPr>
            <w:r>
              <w:rPr>
                <w:rFonts w:ascii="Palatino Linotype" w:hAnsi="Palatino Linotype" w:cs="Arial"/>
                <w:i/>
                <w:sz w:val="22"/>
                <w:szCs w:val="22"/>
                <w:lang w:eastAsia="es-MX"/>
              </w:rPr>
              <w:t>Fecha de clasificación</w:t>
            </w:r>
          </w:p>
        </w:tc>
        <w:tc>
          <w:tcPr>
            <w:tcW w:w="4239" w:type="dxa"/>
            <w:tcBorders>
              <w:top w:val="single" w:sz="4" w:space="0" w:color="000000"/>
              <w:left w:val="single" w:sz="4" w:space="0" w:color="000000"/>
              <w:bottom w:val="single" w:sz="4" w:space="0" w:color="000000"/>
              <w:right w:val="single" w:sz="4" w:space="0" w:color="000000"/>
            </w:tcBorders>
          </w:tcPr>
          <w:p w:rsidR="00A4268E" w:rsidRDefault="006F0117">
            <w:pPr>
              <w:spacing w:line="252" w:lineRule="auto"/>
              <w:ind w:right="757"/>
              <w:jc w:val="both"/>
              <w:rPr>
                <w:rFonts w:ascii="Palatino Linotype" w:hAnsi="Palatino Linotype" w:cs="Arial"/>
                <w:i/>
                <w:lang w:eastAsia="es-MX"/>
              </w:rPr>
            </w:pPr>
            <w:r>
              <w:rPr>
                <w:rFonts w:ascii="Palatino Linotype" w:hAnsi="Palatino Linotype" w:cs="Arial"/>
                <w:i/>
                <w:sz w:val="22"/>
                <w:szCs w:val="22"/>
                <w:lang w:eastAsia="es-MX"/>
              </w:rPr>
              <w:t>Se anotará la fecha en la que el Comité de Transparencia confirmó la clasificación del documento, en su caso.</w:t>
            </w:r>
          </w:p>
        </w:tc>
      </w:tr>
      <w:tr w:rsidR="00A4268E">
        <w:tc>
          <w:tcPr>
            <w:tcW w:w="1836" w:type="dxa"/>
            <w:vMerge/>
            <w:tcBorders>
              <w:top w:val="single" w:sz="4" w:space="0" w:color="000000"/>
              <w:left w:val="single" w:sz="4" w:space="0" w:color="000000"/>
              <w:bottom w:val="single" w:sz="4" w:space="0" w:color="000000"/>
              <w:right w:val="single" w:sz="4" w:space="0" w:color="000000"/>
            </w:tcBorders>
            <w:vAlign w:val="center"/>
          </w:tcPr>
          <w:p w:rsidR="00A4268E" w:rsidRDefault="00A4268E">
            <w:pPr>
              <w:spacing w:line="252" w:lineRule="auto"/>
              <w:rPr>
                <w:rFonts w:ascii="Palatino Linotype" w:hAnsi="Palatino Linotype" w:cs="Arial"/>
                <w:b/>
                <w:i/>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A4268E" w:rsidRDefault="006F0117">
            <w:pPr>
              <w:spacing w:line="252" w:lineRule="auto"/>
              <w:ind w:right="757"/>
              <w:jc w:val="center"/>
              <w:rPr>
                <w:rFonts w:ascii="Palatino Linotype" w:hAnsi="Palatino Linotype" w:cs="Arial"/>
                <w:i/>
                <w:lang w:eastAsia="es-MX"/>
              </w:rPr>
            </w:pPr>
            <w:r>
              <w:rPr>
                <w:rFonts w:ascii="Palatino Linotype" w:hAnsi="Palatino Linotype" w:cs="Arial"/>
                <w:i/>
                <w:sz w:val="22"/>
                <w:szCs w:val="22"/>
                <w:lang w:eastAsia="es-MX"/>
              </w:rPr>
              <w:t>Área</w:t>
            </w:r>
          </w:p>
        </w:tc>
        <w:tc>
          <w:tcPr>
            <w:tcW w:w="4239" w:type="dxa"/>
            <w:tcBorders>
              <w:top w:val="single" w:sz="4" w:space="0" w:color="000000"/>
              <w:left w:val="single" w:sz="4" w:space="0" w:color="000000"/>
              <w:bottom w:val="single" w:sz="4" w:space="0" w:color="000000"/>
              <w:right w:val="single" w:sz="4" w:space="0" w:color="000000"/>
            </w:tcBorders>
          </w:tcPr>
          <w:p w:rsidR="00A4268E" w:rsidRDefault="006F0117">
            <w:pPr>
              <w:spacing w:line="252" w:lineRule="auto"/>
              <w:ind w:right="757"/>
              <w:jc w:val="both"/>
              <w:rPr>
                <w:rFonts w:ascii="Palatino Linotype" w:hAnsi="Palatino Linotype" w:cs="Arial"/>
                <w:i/>
                <w:lang w:eastAsia="es-MX"/>
              </w:rPr>
            </w:pPr>
            <w:r>
              <w:rPr>
                <w:rFonts w:ascii="Palatino Linotype" w:hAnsi="Palatino Linotype" w:cs="Arial"/>
                <w:i/>
                <w:sz w:val="22"/>
                <w:szCs w:val="22"/>
                <w:lang w:eastAsia="es-MX"/>
              </w:rPr>
              <w:t>Se señalará el nombre del área del cual es titular quien clasifica.</w:t>
            </w:r>
          </w:p>
        </w:tc>
      </w:tr>
      <w:tr w:rsidR="00A4268E">
        <w:tc>
          <w:tcPr>
            <w:tcW w:w="1836" w:type="dxa"/>
            <w:vMerge/>
            <w:tcBorders>
              <w:top w:val="single" w:sz="4" w:space="0" w:color="000000"/>
              <w:left w:val="single" w:sz="4" w:space="0" w:color="000000"/>
              <w:bottom w:val="single" w:sz="4" w:space="0" w:color="000000"/>
              <w:right w:val="single" w:sz="4" w:space="0" w:color="000000"/>
            </w:tcBorders>
            <w:vAlign w:val="center"/>
          </w:tcPr>
          <w:p w:rsidR="00A4268E" w:rsidRDefault="00A4268E">
            <w:pPr>
              <w:spacing w:line="252" w:lineRule="auto"/>
              <w:rPr>
                <w:rFonts w:ascii="Palatino Linotype" w:hAnsi="Palatino Linotype" w:cs="Arial"/>
                <w:b/>
                <w:i/>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A4268E" w:rsidRDefault="006F0117">
            <w:pPr>
              <w:spacing w:line="252" w:lineRule="auto"/>
              <w:ind w:right="757"/>
              <w:jc w:val="center"/>
              <w:rPr>
                <w:rFonts w:ascii="Palatino Linotype" w:hAnsi="Palatino Linotype" w:cs="Arial"/>
                <w:i/>
                <w:lang w:eastAsia="es-MX"/>
              </w:rPr>
            </w:pPr>
            <w:r>
              <w:rPr>
                <w:rFonts w:ascii="Palatino Linotype" w:hAnsi="Palatino Linotype" w:cs="Arial"/>
                <w:i/>
                <w:sz w:val="22"/>
                <w:szCs w:val="22"/>
                <w:lang w:eastAsia="es-MX"/>
              </w:rPr>
              <w:t>Información reservada</w:t>
            </w:r>
          </w:p>
        </w:tc>
        <w:tc>
          <w:tcPr>
            <w:tcW w:w="4239" w:type="dxa"/>
            <w:tcBorders>
              <w:top w:val="single" w:sz="4" w:space="0" w:color="000000"/>
              <w:left w:val="single" w:sz="4" w:space="0" w:color="000000"/>
              <w:bottom w:val="single" w:sz="4" w:space="0" w:color="000000"/>
              <w:right w:val="single" w:sz="4" w:space="0" w:color="000000"/>
            </w:tcBorders>
          </w:tcPr>
          <w:p w:rsidR="00A4268E" w:rsidRDefault="006F0117">
            <w:pPr>
              <w:spacing w:line="252" w:lineRule="auto"/>
              <w:ind w:right="757"/>
              <w:jc w:val="both"/>
              <w:rPr>
                <w:rFonts w:ascii="Palatino Linotype" w:hAnsi="Palatino Linotype" w:cs="Arial"/>
                <w:i/>
                <w:lang w:eastAsia="es-MX"/>
              </w:rPr>
            </w:pPr>
            <w:r>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Pr>
                <w:rFonts w:ascii="Palatino Linotype" w:hAnsi="Palatino Linotype" w:cs="Arial"/>
                <w:i/>
                <w:sz w:val="22"/>
                <w:szCs w:val="22"/>
                <w:lang w:eastAsia="es-MX"/>
              </w:rPr>
              <w:t>anotarán</w:t>
            </w:r>
            <w:proofErr w:type="gramEnd"/>
            <w:r>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A4268E">
        <w:tc>
          <w:tcPr>
            <w:tcW w:w="1836" w:type="dxa"/>
            <w:vMerge/>
            <w:tcBorders>
              <w:top w:val="single" w:sz="4" w:space="0" w:color="000000"/>
              <w:left w:val="single" w:sz="4" w:space="0" w:color="000000"/>
              <w:bottom w:val="single" w:sz="4" w:space="0" w:color="000000"/>
              <w:right w:val="single" w:sz="4" w:space="0" w:color="000000"/>
            </w:tcBorders>
            <w:vAlign w:val="center"/>
          </w:tcPr>
          <w:p w:rsidR="00A4268E" w:rsidRDefault="00A4268E">
            <w:pPr>
              <w:spacing w:line="252" w:lineRule="auto"/>
              <w:rPr>
                <w:rFonts w:ascii="Palatino Linotype" w:hAnsi="Palatino Linotype" w:cs="Arial"/>
                <w:b/>
                <w:i/>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A4268E" w:rsidRDefault="006F0117">
            <w:pPr>
              <w:spacing w:line="252" w:lineRule="auto"/>
              <w:ind w:right="757"/>
              <w:jc w:val="center"/>
              <w:rPr>
                <w:rFonts w:ascii="Palatino Linotype" w:hAnsi="Palatino Linotype" w:cs="Arial"/>
                <w:i/>
                <w:lang w:eastAsia="es-MX"/>
              </w:rPr>
            </w:pPr>
            <w:r>
              <w:rPr>
                <w:rFonts w:ascii="Palatino Linotype" w:hAnsi="Palatino Linotype" w:cs="Arial"/>
                <w:i/>
                <w:sz w:val="22"/>
                <w:szCs w:val="22"/>
                <w:lang w:eastAsia="es-MX"/>
              </w:rPr>
              <w:t>Periodo de reserva</w:t>
            </w:r>
          </w:p>
        </w:tc>
        <w:tc>
          <w:tcPr>
            <w:tcW w:w="4239" w:type="dxa"/>
            <w:tcBorders>
              <w:top w:val="single" w:sz="4" w:space="0" w:color="000000"/>
              <w:left w:val="single" w:sz="4" w:space="0" w:color="000000"/>
              <w:bottom w:val="single" w:sz="4" w:space="0" w:color="000000"/>
              <w:right w:val="single" w:sz="4" w:space="0" w:color="000000"/>
            </w:tcBorders>
          </w:tcPr>
          <w:p w:rsidR="00A4268E" w:rsidRDefault="006F0117">
            <w:pPr>
              <w:spacing w:line="252" w:lineRule="auto"/>
              <w:ind w:right="757"/>
              <w:jc w:val="both"/>
              <w:rPr>
                <w:rFonts w:ascii="Palatino Linotype" w:hAnsi="Palatino Linotype" w:cs="Arial"/>
                <w:i/>
                <w:lang w:eastAsia="es-MX"/>
              </w:rPr>
            </w:pPr>
            <w:r>
              <w:rPr>
                <w:rFonts w:ascii="Palatino Linotype" w:hAnsi="Palatino Linotype" w:cs="Arial"/>
                <w:i/>
                <w:sz w:val="22"/>
                <w:szCs w:val="22"/>
                <w:lang w:eastAsia="es-MX"/>
              </w:rPr>
              <w:t>Se anotará el número de años o meses por los que se mantendrá el documento o las partes del mismo como reservado.</w:t>
            </w:r>
          </w:p>
        </w:tc>
      </w:tr>
      <w:tr w:rsidR="00A4268E">
        <w:tc>
          <w:tcPr>
            <w:tcW w:w="1836" w:type="dxa"/>
            <w:vMerge/>
            <w:tcBorders>
              <w:top w:val="single" w:sz="4" w:space="0" w:color="000000"/>
              <w:left w:val="single" w:sz="4" w:space="0" w:color="000000"/>
              <w:bottom w:val="single" w:sz="4" w:space="0" w:color="000000"/>
              <w:right w:val="single" w:sz="4" w:space="0" w:color="000000"/>
            </w:tcBorders>
            <w:vAlign w:val="center"/>
          </w:tcPr>
          <w:p w:rsidR="00A4268E" w:rsidRDefault="00A4268E">
            <w:pPr>
              <w:spacing w:line="252" w:lineRule="auto"/>
              <w:rPr>
                <w:rFonts w:ascii="Palatino Linotype" w:hAnsi="Palatino Linotype" w:cs="Arial"/>
                <w:b/>
                <w:i/>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A4268E" w:rsidRDefault="006F0117">
            <w:pPr>
              <w:spacing w:line="252" w:lineRule="auto"/>
              <w:ind w:right="757"/>
              <w:jc w:val="center"/>
              <w:rPr>
                <w:rFonts w:ascii="Palatino Linotype" w:hAnsi="Palatino Linotype" w:cs="Arial"/>
                <w:i/>
                <w:lang w:eastAsia="es-MX"/>
              </w:rPr>
            </w:pPr>
            <w:r>
              <w:rPr>
                <w:rFonts w:ascii="Palatino Linotype" w:hAnsi="Palatino Linotype" w:cs="Arial"/>
                <w:i/>
                <w:sz w:val="22"/>
                <w:szCs w:val="22"/>
                <w:lang w:eastAsia="es-MX"/>
              </w:rPr>
              <w:t>Fundamento legal</w:t>
            </w:r>
          </w:p>
        </w:tc>
        <w:tc>
          <w:tcPr>
            <w:tcW w:w="4239" w:type="dxa"/>
            <w:tcBorders>
              <w:top w:val="single" w:sz="4" w:space="0" w:color="000000"/>
              <w:left w:val="single" w:sz="4" w:space="0" w:color="000000"/>
              <w:bottom w:val="single" w:sz="4" w:space="0" w:color="000000"/>
              <w:right w:val="single" w:sz="4" w:space="0" w:color="000000"/>
            </w:tcBorders>
          </w:tcPr>
          <w:p w:rsidR="00A4268E" w:rsidRDefault="006F0117">
            <w:pPr>
              <w:spacing w:line="252" w:lineRule="auto"/>
              <w:ind w:right="757"/>
              <w:jc w:val="both"/>
              <w:rPr>
                <w:rFonts w:ascii="Palatino Linotype" w:hAnsi="Palatino Linotype" w:cs="Arial"/>
                <w:i/>
                <w:lang w:eastAsia="es-MX"/>
              </w:rPr>
            </w:pPr>
            <w:r>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A4268E">
        <w:tc>
          <w:tcPr>
            <w:tcW w:w="1836" w:type="dxa"/>
            <w:vMerge/>
            <w:tcBorders>
              <w:top w:val="single" w:sz="4" w:space="0" w:color="000000"/>
              <w:left w:val="single" w:sz="4" w:space="0" w:color="000000"/>
              <w:bottom w:val="single" w:sz="4" w:space="0" w:color="000000"/>
              <w:right w:val="single" w:sz="4" w:space="0" w:color="000000"/>
            </w:tcBorders>
            <w:vAlign w:val="center"/>
          </w:tcPr>
          <w:p w:rsidR="00A4268E" w:rsidRDefault="00A4268E">
            <w:pPr>
              <w:spacing w:line="252" w:lineRule="auto"/>
              <w:rPr>
                <w:rFonts w:ascii="Palatino Linotype" w:hAnsi="Palatino Linotype" w:cs="Arial"/>
                <w:b/>
                <w:i/>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A4268E" w:rsidRDefault="006F0117">
            <w:pPr>
              <w:spacing w:line="252" w:lineRule="auto"/>
              <w:ind w:right="757"/>
              <w:jc w:val="center"/>
              <w:rPr>
                <w:rFonts w:ascii="Palatino Linotype" w:hAnsi="Palatino Linotype" w:cs="Arial"/>
                <w:i/>
                <w:lang w:eastAsia="es-MX"/>
              </w:rPr>
            </w:pPr>
            <w:r>
              <w:rPr>
                <w:rFonts w:ascii="Palatino Linotype" w:hAnsi="Palatino Linotype" w:cs="Arial"/>
                <w:i/>
                <w:sz w:val="22"/>
                <w:szCs w:val="22"/>
                <w:lang w:eastAsia="es-MX"/>
              </w:rPr>
              <w:t>Ampliación del periodo de reserva</w:t>
            </w:r>
          </w:p>
        </w:tc>
        <w:tc>
          <w:tcPr>
            <w:tcW w:w="4239" w:type="dxa"/>
            <w:tcBorders>
              <w:top w:val="single" w:sz="4" w:space="0" w:color="000000"/>
              <w:left w:val="single" w:sz="4" w:space="0" w:color="000000"/>
              <w:bottom w:val="single" w:sz="4" w:space="0" w:color="000000"/>
              <w:right w:val="single" w:sz="4" w:space="0" w:color="000000"/>
            </w:tcBorders>
          </w:tcPr>
          <w:p w:rsidR="00A4268E" w:rsidRDefault="006F0117">
            <w:pPr>
              <w:spacing w:line="252" w:lineRule="auto"/>
              <w:ind w:right="757"/>
              <w:jc w:val="both"/>
              <w:rPr>
                <w:rFonts w:ascii="Palatino Linotype" w:hAnsi="Palatino Linotype" w:cs="Arial"/>
                <w:i/>
                <w:lang w:eastAsia="es-MX"/>
              </w:rPr>
            </w:pPr>
            <w:r>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A4268E">
        <w:tc>
          <w:tcPr>
            <w:tcW w:w="1836" w:type="dxa"/>
            <w:vMerge/>
            <w:tcBorders>
              <w:top w:val="single" w:sz="4" w:space="0" w:color="000000"/>
              <w:left w:val="single" w:sz="4" w:space="0" w:color="000000"/>
              <w:bottom w:val="single" w:sz="4" w:space="0" w:color="000000"/>
              <w:right w:val="single" w:sz="4" w:space="0" w:color="000000"/>
            </w:tcBorders>
            <w:vAlign w:val="center"/>
          </w:tcPr>
          <w:p w:rsidR="00A4268E" w:rsidRDefault="00A4268E">
            <w:pPr>
              <w:spacing w:line="252" w:lineRule="auto"/>
              <w:rPr>
                <w:rFonts w:ascii="Palatino Linotype" w:hAnsi="Palatino Linotype" w:cs="Arial"/>
                <w:b/>
                <w:i/>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A4268E" w:rsidRDefault="006F0117">
            <w:pPr>
              <w:spacing w:line="252" w:lineRule="auto"/>
              <w:ind w:right="757"/>
              <w:jc w:val="center"/>
              <w:rPr>
                <w:rFonts w:ascii="Palatino Linotype" w:hAnsi="Palatino Linotype" w:cs="Arial"/>
                <w:i/>
                <w:lang w:eastAsia="es-MX"/>
              </w:rPr>
            </w:pPr>
            <w:r>
              <w:rPr>
                <w:rFonts w:ascii="Palatino Linotype" w:hAnsi="Palatino Linotype" w:cs="Arial"/>
                <w:i/>
                <w:sz w:val="22"/>
                <w:szCs w:val="22"/>
                <w:lang w:eastAsia="es-MX"/>
              </w:rPr>
              <w:t>Confidencial</w:t>
            </w:r>
          </w:p>
        </w:tc>
        <w:tc>
          <w:tcPr>
            <w:tcW w:w="4239" w:type="dxa"/>
            <w:tcBorders>
              <w:top w:val="single" w:sz="4" w:space="0" w:color="000000"/>
              <w:left w:val="single" w:sz="4" w:space="0" w:color="000000"/>
              <w:bottom w:val="single" w:sz="4" w:space="0" w:color="000000"/>
              <w:right w:val="single" w:sz="4" w:space="0" w:color="000000"/>
            </w:tcBorders>
          </w:tcPr>
          <w:p w:rsidR="00A4268E" w:rsidRDefault="006F0117">
            <w:pPr>
              <w:spacing w:line="252" w:lineRule="auto"/>
              <w:ind w:right="757"/>
              <w:jc w:val="both"/>
              <w:rPr>
                <w:rFonts w:ascii="Palatino Linotype" w:hAnsi="Palatino Linotype" w:cs="Arial"/>
                <w:i/>
                <w:lang w:eastAsia="es-MX"/>
              </w:rPr>
            </w:pPr>
            <w:r>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A4268E">
        <w:tc>
          <w:tcPr>
            <w:tcW w:w="1836" w:type="dxa"/>
            <w:vMerge/>
            <w:tcBorders>
              <w:top w:val="single" w:sz="4" w:space="0" w:color="000000"/>
              <w:left w:val="single" w:sz="4" w:space="0" w:color="000000"/>
              <w:bottom w:val="single" w:sz="4" w:space="0" w:color="000000"/>
              <w:right w:val="single" w:sz="4" w:space="0" w:color="000000"/>
            </w:tcBorders>
            <w:vAlign w:val="center"/>
          </w:tcPr>
          <w:p w:rsidR="00A4268E" w:rsidRDefault="00A4268E">
            <w:pPr>
              <w:spacing w:line="252" w:lineRule="auto"/>
              <w:rPr>
                <w:rFonts w:ascii="Palatino Linotype" w:hAnsi="Palatino Linotype" w:cs="Arial"/>
                <w:b/>
                <w:i/>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A4268E" w:rsidRDefault="006F0117">
            <w:pPr>
              <w:spacing w:line="252" w:lineRule="auto"/>
              <w:ind w:right="757"/>
              <w:jc w:val="center"/>
              <w:rPr>
                <w:rFonts w:ascii="Palatino Linotype" w:hAnsi="Palatino Linotype" w:cs="Arial"/>
                <w:i/>
                <w:lang w:eastAsia="es-MX"/>
              </w:rPr>
            </w:pPr>
            <w:r>
              <w:rPr>
                <w:rFonts w:ascii="Palatino Linotype" w:hAnsi="Palatino Linotype" w:cs="Arial"/>
                <w:i/>
                <w:sz w:val="22"/>
                <w:szCs w:val="22"/>
                <w:lang w:eastAsia="es-MX"/>
              </w:rPr>
              <w:t>Fundamento legal</w:t>
            </w:r>
          </w:p>
        </w:tc>
        <w:tc>
          <w:tcPr>
            <w:tcW w:w="4239" w:type="dxa"/>
            <w:tcBorders>
              <w:top w:val="single" w:sz="4" w:space="0" w:color="000000"/>
              <w:left w:val="single" w:sz="4" w:space="0" w:color="000000"/>
              <w:bottom w:val="single" w:sz="4" w:space="0" w:color="000000"/>
              <w:right w:val="single" w:sz="4" w:space="0" w:color="000000"/>
            </w:tcBorders>
          </w:tcPr>
          <w:p w:rsidR="00A4268E" w:rsidRDefault="006F0117">
            <w:pPr>
              <w:spacing w:line="252" w:lineRule="auto"/>
              <w:ind w:right="757"/>
              <w:jc w:val="both"/>
              <w:rPr>
                <w:rFonts w:ascii="Palatino Linotype" w:hAnsi="Palatino Linotype" w:cs="Arial"/>
                <w:i/>
                <w:lang w:eastAsia="es-MX"/>
              </w:rPr>
            </w:pPr>
            <w:r>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A4268E">
        <w:tc>
          <w:tcPr>
            <w:tcW w:w="1836" w:type="dxa"/>
            <w:vMerge/>
            <w:tcBorders>
              <w:top w:val="single" w:sz="4" w:space="0" w:color="000000"/>
              <w:left w:val="single" w:sz="4" w:space="0" w:color="000000"/>
              <w:bottom w:val="single" w:sz="4" w:space="0" w:color="000000"/>
              <w:right w:val="single" w:sz="4" w:space="0" w:color="000000"/>
            </w:tcBorders>
            <w:vAlign w:val="center"/>
          </w:tcPr>
          <w:p w:rsidR="00A4268E" w:rsidRDefault="00A4268E">
            <w:pPr>
              <w:spacing w:line="252" w:lineRule="auto"/>
              <w:rPr>
                <w:rFonts w:ascii="Palatino Linotype" w:hAnsi="Palatino Linotype" w:cs="Arial"/>
                <w:b/>
                <w:i/>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A4268E" w:rsidRDefault="006F0117">
            <w:pPr>
              <w:spacing w:line="252" w:lineRule="auto"/>
              <w:ind w:right="757"/>
              <w:jc w:val="center"/>
              <w:rPr>
                <w:rFonts w:ascii="Palatino Linotype" w:hAnsi="Palatino Linotype" w:cs="Arial"/>
                <w:i/>
                <w:lang w:eastAsia="es-MX"/>
              </w:rPr>
            </w:pPr>
            <w:r>
              <w:rPr>
                <w:rFonts w:ascii="Palatino Linotype" w:hAnsi="Palatino Linotype" w:cs="Arial"/>
                <w:i/>
                <w:sz w:val="22"/>
                <w:szCs w:val="22"/>
                <w:lang w:eastAsia="es-MX"/>
              </w:rPr>
              <w:t>Rúbrica del titular del área</w:t>
            </w:r>
          </w:p>
        </w:tc>
        <w:tc>
          <w:tcPr>
            <w:tcW w:w="4239" w:type="dxa"/>
            <w:tcBorders>
              <w:top w:val="single" w:sz="4" w:space="0" w:color="000000"/>
              <w:left w:val="single" w:sz="4" w:space="0" w:color="000000"/>
              <w:bottom w:val="single" w:sz="4" w:space="0" w:color="000000"/>
              <w:right w:val="single" w:sz="4" w:space="0" w:color="000000"/>
            </w:tcBorders>
          </w:tcPr>
          <w:p w:rsidR="00A4268E" w:rsidRDefault="006F0117">
            <w:pPr>
              <w:spacing w:line="252" w:lineRule="auto"/>
              <w:ind w:right="757"/>
              <w:jc w:val="both"/>
              <w:rPr>
                <w:rFonts w:ascii="Palatino Linotype" w:hAnsi="Palatino Linotype" w:cs="Arial"/>
                <w:i/>
                <w:lang w:eastAsia="es-MX"/>
              </w:rPr>
            </w:pPr>
            <w:r>
              <w:rPr>
                <w:rFonts w:ascii="Palatino Linotype" w:hAnsi="Palatino Linotype" w:cs="Arial"/>
                <w:i/>
                <w:sz w:val="22"/>
                <w:szCs w:val="22"/>
                <w:lang w:eastAsia="es-MX"/>
              </w:rPr>
              <w:t>Rúbrica autógrafa de quien clasifica.</w:t>
            </w:r>
          </w:p>
        </w:tc>
      </w:tr>
      <w:tr w:rsidR="00A4268E">
        <w:tc>
          <w:tcPr>
            <w:tcW w:w="1836" w:type="dxa"/>
            <w:vMerge/>
            <w:tcBorders>
              <w:top w:val="single" w:sz="4" w:space="0" w:color="000000"/>
              <w:left w:val="single" w:sz="4" w:space="0" w:color="000000"/>
              <w:bottom w:val="single" w:sz="4" w:space="0" w:color="000000"/>
              <w:right w:val="single" w:sz="4" w:space="0" w:color="000000"/>
            </w:tcBorders>
            <w:vAlign w:val="center"/>
          </w:tcPr>
          <w:p w:rsidR="00A4268E" w:rsidRDefault="00A4268E">
            <w:pPr>
              <w:spacing w:line="252" w:lineRule="auto"/>
              <w:rPr>
                <w:rFonts w:ascii="Palatino Linotype" w:hAnsi="Palatino Linotype" w:cs="Arial"/>
                <w:b/>
                <w:i/>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A4268E" w:rsidRDefault="006F0117">
            <w:pPr>
              <w:spacing w:line="252" w:lineRule="auto"/>
              <w:ind w:right="757"/>
              <w:jc w:val="center"/>
              <w:rPr>
                <w:rFonts w:ascii="Palatino Linotype" w:hAnsi="Palatino Linotype" w:cs="Arial"/>
                <w:i/>
                <w:lang w:eastAsia="es-MX"/>
              </w:rPr>
            </w:pPr>
            <w:r>
              <w:rPr>
                <w:rFonts w:ascii="Palatino Linotype" w:hAnsi="Palatino Linotype" w:cs="Arial"/>
                <w:i/>
                <w:sz w:val="22"/>
                <w:szCs w:val="22"/>
                <w:lang w:eastAsia="es-MX"/>
              </w:rPr>
              <w:t>Fecha de desclasificación</w:t>
            </w:r>
          </w:p>
        </w:tc>
        <w:tc>
          <w:tcPr>
            <w:tcW w:w="4239" w:type="dxa"/>
            <w:tcBorders>
              <w:top w:val="single" w:sz="4" w:space="0" w:color="000000"/>
              <w:left w:val="single" w:sz="4" w:space="0" w:color="000000"/>
              <w:bottom w:val="single" w:sz="4" w:space="0" w:color="000000"/>
              <w:right w:val="single" w:sz="4" w:space="0" w:color="000000"/>
            </w:tcBorders>
          </w:tcPr>
          <w:p w:rsidR="00A4268E" w:rsidRDefault="006F0117">
            <w:pPr>
              <w:spacing w:line="252" w:lineRule="auto"/>
              <w:ind w:right="757"/>
              <w:jc w:val="both"/>
              <w:rPr>
                <w:rFonts w:ascii="Palatino Linotype" w:hAnsi="Palatino Linotype" w:cs="Arial"/>
                <w:i/>
                <w:lang w:eastAsia="es-MX"/>
              </w:rPr>
            </w:pPr>
            <w:r>
              <w:rPr>
                <w:rFonts w:ascii="Palatino Linotype" w:hAnsi="Palatino Linotype" w:cs="Arial"/>
                <w:i/>
                <w:sz w:val="22"/>
                <w:szCs w:val="22"/>
                <w:lang w:eastAsia="es-MX"/>
              </w:rPr>
              <w:t>Se anotará la fecha en que se desclasifica el documento.</w:t>
            </w:r>
          </w:p>
        </w:tc>
      </w:tr>
      <w:tr w:rsidR="00A4268E">
        <w:tc>
          <w:tcPr>
            <w:tcW w:w="1836" w:type="dxa"/>
            <w:vMerge/>
            <w:tcBorders>
              <w:top w:val="single" w:sz="4" w:space="0" w:color="000000"/>
              <w:left w:val="single" w:sz="4" w:space="0" w:color="000000"/>
              <w:bottom w:val="single" w:sz="4" w:space="0" w:color="000000"/>
              <w:right w:val="single" w:sz="4" w:space="0" w:color="000000"/>
            </w:tcBorders>
            <w:vAlign w:val="center"/>
          </w:tcPr>
          <w:p w:rsidR="00A4268E" w:rsidRDefault="00A4268E">
            <w:pPr>
              <w:spacing w:line="252" w:lineRule="auto"/>
              <w:rPr>
                <w:rFonts w:ascii="Palatino Linotype" w:hAnsi="Palatino Linotype" w:cs="Arial"/>
                <w:b/>
                <w:i/>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A4268E" w:rsidRDefault="006F0117">
            <w:pPr>
              <w:spacing w:line="252" w:lineRule="auto"/>
              <w:ind w:right="757"/>
              <w:jc w:val="center"/>
              <w:rPr>
                <w:rFonts w:ascii="Palatino Linotype" w:hAnsi="Palatino Linotype" w:cs="Arial"/>
                <w:i/>
                <w:lang w:eastAsia="es-MX"/>
              </w:rPr>
            </w:pPr>
            <w:r>
              <w:rPr>
                <w:rFonts w:ascii="Palatino Linotype" w:hAnsi="Palatino Linotype" w:cs="Arial"/>
                <w:i/>
                <w:sz w:val="22"/>
                <w:szCs w:val="22"/>
                <w:lang w:eastAsia="es-MX"/>
              </w:rPr>
              <w:t>Rúbrica y cargo del servidor público</w:t>
            </w:r>
          </w:p>
        </w:tc>
        <w:tc>
          <w:tcPr>
            <w:tcW w:w="4239" w:type="dxa"/>
            <w:tcBorders>
              <w:top w:val="single" w:sz="4" w:space="0" w:color="000000"/>
              <w:left w:val="single" w:sz="4" w:space="0" w:color="000000"/>
              <w:bottom w:val="single" w:sz="4" w:space="0" w:color="000000"/>
              <w:right w:val="single" w:sz="4" w:space="0" w:color="000000"/>
            </w:tcBorders>
            <w:vAlign w:val="center"/>
          </w:tcPr>
          <w:p w:rsidR="00A4268E" w:rsidRDefault="006F0117">
            <w:pPr>
              <w:spacing w:line="252" w:lineRule="auto"/>
              <w:ind w:right="757"/>
              <w:rPr>
                <w:rFonts w:ascii="Palatino Linotype" w:hAnsi="Palatino Linotype" w:cs="Arial"/>
                <w:i/>
                <w:lang w:eastAsia="es-MX"/>
              </w:rPr>
            </w:pPr>
            <w:r>
              <w:rPr>
                <w:rFonts w:ascii="Palatino Linotype" w:hAnsi="Palatino Linotype" w:cs="Arial"/>
                <w:i/>
                <w:sz w:val="22"/>
                <w:szCs w:val="22"/>
                <w:lang w:eastAsia="es-MX"/>
              </w:rPr>
              <w:t>Rúbrica autógrafa de quien desclasifica.</w:t>
            </w:r>
          </w:p>
        </w:tc>
      </w:tr>
    </w:tbl>
    <w:p w:rsidR="00A4268E" w:rsidRDefault="006F0117">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A4268E" w:rsidRDefault="00A4268E">
      <w:pPr>
        <w:ind w:left="709" w:right="757"/>
        <w:jc w:val="both"/>
        <w:rPr>
          <w:rFonts w:ascii="Palatino Linotype" w:hAnsi="Palatino Linotype" w:cs="Arial"/>
          <w:i/>
          <w:sz w:val="22"/>
          <w:szCs w:val="22"/>
          <w:lang w:eastAsia="es-MX"/>
        </w:rPr>
      </w:pPr>
    </w:p>
    <w:p w:rsidR="00A4268E" w:rsidRDefault="006F0117">
      <w:pPr>
        <w:ind w:left="709" w:right="757"/>
        <w:jc w:val="both"/>
        <w:rPr>
          <w:rFonts w:ascii="Palatino Linotype" w:hAnsi="Palatino Linotype" w:cs="Arial"/>
          <w:sz w:val="22"/>
          <w:szCs w:val="22"/>
          <w:lang w:eastAsia="es-MX"/>
        </w:rPr>
      </w:pPr>
      <w:r>
        <w:rPr>
          <w:rFonts w:ascii="Palatino Linotype" w:hAnsi="Palatino Linotype" w:cs="Arial"/>
          <w:sz w:val="22"/>
          <w:szCs w:val="22"/>
          <w:lang w:eastAsia="es-MX"/>
        </w:rPr>
        <w:t>(Énfasis Añadido)</w:t>
      </w:r>
    </w:p>
    <w:p w:rsidR="00A4268E" w:rsidRDefault="00A4268E">
      <w:pPr>
        <w:spacing w:line="360" w:lineRule="auto"/>
        <w:ind w:left="709" w:right="757"/>
        <w:jc w:val="both"/>
        <w:rPr>
          <w:rFonts w:ascii="Palatino Linotype" w:hAnsi="Palatino Linotype" w:cs="Arial"/>
          <w:sz w:val="22"/>
          <w:szCs w:val="22"/>
          <w:lang w:eastAsia="es-MX"/>
        </w:rPr>
      </w:pPr>
    </w:p>
    <w:p w:rsidR="00A4268E" w:rsidRDefault="006F0117">
      <w:pPr>
        <w:pStyle w:val="Prrafodelista"/>
        <w:widowControl w:val="0"/>
        <w:spacing w:line="360" w:lineRule="auto"/>
        <w:ind w:left="0"/>
        <w:jc w:val="both"/>
        <w:rPr>
          <w:rFonts w:ascii="Palatino Linotype" w:hAnsi="Palatino Linotype" w:cs="Arial"/>
        </w:rPr>
      </w:pPr>
      <w:r>
        <w:rPr>
          <w:rFonts w:ascii="Palatino Linotype" w:hAnsi="Palatino Linotype" w:cs="Arial"/>
        </w:rPr>
        <w:t>Por lo tanto,</w:t>
      </w:r>
      <w:r>
        <w:rPr>
          <w:rFonts w:ascii="Palatino Linotype" w:hAnsi="Palatino Linotype"/>
        </w:rPr>
        <w:t xml:space="preserve"> es importante referir que </w:t>
      </w:r>
      <w:r>
        <w:rPr>
          <w:rFonts w:ascii="Palatino Linotype" w:hAnsi="Palatino Linotype"/>
          <w:b/>
        </w:rPr>
        <w:t>EL SUJETO OBLIGADO</w:t>
      </w:r>
      <w:r>
        <w:rPr>
          <w:rFonts w:ascii="Palatino Linotype" w:hAnsi="Palatino Linotype"/>
        </w:rPr>
        <w:t xml:space="preserve"> deberá seguir el procedimiento legal establecido para su </w:t>
      </w:r>
      <w:r>
        <w:rPr>
          <w:rFonts w:ascii="Palatino Linotype" w:hAnsi="Palatino Linotype"/>
          <w:lang w:eastAsia="es-MX"/>
        </w:rPr>
        <w:t>clasificación</w:t>
      </w:r>
      <w:r>
        <w:rPr>
          <w:rFonts w:ascii="Palatino Linotype" w:hAnsi="Palatino Linotype"/>
        </w:rPr>
        <w:t>, esto es, que su Comité de</w:t>
      </w:r>
      <w:r>
        <w:rPr>
          <w:rFonts w:ascii="Palatino Linotype" w:hAnsi="Palatino Linotype" w:cs="Arial"/>
        </w:rPr>
        <w:t xml:space="preserve"> Transparencia emita </w:t>
      </w:r>
      <w:r>
        <w:rPr>
          <w:rFonts w:ascii="Palatino Linotype" w:hAnsi="Palatino Linotype" w:cs="Arial"/>
          <w:lang w:val="es-ES_tradnl"/>
        </w:rPr>
        <w:t>un</w:t>
      </w:r>
      <w:r>
        <w:rPr>
          <w:rFonts w:ascii="Palatino Linotype" w:hAnsi="Palatino Linotype" w:cs="Arial"/>
        </w:rPr>
        <w:t xml:space="preserve"> Acuerdo de Clasificación que cumpla con las formalidades previstas, antes citadas</w:t>
      </w:r>
      <w:r>
        <w:rPr>
          <w:rFonts w:ascii="Palatino Linotype" w:hAnsi="Palatino Linotype" w:cs="Arial"/>
          <w:b/>
        </w:rPr>
        <w:t xml:space="preserve"> </w:t>
      </w:r>
      <w:r>
        <w:rPr>
          <w:rFonts w:ascii="Palatino Linotype" w:hAnsi="Palatino Linotype" w:cs="Arial"/>
        </w:rPr>
        <w:t xml:space="preserve">que la sustente, en el </w:t>
      </w:r>
      <w:r>
        <w:rPr>
          <w:rFonts w:ascii="Palatino Linotype" w:hAnsi="Palatino Linotype" w:cs="Arial"/>
          <w:lang w:eastAsia="es-MX"/>
        </w:rPr>
        <w:t>que</w:t>
      </w:r>
      <w:r>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4268E" w:rsidRDefault="00A4268E">
      <w:pPr>
        <w:pStyle w:val="Prrafodelista"/>
        <w:widowControl w:val="0"/>
        <w:spacing w:line="360" w:lineRule="auto"/>
        <w:ind w:left="0"/>
        <w:jc w:val="both"/>
        <w:rPr>
          <w:rFonts w:ascii="Palatino Linotype" w:hAnsi="Palatino Linotype" w:cs="Arial"/>
        </w:rPr>
      </w:pPr>
    </w:p>
    <w:p w:rsidR="00A4268E" w:rsidRDefault="006F0117">
      <w:pPr>
        <w:pStyle w:val="Prrafodelista"/>
        <w:widowControl w:val="0"/>
        <w:spacing w:line="360" w:lineRule="auto"/>
        <w:ind w:left="0"/>
        <w:jc w:val="both"/>
        <w:rPr>
          <w:rFonts w:ascii="Palatino Linotype" w:hAnsi="Palatino Linotype" w:cs="Arial"/>
        </w:rPr>
      </w:pPr>
      <w:r>
        <w:rPr>
          <w:rFonts w:ascii="Palatino Linotype" w:hAnsi="Palatino Linotype"/>
        </w:rPr>
        <w:t xml:space="preserve">Precisado lo anterior, entre los datos que de manera enunciativa más no limitativa, pudieran contenerse en </w:t>
      </w:r>
      <w:r>
        <w:rPr>
          <w:rFonts w:ascii="Palatino Linotype" w:eastAsia="Arial Unicode MS" w:hAnsi="Palatino Linotype" w:cs="Arial"/>
        </w:rPr>
        <w:t xml:space="preserve">la </w:t>
      </w:r>
      <w:r>
        <w:rPr>
          <w:rFonts w:ascii="Palatino Linotype" w:eastAsia="Arial Unicode MS" w:hAnsi="Palatino Linotype" w:cs="Arial"/>
          <w:b/>
        </w:rPr>
        <w:t xml:space="preserve">nómina general </w:t>
      </w:r>
      <w:r>
        <w:rPr>
          <w:rFonts w:ascii="Palatino Linotype" w:hAnsi="Palatino Linotype"/>
        </w:rPr>
        <w:t xml:space="preserve">que se ordena entregar en versión pública, se encuentran </w:t>
      </w:r>
      <w:r>
        <w:rPr>
          <w:rFonts w:ascii="Palatino Linotype" w:hAnsi="Palatino Linotype" w:cs="Arial"/>
        </w:rPr>
        <w:t xml:space="preserve">el </w:t>
      </w:r>
      <w:r>
        <w:rPr>
          <w:rFonts w:ascii="Palatino Linotype" w:hAnsi="Palatino Linotype" w:cs="Arial"/>
          <w:b/>
        </w:rPr>
        <w:t>Registro Federal de Contribuyentes</w:t>
      </w:r>
      <w:r>
        <w:rPr>
          <w:rFonts w:ascii="Palatino Linotype" w:hAnsi="Palatino Linotype" w:cs="Arial"/>
        </w:rPr>
        <w:t xml:space="preserve"> (RFC), la </w:t>
      </w:r>
      <w:r>
        <w:rPr>
          <w:rFonts w:ascii="Palatino Linotype" w:hAnsi="Palatino Linotype" w:cs="Arial"/>
          <w:b/>
        </w:rPr>
        <w:t>Clave Única de Registro de Población</w:t>
      </w:r>
      <w:r>
        <w:rPr>
          <w:rFonts w:ascii="Palatino Linotype" w:hAnsi="Palatino Linotype" w:cs="Arial"/>
        </w:rPr>
        <w:t xml:space="preserve"> (CURP), la </w:t>
      </w:r>
      <w:r>
        <w:rPr>
          <w:rFonts w:ascii="Palatino Linotype" w:hAnsi="Palatino Linotype" w:cs="Arial"/>
          <w:b/>
        </w:rPr>
        <w:t>Clave de cualquier tipo de seguridad social</w:t>
      </w:r>
      <w:r>
        <w:rPr>
          <w:rFonts w:ascii="Palatino Linotype" w:hAnsi="Palatino Linotype" w:cs="Arial"/>
        </w:rPr>
        <w:t xml:space="preserve"> </w:t>
      </w:r>
      <w:r>
        <w:rPr>
          <w:rFonts w:ascii="Palatino Linotype" w:hAnsi="Palatino Linotype" w:cs="Arial"/>
        </w:rPr>
        <w:lastRenderedPageBreak/>
        <w:t xml:space="preserve">(ISSEMYM), así como, los </w:t>
      </w:r>
      <w:r>
        <w:rPr>
          <w:rFonts w:ascii="Palatino Linotype" w:hAnsi="Palatino Linotype" w:cs="Arial"/>
          <w:b/>
        </w:rPr>
        <w:t>préstamos o descuentos</w:t>
      </w:r>
      <w:r>
        <w:rPr>
          <w:rFonts w:ascii="Palatino Linotype" w:hAnsi="Palatino Linotype" w:cs="Arial"/>
        </w:rPr>
        <w:t xml:space="preserve"> que se le hagan a la persona y que no tengan relación con los impuestos o la cuota por seguridad social, </w:t>
      </w:r>
      <w:r>
        <w:rPr>
          <w:rFonts w:ascii="Palatino Linotype" w:hAnsi="Palatino Linotype"/>
        </w:rPr>
        <w:t xml:space="preserve">los cuales son susceptibles de ser clasificados como información </w:t>
      </w:r>
      <w:r>
        <w:rPr>
          <w:rFonts w:ascii="Palatino Linotype" w:hAnsi="Palatino Linotype" w:cs="Arial"/>
          <w:b/>
          <w:u w:val="single"/>
        </w:rPr>
        <w:t>confidencial</w:t>
      </w:r>
      <w:r>
        <w:rPr>
          <w:rFonts w:ascii="Palatino Linotype" w:hAnsi="Palatino Linotype" w:cs="Arial"/>
        </w:rPr>
        <w:t>.</w:t>
      </w:r>
    </w:p>
    <w:p w:rsidR="00A4268E" w:rsidRDefault="00A4268E">
      <w:pPr>
        <w:pStyle w:val="Prrafodelista"/>
        <w:widowControl w:val="0"/>
        <w:spacing w:line="360" w:lineRule="auto"/>
        <w:ind w:left="0"/>
        <w:jc w:val="both"/>
        <w:rPr>
          <w:rFonts w:ascii="Palatino Linotype" w:hAnsi="Palatino Linotype" w:cs="Arial"/>
        </w:rPr>
      </w:pPr>
    </w:p>
    <w:p w:rsidR="00A4268E" w:rsidRDefault="006F0117">
      <w:pPr>
        <w:pStyle w:val="Prrafodelista"/>
        <w:widowControl w:val="0"/>
        <w:spacing w:line="360" w:lineRule="auto"/>
        <w:ind w:left="0"/>
        <w:jc w:val="both"/>
        <w:rPr>
          <w:rFonts w:ascii="Palatino Linotype" w:hAnsi="Palatino Linotype"/>
        </w:rPr>
      </w:pPr>
      <w:r>
        <w:rPr>
          <w:rFonts w:ascii="Palatino Linotype" w:hAnsi="Palatino Linotype" w:cs="Arial"/>
          <w:lang w:eastAsia="es-MX"/>
        </w:rPr>
        <w:t xml:space="preserve">Por cuanto hace al </w:t>
      </w:r>
      <w:r>
        <w:rPr>
          <w:rFonts w:ascii="Palatino Linotype" w:hAnsi="Palatino Linotype" w:cs="Arial"/>
          <w:b/>
          <w:lang w:eastAsia="es-MX"/>
        </w:rPr>
        <w:t>Registro Federal de Contribuyentes</w:t>
      </w:r>
      <w:r>
        <w:rPr>
          <w:rFonts w:ascii="Palatino Linotype" w:hAnsi="Palatino Linotype" w:cs="Arial"/>
          <w:lang w:eastAsia="es-MX"/>
        </w:rPr>
        <w:t xml:space="preserve"> </w:t>
      </w:r>
      <w:r>
        <w:rPr>
          <w:rFonts w:ascii="Palatino Linotype" w:hAnsi="Palatino Linotype" w:cs="Arial"/>
          <w:b/>
          <w:lang w:eastAsia="es-MX"/>
        </w:rPr>
        <w:t>de las personas físicas</w:t>
      </w:r>
      <w:r>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Pr>
          <w:rFonts w:ascii="Palatino Linotype" w:hAnsi="Palatino Linotype"/>
          <w:bCs/>
        </w:rPr>
        <w:t>del</w:t>
      </w:r>
      <w:r>
        <w:rPr>
          <w:rFonts w:ascii="Palatino Linotype" w:hAnsi="Palatino Linotype" w:cs="Arial"/>
          <w:lang w:eastAsia="es-MX"/>
        </w:rPr>
        <w:t xml:space="preserve"> apellido paterno; seguida de la primera letra Vocal del primer </w:t>
      </w:r>
      <w:r>
        <w:rPr>
          <w:rFonts w:ascii="Palatino Linotype" w:hAnsi="Palatino Linotype" w:cs="Arial"/>
        </w:rPr>
        <w:t>apellido</w:t>
      </w:r>
      <w:r>
        <w:rPr>
          <w:rFonts w:ascii="Palatino Linotype" w:hAnsi="Palatino Linotype" w:cs="Arial"/>
          <w:lang w:eastAsia="es-MX"/>
        </w:rPr>
        <w:t>; seguida de la primera letra del segundo apellido y por último la primera letra del nombre, posterior la fecha de nacimiento año/mes/día</w:t>
      </w:r>
      <w:r>
        <w:rPr>
          <w:rFonts w:ascii="Palatino Linotype" w:hAnsi="Palatino Linotype"/>
        </w:rPr>
        <w:t xml:space="preserve"> y finalmente la homoclave; la cual, para su obtención es necesario acreditar personalidad, fecha de nacimiento entre otros con documentos oficiales.</w:t>
      </w:r>
    </w:p>
    <w:p w:rsidR="00A4268E" w:rsidRDefault="00A4268E">
      <w:pPr>
        <w:pStyle w:val="Prrafodelista"/>
        <w:widowControl w:val="0"/>
        <w:spacing w:line="360" w:lineRule="auto"/>
        <w:ind w:left="0"/>
        <w:jc w:val="both"/>
        <w:rPr>
          <w:rFonts w:ascii="Palatino Linotype" w:hAnsi="Palatino Linotype"/>
        </w:rPr>
      </w:pPr>
    </w:p>
    <w:p w:rsidR="00A4268E" w:rsidRDefault="006F0117">
      <w:pPr>
        <w:pStyle w:val="Prrafodelista"/>
        <w:widowControl w:val="0"/>
        <w:spacing w:line="360" w:lineRule="auto"/>
        <w:ind w:left="0"/>
        <w:jc w:val="both"/>
        <w:rPr>
          <w:rFonts w:ascii="Palatino Linotype" w:hAnsi="Palatino Linotype"/>
          <w:b/>
          <w:bCs/>
          <w:color w:val="000000"/>
        </w:rPr>
      </w:pPr>
      <w:r>
        <w:rPr>
          <w:rFonts w:ascii="Palatino Linotype" w:hAnsi="Palatino Linotype" w:cs="Arial"/>
          <w:lang w:eastAsia="es-MX"/>
        </w:rPr>
        <w:t xml:space="preserve">Al respecto, </w:t>
      </w:r>
      <w:r>
        <w:rPr>
          <w:rFonts w:ascii="Palatino Linotype" w:hAnsi="Palatino Linotype" w:cs="Arial"/>
          <w:color w:val="000000"/>
        </w:rPr>
        <w:t xml:space="preserve">es aplicable el Criterio 19/17 de la Segunda Época, emitido por </w:t>
      </w:r>
      <w:r>
        <w:rPr>
          <w:rFonts w:ascii="Palatino Linotype" w:eastAsia="Arial Unicode MS" w:hAnsi="Palatino Linotype" w:cs="Arial"/>
          <w:color w:val="000000"/>
        </w:rPr>
        <w:t xml:space="preserve">el Instituto Nacional de </w:t>
      </w:r>
      <w:r>
        <w:rPr>
          <w:rFonts w:ascii="Palatino Linotype" w:hAnsi="Palatino Linotype" w:cs="Arial"/>
        </w:rPr>
        <w:t>Transparencia</w:t>
      </w:r>
      <w:r>
        <w:rPr>
          <w:rFonts w:ascii="Palatino Linotype" w:eastAsia="Arial Unicode MS" w:hAnsi="Palatino Linotype" w:cs="Arial"/>
          <w:color w:val="000000"/>
        </w:rPr>
        <w:t>,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A4268E" w:rsidRDefault="00A4268E">
      <w:pPr>
        <w:pStyle w:val="Prrafodelista"/>
        <w:widowControl w:val="0"/>
        <w:spacing w:line="360" w:lineRule="auto"/>
        <w:ind w:left="0"/>
        <w:jc w:val="both"/>
        <w:rPr>
          <w:rFonts w:ascii="Palatino Linotype" w:hAnsi="Palatino Linotype"/>
          <w:b/>
          <w:bCs/>
          <w:color w:val="000000"/>
        </w:rPr>
      </w:pPr>
    </w:p>
    <w:p w:rsidR="00A4268E" w:rsidRDefault="006F0117">
      <w:pPr>
        <w:ind w:left="709" w:right="709"/>
        <w:jc w:val="both"/>
        <w:rPr>
          <w:rFonts w:ascii="Palatino Linotype" w:hAnsi="Palatino Linotype" w:cs="Arial"/>
          <w:bCs/>
          <w:i/>
          <w:sz w:val="22"/>
          <w:lang w:eastAsia="en-US"/>
        </w:rPr>
      </w:pPr>
      <w:r>
        <w:rPr>
          <w:rFonts w:ascii="Palatino Linotype" w:hAnsi="Palatino Linotype" w:cs="Arial"/>
          <w:bCs/>
          <w:i/>
          <w:sz w:val="22"/>
        </w:rPr>
        <w:t>“</w:t>
      </w:r>
      <w:r>
        <w:rPr>
          <w:rFonts w:ascii="Palatino Linotype" w:hAnsi="Palatino Linotype" w:cs="Arial"/>
          <w:b/>
          <w:bCs/>
          <w:i/>
          <w:sz w:val="22"/>
        </w:rPr>
        <w:t>Registro Federal de Contribuyentes (RFC) de personas físicas. El RFC es una clave</w:t>
      </w:r>
      <w:r>
        <w:rPr>
          <w:rFonts w:ascii="Palatino Linotype" w:hAnsi="Palatino Linotype" w:cs="Arial"/>
          <w:bCs/>
          <w:i/>
          <w:sz w:val="22"/>
        </w:rPr>
        <w:t xml:space="preserve"> de carácter fiscal, </w:t>
      </w:r>
      <w:proofErr w:type="gramStart"/>
      <w:r>
        <w:rPr>
          <w:rFonts w:ascii="Palatino Linotype" w:hAnsi="Palatino Linotype" w:cs="Arial"/>
          <w:bCs/>
          <w:i/>
          <w:sz w:val="22"/>
        </w:rPr>
        <w:t>única</w:t>
      </w:r>
      <w:proofErr w:type="gramEnd"/>
      <w:r>
        <w:rPr>
          <w:rFonts w:ascii="Palatino Linotype" w:hAnsi="Palatino Linotype" w:cs="Arial"/>
          <w:bCs/>
          <w:i/>
          <w:sz w:val="22"/>
        </w:rPr>
        <w:t xml:space="preserve"> e irrepetible, </w:t>
      </w:r>
      <w:r>
        <w:rPr>
          <w:rFonts w:ascii="Palatino Linotype" w:hAnsi="Palatino Linotype" w:cs="Arial"/>
          <w:b/>
          <w:bCs/>
          <w:i/>
          <w:sz w:val="22"/>
        </w:rPr>
        <w:t>que permite identificar al titular, su edad y fecha de nacimiento</w:t>
      </w:r>
      <w:r>
        <w:rPr>
          <w:rFonts w:ascii="Palatino Linotype" w:hAnsi="Palatino Linotype" w:cs="Arial"/>
          <w:bCs/>
          <w:i/>
          <w:sz w:val="22"/>
        </w:rPr>
        <w:t xml:space="preserve">, por lo que </w:t>
      </w:r>
      <w:r>
        <w:rPr>
          <w:rFonts w:ascii="Palatino Linotype" w:hAnsi="Palatino Linotype" w:cs="Arial"/>
          <w:b/>
          <w:bCs/>
          <w:i/>
          <w:sz w:val="22"/>
        </w:rPr>
        <w:t>es un dato personal de carácter confidencial</w:t>
      </w:r>
      <w:r>
        <w:rPr>
          <w:rFonts w:ascii="Palatino Linotype" w:hAnsi="Palatino Linotype" w:cs="Arial"/>
          <w:i/>
          <w:sz w:val="22"/>
        </w:rPr>
        <w:t>.</w:t>
      </w:r>
    </w:p>
    <w:p w:rsidR="00A4268E" w:rsidRDefault="00A4268E">
      <w:pPr>
        <w:ind w:left="709" w:right="709"/>
        <w:jc w:val="both"/>
        <w:rPr>
          <w:rFonts w:ascii="Palatino Linotype" w:hAnsi="Palatino Linotype" w:cs="Arial"/>
          <w:bCs/>
          <w:i/>
          <w:sz w:val="22"/>
        </w:rPr>
      </w:pPr>
    </w:p>
    <w:p w:rsidR="00A4268E" w:rsidRDefault="006F0117">
      <w:pPr>
        <w:ind w:left="709" w:right="709"/>
        <w:jc w:val="both"/>
        <w:rPr>
          <w:rFonts w:ascii="Palatino Linotype" w:hAnsi="Palatino Linotype" w:cs="Arial"/>
          <w:bCs/>
          <w:i/>
          <w:sz w:val="22"/>
        </w:rPr>
      </w:pPr>
      <w:r>
        <w:rPr>
          <w:rFonts w:ascii="Palatino Linotype" w:hAnsi="Palatino Linotype" w:cs="Arial"/>
          <w:bCs/>
          <w:i/>
          <w:sz w:val="22"/>
        </w:rPr>
        <w:t>Resoluciones:</w:t>
      </w:r>
    </w:p>
    <w:p w:rsidR="00A4268E" w:rsidRDefault="00A4268E">
      <w:pPr>
        <w:ind w:left="709" w:right="709"/>
        <w:jc w:val="both"/>
        <w:rPr>
          <w:rFonts w:ascii="Palatino Linotype" w:hAnsi="Palatino Linotype" w:cs="Arial"/>
          <w:bCs/>
          <w:i/>
          <w:sz w:val="22"/>
        </w:rPr>
      </w:pPr>
    </w:p>
    <w:p w:rsidR="00A4268E" w:rsidRDefault="006F0117">
      <w:pPr>
        <w:ind w:left="709" w:right="709"/>
        <w:jc w:val="both"/>
        <w:rPr>
          <w:rFonts w:ascii="Palatino Linotype" w:hAnsi="Palatino Linotype" w:cs="Arial"/>
          <w:bCs/>
          <w:i/>
          <w:sz w:val="22"/>
        </w:rPr>
      </w:pPr>
      <w:r>
        <w:rPr>
          <w:rFonts w:ascii="Palatino Linotype" w:hAnsi="Palatino Linotype" w:cs="Arial"/>
          <w:bCs/>
          <w:i/>
          <w:sz w:val="22"/>
        </w:rPr>
        <w:t>• RRA 0189/17. Morena. 08 de febrero de 2017. Por unanimidad. Comisionado Ponente Joel Salas Suárez.</w:t>
      </w:r>
    </w:p>
    <w:p w:rsidR="00A4268E" w:rsidRDefault="006F0117">
      <w:pPr>
        <w:ind w:left="709" w:right="709"/>
        <w:jc w:val="both"/>
        <w:rPr>
          <w:rFonts w:ascii="Palatino Linotype" w:hAnsi="Palatino Linotype" w:cs="Arial"/>
          <w:bCs/>
          <w:i/>
          <w:sz w:val="22"/>
        </w:rPr>
      </w:pPr>
      <w:r>
        <w:rPr>
          <w:rFonts w:ascii="Palatino Linotype" w:hAnsi="Palatino Linotype" w:cs="Arial"/>
          <w:bCs/>
          <w:i/>
          <w:sz w:val="22"/>
        </w:rPr>
        <w:t xml:space="preserve">• RRA 0677/17. Universidad Nacional Autónoma de México. 08 de marzo de 2017. Por unanimidad. Comisionado Ponente Rosendoevgueni Monterrey Chepov. </w:t>
      </w:r>
    </w:p>
    <w:p w:rsidR="00A4268E" w:rsidRDefault="006F0117">
      <w:pPr>
        <w:ind w:left="709" w:right="709"/>
        <w:jc w:val="both"/>
        <w:rPr>
          <w:rFonts w:ascii="Palatino Linotype" w:hAnsi="Palatino Linotype" w:cs="Arial"/>
          <w:i/>
          <w:sz w:val="22"/>
        </w:rPr>
      </w:pPr>
      <w:r>
        <w:rPr>
          <w:rFonts w:ascii="Palatino Linotype" w:hAnsi="Palatino Linotype" w:cs="Arial"/>
          <w:bCs/>
          <w:i/>
          <w:sz w:val="22"/>
        </w:rPr>
        <w:lastRenderedPageBreak/>
        <w:t>• RRA 1564/17. Tribunal Electoral del Poder Judicial de la Federación. 26 de abril de 2017. Por unanimidad. Comisionado Ponente Oscar Mauricio Guerra Ford.</w:t>
      </w:r>
      <w:r>
        <w:rPr>
          <w:rFonts w:ascii="Palatino Linotype" w:hAnsi="Palatino Linotype" w:cs="Arial"/>
          <w:i/>
          <w:sz w:val="22"/>
        </w:rPr>
        <w:t>”</w:t>
      </w:r>
    </w:p>
    <w:p w:rsidR="00A4268E" w:rsidRDefault="00A4268E">
      <w:pPr>
        <w:ind w:left="709" w:right="709"/>
        <w:jc w:val="both"/>
        <w:rPr>
          <w:rFonts w:ascii="Palatino Linotype" w:hAnsi="Palatino Linotype" w:cs="Arial"/>
          <w:sz w:val="22"/>
        </w:rPr>
      </w:pPr>
    </w:p>
    <w:p w:rsidR="00A4268E" w:rsidRDefault="006F0117">
      <w:pPr>
        <w:ind w:left="709" w:right="709"/>
        <w:jc w:val="both"/>
        <w:rPr>
          <w:rFonts w:ascii="Palatino Linotype" w:hAnsi="Palatino Linotype" w:cs="Arial"/>
          <w:sz w:val="22"/>
        </w:rPr>
      </w:pPr>
      <w:r>
        <w:rPr>
          <w:rFonts w:ascii="Palatino Linotype" w:hAnsi="Palatino Linotype" w:cs="Arial"/>
          <w:sz w:val="22"/>
        </w:rPr>
        <w:t>(Énfasis añadido)</w:t>
      </w:r>
    </w:p>
    <w:p w:rsidR="00A4268E" w:rsidRDefault="00A4268E">
      <w:pPr>
        <w:spacing w:line="360" w:lineRule="auto"/>
        <w:ind w:left="709" w:right="709"/>
        <w:jc w:val="both"/>
        <w:rPr>
          <w:rFonts w:ascii="Palatino Linotype" w:hAnsi="Palatino Linotype" w:cs="Arial"/>
          <w:sz w:val="22"/>
        </w:rPr>
      </w:pPr>
    </w:p>
    <w:p w:rsidR="00A4268E" w:rsidRDefault="006F0117">
      <w:pPr>
        <w:pStyle w:val="Prrafodelista"/>
        <w:widowControl w:val="0"/>
        <w:spacing w:line="360" w:lineRule="auto"/>
        <w:ind w:left="0"/>
        <w:jc w:val="both"/>
        <w:rPr>
          <w:rFonts w:ascii="Palatino Linotype" w:hAnsi="Palatino Linotype" w:cs="Arial"/>
        </w:rPr>
      </w:pPr>
      <w:r>
        <w:rPr>
          <w:rFonts w:ascii="Palatino Linotype" w:hAnsi="Palatino Linotype" w:cs="Arial"/>
          <w:lang w:eastAsia="es-MX"/>
        </w:rPr>
        <w:t xml:space="preserve">De lo anterior, se desprende que el Registro Federal de Contribuyentes se vincula al nombre de su </w:t>
      </w:r>
      <w:r>
        <w:rPr>
          <w:rFonts w:ascii="Palatino Linotype" w:hAnsi="Palatino Linotype"/>
          <w:bCs/>
        </w:rPr>
        <w:t>titular</w:t>
      </w:r>
      <w:r>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Pr>
          <w:rFonts w:ascii="Palatino Linotype" w:hAnsi="Palatino Linotype"/>
          <w:lang w:eastAsia="es-MX"/>
        </w:rPr>
        <w:t>Municipios</w:t>
      </w:r>
      <w:r>
        <w:rPr>
          <w:rFonts w:ascii="Palatino Linotype" w:hAnsi="Palatino Linotype" w:cs="Arial"/>
          <w:lang w:eastAsia="es-MX"/>
        </w:rPr>
        <w:t xml:space="preserve">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p>
    <w:p w:rsidR="00A4268E" w:rsidRDefault="00A4268E">
      <w:pPr>
        <w:pStyle w:val="Prrafodelista"/>
        <w:widowControl w:val="0"/>
        <w:spacing w:line="360" w:lineRule="auto"/>
        <w:ind w:left="0"/>
        <w:jc w:val="both"/>
        <w:rPr>
          <w:rFonts w:ascii="Palatino Linotype" w:hAnsi="Palatino Linotype" w:cs="Arial"/>
        </w:rPr>
      </w:pPr>
    </w:p>
    <w:p w:rsidR="00A4268E" w:rsidRDefault="006F0117">
      <w:pPr>
        <w:pStyle w:val="Prrafodelista"/>
        <w:widowControl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Por cuanto hace a la </w:t>
      </w:r>
      <w:r>
        <w:rPr>
          <w:rFonts w:ascii="Palatino Linotype" w:hAnsi="Palatino Linotype" w:cs="Arial"/>
          <w:b/>
        </w:rPr>
        <w:t xml:space="preserve">Clave Única de Registro de Población, </w:t>
      </w:r>
      <w:r>
        <w:rPr>
          <w:rFonts w:ascii="Palatino Linotype" w:hAnsi="Palatino Linotype" w:cs="Arial"/>
          <w:lang w:eastAsia="es-MX"/>
        </w:rPr>
        <w:t xml:space="preserve">constituye un dato </w:t>
      </w:r>
      <w:r>
        <w:rPr>
          <w:rFonts w:ascii="Palatino Linotype" w:hAnsi="Palatino Linotype" w:cs="Arial"/>
        </w:rPr>
        <w:t>personal</w:t>
      </w:r>
      <w:r>
        <w:rPr>
          <w:rFonts w:ascii="Palatino Linotype" w:hAnsi="Palatino Linotype" w:cs="Arial"/>
          <w:lang w:eastAsia="es-MX"/>
        </w:rPr>
        <w:t xml:space="preserve">, ya que </w:t>
      </w:r>
      <w:r>
        <w:rPr>
          <w:rFonts w:ascii="Palatino Linotype" w:hAnsi="Palatino Linotype"/>
          <w:lang w:eastAsia="es-MX"/>
        </w:rPr>
        <w:t>tiene</w:t>
      </w:r>
      <w:r>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A4268E" w:rsidRDefault="00A4268E">
      <w:pPr>
        <w:pStyle w:val="Prrafodelista"/>
        <w:widowControl w:val="0"/>
        <w:spacing w:line="360" w:lineRule="auto"/>
        <w:ind w:left="0"/>
        <w:jc w:val="both"/>
        <w:rPr>
          <w:rFonts w:ascii="Palatino Linotype" w:hAnsi="Palatino Linotype" w:cs="Arial"/>
          <w:lang w:eastAsia="es-MX"/>
        </w:rPr>
      </w:pPr>
    </w:p>
    <w:p w:rsidR="00A4268E" w:rsidRDefault="006F0117">
      <w:pPr>
        <w:pStyle w:val="Prrafodelista"/>
        <w:widowControl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Lo anterior, </w:t>
      </w:r>
      <w:r>
        <w:rPr>
          <w:rFonts w:ascii="Palatino Linotype" w:hAnsi="Palatino Linotype" w:cs="Arial"/>
        </w:rPr>
        <w:t>tiene</w:t>
      </w:r>
      <w:r>
        <w:rPr>
          <w:rFonts w:ascii="Palatino Linotype" w:hAnsi="Palatino Linotype" w:cs="Arial"/>
          <w:lang w:eastAsia="es-MX"/>
        </w:rPr>
        <w:t xml:space="preserve"> sustento en los artículos 86 y 91 de la Ley General de Población, la cual señala lo siguiente:</w:t>
      </w:r>
    </w:p>
    <w:p w:rsidR="00A4268E" w:rsidRDefault="00A4268E">
      <w:pPr>
        <w:pStyle w:val="Prrafodelista"/>
        <w:widowControl w:val="0"/>
        <w:spacing w:line="360" w:lineRule="auto"/>
        <w:ind w:left="0"/>
        <w:jc w:val="both"/>
        <w:rPr>
          <w:rFonts w:ascii="Palatino Linotype" w:hAnsi="Palatino Linotype" w:cs="Arial"/>
          <w:lang w:eastAsia="es-MX"/>
        </w:rPr>
      </w:pPr>
    </w:p>
    <w:p w:rsidR="00A4268E" w:rsidRDefault="006F0117">
      <w:pPr>
        <w:ind w:left="709" w:right="709"/>
        <w:jc w:val="both"/>
        <w:rPr>
          <w:rFonts w:ascii="Palatino Linotype" w:hAnsi="Palatino Linotype" w:cs="Arial"/>
          <w:i/>
          <w:sz w:val="22"/>
          <w:lang w:eastAsia="es-MX"/>
        </w:rPr>
      </w:pPr>
      <w:r>
        <w:rPr>
          <w:rFonts w:ascii="Palatino Linotype" w:hAnsi="Palatino Linotype" w:cs="Arial,Bold"/>
          <w:bCs/>
          <w:i/>
          <w:sz w:val="22"/>
          <w:lang w:eastAsia="es-MX"/>
        </w:rPr>
        <w:t>“</w:t>
      </w:r>
      <w:r>
        <w:rPr>
          <w:rFonts w:ascii="Palatino Linotype" w:hAnsi="Palatino Linotype" w:cs="Arial,Bold"/>
          <w:b/>
          <w:bCs/>
          <w:i/>
          <w:sz w:val="22"/>
          <w:lang w:eastAsia="es-MX"/>
        </w:rPr>
        <w:t xml:space="preserve">Artículo 86. </w:t>
      </w:r>
      <w:r>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Pr>
          <w:rFonts w:ascii="Palatino Linotype" w:hAnsi="Palatino Linotype" w:cs="Arial"/>
          <w:bCs/>
          <w:i/>
          <w:sz w:val="22"/>
        </w:rPr>
        <w:t>fehacientemente</w:t>
      </w:r>
      <w:r>
        <w:rPr>
          <w:rFonts w:ascii="Palatino Linotype" w:hAnsi="Palatino Linotype" w:cs="Arial"/>
          <w:i/>
          <w:sz w:val="22"/>
          <w:lang w:eastAsia="es-MX"/>
        </w:rPr>
        <w:t xml:space="preserve"> su identidad.</w:t>
      </w:r>
    </w:p>
    <w:p w:rsidR="00A4268E" w:rsidRDefault="00A4268E">
      <w:pPr>
        <w:ind w:left="709" w:right="709"/>
        <w:jc w:val="both"/>
        <w:rPr>
          <w:rFonts w:ascii="Palatino Linotype" w:hAnsi="Palatino Linotype" w:cs="Arial,Bold"/>
          <w:b/>
          <w:bCs/>
          <w:i/>
          <w:sz w:val="22"/>
          <w:lang w:eastAsia="es-MX"/>
        </w:rPr>
      </w:pPr>
    </w:p>
    <w:p w:rsidR="00A4268E" w:rsidRDefault="006F0117">
      <w:pPr>
        <w:ind w:left="709" w:right="709"/>
        <w:jc w:val="both"/>
        <w:rPr>
          <w:rFonts w:ascii="Palatino Linotype" w:hAnsi="Palatino Linotype" w:cs="Arial"/>
          <w:i/>
          <w:sz w:val="22"/>
          <w:lang w:eastAsia="es-MX"/>
        </w:rPr>
      </w:pPr>
      <w:r>
        <w:rPr>
          <w:rFonts w:ascii="Palatino Linotype" w:hAnsi="Palatino Linotype" w:cs="Arial,Bold"/>
          <w:b/>
          <w:bCs/>
          <w:i/>
          <w:sz w:val="22"/>
          <w:lang w:eastAsia="es-MX"/>
        </w:rPr>
        <w:lastRenderedPageBreak/>
        <w:t xml:space="preserve">Artículo 91. </w:t>
      </w:r>
      <w:r>
        <w:rPr>
          <w:rFonts w:ascii="Palatino Linotype" w:hAnsi="Palatino Linotype" w:cs="Arial"/>
          <w:i/>
          <w:sz w:val="22"/>
          <w:lang w:eastAsia="es-MX"/>
        </w:rPr>
        <w:t xml:space="preserve">Al incorporar a una persona en el Registro Nacional de Población, se le asignará una clave que se </w:t>
      </w:r>
      <w:r>
        <w:rPr>
          <w:rFonts w:ascii="Palatino Linotype" w:hAnsi="Palatino Linotype" w:cs="Arial"/>
          <w:bCs/>
          <w:i/>
          <w:sz w:val="22"/>
        </w:rPr>
        <w:t>denominará</w:t>
      </w:r>
      <w:r>
        <w:rPr>
          <w:rFonts w:ascii="Palatino Linotype" w:hAnsi="Palatino Linotype" w:cs="Arial"/>
          <w:i/>
          <w:sz w:val="22"/>
          <w:lang w:eastAsia="es-MX"/>
        </w:rPr>
        <w:t xml:space="preserve"> Clave Única de Registro de Población. Esta servirá para registrarla e identificarla en forma individual.”</w:t>
      </w:r>
    </w:p>
    <w:p w:rsidR="00A4268E" w:rsidRDefault="00A4268E">
      <w:pPr>
        <w:spacing w:line="360" w:lineRule="auto"/>
        <w:ind w:left="709" w:right="709"/>
        <w:jc w:val="both"/>
        <w:rPr>
          <w:rFonts w:ascii="Palatino Linotype" w:hAnsi="Palatino Linotype" w:cs="Arial"/>
          <w:i/>
          <w:sz w:val="22"/>
          <w:lang w:eastAsia="es-MX"/>
        </w:rPr>
      </w:pPr>
    </w:p>
    <w:p w:rsidR="00A4268E" w:rsidRDefault="006F0117">
      <w:pPr>
        <w:pStyle w:val="Prrafodelista"/>
        <w:widowControl w:val="0"/>
        <w:spacing w:line="360" w:lineRule="auto"/>
        <w:ind w:left="0"/>
        <w:jc w:val="both"/>
        <w:rPr>
          <w:rFonts w:ascii="Palatino Linotype" w:hAnsi="Palatino Linotype"/>
          <w:lang w:eastAsia="es-MX"/>
        </w:rPr>
      </w:pPr>
      <w:r>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Pr>
          <w:rFonts w:ascii="Palatino Linotype" w:hAnsi="Palatino Linotype"/>
          <w:bCs/>
        </w:rPr>
        <w:t>identidad</w:t>
      </w:r>
      <w:r>
        <w:rPr>
          <w:rFonts w:ascii="Palatino Linotype" w:hAnsi="Palatino Linotype"/>
          <w:lang w:eastAsia="es-MX"/>
        </w:rPr>
        <w:t xml:space="preserve"> (acta de nacimiento, carta de naturalización o documento </w:t>
      </w:r>
      <w:r>
        <w:rPr>
          <w:rFonts w:ascii="Palatino Linotype" w:hAnsi="Palatino Linotype" w:cs="Arial"/>
          <w:lang w:eastAsia="es-MX"/>
        </w:rPr>
        <w:t>migratorio</w:t>
      </w:r>
      <w:r>
        <w:rPr>
          <w:rFonts w:ascii="Palatino Linotype" w:hAnsi="Palatino Linotype"/>
          <w:lang w:eastAsia="es-MX"/>
        </w:rPr>
        <w:t xml:space="preserve">), la </w:t>
      </w:r>
      <w:r>
        <w:rPr>
          <w:rFonts w:ascii="Palatino Linotype" w:hAnsi="Palatino Linotype" w:cs="Arial"/>
        </w:rPr>
        <w:t>cual</w:t>
      </w:r>
      <w:r>
        <w:rPr>
          <w:rFonts w:ascii="Palatino Linotype" w:hAnsi="Palatino Linotype"/>
          <w:lang w:eastAsia="es-MX"/>
        </w:rPr>
        <w:t xml:space="preserve"> se integra de</w:t>
      </w:r>
      <w:r>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Pr>
          <w:rFonts w:ascii="Palatino Linotype" w:hAnsi="Palatino Linotype"/>
          <w:lang w:eastAsia="es-MX"/>
        </w:rPr>
        <w:t>; sexo; Entidad Federativa de nacimiento; consonantes internas del nombre y apellidos; un diferenciador de homonimia y siglo; así como un dígito verificador.</w:t>
      </w:r>
    </w:p>
    <w:p w:rsidR="00A4268E" w:rsidRDefault="00A4268E">
      <w:pPr>
        <w:pStyle w:val="Prrafodelista"/>
        <w:widowControl w:val="0"/>
        <w:spacing w:line="360" w:lineRule="auto"/>
        <w:ind w:left="0"/>
        <w:jc w:val="both"/>
        <w:rPr>
          <w:rFonts w:ascii="Palatino Linotype" w:hAnsi="Palatino Linotype"/>
          <w:lang w:eastAsia="es-MX"/>
        </w:rPr>
      </w:pPr>
    </w:p>
    <w:p w:rsidR="00A4268E" w:rsidRDefault="006F0117">
      <w:pPr>
        <w:pStyle w:val="Prrafodelista"/>
        <w:widowControl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Al respecto, el </w:t>
      </w:r>
      <w:r>
        <w:rPr>
          <w:rFonts w:ascii="Palatino Linotype" w:eastAsia="Arial Unicode MS" w:hAnsi="Palatino Linotype" w:cs="Arial"/>
        </w:rPr>
        <w:t>Instituto Nacional de Transparencia, Acceso a la Información y Protección de Datos Personales (INAI),</w:t>
      </w:r>
      <w:r>
        <w:rPr>
          <w:rFonts w:ascii="Palatino Linotype" w:hAnsi="Palatino Linotype" w:cs="Arial"/>
          <w:lang w:eastAsia="es-MX"/>
        </w:rPr>
        <w:t xml:space="preserve"> a través del Criterio 18/17 de la Segunda Época, señala literalmente lo siguiente:</w:t>
      </w:r>
    </w:p>
    <w:p w:rsidR="00A4268E" w:rsidRDefault="00A4268E">
      <w:pPr>
        <w:pStyle w:val="Prrafodelista"/>
        <w:widowControl w:val="0"/>
        <w:spacing w:line="360" w:lineRule="auto"/>
        <w:ind w:left="0"/>
        <w:jc w:val="both"/>
        <w:rPr>
          <w:rFonts w:ascii="Palatino Linotype" w:hAnsi="Palatino Linotype" w:cs="Arial"/>
          <w:lang w:eastAsia="es-MX"/>
        </w:rPr>
      </w:pPr>
    </w:p>
    <w:p w:rsidR="00A4268E" w:rsidRDefault="006F0117">
      <w:pPr>
        <w:ind w:left="709" w:right="709"/>
        <w:jc w:val="both"/>
        <w:rPr>
          <w:rFonts w:ascii="Palatino Linotype" w:hAnsi="Palatino Linotype" w:cs="Arial"/>
          <w:i/>
          <w:sz w:val="22"/>
          <w:lang w:eastAsia="es-MX"/>
        </w:rPr>
      </w:pPr>
      <w:r>
        <w:rPr>
          <w:rFonts w:ascii="Palatino Linotype" w:hAnsi="Palatino Linotype" w:cs="Arial"/>
          <w:i/>
          <w:sz w:val="22"/>
          <w:lang w:eastAsia="es-MX"/>
        </w:rPr>
        <w:t>“</w:t>
      </w:r>
      <w:r>
        <w:rPr>
          <w:rFonts w:ascii="Palatino Linotype" w:hAnsi="Palatino Linotype" w:cs="Arial"/>
          <w:b/>
          <w:i/>
          <w:sz w:val="22"/>
          <w:lang w:eastAsia="es-MX"/>
        </w:rPr>
        <w:t>Clave Única de Registro de Población (CURP).</w:t>
      </w:r>
      <w:r>
        <w:rPr>
          <w:rFonts w:ascii="Palatino Linotype" w:hAnsi="Palatino Linotype" w:cs="Arial"/>
          <w:i/>
          <w:sz w:val="22"/>
          <w:lang w:eastAsia="es-MX"/>
        </w:rPr>
        <w:t xml:space="preserve"> </w:t>
      </w:r>
      <w:r>
        <w:rPr>
          <w:rFonts w:ascii="Palatino Linotype" w:hAnsi="Palatino Linotype" w:cs="Arial"/>
          <w:b/>
          <w:i/>
          <w:sz w:val="22"/>
          <w:u w:val="single"/>
          <w:lang w:eastAsia="es-MX"/>
        </w:rPr>
        <w:t>La Clave Única de Registro de Población se integra por datos personales que sólo conciernen al particular titular</w:t>
      </w:r>
      <w:r>
        <w:rPr>
          <w:rFonts w:ascii="Palatino Linotype" w:hAnsi="Palatino Linotype" w:cs="Arial"/>
          <w:i/>
          <w:sz w:val="22"/>
          <w:lang w:eastAsia="es-MX"/>
        </w:rPr>
        <w:t xml:space="preserve"> de la misma, </w:t>
      </w:r>
      <w:r>
        <w:rPr>
          <w:rFonts w:ascii="Palatino Linotype" w:hAnsi="Palatino Linotype" w:cs="Arial"/>
          <w:b/>
          <w:i/>
          <w:sz w:val="22"/>
          <w:u w:val="single"/>
          <w:lang w:eastAsia="es-MX"/>
        </w:rPr>
        <w:t>como lo son su nombre, apellidos, fecha de nacimiento, lugar de nacimiento y sexo</w:t>
      </w:r>
      <w:r>
        <w:rPr>
          <w:rFonts w:ascii="Palatino Linotype" w:hAnsi="Palatino Linotype" w:cs="Arial"/>
          <w:i/>
          <w:sz w:val="22"/>
          <w:lang w:eastAsia="es-MX"/>
        </w:rPr>
        <w:t xml:space="preserve">. Dichos datos, constituyen información que distingue plenamente a una persona física del resto de los habitantes del país, </w:t>
      </w:r>
      <w:r>
        <w:rPr>
          <w:rFonts w:ascii="Palatino Linotype" w:hAnsi="Palatino Linotype" w:cs="Arial"/>
          <w:b/>
          <w:i/>
          <w:sz w:val="22"/>
          <w:u w:val="single"/>
          <w:lang w:eastAsia="es-MX"/>
        </w:rPr>
        <w:t>por lo que la CURP está considerada como información confidencial</w:t>
      </w:r>
      <w:r>
        <w:rPr>
          <w:rFonts w:ascii="Palatino Linotype" w:hAnsi="Palatino Linotype" w:cs="Arial"/>
          <w:i/>
          <w:sz w:val="22"/>
          <w:lang w:eastAsia="es-MX"/>
        </w:rPr>
        <w:t xml:space="preserve">. </w:t>
      </w:r>
    </w:p>
    <w:p w:rsidR="00A4268E" w:rsidRDefault="00A4268E">
      <w:pPr>
        <w:ind w:left="709" w:right="709"/>
        <w:jc w:val="both"/>
        <w:rPr>
          <w:rFonts w:ascii="Palatino Linotype" w:hAnsi="Palatino Linotype" w:cs="Arial"/>
          <w:bCs/>
          <w:i/>
          <w:sz w:val="22"/>
          <w:lang w:eastAsia="es-MX"/>
        </w:rPr>
      </w:pPr>
    </w:p>
    <w:p w:rsidR="00A4268E" w:rsidRDefault="006F0117">
      <w:pPr>
        <w:ind w:left="709" w:right="709"/>
        <w:jc w:val="both"/>
        <w:rPr>
          <w:rFonts w:ascii="Palatino Linotype" w:hAnsi="Palatino Linotype" w:cs="Arial"/>
          <w:bCs/>
          <w:i/>
          <w:sz w:val="22"/>
          <w:lang w:eastAsia="es-MX"/>
        </w:rPr>
      </w:pPr>
      <w:r>
        <w:rPr>
          <w:rFonts w:ascii="Palatino Linotype" w:hAnsi="Palatino Linotype" w:cs="Arial"/>
          <w:bCs/>
          <w:i/>
          <w:sz w:val="22"/>
          <w:lang w:eastAsia="es-MX"/>
        </w:rPr>
        <w:t>Resoluciones:</w:t>
      </w:r>
    </w:p>
    <w:p w:rsidR="00A4268E" w:rsidRDefault="006F0117">
      <w:pPr>
        <w:ind w:left="709" w:right="709"/>
        <w:jc w:val="both"/>
        <w:rPr>
          <w:rFonts w:ascii="Palatino Linotype" w:hAnsi="Palatino Linotype" w:cs="Arial"/>
          <w:bCs/>
          <w:i/>
          <w:sz w:val="22"/>
          <w:lang w:eastAsia="es-MX"/>
        </w:rPr>
      </w:pPr>
      <w:r>
        <w:rPr>
          <w:rFonts w:ascii="Palatino Linotype" w:hAnsi="Palatino Linotype" w:cs="Arial"/>
          <w:bCs/>
          <w:i/>
          <w:sz w:val="22"/>
          <w:lang w:eastAsia="es-MX"/>
        </w:rPr>
        <w:t>• RRA 3995/16. Secretaría de la Defensa Nacional. 1 de febrero de 2017. Por unanimidad. Comisionado Ponente Rosendoevgueni Monterrey Chepov.</w:t>
      </w:r>
    </w:p>
    <w:p w:rsidR="00A4268E" w:rsidRDefault="006F0117">
      <w:pPr>
        <w:ind w:left="709" w:right="709"/>
        <w:jc w:val="both"/>
        <w:rPr>
          <w:rFonts w:ascii="Palatino Linotype" w:hAnsi="Palatino Linotype" w:cs="Arial"/>
          <w:bCs/>
          <w:i/>
          <w:sz w:val="22"/>
          <w:lang w:eastAsia="es-MX"/>
        </w:rPr>
      </w:pPr>
      <w:r>
        <w:rPr>
          <w:rFonts w:ascii="Palatino Linotype" w:hAnsi="Palatino Linotype" w:cs="Arial"/>
          <w:bCs/>
          <w:i/>
          <w:sz w:val="22"/>
          <w:lang w:eastAsia="es-MX"/>
        </w:rPr>
        <w:t xml:space="preserve">• RRA 0937/17. Senado de la República. 15 de marzo de 2017. Por unanimidad. Comisionada </w:t>
      </w:r>
      <w:r>
        <w:rPr>
          <w:rFonts w:ascii="Palatino Linotype" w:hAnsi="Palatino Linotype" w:cs="Arial"/>
          <w:i/>
          <w:sz w:val="22"/>
          <w:lang w:eastAsia="es-MX"/>
        </w:rPr>
        <w:t>Ponente</w:t>
      </w:r>
      <w:r>
        <w:rPr>
          <w:rFonts w:ascii="Palatino Linotype" w:hAnsi="Palatino Linotype" w:cs="Arial"/>
          <w:bCs/>
          <w:i/>
          <w:sz w:val="22"/>
          <w:lang w:eastAsia="es-MX"/>
        </w:rPr>
        <w:t xml:space="preserve"> Ximena Puente de la Mora. </w:t>
      </w:r>
    </w:p>
    <w:p w:rsidR="00A4268E" w:rsidRDefault="006F0117">
      <w:pPr>
        <w:ind w:left="709" w:right="709"/>
        <w:jc w:val="both"/>
        <w:rPr>
          <w:rFonts w:ascii="Palatino Linotype" w:hAnsi="Palatino Linotype" w:cs="Arial"/>
          <w:i/>
          <w:sz w:val="22"/>
          <w:lang w:eastAsia="es-MX"/>
        </w:rPr>
      </w:pPr>
      <w:r>
        <w:rPr>
          <w:rFonts w:ascii="Palatino Linotype" w:hAnsi="Palatino Linotype" w:cs="Arial"/>
          <w:bCs/>
          <w:i/>
          <w:sz w:val="22"/>
          <w:lang w:eastAsia="es-MX"/>
        </w:rPr>
        <w:lastRenderedPageBreak/>
        <w:t xml:space="preserve">• RRA 0478/17. Secretaría de Relaciones Exteriores. 26 de abril de 2017. Por unanimidad. </w:t>
      </w:r>
      <w:r>
        <w:rPr>
          <w:rFonts w:ascii="Palatino Linotype" w:hAnsi="Palatino Linotype" w:cs="Arial"/>
          <w:i/>
          <w:sz w:val="22"/>
          <w:lang w:eastAsia="es-MX"/>
        </w:rPr>
        <w:t>Comisionada</w:t>
      </w:r>
      <w:r>
        <w:rPr>
          <w:rFonts w:ascii="Palatino Linotype" w:hAnsi="Palatino Linotype" w:cs="Arial"/>
          <w:bCs/>
          <w:i/>
          <w:sz w:val="22"/>
          <w:lang w:eastAsia="es-MX"/>
        </w:rPr>
        <w:t xml:space="preserve"> Ponente Areli Cano Guadiana.</w:t>
      </w:r>
      <w:r>
        <w:rPr>
          <w:rFonts w:ascii="Palatino Linotype" w:hAnsi="Palatino Linotype" w:cs="Arial"/>
          <w:i/>
          <w:sz w:val="22"/>
          <w:lang w:eastAsia="es-MX"/>
        </w:rPr>
        <w:t>”</w:t>
      </w:r>
    </w:p>
    <w:p w:rsidR="00A4268E" w:rsidRDefault="00A4268E">
      <w:pPr>
        <w:ind w:left="709" w:right="709"/>
        <w:jc w:val="both"/>
        <w:rPr>
          <w:rFonts w:ascii="Palatino Linotype" w:hAnsi="Palatino Linotype" w:cs="Arial"/>
          <w:sz w:val="22"/>
        </w:rPr>
      </w:pPr>
    </w:p>
    <w:p w:rsidR="00A4268E" w:rsidRDefault="006F0117">
      <w:pPr>
        <w:ind w:left="709" w:right="709"/>
        <w:jc w:val="both"/>
        <w:rPr>
          <w:rFonts w:ascii="Palatino Linotype" w:hAnsi="Palatino Linotype" w:cs="Arial"/>
          <w:sz w:val="22"/>
        </w:rPr>
      </w:pPr>
      <w:r>
        <w:rPr>
          <w:rFonts w:ascii="Palatino Linotype" w:hAnsi="Palatino Linotype" w:cs="Arial"/>
          <w:sz w:val="22"/>
        </w:rPr>
        <w:t>(Énfasis añadido)</w:t>
      </w:r>
    </w:p>
    <w:p w:rsidR="00A4268E" w:rsidRDefault="00A4268E">
      <w:pPr>
        <w:spacing w:line="360" w:lineRule="auto"/>
        <w:ind w:left="709" w:right="709"/>
        <w:jc w:val="both"/>
        <w:rPr>
          <w:rFonts w:ascii="Palatino Linotype" w:hAnsi="Palatino Linotype" w:cs="Arial"/>
          <w:sz w:val="22"/>
        </w:rPr>
      </w:pPr>
    </w:p>
    <w:p w:rsidR="00A4268E" w:rsidRDefault="006F0117">
      <w:pPr>
        <w:pStyle w:val="Prrafodelista"/>
        <w:widowControl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De lo anterior, se desprende que la </w:t>
      </w:r>
      <w:r>
        <w:rPr>
          <w:rFonts w:ascii="Palatino Linotype" w:hAnsi="Palatino Linotype"/>
          <w:lang w:eastAsia="es-MX"/>
        </w:rPr>
        <w:t xml:space="preserve">Clave Única de Registro de Población, </w:t>
      </w:r>
      <w:r>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Pr>
          <w:rFonts w:ascii="Palatino Linotype" w:hAnsi="Palatino Linotype"/>
          <w:bCs/>
        </w:rPr>
        <w:t>personal</w:t>
      </w:r>
      <w:r>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rsidR="00A4268E" w:rsidRDefault="00A4268E">
      <w:pPr>
        <w:pStyle w:val="Prrafodelista"/>
        <w:widowControl w:val="0"/>
        <w:spacing w:line="360" w:lineRule="auto"/>
        <w:ind w:left="0"/>
        <w:jc w:val="both"/>
        <w:rPr>
          <w:rFonts w:ascii="Palatino Linotype" w:hAnsi="Palatino Linotype" w:cs="Arial"/>
          <w:lang w:eastAsia="es-MX"/>
        </w:rPr>
      </w:pPr>
    </w:p>
    <w:p w:rsidR="00A4268E" w:rsidRDefault="006F0117">
      <w:pPr>
        <w:pStyle w:val="Prrafodelista"/>
        <w:widowControl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Por cuanto hace a la </w:t>
      </w:r>
      <w:r>
        <w:rPr>
          <w:rFonts w:ascii="Palatino Linotype" w:hAnsi="Palatino Linotype" w:cs="Arial"/>
          <w:b/>
        </w:rPr>
        <w:t>Clave de cualquier tipo de seguridad social</w:t>
      </w:r>
      <w:r>
        <w:rPr>
          <w:rFonts w:ascii="Palatino Linotype" w:hAnsi="Palatino Linotype" w:cs="Arial"/>
        </w:rPr>
        <w:t xml:space="preserve"> (ISSEMYM, u otros), está integrado </w:t>
      </w:r>
      <w:r>
        <w:rPr>
          <w:rFonts w:ascii="Palatino Linotype" w:hAnsi="Palatino Linotype" w:cs="Arial"/>
          <w:lang w:eastAsia="es-MX"/>
        </w:rPr>
        <w:t>por</w:t>
      </w:r>
      <w:r>
        <w:rPr>
          <w:rFonts w:ascii="Palatino Linotype" w:hAnsi="Palatino Linotype" w:cs="Arial"/>
        </w:rPr>
        <w:t xml:space="preserve"> una </w:t>
      </w:r>
      <w:r>
        <w:rPr>
          <w:rFonts w:ascii="Palatino Linotype" w:hAnsi="Palatino Linotype" w:cs="Arial"/>
          <w:bCs/>
          <w:lang w:eastAsia="es-MX"/>
        </w:rPr>
        <w:t xml:space="preserve">secuencia de números con los que se identifica a los trabajadores que </w:t>
      </w:r>
      <w:r>
        <w:rPr>
          <w:rFonts w:ascii="Palatino Linotype" w:hAnsi="Palatino Linotype"/>
          <w:lang w:eastAsia="es-MX"/>
        </w:rPr>
        <w:t>cubren</w:t>
      </w:r>
      <w:r>
        <w:rPr>
          <w:rFonts w:ascii="Palatino Linotype" w:hAnsi="Palatino Linotype" w:cs="Arial"/>
          <w:bCs/>
          <w:lang w:eastAsia="es-MX"/>
        </w:rPr>
        <w:t xml:space="preserve"> las cuotas respectivas, asimismo, lo identifica con la fuente de trabajo; por lo que al ser una clave de </w:t>
      </w:r>
      <w:r>
        <w:rPr>
          <w:rFonts w:ascii="Palatino Linotype" w:hAnsi="Palatino Linotype" w:cs="Arial"/>
        </w:rPr>
        <w:t>identificación</w:t>
      </w:r>
      <w:r>
        <w:rPr>
          <w:rFonts w:ascii="Palatino Linotype" w:hAnsi="Palatino Linotype" w:cs="Arial"/>
          <w:bCs/>
          <w:lang w:eastAsia="es-MX"/>
        </w:rPr>
        <w:t xml:space="preserve"> de los trabajadores, constituye información confidencial, </w:t>
      </w:r>
      <w:r>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3 fracción IX de la Ley de Transparencia y Acceso a la Información Pública del Estado de México y Municipios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rsidR="00A4268E" w:rsidRDefault="00A4268E">
      <w:pPr>
        <w:pStyle w:val="Prrafodelista"/>
        <w:widowControl w:val="0"/>
        <w:spacing w:line="360" w:lineRule="auto"/>
        <w:ind w:left="0"/>
        <w:jc w:val="both"/>
        <w:rPr>
          <w:rFonts w:ascii="Palatino Linotype" w:hAnsi="Palatino Linotype" w:cs="Arial"/>
          <w:lang w:eastAsia="es-MX"/>
        </w:rPr>
      </w:pPr>
    </w:p>
    <w:p w:rsidR="00A4268E" w:rsidRDefault="006F0117">
      <w:pPr>
        <w:spacing w:line="360" w:lineRule="auto"/>
        <w:jc w:val="both"/>
        <w:rPr>
          <w:rFonts w:ascii="Palatino Linotype" w:hAnsi="Palatino Linotype" w:cs="Arial"/>
          <w:lang w:eastAsia="es-MX"/>
        </w:rPr>
      </w:pPr>
      <w:r>
        <w:rPr>
          <w:rFonts w:ascii="Palatino Linotype" w:hAnsi="Palatino Linotype" w:cs="Arial"/>
        </w:rPr>
        <w:lastRenderedPageBreak/>
        <w:t xml:space="preserve">Respecto de los </w:t>
      </w:r>
      <w:r>
        <w:rPr>
          <w:rFonts w:ascii="Palatino Linotype" w:hAnsi="Palatino Linotype" w:cs="Arial"/>
          <w:b/>
        </w:rPr>
        <w:t>préstamos o descuentos</w:t>
      </w:r>
      <w:r>
        <w:rPr>
          <w:rFonts w:ascii="Palatino Linotype" w:hAnsi="Palatino Linotype" w:cs="Arial"/>
        </w:rPr>
        <w:t xml:space="preserve"> </w:t>
      </w:r>
      <w:r>
        <w:rPr>
          <w:rFonts w:ascii="Palatino Linotype" w:hAnsi="Palatino Linotype" w:cs="Arial"/>
          <w:b/>
        </w:rPr>
        <w:t>de carácter personal</w:t>
      </w:r>
      <w:r>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Pr>
          <w:rFonts w:ascii="Palatino Linotype" w:hAnsi="Palatino Linotype" w:cs="Arial"/>
          <w:lang w:eastAsia="es-MX"/>
        </w:rPr>
        <w:t>favorecer  en la transparencia y rendición de cuentas, sino, por el contrario con ello se violentaría la</w:t>
      </w:r>
      <w:r>
        <w:rPr>
          <w:rFonts w:ascii="Palatino Linotype" w:hAnsi="Palatino Linotype"/>
        </w:rPr>
        <w:t xml:space="preserve"> </w:t>
      </w:r>
      <w:r>
        <w:rPr>
          <w:rFonts w:ascii="Palatino Linotype" w:hAnsi="Palatino Linotype" w:cs="Arial"/>
          <w:lang w:eastAsia="es-MX"/>
        </w:rPr>
        <w:t>protección de información confidencial, porque incide en la intimidad de un individuo</w:t>
      </w:r>
      <w:r>
        <w:rPr>
          <w:rFonts w:ascii="Palatino Linotype" w:hAnsi="Palatino Linotype"/>
        </w:rPr>
        <w:t xml:space="preserve"> </w:t>
      </w:r>
      <w:r>
        <w:rPr>
          <w:rFonts w:ascii="Palatino Linotype" w:hAnsi="Palatino Linotype" w:cs="Arial"/>
          <w:lang w:eastAsia="es-MX"/>
        </w:rPr>
        <w:t>identificado.</w:t>
      </w:r>
    </w:p>
    <w:p w:rsidR="00A4268E" w:rsidRDefault="00A4268E">
      <w:pPr>
        <w:spacing w:line="360" w:lineRule="auto"/>
        <w:jc w:val="both"/>
        <w:rPr>
          <w:rFonts w:ascii="Palatino Linotype" w:hAnsi="Palatino Linotype" w:cs="Arial"/>
          <w:lang w:eastAsia="es-MX"/>
        </w:rPr>
      </w:pPr>
    </w:p>
    <w:p w:rsidR="00A4268E" w:rsidRDefault="006F0117">
      <w:pPr>
        <w:spacing w:line="360" w:lineRule="auto"/>
        <w:jc w:val="both"/>
        <w:rPr>
          <w:rFonts w:ascii="Palatino Linotype" w:hAnsi="Palatino Linotype" w:cs="Arial"/>
        </w:rPr>
      </w:pPr>
      <w:r>
        <w:rPr>
          <w:rFonts w:ascii="Palatino Linotype" w:hAnsi="Palatino Linotype" w:cs="Arial"/>
          <w:lang w:eastAsia="es-MX"/>
        </w:rPr>
        <w:t xml:space="preserve">Por su </w:t>
      </w:r>
      <w:r>
        <w:rPr>
          <w:rFonts w:ascii="Palatino Linotype" w:hAnsi="Palatino Linotype"/>
          <w:lang w:eastAsia="es-MX"/>
        </w:rPr>
        <w:t>parte</w:t>
      </w:r>
      <w:r>
        <w:rPr>
          <w:rFonts w:ascii="Palatino Linotype" w:hAnsi="Palatino Linotype" w:cs="Arial"/>
          <w:lang w:eastAsia="es-MX"/>
        </w:rPr>
        <w:t xml:space="preserve">, el </w:t>
      </w:r>
      <w:r>
        <w:rPr>
          <w:rFonts w:ascii="Palatino Linotype" w:hAnsi="Palatino Linotype" w:cs="Arial"/>
        </w:rPr>
        <w:t>artículo 84 de la Ley del Trabajo de los Servidores Públicos del Estado y Municipios, señala:</w:t>
      </w:r>
    </w:p>
    <w:p w:rsidR="00A4268E" w:rsidRDefault="00A4268E">
      <w:pPr>
        <w:spacing w:line="360" w:lineRule="auto"/>
        <w:jc w:val="both"/>
        <w:rPr>
          <w:rFonts w:ascii="Palatino Linotype" w:hAnsi="Palatino Linotype" w:cs="Arial"/>
          <w:lang w:eastAsia="es-MX"/>
        </w:rPr>
      </w:pPr>
    </w:p>
    <w:p w:rsidR="00A4268E" w:rsidRDefault="006F0117">
      <w:pPr>
        <w:ind w:left="709" w:right="757"/>
        <w:jc w:val="both"/>
        <w:rPr>
          <w:rFonts w:ascii="Palatino Linotype" w:hAnsi="Palatino Linotype" w:cs="Arial"/>
          <w:b/>
          <w:bCs/>
          <w:i/>
          <w:sz w:val="22"/>
        </w:rPr>
      </w:pPr>
      <w:r>
        <w:rPr>
          <w:rFonts w:ascii="Palatino Linotype" w:hAnsi="Palatino Linotype" w:cs="Arial"/>
          <w:bCs/>
          <w:i/>
          <w:sz w:val="22"/>
        </w:rPr>
        <w:t>“</w:t>
      </w:r>
      <w:r>
        <w:rPr>
          <w:rFonts w:ascii="Palatino Linotype" w:hAnsi="Palatino Linotype" w:cs="Arial"/>
          <w:b/>
          <w:bCs/>
          <w:i/>
          <w:sz w:val="22"/>
        </w:rPr>
        <w:t xml:space="preserve">ARTICULO 84. </w:t>
      </w:r>
      <w:r>
        <w:rPr>
          <w:rFonts w:ascii="Palatino Linotype" w:hAnsi="Palatino Linotype" w:cs="Arial"/>
          <w:b/>
          <w:bCs/>
          <w:i/>
          <w:sz w:val="22"/>
          <w:u w:val="single"/>
        </w:rPr>
        <w:t>Sólo podrán hacerse retenciones, descuentos o deducciones al sueldo de los servidores públicos por concepto de</w:t>
      </w:r>
      <w:r>
        <w:rPr>
          <w:rFonts w:ascii="Palatino Linotype" w:hAnsi="Palatino Linotype" w:cs="Arial"/>
          <w:b/>
          <w:bCs/>
          <w:i/>
          <w:sz w:val="22"/>
        </w:rPr>
        <w:t>:</w:t>
      </w:r>
    </w:p>
    <w:p w:rsidR="00A4268E" w:rsidRDefault="00A4268E">
      <w:pPr>
        <w:ind w:left="709" w:right="757"/>
        <w:jc w:val="both"/>
        <w:rPr>
          <w:rFonts w:ascii="Palatino Linotype" w:hAnsi="Palatino Linotype" w:cs="Arial"/>
          <w:bCs/>
          <w:i/>
          <w:sz w:val="22"/>
        </w:rPr>
      </w:pPr>
    </w:p>
    <w:p w:rsidR="00A4268E" w:rsidRDefault="006F0117">
      <w:pPr>
        <w:ind w:left="709" w:right="757"/>
        <w:jc w:val="both"/>
        <w:rPr>
          <w:rFonts w:ascii="Palatino Linotype" w:hAnsi="Palatino Linotype" w:cs="Arial"/>
          <w:i/>
          <w:sz w:val="22"/>
          <w:lang w:eastAsia="es-MX"/>
        </w:rPr>
      </w:pPr>
      <w:r>
        <w:rPr>
          <w:rFonts w:ascii="Palatino Linotype" w:hAnsi="Palatino Linotype" w:cs="Arial"/>
          <w:bCs/>
          <w:i/>
          <w:sz w:val="22"/>
        </w:rPr>
        <w:t xml:space="preserve">I. </w:t>
      </w:r>
      <w:r>
        <w:rPr>
          <w:rFonts w:ascii="Palatino Linotype" w:hAnsi="Palatino Linotype" w:cs="Arial"/>
          <w:i/>
          <w:sz w:val="22"/>
          <w:lang w:eastAsia="es-MX"/>
        </w:rPr>
        <w:t>Gravámenes fiscales relacionados con el sueldo;</w:t>
      </w:r>
    </w:p>
    <w:p w:rsidR="00A4268E" w:rsidRDefault="00A4268E">
      <w:pPr>
        <w:ind w:left="709" w:right="757"/>
        <w:jc w:val="both"/>
        <w:rPr>
          <w:rFonts w:ascii="Palatino Linotype" w:hAnsi="Palatino Linotype" w:cs="Arial"/>
          <w:b/>
          <w:i/>
          <w:sz w:val="22"/>
          <w:lang w:eastAsia="es-MX"/>
        </w:rPr>
      </w:pPr>
    </w:p>
    <w:p w:rsidR="00A4268E" w:rsidRDefault="006F0117">
      <w:pPr>
        <w:ind w:left="709" w:right="757"/>
        <w:jc w:val="both"/>
        <w:rPr>
          <w:rFonts w:ascii="Palatino Linotype" w:hAnsi="Palatino Linotype" w:cs="Arial"/>
          <w:i/>
          <w:sz w:val="22"/>
          <w:lang w:eastAsia="es-MX"/>
        </w:rPr>
      </w:pPr>
      <w:r>
        <w:rPr>
          <w:rFonts w:ascii="Palatino Linotype" w:hAnsi="Palatino Linotype" w:cs="Arial"/>
          <w:b/>
          <w:i/>
          <w:sz w:val="22"/>
          <w:lang w:eastAsia="es-MX"/>
        </w:rPr>
        <w:t xml:space="preserve">II. </w:t>
      </w:r>
      <w:r>
        <w:rPr>
          <w:rFonts w:ascii="Palatino Linotype" w:hAnsi="Palatino Linotype" w:cs="Arial"/>
          <w:b/>
          <w:i/>
          <w:sz w:val="22"/>
          <w:u w:val="single"/>
          <w:lang w:eastAsia="es-MX"/>
        </w:rPr>
        <w:t>Deudas contraídas con las instituciones públicas o dependencias</w:t>
      </w:r>
      <w:r>
        <w:rPr>
          <w:rFonts w:ascii="Palatino Linotype" w:hAnsi="Palatino Linotype" w:cs="Arial"/>
          <w:i/>
          <w:sz w:val="22"/>
          <w:lang w:eastAsia="es-MX"/>
        </w:rPr>
        <w:t xml:space="preserve"> por concepto de anticipos de sueldo, pagos hechos con exceso, errores o pérdidas debidamente comprobados;</w:t>
      </w:r>
    </w:p>
    <w:p w:rsidR="00A4268E" w:rsidRDefault="00A4268E">
      <w:pPr>
        <w:ind w:left="709" w:right="757"/>
        <w:jc w:val="both"/>
        <w:rPr>
          <w:rFonts w:ascii="Palatino Linotype" w:hAnsi="Palatino Linotype" w:cs="Arial"/>
          <w:b/>
          <w:i/>
          <w:sz w:val="22"/>
          <w:lang w:eastAsia="es-MX"/>
        </w:rPr>
      </w:pPr>
    </w:p>
    <w:p w:rsidR="00A4268E" w:rsidRDefault="006F0117">
      <w:pPr>
        <w:ind w:left="709" w:right="757"/>
        <w:jc w:val="both"/>
        <w:rPr>
          <w:rFonts w:ascii="Palatino Linotype" w:hAnsi="Palatino Linotype" w:cs="Arial"/>
          <w:bCs/>
          <w:i/>
          <w:sz w:val="22"/>
        </w:rPr>
      </w:pPr>
      <w:r>
        <w:rPr>
          <w:rFonts w:ascii="Palatino Linotype" w:hAnsi="Palatino Linotype" w:cs="Arial"/>
          <w:b/>
          <w:i/>
          <w:sz w:val="22"/>
          <w:lang w:eastAsia="es-MX"/>
        </w:rPr>
        <w:t xml:space="preserve">III. </w:t>
      </w:r>
      <w:r>
        <w:rPr>
          <w:rFonts w:ascii="Palatino Linotype" w:hAnsi="Palatino Linotype" w:cs="Arial"/>
          <w:b/>
          <w:i/>
          <w:sz w:val="22"/>
          <w:u w:val="single"/>
          <w:lang w:eastAsia="es-MX"/>
        </w:rPr>
        <w:t>Cuotas sindicales</w:t>
      </w:r>
      <w:r>
        <w:rPr>
          <w:rFonts w:ascii="Palatino Linotype" w:hAnsi="Palatino Linotype" w:cs="Arial"/>
          <w:bCs/>
          <w:i/>
          <w:sz w:val="22"/>
        </w:rPr>
        <w:t>;</w:t>
      </w:r>
    </w:p>
    <w:p w:rsidR="00A4268E" w:rsidRDefault="00A4268E">
      <w:pPr>
        <w:ind w:left="709" w:right="757"/>
        <w:jc w:val="both"/>
        <w:rPr>
          <w:rFonts w:ascii="Palatino Linotype" w:hAnsi="Palatino Linotype" w:cs="Arial"/>
          <w:bCs/>
          <w:i/>
          <w:sz w:val="22"/>
        </w:rPr>
      </w:pPr>
    </w:p>
    <w:p w:rsidR="00A4268E" w:rsidRDefault="006F0117">
      <w:pPr>
        <w:ind w:left="709" w:right="757"/>
        <w:jc w:val="both"/>
        <w:rPr>
          <w:rFonts w:ascii="Palatino Linotype" w:hAnsi="Palatino Linotype" w:cs="Arial"/>
          <w:bCs/>
          <w:i/>
          <w:sz w:val="22"/>
        </w:rPr>
      </w:pPr>
      <w:r>
        <w:rPr>
          <w:rFonts w:ascii="Palatino Linotype" w:hAnsi="Palatino Linotype" w:cs="Arial"/>
          <w:bCs/>
          <w:i/>
          <w:sz w:val="22"/>
        </w:rPr>
        <w:t xml:space="preserve">IV. Cuotas de </w:t>
      </w:r>
      <w:r>
        <w:rPr>
          <w:rFonts w:ascii="Palatino Linotype" w:hAnsi="Palatino Linotype" w:cs="Arial"/>
          <w:i/>
          <w:sz w:val="22"/>
          <w:lang w:eastAsia="es-MX"/>
        </w:rPr>
        <w:t>aportación</w:t>
      </w:r>
      <w:r>
        <w:rPr>
          <w:rFonts w:ascii="Palatino Linotype" w:hAnsi="Palatino Linotype" w:cs="Arial"/>
          <w:bCs/>
          <w:i/>
          <w:sz w:val="22"/>
        </w:rPr>
        <w:t xml:space="preserve"> a fondos para la constitución de cooperativas y de cajas de ahorro, </w:t>
      </w:r>
      <w:r>
        <w:rPr>
          <w:rFonts w:ascii="Palatino Linotype" w:hAnsi="Palatino Linotype" w:cs="Arial"/>
          <w:i/>
          <w:sz w:val="22"/>
          <w:lang w:eastAsia="es-MX"/>
        </w:rPr>
        <w:t>siempre</w:t>
      </w:r>
      <w:r>
        <w:rPr>
          <w:rFonts w:ascii="Palatino Linotype" w:hAnsi="Palatino Linotype" w:cs="Arial"/>
          <w:bCs/>
          <w:i/>
          <w:sz w:val="22"/>
        </w:rPr>
        <w:t xml:space="preserve"> que el servidor público hubiese manifestado previamente, de manera expresa, su conformidad;</w:t>
      </w:r>
    </w:p>
    <w:p w:rsidR="00A4268E" w:rsidRDefault="00A4268E">
      <w:pPr>
        <w:ind w:left="709" w:right="757"/>
        <w:jc w:val="both"/>
        <w:rPr>
          <w:rFonts w:ascii="Palatino Linotype" w:hAnsi="Palatino Linotype" w:cs="Arial"/>
          <w:bCs/>
          <w:i/>
          <w:sz w:val="22"/>
        </w:rPr>
      </w:pPr>
    </w:p>
    <w:p w:rsidR="00A4268E" w:rsidRDefault="006F0117">
      <w:pPr>
        <w:ind w:left="709" w:right="757"/>
        <w:jc w:val="both"/>
        <w:rPr>
          <w:rFonts w:ascii="Palatino Linotype" w:hAnsi="Palatino Linotype" w:cs="Arial"/>
          <w:bCs/>
          <w:i/>
          <w:sz w:val="22"/>
        </w:rPr>
      </w:pPr>
      <w:r>
        <w:rPr>
          <w:rFonts w:ascii="Palatino Linotype" w:hAnsi="Palatino Linotype" w:cs="Arial"/>
          <w:bCs/>
          <w:i/>
          <w:sz w:val="22"/>
        </w:rPr>
        <w:t xml:space="preserve">V. Descuentos ordenados por el Instituto de Seguridad Social del Estado de México y </w:t>
      </w:r>
      <w:r>
        <w:rPr>
          <w:rFonts w:ascii="Palatino Linotype" w:hAnsi="Palatino Linotype" w:cs="Arial"/>
          <w:i/>
          <w:sz w:val="22"/>
          <w:lang w:eastAsia="es-MX"/>
        </w:rPr>
        <w:t>Municipios</w:t>
      </w:r>
      <w:r>
        <w:rPr>
          <w:rFonts w:ascii="Palatino Linotype" w:hAnsi="Palatino Linotype" w:cs="Arial"/>
          <w:bCs/>
          <w:i/>
          <w:sz w:val="22"/>
        </w:rPr>
        <w:t>, con motivo de cuotas y obligaciones contraídas con éste por los servidores públicos;</w:t>
      </w:r>
    </w:p>
    <w:p w:rsidR="00A4268E" w:rsidRDefault="00A4268E">
      <w:pPr>
        <w:ind w:left="709" w:right="757"/>
        <w:jc w:val="both"/>
        <w:rPr>
          <w:rFonts w:ascii="Palatino Linotype" w:hAnsi="Palatino Linotype" w:cs="Arial"/>
          <w:b/>
          <w:bCs/>
          <w:i/>
          <w:sz w:val="22"/>
        </w:rPr>
      </w:pPr>
    </w:p>
    <w:p w:rsidR="00A4268E" w:rsidRDefault="006F0117">
      <w:pPr>
        <w:ind w:left="709" w:right="757"/>
        <w:jc w:val="both"/>
        <w:rPr>
          <w:rFonts w:ascii="Palatino Linotype" w:hAnsi="Palatino Linotype" w:cs="Arial"/>
          <w:b/>
          <w:bCs/>
          <w:i/>
          <w:sz w:val="22"/>
        </w:rPr>
      </w:pPr>
      <w:r>
        <w:rPr>
          <w:rFonts w:ascii="Palatino Linotype" w:hAnsi="Palatino Linotype" w:cs="Arial"/>
          <w:b/>
          <w:bCs/>
          <w:i/>
          <w:sz w:val="22"/>
        </w:rPr>
        <w:t xml:space="preserve">VI. </w:t>
      </w:r>
      <w:r>
        <w:rPr>
          <w:rFonts w:ascii="Palatino Linotype" w:hAnsi="Palatino Linotype" w:cs="Arial"/>
          <w:b/>
          <w:bCs/>
          <w:i/>
          <w:sz w:val="22"/>
          <w:u w:val="single"/>
        </w:rPr>
        <w:t>Obligaciones a cargo del servidor público con las que haya consentido</w:t>
      </w:r>
      <w:r>
        <w:rPr>
          <w:rFonts w:ascii="Palatino Linotype" w:hAnsi="Palatino Linotype" w:cs="Arial"/>
          <w:bCs/>
          <w:i/>
          <w:sz w:val="22"/>
        </w:rPr>
        <w:t>, derivadas de la adquisición o del uso de habitaciones consideradas como de interés social;</w:t>
      </w:r>
    </w:p>
    <w:p w:rsidR="00A4268E" w:rsidRDefault="00A4268E">
      <w:pPr>
        <w:ind w:left="709" w:right="757"/>
        <w:jc w:val="both"/>
        <w:rPr>
          <w:rFonts w:ascii="Palatino Linotype" w:hAnsi="Palatino Linotype" w:cs="Arial"/>
          <w:bCs/>
          <w:i/>
          <w:sz w:val="22"/>
        </w:rPr>
      </w:pPr>
    </w:p>
    <w:p w:rsidR="00A4268E" w:rsidRDefault="006F0117">
      <w:pPr>
        <w:ind w:left="709" w:right="757"/>
        <w:jc w:val="both"/>
        <w:rPr>
          <w:rFonts w:ascii="Palatino Linotype" w:hAnsi="Palatino Linotype" w:cs="Arial"/>
          <w:bCs/>
          <w:i/>
          <w:sz w:val="22"/>
        </w:rPr>
      </w:pPr>
      <w:r>
        <w:rPr>
          <w:rFonts w:ascii="Palatino Linotype" w:hAnsi="Palatino Linotype" w:cs="Arial"/>
          <w:bCs/>
          <w:i/>
          <w:sz w:val="22"/>
        </w:rPr>
        <w:lastRenderedPageBreak/>
        <w:t xml:space="preserve">VII. Faltas de </w:t>
      </w:r>
      <w:r>
        <w:rPr>
          <w:rFonts w:ascii="Palatino Linotype" w:hAnsi="Palatino Linotype" w:cs="Arial"/>
          <w:i/>
          <w:sz w:val="22"/>
          <w:lang w:eastAsia="es-MX"/>
        </w:rPr>
        <w:t>puntualidad</w:t>
      </w:r>
      <w:r>
        <w:rPr>
          <w:rFonts w:ascii="Palatino Linotype" w:hAnsi="Palatino Linotype" w:cs="Arial"/>
          <w:bCs/>
          <w:i/>
          <w:sz w:val="22"/>
        </w:rPr>
        <w:t xml:space="preserve"> o </w:t>
      </w:r>
      <w:r>
        <w:rPr>
          <w:rFonts w:ascii="Palatino Linotype" w:hAnsi="Palatino Linotype" w:cs="Arial"/>
          <w:i/>
          <w:sz w:val="22"/>
          <w:lang w:eastAsia="es-MX"/>
        </w:rPr>
        <w:t>de</w:t>
      </w:r>
      <w:r>
        <w:rPr>
          <w:rFonts w:ascii="Palatino Linotype" w:hAnsi="Palatino Linotype" w:cs="Arial"/>
          <w:bCs/>
          <w:i/>
          <w:sz w:val="22"/>
        </w:rPr>
        <w:t xml:space="preserve"> asistencia injustificadas;</w:t>
      </w:r>
    </w:p>
    <w:p w:rsidR="00A4268E" w:rsidRDefault="00A4268E">
      <w:pPr>
        <w:ind w:left="709" w:right="757"/>
        <w:jc w:val="both"/>
        <w:rPr>
          <w:rFonts w:ascii="Palatino Linotype" w:hAnsi="Palatino Linotype" w:cs="Arial"/>
          <w:b/>
          <w:bCs/>
          <w:i/>
          <w:sz w:val="22"/>
        </w:rPr>
      </w:pPr>
    </w:p>
    <w:p w:rsidR="00A4268E" w:rsidRDefault="006F0117">
      <w:pPr>
        <w:ind w:left="709" w:right="757"/>
        <w:jc w:val="both"/>
        <w:rPr>
          <w:rFonts w:ascii="Palatino Linotype" w:hAnsi="Palatino Linotype" w:cs="Arial"/>
          <w:bCs/>
          <w:i/>
          <w:sz w:val="22"/>
        </w:rPr>
      </w:pPr>
      <w:r>
        <w:rPr>
          <w:rFonts w:ascii="Palatino Linotype" w:hAnsi="Palatino Linotype" w:cs="Arial"/>
          <w:b/>
          <w:bCs/>
          <w:i/>
          <w:sz w:val="22"/>
        </w:rPr>
        <w:t xml:space="preserve">VIII. </w:t>
      </w:r>
      <w:r>
        <w:rPr>
          <w:rFonts w:ascii="Palatino Linotype" w:hAnsi="Palatino Linotype" w:cs="Arial"/>
          <w:b/>
          <w:bCs/>
          <w:i/>
          <w:sz w:val="22"/>
          <w:u w:val="single"/>
        </w:rPr>
        <w:t>Pensiones alimenticias ordenadas por la autoridad judicial</w:t>
      </w:r>
      <w:r>
        <w:rPr>
          <w:rFonts w:ascii="Palatino Linotype" w:hAnsi="Palatino Linotype" w:cs="Arial"/>
          <w:b/>
          <w:bCs/>
          <w:i/>
          <w:sz w:val="22"/>
        </w:rPr>
        <w:t>;</w:t>
      </w:r>
      <w:r>
        <w:rPr>
          <w:rFonts w:ascii="Palatino Linotype" w:hAnsi="Palatino Linotype" w:cs="Arial"/>
          <w:bCs/>
          <w:i/>
          <w:sz w:val="22"/>
        </w:rPr>
        <w:t xml:space="preserve"> o</w:t>
      </w:r>
    </w:p>
    <w:p w:rsidR="00A4268E" w:rsidRDefault="00A4268E">
      <w:pPr>
        <w:ind w:left="709" w:right="757"/>
        <w:jc w:val="both"/>
        <w:rPr>
          <w:rFonts w:ascii="Palatino Linotype" w:hAnsi="Palatino Linotype" w:cs="Arial"/>
          <w:b/>
          <w:bCs/>
          <w:i/>
          <w:sz w:val="22"/>
        </w:rPr>
      </w:pPr>
    </w:p>
    <w:p w:rsidR="00A4268E" w:rsidRDefault="006F0117">
      <w:pPr>
        <w:ind w:left="709" w:right="757"/>
        <w:jc w:val="both"/>
        <w:rPr>
          <w:rFonts w:ascii="Palatino Linotype" w:hAnsi="Palatino Linotype" w:cs="Arial"/>
          <w:b/>
          <w:bCs/>
          <w:i/>
          <w:sz w:val="22"/>
        </w:rPr>
      </w:pPr>
      <w:r>
        <w:rPr>
          <w:rFonts w:ascii="Palatino Linotype" w:hAnsi="Palatino Linotype" w:cs="Arial"/>
          <w:b/>
          <w:bCs/>
          <w:i/>
          <w:sz w:val="22"/>
        </w:rPr>
        <w:t xml:space="preserve">IX. </w:t>
      </w:r>
      <w:r>
        <w:rPr>
          <w:rFonts w:ascii="Palatino Linotype" w:hAnsi="Palatino Linotype" w:cs="Arial"/>
          <w:b/>
          <w:bCs/>
          <w:i/>
          <w:sz w:val="22"/>
          <w:u w:val="single"/>
        </w:rPr>
        <w:t>Cualquier otro convenido con instituciones de servicios y aceptado por el servidor público</w:t>
      </w:r>
      <w:r>
        <w:rPr>
          <w:rFonts w:ascii="Palatino Linotype" w:hAnsi="Palatino Linotype" w:cs="Arial"/>
          <w:b/>
          <w:bCs/>
          <w:i/>
          <w:sz w:val="22"/>
        </w:rPr>
        <w:t>.</w:t>
      </w:r>
    </w:p>
    <w:p w:rsidR="00A4268E" w:rsidRDefault="00A4268E">
      <w:pPr>
        <w:ind w:left="709" w:right="757"/>
        <w:jc w:val="both"/>
        <w:rPr>
          <w:rFonts w:ascii="Palatino Linotype" w:hAnsi="Palatino Linotype" w:cs="Arial"/>
          <w:b/>
          <w:bCs/>
          <w:i/>
          <w:sz w:val="22"/>
        </w:rPr>
      </w:pPr>
    </w:p>
    <w:p w:rsidR="00A4268E" w:rsidRDefault="006F0117">
      <w:pPr>
        <w:ind w:left="709" w:right="757"/>
        <w:jc w:val="both"/>
        <w:rPr>
          <w:rFonts w:ascii="Palatino Linotype" w:hAnsi="Palatino Linotype" w:cs="Arial"/>
          <w:sz w:val="22"/>
        </w:rPr>
      </w:pPr>
      <w:r>
        <w:rPr>
          <w:rFonts w:ascii="Palatino Linotype" w:hAnsi="Palatino Linotype" w:cs="Arial"/>
          <w:bCs/>
          <w:i/>
          <w:sz w:val="22"/>
        </w:rPr>
        <w:t xml:space="preserve">El monto total de las retenciones, descuentos o deducciones no podrá exceder del 30% de la remuneración total, </w:t>
      </w:r>
      <w:r>
        <w:rPr>
          <w:rFonts w:ascii="Palatino Linotype" w:hAnsi="Palatino Linotype" w:cs="Arial"/>
          <w:i/>
          <w:sz w:val="22"/>
          <w:lang w:eastAsia="es-MX"/>
        </w:rPr>
        <w:t>excepto</w:t>
      </w:r>
      <w:r>
        <w:rPr>
          <w:rFonts w:ascii="Palatino Linotype" w:hAnsi="Palatino Linotype" w:cs="Arial"/>
          <w:bCs/>
          <w:i/>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Pr>
          <w:rFonts w:ascii="Palatino Linotype" w:hAnsi="Palatino Linotype" w:cs="Arial"/>
          <w:i/>
          <w:sz w:val="22"/>
          <w:lang w:eastAsia="es-MX"/>
        </w:rPr>
        <w:t>ajustará</w:t>
      </w:r>
      <w:r>
        <w:rPr>
          <w:rFonts w:ascii="Palatino Linotype" w:hAnsi="Palatino Linotype" w:cs="Arial"/>
          <w:bCs/>
          <w:i/>
          <w:sz w:val="22"/>
        </w:rPr>
        <w:t xml:space="preserve"> a lo determinado por la autoridad judicial.”</w:t>
      </w:r>
    </w:p>
    <w:p w:rsidR="00A4268E" w:rsidRDefault="00A4268E">
      <w:pPr>
        <w:ind w:left="709" w:right="757"/>
        <w:jc w:val="both"/>
        <w:rPr>
          <w:rFonts w:ascii="Palatino Linotype" w:hAnsi="Palatino Linotype" w:cs="Arial"/>
          <w:sz w:val="22"/>
        </w:rPr>
      </w:pPr>
    </w:p>
    <w:p w:rsidR="00A4268E" w:rsidRDefault="006F0117">
      <w:pPr>
        <w:ind w:left="709" w:right="757"/>
        <w:jc w:val="both"/>
        <w:rPr>
          <w:rFonts w:ascii="Palatino Linotype" w:hAnsi="Palatino Linotype" w:cs="Arial"/>
          <w:sz w:val="22"/>
        </w:rPr>
      </w:pPr>
      <w:r>
        <w:rPr>
          <w:rFonts w:ascii="Palatino Linotype" w:hAnsi="Palatino Linotype" w:cs="Arial"/>
          <w:sz w:val="22"/>
        </w:rPr>
        <w:t>(Énfasis añadido)</w:t>
      </w:r>
    </w:p>
    <w:p w:rsidR="00A4268E" w:rsidRDefault="00A4268E">
      <w:pPr>
        <w:spacing w:line="360" w:lineRule="auto"/>
        <w:ind w:left="709" w:right="709"/>
        <w:jc w:val="both"/>
        <w:rPr>
          <w:rFonts w:ascii="Palatino Linotype" w:hAnsi="Palatino Linotype" w:cs="Arial"/>
          <w:sz w:val="22"/>
        </w:rPr>
      </w:pPr>
    </w:p>
    <w:p w:rsidR="00A4268E" w:rsidRDefault="006F0117">
      <w:pPr>
        <w:spacing w:line="360" w:lineRule="auto"/>
        <w:jc w:val="both"/>
        <w:rPr>
          <w:rFonts w:ascii="Palatino Linotype" w:hAnsi="Palatino Linotype" w:cs="Arial"/>
          <w:lang w:eastAsia="es-MX"/>
        </w:rPr>
      </w:pPr>
      <w:r>
        <w:rPr>
          <w:rFonts w:ascii="Palatino Linotype" w:hAnsi="Palatino Linotype" w:cs="Arial"/>
        </w:rPr>
        <w:t xml:space="preserve">Así, la ley establece claramente cuáles son los descuentos o gravámenes que directamente se relacionan con las obligaciones adquiridas como servidores públicos y aquéllos que </w:t>
      </w:r>
      <w:r>
        <w:rPr>
          <w:rFonts w:ascii="Palatino Linotype" w:hAnsi="Palatino Linotype" w:cs="Arial"/>
          <w:b/>
        </w:rPr>
        <w:t>únicamente inciden en su vida privada</w:t>
      </w:r>
      <w:r>
        <w:rPr>
          <w:rFonts w:ascii="Palatino Linotype" w:hAnsi="Palatino Linotype" w:cs="Arial"/>
        </w:rPr>
        <w:t xml:space="preserve">. De este modo, descuentos por pensiones alimenticias o créditos adquiridos con instituciones privadas o públicas, pero que fueron contraídas en forma individual, son información que debe clasificarse como confidencial, por tratarse de </w:t>
      </w:r>
      <w:r>
        <w:rPr>
          <w:rFonts w:ascii="Palatino Linotype" w:hAnsi="Palatino Linotype" w:cs="Arial"/>
          <w:b/>
        </w:rPr>
        <w:t>información privada</w:t>
      </w:r>
      <w:r>
        <w:rPr>
          <w:rFonts w:ascii="Palatino Linotype" w:hAnsi="Palatino Linotype" w:cs="Arial"/>
        </w:rPr>
        <w:t xml:space="preserve">, </w:t>
      </w:r>
      <w:r>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rsidR="00A4268E" w:rsidRDefault="00A4268E">
      <w:pPr>
        <w:spacing w:line="360" w:lineRule="auto"/>
        <w:jc w:val="both"/>
        <w:rPr>
          <w:rFonts w:ascii="Palatino Linotype" w:hAnsi="Palatino Linotype" w:cs="Arial"/>
          <w:lang w:eastAsia="es-MX"/>
        </w:rPr>
      </w:pPr>
    </w:p>
    <w:p w:rsidR="00A4268E" w:rsidRDefault="006F0117">
      <w:pPr>
        <w:spacing w:line="360" w:lineRule="auto"/>
        <w:jc w:val="both"/>
        <w:rPr>
          <w:rFonts w:ascii="Palatino Linotype" w:hAnsi="Palatino Linotype" w:cs="Arial"/>
        </w:rPr>
      </w:pPr>
      <w:r>
        <w:rPr>
          <w:rFonts w:ascii="Palatino Linotype" w:hAnsi="Palatino Linotype" w:cs="Arial"/>
        </w:rPr>
        <w:t xml:space="preserve">Es importante señalar que, para acreditar dichos supuestos jurídicos se debe fundar y motivar correctamente la categorización de la información. Por tanto, la fundamentación y motivación consiste en la obligación que tiene todo ente público de </w:t>
      </w:r>
      <w:r>
        <w:rPr>
          <w:rFonts w:ascii="Palatino Linotype" w:hAnsi="Palatino Linotype" w:cs="Arial"/>
        </w:rPr>
        <w:lastRenderedPageBreak/>
        <w:t>expresar los preceptos jurídicos aplicables al asunto motivo del acto y las razones o argumentos de su actuar.</w:t>
      </w:r>
    </w:p>
    <w:p w:rsidR="00A4268E" w:rsidRDefault="00A4268E">
      <w:pPr>
        <w:spacing w:line="360" w:lineRule="auto"/>
        <w:jc w:val="both"/>
        <w:rPr>
          <w:rFonts w:ascii="Palatino Linotype" w:hAnsi="Palatino Linotype" w:cs="Arial"/>
        </w:rPr>
      </w:pPr>
    </w:p>
    <w:p w:rsidR="00A4268E" w:rsidRDefault="006F0117">
      <w:pPr>
        <w:spacing w:line="360" w:lineRule="auto"/>
        <w:jc w:val="both"/>
        <w:rPr>
          <w:rFonts w:ascii="Palatino Linotype" w:hAnsi="Palatino Linotype" w:cs="Arial"/>
        </w:rPr>
      </w:pPr>
      <w:r>
        <w:rPr>
          <w:rFonts w:ascii="Palatino Linotype" w:hAnsi="Palatino Linotype" w:cs="Arial"/>
        </w:rPr>
        <w:t>Al respecto, el máximo tribunal del país ha establecido jurisprudencia respecto a qué debe entenderse por fundamentación y motivación, en los siguientes términos:</w:t>
      </w:r>
    </w:p>
    <w:p w:rsidR="00A4268E" w:rsidRDefault="00A4268E">
      <w:pPr>
        <w:spacing w:line="360" w:lineRule="auto"/>
        <w:jc w:val="both"/>
        <w:rPr>
          <w:rFonts w:ascii="Palatino Linotype" w:hAnsi="Palatino Linotype" w:cs="Arial"/>
        </w:rPr>
      </w:pPr>
    </w:p>
    <w:p w:rsidR="00A4268E" w:rsidRDefault="006F0117">
      <w:pPr>
        <w:pStyle w:val="Textoindependiente2"/>
        <w:spacing w:after="0" w:line="240" w:lineRule="auto"/>
        <w:ind w:left="709" w:right="757"/>
        <w:contextualSpacing/>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 xml:space="preserve">FUNDAMENTACIÓN Y MOTIVACIÓN. </w:t>
      </w:r>
      <w:r>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A4268E" w:rsidRDefault="00A4268E">
      <w:pPr>
        <w:pStyle w:val="Textoindependiente2"/>
        <w:spacing w:after="0" w:line="360" w:lineRule="auto"/>
        <w:contextualSpacing/>
        <w:jc w:val="both"/>
        <w:rPr>
          <w:rFonts w:ascii="Palatino Linotype" w:hAnsi="Palatino Linotype" w:cs="Arial"/>
          <w:i/>
        </w:rPr>
      </w:pPr>
    </w:p>
    <w:p w:rsidR="00A4268E" w:rsidRDefault="006F0117">
      <w:pPr>
        <w:spacing w:line="360" w:lineRule="auto"/>
        <w:jc w:val="both"/>
        <w:rPr>
          <w:rFonts w:ascii="Palatino Linotype" w:hAnsi="Palatino Linotype" w:cs="Arial"/>
        </w:rPr>
      </w:pPr>
      <w:r>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A4268E" w:rsidRDefault="00A4268E">
      <w:pPr>
        <w:spacing w:line="360" w:lineRule="auto"/>
        <w:jc w:val="both"/>
        <w:rPr>
          <w:rFonts w:ascii="Palatino Linotype" w:hAnsi="Palatino Linotype" w:cs="Arial"/>
        </w:rPr>
      </w:pPr>
    </w:p>
    <w:p w:rsidR="00A4268E" w:rsidRDefault="006F0117">
      <w:pPr>
        <w:spacing w:line="360" w:lineRule="auto"/>
        <w:jc w:val="both"/>
        <w:rPr>
          <w:rFonts w:ascii="Palatino Linotype" w:hAnsi="Palatino Linotype" w:cs="Arial"/>
        </w:rPr>
      </w:pPr>
      <w:r>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A4268E" w:rsidRDefault="00A4268E">
      <w:pPr>
        <w:spacing w:line="360" w:lineRule="auto"/>
        <w:jc w:val="both"/>
        <w:rPr>
          <w:rFonts w:ascii="Palatino Linotype" w:hAnsi="Palatino Linotype" w:cs="Arial"/>
        </w:rPr>
      </w:pPr>
    </w:p>
    <w:p w:rsidR="00A4268E" w:rsidRDefault="006F0117">
      <w:pPr>
        <w:pStyle w:val="Textoindependiente2"/>
        <w:spacing w:after="0" w:line="240" w:lineRule="auto"/>
        <w:ind w:left="709" w:right="757"/>
        <w:contextualSpacing/>
        <w:jc w:val="both"/>
        <w:rPr>
          <w:rFonts w:ascii="Palatino Linotype" w:hAnsi="Palatino Linotype" w:cs="Arial"/>
          <w:i/>
          <w:sz w:val="22"/>
        </w:rPr>
      </w:pPr>
      <w:r>
        <w:rPr>
          <w:rFonts w:ascii="Palatino Linotype" w:hAnsi="Palatino Linotype" w:cs="Arial"/>
          <w:b/>
          <w:i/>
          <w:sz w:val="22"/>
        </w:rPr>
        <w:t>“FUNDAMENTACIÓN Y MOTIVACIÓN. EL ASPECTO FORMAL DE LA GARANTÍA Y SU FINALIDAD SE TRADUCEN EN EXPLICAR, JUSTIFICAR, POSIBILITAR LA DEFENSA Y COMUNICAR LA DECISIÓN</w:t>
      </w:r>
      <w:r>
        <w:rPr>
          <w:rFonts w:ascii="Palatino Linotype" w:hAnsi="Palatino Linotype" w:cs="Arial"/>
          <w:i/>
          <w:sz w:val="22"/>
        </w:rPr>
        <w:t xml:space="preserve">. El contenido formal de la garantía de legalidad prevista en el artículo 16 constitucional relativa a la </w:t>
      </w:r>
      <w:r>
        <w:rPr>
          <w:rFonts w:ascii="Palatino Linotype" w:hAnsi="Palatino Linotype" w:cs="Arial"/>
          <w:b/>
          <w:i/>
          <w:sz w:val="22"/>
        </w:rPr>
        <w:t xml:space="preserve">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w:t>
      </w:r>
      <w:r>
        <w:rPr>
          <w:rFonts w:ascii="Palatino Linotype" w:hAnsi="Palatino Linotype" w:cs="Arial"/>
          <w:b/>
          <w:i/>
          <w:sz w:val="22"/>
        </w:rPr>
        <w:lastRenderedPageBreak/>
        <w:t>manera que sea evidente y muy claro para el afectado poder cuestionar y controvertir el mérito de la decisión, permitiéndole una real y auténtica defensa</w:t>
      </w:r>
      <w:r>
        <w:rPr>
          <w:rFonts w:ascii="Palatino Linotype" w:hAnsi="Palatino Linotype" w:cs="Arial"/>
          <w:i/>
          <w:sz w:val="22"/>
        </w:rPr>
        <w:t xml:space="preserve">. Por tanto, </w:t>
      </w:r>
      <w:r>
        <w:rPr>
          <w:rFonts w:ascii="Palatino Linotype" w:hAnsi="Palatino Linotype" w:cs="Arial"/>
          <w:b/>
          <w:i/>
          <w:sz w:val="22"/>
        </w:rPr>
        <w:t>no basta que el acto de autoridad apenas observe una motivación pro forma pero de una manera incongruente, insuficiente o imprecisa</w:t>
      </w:r>
      <w:r>
        <w:rPr>
          <w:rFonts w:ascii="Palatino Linotype" w:hAnsi="Palatino Linotype" w:cs="Arial"/>
          <w:i/>
          <w:sz w:val="22"/>
        </w:rPr>
        <w:t>, que impida la finalidad del conocimiento, comprobación y defensa pertinente</w:t>
      </w:r>
      <w:r>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cs="Arial"/>
          <w:i/>
          <w:sz w:val="22"/>
        </w:rPr>
        <w:t>.”(Sic)</w:t>
      </w:r>
    </w:p>
    <w:p w:rsidR="00A4268E" w:rsidRDefault="00A4268E">
      <w:pPr>
        <w:pStyle w:val="Textoindependiente2"/>
        <w:spacing w:after="0" w:line="360" w:lineRule="auto"/>
        <w:contextualSpacing/>
        <w:jc w:val="both"/>
        <w:rPr>
          <w:rFonts w:ascii="Palatino Linotype" w:hAnsi="Palatino Linotype" w:cs="Arial"/>
          <w:i/>
        </w:rPr>
      </w:pPr>
    </w:p>
    <w:p w:rsidR="00A4268E" w:rsidRDefault="006F0117">
      <w:pPr>
        <w:spacing w:line="360" w:lineRule="auto"/>
        <w:jc w:val="both"/>
        <w:rPr>
          <w:rFonts w:ascii="Palatino Linotype" w:hAnsi="Palatino Linotype" w:cs="Arial"/>
        </w:rPr>
      </w:pPr>
      <w:r>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A4268E" w:rsidRDefault="00A4268E">
      <w:pPr>
        <w:spacing w:line="360" w:lineRule="auto"/>
        <w:jc w:val="both"/>
        <w:rPr>
          <w:rFonts w:ascii="Palatino Linotype" w:hAnsi="Palatino Linotype" w:cs="Arial"/>
        </w:rPr>
      </w:pPr>
    </w:p>
    <w:p w:rsidR="00A4268E" w:rsidRDefault="006F0117">
      <w:pPr>
        <w:spacing w:line="360" w:lineRule="auto"/>
        <w:jc w:val="both"/>
        <w:rPr>
          <w:rFonts w:ascii="Palatino Linotype" w:hAnsi="Palatino Linotype" w:cs="Arial"/>
          <w:lang w:val="es-ES"/>
        </w:rPr>
      </w:pPr>
      <w:r>
        <w:rPr>
          <w:rFonts w:ascii="Palatino Linotype" w:hAnsi="Palatino Linotype" w:cs="Arial"/>
          <w:lang w:val="es-ES"/>
        </w:rPr>
        <w:t xml:space="preserve">Por lo tanto, la entrega de documentos en su versión pública debe acompañarse necesariamente del Acuerdo del Comité de Transparencia del </w:t>
      </w:r>
      <w:r>
        <w:rPr>
          <w:rFonts w:ascii="Palatino Linotype" w:hAnsi="Palatino Linotype" w:cs="Arial"/>
          <w:b/>
          <w:lang w:val="es-ES"/>
        </w:rPr>
        <w:t xml:space="preserve">SUJETO OBLIGADO </w:t>
      </w:r>
      <w:r>
        <w:rPr>
          <w:rFonts w:ascii="Palatino Linotype" w:hAnsi="Palatino Linotype" w:cs="Arial"/>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Pr>
          <w:rFonts w:ascii="Palatino Linotype" w:hAnsi="Palatino Linotype" w:cs="Arial"/>
          <w:lang w:val="es-ES"/>
        </w:rPr>
        <w:lastRenderedPageBreak/>
        <w:t>manera puntual las razones de ello se estaría violentando desde un inicio el derecho de acceso a la información del solicitante.</w:t>
      </w:r>
    </w:p>
    <w:p w:rsidR="00A4268E" w:rsidRDefault="00A4268E">
      <w:pPr>
        <w:spacing w:line="360" w:lineRule="auto"/>
        <w:jc w:val="both"/>
        <w:rPr>
          <w:rFonts w:ascii="Palatino Linotype" w:hAnsi="Palatino Linotype" w:cs="Arial"/>
        </w:rPr>
      </w:pPr>
    </w:p>
    <w:p w:rsidR="00A4268E" w:rsidRDefault="006F0117">
      <w:pPr>
        <w:spacing w:line="360" w:lineRule="auto"/>
        <w:jc w:val="both"/>
        <w:rPr>
          <w:rFonts w:ascii="Palatino Linotype" w:hAnsi="Palatino Linotype" w:cs="Arial"/>
        </w:rPr>
      </w:pPr>
      <w:r>
        <w:rPr>
          <w:rFonts w:ascii="Palatino Linotype" w:hAnsi="Palatino Linotype" w:cs="Arial"/>
        </w:rPr>
        <w:t xml:space="preserve">Establecido lo anterior, se denota que la información requerida por </w:t>
      </w:r>
      <w:r>
        <w:rPr>
          <w:rFonts w:ascii="Palatino Linotype" w:hAnsi="Palatino Linotype" w:cs="Arial"/>
          <w:b/>
        </w:rPr>
        <w:t xml:space="preserve">EL RECURRENTE </w:t>
      </w:r>
      <w:r>
        <w:rPr>
          <w:rFonts w:ascii="Palatino Linotype" w:hAnsi="Palatino Linotype" w:cs="Arial"/>
        </w:rPr>
        <w:t>no encuadra en los supuestos de reserva de la información ya que si bien es cierto, de acuerdo con los diferentes ordenamientos jurídicos que rigen el actuar de los cuerpos de seguridad, el rol de la policía consiste en prevenir y combatir el delito, así como garantizar la seguridad pública para que los ciudadanos puedan realizar su vida tranquilamente, puesto que como responsabilidad asumida es la de “servir y proteger” a los ciudadanos.</w:t>
      </w:r>
    </w:p>
    <w:p w:rsidR="00A4268E" w:rsidRDefault="00A4268E">
      <w:pPr>
        <w:spacing w:line="360" w:lineRule="auto"/>
        <w:jc w:val="both"/>
        <w:rPr>
          <w:rFonts w:ascii="Palatino Linotype" w:hAnsi="Palatino Linotype" w:cs="Arial"/>
        </w:rPr>
      </w:pPr>
    </w:p>
    <w:p w:rsidR="00A4268E" w:rsidRDefault="006F0117">
      <w:pPr>
        <w:spacing w:line="360" w:lineRule="auto"/>
        <w:jc w:val="both"/>
        <w:rPr>
          <w:rFonts w:ascii="Palatino Linotype" w:hAnsi="Palatino Linotype" w:cs="Arial"/>
        </w:rPr>
      </w:pPr>
      <w:r>
        <w:rPr>
          <w:rFonts w:ascii="Palatino Linotype" w:hAnsi="Palatino Linotype" w:cs="Arial"/>
        </w:rPr>
        <w:t>Para llevar a cabo esta función, los cuerpos policiales realizan actividades tales como la recuperación territorial de los espacios públicos para la comunidad y el restablecimiento de las condiciones mínimas de seguridad, el combate a la estructura criminal con el acotamiento de su logística operativa y la desarticulación de las organizaciones delictivas; esto, basado en esquemas territoriales y selección de ciudades con alta incidencia delictiva en las que se focaliza la concentración estratégica de fuerza, para maximizar los resultados; asimismo, realizan el control de las principales vías de comunicación en áreas de alta incidencia delictiva a través de puntos revisión que detecten la logística criminal.</w:t>
      </w:r>
    </w:p>
    <w:p w:rsidR="00A4268E" w:rsidRDefault="00A4268E">
      <w:pPr>
        <w:spacing w:line="360" w:lineRule="auto"/>
        <w:jc w:val="both"/>
        <w:rPr>
          <w:rFonts w:ascii="Palatino Linotype" w:hAnsi="Palatino Linotype" w:cs="Arial"/>
        </w:rPr>
      </w:pPr>
    </w:p>
    <w:p w:rsidR="00A4268E" w:rsidRDefault="006F0117">
      <w:pPr>
        <w:spacing w:line="360" w:lineRule="auto"/>
        <w:jc w:val="both"/>
        <w:rPr>
          <w:rFonts w:ascii="Palatino Linotype" w:hAnsi="Palatino Linotype" w:cs="Arial"/>
        </w:rPr>
      </w:pPr>
      <w:r>
        <w:rPr>
          <w:rFonts w:ascii="Palatino Linotype" w:hAnsi="Palatino Linotype" w:cs="Arial"/>
        </w:rPr>
        <w:t xml:space="preserve">Sin embargo, esto conlleva a un riesgo inminente para los integrantes de los cuerpos policiales, en virtud de que al cumplir con estrategias encaminadas a la prevención y </w:t>
      </w:r>
      <w:r>
        <w:rPr>
          <w:rFonts w:ascii="Palatino Linotype" w:hAnsi="Palatino Linotype" w:cs="Arial"/>
        </w:rPr>
        <w:lastRenderedPageBreak/>
        <w:t>persecución del delito, al entregar sus nombres son susceptibles de que se ponga en riesgo a dichos servidores públicos, incluso peligrando su propia vida.</w:t>
      </w:r>
    </w:p>
    <w:p w:rsidR="00A4268E" w:rsidRDefault="00A4268E">
      <w:pPr>
        <w:spacing w:line="360" w:lineRule="auto"/>
        <w:jc w:val="both"/>
        <w:rPr>
          <w:rFonts w:ascii="Palatino Linotype" w:hAnsi="Palatino Linotype" w:cs="Arial"/>
        </w:rPr>
      </w:pPr>
    </w:p>
    <w:p w:rsidR="00A4268E" w:rsidRDefault="006F0117">
      <w:pPr>
        <w:spacing w:line="360" w:lineRule="auto"/>
        <w:jc w:val="both"/>
        <w:rPr>
          <w:rFonts w:ascii="Palatino Linotype" w:hAnsi="Palatino Linotype" w:cs="Arial"/>
        </w:rPr>
      </w:pPr>
      <w:r>
        <w:rPr>
          <w:rFonts w:ascii="Palatino Linotype" w:hAnsi="Palatino Linotype" w:cs="Arial"/>
        </w:rPr>
        <w:t>No obstante, si bien se determina que debe protegerse de los nombres de los servidores públicos adscritos a la Dirección General de Seguridad Pública, en razón de que la difusión de estos  permitan identificar a elementos en específico, por la detención de personas o por el simple desempeño de sus funciones, conllevaría a que se ponga en riesgo su integridad al darse a conocer la información referente a quienes llevan a cabo la operación y desarrollo de funciones en materia de seguridad pública; y permitir posibles vulnerabilidades que pudiera utilizar la delincuencia; también es cierto que dicha protección se logra al someter la información de que se trata, a un proceso de disociación; es decir, se realice un proceso en el que los datos personales no pueden asociarse al titular, ni permitir por su estructura, contenido o grado de desagregación, la identificación individual del mismo; aun y cuando por norma estos deban ser públicos, empero su difusión conlleve a un riesgo en la integridad física y moral de los titulares de los datos.</w:t>
      </w:r>
    </w:p>
    <w:p w:rsidR="00A4268E" w:rsidRDefault="00A4268E">
      <w:pPr>
        <w:spacing w:line="360" w:lineRule="auto"/>
        <w:jc w:val="both"/>
        <w:rPr>
          <w:rFonts w:ascii="Palatino Linotype" w:hAnsi="Palatino Linotype" w:cs="Arial"/>
        </w:rPr>
      </w:pPr>
    </w:p>
    <w:p w:rsidR="00A4268E" w:rsidRDefault="006F0117">
      <w:pPr>
        <w:spacing w:line="360" w:lineRule="auto"/>
        <w:jc w:val="both"/>
        <w:rPr>
          <w:rFonts w:ascii="Palatino Linotype" w:hAnsi="Palatino Linotype" w:cs="Arial"/>
        </w:rPr>
      </w:pPr>
      <w:r>
        <w:rPr>
          <w:rFonts w:ascii="Palatino Linotype" w:hAnsi="Palatino Linotype" w:cs="Arial"/>
        </w:rPr>
        <w:t>Dicho procedimiento se contempla dentro de la Ley de Protección de Datos Personales en Posesión de Sujetos Obligados del Estado de México y Municipios en su fracción XVI del artículo 4 y diverso 52 de la Ley de Transparencia y Acceso a la Información Pública del Estado de México y Municipios.</w:t>
      </w:r>
    </w:p>
    <w:p w:rsidR="00A4268E" w:rsidRDefault="00A4268E">
      <w:pPr>
        <w:spacing w:line="360" w:lineRule="auto"/>
        <w:jc w:val="both"/>
        <w:rPr>
          <w:rFonts w:ascii="Palatino Linotype" w:hAnsi="Palatino Linotype" w:cs="Arial"/>
        </w:rPr>
      </w:pPr>
    </w:p>
    <w:p w:rsidR="00A4268E" w:rsidRDefault="006F0117">
      <w:pPr>
        <w:ind w:left="709" w:right="757"/>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Artículo 4</w:t>
      </w:r>
      <w:r>
        <w:rPr>
          <w:rFonts w:ascii="Palatino Linotype" w:hAnsi="Palatino Linotype" w:cs="Arial"/>
          <w:i/>
          <w:sz w:val="22"/>
        </w:rPr>
        <w:t>. Para los efectos de esta Ley se entenderá por:</w:t>
      </w:r>
    </w:p>
    <w:p w:rsidR="00A4268E" w:rsidRDefault="00A4268E">
      <w:pPr>
        <w:widowControl w:val="0"/>
        <w:ind w:left="709" w:right="757"/>
        <w:jc w:val="both"/>
        <w:rPr>
          <w:rFonts w:ascii="Palatino Linotype" w:hAnsi="Palatino Linotype" w:cs="Arial"/>
          <w:i/>
          <w:sz w:val="22"/>
        </w:rPr>
      </w:pPr>
    </w:p>
    <w:p w:rsidR="00A4268E" w:rsidRDefault="006F0117">
      <w:pPr>
        <w:widowControl w:val="0"/>
        <w:ind w:left="709" w:right="757"/>
        <w:jc w:val="both"/>
        <w:rPr>
          <w:rFonts w:ascii="Palatino Linotype" w:hAnsi="Palatino Linotype" w:cs="Arial"/>
          <w:i/>
          <w:sz w:val="22"/>
        </w:rPr>
      </w:pPr>
      <w:r>
        <w:rPr>
          <w:rFonts w:ascii="Palatino Linotype" w:hAnsi="Palatino Linotype" w:cs="Arial"/>
          <w:b/>
          <w:i/>
          <w:sz w:val="22"/>
        </w:rPr>
        <w:t>XVI. Disociación</w:t>
      </w:r>
      <w:r>
        <w:rPr>
          <w:rFonts w:ascii="Palatino Linotype" w:hAnsi="Palatino Linotype" w:cs="Arial"/>
          <w:i/>
          <w:sz w:val="22"/>
        </w:rPr>
        <w:t xml:space="preserve">: al procedimiento por el que los datos personales no pueden asociarse </w:t>
      </w:r>
      <w:r>
        <w:rPr>
          <w:rFonts w:ascii="Palatino Linotype" w:hAnsi="Palatino Linotype" w:cs="Arial"/>
          <w:i/>
          <w:sz w:val="22"/>
        </w:rPr>
        <w:lastRenderedPageBreak/>
        <w:t>a la o el titular, ni permitir por su estructura, contenido o grado de desagregación, la identificación individual del mismo.</w:t>
      </w:r>
    </w:p>
    <w:p w:rsidR="00A4268E" w:rsidRDefault="00A4268E">
      <w:pPr>
        <w:widowControl w:val="0"/>
        <w:ind w:left="709" w:right="757"/>
        <w:jc w:val="both"/>
        <w:rPr>
          <w:rFonts w:ascii="Palatino Linotype" w:hAnsi="Palatino Linotype" w:cs="Arial"/>
          <w:i/>
          <w:sz w:val="22"/>
        </w:rPr>
      </w:pPr>
    </w:p>
    <w:p w:rsidR="00A4268E" w:rsidRDefault="006F0117">
      <w:pPr>
        <w:widowControl w:val="0"/>
        <w:ind w:left="709" w:right="757"/>
        <w:jc w:val="both"/>
        <w:rPr>
          <w:rFonts w:ascii="Palatino Linotype" w:hAnsi="Palatino Linotype" w:cs="Arial"/>
          <w:i/>
          <w:sz w:val="22"/>
        </w:rPr>
      </w:pPr>
      <w:r>
        <w:rPr>
          <w:rFonts w:ascii="Palatino Linotype" w:hAnsi="Palatino Linotype" w:cs="Arial"/>
          <w:b/>
          <w:i/>
          <w:sz w:val="22"/>
        </w:rPr>
        <w:t>Artículo 52</w:t>
      </w:r>
      <w:r>
        <w:rPr>
          <w:rFonts w:ascii="Palatino Linotype" w:hAnsi="Palatino Linotype" w:cs="Arial"/>
          <w:i/>
          <w:sz w:val="22"/>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A4268E" w:rsidRDefault="00A4268E">
      <w:pPr>
        <w:pStyle w:val="Prrafodelista"/>
        <w:widowControl w:val="0"/>
        <w:spacing w:line="360" w:lineRule="auto"/>
        <w:ind w:left="0"/>
        <w:jc w:val="both"/>
        <w:rPr>
          <w:rFonts w:ascii="Palatino Linotype" w:hAnsi="Palatino Linotype" w:cs="Arial"/>
        </w:rPr>
      </w:pPr>
    </w:p>
    <w:p w:rsidR="00A4268E" w:rsidRDefault="006F0117">
      <w:pPr>
        <w:pStyle w:val="Prrafodelista"/>
        <w:widowControl w:val="0"/>
        <w:spacing w:line="360" w:lineRule="auto"/>
        <w:ind w:left="0"/>
        <w:jc w:val="both"/>
        <w:rPr>
          <w:rFonts w:ascii="Palatino Linotype" w:hAnsi="Palatino Linotype" w:cs="Arial"/>
        </w:rPr>
      </w:pPr>
      <w:r>
        <w:rPr>
          <w:rFonts w:ascii="Palatino Linotype" w:hAnsi="Palatino Linotype" w:cs="Arial"/>
        </w:rPr>
        <w:t>Por tanto, se concluye que la disociación consiste en el procedimiento por el cual los datos personales no pueden asociarse al Titular de éstos, ni permitir por su estructura, contenido o grado de desagregación, la identificación individual del mismo; es decir, que para el caso en particular no se pueda asociar el nombre de los policías con el cargo que desempeñan, pudiendo remitir por una lado la nómina de la que no se advierta el nombre únicamente cargo y demás datos relacionados a sus percepciones y por otro un listado de los nombres del personal adscrito a Seguridad Pública.</w:t>
      </w:r>
    </w:p>
    <w:p w:rsidR="00A4268E" w:rsidRDefault="00A4268E">
      <w:pPr>
        <w:pStyle w:val="Prrafodelista"/>
        <w:widowControl w:val="0"/>
        <w:spacing w:line="360" w:lineRule="auto"/>
        <w:ind w:left="0"/>
        <w:jc w:val="both"/>
        <w:rPr>
          <w:rFonts w:ascii="Palatino Linotype" w:hAnsi="Palatino Linotype" w:cs="Arial"/>
        </w:rPr>
      </w:pPr>
    </w:p>
    <w:p w:rsidR="00A4268E" w:rsidRDefault="006F0117">
      <w:pPr>
        <w:widowControl w:val="0"/>
        <w:spacing w:line="360" w:lineRule="auto"/>
        <w:jc w:val="both"/>
        <w:rPr>
          <w:rFonts w:ascii="Palatino Linotype" w:eastAsia="Calibri" w:hAnsi="Palatino Linotype" w:cs="Arial"/>
        </w:rPr>
      </w:pPr>
      <w:r>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Pr>
          <w:rFonts w:ascii="Palatino Linotype" w:eastAsia="Calibri" w:hAnsi="Palatino Linotype" w:cs="Arial"/>
          <w:b/>
        </w:rPr>
        <w:t>REVOCAR</w:t>
      </w:r>
      <w:r>
        <w:rPr>
          <w:rFonts w:ascii="Palatino Linotype" w:eastAsia="Calibri" w:hAnsi="Palatino Linotype" w:cs="Arial"/>
        </w:rPr>
        <w:t xml:space="preserve"> la respuesta del </w:t>
      </w:r>
      <w:r>
        <w:rPr>
          <w:rFonts w:ascii="Palatino Linotype" w:eastAsia="Calibri" w:hAnsi="Palatino Linotype" w:cs="Arial"/>
          <w:b/>
        </w:rPr>
        <w:t>SUJETO OBLIGADO</w:t>
      </w:r>
      <w:r>
        <w:rPr>
          <w:rFonts w:ascii="Palatino Linotype" w:eastAsia="Calibri" w:hAnsi="Palatino Linotype" w:cs="Arial"/>
        </w:rPr>
        <w:t xml:space="preserve"> y ordenar la entrega de la información en los términos descritos en el cuerpo de la resolución del recurso de revisión que nos ocupa.</w:t>
      </w:r>
    </w:p>
    <w:p w:rsidR="00A4268E" w:rsidRDefault="00A4268E">
      <w:pPr>
        <w:widowControl w:val="0"/>
        <w:spacing w:line="360" w:lineRule="auto"/>
        <w:jc w:val="both"/>
        <w:rPr>
          <w:rFonts w:ascii="Palatino Linotype" w:eastAsia="Calibri" w:hAnsi="Palatino Linotype" w:cs="Arial"/>
        </w:rPr>
      </w:pPr>
    </w:p>
    <w:p w:rsidR="00A4268E" w:rsidRDefault="006F0117">
      <w:pPr>
        <w:spacing w:line="360" w:lineRule="auto"/>
        <w:jc w:val="both"/>
        <w:rPr>
          <w:rFonts w:ascii="Palatino Linotype" w:eastAsia="Calibri" w:hAnsi="Palatino Linotype" w:cs="Arial"/>
        </w:rPr>
      </w:pPr>
      <w:r>
        <w:rPr>
          <w:rFonts w:ascii="Palatino Linotype" w:eastAsia="Calibri" w:hAnsi="Palatino Linotype" w:cs="Arial"/>
        </w:rPr>
        <w:t xml:space="preserve">Así, con fundamento en lo prescrito en los artículos 5, párrafos vigésimo segundo, vigésimo tercero y vigésimo cuarto fracciones IV y V de la Constitución Política del Estado Libre y Soberano de México; 2, fracción II, 29, 36, fracciones I y II, 176, 178, 179, </w:t>
      </w:r>
      <w:r>
        <w:rPr>
          <w:rFonts w:ascii="Palatino Linotype" w:eastAsia="Calibri" w:hAnsi="Palatino Linotype" w:cs="Arial"/>
        </w:rPr>
        <w:lastRenderedPageBreak/>
        <w:t>181, 185, fracción I, 186 y 188 de la Ley de Transparencia y Acceso a la Información Pública del Estado de México y Municipios, este Pleno:</w:t>
      </w:r>
    </w:p>
    <w:p w:rsidR="00A4268E" w:rsidRDefault="00A4268E">
      <w:pPr>
        <w:spacing w:line="360" w:lineRule="auto"/>
        <w:jc w:val="center"/>
        <w:rPr>
          <w:rFonts w:ascii="Palatino Linotype" w:eastAsia="Calibri" w:hAnsi="Palatino Linotype" w:cs="Arial"/>
          <w:b/>
          <w:sz w:val="28"/>
        </w:rPr>
      </w:pPr>
    </w:p>
    <w:p w:rsidR="00A4268E" w:rsidRPr="00D95242" w:rsidRDefault="006F0117">
      <w:pPr>
        <w:spacing w:line="360" w:lineRule="auto"/>
        <w:jc w:val="center"/>
        <w:rPr>
          <w:rFonts w:ascii="Palatino Linotype" w:eastAsia="Calibri" w:hAnsi="Palatino Linotype" w:cs="Arial"/>
          <w:b/>
          <w:sz w:val="28"/>
          <w:lang w:val="pt-BR"/>
        </w:rPr>
      </w:pPr>
      <w:r w:rsidRPr="00D95242">
        <w:rPr>
          <w:rFonts w:ascii="Palatino Linotype" w:eastAsia="Calibri" w:hAnsi="Palatino Linotype" w:cs="Arial"/>
          <w:b/>
          <w:sz w:val="28"/>
          <w:lang w:val="pt-BR"/>
        </w:rPr>
        <w:t>R E S U E L V E</w:t>
      </w:r>
    </w:p>
    <w:p w:rsidR="00A4268E" w:rsidRPr="00D95242" w:rsidRDefault="00A4268E">
      <w:pPr>
        <w:spacing w:line="360" w:lineRule="auto"/>
        <w:jc w:val="center"/>
        <w:rPr>
          <w:rFonts w:ascii="Palatino Linotype" w:eastAsia="Calibri" w:hAnsi="Palatino Linotype" w:cs="Arial"/>
          <w:b/>
          <w:sz w:val="28"/>
          <w:lang w:val="pt-BR"/>
        </w:rPr>
      </w:pPr>
    </w:p>
    <w:p w:rsidR="00A4268E" w:rsidRDefault="006F0117">
      <w:pPr>
        <w:spacing w:line="360" w:lineRule="auto"/>
        <w:jc w:val="both"/>
        <w:rPr>
          <w:rFonts w:ascii="Palatino Linotype" w:eastAsia="Calibri" w:hAnsi="Palatino Linotype" w:cs="Arial"/>
        </w:rPr>
      </w:pPr>
      <w:r w:rsidRPr="00D95242">
        <w:rPr>
          <w:rFonts w:ascii="Palatino Linotype" w:eastAsia="Calibri" w:hAnsi="Palatino Linotype" w:cs="Arial"/>
          <w:b/>
          <w:sz w:val="28"/>
          <w:lang w:val="pt-BR"/>
        </w:rPr>
        <w:t>PRIMERO</w:t>
      </w:r>
      <w:r w:rsidRPr="00D95242">
        <w:rPr>
          <w:rFonts w:ascii="Palatino Linotype" w:eastAsia="Calibri" w:hAnsi="Palatino Linotype" w:cs="Arial"/>
          <w:lang w:val="pt-BR"/>
        </w:rPr>
        <w:t xml:space="preserve">. </w:t>
      </w:r>
      <w:r>
        <w:rPr>
          <w:rFonts w:ascii="Palatino Linotype" w:eastAsia="Calibri" w:hAnsi="Palatino Linotype" w:cs="Arial"/>
        </w:rPr>
        <w:t xml:space="preserve">Resultan </w:t>
      </w:r>
      <w:r>
        <w:rPr>
          <w:rFonts w:ascii="Palatino Linotype" w:eastAsia="Calibri" w:hAnsi="Palatino Linotype" w:cs="Arial"/>
          <w:b/>
        </w:rPr>
        <w:t>fundadas</w:t>
      </w:r>
      <w:r>
        <w:rPr>
          <w:rFonts w:ascii="Palatino Linotype" w:eastAsia="Calibri" w:hAnsi="Palatino Linotype" w:cs="Arial"/>
        </w:rPr>
        <w:t xml:space="preserve"> las razones o motivos de inconformidad planteadas por </w:t>
      </w:r>
      <w:r>
        <w:rPr>
          <w:rFonts w:ascii="Palatino Linotype" w:eastAsia="Calibri" w:hAnsi="Palatino Linotype" w:cs="Arial"/>
          <w:b/>
        </w:rPr>
        <w:t>EL RECURRENTE</w:t>
      </w:r>
      <w:r>
        <w:rPr>
          <w:rFonts w:ascii="Palatino Linotype" w:eastAsia="Calibri" w:hAnsi="Palatino Linotype" w:cs="Arial"/>
        </w:rPr>
        <w:t xml:space="preserve">, en términos del Considerando </w:t>
      </w:r>
      <w:r>
        <w:rPr>
          <w:rFonts w:ascii="Palatino Linotype" w:eastAsia="Calibri" w:hAnsi="Palatino Linotype" w:cs="Arial"/>
          <w:b/>
        </w:rPr>
        <w:t>QUINTO</w:t>
      </w:r>
      <w:r>
        <w:rPr>
          <w:rFonts w:ascii="Palatino Linotype" w:eastAsia="Calibri" w:hAnsi="Palatino Linotype" w:cs="Arial"/>
        </w:rPr>
        <w:t xml:space="preserve"> de la presente resolución.</w:t>
      </w:r>
    </w:p>
    <w:p w:rsidR="00A4268E" w:rsidRDefault="00A4268E">
      <w:pPr>
        <w:spacing w:line="360" w:lineRule="auto"/>
        <w:jc w:val="both"/>
        <w:rPr>
          <w:rFonts w:ascii="Palatino Linotype" w:eastAsia="Calibri" w:hAnsi="Palatino Linotype" w:cs="Arial"/>
        </w:rPr>
      </w:pPr>
    </w:p>
    <w:p w:rsidR="00A4268E" w:rsidRDefault="006F0117">
      <w:pPr>
        <w:spacing w:line="360" w:lineRule="auto"/>
        <w:jc w:val="both"/>
        <w:rPr>
          <w:rFonts w:ascii="Palatino Linotype" w:eastAsia="Calibri" w:hAnsi="Palatino Linotype" w:cs="Arial"/>
        </w:rPr>
      </w:pPr>
      <w:r>
        <w:rPr>
          <w:rFonts w:ascii="Palatino Linotype" w:eastAsia="Calibri" w:hAnsi="Palatino Linotype" w:cs="Arial"/>
          <w:b/>
          <w:sz w:val="28"/>
        </w:rPr>
        <w:t>SEGUNDO</w:t>
      </w:r>
      <w:r>
        <w:rPr>
          <w:rFonts w:ascii="Palatino Linotype" w:eastAsia="Calibri" w:hAnsi="Palatino Linotype" w:cs="Arial"/>
        </w:rPr>
        <w:t xml:space="preserve">. Se </w:t>
      </w:r>
      <w:r>
        <w:rPr>
          <w:rFonts w:ascii="Palatino Linotype" w:eastAsia="Calibri" w:hAnsi="Palatino Linotype" w:cs="Arial"/>
          <w:b/>
        </w:rPr>
        <w:t>REVOCA</w:t>
      </w:r>
      <w:r>
        <w:rPr>
          <w:rFonts w:ascii="Palatino Linotype" w:eastAsia="Calibri" w:hAnsi="Palatino Linotype" w:cs="Arial"/>
        </w:rPr>
        <w:t xml:space="preserve"> la respuesta otorgada por </w:t>
      </w:r>
      <w:r>
        <w:rPr>
          <w:rFonts w:ascii="Palatino Linotype" w:eastAsia="Calibri" w:hAnsi="Palatino Linotype" w:cs="Arial"/>
          <w:b/>
        </w:rPr>
        <w:t>EL SUJETO OBLIGADO</w:t>
      </w:r>
      <w:r>
        <w:rPr>
          <w:rFonts w:ascii="Palatino Linotype" w:eastAsia="Calibri" w:hAnsi="Palatino Linotype" w:cs="Arial"/>
        </w:rPr>
        <w:t xml:space="preserve"> a la solicitud de información </w:t>
      </w:r>
      <w:r>
        <w:rPr>
          <w:rFonts w:ascii="Palatino Linotype" w:eastAsia="Calibri" w:hAnsi="Palatino Linotype" w:cs="Arial"/>
          <w:b/>
          <w:bCs/>
        </w:rPr>
        <w:t>00007/</w:t>
      </w:r>
      <w:proofErr w:type="spellStart"/>
      <w:r>
        <w:rPr>
          <w:rFonts w:ascii="Palatino Linotype" w:eastAsia="Calibri" w:hAnsi="Palatino Linotype" w:cs="Arial"/>
          <w:b/>
          <w:bCs/>
        </w:rPr>
        <w:t>COATHAR</w:t>
      </w:r>
      <w:proofErr w:type="spellEnd"/>
      <w:r>
        <w:rPr>
          <w:rFonts w:ascii="Palatino Linotype" w:eastAsia="Calibri" w:hAnsi="Palatino Linotype" w:cs="Arial"/>
          <w:b/>
          <w:bCs/>
        </w:rPr>
        <w:t xml:space="preserve">/IP/2020 </w:t>
      </w:r>
      <w:r>
        <w:rPr>
          <w:rFonts w:ascii="Palatino Linotype" w:eastAsia="Calibri" w:hAnsi="Palatino Linotype" w:cs="Arial"/>
        </w:rPr>
        <w:t xml:space="preserve">y se le ordena en términos del Considerando </w:t>
      </w:r>
      <w:r>
        <w:rPr>
          <w:rFonts w:ascii="Palatino Linotype" w:eastAsia="Calibri" w:hAnsi="Palatino Linotype" w:cs="Arial"/>
          <w:b/>
        </w:rPr>
        <w:t>QUINTO</w:t>
      </w:r>
      <w:r>
        <w:rPr>
          <w:rFonts w:ascii="Palatino Linotype" w:eastAsia="Calibri" w:hAnsi="Palatino Linotype" w:cs="Arial"/>
        </w:rPr>
        <w:t xml:space="preserve"> de la presente resolución, entregue al</w:t>
      </w:r>
      <w:r>
        <w:rPr>
          <w:rFonts w:ascii="Palatino Linotype" w:eastAsia="Calibri" w:hAnsi="Palatino Linotype" w:cs="Arial"/>
          <w:b/>
        </w:rPr>
        <w:t xml:space="preserve"> RECURRENTE</w:t>
      </w:r>
      <w:r>
        <w:rPr>
          <w:rFonts w:ascii="Palatino Linotype" w:eastAsia="Calibri" w:hAnsi="Palatino Linotype" w:cs="Arial"/>
        </w:rPr>
        <w:t xml:space="preserve"> vía </w:t>
      </w:r>
      <w:r>
        <w:rPr>
          <w:rFonts w:ascii="Palatino Linotype" w:eastAsia="Calibri" w:hAnsi="Palatino Linotype" w:cs="Arial"/>
          <w:b/>
        </w:rPr>
        <w:t>SAIMEX</w:t>
      </w:r>
      <w:r>
        <w:rPr>
          <w:rFonts w:ascii="Palatino Linotype" w:eastAsia="Calibri" w:hAnsi="Palatino Linotype" w:cs="Arial"/>
        </w:rPr>
        <w:t xml:space="preserve">, en </w:t>
      </w:r>
      <w:r>
        <w:rPr>
          <w:rFonts w:ascii="Palatino Linotype" w:eastAsia="Calibri" w:hAnsi="Palatino Linotype" w:cs="Arial"/>
          <w:b/>
        </w:rPr>
        <w:t xml:space="preserve">versión pública, </w:t>
      </w:r>
      <w:r>
        <w:rPr>
          <w:rFonts w:ascii="Palatino Linotype" w:eastAsia="Calibri" w:hAnsi="Palatino Linotype" w:cs="Arial"/>
        </w:rPr>
        <w:t>lo siguiente:</w:t>
      </w:r>
    </w:p>
    <w:p w:rsidR="00A4268E" w:rsidRDefault="00A4268E">
      <w:pPr>
        <w:spacing w:line="360" w:lineRule="auto"/>
        <w:jc w:val="both"/>
        <w:rPr>
          <w:rFonts w:ascii="Palatino Linotype" w:eastAsia="Calibri" w:hAnsi="Palatino Linotype" w:cs="Arial"/>
        </w:rPr>
      </w:pPr>
    </w:p>
    <w:p w:rsidR="00A4268E" w:rsidRDefault="006F0117">
      <w:pPr>
        <w:ind w:left="709" w:right="757"/>
        <w:jc w:val="both"/>
        <w:rPr>
          <w:rFonts w:ascii="Palatino Linotype" w:eastAsia="Calibri" w:hAnsi="Palatino Linotype" w:cs="Arial"/>
          <w:i/>
          <w:sz w:val="22"/>
          <w:szCs w:val="22"/>
        </w:rPr>
      </w:pPr>
      <w:r>
        <w:rPr>
          <w:rFonts w:ascii="Palatino Linotype" w:eastAsia="Calibri" w:hAnsi="Palatino Linotype" w:cs="Arial"/>
          <w:i/>
          <w:sz w:val="22"/>
          <w:szCs w:val="22"/>
        </w:rPr>
        <w:t>“La Nómina General, correspondiente a la primera quincena de enero de 2019.</w:t>
      </w:r>
    </w:p>
    <w:p w:rsidR="00A4268E" w:rsidRDefault="00A4268E">
      <w:pPr>
        <w:ind w:left="709" w:right="757"/>
        <w:jc w:val="both"/>
        <w:rPr>
          <w:rFonts w:ascii="Palatino Linotype" w:eastAsia="Calibri" w:hAnsi="Palatino Linotype" w:cs="Arial"/>
          <w:i/>
          <w:sz w:val="22"/>
          <w:szCs w:val="22"/>
        </w:rPr>
      </w:pPr>
    </w:p>
    <w:p w:rsidR="00A4268E" w:rsidRDefault="006F0117">
      <w:pPr>
        <w:spacing w:before="120" w:after="120" w:line="276" w:lineRule="auto"/>
        <w:ind w:left="851" w:right="899"/>
        <w:jc w:val="both"/>
        <w:rPr>
          <w:rFonts w:ascii="Palatino Linotype" w:hAnsi="Palatino Linotype"/>
          <w:bCs/>
          <w:i/>
          <w:sz w:val="22"/>
          <w:szCs w:val="22"/>
        </w:rPr>
      </w:pPr>
      <w:r>
        <w:rPr>
          <w:rFonts w:ascii="Palatino Linotype" w:eastAsia="Calibri" w:hAnsi="Palatino Linotype" w:cs="Arial"/>
          <w:i/>
          <w:sz w:val="22"/>
          <w:szCs w:val="22"/>
        </w:rPr>
        <w:t>Debiendo notificar al</w:t>
      </w:r>
      <w:r>
        <w:rPr>
          <w:rFonts w:ascii="Palatino Linotype" w:eastAsia="Calibri" w:hAnsi="Palatino Linotype" w:cs="Arial"/>
          <w:b/>
          <w:i/>
          <w:sz w:val="22"/>
          <w:szCs w:val="22"/>
        </w:rPr>
        <w:t xml:space="preserve"> RECURRENTE</w:t>
      </w:r>
      <w:r>
        <w:rPr>
          <w:rFonts w:ascii="Palatino Linotype" w:eastAsia="Calibri" w:hAnsi="Palatino Linotype" w:cs="Arial"/>
          <w:i/>
          <w:sz w:val="22"/>
          <w:szCs w:val="22"/>
        </w:rPr>
        <w:t xml:space="preserve"> el Acuerdo de Clasificación de la información que emita el Comité de Transparencia con motivo de la versión pública</w:t>
      </w:r>
      <w:r>
        <w:rPr>
          <w:rFonts w:ascii="Palatino Linotype" w:eastAsia="Calibri" w:hAnsi="Palatino Linotype" w:cs="Arial"/>
          <w:b/>
          <w:i/>
          <w:sz w:val="22"/>
          <w:szCs w:val="22"/>
        </w:rPr>
        <w:t>.</w:t>
      </w:r>
      <w:r>
        <w:rPr>
          <w:rFonts w:ascii="Palatino Linotype" w:eastAsia="Calibri" w:hAnsi="Palatino Linotype" w:cs="Arial"/>
          <w:i/>
          <w:sz w:val="22"/>
          <w:szCs w:val="22"/>
        </w:rPr>
        <w:t>”</w:t>
      </w:r>
    </w:p>
    <w:p w:rsidR="00A4268E" w:rsidRDefault="00A4268E">
      <w:pPr>
        <w:spacing w:line="360" w:lineRule="auto"/>
        <w:jc w:val="both"/>
        <w:rPr>
          <w:rFonts w:ascii="Palatino Linotype" w:eastAsia="Calibri" w:hAnsi="Palatino Linotype" w:cs="Arial"/>
        </w:rPr>
      </w:pPr>
    </w:p>
    <w:p w:rsidR="00A4268E" w:rsidRDefault="006F0117">
      <w:pPr>
        <w:spacing w:line="360" w:lineRule="auto"/>
        <w:jc w:val="both"/>
        <w:rPr>
          <w:rFonts w:ascii="Palatino Linotype" w:eastAsia="Calibri" w:hAnsi="Palatino Linotype" w:cs="Arial"/>
        </w:rPr>
      </w:pPr>
      <w:r>
        <w:rPr>
          <w:rFonts w:ascii="Palatino Linotype" w:eastAsia="Calibri" w:hAnsi="Palatino Linotype" w:cs="Arial"/>
          <w:b/>
          <w:sz w:val="28"/>
        </w:rPr>
        <w:t>TERCERO</w:t>
      </w:r>
      <w:r>
        <w:rPr>
          <w:rFonts w:ascii="Palatino Linotype" w:eastAsia="Calibri" w:hAnsi="Palatino Linotype" w:cs="Arial"/>
        </w:rPr>
        <w:t xml:space="preserve">. Notifíquese al Titular de la Unidad de Transparencia del </w:t>
      </w:r>
      <w:r>
        <w:rPr>
          <w:rFonts w:ascii="Palatino Linotype" w:eastAsia="Calibri" w:hAnsi="Palatino Linotype" w:cs="Arial"/>
          <w:b/>
        </w:rPr>
        <w:t>SUJETO OBLIGADO</w:t>
      </w:r>
      <w:r>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w:t>
      </w:r>
      <w:r>
        <w:rPr>
          <w:rFonts w:ascii="Palatino Linotype" w:eastAsia="Calibri" w:hAnsi="Palatino Linotype" w:cs="Arial"/>
        </w:rPr>
        <w:lastRenderedPageBreak/>
        <w:t>hábiles, debiendo informar a este Instituto en un plazo de tres días hábiles siguientes sobre el cumplimiento dado a la presente resolución.</w:t>
      </w:r>
    </w:p>
    <w:p w:rsidR="00A4268E" w:rsidRDefault="00A4268E">
      <w:pPr>
        <w:spacing w:line="360" w:lineRule="auto"/>
        <w:jc w:val="both"/>
        <w:rPr>
          <w:rFonts w:ascii="Palatino Linotype" w:eastAsia="Calibri" w:hAnsi="Palatino Linotype" w:cs="Arial"/>
        </w:rPr>
      </w:pPr>
    </w:p>
    <w:p w:rsidR="00A4268E" w:rsidRDefault="006F0117">
      <w:pPr>
        <w:spacing w:line="360" w:lineRule="auto"/>
        <w:jc w:val="both"/>
        <w:rPr>
          <w:rFonts w:ascii="Palatino Linotype" w:eastAsia="Calibri" w:hAnsi="Palatino Linotype" w:cs="Arial"/>
        </w:rPr>
      </w:pPr>
      <w:r>
        <w:rPr>
          <w:rFonts w:ascii="Palatino Linotype" w:eastAsia="Calibri" w:hAnsi="Palatino Linotype" w:cs="Arial"/>
          <w:b/>
          <w:sz w:val="28"/>
        </w:rPr>
        <w:t>CUARTO</w:t>
      </w:r>
      <w:r>
        <w:rPr>
          <w:rFonts w:ascii="Palatino Linotype" w:eastAsia="Calibri" w:hAnsi="Palatino Linotype" w:cs="Arial"/>
        </w:rPr>
        <w:t>. Notifíquese al</w:t>
      </w:r>
      <w:r>
        <w:rPr>
          <w:rFonts w:ascii="Palatino Linotype" w:eastAsia="Calibri" w:hAnsi="Palatino Linotype" w:cs="Arial"/>
          <w:b/>
        </w:rPr>
        <w:t xml:space="preserve"> RECURRENTE</w:t>
      </w:r>
      <w:r>
        <w:rPr>
          <w:rFonts w:ascii="Palatino Linotype" w:eastAsia="Calibri" w:hAnsi="Palatino Linotype" w:cs="Arial"/>
        </w:rPr>
        <w:t xml:space="preserve"> la presente resolución.</w:t>
      </w:r>
    </w:p>
    <w:p w:rsidR="00A4268E" w:rsidRDefault="00A4268E">
      <w:pPr>
        <w:spacing w:line="360" w:lineRule="auto"/>
        <w:jc w:val="both"/>
        <w:rPr>
          <w:rFonts w:ascii="Palatino Linotype" w:eastAsia="Calibri" w:hAnsi="Palatino Linotype" w:cs="Arial"/>
        </w:rPr>
      </w:pPr>
    </w:p>
    <w:p w:rsidR="00A4268E" w:rsidRDefault="006F0117">
      <w:pPr>
        <w:spacing w:line="360" w:lineRule="auto"/>
        <w:jc w:val="both"/>
        <w:rPr>
          <w:rFonts w:ascii="Palatino Linotype" w:eastAsia="Calibri" w:hAnsi="Palatino Linotype" w:cs="Arial"/>
        </w:rPr>
      </w:pPr>
      <w:r>
        <w:rPr>
          <w:rFonts w:ascii="Palatino Linotype" w:eastAsia="Calibri" w:hAnsi="Palatino Linotype" w:cs="Arial"/>
          <w:b/>
          <w:sz w:val="28"/>
        </w:rPr>
        <w:t>QUINTO</w:t>
      </w:r>
      <w:r>
        <w:rPr>
          <w:rFonts w:ascii="Palatino Linotype" w:eastAsia="Calibri" w:hAnsi="Palatino Linotype" w:cs="Arial"/>
        </w:rPr>
        <w:t>. Hágase del conocimiento del</w:t>
      </w:r>
      <w:r>
        <w:rPr>
          <w:rFonts w:ascii="Palatino Linotype" w:eastAsia="Calibri" w:hAnsi="Palatino Linotype" w:cs="Arial"/>
          <w:b/>
        </w:rPr>
        <w:t xml:space="preserve"> RECURRENTE</w:t>
      </w:r>
      <w:r>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 </w:t>
      </w:r>
    </w:p>
    <w:p w:rsidR="00A4268E" w:rsidRDefault="00A4268E">
      <w:pPr>
        <w:spacing w:line="360" w:lineRule="auto"/>
        <w:jc w:val="both"/>
        <w:rPr>
          <w:rFonts w:ascii="Palatino Linotype" w:eastAsia="Calibri" w:hAnsi="Palatino Linotype" w:cs="Arial"/>
        </w:rPr>
      </w:pPr>
    </w:p>
    <w:p w:rsidR="00A4268E" w:rsidRDefault="006F0117">
      <w:pPr>
        <w:spacing w:line="360" w:lineRule="auto"/>
        <w:jc w:val="both"/>
        <w:rPr>
          <w:rFonts w:ascii="Palatino Linotype" w:hAnsi="Palatino Linotype"/>
          <w:lang w:eastAsia="es-ES_tradnl"/>
        </w:rPr>
      </w:pPr>
      <w:r>
        <w:rPr>
          <w:rFonts w:ascii="Palatino Linotype" w:eastAsia="Calibri" w:hAnsi="Palatino Linotype" w:cs="Arial"/>
          <w:b/>
          <w:sz w:val="28"/>
        </w:rPr>
        <w:t>SEXTO</w:t>
      </w:r>
      <w:r>
        <w:rPr>
          <w:rFonts w:ascii="Palatino Linotype" w:eastAsia="Calibri" w:hAnsi="Palatino Linotype" w:cs="Arial"/>
        </w:rPr>
        <w:t xml:space="preserve">. </w:t>
      </w:r>
      <w:r>
        <w:rPr>
          <w:rFonts w:ascii="Palatino Linotype" w:hAnsi="Palatino Linotype"/>
          <w:lang w:eastAsia="es-ES_tradnl"/>
        </w:rPr>
        <w:t xml:space="preserve">Con fundamento en el artículo 198 de la Ley de Transparencia y Acceso a la Información Pública del Estado de México y Municipios, se apercibe al </w:t>
      </w:r>
      <w:r>
        <w:rPr>
          <w:rFonts w:ascii="Palatino Linotype" w:hAnsi="Palatino Linotype"/>
          <w:b/>
          <w:lang w:eastAsia="es-ES_tradnl"/>
        </w:rPr>
        <w:t>SUJETO OBLIGADO</w:t>
      </w:r>
      <w:r>
        <w:rPr>
          <w:rFonts w:ascii="Palatino Linotype" w:hAnsi="Palatino Linotype"/>
          <w:lang w:eastAsia="es-ES_tradnl"/>
        </w:rPr>
        <w:t xml:space="preserve"> que, en caso de negarse a cumplir la presente resolución o hacerlo de manera parcial se actuará de conformidad con lo previsto en los artículos 213, 214, 216 y 217 de dicha Ley.</w:t>
      </w:r>
    </w:p>
    <w:p w:rsidR="00A4268E" w:rsidRDefault="00A4268E">
      <w:pPr>
        <w:spacing w:line="360" w:lineRule="auto"/>
        <w:jc w:val="both"/>
        <w:rPr>
          <w:rFonts w:ascii="Palatino Linotype" w:eastAsia="Calibri" w:hAnsi="Palatino Linotype" w:cs="Arial"/>
        </w:rPr>
      </w:pPr>
    </w:p>
    <w:p w:rsidR="00A4268E" w:rsidRDefault="006F0117">
      <w:pPr>
        <w:spacing w:line="360" w:lineRule="auto"/>
        <w:jc w:val="both"/>
        <w:rPr>
          <w:rFonts w:ascii="Palatino Linotype" w:eastAsia="Calibri" w:hAnsi="Palatino Linotype" w:cs="Arial"/>
        </w:rPr>
      </w:pPr>
      <w:r>
        <w:rPr>
          <w:rFonts w:ascii="Palatino Linotype" w:hAnsi="Palatino Linotype" w:cs="Arial"/>
          <w:lang w:val="es-ES"/>
        </w:rPr>
        <w:t>ASÍ LO RESUELVE, POR UNANIMIDAD DE VOTOS EL PLENO DEL</w:t>
      </w:r>
      <w:r>
        <w:rPr>
          <w:rFonts w:ascii="Palatino Linotype" w:eastAsia="Arial Unicode MS" w:hAnsi="Palatino Linotype" w:cs="Arial"/>
          <w:lang w:val="es-ES"/>
        </w:rPr>
        <w:t xml:space="preserve"> INSTITUTO DE </w:t>
      </w:r>
      <w:r>
        <w:rPr>
          <w:rFonts w:ascii="Palatino Linotype" w:hAnsi="Palatino Linotype"/>
          <w:lang w:val="es-ES" w:eastAsia="en-US"/>
        </w:rPr>
        <w:t>TRANSPARENCIA</w:t>
      </w:r>
      <w:r>
        <w:rPr>
          <w:rFonts w:ascii="Palatino Linotype" w:eastAsia="Arial Unicode MS" w:hAnsi="Palatino Linotype" w:cs="Arial"/>
          <w:lang w:val="es-ES"/>
        </w:rPr>
        <w:t>, ACCESO A LA INFORMACIÓN PÚBLICA Y PROTECCIÓN DE DATOS PERSONALES DEL ESTADO DE MÉXICO Y MUNICIPIOS</w:t>
      </w:r>
      <w:r>
        <w:rPr>
          <w:rFonts w:ascii="Palatino Linotype" w:hAnsi="Palatino Linotype" w:cs="Arial"/>
          <w:lang w:val="es-ES"/>
        </w:rPr>
        <w:t xml:space="preserve">, CONFORMADO POR LOS COMISIONADOS ZULEMA MARTÍNEZ SÁNCHEZ; EVA ABAID YAPUR; JOSÉ GUADALUPE LUNA HERNÁNDEZ EMITIENDO VOTO PARTICULAR, JAVIER MARTÍNEZ CRUZ EMITIENDO VOTO PARTICULAR Y LUIS GUSTAVO PARRA NORIEGA EMITIENDO VOTO PARTICULAR; </w:t>
      </w:r>
      <w:r>
        <w:rPr>
          <w:rFonts w:ascii="Palatino Linotype" w:hAnsi="Palatino Linotype" w:cs="Arial"/>
          <w:shd w:val="clear" w:color="auto" w:fill="FFFFFF"/>
          <w:lang w:val="es-ES"/>
        </w:rPr>
        <w:t xml:space="preserve">EN LA </w:t>
      </w:r>
      <w:r>
        <w:rPr>
          <w:rFonts w:ascii="Palatino Linotype" w:hAnsi="Palatino Linotype" w:cs="Arial"/>
          <w:shd w:val="clear" w:color="auto" w:fill="FFFFFF"/>
          <w:lang w:val="es-ES"/>
        </w:rPr>
        <w:lastRenderedPageBreak/>
        <w:t xml:space="preserve">DÉCIMA TERCERA </w:t>
      </w:r>
      <w:r>
        <w:rPr>
          <w:rFonts w:ascii="Palatino Linotype" w:hAnsi="Palatino Linotype" w:cs="Arial"/>
          <w:lang w:val="es-ES"/>
        </w:rPr>
        <w:t xml:space="preserve">SESIÓN ORDINARIA CELEBRADA EL </w:t>
      </w:r>
      <w:r>
        <w:rPr>
          <w:rFonts w:ascii="Palatino Linotype" w:hAnsi="Palatino Linotype" w:cs="Arial"/>
          <w:caps/>
          <w:lang w:val="es-ES"/>
        </w:rPr>
        <w:t>DOCE</w:t>
      </w:r>
      <w:r>
        <w:rPr>
          <w:rFonts w:ascii="Palatino Linotype" w:hAnsi="Palatino Linotype" w:cs="Arial"/>
          <w:lang w:val="es-ES"/>
        </w:rPr>
        <w:t xml:space="preserve"> DE AGOSTO DE DOS MIL VEINTE, ANTE EL SECRETARIO TÉCNICO DEL PLENO, </w:t>
      </w:r>
      <w:r>
        <w:rPr>
          <w:rFonts w:ascii="Palatino Linotype" w:eastAsia="Arial Unicode MS" w:hAnsi="Palatino Linotype" w:cs="Arial"/>
          <w:lang w:val="es-ES"/>
        </w:rPr>
        <w:t>ALEXIS</w:t>
      </w:r>
      <w:r>
        <w:rPr>
          <w:rFonts w:ascii="Palatino Linotype" w:hAnsi="Palatino Linotype" w:cs="Arial"/>
          <w:lang w:val="es-ES"/>
        </w:rPr>
        <w:t xml:space="preserve"> TAPIA RAMÍREZ.</w:t>
      </w:r>
    </w:p>
    <w:tbl>
      <w:tblPr>
        <w:tblW w:w="10365" w:type="dxa"/>
        <w:jc w:val="center"/>
        <w:tblLook w:val="04A0" w:firstRow="1" w:lastRow="0" w:firstColumn="1" w:lastColumn="0" w:noHBand="0" w:noVBand="1"/>
      </w:tblPr>
      <w:tblGrid>
        <w:gridCol w:w="5182"/>
        <w:gridCol w:w="5183"/>
      </w:tblGrid>
      <w:tr w:rsidR="00A4268E">
        <w:trPr>
          <w:jc w:val="center"/>
        </w:trPr>
        <w:tc>
          <w:tcPr>
            <w:tcW w:w="10364" w:type="dxa"/>
            <w:gridSpan w:val="2"/>
          </w:tcPr>
          <w:p w:rsidR="00A4268E" w:rsidRDefault="00A4268E">
            <w:pPr>
              <w:spacing w:line="276" w:lineRule="auto"/>
              <w:jc w:val="center"/>
              <w:rPr>
                <w:rFonts w:ascii="Palatino Linotype" w:hAnsi="Palatino Linotype" w:cs="Arial"/>
                <w:b/>
              </w:rPr>
            </w:pPr>
          </w:p>
          <w:p w:rsidR="00A4268E" w:rsidRDefault="00A4268E">
            <w:pPr>
              <w:spacing w:line="276" w:lineRule="auto"/>
              <w:jc w:val="center"/>
              <w:rPr>
                <w:rFonts w:ascii="Palatino Linotype" w:hAnsi="Palatino Linotype" w:cs="Arial"/>
                <w:b/>
              </w:rPr>
            </w:pPr>
          </w:p>
          <w:p w:rsidR="00A4268E" w:rsidRDefault="006F0117">
            <w:pPr>
              <w:spacing w:line="276" w:lineRule="auto"/>
              <w:jc w:val="center"/>
              <w:rPr>
                <w:rFonts w:ascii="Palatino Linotype" w:hAnsi="Palatino Linotype" w:cs="Arial"/>
                <w:b/>
              </w:rPr>
            </w:pPr>
            <w:r>
              <w:rPr>
                <w:rFonts w:ascii="Palatino Linotype" w:hAnsi="Palatino Linotype" w:cs="Arial"/>
                <w:b/>
              </w:rPr>
              <w:t>Zulema Martínez Sánchez</w:t>
            </w:r>
          </w:p>
          <w:p w:rsidR="00A4268E" w:rsidRDefault="006F0117">
            <w:pPr>
              <w:spacing w:line="276" w:lineRule="auto"/>
              <w:jc w:val="center"/>
              <w:rPr>
                <w:rFonts w:ascii="Palatino Linotype" w:hAnsi="Palatino Linotype" w:cs="Arial"/>
                <w:b/>
              </w:rPr>
            </w:pPr>
            <w:r>
              <w:rPr>
                <w:rFonts w:ascii="Palatino Linotype" w:hAnsi="Palatino Linotype" w:cs="Arial"/>
              </w:rPr>
              <w:t>Comisionada Presidenta</w:t>
            </w:r>
          </w:p>
          <w:p w:rsidR="00A4268E" w:rsidRDefault="006F0117">
            <w:pPr>
              <w:spacing w:line="276" w:lineRule="auto"/>
              <w:jc w:val="center"/>
              <w:rPr>
                <w:rFonts w:ascii="Palatino Linotype" w:hAnsi="Palatino Linotype" w:cs="Arial"/>
                <w:b/>
              </w:rPr>
            </w:pPr>
            <w:r>
              <w:rPr>
                <w:rFonts w:ascii="Palatino Linotype" w:hAnsi="Palatino Linotype" w:cs="Arial"/>
                <w:b/>
              </w:rPr>
              <w:t xml:space="preserve">(RÚBRICA) </w:t>
            </w:r>
          </w:p>
        </w:tc>
      </w:tr>
      <w:tr w:rsidR="00A4268E">
        <w:trPr>
          <w:jc w:val="center"/>
        </w:trPr>
        <w:tc>
          <w:tcPr>
            <w:tcW w:w="5182" w:type="dxa"/>
          </w:tcPr>
          <w:p w:rsidR="00A4268E" w:rsidRDefault="00A4268E">
            <w:pPr>
              <w:spacing w:line="276" w:lineRule="auto"/>
              <w:jc w:val="center"/>
              <w:rPr>
                <w:rFonts w:ascii="Palatino Linotype" w:hAnsi="Palatino Linotype" w:cs="Arial"/>
                <w:b/>
              </w:rPr>
            </w:pPr>
          </w:p>
          <w:p w:rsidR="00A4268E" w:rsidRDefault="00A4268E">
            <w:pPr>
              <w:spacing w:line="276" w:lineRule="auto"/>
              <w:jc w:val="center"/>
              <w:rPr>
                <w:rFonts w:ascii="Palatino Linotype" w:hAnsi="Palatino Linotype" w:cs="Arial"/>
                <w:b/>
              </w:rPr>
            </w:pPr>
          </w:p>
          <w:p w:rsidR="00D95242" w:rsidRDefault="00D95242">
            <w:pPr>
              <w:spacing w:line="276" w:lineRule="auto"/>
              <w:jc w:val="center"/>
              <w:rPr>
                <w:rFonts w:ascii="Palatino Linotype" w:hAnsi="Palatino Linotype" w:cs="Arial"/>
                <w:b/>
              </w:rPr>
            </w:pPr>
          </w:p>
          <w:p w:rsidR="00A4268E" w:rsidRDefault="006F0117">
            <w:pPr>
              <w:spacing w:line="276" w:lineRule="auto"/>
              <w:jc w:val="center"/>
              <w:rPr>
                <w:rFonts w:ascii="Palatino Linotype" w:hAnsi="Palatino Linotype" w:cs="Arial"/>
                <w:b/>
              </w:rPr>
            </w:pPr>
            <w:r>
              <w:rPr>
                <w:rFonts w:ascii="Palatino Linotype" w:hAnsi="Palatino Linotype" w:cs="Arial"/>
                <w:b/>
              </w:rPr>
              <w:t>Eva Abaid Yapur</w:t>
            </w:r>
          </w:p>
          <w:p w:rsidR="00A4268E" w:rsidRDefault="006F0117">
            <w:pPr>
              <w:spacing w:line="276" w:lineRule="auto"/>
              <w:jc w:val="center"/>
              <w:rPr>
                <w:rFonts w:ascii="Palatino Linotype" w:hAnsi="Palatino Linotype" w:cs="Arial"/>
              </w:rPr>
            </w:pPr>
            <w:r>
              <w:rPr>
                <w:rFonts w:ascii="Palatino Linotype" w:hAnsi="Palatino Linotype" w:cs="Arial"/>
              </w:rPr>
              <w:t>Comisionada</w:t>
            </w:r>
          </w:p>
          <w:p w:rsidR="00A4268E" w:rsidRDefault="006F0117">
            <w:pPr>
              <w:spacing w:line="276" w:lineRule="auto"/>
              <w:jc w:val="center"/>
              <w:rPr>
                <w:rFonts w:ascii="Palatino Linotype" w:hAnsi="Palatino Linotype" w:cs="Arial"/>
                <w:b/>
              </w:rPr>
            </w:pPr>
            <w:r>
              <w:rPr>
                <w:rFonts w:ascii="Palatino Linotype" w:hAnsi="Palatino Linotype" w:cs="Arial"/>
                <w:b/>
              </w:rPr>
              <w:t>(RÚBRICA)</w:t>
            </w:r>
          </w:p>
        </w:tc>
        <w:tc>
          <w:tcPr>
            <w:tcW w:w="5182" w:type="dxa"/>
          </w:tcPr>
          <w:p w:rsidR="00A4268E" w:rsidRDefault="00A4268E">
            <w:pPr>
              <w:spacing w:line="276" w:lineRule="auto"/>
              <w:jc w:val="center"/>
              <w:rPr>
                <w:rFonts w:ascii="Palatino Linotype" w:hAnsi="Palatino Linotype" w:cs="Arial"/>
                <w:b/>
              </w:rPr>
            </w:pPr>
          </w:p>
          <w:p w:rsidR="00A4268E" w:rsidRDefault="00A4268E">
            <w:pPr>
              <w:spacing w:line="276" w:lineRule="auto"/>
              <w:jc w:val="center"/>
              <w:rPr>
                <w:rFonts w:ascii="Palatino Linotype" w:hAnsi="Palatino Linotype" w:cs="Arial"/>
                <w:b/>
              </w:rPr>
            </w:pPr>
          </w:p>
          <w:p w:rsidR="00D95242" w:rsidRDefault="00D95242">
            <w:pPr>
              <w:spacing w:line="276" w:lineRule="auto"/>
              <w:jc w:val="center"/>
              <w:rPr>
                <w:rFonts w:ascii="Palatino Linotype" w:hAnsi="Palatino Linotype" w:cs="Arial"/>
                <w:b/>
              </w:rPr>
            </w:pPr>
          </w:p>
          <w:p w:rsidR="00A4268E" w:rsidRDefault="006F0117">
            <w:pPr>
              <w:spacing w:line="276" w:lineRule="auto"/>
              <w:jc w:val="center"/>
              <w:rPr>
                <w:rFonts w:ascii="Palatino Linotype" w:hAnsi="Palatino Linotype" w:cs="Arial"/>
                <w:b/>
              </w:rPr>
            </w:pPr>
            <w:r>
              <w:rPr>
                <w:rFonts w:ascii="Palatino Linotype" w:hAnsi="Palatino Linotype" w:cs="Arial"/>
                <w:b/>
              </w:rPr>
              <w:t>José Guadalupe Luna Hernández</w:t>
            </w:r>
          </w:p>
          <w:p w:rsidR="00A4268E" w:rsidRDefault="006F0117">
            <w:pPr>
              <w:spacing w:line="276" w:lineRule="auto"/>
              <w:jc w:val="center"/>
              <w:rPr>
                <w:rFonts w:ascii="Palatino Linotype" w:hAnsi="Palatino Linotype" w:cs="Arial"/>
              </w:rPr>
            </w:pPr>
            <w:r>
              <w:rPr>
                <w:rFonts w:ascii="Palatino Linotype" w:hAnsi="Palatino Linotype" w:cs="Arial"/>
              </w:rPr>
              <w:t>Comisionado</w:t>
            </w:r>
          </w:p>
          <w:p w:rsidR="00A4268E" w:rsidRDefault="006F0117">
            <w:pPr>
              <w:spacing w:line="276" w:lineRule="auto"/>
              <w:jc w:val="center"/>
              <w:rPr>
                <w:rFonts w:ascii="Palatino Linotype" w:hAnsi="Palatino Linotype" w:cs="Arial"/>
                <w:b/>
              </w:rPr>
            </w:pPr>
            <w:r>
              <w:rPr>
                <w:rFonts w:ascii="Palatino Linotype" w:hAnsi="Palatino Linotype" w:cs="Arial"/>
                <w:b/>
              </w:rPr>
              <w:t>(RÚBRICA)</w:t>
            </w:r>
          </w:p>
        </w:tc>
      </w:tr>
      <w:tr w:rsidR="00A4268E">
        <w:trPr>
          <w:jc w:val="center"/>
        </w:trPr>
        <w:tc>
          <w:tcPr>
            <w:tcW w:w="5182" w:type="dxa"/>
          </w:tcPr>
          <w:p w:rsidR="00A4268E" w:rsidRDefault="00A4268E">
            <w:pPr>
              <w:spacing w:line="276" w:lineRule="auto"/>
              <w:jc w:val="center"/>
              <w:rPr>
                <w:rFonts w:ascii="Palatino Linotype" w:hAnsi="Palatino Linotype" w:cs="Arial"/>
                <w:b/>
              </w:rPr>
            </w:pPr>
          </w:p>
          <w:p w:rsidR="00A4268E" w:rsidRDefault="00A4268E">
            <w:pPr>
              <w:spacing w:line="276" w:lineRule="auto"/>
              <w:jc w:val="center"/>
              <w:rPr>
                <w:rFonts w:ascii="Palatino Linotype" w:hAnsi="Palatino Linotype" w:cs="Arial"/>
                <w:b/>
              </w:rPr>
            </w:pPr>
          </w:p>
          <w:p w:rsidR="00D95242" w:rsidRDefault="00D95242">
            <w:pPr>
              <w:spacing w:line="276" w:lineRule="auto"/>
              <w:jc w:val="center"/>
              <w:rPr>
                <w:rFonts w:ascii="Palatino Linotype" w:hAnsi="Palatino Linotype" w:cs="Arial"/>
                <w:b/>
              </w:rPr>
            </w:pPr>
          </w:p>
          <w:p w:rsidR="00A4268E" w:rsidRDefault="006F0117">
            <w:pPr>
              <w:spacing w:line="276" w:lineRule="auto"/>
              <w:jc w:val="center"/>
              <w:rPr>
                <w:rFonts w:ascii="Palatino Linotype" w:hAnsi="Palatino Linotype" w:cs="Arial"/>
                <w:b/>
              </w:rPr>
            </w:pPr>
            <w:r>
              <w:rPr>
                <w:rFonts w:ascii="Palatino Linotype" w:hAnsi="Palatino Linotype" w:cs="Arial"/>
                <w:b/>
              </w:rPr>
              <w:t>Javier Martínez Cruz</w:t>
            </w:r>
          </w:p>
          <w:p w:rsidR="00A4268E" w:rsidRDefault="006F0117">
            <w:pPr>
              <w:spacing w:line="276" w:lineRule="auto"/>
              <w:jc w:val="center"/>
              <w:rPr>
                <w:rFonts w:ascii="Palatino Linotype" w:hAnsi="Palatino Linotype" w:cs="Arial"/>
              </w:rPr>
            </w:pPr>
            <w:r>
              <w:rPr>
                <w:rFonts w:ascii="Palatino Linotype" w:hAnsi="Palatino Linotype" w:cs="Arial"/>
              </w:rPr>
              <w:t>Comisionado</w:t>
            </w:r>
          </w:p>
          <w:p w:rsidR="00A4268E" w:rsidRDefault="006F0117" w:rsidP="00D95242">
            <w:pPr>
              <w:spacing w:line="276" w:lineRule="auto"/>
              <w:jc w:val="center"/>
              <w:rPr>
                <w:rFonts w:ascii="Palatino Linotype" w:hAnsi="Palatino Linotype" w:cs="Arial"/>
                <w:b/>
              </w:rPr>
            </w:pPr>
            <w:r>
              <w:rPr>
                <w:rFonts w:ascii="Palatino Linotype" w:hAnsi="Palatino Linotype" w:cs="Arial"/>
                <w:b/>
              </w:rPr>
              <w:t>(RÚBRICA)</w:t>
            </w:r>
          </w:p>
        </w:tc>
        <w:tc>
          <w:tcPr>
            <w:tcW w:w="5182" w:type="dxa"/>
          </w:tcPr>
          <w:p w:rsidR="00A4268E" w:rsidRDefault="00A4268E" w:rsidP="00D95242">
            <w:pPr>
              <w:spacing w:line="276" w:lineRule="auto"/>
              <w:jc w:val="center"/>
              <w:rPr>
                <w:rFonts w:ascii="Palatino Linotype" w:hAnsi="Palatino Linotype" w:cs="Arial"/>
                <w:b/>
              </w:rPr>
            </w:pPr>
          </w:p>
          <w:p w:rsidR="00A4268E" w:rsidRDefault="00A4268E" w:rsidP="00D95242">
            <w:pPr>
              <w:spacing w:line="276" w:lineRule="auto"/>
              <w:jc w:val="center"/>
              <w:rPr>
                <w:rFonts w:ascii="Palatino Linotype" w:hAnsi="Palatino Linotype" w:cs="Arial"/>
                <w:b/>
              </w:rPr>
            </w:pPr>
          </w:p>
          <w:p w:rsidR="00D95242" w:rsidRDefault="00D95242" w:rsidP="00D95242">
            <w:pPr>
              <w:spacing w:line="276" w:lineRule="auto"/>
              <w:jc w:val="center"/>
              <w:rPr>
                <w:rFonts w:ascii="Palatino Linotype" w:hAnsi="Palatino Linotype" w:cs="Arial"/>
                <w:b/>
              </w:rPr>
            </w:pPr>
          </w:p>
          <w:p w:rsidR="00A4268E" w:rsidRDefault="006F0117">
            <w:pPr>
              <w:spacing w:line="276" w:lineRule="auto"/>
              <w:jc w:val="center"/>
              <w:rPr>
                <w:rFonts w:ascii="Palatino Linotype" w:hAnsi="Palatino Linotype" w:cs="Arial"/>
                <w:b/>
              </w:rPr>
            </w:pPr>
            <w:r>
              <w:rPr>
                <w:rFonts w:ascii="Palatino Linotype" w:hAnsi="Palatino Linotype" w:cs="Arial"/>
                <w:b/>
              </w:rPr>
              <w:t xml:space="preserve">Luis Gustavo Parra Noriega </w:t>
            </w:r>
          </w:p>
          <w:p w:rsidR="00A4268E" w:rsidRDefault="006F0117">
            <w:pPr>
              <w:spacing w:line="276" w:lineRule="auto"/>
              <w:jc w:val="center"/>
              <w:rPr>
                <w:rFonts w:ascii="Palatino Linotype" w:hAnsi="Palatino Linotype" w:cs="Arial"/>
              </w:rPr>
            </w:pPr>
            <w:r>
              <w:rPr>
                <w:rFonts w:ascii="Palatino Linotype" w:hAnsi="Palatino Linotype" w:cs="Arial"/>
              </w:rPr>
              <w:t>Comisionado</w:t>
            </w:r>
          </w:p>
          <w:p w:rsidR="00A4268E" w:rsidRDefault="006F0117" w:rsidP="00D95242">
            <w:pPr>
              <w:spacing w:line="276" w:lineRule="auto"/>
              <w:jc w:val="center"/>
              <w:rPr>
                <w:rFonts w:ascii="Palatino Linotype" w:hAnsi="Palatino Linotype" w:cs="Arial"/>
                <w:b/>
              </w:rPr>
            </w:pPr>
            <w:r>
              <w:rPr>
                <w:rFonts w:ascii="Palatino Linotype" w:hAnsi="Palatino Linotype" w:cs="Arial"/>
                <w:b/>
              </w:rPr>
              <w:t>(RÚBRICA)</w:t>
            </w:r>
          </w:p>
        </w:tc>
      </w:tr>
      <w:tr w:rsidR="00A4268E">
        <w:trPr>
          <w:jc w:val="center"/>
        </w:trPr>
        <w:tc>
          <w:tcPr>
            <w:tcW w:w="10364" w:type="dxa"/>
            <w:gridSpan w:val="2"/>
          </w:tcPr>
          <w:p w:rsidR="00D95242" w:rsidRDefault="00D95242">
            <w:pPr>
              <w:spacing w:line="276" w:lineRule="auto"/>
              <w:jc w:val="center"/>
              <w:rPr>
                <w:rFonts w:ascii="Palatino Linotype" w:hAnsi="Palatino Linotype" w:cs="Arial"/>
                <w:b/>
              </w:rPr>
            </w:pPr>
          </w:p>
          <w:p w:rsidR="00D95242" w:rsidRDefault="00D95242">
            <w:pPr>
              <w:spacing w:line="276" w:lineRule="auto"/>
              <w:jc w:val="center"/>
              <w:rPr>
                <w:rFonts w:ascii="Palatino Linotype" w:hAnsi="Palatino Linotype" w:cs="Arial"/>
                <w:b/>
              </w:rPr>
            </w:pPr>
          </w:p>
          <w:p w:rsidR="00D95242" w:rsidRDefault="00D95242">
            <w:pPr>
              <w:spacing w:line="276" w:lineRule="auto"/>
              <w:jc w:val="center"/>
              <w:rPr>
                <w:rFonts w:ascii="Palatino Linotype" w:hAnsi="Palatino Linotype" w:cs="Arial"/>
                <w:b/>
              </w:rPr>
            </w:pPr>
          </w:p>
          <w:p w:rsidR="00D95242" w:rsidRDefault="00D95242">
            <w:pPr>
              <w:spacing w:line="276" w:lineRule="auto"/>
              <w:jc w:val="center"/>
              <w:rPr>
                <w:rFonts w:ascii="Palatino Linotype" w:hAnsi="Palatino Linotype" w:cs="Arial"/>
                <w:b/>
              </w:rPr>
            </w:pPr>
          </w:p>
          <w:p w:rsidR="00A4268E" w:rsidRDefault="006F0117">
            <w:pPr>
              <w:spacing w:line="276" w:lineRule="auto"/>
              <w:jc w:val="center"/>
              <w:rPr>
                <w:rFonts w:ascii="Palatino Linotype" w:hAnsi="Palatino Linotype" w:cs="Arial"/>
                <w:b/>
              </w:rPr>
            </w:pPr>
            <w:r>
              <w:rPr>
                <w:rFonts w:ascii="Palatino Linotype" w:hAnsi="Palatino Linotype" w:cs="Arial"/>
                <w:b/>
              </w:rPr>
              <w:t>Alexis Tapia Ramírez</w:t>
            </w:r>
          </w:p>
          <w:p w:rsidR="00A4268E" w:rsidRDefault="006F0117">
            <w:pPr>
              <w:spacing w:line="276" w:lineRule="auto"/>
              <w:jc w:val="center"/>
              <w:rPr>
                <w:rFonts w:ascii="Palatino Linotype" w:hAnsi="Palatino Linotype" w:cs="Arial"/>
              </w:rPr>
            </w:pPr>
            <w:r>
              <w:rPr>
                <w:rFonts w:ascii="Palatino Linotype" w:hAnsi="Palatino Linotype" w:cs="Arial"/>
              </w:rPr>
              <w:t>Secretario Técnico del Pleno</w:t>
            </w:r>
          </w:p>
          <w:p w:rsidR="00A4268E" w:rsidRDefault="006F0117" w:rsidP="00D95242">
            <w:pPr>
              <w:spacing w:line="276" w:lineRule="auto"/>
              <w:jc w:val="center"/>
              <w:rPr>
                <w:rFonts w:ascii="Palatino Linotype" w:hAnsi="Palatino Linotype" w:cs="Arial"/>
              </w:rPr>
            </w:pPr>
            <w:r>
              <w:rPr>
                <w:rFonts w:ascii="Palatino Linotype" w:hAnsi="Palatino Linotype" w:cs="Arial"/>
                <w:b/>
              </w:rPr>
              <w:t>(RÚBRICA)</w:t>
            </w:r>
          </w:p>
        </w:tc>
      </w:tr>
    </w:tbl>
    <w:p w:rsidR="00A4268E" w:rsidRDefault="006F0117">
      <w:pPr>
        <w:jc w:val="both"/>
        <w:rPr>
          <w:rFonts w:ascii="Palatino Linotype" w:hAnsi="Palatino Linotype" w:cs="Arial"/>
          <w:sz w:val="22"/>
        </w:rPr>
      </w:pPr>
      <w:r>
        <w:rPr>
          <w:rFonts w:ascii="Palatino Linotype" w:hAnsi="Palatino Linotype" w:cs="Arial"/>
          <w:sz w:val="22"/>
        </w:rPr>
        <w:t xml:space="preserve">Esta hoja corresponde a la resolución de fecha doce de agosto de dos mil veinte, emitida en el recurso de revisión número 00967/INFOEM/IP/RR/2020.  </w:t>
      </w:r>
    </w:p>
    <w:p w:rsidR="00A4268E" w:rsidRDefault="006F0117" w:rsidP="00D95242">
      <w:pPr>
        <w:jc w:val="both"/>
        <w:rPr>
          <w:rFonts w:ascii="Palatino Linotype" w:hAnsi="Palatino Linotype"/>
        </w:rPr>
      </w:pPr>
      <w:proofErr w:type="spellStart"/>
      <w:r>
        <w:rPr>
          <w:rFonts w:ascii="Palatino Linotype" w:hAnsi="Palatino Linotype" w:cs="Arial"/>
          <w:sz w:val="22"/>
        </w:rPr>
        <w:t>YSM</w:t>
      </w:r>
      <w:proofErr w:type="spellEnd"/>
      <w:r>
        <w:rPr>
          <w:rFonts w:ascii="Palatino Linotype" w:hAnsi="Palatino Linotype" w:cs="Arial"/>
          <w:sz w:val="22"/>
        </w:rPr>
        <w:t>/ATU</w:t>
      </w:r>
    </w:p>
    <w:sectPr w:rsidR="00A4268E">
      <w:headerReference w:type="default" r:id="rId17"/>
      <w:footerReference w:type="default" r:id="rId18"/>
      <w:headerReference w:type="first" r:id="rId19"/>
      <w:footerReference w:type="first" r:id="rId20"/>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FCE" w:rsidRDefault="00F92FCE">
      <w:r>
        <w:separator/>
      </w:r>
    </w:p>
  </w:endnote>
  <w:endnote w:type="continuationSeparator" w:id="0">
    <w:p w:rsidR="00F92FCE" w:rsidRDefault="00F92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68E" w:rsidRDefault="006F0117">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2042D1">
      <w:rPr>
        <w:rFonts w:ascii="Palatino Linotype" w:hAnsi="Palatino Linotype" w:cs="Arial"/>
        <w:bCs/>
        <w:noProof/>
        <w:sz w:val="22"/>
        <w:szCs w:val="22"/>
      </w:rPr>
      <w:t>21</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2042D1">
      <w:rPr>
        <w:rFonts w:ascii="Palatino Linotype" w:hAnsi="Palatino Linotype" w:cs="Arial"/>
        <w:bCs/>
        <w:noProof/>
        <w:sz w:val="22"/>
        <w:szCs w:val="22"/>
      </w:rPr>
      <w:t>40</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68E" w:rsidRDefault="006F0117">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9C0927">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9C0927">
      <w:rPr>
        <w:rFonts w:ascii="Palatino Linotype" w:hAnsi="Palatino Linotype" w:cs="Arial"/>
        <w:bCs/>
        <w:noProof/>
        <w:sz w:val="22"/>
        <w:szCs w:val="22"/>
      </w:rPr>
      <w:t>40</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FCE" w:rsidRDefault="00F92FCE">
      <w:r>
        <w:separator/>
      </w:r>
    </w:p>
  </w:footnote>
  <w:footnote w:type="continuationSeparator" w:id="0">
    <w:p w:rsidR="00F92FCE" w:rsidRDefault="00F92F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68E" w:rsidRDefault="006F0117">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45" behindDoc="1" locked="0" layoutInCell="1" allowOverlap="1">
          <wp:simplePos x="0" y="0"/>
          <wp:positionH relativeFrom="column">
            <wp:align>center</wp:align>
          </wp:positionH>
          <wp:positionV relativeFrom="margin">
            <wp:align>center</wp:align>
          </wp:positionV>
          <wp:extent cx="6858635" cy="9144635"/>
          <wp:effectExtent l="0" t="0" r="0" b="0"/>
          <wp:wrapNone/>
          <wp:docPr id="14"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A4268E">
      <w:tc>
        <w:tcPr>
          <w:tcW w:w="3259" w:type="dxa"/>
          <w:vMerge w:val="restart"/>
        </w:tcPr>
        <w:p w:rsidR="00A4268E" w:rsidRDefault="006F0117">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rsidR="00A4268E" w:rsidRDefault="006F011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A4268E" w:rsidRDefault="006F0117">
          <w:pPr>
            <w:ind w:left="34" w:right="-107"/>
            <w:jc w:val="both"/>
            <w:rPr>
              <w:rFonts w:ascii="Palatino Linotype" w:hAnsi="Palatino Linotype"/>
              <w:b/>
              <w:lang w:val="es-ES_tradnl"/>
            </w:rPr>
          </w:pPr>
          <w:r>
            <w:rPr>
              <w:rFonts w:ascii="Palatino Linotype" w:hAnsi="Palatino Linotype"/>
              <w:b/>
              <w:sz w:val="22"/>
              <w:szCs w:val="22"/>
              <w:lang w:val="es-ES_tradnl"/>
            </w:rPr>
            <w:t>00967/INFOEM/IP/RR/2020</w:t>
          </w:r>
        </w:p>
      </w:tc>
    </w:tr>
    <w:tr w:rsidR="00A4268E">
      <w:tc>
        <w:tcPr>
          <w:tcW w:w="3259" w:type="dxa"/>
          <w:vMerge/>
        </w:tcPr>
        <w:p w:rsidR="00A4268E" w:rsidRDefault="00A4268E">
          <w:pPr>
            <w:rPr>
              <w:rFonts w:ascii="Palatino Linotype" w:hAnsi="Palatino Linotype"/>
              <w:b/>
              <w:sz w:val="22"/>
              <w:szCs w:val="22"/>
              <w:lang w:val="es-ES_tradnl"/>
            </w:rPr>
          </w:pPr>
        </w:p>
      </w:tc>
      <w:tc>
        <w:tcPr>
          <w:tcW w:w="2551" w:type="dxa"/>
          <w:shd w:val="clear" w:color="auto" w:fill="auto"/>
        </w:tcPr>
        <w:p w:rsidR="00A4268E" w:rsidRDefault="006F011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A4268E" w:rsidRDefault="006F0117">
          <w:pPr>
            <w:ind w:left="34" w:right="-107"/>
            <w:jc w:val="both"/>
            <w:rPr>
              <w:rFonts w:ascii="Palatino Linotype" w:hAnsi="Palatino Linotype"/>
              <w:b/>
            </w:rPr>
          </w:pPr>
          <w:r>
            <w:rPr>
              <w:rFonts w:ascii="Palatino Linotype" w:hAnsi="Palatino Linotype"/>
              <w:b/>
              <w:sz w:val="22"/>
              <w:szCs w:val="22"/>
            </w:rPr>
            <w:t>Ayuntamiento de Coatepec Harinas</w:t>
          </w:r>
        </w:p>
      </w:tc>
    </w:tr>
    <w:tr w:rsidR="00A4268E">
      <w:trPr>
        <w:trHeight w:val="228"/>
      </w:trPr>
      <w:tc>
        <w:tcPr>
          <w:tcW w:w="3259" w:type="dxa"/>
          <w:vMerge/>
        </w:tcPr>
        <w:p w:rsidR="00A4268E" w:rsidRDefault="00A4268E">
          <w:pPr>
            <w:rPr>
              <w:rFonts w:ascii="Palatino Linotype" w:hAnsi="Palatino Linotype"/>
              <w:b/>
              <w:sz w:val="22"/>
              <w:szCs w:val="22"/>
              <w:lang w:val="es-ES_tradnl"/>
            </w:rPr>
          </w:pPr>
        </w:p>
      </w:tc>
      <w:tc>
        <w:tcPr>
          <w:tcW w:w="2551" w:type="dxa"/>
          <w:shd w:val="clear" w:color="auto" w:fill="auto"/>
        </w:tcPr>
        <w:p w:rsidR="00A4268E" w:rsidRDefault="006F011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A4268E" w:rsidRDefault="006F0117">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A4268E" w:rsidRDefault="00A4268E">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68E" w:rsidRDefault="006F0117">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 behindDoc="1" locked="0" layoutInCell="1" allowOverlap="1">
          <wp:simplePos x="0" y="0"/>
          <wp:positionH relativeFrom="column">
            <wp:align>center</wp:align>
          </wp:positionH>
          <wp:positionV relativeFrom="margin">
            <wp:align>center</wp:align>
          </wp:positionV>
          <wp:extent cx="6858635" cy="9144635"/>
          <wp:effectExtent l="0" t="0" r="0" b="0"/>
          <wp:wrapNone/>
          <wp:docPr id="16"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1"/>
      <w:gridCol w:w="2552"/>
      <w:gridCol w:w="3687"/>
    </w:tblGrid>
    <w:tr w:rsidR="00A4268E">
      <w:tc>
        <w:tcPr>
          <w:tcW w:w="4251" w:type="dxa"/>
          <w:vMerge w:val="restart"/>
          <w:shd w:val="clear" w:color="auto" w:fill="auto"/>
        </w:tcPr>
        <w:p w:rsidR="00A4268E" w:rsidRDefault="006F0117">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rsidR="00A4268E" w:rsidRDefault="006F011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shd w:val="clear" w:color="auto" w:fill="auto"/>
          <w:vAlign w:val="center"/>
        </w:tcPr>
        <w:p w:rsidR="00A4268E" w:rsidRDefault="006F0117">
          <w:pPr>
            <w:ind w:left="34" w:right="-107"/>
            <w:jc w:val="both"/>
            <w:rPr>
              <w:rFonts w:ascii="Palatino Linotype" w:hAnsi="Palatino Linotype"/>
              <w:b/>
              <w:lang w:val="es-ES_tradnl"/>
            </w:rPr>
          </w:pPr>
          <w:r>
            <w:rPr>
              <w:rFonts w:ascii="Palatino Linotype" w:hAnsi="Palatino Linotype"/>
              <w:b/>
              <w:sz w:val="22"/>
              <w:szCs w:val="22"/>
              <w:lang w:val="es-ES_tradnl"/>
            </w:rPr>
            <w:t>00967/INFOEM/IP/RR/2020</w:t>
          </w:r>
        </w:p>
      </w:tc>
    </w:tr>
    <w:tr w:rsidR="00A4268E">
      <w:tc>
        <w:tcPr>
          <w:tcW w:w="4251" w:type="dxa"/>
          <w:vMerge/>
          <w:shd w:val="clear" w:color="auto" w:fill="auto"/>
        </w:tcPr>
        <w:p w:rsidR="00A4268E" w:rsidRDefault="00A4268E">
          <w:pPr>
            <w:rPr>
              <w:rFonts w:ascii="Palatino Linotype" w:hAnsi="Palatino Linotype"/>
              <w:b/>
              <w:sz w:val="22"/>
              <w:szCs w:val="22"/>
              <w:lang w:val="es-ES_tradnl"/>
            </w:rPr>
          </w:pPr>
        </w:p>
      </w:tc>
      <w:tc>
        <w:tcPr>
          <w:tcW w:w="2552" w:type="dxa"/>
          <w:shd w:val="clear" w:color="auto" w:fill="auto"/>
        </w:tcPr>
        <w:p w:rsidR="00A4268E" w:rsidRDefault="006F0117">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shd w:val="clear" w:color="auto" w:fill="auto"/>
          <w:vAlign w:val="center"/>
        </w:tcPr>
        <w:p w:rsidR="00A4268E" w:rsidRDefault="009C0927" w:rsidP="009C0927">
          <w:pPr>
            <w:ind w:left="34" w:right="-107"/>
            <w:jc w:val="both"/>
            <w:rPr>
              <w:rFonts w:ascii="Palatino Linotype" w:hAnsi="Palatino Linotype"/>
              <w:b/>
            </w:rPr>
          </w:pPr>
          <w:proofErr w:type="spellStart"/>
          <w:r>
            <w:rPr>
              <w:rFonts w:ascii="Palatino Linotype" w:hAnsi="Palatino Linotype"/>
              <w:b/>
              <w:sz w:val="22"/>
              <w:szCs w:val="22"/>
            </w:rPr>
            <w:t>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r w:rsidR="006F0117">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r w:rsidR="006F0117">
            <w:rPr>
              <w:rFonts w:ascii="Palatino Linotype" w:hAnsi="Palatino Linotype"/>
              <w:b/>
              <w:sz w:val="22"/>
              <w:szCs w:val="22"/>
            </w:rPr>
            <w:t xml:space="preserve"> </w:t>
          </w:r>
          <w:proofErr w:type="spellStart"/>
          <w:r>
            <w:rPr>
              <w:rFonts w:ascii="Palatino Linotype" w:hAnsi="Palatino Linotype"/>
              <w:b/>
              <w:sz w:val="22"/>
              <w:szCs w:val="22"/>
            </w:rPr>
            <w:t>XXXXXXXXXX</w:t>
          </w:r>
          <w:proofErr w:type="spellEnd"/>
        </w:p>
      </w:tc>
    </w:tr>
    <w:tr w:rsidR="00A4268E">
      <w:trPr>
        <w:trHeight w:val="228"/>
      </w:trPr>
      <w:tc>
        <w:tcPr>
          <w:tcW w:w="4251" w:type="dxa"/>
          <w:vMerge/>
          <w:shd w:val="clear" w:color="auto" w:fill="auto"/>
        </w:tcPr>
        <w:p w:rsidR="00A4268E" w:rsidRDefault="00A4268E">
          <w:pPr>
            <w:rPr>
              <w:rFonts w:ascii="Palatino Linotype" w:hAnsi="Palatino Linotype"/>
              <w:b/>
              <w:sz w:val="22"/>
              <w:szCs w:val="22"/>
              <w:lang w:val="es-ES_tradnl"/>
            </w:rPr>
          </w:pPr>
        </w:p>
      </w:tc>
      <w:tc>
        <w:tcPr>
          <w:tcW w:w="2552" w:type="dxa"/>
          <w:shd w:val="clear" w:color="auto" w:fill="auto"/>
        </w:tcPr>
        <w:p w:rsidR="00A4268E" w:rsidRDefault="006F011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shd w:val="clear" w:color="auto" w:fill="auto"/>
          <w:vAlign w:val="center"/>
        </w:tcPr>
        <w:p w:rsidR="00A4268E" w:rsidRDefault="006F0117">
          <w:pPr>
            <w:ind w:left="34" w:right="-107"/>
            <w:jc w:val="both"/>
            <w:rPr>
              <w:rFonts w:ascii="Palatino Linotype" w:hAnsi="Palatino Linotype"/>
              <w:b/>
            </w:rPr>
          </w:pPr>
          <w:r>
            <w:rPr>
              <w:rFonts w:ascii="Palatino Linotype" w:hAnsi="Palatino Linotype"/>
              <w:b/>
              <w:sz w:val="22"/>
              <w:szCs w:val="22"/>
            </w:rPr>
            <w:t>Ayuntamiento de Coatepec Harinas</w:t>
          </w:r>
        </w:p>
      </w:tc>
    </w:tr>
    <w:tr w:rsidR="00A4268E">
      <w:tc>
        <w:tcPr>
          <w:tcW w:w="4251" w:type="dxa"/>
          <w:vMerge/>
          <w:shd w:val="clear" w:color="auto" w:fill="auto"/>
        </w:tcPr>
        <w:p w:rsidR="00A4268E" w:rsidRDefault="00A4268E">
          <w:pPr>
            <w:rPr>
              <w:rFonts w:ascii="Palatino Linotype" w:hAnsi="Palatino Linotype"/>
              <w:b/>
              <w:sz w:val="22"/>
              <w:szCs w:val="22"/>
              <w:lang w:val="es-ES_tradnl"/>
            </w:rPr>
          </w:pPr>
        </w:p>
      </w:tc>
      <w:tc>
        <w:tcPr>
          <w:tcW w:w="2552" w:type="dxa"/>
          <w:shd w:val="clear" w:color="auto" w:fill="auto"/>
        </w:tcPr>
        <w:p w:rsidR="00A4268E" w:rsidRDefault="006F011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shd w:val="clear" w:color="auto" w:fill="auto"/>
        </w:tcPr>
        <w:p w:rsidR="00A4268E" w:rsidRDefault="006F0117">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A4268E" w:rsidRDefault="00A4268E">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667360"/>
    <w:multiLevelType w:val="multilevel"/>
    <w:tmpl w:val="D0D04CB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582A79C6"/>
    <w:multiLevelType w:val="multilevel"/>
    <w:tmpl w:val="87C05BB2"/>
    <w:lvl w:ilvl="0">
      <w:start w:val="1"/>
      <w:numFmt w:val="ordinalText"/>
      <w:lvlText w:val="%1."/>
      <w:lvlJc w:val="left"/>
      <w:pPr>
        <w:ind w:left="720" w:hanging="360"/>
      </w:pPr>
      <w:rPr>
        <w:rFonts w:cs="Times New Roman" w:hint="default"/>
        <w:b/>
        <w:caps/>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7D4C1F5E"/>
    <w:multiLevelType w:val="multilevel"/>
    <w:tmpl w:val="151AF6E0"/>
    <w:lvl w:ilvl="0">
      <w:start w:val="1"/>
      <w:numFmt w:val="upperRoman"/>
      <w:lvlText w:val="%1."/>
      <w:lvlJc w:val="left"/>
      <w:pPr>
        <w:ind w:left="720" w:hanging="360"/>
      </w:pPr>
      <w:rPr>
        <w:rFonts w:hint="default"/>
        <w:b/>
        <w:bCs/>
        <w:i w:val="0"/>
        <w:caps w:val="0"/>
        <w:smallCaps w:val="0"/>
        <w:strike w:val="0"/>
        <w:dstrike w:val="0"/>
        <w:outline w:val="0"/>
        <w:emboss w:val="0"/>
        <w:imprint w:val="0"/>
        <w:color w:val="000000"/>
        <w:spacing w:val="0"/>
        <w:w w:val="100"/>
        <w:kern w:val="0"/>
        <w:position w:val="0"/>
        <w:sz w:val="28"/>
        <w:szCs w:val="28"/>
        <w:u w:val="none" w:color="000000"/>
        <w:vertAlign w:val="baseline"/>
      </w:rPr>
    </w:lvl>
    <w:lvl w:ilvl="1">
      <w:start w:val="1"/>
      <w:numFmt w:val="decimal"/>
      <w:lvlText w:val="%2."/>
      <w:lvlJc w:val="left"/>
      <w:pPr>
        <w:ind w:left="1080" w:hanging="360"/>
      </w:pPr>
      <w:rPr>
        <w:caps w:val="0"/>
        <w:smallCaps w:val="0"/>
        <w:strike w:val="0"/>
        <w:dstrike w:val="0"/>
        <w:outline w:val="0"/>
        <w:emboss w:val="0"/>
        <w:imprint w:val="0"/>
        <w:spacing w:val="0"/>
        <w:w w:val="100"/>
        <w:kern w:val="0"/>
        <w:position w:val="0"/>
        <w:sz w:val="24"/>
        <w:vertAlign w:val="baseline"/>
      </w:rPr>
    </w:lvl>
    <w:lvl w:ilvl="2">
      <w:start w:val="1"/>
      <w:numFmt w:val="decimal"/>
      <w:lvlText w:val="%3."/>
      <w:lvlJc w:val="left"/>
      <w:pPr>
        <w:ind w:left="1800" w:hanging="360"/>
      </w:pPr>
      <w:rPr>
        <w:caps w:val="0"/>
        <w:smallCaps w:val="0"/>
        <w:strike w:val="0"/>
        <w:dstrike w:val="0"/>
        <w:outline w:val="0"/>
        <w:emboss w:val="0"/>
        <w:imprint w:val="0"/>
        <w:spacing w:val="0"/>
        <w:w w:val="100"/>
        <w:kern w:val="0"/>
        <w:position w:val="0"/>
        <w:sz w:val="24"/>
        <w:vertAlign w:val="baseline"/>
      </w:rPr>
    </w:lvl>
    <w:lvl w:ilvl="3">
      <w:start w:val="1"/>
      <w:numFmt w:val="decimal"/>
      <w:lvlText w:val="%4."/>
      <w:lvlJc w:val="left"/>
      <w:pPr>
        <w:ind w:left="2520" w:hanging="360"/>
      </w:pPr>
      <w:rPr>
        <w:caps w:val="0"/>
        <w:smallCaps w:val="0"/>
        <w:strike w:val="0"/>
        <w:dstrike w:val="0"/>
        <w:outline w:val="0"/>
        <w:emboss w:val="0"/>
        <w:imprint w:val="0"/>
        <w:spacing w:val="0"/>
        <w:w w:val="100"/>
        <w:kern w:val="0"/>
        <w:position w:val="0"/>
        <w:sz w:val="24"/>
        <w:vertAlign w:val="baseline"/>
      </w:rPr>
    </w:lvl>
    <w:lvl w:ilvl="4">
      <w:start w:val="1"/>
      <w:numFmt w:val="decimal"/>
      <w:lvlText w:val="%5."/>
      <w:lvlJc w:val="left"/>
      <w:pPr>
        <w:ind w:left="3240" w:hanging="360"/>
      </w:pPr>
      <w:rPr>
        <w:caps w:val="0"/>
        <w:smallCaps w:val="0"/>
        <w:strike w:val="0"/>
        <w:dstrike w:val="0"/>
        <w:outline w:val="0"/>
        <w:emboss w:val="0"/>
        <w:imprint w:val="0"/>
        <w:spacing w:val="0"/>
        <w:w w:val="100"/>
        <w:kern w:val="0"/>
        <w:position w:val="0"/>
        <w:sz w:val="24"/>
        <w:vertAlign w:val="baseline"/>
      </w:rPr>
    </w:lvl>
    <w:lvl w:ilvl="5">
      <w:start w:val="1"/>
      <w:numFmt w:val="decimal"/>
      <w:lvlText w:val="%6."/>
      <w:lvlJc w:val="left"/>
      <w:pPr>
        <w:ind w:left="3960" w:hanging="360"/>
      </w:pPr>
      <w:rPr>
        <w:caps w:val="0"/>
        <w:smallCaps w:val="0"/>
        <w:strike w:val="0"/>
        <w:dstrike w:val="0"/>
        <w:outline w:val="0"/>
        <w:emboss w:val="0"/>
        <w:imprint w:val="0"/>
        <w:spacing w:val="0"/>
        <w:w w:val="100"/>
        <w:kern w:val="0"/>
        <w:position w:val="0"/>
        <w:sz w:val="24"/>
        <w:vertAlign w:val="baseline"/>
      </w:rPr>
    </w:lvl>
    <w:lvl w:ilvl="6">
      <w:start w:val="1"/>
      <w:numFmt w:val="decimal"/>
      <w:lvlText w:val="%7."/>
      <w:lvlJc w:val="left"/>
      <w:pPr>
        <w:ind w:left="4680" w:hanging="360"/>
      </w:pPr>
      <w:rPr>
        <w:caps w:val="0"/>
        <w:smallCaps w:val="0"/>
        <w:strike w:val="0"/>
        <w:dstrike w:val="0"/>
        <w:outline w:val="0"/>
        <w:emboss w:val="0"/>
        <w:imprint w:val="0"/>
        <w:spacing w:val="0"/>
        <w:w w:val="100"/>
        <w:kern w:val="0"/>
        <w:position w:val="0"/>
        <w:sz w:val="24"/>
        <w:vertAlign w:val="baseline"/>
      </w:rPr>
    </w:lvl>
    <w:lvl w:ilvl="7">
      <w:start w:val="1"/>
      <w:numFmt w:val="decimal"/>
      <w:lvlText w:val="%8."/>
      <w:lvlJc w:val="left"/>
      <w:pPr>
        <w:ind w:left="5400" w:hanging="360"/>
      </w:pPr>
      <w:rPr>
        <w:caps w:val="0"/>
        <w:smallCaps w:val="0"/>
        <w:strike w:val="0"/>
        <w:dstrike w:val="0"/>
        <w:outline w:val="0"/>
        <w:emboss w:val="0"/>
        <w:imprint w:val="0"/>
        <w:spacing w:val="0"/>
        <w:w w:val="100"/>
        <w:kern w:val="0"/>
        <w:position w:val="0"/>
        <w:sz w:val="24"/>
        <w:vertAlign w:val="baseline"/>
      </w:rPr>
    </w:lvl>
    <w:lvl w:ilvl="8">
      <w:start w:val="1"/>
      <w:numFmt w:val="decimal"/>
      <w:lvlText w:val="%9."/>
      <w:lvlJc w:val="left"/>
      <w:pPr>
        <w:ind w:left="6120" w:hanging="360"/>
      </w:pPr>
      <w:rPr>
        <w:caps w:val="0"/>
        <w:smallCaps w:val="0"/>
        <w:strike w:val="0"/>
        <w:dstrike w:val="0"/>
        <w:outline w:val="0"/>
        <w:emboss w:val="0"/>
        <w:imprint w:val="0"/>
        <w:spacing w:val="0"/>
        <w:w w:val="100"/>
        <w:kern w:val="0"/>
        <w:position w:val="0"/>
        <w:sz w:val="24"/>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68E"/>
    <w:rsid w:val="002042D1"/>
    <w:rsid w:val="006F0117"/>
    <w:rsid w:val="009C0927"/>
    <w:rsid w:val="00A4268E"/>
    <w:rsid w:val="00D95242"/>
    <w:rsid w:val="00F92FCE"/>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16A8E9-2B65-4818-807C-E192791F2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styleId="nfasis">
    <w:name w:val="Emphasis"/>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Text">
    <w:name w:val="Text"/>
    <w:basedOn w:val="Normal"/>
    <w:link w:val="TextChar"/>
    <w:qFormat/>
    <w:rsid w:val="00B93B76"/>
    <w:pPr>
      <w:spacing w:after="240"/>
    </w:pPr>
    <w:rPr>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59"/>
    <w:rsid w:val="00555C12"/>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177F5F"/>
    <w:rPr>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9/19.LineamInfMensualMpal_2019.pdf"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monografias.com/trabajos14/verific-servicios/verific-servicios.s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165BC-6A01-4B15-A5D4-544607D18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8846</Words>
  <Characters>48658</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57390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USUARIO</cp:lastModifiedBy>
  <cp:revision>2</cp:revision>
  <cp:lastPrinted>2020-01-22T19:55:00Z</cp:lastPrinted>
  <dcterms:created xsi:type="dcterms:W3CDTF">2020-08-28T21:16:00Z</dcterms:created>
  <dcterms:modified xsi:type="dcterms:W3CDTF">2020-08-28T21:16:00Z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