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888" w:rsidRPr="00065FAA" w:rsidRDefault="00C86888" w:rsidP="00C86888">
      <w:pPr>
        <w:spacing w:line="360" w:lineRule="auto"/>
        <w:jc w:val="both"/>
        <w:rPr>
          <w:rFonts w:ascii="Palatino Linotype" w:hAnsi="Palatino Linotype"/>
        </w:rPr>
      </w:pPr>
      <w:r w:rsidRPr="00065FAA">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septiembre de dos mil veinte.</w:t>
      </w:r>
    </w:p>
    <w:p w:rsidR="00C86888" w:rsidRPr="00065FAA" w:rsidRDefault="00C86888" w:rsidP="00C86888">
      <w:pPr>
        <w:spacing w:line="360" w:lineRule="auto"/>
        <w:jc w:val="both"/>
        <w:rPr>
          <w:rFonts w:ascii="Palatino Linotype" w:hAnsi="Palatino Linotype"/>
          <w:b/>
        </w:rPr>
      </w:pPr>
    </w:p>
    <w:p w:rsidR="00C86888" w:rsidRPr="00065FAA" w:rsidRDefault="00C86888" w:rsidP="00C86888">
      <w:pPr>
        <w:spacing w:line="360" w:lineRule="auto"/>
        <w:jc w:val="both"/>
        <w:rPr>
          <w:rFonts w:ascii="Palatino Linotype" w:hAnsi="Palatino Linotype"/>
          <w:b/>
        </w:rPr>
      </w:pPr>
      <w:r w:rsidRPr="00065FAA">
        <w:rPr>
          <w:rFonts w:ascii="Palatino Linotype" w:hAnsi="Palatino Linotype"/>
          <w:b/>
        </w:rPr>
        <w:t>VISTO</w:t>
      </w:r>
      <w:r w:rsidRPr="00065FAA">
        <w:rPr>
          <w:rFonts w:ascii="Palatino Linotype" w:hAnsi="Palatino Linotype"/>
        </w:rPr>
        <w:t xml:space="preserve"> el expediente formado con motivo del recurso de revisión </w:t>
      </w:r>
      <w:r w:rsidRPr="00065FAA">
        <w:rPr>
          <w:rFonts w:ascii="Palatino Linotype" w:hAnsi="Palatino Linotype"/>
          <w:b/>
        </w:rPr>
        <w:t>01447/INFOEM/IP/RR/2020</w:t>
      </w:r>
      <w:r w:rsidRPr="00065FAA">
        <w:rPr>
          <w:rFonts w:ascii="Palatino Linotype" w:hAnsi="Palatino Linotype"/>
        </w:rPr>
        <w:t xml:space="preserve">, promovido por </w:t>
      </w:r>
      <w:r w:rsidR="00DE513F" w:rsidRPr="00DE513F">
        <w:rPr>
          <w:rFonts w:ascii="Palatino Linotype" w:hAnsi="Palatino Linotype"/>
          <w:b/>
        </w:rPr>
        <w:t>Xxxxxx Xxxxx Xxxxxx</w:t>
      </w:r>
      <w:r w:rsidRPr="00065FAA">
        <w:rPr>
          <w:rFonts w:ascii="Palatino Linotype" w:hAnsi="Palatino Linotype" w:cs="Arial"/>
          <w:b/>
        </w:rPr>
        <w:t xml:space="preserve">, </w:t>
      </w:r>
      <w:r w:rsidRPr="00065FAA">
        <w:rPr>
          <w:rFonts w:ascii="Palatino Linotype" w:hAnsi="Palatino Linotype" w:cs="Arial"/>
        </w:rPr>
        <w:t>en lo sucesivo</w:t>
      </w:r>
      <w:r w:rsidRPr="00065FAA">
        <w:rPr>
          <w:rFonts w:ascii="Palatino Linotype" w:hAnsi="Palatino Linotype" w:cs="Arial"/>
          <w:b/>
        </w:rPr>
        <w:t xml:space="preserve"> EL RECURRENTE,</w:t>
      </w:r>
      <w:r w:rsidRPr="00065FAA">
        <w:rPr>
          <w:rFonts w:ascii="Palatino Linotype" w:hAnsi="Palatino Linotype"/>
        </w:rPr>
        <w:t xml:space="preserve"> en contra de la respuesta emitida por el </w:t>
      </w:r>
      <w:r w:rsidRPr="00065FAA">
        <w:rPr>
          <w:rFonts w:ascii="Palatino Linotype" w:hAnsi="Palatino Linotype" w:cs="Arial"/>
          <w:b/>
        </w:rPr>
        <w:t>Ayuntamiento de Metepec,</w:t>
      </w:r>
      <w:r w:rsidRPr="00065FAA">
        <w:rPr>
          <w:rFonts w:ascii="Palatino Linotype" w:hAnsi="Palatino Linotype"/>
        </w:rPr>
        <w:t xml:space="preserve"> en lo sucesivo </w:t>
      </w:r>
      <w:r w:rsidRPr="00065FAA">
        <w:rPr>
          <w:rFonts w:ascii="Palatino Linotype" w:hAnsi="Palatino Linotype"/>
          <w:b/>
        </w:rPr>
        <w:t>EL SUJETO OBLIGADO</w:t>
      </w:r>
      <w:r w:rsidRPr="00065FAA">
        <w:rPr>
          <w:rFonts w:ascii="Palatino Linotype" w:hAnsi="Palatino Linotype"/>
        </w:rPr>
        <w:t xml:space="preserve">, se procede a dictar la presente resolución con base en lo siguiente: </w:t>
      </w:r>
    </w:p>
    <w:p w:rsidR="00C86888" w:rsidRPr="00065FAA" w:rsidRDefault="00C86888" w:rsidP="00C86888">
      <w:pPr>
        <w:jc w:val="center"/>
        <w:rPr>
          <w:rFonts w:ascii="Palatino Linotype" w:hAnsi="Palatino Linotype"/>
        </w:rPr>
      </w:pPr>
    </w:p>
    <w:p w:rsidR="00C86888" w:rsidRPr="00065FAA" w:rsidRDefault="00C86888" w:rsidP="00C86888">
      <w:pPr>
        <w:jc w:val="center"/>
        <w:rPr>
          <w:rFonts w:ascii="Palatino Linotype" w:hAnsi="Palatino Linotype"/>
          <w:b/>
          <w:bCs/>
          <w:spacing w:val="40"/>
          <w:sz w:val="28"/>
        </w:rPr>
      </w:pPr>
      <w:r w:rsidRPr="00065FAA">
        <w:rPr>
          <w:rFonts w:ascii="Palatino Linotype" w:hAnsi="Palatino Linotype"/>
          <w:b/>
          <w:bCs/>
          <w:spacing w:val="40"/>
          <w:sz w:val="28"/>
        </w:rPr>
        <w:t>RESULTANDO</w:t>
      </w:r>
    </w:p>
    <w:p w:rsidR="00C86888" w:rsidRPr="00065FAA" w:rsidRDefault="00C86888" w:rsidP="00C86888">
      <w:pPr>
        <w:jc w:val="center"/>
        <w:rPr>
          <w:rFonts w:ascii="Palatino Linotype" w:hAnsi="Palatino Linotype"/>
          <w:b/>
          <w:bCs/>
          <w:spacing w:val="40"/>
        </w:rPr>
      </w:pPr>
    </w:p>
    <w:p w:rsidR="00C86888" w:rsidRPr="00065FAA" w:rsidRDefault="00C86888" w:rsidP="00C86888">
      <w:pPr>
        <w:spacing w:line="360" w:lineRule="auto"/>
        <w:jc w:val="both"/>
        <w:rPr>
          <w:rFonts w:ascii="Palatino Linotype" w:hAnsi="Palatino Linotype" w:cs="Arial"/>
          <w:b/>
          <w:bCs/>
        </w:rPr>
      </w:pPr>
      <w:r w:rsidRPr="00065FAA">
        <w:rPr>
          <w:rFonts w:ascii="Palatino Linotype" w:hAnsi="Palatino Linotype"/>
          <w:b/>
          <w:sz w:val="28"/>
          <w:szCs w:val="28"/>
        </w:rPr>
        <w:t xml:space="preserve">I. </w:t>
      </w:r>
      <w:r w:rsidRPr="00065FAA">
        <w:rPr>
          <w:rFonts w:ascii="Palatino Linotype" w:hAnsi="Palatino Linotype"/>
        </w:rPr>
        <w:t xml:space="preserve">En </w:t>
      </w:r>
      <w:r w:rsidRPr="00065FAA">
        <w:rPr>
          <w:rFonts w:ascii="Palatino Linotype" w:hAnsi="Palatino Linotype" w:cs="Arial"/>
          <w:lang w:val="es-ES"/>
        </w:rPr>
        <w:t>fecha</w:t>
      </w:r>
      <w:r w:rsidRPr="00065FAA">
        <w:rPr>
          <w:rFonts w:ascii="Palatino Linotype" w:hAnsi="Palatino Linotype"/>
        </w:rPr>
        <w:t xml:space="preserve"> siete de febrero de dos mil veinte, </w:t>
      </w:r>
      <w:r w:rsidRPr="00065FAA">
        <w:rPr>
          <w:rFonts w:ascii="Palatino Linotype" w:hAnsi="Palatino Linotype"/>
          <w:b/>
        </w:rPr>
        <w:t>EL RECURRENTE</w:t>
      </w:r>
      <w:r w:rsidRPr="00065FAA">
        <w:rPr>
          <w:rFonts w:ascii="Palatino Linotype" w:hAnsi="Palatino Linotype" w:cs="Arial"/>
        </w:rPr>
        <w:t xml:space="preserve"> presentó a través del Sistema de Acceso a la Información Mexiquense, en lo subsecuente </w:t>
      </w:r>
      <w:r w:rsidRPr="00065FAA">
        <w:rPr>
          <w:rFonts w:ascii="Palatino Linotype" w:hAnsi="Palatino Linotype" w:cs="Arial"/>
          <w:b/>
        </w:rPr>
        <w:t>EL SAIMEX</w:t>
      </w:r>
      <w:r w:rsidRPr="00065FAA">
        <w:rPr>
          <w:rFonts w:ascii="Palatino Linotype" w:hAnsi="Palatino Linotype" w:cs="Arial"/>
        </w:rPr>
        <w:t xml:space="preserve"> ante </w:t>
      </w:r>
      <w:r w:rsidRPr="00065FAA">
        <w:rPr>
          <w:rFonts w:ascii="Palatino Linotype" w:hAnsi="Palatino Linotype" w:cs="Arial"/>
          <w:b/>
        </w:rPr>
        <w:t>EL SUJETO OBLIGADO</w:t>
      </w:r>
      <w:r w:rsidRPr="00065FAA">
        <w:rPr>
          <w:rFonts w:ascii="Palatino Linotype" w:hAnsi="Palatino Linotype" w:cs="Arial"/>
        </w:rPr>
        <w:t xml:space="preserve">, la solicitud de acceso a la información pública, a la que se le asignó el número de expediente </w:t>
      </w:r>
      <w:r w:rsidRPr="00065FAA">
        <w:rPr>
          <w:rFonts w:ascii="Palatino Linotype" w:hAnsi="Palatino Linotype" w:cs="Arial"/>
          <w:b/>
          <w:bCs/>
        </w:rPr>
        <w:t>00061/METEPEC/IP/2020</w:t>
      </w:r>
      <w:r w:rsidRPr="00065FAA">
        <w:rPr>
          <w:rFonts w:ascii="Palatino Linotype" w:hAnsi="Palatino Linotype" w:cs="Arial"/>
        </w:rPr>
        <w:t>, mediante la cual solicitó:</w:t>
      </w:r>
    </w:p>
    <w:p w:rsidR="00C86888" w:rsidRPr="00065FAA" w:rsidRDefault="00C86888" w:rsidP="00C86888">
      <w:pPr>
        <w:tabs>
          <w:tab w:val="left" w:pos="851"/>
        </w:tabs>
        <w:ind w:left="851" w:right="901"/>
        <w:jc w:val="both"/>
        <w:rPr>
          <w:rFonts w:ascii="Palatino Linotype" w:hAnsi="Palatino Linotype" w:cs="Arial"/>
          <w:i/>
          <w:sz w:val="22"/>
          <w:szCs w:val="22"/>
        </w:rPr>
      </w:pPr>
    </w:p>
    <w:p w:rsidR="00C86888" w:rsidRPr="00065FAA" w:rsidRDefault="00C86888" w:rsidP="00C86888">
      <w:pPr>
        <w:tabs>
          <w:tab w:val="left" w:pos="851"/>
        </w:tabs>
        <w:ind w:left="851" w:right="901"/>
        <w:jc w:val="both"/>
        <w:rPr>
          <w:rFonts w:ascii="Palatino Linotype" w:hAnsi="Palatino Linotype" w:cs="Arial"/>
          <w:i/>
          <w:sz w:val="22"/>
          <w:szCs w:val="22"/>
        </w:rPr>
      </w:pPr>
      <w:r w:rsidRPr="00065FAA">
        <w:rPr>
          <w:rFonts w:ascii="Palatino Linotype" w:hAnsi="Palatino Linotype" w:cs="Arial"/>
          <w:i/>
          <w:sz w:val="22"/>
          <w:szCs w:val="22"/>
        </w:rPr>
        <w:t xml:space="preserve">“Fecha de toma del cargo de los siguientes servidores públicos (Los que al día de Hoy están ejerciend la función) Contralora Municipal Director de Obras Secretario Tecnico Tesorero Municipal Subdirector de Obras Subdirector de desarrollo urbano Subdirector de vialidad Jefe de departamento de Parques y jardines Jefe de departamento de Permisos semifijos Jefe de departamento de Presupuestos Caja General departamento de Legislación y difusión Subdireccion de adquisiciones y contratación de servicios Departamento de Participacion comunitario Departamento de atencion a la juventud Departamento de Tenencia de la tierra De todos y cada uno de ellos solicito tambien Acta entrega recepcion Curriculum Vitae en el caso de los que la ley orgánica obliga a estar certificados se solicita su certificación En su caso la aprobacion de cabildo de ocupar dichos puestos Se </w:t>
      </w:r>
      <w:r w:rsidRPr="00065FAA">
        <w:rPr>
          <w:rFonts w:ascii="Palatino Linotype" w:hAnsi="Palatino Linotype" w:cs="Arial"/>
          <w:i/>
          <w:sz w:val="22"/>
          <w:szCs w:val="22"/>
        </w:rPr>
        <w:lastRenderedPageBreak/>
        <w:t>solicita nombramiento de cada uno de ellos En su caso las actas administrativas que se les halla levantado a cada uno de los servidores publicos antes descritos” (Sic)</w:t>
      </w:r>
    </w:p>
    <w:p w:rsidR="00C86888" w:rsidRPr="00065FAA" w:rsidRDefault="00C86888" w:rsidP="00C86888">
      <w:pPr>
        <w:tabs>
          <w:tab w:val="left" w:pos="851"/>
        </w:tabs>
        <w:ind w:left="851" w:right="901"/>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b/>
        </w:rPr>
        <w:t>MODALIDAD DE ENTREGA:</w:t>
      </w:r>
      <w:r w:rsidRPr="00065FAA">
        <w:rPr>
          <w:rFonts w:ascii="Palatino Linotype" w:hAnsi="Palatino Linotype" w:cs="Arial"/>
        </w:rPr>
        <w:t xml:space="preserve"> Vía </w:t>
      </w:r>
      <w:r w:rsidRPr="00065FAA">
        <w:rPr>
          <w:rFonts w:ascii="Palatino Linotype" w:hAnsi="Palatino Linotype" w:cs="Arial"/>
          <w:b/>
        </w:rPr>
        <w:t>SAIMEX</w:t>
      </w:r>
      <w:r w:rsidRPr="00065FAA">
        <w:rPr>
          <w:rFonts w:ascii="Palatino Linotype" w:hAnsi="Palatino Linotype" w:cs="Arial"/>
        </w:rPr>
        <w:t>.</w:t>
      </w:r>
    </w:p>
    <w:p w:rsidR="00C86888" w:rsidRPr="00065FAA" w:rsidRDefault="00C86888" w:rsidP="00C86888">
      <w:pPr>
        <w:tabs>
          <w:tab w:val="left" w:pos="5647"/>
        </w:tabs>
        <w:spacing w:line="360" w:lineRule="auto"/>
        <w:ind w:right="850"/>
        <w:jc w:val="both"/>
        <w:rPr>
          <w:rFonts w:ascii="Palatino Linotype" w:hAnsi="Palatino Linotype" w:cs="Arial"/>
          <w:sz w:val="16"/>
        </w:rPr>
      </w:pPr>
    </w:p>
    <w:p w:rsidR="00C86888" w:rsidRPr="00065FAA" w:rsidRDefault="00C86888" w:rsidP="00C86888">
      <w:pPr>
        <w:spacing w:line="360" w:lineRule="auto"/>
        <w:jc w:val="both"/>
        <w:rPr>
          <w:rFonts w:ascii="Palatino Linotype" w:hAnsi="Palatino Linotype" w:cs="Arial"/>
          <w:noProof/>
          <w:lang w:val="es-ES" w:eastAsia="es-MX"/>
        </w:rPr>
      </w:pPr>
      <w:r w:rsidRPr="00065FAA">
        <w:rPr>
          <w:rFonts w:ascii="Palatino Linotype" w:hAnsi="Palatino Linotype"/>
          <w:b/>
          <w:sz w:val="28"/>
          <w:szCs w:val="28"/>
        </w:rPr>
        <w:t xml:space="preserve">II. </w:t>
      </w:r>
      <w:r w:rsidRPr="00065FAA">
        <w:rPr>
          <w:rFonts w:ascii="Palatino Linotype" w:hAnsi="Palatino Linotype" w:cs="Arial"/>
          <w:lang w:val="es-ES"/>
        </w:rPr>
        <w:t xml:space="preserve">En cumplimiento al artículo 162 de la Ley de Transparencia y Acceso a la Información Pública del Estado de México y Municipios, el veintiocho de febrero de dos mil veinte, el Titular de la Unidad de Transparencia del </w:t>
      </w:r>
      <w:r w:rsidRPr="00065FAA">
        <w:rPr>
          <w:rFonts w:ascii="Palatino Linotype" w:hAnsi="Palatino Linotype" w:cs="Arial"/>
          <w:b/>
          <w:lang w:val="es-ES"/>
        </w:rPr>
        <w:t>SUJETO OBLIGADO</w:t>
      </w:r>
      <w:r w:rsidRPr="00065FAA">
        <w:rPr>
          <w:rFonts w:ascii="Palatino Linotype" w:hAnsi="Palatino Linotype" w:cs="Arial"/>
          <w:lang w:val="es-ES"/>
        </w:rPr>
        <w:t xml:space="preserve">, </w:t>
      </w:r>
      <w:r w:rsidRPr="00065FAA">
        <w:rPr>
          <w:rFonts w:ascii="Palatino Linotype" w:hAnsi="Palatino Linotype"/>
          <w:bCs/>
          <w:lang w:val="es-ES"/>
        </w:rPr>
        <w:t xml:space="preserve">turnó el requerimiento de información al Servidor Público Habilitado, </w:t>
      </w:r>
      <w:r w:rsidRPr="00065FAA">
        <w:rPr>
          <w:rFonts w:ascii="Palatino Linotype" w:hAnsi="Palatino Linotype" w:cs="Arial"/>
          <w:lang w:val="es-ES"/>
        </w:rPr>
        <w:t>a efecto de que realizara la búsqueda y localización de la información tal como se desprende a continuación:</w:t>
      </w:r>
      <w:r w:rsidRPr="00065FAA">
        <w:rPr>
          <w:rFonts w:ascii="Palatino Linotype" w:hAnsi="Palatino Linotype" w:cs="Arial"/>
          <w:noProof/>
          <w:lang w:val="es-ES" w:eastAsia="es-MX"/>
        </w:rPr>
        <w:t xml:space="preserve"> </w:t>
      </w:r>
    </w:p>
    <w:p w:rsidR="00C86888" w:rsidRPr="00065FAA" w:rsidRDefault="00EA58C9" w:rsidP="00C86888">
      <w:pPr>
        <w:spacing w:line="360" w:lineRule="auto"/>
        <w:jc w:val="both"/>
        <w:rPr>
          <w:rFonts w:ascii="Palatino Linotype" w:hAnsi="Palatino Linotype" w:cs="Arial"/>
          <w:noProof/>
          <w:lang w:val="es-ES" w:eastAsia="es-MX"/>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208280</wp:posOffset>
                </wp:positionV>
                <wp:extent cx="1971675" cy="716280"/>
                <wp:effectExtent l="23495" t="21590" r="14605" b="43180"/>
                <wp:wrapNone/>
                <wp:docPr id="3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16280"/>
                        </a:xfrm>
                        <a:prstGeom prst="roundRect">
                          <a:avLst>
                            <a:gd name="adj" fmla="val 16667"/>
                          </a:avLst>
                        </a:prstGeom>
                        <a:noFill/>
                        <a:ln w="2857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27794C" id="Rectángulo redondeado 4" o:spid="_x0000_s1026" style="position:absolute;margin-left:5.3pt;margin-top:16.4pt;width:155.2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" filled="f" strokecolor="red" strokeweight="2.25pt">
                <v:shadow on="t" opacity="22936f" origin=",.5" offset="0,.63889mm"/>
              </v:roundrect>
            </w:pict>
          </mc:Fallback>
        </mc:AlternateContent>
      </w:r>
      <w:r w:rsidR="00C86888" w:rsidRPr="00065FAA">
        <w:rPr>
          <w:noProof/>
          <w:lang w:eastAsia="es-MX"/>
        </w:rPr>
        <w:drawing>
          <wp:inline distT="0" distB="0" distL="0" distR="0">
            <wp:extent cx="5791835" cy="90577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8199" cy="906769"/>
                    </a:xfrm>
                    <a:prstGeom prst="rect">
                      <a:avLst/>
                    </a:prstGeom>
                  </pic:spPr>
                </pic:pic>
              </a:graphicData>
            </a:graphic>
          </wp:inline>
        </w:drawing>
      </w:r>
    </w:p>
    <w:p w:rsidR="00C86888" w:rsidRPr="00065FAA" w:rsidRDefault="00EA58C9" w:rsidP="00C86888">
      <w:pPr>
        <w:spacing w:line="360" w:lineRule="auto"/>
        <w:jc w:val="center"/>
        <w:rPr>
          <w:rFonts w:ascii="Palatino Linotype" w:hAnsi="Palatino Linotype" w:cs="Arial"/>
          <w:noProof/>
          <w:lang w:val="es-ES" w:eastAsia="es-MX"/>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316865</wp:posOffset>
                </wp:positionV>
                <wp:extent cx="5940425" cy="2857500"/>
                <wp:effectExtent l="26035" t="23495" r="24765" b="52705"/>
                <wp:wrapTight wrapText="bothSides">
                  <wp:wrapPolygon edited="0">
                    <wp:start x="-35" y="-144"/>
                    <wp:lineTo x="-104" y="360"/>
                    <wp:lineTo x="-104" y="720"/>
                    <wp:lineTo x="173" y="1008"/>
                    <wp:lineTo x="21323" y="22176"/>
                    <wp:lineTo x="21773" y="22176"/>
                    <wp:lineTo x="21842" y="21528"/>
                    <wp:lineTo x="173" y="-144"/>
                    <wp:lineTo x="-35" y="-144"/>
                  </wp:wrapPolygon>
                </wp:wrapTight>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28575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3667"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95pt" to="468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" strokecolor="#4a7ebb" strokeweight="3.5pt">
                <v:fill o:detectmouseclick="t"/>
                <v:shadow on="t" opacity="22938f" offset="0"/>
                <w10:wrap type="tight"/>
              </v:line>
            </w:pict>
          </mc:Fallback>
        </mc:AlternateContent>
      </w:r>
      <w:r w:rsidR="00C86888" w:rsidRPr="00065FAA">
        <w:rPr>
          <w:noProof/>
          <w:lang w:eastAsia="es-MX"/>
        </w:rPr>
        <w:drawing>
          <wp:inline distT="0" distB="0" distL="0" distR="0">
            <wp:extent cx="5791835" cy="2647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64795"/>
                    </a:xfrm>
                    <a:prstGeom prst="rect">
                      <a:avLst/>
                    </a:prstGeom>
                  </pic:spPr>
                </pic:pic>
              </a:graphicData>
            </a:graphic>
          </wp:inline>
        </w:drawing>
      </w:r>
    </w:p>
    <w:p w:rsidR="00C86888" w:rsidRPr="00065FAA" w:rsidRDefault="00EA58C9" w:rsidP="00C86888">
      <w:pPr>
        <w:spacing w:line="360" w:lineRule="auto"/>
        <w:jc w:val="both"/>
        <w:rPr>
          <w:rFonts w:ascii="Palatino Linotype" w:hAnsi="Palatino Linotype"/>
          <w:b/>
          <w:sz w:val="28"/>
          <w:szCs w:val="28"/>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836295</wp:posOffset>
                </wp:positionV>
                <wp:extent cx="3613785" cy="467995"/>
                <wp:effectExtent l="15240" t="13970" r="9525" b="41910"/>
                <wp:wrapNone/>
                <wp:docPr id="3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785" cy="46799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8FD70B" id="Rectángulo 8" o:spid="_x0000_s1026" style="position:absolute;margin-left:5.4pt;margin-top:65.85pt;width:284.5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" filled="f" strokecolor="red" strokeweight="1.5pt">
                <v:shadow on="t" opacity="22936f" origin=",.5" offset="0,.63889mm"/>
              </v:rect>
            </w:pict>
          </mc:Fallback>
        </mc:AlternateContent>
      </w:r>
      <w:r w:rsidR="00C86888" w:rsidRPr="00065FAA">
        <w:rPr>
          <w:noProof/>
          <w:lang w:eastAsia="es-MX"/>
        </w:rPr>
        <w:drawing>
          <wp:inline distT="0" distB="0" distL="0" distR="0">
            <wp:extent cx="5791200" cy="32479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6918" cy="3256765"/>
                    </a:xfrm>
                    <a:prstGeom prst="rect">
                      <a:avLst/>
                    </a:prstGeom>
                  </pic:spPr>
                </pic:pic>
              </a:graphicData>
            </a:graphic>
          </wp:inline>
        </w:drawing>
      </w:r>
    </w:p>
    <w:p w:rsidR="00C86888" w:rsidRPr="00065FAA" w:rsidRDefault="00C86888" w:rsidP="00C86888">
      <w:pPr>
        <w:spacing w:line="360" w:lineRule="auto"/>
        <w:jc w:val="both"/>
        <w:rPr>
          <w:rFonts w:ascii="Palatino Linotype" w:hAnsi="Palatino Linotype"/>
          <w:b/>
          <w:sz w:val="28"/>
          <w:szCs w:val="28"/>
        </w:rPr>
      </w:pPr>
      <w:r w:rsidRPr="00065FAA">
        <w:rPr>
          <w:rFonts w:ascii="Palatino Linotype" w:hAnsi="Palatino Linotype"/>
          <w:b/>
          <w:sz w:val="28"/>
          <w:szCs w:val="28"/>
        </w:rPr>
        <w:t xml:space="preserve">III. </w:t>
      </w:r>
      <w:r w:rsidRPr="00065FAA">
        <w:rPr>
          <w:rFonts w:ascii="Palatino Linotype" w:hAnsi="Palatino Linotype"/>
        </w:rPr>
        <w:t xml:space="preserve">De las constancias que obran en </w:t>
      </w:r>
      <w:r w:rsidRPr="00065FAA">
        <w:rPr>
          <w:rFonts w:ascii="Palatino Linotype" w:hAnsi="Palatino Linotype"/>
          <w:b/>
        </w:rPr>
        <w:t>EL SAIMEX,</w:t>
      </w:r>
      <w:r w:rsidRPr="00065FAA">
        <w:rPr>
          <w:rFonts w:ascii="Palatino Linotype" w:hAnsi="Palatino Linotype"/>
        </w:rPr>
        <w:t xml:space="preserve"> se advierte que en fecha dos de marzo de dos mil </w:t>
      </w:r>
      <w:r w:rsidRPr="00065FAA">
        <w:rPr>
          <w:rFonts w:ascii="Palatino Linotype" w:hAnsi="Palatino Linotype" w:cs="Arial"/>
        </w:rPr>
        <w:t>veinte</w:t>
      </w:r>
      <w:r w:rsidRPr="00065FAA">
        <w:rPr>
          <w:rFonts w:ascii="Palatino Linotype" w:hAnsi="Palatino Linotype"/>
        </w:rPr>
        <w:t xml:space="preserve">, </w:t>
      </w:r>
      <w:r w:rsidRPr="00065FAA">
        <w:rPr>
          <w:rFonts w:ascii="Palatino Linotype" w:hAnsi="Palatino Linotype" w:cs="Arial"/>
          <w:lang w:val="es-ES_tradnl"/>
        </w:rPr>
        <w:t>el Responsable de la Unidad de Transparencia del</w:t>
      </w:r>
      <w:r w:rsidRPr="00065FAA">
        <w:rPr>
          <w:rFonts w:ascii="Palatino Linotype" w:hAnsi="Palatino Linotype" w:cs="Arial"/>
          <w:b/>
          <w:lang w:val="es-ES_tradnl"/>
        </w:rPr>
        <w:t xml:space="preserve"> SUJETO OBLIGADO</w:t>
      </w:r>
      <w:r w:rsidRPr="00065FAA">
        <w:rPr>
          <w:rFonts w:ascii="Palatino Linotype" w:hAnsi="Palatino Linotype" w:cs="Arial"/>
          <w:lang w:val="es-ES_tradnl"/>
        </w:rPr>
        <w:t xml:space="preserve"> dio respuesta a la solicitud de información, en los siguientes términos:</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ind w:left="851" w:right="899"/>
        <w:jc w:val="right"/>
        <w:rPr>
          <w:rFonts w:ascii="Palatino Linotype" w:hAnsi="Palatino Linotype" w:cs="Arial"/>
          <w:i/>
          <w:sz w:val="22"/>
          <w:szCs w:val="22"/>
        </w:rPr>
      </w:pPr>
      <w:r w:rsidRPr="00065FAA">
        <w:rPr>
          <w:rFonts w:ascii="Palatino Linotype" w:hAnsi="Palatino Linotype" w:cs="Arial"/>
          <w:i/>
          <w:sz w:val="22"/>
          <w:szCs w:val="22"/>
        </w:rPr>
        <w:t>“Folio de la solicitud: 00061/METEPEC/IP/2020</w:t>
      </w: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Se envía respuesta en archivo adjunto. Se hace de su conocimiento el derecho que tiene de acuerdo con lo establecido en los artículos 176, 177 y 178 de la Ley invocada.</w:t>
      </w: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ATENTAMENTE</w:t>
      </w: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Alberto Daniel García Curiel” (Sic)</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rPr>
        <w:t xml:space="preserve">Advirtiendo de dicha respuesta, que </w:t>
      </w:r>
      <w:r w:rsidRPr="00065FAA">
        <w:rPr>
          <w:rFonts w:ascii="Palatino Linotype" w:hAnsi="Palatino Linotype" w:cs="Arial"/>
          <w:b/>
        </w:rPr>
        <w:t>EL SUJETO OBLIGADO</w:t>
      </w:r>
      <w:r w:rsidRPr="00065FAA">
        <w:rPr>
          <w:rFonts w:ascii="Palatino Linotype" w:hAnsi="Palatino Linotype"/>
        </w:rPr>
        <w:t xml:space="preserve"> acompañó el archivo electrónico denominado </w:t>
      </w:r>
      <w:r w:rsidRPr="00065FAA">
        <w:rPr>
          <w:rFonts w:ascii="Palatino Linotype" w:hAnsi="Palatino Linotype" w:cs="Arial"/>
          <w:b/>
        </w:rPr>
        <w:t xml:space="preserve">61.zip, </w:t>
      </w:r>
      <w:r w:rsidRPr="00065FAA">
        <w:rPr>
          <w:rFonts w:ascii="Palatino Linotype" w:hAnsi="Palatino Linotype" w:cs="Arial"/>
        </w:rPr>
        <w:t xml:space="preserve">en el cual manifestó al particular que dicha </w:t>
      </w:r>
      <w:r w:rsidRPr="00065FAA">
        <w:rPr>
          <w:rFonts w:ascii="Palatino Linotype" w:hAnsi="Palatino Linotype" w:cs="Arial"/>
        </w:rPr>
        <w:lastRenderedPageBreak/>
        <w:t>información podía ser consultada en la página electrónica http://www.metepec.gob.mx/pagina/index.php, en la sección de transparencia fracción 2018 y posteriores y fracción XXII; asimismo, informó que enviaba en formato digital nombramiento y currículum vitae de los servidores públicos, testando en ellos datos personales como fotografía, dirección, teléfono, correo electrónico, fecha de nacimiento, CURP, RFC y estado civil por considerarse como información confidencial.</w:t>
      </w:r>
    </w:p>
    <w:p w:rsidR="00C86888" w:rsidRPr="00065FAA" w:rsidRDefault="00C86888" w:rsidP="00C86888">
      <w:pPr>
        <w:spacing w:line="360" w:lineRule="auto"/>
        <w:ind w:right="899"/>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b/>
          <w:bCs/>
        </w:rPr>
      </w:pPr>
      <w:r w:rsidRPr="00065FAA">
        <w:rPr>
          <w:rFonts w:ascii="Palatino Linotype" w:hAnsi="Palatino Linotype"/>
          <w:b/>
          <w:sz w:val="28"/>
          <w:szCs w:val="28"/>
        </w:rPr>
        <w:t>IV.</w:t>
      </w:r>
      <w:r w:rsidRPr="00065FAA">
        <w:rPr>
          <w:rFonts w:ascii="Palatino Linotype" w:hAnsi="Palatino Linotype"/>
          <w:b/>
        </w:rPr>
        <w:t xml:space="preserve"> </w:t>
      </w:r>
      <w:r w:rsidRPr="00065FAA">
        <w:rPr>
          <w:rFonts w:ascii="Palatino Linotype" w:hAnsi="Palatino Linotype"/>
        </w:rPr>
        <w:t xml:space="preserve">Inconforme con la </w:t>
      </w:r>
      <w:r w:rsidRPr="00065FAA">
        <w:rPr>
          <w:rFonts w:ascii="Palatino Linotype" w:hAnsi="Palatino Linotype" w:cs="Arial"/>
        </w:rPr>
        <w:t xml:space="preserve">respuesta, el cinco de marzo de dos mil veinte, </w:t>
      </w:r>
      <w:r w:rsidRPr="00065FAA">
        <w:rPr>
          <w:rFonts w:ascii="Palatino Linotype" w:hAnsi="Palatino Linotype"/>
          <w:b/>
        </w:rPr>
        <w:t>EL RECURRENTE</w:t>
      </w:r>
      <w:r w:rsidRPr="00065FAA">
        <w:rPr>
          <w:rFonts w:ascii="Palatino Linotype" w:hAnsi="Palatino Linotype"/>
        </w:rPr>
        <w:t xml:space="preserve"> interpuso el recurso de revisión objeto del presente estudio, el cual fue registrado en </w:t>
      </w:r>
      <w:r w:rsidRPr="00065FAA">
        <w:rPr>
          <w:rFonts w:ascii="Palatino Linotype" w:hAnsi="Palatino Linotype"/>
          <w:b/>
        </w:rPr>
        <w:t>EL SAIMEX</w:t>
      </w:r>
      <w:r w:rsidRPr="00065FAA">
        <w:rPr>
          <w:rFonts w:ascii="Palatino Linotype" w:hAnsi="Palatino Linotype"/>
        </w:rPr>
        <w:t xml:space="preserve"> y se le asignó el número de expediente </w:t>
      </w:r>
      <w:r w:rsidRPr="00065FAA">
        <w:rPr>
          <w:rFonts w:ascii="Palatino Linotype" w:hAnsi="Palatino Linotype" w:cs="Arial"/>
          <w:b/>
          <w:bCs/>
        </w:rPr>
        <w:t>01447/INFOEM/IP/RR/2020</w:t>
      </w:r>
      <w:r w:rsidRPr="00065FAA">
        <w:rPr>
          <w:rFonts w:ascii="Palatino Linotype" w:hAnsi="Palatino Linotype" w:cs="Arial"/>
        </w:rPr>
        <w:t>, en el que señaló como acto impugnado:</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“No se adjunto toda la información solicitada de todos los servidores públicos” (Sic)</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 xml:space="preserve">Asimismo, como razones o motivos de inconformidad:  </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ind w:left="851" w:right="899"/>
        <w:jc w:val="both"/>
        <w:rPr>
          <w:rFonts w:ascii="Palatino Linotype" w:hAnsi="Palatino Linotype" w:cs="Arial"/>
          <w:i/>
          <w:sz w:val="22"/>
          <w:szCs w:val="22"/>
        </w:rPr>
      </w:pPr>
      <w:r w:rsidRPr="00065FAA">
        <w:rPr>
          <w:rFonts w:ascii="Palatino Linotype" w:hAnsi="Palatino Linotype" w:cs="Arial"/>
          <w:i/>
          <w:sz w:val="22"/>
          <w:szCs w:val="22"/>
        </w:rPr>
        <w:t>“Falta información de algunos servidores públicos asi como información requerida” (Sic)</w:t>
      </w:r>
    </w:p>
    <w:p w:rsidR="00C86888" w:rsidRPr="00065FAA" w:rsidRDefault="00C86888" w:rsidP="00C86888">
      <w:pPr>
        <w:ind w:left="851" w:right="899"/>
        <w:jc w:val="both"/>
        <w:rPr>
          <w:rFonts w:ascii="Palatino Linotype" w:hAnsi="Palatino Linotype" w:cs="Arial"/>
          <w:i/>
          <w:sz w:val="22"/>
          <w:szCs w:val="22"/>
        </w:rPr>
      </w:pPr>
    </w:p>
    <w:p w:rsidR="00C86888" w:rsidRPr="00065FAA" w:rsidRDefault="00C86888" w:rsidP="00C86888">
      <w:pPr>
        <w:pStyle w:val="Default"/>
        <w:spacing w:line="360" w:lineRule="auto"/>
        <w:ind w:right="49"/>
        <w:jc w:val="both"/>
        <w:rPr>
          <w:rFonts w:ascii="Palatino Linotype" w:hAnsi="Palatino Linotype"/>
          <w:lang w:val="es-ES_tradnl"/>
        </w:rPr>
      </w:pPr>
      <w:r w:rsidRPr="00065FAA">
        <w:rPr>
          <w:rFonts w:ascii="Palatino Linotype" w:hAnsi="Palatino Linotype"/>
          <w:b/>
          <w:sz w:val="28"/>
          <w:szCs w:val="28"/>
        </w:rPr>
        <w:t xml:space="preserve">V. </w:t>
      </w:r>
      <w:r w:rsidRPr="00065FAA">
        <w:rPr>
          <w:rFonts w:ascii="Palatino Linotype" w:hAnsi="Palatino Linotype"/>
        </w:rPr>
        <w:t xml:space="preserve">El cinco de marzo de dos mil veinte, el </w:t>
      </w:r>
      <w:r w:rsidRPr="00065FAA">
        <w:rPr>
          <w:rFonts w:ascii="Palatino Linotype" w:hAnsi="Palatino Linotype"/>
          <w:lang w:val="es-ES_tradnl"/>
        </w:rPr>
        <w:t>recurso de que</w:t>
      </w:r>
      <w:r w:rsidRPr="00065FAA">
        <w:rPr>
          <w:rFonts w:ascii="Palatino Linotype" w:hAnsi="Palatino Linotype"/>
        </w:rPr>
        <w:t xml:space="preserve"> se trata</w:t>
      </w:r>
      <w:r w:rsidRPr="00065FAA">
        <w:rPr>
          <w:rFonts w:ascii="Palatino Linotype" w:hAnsi="Palatino Linotype"/>
          <w:lang w:val="es-ES_tradnl"/>
        </w:rPr>
        <w:t xml:space="preserve"> se envió electrónicamente al Instituto de </w:t>
      </w:r>
      <w:r w:rsidRPr="00065FAA">
        <w:rPr>
          <w:rFonts w:ascii="Palatino Linotype" w:eastAsia="Arial Unicode MS" w:hAnsi="Palatino Linotype"/>
        </w:rPr>
        <w:t>Transparencia</w:t>
      </w:r>
      <w:r w:rsidRPr="00065FAA">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065FAA">
        <w:rPr>
          <w:rFonts w:ascii="Palatino Linotype" w:hAnsi="Palatino Linotype"/>
        </w:rPr>
        <w:t>Ley de Transparencia y Acceso a la Información Pública del Estado de México y Municipios</w:t>
      </w:r>
      <w:r w:rsidRPr="00065FAA">
        <w:rPr>
          <w:rFonts w:ascii="Palatino Linotype" w:hAnsi="Palatino Linotype"/>
          <w:lang w:val="es-ES_tradnl"/>
        </w:rPr>
        <w:t>, se turnó, a través del</w:t>
      </w:r>
      <w:r w:rsidRPr="00065FAA">
        <w:rPr>
          <w:rFonts w:ascii="Palatino Linotype" w:eastAsia="Arial Unicode MS" w:hAnsi="Palatino Linotype"/>
          <w:lang w:val="es-ES_tradnl"/>
        </w:rPr>
        <w:t xml:space="preserve"> </w:t>
      </w:r>
      <w:r w:rsidRPr="00065FAA">
        <w:rPr>
          <w:rFonts w:ascii="Palatino Linotype" w:eastAsia="Arial Unicode MS" w:hAnsi="Palatino Linotype"/>
          <w:b/>
          <w:lang w:val="es-ES_tradnl"/>
        </w:rPr>
        <w:lastRenderedPageBreak/>
        <w:t>SAIMEX</w:t>
      </w:r>
      <w:r w:rsidRPr="00065FAA">
        <w:rPr>
          <w:rFonts w:ascii="Palatino Linotype" w:hAnsi="Palatino Linotype"/>
        </w:rPr>
        <w:t xml:space="preserve">, a la </w:t>
      </w:r>
      <w:r w:rsidRPr="00065FAA">
        <w:rPr>
          <w:rFonts w:ascii="Palatino Linotype" w:hAnsi="Palatino Linotype"/>
          <w:lang w:val="es-ES_tradnl"/>
        </w:rPr>
        <w:t xml:space="preserve">Comisionada </w:t>
      </w:r>
      <w:r w:rsidRPr="00065FAA">
        <w:rPr>
          <w:rFonts w:ascii="Palatino Linotype" w:hAnsi="Palatino Linotype"/>
          <w:b/>
          <w:lang w:val="es-ES_tradnl"/>
        </w:rPr>
        <w:t>EVA ABAID YAPUR</w:t>
      </w:r>
      <w:r w:rsidRPr="00065FAA">
        <w:rPr>
          <w:rFonts w:ascii="Palatino Linotype" w:hAnsi="Palatino Linotype"/>
        </w:rPr>
        <w:t>,</w:t>
      </w:r>
      <w:r w:rsidRPr="00065FAA">
        <w:rPr>
          <w:rFonts w:ascii="Palatino Linotype" w:hAnsi="Palatino Linotype"/>
          <w:lang w:val="es-ES_tradnl"/>
        </w:rPr>
        <w:t xml:space="preserve"> a efecto de decretar su admisión o desechamiento.</w:t>
      </w:r>
    </w:p>
    <w:p w:rsidR="00C86888" w:rsidRPr="00065FAA" w:rsidRDefault="00C86888" w:rsidP="00C86888">
      <w:pPr>
        <w:pStyle w:val="Default"/>
        <w:spacing w:line="360" w:lineRule="auto"/>
        <w:ind w:right="49"/>
        <w:jc w:val="both"/>
        <w:rPr>
          <w:rFonts w:ascii="Palatino Linotype" w:hAnsi="Palatino Linotype"/>
          <w:lang w:val="es-ES_tradnl"/>
        </w:rPr>
      </w:pPr>
    </w:p>
    <w:p w:rsidR="00C86888" w:rsidRPr="00065FAA" w:rsidRDefault="00C86888" w:rsidP="00C86888">
      <w:pPr>
        <w:pStyle w:val="Piedepgina"/>
        <w:spacing w:line="360" w:lineRule="auto"/>
        <w:jc w:val="both"/>
        <w:rPr>
          <w:rFonts w:ascii="Palatino Linotype" w:hAnsi="Palatino Linotype" w:cs="Arial"/>
        </w:rPr>
      </w:pPr>
      <w:r w:rsidRPr="00065FAA">
        <w:rPr>
          <w:rFonts w:ascii="Palatino Linotype" w:hAnsi="Palatino Linotype" w:cs="Arial"/>
          <w:b/>
          <w:sz w:val="28"/>
        </w:rPr>
        <w:t xml:space="preserve">VI. </w:t>
      </w:r>
      <w:r w:rsidRPr="00065FAA">
        <w:rPr>
          <w:rFonts w:ascii="Palatino Linotype" w:hAnsi="Palatino Linotype" w:cs="Arial"/>
        </w:rPr>
        <w:t>De las constancias del expediente electrónico del</w:t>
      </w:r>
      <w:r w:rsidRPr="00065FAA">
        <w:rPr>
          <w:rFonts w:ascii="Palatino Linotype" w:hAnsi="Palatino Linotype" w:cs="Arial"/>
          <w:b/>
        </w:rPr>
        <w:t xml:space="preserve"> SAIMEX</w:t>
      </w:r>
      <w:r w:rsidRPr="00065FAA">
        <w:rPr>
          <w:rFonts w:ascii="Palatino Linotype" w:hAnsi="Palatino Linotype" w:cs="Arial"/>
        </w:rPr>
        <w:t xml:space="preserve">, se advierte que en fecha doce de marzo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65FAA">
        <w:rPr>
          <w:rFonts w:ascii="Palatino Linotype" w:hAnsi="Palatino Linotype" w:cs="Arial"/>
          <w:b/>
        </w:rPr>
        <w:t xml:space="preserve">EL SUJETO OBLIGADO </w:t>
      </w:r>
      <w:r w:rsidRPr="00065FAA">
        <w:rPr>
          <w:rFonts w:ascii="Palatino Linotype" w:hAnsi="Palatino Linotype" w:cs="Arial"/>
        </w:rPr>
        <w:t>rindiera su</w:t>
      </w:r>
      <w:r w:rsidRPr="00065FAA">
        <w:rPr>
          <w:rFonts w:ascii="Palatino Linotype" w:hAnsi="Palatino Linotype" w:cs="Arial"/>
          <w:b/>
        </w:rPr>
        <w:t xml:space="preserve"> </w:t>
      </w:r>
      <w:r w:rsidRPr="00065FAA">
        <w:rPr>
          <w:rFonts w:ascii="Palatino Linotype" w:hAnsi="Palatino Linotype" w:cs="Arial"/>
        </w:rPr>
        <w:t>Informe Justificado.</w:t>
      </w:r>
    </w:p>
    <w:p w:rsidR="00C86888" w:rsidRPr="00065FAA" w:rsidRDefault="00C86888" w:rsidP="00C86888">
      <w:pPr>
        <w:pStyle w:val="Piedepgina"/>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lang w:val="es-ES"/>
        </w:rPr>
      </w:pPr>
      <w:r w:rsidRPr="00065FAA">
        <w:rPr>
          <w:rFonts w:ascii="Palatino Linotype" w:eastAsia="Arial Unicode MS" w:hAnsi="Palatino Linotype" w:cs="Arial"/>
          <w:b/>
          <w:sz w:val="28"/>
          <w:szCs w:val="28"/>
        </w:rPr>
        <w:t xml:space="preserve">VII. </w:t>
      </w:r>
      <w:r w:rsidRPr="00065FAA">
        <w:rPr>
          <w:rFonts w:ascii="Palatino Linotype" w:hAnsi="Palatino Linotype" w:cs="Arial"/>
          <w:lang w:val="es-ES"/>
        </w:rPr>
        <w:t>En cumplimiento a lo anterior, de las constancias del expediente electrónico del</w:t>
      </w:r>
      <w:r w:rsidRPr="00065FAA">
        <w:rPr>
          <w:rFonts w:ascii="Palatino Linotype" w:hAnsi="Palatino Linotype" w:cs="Arial"/>
          <w:b/>
          <w:lang w:val="es-ES"/>
        </w:rPr>
        <w:t xml:space="preserve"> SAIMEX</w:t>
      </w:r>
      <w:r w:rsidRPr="00065FAA">
        <w:rPr>
          <w:rFonts w:ascii="Palatino Linotype" w:hAnsi="Palatino Linotype" w:cs="Arial"/>
          <w:lang w:val="es-ES"/>
        </w:rPr>
        <w:t xml:space="preserve">, se advierte que </w:t>
      </w:r>
      <w:r w:rsidRPr="00065FAA">
        <w:rPr>
          <w:rFonts w:ascii="Palatino Linotype" w:hAnsi="Palatino Linotype" w:cs="Arial"/>
          <w:b/>
          <w:lang w:val="es-ES"/>
        </w:rPr>
        <w:t>EL RECURRENTE</w:t>
      </w:r>
      <w:r w:rsidRPr="00065FAA">
        <w:rPr>
          <w:rFonts w:ascii="Palatino Linotype" w:hAnsi="Palatino Linotype" w:cs="Arial"/>
          <w:lang w:val="es-ES"/>
        </w:rPr>
        <w:t xml:space="preserve"> fue omiso en realizar manifestaciones, alegatos y ofrecer las pruebas que a su derecho conviniera. Por su parte, </w:t>
      </w:r>
      <w:r w:rsidRPr="00065FAA">
        <w:rPr>
          <w:rFonts w:ascii="Palatino Linotype" w:hAnsi="Palatino Linotype" w:cs="Arial"/>
          <w:b/>
          <w:lang w:val="es-ES"/>
        </w:rPr>
        <w:t>EL SUJETO OBLIGADO</w:t>
      </w:r>
      <w:r w:rsidRPr="00065FAA">
        <w:rPr>
          <w:rFonts w:ascii="Palatino Linotype" w:hAnsi="Palatino Linotype" w:cs="Arial"/>
          <w:lang w:val="es-ES"/>
        </w:rPr>
        <w:t xml:space="preserve"> de igual forma, fue omiso en presentar el Informe Justificado correspondiente, como se aprecia de la siguiente imagen: </w:t>
      </w:r>
    </w:p>
    <w:p w:rsidR="00C86888" w:rsidRPr="00065FAA" w:rsidRDefault="00C86888" w:rsidP="00C86888">
      <w:pPr>
        <w:spacing w:line="360" w:lineRule="auto"/>
        <w:jc w:val="both"/>
        <w:rPr>
          <w:rFonts w:ascii="Palatino Linotype" w:hAnsi="Palatino Linotype" w:cs="Arial"/>
          <w:lang w:val="es-ES"/>
        </w:rPr>
      </w:pPr>
      <w:r w:rsidRPr="00065FAA">
        <w:rPr>
          <w:noProof/>
          <w:lang w:eastAsia="es-MX"/>
        </w:rPr>
        <w:drawing>
          <wp:inline distT="0" distB="0" distL="0" distR="0">
            <wp:extent cx="5791835" cy="17969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529" cy="1800530"/>
                    </a:xfrm>
                    <a:prstGeom prst="rect">
                      <a:avLst/>
                    </a:prstGeom>
                  </pic:spPr>
                </pic:pic>
              </a:graphicData>
            </a:graphic>
          </wp:inline>
        </w:drawing>
      </w:r>
    </w:p>
    <w:p w:rsidR="00C86888" w:rsidRPr="00065FAA" w:rsidRDefault="00C86888" w:rsidP="00C86888">
      <w:pPr>
        <w:spacing w:line="360" w:lineRule="auto"/>
        <w:jc w:val="both"/>
        <w:rPr>
          <w:rFonts w:ascii="Palatino Linotype" w:hAnsi="Palatino Linotype"/>
        </w:rPr>
      </w:pPr>
      <w:r w:rsidRPr="00065FAA">
        <w:rPr>
          <w:rFonts w:ascii="Palatino Linotype" w:hAnsi="Palatino Linotype"/>
          <w:b/>
          <w:sz w:val="28"/>
          <w:szCs w:val="28"/>
        </w:rPr>
        <w:lastRenderedPageBreak/>
        <w:t xml:space="preserve">VIII. </w:t>
      </w:r>
      <w:r w:rsidRPr="00065FAA">
        <w:rPr>
          <w:rFonts w:ascii="Palatino Linotype" w:hAnsi="Palatino Linotype"/>
        </w:rPr>
        <w:t xml:space="preserve">Una vez analizado el estado procesal que guarda el expediente, en fecha cinco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 </w:t>
      </w:r>
    </w:p>
    <w:p w:rsidR="00C86888" w:rsidRPr="00065FAA" w:rsidRDefault="00C86888" w:rsidP="00C86888">
      <w:pPr>
        <w:jc w:val="center"/>
        <w:rPr>
          <w:rFonts w:ascii="Palatino Linotype" w:hAnsi="Palatino Linotype"/>
          <w:b/>
          <w:bCs/>
          <w:spacing w:val="40"/>
          <w:sz w:val="28"/>
        </w:rPr>
      </w:pPr>
    </w:p>
    <w:p w:rsidR="00C86888" w:rsidRPr="00065FAA" w:rsidRDefault="00C86888" w:rsidP="00C86888">
      <w:pPr>
        <w:jc w:val="center"/>
        <w:rPr>
          <w:rFonts w:ascii="Palatino Linotype" w:hAnsi="Palatino Linotype"/>
          <w:b/>
          <w:bCs/>
          <w:spacing w:val="40"/>
          <w:sz w:val="28"/>
        </w:rPr>
      </w:pPr>
      <w:r w:rsidRPr="00065FAA">
        <w:rPr>
          <w:rFonts w:ascii="Palatino Linotype" w:hAnsi="Palatino Linotype"/>
          <w:b/>
          <w:bCs/>
          <w:spacing w:val="40"/>
          <w:sz w:val="28"/>
        </w:rPr>
        <w:t>CONSIDERANDO</w:t>
      </w:r>
    </w:p>
    <w:p w:rsidR="00C86888" w:rsidRPr="00065FAA" w:rsidRDefault="00C86888" w:rsidP="00C86888">
      <w:pPr>
        <w:jc w:val="center"/>
        <w:rPr>
          <w:rFonts w:ascii="Palatino Linotype" w:hAnsi="Palatino Linotype"/>
          <w:b/>
          <w:bCs/>
          <w:spacing w:val="40"/>
          <w:sz w:val="28"/>
        </w:rPr>
      </w:pPr>
    </w:p>
    <w:p w:rsidR="00C86888" w:rsidRPr="00065FAA" w:rsidRDefault="00C86888" w:rsidP="00C86888">
      <w:pPr>
        <w:spacing w:line="360" w:lineRule="auto"/>
        <w:ind w:right="50"/>
        <w:jc w:val="both"/>
        <w:rPr>
          <w:rFonts w:ascii="Palatino Linotype" w:hAnsi="Palatino Linotype" w:cs="Arial"/>
          <w:b/>
        </w:rPr>
      </w:pPr>
      <w:r w:rsidRPr="00065FAA">
        <w:rPr>
          <w:rFonts w:ascii="Palatino Linotype" w:hAnsi="Palatino Linotype"/>
          <w:b/>
          <w:sz w:val="28"/>
          <w:szCs w:val="28"/>
        </w:rPr>
        <w:t>PRIMERO</w:t>
      </w:r>
      <w:r w:rsidRPr="00065FAA">
        <w:rPr>
          <w:rFonts w:ascii="Palatino Linotype" w:hAnsi="Palatino Linotype"/>
          <w:b/>
        </w:rPr>
        <w:t>.</w:t>
      </w:r>
      <w:r w:rsidRPr="00065FAA">
        <w:rPr>
          <w:rFonts w:ascii="Palatino Linotype" w:hAnsi="Palatino Linotype"/>
        </w:rPr>
        <w:t xml:space="preserve"> </w:t>
      </w:r>
      <w:r w:rsidRPr="00065FAA">
        <w:rPr>
          <w:rFonts w:ascii="Palatino Linotype" w:hAnsi="Palatino Linotype"/>
          <w:b/>
        </w:rPr>
        <w:t>Competencia</w:t>
      </w:r>
      <w:r w:rsidRPr="00065FAA">
        <w:rPr>
          <w:rFonts w:ascii="Palatino Linotype" w:hAnsi="Palatino Linotype"/>
        </w:rPr>
        <w:t>.</w:t>
      </w:r>
      <w:r w:rsidRPr="00065FAA">
        <w:rPr>
          <w:rFonts w:ascii="Palatino Linotype" w:hAnsi="Palatino Linotype"/>
          <w:b/>
        </w:rPr>
        <w:t xml:space="preserve"> </w:t>
      </w:r>
      <w:r w:rsidRPr="00065FAA">
        <w:rPr>
          <w:rFonts w:ascii="Palatino Linotype" w:hAnsi="Palatino Linotype"/>
        </w:rPr>
        <w:t xml:space="preserve">Este Instituto de </w:t>
      </w:r>
      <w:r w:rsidRPr="00065FAA">
        <w:rPr>
          <w:rFonts w:ascii="Palatino Linotype" w:hAnsi="Palatino Linotype" w:cs="Arial"/>
        </w:rPr>
        <w:t>Transparencia</w:t>
      </w:r>
      <w:r w:rsidRPr="00065FA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065FAA">
        <w:rPr>
          <w:rFonts w:ascii="Palatino Linotype" w:eastAsia="Calibri" w:hAnsi="Palatino Linotype" w:cs="Arial"/>
        </w:rPr>
        <w:t xml:space="preserve">párrafos </w:t>
      </w:r>
      <w:r w:rsidRPr="00065FAA">
        <w:rPr>
          <w:rFonts w:ascii="Palatino Linotype" w:hAnsi="Palatino Linotype"/>
        </w:rPr>
        <w:t xml:space="preserve">vigésimo </w:t>
      </w:r>
      <w:r w:rsidRPr="00065FAA">
        <w:rPr>
          <w:rFonts w:ascii="Palatino Linotype" w:hAnsi="Palatino Linotype" w:cs="Arial"/>
        </w:rPr>
        <w:t>segundo,</w:t>
      </w:r>
      <w:r w:rsidRPr="00065FAA">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65FA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86888" w:rsidRPr="00065FAA" w:rsidRDefault="00C86888" w:rsidP="00C86888">
      <w:pPr>
        <w:spacing w:line="360" w:lineRule="auto"/>
        <w:jc w:val="both"/>
        <w:rPr>
          <w:rFonts w:ascii="Palatino Linotype" w:hAnsi="Palatino Linotype" w:cs="Arial"/>
          <w:b/>
        </w:rPr>
      </w:pPr>
    </w:p>
    <w:p w:rsidR="00C86888" w:rsidRPr="00065FAA" w:rsidRDefault="00C86888" w:rsidP="00C86888">
      <w:pPr>
        <w:spacing w:line="360" w:lineRule="auto"/>
        <w:jc w:val="both"/>
        <w:rPr>
          <w:rFonts w:ascii="Palatino Linotype" w:hAnsi="Palatino Linotype" w:cs="Arial"/>
          <w:b/>
          <w:snapToGrid w:val="0"/>
        </w:rPr>
      </w:pPr>
      <w:r w:rsidRPr="00065FAA">
        <w:rPr>
          <w:rFonts w:ascii="Palatino Linotype" w:hAnsi="Palatino Linotype" w:cs="Arial"/>
          <w:b/>
          <w:sz w:val="28"/>
        </w:rPr>
        <w:t>SEGUNDO</w:t>
      </w:r>
      <w:r w:rsidRPr="00065FAA">
        <w:rPr>
          <w:rFonts w:ascii="Palatino Linotype" w:hAnsi="Palatino Linotype" w:cs="Arial"/>
          <w:b/>
        </w:rPr>
        <w:t xml:space="preserve">. Interés. </w:t>
      </w:r>
      <w:r w:rsidRPr="00065FAA">
        <w:rPr>
          <w:rFonts w:ascii="Palatino Linotype" w:hAnsi="Palatino Linotype" w:cs="Arial"/>
          <w:bCs/>
        </w:rPr>
        <w:t xml:space="preserve">El recurso de revisión fue interpuesto por parte legítima, en atención a que se presentó por </w:t>
      </w:r>
      <w:r w:rsidRPr="00065FAA">
        <w:rPr>
          <w:rFonts w:ascii="Palatino Linotype" w:hAnsi="Palatino Linotype" w:cs="Arial"/>
          <w:b/>
          <w:bCs/>
        </w:rPr>
        <w:t>EL RECURRENTE,</w:t>
      </w:r>
      <w:r w:rsidRPr="00065FAA">
        <w:rPr>
          <w:rFonts w:ascii="Palatino Linotype" w:hAnsi="Palatino Linotype" w:cs="Arial"/>
          <w:bCs/>
        </w:rPr>
        <w:t xml:space="preserve"> quien es la misma persona que formuló la solicitud de acceso a la información pública al </w:t>
      </w:r>
      <w:r w:rsidRPr="00065FAA">
        <w:rPr>
          <w:rFonts w:ascii="Palatino Linotype" w:hAnsi="Palatino Linotype" w:cs="Arial"/>
          <w:b/>
          <w:bCs/>
        </w:rPr>
        <w:t>SUJETO OBLIGADO.</w:t>
      </w:r>
    </w:p>
    <w:p w:rsidR="00C86888" w:rsidRPr="00065FAA" w:rsidRDefault="00C86888" w:rsidP="00C86888">
      <w:pPr>
        <w:pStyle w:val="Prrafodelista"/>
        <w:autoSpaceDE w:val="0"/>
        <w:autoSpaceDN w:val="0"/>
        <w:adjustRightInd w:val="0"/>
        <w:spacing w:line="360" w:lineRule="auto"/>
        <w:ind w:left="0" w:right="49"/>
        <w:jc w:val="both"/>
        <w:rPr>
          <w:rFonts w:ascii="Palatino Linotype" w:hAnsi="Palatino Linotype" w:cs="Arial"/>
        </w:rPr>
      </w:pPr>
      <w:r w:rsidRPr="00065FAA">
        <w:rPr>
          <w:rFonts w:ascii="Palatino Linotype" w:hAnsi="Palatino Linotype" w:cs="Arial"/>
          <w:b/>
          <w:sz w:val="28"/>
          <w:szCs w:val="28"/>
        </w:rPr>
        <w:lastRenderedPageBreak/>
        <w:t xml:space="preserve">TERCERO. </w:t>
      </w:r>
      <w:r w:rsidRPr="00065FAA">
        <w:rPr>
          <w:rFonts w:ascii="Palatino Linotype" w:hAnsi="Palatino Linotype" w:cs="Arial"/>
          <w:b/>
        </w:rPr>
        <w:t xml:space="preserve">Oportunidad. </w:t>
      </w:r>
      <w:r w:rsidRPr="00065FAA">
        <w:rPr>
          <w:rFonts w:ascii="Palatino Linotype" w:hAnsi="Palatino Linotype" w:cs="Arial"/>
        </w:rPr>
        <w:t xml:space="preserve">El recurso de revisión fue interpuesto dentro del plazo de quince días hábiles contados a partir del día siguiente al en que </w:t>
      </w:r>
      <w:r w:rsidRPr="00065FAA">
        <w:rPr>
          <w:rFonts w:ascii="Palatino Linotype" w:hAnsi="Palatino Linotype" w:cs="Arial"/>
          <w:b/>
        </w:rPr>
        <w:t xml:space="preserve">EL RECURRENTE </w:t>
      </w:r>
      <w:r w:rsidRPr="00065FA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86888" w:rsidRPr="00065FAA" w:rsidRDefault="00C86888" w:rsidP="00C86888">
      <w:pPr>
        <w:ind w:left="851" w:right="902"/>
        <w:jc w:val="both"/>
        <w:rPr>
          <w:rFonts w:ascii="Palatino Linotype" w:eastAsiaTheme="minorEastAsia" w:hAnsi="Palatino Linotype" w:cs="Arial"/>
          <w:szCs w:val="20"/>
          <w:lang w:val="es-ES_tradnl"/>
        </w:rPr>
      </w:pPr>
    </w:p>
    <w:p w:rsidR="00C86888" w:rsidRPr="00065FAA" w:rsidRDefault="00C86888" w:rsidP="00C86888">
      <w:pPr>
        <w:tabs>
          <w:tab w:val="left" w:pos="851"/>
        </w:tabs>
        <w:ind w:left="851" w:right="901"/>
        <w:jc w:val="both"/>
        <w:rPr>
          <w:rFonts w:ascii="Palatino Linotype" w:eastAsiaTheme="minorEastAsia" w:hAnsi="Palatino Linotype" w:cs="Arial"/>
          <w:i/>
          <w:sz w:val="22"/>
          <w:szCs w:val="22"/>
          <w:lang w:val="es-ES_tradnl"/>
        </w:rPr>
      </w:pPr>
      <w:r w:rsidRPr="00065FAA">
        <w:rPr>
          <w:rFonts w:ascii="Palatino Linotype" w:eastAsiaTheme="minorEastAsia" w:hAnsi="Palatino Linotype" w:cs="Arial"/>
          <w:b/>
          <w:i/>
          <w:sz w:val="22"/>
          <w:szCs w:val="22"/>
          <w:lang w:val="es-ES_tradnl"/>
        </w:rPr>
        <w:t>“Artículo 178.</w:t>
      </w:r>
      <w:r w:rsidRPr="00065FA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6888" w:rsidRPr="00065FAA" w:rsidRDefault="00C86888" w:rsidP="00C86888">
      <w:pPr>
        <w:tabs>
          <w:tab w:val="left" w:pos="851"/>
        </w:tabs>
        <w:ind w:left="851" w:right="901"/>
        <w:jc w:val="both"/>
        <w:rPr>
          <w:rFonts w:ascii="Palatino Linotype" w:eastAsiaTheme="minorEastAsia" w:hAnsi="Palatino Linotype" w:cs="Arial"/>
          <w:i/>
          <w:sz w:val="22"/>
          <w:szCs w:val="22"/>
          <w:lang w:val="es-ES_tradnl"/>
        </w:rPr>
      </w:pPr>
      <w:r w:rsidRPr="00065FA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86888" w:rsidRPr="00065FAA" w:rsidRDefault="00C86888" w:rsidP="00C86888">
      <w:pPr>
        <w:tabs>
          <w:tab w:val="left" w:pos="851"/>
        </w:tabs>
        <w:ind w:left="851" w:right="901"/>
        <w:jc w:val="both"/>
        <w:rPr>
          <w:rFonts w:ascii="Palatino Linotype" w:eastAsiaTheme="minorEastAsia" w:hAnsi="Palatino Linotype" w:cs="Arial"/>
          <w:i/>
          <w:sz w:val="22"/>
          <w:szCs w:val="22"/>
          <w:lang w:val="es-ES_tradnl"/>
        </w:rPr>
      </w:pPr>
      <w:r w:rsidRPr="00065FA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065FAA">
        <w:rPr>
          <w:rFonts w:ascii="Palatino Linotype" w:eastAsiaTheme="minorEastAsia" w:hAnsi="Palatino Linotype" w:cs="Arial"/>
          <w:b/>
          <w:i/>
          <w:sz w:val="22"/>
          <w:szCs w:val="22"/>
          <w:lang w:val="es-ES_tradnl"/>
        </w:rPr>
        <w:t>”</w:t>
      </w:r>
    </w:p>
    <w:p w:rsidR="00C86888" w:rsidRPr="00065FAA" w:rsidRDefault="00C86888" w:rsidP="00C86888">
      <w:pPr>
        <w:ind w:left="851" w:right="902"/>
        <w:jc w:val="both"/>
        <w:rPr>
          <w:rFonts w:ascii="Palatino Linotype" w:eastAsiaTheme="minorEastAsia" w:hAnsi="Palatino Linotype" w:cs="Arial"/>
          <w:szCs w:val="20"/>
          <w:lang w:val="es-ES_tradnl"/>
        </w:rPr>
      </w:pPr>
    </w:p>
    <w:p w:rsidR="00C86888" w:rsidRPr="00065FAA" w:rsidRDefault="00C86888" w:rsidP="00C86888">
      <w:pPr>
        <w:spacing w:line="360" w:lineRule="auto"/>
        <w:jc w:val="both"/>
        <w:rPr>
          <w:rFonts w:ascii="Palatino Linotype" w:hAnsi="Palatino Linotype" w:cs="Arial"/>
        </w:rPr>
      </w:pPr>
      <w:r w:rsidRPr="00065FAA">
        <w:rPr>
          <w:rFonts w:ascii="Palatino Linotype" w:eastAsiaTheme="minorEastAsia" w:hAnsi="Palatino Linotype" w:cs="Arial"/>
          <w:lang w:val="es-ES_tradnl"/>
        </w:rPr>
        <w:t xml:space="preserve">En efecto, atendiendo a que </w:t>
      </w:r>
      <w:r w:rsidRPr="00065FAA">
        <w:rPr>
          <w:rFonts w:ascii="Palatino Linotype" w:eastAsiaTheme="minorEastAsia" w:hAnsi="Palatino Linotype" w:cs="Arial"/>
          <w:b/>
          <w:lang w:val="es-ES_tradnl"/>
        </w:rPr>
        <w:t>EL SUJETO OBLIGADO</w:t>
      </w:r>
      <w:r w:rsidRPr="00065FAA">
        <w:rPr>
          <w:rFonts w:ascii="Palatino Linotype" w:eastAsiaTheme="minorEastAsia" w:hAnsi="Palatino Linotype" w:cs="Arial"/>
          <w:lang w:val="es-ES_tradnl"/>
        </w:rPr>
        <w:t xml:space="preserve"> notificó la respuesta a la solicitud de información pública el </w:t>
      </w:r>
      <w:r w:rsidRPr="00065FAA">
        <w:rPr>
          <w:rFonts w:ascii="Palatino Linotype" w:eastAsiaTheme="minorEastAsia" w:hAnsi="Palatino Linotype" w:cs="Arial"/>
          <w:b/>
          <w:lang w:val="es-ES_tradnl"/>
        </w:rPr>
        <w:t xml:space="preserve">dos de marzo de dos mil veinte; </w:t>
      </w:r>
      <w:r w:rsidRPr="00065FAA">
        <w:rPr>
          <w:rFonts w:ascii="Palatino Linotype" w:hAnsi="Palatino Linotype" w:cs="Arial"/>
        </w:rPr>
        <w:t>en consecuencia, el plazo de quince días hábiles que el artículo 178 de la ley de la materia otorga al</w:t>
      </w:r>
      <w:r w:rsidRPr="00065FAA">
        <w:rPr>
          <w:rFonts w:ascii="Palatino Linotype" w:hAnsi="Palatino Linotype" w:cs="Arial"/>
          <w:b/>
        </w:rPr>
        <w:t xml:space="preserve"> RECURRENTE</w:t>
      </w:r>
      <w:r w:rsidRPr="00065FAA">
        <w:rPr>
          <w:rFonts w:ascii="Palatino Linotype" w:hAnsi="Palatino Linotype" w:cs="Arial"/>
        </w:rPr>
        <w:t xml:space="preserve"> para presentar el recurso de revisión, transcurrió del </w:t>
      </w:r>
      <w:r w:rsidRPr="00065FAA">
        <w:rPr>
          <w:rFonts w:ascii="Palatino Linotype" w:hAnsi="Palatino Linotype" w:cs="Arial"/>
          <w:b/>
        </w:rPr>
        <w:t>tres al veinticuatro de marzo de dos mil veinte</w:t>
      </w:r>
      <w:r w:rsidRPr="00065FAA">
        <w:rPr>
          <w:rFonts w:ascii="Palatino Linotype" w:hAnsi="Palatino Linotype" w:cs="Arial"/>
        </w:rPr>
        <w:t xml:space="preserve">, sin contemplar en el cómputo los días siete, ocho, catorce, quince, veintiuno y veintidós de marzo de dos mil veinte, por corresponder a sábados y domingos, considerados como días inhábiles; en términos del artículo 3, fracción X de la </w:t>
      </w:r>
      <w:r w:rsidRPr="00065FAA">
        <w:rPr>
          <w:rFonts w:ascii="Palatino Linotype" w:hAnsi="Palatino Linotype"/>
        </w:rPr>
        <w:t>Ley de Transparencia y Acceso a la Información Pública del Estado de México y Municipios</w:t>
      </w:r>
      <w:r w:rsidRPr="00065FAA">
        <w:rPr>
          <w:rFonts w:ascii="Palatino Linotype" w:hAnsi="Palatino Linotype" w:cs="Arial"/>
        </w:rPr>
        <w:t xml:space="preserve">; así como, los días dos y dieciséis de marzo de dos mil veinte, por ser considerados como días inhábiles por suspensión de </w:t>
      </w:r>
      <w:r w:rsidRPr="00065FAA">
        <w:rPr>
          <w:rFonts w:ascii="Palatino Linotype" w:hAnsi="Palatino Linotype" w:cs="Arial"/>
        </w:rPr>
        <w:lastRenderedPageBreak/>
        <w:t>labores, en términos del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86888" w:rsidRPr="00065FAA" w:rsidRDefault="00C86888" w:rsidP="00C86888">
      <w:pPr>
        <w:spacing w:line="360" w:lineRule="auto"/>
        <w:jc w:val="both"/>
        <w:rPr>
          <w:rFonts w:ascii="Palatino Linotype" w:eastAsiaTheme="minorEastAsia" w:hAnsi="Palatino Linotype" w:cs="Arial"/>
          <w:b/>
          <w:lang w:val="es-ES_tradnl"/>
        </w:rPr>
      </w:pPr>
    </w:p>
    <w:p w:rsidR="00C86888" w:rsidRPr="00065FAA" w:rsidRDefault="00C86888" w:rsidP="00C86888">
      <w:pPr>
        <w:spacing w:line="360" w:lineRule="auto"/>
        <w:jc w:val="both"/>
        <w:rPr>
          <w:rFonts w:ascii="Palatino Linotype" w:eastAsiaTheme="minorEastAsia" w:hAnsi="Palatino Linotype" w:cs="Arial"/>
          <w:lang w:val="es-ES_tradnl"/>
        </w:rPr>
      </w:pPr>
      <w:r w:rsidRPr="00065FAA">
        <w:rPr>
          <w:rFonts w:ascii="Palatino Linotype" w:eastAsiaTheme="minorEastAsia" w:hAnsi="Palatino Linotype" w:cs="Arial"/>
          <w:lang w:val="es-ES_tradnl"/>
        </w:rPr>
        <w:t>En ese tenor, si el recurso de revisión que nos ocupa, se interpuso el</w:t>
      </w:r>
      <w:r w:rsidRPr="00065FAA">
        <w:rPr>
          <w:rFonts w:ascii="Palatino Linotype" w:eastAsiaTheme="minorEastAsia" w:hAnsi="Palatino Linotype" w:cs="Arial"/>
          <w:b/>
          <w:lang w:val="es-ES_tradnl"/>
        </w:rPr>
        <w:t xml:space="preserve"> cinco de marzo de dos mil veinte,</w:t>
      </w:r>
      <w:r w:rsidRPr="00065FA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C86888" w:rsidRPr="00065FAA" w:rsidRDefault="00C86888" w:rsidP="00C86888">
      <w:pPr>
        <w:pStyle w:val="Prrafodelista"/>
        <w:autoSpaceDE w:val="0"/>
        <w:autoSpaceDN w:val="0"/>
        <w:adjustRightInd w:val="0"/>
        <w:spacing w:line="360" w:lineRule="auto"/>
        <w:ind w:left="0" w:right="49"/>
        <w:jc w:val="both"/>
        <w:rPr>
          <w:rFonts w:ascii="Palatino Linotype" w:hAnsi="Palatino Linotype" w:cs="Arial"/>
          <w:b/>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lang w:val="es-ES"/>
        </w:rPr>
      </w:pPr>
      <w:r w:rsidRPr="00065FAA">
        <w:rPr>
          <w:rFonts w:ascii="Palatino Linotype" w:hAnsi="Palatino Linotype"/>
          <w:b/>
          <w:sz w:val="28"/>
          <w:szCs w:val="20"/>
          <w:lang w:val="es-ES_tradnl"/>
        </w:rPr>
        <w:t xml:space="preserve">CUARTO. </w:t>
      </w:r>
      <w:r w:rsidRPr="00065FAA">
        <w:rPr>
          <w:rFonts w:ascii="Palatino Linotype" w:hAnsi="Palatino Linotype"/>
          <w:b/>
        </w:rPr>
        <w:t xml:space="preserve">Procedibilidad. </w:t>
      </w:r>
      <w:r w:rsidRPr="00065FAA">
        <w:rPr>
          <w:rFonts w:ascii="Palatino Linotype" w:hAnsi="Palatino Linotype" w:cs="Arial"/>
          <w:lang w:val="es-ES"/>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065FAA">
        <w:rPr>
          <w:rFonts w:ascii="Palatino Linotype" w:hAnsi="Palatino Linotype" w:cs="Arial"/>
          <w:b/>
          <w:lang w:val="es-ES"/>
        </w:rPr>
        <w:t>SAIMEX</w:t>
      </w:r>
      <w:r w:rsidRPr="00065FAA">
        <w:rPr>
          <w:rFonts w:ascii="Palatino Linotype" w:hAnsi="Palatino Linotype" w:cs="Arial"/>
          <w:lang w:val="es-ES"/>
        </w:rPr>
        <w:t>.</w:t>
      </w:r>
    </w:p>
    <w:p w:rsidR="00C86888" w:rsidRPr="00065FAA" w:rsidRDefault="00C86888" w:rsidP="00C86888">
      <w:pPr>
        <w:autoSpaceDE w:val="0"/>
        <w:autoSpaceDN w:val="0"/>
        <w:adjustRightInd w:val="0"/>
        <w:spacing w:line="360" w:lineRule="auto"/>
        <w:ind w:right="49"/>
        <w:jc w:val="both"/>
        <w:rPr>
          <w:rFonts w:ascii="Palatino Linotype" w:hAnsi="Palatino Linotype"/>
          <w:lang w:val="es-ES"/>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b/>
          <w:sz w:val="28"/>
          <w:szCs w:val="28"/>
        </w:rPr>
        <w:t>QUINTO</w:t>
      </w:r>
      <w:r w:rsidRPr="00065FAA">
        <w:rPr>
          <w:rFonts w:ascii="Palatino Linotype" w:hAnsi="Palatino Linotype" w:cs="Arial"/>
          <w:b/>
        </w:rPr>
        <w:t xml:space="preserve">. </w:t>
      </w:r>
      <w:r w:rsidRPr="00065FAA">
        <w:rPr>
          <w:rFonts w:ascii="Palatino Linotype" w:eastAsiaTheme="minorEastAsia" w:hAnsi="Palatino Linotype" w:cs="Arial"/>
          <w:b/>
          <w:lang w:val="es-ES_tradnl"/>
        </w:rPr>
        <w:t>Estudio y resolución del asunto</w:t>
      </w:r>
      <w:r w:rsidRPr="00065FAA">
        <w:rPr>
          <w:rFonts w:ascii="Palatino Linotype" w:eastAsiaTheme="minorEastAsia" w:hAnsi="Palatino Linotype" w:cstheme="minorBidi"/>
          <w:b/>
          <w:lang w:val="es-ES_tradnl"/>
        </w:rPr>
        <w:t xml:space="preserve">. </w:t>
      </w:r>
      <w:r w:rsidRPr="00065FAA">
        <w:rPr>
          <w:rFonts w:ascii="Palatino Linotype" w:hAnsi="Palatino Linotype" w:cs="Arial"/>
        </w:rPr>
        <w:t xml:space="preserve">Una vez determinada la vía sobre la que versará el presente recurso, y previa revisión del expediente electrónico formado en </w:t>
      </w:r>
      <w:r w:rsidRPr="00065FAA">
        <w:rPr>
          <w:rFonts w:ascii="Palatino Linotype" w:hAnsi="Palatino Linotype" w:cs="Arial"/>
          <w:b/>
        </w:rPr>
        <w:t>EL SAIMEX</w:t>
      </w:r>
      <w:r w:rsidRPr="00065FA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w:t>
      </w:r>
      <w:r w:rsidRPr="00065FAA">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C86888" w:rsidRPr="00065FAA" w:rsidRDefault="00C86888" w:rsidP="00C86888">
      <w:pPr>
        <w:autoSpaceDE w:val="0"/>
        <w:autoSpaceDN w:val="0"/>
        <w:adjustRightInd w:val="0"/>
        <w:spacing w:line="360" w:lineRule="auto"/>
        <w:ind w:right="49"/>
        <w:jc w:val="both"/>
        <w:rPr>
          <w:rFonts w:ascii="Palatino Linotype" w:hAnsi="Palatino Linotype" w:cs="Arial"/>
          <w:color w:val="000000" w:themeColor="text1"/>
          <w:lang w:val="es-ES"/>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Una vez precisado lo anterior, es conveniente recordar que el particular solicitó de diversos servidores públicos del Ayuntamiento, como lo son la Contralora Municipal, Director de Obras, Secretario Técnico, Tesorero Municipal, Subdirector de Obras, Subdirector de Desarrollo Urbano, Subdirector de Vialidad, Jefe de Departamento de Parques y Jardines, Jefe de Departamento de Permisos Semifijos, Jefe de Departamento de Presupuestos Caja General, Departamento de Legislación y Difusión, Subdirección de Adquisiciones y Contratación de Servicios, Departamento de Participación Comunitario, Departamento de Atención a la Juventud y Departamento de Tenencia de la Tierra, la información siguiente: </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Fecha de toma del cargo de los servidores públicos referidos,  </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Nombramiento de cada uno de ellos,</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Acta entrega recepción, </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Currículum Vitae </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Certificado solo de los servidores públicos a los que la ley orgánica obliga a contar con este; y, </w:t>
      </w:r>
    </w:p>
    <w:p w:rsidR="00C86888" w:rsidRPr="00065FAA" w:rsidRDefault="00C86888" w:rsidP="00974234">
      <w:pPr>
        <w:pStyle w:val="Prrafodelista"/>
        <w:numPr>
          <w:ilvl w:val="0"/>
          <w:numId w:val="3"/>
        </w:num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Actas administrativas que se hubieran realizado a dichos servidores públicos.</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Al respecto, el Servidor Público Habilitado de la Dirección de Administración, comunicó que dicha información podía ser consultada en la página electrónica </w:t>
      </w:r>
      <w:hyperlink r:id="rId12" w:history="1">
        <w:r w:rsidRPr="00065FAA">
          <w:rPr>
            <w:rStyle w:val="Hipervnculo"/>
            <w:rFonts w:ascii="Palatino Linotype" w:hAnsi="Palatino Linotype" w:cs="Arial"/>
          </w:rPr>
          <w:t>http://www.metepec.gob.mx/pagina/index.php</w:t>
        </w:r>
      </w:hyperlink>
      <w:r w:rsidRPr="00065FAA">
        <w:rPr>
          <w:rFonts w:ascii="Palatino Linotype" w:hAnsi="Palatino Linotype" w:cs="Arial"/>
        </w:rPr>
        <w:t>, en la sección de transparencia fracción 2018 y posteriores y fracción XXII; asimismo, informó que enviaba en formato digital nombramiento y currículum vitae de los servidores públicos, testando en ellos datos personales como fotografía, dirección, teléfono, correo electrónico, fecha de nacimiento, CURP, RFC y estado civil por considerarse como información confidencial.</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cs="Arial"/>
        </w:rPr>
        <w:t xml:space="preserve">Inconforme con dicha respuesta, el hoy </w:t>
      </w:r>
      <w:r w:rsidRPr="00065FAA">
        <w:rPr>
          <w:rFonts w:ascii="Palatino Linotype" w:hAnsi="Palatino Linotype" w:cs="Arial"/>
          <w:b/>
        </w:rPr>
        <w:t>RECURRENTE</w:t>
      </w:r>
      <w:r w:rsidRPr="00065FAA">
        <w:rPr>
          <w:rFonts w:ascii="Palatino Linotype" w:hAnsi="Palatino Linotype" w:cs="Arial"/>
        </w:rPr>
        <w:t xml:space="preserve"> </w:t>
      </w:r>
      <w:r w:rsidRPr="00065FAA">
        <w:rPr>
          <w:rFonts w:ascii="Palatino Linotype" w:hAnsi="Palatino Linotype"/>
        </w:rPr>
        <w:t>interpuso el recurso de revisión que nos ocupa, señalando para ello que la respuesta le resultaba incompleta.</w:t>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rPr>
        <w:t xml:space="preserve">Bajo ese orden de ideas y de las constancias que obran en el expediente electrónico del </w:t>
      </w:r>
      <w:r w:rsidRPr="00065FAA">
        <w:rPr>
          <w:rFonts w:ascii="Palatino Linotype" w:hAnsi="Palatino Linotype"/>
          <w:b/>
        </w:rPr>
        <w:t>SAIMEX,</w:t>
      </w:r>
      <w:r w:rsidRPr="00065FAA">
        <w:rPr>
          <w:rFonts w:ascii="Palatino Linotype" w:hAnsi="Palatino Linotype"/>
        </w:rPr>
        <w:t xml:space="preserve"> se advierte que </w:t>
      </w:r>
      <w:r w:rsidRPr="00065FAA">
        <w:rPr>
          <w:rFonts w:ascii="Palatino Linotype" w:hAnsi="Palatino Linotype"/>
          <w:b/>
        </w:rPr>
        <w:t>EL RECURRENTE</w:t>
      </w:r>
      <w:r w:rsidRPr="00065FAA">
        <w:rPr>
          <w:rFonts w:ascii="Palatino Linotype" w:hAnsi="Palatino Linotype"/>
        </w:rPr>
        <w:t xml:space="preserve"> fue omiso en realizar manifestaciones o presentar pruebas que a su derecho conviniera; por su parte </w:t>
      </w:r>
      <w:r w:rsidRPr="00065FAA">
        <w:rPr>
          <w:rFonts w:ascii="Palatino Linotype" w:hAnsi="Palatino Linotype"/>
          <w:b/>
        </w:rPr>
        <w:t>EL SUJETO OBLIGADO</w:t>
      </w:r>
      <w:r w:rsidRPr="00065FAA">
        <w:rPr>
          <w:rFonts w:ascii="Palatino Linotype" w:hAnsi="Palatino Linotype"/>
        </w:rPr>
        <w:t xml:space="preserve"> de igual forma, fue omiso en presentar el Informe Justificado correspondiente. </w:t>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rPr>
        <w:t xml:space="preserve">Una vez precisado lo anterior, se procede al análisis de la totalidad de las constancias que integran el expediente electrónico del </w:t>
      </w:r>
      <w:r w:rsidRPr="00065FAA">
        <w:rPr>
          <w:rFonts w:ascii="Palatino Linotype" w:hAnsi="Palatino Linotype"/>
          <w:b/>
        </w:rPr>
        <w:t>SAIMEX</w:t>
      </w:r>
      <w:r w:rsidRPr="00065FAA">
        <w:rPr>
          <w:rFonts w:ascii="Palatino Linotype" w:hAnsi="Palatino Linotype"/>
        </w:rPr>
        <w:t xml:space="preserve">, a efecto de determinar si con la información remitida por </w:t>
      </w:r>
      <w:r w:rsidRPr="00065FAA">
        <w:rPr>
          <w:rFonts w:ascii="Palatino Linotype" w:hAnsi="Palatino Linotype"/>
          <w:b/>
        </w:rPr>
        <w:t>EL SUJETO OBLIGADO</w:t>
      </w:r>
      <w:r w:rsidRPr="00065FAA">
        <w:rPr>
          <w:rFonts w:ascii="Palatino Linotype" w:hAnsi="Palatino Linotype"/>
        </w:rPr>
        <w:t xml:space="preserve"> colma parte de lo requerido en la solicitud de información materia del presente asunto. </w:t>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lang w:val="es-ES" w:eastAsia="es-MX"/>
        </w:rPr>
      </w:pPr>
      <w:r w:rsidRPr="00065FAA">
        <w:rPr>
          <w:rFonts w:ascii="Palatino Linotype" w:hAnsi="Palatino Linotype" w:cs="Arial"/>
          <w:lang w:val="es-ES" w:eastAsia="es-MX"/>
        </w:rPr>
        <w:t xml:space="preserve">Hechas las precisiones anteriores, es necesario puntualizar que </w:t>
      </w:r>
      <w:r w:rsidRPr="00065FAA">
        <w:rPr>
          <w:rFonts w:ascii="Palatino Linotype" w:hAnsi="Palatino Linotype" w:cs="Arial"/>
          <w:b/>
          <w:lang w:val="es-ES" w:eastAsia="es-MX"/>
        </w:rPr>
        <w:t xml:space="preserve">EL RECURRENTE </w:t>
      </w:r>
      <w:r w:rsidRPr="00065FAA">
        <w:rPr>
          <w:rFonts w:ascii="Palatino Linotype" w:hAnsi="Palatino Linotype" w:cs="Arial"/>
          <w:lang w:val="es-ES" w:eastAsia="es-MX"/>
        </w:rPr>
        <w:t xml:space="preserve"> señaló respecto a la temporalidad de la que solicitaba la información </w:t>
      </w:r>
      <w:r w:rsidRPr="00065FAA">
        <w:rPr>
          <w:i/>
        </w:rPr>
        <w:t>“</w:t>
      </w:r>
      <w:r w:rsidRPr="00065FAA">
        <w:rPr>
          <w:rFonts w:ascii="Palatino Linotype" w:hAnsi="Palatino Linotype" w:cs="Arial"/>
          <w:i/>
          <w:lang w:val="es-ES" w:eastAsia="es-MX"/>
        </w:rPr>
        <w:t>(Los que al día de Hoy están ejerciend la función)”</w:t>
      </w:r>
      <w:r w:rsidRPr="00065FAA">
        <w:rPr>
          <w:rFonts w:ascii="Palatino Linotype" w:hAnsi="Palatino Linotype" w:cs="Arial"/>
          <w:lang w:val="es-ES" w:eastAsia="es-MX"/>
        </w:rPr>
        <w:t xml:space="preserve"> </w:t>
      </w:r>
      <w:r w:rsidRPr="00065FAA">
        <w:rPr>
          <w:rFonts w:ascii="Palatino Linotype" w:hAnsi="Palatino Linotype" w:cs="Arial"/>
          <w:i/>
          <w:lang w:val="es-ES" w:eastAsia="es-MX"/>
        </w:rPr>
        <w:t>(Sic)</w:t>
      </w:r>
      <w:r w:rsidRPr="00065FAA">
        <w:rPr>
          <w:rFonts w:ascii="Palatino Linotype" w:hAnsi="Palatino Linotype" w:cs="Arial"/>
          <w:lang w:val="es-ES" w:eastAsia="es-MX"/>
        </w:rPr>
        <w:t xml:space="preserve">; motivo por el que, de conformidad con lo </w:t>
      </w:r>
      <w:r w:rsidRPr="00065FAA">
        <w:rPr>
          <w:rFonts w:ascii="Palatino Linotype" w:hAnsi="Palatino Linotype" w:cs="Arial"/>
          <w:lang w:val="es-ES" w:eastAsia="es-MX"/>
        </w:rPr>
        <w:lastRenderedPageBreak/>
        <w:t>establecido en los artículos 13 y 181, párrafo cuarto de la Ley de la materia, se determina suplir dicha deficiencia en que incurre; por lo que, en razón de que el artículo 19 de la Ley Orgánica Municipal del Estado de México establece que el 1 de enero de 2019 entrarán en funciones las administraciones municipales, razón por la que se tiene que la información solicitada refiere a la administración actual y a la fecha de la solicitud; es decir, de aquellos servidores públicos que al siete de febrero de dos mil veinte ocupaban el cargo.</w:t>
      </w:r>
    </w:p>
    <w:p w:rsidR="00C86888" w:rsidRPr="00065FAA" w:rsidRDefault="00C86888" w:rsidP="00C86888">
      <w:pPr>
        <w:autoSpaceDE w:val="0"/>
        <w:autoSpaceDN w:val="0"/>
        <w:adjustRightInd w:val="0"/>
        <w:spacing w:line="360" w:lineRule="auto"/>
        <w:ind w:right="49"/>
        <w:jc w:val="both"/>
        <w:rPr>
          <w:rFonts w:ascii="Palatino Linotype" w:hAnsi="Palatino Linotype" w:cs="Arial"/>
          <w:lang w:val="es-ES" w:eastAsia="es-MX"/>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rPr>
        <w:t xml:space="preserve">Ahora bien, </w:t>
      </w:r>
      <w:r w:rsidRPr="00065FAA">
        <w:rPr>
          <w:rFonts w:ascii="Palatino Linotype" w:hAnsi="Palatino Linotype"/>
          <w:color w:val="222222"/>
          <w:lang w:eastAsia="es-MX"/>
        </w:rPr>
        <w:t>es importante traer a contexto que e</w:t>
      </w:r>
      <w:r w:rsidRPr="00065FAA">
        <w:rPr>
          <w:rFonts w:ascii="Palatino Linotype" w:hAnsi="Palatino Linotype"/>
        </w:rPr>
        <w:t xml:space="preserve">l Bando Municipal de Metepec señala en su artículo 35 que su administración pública está integrada de la siguiente manera: </w:t>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w:t>
      </w:r>
      <w:r w:rsidRPr="00065FAA">
        <w:rPr>
          <w:rFonts w:ascii="Palatino Linotype" w:hAnsi="Palatino Linotype"/>
          <w:b/>
          <w:i/>
          <w:sz w:val="22"/>
        </w:rPr>
        <w:t>Artículo 35</w:t>
      </w:r>
      <w:r w:rsidRPr="00065FAA">
        <w:rPr>
          <w:rFonts w:ascii="Palatino Linotype" w:hAnsi="Palatino Linotype"/>
          <w:i/>
          <w:sz w:val="22"/>
        </w:rPr>
        <w:t xml:space="preserve">.- La Administración Pública Centralizada, es una forma de organización de la </w:t>
      </w:r>
      <w:r w:rsidRPr="00065FAA">
        <w:rPr>
          <w:rFonts w:ascii="Palatino Linotype" w:hAnsi="Palatino Linotype"/>
          <w:b/>
          <w:i/>
          <w:sz w:val="22"/>
        </w:rPr>
        <w:t>Administración Pública del Municipio, la cual se integra por</w:t>
      </w:r>
      <w:r w:rsidRPr="00065FAA">
        <w:rPr>
          <w:rFonts w:ascii="Palatino Linotype" w:hAnsi="Palatino Linotype"/>
          <w:i/>
          <w:sz w:val="22"/>
        </w:rPr>
        <w:t>:</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I. Secretaría del Ayuntamiento;</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 xml:space="preserve">II. </w:t>
      </w:r>
      <w:r w:rsidRPr="00065FAA">
        <w:rPr>
          <w:rFonts w:ascii="Palatino Linotype" w:hAnsi="Palatino Linotype"/>
          <w:b/>
          <w:i/>
          <w:sz w:val="22"/>
        </w:rPr>
        <w:t>Tesorería;</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 xml:space="preserve">III. </w:t>
      </w:r>
      <w:r w:rsidRPr="00065FAA">
        <w:rPr>
          <w:rFonts w:ascii="Palatino Linotype" w:hAnsi="Palatino Linotype"/>
          <w:b/>
          <w:i/>
          <w:sz w:val="22"/>
        </w:rPr>
        <w:t>Contraloría</w:t>
      </w:r>
      <w:r w:rsidRPr="00065FAA">
        <w:rPr>
          <w:rFonts w:ascii="Palatino Linotype" w:hAnsi="Palatino Linotype"/>
          <w:i/>
          <w:sz w:val="22"/>
        </w:rPr>
        <w:t>;</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IV. Consejería Jurídica Municipal;</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 xml:space="preserve">V. </w:t>
      </w:r>
      <w:r w:rsidRPr="00065FAA">
        <w:rPr>
          <w:rFonts w:ascii="Palatino Linotype" w:hAnsi="Palatino Linotype"/>
          <w:b/>
          <w:i/>
          <w:sz w:val="22"/>
        </w:rPr>
        <w:t>Direcciones de:</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a) Administración;</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b) Desarrollo Social;</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c) Cultura;</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d) Desarrollo Económico, Turístico y Artesanal;</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 xml:space="preserve">e) </w:t>
      </w:r>
      <w:r w:rsidRPr="00065FAA">
        <w:rPr>
          <w:rFonts w:ascii="Palatino Linotype" w:hAnsi="Palatino Linotype"/>
          <w:b/>
          <w:i/>
          <w:sz w:val="22"/>
        </w:rPr>
        <w:t xml:space="preserve">Desarrollo Urbano </w:t>
      </w:r>
      <w:r w:rsidRPr="00065FAA">
        <w:rPr>
          <w:rFonts w:ascii="Palatino Linotype" w:hAnsi="Palatino Linotype"/>
          <w:i/>
          <w:sz w:val="22"/>
        </w:rPr>
        <w:t>y Metropolitano;</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f) Educación;</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g) Gobernación;</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h) Gobierno por Resultados;</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i) Medio Ambiente;</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j) Igualdad de Género;</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 xml:space="preserve">k) </w:t>
      </w:r>
      <w:r w:rsidRPr="00065FAA">
        <w:rPr>
          <w:rFonts w:ascii="Palatino Linotype" w:hAnsi="Palatino Linotype"/>
          <w:b/>
          <w:i/>
          <w:sz w:val="22"/>
        </w:rPr>
        <w:t>Obras Públicas</w:t>
      </w:r>
      <w:r w:rsidRPr="00065FAA">
        <w:rPr>
          <w:rFonts w:ascii="Palatino Linotype" w:hAnsi="Palatino Linotype"/>
          <w:i/>
          <w:sz w:val="22"/>
        </w:rPr>
        <w:t>;</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lastRenderedPageBreak/>
        <w:t xml:space="preserve">l) </w:t>
      </w:r>
      <w:r w:rsidRPr="00065FAA">
        <w:rPr>
          <w:rFonts w:ascii="Palatino Linotype" w:hAnsi="Palatino Linotype"/>
          <w:b/>
          <w:i/>
          <w:sz w:val="22"/>
        </w:rPr>
        <w:t>Seguridad Pública y Tránsito</w:t>
      </w:r>
      <w:r w:rsidRPr="00065FAA">
        <w:rPr>
          <w:rFonts w:ascii="Palatino Linotype" w:hAnsi="Palatino Linotype"/>
          <w:i/>
          <w:sz w:val="22"/>
        </w:rPr>
        <w:t>;</w:t>
      </w:r>
    </w:p>
    <w:p w:rsidR="00C86888" w:rsidRPr="00065FAA" w:rsidRDefault="00C86888" w:rsidP="00C86888">
      <w:pPr>
        <w:autoSpaceDE w:val="0"/>
        <w:autoSpaceDN w:val="0"/>
        <w:adjustRightInd w:val="0"/>
        <w:ind w:left="851" w:right="902"/>
        <w:jc w:val="both"/>
        <w:rPr>
          <w:rFonts w:ascii="Palatino Linotype" w:hAnsi="Palatino Linotype"/>
          <w:i/>
          <w:sz w:val="22"/>
        </w:rPr>
      </w:pPr>
      <w:r w:rsidRPr="00065FAA">
        <w:rPr>
          <w:rFonts w:ascii="Palatino Linotype" w:hAnsi="Palatino Linotype"/>
          <w:i/>
          <w:sz w:val="22"/>
        </w:rPr>
        <w:t>m) Servicios Públicos; y</w:t>
      </w:r>
    </w:p>
    <w:p w:rsidR="00C86888" w:rsidRPr="00065FAA" w:rsidRDefault="00C86888" w:rsidP="00C86888">
      <w:pPr>
        <w:autoSpaceDE w:val="0"/>
        <w:autoSpaceDN w:val="0"/>
        <w:adjustRightInd w:val="0"/>
        <w:ind w:left="851" w:right="902"/>
        <w:jc w:val="both"/>
        <w:rPr>
          <w:rFonts w:ascii="Palatino Linotype" w:hAnsi="Palatino Linotype"/>
        </w:rPr>
      </w:pPr>
      <w:r w:rsidRPr="00065FAA">
        <w:rPr>
          <w:rFonts w:ascii="Palatino Linotype" w:hAnsi="Palatino Linotype"/>
          <w:i/>
          <w:sz w:val="22"/>
        </w:rPr>
        <w:t xml:space="preserve">n) </w:t>
      </w:r>
      <w:r w:rsidRPr="00065FAA">
        <w:rPr>
          <w:rFonts w:ascii="Palatino Linotype" w:hAnsi="Palatino Linotype"/>
          <w:b/>
          <w:i/>
          <w:sz w:val="22"/>
        </w:rPr>
        <w:t>Las demás que determine crear el Ayuntamiento, a propuesta de la Presidenta Municipal</w:t>
      </w:r>
      <w:r w:rsidRPr="00065FAA">
        <w:rPr>
          <w:rFonts w:ascii="Palatino Linotype" w:hAnsi="Palatino Linotype"/>
          <w:i/>
          <w:sz w:val="22"/>
        </w:rPr>
        <w:t xml:space="preserve">” (Sic) </w:t>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rPr>
        <w:t xml:space="preserve">Por otra parte, en el Portal de Información Pública de Oficio Mexiquense en su artículo 92, fracción II A se establece la estructura Orgánica del Municipio de Metepec, en el que se puede apreciar lo siguiente: </w:t>
      </w:r>
    </w:p>
    <w:p w:rsidR="00B57C88" w:rsidRPr="00065FAA" w:rsidRDefault="00B57C88" w:rsidP="00C86888">
      <w:pPr>
        <w:autoSpaceDE w:val="0"/>
        <w:autoSpaceDN w:val="0"/>
        <w:adjustRightInd w:val="0"/>
        <w:spacing w:line="360" w:lineRule="auto"/>
        <w:ind w:right="49"/>
        <w:jc w:val="both"/>
        <w:rPr>
          <w:rFonts w:ascii="Palatino Linotype" w:hAnsi="Palatino Linotype"/>
        </w:rPr>
      </w:pPr>
    </w:p>
    <w:p w:rsidR="00C86888" w:rsidRPr="00065FAA" w:rsidRDefault="00EA58C9" w:rsidP="00C86888">
      <w:pPr>
        <w:autoSpaceDE w:val="0"/>
        <w:autoSpaceDN w:val="0"/>
        <w:adjustRightInd w:val="0"/>
        <w:spacing w:line="360" w:lineRule="auto"/>
        <w:ind w:right="49"/>
        <w:jc w:val="both"/>
        <w:rPr>
          <w:rFonts w:ascii="Palatino Linotype" w:hAnsi="Palatino Linotype"/>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3008630</wp:posOffset>
                </wp:positionV>
                <wp:extent cx="5943600" cy="2057400"/>
                <wp:effectExtent l="22860" t="24130" r="24765" b="52070"/>
                <wp:wrapTight wrapText="bothSides">
                  <wp:wrapPolygon edited="0">
                    <wp:start x="-35" y="-200"/>
                    <wp:lineTo x="-104" y="500"/>
                    <wp:lineTo x="-69" y="1100"/>
                    <wp:lineTo x="21358" y="22500"/>
                    <wp:lineTo x="21738" y="22500"/>
                    <wp:lineTo x="21773" y="22500"/>
                    <wp:lineTo x="21842" y="21600"/>
                    <wp:lineTo x="21565" y="21100"/>
                    <wp:lineTo x="1800" y="1400"/>
                    <wp:lineTo x="173" y="-200"/>
                    <wp:lineTo x="-35" y="-200"/>
                  </wp:wrapPolygon>
                </wp:wrapTight>
                <wp:docPr id="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20574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B6276" id="Line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6.9pt" to="468pt,3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" strokecolor="#4a7ebb" strokeweight="3.5pt">
                <v:fill o:detectmouseclick="t"/>
                <v:shadow on="t" opacity="22938f" offset="0"/>
                <w10:wrap type="tight"/>
              </v:line>
            </w:pict>
          </mc:Fallback>
        </mc:AlternateContent>
      </w:r>
      <w:r w:rsidR="00C86888" w:rsidRPr="00065FAA">
        <w:rPr>
          <w:noProof/>
          <w:lang w:eastAsia="es-MX"/>
        </w:rPr>
        <w:drawing>
          <wp:inline distT="0" distB="0" distL="0" distR="0">
            <wp:extent cx="5786745" cy="2872596"/>
            <wp:effectExtent l="0" t="0" r="508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722" cy="2875066"/>
                    </a:xfrm>
                    <a:prstGeom prst="rect">
                      <a:avLst/>
                    </a:prstGeom>
                  </pic:spPr>
                </pic:pic>
              </a:graphicData>
            </a:graphic>
          </wp:inline>
        </w:drawing>
      </w:r>
      <w:r w:rsidR="00C86888" w:rsidRPr="00065FAA">
        <w:rPr>
          <w:noProof/>
          <w:lang w:eastAsia="es-MX"/>
        </w:rPr>
        <w:t xml:space="preserve"> </w:t>
      </w:r>
      <w:r>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3475355</wp:posOffset>
                </wp:positionV>
                <wp:extent cx="5943600" cy="3886200"/>
                <wp:effectExtent l="22860" t="24130" r="24765" b="52070"/>
                <wp:wrapTight wrapText="bothSides">
                  <wp:wrapPolygon edited="0">
                    <wp:start x="-35" y="-106"/>
                    <wp:lineTo x="-104" y="265"/>
                    <wp:lineTo x="-104" y="476"/>
                    <wp:lineTo x="69" y="741"/>
                    <wp:lineTo x="21358" y="22024"/>
                    <wp:lineTo x="21773" y="22024"/>
                    <wp:lineTo x="21842" y="21653"/>
                    <wp:lineTo x="21704" y="21441"/>
                    <wp:lineTo x="485" y="212"/>
                    <wp:lineTo x="138" y="-106"/>
                    <wp:lineTo x="-35" y="-106"/>
                  </wp:wrapPolygon>
                </wp:wrapTight>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38862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56670" id="Line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3.65pt" to="459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" strokecolor="#4a7ebb" strokeweight="3.5pt">
                <v:fill o:detectmouseclick="t"/>
                <v:shadow on="t" opacity="22938f" offset="0"/>
                <w10:wrap type="tight"/>
              </v:line>
            </w:pict>
          </mc:Fallback>
        </mc:AlternateContent>
      </w:r>
      <w:r w:rsidR="00C86888" w:rsidRPr="00065FAA">
        <w:rPr>
          <w:noProof/>
          <w:lang w:eastAsia="es-MX"/>
        </w:rPr>
        <w:drawing>
          <wp:inline distT="0" distB="0" distL="0" distR="0">
            <wp:extent cx="5788990" cy="3116275"/>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1622" cy="3128458"/>
                    </a:xfrm>
                    <a:prstGeom prst="rect">
                      <a:avLst/>
                    </a:prstGeom>
                  </pic:spPr>
                </pic:pic>
              </a:graphicData>
            </a:graphic>
          </wp:inline>
        </w:drawing>
      </w:r>
      <w:r w:rsidR="00C86888" w:rsidRPr="00065FAA">
        <w:rPr>
          <w:noProof/>
          <w:lang w:eastAsia="es-MX"/>
        </w:rPr>
        <w:lastRenderedPageBreak/>
        <w:drawing>
          <wp:inline distT="0" distB="0" distL="0" distR="0">
            <wp:extent cx="5791200" cy="69787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315" cy="6986139"/>
                    </a:xfrm>
                    <a:prstGeom prst="rect">
                      <a:avLst/>
                    </a:prstGeom>
                  </pic:spPr>
                </pic:pic>
              </a:graphicData>
            </a:graphic>
          </wp:inline>
        </w:drawing>
      </w:r>
      <w:r w:rsidR="00C86888" w:rsidRPr="00065FAA">
        <w:rPr>
          <w:noProof/>
          <w:lang w:eastAsia="es-MX"/>
        </w:rPr>
        <w:t xml:space="preserve"> </w:t>
      </w:r>
      <w:r w:rsidR="00C86888" w:rsidRPr="00065FAA">
        <w:rPr>
          <w:noProof/>
          <w:lang w:eastAsia="es-MX"/>
        </w:rPr>
        <w:lastRenderedPageBreak/>
        <w:drawing>
          <wp:inline distT="0" distB="0" distL="0" distR="0">
            <wp:extent cx="5791835" cy="3489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3981" cy="3490643"/>
                    </a:xfrm>
                    <a:prstGeom prst="rect">
                      <a:avLst/>
                    </a:prstGeom>
                  </pic:spPr>
                </pic:pic>
              </a:graphicData>
            </a:graphic>
          </wp:inline>
        </w:drawing>
      </w:r>
      <w:r w:rsidR="00C86888" w:rsidRPr="00065FAA">
        <w:rPr>
          <w:noProof/>
          <w:lang w:eastAsia="es-MX"/>
        </w:rPr>
        <w:t xml:space="preserve"> </w:t>
      </w:r>
      <w:r w:rsidR="00C86888" w:rsidRPr="00065FAA">
        <w:rPr>
          <w:noProof/>
          <w:lang w:eastAsia="es-MX"/>
        </w:rPr>
        <w:drawing>
          <wp:inline distT="0" distB="0" distL="0" distR="0">
            <wp:extent cx="5791138" cy="305043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7265" cy="3053666"/>
                    </a:xfrm>
                    <a:prstGeom prst="rect">
                      <a:avLst/>
                    </a:prstGeom>
                  </pic:spPr>
                </pic:pic>
              </a:graphicData>
            </a:graphic>
          </wp:inline>
        </w:drawing>
      </w:r>
      <w:r w:rsidR="00C86888" w:rsidRPr="00065FAA">
        <w:rPr>
          <w:noProof/>
          <w:lang w:eastAsia="es-MX"/>
        </w:rPr>
        <w:t xml:space="preserve"> </w:t>
      </w:r>
      <w:r w:rsidR="00C86888" w:rsidRPr="00065FAA">
        <w:rPr>
          <w:noProof/>
          <w:lang w:eastAsia="es-MX"/>
        </w:rPr>
        <w:lastRenderedPageBreak/>
        <w:drawing>
          <wp:inline distT="0" distB="0" distL="0" distR="0">
            <wp:extent cx="5791710" cy="37234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5146" cy="3725645"/>
                    </a:xfrm>
                    <a:prstGeom prst="rect">
                      <a:avLst/>
                    </a:prstGeom>
                  </pic:spPr>
                </pic:pic>
              </a:graphicData>
            </a:graphic>
          </wp:inline>
        </w:drawing>
      </w:r>
      <w:r w:rsidR="00C86888" w:rsidRPr="00065FAA">
        <w:rPr>
          <w:noProof/>
          <w:lang w:eastAsia="es-MX"/>
        </w:rPr>
        <w:t xml:space="preserve"> </w:t>
      </w:r>
      <w:r w:rsidR="00C86888" w:rsidRPr="00065FAA">
        <w:rPr>
          <w:noProof/>
          <w:lang w:eastAsia="es-MX"/>
        </w:rPr>
        <w:drawing>
          <wp:inline distT="0" distB="0" distL="0" distR="0">
            <wp:extent cx="5791508" cy="2838091"/>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447" cy="2840511"/>
                    </a:xfrm>
                    <a:prstGeom prst="rect">
                      <a:avLst/>
                    </a:prstGeom>
                  </pic:spPr>
                </pic:pic>
              </a:graphicData>
            </a:graphic>
          </wp:inline>
        </w:drawing>
      </w:r>
      <w:r w:rsidR="00C86888" w:rsidRPr="00065FAA">
        <w:rPr>
          <w:noProof/>
          <w:lang w:eastAsia="es-MX"/>
        </w:rPr>
        <w:t xml:space="preserve"> </w:t>
      </w:r>
      <w:r w:rsidR="00C86888" w:rsidRPr="00065FAA">
        <w:rPr>
          <w:noProof/>
          <w:lang w:eastAsia="es-MX"/>
        </w:rPr>
        <w:lastRenderedPageBreak/>
        <w:drawing>
          <wp:inline distT="0" distB="0" distL="0" distR="0">
            <wp:extent cx="5791835" cy="3745382"/>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3644" cy="3746552"/>
                    </a:xfrm>
                    <a:prstGeom prst="rect">
                      <a:avLst/>
                    </a:prstGeom>
                  </pic:spPr>
                </pic:pic>
              </a:graphicData>
            </a:graphic>
          </wp:inline>
        </w:drawing>
      </w:r>
      <w:r w:rsidR="00C86888" w:rsidRPr="00065FAA">
        <w:rPr>
          <w:noProof/>
          <w:lang w:eastAsia="es-MX"/>
        </w:rPr>
        <w:t xml:space="preserve"> </w:t>
      </w:r>
      <w:r w:rsidR="00C86888" w:rsidRPr="00065FAA">
        <w:rPr>
          <w:noProof/>
          <w:lang w:eastAsia="es-MX"/>
        </w:rPr>
        <w:drawing>
          <wp:inline distT="0" distB="0" distL="0" distR="0">
            <wp:extent cx="4629150" cy="33211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0169" cy="3321832"/>
                    </a:xfrm>
                    <a:prstGeom prst="rect">
                      <a:avLst/>
                    </a:prstGeom>
                  </pic:spPr>
                </pic:pic>
              </a:graphicData>
            </a:graphic>
          </wp:inline>
        </w:drawing>
      </w: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noProof/>
          <w:lang w:eastAsia="es-MX"/>
        </w:rPr>
        <w:lastRenderedPageBreak/>
        <w:drawing>
          <wp:inline distT="0" distB="0" distL="0" distR="0">
            <wp:extent cx="5429250" cy="174833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1555" cy="1752295"/>
                    </a:xfrm>
                    <a:prstGeom prst="rect">
                      <a:avLst/>
                    </a:prstGeom>
                  </pic:spPr>
                </pic:pic>
              </a:graphicData>
            </a:graphic>
          </wp:inline>
        </w:drawing>
      </w:r>
    </w:p>
    <w:p w:rsidR="00C86888" w:rsidRPr="00065FAA" w:rsidRDefault="00C86888" w:rsidP="00C86888">
      <w:pPr>
        <w:autoSpaceDE w:val="0"/>
        <w:autoSpaceDN w:val="0"/>
        <w:adjustRightInd w:val="0"/>
        <w:spacing w:line="360" w:lineRule="auto"/>
        <w:ind w:right="49"/>
        <w:jc w:val="both"/>
        <w:rPr>
          <w:rFonts w:ascii="Palatino Linotype" w:hAnsi="Palatino Linotype"/>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rPr>
        <w:t xml:space="preserve">De las imágenes insertas se puede advertir claramente que </w:t>
      </w:r>
      <w:r w:rsidRPr="00065FAA">
        <w:rPr>
          <w:rFonts w:ascii="Palatino Linotype" w:hAnsi="Palatino Linotype"/>
          <w:b/>
        </w:rPr>
        <w:t>EL SUJETO OBLIGADO</w:t>
      </w:r>
      <w:r w:rsidRPr="00065FAA">
        <w:rPr>
          <w:rFonts w:ascii="Palatino Linotype" w:hAnsi="Palatino Linotype"/>
        </w:rPr>
        <w:t xml:space="preserve"> cuenta con las áreas de las que el particular requirió la información. Es así que, se procede al estudio de la información solicitada por el particular identificado con los numerales 1 y 2, relacionada con la fecha en la que los servidores públicos tomaron</w:t>
      </w:r>
      <w:r w:rsidRPr="00065FAA">
        <w:rPr>
          <w:rFonts w:ascii="Palatino Linotype" w:hAnsi="Palatino Linotype" w:cs="Arial"/>
        </w:rPr>
        <w:t xml:space="preserve"> el cargo que ocupan y el nombramiento de cada uno de ellos, por su parte </w:t>
      </w:r>
      <w:r w:rsidRPr="00065FAA">
        <w:rPr>
          <w:rFonts w:ascii="Palatino Linotype" w:hAnsi="Palatino Linotype" w:cs="Arial"/>
          <w:b/>
        </w:rPr>
        <w:t xml:space="preserve">EL SUJETO OBLIGADO </w:t>
      </w:r>
      <w:r w:rsidRPr="00065FAA">
        <w:rPr>
          <w:rFonts w:ascii="Palatino Linotype" w:hAnsi="Palatino Linotype" w:cs="Arial"/>
        </w:rPr>
        <w:t xml:space="preserve">con la finalidad de colmar la pretensión del particular respecto a los nombramientos de los servidores públicos que ocupan los cargos requeridos por el particular remitió los designados al cargo del Contralor Municipal, Directora de Obras Públicas, Jefa de Departamento de Regulación del Comercio Fijo y Semifijo, Jefe de departamento de Presupuesto y del Jefe de Departamento de Atención a la Juventud, de los cuales a manera de ejemplo se inserta a continuación: </w:t>
      </w:r>
    </w:p>
    <w:p w:rsidR="00B57C88" w:rsidRPr="00065FAA" w:rsidRDefault="00EA58C9" w:rsidP="00C86888">
      <w:pPr>
        <w:autoSpaceDE w:val="0"/>
        <w:autoSpaceDN w:val="0"/>
        <w:adjustRightInd w:val="0"/>
        <w:spacing w:line="360" w:lineRule="auto"/>
        <w:ind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-36195</wp:posOffset>
                </wp:positionH>
                <wp:positionV relativeFrom="paragraph">
                  <wp:posOffset>66040</wp:posOffset>
                </wp:positionV>
                <wp:extent cx="5667375" cy="1673225"/>
                <wp:effectExtent l="15240" t="18415" r="13335" b="41910"/>
                <wp:wrapNone/>
                <wp:docPr id="1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167322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7CA08" id="Conector recto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2pt" to="443.4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" strokecolor="#4f81bd [3204]" strokeweight="2pt">
                <v:shadow on="t" opacity="24903f" origin=",.5" offset="0,.55556mm"/>
              </v:line>
            </w:pict>
          </mc:Fallback>
        </mc:AlternateConten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noProof/>
          <w:lang w:eastAsia="es-MX"/>
        </w:rPr>
        <w:lastRenderedPageBreak/>
        <w:drawing>
          <wp:inline distT="0" distB="0" distL="0" distR="0">
            <wp:extent cx="5191125" cy="6162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1125" cy="6162675"/>
                    </a:xfrm>
                    <a:prstGeom prst="rect">
                      <a:avLst/>
                    </a:prstGeom>
                  </pic:spPr>
                </pic:pic>
              </a:graphicData>
            </a:graphic>
          </wp:inline>
        </w:drawing>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noProof/>
          <w:lang w:eastAsia="es-MX"/>
        </w:rPr>
        <w:lastRenderedPageBreak/>
        <w:drawing>
          <wp:inline distT="0" distB="0" distL="0" distR="0">
            <wp:extent cx="4924425" cy="58388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4425" cy="5838825"/>
                    </a:xfrm>
                    <a:prstGeom prst="rect">
                      <a:avLst/>
                    </a:prstGeom>
                  </pic:spPr>
                </pic:pic>
              </a:graphicData>
            </a:graphic>
          </wp:inline>
        </w:drawing>
      </w:r>
      <w:r w:rsidRPr="00065FAA">
        <w:rPr>
          <w:noProof/>
          <w:lang w:eastAsia="es-MX"/>
        </w:rPr>
        <w:t xml:space="preserve">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De esta manera se puede advertir que </w:t>
      </w:r>
      <w:r w:rsidRPr="00065FAA">
        <w:rPr>
          <w:rFonts w:ascii="Palatino Linotype" w:hAnsi="Palatino Linotype" w:cs="Arial"/>
          <w:b/>
        </w:rPr>
        <w:t>EL SUJETO OBLIGADO</w:t>
      </w:r>
      <w:r w:rsidRPr="00065FAA">
        <w:rPr>
          <w:rFonts w:ascii="Palatino Linotype" w:hAnsi="Palatino Linotype" w:cs="Arial"/>
        </w:rPr>
        <w:t xml:space="preserve"> testó información que es de carácter público, como lo es la firma de los servidores públicos, ya que corresponde a un acto administrativo ejercido por funcionarios públicos en ejercicio de sus funciones de derecho público, por lo tanto deben estar legibles; ello, </w:t>
      </w:r>
      <w:r w:rsidRPr="00065FAA">
        <w:rPr>
          <w:rFonts w:ascii="Palatino Linotype" w:hAnsi="Palatino Linotype" w:cs="Arial"/>
        </w:rPr>
        <w:lastRenderedPageBreak/>
        <w:t xml:space="preserve">atendiendo a que en su caso, tener por colmado el requerimiento en estudio, aun y con la supresión de datos que son considerados públicos y sin una correcta versión pública y acuerdo, sería convalidar la respuesta proporcionada y los documentos remitidos, lo cual es improcedente; por las razones expuestas resulta dable ordenar la entrega de los nombramientos remitidos en respuesta y los faltantes de los demás servidores públicos requeridos o bien el formato único de movimientos de personal o en su caso el contrato correspondiente al ser los documentos de los cuales se desprende la relación laboral.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Ahora bien, tratándose de servidores públicos de los Municipios la Ley del Trabajo de los Servidores Públicos del Estado y Municipios, en su artículo 220-K fracción I y párrafo segundo, establecen lo siguiente:</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autoSpaceDE w:val="0"/>
        <w:autoSpaceDN w:val="0"/>
        <w:adjustRightInd w:val="0"/>
        <w:spacing w:line="360" w:lineRule="auto"/>
        <w:ind w:left="851" w:right="899"/>
        <w:jc w:val="both"/>
        <w:rPr>
          <w:i/>
          <w:sz w:val="22"/>
          <w:szCs w:val="22"/>
        </w:rPr>
      </w:pPr>
      <w:r w:rsidRPr="00065FAA">
        <w:rPr>
          <w:i/>
          <w:sz w:val="22"/>
          <w:szCs w:val="22"/>
        </w:rPr>
        <w:t>“</w:t>
      </w:r>
      <w:r w:rsidRPr="00065FAA">
        <w:rPr>
          <w:b/>
          <w:i/>
          <w:sz w:val="22"/>
          <w:szCs w:val="22"/>
        </w:rPr>
        <w:t>ARTÍCULO 220 K</w:t>
      </w:r>
      <w:r w:rsidRPr="00065FAA">
        <w:rPr>
          <w:i/>
          <w:sz w:val="22"/>
          <w:szCs w:val="22"/>
        </w:rPr>
        <w:t xml:space="preserve">.- La institución o dependencia pública tiene la obligación de conservar y exhibir en el proceso los documentos que a continuación se precisan: </w:t>
      </w:r>
    </w:p>
    <w:p w:rsidR="00C86888" w:rsidRPr="00065FAA" w:rsidRDefault="00C86888" w:rsidP="00974234">
      <w:pPr>
        <w:pStyle w:val="Prrafodelista"/>
        <w:numPr>
          <w:ilvl w:val="0"/>
          <w:numId w:val="6"/>
        </w:numPr>
        <w:autoSpaceDE w:val="0"/>
        <w:autoSpaceDN w:val="0"/>
        <w:adjustRightInd w:val="0"/>
        <w:spacing w:line="360" w:lineRule="auto"/>
        <w:ind w:left="993" w:right="899" w:firstLine="0"/>
        <w:jc w:val="both"/>
        <w:rPr>
          <w:i/>
          <w:sz w:val="22"/>
          <w:szCs w:val="22"/>
        </w:rPr>
      </w:pPr>
      <w:r w:rsidRPr="00065FAA">
        <w:rPr>
          <w:i/>
          <w:sz w:val="22"/>
          <w:szCs w:val="22"/>
        </w:rPr>
        <w:t xml:space="preserve">Contratos, Nombramientos o Formato Único de Movimientos de Personal, cuando no exista Convenio de condiciones generales de trabajo aplicable; </w:t>
      </w:r>
    </w:p>
    <w:p w:rsidR="00C86888" w:rsidRPr="00065FAA" w:rsidRDefault="00C86888" w:rsidP="00C86888">
      <w:pPr>
        <w:autoSpaceDE w:val="0"/>
        <w:autoSpaceDN w:val="0"/>
        <w:adjustRightInd w:val="0"/>
        <w:spacing w:line="360" w:lineRule="auto"/>
        <w:ind w:left="993" w:right="899"/>
        <w:jc w:val="both"/>
        <w:rPr>
          <w:i/>
          <w:sz w:val="22"/>
          <w:szCs w:val="22"/>
        </w:rPr>
      </w:pPr>
      <w:r w:rsidRPr="00065FAA">
        <w:rPr>
          <w:i/>
          <w:sz w:val="22"/>
          <w:szCs w:val="22"/>
        </w:rPr>
        <w:t>…</w:t>
      </w:r>
    </w:p>
    <w:p w:rsidR="00C86888" w:rsidRPr="00065FAA" w:rsidRDefault="00C86888" w:rsidP="00C86888">
      <w:pPr>
        <w:autoSpaceDE w:val="0"/>
        <w:autoSpaceDN w:val="0"/>
        <w:adjustRightInd w:val="0"/>
        <w:spacing w:line="360" w:lineRule="auto"/>
        <w:ind w:left="851" w:right="899"/>
        <w:jc w:val="both"/>
        <w:rPr>
          <w:i/>
          <w:sz w:val="22"/>
          <w:szCs w:val="22"/>
        </w:rPr>
      </w:pPr>
      <w:r w:rsidRPr="00065FAA">
        <w:rPr>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C86888" w:rsidRPr="00065FAA" w:rsidRDefault="00C86888" w:rsidP="00C86888">
      <w:pPr>
        <w:autoSpaceDE w:val="0"/>
        <w:autoSpaceDN w:val="0"/>
        <w:adjustRightInd w:val="0"/>
        <w:spacing w:line="360" w:lineRule="auto"/>
        <w:ind w:left="851" w:right="899"/>
        <w:jc w:val="both"/>
        <w:rPr>
          <w:i/>
          <w:sz w:val="22"/>
          <w:szCs w:val="22"/>
        </w:rPr>
      </w:pPr>
      <w:r w:rsidRPr="00065FAA">
        <w:rPr>
          <w:i/>
          <w:sz w:val="22"/>
          <w:szCs w:val="22"/>
        </w:rPr>
        <w:lastRenderedPageBreak/>
        <w:t>El incumplimiento por lo dispuesto por este artículo, establecerá la presunción de ser ciertos los hechos que el actor exprese en su demanda, en relación con tales documentos, salvo prueba en contrario.”</w:t>
      </w:r>
    </w:p>
    <w:p w:rsidR="00C86888" w:rsidRPr="00065FAA" w:rsidRDefault="00C86888" w:rsidP="00C86888">
      <w:pPr>
        <w:ind w:left="851" w:right="757"/>
        <w:jc w:val="both"/>
        <w:rPr>
          <w:rFonts w:ascii="Palatino Linotype" w:hAnsi="Palatino Linotype"/>
          <w:i/>
          <w:sz w:val="22"/>
        </w:rPr>
      </w:pPr>
      <w:r w:rsidRPr="00065FAA">
        <w:rPr>
          <w:rFonts w:ascii="Palatino Linotype" w:hAnsi="Palatino Linotype"/>
          <w:i/>
          <w:sz w:val="22"/>
          <w:szCs w:val="22"/>
        </w:rPr>
        <w:t>(Énfasis añadido)</w:t>
      </w:r>
    </w:p>
    <w:p w:rsidR="00C86888" w:rsidRPr="00065FAA" w:rsidRDefault="00C86888" w:rsidP="00C86888">
      <w:pPr>
        <w:autoSpaceDE w:val="0"/>
        <w:autoSpaceDN w:val="0"/>
        <w:adjustRightInd w:val="0"/>
        <w:spacing w:line="360" w:lineRule="auto"/>
        <w:ind w:left="851" w:right="899"/>
        <w:jc w:val="both"/>
        <w:rPr>
          <w:rFonts w:ascii="Palatino Linotype" w:hAnsi="Palatino Linotype" w:cs="Arial"/>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De lo anterior, se advierte que toda institución pública o dependencia pública del Estado de México debe conservar los Contratos, Nombramientos o Formato Único de Movimientos de Personal, debiendo conservar dicha documentación durante el último año y un año después de que se extingue la relación laboral a través de los sistemas de digitalización o de información magnética o electrónica.</w:t>
      </w:r>
    </w:p>
    <w:p w:rsidR="00C86888" w:rsidRPr="00065FAA" w:rsidRDefault="00C86888" w:rsidP="00C86888">
      <w:pPr>
        <w:spacing w:before="100" w:beforeAutospacing="1" w:after="100" w:afterAutospacing="1" w:line="360" w:lineRule="auto"/>
        <w:ind w:right="51"/>
        <w:jc w:val="both"/>
        <w:rPr>
          <w:rFonts w:ascii="Palatino Linotype" w:eastAsia="Arial Unicode MS" w:hAnsi="Palatino Linotype" w:cs="Arial"/>
        </w:rPr>
      </w:pPr>
      <w:r w:rsidRPr="00065FAA">
        <w:rPr>
          <w:rFonts w:ascii="Palatino Linotype" w:eastAsia="Arial Unicode MS" w:hAnsi="Palatino Linotype" w:cs="Arial"/>
        </w:rPr>
        <w:t xml:space="preserve">De lo anterior, se desprende que, la relación de trabajo entre las instituciones públicas y sus servidores públicos, se establece ya sea por </w:t>
      </w:r>
      <w:r w:rsidRPr="00065FAA">
        <w:rPr>
          <w:rFonts w:ascii="Palatino Linotype" w:eastAsia="Arial Unicode MS" w:hAnsi="Palatino Linotype" w:cs="Arial"/>
          <w:b/>
        </w:rPr>
        <w:t>nombramiento, contrato o formato único de movimientos de personal</w:t>
      </w:r>
      <w:r w:rsidRPr="00065FAA">
        <w:rPr>
          <w:rFonts w:ascii="Palatino Linotype" w:eastAsia="Arial Unicode MS" w:hAnsi="Palatino Linotype" w:cs="Arial"/>
        </w:rPr>
        <w:t xml:space="preserve"> o por cualquier otro acto que tenga como consecuencia la prestación personal subordinada del servicio y la percepción de un sueldo; mismo en el que también se establece la </w:t>
      </w:r>
      <w:r w:rsidRPr="00065FAA">
        <w:rPr>
          <w:rFonts w:ascii="Palatino Linotype" w:hAnsi="Palatino Linotype"/>
        </w:rPr>
        <w:t>fecha en que el servidor público tomó</w:t>
      </w:r>
      <w:r w:rsidRPr="00065FAA">
        <w:rPr>
          <w:rFonts w:ascii="Palatino Linotype" w:hAnsi="Palatino Linotype" w:cs="Arial"/>
        </w:rPr>
        <w:t xml:space="preserve"> el cargo que ocupa</w:t>
      </w:r>
      <w:r w:rsidRPr="00065FAA">
        <w:rPr>
          <w:rFonts w:ascii="Palatino Linotype" w:eastAsia="Arial Unicode MS" w:hAnsi="Palatino Linotype" w:cs="Arial"/>
        </w:rPr>
        <w:t>, por lo que</w:t>
      </w:r>
      <w:r w:rsidRPr="00065FAA">
        <w:t xml:space="preserve"> </w:t>
      </w:r>
      <w:r w:rsidRPr="00065FAA">
        <w:rPr>
          <w:rFonts w:ascii="Palatino Linotype" w:eastAsia="Arial Unicode MS" w:hAnsi="Palatino Linotype" w:cs="Arial"/>
        </w:rPr>
        <w:t xml:space="preserve">si no tienen nombramiento deben tener documento donde se desprenda el alta del cargo que ostentan.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Por otra parte, el particular solicitó saber </w:t>
      </w:r>
      <w:r w:rsidRPr="00065FAA">
        <w:rPr>
          <w:rFonts w:ascii="Palatino Linotype" w:hAnsi="Palatino Linotype"/>
        </w:rPr>
        <w:t>la fecha en la que los servidores públicos tomaron</w:t>
      </w:r>
      <w:r w:rsidRPr="00065FAA">
        <w:rPr>
          <w:rFonts w:ascii="Palatino Linotype" w:hAnsi="Palatino Linotype" w:cs="Arial"/>
        </w:rPr>
        <w:t xml:space="preserve"> el cargo que ocupan, al respecto </w:t>
      </w:r>
      <w:r w:rsidRPr="00065FAA">
        <w:rPr>
          <w:rFonts w:ascii="Palatino Linotype" w:hAnsi="Palatino Linotype" w:cs="Arial"/>
          <w:b/>
        </w:rPr>
        <w:t>EL SUJETO OBLIGADO</w:t>
      </w:r>
      <w:r w:rsidRPr="00065FAA">
        <w:rPr>
          <w:rFonts w:ascii="Palatino Linotype" w:hAnsi="Palatino Linotype" w:cs="Arial"/>
        </w:rPr>
        <w:t xml:space="preserve"> hizo entrega de los nombramientos de los servidores públicos que fueron designados a los cargos de Contralora Municipal, Directora de Obras Públicas, Jefa de Departamento de Regulación del Comercio Fijo y Semifijo, Jefe de departamento de Presupuesto y del Jefe de Departamento de Atención a la Juventud, de los cuales se puede advertir la fecha en la que dichos servidores públicos tomaron el cargo que actualmente ocupan; </w:t>
      </w:r>
      <w:r w:rsidRPr="00065FAA">
        <w:rPr>
          <w:rFonts w:ascii="Palatino Linotype" w:hAnsi="Palatino Linotype" w:cs="Arial"/>
        </w:rPr>
        <w:lastRenderedPageBreak/>
        <w:t xml:space="preserve">razón por la cual, se advierte que dicha pretensión fue colmada parcialmente con la entrega de dichos nombramientos, toda vez que si bien, hizo entrega de algunos nombramientos, lo cierto es que no colmó de todas las direcciones de las cuales el particular solicitó la información; por lo que, con la finalidad de otorgar certeza jurídica al particular este Órgano Garante advierte los supuestos que deben actualizarse para que pueda generarse dicha información, siendo </w:t>
      </w:r>
      <w:r w:rsidRPr="00065FAA">
        <w:rPr>
          <w:rFonts w:ascii="Palatino Linotype" w:hAnsi="Palatino Linotype" w:cs="Arial"/>
          <w:lang w:val="es-ES"/>
        </w:rPr>
        <w:t xml:space="preserve">importante traer a contexto </w:t>
      </w:r>
      <w:r w:rsidRPr="00065FAA">
        <w:rPr>
          <w:rFonts w:ascii="Palatino Linotype" w:eastAsia="Arial Unicode MS" w:hAnsi="Palatino Linotype" w:cs="Arial"/>
        </w:rPr>
        <w:t>la Ley del Trabajo de los Servidores Públicos del Estado y Municipios, la cual dispone:</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ind w:left="851" w:right="902"/>
        <w:jc w:val="center"/>
        <w:rPr>
          <w:rFonts w:ascii="Palatino Linotype" w:hAnsi="Palatino Linotype" w:cs="Arial"/>
          <w:b/>
          <w:i/>
          <w:sz w:val="22"/>
          <w:szCs w:val="22"/>
          <w:lang w:val="es-ES" w:eastAsia="gl-ES"/>
        </w:rPr>
      </w:pPr>
      <w:r w:rsidRPr="00065FAA">
        <w:rPr>
          <w:rFonts w:ascii="Palatino Linotype" w:hAnsi="Palatino Linotype" w:cs="Arial"/>
          <w:i/>
          <w:sz w:val="22"/>
          <w:szCs w:val="22"/>
          <w:lang w:val="es-ES" w:eastAsia="gl-ES"/>
        </w:rPr>
        <w:t>“</w:t>
      </w:r>
      <w:r w:rsidRPr="00065FAA">
        <w:rPr>
          <w:rFonts w:ascii="Palatino Linotype" w:hAnsi="Palatino Linotype" w:cs="Arial"/>
          <w:b/>
          <w:i/>
          <w:sz w:val="22"/>
          <w:szCs w:val="22"/>
          <w:lang w:val="es-ES" w:eastAsia="gl-ES"/>
        </w:rPr>
        <w:t>CAPITULO II</w:t>
      </w:r>
    </w:p>
    <w:p w:rsidR="00C86888" w:rsidRPr="00065FAA" w:rsidRDefault="00C86888" w:rsidP="00C86888">
      <w:pPr>
        <w:ind w:left="851" w:right="902"/>
        <w:jc w:val="center"/>
        <w:rPr>
          <w:rFonts w:ascii="Palatino Linotype" w:hAnsi="Palatino Linotype" w:cs="Arial"/>
          <w:i/>
          <w:sz w:val="22"/>
          <w:szCs w:val="22"/>
          <w:lang w:val="es-ES" w:eastAsia="gl-ES"/>
        </w:rPr>
      </w:pPr>
      <w:r w:rsidRPr="00065FAA">
        <w:rPr>
          <w:rFonts w:ascii="Palatino Linotype" w:hAnsi="Palatino Linotype" w:cs="Arial"/>
          <w:b/>
          <w:i/>
          <w:sz w:val="22"/>
          <w:szCs w:val="22"/>
          <w:lang w:val="es-ES" w:eastAsia="gl-ES"/>
        </w:rPr>
        <w:t>De los Nombramientos</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b/>
          <w:i/>
          <w:sz w:val="22"/>
          <w:szCs w:val="22"/>
          <w:lang w:val="es-ES" w:eastAsia="gl-ES"/>
        </w:rPr>
        <w:t xml:space="preserve">ARTÍCULO 49.- </w:t>
      </w:r>
      <w:r w:rsidRPr="00065FAA">
        <w:rPr>
          <w:rFonts w:ascii="Palatino Linotype" w:hAnsi="Palatino Linotype" w:cs="Arial"/>
          <w:i/>
          <w:sz w:val="22"/>
          <w:szCs w:val="22"/>
          <w:lang w:val="es-ES" w:eastAsia="gl-ES"/>
        </w:rPr>
        <w:t xml:space="preserve">Los nombramientos, contratos o formato único de Movimientos de Personal de los servidores públicos deberán contener: </w:t>
      </w:r>
    </w:p>
    <w:p w:rsidR="00C86888" w:rsidRPr="00065FAA" w:rsidRDefault="00C86888" w:rsidP="00C86888">
      <w:pPr>
        <w:ind w:left="851" w:right="902"/>
        <w:jc w:val="both"/>
        <w:rPr>
          <w:rFonts w:ascii="Palatino Linotype" w:hAnsi="Palatino Linotype" w:cs="Arial"/>
          <w:b/>
          <w:i/>
          <w:sz w:val="22"/>
          <w:szCs w:val="22"/>
          <w:lang w:val="es-ES" w:eastAsia="gl-ES"/>
        </w:rPr>
      </w:pPr>
      <w:r w:rsidRPr="00065FAA">
        <w:rPr>
          <w:rFonts w:ascii="Palatino Linotype" w:hAnsi="Palatino Linotype" w:cs="Arial"/>
          <w:i/>
          <w:sz w:val="22"/>
          <w:szCs w:val="22"/>
          <w:lang w:val="es-ES" w:eastAsia="gl-ES"/>
        </w:rPr>
        <w:t xml:space="preserve">I. </w:t>
      </w:r>
      <w:r w:rsidRPr="00065FAA">
        <w:rPr>
          <w:rFonts w:ascii="Palatino Linotype" w:hAnsi="Palatino Linotype" w:cs="Arial"/>
          <w:b/>
          <w:i/>
          <w:sz w:val="22"/>
          <w:szCs w:val="22"/>
          <w:lang w:val="es-ES" w:eastAsia="gl-ES"/>
        </w:rPr>
        <w:t xml:space="preserve">Nombre completo del servidor público;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II.</w:t>
      </w:r>
      <w:r w:rsidRPr="00065FAA">
        <w:rPr>
          <w:rFonts w:ascii="Palatino Linotype" w:hAnsi="Palatino Linotype" w:cs="Arial"/>
          <w:b/>
          <w:i/>
          <w:sz w:val="22"/>
          <w:szCs w:val="22"/>
          <w:lang w:val="es-ES" w:eastAsia="gl-ES"/>
        </w:rPr>
        <w:t xml:space="preserve"> Cargo para el que es designado, fecha de inicio de sus servicios y lugar de adscripción</w:t>
      </w:r>
      <w:r w:rsidRPr="00065FAA">
        <w:rPr>
          <w:rFonts w:ascii="Palatino Linotype" w:hAnsi="Palatino Linotype" w:cs="Arial"/>
          <w:i/>
          <w:sz w:val="22"/>
          <w:szCs w:val="22"/>
          <w:lang w:val="es-ES" w:eastAsia="gl-ES"/>
        </w:rPr>
        <w:t xml:space="preserve">;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 xml:space="preserve">III. Carácter del nombramiento, ya sea de servidores públicos generales o de confianza, así como la temporalidad del mismo;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 xml:space="preserve">IV. Remuneración correspondiente al puesto;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 xml:space="preserve">V. Jornada de trabajo;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 xml:space="preserve">VI. Derogada; </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VII. Firma del servidor público autorizado para emitir el nombramiento, contrato o formato único de Movimientos de Personal, así como el fundamento legal de esa atribución.”</w:t>
      </w:r>
    </w:p>
    <w:p w:rsidR="00C86888" w:rsidRPr="00065FAA" w:rsidRDefault="00C86888" w:rsidP="00C86888">
      <w:pPr>
        <w:ind w:left="851" w:right="902"/>
        <w:jc w:val="both"/>
        <w:rPr>
          <w:rFonts w:ascii="Palatino Linotype" w:hAnsi="Palatino Linotype" w:cs="Arial"/>
          <w:i/>
          <w:sz w:val="22"/>
          <w:szCs w:val="22"/>
          <w:lang w:val="es-ES" w:eastAsia="gl-ES"/>
        </w:rPr>
      </w:pPr>
      <w:r w:rsidRPr="00065FAA">
        <w:rPr>
          <w:rFonts w:ascii="Palatino Linotype" w:hAnsi="Palatino Linotype" w:cs="Arial"/>
          <w:i/>
          <w:sz w:val="22"/>
          <w:szCs w:val="22"/>
          <w:lang w:val="es-ES" w:eastAsia="gl-ES"/>
        </w:rPr>
        <w:t>(Énfasis añadido)</w:t>
      </w:r>
    </w:p>
    <w:p w:rsidR="00C86888" w:rsidRPr="00065FAA" w:rsidRDefault="00C86888" w:rsidP="00C86888">
      <w:pPr>
        <w:ind w:left="851" w:right="902"/>
        <w:jc w:val="both"/>
        <w:rPr>
          <w:rFonts w:ascii="Palatino Linotype" w:hAnsi="Palatino Linotype" w:cs="Arial"/>
          <w:i/>
          <w:sz w:val="22"/>
          <w:szCs w:val="22"/>
          <w:lang w:val="es-ES" w:eastAsia="gl-ES"/>
        </w:rPr>
      </w:pPr>
    </w:p>
    <w:p w:rsidR="00C86888" w:rsidRPr="00065FAA" w:rsidRDefault="00C86888" w:rsidP="00C86888">
      <w:pPr>
        <w:widowControl w:val="0"/>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065FAA">
        <w:rPr>
          <w:rFonts w:ascii="Palatino Linotype" w:eastAsia="Arial Unicode MS" w:hAnsi="Palatino Linotype" w:cs="Arial"/>
          <w:lang w:val="es-ES"/>
        </w:rPr>
        <w:t xml:space="preserve">Por consiguiente, este Órgano Garante advierte que la información referente al nombramiento y a la fecha de toma del cargo de los servidores públicos referidos,  se puede dar por colmado de manera enunciativa más no limitativa con la entrega de </w:t>
      </w:r>
      <w:r w:rsidRPr="00065FAA">
        <w:rPr>
          <w:rFonts w:ascii="Palatino Linotype" w:hAnsi="Palatino Linotype" w:cs="Arial"/>
        </w:rPr>
        <w:t xml:space="preserve">los nombramientos, contratos o formato único de movimientos de personal de los </w:t>
      </w:r>
      <w:r w:rsidRPr="00065FAA">
        <w:rPr>
          <w:rFonts w:ascii="Palatino Linotype" w:hAnsi="Palatino Linotype" w:cs="Arial"/>
        </w:rPr>
        <w:lastRenderedPageBreak/>
        <w:t>servidores públicos, mismos que a su vez también fueron solicitados por el particular</w:t>
      </w:r>
      <w:r w:rsidRPr="00065FAA">
        <w:rPr>
          <w:rFonts w:ascii="Palatino Linotype" w:eastAsia="Arial Unicode MS" w:hAnsi="Palatino Linotype" w:cs="Arial"/>
          <w:lang w:val="es-ES"/>
        </w:rPr>
        <w:t xml:space="preserve">; y, en razón, de que constituye información que genera, posee y administra </w:t>
      </w:r>
      <w:r w:rsidRPr="00065FAA">
        <w:rPr>
          <w:rFonts w:ascii="Palatino Linotype" w:eastAsia="Arial Unicode MS" w:hAnsi="Palatino Linotype" w:cs="Arial"/>
          <w:b/>
          <w:lang w:val="es-ES"/>
        </w:rPr>
        <w:t>EL SUJETO OBLIGADO</w:t>
      </w:r>
      <w:r w:rsidRPr="00065FAA">
        <w:rPr>
          <w:rFonts w:ascii="Palatino Linotype" w:eastAsia="Arial Unicode MS" w:hAnsi="Palatino Linotype" w:cs="Arial"/>
          <w:lang w:val="es-ES"/>
        </w:rPr>
        <w:t xml:space="preserve"> en el ejercicio de sus funciones de derecho público; por ende, se actualiza la hipótesis normativa prevista en los artículo 4 y 12 de la Ley de la materia, previamente citados, puesto que </w:t>
      </w:r>
      <w:r w:rsidRPr="00065FAA">
        <w:rPr>
          <w:rFonts w:ascii="Palatino Linotype" w:eastAsia="Arial Unicode MS" w:hAnsi="Palatino Linotype" w:cs="Arial"/>
          <w:b/>
          <w:lang w:val="es-ES"/>
        </w:rPr>
        <w:t xml:space="preserve">EL SUJETO OBLIGADO </w:t>
      </w:r>
      <w:r w:rsidRPr="00065FAA">
        <w:rPr>
          <w:rFonts w:ascii="Palatino Linotype" w:eastAsia="Arial Unicode MS" w:hAnsi="Palatino Linotype" w:cs="Arial"/>
          <w:lang w:val="es-ES"/>
        </w:rPr>
        <w:t xml:space="preserve">tiene la obligación de entregar la información en estado en el que ésta se encuentre.  </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lang w:val="es-ES"/>
        </w:rPr>
        <w:t>En consecuencia</w:t>
      </w:r>
      <w:r w:rsidRPr="00065FAA">
        <w:rPr>
          <w:rFonts w:ascii="Palatino Linotype" w:hAnsi="Palatino Linotype" w:cs="Arial"/>
        </w:rPr>
        <w:t xml:space="preserve">, el Pleno de este Instituto determina ordenar al </w:t>
      </w:r>
      <w:r w:rsidRPr="00065FAA">
        <w:rPr>
          <w:rFonts w:ascii="Palatino Linotype" w:hAnsi="Palatino Linotype" w:cs="Arial"/>
          <w:b/>
        </w:rPr>
        <w:t>SUJETO OBLIGADO</w:t>
      </w:r>
      <w:r w:rsidRPr="00065FAA">
        <w:rPr>
          <w:rFonts w:ascii="Palatino Linotype" w:hAnsi="Palatino Linotype" w:cs="Arial"/>
        </w:rPr>
        <w:t xml:space="preserve">, entregue al </w:t>
      </w:r>
      <w:r w:rsidRPr="00065FAA">
        <w:rPr>
          <w:rFonts w:ascii="Palatino Linotype" w:hAnsi="Palatino Linotype" w:cs="Arial"/>
          <w:b/>
        </w:rPr>
        <w:t xml:space="preserve">RECURRENTE, </w:t>
      </w:r>
      <w:r w:rsidRPr="00065FAA">
        <w:rPr>
          <w:rFonts w:ascii="Palatino Linotype" w:hAnsi="Palatino Linotype" w:cs="Arial"/>
        </w:rPr>
        <w:t xml:space="preserve">los nombramientos, contratos o formato único de movimientos de personal de los servidores públicos requeridos, que ostentaban el cargo al siete de febrero de dos mil veinte.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Por cuanto hace al requerimiento realizado por el particular identificado con el numeral 3, relacionado con el acta entrega-recepción, </w:t>
      </w:r>
      <w:r w:rsidRPr="00065FAA">
        <w:rPr>
          <w:rFonts w:ascii="Palatino Linotype" w:hAnsi="Palatino Linotype" w:cs="Arial"/>
          <w:b/>
        </w:rPr>
        <w:t>EL SUJETO OBLIGADO</w:t>
      </w:r>
      <w:r w:rsidRPr="00065FAA">
        <w:rPr>
          <w:rFonts w:ascii="Palatino Linotype" w:hAnsi="Palatino Linotype" w:cs="Arial"/>
        </w:rPr>
        <w:t xml:space="preserve"> no hizo pronunciamiento alguno.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cs="Arial"/>
        </w:rPr>
        <w:t xml:space="preserve">En esa virtud, este Instituto, como ente garante del derecho de acceso a la información, analizó el marco normativo que rige al </w:t>
      </w:r>
      <w:r w:rsidRPr="00065FAA">
        <w:rPr>
          <w:rFonts w:ascii="Palatino Linotype" w:hAnsi="Palatino Linotype" w:cs="Arial"/>
          <w:b/>
        </w:rPr>
        <w:t>SUJETO OBLIGAD</w:t>
      </w:r>
      <w:r w:rsidR="009D5671" w:rsidRPr="00065FAA">
        <w:rPr>
          <w:rFonts w:ascii="Palatino Linotype" w:hAnsi="Palatino Linotype" w:cs="Arial"/>
          <w:b/>
        </w:rPr>
        <w:t>O</w:t>
      </w:r>
      <w:r w:rsidRPr="00065FAA">
        <w:rPr>
          <w:rFonts w:ascii="Palatino Linotype" w:hAnsi="Palatino Linotype" w:cs="Arial"/>
        </w:rPr>
        <w:t xml:space="preserve"> en materia de entrega-recepción municipal y advirtió que, de conformidad con el artículo 19 de la Ley Orgánica Municipal del Estado de México, se establece que a </w:t>
      </w:r>
      <w:r w:rsidRPr="00065FAA">
        <w:rPr>
          <w:rFonts w:ascii="Palatino Linotype" w:hAnsi="Palatino Linotype"/>
        </w:rPr>
        <w:t xml:space="preserve">las nueve horas del día 1 de enero del año inmediato siguiente a aquel en que se hayan efectuado las elecciones municipales, el ayuntamiento saliente dará posesión de las oficinas municipales a los miembros del ayuntamiento entrante, que hubieren rendido la protesta de ley.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Asimismo, se establece que la inasistencia de los integrantes del ayuntamiento </w:t>
      </w:r>
      <w:r w:rsidRPr="00065FAA">
        <w:rPr>
          <w:rFonts w:ascii="Palatino Linotype" w:hAnsi="Palatino Linotype"/>
        </w:rPr>
        <w:lastRenderedPageBreak/>
        <w:t xml:space="preserve">saliente no será obstáculo para que se dé por instalado el entrante, sin perjuicio de las sanciones que establezcan las disposiciones jurídicas aplicables.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En esa misma virtud, el precepto legal dicta que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w:t>
      </w:r>
      <w:r w:rsidRPr="00065FAA">
        <w:rPr>
          <w:rFonts w:ascii="Palatino Linotype" w:hAnsi="Palatino Linotype"/>
        </w:rPr>
        <w:tab/>
        <w:t xml:space="preserve">OSFEM).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De igual forma, el citado precepto legal dicta que 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w:t>
      </w:r>
      <w:r w:rsidRPr="00065FAA">
        <w:rPr>
          <w:rFonts w:ascii="Palatino Linotype" w:hAnsi="Palatino Linotype"/>
        </w:rPr>
        <w:lastRenderedPageBreak/>
        <w:t xml:space="preserve">otra responsabilidad administrativa relacionada con el acto.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Ante dicha fuente obligacional, el diverso artículo 8, fracción XI de la Ley de Fiscalización Superior del Estado de México establece que el OSFEM podrá establecer los lineamientos, criterios, procedimientos, métodos y sistemas para las acciones de control y evaluación, necesarios para la fiscalización de las cuentas públicas y los informes mensuales.</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En esa tesitura, el Auditor Superior del OSFEM emitió y publicó los </w:t>
      </w:r>
      <w:r w:rsidRPr="00065FAA">
        <w:rPr>
          <w:rFonts w:ascii="Palatino Linotype" w:hAnsi="Palatino Linotype" w:cs="Arial"/>
          <w:color w:val="000000" w:themeColor="text1"/>
        </w:rPr>
        <w:t xml:space="preserve">Lineamientos que Regulan la Entrega-Recepción de la Administración Pública Municipal del Estado de México, </w:t>
      </w:r>
      <w:r w:rsidRPr="00065FAA">
        <w:rPr>
          <w:rFonts w:ascii="Palatino Linotype" w:hAnsi="Palatino Linotype"/>
        </w:rPr>
        <w:t xml:space="preserve">en el Periódico Oficial del Gobierno del Estado de México </w:t>
      </w:r>
      <w:r w:rsidRPr="00065FAA">
        <w:rPr>
          <w:rFonts w:ascii="Palatino Linotype" w:hAnsi="Palatino Linotype"/>
          <w:i/>
        </w:rPr>
        <w:t>“Gaceta del Gobierno”,</w:t>
      </w:r>
      <w:r w:rsidRPr="00065FAA">
        <w:rPr>
          <w:rFonts w:ascii="Palatino Linotype" w:hAnsi="Palatino Linotype"/>
        </w:rPr>
        <w:t xml:space="preserve"> de fecha 2 de agosto de 2018, de los cuales, en su introducción, se destaca el uso de una sola acta de entrega-recepción con sus anexos, en la que deberá asentarse información de la unidad administrativa que se entrega y acompañarse de la evidencia fehaciente, con temas como: información de la oficina que se entrega, información de evaluación programática, administrativa, financiera, laboral, catastral, de obras públicas, general, patrimonial, entre otra.</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Así, los Lineamientos en comento tienen por objeto regular la entrega-recepción de la administración pública municipal del Estado de México; por ello, el Lineamiento 4, numerales I, III, XVIII y XIX prevé las siguientes definiciones: ACTA DE ENTREGA-RECEPCIÓN: Al documento que contiene la relación de la información del acto de entrega-recepción del empleo, cargo o comisión desempeñado durante la administración pública municipal; ANEXOS: Al conjunto de documentos que contienen la información que se integrará al acta de entrega-recepción; SERVIDOR </w:t>
      </w:r>
      <w:r w:rsidRPr="00065FAA">
        <w:rPr>
          <w:rFonts w:ascii="Palatino Linotype" w:hAnsi="Palatino Linotype"/>
        </w:rPr>
        <w:lastRenderedPageBreak/>
        <w:t xml:space="preserve">PÚBLICO ENTRANTE: Al servidor público que recibe el despacho </w:t>
      </w:r>
      <w:r w:rsidRPr="00065FAA">
        <w:rPr>
          <w:rFonts w:ascii="Palatino Linotype" w:hAnsi="Palatino Linotype"/>
          <w:b/>
        </w:rPr>
        <w:t>de la unidad administrativa,</w:t>
      </w:r>
      <w:r w:rsidRPr="00065FAA">
        <w:rPr>
          <w:rFonts w:ascii="Palatino Linotype" w:hAnsi="Palatino Linotype"/>
        </w:rPr>
        <w:t xml:space="preserve"> con todos sus recursos, documentos e información inherentes a las atribuciones, funciones, facultades y actividades del área; y, SERVIDOR PÚBLICO SALIENTE: Al servidor público que se separa de su empleo, cargo o comisión y entrega el despacho de la unidad administrativa, con todos sus recursos, documentos e información inherentes a las atribuciones, funciones, facultades y actividades del área.</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Por su parte, el Lineamiento 5 del cuerpo normativo descrito establece que las autoridades competentes para llevar a cabo los actos de entrega-recepción son: (i) el presidente municipal; (ii) el síndico, en caso de que sean dos o más, será el primero de ellos; y (iii) los titulares de los órganos de control interno. </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Asimismo, en el ámbito de los Ayuntamientos, el Lineamiento 6, numeral I establece que las actas de entrega-recepción que deberán ser remitidas al OSFEM deben ser las siguientes: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Presidente municipal;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Síndico (s) municipal (es);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Regidores;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Secretario del ayuntamiento;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b/>
        </w:rPr>
        <w:t>Tesorero municipal</w:t>
      </w:r>
      <w:r w:rsidRPr="00065FAA">
        <w:rPr>
          <w:rFonts w:ascii="Palatino Linotype" w:hAnsi="Palatino Linotype"/>
        </w:rPr>
        <w:t xml:space="preserv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Director de administración o su equivalente;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b/>
        </w:rPr>
        <w:t>Director de obras públicas o su equivalente</w:t>
      </w:r>
      <w:r w:rsidRPr="00065FAA">
        <w:rPr>
          <w:rFonts w:ascii="Palatino Linotype" w:hAnsi="Palatino Linotype"/>
        </w:rPr>
        <w:t xml:space="preserv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lastRenderedPageBreak/>
        <w:t xml:space="preserve">Director de desarrollo económico o su equivalente;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Titular del órgano de control interno;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Titular de la unidad de información (Transparencia);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Director de catastro o su equivalente;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b/>
        </w:rPr>
        <w:t>Director de protección civil o su equivalente</w:t>
      </w:r>
      <w:r w:rsidRPr="00065FAA">
        <w:rPr>
          <w:rFonts w:ascii="Palatino Linotype" w:hAnsi="Palatino Linotype"/>
        </w:rPr>
        <w:t xml:space="preserve">;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rPr>
      </w:pPr>
      <w:r w:rsidRPr="00065FAA">
        <w:rPr>
          <w:rFonts w:ascii="Palatino Linotype" w:hAnsi="Palatino Linotype"/>
        </w:rPr>
        <w:t xml:space="preserve">Director de mejora regulatoria o su equivalente, y </w:t>
      </w:r>
    </w:p>
    <w:p w:rsidR="00C86888" w:rsidRPr="00065FAA" w:rsidRDefault="00C86888" w:rsidP="00974234">
      <w:pPr>
        <w:pStyle w:val="Prrafodelista"/>
        <w:widowControl w:val="0"/>
        <w:numPr>
          <w:ilvl w:val="1"/>
          <w:numId w:val="4"/>
        </w:numPr>
        <w:tabs>
          <w:tab w:val="left" w:pos="1276"/>
        </w:tabs>
        <w:autoSpaceDE w:val="0"/>
        <w:autoSpaceDN w:val="0"/>
        <w:adjustRightInd w:val="0"/>
        <w:spacing w:before="240" w:after="100" w:afterAutospacing="1"/>
        <w:ind w:right="49"/>
        <w:jc w:val="both"/>
        <w:rPr>
          <w:rFonts w:ascii="Palatino Linotype" w:hAnsi="Palatino Linotype"/>
          <w:b/>
        </w:rPr>
      </w:pPr>
      <w:r w:rsidRPr="00065FAA">
        <w:rPr>
          <w:rFonts w:ascii="Palatino Linotype" w:hAnsi="Palatino Linotype"/>
          <w:b/>
        </w:rPr>
        <w:t>Titulares de áreas a nivel dirección que se encuentren determinadas en la estructura orgánica administrativa de la entidad.</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 xml:space="preserve">Precisado lo anterior, el Lineamiento 8 de los </w:t>
      </w:r>
      <w:r w:rsidRPr="00065FAA">
        <w:rPr>
          <w:rFonts w:ascii="Palatino Linotype" w:hAnsi="Palatino Linotype" w:cs="Arial"/>
          <w:color w:val="000000" w:themeColor="text1"/>
        </w:rPr>
        <w:t xml:space="preserve">Lineamientos que Regulan la Entrega-Recepción de la Administración Pública Municipal del Estado de México, </w:t>
      </w:r>
      <w:r w:rsidRPr="00065FAA">
        <w:rPr>
          <w:rFonts w:ascii="Palatino Linotype" w:hAnsi="Palatino Linotype"/>
        </w:rPr>
        <w:t>de fecha 2 de agosto de 2018, establece que la Entrega-Recepción se realizará cuando un servidor público se separe de su empleo, cargo o comisión, de cualquier naturaleza, con independencia del acto jurídico temporal o definitivo que haya originado esa separación. Se entregará al servidor público entrante el despacho de la Unidad Administrativa, con todos sus recursos, documentos e información inherente a las atribuciones, funciones, facultades y actividades del área.</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t>Así, las cosas, el diverso Lineamiento 14 dicta que el acta y los anexos derivados del acto de entrega-recepción se deberán generar en el sistema implementado para tal efecto y que, en el acto, intervendrán: (i) el servidor público entrante; (ii) el servidor público saliente; (iii) el testigo del servidor público entrante; (iv) el testigo del servidor público saliente, y (v) El titular del órgano de control interno o el síndico en su caso.</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65FAA">
        <w:rPr>
          <w:rFonts w:ascii="Palatino Linotype" w:hAnsi="Palatino Linotype"/>
        </w:rPr>
        <w:lastRenderedPageBreak/>
        <w:t>Bajo esa óptica, el Lineamiento 16 del cuerpo normativo en cita establece que el acta de entrega-recepción deberá contener, por lo menos, la siguiente información:</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del municipio en donde se efectúa la entrega-recepción;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La hora en la que se efectúa el acto de entrega-recepción;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día, mes y año en que se realizará el acto de entrega-recepción;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La denominación de la unidad administrativa de la que se realiza el acto de entrega-recepción, tal como se especifica en la estructura orgánica funcional;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domicilio de la unidad administrativa que se entrega, incluyendo calle, número, colonia, código postal y municipio;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completo del servidor público saliente, tal como aparece en su credencial para votar vigente;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completo del servidor público entrante, tal como aparece en su credencial para votar vigente;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completo del testigo del servidor público saliente y del testigo del servidor público entrante, según sea el caso, tal como aparece en la credencial para votar vigente;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completo del contralor interno y/o del síndico que intervendrá en el acto de entrega-recepción;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Nombre del empleo, cargo o comisión del servidor público saliente o entrante, según sea el caso, tal como aparece en su constancia de mayoría, decreto publicado en Gaceta del Gobierno y/o </w:t>
      </w:r>
      <w:r w:rsidRPr="00065FAA">
        <w:rPr>
          <w:rFonts w:ascii="Palatino Linotype" w:hAnsi="Palatino Linotype"/>
        </w:rPr>
        <w:lastRenderedPageBreak/>
        <w:t xml:space="preserve">acuerdo de cabildo;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Para los servidores públicos saliente y entrante, el día, mes y año de inicio del cargo. En caso de existir diferencias con la fecha del documento que acredite el cargo, se realizará la aclaración correspondiente en el apartado de observaciones;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Para el servidor público saliente, día, mes y año en el que se separa del cargo. En caso de existir diferencias contra la fecha del documento que avale la separación del cargo, realizar la aclaración correspondiente en el apartado de observaciones;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Domicilio particular del servidor público saliente o entrante, según sea el caso, tal como aparece en la credencial para votar vigente o comprobante domiciliario, incluyendo calle, número, colonia, código postal y municipio;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Clave Única de Registro de Población del servidor público saliente o entrante, según sea el caso;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Registro Federal de Contribuyentes con homoclave del servidor público saliente o entrante, según sea el caso;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Teléfono particular o celular del servidor público saliente o entrante, según sea el caso;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Señalar domicilio para oír y recibir todo tipo de notificaciones, que deberá estar ubicado dentro del territorio del Estado de México para estar en posibilidad de atender los asuntos requeridos por el Órgano Superior;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El nombre completo de la(s) persona(s) con capacidad legal que </w:t>
      </w:r>
      <w:r w:rsidRPr="00065FAA">
        <w:rPr>
          <w:rFonts w:ascii="Palatino Linotype" w:hAnsi="Palatino Linotype"/>
        </w:rPr>
        <w:lastRenderedPageBreak/>
        <w:t xml:space="preserve">el servidor público saliente autoriza para que reciba(n) las notificaciones en su nombre, quien(es) deberá(n) ser localizable(s) en el domicilio que deberá estar ubicado dentro del territorio del Estado de México;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Del servidor público saliente, entrante y de los testigos, del síndico municipal o titular del órgano de control interno que interviene en el acto de entrega-recepción, según sea el caso, describir el documento con el cual se identifican (credencial para votar o identificación oficial) y el número que se encuentra al reverso de la credencial para votar vigente o folio de la identificación oficial, indicando qué institución la expide, por ejemplo: el Instituto Nacional Electoral, el ayuntamiento, etc.;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Nota adicional que aclare o especifique alguna característica de la información que se entrega;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Notas o comentarios relevantes que precisen algún dato o situación sobre la entrega-recepción (espacio para ser usado únicamente por el servidor público saliente, servidor público entrante, contralor interno y/o el síndico); </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Firma de los servidores públicos saliente y entrante, de los testigos, contralor interno y/o del síndico municipal que interviene en el acto de entrega-recepción, y,</w:t>
      </w:r>
    </w:p>
    <w:p w:rsidR="00C86888" w:rsidRPr="00065FAA" w:rsidRDefault="00C86888" w:rsidP="00974234">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851" w:right="902" w:firstLine="0"/>
        <w:jc w:val="both"/>
        <w:rPr>
          <w:rFonts w:ascii="Palatino Linotype" w:hAnsi="Palatino Linotype"/>
        </w:rPr>
      </w:pPr>
      <w:r w:rsidRPr="00065FAA">
        <w:rPr>
          <w:rFonts w:ascii="Palatino Linotype" w:hAnsi="Palatino Linotype"/>
        </w:rPr>
        <w:t xml:space="preserve">La hora en que se da por terminado el acto de entrega-recepción. La fecha de corte de la información descrita en el acta deberá corresponder al último día del ejercicio del empleo, cargo o comisión </w:t>
      </w:r>
      <w:r w:rsidRPr="00065FAA">
        <w:rPr>
          <w:rFonts w:ascii="Palatino Linotype" w:hAnsi="Palatino Linotype"/>
        </w:rPr>
        <w:lastRenderedPageBreak/>
        <w:t>del servidor público saliente.</w:t>
      </w:r>
    </w:p>
    <w:p w:rsidR="00C86888" w:rsidRPr="00065FAA" w:rsidRDefault="00C86888" w:rsidP="00C868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65FAA">
        <w:rPr>
          <w:rFonts w:ascii="Palatino Linotype" w:hAnsi="Palatino Linotype"/>
        </w:rPr>
        <w:t xml:space="preserve">Finalmente, este Instituto no omite mencionar que el Lineamiento 18 de los </w:t>
      </w:r>
      <w:r w:rsidRPr="00065FAA">
        <w:rPr>
          <w:rFonts w:ascii="Palatino Linotype" w:hAnsi="Palatino Linotype" w:cs="Arial"/>
          <w:color w:val="000000" w:themeColor="text1"/>
        </w:rPr>
        <w:t xml:space="preserve">Lineamientos que Regulan la Entrega-Recepción de la Administración Pública Municipal del Estado de México, </w:t>
      </w:r>
      <w:r w:rsidRPr="00065FAA">
        <w:rPr>
          <w:rFonts w:ascii="Palatino Linotype" w:hAnsi="Palatino Linotype"/>
        </w:rPr>
        <w:t>de fecha 2 de agosto de 2018, prevé que para el caso específico de la entrega-recepción de la Presidencia, generada en un acto por término de administración, será recabada por el servidor público comisionado y que el titular del órgano de control interno, o el síndico en su caso, deberá remitir al OSFEM, en un plazo no mayor a cinco días hábiles, contados a partir del día siguiente al de la suscripción del acta de entrega-recepción, la documentación correspondiente.</w:t>
      </w:r>
    </w:p>
    <w:p w:rsidR="00C86888" w:rsidRPr="00065FAA" w:rsidRDefault="00C86888" w:rsidP="00C86888">
      <w:pPr>
        <w:spacing w:before="100" w:beforeAutospacing="1" w:after="100" w:afterAutospacing="1" w:line="360" w:lineRule="auto"/>
        <w:jc w:val="both"/>
        <w:rPr>
          <w:rFonts w:ascii="Palatino Linotype" w:hAnsi="Palatino Linotype"/>
        </w:rPr>
      </w:pPr>
      <w:r w:rsidRPr="00065FAA">
        <w:rPr>
          <w:rFonts w:ascii="Palatino Linotype" w:hAnsi="Palatino Linotype"/>
        </w:rPr>
        <w:t>Bajo esa óptica, es importante resaltar que ante la fuente obligacional descrita en los párrafos que anteceden,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C86888" w:rsidRPr="00065FAA" w:rsidRDefault="00C86888" w:rsidP="00C86888">
      <w:pPr>
        <w:spacing w:before="100" w:beforeAutospacing="1" w:after="100" w:afterAutospacing="1" w:line="360" w:lineRule="auto"/>
        <w:jc w:val="both"/>
        <w:rPr>
          <w:rFonts w:ascii="Palatino Linotype" w:hAnsi="Palatino Linotype"/>
        </w:rPr>
      </w:pPr>
      <w:r w:rsidRPr="00065FAA">
        <w:rPr>
          <w:rFonts w:ascii="Palatino Linotype" w:hAnsi="Palatino Linotype"/>
        </w:rPr>
        <w:t xml:space="preserve">En esa virtud, es claro que </w:t>
      </w:r>
      <w:r w:rsidRPr="00065FAA">
        <w:rPr>
          <w:rFonts w:ascii="Palatino Linotype" w:hAnsi="Palatino Linotype"/>
          <w:b/>
        </w:rPr>
        <w:t>EL SUJETO OBLIGADO</w:t>
      </w:r>
      <w:r w:rsidRPr="00065FAA">
        <w:rPr>
          <w:rFonts w:ascii="Palatino Linotype" w:hAnsi="Palatino Linotype"/>
        </w:rPr>
        <w:t xml:space="preserve"> cuenta con la información peticionada, específicamente con el acta de entrega-recepción de Tesorería, Dirección de Obras Públicas o equivalente, Dirección de protección civil o su equivalente y los titulares de áreas a nivel dirección que encuentren determinadas en la estructura orgánica administrativa de la entidad, entregada a la</w:t>
      </w:r>
      <w:r w:rsidRPr="00065FAA">
        <w:rPr>
          <w:rFonts w:ascii="Palatino Linotype" w:hAnsi="Palatino Linotype" w:cs="Arial"/>
          <w:color w:val="000000" w:themeColor="text1"/>
        </w:rPr>
        <w:t xml:space="preserve"> Administración 2019-2021 y sus anexos; por lo que, este Instituto estima que lo procedente es ordenar su entrega en </w:t>
      </w:r>
      <w:r w:rsidRPr="00065FAA">
        <w:rPr>
          <w:rFonts w:ascii="Palatino Linotype" w:hAnsi="Palatino Linotype" w:cs="Arial"/>
          <w:b/>
          <w:color w:val="000000" w:themeColor="text1"/>
        </w:rPr>
        <w:t>versión pública</w:t>
      </w:r>
      <w:r w:rsidRPr="00065FAA">
        <w:rPr>
          <w:rFonts w:ascii="Palatino Linotype" w:hAnsi="Palatino Linotype" w:cs="Arial"/>
          <w:color w:val="000000" w:themeColor="text1"/>
        </w:rPr>
        <w:t>.</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lastRenderedPageBreak/>
        <w:t xml:space="preserve">Por otro lado, respecto al requerimiento realizado por el particular identificado con el numeral 4, relacionado con el Currículum Vitae de los servidores públicos que ocupan los cargos referidos con anterioridad, </w:t>
      </w:r>
      <w:r w:rsidRPr="00065FAA">
        <w:rPr>
          <w:rFonts w:ascii="Palatino Linotype" w:hAnsi="Palatino Linotype" w:cs="Arial"/>
          <w:b/>
        </w:rPr>
        <w:t>EL SUJETO OBLIGADO</w:t>
      </w:r>
      <w:r w:rsidRPr="00065FAA">
        <w:rPr>
          <w:rFonts w:ascii="Palatino Linotype" w:hAnsi="Palatino Linotype" w:cs="Arial"/>
        </w:rPr>
        <w:t xml:space="preserve"> con la finalidad de colmar la pretensión del particular informó que dicha información podía ser consultada en la página electrónica </w:t>
      </w:r>
      <w:hyperlink r:id="rId25" w:history="1">
        <w:r w:rsidRPr="00065FAA">
          <w:rPr>
            <w:rStyle w:val="Hipervnculo"/>
            <w:rFonts w:ascii="Palatino Linotype" w:hAnsi="Palatino Linotype" w:cs="Arial"/>
          </w:rPr>
          <w:t>http://www.metepec.gob.mx/pagina/index.php</w:t>
        </w:r>
      </w:hyperlink>
      <w:r w:rsidRPr="00065FAA">
        <w:rPr>
          <w:rFonts w:ascii="Palatino Linotype" w:hAnsi="Palatino Linotype" w:cs="Arial"/>
        </w:rPr>
        <w:t xml:space="preserve">, en la sección de transparencia fracción 2018 y posteriores y fracción XXII; asimismo, informó que enviaba en formato digital currículum vitae del Contralor Municipal, Directora de Obras Públicas, Jefa de Departamento de Regulación del Comercio Fijo y Semifijo, Jefe de departamento de presupuesto y del Jefe de departamento de Atención a la Juventud, testando en ellos datos personales como fotografía, dirección, teléfono, correo electrónico, fecha de nacimiento, CURP, RFC y estado civil por considerarse como información confidencial; sin embargo, del expediente electrónico del </w:t>
      </w:r>
      <w:r w:rsidRPr="00065FAA">
        <w:rPr>
          <w:rFonts w:ascii="Palatino Linotype" w:hAnsi="Palatino Linotype" w:cs="Arial"/>
          <w:b/>
        </w:rPr>
        <w:t>SAIMEX</w:t>
      </w:r>
      <w:r w:rsidRPr="00065FAA">
        <w:rPr>
          <w:rFonts w:ascii="Palatino Linotype" w:hAnsi="Palatino Linotype" w:cs="Arial"/>
        </w:rPr>
        <w:t xml:space="preserve"> se puede advertir que el </w:t>
      </w:r>
      <w:r w:rsidRPr="00065FAA">
        <w:rPr>
          <w:rFonts w:ascii="Palatino Linotype" w:hAnsi="Palatino Linotype" w:cs="Arial"/>
          <w:b/>
        </w:rPr>
        <w:t>SUJETO OBLIGADO</w:t>
      </w:r>
      <w:r w:rsidRPr="00065FAA">
        <w:rPr>
          <w:rFonts w:ascii="Palatino Linotype" w:hAnsi="Palatino Linotype" w:cs="Arial"/>
        </w:rPr>
        <w:t xml:space="preserve"> fue omiso en remitir el Acuerdo de Clasificación que emite su Comité de Transparencia en el que fundara y motivara su versión pública. </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w:t>
      </w:r>
      <w:r w:rsidRPr="00065FAA">
        <w:rPr>
          <w:rFonts w:ascii="Palatino Linotype" w:hAnsi="Palatino Linotype" w:cs="Arial"/>
        </w:rPr>
        <w:lastRenderedPageBreak/>
        <w:t xml:space="preserve">determinado, por lo que representan un instrumento de identificación, proyección exterior y factor imprescindible para su propio reconocimiento como sujeto individual. </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i/>
          <w:sz w:val="22"/>
        </w:rPr>
        <w:t>“</w:t>
      </w:r>
      <w:r w:rsidRPr="00065FAA">
        <w:rPr>
          <w:rFonts w:ascii="Palatino Linotype" w:hAnsi="Palatino Linotype" w:cs="Arial"/>
          <w:b/>
          <w:i/>
          <w:sz w:val="22"/>
        </w:rPr>
        <w:t>Artículo 3</w:t>
      </w:r>
      <w:r w:rsidRPr="00065FAA">
        <w:rPr>
          <w:rFonts w:ascii="Palatino Linotype" w:hAnsi="Palatino Linotype" w:cs="Arial"/>
          <w:i/>
          <w:sz w:val="22"/>
        </w:rPr>
        <w:t xml:space="preserve">. Para los efectos de la presente Ley se entenderá por: </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i/>
          <w:sz w:val="22"/>
        </w:rPr>
        <w:t>…</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b/>
          <w:i/>
          <w:sz w:val="22"/>
        </w:rPr>
        <w:t>IX. Datos personales</w:t>
      </w:r>
      <w:r w:rsidRPr="00065FAA">
        <w:rPr>
          <w:rFonts w:ascii="Palatino Linotype" w:hAnsi="Palatino Linotype" w:cs="Arial"/>
          <w:i/>
          <w:sz w:val="22"/>
        </w:rPr>
        <w:t>: La información concerniente a una persona, identificada o identificable según lo dispuesto por la Ley de Protección de Datos Personales del Estado de México;</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b/>
          <w:i/>
          <w:sz w:val="22"/>
        </w:rPr>
        <w:t>Artículo 143</w:t>
      </w:r>
      <w:r w:rsidRPr="00065FAA">
        <w:rPr>
          <w:rFonts w:ascii="Palatino Linotype" w:hAnsi="Palatino Linotype" w:cs="Arial"/>
          <w:i/>
          <w:sz w:val="22"/>
        </w:rPr>
        <w:t>. Para los efectos de esta Ley se considera información confidencial, la clasificada como tal, de manera permanente, por su naturaleza, cuando:</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i/>
          <w:sz w:val="22"/>
        </w:rPr>
        <w:t>I. Se refiera a la información privada y los datos personales concernientes a una persona física o jurídico colectiva identificada o identificable;</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b/>
          <w:i/>
          <w:sz w:val="22"/>
        </w:rPr>
        <w:t>Artículo 4.</w:t>
      </w:r>
      <w:r w:rsidRPr="00065FAA">
        <w:rPr>
          <w:rFonts w:ascii="Palatino Linotype" w:hAnsi="Palatino Linotype" w:cs="Arial"/>
          <w:i/>
          <w:sz w:val="22"/>
        </w:rPr>
        <w:t xml:space="preserve"> Para los efectos de esta Ley se entenderá por:</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i/>
          <w:sz w:val="22"/>
        </w:rPr>
        <w:t>…</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b/>
          <w:i/>
          <w:sz w:val="22"/>
        </w:rPr>
        <w:t>XI. Datos personales</w:t>
      </w:r>
      <w:r w:rsidRPr="00065FAA">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C86888" w:rsidRPr="00065FAA" w:rsidRDefault="00C86888" w:rsidP="00C86888">
      <w:pPr>
        <w:spacing w:before="100" w:beforeAutospacing="1" w:after="100" w:afterAutospacing="1"/>
        <w:ind w:left="709" w:right="757"/>
        <w:jc w:val="both"/>
        <w:rPr>
          <w:rFonts w:ascii="Palatino Linotype" w:hAnsi="Palatino Linotype" w:cs="Arial"/>
          <w:i/>
          <w:sz w:val="22"/>
        </w:rPr>
      </w:pPr>
      <w:r w:rsidRPr="00065FAA">
        <w:rPr>
          <w:rFonts w:ascii="Palatino Linotype" w:hAnsi="Palatino Linotype" w:cs="Arial"/>
          <w:b/>
          <w:i/>
          <w:sz w:val="22"/>
        </w:rPr>
        <w:t>XII. Datos personales sensibles</w:t>
      </w:r>
      <w:r w:rsidRPr="00065FAA">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lastRenderedPageBreak/>
        <w:t>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consienten la intromisión, recolección y tratamiento de sus datos personales y por tanto a la vida privada.</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 xml:space="preserve">Referente a lo anterior, es de indicar que si bien no hay algún ordenamiento del que se advierta la obligatoriedad para difundir su fotografía; en el caso que nos ocupa, al asumir la posesión de la información y proporcionarla mediante respuesta, surge la disyuntiva si la misma es de carácter público o si bien debe prevalecer la confidencialidad.  </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 xml:space="preserve">Ante ello, es importante destacar que algunos servidores públicos tales como Secretario, Tesorero, Director de Obras Públicas, Director de Desarrollo Económico, Coordinador General Municipal de Mejora Regulatoria, Ecología, Desarrollo Urbano, o equivalentes, titulares de las unidades administrativas de Protección Civil, y de los organismos auxiliares, así como del Contralor Municipal y todo mando medio o </w:t>
      </w:r>
      <w:r w:rsidRPr="00065FAA">
        <w:rPr>
          <w:rFonts w:ascii="Palatino Linotype" w:hAnsi="Palatino Linotype" w:cs="Arial"/>
        </w:rPr>
        <w:lastRenderedPageBreak/>
        <w:t>superior, desempeñan un cargo cuyas atribuciones -entre otras- la planeación, ejecución, administración, evaluación y control de los servicios públicos municipales, con recursos propios o en su caso cuando sea necesario con la concesión de algunos de ellos, así como, llevar a cabo las atribuciones conferidas a Directores y Subdirectores, dando cumplimiento a las disposiciones emitidas en materia de administración de documentos, así como de la legislación correspondiente y las relacionadas con la transparencia y acceso a la información, por lo que es un medio de contacto entre la gestión gubernamental y la ciudadanía.</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Dicho de otra manera, la publicidad de la imagen de su rostro permite que sea asociado, en su caso con su nombre, cargo y función de gobierno; lo que permite a la ciudadanía identificar a los servidores públicos encargados de los servicios públicos brindados por el Municipio.</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incluida en un documento de acceso público favorece la rendición de cuentas, al permitir a las personas conocer a sus autoridades. </w:t>
      </w: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cs="Arial"/>
        </w:rPr>
        <w:t xml:space="preserve">Por lo anterior, la transparencia es imprescindible para la vigilancia pública, por ello, no se considera procedente la clasificación de la fotografía de un servidor público que </w:t>
      </w:r>
      <w:r w:rsidRPr="00065FAA">
        <w:rPr>
          <w:rFonts w:ascii="Palatino Linotype" w:hAnsi="Palatino Linotype" w:cs="Arial"/>
        </w:rPr>
        <w:lastRenderedPageBreak/>
        <w:t>tenga nivel medio o superior como confidencial pues resulta mayor el beneficio de conocer a las personas cuyo nivel y/o rango conlleva a emitir actos de autoridad.</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En esa tesitura, esta Ponencia Resolutora tuvo a bien inspeccionar la liga electrónica remitida por el Sujeto Obligado, encontrando lo siguiente:</w:t>
      </w:r>
    </w:p>
    <w:p w:rsidR="00B57C88" w:rsidRPr="00065FAA" w:rsidRDefault="00B57C88" w:rsidP="00C86888">
      <w:pPr>
        <w:autoSpaceDE w:val="0"/>
        <w:autoSpaceDN w:val="0"/>
        <w:adjustRightInd w:val="0"/>
        <w:spacing w:line="360" w:lineRule="auto"/>
        <w:ind w:right="49"/>
        <w:jc w:val="both"/>
        <w:rPr>
          <w:rFonts w:ascii="Palatino Linotype" w:hAnsi="Palatino Linotype" w:cs="Arial"/>
        </w:rPr>
      </w:pPr>
    </w:p>
    <w:p w:rsidR="00C86888" w:rsidRPr="00065FAA" w:rsidRDefault="00EA58C9" w:rsidP="00C86888">
      <w:pPr>
        <w:autoSpaceDE w:val="0"/>
        <w:autoSpaceDN w:val="0"/>
        <w:adjustRightInd w:val="0"/>
        <w:spacing w:line="360" w:lineRule="auto"/>
        <w:ind w:right="49"/>
        <w:jc w:val="both"/>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1300480</wp:posOffset>
                </wp:positionH>
                <wp:positionV relativeFrom="paragraph">
                  <wp:posOffset>2030730</wp:posOffset>
                </wp:positionV>
                <wp:extent cx="2639695" cy="647065"/>
                <wp:effectExtent l="18415" t="13335" r="18415" b="34925"/>
                <wp:wrapNone/>
                <wp:docPr id="1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64706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C0DA0A" id="Rectángulo 34" o:spid="_x0000_s1026" style="position:absolute;margin-left:102.4pt;margin-top:159.9pt;width:207.85pt;height:5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550545</wp:posOffset>
                </wp:positionH>
                <wp:positionV relativeFrom="paragraph">
                  <wp:posOffset>20320</wp:posOffset>
                </wp:positionV>
                <wp:extent cx="1319530" cy="128905"/>
                <wp:effectExtent l="11430" t="12700" r="12065" b="39370"/>
                <wp:wrapNone/>
                <wp:docPr id="1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2890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26C5B2" id="Rectángulo 33" o:spid="_x0000_s1026" style="position:absolute;margin-left:43.35pt;margin-top:1.6pt;width:103.9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1430020</wp:posOffset>
                </wp:positionH>
                <wp:positionV relativeFrom="paragraph">
                  <wp:posOffset>452120</wp:posOffset>
                </wp:positionV>
                <wp:extent cx="2113280" cy="241300"/>
                <wp:effectExtent l="14605" t="15875" r="15240" b="38100"/>
                <wp:wrapNone/>
                <wp:docPr id="1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2413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0C6AC6" id="Rectángulo 32" o:spid="_x0000_s1026" style="position:absolute;margin-left:112.6pt;margin-top:35.6pt;width:166.4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" filled="f" strokecolor="red" strokeweight="1.5pt">
                <v:shadow on="t" opacity="22936f" origin=",.5" offset="0,.63889mm"/>
              </v:rect>
            </w:pict>
          </mc:Fallback>
        </mc:AlternateContent>
      </w:r>
      <w:r w:rsidR="00C86888" w:rsidRPr="00065FAA">
        <w:rPr>
          <w:noProof/>
          <w:lang w:eastAsia="es-MX"/>
        </w:rPr>
        <w:drawing>
          <wp:inline distT="0" distB="0" distL="0" distR="0">
            <wp:extent cx="5791835" cy="291147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911475"/>
                    </a:xfrm>
                    <a:prstGeom prst="rect">
                      <a:avLst/>
                    </a:prstGeom>
                  </pic:spPr>
                </pic:pic>
              </a:graphicData>
            </a:graphic>
          </wp:inline>
        </w:drawing>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Por otra parte, de análisis realizado al portal IPOMEX del Sujeto Obligado, con la finalidad de corroborar la información remitida en respuesta, esta Ponencia Resolutora encontró lo siguiente: </w:t>
      </w:r>
    </w:p>
    <w:p w:rsidR="00C86888" w:rsidRPr="00065FAA" w:rsidRDefault="00EA58C9" w:rsidP="00C86888">
      <w:pPr>
        <w:autoSpaceDE w:val="0"/>
        <w:autoSpaceDN w:val="0"/>
        <w:adjustRightInd w:val="0"/>
        <w:spacing w:line="360" w:lineRule="auto"/>
        <w:ind w:right="49"/>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4364355</wp:posOffset>
                </wp:positionH>
                <wp:positionV relativeFrom="paragraph">
                  <wp:posOffset>1445260</wp:posOffset>
                </wp:positionV>
                <wp:extent cx="825500" cy="127000"/>
                <wp:effectExtent l="15240" t="13335" r="16510" b="40640"/>
                <wp:wrapNone/>
                <wp:docPr id="10"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270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7D28A2" id="Rectángulo 37" o:spid="_x0000_s1026" style="position:absolute;margin-left:343.65pt;margin-top:113.8pt;width:65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337185</wp:posOffset>
                </wp:positionH>
                <wp:positionV relativeFrom="paragraph">
                  <wp:posOffset>671830</wp:posOffset>
                </wp:positionV>
                <wp:extent cx="3600450" cy="952500"/>
                <wp:effectExtent l="17145" t="11430" r="11430" b="36195"/>
                <wp:wrapNone/>
                <wp:docPr id="8"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9525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F68EBF5" id="Rectángulo 36" o:spid="_x0000_s1026" style="position:absolute;margin-left:26.55pt;margin-top:52.9pt;width:283.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" filled="f" strokecolor="red" strokeweight="1.5pt">
                <v:shadow on="t" opacity="22936f" origin=",.5" offset="0,.63889mm"/>
              </v:rect>
            </w:pict>
          </mc:Fallback>
        </mc:AlternateContent>
      </w:r>
      <w:r w:rsidR="00C86888" w:rsidRPr="00065FAA">
        <w:rPr>
          <w:noProof/>
          <w:lang w:eastAsia="es-MX"/>
        </w:rPr>
        <w:drawing>
          <wp:inline distT="0" distB="0" distL="0" distR="0">
            <wp:extent cx="5790571" cy="2298221"/>
            <wp:effectExtent l="0" t="0" r="63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4464" cy="2299766"/>
                    </a:xfrm>
                    <a:prstGeom prst="rect">
                      <a:avLst/>
                    </a:prstGeom>
                  </pic:spPr>
                </pic:pic>
              </a:graphicData>
            </a:graphic>
          </wp:inline>
        </w:drawing>
      </w:r>
    </w:p>
    <w:p w:rsidR="00C86888" w:rsidRPr="00065FAA" w:rsidRDefault="00EA58C9" w:rsidP="00C86888">
      <w:pPr>
        <w:autoSpaceDE w:val="0"/>
        <w:autoSpaceDN w:val="0"/>
        <w:adjustRightInd w:val="0"/>
        <w:spacing w:line="360" w:lineRule="auto"/>
        <w:ind w:right="49"/>
        <w:jc w:val="both"/>
        <w:rPr>
          <w:rFonts w:ascii="Palatino Linotype" w:hAnsi="Palatino Linotype" w:cs="Arial"/>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-13335</wp:posOffset>
                </wp:positionH>
                <wp:positionV relativeFrom="paragraph">
                  <wp:posOffset>2146300</wp:posOffset>
                </wp:positionV>
                <wp:extent cx="4165600" cy="177800"/>
                <wp:effectExtent l="9525" t="16510" r="15875" b="34290"/>
                <wp:wrapNone/>
                <wp:docPr id="5"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0" cy="1778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A40F3" id="Rectángulo 41" o:spid="_x0000_s1026" style="position:absolute;margin-left:-1.05pt;margin-top:169pt;width:328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-26035</wp:posOffset>
                </wp:positionH>
                <wp:positionV relativeFrom="paragraph">
                  <wp:posOffset>2616200</wp:posOffset>
                </wp:positionV>
                <wp:extent cx="2908300" cy="228600"/>
                <wp:effectExtent l="15875" t="10160" r="9525" b="37465"/>
                <wp:wrapNone/>
                <wp:docPr id="4"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286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1A7AC51" id="Rectángulo 40" o:spid="_x0000_s1026" style="position:absolute;margin-left:-2.05pt;margin-top:206pt;width:22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844550</wp:posOffset>
                </wp:positionV>
                <wp:extent cx="5029200" cy="723900"/>
                <wp:effectExtent l="12700" t="10160" r="15875" b="37465"/>
                <wp:wrapNone/>
                <wp:docPr id="3"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2390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7309F6" id="Rectángulo 39" o:spid="_x0000_s1026" style="position:absolute;margin-left:1.45pt;margin-top:66.5pt;width:396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" filled="f" strokecolor="red" strokeweight="1.5pt">
                <v:shadow on="t" opacity="22936f" origin=",.5" offset="0,.63889mm"/>
              </v:rect>
            </w:pict>
          </mc:Fallback>
        </mc:AlternateContent>
      </w:r>
      <w:r w:rsidR="00C86888" w:rsidRPr="00065FAA">
        <w:rPr>
          <w:noProof/>
          <w:lang w:eastAsia="es-MX"/>
        </w:rPr>
        <w:drawing>
          <wp:inline distT="0" distB="0" distL="0" distR="0">
            <wp:extent cx="5791835" cy="304165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3041650"/>
                    </a:xfrm>
                    <a:prstGeom prst="rect">
                      <a:avLst/>
                    </a:prstGeom>
                  </pic:spPr>
                </pic:pic>
              </a:graphicData>
            </a:graphic>
          </wp:inline>
        </w:drawing>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r w:rsidRPr="00065FAA">
        <w:rPr>
          <w:rFonts w:ascii="Palatino Linotype" w:hAnsi="Palatino Linotype" w:cs="Arial"/>
        </w:rPr>
        <w:t xml:space="preserve">De las imágenes insertas con anterioridad se puede observar que el link electrónico que señaló </w:t>
      </w:r>
      <w:r w:rsidRPr="00065FAA">
        <w:rPr>
          <w:rFonts w:ascii="Palatino Linotype" w:hAnsi="Palatino Linotype" w:cs="Arial"/>
          <w:b/>
        </w:rPr>
        <w:t>EL SUJETO OBLIGADO</w:t>
      </w:r>
      <w:r w:rsidRPr="00065FAA">
        <w:rPr>
          <w:rFonts w:ascii="Palatino Linotype" w:hAnsi="Palatino Linotype" w:cs="Arial"/>
        </w:rPr>
        <w:t xml:space="preserve"> a fin de colmar el requerimiento del particular, se observa que remite a la página oficial del Ayuntamiento de Metepec, en el apartado de Transparencia y a su vez a la Información Curricular y Sanciones Administrativas correspondientes al año dos mil diecisiete, tan es así que al analizar dicha liga con el portal de IPOMEX específicamente en la fracción XXI del artículo 92 </w:t>
      </w:r>
      <w:r w:rsidRPr="00065FAA">
        <w:rPr>
          <w:rFonts w:ascii="Palatino Linotype" w:hAnsi="Palatino Linotype" w:cs="Arial"/>
        </w:rPr>
        <w:lastRenderedPageBreak/>
        <w:t xml:space="preserve">de la Ley de la materia, correspondiente al ejercicio fiscal 2019, se advierte que los servidores públicos no coinciden con los señalados en la mencionada liga electrónica, si no con los currículum vitae remitidos en versión pública entregados en respuesta, sin embargo, al tratar de acceder al hipervínculo de la versión pública del currículum vitae de los servidores públicos, se observa que no aparece lleno dicho apartado, sino que únicamente permite conocer el nombre, cargo, nivel máximo de estudios y carrera genérica.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color w:val="000000" w:themeColor="text1"/>
        </w:rPr>
      </w:pPr>
      <w:r w:rsidRPr="00065FAA">
        <w:rPr>
          <w:rFonts w:ascii="Palatino Linotype" w:hAnsi="Palatino Linotype"/>
        </w:rPr>
        <w:t xml:space="preserve">Ahora bien, es importante </w:t>
      </w:r>
      <w:r w:rsidRPr="00065FAA">
        <w:rPr>
          <w:rFonts w:ascii="Palatino Linotype" w:hAnsi="Palatino Linotype" w:cs="Arial"/>
          <w:color w:val="000000" w:themeColor="text1"/>
        </w:rPr>
        <w:t xml:space="preserve">destacar que </w:t>
      </w:r>
      <w:r w:rsidRPr="00065FAA">
        <w:rPr>
          <w:rFonts w:ascii="Palatino Linotype" w:hAnsi="Palatino Linotype" w:cs="Arial"/>
        </w:rPr>
        <w:t>la información requerida por el particular corresponde a la señalada en la fracción XXI del artículo 92 de la Ley de Transparencia y Acceso a la Información Pública del Estado de México y Municipios, que a la letra dice:</w:t>
      </w:r>
    </w:p>
    <w:p w:rsidR="00C86888" w:rsidRPr="00065FAA" w:rsidRDefault="00C86888" w:rsidP="00C86888">
      <w:pPr>
        <w:autoSpaceDE w:val="0"/>
        <w:autoSpaceDN w:val="0"/>
        <w:adjustRightInd w:val="0"/>
        <w:ind w:left="851" w:right="618"/>
        <w:jc w:val="both"/>
        <w:rPr>
          <w:rFonts w:ascii="Palatino Linotype" w:hAnsi="Palatino Linotype" w:cs="Arial"/>
          <w:i/>
          <w:sz w:val="22"/>
          <w:szCs w:val="22"/>
          <w:lang w:val="es-ES"/>
        </w:rPr>
      </w:pPr>
      <w:r w:rsidRPr="00065FAA">
        <w:rPr>
          <w:rFonts w:ascii="Palatino Linotype" w:hAnsi="Palatino Linotype" w:cs="Arial"/>
          <w:i/>
          <w:sz w:val="22"/>
          <w:szCs w:val="22"/>
          <w:lang w:val="es-ES"/>
        </w:rPr>
        <w:t>“</w:t>
      </w:r>
      <w:r w:rsidRPr="00065FAA">
        <w:rPr>
          <w:rFonts w:ascii="Palatino Linotype" w:hAnsi="Palatino Linotype" w:cs="Arial"/>
          <w:b/>
          <w:i/>
          <w:sz w:val="22"/>
          <w:szCs w:val="22"/>
          <w:lang w:val="es-ES"/>
        </w:rPr>
        <w:t>Artículo 92</w:t>
      </w:r>
      <w:r w:rsidRPr="00065FAA">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86888" w:rsidRPr="00065FAA" w:rsidRDefault="00C86888" w:rsidP="00C86888">
      <w:pPr>
        <w:autoSpaceDE w:val="0"/>
        <w:autoSpaceDN w:val="0"/>
        <w:adjustRightInd w:val="0"/>
        <w:ind w:left="851" w:right="618"/>
        <w:jc w:val="both"/>
        <w:rPr>
          <w:rFonts w:ascii="Palatino Linotype" w:hAnsi="Palatino Linotype" w:cs="Arial"/>
          <w:i/>
          <w:sz w:val="22"/>
          <w:szCs w:val="22"/>
          <w:lang w:val="es-ES"/>
        </w:rPr>
      </w:pPr>
      <w:r w:rsidRPr="00065FAA">
        <w:rPr>
          <w:rFonts w:ascii="Palatino Linotype" w:hAnsi="Palatino Linotype" w:cs="Arial"/>
          <w:i/>
          <w:sz w:val="22"/>
          <w:szCs w:val="22"/>
          <w:lang w:val="es-ES"/>
        </w:rPr>
        <w:t>…</w:t>
      </w:r>
    </w:p>
    <w:p w:rsidR="00C86888" w:rsidRPr="00065FAA" w:rsidRDefault="00C86888" w:rsidP="00C86888">
      <w:pPr>
        <w:autoSpaceDE w:val="0"/>
        <w:autoSpaceDN w:val="0"/>
        <w:adjustRightInd w:val="0"/>
        <w:ind w:left="851" w:right="618"/>
        <w:jc w:val="both"/>
        <w:rPr>
          <w:rFonts w:ascii="Palatino Linotype" w:hAnsi="Palatino Linotype" w:cs="Arial"/>
          <w:i/>
          <w:sz w:val="22"/>
          <w:szCs w:val="22"/>
          <w:lang w:val="es-ES"/>
        </w:rPr>
      </w:pPr>
      <w:r w:rsidRPr="00065FAA">
        <w:rPr>
          <w:rFonts w:ascii="Palatino Linotype" w:hAnsi="Palatino Linotype" w:cs="Arial"/>
          <w:b/>
          <w:i/>
          <w:sz w:val="22"/>
          <w:szCs w:val="22"/>
          <w:lang w:val="es-ES"/>
        </w:rPr>
        <w:t>XXI.</w:t>
      </w:r>
      <w:r w:rsidRPr="00065FAA">
        <w:rPr>
          <w:rFonts w:ascii="Palatino Linotype" w:hAnsi="Palatino Linotype" w:cs="Arial"/>
          <w:i/>
          <w:sz w:val="22"/>
          <w:szCs w:val="22"/>
          <w:lang w:val="es-ES"/>
        </w:rPr>
        <w:t xml:space="preserve"> </w:t>
      </w:r>
      <w:r w:rsidRPr="00065FAA">
        <w:rPr>
          <w:rFonts w:ascii="Palatino Linotype" w:hAnsi="Palatino Linotype" w:cs="Arial"/>
          <w:b/>
          <w:i/>
          <w:sz w:val="22"/>
          <w:szCs w:val="22"/>
          <w:lang w:val="es-ES"/>
        </w:rPr>
        <w:t>La información curricular</w:t>
      </w:r>
      <w:r w:rsidRPr="00065FAA">
        <w:rPr>
          <w:rFonts w:ascii="Palatino Linotype" w:hAnsi="Palatino Linotype" w:cs="Arial"/>
          <w:i/>
          <w:sz w:val="22"/>
          <w:szCs w:val="22"/>
          <w:lang w:val="es-ES"/>
        </w:rPr>
        <w:t xml:space="preserve">, desde el nivel de jefe de departamento o equivalente, hasta el titular del sujeto obligado, así como, en su caso, </w:t>
      </w:r>
      <w:r w:rsidRPr="00065FAA">
        <w:rPr>
          <w:rFonts w:ascii="Palatino Linotype" w:hAnsi="Palatino Linotype" w:cs="Arial"/>
          <w:b/>
          <w:i/>
          <w:sz w:val="22"/>
          <w:szCs w:val="22"/>
          <w:lang w:val="es-ES"/>
        </w:rPr>
        <w:t>las sanciones administrativas</w:t>
      </w:r>
      <w:r w:rsidRPr="00065FAA">
        <w:rPr>
          <w:rFonts w:ascii="Palatino Linotype" w:hAnsi="Palatino Linotype" w:cs="Arial"/>
          <w:i/>
          <w:sz w:val="22"/>
          <w:szCs w:val="22"/>
          <w:lang w:val="es-ES"/>
        </w:rPr>
        <w:t xml:space="preserve"> de que haya sido objeto…” (Sic)</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autoSpaceDE w:val="0"/>
        <w:autoSpaceDN w:val="0"/>
        <w:adjustRightInd w:val="0"/>
        <w:spacing w:before="100" w:beforeAutospacing="1" w:after="100" w:afterAutospacing="1" w:line="360" w:lineRule="auto"/>
        <w:jc w:val="both"/>
        <w:rPr>
          <w:rFonts w:ascii="Palatino Linotype" w:hAnsi="Palatino Linotype" w:cs="Arial"/>
        </w:rPr>
      </w:pPr>
      <w:r w:rsidRPr="00065FAA">
        <w:rPr>
          <w:rFonts w:ascii="Palatino Linotype" w:hAnsi="Palatino Linotype" w:cs="Arial"/>
          <w:lang w:val="es-ES"/>
        </w:rPr>
        <w:t xml:space="preserve">Es importante mencionar que, al ser una obligación de transparencia común que </w:t>
      </w:r>
      <w:r w:rsidRPr="00065FAA">
        <w:rPr>
          <w:rFonts w:ascii="Palatino Linotype" w:hAnsi="Palatino Linotype" w:cs="Arial"/>
          <w:b/>
          <w:lang w:val="es-ES"/>
        </w:rPr>
        <w:t>EL SUJETO OBLIGADO</w:t>
      </w:r>
      <w:r w:rsidRPr="00065FAA">
        <w:rPr>
          <w:rFonts w:ascii="Palatino Linotype" w:hAnsi="Palatino Linotype" w:cs="Arial"/>
          <w:lang w:val="es-ES"/>
        </w:rPr>
        <w:t xml:space="preserve"> ponga a disposición del público en su Portal IPOMEX la información curricular de sus servidores públicos, con ello cumple con la finalidad de enaltecer los principios de máxima publicidad, transparencia y certeza; más como se </w:t>
      </w:r>
      <w:r w:rsidRPr="00065FAA">
        <w:rPr>
          <w:rFonts w:ascii="Palatino Linotype" w:hAnsi="Palatino Linotype" w:cs="Arial"/>
          <w:lang w:val="es-ES"/>
        </w:rPr>
        <w:lastRenderedPageBreak/>
        <w:t xml:space="preserve">aprecia en el dispositivo legal antes invocado solamente están constreñidos a tener la información curricular desde el nivel de jefe de departamento o equivalente. </w:t>
      </w: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 xml:space="preserve">Concluyendo de lo anterior, se tiene que es obligación del </w:t>
      </w:r>
      <w:r w:rsidRPr="00065FAA">
        <w:rPr>
          <w:rFonts w:ascii="Palatino Linotype" w:hAnsi="Palatino Linotype" w:cs="Arial"/>
          <w:b/>
        </w:rPr>
        <w:t xml:space="preserve">SUJETO OBLIGADO </w:t>
      </w:r>
      <w:r w:rsidRPr="00065FAA">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M</w:t>
      </w:r>
      <w:r w:rsidRPr="00065FAA">
        <w:rPr>
          <w:rFonts w:ascii="Palatino Linotype" w:hAnsi="Palatino Linotype" w:cs="Arial"/>
          <w:lang w:val="es-ES"/>
        </w:rPr>
        <w:t>ás como se aprecia en el dispositivo legal antes invocado, solamente están constreñidos a tener la información curricular desde el nivel de jefe de departamento o equivalente, cargos que fueron solicitados por el particular.</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r w:rsidRPr="00065FAA">
        <w:rPr>
          <w:rFonts w:ascii="Palatino Linotype" w:hAnsi="Palatino Linotype" w:cs="Arial"/>
          <w:lang w:val="es-ES"/>
        </w:rPr>
        <w:t>Al respecto, la Ley del Trabajo de los Servidores Públicos del Estado y Municipios en este sentido reza:</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w:t>
      </w:r>
      <w:r w:rsidRPr="00065FAA">
        <w:rPr>
          <w:rFonts w:ascii="Palatino Linotype" w:hAnsi="Palatino Linotype" w:cs="Arial"/>
          <w:b/>
          <w:i/>
          <w:sz w:val="22"/>
          <w:lang w:val="es-ES"/>
        </w:rPr>
        <w:t>ARTÍCULO 47</w:t>
      </w:r>
      <w:r w:rsidRPr="00065FAA">
        <w:rPr>
          <w:rFonts w:ascii="Palatino Linotype" w:hAnsi="Palatino Linotype" w:cs="Arial"/>
          <w:i/>
          <w:sz w:val="22"/>
          <w:lang w:val="es-ES"/>
        </w:rPr>
        <w:t>. Para ingresar al servicio público se requiere:</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p>
    <w:p w:rsidR="00C86888" w:rsidRPr="00065FAA" w:rsidRDefault="00C86888" w:rsidP="00C86888">
      <w:pPr>
        <w:autoSpaceDE w:val="0"/>
        <w:autoSpaceDN w:val="0"/>
        <w:adjustRightInd w:val="0"/>
        <w:ind w:left="709" w:right="757"/>
        <w:jc w:val="both"/>
        <w:rPr>
          <w:rFonts w:ascii="Palatino Linotype" w:hAnsi="Palatino Linotype" w:cs="Arial"/>
          <w:b/>
          <w:i/>
          <w:sz w:val="22"/>
          <w:lang w:val="es-ES"/>
        </w:rPr>
      </w:pPr>
      <w:r w:rsidRPr="00065FAA">
        <w:rPr>
          <w:rFonts w:ascii="Palatino Linotype" w:hAnsi="Palatino Linotype" w:cs="Arial"/>
          <w:b/>
          <w:i/>
          <w:sz w:val="22"/>
          <w:lang w:val="es-ES"/>
        </w:rPr>
        <w:t>I. Presentar una solicitud utilizando la forma oficial que se autorice por la institución pública o dependencia correspondiente;</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II. Ser de nacionalidad mexicana, con la excepción prevista en el artículo 17 de la presente ley;</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III. Estar en pleno ejercicio de sus derechos civiles y políticos, en su caso;</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IV. Acreditar, cuando proceda, el cumplimiento de la Ley del Servicio Militar Nacional;</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V. Derogada.</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VI. No haber sido separado anteriormente del servicio por las causas previstas en la fracción V del artículo 89 y en el artículo 93 de la presente ley;</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lastRenderedPageBreak/>
        <w:t>VII. Tener buena salud, lo que se comprobará con los certificados médicos correspondientes, en la forma en que se establezca en cada institución pública;</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VIII. Cumplir con los requisitos que se establezcan para los diferentes puestos;</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IX. Acreditar por medio de los exámenes correspondientes los conocimientos y aptitudes necesarios para el desempeño del puesto; y</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X. No estar inhabilitado para el ejercicio del servicio público.</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XI. Presentar certificado expedido por la Unidad del Registro de Deudores Alimentarios Morosos en el que conste, si se encuentra inscrito o no en el mismo.</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es-ES"/>
        </w:rPr>
        <w:t>(Énfasis añadido)</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r w:rsidRPr="00065FAA">
        <w:rPr>
          <w:rFonts w:ascii="Palatino Linotype" w:hAnsi="Palatino Linotype" w:cs="Arial"/>
          <w:lang w:val="es-ES"/>
        </w:rPr>
        <w:t xml:space="preserve">Así, en lo que respecta al ordenamiento legal que rige al </w:t>
      </w:r>
      <w:r w:rsidRPr="00065FAA">
        <w:rPr>
          <w:rFonts w:ascii="Palatino Linotype" w:hAnsi="Palatino Linotype" w:cs="Arial"/>
          <w:b/>
          <w:lang w:val="es-ES"/>
        </w:rPr>
        <w:t>SUJETO OBLIGADO</w:t>
      </w:r>
      <w:r w:rsidRPr="00065FAA">
        <w:rPr>
          <w:rFonts w:ascii="Palatino Linotype" w:hAnsi="Palatino Linotype" w:cs="Arial"/>
          <w:lang w:val="es-ES"/>
        </w:rPr>
        <w:t xml:space="preserve"> se deduce por parte de este Órgano Garante que solo existe obligación para contar con el currículum vitae a partir del jefe de departamento o equivalente y directores de la administración municipal, no obstante, es menester señalar que para el desempeño de un empleo, cargo o comisión en el servicio público, la Ley del Trabajo de los Servidores Públicos del Estado de México y Municipios en su artículo 47 establece como primer requisito a dicho servicio entre otros, una "solicitud de empleo", documento en el que se ubica información relativa al nombre, fecha y lugar de nacimiento, edad, sexo, domicilio, teléfono, dependientes económicos, referencias personales, formación académica; trayectoria y experiencia laboral.</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spacing w:line="360" w:lineRule="auto"/>
        <w:jc w:val="both"/>
        <w:rPr>
          <w:rFonts w:ascii="Palatino Linotype" w:hAnsi="Palatino Linotype" w:cs="Arial"/>
        </w:rPr>
      </w:pPr>
      <w:r w:rsidRPr="00065FAA">
        <w:rPr>
          <w:rFonts w:ascii="Palatino Linotype" w:hAnsi="Palatino Linotype" w:cs="Arial"/>
          <w:lang w:val="es-ES"/>
        </w:rPr>
        <w:t xml:space="preserve">Por lo tanto, </w:t>
      </w:r>
      <w:r w:rsidRPr="00065FAA">
        <w:rPr>
          <w:rFonts w:ascii="Palatino Linotype" w:hAnsi="Palatino Linotype" w:cs="Arial"/>
          <w:b/>
          <w:lang w:val="es-ES"/>
        </w:rPr>
        <w:t>EL SUJETO OBLIGADO</w:t>
      </w:r>
      <w:r w:rsidRPr="00065FAA">
        <w:rPr>
          <w:rFonts w:ascii="Palatino Linotype" w:hAnsi="Palatino Linotype" w:cs="Arial"/>
          <w:lang w:val="es-ES"/>
        </w:rPr>
        <w:t xml:space="preserve"> debe contar con el currículum vitae de los servidores públicos adscritos a las áreas referidas en la solicitud, toda vez que esta información es generada, poseída y debe obra en sus archivos. </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r w:rsidRPr="00065FAA">
        <w:rPr>
          <w:rFonts w:ascii="Palatino Linotype" w:hAnsi="Palatino Linotype" w:cs="Arial"/>
          <w:lang w:val="es-E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ind w:left="709" w:right="757"/>
        <w:jc w:val="both"/>
        <w:rPr>
          <w:rFonts w:ascii="Palatino Linotype" w:hAnsi="Palatino Linotype" w:cs="Arial"/>
          <w:i/>
          <w:sz w:val="22"/>
          <w:lang w:val="es-ES"/>
        </w:rPr>
      </w:pPr>
      <w:r w:rsidRPr="00065FAA">
        <w:rPr>
          <w:rFonts w:ascii="Palatino Linotype" w:hAnsi="Palatino Linotype" w:cs="Arial"/>
          <w:i/>
          <w:sz w:val="22"/>
          <w:lang w:val="pt-BR"/>
        </w:rPr>
        <w:t>“</w:t>
      </w:r>
      <w:r w:rsidRPr="00065FAA">
        <w:rPr>
          <w:rFonts w:ascii="Palatino Linotype" w:hAnsi="Palatino Linotype" w:cs="Arial"/>
          <w:b/>
          <w:i/>
          <w:sz w:val="22"/>
          <w:lang w:val="pt-BR"/>
        </w:rPr>
        <w:t>Curriculum Vitae de servidores públicos</w:t>
      </w:r>
      <w:r w:rsidRPr="00065FAA">
        <w:rPr>
          <w:rFonts w:ascii="Palatino Linotype" w:hAnsi="Palatino Linotype" w:cs="Arial"/>
          <w:i/>
          <w:sz w:val="22"/>
          <w:lang w:val="pt-BR"/>
        </w:rPr>
        <w:t xml:space="preserve">. </w:t>
      </w:r>
      <w:r w:rsidRPr="00065FAA">
        <w:rPr>
          <w:rFonts w:ascii="Palatino Linotype" w:hAnsi="Palatino Linotype" w:cs="Arial"/>
          <w:i/>
          <w:sz w:val="22"/>
          <w:lang w:val="es-ES"/>
        </w:rPr>
        <w:t>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r w:rsidRPr="00065FAA">
        <w:rPr>
          <w:rFonts w:ascii="Palatino Linotype" w:hAnsi="Palatino Linotype" w:cs="Arial"/>
          <w:lang w:val="es-ES"/>
        </w:rPr>
        <w:t xml:space="preserve">Por lo tanto, de los preceptos señalados se concluye que </w:t>
      </w:r>
      <w:r w:rsidRPr="00065FAA">
        <w:rPr>
          <w:rFonts w:ascii="Palatino Linotype" w:hAnsi="Palatino Linotype" w:cs="Arial"/>
          <w:b/>
          <w:lang w:val="es-ES"/>
        </w:rPr>
        <w:t>EL SUJETO OBLIGADO</w:t>
      </w:r>
      <w:r w:rsidRPr="00065FAA">
        <w:rPr>
          <w:rFonts w:ascii="Palatino Linotype" w:hAnsi="Palatino Linotype" w:cs="Arial"/>
          <w:lang w:val="es-ES"/>
        </w:rPr>
        <w:t xml:space="preserve"> tiene atribuciones para poseer la información relacionada con la solicitud; por tales </w:t>
      </w:r>
      <w:r w:rsidRPr="00065FAA">
        <w:rPr>
          <w:rFonts w:ascii="Palatino Linotype" w:hAnsi="Palatino Linotype" w:cs="Arial"/>
          <w:lang w:val="es-ES"/>
        </w:rPr>
        <w:lastRenderedPageBreak/>
        <w:t xml:space="preserve">razones, este Órgano Garante en aras de no vulnerar el derecho de acceso a la información del </w:t>
      </w:r>
      <w:r w:rsidRPr="00065FAA">
        <w:rPr>
          <w:rFonts w:ascii="Palatino Linotype" w:hAnsi="Palatino Linotype" w:cs="Arial"/>
          <w:b/>
          <w:lang w:val="es-ES"/>
        </w:rPr>
        <w:t>RECURRENTE</w:t>
      </w:r>
      <w:r w:rsidRPr="00065FAA">
        <w:rPr>
          <w:rFonts w:ascii="Palatino Linotype" w:hAnsi="Palatino Linotype" w:cs="Arial"/>
          <w:lang w:val="es-ES"/>
        </w:rPr>
        <w:t>, ordena la entrega de los currículum de los servidores públicos referidos en la solicitud de información.</w:t>
      </w:r>
    </w:p>
    <w:p w:rsidR="00C86888" w:rsidRPr="00065FAA" w:rsidRDefault="00C86888" w:rsidP="00C86888">
      <w:pPr>
        <w:autoSpaceDE w:val="0"/>
        <w:autoSpaceDN w:val="0"/>
        <w:adjustRightInd w:val="0"/>
        <w:spacing w:line="360" w:lineRule="auto"/>
        <w:jc w:val="both"/>
        <w:rPr>
          <w:rFonts w:ascii="Palatino Linotype" w:hAnsi="Palatino Linotype" w:cs="Arial"/>
          <w:lang w:val="es-ES"/>
        </w:rPr>
      </w:pPr>
    </w:p>
    <w:p w:rsidR="00C86888" w:rsidRPr="00065FAA" w:rsidRDefault="00C86888" w:rsidP="00C86888">
      <w:pPr>
        <w:spacing w:line="360" w:lineRule="auto"/>
        <w:jc w:val="both"/>
        <w:rPr>
          <w:rFonts w:ascii="Palatino Linotype" w:eastAsia="Arial Unicode MS" w:hAnsi="Palatino Linotype" w:cs="Arial"/>
          <w:lang w:val="es-ES"/>
        </w:rPr>
      </w:pPr>
      <w:r w:rsidRPr="00065FAA">
        <w:rPr>
          <w:rFonts w:ascii="Palatino Linotype" w:eastAsia="Arial Unicode MS" w:hAnsi="Palatino Linotype" w:cs="Arial"/>
          <w:lang w:val="es-ES"/>
        </w:rPr>
        <w:t xml:space="preserve">Asimismo, es indispensable destacar que los documentos relacionados con anterioridad, que deberán ser entregados en </w:t>
      </w:r>
      <w:r w:rsidRPr="00065FAA">
        <w:rPr>
          <w:rFonts w:ascii="Palatino Linotype" w:eastAsia="Arial Unicode MS" w:hAnsi="Palatino Linotype" w:cs="Arial"/>
          <w:b/>
          <w:lang w:val="es-ES"/>
        </w:rPr>
        <w:t>versión pública</w:t>
      </w:r>
      <w:r w:rsidRPr="00065FAA">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autoSpaceDE w:val="0"/>
        <w:autoSpaceDN w:val="0"/>
        <w:adjustRightInd w:val="0"/>
        <w:spacing w:line="360" w:lineRule="auto"/>
        <w:ind w:right="49"/>
        <w:jc w:val="both"/>
        <w:rPr>
          <w:rFonts w:ascii="Palatino Linotype" w:hAnsi="Palatino Linotype" w:cs="Arial"/>
          <w:lang w:val="es-ES" w:eastAsia="es-MX"/>
        </w:rPr>
      </w:pPr>
      <w:r w:rsidRPr="00065FAA">
        <w:rPr>
          <w:rFonts w:ascii="Palatino Linotype" w:hAnsi="Palatino Linotype" w:cs="Arial"/>
        </w:rPr>
        <w:t xml:space="preserve">Por otro lado, respecto al requerimiento realizado por el particular identificado con el numeral 5, relacionado con el certificado solo de los servidores públicos a los que la ley orgánica obliga a contar; cabe destacarse, que pese a que no especificó que certificado requería del </w:t>
      </w:r>
      <w:r w:rsidRPr="00065FAA">
        <w:rPr>
          <w:rFonts w:ascii="Palatino Linotype" w:hAnsi="Palatino Linotype" w:cs="Arial"/>
          <w:b/>
        </w:rPr>
        <w:t>SUJETO OBLIGADO</w:t>
      </w:r>
      <w:r w:rsidRPr="00065FAA">
        <w:rPr>
          <w:rFonts w:ascii="Palatino Linotype" w:hAnsi="Palatino Linotype" w:cs="Arial"/>
        </w:rPr>
        <w:t xml:space="preserve">; este Instituto suple las deficiencias en que incurre; de conformidad con los artículos 13 y 181, cuarto párrafo de la Ley de Transparencia y Acceso a la Información Pública del Estado de México y Municipios; por lo que, </w:t>
      </w:r>
      <w:r w:rsidRPr="00065FAA">
        <w:rPr>
          <w:rFonts w:ascii="Palatino Linotype" w:hAnsi="Palatino Linotype" w:cs="Arial"/>
          <w:lang w:val="es-ES" w:eastAsia="es-MX"/>
        </w:rPr>
        <w:t xml:space="preserve">se determina suplir dicha deficiencia en que incurre; en razón de que el certificado que requiere el particular es el de certificación de competencia laboral expedida por el IHAEM y/o por el Consejo Nacional de Normalización y Certificación de Competencias Laborales. </w:t>
      </w:r>
    </w:p>
    <w:p w:rsidR="00C86888" w:rsidRPr="00065FAA" w:rsidRDefault="00C86888" w:rsidP="00C86888">
      <w:pPr>
        <w:autoSpaceDE w:val="0"/>
        <w:autoSpaceDN w:val="0"/>
        <w:adjustRightInd w:val="0"/>
        <w:spacing w:line="360" w:lineRule="auto"/>
        <w:ind w:right="49"/>
        <w:jc w:val="both"/>
        <w:rPr>
          <w:rFonts w:ascii="Palatino Linotype" w:hAnsi="Palatino Linotype" w:cs="Arial"/>
          <w:lang w:val="es-ES" w:eastAsia="es-MX"/>
        </w:rPr>
      </w:pPr>
    </w:p>
    <w:p w:rsidR="00C86888" w:rsidRPr="00065FAA" w:rsidRDefault="00C86888" w:rsidP="00C86888">
      <w:pPr>
        <w:autoSpaceDE w:val="0"/>
        <w:autoSpaceDN w:val="0"/>
        <w:adjustRightInd w:val="0"/>
        <w:spacing w:line="360" w:lineRule="auto"/>
        <w:ind w:right="49"/>
        <w:jc w:val="both"/>
        <w:rPr>
          <w:rFonts w:ascii="Palatino Linotype" w:hAnsi="Palatino Linotype"/>
        </w:rPr>
      </w:pPr>
      <w:r w:rsidRPr="00065FAA">
        <w:rPr>
          <w:rFonts w:ascii="Palatino Linotype" w:hAnsi="Palatino Linotype" w:cs="Arial"/>
        </w:rPr>
        <w:t xml:space="preserve">Al respecto, </w:t>
      </w:r>
      <w:r w:rsidRPr="00065FAA">
        <w:rPr>
          <w:rFonts w:ascii="Palatino Linotype" w:hAnsi="Palatino Linotype" w:cs="Arial"/>
          <w:b/>
        </w:rPr>
        <w:t>EL SUJETO OBLIGADO</w:t>
      </w:r>
      <w:r w:rsidRPr="00065FAA">
        <w:rPr>
          <w:rFonts w:ascii="Palatino Linotype" w:hAnsi="Palatino Linotype" w:cs="Arial"/>
        </w:rPr>
        <w:t xml:space="preserve"> fue omiso en dar contestación alguna de dicho requerimiento; por lo que, al respecto, este Órgano Garante del derecho de acceso a la información pública advierte que la Ley Orgánica Municipal del Estado de México</w:t>
      </w:r>
      <w:r w:rsidRPr="00065FAA">
        <w:rPr>
          <w:rFonts w:ascii="Palatino Linotype" w:hAnsi="Palatino Linotype"/>
        </w:rPr>
        <w:t xml:space="preserve">, </w:t>
      </w:r>
      <w:r w:rsidRPr="00065FAA">
        <w:rPr>
          <w:rFonts w:ascii="Palatino Linotype" w:hAnsi="Palatino Linotype"/>
        </w:rPr>
        <w:lastRenderedPageBreak/>
        <w:t xml:space="preserve">refiere en sus artículos 32, fracción V, 81 Bis, 96, 96 Ter, 96 Quintus, 96 Septies, 96 Nonies, 111,113, 147 I, 147 K, fracción XIII y 149 fracción I, inciso f y fracción II, lo siguiente: </w:t>
      </w:r>
    </w:p>
    <w:p w:rsidR="00C86888" w:rsidRPr="00065FAA" w:rsidRDefault="00C86888" w:rsidP="00C86888">
      <w:pPr>
        <w:autoSpaceDE w:val="0"/>
        <w:autoSpaceDN w:val="0"/>
        <w:adjustRightInd w:val="0"/>
        <w:spacing w:line="360" w:lineRule="auto"/>
        <w:ind w:right="49"/>
        <w:jc w:val="both"/>
        <w:rPr>
          <w:rFonts w:ascii="Palatino Linotype" w:hAnsi="Palatino Linotype" w:cs="Arial"/>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w:t>
      </w:r>
      <w:r w:rsidRPr="00065FAA">
        <w:rPr>
          <w:rFonts w:ascii="Palatino Linotype" w:hAnsi="Palatino Linotype"/>
          <w:b/>
          <w:i/>
          <w:sz w:val="22"/>
          <w:szCs w:val="22"/>
        </w:rPr>
        <w:t>Artículo 32.</w:t>
      </w:r>
      <w:r w:rsidRPr="00065FAA">
        <w:rPr>
          <w:rFonts w:ascii="Palatino Linotype" w:hAnsi="Palatino Linotype"/>
          <w:i/>
          <w:sz w:val="22"/>
          <w:szCs w:val="22"/>
        </w:rPr>
        <w:t xml:space="preserve"> Para ocupar los cargos de </w:t>
      </w:r>
      <w:r w:rsidRPr="00065FAA">
        <w:rPr>
          <w:rFonts w:ascii="Palatino Linotype" w:hAnsi="Palatino Linotype"/>
          <w:b/>
          <w:i/>
          <w:sz w:val="22"/>
          <w:szCs w:val="22"/>
        </w:rPr>
        <w:t xml:space="preserve">Secretario, Tesorero, Director de Obras Públicas, </w:t>
      </w:r>
      <w:r w:rsidRPr="00065FAA">
        <w:rPr>
          <w:rFonts w:ascii="Palatino Linotype" w:hAnsi="Palatino Linotype"/>
          <w:i/>
          <w:sz w:val="22"/>
          <w:szCs w:val="22"/>
        </w:rPr>
        <w:t>Director de Desarrollo Económico</w:t>
      </w:r>
      <w:r w:rsidRPr="00065FAA">
        <w:rPr>
          <w:rFonts w:ascii="Palatino Linotype" w:hAnsi="Palatino Linotype"/>
          <w:b/>
          <w:i/>
          <w:sz w:val="22"/>
          <w:szCs w:val="22"/>
        </w:rPr>
        <w:t xml:space="preserve">, </w:t>
      </w:r>
      <w:r w:rsidRPr="00065FAA">
        <w:rPr>
          <w:rFonts w:ascii="Palatino Linotype" w:hAnsi="Palatino Linotype"/>
          <w:i/>
          <w:sz w:val="22"/>
          <w:szCs w:val="22"/>
        </w:rPr>
        <w:t>Coordinador General Municipal de Mejora Regulatoria</w:t>
      </w:r>
      <w:r w:rsidRPr="00065FAA">
        <w:rPr>
          <w:rFonts w:ascii="Palatino Linotype" w:hAnsi="Palatino Linotype"/>
          <w:b/>
          <w:i/>
          <w:sz w:val="22"/>
          <w:szCs w:val="22"/>
        </w:rPr>
        <w:t xml:space="preserve">, Ecología, Desarrollo Urbano, o equivalentes, titulares de las unidades administrativas. Protección Civil, y de los organismos auxiliares </w:t>
      </w:r>
      <w:r w:rsidRPr="00065FAA">
        <w:rPr>
          <w:rFonts w:ascii="Palatino Linotype" w:hAnsi="Palatino Linotype"/>
          <w:i/>
          <w:sz w:val="22"/>
          <w:szCs w:val="22"/>
        </w:rPr>
        <w:t xml:space="preserve">se deberán satisfacer los siguientes requisitos: </w:t>
      </w:r>
    </w:p>
    <w:p w:rsidR="00C86888" w:rsidRPr="00065FAA" w:rsidRDefault="00C86888" w:rsidP="00C86888">
      <w:pPr>
        <w:ind w:left="851" w:right="757"/>
        <w:jc w:val="both"/>
        <w:rPr>
          <w:rFonts w:ascii="Palatino Linotype" w:hAnsi="Palatino Linotype"/>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xml:space="preserve">I. Ser ciudadano del Estado en pleno uso de sus derechos;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xml:space="preserve">II. No estar inhabilitado para desempeñar cargo, empleo, o comisión pública.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xml:space="preserve">III. No haber sido condenado en proceso penal, por delito intencional que amerite pena privativa de libertad;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xml:space="preserve">IV. Contar con título profesional y acreditar experiencia mínima de un año en la materia, anta el Presidente o el Ayuntamiento, cuando sea el caso, para el desempeño de los cargos que así lo requieran; y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V.</w:t>
      </w:r>
      <w:r w:rsidRPr="00065FAA">
        <w:rPr>
          <w:rFonts w:ascii="Palatino Linotype" w:hAnsi="Palatino Linotype"/>
          <w:i/>
          <w:sz w:val="22"/>
          <w:szCs w:val="22"/>
        </w:rPr>
        <w:t xml:space="preserve"> </w:t>
      </w:r>
      <w:r w:rsidRPr="00065FAA">
        <w:rPr>
          <w:rFonts w:ascii="Palatino Linotype" w:hAnsi="Palatino Linotype"/>
          <w:b/>
          <w:i/>
          <w:sz w:val="22"/>
          <w:szCs w:val="22"/>
        </w:rPr>
        <w:t>En su caso</w:t>
      </w:r>
      <w:r w:rsidRPr="00065FAA">
        <w:rPr>
          <w:rFonts w:ascii="Palatino Linotype" w:hAnsi="Palatino Linotype"/>
          <w:i/>
          <w:sz w:val="22"/>
          <w:szCs w:val="22"/>
        </w:rPr>
        <w:t xml:space="preserve">, contar </w:t>
      </w:r>
      <w:r w:rsidRPr="00065FAA">
        <w:rPr>
          <w:rFonts w:ascii="Palatino Linotype" w:hAnsi="Palatino Linotype"/>
          <w:b/>
          <w:i/>
          <w:sz w:val="22"/>
          <w:szCs w:val="22"/>
        </w:rPr>
        <w:t>con certificación en la materia del cargo</w:t>
      </w:r>
      <w:r w:rsidRPr="00065FAA">
        <w:rPr>
          <w:rFonts w:ascii="Palatino Linotype" w:hAnsi="Palatino Linotype"/>
          <w:i/>
          <w:sz w:val="22"/>
          <w:szCs w:val="22"/>
        </w:rPr>
        <w:t xml:space="preserve"> que se desempeñará</w:t>
      </w:r>
    </w:p>
    <w:p w:rsidR="00C86888" w:rsidRPr="00065FAA" w:rsidRDefault="00C86888" w:rsidP="00C86888">
      <w:pPr>
        <w:ind w:left="851" w:right="757"/>
        <w:jc w:val="both"/>
        <w:rPr>
          <w:rFonts w:ascii="Palatino Linotype" w:hAnsi="Palatino Linotype"/>
          <w:i/>
          <w:sz w:val="22"/>
          <w:szCs w:val="22"/>
        </w:rPr>
      </w:pP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b/>
          <w:i/>
          <w:sz w:val="22"/>
          <w:szCs w:val="22"/>
        </w:rPr>
        <w:t>Artículo 81 Bis</w:t>
      </w:r>
      <w:r w:rsidRPr="00065FAA">
        <w:rPr>
          <w:rFonts w:ascii="Palatino Linotype" w:hAnsi="Palatino Linotype"/>
          <w:i/>
          <w:sz w:val="22"/>
          <w:szCs w:val="22"/>
        </w:rPr>
        <w:t xml:space="preserve">. Para ser </w:t>
      </w:r>
      <w:r w:rsidRPr="00065FAA">
        <w:rPr>
          <w:rFonts w:ascii="Palatino Linotype" w:hAnsi="Palatino Linotype"/>
          <w:b/>
          <w:i/>
          <w:sz w:val="22"/>
          <w:szCs w:val="22"/>
        </w:rPr>
        <w:t>titular de la Unidad Municipal de Protección Civil</w:t>
      </w:r>
      <w:r w:rsidRPr="00065FAA">
        <w:rPr>
          <w:rFonts w:ascii="Palatino Linotype" w:hAnsi="Palatino Linotype"/>
          <w:i/>
          <w:sz w:val="22"/>
          <w:szCs w:val="22"/>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065FAA">
        <w:rPr>
          <w:rFonts w:ascii="Palatino Linotype" w:hAnsi="Palatino Linotype"/>
          <w:b/>
          <w:i/>
          <w:sz w:val="22"/>
          <w:szCs w:val="22"/>
        </w:rPr>
        <w:t>certificado respectivo</w:t>
      </w:r>
      <w:r w:rsidRPr="00065FAA">
        <w:rPr>
          <w:rFonts w:ascii="Palatino Linotype" w:hAnsi="Palatino Linotype"/>
          <w:i/>
          <w:sz w:val="22"/>
          <w:szCs w:val="22"/>
        </w:rPr>
        <w:t xml:space="preserve">, haber tomado </w:t>
      </w:r>
      <w:r w:rsidRPr="00065FAA">
        <w:rPr>
          <w:rFonts w:ascii="Palatino Linotype" w:hAnsi="Palatino Linotype"/>
          <w:b/>
          <w:i/>
          <w:sz w:val="22"/>
          <w:szCs w:val="22"/>
        </w:rPr>
        <w:t>cursos de capacitación en la materia</w:t>
      </w:r>
      <w:r w:rsidRPr="00065FAA">
        <w:rPr>
          <w:rFonts w:ascii="Palatino Linotype" w:hAnsi="Palatino Linotype"/>
          <w:i/>
          <w:sz w:val="22"/>
          <w:szCs w:val="22"/>
        </w:rPr>
        <w:t xml:space="preserve">, impartidos por la </w:t>
      </w:r>
      <w:r w:rsidRPr="00065FAA">
        <w:rPr>
          <w:rFonts w:ascii="Palatino Linotype" w:hAnsi="Palatino Linotype"/>
          <w:b/>
          <w:i/>
          <w:sz w:val="22"/>
          <w:szCs w:val="22"/>
        </w:rPr>
        <w:t>Coordinación General de Protección Civil del Estado de Méxic</w:t>
      </w:r>
      <w:r w:rsidRPr="00065FAA">
        <w:rPr>
          <w:rFonts w:ascii="Palatino Linotype" w:hAnsi="Palatino Linotype"/>
          <w:i/>
          <w:sz w:val="22"/>
          <w:szCs w:val="22"/>
        </w:rPr>
        <w:t xml:space="preserve">o </w:t>
      </w:r>
      <w:r w:rsidRPr="00065FAA">
        <w:rPr>
          <w:rFonts w:ascii="Palatino Linotype" w:hAnsi="Palatino Linotype"/>
          <w:b/>
          <w:i/>
          <w:sz w:val="22"/>
          <w:szCs w:val="22"/>
        </w:rPr>
        <w:t>o por cualquier otra institución debidamente reconocida por la misma.</w:t>
      </w:r>
    </w:p>
    <w:p w:rsidR="00C86888" w:rsidRPr="00065FAA" w:rsidRDefault="00C86888" w:rsidP="00C86888">
      <w:pPr>
        <w:ind w:right="760"/>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Artículo 96.-</w:t>
      </w:r>
      <w:r w:rsidRPr="00065FAA">
        <w:rPr>
          <w:rFonts w:ascii="Palatino Linotype" w:hAnsi="Palatino Linotype"/>
          <w:i/>
          <w:sz w:val="22"/>
          <w:szCs w:val="22"/>
        </w:rPr>
        <w:t xml:space="preserve"> Para ser </w:t>
      </w:r>
      <w:r w:rsidRPr="00065FAA">
        <w:rPr>
          <w:rFonts w:ascii="Palatino Linotype" w:hAnsi="Palatino Linotype"/>
          <w:b/>
          <w:i/>
          <w:sz w:val="22"/>
          <w:szCs w:val="22"/>
        </w:rPr>
        <w:t>tesorero municipal</w:t>
      </w:r>
      <w:r w:rsidRPr="00065FAA">
        <w:rPr>
          <w:rFonts w:ascii="Palatino Linotype" w:hAnsi="Palatino Linotype"/>
          <w:i/>
          <w:sz w:val="22"/>
          <w:szCs w:val="22"/>
        </w:rPr>
        <w:t xml:space="preserve"> se requiere, además de los requisitos del artículos 32 de esta Ley: </w:t>
      </w:r>
    </w:p>
    <w:p w:rsidR="00C86888" w:rsidRPr="00065FAA" w:rsidRDefault="00C86888" w:rsidP="00C86888">
      <w:pPr>
        <w:ind w:left="851" w:right="757"/>
        <w:jc w:val="both"/>
        <w:rPr>
          <w:rFonts w:ascii="Palatino Linotype" w:hAnsi="Palatino Linotype"/>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I.</w:t>
      </w:r>
      <w:r w:rsidRPr="00065FAA">
        <w:rPr>
          <w:rFonts w:ascii="Palatino Linotype" w:hAnsi="Palatino Linotype"/>
          <w:i/>
          <w:sz w:val="22"/>
          <w:szCs w:val="22"/>
        </w:rPr>
        <w:t xml:space="preserve"> Tener los conocimientos suficientes para poder desempeñar el cargo, a juicio del Ayuntamiento; contar con título profesional en las áreas jurídicas, económicas o contable administrativas, con experiencia mínima de un año y con la </w:t>
      </w:r>
      <w:r w:rsidRPr="00065FAA">
        <w:rPr>
          <w:rFonts w:ascii="Palatino Linotype" w:hAnsi="Palatino Linotype"/>
          <w:b/>
          <w:i/>
          <w:sz w:val="22"/>
          <w:szCs w:val="22"/>
        </w:rPr>
        <w:t xml:space="preserve">certificación </w:t>
      </w:r>
      <w:r w:rsidRPr="00065FAA">
        <w:rPr>
          <w:rFonts w:ascii="Palatino Linotype" w:hAnsi="Palatino Linotype"/>
          <w:b/>
          <w:i/>
          <w:sz w:val="22"/>
          <w:szCs w:val="22"/>
        </w:rPr>
        <w:lastRenderedPageBreak/>
        <w:t>de competencia laboral en funciones expedida por el Instituto Hacendario del Estado de México</w:t>
      </w:r>
      <w:r w:rsidRPr="00065FAA">
        <w:rPr>
          <w:rFonts w:ascii="Palatino Linotype" w:hAnsi="Palatino Linotype"/>
          <w:i/>
          <w:sz w:val="22"/>
          <w:szCs w:val="22"/>
        </w:rPr>
        <w:t xml:space="preserve">, con anterioridad a la fecha de su designación;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xml:space="preserve">El requisito de </w:t>
      </w:r>
      <w:r w:rsidRPr="00065FAA">
        <w:rPr>
          <w:rFonts w:ascii="Palatino Linotype" w:hAnsi="Palatino Linotype"/>
          <w:b/>
          <w:i/>
          <w:sz w:val="22"/>
          <w:szCs w:val="22"/>
        </w:rPr>
        <w:t>la certificación de competencia laboral, deberá acreditarse dentro de los seis meses siguientes a la fecha en que inicie funciones</w:t>
      </w:r>
      <w:r w:rsidRPr="00065FAA">
        <w:rPr>
          <w:rFonts w:ascii="Palatino Linotype" w:hAnsi="Palatino Linotype"/>
          <w:i/>
          <w:sz w:val="22"/>
          <w:szCs w:val="22"/>
        </w:rPr>
        <w:t>.</w:t>
      </w:r>
    </w:p>
    <w:p w:rsidR="00C86888" w:rsidRPr="00065FAA" w:rsidRDefault="00C86888" w:rsidP="00C86888">
      <w:pPr>
        <w:ind w:left="851" w:right="757"/>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b/>
          <w:i/>
          <w:sz w:val="22"/>
          <w:szCs w:val="22"/>
        </w:rPr>
        <w:t>Artículo 96 Ter.-</w:t>
      </w:r>
      <w:r w:rsidRPr="00065FAA">
        <w:rPr>
          <w:rFonts w:ascii="Palatino Linotype" w:hAnsi="Palatino Linotype"/>
          <w:i/>
          <w:sz w:val="22"/>
          <w:szCs w:val="22"/>
        </w:rPr>
        <w:t xml:space="preserve"> El </w:t>
      </w:r>
      <w:r w:rsidRPr="00065FAA">
        <w:rPr>
          <w:rFonts w:ascii="Palatino Linotype" w:hAnsi="Palatino Linotype"/>
          <w:b/>
          <w:i/>
          <w:sz w:val="22"/>
          <w:szCs w:val="22"/>
        </w:rPr>
        <w:t>Director de Obras Públicas</w:t>
      </w:r>
      <w:r w:rsidRPr="00065FAA">
        <w:rPr>
          <w:rFonts w:ascii="Palatino Linotype" w:hAnsi="Palatino Linotype"/>
          <w:i/>
          <w:sz w:val="22"/>
          <w:szCs w:val="22"/>
        </w:rPr>
        <w:t xml:space="preserve">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w:t>
      </w:r>
      <w:r w:rsidRPr="00065FAA">
        <w:rPr>
          <w:rFonts w:ascii="Palatino Linotype" w:hAnsi="Palatino Linotype"/>
          <w:b/>
          <w:i/>
          <w:sz w:val="22"/>
          <w:szCs w:val="22"/>
        </w:rPr>
        <w:t>la certificación de competencia laboral expedida por el Instituto Hacendario del Estado de México.</w:t>
      </w:r>
    </w:p>
    <w:p w:rsidR="00C86888" w:rsidRPr="00065FAA" w:rsidRDefault="00C86888" w:rsidP="00C86888">
      <w:pPr>
        <w:ind w:left="851" w:right="757"/>
        <w:jc w:val="both"/>
        <w:rPr>
          <w:rFonts w:ascii="Palatino Linotype" w:hAnsi="Palatino Linotype"/>
          <w:b/>
          <w:i/>
          <w:sz w:val="22"/>
          <w:szCs w:val="22"/>
        </w:rPr>
      </w:pPr>
    </w:p>
    <w:p w:rsidR="00C86888" w:rsidRPr="00065FAA" w:rsidRDefault="00C86888" w:rsidP="00C86888">
      <w:pPr>
        <w:ind w:left="851" w:right="757"/>
        <w:jc w:val="both"/>
      </w:pPr>
      <w:r w:rsidRPr="00065FAA">
        <w:rPr>
          <w:rFonts w:ascii="Palatino Linotype" w:hAnsi="Palatino Linotype"/>
          <w:b/>
          <w:i/>
          <w:sz w:val="22"/>
          <w:szCs w:val="22"/>
        </w:rPr>
        <w:t>Artículo 96 Quintus.-</w:t>
      </w:r>
      <w:r w:rsidRPr="00065FAA">
        <w:rPr>
          <w:rFonts w:ascii="Palatino Linotype" w:hAnsi="Palatino Linotype"/>
          <w:i/>
          <w:sz w:val="22"/>
          <w:szCs w:val="22"/>
        </w:rPr>
        <w:t xml:space="preserve"> </w:t>
      </w:r>
      <w:r w:rsidRPr="00065FAA">
        <w:rPr>
          <w:rFonts w:ascii="Palatino Linotype" w:hAnsi="Palatino Linotype"/>
          <w:b/>
          <w:i/>
          <w:sz w:val="22"/>
          <w:szCs w:val="22"/>
        </w:rPr>
        <w:t>El Director de Desarrollo Económico</w:t>
      </w:r>
      <w:r w:rsidRPr="00065FAA">
        <w:rPr>
          <w:rFonts w:ascii="Palatino Linotype" w:hAnsi="Palatino Linotype"/>
          <w:i/>
          <w:sz w:val="22"/>
          <w:szCs w:val="22"/>
        </w:rPr>
        <w:t xml:space="preserve"> o Titular de la Unidad Administrativa equivalente, además de los requisitos del artículo 32 de esta Ley, requiere contar con título profesional en el área económico-administrativa, y con experiencia mínima de un año, con anterioridad a la fecha de su designación. Además deberá acreditar, dentro de los seis meses siguientes a la fecha en que inicie funciones, la </w:t>
      </w:r>
      <w:r w:rsidRPr="00065FAA">
        <w:rPr>
          <w:rFonts w:ascii="Palatino Linotype" w:hAnsi="Palatino Linotype"/>
          <w:b/>
          <w:i/>
          <w:sz w:val="22"/>
          <w:szCs w:val="22"/>
        </w:rPr>
        <w:t>certificación de competencia laboral expedida por el Instituto Hacendario del Estado de México.</w:t>
      </w:r>
      <w:r w:rsidRPr="00065FAA">
        <w:t xml:space="preserve"> </w:t>
      </w:r>
    </w:p>
    <w:p w:rsidR="00C86888" w:rsidRPr="00065FAA" w:rsidRDefault="00C86888" w:rsidP="00C86888">
      <w:pPr>
        <w:ind w:left="851" w:right="757"/>
        <w:jc w:val="both"/>
      </w:pPr>
    </w:p>
    <w:p w:rsidR="00C86888" w:rsidRPr="00065FAA" w:rsidRDefault="00C86888" w:rsidP="00C86888">
      <w:pPr>
        <w:ind w:left="851" w:right="757"/>
        <w:jc w:val="both"/>
      </w:pPr>
      <w:r w:rsidRPr="00065FAA">
        <w:rPr>
          <w:rFonts w:ascii="Palatino Linotype" w:hAnsi="Palatino Linotype"/>
          <w:b/>
          <w:i/>
          <w:sz w:val="22"/>
          <w:szCs w:val="22"/>
        </w:rPr>
        <w:t>Artículo 96. Septies. El Director de Desarrollo Urbano</w:t>
      </w:r>
      <w:r w:rsidRPr="00065FAA">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w:t>
      </w:r>
      <w:r w:rsidRPr="00065FAA">
        <w:rPr>
          <w:rFonts w:ascii="Palatino Linotype" w:hAnsi="Palatino Linotype"/>
          <w:b/>
          <w:i/>
          <w:sz w:val="22"/>
          <w:szCs w:val="22"/>
        </w:rPr>
        <w:t xml:space="preserve"> la certificación de competencia laboral expedida por el Instituto Hacendario del Estado de México.</w:t>
      </w:r>
      <w:r w:rsidRPr="00065FAA">
        <w:t xml:space="preserve"> </w:t>
      </w:r>
    </w:p>
    <w:p w:rsidR="00C86888" w:rsidRPr="00065FAA" w:rsidRDefault="00C86888" w:rsidP="00C86888">
      <w:pPr>
        <w:ind w:left="851" w:right="757"/>
        <w:jc w:val="both"/>
      </w:pP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b/>
          <w:i/>
          <w:sz w:val="22"/>
          <w:szCs w:val="22"/>
        </w:rPr>
        <w:t>Artículo 96. Nonies. El Director de Ecología</w:t>
      </w:r>
      <w:r w:rsidRPr="00065FAA">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w:t>
      </w:r>
      <w:r w:rsidRPr="00065FAA">
        <w:rPr>
          <w:rFonts w:ascii="Palatino Linotype" w:hAnsi="Palatino Linotype"/>
          <w:b/>
          <w:i/>
          <w:sz w:val="22"/>
          <w:szCs w:val="22"/>
        </w:rPr>
        <w:t xml:space="preserve"> la certificación de competencia laboral expedida por el Instituto Hacendario del Estado de México.</w:t>
      </w:r>
    </w:p>
    <w:p w:rsidR="00C86888" w:rsidRPr="00065FAA" w:rsidRDefault="00C86888" w:rsidP="00C86888">
      <w:pPr>
        <w:ind w:left="851" w:right="757"/>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 xml:space="preserve">Artículo 111.- </w:t>
      </w:r>
      <w:r w:rsidRPr="00065FAA">
        <w:rPr>
          <w:rFonts w:ascii="Palatino Linotype" w:hAnsi="Palatino Linotype"/>
          <w:i/>
          <w:sz w:val="22"/>
          <w:szCs w:val="22"/>
        </w:rPr>
        <w:t xml:space="preserve">La contraloría municipal tendrá un titular denominado </w:t>
      </w:r>
      <w:r w:rsidRPr="00065FAA">
        <w:rPr>
          <w:rFonts w:ascii="Palatino Linotype" w:hAnsi="Palatino Linotype"/>
          <w:b/>
          <w:i/>
          <w:sz w:val="22"/>
          <w:szCs w:val="22"/>
        </w:rPr>
        <w:t>Contralor</w:t>
      </w:r>
      <w:r w:rsidRPr="00065FAA">
        <w:rPr>
          <w:rFonts w:ascii="Palatino Linotype" w:hAnsi="Palatino Linotype"/>
          <w:i/>
          <w:sz w:val="22"/>
          <w:szCs w:val="22"/>
        </w:rPr>
        <w:t>, quien será designado por el ayuntamiento a propuesta del presidente municipal.</w:t>
      </w:r>
    </w:p>
    <w:p w:rsidR="00C86888" w:rsidRPr="00065FAA" w:rsidRDefault="00C86888" w:rsidP="00C86888">
      <w:pPr>
        <w:ind w:left="851" w:right="757"/>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lastRenderedPageBreak/>
        <w:t>Artículo 113.-</w:t>
      </w:r>
      <w:r w:rsidRPr="00065FAA">
        <w:rPr>
          <w:rFonts w:ascii="Palatino Linotype" w:hAnsi="Palatino Linotype"/>
          <w:i/>
          <w:sz w:val="22"/>
          <w:szCs w:val="22"/>
        </w:rPr>
        <w:t xml:space="preserve"> Para ser </w:t>
      </w:r>
      <w:r w:rsidRPr="00065FAA">
        <w:rPr>
          <w:rFonts w:ascii="Palatino Linotype" w:hAnsi="Palatino Linotype"/>
          <w:b/>
          <w:i/>
          <w:sz w:val="22"/>
          <w:szCs w:val="22"/>
        </w:rPr>
        <w:t xml:space="preserve">contralor </w:t>
      </w:r>
      <w:r w:rsidRPr="00065FAA">
        <w:rPr>
          <w:rFonts w:ascii="Palatino Linotype" w:hAnsi="Palatino Linotype"/>
          <w:i/>
          <w:sz w:val="22"/>
          <w:szCs w:val="22"/>
        </w:rPr>
        <w:t>se requiere cumplir con los requisitos que se exigen para ser tesorero municipal, a excepción de la caución correspondiente.</w:t>
      </w:r>
    </w:p>
    <w:p w:rsidR="00C86888" w:rsidRPr="00065FAA" w:rsidRDefault="00C86888" w:rsidP="00C86888">
      <w:pPr>
        <w:ind w:left="851" w:right="757"/>
        <w:jc w:val="both"/>
        <w:rPr>
          <w:rFonts w:ascii="Palatino Linotype" w:hAnsi="Palatino Linotype"/>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Artículo 147 I.-</w:t>
      </w:r>
      <w:r w:rsidRPr="00065FAA">
        <w:rPr>
          <w:rFonts w:ascii="Palatino Linotype" w:hAnsi="Palatino Linotype"/>
          <w:i/>
          <w:sz w:val="22"/>
          <w:szCs w:val="22"/>
        </w:rPr>
        <w:t xml:space="preserve"> </w:t>
      </w:r>
      <w:r w:rsidRPr="00065FAA">
        <w:rPr>
          <w:rFonts w:ascii="Palatino Linotype" w:hAnsi="Palatino Linotype"/>
          <w:b/>
          <w:i/>
          <w:sz w:val="22"/>
          <w:szCs w:val="22"/>
        </w:rPr>
        <w:t>El Defensor Municipal de Derechos Humanos</w:t>
      </w:r>
      <w:r w:rsidRPr="00065FAA">
        <w:rPr>
          <w:rFonts w:ascii="Palatino Linotype" w:hAnsi="Palatino Linotype"/>
          <w:i/>
          <w:sz w:val="22"/>
          <w:szCs w:val="22"/>
        </w:rPr>
        <w:t xml:space="preserve"> debe reunir los requisitos siguientes:</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I. Ser mexicano en pleno goce y ejercicio de sus derechos políticos y civiles;</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II. Tener residencia efectiva en el municipio no menor a tres años;</w:t>
      </w: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i/>
          <w:sz w:val="22"/>
          <w:szCs w:val="22"/>
        </w:rPr>
        <w:t>III. Tener preferentemente licenciatura, así como experiencia o estudios en derechos humanos;</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IV. Tener más de 23 años al momento de su designación;</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V. Gozar de buena fama pública y no haber sido condenado por sentencia ejecutoriada por delito intencional.</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VI. No haber sido sancionado en el desempeño de empleo, cargo o comisión en los servicios públicos federal, estatal o municipal, con motivo de alguna recomendación emitida por organismos públicos de derechos humanos; y</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VII. No haber sido objeto de sanción de inhabilitación o destitución administrativas para el desempeño de empleo, cargo o comisión en el servicio público, mediante resolución que haya causado estado.</w:t>
      </w:r>
    </w:p>
    <w:p w:rsidR="00C86888" w:rsidRPr="00065FAA" w:rsidRDefault="00C86888" w:rsidP="00C86888">
      <w:pPr>
        <w:ind w:left="851" w:right="757"/>
        <w:jc w:val="both"/>
        <w:rPr>
          <w:rFonts w:ascii="Palatino Linotype" w:hAnsi="Palatino Linotype"/>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w:t>
      </w:r>
      <w:r w:rsidRPr="00065FAA">
        <w:rPr>
          <w:rFonts w:ascii="Palatino Linotype" w:hAnsi="Palatino Linotype"/>
          <w:i/>
          <w:sz w:val="22"/>
          <w:szCs w:val="22"/>
        </w:rPr>
        <w:cr/>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Artículo 147 K.-</w:t>
      </w:r>
      <w:r w:rsidRPr="00065FAA">
        <w:rPr>
          <w:rFonts w:ascii="Palatino Linotype" w:hAnsi="Palatino Linotype"/>
          <w:i/>
          <w:sz w:val="22"/>
          <w:szCs w:val="22"/>
        </w:rPr>
        <w:t xml:space="preserve"> Son atribuciones del Defensor Municipal de Derechos Humanos</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XIII.</w:t>
      </w:r>
      <w:r w:rsidRPr="00065FAA">
        <w:rPr>
          <w:rFonts w:ascii="Palatino Linotype" w:hAnsi="Palatino Linotype"/>
          <w:i/>
          <w:sz w:val="22"/>
          <w:szCs w:val="22"/>
        </w:rPr>
        <w:t xml:space="preserve"> Participar, promover y fomentar los cursos de capacitación que imparta la Comisión de Derechos Humanos del Estado de México;</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w:t>
      </w:r>
    </w:p>
    <w:p w:rsidR="00C86888" w:rsidRPr="00065FAA" w:rsidRDefault="00C86888" w:rsidP="00C86888">
      <w:pPr>
        <w:ind w:right="757"/>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b/>
          <w:i/>
          <w:sz w:val="22"/>
          <w:szCs w:val="22"/>
        </w:rPr>
        <w:t xml:space="preserve">Artículo 149.- </w:t>
      </w:r>
      <w:r w:rsidRPr="00065FAA">
        <w:rPr>
          <w:rFonts w:ascii="Palatino Linotype" w:hAnsi="Palatino Linotype"/>
          <w:i/>
          <w:sz w:val="22"/>
          <w:szCs w:val="22"/>
        </w:rPr>
        <w:t xml:space="preserve">Las </w:t>
      </w:r>
      <w:r w:rsidRPr="00065FAA">
        <w:rPr>
          <w:rFonts w:ascii="Palatino Linotype" w:hAnsi="Palatino Linotype"/>
          <w:b/>
          <w:i/>
          <w:sz w:val="22"/>
          <w:szCs w:val="22"/>
        </w:rPr>
        <w:t xml:space="preserve">oficialías se dividirán en mediadoras-conciliadoras y calificadoras. </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I. Para ser Oficial Mediador-Conciliador</w:t>
      </w:r>
      <w:r w:rsidRPr="00065FAA">
        <w:rPr>
          <w:rFonts w:ascii="Palatino Linotype" w:hAnsi="Palatino Linotype"/>
          <w:i/>
          <w:sz w:val="22"/>
          <w:szCs w:val="22"/>
        </w:rPr>
        <w:t>, se requiere:</w:t>
      </w:r>
    </w:p>
    <w:p w:rsidR="00C86888" w:rsidRPr="00065FAA" w:rsidRDefault="00C86888" w:rsidP="00C86888">
      <w:pPr>
        <w:ind w:left="851" w:right="757"/>
        <w:jc w:val="both"/>
      </w:pPr>
      <w:r w:rsidRPr="00065FAA">
        <w:rPr>
          <w:rFonts w:ascii="Palatino Linotype" w:hAnsi="Palatino Linotype"/>
          <w:i/>
          <w:sz w:val="22"/>
          <w:szCs w:val="22"/>
        </w:rPr>
        <w:t>…</w:t>
      </w:r>
      <w:r w:rsidRPr="00065FAA">
        <w:t xml:space="preserve"> </w:t>
      </w:r>
    </w:p>
    <w:p w:rsidR="00C86888" w:rsidRPr="00065FAA" w:rsidRDefault="00C86888" w:rsidP="00C86888">
      <w:pPr>
        <w:ind w:left="851" w:right="757"/>
        <w:jc w:val="both"/>
        <w:rPr>
          <w:rFonts w:ascii="Palatino Linotype" w:hAnsi="Palatino Linotype"/>
          <w:b/>
          <w:i/>
          <w:sz w:val="22"/>
          <w:szCs w:val="22"/>
        </w:rPr>
      </w:pPr>
      <w:r w:rsidRPr="00065FAA">
        <w:rPr>
          <w:rFonts w:ascii="Palatino Linotype" w:hAnsi="Palatino Linotype"/>
          <w:b/>
          <w:i/>
          <w:sz w:val="22"/>
          <w:szCs w:val="22"/>
        </w:rPr>
        <w:t>f)</w:t>
      </w:r>
      <w:r w:rsidRPr="00065FAA">
        <w:rPr>
          <w:rFonts w:ascii="Palatino Linotype" w:hAnsi="Palatino Linotype"/>
          <w:i/>
          <w:sz w:val="22"/>
          <w:szCs w:val="22"/>
        </w:rPr>
        <w:t xml:space="preserve"> </w:t>
      </w:r>
      <w:r w:rsidRPr="00065FAA">
        <w:rPr>
          <w:rFonts w:ascii="Palatino Linotype" w:hAnsi="Palatino Linotype"/>
          <w:b/>
          <w:i/>
          <w:sz w:val="22"/>
          <w:szCs w:val="22"/>
        </w:rPr>
        <w:t>Estar certificado por el Centro de Mediación, Conciliación y de Justicia Restaurativa del Poder Judicial del Estado de México.</w:t>
      </w:r>
    </w:p>
    <w:p w:rsidR="00C86888" w:rsidRPr="00065FAA" w:rsidRDefault="00C86888" w:rsidP="00C86888">
      <w:pPr>
        <w:ind w:left="851" w:right="757"/>
        <w:jc w:val="both"/>
        <w:rPr>
          <w:rFonts w:ascii="Palatino Linotype" w:hAnsi="Palatino Linotype"/>
          <w:b/>
          <w:i/>
          <w:sz w:val="22"/>
          <w:szCs w:val="22"/>
        </w:rPr>
      </w:pP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b/>
          <w:i/>
          <w:sz w:val="22"/>
          <w:szCs w:val="22"/>
        </w:rPr>
        <w:t>II. Para ser Oficial Calificador</w:t>
      </w:r>
      <w:r w:rsidRPr="00065FAA">
        <w:rPr>
          <w:rFonts w:ascii="Palatino Linotype" w:hAnsi="Palatino Linotype"/>
          <w:i/>
          <w:sz w:val="22"/>
          <w:szCs w:val="22"/>
        </w:rPr>
        <w:t>, se requiere:</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a). Ser ciudadano mexicano, en pleno ejercicio de sus derechos;</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lastRenderedPageBreak/>
        <w:t>b). No haber sido condenado por delito intencional;</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c). Ser de reconocida buena conducta y solvencia moral;</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d). Tener cuando menos veintiocho años al día de su designación; y</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e). Ser licenciado en Derecho</w:t>
      </w:r>
    </w:p>
    <w:p w:rsidR="00C86888" w:rsidRPr="00065FAA" w:rsidRDefault="00C86888" w:rsidP="00C86888">
      <w:pPr>
        <w:ind w:left="851" w:right="757"/>
        <w:jc w:val="both"/>
        <w:rPr>
          <w:rFonts w:ascii="Palatino Linotype" w:hAnsi="Palatino Linotype"/>
          <w:i/>
          <w:sz w:val="22"/>
          <w:szCs w:val="22"/>
        </w:rPr>
      </w:pPr>
      <w:r w:rsidRPr="00065FAA">
        <w:rPr>
          <w:rFonts w:ascii="Palatino Linotype" w:hAnsi="Palatino Linotype"/>
          <w:i/>
          <w:sz w:val="22"/>
          <w:szCs w:val="22"/>
        </w:rPr>
        <w:t>…” (Sic)</w:t>
      </w:r>
    </w:p>
    <w:p w:rsidR="00C86888" w:rsidRPr="00065FAA" w:rsidRDefault="00C86888" w:rsidP="00C86888">
      <w:pPr>
        <w:spacing w:before="100" w:beforeAutospacing="1" w:after="100" w:afterAutospacing="1" w:line="360" w:lineRule="auto"/>
        <w:contextualSpacing/>
        <w:jc w:val="both"/>
      </w:pPr>
    </w:p>
    <w:p w:rsidR="00C86888" w:rsidRPr="00065FAA" w:rsidRDefault="00C86888" w:rsidP="00C86888">
      <w:pPr>
        <w:spacing w:before="100" w:beforeAutospacing="1" w:after="100" w:afterAutospacing="1" w:line="360" w:lineRule="auto"/>
        <w:jc w:val="both"/>
        <w:rPr>
          <w:rFonts w:ascii="Palatino Linotype" w:hAnsi="Palatino Linotype" w:cs="Arial"/>
        </w:rPr>
      </w:pPr>
      <w:r w:rsidRPr="00065FAA">
        <w:rPr>
          <w:rFonts w:ascii="Palatino Linotype" w:hAnsi="Palatino Linotype"/>
        </w:rPr>
        <w:t>De tal manera, que el citado ordenamiento legal, señala de manera expresa, los cargos dentro de la administración pública municipal, que deberán contar con una certificación, la autoridad que la emite y la temporalidad en que debe ser entregado, así mismo, cabe destacar que las mismas son de manera enunciativa, más no limitativas, ya que conforme al cargo, empleo o comisión, se estipulan los requisitos que las leyes en la materia determinen</w:t>
      </w:r>
      <w:r w:rsidRPr="00065FAA">
        <w:rPr>
          <w:rFonts w:ascii="Palatino Linotype" w:hAnsi="Palatino Linotype" w:cs="Arial"/>
        </w:rPr>
        <w:t xml:space="preserve">; por lo tanto, este Instituto estima que, ante la fuente obligacional de referencia, lo procedente es ordenar al </w:t>
      </w:r>
      <w:r w:rsidRPr="00065FAA">
        <w:rPr>
          <w:rFonts w:ascii="Palatino Linotype" w:hAnsi="Palatino Linotype" w:cs="Arial"/>
          <w:b/>
        </w:rPr>
        <w:t>SUJETO OBLIGADO</w:t>
      </w:r>
      <w:r w:rsidRPr="00065FAA">
        <w:rPr>
          <w:rFonts w:ascii="Palatino Linotype" w:hAnsi="Palatino Linotype" w:cs="Arial"/>
        </w:rPr>
        <w:t xml:space="preserve"> haga entrega de la información solicitada, en versión pública de ser procedente, o bien, emitir la Declaratoria de Inexistencia correspondiente.</w:t>
      </w:r>
    </w:p>
    <w:p w:rsidR="00C86888" w:rsidRPr="00065FAA" w:rsidRDefault="00C86888" w:rsidP="00C86888">
      <w:pPr>
        <w:autoSpaceDE w:val="0"/>
        <w:autoSpaceDN w:val="0"/>
        <w:adjustRightInd w:val="0"/>
        <w:spacing w:before="100" w:beforeAutospacing="1" w:after="100" w:afterAutospacing="1" w:line="360" w:lineRule="auto"/>
        <w:jc w:val="both"/>
        <w:rPr>
          <w:rFonts w:ascii="Palatino Linotype" w:hAnsi="Palatino Linotype" w:cs="Arial"/>
          <w:i/>
        </w:rPr>
      </w:pPr>
      <w:r w:rsidRPr="00065FAA">
        <w:rPr>
          <w:rFonts w:ascii="Palatino Linotype" w:hAnsi="Palatino Linotype" w:cs="Arial"/>
        </w:rPr>
        <w:t xml:space="preserve">Por lo tanto, de los preceptos señalados se concluye que </w:t>
      </w:r>
      <w:r w:rsidRPr="00065FAA">
        <w:rPr>
          <w:rFonts w:ascii="Palatino Linotype" w:hAnsi="Palatino Linotype" w:cs="Arial"/>
          <w:b/>
        </w:rPr>
        <w:t>EL SUJETO OBLIGADO</w:t>
      </w:r>
      <w:r w:rsidRPr="00065FAA">
        <w:rPr>
          <w:rFonts w:ascii="Palatino Linotype" w:hAnsi="Palatino Linotype" w:cs="Arial"/>
        </w:rPr>
        <w:t xml:space="preserve"> tiene atribuciones para poseer la información relacionada con la solicitud; por tales razones, este Órgano Garante en aras de no vulnerar el derecho de acceso a la información del </w:t>
      </w:r>
      <w:r w:rsidRPr="00065FAA">
        <w:rPr>
          <w:rFonts w:ascii="Palatino Linotype" w:hAnsi="Palatino Linotype" w:cs="Arial"/>
          <w:b/>
        </w:rPr>
        <w:t>RECURRENTE</w:t>
      </w:r>
      <w:r w:rsidRPr="00065FAA">
        <w:rPr>
          <w:rFonts w:ascii="Palatino Linotype" w:hAnsi="Palatino Linotype" w:cs="Arial"/>
        </w:rPr>
        <w:t xml:space="preserve">, estima dable ordenar la entrega de los certificados de competencia laboral de los servidores públicos que estén obligados a contar con él, mismos que son Secretario, Tesorero, Director de Obras Públicas, Ecología, Desarrollo Urbano, o equivalentes, expedidos por el IHAEM y/o por el Consejo Nacional de Normalización y Certificación de Competencias Laborales, vigentes al siete de febrero de dos mil veinte, en </w:t>
      </w:r>
      <w:r w:rsidRPr="00065FAA">
        <w:rPr>
          <w:rFonts w:ascii="Palatino Linotype" w:hAnsi="Palatino Linotype" w:cs="Arial"/>
          <w:b/>
        </w:rPr>
        <w:t>versión pública</w:t>
      </w:r>
      <w:r w:rsidRPr="00065FAA">
        <w:rPr>
          <w:rFonts w:ascii="Palatino Linotype" w:hAnsi="Palatino Linotype" w:cs="Arial"/>
        </w:rPr>
        <w:t xml:space="preserve"> de ser procedente.</w:t>
      </w: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lastRenderedPageBreak/>
        <w:t xml:space="preserve">Finalmente, por cuanto hace a la solicitud de acceso a la información marcada con el numeral 6, relativa a las actas administrativas que se hubieran realizado a dichos servidores públicos, </w:t>
      </w:r>
      <w:r w:rsidRPr="00065FAA">
        <w:rPr>
          <w:rFonts w:ascii="Palatino Linotype" w:hAnsi="Palatino Linotype" w:cs="Arial"/>
          <w:b/>
        </w:rPr>
        <w:t>EL SUJETO OBLIGADO</w:t>
      </w:r>
      <w:r w:rsidRPr="00065FAA">
        <w:rPr>
          <w:rFonts w:ascii="Palatino Linotype" w:hAnsi="Palatino Linotype" w:cs="Arial"/>
        </w:rPr>
        <w:t xml:space="preserve"> no realizó pronunciamiento alguno, de tal manera que, se deben analizar la naturaleza de las sanciones, 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00C86888" w:rsidRPr="00065FAA" w:rsidRDefault="00C86888" w:rsidP="00C86888">
      <w:pPr>
        <w:jc w:val="both"/>
        <w:rPr>
          <w:rFonts w:ascii="Palatino Linotype" w:hAnsi="Palatino Linotype" w:cs="Arial"/>
        </w:rPr>
      </w:pPr>
    </w:p>
    <w:p w:rsidR="00C86888" w:rsidRPr="00065FAA" w:rsidRDefault="00C86888" w:rsidP="00C86888">
      <w:pPr>
        <w:tabs>
          <w:tab w:val="left" w:pos="8222"/>
        </w:tabs>
        <w:ind w:left="851" w:right="899"/>
        <w:jc w:val="both"/>
        <w:rPr>
          <w:rFonts w:ascii="Palatino Linotype" w:hAnsi="Palatino Linotype" w:cs="Arial"/>
          <w:i/>
          <w:sz w:val="22"/>
        </w:rPr>
      </w:pPr>
      <w:r w:rsidRPr="00065FAA">
        <w:rPr>
          <w:rFonts w:ascii="Palatino Linotype" w:hAnsi="Palatino Linotype" w:cs="Arial"/>
          <w:i/>
          <w:sz w:val="22"/>
        </w:rPr>
        <w:t>“</w:t>
      </w:r>
      <w:r w:rsidRPr="00065FAA">
        <w:rPr>
          <w:rFonts w:ascii="Palatino Linotype" w:hAnsi="Palatino Linotype" w:cs="Arial"/>
          <w:b/>
          <w:i/>
          <w:sz w:val="22"/>
        </w:rPr>
        <w:t>Artículo 92.</w:t>
      </w:r>
      <w:r w:rsidRPr="00065FAA">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86888" w:rsidRPr="00065FAA" w:rsidRDefault="00C86888" w:rsidP="00C86888">
      <w:pPr>
        <w:tabs>
          <w:tab w:val="left" w:pos="8222"/>
        </w:tabs>
        <w:ind w:left="851" w:right="899"/>
        <w:jc w:val="both"/>
        <w:rPr>
          <w:rFonts w:ascii="Palatino Linotype" w:hAnsi="Palatino Linotype" w:cs="Arial"/>
          <w:i/>
          <w:sz w:val="22"/>
        </w:rPr>
      </w:pPr>
      <w:r w:rsidRPr="00065FAA">
        <w:rPr>
          <w:rFonts w:ascii="Palatino Linotype" w:hAnsi="Palatino Linotype" w:cs="Arial"/>
          <w:i/>
          <w:sz w:val="22"/>
        </w:rPr>
        <w:t>…</w:t>
      </w:r>
    </w:p>
    <w:p w:rsidR="00C86888" w:rsidRPr="00065FAA" w:rsidRDefault="00C86888" w:rsidP="00C86888">
      <w:pPr>
        <w:tabs>
          <w:tab w:val="left" w:pos="8222"/>
        </w:tabs>
        <w:ind w:left="851" w:right="899"/>
        <w:jc w:val="both"/>
        <w:rPr>
          <w:rFonts w:ascii="Palatino Linotype" w:hAnsi="Palatino Linotype" w:cs="Arial"/>
          <w:i/>
          <w:sz w:val="22"/>
        </w:rPr>
      </w:pPr>
      <w:r w:rsidRPr="00065FAA">
        <w:rPr>
          <w:rFonts w:ascii="Palatino Linotype" w:hAnsi="Palatino Linotype" w:cs="Arial"/>
          <w:i/>
          <w:sz w:val="22"/>
        </w:rPr>
        <w:t>XXI. La información curricular, desde el nivel de jefe de departamento o equivalente, hasta el titular del sujeto obligado, así como, en su caso, la</w:t>
      </w:r>
      <w:r w:rsidRPr="00065FAA">
        <w:rPr>
          <w:rFonts w:ascii="Palatino Linotype" w:hAnsi="Palatino Linotype" w:cs="Arial"/>
          <w:b/>
          <w:i/>
          <w:sz w:val="22"/>
        </w:rPr>
        <w:t>s sanciones administrativas de que haya sido objeto</w:t>
      </w:r>
      <w:r w:rsidRPr="00065FAA">
        <w:rPr>
          <w:rFonts w:ascii="Palatino Linotype" w:hAnsi="Palatino Linotype" w:cs="Arial"/>
          <w:i/>
          <w:sz w:val="22"/>
        </w:rPr>
        <w:t>;”</w:t>
      </w:r>
    </w:p>
    <w:p w:rsidR="00C86888" w:rsidRPr="00065FAA" w:rsidRDefault="00C86888" w:rsidP="00C86888">
      <w:pPr>
        <w:ind w:left="709" w:right="757"/>
        <w:jc w:val="both"/>
        <w:rPr>
          <w:rFonts w:ascii="Palatino Linotype" w:hAnsi="Palatino Linotype" w:cs="Arial"/>
          <w:i/>
          <w:sz w:val="22"/>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 xml:space="preserve">Bajo esa óptica se entendería que la información peticionada por la parte </w:t>
      </w:r>
      <w:r w:rsidRPr="00065FAA">
        <w:rPr>
          <w:rFonts w:ascii="Palatino Linotype" w:hAnsi="Palatino Linotype" w:cs="Arial"/>
          <w:b/>
        </w:rPr>
        <w:t>RECURRENTE</w:t>
      </w:r>
      <w:r w:rsidRPr="00065FAA">
        <w:rPr>
          <w:rFonts w:ascii="Palatino Linotype" w:hAnsi="Palatino Linotype" w:cs="Arial"/>
        </w:rPr>
        <w:t>, es susceptible de acceso a la información pública, ya que se relaciona con parte de las obligaciones de transparencia comunes que los Sujetos Obligados, deberán poner a disposición de los particulares de forma actualizada.</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No obstante, la Ley de Responsabilidades Administrativas del Estado de México y Municipios, determina que la publicidad de las sanciones únicamente será en cuanto a las derivadas de las faltas administrativas graves, según lo indica el artículo 28 de la Ley:</w:t>
      </w:r>
    </w:p>
    <w:p w:rsidR="00C86888" w:rsidRPr="00065FAA" w:rsidRDefault="00C86888" w:rsidP="00C86888">
      <w:pPr>
        <w:jc w:val="both"/>
        <w:rPr>
          <w:rFonts w:ascii="Palatino Linotype" w:hAnsi="Palatino Linotype" w:cs="Arial"/>
        </w:rPr>
      </w:pPr>
    </w:p>
    <w:p w:rsidR="00C86888" w:rsidRPr="00065FAA" w:rsidRDefault="00C86888" w:rsidP="00C86888">
      <w:pPr>
        <w:ind w:left="851" w:right="899"/>
        <w:jc w:val="both"/>
        <w:rPr>
          <w:rFonts w:ascii="Palatino Linotype" w:hAnsi="Palatino Linotype" w:cs="Arial"/>
          <w:i/>
          <w:sz w:val="22"/>
        </w:rPr>
      </w:pPr>
      <w:r w:rsidRPr="00065FAA">
        <w:rPr>
          <w:rFonts w:ascii="Palatino Linotype" w:hAnsi="Palatino Linotype" w:cs="Arial"/>
          <w:i/>
          <w:sz w:val="22"/>
        </w:rPr>
        <w:t>“</w:t>
      </w:r>
      <w:r w:rsidRPr="00065FAA">
        <w:rPr>
          <w:rFonts w:ascii="Palatino Linotype" w:hAnsi="Palatino Linotype" w:cs="Arial"/>
          <w:b/>
          <w:i/>
          <w:sz w:val="22"/>
        </w:rPr>
        <w:t>Artículo 28.</w:t>
      </w:r>
      <w:r w:rsidRPr="00065FAA">
        <w:rPr>
          <w:rFonts w:ascii="Palatino Linotype" w:hAnsi="Palatino Linotype" w:cs="Arial"/>
          <w:i/>
          <w:sz w:val="22"/>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w:t>
      </w:r>
    </w:p>
    <w:p w:rsidR="00C86888" w:rsidRPr="00065FAA" w:rsidRDefault="00C86888" w:rsidP="00C86888">
      <w:pPr>
        <w:ind w:left="851" w:right="899"/>
        <w:jc w:val="both"/>
        <w:rPr>
          <w:rFonts w:ascii="Palatino Linotype" w:hAnsi="Palatino Linotype" w:cs="Arial"/>
          <w:i/>
          <w:sz w:val="22"/>
        </w:rPr>
      </w:pPr>
    </w:p>
    <w:p w:rsidR="00C86888" w:rsidRPr="00065FAA" w:rsidRDefault="00C86888" w:rsidP="00C86888">
      <w:pPr>
        <w:ind w:left="851" w:right="899"/>
        <w:jc w:val="both"/>
        <w:rPr>
          <w:rFonts w:ascii="Palatino Linotype" w:hAnsi="Palatino Linotype" w:cs="Arial"/>
          <w:i/>
          <w:sz w:val="22"/>
        </w:rPr>
      </w:pPr>
      <w:r w:rsidRPr="00065FAA">
        <w:rPr>
          <w:rFonts w:ascii="Palatino Linotype" w:hAnsi="Palatino Linotype" w:cs="Arial"/>
          <w:i/>
          <w:sz w:val="22"/>
        </w:rPr>
        <w:t xml:space="preserve">La plataforma digital estatal contará además con los sistemas de información específicos que estipulan la Ley del Sistema. </w:t>
      </w:r>
    </w:p>
    <w:p w:rsidR="00C86888" w:rsidRPr="00065FAA" w:rsidRDefault="00C86888" w:rsidP="00C86888">
      <w:pPr>
        <w:ind w:left="851" w:right="899"/>
        <w:jc w:val="both"/>
        <w:rPr>
          <w:rFonts w:ascii="Palatino Linotype" w:hAnsi="Palatino Linotype" w:cs="Arial"/>
          <w:i/>
          <w:sz w:val="22"/>
        </w:rPr>
      </w:pPr>
    </w:p>
    <w:p w:rsidR="00C86888" w:rsidRPr="00065FAA" w:rsidRDefault="00C86888" w:rsidP="00C86888">
      <w:pPr>
        <w:ind w:left="851" w:right="899"/>
        <w:jc w:val="both"/>
        <w:rPr>
          <w:rFonts w:ascii="Palatino Linotype" w:hAnsi="Palatino Linotype" w:cs="Arial"/>
          <w:i/>
          <w:sz w:val="22"/>
        </w:rPr>
      </w:pPr>
      <w:r w:rsidRPr="00065FAA">
        <w:rPr>
          <w:rFonts w:ascii="Palatino Linotype" w:hAnsi="Palatino Linotype" w:cs="Arial"/>
          <w:i/>
          <w:sz w:val="22"/>
        </w:rPr>
        <w:t xml:space="preserve">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 </w:t>
      </w:r>
    </w:p>
    <w:p w:rsidR="00C86888" w:rsidRPr="00065FAA" w:rsidRDefault="00C86888" w:rsidP="00C86888">
      <w:pPr>
        <w:ind w:left="851" w:right="899"/>
        <w:jc w:val="both"/>
        <w:rPr>
          <w:rFonts w:ascii="Palatino Linotype" w:hAnsi="Palatino Linotype" w:cs="Arial"/>
          <w:i/>
          <w:sz w:val="22"/>
        </w:rPr>
      </w:pPr>
    </w:p>
    <w:p w:rsidR="00C86888" w:rsidRPr="00065FAA" w:rsidRDefault="00C86888" w:rsidP="00C86888">
      <w:pPr>
        <w:ind w:left="851" w:right="899"/>
        <w:jc w:val="both"/>
        <w:rPr>
          <w:rFonts w:ascii="Palatino Linotype" w:hAnsi="Palatino Linotype" w:cs="Arial"/>
          <w:i/>
          <w:sz w:val="22"/>
        </w:rPr>
      </w:pPr>
      <w:r w:rsidRPr="00065FAA">
        <w:rPr>
          <w:rFonts w:ascii="Palatino Linotype" w:hAnsi="Palatino Linotype" w:cs="Arial"/>
          <w:i/>
          <w:sz w:val="22"/>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 </w:t>
      </w:r>
    </w:p>
    <w:p w:rsidR="00C86888" w:rsidRPr="00065FAA" w:rsidRDefault="00C86888" w:rsidP="00C86888">
      <w:pPr>
        <w:ind w:left="851" w:right="899"/>
        <w:jc w:val="both"/>
        <w:rPr>
          <w:rFonts w:ascii="Palatino Linotype" w:hAnsi="Palatino Linotype" w:cs="Arial"/>
          <w:i/>
          <w:sz w:val="22"/>
        </w:rPr>
      </w:pPr>
    </w:p>
    <w:p w:rsidR="00C86888" w:rsidRPr="00065FAA" w:rsidRDefault="00C86888" w:rsidP="00C86888">
      <w:pPr>
        <w:ind w:left="851" w:right="899"/>
        <w:jc w:val="both"/>
        <w:rPr>
          <w:rFonts w:ascii="Palatino Linotype" w:hAnsi="Palatino Linotype" w:cs="Arial"/>
          <w:i/>
          <w:sz w:val="22"/>
        </w:rPr>
      </w:pPr>
      <w:r w:rsidRPr="00065FAA">
        <w:rPr>
          <w:rFonts w:ascii="Palatino Linotype" w:hAnsi="Palatino Linotype" w:cs="Arial"/>
          <w:i/>
          <w:sz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rsidR="00C86888" w:rsidRPr="00065FAA" w:rsidRDefault="00C86888" w:rsidP="00C86888">
      <w:pPr>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 xml:space="preserve">Por lo anterior, es que este Órgano Garante determina que se trata información pública haciendo entrega de las actas administrativas, mismas que derivaron de faltas </w:t>
      </w:r>
      <w:r w:rsidRPr="00065FAA">
        <w:rPr>
          <w:rFonts w:ascii="Palatino Linotype" w:hAnsi="Palatino Linotype" w:cs="Arial"/>
        </w:rPr>
        <w:lastRenderedPageBreak/>
        <w:t>administrativas graves concluidas en sanciones que son sustanciadas y solventadas por el Tribunal de Justicia Administrativa del Estado de México.</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Sin embargo, con el objetivo de lograr una mayor transparencia y rendición de cuentas, el Pleno de este Órgano Garante, ha determinado que en cumplimiento a la Ley de Transparencia también sean susceptible de acceso a la información pública las actas administrativas que no se encuentren en procedimiento administrativo alguno o en etapa de investigación, es decir que de ellas no se hubiese derivado inicio de alguna investigación o procedimiento administrativo.</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Y en el caso de aquellas actas administrativas de las que hubiese derivado alguna sanción por falta administrativa no grave, se harían públicas con la variante de que el nombre de los servidores públicos involucrados sea testado de los documentos, ya que al no ser cometida una falta grave, no sería sujeto del conocimiento público dicha falta.</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rPr>
        <w:t xml:space="preserve">Por lo tanto, lo procedente será ordenar al </w:t>
      </w:r>
      <w:r w:rsidRPr="00065FAA">
        <w:rPr>
          <w:rFonts w:ascii="Palatino Linotype" w:hAnsi="Palatino Linotype" w:cs="Arial"/>
          <w:b/>
        </w:rPr>
        <w:t>SUJETO OBLIGADO</w:t>
      </w:r>
      <w:r w:rsidRPr="00065FAA">
        <w:rPr>
          <w:rFonts w:ascii="Palatino Linotype" w:hAnsi="Palatino Linotype" w:cs="Arial"/>
        </w:rPr>
        <w:t xml:space="preserve"> la entrega de las actas administrativas cuando de ellas se desprenda procedimiento administrativo que hayan quedado firmes a la fecha de cumplimiento del presente en versión pública, protegiendo en todo momento los datos que puedan hacer identificables a los servidores públicos sancionados por faltas no graves y clasificando aquellas que se encuentren en trámite en cualquiera de sus etapas, de confirmad con la fracción VI del ordinal 140 de la Ley de la materia, misma que refiere que se trata de información clasificada como reservada la referente a aquella cuya publicidad afecte o vulnere la </w:t>
      </w:r>
      <w:r w:rsidRPr="00065FAA">
        <w:rPr>
          <w:rFonts w:ascii="Palatino Linotype" w:hAnsi="Palatino Linotype" w:cs="Arial"/>
        </w:rPr>
        <w:lastRenderedPageBreak/>
        <w:t>conducción o los derechos del debido proceso en los procedimientos judiciales o administrativos, incluidos los de quejas, denuncias, inconformidades, responsabilidades administrativas y resarcitorias en tanto no hayan quedado firme</w:t>
      </w:r>
    </w:p>
    <w:p w:rsidR="00C86888" w:rsidRPr="00065FAA" w:rsidRDefault="00C86888" w:rsidP="00C86888">
      <w:pPr>
        <w:spacing w:line="360" w:lineRule="auto"/>
        <w:jc w:val="both"/>
        <w:rPr>
          <w:rFonts w:ascii="Palatino Linotype" w:hAnsi="Palatino Linotype" w:cs="Arial"/>
        </w:rPr>
      </w:pPr>
    </w:p>
    <w:p w:rsidR="00C86888" w:rsidRPr="00065FAA" w:rsidRDefault="00C86888" w:rsidP="00C86888">
      <w:pPr>
        <w:widowControl w:val="0"/>
        <w:autoSpaceDE w:val="0"/>
        <w:autoSpaceDN w:val="0"/>
        <w:adjustRightInd w:val="0"/>
        <w:spacing w:line="360" w:lineRule="auto"/>
        <w:contextualSpacing/>
        <w:jc w:val="both"/>
        <w:rPr>
          <w:rFonts w:ascii="Palatino Linotype" w:hAnsi="Palatino Linotype" w:cs="Arial"/>
          <w:lang w:val="es-ES_tradnl"/>
        </w:rPr>
      </w:pPr>
      <w:r w:rsidRPr="00065FAA">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65FAA">
        <w:rPr>
          <w:rFonts w:ascii="Palatino Linotype" w:eastAsia="Arial Unicode MS" w:hAnsi="Palatino Linotype" w:cs="Arial"/>
        </w:rPr>
        <w:t>omitir, eliminar o suprimir la</w:t>
      </w:r>
      <w:r w:rsidRPr="00065FAA">
        <w:rPr>
          <w:rFonts w:ascii="Palatino Linotype" w:hAnsi="Palatino Linotype"/>
          <w:color w:val="000000"/>
        </w:rPr>
        <w:t xml:space="preserve"> información </w:t>
      </w:r>
      <w:r w:rsidRPr="00065FAA">
        <w:rPr>
          <w:rFonts w:ascii="Palatino Linotype" w:hAnsi="Palatino Linotype"/>
          <w:b/>
          <w:color w:val="000000"/>
        </w:rPr>
        <w:t>confidencial</w:t>
      </w:r>
      <w:r w:rsidRPr="00065FAA">
        <w:rPr>
          <w:rFonts w:ascii="Palatino Linotype" w:eastAsia="Arial Unicode MS" w:hAnsi="Palatino Linotype" w:cs="Arial"/>
        </w:rPr>
        <w:t xml:space="preserve">. En ese sentido, </w:t>
      </w:r>
      <w:r w:rsidRPr="00065FAA">
        <w:rPr>
          <w:rFonts w:ascii="Palatino Linotype" w:hAnsi="Palatino Linotype" w:cs="Arial"/>
          <w:lang w:val="es-ES_tradnl"/>
        </w:rPr>
        <w:t xml:space="preserve">sólo podrán </w:t>
      </w:r>
      <w:r w:rsidRPr="00065FAA">
        <w:rPr>
          <w:rFonts w:ascii="Palatino Linotype" w:hAnsi="Palatino Linotype" w:cs="Arial"/>
        </w:rPr>
        <w:t>ser</w:t>
      </w:r>
      <w:r w:rsidRPr="00065FAA">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065FAA">
        <w:rPr>
          <w:rFonts w:ascii="Palatino Linotype" w:hAnsi="Palatino Linotype" w:cs="Arial"/>
        </w:rPr>
        <w:t xml:space="preserve"> que el Comité de Transparencia del </w:t>
      </w:r>
      <w:r w:rsidRPr="00065FAA">
        <w:rPr>
          <w:rFonts w:ascii="Palatino Linotype" w:hAnsi="Palatino Linotype" w:cs="Arial"/>
          <w:b/>
        </w:rPr>
        <w:t>SUJETO OBLIGADO</w:t>
      </w:r>
      <w:r w:rsidRPr="00065FAA">
        <w:rPr>
          <w:rFonts w:ascii="Palatino Linotype" w:hAnsi="Palatino Linotype" w:cs="Arial"/>
        </w:rPr>
        <w:t xml:space="preserve"> emita el Acuerdo de Clasificación correspondiente</w:t>
      </w:r>
      <w:r w:rsidRPr="00065FAA">
        <w:rPr>
          <w:rFonts w:ascii="Palatino Linotype" w:hAnsi="Palatino Linotype" w:cs="Arial"/>
          <w:lang w:val="es-ES_tradnl"/>
        </w:rPr>
        <w:t xml:space="preserve"> debidamente fundado y motivado, en el cual se</w:t>
      </w:r>
      <w:r w:rsidRPr="00065FAA">
        <w:rPr>
          <w:rFonts w:ascii="Palatino Linotype" w:hAnsi="Palatino Linotype" w:cs="Arial"/>
        </w:rPr>
        <w:t xml:space="preserve"> sustente la versión pública, </w:t>
      </w:r>
      <w:r w:rsidRPr="00065FAA">
        <w:rPr>
          <w:rFonts w:ascii="Palatino Linotype" w:hAnsi="Palatino Linotype" w:cs="Arial"/>
          <w:lang w:val="es-ES_tradnl"/>
        </w:rPr>
        <w:t xml:space="preserve">en </w:t>
      </w:r>
      <w:r w:rsidRPr="00065FAA">
        <w:rPr>
          <w:rFonts w:ascii="Palatino Linotype" w:hAnsi="Palatino Linotype" w:cs="Arial"/>
          <w:noProof/>
          <w:lang w:eastAsia="es-MX"/>
        </w:rPr>
        <w:t>términos</w:t>
      </w:r>
      <w:r w:rsidRPr="00065FA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86888" w:rsidRPr="00065FAA" w:rsidRDefault="00C86888" w:rsidP="00C86888">
      <w:pPr>
        <w:tabs>
          <w:tab w:val="left" w:pos="8222"/>
        </w:tabs>
        <w:ind w:left="851" w:right="899"/>
        <w:jc w:val="center"/>
        <w:rPr>
          <w:rFonts w:ascii="Palatino Linotype" w:hAnsi="Palatino Linotype" w:cs="Arial"/>
          <w:b/>
          <w:i/>
          <w:sz w:val="22"/>
        </w:rPr>
      </w:pPr>
      <w:r w:rsidRPr="00065FAA">
        <w:rPr>
          <w:rFonts w:ascii="Palatino Linotype" w:hAnsi="Palatino Linotype" w:cs="Arial"/>
          <w:b/>
          <w:i/>
          <w:sz w:val="22"/>
        </w:rPr>
        <w:t>Ley de Transparencia y Acceso a la Información Pública del Estado de México y Municipios</w:t>
      </w:r>
    </w:p>
    <w:p w:rsidR="00C86888" w:rsidRPr="00065FAA" w:rsidRDefault="00C86888" w:rsidP="00C86888">
      <w:pPr>
        <w:tabs>
          <w:tab w:val="left" w:pos="8222"/>
        </w:tabs>
        <w:ind w:left="851" w:right="899"/>
        <w:jc w:val="center"/>
        <w:rPr>
          <w:rFonts w:ascii="Palatino Linotype" w:hAnsi="Palatino Linotype" w:cs="Arial"/>
          <w:b/>
          <w:i/>
          <w:sz w:val="22"/>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r w:rsidRPr="00065FAA">
        <w:rPr>
          <w:rFonts w:ascii="Palatino Linotype" w:hAnsi="Palatino Linotype" w:cs="Arial"/>
          <w:b/>
          <w:i/>
          <w:sz w:val="22"/>
          <w:szCs w:val="22"/>
          <w:lang w:eastAsia="es-MX"/>
        </w:rPr>
        <w:t xml:space="preserve">Artículo 49. </w:t>
      </w:r>
      <w:r w:rsidRPr="00065FAA">
        <w:rPr>
          <w:rFonts w:ascii="Palatino Linotype" w:hAnsi="Palatino Linotype" w:cs="Arial"/>
          <w:i/>
          <w:sz w:val="22"/>
          <w:szCs w:val="22"/>
          <w:lang w:eastAsia="es-MX"/>
        </w:rPr>
        <w:t xml:space="preserve">Los </w:t>
      </w:r>
      <w:r w:rsidRPr="00065FAA">
        <w:rPr>
          <w:rFonts w:ascii="Palatino Linotype" w:hAnsi="Palatino Linotype" w:cs="Arial"/>
          <w:i/>
          <w:sz w:val="22"/>
        </w:rPr>
        <w:t>Comités</w:t>
      </w:r>
      <w:r w:rsidRPr="00065FAA">
        <w:rPr>
          <w:rFonts w:ascii="Palatino Linotype" w:hAnsi="Palatino Linotype" w:cs="Arial"/>
          <w:i/>
          <w:sz w:val="22"/>
          <w:szCs w:val="22"/>
          <w:lang w:eastAsia="es-MX"/>
        </w:rPr>
        <w:t xml:space="preserve"> de </w:t>
      </w:r>
      <w:r w:rsidRPr="00065FAA">
        <w:rPr>
          <w:rFonts w:ascii="Palatino Linotype" w:hAnsi="Palatino Linotype" w:cs="Arial"/>
          <w:i/>
          <w:sz w:val="22"/>
          <w:lang w:eastAsia="es-MX"/>
        </w:rPr>
        <w:t>Transparencia</w:t>
      </w:r>
      <w:r w:rsidRPr="00065FAA">
        <w:rPr>
          <w:rFonts w:ascii="Palatino Linotype" w:hAnsi="Palatino Linotype" w:cs="Arial"/>
          <w:i/>
          <w:sz w:val="22"/>
          <w:szCs w:val="22"/>
          <w:lang w:eastAsia="es-MX"/>
        </w:rPr>
        <w:t xml:space="preserve"> </w:t>
      </w:r>
      <w:r w:rsidRPr="00065FAA">
        <w:rPr>
          <w:rFonts w:ascii="Palatino Linotype" w:hAnsi="Palatino Linotype"/>
          <w:i/>
          <w:sz w:val="22"/>
          <w:szCs w:val="22"/>
        </w:rPr>
        <w:t>tendrán</w:t>
      </w:r>
      <w:r w:rsidRPr="00065FAA">
        <w:rPr>
          <w:rFonts w:ascii="Palatino Linotype" w:hAnsi="Palatino Linotype" w:cs="Arial"/>
          <w:i/>
          <w:sz w:val="22"/>
          <w:szCs w:val="22"/>
          <w:lang w:eastAsia="es-MX"/>
        </w:rPr>
        <w:t xml:space="preserve"> las siguientes atribuciones: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VIII.</w:t>
      </w:r>
      <w:r w:rsidRPr="00065FAA">
        <w:rPr>
          <w:rFonts w:ascii="Palatino Linotype" w:hAnsi="Palatino Linotype" w:cs="Arial"/>
          <w:i/>
          <w:sz w:val="22"/>
          <w:szCs w:val="22"/>
          <w:lang w:eastAsia="es-MX"/>
        </w:rPr>
        <w:t xml:space="preserve"> Aprobar, </w:t>
      </w:r>
      <w:r w:rsidRPr="00065FAA">
        <w:rPr>
          <w:rFonts w:ascii="Palatino Linotype" w:hAnsi="Palatino Linotype" w:cs="Arial"/>
          <w:i/>
          <w:sz w:val="22"/>
        </w:rPr>
        <w:t>modificar</w:t>
      </w:r>
      <w:r w:rsidRPr="00065FAA">
        <w:rPr>
          <w:rFonts w:ascii="Palatino Linotype" w:hAnsi="Palatino Linotype" w:cs="Arial"/>
          <w:i/>
          <w:sz w:val="22"/>
          <w:szCs w:val="22"/>
          <w:lang w:eastAsia="es-MX"/>
        </w:rPr>
        <w:t xml:space="preserve"> o revocar la clasificación de la información;</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Artículo 132.</w:t>
      </w:r>
      <w:r w:rsidRPr="00065FAA">
        <w:rPr>
          <w:rFonts w:ascii="Palatino Linotype" w:hAnsi="Palatino Linotype" w:cs="Arial"/>
          <w:i/>
          <w:sz w:val="22"/>
          <w:szCs w:val="22"/>
          <w:lang w:eastAsia="es-MX"/>
        </w:rPr>
        <w:t xml:space="preserve"> La </w:t>
      </w:r>
      <w:r w:rsidRPr="00065FAA">
        <w:rPr>
          <w:rFonts w:ascii="Palatino Linotype" w:hAnsi="Palatino Linotype" w:cs="Arial"/>
          <w:i/>
          <w:sz w:val="22"/>
          <w:lang w:eastAsia="es-MX"/>
        </w:rPr>
        <w:t>clasificación</w:t>
      </w:r>
      <w:r w:rsidRPr="00065FAA">
        <w:rPr>
          <w:rFonts w:ascii="Palatino Linotype" w:hAnsi="Palatino Linotype" w:cs="Arial"/>
          <w:i/>
          <w:sz w:val="22"/>
          <w:szCs w:val="22"/>
          <w:lang w:eastAsia="es-MX"/>
        </w:rPr>
        <w:t xml:space="preserve"> de la información se llevará a cabo en el momento en que:</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lastRenderedPageBreak/>
        <w:t>II.</w:t>
      </w:r>
      <w:r w:rsidRPr="00065FAA">
        <w:rPr>
          <w:rFonts w:ascii="Palatino Linotype" w:hAnsi="Palatino Linotype" w:cs="Arial"/>
          <w:i/>
          <w:sz w:val="22"/>
          <w:szCs w:val="22"/>
          <w:lang w:eastAsia="es-MX"/>
        </w:rPr>
        <w:t xml:space="preserve"> Se determine </w:t>
      </w:r>
      <w:r w:rsidRPr="00065FAA">
        <w:rPr>
          <w:rFonts w:ascii="Palatino Linotype" w:hAnsi="Palatino Linotype" w:cs="Arial"/>
          <w:i/>
          <w:sz w:val="22"/>
          <w:lang w:eastAsia="es-MX"/>
        </w:rPr>
        <w:t>mediante</w:t>
      </w:r>
      <w:r w:rsidRPr="00065FAA">
        <w:rPr>
          <w:rFonts w:ascii="Palatino Linotype" w:hAnsi="Palatino Linotype" w:cs="Arial"/>
          <w:i/>
          <w:sz w:val="22"/>
          <w:szCs w:val="22"/>
          <w:lang w:eastAsia="es-MX"/>
        </w:rPr>
        <w:t xml:space="preserve"> resolución de autoridad competente; o</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III</w:t>
      </w:r>
      <w:r w:rsidRPr="00065FAA">
        <w:rPr>
          <w:rFonts w:ascii="Palatino Linotype" w:hAnsi="Palatino Linotype" w:cs="Arial"/>
          <w:i/>
          <w:sz w:val="22"/>
          <w:szCs w:val="22"/>
          <w:lang w:eastAsia="es-MX"/>
        </w:rPr>
        <w:t xml:space="preserve">. Se generen </w:t>
      </w:r>
      <w:r w:rsidRPr="00065FAA">
        <w:rPr>
          <w:rFonts w:ascii="Palatino Linotype" w:hAnsi="Palatino Linotype" w:cs="Arial"/>
          <w:i/>
          <w:sz w:val="22"/>
          <w:lang w:eastAsia="es-MX"/>
        </w:rPr>
        <w:t>versiones</w:t>
      </w:r>
      <w:r w:rsidRPr="00065FAA">
        <w:rPr>
          <w:rFonts w:ascii="Palatino Linotype" w:hAnsi="Palatino Linotype" w:cs="Arial"/>
          <w:i/>
          <w:sz w:val="22"/>
          <w:szCs w:val="22"/>
          <w:lang w:eastAsia="es-MX"/>
        </w:rPr>
        <w:t xml:space="preserve"> públicas para dar cumplimiento a las obligaciones de transparencia previstas en esta Ley.”</w:t>
      </w:r>
    </w:p>
    <w:p w:rsidR="00C86888" w:rsidRPr="00065FAA" w:rsidRDefault="00C86888" w:rsidP="00C86888">
      <w:pPr>
        <w:tabs>
          <w:tab w:val="left" w:pos="8222"/>
        </w:tabs>
        <w:ind w:left="851" w:right="899"/>
        <w:jc w:val="center"/>
        <w:rPr>
          <w:rFonts w:ascii="Palatino Linotype" w:hAnsi="Palatino Linotype" w:cs="Arial"/>
          <w:b/>
          <w:i/>
          <w:sz w:val="22"/>
          <w:szCs w:val="22"/>
          <w:lang w:eastAsia="es-MX"/>
        </w:rPr>
      </w:pPr>
    </w:p>
    <w:p w:rsidR="00C86888" w:rsidRPr="00065FAA" w:rsidRDefault="00C86888" w:rsidP="00C86888">
      <w:pPr>
        <w:tabs>
          <w:tab w:val="left" w:pos="8222"/>
        </w:tabs>
        <w:ind w:left="851" w:right="899"/>
        <w:jc w:val="center"/>
        <w:rPr>
          <w:rFonts w:ascii="Palatino Linotype" w:hAnsi="Palatino Linotype" w:cs="Arial"/>
          <w:b/>
          <w:i/>
          <w:sz w:val="22"/>
          <w:szCs w:val="22"/>
          <w:lang w:eastAsia="es-MX"/>
        </w:rPr>
      </w:pPr>
      <w:r w:rsidRPr="00065FAA">
        <w:rPr>
          <w:rFonts w:ascii="Palatino Linotype" w:hAnsi="Palatino Linotype" w:cs="Arial"/>
          <w:b/>
          <w:i/>
          <w:sz w:val="22"/>
          <w:szCs w:val="22"/>
          <w:lang w:eastAsia="es-MX"/>
        </w:rPr>
        <w:t xml:space="preserve">Lineamientos Generales en materia de Clasificación y Desclasificación de la </w:t>
      </w:r>
      <w:r w:rsidRPr="00065FAA">
        <w:rPr>
          <w:rFonts w:ascii="Palatino Linotype" w:hAnsi="Palatino Linotype" w:cs="Arial"/>
          <w:b/>
          <w:i/>
          <w:sz w:val="22"/>
        </w:rPr>
        <w:t>Información, así como para la elaboración de Versiones Públicas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r w:rsidRPr="00065FAA">
        <w:rPr>
          <w:rFonts w:ascii="Palatino Linotype" w:hAnsi="Palatino Linotype" w:cs="Arial"/>
          <w:b/>
          <w:i/>
          <w:sz w:val="22"/>
          <w:szCs w:val="22"/>
          <w:lang w:eastAsia="es-MX"/>
        </w:rPr>
        <w:t>Segundo.-</w:t>
      </w:r>
      <w:r w:rsidRPr="00065FAA">
        <w:rPr>
          <w:rFonts w:ascii="Palatino Linotype" w:hAnsi="Palatino Linotype" w:cs="Arial"/>
          <w:i/>
          <w:sz w:val="22"/>
          <w:szCs w:val="22"/>
          <w:lang w:eastAsia="es-MX"/>
        </w:rPr>
        <w:t xml:space="preserve"> Para </w:t>
      </w:r>
      <w:r w:rsidRPr="00065FAA">
        <w:rPr>
          <w:rFonts w:ascii="Palatino Linotype" w:hAnsi="Palatino Linotype" w:cs="Arial"/>
          <w:i/>
          <w:sz w:val="22"/>
          <w:lang w:eastAsia="es-MX"/>
        </w:rPr>
        <w:t>efectos</w:t>
      </w:r>
      <w:r w:rsidRPr="00065FAA">
        <w:rPr>
          <w:rFonts w:ascii="Palatino Linotype" w:hAnsi="Palatino Linotype" w:cs="Arial"/>
          <w:i/>
          <w:sz w:val="22"/>
          <w:szCs w:val="22"/>
          <w:lang w:eastAsia="es-MX"/>
        </w:rPr>
        <w:t xml:space="preserve"> de los </w:t>
      </w:r>
      <w:r w:rsidRPr="00065FAA">
        <w:rPr>
          <w:rFonts w:ascii="Palatino Linotype" w:hAnsi="Palatino Linotype" w:cs="Arial"/>
          <w:i/>
          <w:sz w:val="22"/>
        </w:rPr>
        <w:t>presentes</w:t>
      </w:r>
      <w:r w:rsidRPr="00065FAA">
        <w:rPr>
          <w:rFonts w:ascii="Palatino Linotype" w:hAnsi="Palatino Linotype" w:cs="Arial"/>
          <w:i/>
          <w:sz w:val="22"/>
          <w:szCs w:val="22"/>
          <w:lang w:eastAsia="es-MX"/>
        </w:rPr>
        <w:t xml:space="preserve"> Lineamientos Generales, se entenderá por:</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XVIII.</w:t>
      </w:r>
      <w:r w:rsidRPr="00065FAA">
        <w:rPr>
          <w:rFonts w:ascii="Palatino Linotype" w:hAnsi="Palatino Linotype" w:cs="Arial"/>
          <w:i/>
          <w:sz w:val="22"/>
          <w:szCs w:val="22"/>
          <w:lang w:eastAsia="es-MX"/>
        </w:rPr>
        <w:t xml:space="preserve"> </w:t>
      </w:r>
      <w:r w:rsidRPr="00065FAA">
        <w:rPr>
          <w:rFonts w:ascii="Palatino Linotype" w:hAnsi="Palatino Linotype" w:cs="Arial"/>
          <w:b/>
          <w:i/>
          <w:sz w:val="22"/>
          <w:szCs w:val="22"/>
          <w:lang w:eastAsia="es-MX"/>
        </w:rPr>
        <w:t>Versión pública:</w:t>
      </w:r>
      <w:r w:rsidRPr="00065FAA">
        <w:rPr>
          <w:rFonts w:ascii="Palatino Linotype" w:hAnsi="Palatino Linotype" w:cs="Arial"/>
          <w:i/>
          <w:sz w:val="22"/>
          <w:szCs w:val="22"/>
          <w:lang w:eastAsia="es-MX"/>
        </w:rPr>
        <w:t xml:space="preserve"> El </w:t>
      </w:r>
      <w:r w:rsidRPr="00065FAA">
        <w:rPr>
          <w:rFonts w:ascii="Palatino Linotype" w:hAnsi="Palatino Linotype" w:cs="Arial"/>
          <w:bCs/>
          <w:i/>
          <w:noProof/>
          <w:sz w:val="22"/>
        </w:rPr>
        <w:t>documento</w:t>
      </w:r>
      <w:r w:rsidRPr="00065FA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65FAA">
        <w:rPr>
          <w:rFonts w:ascii="Palatino Linotype" w:hAnsi="Palatino Linotype" w:cs="Arial"/>
          <w:b/>
          <w:i/>
          <w:sz w:val="22"/>
          <w:szCs w:val="22"/>
          <w:u w:val="single"/>
          <w:lang w:eastAsia="es-MX"/>
        </w:rPr>
        <w:t>fundando y motivando la</w:t>
      </w:r>
      <w:r w:rsidRPr="00065FAA">
        <w:rPr>
          <w:rFonts w:ascii="Palatino Linotype" w:hAnsi="Palatino Linotype" w:cs="Arial"/>
          <w:i/>
          <w:sz w:val="22"/>
          <w:szCs w:val="22"/>
          <w:lang w:eastAsia="es-MX"/>
        </w:rPr>
        <w:t xml:space="preserve"> reserva o </w:t>
      </w:r>
      <w:r w:rsidRPr="00065FAA">
        <w:rPr>
          <w:rFonts w:ascii="Palatino Linotype" w:hAnsi="Palatino Linotype" w:cs="Arial"/>
          <w:b/>
          <w:i/>
          <w:sz w:val="22"/>
          <w:szCs w:val="22"/>
          <w:u w:val="single"/>
          <w:lang w:eastAsia="es-MX"/>
        </w:rPr>
        <w:t>confidencialidad</w:t>
      </w:r>
      <w:r w:rsidRPr="00065FAA">
        <w:rPr>
          <w:rFonts w:ascii="Palatino Linotype" w:hAnsi="Palatino Linotype" w:cs="Arial"/>
          <w:i/>
          <w:sz w:val="22"/>
          <w:szCs w:val="22"/>
          <w:lang w:eastAsia="es-MX"/>
        </w:rPr>
        <w:t xml:space="preserve">, a través de la resolución que para tal efecto emita el </w:t>
      </w:r>
      <w:r w:rsidRPr="00065FAA">
        <w:rPr>
          <w:rFonts w:ascii="Palatino Linotype" w:hAnsi="Palatino Linotype" w:cs="Arial"/>
          <w:bCs/>
          <w:i/>
          <w:noProof/>
          <w:sz w:val="22"/>
        </w:rPr>
        <w:t>Comité</w:t>
      </w:r>
      <w:r w:rsidRPr="00065FAA">
        <w:rPr>
          <w:rFonts w:ascii="Palatino Linotype" w:hAnsi="Palatino Linotype" w:cs="Arial"/>
          <w:i/>
          <w:sz w:val="22"/>
          <w:szCs w:val="22"/>
          <w:lang w:eastAsia="es-MX"/>
        </w:rPr>
        <w:t xml:space="preserve"> de Transparencia.</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Cuarto.</w:t>
      </w:r>
      <w:r w:rsidRPr="00065FAA">
        <w:rPr>
          <w:rFonts w:ascii="Palatino Linotype" w:hAnsi="Palatino Linotype" w:cs="Arial"/>
          <w:i/>
          <w:sz w:val="22"/>
          <w:szCs w:val="22"/>
          <w:lang w:eastAsia="es-MX"/>
        </w:rPr>
        <w:t xml:space="preserve"> Para clasificar la información como reservada o confidencial, de manera total o parcial, el </w:t>
      </w:r>
      <w:r w:rsidRPr="00065FAA">
        <w:rPr>
          <w:rFonts w:ascii="Palatino Linotype" w:hAnsi="Palatino Linotype" w:cs="Arial"/>
          <w:i/>
          <w:sz w:val="22"/>
          <w:lang w:eastAsia="es-MX"/>
        </w:rPr>
        <w:t>titular</w:t>
      </w:r>
      <w:r w:rsidRPr="00065FAA">
        <w:rPr>
          <w:rFonts w:ascii="Palatino Linotype" w:hAnsi="Palatino Linotype" w:cs="Arial"/>
          <w:i/>
          <w:sz w:val="22"/>
          <w:szCs w:val="22"/>
          <w:lang w:eastAsia="es-MX"/>
        </w:rPr>
        <w:t xml:space="preserve"> del </w:t>
      </w:r>
      <w:r w:rsidRPr="00065FAA">
        <w:rPr>
          <w:rFonts w:ascii="Palatino Linotype" w:hAnsi="Palatino Linotype" w:cs="Arial"/>
          <w:bCs/>
          <w:i/>
          <w:noProof/>
          <w:sz w:val="22"/>
        </w:rPr>
        <w:t>área</w:t>
      </w:r>
      <w:r w:rsidRPr="00065FAA">
        <w:rPr>
          <w:rFonts w:ascii="Palatino Linotype" w:hAnsi="Palatino Linotype" w:cs="Arial"/>
          <w:i/>
          <w:sz w:val="22"/>
          <w:szCs w:val="22"/>
          <w:lang w:eastAsia="es-MX"/>
        </w:rPr>
        <w:t xml:space="preserve"> del sujeto </w:t>
      </w:r>
      <w:r w:rsidRPr="00065FAA">
        <w:rPr>
          <w:rFonts w:ascii="Palatino Linotype" w:hAnsi="Palatino Linotype" w:cs="Arial"/>
          <w:i/>
          <w:sz w:val="22"/>
        </w:rPr>
        <w:t>obligado</w:t>
      </w:r>
      <w:r w:rsidRPr="00065FA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 xml:space="preserve">Los sujetos obligados deberán aplicar, de manera estricta, las excepciones al derecho de acceso a la </w:t>
      </w:r>
      <w:r w:rsidRPr="00065FAA">
        <w:rPr>
          <w:rFonts w:ascii="Palatino Linotype" w:hAnsi="Palatino Linotype" w:cs="Arial"/>
          <w:bCs/>
          <w:i/>
          <w:noProof/>
          <w:sz w:val="22"/>
        </w:rPr>
        <w:t>información</w:t>
      </w:r>
      <w:r w:rsidRPr="00065FAA">
        <w:rPr>
          <w:rFonts w:ascii="Palatino Linotype" w:hAnsi="Palatino Linotype" w:cs="Arial"/>
          <w:i/>
          <w:sz w:val="22"/>
          <w:szCs w:val="22"/>
          <w:lang w:eastAsia="es-MX"/>
        </w:rPr>
        <w:t xml:space="preserve"> y sólo </w:t>
      </w:r>
      <w:r w:rsidRPr="00065FAA">
        <w:rPr>
          <w:rFonts w:ascii="Palatino Linotype" w:hAnsi="Palatino Linotype" w:cs="Arial"/>
          <w:i/>
          <w:sz w:val="22"/>
        </w:rPr>
        <w:t>podrán</w:t>
      </w:r>
      <w:r w:rsidRPr="00065FAA">
        <w:rPr>
          <w:rFonts w:ascii="Palatino Linotype" w:hAnsi="Palatino Linotype" w:cs="Arial"/>
          <w:i/>
          <w:sz w:val="22"/>
          <w:szCs w:val="22"/>
          <w:lang w:eastAsia="es-MX"/>
        </w:rPr>
        <w:t xml:space="preserve"> invocarlas cuando acrediten su procedencia.</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Quinto.</w:t>
      </w:r>
      <w:r w:rsidRPr="00065FAA">
        <w:rPr>
          <w:rFonts w:ascii="Palatino Linotype" w:hAnsi="Palatino Linotype" w:cs="Arial"/>
          <w:i/>
          <w:sz w:val="22"/>
          <w:szCs w:val="22"/>
          <w:lang w:eastAsia="es-MX"/>
        </w:rPr>
        <w:t xml:space="preserve"> La carga de </w:t>
      </w:r>
      <w:r w:rsidRPr="00065FAA">
        <w:rPr>
          <w:rFonts w:ascii="Palatino Linotype" w:hAnsi="Palatino Linotype" w:cs="Arial"/>
          <w:i/>
          <w:sz w:val="22"/>
          <w:lang w:eastAsia="es-MX"/>
        </w:rPr>
        <w:t>la</w:t>
      </w:r>
      <w:r w:rsidRPr="00065FA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65FAA">
        <w:rPr>
          <w:rFonts w:ascii="Palatino Linotype" w:hAnsi="Palatino Linotype" w:cs="Arial"/>
          <w:i/>
          <w:sz w:val="22"/>
        </w:rPr>
        <w:t>corresponderá</w:t>
      </w:r>
      <w:r w:rsidRPr="00065FA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Sexto.</w:t>
      </w:r>
      <w:r w:rsidRPr="00065FAA">
        <w:rPr>
          <w:rFonts w:ascii="Palatino Linotype" w:hAnsi="Palatino Linotype" w:cs="Arial"/>
          <w:i/>
          <w:sz w:val="22"/>
          <w:szCs w:val="22"/>
          <w:lang w:eastAsia="es-MX"/>
        </w:rPr>
        <w:t xml:space="preserve"> Los sujetos obligados no podrán emitir acuerdos de carácter general ni particular que clasifiquen </w:t>
      </w:r>
      <w:r w:rsidRPr="00065FAA">
        <w:rPr>
          <w:rFonts w:ascii="Palatino Linotype" w:hAnsi="Palatino Linotype" w:cs="Arial"/>
          <w:bCs/>
          <w:i/>
          <w:noProof/>
          <w:sz w:val="22"/>
        </w:rPr>
        <w:t>documentos</w:t>
      </w:r>
      <w:r w:rsidRPr="00065FA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86888" w:rsidRPr="00065FAA" w:rsidRDefault="00C86888" w:rsidP="00C86888">
      <w:pPr>
        <w:tabs>
          <w:tab w:val="left" w:pos="8222"/>
        </w:tabs>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lastRenderedPageBreak/>
        <w:t xml:space="preserve">La clasificación de </w:t>
      </w:r>
      <w:r w:rsidRPr="00065FAA">
        <w:rPr>
          <w:rFonts w:ascii="Palatino Linotype" w:hAnsi="Palatino Linotype" w:cs="Arial"/>
          <w:i/>
          <w:sz w:val="22"/>
        </w:rPr>
        <w:t>información</w:t>
      </w:r>
      <w:r w:rsidRPr="00065FAA">
        <w:rPr>
          <w:rFonts w:ascii="Palatino Linotype" w:hAnsi="Palatino Linotype" w:cs="Arial"/>
          <w:i/>
          <w:sz w:val="22"/>
          <w:szCs w:val="22"/>
          <w:lang w:eastAsia="es-MX"/>
        </w:rPr>
        <w:t xml:space="preserve"> se realizará conforme a un análisis caso por caso, mediante la aplicación </w:t>
      </w:r>
      <w:r w:rsidRPr="00065FAA">
        <w:rPr>
          <w:rFonts w:ascii="Palatino Linotype" w:hAnsi="Palatino Linotype" w:cs="Arial"/>
          <w:bCs/>
          <w:i/>
          <w:noProof/>
          <w:sz w:val="22"/>
        </w:rPr>
        <w:t>de</w:t>
      </w:r>
      <w:r w:rsidRPr="00065FAA">
        <w:rPr>
          <w:rFonts w:ascii="Palatino Linotype" w:hAnsi="Palatino Linotype" w:cs="Arial"/>
          <w:i/>
          <w:sz w:val="22"/>
          <w:szCs w:val="22"/>
          <w:lang w:eastAsia="es-MX"/>
        </w:rPr>
        <w:t xml:space="preserve"> la prueba de daño y de interés público.</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Séptimo.</w:t>
      </w:r>
      <w:r w:rsidRPr="00065FAA">
        <w:rPr>
          <w:rFonts w:ascii="Palatino Linotype" w:hAnsi="Palatino Linotype" w:cs="Arial"/>
          <w:i/>
          <w:sz w:val="22"/>
          <w:szCs w:val="22"/>
          <w:lang w:eastAsia="es-MX"/>
        </w:rPr>
        <w:t xml:space="preserve"> La </w:t>
      </w:r>
      <w:r w:rsidRPr="00065FAA">
        <w:rPr>
          <w:rFonts w:ascii="Palatino Linotype" w:hAnsi="Palatino Linotype" w:cs="Arial"/>
          <w:i/>
          <w:sz w:val="22"/>
          <w:lang w:eastAsia="es-MX"/>
        </w:rPr>
        <w:t>clasificación</w:t>
      </w:r>
      <w:r w:rsidRPr="00065FAA">
        <w:rPr>
          <w:rFonts w:ascii="Palatino Linotype" w:hAnsi="Palatino Linotype" w:cs="Arial"/>
          <w:i/>
          <w:sz w:val="22"/>
          <w:szCs w:val="22"/>
          <w:lang w:eastAsia="es-MX"/>
        </w:rPr>
        <w:t xml:space="preserve"> </w:t>
      </w:r>
      <w:r w:rsidRPr="00065FAA">
        <w:rPr>
          <w:rFonts w:ascii="Palatino Linotype" w:hAnsi="Palatino Linotype" w:cs="Arial"/>
          <w:bCs/>
          <w:i/>
          <w:noProof/>
          <w:sz w:val="22"/>
        </w:rPr>
        <w:t>de</w:t>
      </w:r>
      <w:r w:rsidRPr="00065FAA">
        <w:rPr>
          <w:rFonts w:ascii="Palatino Linotype" w:hAnsi="Palatino Linotype" w:cs="Arial"/>
          <w:i/>
          <w:sz w:val="22"/>
          <w:szCs w:val="22"/>
          <w:lang w:eastAsia="es-MX"/>
        </w:rPr>
        <w:t xml:space="preserve"> la </w:t>
      </w:r>
      <w:r w:rsidRPr="00065FAA">
        <w:rPr>
          <w:rFonts w:ascii="Palatino Linotype" w:hAnsi="Palatino Linotype" w:cs="Arial"/>
          <w:i/>
          <w:sz w:val="22"/>
        </w:rPr>
        <w:t>información</w:t>
      </w:r>
      <w:r w:rsidRPr="00065FAA">
        <w:rPr>
          <w:rFonts w:ascii="Palatino Linotype" w:hAnsi="Palatino Linotype" w:cs="Arial"/>
          <w:i/>
          <w:sz w:val="22"/>
          <w:szCs w:val="22"/>
          <w:lang w:eastAsia="es-MX"/>
        </w:rPr>
        <w:t xml:space="preserve"> se llevará a cabo en el momento en que:</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w:t>
      </w:r>
      <w:r w:rsidRPr="00065FAA">
        <w:rPr>
          <w:rFonts w:ascii="Palatino Linotype" w:hAnsi="Palatino Linotype" w:cs="Arial"/>
          <w:i/>
          <w:sz w:val="22"/>
          <w:szCs w:val="22"/>
          <w:lang w:eastAsia="es-MX"/>
        </w:rPr>
        <w:t xml:space="preserve"> Se reciba una </w:t>
      </w:r>
      <w:r w:rsidRPr="00065FAA">
        <w:rPr>
          <w:rFonts w:ascii="Palatino Linotype" w:hAnsi="Palatino Linotype" w:cs="Arial"/>
          <w:i/>
          <w:sz w:val="22"/>
          <w:lang w:eastAsia="es-MX"/>
        </w:rPr>
        <w:t>solicitud</w:t>
      </w:r>
      <w:r w:rsidRPr="00065FAA">
        <w:rPr>
          <w:rFonts w:ascii="Palatino Linotype" w:hAnsi="Palatino Linotype" w:cs="Arial"/>
          <w:i/>
          <w:sz w:val="22"/>
          <w:szCs w:val="22"/>
          <w:lang w:eastAsia="es-MX"/>
        </w:rPr>
        <w:t xml:space="preserve"> de acceso a la información;</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II.</w:t>
      </w:r>
      <w:r w:rsidRPr="00065FAA">
        <w:rPr>
          <w:rFonts w:ascii="Palatino Linotype" w:hAnsi="Palatino Linotype" w:cs="Arial"/>
          <w:i/>
          <w:sz w:val="22"/>
          <w:szCs w:val="22"/>
          <w:lang w:eastAsia="es-MX"/>
        </w:rPr>
        <w:t xml:space="preserve"> Se determine </w:t>
      </w:r>
      <w:r w:rsidRPr="00065FAA">
        <w:rPr>
          <w:rFonts w:ascii="Palatino Linotype" w:hAnsi="Palatino Linotype" w:cs="Arial"/>
          <w:bCs/>
          <w:i/>
          <w:noProof/>
          <w:sz w:val="22"/>
        </w:rPr>
        <w:t>mediante</w:t>
      </w:r>
      <w:r w:rsidRPr="00065FAA">
        <w:rPr>
          <w:rFonts w:ascii="Palatino Linotype" w:hAnsi="Palatino Linotype" w:cs="Arial"/>
          <w:i/>
          <w:sz w:val="22"/>
          <w:szCs w:val="22"/>
          <w:lang w:eastAsia="es-MX"/>
        </w:rPr>
        <w:t xml:space="preserve"> resolución de autoridad competente, o</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III.</w:t>
      </w:r>
      <w:r w:rsidRPr="00065FAA">
        <w:rPr>
          <w:rFonts w:ascii="Palatino Linotype" w:hAnsi="Palatino Linotype" w:cs="Arial"/>
          <w:i/>
          <w:sz w:val="22"/>
          <w:szCs w:val="22"/>
          <w:lang w:eastAsia="es-MX"/>
        </w:rPr>
        <w:t xml:space="preserve"> Se generen </w:t>
      </w:r>
      <w:r w:rsidRPr="00065FAA">
        <w:rPr>
          <w:rFonts w:ascii="Palatino Linotype" w:hAnsi="Palatino Linotype" w:cs="Arial"/>
          <w:bCs/>
          <w:i/>
          <w:noProof/>
          <w:sz w:val="22"/>
        </w:rPr>
        <w:t>versiones</w:t>
      </w:r>
      <w:r w:rsidRPr="00065FAA">
        <w:rPr>
          <w:rFonts w:ascii="Palatino Linotype" w:hAnsi="Palatino Linotype" w:cs="Arial"/>
          <w:i/>
          <w:sz w:val="22"/>
          <w:szCs w:val="22"/>
          <w:lang w:eastAsia="es-MX"/>
        </w:rPr>
        <w:t xml:space="preserve"> públicas para dar cumplimiento a las obligaciones de transparencia </w:t>
      </w:r>
      <w:r w:rsidRPr="00065FAA">
        <w:rPr>
          <w:rFonts w:ascii="Palatino Linotype" w:hAnsi="Palatino Linotype" w:cs="Arial"/>
          <w:i/>
          <w:sz w:val="22"/>
          <w:lang w:eastAsia="es-MX"/>
        </w:rPr>
        <w:t>previstas</w:t>
      </w:r>
      <w:r w:rsidRPr="00065FAA">
        <w:rPr>
          <w:rFonts w:ascii="Palatino Linotype" w:hAnsi="Palatino Linotype" w:cs="Arial"/>
          <w:i/>
          <w:sz w:val="22"/>
          <w:szCs w:val="22"/>
          <w:lang w:eastAsia="es-MX"/>
        </w:rPr>
        <w:t xml:space="preserve"> en la Ley General, la Ley Federal y las correspondientes de las entidades federativas.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 xml:space="preserve">Los titulares de las áreas deberán revisar la clasificación al momento de la recepción de una solicitud de </w:t>
      </w:r>
      <w:r w:rsidRPr="00065FAA">
        <w:rPr>
          <w:rFonts w:ascii="Palatino Linotype" w:hAnsi="Palatino Linotype" w:cs="Arial"/>
          <w:bCs/>
          <w:i/>
          <w:noProof/>
          <w:sz w:val="22"/>
        </w:rPr>
        <w:t>acceso</w:t>
      </w:r>
      <w:r w:rsidRPr="00065FAA">
        <w:rPr>
          <w:rFonts w:ascii="Palatino Linotype" w:hAnsi="Palatino Linotype" w:cs="Arial"/>
          <w:i/>
          <w:sz w:val="22"/>
          <w:szCs w:val="22"/>
          <w:lang w:eastAsia="es-MX"/>
        </w:rPr>
        <w:t xml:space="preserve"> a la información, para verificar si encuadra en una causal de reserva o de confidencialidad.</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Octavo.</w:t>
      </w:r>
      <w:r w:rsidRPr="00065FAA">
        <w:rPr>
          <w:rFonts w:ascii="Palatino Linotype" w:hAnsi="Palatino Linotype" w:cs="Arial"/>
          <w:i/>
          <w:sz w:val="22"/>
          <w:szCs w:val="22"/>
          <w:lang w:eastAsia="es-MX"/>
        </w:rPr>
        <w:t xml:space="preserve"> Para fundar la clasificación de la información se debe señalar el artículo, fracción, inciso, </w:t>
      </w:r>
      <w:r w:rsidRPr="00065FAA">
        <w:rPr>
          <w:rFonts w:ascii="Palatino Linotype" w:hAnsi="Palatino Linotype" w:cs="Arial"/>
          <w:i/>
          <w:sz w:val="22"/>
          <w:lang w:eastAsia="es-MX"/>
        </w:rPr>
        <w:t>párrafo</w:t>
      </w:r>
      <w:r w:rsidRPr="00065FAA">
        <w:rPr>
          <w:rFonts w:ascii="Palatino Linotype" w:hAnsi="Palatino Linotype" w:cs="Arial"/>
          <w:i/>
          <w:sz w:val="22"/>
          <w:szCs w:val="22"/>
          <w:lang w:eastAsia="es-MX"/>
        </w:rPr>
        <w:t xml:space="preserve"> o numeral de la ley o tratado internacional suscrito por el Estado mexicano que </w:t>
      </w:r>
      <w:r w:rsidRPr="00065FAA">
        <w:rPr>
          <w:rFonts w:ascii="Palatino Linotype" w:hAnsi="Palatino Linotype" w:cs="Arial"/>
          <w:bCs/>
          <w:i/>
          <w:noProof/>
          <w:sz w:val="22"/>
        </w:rPr>
        <w:t>expresamente</w:t>
      </w:r>
      <w:r w:rsidRPr="00065FAA">
        <w:rPr>
          <w:rFonts w:ascii="Palatino Linotype" w:hAnsi="Palatino Linotype" w:cs="Arial"/>
          <w:i/>
          <w:sz w:val="22"/>
          <w:szCs w:val="22"/>
          <w:lang w:eastAsia="es-MX"/>
        </w:rPr>
        <w:t xml:space="preserve"> le otorga el carácter de reservada o confidencial.</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Cs/>
          <w:i/>
          <w:noProof/>
          <w:sz w:val="22"/>
        </w:rPr>
      </w:pPr>
      <w:r w:rsidRPr="00065FAA">
        <w:rPr>
          <w:rFonts w:ascii="Palatino Linotype" w:hAnsi="Palatino Linotype" w:cs="Arial"/>
          <w:i/>
          <w:sz w:val="22"/>
          <w:szCs w:val="22"/>
          <w:lang w:eastAsia="es-MX"/>
        </w:rPr>
        <w:t xml:space="preserve">Para </w:t>
      </w:r>
      <w:r w:rsidRPr="00065FAA">
        <w:rPr>
          <w:rFonts w:ascii="Palatino Linotype" w:hAnsi="Palatino Linotype" w:cs="Arial"/>
          <w:bCs/>
          <w:i/>
          <w:noProof/>
          <w:sz w:val="22"/>
        </w:rPr>
        <w:t xml:space="preserve">motivar la clasificación se deberán señalar las razones o circunstancias especiales que lo </w:t>
      </w:r>
      <w:r w:rsidRPr="00065FAA">
        <w:rPr>
          <w:rFonts w:ascii="Palatino Linotype" w:hAnsi="Palatino Linotype" w:cs="Arial"/>
          <w:i/>
          <w:sz w:val="22"/>
          <w:szCs w:val="22"/>
          <w:lang w:eastAsia="es-MX"/>
        </w:rPr>
        <w:t>llevaron</w:t>
      </w:r>
      <w:r w:rsidRPr="00065FAA">
        <w:rPr>
          <w:rFonts w:ascii="Palatino Linotype" w:hAnsi="Palatino Linotype" w:cs="Arial"/>
          <w:bCs/>
          <w:i/>
          <w:noProof/>
          <w:sz w:val="22"/>
        </w:rPr>
        <w:t xml:space="preserve"> a concluir que el caso particular se ajusta al supuesto previsto por la norma legal invocada como fundamento.</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Cs/>
          <w:i/>
          <w:noProof/>
          <w:sz w:val="22"/>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Cs/>
          <w:i/>
          <w:noProof/>
          <w:sz w:val="22"/>
        </w:rPr>
      </w:pPr>
      <w:r w:rsidRPr="00065FA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65FAA">
        <w:rPr>
          <w:rFonts w:ascii="Palatino Linotype" w:hAnsi="Palatino Linotype" w:cs="Arial"/>
          <w:i/>
          <w:sz w:val="22"/>
          <w:szCs w:val="22"/>
          <w:lang w:eastAsia="es-MX"/>
        </w:rPr>
        <w:t>de</w:t>
      </w:r>
      <w:r w:rsidRPr="00065FAA">
        <w:rPr>
          <w:rFonts w:ascii="Palatino Linotype" w:hAnsi="Palatino Linotype" w:cs="Arial"/>
          <w:bCs/>
          <w:i/>
          <w:noProof/>
          <w:sz w:val="22"/>
        </w:rPr>
        <w:t xml:space="preserve"> </w:t>
      </w:r>
      <w:r w:rsidRPr="00065FAA">
        <w:rPr>
          <w:rFonts w:ascii="Palatino Linotype" w:hAnsi="Palatino Linotype" w:cs="Arial"/>
          <w:i/>
          <w:sz w:val="22"/>
          <w:szCs w:val="22"/>
          <w:lang w:eastAsia="es-MX"/>
        </w:rPr>
        <w:t>reserva</w:t>
      </w:r>
      <w:r w:rsidRPr="00065FAA">
        <w:rPr>
          <w:rFonts w:ascii="Palatino Linotype" w:hAnsi="Palatino Linotype" w:cs="Arial"/>
          <w:bCs/>
          <w:i/>
          <w:noProof/>
          <w:sz w:val="22"/>
        </w:rPr>
        <w:t>.</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Cs/>
          <w:i/>
          <w:noProof/>
          <w:sz w:val="22"/>
        </w:rPr>
      </w:pPr>
      <w:r w:rsidRPr="00065FAA">
        <w:rPr>
          <w:rFonts w:ascii="Palatino Linotype" w:hAnsi="Palatino Linotype" w:cs="Arial"/>
          <w:i/>
          <w:sz w:val="22"/>
          <w:szCs w:val="22"/>
          <w:lang w:eastAsia="es-MX"/>
        </w:rPr>
        <w:t>Tratándose</w:t>
      </w:r>
      <w:r w:rsidRPr="00065FAA">
        <w:rPr>
          <w:rFonts w:ascii="Palatino Linotype" w:hAnsi="Palatino Linotype" w:cs="Arial"/>
          <w:bCs/>
          <w:i/>
          <w:noProof/>
          <w:sz w:val="22"/>
        </w:rPr>
        <w:t xml:space="preserve"> de información clasificada como confidencial respecto de la cual se haya </w:t>
      </w:r>
      <w:r w:rsidRPr="00065FAA">
        <w:rPr>
          <w:rFonts w:ascii="Palatino Linotype" w:hAnsi="Palatino Linotype" w:cs="Arial"/>
          <w:i/>
          <w:sz w:val="22"/>
          <w:lang w:eastAsia="es-MX"/>
        </w:rPr>
        <w:t>determinado</w:t>
      </w:r>
      <w:r w:rsidRPr="00065FAA">
        <w:rPr>
          <w:rFonts w:ascii="Palatino Linotype" w:hAnsi="Palatino Linotype" w:cs="Arial"/>
          <w:bCs/>
          <w:i/>
          <w:noProof/>
          <w:sz w:val="22"/>
        </w:rPr>
        <w:t xml:space="preserve"> </w:t>
      </w:r>
      <w:r w:rsidRPr="00065FAA">
        <w:rPr>
          <w:rFonts w:ascii="Palatino Linotype" w:hAnsi="Palatino Linotype" w:cs="Arial"/>
          <w:i/>
          <w:sz w:val="22"/>
          <w:szCs w:val="22"/>
          <w:lang w:eastAsia="es-MX"/>
        </w:rPr>
        <w:t>su</w:t>
      </w:r>
      <w:r w:rsidRPr="00065FA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Cs/>
          <w:i/>
          <w:noProof/>
          <w:sz w:val="22"/>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Cs/>
          <w:i/>
          <w:noProof/>
          <w:sz w:val="22"/>
        </w:rPr>
        <w:t>Los documentos contenidos</w:t>
      </w:r>
      <w:r w:rsidRPr="00065FAA">
        <w:rPr>
          <w:rFonts w:ascii="Palatino Linotype" w:hAnsi="Palatino Linotype" w:cs="Arial"/>
          <w:i/>
          <w:sz w:val="22"/>
          <w:szCs w:val="22"/>
          <w:lang w:eastAsia="es-MX"/>
        </w:rPr>
        <w:t xml:space="preserve"> en los archivos históricos y los identificados como históricos confidenciales no </w:t>
      </w:r>
      <w:r w:rsidRPr="00065FAA">
        <w:rPr>
          <w:rFonts w:ascii="Palatino Linotype" w:hAnsi="Palatino Linotype" w:cs="Arial"/>
          <w:i/>
          <w:sz w:val="22"/>
          <w:lang w:eastAsia="es-MX"/>
        </w:rPr>
        <w:t>serán</w:t>
      </w:r>
      <w:r w:rsidRPr="00065FAA">
        <w:rPr>
          <w:rFonts w:ascii="Palatino Linotype" w:hAnsi="Palatino Linotype" w:cs="Arial"/>
          <w:i/>
          <w:sz w:val="22"/>
          <w:szCs w:val="22"/>
          <w:lang w:eastAsia="es-MX"/>
        </w:rPr>
        <w:t xml:space="preserve"> susceptibles de clasificación como reservados.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Noveno.</w:t>
      </w:r>
      <w:r w:rsidRPr="00065FA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lastRenderedPageBreak/>
        <w:t>Décimo.</w:t>
      </w:r>
      <w:r w:rsidRPr="00065FAA">
        <w:rPr>
          <w:rFonts w:ascii="Palatino Linotype" w:hAnsi="Palatino Linotype" w:cs="Arial"/>
          <w:i/>
          <w:sz w:val="22"/>
          <w:szCs w:val="22"/>
          <w:lang w:eastAsia="es-MX"/>
        </w:rPr>
        <w:t xml:space="preserve"> Los titulares de las áreas, deberán tener conocimiento y llevar un registro del personal que, por la </w:t>
      </w:r>
      <w:r w:rsidRPr="00065FAA">
        <w:rPr>
          <w:rFonts w:ascii="Palatino Linotype" w:hAnsi="Palatino Linotype" w:cs="Arial"/>
          <w:i/>
          <w:sz w:val="22"/>
          <w:lang w:eastAsia="es-MX"/>
        </w:rPr>
        <w:t>naturaleza</w:t>
      </w:r>
      <w:r w:rsidRPr="00065FAA">
        <w:rPr>
          <w:rFonts w:ascii="Palatino Linotype" w:hAnsi="Palatino Linotype" w:cs="Arial"/>
          <w:i/>
          <w:sz w:val="22"/>
          <w:szCs w:val="22"/>
          <w:lang w:eastAsia="es-MX"/>
        </w:rPr>
        <w:t xml:space="preserve"> de sus atribuciones, tenga acceso a los </w:t>
      </w:r>
      <w:r w:rsidRPr="00065FAA">
        <w:rPr>
          <w:rFonts w:ascii="Palatino Linotype" w:hAnsi="Palatino Linotype" w:cs="Arial"/>
          <w:i/>
          <w:sz w:val="22"/>
        </w:rPr>
        <w:t>documentos</w:t>
      </w:r>
      <w:r w:rsidRPr="00065FA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65FAA">
        <w:rPr>
          <w:rFonts w:ascii="Palatino Linotype" w:hAnsi="Palatino Linotype" w:cs="Arial"/>
          <w:i/>
          <w:sz w:val="22"/>
        </w:rPr>
        <w:t>que</w:t>
      </w:r>
      <w:r w:rsidRPr="00065FAA">
        <w:rPr>
          <w:rFonts w:ascii="Palatino Linotype" w:hAnsi="Palatino Linotype" w:cs="Arial"/>
          <w:i/>
          <w:sz w:val="22"/>
          <w:szCs w:val="22"/>
          <w:lang w:eastAsia="es-MX"/>
        </w:rPr>
        <w:t xml:space="preserve"> rija la actuación del sujeto obligado.</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Décimo primero.</w:t>
      </w:r>
      <w:r w:rsidRPr="00065FA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86888" w:rsidRPr="00065FAA" w:rsidRDefault="00C86888" w:rsidP="00C86888">
      <w:pPr>
        <w:tabs>
          <w:tab w:val="left" w:pos="8222"/>
        </w:tabs>
        <w:autoSpaceDE w:val="0"/>
        <w:autoSpaceDN w:val="0"/>
        <w:adjustRightInd w:val="0"/>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p>
    <w:p w:rsidR="00C86888" w:rsidRPr="00065FAA" w:rsidRDefault="00C86888" w:rsidP="00C86888">
      <w:pPr>
        <w:tabs>
          <w:tab w:val="left" w:pos="8222"/>
        </w:tabs>
        <w:ind w:left="851" w:right="899"/>
        <w:jc w:val="center"/>
        <w:rPr>
          <w:rFonts w:ascii="Palatino Linotype" w:hAnsi="Palatino Linotype" w:cs="Arial"/>
          <w:b/>
          <w:i/>
          <w:sz w:val="22"/>
          <w:szCs w:val="22"/>
          <w:lang w:eastAsia="es-MX"/>
        </w:rPr>
      </w:pPr>
    </w:p>
    <w:p w:rsidR="00C86888" w:rsidRPr="00065FAA" w:rsidRDefault="00C86888" w:rsidP="00C86888">
      <w:pPr>
        <w:tabs>
          <w:tab w:val="left" w:pos="8222"/>
        </w:tabs>
        <w:ind w:left="851" w:right="899"/>
        <w:jc w:val="center"/>
        <w:rPr>
          <w:rFonts w:ascii="Palatino Linotype" w:hAnsi="Palatino Linotype" w:cs="Arial"/>
          <w:b/>
          <w:i/>
          <w:sz w:val="22"/>
          <w:szCs w:val="22"/>
          <w:lang w:eastAsia="es-MX"/>
        </w:rPr>
      </w:pPr>
      <w:r w:rsidRPr="00065FAA">
        <w:rPr>
          <w:rFonts w:ascii="Palatino Linotype" w:hAnsi="Palatino Linotype" w:cs="Arial"/>
          <w:b/>
          <w:i/>
          <w:sz w:val="22"/>
          <w:szCs w:val="22"/>
          <w:lang w:eastAsia="es-MX"/>
        </w:rPr>
        <w:t>CAPÍTULO VIII</w:t>
      </w:r>
    </w:p>
    <w:p w:rsidR="00C86888" w:rsidRPr="00065FAA" w:rsidRDefault="00C86888" w:rsidP="00C86888">
      <w:pPr>
        <w:tabs>
          <w:tab w:val="left" w:pos="8222"/>
        </w:tabs>
        <w:ind w:left="851" w:right="899"/>
        <w:jc w:val="center"/>
        <w:rPr>
          <w:rFonts w:ascii="Palatino Linotype" w:hAnsi="Palatino Linotype" w:cs="Arial"/>
          <w:b/>
          <w:i/>
          <w:sz w:val="22"/>
          <w:szCs w:val="22"/>
          <w:lang w:eastAsia="es-MX"/>
        </w:rPr>
      </w:pPr>
      <w:r w:rsidRPr="00065FAA">
        <w:rPr>
          <w:rFonts w:ascii="Palatino Linotype" w:hAnsi="Palatino Linotype" w:cs="Arial"/>
          <w:b/>
          <w:i/>
          <w:sz w:val="22"/>
          <w:szCs w:val="22"/>
          <w:lang w:eastAsia="es-MX"/>
        </w:rPr>
        <w:t>DE LA LEYENDA DE CLASIFICACIÓN</w:t>
      </w:r>
    </w:p>
    <w:p w:rsidR="00C86888" w:rsidRPr="00065FAA" w:rsidRDefault="00C86888" w:rsidP="00C86888">
      <w:pPr>
        <w:tabs>
          <w:tab w:val="left" w:pos="8222"/>
        </w:tabs>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 xml:space="preserve">Quincuagésimo. </w:t>
      </w:r>
      <w:r w:rsidRPr="00065FA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65FAA">
        <w:rPr>
          <w:rFonts w:ascii="Palatino Linotype" w:hAnsi="Palatino Linotype" w:cs="Arial"/>
          <w:i/>
          <w:sz w:val="22"/>
          <w:szCs w:val="22"/>
          <w:lang w:eastAsia="es-MX"/>
        </w:rPr>
        <w:t xml:space="preserve"> para señalar la clasificación de documentos o expedientes, sin perjuicio de que establezcan los propios.</w:t>
      </w:r>
    </w:p>
    <w:p w:rsidR="00C86888" w:rsidRPr="00065FAA" w:rsidRDefault="00C86888" w:rsidP="00C86888">
      <w:pPr>
        <w:tabs>
          <w:tab w:val="left" w:pos="8222"/>
        </w:tabs>
        <w:ind w:left="851" w:right="899"/>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p>
    <w:p w:rsidR="00C86888" w:rsidRPr="00065FAA" w:rsidRDefault="00C86888" w:rsidP="00C86888">
      <w:pPr>
        <w:tabs>
          <w:tab w:val="left" w:pos="8222"/>
        </w:tabs>
        <w:ind w:left="851" w:right="899"/>
        <w:jc w:val="both"/>
        <w:rPr>
          <w:rFonts w:ascii="Palatino Linotype" w:hAnsi="Palatino Linotype" w:cs="Arial"/>
          <w:b/>
          <w:i/>
          <w:sz w:val="22"/>
          <w:szCs w:val="22"/>
          <w:lang w:eastAsia="es-MX"/>
        </w:rPr>
      </w:pPr>
    </w:p>
    <w:p w:rsidR="00C86888" w:rsidRPr="00065FAA" w:rsidRDefault="00C86888" w:rsidP="00C86888">
      <w:pPr>
        <w:tabs>
          <w:tab w:val="left" w:pos="8222"/>
        </w:tabs>
        <w:ind w:left="851" w:right="899"/>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 xml:space="preserve">Quincuagésimo tercero. </w:t>
      </w:r>
      <w:r w:rsidRPr="00065FAA">
        <w:rPr>
          <w:rFonts w:ascii="Palatino Linotype" w:hAnsi="Palatino Linotype" w:cs="Arial"/>
          <w:b/>
          <w:i/>
          <w:sz w:val="22"/>
          <w:szCs w:val="22"/>
          <w:u w:val="single"/>
          <w:lang w:eastAsia="es-MX"/>
        </w:rPr>
        <w:t>El formato para señalar la clasificación parcial de un documento</w:t>
      </w:r>
      <w:r w:rsidRPr="00065FAA">
        <w:rPr>
          <w:rFonts w:ascii="Palatino Linotype" w:hAnsi="Palatino Linotype" w:cs="Arial"/>
          <w:i/>
          <w:sz w:val="22"/>
          <w:szCs w:val="22"/>
          <w:lang w:eastAsia="es-MX"/>
        </w:rPr>
        <w:t>, es el siguiente:</w:t>
      </w:r>
    </w:p>
    <w:p w:rsidR="00C86888" w:rsidRPr="00065FAA" w:rsidRDefault="00C86888" w:rsidP="00C86888">
      <w:pPr>
        <w:ind w:left="709" w:right="757"/>
        <w:jc w:val="both"/>
        <w:rPr>
          <w:rFonts w:ascii="Palatino Linotype" w:hAnsi="Palatino Linotype" w:cs="Arial"/>
          <w:i/>
          <w:sz w:val="22"/>
          <w:szCs w:val="22"/>
          <w:lang w:eastAsia="es-MX"/>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203"/>
      </w:tblGrid>
      <w:tr w:rsidR="00C86888" w:rsidRPr="00065FAA">
        <w:tc>
          <w:tcPr>
            <w:tcW w:w="1838" w:type="dxa"/>
            <w:tcBorders>
              <w:top w:val="nil"/>
              <w:left w:val="nil"/>
              <w:bottom w:val="single" w:sz="4" w:space="0" w:color="auto"/>
              <w:right w:val="single" w:sz="4" w:space="0" w:color="auto"/>
            </w:tcBorders>
          </w:tcPr>
          <w:p w:rsidR="00C86888" w:rsidRPr="00065FAA" w:rsidRDefault="00C86888" w:rsidP="009D5671">
            <w:pPr>
              <w:ind w:right="757"/>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b/>
                <w:i/>
                <w:sz w:val="22"/>
                <w:szCs w:val="22"/>
              </w:rPr>
            </w:pPr>
            <w:r w:rsidRPr="00065FAA">
              <w:rPr>
                <w:rFonts w:ascii="Palatino Linotype" w:hAnsi="Palatino Linotype"/>
                <w:b/>
                <w:i/>
                <w:sz w:val="22"/>
                <w:szCs w:val="22"/>
              </w:rPr>
              <w:t>Concepto</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b/>
                <w:i/>
                <w:sz w:val="22"/>
                <w:szCs w:val="22"/>
              </w:rPr>
            </w:pPr>
            <w:r w:rsidRPr="00065FAA">
              <w:rPr>
                <w:rFonts w:ascii="Palatino Linotype" w:hAnsi="Palatino Linotype"/>
                <w:b/>
                <w:i/>
                <w:sz w:val="22"/>
                <w:szCs w:val="22"/>
              </w:rPr>
              <w:t>Dónde:</w:t>
            </w:r>
          </w:p>
        </w:tc>
      </w:tr>
      <w:tr w:rsidR="00C86888" w:rsidRPr="00065FAA">
        <w:tc>
          <w:tcPr>
            <w:tcW w:w="1838" w:type="dxa"/>
            <w:vMerge w:val="restart"/>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ind w:right="757"/>
              <w:jc w:val="center"/>
              <w:rPr>
                <w:rFonts w:ascii="Palatino Linotype" w:hAnsi="Palatino Linotype" w:cs="Arial"/>
                <w:b/>
                <w:i/>
                <w:sz w:val="22"/>
                <w:szCs w:val="22"/>
                <w:lang w:eastAsia="es-MX"/>
              </w:rPr>
            </w:pPr>
            <w:r w:rsidRPr="00065FAA">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Fecha de clasificación</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anotará la fecha en la que el Comité de Transparencia confirmó la clasificación del documento, en su caso.</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Área</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señalará el nombre del área del cual es titular quien clasifica.</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Información reservada</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 xml:space="preserve">Se indicarán, en su caso, las partes o páginas del documento que se clasifican como reservadas. Si el documento </w:t>
            </w:r>
            <w:r w:rsidRPr="00065FAA">
              <w:rPr>
                <w:rFonts w:ascii="Palatino Linotype" w:hAnsi="Palatino Linotype" w:cs="Arial"/>
                <w:i/>
                <w:sz w:val="22"/>
                <w:szCs w:val="22"/>
                <w:lang w:eastAsia="es-MX"/>
              </w:rPr>
              <w:lastRenderedPageBreak/>
              <w:t>fuera reservado en su totalidad, se anotarán todas las páginas que lo conforman. Si el documento no contiene información reservada, se tachará este apartado.</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Periodo de reserva</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anotará el número de años o meses por los que se mantendrá el documento o las partes del mismo como reservado.</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Fundamento legal</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Ampliación del periodo de reserva</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Confidencial</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Fundamento legal</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Rúbrica del titular del área</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Rúbrica autógrafa de quien clasifica.</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Fecha de desclasificación</w:t>
            </w:r>
          </w:p>
        </w:tc>
        <w:tc>
          <w:tcPr>
            <w:tcW w:w="3203"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Se anotará la fecha en que se desclasifica el documento.</w:t>
            </w:r>
          </w:p>
        </w:tc>
      </w:tr>
      <w:tr w:rsidR="00C86888" w:rsidRPr="00065FAA">
        <w:tc>
          <w:tcPr>
            <w:tcW w:w="1838" w:type="dxa"/>
            <w:vMerge/>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tcPr>
          <w:p w:rsidR="00C86888" w:rsidRPr="00065FAA" w:rsidRDefault="00C86888" w:rsidP="009D5671">
            <w:pPr>
              <w:ind w:right="757"/>
              <w:jc w:val="center"/>
              <w:rPr>
                <w:rFonts w:ascii="Palatino Linotype" w:hAnsi="Palatino Linotype" w:cs="Arial"/>
                <w:i/>
                <w:sz w:val="22"/>
                <w:szCs w:val="22"/>
                <w:lang w:eastAsia="es-MX"/>
              </w:rPr>
            </w:pPr>
            <w:r w:rsidRPr="00065FAA">
              <w:rPr>
                <w:rFonts w:ascii="Palatino Linotype" w:hAnsi="Palatino Linotype" w:cs="Arial"/>
                <w:i/>
                <w:sz w:val="22"/>
                <w:szCs w:val="22"/>
                <w:lang w:eastAsia="es-MX"/>
              </w:rPr>
              <w:t>Rúbrica y cargo del servidor público</w:t>
            </w:r>
          </w:p>
        </w:tc>
        <w:tc>
          <w:tcPr>
            <w:tcW w:w="3203" w:type="dxa"/>
            <w:tcBorders>
              <w:top w:val="single" w:sz="4" w:space="0" w:color="auto"/>
              <w:left w:val="single" w:sz="4" w:space="0" w:color="auto"/>
              <w:bottom w:val="single" w:sz="4" w:space="0" w:color="auto"/>
              <w:right w:val="single" w:sz="4" w:space="0" w:color="auto"/>
            </w:tcBorders>
            <w:vAlign w:val="center"/>
          </w:tcPr>
          <w:p w:rsidR="00C86888" w:rsidRPr="00065FAA" w:rsidRDefault="00C86888" w:rsidP="009D5671">
            <w:pPr>
              <w:ind w:right="34"/>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Rúbrica autógrafa de quien desclasifica.</w:t>
            </w:r>
          </w:p>
        </w:tc>
      </w:tr>
    </w:tbl>
    <w:p w:rsidR="00C86888" w:rsidRPr="00065FAA" w:rsidRDefault="00C86888" w:rsidP="00C86888">
      <w:pPr>
        <w:spacing w:line="360" w:lineRule="auto"/>
        <w:ind w:left="709" w:right="757"/>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p>
    <w:p w:rsidR="00C86888" w:rsidRPr="00065FAA" w:rsidRDefault="00C86888" w:rsidP="00C86888">
      <w:pPr>
        <w:spacing w:line="360" w:lineRule="auto"/>
        <w:ind w:left="709" w:right="757"/>
        <w:jc w:val="both"/>
        <w:rPr>
          <w:rFonts w:ascii="Palatino Linotype" w:hAnsi="Palatino Linotype" w:cs="Arial"/>
          <w:sz w:val="22"/>
          <w:szCs w:val="22"/>
          <w:lang w:eastAsia="es-MX"/>
        </w:rPr>
      </w:pPr>
      <w:r w:rsidRPr="00065FAA">
        <w:rPr>
          <w:rFonts w:ascii="Palatino Linotype" w:hAnsi="Palatino Linotype" w:cs="Arial"/>
          <w:sz w:val="22"/>
          <w:szCs w:val="22"/>
          <w:lang w:eastAsia="es-MX"/>
        </w:rPr>
        <w:t>(Énfasis Añadido)</w:t>
      </w:r>
    </w:p>
    <w:p w:rsidR="00C86888" w:rsidRPr="00065FAA" w:rsidRDefault="00C86888" w:rsidP="00C86888">
      <w:pPr>
        <w:spacing w:line="360" w:lineRule="auto"/>
        <w:ind w:left="709" w:right="757"/>
        <w:jc w:val="both"/>
        <w:rPr>
          <w:rFonts w:ascii="Palatino Linotype" w:hAnsi="Palatino Linotype" w:cs="Arial"/>
          <w:sz w:val="22"/>
          <w:szCs w:val="22"/>
          <w:lang w:eastAsia="es-MX"/>
        </w:rPr>
      </w:pPr>
    </w:p>
    <w:p w:rsidR="00C86888" w:rsidRPr="00065FAA" w:rsidRDefault="00C86888" w:rsidP="00C86888">
      <w:pPr>
        <w:widowControl w:val="0"/>
        <w:autoSpaceDE w:val="0"/>
        <w:autoSpaceDN w:val="0"/>
        <w:adjustRightInd w:val="0"/>
        <w:spacing w:line="360" w:lineRule="auto"/>
        <w:contextualSpacing/>
        <w:jc w:val="both"/>
        <w:rPr>
          <w:rFonts w:ascii="Palatino Linotype" w:hAnsi="Palatino Linotype" w:cs="Arial"/>
        </w:rPr>
      </w:pPr>
      <w:r w:rsidRPr="00065FAA">
        <w:rPr>
          <w:rFonts w:ascii="Palatino Linotype" w:hAnsi="Palatino Linotype" w:cs="Arial"/>
        </w:rPr>
        <w:t>Por lo tanto,</w:t>
      </w:r>
      <w:r w:rsidRPr="00065FAA">
        <w:rPr>
          <w:rFonts w:ascii="Palatino Linotype" w:hAnsi="Palatino Linotype"/>
        </w:rPr>
        <w:t xml:space="preserve"> es importante referir que </w:t>
      </w:r>
      <w:r w:rsidRPr="00065FAA">
        <w:rPr>
          <w:rFonts w:ascii="Palatino Linotype" w:hAnsi="Palatino Linotype"/>
          <w:b/>
        </w:rPr>
        <w:t>EL SUJETO OBLIGADO</w:t>
      </w:r>
      <w:r w:rsidRPr="00065FAA">
        <w:rPr>
          <w:rFonts w:ascii="Palatino Linotype" w:hAnsi="Palatino Linotype"/>
        </w:rPr>
        <w:t xml:space="preserve"> deberá seguir el procedimiento legal establecido para su </w:t>
      </w:r>
      <w:r w:rsidRPr="00065FAA">
        <w:rPr>
          <w:rFonts w:ascii="Palatino Linotype" w:hAnsi="Palatino Linotype"/>
          <w:lang w:eastAsia="es-MX"/>
        </w:rPr>
        <w:t>clasificación</w:t>
      </w:r>
      <w:r w:rsidRPr="00065FAA">
        <w:rPr>
          <w:rFonts w:ascii="Palatino Linotype" w:hAnsi="Palatino Linotype"/>
        </w:rPr>
        <w:t>, esto es, que su Comité de</w:t>
      </w:r>
      <w:r w:rsidRPr="00065FAA">
        <w:rPr>
          <w:rFonts w:ascii="Palatino Linotype" w:hAnsi="Palatino Linotype" w:cs="Arial"/>
        </w:rPr>
        <w:t xml:space="preserve"> Transparencia emita </w:t>
      </w:r>
      <w:r w:rsidRPr="00065FAA">
        <w:rPr>
          <w:rFonts w:ascii="Palatino Linotype" w:hAnsi="Palatino Linotype" w:cs="Arial"/>
          <w:lang w:val="es-ES_tradnl"/>
        </w:rPr>
        <w:t>un</w:t>
      </w:r>
      <w:r w:rsidRPr="00065FAA">
        <w:rPr>
          <w:rFonts w:ascii="Palatino Linotype" w:hAnsi="Palatino Linotype" w:cs="Arial"/>
        </w:rPr>
        <w:t xml:space="preserve"> Acuerdo de Clasificación que cumpla con las formalidades previstas, antes citadas</w:t>
      </w:r>
      <w:r w:rsidRPr="00065FAA">
        <w:rPr>
          <w:rFonts w:ascii="Palatino Linotype" w:hAnsi="Palatino Linotype" w:cs="Arial"/>
          <w:b/>
        </w:rPr>
        <w:t xml:space="preserve"> </w:t>
      </w:r>
      <w:r w:rsidRPr="00065FAA">
        <w:rPr>
          <w:rFonts w:ascii="Palatino Linotype" w:hAnsi="Palatino Linotype" w:cs="Arial"/>
        </w:rPr>
        <w:t xml:space="preserve">que la sustente, en el </w:t>
      </w:r>
      <w:r w:rsidRPr="00065FAA">
        <w:rPr>
          <w:rFonts w:ascii="Palatino Linotype" w:hAnsi="Palatino Linotype" w:cs="Arial"/>
          <w:lang w:eastAsia="es-MX"/>
        </w:rPr>
        <w:t>que</w:t>
      </w:r>
      <w:r w:rsidRPr="00065FA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86888" w:rsidRPr="00065FAA" w:rsidRDefault="00C86888" w:rsidP="00C86888">
      <w:pPr>
        <w:widowControl w:val="0"/>
        <w:autoSpaceDE w:val="0"/>
        <w:autoSpaceDN w:val="0"/>
        <w:adjustRightInd w:val="0"/>
        <w:spacing w:line="360" w:lineRule="auto"/>
        <w:contextualSpacing/>
        <w:jc w:val="both"/>
        <w:rPr>
          <w:rFonts w:ascii="Palatino Linotype" w:hAnsi="Palatino Linotype" w:cs="Arial"/>
        </w:rPr>
      </w:pPr>
    </w:p>
    <w:p w:rsidR="00C86888" w:rsidRPr="00065FAA" w:rsidRDefault="00C86888" w:rsidP="00C86888">
      <w:pPr>
        <w:autoSpaceDE w:val="0"/>
        <w:autoSpaceDN w:val="0"/>
        <w:adjustRightInd w:val="0"/>
        <w:spacing w:line="360" w:lineRule="auto"/>
        <w:jc w:val="both"/>
        <w:rPr>
          <w:rFonts w:ascii="Palatino Linotype" w:eastAsia="Arial Unicode MS" w:hAnsi="Palatino Linotype" w:cs="Arial"/>
        </w:rPr>
      </w:pPr>
      <w:r w:rsidRPr="00065FAA">
        <w:rPr>
          <w:rFonts w:ascii="Palatino Linotype" w:eastAsia="Arial Unicode MS" w:hAnsi="Palatino Linotype" w:cs="Arial"/>
        </w:rPr>
        <w:t xml:space="preserve">Lo anterior es así, pues no debe perderse de vista que los documentos de los cuales se ordena su entrega podrían contener datos personales, los cuales </w:t>
      </w:r>
      <w:r w:rsidRPr="00065FAA">
        <w:rPr>
          <w:rFonts w:ascii="Palatino Linotype" w:hAnsi="Palatino Linotype" w:cs="Arial"/>
          <w:noProof/>
          <w:lang w:eastAsia="es-MX"/>
        </w:rPr>
        <w:t xml:space="preserve">de manera enunciativa, más no limitativamente, podrían ser la firma, Clave Única de Registro de </w:t>
      </w:r>
      <w:r w:rsidRPr="00065FAA">
        <w:rPr>
          <w:rFonts w:ascii="Palatino Linotype" w:hAnsi="Palatino Linotype" w:cs="Arial"/>
          <w:noProof/>
          <w:lang w:eastAsia="es-MX"/>
        </w:rPr>
        <w:lastRenderedPageBreak/>
        <w:t xml:space="preserve">Población (CURP), Registro Federal de Contribuyentes (RFC), domicilio y teléfonos particulares en su caso; así como, calificaciones –para el caso de que las contenga-; esto es así, en atención a que constituyen </w:t>
      </w:r>
      <w:r w:rsidRPr="00065FAA">
        <w:rPr>
          <w:rFonts w:ascii="Palatino Linotype" w:hAnsi="Palatino Linotype" w:cs="Arial"/>
          <w:color w:val="000000"/>
          <w:lang w:eastAsia="es-MX"/>
        </w:rPr>
        <w:t xml:space="preserve">datos personales que hacen identificable a la persona; por lo que, son </w:t>
      </w:r>
      <w:r w:rsidRPr="00065FAA">
        <w:rPr>
          <w:rFonts w:ascii="Palatino Linotype" w:eastAsia="Arial Unicode MS" w:hAnsi="Palatino Linotype" w:cs="Arial"/>
        </w:rPr>
        <w:t xml:space="preserve">susceptibles de ser testados con el </w:t>
      </w:r>
      <w:r w:rsidRPr="00065FAA">
        <w:rPr>
          <w:rFonts w:ascii="Palatino Linotype" w:hAnsi="Palatino Linotype" w:cs="Arial"/>
          <w:lang w:val="es-ES_tradnl"/>
        </w:rPr>
        <w:t xml:space="preserve">objeto protegerlos, </w:t>
      </w:r>
      <w:r w:rsidRPr="00065FAA">
        <w:rPr>
          <w:rFonts w:ascii="Palatino Linotype" w:eastAsia="Arial Unicode MS" w:hAnsi="Palatino Linotype" w:cs="Arial"/>
        </w:rPr>
        <w:t>en términos del artículo 4, fracción XI de la Ley de Protección de Datos Personales en Posesión de Sujetos Obligados del Estado de México y Municipios.</w:t>
      </w:r>
    </w:p>
    <w:p w:rsidR="00C86888" w:rsidRPr="00065FAA" w:rsidRDefault="00C86888" w:rsidP="00C86888">
      <w:pPr>
        <w:autoSpaceDE w:val="0"/>
        <w:autoSpaceDN w:val="0"/>
        <w:adjustRightInd w:val="0"/>
        <w:spacing w:line="360" w:lineRule="auto"/>
        <w:jc w:val="both"/>
        <w:rPr>
          <w:rFonts w:ascii="Palatino Linotype" w:hAnsi="Palatino Linotype" w:cs="Arial"/>
          <w:noProof/>
          <w:lang w:eastAsia="es-MX"/>
        </w:rPr>
      </w:pPr>
    </w:p>
    <w:p w:rsidR="00C86888" w:rsidRPr="00065FAA" w:rsidRDefault="00C86888" w:rsidP="00C86888">
      <w:pPr>
        <w:autoSpaceDE w:val="0"/>
        <w:autoSpaceDN w:val="0"/>
        <w:adjustRightInd w:val="0"/>
        <w:spacing w:line="360" w:lineRule="auto"/>
        <w:jc w:val="both"/>
        <w:rPr>
          <w:rFonts w:ascii="Palatino Linotype" w:hAnsi="Palatino Linotype" w:cs="Arial"/>
        </w:rPr>
      </w:pPr>
      <w:r w:rsidRPr="00065FAA">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065FAA">
        <w:rPr>
          <w:rFonts w:ascii="Palatino Linotype" w:hAnsi="Palatino Linotype" w:cs="Arial"/>
        </w:rPr>
        <w:tab/>
      </w:r>
    </w:p>
    <w:p w:rsidR="00C86888" w:rsidRPr="00065FAA" w:rsidRDefault="00C86888" w:rsidP="00C86888">
      <w:pPr>
        <w:autoSpaceDE w:val="0"/>
        <w:autoSpaceDN w:val="0"/>
        <w:adjustRightInd w:val="0"/>
        <w:jc w:val="both"/>
        <w:rPr>
          <w:rFonts w:ascii="Palatino Linotype" w:hAnsi="Palatino Linotype" w:cs="Arial"/>
        </w:rPr>
      </w:pPr>
    </w:p>
    <w:p w:rsidR="00C86888" w:rsidRPr="00065FAA" w:rsidRDefault="00C86888" w:rsidP="00C86888">
      <w:pPr>
        <w:ind w:left="851" w:right="900"/>
        <w:jc w:val="both"/>
        <w:rPr>
          <w:rFonts w:ascii="Palatino Linotype" w:hAnsi="Palatino Linotype" w:cs="Arial"/>
          <w:i/>
          <w:sz w:val="22"/>
          <w:szCs w:val="22"/>
          <w:lang w:eastAsia="es-MX"/>
        </w:rPr>
      </w:pPr>
      <w:r w:rsidRPr="00065FAA">
        <w:rPr>
          <w:rFonts w:ascii="Palatino Linotype" w:hAnsi="Palatino Linotype" w:cs="Arial"/>
          <w:i/>
          <w:sz w:val="22"/>
          <w:szCs w:val="22"/>
          <w:lang w:val="es-ES"/>
        </w:rPr>
        <w:t>"</w:t>
      </w:r>
      <w:r w:rsidRPr="00065FAA">
        <w:rPr>
          <w:rFonts w:ascii="Palatino Linotype" w:hAnsi="Palatino Linotype" w:cs="Arial"/>
          <w:b/>
          <w:bCs/>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65FAA">
        <w:rPr>
          <w:rFonts w:ascii="Palatino Linotype" w:hAnsi="Palatino Linotype" w:cs="Arial"/>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065FAA">
        <w:rPr>
          <w:rFonts w:ascii="Palatino Linotype" w:hAnsi="Palatino Linotype" w:cs="Arial"/>
          <w:bCs/>
          <w:i/>
          <w:sz w:val="22"/>
          <w:szCs w:val="22"/>
          <w:lang w:eastAsia="es-MX"/>
        </w:rPr>
        <w:t>datos</w:t>
      </w:r>
      <w:r w:rsidRPr="00065FAA">
        <w:rPr>
          <w:rFonts w:ascii="Palatino Linotype" w:hAnsi="Palatino Linotype" w:cs="Arial"/>
          <w:i/>
          <w:sz w:val="22"/>
          <w:szCs w:val="22"/>
          <w:lang w:eastAsia="es-MX"/>
        </w:rPr>
        <w:t xml:space="preserve"> </w:t>
      </w:r>
      <w:r w:rsidRPr="00065FAA">
        <w:rPr>
          <w:rFonts w:ascii="Palatino Linotype" w:hAnsi="Palatino Linotype" w:cs="Arial"/>
          <w:bCs/>
          <w:i/>
          <w:sz w:val="22"/>
          <w:szCs w:val="22"/>
          <w:lang w:eastAsia="es-MX"/>
        </w:rPr>
        <w:t>personales</w:t>
      </w:r>
      <w:r w:rsidRPr="00065FAA">
        <w:rPr>
          <w:rFonts w:ascii="Palatino Linotype" w:hAnsi="Palatino Linotype" w:cs="Arial"/>
          <w:i/>
          <w:sz w:val="22"/>
          <w:szCs w:val="22"/>
          <w:lang w:eastAsia="es-MX"/>
        </w:rPr>
        <w:t xml:space="preserve"> de las personas </w:t>
      </w:r>
      <w:r w:rsidRPr="00065FAA">
        <w:rPr>
          <w:rFonts w:ascii="Palatino Linotype" w:hAnsi="Palatino Linotype" w:cs="Arial"/>
          <w:bCs/>
          <w:i/>
          <w:sz w:val="22"/>
          <w:szCs w:val="22"/>
          <w:lang w:eastAsia="es-MX"/>
        </w:rPr>
        <w:t>físicas</w:t>
      </w:r>
      <w:r w:rsidRPr="00065FAA">
        <w:rPr>
          <w:rFonts w:ascii="Palatino Linotype" w:hAnsi="Palatino Linotype" w:cs="Arial"/>
          <w:i/>
          <w:sz w:val="22"/>
          <w:szCs w:val="22"/>
          <w:lang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065FAA">
        <w:rPr>
          <w:rFonts w:ascii="Palatino Linotype" w:hAnsi="Palatino Linotype" w:cs="Arial"/>
          <w:bCs/>
          <w:i/>
          <w:sz w:val="22"/>
          <w:szCs w:val="22"/>
          <w:lang w:eastAsia="es-MX"/>
        </w:rPr>
        <w:t>datos</w:t>
      </w:r>
      <w:r w:rsidRPr="00065FAA">
        <w:rPr>
          <w:rFonts w:ascii="Palatino Linotype" w:hAnsi="Palatino Linotype" w:cs="Arial"/>
          <w:i/>
          <w:sz w:val="22"/>
          <w:szCs w:val="22"/>
          <w:lang w:eastAsia="es-MX"/>
        </w:rPr>
        <w:t xml:space="preserve"> </w:t>
      </w:r>
      <w:r w:rsidRPr="00065FAA">
        <w:rPr>
          <w:rFonts w:ascii="Palatino Linotype" w:hAnsi="Palatino Linotype" w:cs="Arial"/>
          <w:bCs/>
          <w:i/>
          <w:sz w:val="22"/>
          <w:szCs w:val="22"/>
          <w:lang w:eastAsia="es-MX"/>
        </w:rPr>
        <w:t>personales</w:t>
      </w:r>
      <w:r w:rsidRPr="00065FAA">
        <w:rPr>
          <w:rFonts w:ascii="Palatino Linotype" w:hAnsi="Palatino Linotype" w:cs="Arial"/>
          <w:i/>
          <w:sz w:val="22"/>
          <w:szCs w:val="22"/>
          <w:lang w:eastAsia="es-MX"/>
        </w:rPr>
        <w:t xml:space="preserve"> se refiere únicamente a las personas </w:t>
      </w:r>
      <w:r w:rsidRPr="00065FAA">
        <w:rPr>
          <w:rFonts w:ascii="Palatino Linotype" w:hAnsi="Palatino Linotype" w:cs="Arial"/>
          <w:bCs/>
          <w:i/>
          <w:sz w:val="22"/>
          <w:szCs w:val="22"/>
          <w:lang w:eastAsia="es-MX"/>
        </w:rPr>
        <w:t>físicas</w:t>
      </w:r>
      <w:r w:rsidRPr="00065FAA">
        <w:rPr>
          <w:rFonts w:ascii="Palatino Linotype" w:hAnsi="Palatino Linotype" w:cs="Arial"/>
          <w:i/>
          <w:sz w:val="22"/>
          <w:szCs w:val="22"/>
          <w:lang w:eastAsia="es-MX"/>
        </w:rPr>
        <w:t xml:space="preserve"> por estar encausado al respeto de un derecho personalísimo, como es el de la intimidad, del cual derivó aquél. Esto es, en el apuntado supuesto no se actualiza una igualdad jurídica entre las personas </w:t>
      </w:r>
      <w:r w:rsidRPr="00065FAA">
        <w:rPr>
          <w:rFonts w:ascii="Palatino Linotype" w:hAnsi="Palatino Linotype" w:cs="Arial"/>
          <w:bCs/>
          <w:i/>
          <w:sz w:val="22"/>
          <w:szCs w:val="22"/>
          <w:lang w:eastAsia="es-MX"/>
        </w:rPr>
        <w:t>físicas</w:t>
      </w:r>
      <w:r w:rsidRPr="00065FAA">
        <w:rPr>
          <w:rFonts w:ascii="Palatino Linotype" w:hAnsi="Palatino Linotype" w:cs="Arial"/>
          <w:i/>
          <w:sz w:val="22"/>
          <w:szCs w:val="22"/>
          <w:lang w:eastAsia="es-MX"/>
        </w:rPr>
        <w:t xml:space="preserve"> y las morales porque ambas están en situaciones de derecho dispares, ya que la protección de </w:t>
      </w:r>
      <w:r w:rsidRPr="00065FAA">
        <w:rPr>
          <w:rFonts w:ascii="Palatino Linotype" w:hAnsi="Palatino Linotype" w:cs="Arial"/>
          <w:bCs/>
          <w:i/>
          <w:sz w:val="22"/>
          <w:szCs w:val="22"/>
          <w:lang w:eastAsia="es-MX"/>
        </w:rPr>
        <w:t>datos</w:t>
      </w:r>
      <w:r w:rsidRPr="00065FAA">
        <w:rPr>
          <w:rFonts w:ascii="Palatino Linotype" w:hAnsi="Palatino Linotype" w:cs="Arial"/>
          <w:i/>
          <w:sz w:val="22"/>
          <w:szCs w:val="22"/>
          <w:lang w:eastAsia="es-MX"/>
        </w:rPr>
        <w:t xml:space="preserve"> </w:t>
      </w:r>
      <w:r w:rsidRPr="00065FAA">
        <w:rPr>
          <w:rFonts w:ascii="Palatino Linotype" w:hAnsi="Palatino Linotype" w:cs="Arial"/>
          <w:bCs/>
          <w:i/>
          <w:sz w:val="22"/>
          <w:szCs w:val="22"/>
          <w:lang w:eastAsia="es-MX"/>
        </w:rPr>
        <w:t>personales</w:t>
      </w:r>
      <w:r w:rsidRPr="00065FAA">
        <w:rPr>
          <w:rFonts w:ascii="Palatino Linotype" w:hAnsi="Palatino Linotype" w:cs="Arial"/>
          <w:i/>
          <w:sz w:val="22"/>
          <w:szCs w:val="22"/>
          <w:lang w:eastAsia="es-MX"/>
        </w:rPr>
        <w:t xml:space="preserve">, entre ellos el del patrimonio y su </w:t>
      </w:r>
      <w:r w:rsidRPr="00065FAA">
        <w:rPr>
          <w:rFonts w:ascii="Palatino Linotype" w:hAnsi="Palatino Linotype" w:cs="Arial"/>
          <w:i/>
          <w:sz w:val="22"/>
          <w:szCs w:val="22"/>
          <w:lang w:eastAsia="es-MX"/>
        </w:rPr>
        <w:lastRenderedPageBreak/>
        <w:t>confidencialidad, es una derivación del derecho a la intimidad, del cual únicamente goza el individuo, entendido como la persona humana."</w:t>
      </w:r>
    </w:p>
    <w:p w:rsidR="00C86888" w:rsidRPr="00065FAA" w:rsidRDefault="00C86888" w:rsidP="00C86888">
      <w:pPr>
        <w:ind w:left="851" w:right="900"/>
        <w:jc w:val="both"/>
        <w:rPr>
          <w:rFonts w:ascii="Palatino Linotype" w:hAnsi="Palatino Linotype" w:cs="Arial"/>
          <w:i/>
          <w:sz w:val="22"/>
          <w:szCs w:val="22"/>
          <w:lang w:eastAsia="es-MX"/>
        </w:rPr>
      </w:pPr>
    </w:p>
    <w:p w:rsidR="00C86888" w:rsidRPr="00065FAA" w:rsidRDefault="00C86888" w:rsidP="00C86888">
      <w:pPr>
        <w:autoSpaceDE w:val="0"/>
        <w:autoSpaceDN w:val="0"/>
        <w:adjustRightInd w:val="0"/>
        <w:spacing w:line="360" w:lineRule="auto"/>
        <w:jc w:val="both"/>
        <w:rPr>
          <w:rFonts w:ascii="Palatino Linotype" w:hAnsi="Palatino Linotype"/>
          <w:color w:val="000000"/>
        </w:rPr>
      </w:pPr>
      <w:r w:rsidRPr="00065FAA">
        <w:rPr>
          <w:rFonts w:ascii="Palatino Linotype" w:hAnsi="Palatino Linotype" w:cs="Arial"/>
        </w:rPr>
        <w:t xml:space="preserve">En relación con la </w:t>
      </w:r>
      <w:r w:rsidRPr="00065FAA">
        <w:rPr>
          <w:rFonts w:ascii="Palatino Linotype" w:hAnsi="Palatino Linotype" w:cs="Arial"/>
          <w:b/>
        </w:rPr>
        <w:t>firma</w:t>
      </w:r>
      <w:r w:rsidRPr="00065FAA">
        <w:rPr>
          <w:rFonts w:ascii="Palatino Linotype" w:hAnsi="Palatino Linotype" w:cs="Arial"/>
        </w:rPr>
        <w:t xml:space="preserve">, nos encontramos ante la disyuntiva de si debe o no considerarse como un dato personal; sin embargo, se considera que dicho dato debe permanecer clasificado como confidencial ya que, </w:t>
      </w:r>
      <w:r w:rsidRPr="00065FAA">
        <w:rPr>
          <w:rFonts w:ascii="Palatino Linotype" w:hAnsi="Palatino Linotype"/>
          <w:color w:val="000000"/>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C86888" w:rsidRPr="00065FAA" w:rsidRDefault="00C86888" w:rsidP="00C86888">
      <w:pPr>
        <w:autoSpaceDE w:val="0"/>
        <w:autoSpaceDN w:val="0"/>
        <w:adjustRightInd w:val="0"/>
        <w:jc w:val="both"/>
        <w:rPr>
          <w:rFonts w:ascii="Palatino Linotype" w:hAnsi="Palatino Linotype"/>
          <w:color w:val="000000"/>
        </w:rPr>
      </w:pP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065FAA">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p>
    <w:p w:rsidR="00C86888" w:rsidRPr="00065FAA" w:rsidRDefault="00C86888" w:rsidP="00C86888">
      <w:pPr>
        <w:autoSpaceDE w:val="0"/>
        <w:autoSpaceDN w:val="0"/>
        <w:adjustRightInd w:val="0"/>
        <w:ind w:left="851" w:right="899"/>
        <w:jc w:val="both"/>
        <w:rPr>
          <w:rFonts w:ascii="Palatino Linotype" w:hAnsi="Palatino Linotype"/>
          <w:b/>
          <w:i/>
          <w:color w:val="000000"/>
          <w:sz w:val="22"/>
          <w:szCs w:val="22"/>
        </w:rPr>
      </w:pPr>
      <w:r w:rsidRPr="00065FAA">
        <w:rPr>
          <w:rFonts w:ascii="Palatino Linotype" w:hAnsi="Palatino Linotype"/>
          <w:b/>
          <w:i/>
          <w:color w:val="000000"/>
          <w:sz w:val="22"/>
          <w:szCs w:val="22"/>
        </w:rPr>
        <w:t>Expedientes:</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i/>
          <w:color w:val="000000"/>
          <w:sz w:val="22"/>
          <w:szCs w:val="22"/>
        </w:rPr>
        <w:lastRenderedPageBreak/>
        <w:t>636/08 Comisión Nacional Bancaria y de Valores – Alonso Gómez-Robledo Verduzco</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i/>
          <w:color w:val="000000"/>
          <w:sz w:val="22"/>
          <w:szCs w:val="22"/>
        </w:rPr>
        <w:t>2700/09 Consejo Nacional para Prevenir la Discriminación – Jacqueline Peschard Mariscal</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i/>
          <w:color w:val="000000"/>
          <w:sz w:val="22"/>
          <w:szCs w:val="22"/>
        </w:rPr>
        <w:t>3415/09 Instituto Mexicano de Tecnología del Agua – María Marván Laborde</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i/>
          <w:color w:val="000000"/>
          <w:sz w:val="22"/>
          <w:szCs w:val="22"/>
        </w:rPr>
        <w:t>3701/09 Administración Portuaria Integral de Tuxpan, S.A. de C.V. - Jacqueline Peschard Mariscal</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r w:rsidRPr="00065FAA">
        <w:rPr>
          <w:rFonts w:ascii="Palatino Linotype" w:hAnsi="Palatino Linotype"/>
          <w:i/>
          <w:color w:val="000000"/>
          <w:sz w:val="22"/>
          <w:szCs w:val="22"/>
        </w:rPr>
        <w:t>599/10 Secretaría de Economía -  Jacqueline Peschard Mariscal”</w:t>
      </w:r>
    </w:p>
    <w:p w:rsidR="00C86888" w:rsidRPr="00065FAA" w:rsidRDefault="00C86888" w:rsidP="00C86888">
      <w:pPr>
        <w:autoSpaceDE w:val="0"/>
        <w:autoSpaceDN w:val="0"/>
        <w:adjustRightInd w:val="0"/>
        <w:ind w:left="851" w:right="899"/>
        <w:jc w:val="both"/>
        <w:rPr>
          <w:rFonts w:ascii="Palatino Linotype" w:hAnsi="Palatino Linotype"/>
          <w:i/>
          <w:color w:val="000000"/>
          <w:sz w:val="22"/>
          <w:szCs w:val="22"/>
        </w:rPr>
      </w:pPr>
    </w:p>
    <w:p w:rsidR="00C86888" w:rsidRPr="00065FAA" w:rsidRDefault="00C86888" w:rsidP="00C86888">
      <w:pPr>
        <w:spacing w:line="360" w:lineRule="auto"/>
        <w:jc w:val="both"/>
        <w:rPr>
          <w:rFonts w:ascii="Palatino Linotype" w:hAnsi="Palatino Linotype"/>
        </w:rPr>
      </w:pPr>
      <w:r w:rsidRPr="00065FAA">
        <w:rPr>
          <w:rFonts w:ascii="Palatino Linotype" w:hAnsi="Palatino Linotype" w:cs="Arial"/>
          <w:lang w:eastAsia="es-MX"/>
        </w:rPr>
        <w:t xml:space="preserve">Por cuanto hace al </w:t>
      </w:r>
      <w:r w:rsidRPr="00065FAA">
        <w:rPr>
          <w:rFonts w:ascii="Palatino Linotype" w:hAnsi="Palatino Linotype" w:cs="Arial"/>
          <w:b/>
          <w:lang w:eastAsia="es-MX"/>
        </w:rPr>
        <w:t>RFC de las personas físicas</w:t>
      </w:r>
      <w:r w:rsidRPr="00065FA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065FAA">
        <w:rPr>
          <w:rFonts w:ascii="Palatino Linotype" w:hAnsi="Palatino Linotype" w:cs="Arial"/>
        </w:rPr>
        <w:t>del</w:t>
      </w:r>
      <w:r w:rsidRPr="00065FA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65FAA">
        <w:rPr>
          <w:rFonts w:ascii="Palatino Linotype" w:hAnsi="Palatino Linotype"/>
        </w:rPr>
        <w:t xml:space="preserve"> y finalmente la homoclave; la cual, para su obtención es necesario acreditar personalidad, fecha de nacimiento entre otros con documentos oficiales.</w:t>
      </w:r>
    </w:p>
    <w:p w:rsidR="00C86888" w:rsidRPr="00065FAA" w:rsidRDefault="00C86888" w:rsidP="00C86888">
      <w:pPr>
        <w:spacing w:line="360" w:lineRule="auto"/>
        <w:jc w:val="both"/>
        <w:rPr>
          <w:rFonts w:ascii="Palatino Linotype" w:hAnsi="Palatino Linotype"/>
        </w:rPr>
      </w:pPr>
    </w:p>
    <w:p w:rsidR="00C86888" w:rsidRPr="00065FAA" w:rsidRDefault="00C86888" w:rsidP="00C86888">
      <w:pPr>
        <w:spacing w:line="360" w:lineRule="auto"/>
        <w:jc w:val="both"/>
        <w:rPr>
          <w:rFonts w:ascii="Palatino Linotype" w:hAnsi="Palatino Linotype"/>
          <w:b/>
          <w:bCs/>
          <w:color w:val="000000"/>
        </w:rPr>
      </w:pPr>
      <w:r w:rsidRPr="00065FAA">
        <w:rPr>
          <w:rFonts w:ascii="Palatino Linotype" w:hAnsi="Palatino Linotype" w:cs="Arial"/>
          <w:lang w:eastAsia="es-MX"/>
        </w:rPr>
        <w:t xml:space="preserve">Al respecto, </w:t>
      </w:r>
      <w:r w:rsidRPr="00065FAA">
        <w:rPr>
          <w:rFonts w:ascii="Palatino Linotype" w:hAnsi="Palatino Linotype" w:cs="Arial"/>
          <w:color w:val="000000"/>
        </w:rPr>
        <w:t xml:space="preserve">es aplicable el Criterio 19/17 de la Segunda Época, emitido por </w:t>
      </w:r>
      <w:r w:rsidRPr="00065FAA">
        <w:rPr>
          <w:rFonts w:ascii="Palatino Linotype" w:eastAsia="Arial Unicode MS" w:hAnsi="Palatino Linotype" w:cs="Arial"/>
          <w:color w:val="000000"/>
        </w:rPr>
        <w:t xml:space="preserve">el Instituto Nacional de </w:t>
      </w:r>
      <w:r w:rsidRPr="00065FAA">
        <w:rPr>
          <w:rFonts w:ascii="Palatino Linotype" w:hAnsi="Palatino Linotype"/>
          <w:bCs/>
        </w:rPr>
        <w:t>Transparencia</w:t>
      </w:r>
      <w:r w:rsidRPr="00065FAA">
        <w:rPr>
          <w:rFonts w:ascii="Palatino Linotype" w:eastAsia="Arial Unicode MS" w:hAnsi="Palatino Linotype" w:cs="Arial"/>
          <w:color w:val="000000"/>
        </w:rPr>
        <w:t xml:space="preserve">, Acceso a la </w:t>
      </w:r>
      <w:r w:rsidRPr="00065FAA">
        <w:rPr>
          <w:rFonts w:ascii="Palatino Linotype" w:hAnsi="Palatino Linotype" w:cs="Arial"/>
        </w:rPr>
        <w:t>Información</w:t>
      </w:r>
      <w:r w:rsidRPr="00065FAA">
        <w:rPr>
          <w:rFonts w:ascii="Palatino Linotype" w:eastAsia="Arial Unicode MS" w:hAnsi="Palatino Linotype" w:cs="Arial"/>
          <w:color w:val="000000"/>
        </w:rPr>
        <w:t xml:space="preserve"> y Protección de Datos Personales,</w:t>
      </w:r>
      <w:r w:rsidRPr="00065FAA">
        <w:rPr>
          <w:rFonts w:ascii="Palatino Linotype" w:hAnsi="Palatino Linotype"/>
          <w:bCs/>
          <w:color w:val="000000"/>
        </w:rPr>
        <w:t xml:space="preserve"> que dice:</w:t>
      </w:r>
      <w:r w:rsidRPr="00065FAA">
        <w:rPr>
          <w:rFonts w:ascii="Palatino Linotype" w:hAnsi="Palatino Linotype"/>
          <w:b/>
          <w:bCs/>
          <w:color w:val="000000"/>
        </w:rPr>
        <w:t xml:space="preserve"> </w:t>
      </w:r>
    </w:p>
    <w:p w:rsidR="00C86888" w:rsidRPr="00065FAA" w:rsidRDefault="00C86888" w:rsidP="00C86888">
      <w:pPr>
        <w:jc w:val="both"/>
        <w:rPr>
          <w:rFonts w:ascii="Palatino Linotype" w:hAnsi="Palatino Linotype"/>
          <w:b/>
          <w:bCs/>
          <w:color w:val="000000"/>
        </w:rPr>
      </w:pP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r w:rsidRPr="00065FAA">
        <w:rPr>
          <w:rFonts w:ascii="Palatino Linotype" w:hAnsi="Palatino Linotype" w:cs="Arial"/>
          <w:bCs/>
          <w:i/>
          <w:sz w:val="22"/>
          <w:szCs w:val="22"/>
        </w:rPr>
        <w:t>“</w:t>
      </w:r>
      <w:r w:rsidRPr="00065FAA">
        <w:rPr>
          <w:rFonts w:ascii="Palatino Linotype" w:hAnsi="Palatino Linotype" w:cs="Arial"/>
          <w:b/>
          <w:bCs/>
          <w:i/>
          <w:sz w:val="22"/>
          <w:szCs w:val="22"/>
        </w:rPr>
        <w:t>Registro Federal de Contribuyentes (RFC) de personas físicas. El RFC es una clave</w:t>
      </w:r>
      <w:r w:rsidRPr="00065FAA">
        <w:rPr>
          <w:rFonts w:ascii="Palatino Linotype" w:hAnsi="Palatino Linotype" w:cs="Arial"/>
          <w:bCs/>
          <w:i/>
          <w:sz w:val="22"/>
          <w:szCs w:val="22"/>
        </w:rPr>
        <w:t xml:space="preserve"> de carácter fiscal, única e irrepetible, </w:t>
      </w:r>
      <w:r w:rsidRPr="00065FAA">
        <w:rPr>
          <w:rFonts w:ascii="Palatino Linotype" w:hAnsi="Palatino Linotype" w:cs="Arial"/>
          <w:b/>
          <w:bCs/>
          <w:i/>
          <w:sz w:val="22"/>
          <w:szCs w:val="22"/>
        </w:rPr>
        <w:t>que permite identificar al titular, su edad y fecha de nacimiento</w:t>
      </w:r>
      <w:r w:rsidRPr="00065FAA">
        <w:rPr>
          <w:rFonts w:ascii="Palatino Linotype" w:hAnsi="Palatino Linotype" w:cs="Arial"/>
          <w:bCs/>
          <w:i/>
          <w:sz w:val="22"/>
          <w:szCs w:val="22"/>
        </w:rPr>
        <w:t xml:space="preserve">, </w:t>
      </w:r>
      <w:r w:rsidRPr="00065FAA">
        <w:rPr>
          <w:rFonts w:ascii="Palatino Linotype" w:hAnsi="Palatino Linotype" w:cs="Arial"/>
          <w:i/>
          <w:sz w:val="22"/>
          <w:szCs w:val="22"/>
          <w:lang w:eastAsia="es-MX"/>
        </w:rPr>
        <w:t>por</w:t>
      </w:r>
      <w:r w:rsidRPr="00065FAA">
        <w:rPr>
          <w:rFonts w:ascii="Palatino Linotype" w:hAnsi="Palatino Linotype" w:cs="Arial"/>
          <w:bCs/>
          <w:i/>
          <w:sz w:val="22"/>
          <w:szCs w:val="22"/>
        </w:rPr>
        <w:t xml:space="preserve"> lo que </w:t>
      </w:r>
      <w:r w:rsidRPr="00065FAA">
        <w:rPr>
          <w:rFonts w:ascii="Palatino Linotype" w:hAnsi="Palatino Linotype" w:cs="Arial"/>
          <w:b/>
          <w:bCs/>
          <w:i/>
          <w:sz w:val="22"/>
          <w:szCs w:val="22"/>
        </w:rPr>
        <w:t>es un dato personal de carácter confidencial</w:t>
      </w:r>
      <w:r w:rsidRPr="00065FAA">
        <w:rPr>
          <w:rFonts w:ascii="Palatino Linotype" w:hAnsi="Palatino Linotype" w:cs="Arial"/>
          <w:i/>
          <w:sz w:val="22"/>
          <w:szCs w:val="22"/>
        </w:rPr>
        <w:t>.</w:t>
      </w: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lang w:eastAsia="en-US"/>
        </w:rPr>
      </w:pP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rPr>
      </w:pPr>
      <w:r w:rsidRPr="00065FAA">
        <w:rPr>
          <w:rFonts w:ascii="Palatino Linotype" w:hAnsi="Palatino Linotype" w:cs="Arial"/>
          <w:bCs/>
          <w:i/>
          <w:sz w:val="22"/>
          <w:szCs w:val="22"/>
        </w:rPr>
        <w:t>Resoluciones:</w:t>
      </w: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rPr>
      </w:pPr>
      <w:r w:rsidRPr="00065FAA">
        <w:rPr>
          <w:rFonts w:ascii="Palatino Linotype" w:hAnsi="Palatino Linotype" w:cs="Arial"/>
          <w:bCs/>
          <w:i/>
          <w:sz w:val="22"/>
          <w:szCs w:val="22"/>
        </w:rPr>
        <w:t>• RRA 0189/</w:t>
      </w:r>
      <w:r w:rsidRPr="00065FAA">
        <w:rPr>
          <w:rFonts w:ascii="Palatino Linotype" w:hAnsi="Palatino Linotype" w:cs="Arial"/>
          <w:i/>
          <w:sz w:val="22"/>
          <w:szCs w:val="22"/>
          <w:lang w:eastAsia="es-MX"/>
        </w:rPr>
        <w:t>17</w:t>
      </w:r>
      <w:r w:rsidRPr="00065FAA">
        <w:rPr>
          <w:rFonts w:ascii="Palatino Linotype" w:hAnsi="Palatino Linotype" w:cs="Arial"/>
          <w:bCs/>
          <w:i/>
          <w:sz w:val="22"/>
          <w:szCs w:val="22"/>
        </w:rPr>
        <w:t>. Morena. 08 de febrero de 2017. Por unanimidad. Comisionado Ponente Joel Salas Suárez.</w:t>
      </w: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rPr>
      </w:pPr>
      <w:r w:rsidRPr="00065FAA">
        <w:rPr>
          <w:rFonts w:ascii="Palatino Linotype" w:hAnsi="Palatino Linotype" w:cs="Arial"/>
          <w:bCs/>
          <w:i/>
          <w:sz w:val="22"/>
          <w:szCs w:val="22"/>
        </w:rPr>
        <w:lastRenderedPageBreak/>
        <w:t xml:space="preserve">• RRA 0677/17. Universidad Nacional Autónoma de México. 08 de marzo de 2017. Por unanimidad. Comisionado Ponente Rosendoevgueni Monterrey Chepov. </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r w:rsidRPr="00065FAA">
        <w:rPr>
          <w:rFonts w:ascii="Palatino Linotype" w:hAnsi="Palatino Linotype" w:cs="Arial"/>
          <w:bCs/>
          <w:i/>
          <w:sz w:val="22"/>
          <w:szCs w:val="22"/>
        </w:rPr>
        <w:t xml:space="preserve">• RRA 1564/17. Tribunal Electoral del Poder Judicial de la Federación. 26 de abril de 2017. Por </w:t>
      </w:r>
      <w:r w:rsidRPr="00065FAA">
        <w:rPr>
          <w:rFonts w:ascii="Palatino Linotype" w:hAnsi="Palatino Linotype" w:cs="Arial"/>
          <w:i/>
          <w:sz w:val="22"/>
          <w:szCs w:val="22"/>
          <w:lang w:eastAsia="es-MX"/>
        </w:rPr>
        <w:t>unanimidad</w:t>
      </w:r>
      <w:r w:rsidRPr="00065FAA">
        <w:rPr>
          <w:rFonts w:ascii="Palatino Linotype" w:hAnsi="Palatino Linotype" w:cs="Arial"/>
          <w:bCs/>
          <w:i/>
          <w:sz w:val="22"/>
          <w:szCs w:val="22"/>
        </w:rPr>
        <w:t>. Comisionado Ponente Oscar Mauricio Guerra Ford.</w:t>
      </w:r>
      <w:r w:rsidRPr="00065FAA">
        <w:rPr>
          <w:rFonts w:ascii="Palatino Linotype" w:hAnsi="Palatino Linotype" w:cs="Arial"/>
          <w:i/>
          <w:sz w:val="22"/>
          <w:szCs w:val="22"/>
        </w:rPr>
        <w:t xml:space="preserve">” </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r w:rsidRPr="00065FAA">
        <w:rPr>
          <w:rFonts w:ascii="Palatino Linotype" w:hAnsi="Palatino Linotype" w:cs="Arial"/>
          <w:i/>
          <w:sz w:val="22"/>
          <w:szCs w:val="22"/>
        </w:rPr>
        <w:t>(Énfasis añadido)</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rPr>
      </w:pPr>
      <w:r w:rsidRPr="00065FAA">
        <w:rPr>
          <w:rFonts w:ascii="Palatino Linotype" w:hAnsi="Palatino Linotype" w:cs="Arial"/>
          <w:lang w:eastAsia="es-MX"/>
        </w:rPr>
        <w:t xml:space="preserve">De lo anterior, se desprende que el </w:t>
      </w:r>
      <w:r w:rsidRPr="00065FAA">
        <w:rPr>
          <w:rFonts w:ascii="Palatino Linotype" w:hAnsi="Palatino Linotype" w:cs="Arial"/>
          <w:b/>
          <w:lang w:eastAsia="es-MX"/>
        </w:rPr>
        <w:t>Registro Federal de Contribuyentes</w:t>
      </w:r>
      <w:r w:rsidRPr="00065FAA">
        <w:rPr>
          <w:rFonts w:ascii="Palatino Linotype" w:hAnsi="Palatino Linotype" w:cs="Arial"/>
          <w:lang w:eastAsia="es-MX"/>
        </w:rPr>
        <w:t xml:space="preserve"> se vincula al nombre de su </w:t>
      </w:r>
      <w:r w:rsidRPr="00065FAA">
        <w:rPr>
          <w:rFonts w:ascii="Palatino Linotype" w:hAnsi="Palatino Linotype"/>
          <w:bCs/>
        </w:rPr>
        <w:t>titular</w:t>
      </w:r>
      <w:r w:rsidRPr="00065FAA">
        <w:rPr>
          <w:rFonts w:ascii="Palatino Linotype" w:hAnsi="Palatino Linotype" w:cs="Arial"/>
          <w:lang w:eastAsia="es-MX"/>
        </w:rPr>
        <w:t xml:space="preserve">, permitiendo identificar la edad de la persona y fecha de nacimiento, determinando </w:t>
      </w:r>
      <w:r w:rsidRPr="00065FAA">
        <w:rPr>
          <w:rFonts w:ascii="Palatino Linotype" w:hAnsi="Palatino Linotype" w:cs="Arial"/>
        </w:rPr>
        <w:t>la</w:t>
      </w:r>
      <w:r w:rsidRPr="00065FA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65FAA">
        <w:rPr>
          <w:rFonts w:ascii="Palatino Linotype" w:hAnsi="Palatino Linotype"/>
          <w:lang w:eastAsia="es-MX"/>
        </w:rPr>
        <w:t>Municipios</w:t>
      </w:r>
      <w:r w:rsidRPr="00065FAA">
        <w:rPr>
          <w:rFonts w:ascii="Palatino Linotype" w:hAnsi="Palatino Linotype" w:cs="Arial"/>
          <w:lang w:eastAsia="es-MX"/>
        </w:rPr>
        <w:t xml:space="preserve"> y </w:t>
      </w:r>
      <w:r w:rsidRPr="00065FAA">
        <w:rPr>
          <w:rFonts w:ascii="Palatino Linotype" w:hAnsi="Palatino Linotype" w:cs="Arial"/>
        </w:rPr>
        <w:t>4, fracción XI</w:t>
      </w:r>
      <w:r w:rsidRPr="00065FAA">
        <w:rPr>
          <w:rFonts w:ascii="Palatino Linotype" w:hAnsi="Palatino Linotype" w:cs="Arial"/>
          <w:lang w:eastAsia="es-MX"/>
        </w:rPr>
        <w:t xml:space="preserve"> </w:t>
      </w:r>
      <w:r w:rsidRPr="00065FAA">
        <w:rPr>
          <w:rFonts w:ascii="Palatino Linotype" w:hAnsi="Palatino Linotype" w:cs="Arial"/>
        </w:rPr>
        <w:t>de la Ley de Protección de Datos Personales en Posesión de Sujetos Obligados del Estado de México y Municipios.</w:t>
      </w:r>
    </w:p>
    <w:p w:rsidR="00C86888" w:rsidRPr="00065FAA" w:rsidRDefault="00C86888" w:rsidP="00C86888">
      <w:pPr>
        <w:spacing w:line="360" w:lineRule="auto"/>
        <w:jc w:val="both"/>
        <w:rPr>
          <w:rFonts w:ascii="Palatino Linotype" w:hAnsi="Palatino Linotype" w:cs="Arial"/>
          <w:lang w:eastAsia="es-MX"/>
        </w:rPr>
      </w:pPr>
    </w:p>
    <w:p w:rsidR="00C86888" w:rsidRPr="00065FAA" w:rsidRDefault="00C86888" w:rsidP="00C86888">
      <w:pPr>
        <w:spacing w:line="360" w:lineRule="auto"/>
        <w:jc w:val="both"/>
        <w:rPr>
          <w:rFonts w:ascii="Palatino Linotype" w:hAnsi="Palatino Linotype" w:cs="Arial"/>
          <w:lang w:eastAsia="es-MX"/>
        </w:rPr>
      </w:pPr>
      <w:r w:rsidRPr="00065FAA">
        <w:rPr>
          <w:rFonts w:ascii="Palatino Linotype" w:hAnsi="Palatino Linotype" w:cs="Arial"/>
          <w:lang w:eastAsia="es-MX"/>
        </w:rPr>
        <w:t xml:space="preserve">Por cuanto hace a la </w:t>
      </w:r>
      <w:r w:rsidRPr="00065FAA">
        <w:rPr>
          <w:rFonts w:ascii="Palatino Linotype" w:hAnsi="Palatino Linotype" w:cs="Arial"/>
          <w:b/>
        </w:rPr>
        <w:t xml:space="preserve">Clave Única de Registro de Población, </w:t>
      </w:r>
      <w:r w:rsidRPr="00065FAA">
        <w:rPr>
          <w:rFonts w:ascii="Palatino Linotype" w:hAnsi="Palatino Linotype" w:cs="Arial"/>
          <w:lang w:eastAsia="es-MX"/>
        </w:rPr>
        <w:t xml:space="preserve">constituye un dato personal, ya que </w:t>
      </w:r>
      <w:r w:rsidRPr="00065FAA">
        <w:rPr>
          <w:rFonts w:ascii="Palatino Linotype" w:hAnsi="Palatino Linotype"/>
          <w:lang w:eastAsia="es-MX"/>
        </w:rPr>
        <w:t>tiene</w:t>
      </w:r>
      <w:r w:rsidRPr="00065FA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86888" w:rsidRPr="00065FAA" w:rsidRDefault="00C86888" w:rsidP="00C86888">
      <w:pPr>
        <w:spacing w:line="360" w:lineRule="auto"/>
        <w:jc w:val="both"/>
        <w:rPr>
          <w:rFonts w:ascii="Palatino Linotype" w:hAnsi="Palatino Linotype" w:cs="Arial"/>
          <w:lang w:eastAsia="es-MX"/>
        </w:rPr>
      </w:pPr>
    </w:p>
    <w:p w:rsidR="00C86888" w:rsidRPr="00065FAA" w:rsidRDefault="00C86888" w:rsidP="00C86888">
      <w:pPr>
        <w:spacing w:line="360" w:lineRule="auto"/>
        <w:jc w:val="both"/>
        <w:rPr>
          <w:rFonts w:ascii="Palatino Linotype" w:hAnsi="Palatino Linotype" w:cs="Arial"/>
          <w:lang w:eastAsia="es-MX"/>
        </w:rPr>
      </w:pPr>
      <w:r w:rsidRPr="00065FAA">
        <w:rPr>
          <w:rFonts w:ascii="Palatino Linotype" w:hAnsi="Palatino Linotype" w:cs="Arial"/>
          <w:lang w:eastAsia="es-MX"/>
        </w:rPr>
        <w:t xml:space="preserve">Lo </w:t>
      </w:r>
      <w:r w:rsidRPr="00065FAA">
        <w:rPr>
          <w:rFonts w:ascii="Palatino Linotype" w:hAnsi="Palatino Linotype"/>
          <w:lang w:eastAsia="es-MX"/>
        </w:rPr>
        <w:t>anterior</w:t>
      </w:r>
      <w:r w:rsidRPr="00065FAA">
        <w:rPr>
          <w:rFonts w:ascii="Palatino Linotype" w:hAnsi="Palatino Linotype" w:cs="Arial"/>
          <w:lang w:eastAsia="es-MX"/>
        </w:rPr>
        <w:t xml:space="preserve">, </w:t>
      </w:r>
      <w:r w:rsidRPr="00065FAA">
        <w:rPr>
          <w:rFonts w:ascii="Palatino Linotype" w:hAnsi="Palatino Linotype" w:cs="Arial"/>
        </w:rPr>
        <w:t>tiene</w:t>
      </w:r>
      <w:r w:rsidRPr="00065FAA">
        <w:rPr>
          <w:rFonts w:ascii="Palatino Linotype" w:hAnsi="Palatino Linotype" w:cs="Arial"/>
          <w:lang w:eastAsia="es-MX"/>
        </w:rPr>
        <w:t xml:space="preserve"> sustento en los artículos 86 y 91 de la Ley General de Población, la cual señala lo siguiente:</w:t>
      </w:r>
    </w:p>
    <w:p w:rsidR="00C86888" w:rsidRPr="00065FAA" w:rsidRDefault="00C86888" w:rsidP="00C86888">
      <w:pPr>
        <w:jc w:val="both"/>
        <w:rPr>
          <w:rFonts w:ascii="Palatino Linotype" w:hAnsi="Palatino Linotype" w:cs="Arial"/>
          <w:lang w:eastAsia="es-MX"/>
        </w:rPr>
      </w:pP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r w:rsidRPr="00065FAA">
        <w:rPr>
          <w:rFonts w:ascii="Palatino Linotype" w:hAnsi="Palatino Linotype" w:cs="Arial,Bold"/>
          <w:bCs/>
          <w:i/>
          <w:sz w:val="22"/>
          <w:szCs w:val="22"/>
          <w:lang w:eastAsia="es-MX"/>
        </w:rPr>
        <w:t>“</w:t>
      </w:r>
      <w:r w:rsidRPr="00065FAA">
        <w:rPr>
          <w:rFonts w:ascii="Palatino Linotype" w:hAnsi="Palatino Linotype" w:cs="Arial,Bold"/>
          <w:b/>
          <w:bCs/>
          <w:i/>
          <w:sz w:val="22"/>
          <w:szCs w:val="22"/>
          <w:lang w:eastAsia="es-MX"/>
        </w:rPr>
        <w:t xml:space="preserve">Artículo 86. </w:t>
      </w:r>
      <w:r w:rsidRPr="00065FAA">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r w:rsidRPr="00065FAA">
        <w:rPr>
          <w:rFonts w:ascii="Palatino Linotype" w:hAnsi="Palatino Linotype" w:cs="Arial,Bold"/>
          <w:b/>
          <w:bCs/>
          <w:i/>
          <w:sz w:val="22"/>
          <w:szCs w:val="22"/>
          <w:lang w:eastAsia="es-MX"/>
        </w:rPr>
        <w:lastRenderedPageBreak/>
        <w:t xml:space="preserve">Artículo 91. </w:t>
      </w:r>
      <w:r w:rsidRPr="00065FAA">
        <w:rPr>
          <w:rFonts w:ascii="Palatino Linotype" w:hAnsi="Palatino Linotype" w:cs="Arial"/>
          <w:b/>
          <w:i/>
          <w:sz w:val="22"/>
          <w:szCs w:val="22"/>
          <w:lang w:eastAsia="es-MX"/>
        </w:rPr>
        <w:t>Al incorporar a una persona en el Registro Nacional de Población</w:t>
      </w:r>
      <w:r w:rsidRPr="00065FAA">
        <w:rPr>
          <w:rFonts w:ascii="Palatino Linotype" w:hAnsi="Palatino Linotype" w:cs="Arial"/>
          <w:i/>
          <w:sz w:val="22"/>
          <w:szCs w:val="22"/>
          <w:lang w:eastAsia="es-MX"/>
        </w:rPr>
        <w:t xml:space="preserve">, se le asignará una clave </w:t>
      </w:r>
      <w:r w:rsidRPr="00065FAA">
        <w:rPr>
          <w:rFonts w:ascii="Palatino Linotype" w:hAnsi="Palatino Linotype" w:cs="Arial"/>
          <w:b/>
          <w:i/>
          <w:sz w:val="22"/>
          <w:szCs w:val="22"/>
          <w:lang w:eastAsia="es-MX"/>
        </w:rPr>
        <w:t>que se denominará Clave Única de Registro de Población</w:t>
      </w:r>
      <w:r w:rsidRPr="00065FAA">
        <w:rPr>
          <w:rFonts w:ascii="Palatino Linotype" w:hAnsi="Palatino Linotype" w:cs="Arial"/>
          <w:i/>
          <w:sz w:val="22"/>
          <w:szCs w:val="22"/>
          <w:lang w:eastAsia="es-MX"/>
        </w:rPr>
        <w:t xml:space="preserve">. </w:t>
      </w:r>
      <w:r w:rsidRPr="00065FAA">
        <w:rPr>
          <w:rFonts w:ascii="Palatino Linotype" w:hAnsi="Palatino Linotype" w:cs="Arial"/>
          <w:b/>
          <w:i/>
          <w:sz w:val="22"/>
          <w:szCs w:val="22"/>
          <w:lang w:eastAsia="es-MX"/>
        </w:rPr>
        <w:t>Esta servirá para</w:t>
      </w:r>
      <w:r w:rsidRPr="00065FAA">
        <w:rPr>
          <w:rFonts w:ascii="Palatino Linotype" w:hAnsi="Palatino Linotype" w:cs="Arial"/>
          <w:i/>
          <w:sz w:val="22"/>
          <w:szCs w:val="22"/>
          <w:lang w:eastAsia="es-MX"/>
        </w:rPr>
        <w:t xml:space="preserve"> registrarla e </w:t>
      </w:r>
      <w:r w:rsidRPr="00065FAA">
        <w:rPr>
          <w:rFonts w:ascii="Palatino Linotype" w:hAnsi="Palatino Linotype" w:cs="Arial"/>
          <w:b/>
          <w:i/>
          <w:sz w:val="22"/>
          <w:szCs w:val="22"/>
          <w:lang w:eastAsia="es-MX"/>
        </w:rPr>
        <w:t>identificarla en forma individual</w:t>
      </w:r>
      <w:r w:rsidRPr="00065FAA">
        <w:rPr>
          <w:rFonts w:ascii="Palatino Linotype" w:hAnsi="Palatino Linotype" w:cs="Arial"/>
          <w:i/>
          <w:sz w:val="22"/>
          <w:szCs w:val="22"/>
          <w:lang w:eastAsia="es-MX"/>
        </w:rPr>
        <w:t xml:space="preserve">.” </w:t>
      </w:r>
    </w:p>
    <w:p w:rsidR="00C86888" w:rsidRPr="00065FAA" w:rsidRDefault="00C86888" w:rsidP="00C86888">
      <w:pPr>
        <w:autoSpaceDE w:val="0"/>
        <w:autoSpaceDN w:val="0"/>
        <w:adjustRightInd w:val="0"/>
        <w:ind w:left="851" w:right="902"/>
        <w:jc w:val="both"/>
        <w:rPr>
          <w:rFonts w:ascii="Palatino Linotype" w:hAnsi="Palatino Linotype" w:cs="Arial"/>
          <w:sz w:val="22"/>
          <w:szCs w:val="22"/>
        </w:rPr>
      </w:pPr>
      <w:r w:rsidRPr="00065FAA">
        <w:rPr>
          <w:rFonts w:ascii="Palatino Linotype" w:hAnsi="Palatino Linotype" w:cs="Arial"/>
          <w:sz w:val="22"/>
          <w:szCs w:val="22"/>
        </w:rPr>
        <w:t>(Énfasis añadido)</w:t>
      </w:r>
    </w:p>
    <w:p w:rsidR="00C86888" w:rsidRPr="00065FAA" w:rsidRDefault="00C86888" w:rsidP="00C86888">
      <w:pPr>
        <w:autoSpaceDE w:val="0"/>
        <w:autoSpaceDN w:val="0"/>
        <w:adjustRightInd w:val="0"/>
        <w:ind w:left="851" w:right="902"/>
        <w:jc w:val="both"/>
        <w:rPr>
          <w:rFonts w:ascii="Palatino Linotype" w:hAnsi="Palatino Linotype" w:cs="Arial"/>
          <w:sz w:val="22"/>
          <w:szCs w:val="22"/>
        </w:rPr>
      </w:pPr>
    </w:p>
    <w:p w:rsidR="00C86888" w:rsidRPr="00065FAA" w:rsidRDefault="00C86888" w:rsidP="00C86888">
      <w:pPr>
        <w:spacing w:line="360" w:lineRule="auto"/>
        <w:jc w:val="both"/>
        <w:rPr>
          <w:rFonts w:ascii="Palatino Linotype" w:hAnsi="Palatino Linotype"/>
          <w:lang w:eastAsia="es-MX"/>
        </w:rPr>
      </w:pPr>
      <w:r w:rsidRPr="00065FAA">
        <w:rPr>
          <w:rFonts w:ascii="Palatino Linotype" w:hAnsi="Palatino Linotype"/>
          <w:lang w:eastAsia="es-MX"/>
        </w:rPr>
        <w:t xml:space="preserve">Ahora bien, la Clave CURP, está integrada de 18 elementos representados por letras y números, que se generan a partir de los datos contenidos en un documento probatorio de </w:t>
      </w:r>
      <w:r w:rsidRPr="00065FAA">
        <w:rPr>
          <w:rFonts w:ascii="Palatino Linotype" w:hAnsi="Palatino Linotype"/>
          <w:bCs/>
        </w:rPr>
        <w:t>identidad</w:t>
      </w:r>
      <w:r w:rsidRPr="00065FAA">
        <w:rPr>
          <w:rFonts w:ascii="Palatino Linotype" w:hAnsi="Palatino Linotype"/>
          <w:lang w:eastAsia="es-MX"/>
        </w:rPr>
        <w:t xml:space="preserve"> (acta de nacimiento, carta de naturalización o documento migratorio), la </w:t>
      </w:r>
      <w:r w:rsidRPr="00065FAA">
        <w:rPr>
          <w:rFonts w:ascii="Palatino Linotype" w:hAnsi="Palatino Linotype" w:cs="Arial"/>
        </w:rPr>
        <w:t>cual</w:t>
      </w:r>
      <w:r w:rsidRPr="00065FAA">
        <w:rPr>
          <w:rFonts w:ascii="Palatino Linotype" w:hAnsi="Palatino Linotype"/>
          <w:lang w:eastAsia="es-MX"/>
        </w:rPr>
        <w:t xml:space="preserve"> se integra de</w:t>
      </w:r>
      <w:r w:rsidRPr="00065FA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65FA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C86888" w:rsidRPr="00065FAA" w:rsidRDefault="00C86888" w:rsidP="00C86888">
      <w:pPr>
        <w:spacing w:line="360" w:lineRule="auto"/>
        <w:jc w:val="both"/>
        <w:rPr>
          <w:rFonts w:ascii="Palatino Linotype" w:hAnsi="Palatino Linotype"/>
          <w:lang w:eastAsia="es-MX"/>
        </w:rPr>
      </w:pPr>
    </w:p>
    <w:p w:rsidR="00C86888" w:rsidRPr="00065FAA" w:rsidRDefault="00C86888" w:rsidP="00C86888">
      <w:pPr>
        <w:spacing w:line="360" w:lineRule="auto"/>
        <w:jc w:val="both"/>
        <w:rPr>
          <w:rFonts w:ascii="Palatino Linotype" w:hAnsi="Palatino Linotype" w:cs="Arial"/>
          <w:lang w:eastAsia="es-MX"/>
        </w:rPr>
      </w:pPr>
      <w:r w:rsidRPr="00065FAA">
        <w:rPr>
          <w:rFonts w:ascii="Palatino Linotype" w:hAnsi="Palatino Linotype" w:cs="Arial"/>
          <w:lang w:eastAsia="es-MX"/>
        </w:rPr>
        <w:t xml:space="preserve">Al respecto, el </w:t>
      </w:r>
      <w:r w:rsidRPr="00065FAA">
        <w:rPr>
          <w:rFonts w:ascii="Palatino Linotype" w:eastAsia="Arial Unicode MS" w:hAnsi="Palatino Linotype" w:cs="Arial"/>
        </w:rPr>
        <w:t>Instituto Nacional de Transparencia, Acceso a la Información y Protección de Datos Personales (INAI),</w:t>
      </w:r>
      <w:r w:rsidRPr="00065FAA">
        <w:rPr>
          <w:rFonts w:ascii="Palatino Linotype" w:hAnsi="Palatino Linotype" w:cs="Arial"/>
          <w:lang w:eastAsia="es-MX"/>
        </w:rPr>
        <w:t xml:space="preserve"> a través del Criterio 18/17 de la Segunda Época, señala literalmente lo siguiente:</w:t>
      </w:r>
    </w:p>
    <w:p w:rsidR="00C86888" w:rsidRPr="00065FAA" w:rsidRDefault="00C86888" w:rsidP="00C86888">
      <w:pPr>
        <w:jc w:val="both"/>
        <w:rPr>
          <w:rFonts w:ascii="Palatino Linotype" w:hAnsi="Palatino Linotype" w:cs="Arial"/>
          <w:lang w:eastAsia="es-MX"/>
        </w:rPr>
      </w:pP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w:t>
      </w:r>
      <w:r w:rsidRPr="00065FAA">
        <w:rPr>
          <w:rFonts w:ascii="Palatino Linotype" w:hAnsi="Palatino Linotype" w:cs="Arial"/>
          <w:b/>
          <w:i/>
          <w:sz w:val="22"/>
          <w:szCs w:val="22"/>
          <w:lang w:eastAsia="es-MX"/>
        </w:rPr>
        <w:t>Clave Única de Registro de Población (CURP).</w:t>
      </w:r>
      <w:r w:rsidRPr="00065FAA">
        <w:rPr>
          <w:rFonts w:ascii="Palatino Linotype" w:hAnsi="Palatino Linotype" w:cs="Arial"/>
          <w:i/>
          <w:sz w:val="22"/>
          <w:szCs w:val="22"/>
          <w:lang w:eastAsia="es-MX"/>
        </w:rPr>
        <w:t xml:space="preserve"> </w:t>
      </w:r>
      <w:r w:rsidRPr="00065FAA">
        <w:rPr>
          <w:rFonts w:ascii="Palatino Linotype" w:hAnsi="Palatino Linotype" w:cs="Arial"/>
          <w:b/>
          <w:i/>
          <w:sz w:val="22"/>
          <w:szCs w:val="22"/>
          <w:lang w:eastAsia="es-MX"/>
        </w:rPr>
        <w:t>La Clave Única de Registro de Población se integra por datos personales que sólo conciernen al particular titular</w:t>
      </w:r>
      <w:r w:rsidRPr="00065FAA">
        <w:rPr>
          <w:rFonts w:ascii="Palatino Linotype" w:hAnsi="Palatino Linotype" w:cs="Arial"/>
          <w:i/>
          <w:sz w:val="22"/>
          <w:szCs w:val="22"/>
          <w:lang w:eastAsia="es-MX"/>
        </w:rPr>
        <w:t xml:space="preserve"> de la misma, </w:t>
      </w:r>
      <w:r w:rsidRPr="00065FAA">
        <w:rPr>
          <w:rFonts w:ascii="Palatino Linotype" w:hAnsi="Palatino Linotype" w:cs="Arial"/>
          <w:b/>
          <w:i/>
          <w:sz w:val="22"/>
          <w:szCs w:val="22"/>
          <w:lang w:eastAsia="es-MX"/>
        </w:rPr>
        <w:t>como lo son su nombre, apellidos, fecha de nacimiento, lugar de nacimiento y sexo</w:t>
      </w:r>
      <w:r w:rsidRPr="00065FAA">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065FAA">
        <w:rPr>
          <w:rFonts w:ascii="Palatino Linotype" w:hAnsi="Palatino Linotype" w:cs="Arial"/>
          <w:b/>
          <w:i/>
          <w:sz w:val="22"/>
          <w:szCs w:val="22"/>
          <w:lang w:eastAsia="es-MX"/>
        </w:rPr>
        <w:t>por lo que la CURP está considerada como información confidencial</w:t>
      </w:r>
      <w:r w:rsidRPr="00065FAA">
        <w:rPr>
          <w:rFonts w:ascii="Palatino Linotype" w:hAnsi="Palatino Linotype" w:cs="Arial"/>
          <w:i/>
          <w:sz w:val="22"/>
          <w:szCs w:val="22"/>
          <w:lang w:eastAsia="es-MX"/>
        </w:rPr>
        <w:t xml:space="preserve">. </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lang w:eastAsia="es-MX"/>
        </w:rPr>
      </w:pPr>
      <w:r w:rsidRPr="00065FAA">
        <w:rPr>
          <w:rFonts w:ascii="Palatino Linotype" w:hAnsi="Palatino Linotype" w:cs="Arial"/>
          <w:bCs/>
          <w:i/>
          <w:sz w:val="22"/>
          <w:szCs w:val="22"/>
          <w:lang w:eastAsia="es-MX"/>
        </w:rPr>
        <w:t>Resoluciones:</w:t>
      </w: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lang w:eastAsia="es-MX"/>
        </w:rPr>
      </w:pPr>
      <w:r w:rsidRPr="00065FAA">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C86888" w:rsidRPr="00065FAA" w:rsidRDefault="00C86888" w:rsidP="00C86888">
      <w:pPr>
        <w:autoSpaceDE w:val="0"/>
        <w:autoSpaceDN w:val="0"/>
        <w:adjustRightInd w:val="0"/>
        <w:ind w:left="851" w:right="902"/>
        <w:jc w:val="both"/>
        <w:rPr>
          <w:rFonts w:ascii="Palatino Linotype" w:hAnsi="Palatino Linotype" w:cs="Arial"/>
          <w:bCs/>
          <w:i/>
          <w:sz w:val="22"/>
          <w:szCs w:val="22"/>
          <w:lang w:eastAsia="es-MX"/>
        </w:rPr>
      </w:pPr>
      <w:r w:rsidRPr="00065FAA">
        <w:rPr>
          <w:rFonts w:ascii="Palatino Linotype" w:hAnsi="Palatino Linotype" w:cs="Arial"/>
          <w:bCs/>
          <w:i/>
          <w:sz w:val="22"/>
          <w:szCs w:val="22"/>
          <w:lang w:eastAsia="es-MX"/>
        </w:rPr>
        <w:lastRenderedPageBreak/>
        <w:t xml:space="preserve">• RRA 0937/17. Senado de la República. 15 de marzo de 2017. Por unanimidad. Comisionada Ponente </w:t>
      </w:r>
      <w:r w:rsidRPr="00065FAA">
        <w:rPr>
          <w:rFonts w:ascii="Palatino Linotype" w:hAnsi="Palatino Linotype" w:cs="Arial"/>
          <w:i/>
          <w:sz w:val="22"/>
          <w:szCs w:val="22"/>
          <w:lang w:eastAsia="es-MX"/>
        </w:rPr>
        <w:t>Ximena</w:t>
      </w:r>
      <w:r w:rsidRPr="00065FAA">
        <w:rPr>
          <w:rFonts w:ascii="Palatino Linotype" w:hAnsi="Palatino Linotype" w:cs="Arial"/>
          <w:bCs/>
          <w:i/>
          <w:sz w:val="22"/>
          <w:szCs w:val="22"/>
          <w:lang w:eastAsia="es-MX"/>
        </w:rPr>
        <w:t xml:space="preserve"> Puente de la Mora. </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lang w:eastAsia="es-MX"/>
        </w:rPr>
      </w:pPr>
      <w:r w:rsidRPr="00065FAA">
        <w:rPr>
          <w:rFonts w:ascii="Palatino Linotype" w:hAnsi="Palatino Linotype" w:cs="Arial"/>
          <w:bCs/>
          <w:i/>
          <w:sz w:val="22"/>
          <w:szCs w:val="22"/>
          <w:lang w:eastAsia="es-MX"/>
        </w:rPr>
        <w:t xml:space="preserve">• RRA 0478/17. Secretaría de Relaciones Exteriores. 26 de abril de 2017. Por unanimidad. </w:t>
      </w:r>
      <w:r w:rsidRPr="00065FAA">
        <w:rPr>
          <w:rFonts w:ascii="Palatino Linotype" w:hAnsi="Palatino Linotype" w:cs="Arial"/>
          <w:i/>
          <w:sz w:val="22"/>
          <w:szCs w:val="22"/>
          <w:lang w:eastAsia="es-MX"/>
        </w:rPr>
        <w:t>Comisionada</w:t>
      </w:r>
      <w:r w:rsidRPr="00065FAA">
        <w:rPr>
          <w:rFonts w:ascii="Palatino Linotype" w:hAnsi="Palatino Linotype" w:cs="Arial"/>
          <w:bCs/>
          <w:i/>
          <w:sz w:val="22"/>
          <w:szCs w:val="22"/>
          <w:lang w:eastAsia="es-MX"/>
        </w:rPr>
        <w:t xml:space="preserve"> Ponente Areli Cano Guadiana.</w:t>
      </w:r>
      <w:r w:rsidRPr="00065FAA">
        <w:rPr>
          <w:rFonts w:ascii="Palatino Linotype" w:hAnsi="Palatino Linotype" w:cs="Arial"/>
          <w:i/>
          <w:sz w:val="22"/>
          <w:szCs w:val="22"/>
          <w:lang w:eastAsia="es-MX"/>
        </w:rPr>
        <w:t xml:space="preserve">” </w:t>
      </w:r>
      <w:r w:rsidRPr="00065FAA">
        <w:rPr>
          <w:rFonts w:ascii="Palatino Linotype" w:hAnsi="Palatino Linotype" w:cs="Arial"/>
          <w:i/>
          <w:sz w:val="22"/>
          <w:szCs w:val="22"/>
        </w:rPr>
        <w:t>(Sic)</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r w:rsidRPr="00065FAA">
        <w:rPr>
          <w:rFonts w:ascii="Palatino Linotype" w:hAnsi="Palatino Linotype" w:cs="Arial"/>
          <w:i/>
          <w:sz w:val="22"/>
          <w:szCs w:val="22"/>
        </w:rPr>
        <w:t>(Énfasis añadido)</w:t>
      </w:r>
    </w:p>
    <w:p w:rsidR="00C86888" w:rsidRPr="00065FAA" w:rsidRDefault="00C86888" w:rsidP="00C86888">
      <w:pPr>
        <w:autoSpaceDE w:val="0"/>
        <w:autoSpaceDN w:val="0"/>
        <w:adjustRightInd w:val="0"/>
        <w:ind w:left="851" w:right="902"/>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s="Arial"/>
          <w:lang w:eastAsia="es-MX"/>
        </w:rPr>
      </w:pPr>
      <w:r w:rsidRPr="00065FAA">
        <w:rPr>
          <w:rFonts w:ascii="Palatino Linotype" w:hAnsi="Palatino Linotype" w:cs="Arial"/>
          <w:lang w:eastAsia="es-MX"/>
        </w:rPr>
        <w:t xml:space="preserve">De lo anterior, se desprende que la </w:t>
      </w:r>
      <w:r w:rsidRPr="00065FAA">
        <w:rPr>
          <w:rFonts w:ascii="Palatino Linotype" w:hAnsi="Palatino Linotype"/>
          <w:lang w:eastAsia="es-MX"/>
        </w:rPr>
        <w:t xml:space="preserve">CURP, </w:t>
      </w:r>
      <w:r w:rsidRPr="00065FA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65FAA">
        <w:rPr>
          <w:rFonts w:ascii="Palatino Linotype" w:hAnsi="Palatino Linotype"/>
          <w:bCs/>
        </w:rPr>
        <w:t>personal</w:t>
      </w:r>
      <w:r w:rsidRPr="00065FA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65FAA">
        <w:rPr>
          <w:rFonts w:ascii="Palatino Linotype" w:hAnsi="Palatino Linotype" w:cs="Arial"/>
        </w:rPr>
        <w:t>4, fracción XI</w:t>
      </w:r>
      <w:r w:rsidRPr="00065FAA">
        <w:rPr>
          <w:rFonts w:ascii="Palatino Linotype" w:hAnsi="Palatino Linotype" w:cs="Arial"/>
          <w:lang w:eastAsia="es-MX"/>
        </w:rPr>
        <w:t xml:space="preserve"> </w:t>
      </w:r>
      <w:r w:rsidRPr="00065FAA">
        <w:rPr>
          <w:rFonts w:ascii="Palatino Linotype" w:hAnsi="Palatino Linotype" w:cs="Arial"/>
        </w:rPr>
        <w:t>de la Ley de Protección de Datos Personales en Posesión de Sujetos Obligados del Estado de México y Municipios</w:t>
      </w:r>
      <w:r w:rsidRPr="00065FAA">
        <w:rPr>
          <w:rFonts w:ascii="Palatino Linotype" w:hAnsi="Palatino Linotype" w:cs="Arial"/>
          <w:lang w:eastAsia="es-MX"/>
        </w:rPr>
        <w:t>.</w:t>
      </w:r>
    </w:p>
    <w:p w:rsidR="00C86888" w:rsidRPr="00065FAA" w:rsidRDefault="00C86888" w:rsidP="00C86888">
      <w:pPr>
        <w:spacing w:line="360" w:lineRule="auto"/>
        <w:jc w:val="both"/>
        <w:rPr>
          <w:rFonts w:ascii="Palatino Linotype" w:hAnsi="Palatino Linotype" w:cs="Arial"/>
          <w:lang w:eastAsia="es-MX"/>
        </w:rPr>
      </w:pPr>
    </w:p>
    <w:p w:rsidR="00C86888" w:rsidRPr="00065FAA" w:rsidRDefault="00C86888" w:rsidP="00C86888">
      <w:pPr>
        <w:spacing w:line="360" w:lineRule="auto"/>
        <w:ind w:right="-93"/>
        <w:jc w:val="both"/>
        <w:rPr>
          <w:rFonts w:ascii="Palatino Linotype" w:hAnsi="Palatino Linotype" w:cs="Arial"/>
        </w:rPr>
      </w:pPr>
      <w:r w:rsidRPr="00065FAA">
        <w:rPr>
          <w:rFonts w:ascii="Palatino Linotype" w:hAnsi="Palatino Linotype" w:cs="Arial"/>
          <w:lang w:eastAsia="es-MX"/>
        </w:rPr>
        <w:t xml:space="preserve">Ahora bien, no se omite comentar </w:t>
      </w:r>
      <w:r w:rsidRPr="00065FAA">
        <w:rPr>
          <w:rFonts w:ascii="Palatino Linotype" w:hAnsi="Palatino Linotype" w:cs="Arial"/>
        </w:rPr>
        <w:t xml:space="preserve">respecto a la </w:t>
      </w:r>
      <w:r w:rsidRPr="00065FAA">
        <w:rPr>
          <w:rFonts w:ascii="Palatino Linotype" w:hAnsi="Palatino Linotype" w:cs="Arial"/>
          <w:b/>
        </w:rPr>
        <w:t>fotografía</w:t>
      </w:r>
      <w:r w:rsidRPr="00065FAA">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C86888" w:rsidRPr="00065FAA" w:rsidRDefault="00C86888" w:rsidP="00C86888">
      <w:pPr>
        <w:spacing w:line="360" w:lineRule="auto"/>
        <w:ind w:right="-93"/>
        <w:jc w:val="both"/>
        <w:rPr>
          <w:rFonts w:ascii="Palatino Linotype" w:hAnsi="Palatino Linotype"/>
          <w:noProof/>
          <w:sz w:val="20"/>
          <w:szCs w:val="20"/>
          <w:lang w:eastAsia="es-MX"/>
        </w:rPr>
      </w:pPr>
    </w:p>
    <w:p w:rsidR="00C86888" w:rsidRPr="00065FAA" w:rsidRDefault="00C86888" w:rsidP="00C86888">
      <w:pPr>
        <w:spacing w:line="360" w:lineRule="auto"/>
        <w:ind w:right="-93"/>
        <w:jc w:val="both"/>
        <w:rPr>
          <w:rFonts w:ascii="Palatino Linotype" w:hAnsi="Palatino Linotype" w:cs="Arial"/>
        </w:rPr>
      </w:pPr>
      <w:r w:rsidRPr="00065FAA">
        <w:rPr>
          <w:rFonts w:ascii="Palatino Linotype" w:hAnsi="Palatino Linotype" w:cs="Arial"/>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C86888" w:rsidRPr="00065FAA" w:rsidRDefault="00C86888" w:rsidP="00C86888">
      <w:pPr>
        <w:spacing w:line="360" w:lineRule="auto"/>
        <w:ind w:right="-93"/>
        <w:jc w:val="both"/>
        <w:rPr>
          <w:rFonts w:ascii="Palatino Linotype" w:hAnsi="Palatino Linotype" w:cs="Arial"/>
        </w:rPr>
      </w:pPr>
    </w:p>
    <w:p w:rsidR="00C86888" w:rsidRPr="00065FAA" w:rsidRDefault="00C86888" w:rsidP="00C86888">
      <w:pPr>
        <w:spacing w:line="360" w:lineRule="auto"/>
        <w:ind w:right="-93"/>
        <w:jc w:val="both"/>
        <w:rPr>
          <w:rFonts w:ascii="Palatino Linotype" w:hAnsi="Palatino Linotype" w:cs="Arial"/>
        </w:rPr>
      </w:pPr>
      <w:r w:rsidRPr="00065FAA">
        <w:rPr>
          <w:rFonts w:ascii="Palatino Linotype" w:hAnsi="Palatino Linotype" w:cs="Arial"/>
        </w:rPr>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C86888" w:rsidRPr="00065FAA" w:rsidRDefault="00C86888" w:rsidP="00C86888">
      <w:pPr>
        <w:spacing w:line="360" w:lineRule="auto"/>
        <w:ind w:right="-93"/>
        <w:jc w:val="both"/>
        <w:rPr>
          <w:rFonts w:ascii="Palatino Linotype" w:hAnsi="Palatino Linotype" w:cs="Arial"/>
        </w:rPr>
      </w:pPr>
    </w:p>
    <w:p w:rsidR="00C86888" w:rsidRPr="00065FAA" w:rsidRDefault="00C86888" w:rsidP="00C86888">
      <w:pPr>
        <w:spacing w:line="360" w:lineRule="auto"/>
        <w:ind w:right="-93"/>
        <w:jc w:val="both"/>
        <w:rPr>
          <w:rFonts w:ascii="Palatino Linotype" w:hAnsi="Palatino Linotype" w:cs="Arial"/>
        </w:rPr>
      </w:pPr>
      <w:r w:rsidRPr="00065FAA">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C86888" w:rsidRPr="00065FAA" w:rsidRDefault="00C86888" w:rsidP="00C86888">
      <w:pPr>
        <w:spacing w:line="360" w:lineRule="auto"/>
        <w:jc w:val="both"/>
        <w:rPr>
          <w:rFonts w:ascii="Palatino Linotype" w:hAnsi="Palatino Linotype" w:cs="Arial"/>
          <w:lang w:eastAsia="es-MX"/>
        </w:rPr>
      </w:pPr>
    </w:p>
    <w:p w:rsidR="00C86888" w:rsidRPr="00065FAA" w:rsidRDefault="00C86888" w:rsidP="00C86888">
      <w:pPr>
        <w:spacing w:line="360" w:lineRule="auto"/>
        <w:jc w:val="both"/>
        <w:rPr>
          <w:rFonts w:ascii="Palatino Linotype" w:hAnsi="Palatino Linotype" w:cs="Arial"/>
          <w:lang w:val="es-ES_tradnl"/>
        </w:rPr>
      </w:pPr>
      <w:r w:rsidRPr="00065FAA">
        <w:rPr>
          <w:rFonts w:ascii="Palatino Linotype" w:hAnsi="Palatino Linotype" w:cs="Arial"/>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065FAA">
        <w:rPr>
          <w:rFonts w:ascii="Palatino Linotype" w:hAnsi="Palatino Linotype" w:cs="Arial"/>
          <w:b/>
          <w:color w:val="000000"/>
        </w:rPr>
        <w:t xml:space="preserve"> SUJETO OBLIGADO</w:t>
      </w:r>
      <w:r w:rsidRPr="00065FAA">
        <w:rPr>
          <w:rFonts w:ascii="Palatino Linotype" w:hAnsi="Palatino Linotype" w:cs="Arial"/>
          <w:b/>
        </w:rPr>
        <w:t xml:space="preserve"> </w:t>
      </w:r>
      <w:r w:rsidRPr="00065FAA">
        <w:rPr>
          <w:rFonts w:ascii="Palatino Linotype" w:hAnsi="Palatino Linotype" w:cs="Arial"/>
        </w:rPr>
        <w:t>emita el respectivo acuerdo de clasificación, ello en términos de</w:t>
      </w:r>
      <w:r w:rsidRPr="00065FAA">
        <w:rPr>
          <w:rFonts w:ascii="Palatino Linotype" w:hAnsi="Palatino Linotype" w:cs="Arial"/>
          <w:lang w:val="es-ES_tradnl"/>
        </w:rPr>
        <w:t xml:space="preserve"> los artículos 3, fracción XLV, 49, fracción VIII, 132, fracciones II y III, 137 y 149 de la Ley de Transparencia y Acceso a la Información Pública del Estado de México y Municipios, así como los numerales SEGUNDO, fracción XVIII y del </w:t>
      </w:r>
      <w:r w:rsidRPr="00065FAA">
        <w:rPr>
          <w:rFonts w:ascii="Palatino Linotype" w:hAnsi="Palatino Linotype" w:cs="Arial"/>
          <w:lang w:val="es-ES_tradnl"/>
        </w:rPr>
        <w:lastRenderedPageBreak/>
        <w:t>cuarto al décimo primero de los Lineamientos Generales en materia de Clasificación y Desclasificación de la información, así como para la elaboración de versiones públicas, que a continuación se citan:</w:t>
      </w:r>
    </w:p>
    <w:p w:rsidR="00C86888" w:rsidRPr="00065FAA" w:rsidRDefault="00C86888" w:rsidP="00C86888">
      <w:pPr>
        <w:jc w:val="both"/>
        <w:rPr>
          <w:rFonts w:ascii="Palatino Linotype" w:hAnsi="Palatino Linotype" w:cs="Arial"/>
        </w:rPr>
      </w:pP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b/>
          <w:i/>
          <w:sz w:val="22"/>
          <w:szCs w:val="22"/>
          <w:lang w:val="es-ES_tradnl"/>
        </w:rPr>
        <w:t>“Artículo 3</w:t>
      </w:r>
      <w:r w:rsidRPr="00065FAA">
        <w:rPr>
          <w:rFonts w:ascii="Palatino Linotype" w:hAnsi="Palatino Linotype" w:cs="Arial"/>
          <w:i/>
          <w:sz w:val="22"/>
          <w:szCs w:val="22"/>
          <w:lang w:val="es-ES_tradnl"/>
        </w:rPr>
        <w:t xml:space="preserve">. Para los efectos </w:t>
      </w:r>
      <w:r w:rsidRPr="00065FAA">
        <w:rPr>
          <w:rFonts w:ascii="Palatino Linotype" w:hAnsi="Palatino Linotype"/>
          <w:i/>
          <w:sz w:val="22"/>
          <w:lang w:val="es-ES_tradnl"/>
        </w:rPr>
        <w:t xml:space="preserve">de la </w:t>
      </w:r>
      <w:r w:rsidRPr="00065FAA">
        <w:rPr>
          <w:rFonts w:ascii="Palatino Linotype" w:hAnsi="Palatino Linotype" w:cs="Arial"/>
          <w:i/>
          <w:sz w:val="22"/>
          <w:szCs w:val="22"/>
          <w:lang w:val="es-ES_tradnl"/>
        </w:rPr>
        <w:t>presente Ley se entenderá por:</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i/>
          <w:sz w:val="22"/>
          <w:szCs w:val="22"/>
          <w:lang w:val="es-ES_tradnl"/>
        </w:rPr>
        <w:t>. . .</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i/>
          <w:sz w:val="22"/>
          <w:szCs w:val="22"/>
          <w:lang w:val="es-ES_tradnl"/>
        </w:rPr>
        <w:t xml:space="preserve">XLV. Versión pública: Documento en el que se elimine, suprime o borra la información clasificada como reservada o confidencial </w:t>
      </w:r>
      <w:r w:rsidRPr="00065FAA">
        <w:rPr>
          <w:rFonts w:ascii="Palatino Linotype" w:hAnsi="Palatino Linotype"/>
          <w:i/>
          <w:sz w:val="22"/>
          <w:lang w:val="es-ES_tradnl"/>
        </w:rPr>
        <w:t xml:space="preserve">para </w:t>
      </w:r>
      <w:r w:rsidRPr="00065FAA">
        <w:rPr>
          <w:rFonts w:ascii="Palatino Linotype" w:hAnsi="Palatino Linotype" w:cs="Arial"/>
          <w:i/>
          <w:sz w:val="22"/>
          <w:szCs w:val="22"/>
          <w:lang w:val="es-ES_tradnl"/>
        </w:rPr>
        <w:t>permitir su acceso.</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b/>
          <w:i/>
          <w:sz w:val="22"/>
          <w:szCs w:val="22"/>
          <w:lang w:val="es-ES_tradnl"/>
        </w:rPr>
        <w:t>Artículo 49.</w:t>
      </w:r>
      <w:r w:rsidRPr="00065FAA">
        <w:rPr>
          <w:rFonts w:ascii="Palatino Linotype" w:hAnsi="Palatino Linotype" w:cs="Arial"/>
          <w:i/>
          <w:sz w:val="22"/>
          <w:szCs w:val="22"/>
          <w:lang w:val="es-ES_tradnl"/>
        </w:rPr>
        <w:t xml:space="preserve"> Los Comités de Transparencia tendrán las siguientes atribuciones:</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i/>
          <w:sz w:val="22"/>
          <w:szCs w:val="22"/>
          <w:lang w:val="es-ES_tradnl"/>
        </w:rPr>
        <w:t xml:space="preserve">VIII. Aprobar, modificar o revocar la clasificación de </w:t>
      </w:r>
      <w:r w:rsidRPr="00065FAA">
        <w:rPr>
          <w:rFonts w:ascii="Palatino Linotype" w:hAnsi="Palatino Linotype"/>
          <w:i/>
          <w:sz w:val="22"/>
          <w:lang w:val="es-ES_tradnl"/>
        </w:rPr>
        <w:t xml:space="preserve">la </w:t>
      </w:r>
      <w:r w:rsidRPr="00065FAA">
        <w:rPr>
          <w:rFonts w:ascii="Palatino Linotype" w:hAnsi="Palatino Linotype" w:cs="Arial"/>
          <w:i/>
          <w:sz w:val="22"/>
          <w:szCs w:val="22"/>
          <w:lang w:val="es-ES_tradnl"/>
        </w:rPr>
        <w:t>información;</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b/>
          <w:i/>
          <w:sz w:val="22"/>
          <w:szCs w:val="22"/>
          <w:lang w:val="es-ES_tradnl"/>
        </w:rPr>
        <w:t>Artículo 132.</w:t>
      </w:r>
      <w:r w:rsidRPr="00065FAA">
        <w:rPr>
          <w:rFonts w:ascii="Palatino Linotype" w:hAnsi="Palatino Linotype" w:cs="Arial"/>
          <w:i/>
          <w:sz w:val="22"/>
          <w:szCs w:val="22"/>
          <w:lang w:val="es-ES_tradnl"/>
        </w:rPr>
        <w:t xml:space="preserve"> La clasificación de la información se llevará a cabo en el momento en que:</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i/>
          <w:sz w:val="22"/>
          <w:szCs w:val="22"/>
          <w:lang w:val="es-ES_tradnl"/>
        </w:rPr>
        <w:t>II. Se determine mediante resolución de autoridad competente; o</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i/>
          <w:sz w:val="22"/>
          <w:lang w:val="es-ES_tradnl"/>
        </w:rPr>
        <w:t xml:space="preserve">III. </w:t>
      </w:r>
      <w:r w:rsidRPr="00065FAA">
        <w:rPr>
          <w:rFonts w:ascii="Palatino Linotype" w:hAnsi="Palatino Linotype" w:cs="Arial"/>
          <w:i/>
          <w:sz w:val="22"/>
          <w:szCs w:val="22"/>
          <w:lang w:val="es-ES_tradnl"/>
        </w:rPr>
        <w:t>Se generen versiones públicas para dar cumplimiento a las obligaciones</w:t>
      </w:r>
      <w:r w:rsidRPr="00065FAA">
        <w:rPr>
          <w:rFonts w:ascii="Palatino Linotype" w:hAnsi="Palatino Linotype"/>
          <w:i/>
          <w:sz w:val="22"/>
          <w:lang w:val="es-ES_tradnl"/>
        </w:rPr>
        <w:t xml:space="preserve"> de </w:t>
      </w:r>
      <w:r w:rsidRPr="00065FAA">
        <w:rPr>
          <w:rFonts w:ascii="Palatino Linotype" w:hAnsi="Palatino Linotype" w:cs="Arial"/>
          <w:i/>
          <w:sz w:val="22"/>
          <w:szCs w:val="22"/>
          <w:lang w:val="es-ES_tradnl"/>
        </w:rPr>
        <w:t>transparencia previstas en esta Ley.</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b/>
          <w:i/>
          <w:sz w:val="22"/>
          <w:szCs w:val="22"/>
          <w:lang w:val="es-ES_tradnl"/>
        </w:rPr>
        <w:t>Artículo 137.</w:t>
      </w:r>
      <w:r w:rsidRPr="00065FAA">
        <w:rPr>
          <w:rFonts w:ascii="Palatino Linotype" w:hAnsi="Palatino Linotype" w:cs="Arial"/>
          <w:i/>
          <w:sz w:val="22"/>
          <w:szCs w:val="22"/>
          <w:lang w:val="es-ES_tradnl"/>
        </w:rPr>
        <w:t xml:space="preserve"> Cuando un mismo medio, impreso o electrónico, contenga información pública y reservada o confidencial, la Unidad</w:t>
      </w:r>
      <w:r w:rsidRPr="00065FAA">
        <w:rPr>
          <w:rFonts w:ascii="Palatino Linotype" w:hAnsi="Palatino Linotype"/>
          <w:i/>
          <w:sz w:val="22"/>
          <w:lang w:val="es-ES_tradnl"/>
        </w:rPr>
        <w:t xml:space="preserve"> de </w:t>
      </w:r>
      <w:r w:rsidRPr="00065FAA">
        <w:rPr>
          <w:rFonts w:ascii="Palatino Linotype" w:hAnsi="Palatino Linotype" w:cs="Arial"/>
          <w:i/>
          <w:sz w:val="22"/>
          <w:szCs w:val="22"/>
          <w:lang w:val="es-ES_tradnl"/>
        </w:rPr>
        <w:t>Transparencia para efectos de atender una solicitud</w:t>
      </w:r>
      <w:r w:rsidRPr="00065FAA">
        <w:rPr>
          <w:rFonts w:ascii="Palatino Linotype" w:hAnsi="Palatino Linotype"/>
          <w:i/>
          <w:sz w:val="22"/>
          <w:lang w:val="es-ES_tradnl"/>
        </w:rPr>
        <w:t xml:space="preserve"> de </w:t>
      </w:r>
      <w:r w:rsidRPr="00065FAA">
        <w:rPr>
          <w:rFonts w:ascii="Palatino Linotype" w:hAnsi="Palatino Linotype" w:cs="Arial"/>
          <w:i/>
          <w:sz w:val="22"/>
          <w:szCs w:val="22"/>
          <w:lang w:val="es-ES_tradnl"/>
        </w:rPr>
        <w:t>información,</w:t>
      </w:r>
      <w:r w:rsidRPr="00065FAA">
        <w:rPr>
          <w:rFonts w:ascii="Palatino Linotype" w:hAnsi="Palatino Linotype"/>
          <w:i/>
          <w:sz w:val="22"/>
          <w:lang w:val="es-ES_tradnl"/>
        </w:rPr>
        <w:t xml:space="preserve"> deberán </w:t>
      </w:r>
      <w:r w:rsidRPr="00065FAA">
        <w:rPr>
          <w:rFonts w:ascii="Palatino Linotype" w:hAnsi="Palatino Linotype" w:cs="Arial"/>
          <w:i/>
          <w:sz w:val="22"/>
          <w:szCs w:val="22"/>
          <w:lang w:val="es-ES_tradnl"/>
        </w:rPr>
        <w:t>elaborar una versión pública en la que se testen las partes o secciones clasificadas, indicando su contenido de manera genérica y fundando y motivando su clasificación.</w:t>
      </w:r>
    </w:p>
    <w:p w:rsidR="00C86888" w:rsidRPr="00065FAA" w:rsidRDefault="00C86888" w:rsidP="00C86888">
      <w:pPr>
        <w:ind w:left="851" w:right="902"/>
        <w:jc w:val="both"/>
        <w:rPr>
          <w:rFonts w:ascii="Palatino Linotype" w:hAnsi="Palatino Linotype" w:cs="Arial"/>
          <w:i/>
          <w:sz w:val="22"/>
          <w:szCs w:val="22"/>
          <w:lang w:val="es-ES_tradnl"/>
        </w:rPr>
      </w:pPr>
      <w:r w:rsidRPr="00065FAA">
        <w:rPr>
          <w:rFonts w:ascii="Palatino Linotype" w:hAnsi="Palatino Linotype" w:cs="Arial"/>
          <w:b/>
          <w:i/>
          <w:sz w:val="22"/>
          <w:szCs w:val="22"/>
          <w:lang w:val="es-ES_tradnl"/>
        </w:rPr>
        <w:t>Artículo 149.</w:t>
      </w:r>
      <w:r w:rsidRPr="00065FAA">
        <w:rPr>
          <w:rFonts w:ascii="Palatino Linotype" w:hAnsi="Palatino Linotype" w:cs="Arial"/>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Segundo.-</w:t>
      </w:r>
      <w:r w:rsidRPr="00065FAA">
        <w:rPr>
          <w:rFonts w:ascii="Palatino Linotype" w:hAnsi="Palatino Linotype" w:cs="Arial"/>
          <w:i/>
          <w:sz w:val="22"/>
          <w:szCs w:val="22"/>
          <w:lang w:eastAsia="es-MX"/>
        </w:rPr>
        <w:t xml:space="preserve"> Para efectos de los presentes Lineamientos Generales, se entenderá por:</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XVIII.</w:t>
      </w:r>
      <w:r w:rsidRPr="00065FAA">
        <w:rPr>
          <w:rFonts w:ascii="Palatino Linotype" w:hAnsi="Palatino Linotype" w:cs="Arial"/>
          <w:i/>
          <w:sz w:val="22"/>
          <w:szCs w:val="22"/>
          <w:lang w:eastAsia="es-MX"/>
        </w:rPr>
        <w:t xml:space="preserve"> </w:t>
      </w:r>
      <w:r w:rsidRPr="00065FAA">
        <w:rPr>
          <w:rFonts w:ascii="Palatino Linotype" w:hAnsi="Palatino Linotype" w:cs="Arial"/>
          <w:b/>
          <w:i/>
          <w:sz w:val="22"/>
          <w:szCs w:val="22"/>
          <w:lang w:eastAsia="es-MX"/>
        </w:rPr>
        <w:t>Versión pública:</w:t>
      </w:r>
      <w:r w:rsidRPr="00065FA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Cuarto.</w:t>
      </w:r>
      <w:r w:rsidRPr="00065FA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Quinto.</w:t>
      </w:r>
      <w:r w:rsidRPr="00065FA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Sexto.</w:t>
      </w:r>
      <w:r w:rsidRPr="00065FA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Séptimo.</w:t>
      </w:r>
      <w:r w:rsidRPr="00065FAA">
        <w:rPr>
          <w:rFonts w:ascii="Palatino Linotype" w:hAnsi="Palatino Linotype" w:cs="Arial"/>
          <w:i/>
          <w:sz w:val="22"/>
          <w:szCs w:val="22"/>
          <w:lang w:eastAsia="es-MX"/>
        </w:rPr>
        <w:t xml:space="preserve"> La clasificación de la información se llevará a cabo en el momento en que:</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w:t>
      </w:r>
      <w:r w:rsidRPr="00065FAA">
        <w:rPr>
          <w:rFonts w:ascii="Palatino Linotype" w:hAnsi="Palatino Linotype" w:cs="Arial"/>
          <w:i/>
          <w:sz w:val="22"/>
          <w:szCs w:val="22"/>
          <w:lang w:eastAsia="es-MX"/>
        </w:rPr>
        <w:t xml:space="preserve"> Se reciba una solicitud de acceso a la información;</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II.</w:t>
      </w:r>
      <w:r w:rsidRPr="00065FAA">
        <w:rPr>
          <w:rFonts w:ascii="Palatino Linotype" w:hAnsi="Palatino Linotype" w:cs="Arial"/>
          <w:i/>
          <w:sz w:val="22"/>
          <w:szCs w:val="22"/>
          <w:lang w:eastAsia="es-MX"/>
        </w:rPr>
        <w:t xml:space="preserve"> Se determine mediante resolución de autoridad competente, o</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III.</w:t>
      </w:r>
      <w:r w:rsidRPr="00065FA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Octavo.</w:t>
      </w:r>
      <w:r w:rsidRPr="00065FA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lastRenderedPageBreak/>
        <w:t>Noveno.</w:t>
      </w:r>
      <w:r w:rsidRPr="00065FA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b/>
          <w:i/>
          <w:sz w:val="22"/>
          <w:szCs w:val="22"/>
          <w:lang w:eastAsia="es-MX"/>
        </w:rPr>
        <w:t>Décimo.</w:t>
      </w:r>
      <w:r w:rsidRPr="00065FA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86888" w:rsidRPr="00065FAA" w:rsidRDefault="00C86888" w:rsidP="00C86888">
      <w:pPr>
        <w:ind w:left="851" w:right="902"/>
        <w:jc w:val="both"/>
        <w:rPr>
          <w:rFonts w:ascii="Palatino Linotype" w:hAnsi="Palatino Linotype" w:cs="Arial"/>
          <w:i/>
          <w:sz w:val="22"/>
          <w:szCs w:val="22"/>
          <w:lang w:eastAsia="es-MX"/>
        </w:rPr>
      </w:pPr>
      <w:r w:rsidRPr="00065FA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C86888" w:rsidRPr="00065FAA" w:rsidRDefault="00C86888" w:rsidP="00C86888">
      <w:pPr>
        <w:ind w:left="851" w:right="902"/>
        <w:jc w:val="both"/>
        <w:rPr>
          <w:rFonts w:ascii="Palatino Linotype" w:hAnsi="Palatino Linotype" w:cs="Arial"/>
          <w:b/>
          <w:i/>
          <w:sz w:val="22"/>
          <w:szCs w:val="22"/>
          <w:lang w:eastAsia="es-MX"/>
        </w:rPr>
      </w:pPr>
      <w:r w:rsidRPr="00065FAA">
        <w:rPr>
          <w:rFonts w:ascii="Palatino Linotype" w:hAnsi="Palatino Linotype" w:cs="Arial"/>
          <w:b/>
          <w:i/>
          <w:sz w:val="22"/>
          <w:szCs w:val="22"/>
          <w:lang w:eastAsia="es-MX"/>
        </w:rPr>
        <w:t>Décimo primero.</w:t>
      </w:r>
      <w:r w:rsidRPr="00065FA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65FAA">
        <w:rPr>
          <w:rFonts w:ascii="Palatino Linotype" w:hAnsi="Palatino Linotype" w:cs="Arial"/>
          <w:b/>
          <w:i/>
          <w:sz w:val="22"/>
          <w:szCs w:val="22"/>
          <w:lang w:eastAsia="es-MX"/>
        </w:rPr>
        <w:t>” (Sic)</w:t>
      </w:r>
    </w:p>
    <w:p w:rsidR="00C86888" w:rsidRPr="00065FAA" w:rsidRDefault="00C86888" w:rsidP="00C86888">
      <w:pPr>
        <w:ind w:left="851" w:right="902"/>
        <w:jc w:val="both"/>
        <w:rPr>
          <w:rFonts w:ascii="Palatino Linotype" w:hAnsi="Palatino Linotype" w:cs="Arial"/>
          <w:i/>
          <w:sz w:val="22"/>
          <w:szCs w:val="22"/>
          <w:lang w:eastAsia="es-MX"/>
        </w:rPr>
      </w:pPr>
    </w:p>
    <w:p w:rsidR="00C86888" w:rsidRPr="00065FAA" w:rsidRDefault="00C86888" w:rsidP="00C86888">
      <w:pPr>
        <w:spacing w:line="360" w:lineRule="auto"/>
        <w:ind w:right="49"/>
        <w:jc w:val="both"/>
        <w:rPr>
          <w:rFonts w:ascii="Palatino Linotype" w:hAnsi="Palatino Linotype" w:cs="Arial"/>
          <w:lang w:val="es-ES_tradnl"/>
        </w:rPr>
      </w:pPr>
      <w:r w:rsidRPr="00065FAA">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065FAA">
        <w:rPr>
          <w:rFonts w:ascii="Palatino Linotype" w:hAnsi="Palatino Linotype"/>
          <w:lang w:val="es-ES_tradnl"/>
        </w:rPr>
        <w:t xml:space="preserve"> los Sujetos Obligados </w:t>
      </w:r>
      <w:r w:rsidRPr="00065FAA">
        <w:rPr>
          <w:rFonts w:ascii="Palatino Linotype" w:hAnsi="Palatino Linotype" w:cs="Arial"/>
          <w:lang w:val="es-ES_tradnl"/>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86888" w:rsidRPr="00065FAA" w:rsidRDefault="00C86888" w:rsidP="00C86888">
      <w:pPr>
        <w:spacing w:line="360" w:lineRule="auto"/>
        <w:ind w:right="49"/>
        <w:jc w:val="both"/>
        <w:rPr>
          <w:rFonts w:ascii="Palatino Linotype" w:hAnsi="Palatino Linotype" w:cs="Arial"/>
          <w:lang w:val="es-ES_tradnl"/>
        </w:rPr>
      </w:pPr>
    </w:p>
    <w:p w:rsidR="00C86888" w:rsidRPr="00065FAA" w:rsidRDefault="00C86888" w:rsidP="00C86888">
      <w:pPr>
        <w:spacing w:line="360" w:lineRule="auto"/>
        <w:ind w:right="49"/>
        <w:jc w:val="both"/>
        <w:rPr>
          <w:rFonts w:ascii="Palatino Linotype" w:hAnsi="Palatino Linotype" w:cs="Arial"/>
          <w:lang w:val="es-ES_tradnl"/>
        </w:rPr>
      </w:pPr>
      <w:r w:rsidRPr="00065FAA">
        <w:rPr>
          <w:rFonts w:ascii="Palatino Linotype" w:hAnsi="Palatino Linotype" w:cs="Arial"/>
          <w:lang w:val="es-ES_tradnl"/>
        </w:rPr>
        <w:lastRenderedPageBreak/>
        <w:t xml:space="preserve">Por lo tanto, la entrega de documentos, en su </w:t>
      </w:r>
      <w:r w:rsidRPr="00065FAA">
        <w:rPr>
          <w:rFonts w:ascii="Palatino Linotype" w:hAnsi="Palatino Linotype" w:cs="Arial"/>
          <w:b/>
          <w:lang w:val="es-ES_tradnl"/>
        </w:rPr>
        <w:t>versión pública</w:t>
      </w:r>
      <w:r w:rsidRPr="00065FAA">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065FAA">
        <w:rPr>
          <w:rFonts w:ascii="Palatino Linotype" w:hAnsi="Palatino Linotype" w:cs="Arial"/>
          <w:b/>
          <w:lang w:val="es-ES_tradnl"/>
        </w:rPr>
        <w:t>SUJETO OBLIGADO</w:t>
      </w:r>
      <w:r w:rsidRPr="00065FAA">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86888" w:rsidRPr="00065FAA" w:rsidRDefault="00C86888" w:rsidP="00C86888">
      <w:pPr>
        <w:spacing w:line="360" w:lineRule="auto"/>
        <w:ind w:right="49"/>
        <w:jc w:val="both"/>
        <w:rPr>
          <w:rFonts w:ascii="Palatino Linotype" w:hAnsi="Palatino Linotype" w:cs="Arial"/>
          <w:lang w:val="es-ES_tradnl"/>
        </w:rPr>
      </w:pPr>
    </w:p>
    <w:p w:rsidR="00C86888" w:rsidRPr="00065FAA" w:rsidRDefault="00C86888" w:rsidP="00C86888">
      <w:pPr>
        <w:spacing w:line="360" w:lineRule="auto"/>
        <w:ind w:right="49"/>
        <w:jc w:val="both"/>
        <w:rPr>
          <w:rFonts w:ascii="Palatino Linotype" w:hAnsi="Palatino Linotype" w:cs="Arial"/>
        </w:rPr>
      </w:pPr>
      <w:r w:rsidRPr="00065FAA">
        <w:rPr>
          <w:rFonts w:ascii="Palatino Linotype" w:hAnsi="Palatino Linotype" w:cs="Arial"/>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065FAA">
        <w:rPr>
          <w:rFonts w:ascii="Palatino Linotype" w:hAnsi="Palatino Linotype"/>
        </w:rPr>
        <w:t xml:space="preserve"> la Ley de Transparencia y Acceso a la Información Pública del Estado de México y Municipios</w:t>
      </w:r>
      <w:r w:rsidRPr="00065FAA">
        <w:rPr>
          <w:rFonts w:ascii="Palatino Linotype" w:hAnsi="Palatino Linotype" w:cs="Arial"/>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creencias, convicciones religiosas y filosóficas, estado de salud, huella digital, estado de cuenta, números o claves de seguridad social, números de cuentas bancarias, entre </w:t>
      </w:r>
      <w:r w:rsidRPr="00065FAA">
        <w:rPr>
          <w:rFonts w:ascii="Palatino Linotype" w:hAnsi="Palatino Linotype" w:cs="Arial"/>
        </w:rPr>
        <w:lastRenderedPageBreak/>
        <w:t xml:space="preserve">otros, razón, por lo que la entrega del documento en donde conste la información materia de la solicitud, deberá ser mediante su </w:t>
      </w:r>
      <w:r w:rsidRPr="00065FAA">
        <w:rPr>
          <w:rFonts w:ascii="Palatino Linotype" w:hAnsi="Palatino Linotype" w:cs="Arial"/>
          <w:b/>
        </w:rPr>
        <w:t>versión pública</w:t>
      </w:r>
      <w:r w:rsidRPr="00065FAA">
        <w:rPr>
          <w:rFonts w:ascii="Palatino Linotype" w:hAnsi="Palatino Linotype" w:cs="Arial"/>
        </w:rPr>
        <w:t>.</w:t>
      </w:r>
    </w:p>
    <w:p w:rsidR="00C86888" w:rsidRPr="00065FAA" w:rsidRDefault="00C86888" w:rsidP="00C86888">
      <w:pPr>
        <w:spacing w:line="360" w:lineRule="auto"/>
        <w:ind w:right="49"/>
        <w:jc w:val="both"/>
        <w:rPr>
          <w:rFonts w:ascii="Palatino Linotype" w:hAnsi="Palatino Linotype" w:cs="Arial"/>
        </w:rPr>
      </w:pPr>
    </w:p>
    <w:p w:rsidR="00C86888" w:rsidRPr="00065FAA" w:rsidRDefault="00C86888" w:rsidP="00C86888">
      <w:pPr>
        <w:spacing w:line="360" w:lineRule="auto"/>
        <w:ind w:right="49"/>
        <w:jc w:val="both"/>
        <w:rPr>
          <w:rFonts w:ascii="Palatino Linotype" w:hAnsi="Palatino Linotype" w:cs="Arial"/>
        </w:rPr>
      </w:pPr>
      <w:r w:rsidRPr="00065FAA">
        <w:rPr>
          <w:rFonts w:ascii="Palatino Linotype" w:hAnsi="Palatino Linotype" w:cs="Arial"/>
        </w:rPr>
        <w:t xml:space="preserve">La finalidad de la </w:t>
      </w:r>
      <w:r w:rsidRPr="00065FAA">
        <w:rPr>
          <w:rFonts w:ascii="Palatino Linotype" w:hAnsi="Palatino Linotype" w:cs="Arial"/>
          <w:b/>
        </w:rPr>
        <w:t>versión pública</w:t>
      </w:r>
      <w:r w:rsidRPr="00065FAA">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C86888" w:rsidRPr="00065FAA" w:rsidRDefault="00C86888" w:rsidP="00C86888">
      <w:pPr>
        <w:spacing w:line="360" w:lineRule="auto"/>
        <w:ind w:right="49"/>
        <w:jc w:val="both"/>
        <w:rPr>
          <w:rFonts w:ascii="Palatino Linotype" w:hAnsi="Palatino Linotype" w:cs="Arial"/>
        </w:rPr>
      </w:pPr>
    </w:p>
    <w:p w:rsidR="00C86888" w:rsidRPr="00065FAA" w:rsidRDefault="00C86888" w:rsidP="00C86888">
      <w:pPr>
        <w:shd w:val="clear" w:color="auto" w:fill="FFFFFF"/>
        <w:spacing w:line="360" w:lineRule="auto"/>
        <w:jc w:val="both"/>
        <w:rPr>
          <w:rFonts w:ascii="Palatino Linotype" w:eastAsia="Calibri" w:hAnsi="Palatino Linotype"/>
        </w:rPr>
      </w:pPr>
      <w:r w:rsidRPr="00065FAA">
        <w:rPr>
          <w:rFonts w:ascii="Palatino Linotype" w:hAnsi="Palatino Linotype" w:cs="Arial"/>
        </w:rPr>
        <w:t xml:space="preserve">En razón de lo anteriormente expuesto, este Instituto estima que las razones o motivos de inconformidad hechos valer por </w:t>
      </w:r>
      <w:r w:rsidRPr="00065FAA">
        <w:rPr>
          <w:rFonts w:ascii="Palatino Linotype" w:hAnsi="Palatino Linotype" w:cs="Arial"/>
          <w:b/>
        </w:rPr>
        <w:t>EL RECURRENTE</w:t>
      </w:r>
      <w:r w:rsidRPr="00065FAA">
        <w:rPr>
          <w:rFonts w:ascii="Palatino Linotype" w:hAnsi="Palatino Linotype" w:cs="Arial"/>
        </w:rPr>
        <w:t xml:space="preserve"> devienen </w:t>
      </w:r>
      <w:r w:rsidRPr="00065FAA">
        <w:rPr>
          <w:rFonts w:ascii="Palatino Linotype" w:hAnsi="Palatino Linotype" w:cs="Arial"/>
          <w:b/>
        </w:rPr>
        <w:t>fundadas</w:t>
      </w:r>
      <w:r w:rsidRPr="00065FAA">
        <w:rPr>
          <w:rFonts w:ascii="Palatino Linotype" w:hAnsi="Palatino Linotype" w:cs="Arial"/>
        </w:rPr>
        <w:t xml:space="preserve"> y suficientes para </w:t>
      </w:r>
      <w:r w:rsidRPr="00065FAA">
        <w:rPr>
          <w:rFonts w:ascii="Palatino Linotype" w:hAnsi="Palatino Linotype" w:cs="Arial"/>
          <w:b/>
        </w:rPr>
        <w:t>MODIFICAR</w:t>
      </w:r>
      <w:r w:rsidRPr="00065FAA">
        <w:rPr>
          <w:rFonts w:ascii="Palatino Linotype" w:hAnsi="Palatino Linotype" w:cs="Arial"/>
        </w:rPr>
        <w:t xml:space="preserve"> la respuesta del </w:t>
      </w:r>
      <w:r w:rsidRPr="00065FAA">
        <w:rPr>
          <w:rFonts w:ascii="Palatino Linotype" w:hAnsi="Palatino Linotype" w:cs="Arial"/>
          <w:b/>
        </w:rPr>
        <w:t>SUJETO OBLIGADO</w:t>
      </w:r>
      <w:r w:rsidRPr="00065FAA">
        <w:rPr>
          <w:rFonts w:ascii="Palatino Linotype" w:hAnsi="Palatino Linotype" w:cs="Arial"/>
        </w:rPr>
        <w:t xml:space="preserve"> y ordenarle haga entrega de la información descrita en el presente Considerando</w:t>
      </w:r>
      <w:r w:rsidRPr="00065FAA">
        <w:rPr>
          <w:rFonts w:ascii="Palatino Linotype" w:eastAsia="Calibri" w:hAnsi="Palatino Linotype"/>
        </w:rPr>
        <w:t xml:space="preserve">. </w:t>
      </w:r>
    </w:p>
    <w:p w:rsidR="00C86888" w:rsidRPr="00065FAA" w:rsidRDefault="00C86888" w:rsidP="00C86888">
      <w:pPr>
        <w:spacing w:line="360" w:lineRule="auto"/>
        <w:contextualSpacing/>
        <w:jc w:val="both"/>
        <w:rPr>
          <w:rFonts w:ascii="Palatino Linotype" w:eastAsia="Calibri" w:hAnsi="Palatino Linotype" w:cs="Arial"/>
        </w:rPr>
      </w:pPr>
    </w:p>
    <w:p w:rsidR="00C86888" w:rsidRPr="00065FAA" w:rsidRDefault="00C86888" w:rsidP="009D5671">
      <w:pPr>
        <w:spacing w:line="360" w:lineRule="auto"/>
        <w:contextualSpacing/>
        <w:jc w:val="both"/>
        <w:rPr>
          <w:rFonts w:ascii="Palatino Linotype" w:eastAsia="Calibri" w:hAnsi="Palatino Linotype" w:cs="Arial"/>
        </w:rPr>
      </w:pPr>
      <w:r w:rsidRPr="00065FAA">
        <w:rPr>
          <w:rFonts w:ascii="Palatino Linotype" w:eastAsia="Calibri" w:hAnsi="Palatino Linotype" w:cs="Arial"/>
        </w:rPr>
        <w:t xml:space="preserve">Así, con </w:t>
      </w:r>
      <w:r w:rsidRPr="00065FAA">
        <w:rPr>
          <w:rFonts w:ascii="Palatino Linotype" w:hAnsi="Palatino Linotype" w:cs="Arial"/>
        </w:rPr>
        <w:t>fundamento</w:t>
      </w:r>
      <w:r w:rsidRPr="00065FAA">
        <w:rPr>
          <w:rFonts w:ascii="Palatino Linotype" w:eastAsia="Calibri" w:hAnsi="Palatino Linotype" w:cs="Arial"/>
        </w:rPr>
        <w:t xml:space="preserve"> en lo prescrito en los artículos 5, párrafos </w:t>
      </w:r>
      <w:r w:rsidRPr="00065FAA">
        <w:rPr>
          <w:rFonts w:ascii="Palatino Linotype" w:hAnsi="Palatino Linotype"/>
        </w:rPr>
        <w:t xml:space="preserve">vigésimo </w:t>
      </w:r>
      <w:r w:rsidRPr="00065FAA">
        <w:rPr>
          <w:rFonts w:ascii="Palatino Linotype" w:hAnsi="Palatino Linotype" w:cs="Arial"/>
        </w:rPr>
        <w:t>segundo,</w:t>
      </w:r>
      <w:r w:rsidRPr="00065FAA">
        <w:rPr>
          <w:rFonts w:ascii="Palatino Linotype" w:hAnsi="Palatino Linotype"/>
        </w:rPr>
        <w:t xml:space="preserve"> vigésimo tercero y vigésimo cuarto</w:t>
      </w:r>
      <w:r w:rsidRPr="00065FAA">
        <w:rPr>
          <w:rFonts w:ascii="Palatino Linotype" w:hAnsi="Palatino Linotype" w:cs="Arial"/>
        </w:rPr>
        <w:t>,</w:t>
      </w:r>
      <w:r w:rsidRPr="00065FAA">
        <w:rPr>
          <w:rFonts w:ascii="Palatino Linotype" w:hAnsi="Palatino Linotype"/>
        </w:rPr>
        <w:t xml:space="preserve"> fracciones IV y V,</w:t>
      </w:r>
      <w:r w:rsidRPr="00065FAA">
        <w:rPr>
          <w:rFonts w:ascii="Palatino Linotype" w:eastAsia="Calibri" w:hAnsi="Palatino Linotype" w:cs="Arial"/>
        </w:rPr>
        <w:t xml:space="preserve"> de la Constitución Política del Estado Libre y Soberano de </w:t>
      </w:r>
      <w:r w:rsidRPr="00065FAA">
        <w:rPr>
          <w:rFonts w:ascii="Palatino Linotype" w:hAnsi="Palatino Linotype" w:cs="Arial"/>
          <w:lang w:val="es-ES_tradnl"/>
        </w:rPr>
        <w:t>México</w:t>
      </w:r>
      <w:r w:rsidRPr="00065FAA">
        <w:rPr>
          <w:rFonts w:ascii="Palatino Linotype" w:eastAsia="Calibri" w:hAnsi="Palatino Linotype" w:cs="Arial"/>
        </w:rPr>
        <w:t xml:space="preserve">, y los artículos </w:t>
      </w:r>
      <w:r w:rsidRPr="00065FAA">
        <w:rPr>
          <w:rFonts w:ascii="Palatino Linotype" w:hAnsi="Palatino Linotype"/>
        </w:rPr>
        <w:t xml:space="preserve">2, </w:t>
      </w:r>
      <w:r w:rsidRPr="00065FAA">
        <w:rPr>
          <w:rFonts w:ascii="Palatino Linotype" w:hAnsi="Palatino Linotype" w:cs="Arial"/>
        </w:rPr>
        <w:t>fracción</w:t>
      </w:r>
      <w:r w:rsidRPr="00065FAA">
        <w:rPr>
          <w:rFonts w:ascii="Palatino Linotype" w:hAnsi="Palatino Linotype"/>
        </w:rPr>
        <w:t xml:space="preserve"> II, 9, </w:t>
      </w:r>
      <w:r w:rsidRPr="00065FAA">
        <w:rPr>
          <w:rFonts w:ascii="Palatino Linotype" w:hAnsi="Palatino Linotype" w:cs="Arial"/>
          <w:lang w:val="es-ES_tradnl"/>
        </w:rPr>
        <w:t>29</w:t>
      </w:r>
      <w:r w:rsidRPr="00065FAA">
        <w:rPr>
          <w:rFonts w:ascii="Palatino Linotype" w:hAnsi="Palatino Linotype"/>
        </w:rPr>
        <w:t>, 36, fracciones I y II, 176, 178, 179, 181, 185, fracción I, 186 y 188,</w:t>
      </w:r>
      <w:r w:rsidRPr="00065FAA">
        <w:rPr>
          <w:rFonts w:ascii="Palatino Linotype" w:eastAsia="Calibri" w:hAnsi="Palatino Linotype" w:cs="Arial"/>
        </w:rPr>
        <w:t xml:space="preserve"> de la Ley de Transparencia y Acceso a la Información Pública del Estado de México y </w:t>
      </w:r>
      <w:r w:rsidRPr="00065FAA">
        <w:rPr>
          <w:rFonts w:ascii="Palatino Linotype" w:hAnsi="Palatino Linotype" w:cs="Arial"/>
        </w:rPr>
        <w:t>Municipios</w:t>
      </w:r>
      <w:r w:rsidRPr="00065FAA">
        <w:rPr>
          <w:rFonts w:ascii="Palatino Linotype" w:eastAsia="Calibri" w:hAnsi="Palatino Linotype" w:cs="Arial"/>
        </w:rPr>
        <w:t xml:space="preserve">, </w:t>
      </w:r>
      <w:r w:rsidRPr="00065FAA">
        <w:rPr>
          <w:rFonts w:ascii="Palatino Linotype" w:hAnsi="Palatino Linotype"/>
        </w:rPr>
        <w:t>este</w:t>
      </w:r>
      <w:r w:rsidRPr="00065FAA">
        <w:rPr>
          <w:rFonts w:ascii="Palatino Linotype" w:eastAsia="Calibri" w:hAnsi="Palatino Linotype" w:cs="Arial"/>
        </w:rPr>
        <w:t xml:space="preserve"> Pleno:</w:t>
      </w:r>
    </w:p>
    <w:p w:rsidR="00C86888" w:rsidRPr="00065FAA" w:rsidRDefault="00C86888" w:rsidP="00C86888">
      <w:pPr>
        <w:jc w:val="center"/>
        <w:rPr>
          <w:rFonts w:ascii="Palatino Linotype" w:hAnsi="Palatino Linotype"/>
          <w:b/>
          <w:bCs/>
          <w:spacing w:val="40"/>
          <w:sz w:val="28"/>
        </w:rPr>
      </w:pPr>
      <w:r w:rsidRPr="00065FAA">
        <w:rPr>
          <w:rFonts w:ascii="Palatino Linotype" w:hAnsi="Palatino Linotype"/>
          <w:b/>
          <w:bCs/>
          <w:spacing w:val="40"/>
          <w:sz w:val="28"/>
        </w:rPr>
        <w:t>RESUELVE</w:t>
      </w:r>
    </w:p>
    <w:p w:rsidR="00C86888" w:rsidRPr="00065FAA" w:rsidRDefault="00C86888" w:rsidP="00C86888">
      <w:pPr>
        <w:jc w:val="center"/>
        <w:rPr>
          <w:rFonts w:ascii="Palatino Linotype" w:hAnsi="Palatino Linotype"/>
          <w:b/>
          <w:bCs/>
          <w:spacing w:val="40"/>
          <w:sz w:val="28"/>
        </w:rPr>
      </w:pPr>
    </w:p>
    <w:p w:rsidR="00C86888" w:rsidRPr="00065FAA" w:rsidRDefault="00C86888" w:rsidP="00C86888">
      <w:pPr>
        <w:spacing w:line="360" w:lineRule="auto"/>
        <w:jc w:val="both"/>
        <w:rPr>
          <w:rFonts w:ascii="Palatino Linotype" w:hAnsi="Palatino Linotype" w:cs="Arial"/>
          <w:lang w:val="es-ES"/>
        </w:rPr>
      </w:pPr>
      <w:r w:rsidRPr="00065FAA">
        <w:rPr>
          <w:rFonts w:ascii="Palatino Linotype" w:hAnsi="Palatino Linotype" w:cs="Arial"/>
          <w:b/>
          <w:sz w:val="28"/>
          <w:szCs w:val="28"/>
          <w:lang w:val="es-ES"/>
        </w:rPr>
        <w:t>PRIMERO</w:t>
      </w:r>
      <w:r w:rsidRPr="00065FAA">
        <w:rPr>
          <w:rFonts w:ascii="Palatino Linotype" w:hAnsi="Palatino Linotype" w:cs="Arial"/>
          <w:sz w:val="28"/>
          <w:szCs w:val="28"/>
          <w:lang w:val="es-ES"/>
        </w:rPr>
        <w:t>.</w:t>
      </w:r>
      <w:r w:rsidRPr="00065FAA">
        <w:rPr>
          <w:rFonts w:ascii="Palatino Linotype" w:hAnsi="Palatino Linotype" w:cs="Arial"/>
          <w:lang w:val="es-ES"/>
        </w:rPr>
        <w:t xml:space="preserve"> Resultan </w:t>
      </w:r>
      <w:r w:rsidRPr="00065FAA">
        <w:rPr>
          <w:rFonts w:ascii="Palatino Linotype" w:hAnsi="Palatino Linotype" w:cs="Arial"/>
          <w:b/>
          <w:lang w:val="es-ES"/>
        </w:rPr>
        <w:t>fundadas</w:t>
      </w:r>
      <w:r w:rsidRPr="00065FAA">
        <w:rPr>
          <w:rFonts w:ascii="Palatino Linotype" w:hAnsi="Palatino Linotype" w:cs="Arial"/>
          <w:lang w:val="es-ES"/>
        </w:rPr>
        <w:t xml:space="preserve"> las razones o motivos de inconformidad planteadas por </w:t>
      </w:r>
      <w:r w:rsidRPr="00065FAA">
        <w:rPr>
          <w:rFonts w:ascii="Palatino Linotype" w:hAnsi="Palatino Linotype" w:cs="Arial"/>
          <w:b/>
          <w:lang w:val="es-ES"/>
        </w:rPr>
        <w:t>EL RECURRENTE</w:t>
      </w:r>
      <w:r w:rsidRPr="00065FAA">
        <w:rPr>
          <w:rFonts w:ascii="Palatino Linotype" w:hAnsi="Palatino Linotype" w:cs="Arial"/>
          <w:lang w:val="es-ES"/>
        </w:rPr>
        <w:t xml:space="preserve">, en términos del Considerando </w:t>
      </w:r>
      <w:r w:rsidRPr="00065FAA">
        <w:rPr>
          <w:rFonts w:ascii="Palatino Linotype" w:hAnsi="Palatino Linotype" w:cs="Arial"/>
          <w:b/>
          <w:lang w:val="es-ES"/>
        </w:rPr>
        <w:t>QUINTO</w:t>
      </w:r>
      <w:r w:rsidRPr="00065FAA">
        <w:rPr>
          <w:rFonts w:ascii="Palatino Linotype" w:hAnsi="Palatino Linotype" w:cs="Arial"/>
          <w:lang w:val="es-ES"/>
        </w:rPr>
        <w:t xml:space="preserve"> de la presente resolución.</w:t>
      </w:r>
    </w:p>
    <w:p w:rsidR="00C86888" w:rsidRPr="00065FAA" w:rsidRDefault="00C86888" w:rsidP="00C86888">
      <w:pPr>
        <w:spacing w:line="360" w:lineRule="auto"/>
        <w:jc w:val="both"/>
        <w:rPr>
          <w:rFonts w:ascii="Palatino Linotype" w:eastAsia="Calibri" w:hAnsi="Palatino Linotype" w:cs="Arial"/>
        </w:rPr>
      </w:pPr>
      <w:r w:rsidRPr="00065FAA">
        <w:rPr>
          <w:rFonts w:ascii="Palatino Linotype" w:hAnsi="Palatino Linotype" w:cs="Arial"/>
          <w:b/>
          <w:sz w:val="28"/>
          <w:szCs w:val="28"/>
          <w:lang w:val="es-ES"/>
        </w:rPr>
        <w:lastRenderedPageBreak/>
        <w:t>SEGUNDO</w:t>
      </w:r>
      <w:r w:rsidRPr="00065FAA">
        <w:rPr>
          <w:rFonts w:ascii="Palatino Linotype" w:hAnsi="Palatino Linotype" w:cs="Arial"/>
          <w:sz w:val="28"/>
          <w:szCs w:val="28"/>
          <w:lang w:val="es-ES"/>
        </w:rPr>
        <w:t>.</w:t>
      </w:r>
      <w:r w:rsidRPr="00065FAA">
        <w:rPr>
          <w:rFonts w:ascii="Palatino Linotype" w:hAnsi="Palatino Linotype" w:cs="Arial"/>
          <w:lang w:val="es-ES"/>
        </w:rPr>
        <w:t xml:space="preserve"> </w:t>
      </w:r>
      <w:r w:rsidRPr="00065FAA">
        <w:rPr>
          <w:rFonts w:ascii="Palatino Linotype" w:eastAsia="Calibri" w:hAnsi="Palatino Linotype" w:cs="Arial"/>
        </w:rPr>
        <w:t xml:space="preserve">Se </w:t>
      </w:r>
      <w:r w:rsidRPr="00065FAA">
        <w:rPr>
          <w:rFonts w:ascii="Palatino Linotype" w:eastAsia="Calibri" w:hAnsi="Palatino Linotype" w:cs="Arial"/>
          <w:b/>
        </w:rPr>
        <w:t xml:space="preserve">MODIFICA </w:t>
      </w:r>
      <w:r w:rsidRPr="00065FAA">
        <w:rPr>
          <w:rFonts w:ascii="Palatino Linotype" w:eastAsia="Calibri" w:hAnsi="Palatino Linotype" w:cs="Arial"/>
        </w:rPr>
        <w:t xml:space="preserve">la respuesta proporcionada por </w:t>
      </w:r>
      <w:r w:rsidRPr="00065FAA">
        <w:rPr>
          <w:rFonts w:ascii="Palatino Linotype" w:eastAsia="Calibri" w:hAnsi="Palatino Linotype" w:cs="Arial"/>
          <w:b/>
        </w:rPr>
        <w:t xml:space="preserve">EL SUJETO OBLIGADO </w:t>
      </w:r>
      <w:r w:rsidRPr="00065FAA">
        <w:rPr>
          <w:rFonts w:ascii="Palatino Linotype" w:eastAsia="Calibri" w:hAnsi="Palatino Linotype" w:cs="Arial"/>
        </w:rPr>
        <w:t xml:space="preserve">y se </w:t>
      </w:r>
      <w:r w:rsidRPr="00065FAA">
        <w:rPr>
          <w:rFonts w:ascii="Palatino Linotype" w:eastAsia="Calibri" w:hAnsi="Palatino Linotype" w:cs="Arial"/>
          <w:b/>
        </w:rPr>
        <w:t xml:space="preserve">ordena </w:t>
      </w:r>
      <w:r w:rsidRPr="00065FAA">
        <w:rPr>
          <w:rFonts w:ascii="Palatino Linotype" w:eastAsia="Calibri" w:hAnsi="Palatino Linotype" w:cs="Arial"/>
        </w:rPr>
        <w:t xml:space="preserve">atienda la solicitud de información </w:t>
      </w:r>
      <w:r w:rsidRPr="00065FAA">
        <w:rPr>
          <w:rFonts w:ascii="Palatino Linotype" w:eastAsia="Calibri" w:hAnsi="Palatino Linotype" w:cs="Arial"/>
          <w:b/>
        </w:rPr>
        <w:t>00061/METEPEC/IP/2020</w:t>
      </w:r>
      <w:r w:rsidRPr="00065FAA">
        <w:rPr>
          <w:rFonts w:ascii="Palatino Linotype" w:hAnsi="Palatino Linotype" w:cs="Arial"/>
        </w:rPr>
        <w:t xml:space="preserve">, en términos del Considerando </w:t>
      </w:r>
      <w:r w:rsidRPr="00065FAA">
        <w:rPr>
          <w:rFonts w:ascii="Palatino Linotype" w:hAnsi="Palatino Linotype" w:cs="Arial"/>
          <w:b/>
        </w:rPr>
        <w:t>QUINTO</w:t>
      </w:r>
      <w:r w:rsidRPr="00065FAA">
        <w:rPr>
          <w:rFonts w:ascii="Palatino Linotype" w:hAnsi="Palatino Linotype" w:cs="Arial"/>
        </w:rPr>
        <w:t xml:space="preserve"> </w:t>
      </w:r>
      <w:r w:rsidRPr="00065FAA">
        <w:rPr>
          <w:rFonts w:ascii="Palatino Linotype" w:hAnsi="Palatino Linotype" w:cs="Arial"/>
          <w:lang w:val="es-ES"/>
        </w:rPr>
        <w:t xml:space="preserve">de la presente resolución, y haga entrega al </w:t>
      </w:r>
      <w:r w:rsidRPr="00065FAA">
        <w:rPr>
          <w:rFonts w:ascii="Palatino Linotype" w:hAnsi="Palatino Linotype" w:cs="Arial"/>
          <w:b/>
          <w:lang w:val="es-ES"/>
        </w:rPr>
        <w:t>RECURRENTE</w:t>
      </w:r>
      <w:r w:rsidRPr="00065FAA">
        <w:rPr>
          <w:rFonts w:ascii="Palatino Linotype" w:hAnsi="Palatino Linotype" w:cs="Arial"/>
          <w:lang w:val="es-ES"/>
        </w:rPr>
        <w:t xml:space="preserve">, vía </w:t>
      </w:r>
      <w:r w:rsidRPr="00065FAA">
        <w:rPr>
          <w:rFonts w:ascii="Palatino Linotype" w:hAnsi="Palatino Linotype" w:cs="Arial"/>
          <w:b/>
          <w:lang w:val="es-ES"/>
        </w:rPr>
        <w:t>SAIMEX</w:t>
      </w:r>
      <w:r w:rsidRPr="00065FAA">
        <w:rPr>
          <w:rFonts w:ascii="Palatino Linotype" w:hAnsi="Palatino Linotype" w:cs="Arial"/>
          <w:lang w:val="es-ES"/>
        </w:rPr>
        <w:t xml:space="preserve">, </w:t>
      </w:r>
      <w:r w:rsidRPr="00065FAA">
        <w:rPr>
          <w:rFonts w:ascii="Palatino Linotype" w:hAnsi="Palatino Linotype" w:cs="Arial"/>
        </w:rPr>
        <w:t xml:space="preserve">de ser procedente en </w:t>
      </w:r>
      <w:r w:rsidRPr="00065FAA">
        <w:rPr>
          <w:rFonts w:ascii="Palatino Linotype" w:hAnsi="Palatino Linotype" w:cs="Arial"/>
          <w:b/>
        </w:rPr>
        <w:t xml:space="preserve">versión pública, </w:t>
      </w:r>
      <w:r w:rsidRPr="00065FAA">
        <w:rPr>
          <w:rFonts w:ascii="Palatino Linotype" w:hAnsi="Palatino Linotype" w:cs="Arial"/>
        </w:rPr>
        <w:t>de</w:t>
      </w:r>
      <w:r w:rsidRPr="00065FAA">
        <w:rPr>
          <w:rFonts w:ascii="Palatino Linotype" w:hAnsi="Palatino Linotype" w:cs="Arial"/>
          <w:b/>
        </w:rPr>
        <w:t xml:space="preserve"> </w:t>
      </w:r>
      <w:r w:rsidRPr="00065FAA">
        <w:rPr>
          <w:rFonts w:ascii="Palatino Linotype" w:hAnsi="Palatino Linotype" w:cs="Arial"/>
        </w:rPr>
        <w:t>lo siguiente:</w:t>
      </w:r>
    </w:p>
    <w:p w:rsidR="00C86888" w:rsidRPr="00065FAA" w:rsidRDefault="00C86888" w:rsidP="00C86888">
      <w:pPr>
        <w:spacing w:line="276" w:lineRule="auto"/>
        <w:jc w:val="both"/>
        <w:rPr>
          <w:rFonts w:ascii="Palatino Linotype" w:hAnsi="Palatino Linotype" w:cs="Arial"/>
          <w:sz w:val="22"/>
          <w:szCs w:val="22"/>
          <w:lang w:val="es-ES"/>
        </w:rPr>
      </w:pPr>
    </w:p>
    <w:p w:rsidR="00C86888" w:rsidRPr="00065FAA" w:rsidRDefault="00D8435C" w:rsidP="00C86888">
      <w:pPr>
        <w:spacing w:line="276" w:lineRule="auto"/>
        <w:ind w:left="851" w:right="899"/>
        <w:jc w:val="both"/>
        <w:rPr>
          <w:rFonts w:ascii="Palatino Linotype" w:hAnsi="Palatino Linotype" w:cs="Arial"/>
          <w:i/>
          <w:sz w:val="22"/>
          <w:szCs w:val="22"/>
        </w:rPr>
      </w:pPr>
      <w:r w:rsidRPr="00065FAA">
        <w:rPr>
          <w:rFonts w:ascii="Palatino Linotype" w:hAnsi="Palatino Linotype" w:cs="Arial"/>
          <w:i/>
          <w:sz w:val="22"/>
          <w:szCs w:val="22"/>
        </w:rPr>
        <w:t>“</w:t>
      </w:r>
      <w:r w:rsidR="00C86888" w:rsidRPr="00065FAA">
        <w:rPr>
          <w:rFonts w:ascii="Palatino Linotype" w:hAnsi="Palatino Linotype" w:cs="Arial"/>
          <w:i/>
          <w:sz w:val="22"/>
          <w:szCs w:val="22"/>
        </w:rPr>
        <w:t>a)</w:t>
      </w:r>
      <w:r w:rsidR="00C86888" w:rsidRPr="00065FAA">
        <w:rPr>
          <w:rFonts w:ascii="Palatino Linotype" w:hAnsi="Palatino Linotype" w:cs="Arial"/>
          <w:i/>
          <w:sz w:val="22"/>
          <w:szCs w:val="22"/>
        </w:rPr>
        <w:tab/>
      </w:r>
      <w:r w:rsidR="00C86888" w:rsidRPr="00065FAA" w:rsidDel="00067507">
        <w:rPr>
          <w:rFonts w:ascii="Palatino Linotype" w:hAnsi="Palatino Linotype" w:cs="Arial"/>
          <w:i/>
          <w:sz w:val="22"/>
          <w:szCs w:val="22"/>
        </w:rPr>
        <w:t xml:space="preserve"> </w:t>
      </w:r>
      <w:r w:rsidR="00C86888" w:rsidRPr="00065FAA">
        <w:rPr>
          <w:rFonts w:ascii="Palatino Linotype" w:hAnsi="Palatino Linotype" w:cs="Arial"/>
          <w:i/>
          <w:sz w:val="22"/>
          <w:szCs w:val="22"/>
        </w:rPr>
        <w:t>Los nombramientos, contratos y/o formato único de movimientos de personal de los servidores públicos referidos en la solicitud de acceso a la información pública</w:t>
      </w:r>
      <w:r w:rsidR="009D5671" w:rsidRPr="00065FAA">
        <w:rPr>
          <w:rFonts w:ascii="Palatino Linotype" w:hAnsi="Palatino Linotype" w:cs="Arial"/>
          <w:i/>
          <w:sz w:val="22"/>
          <w:szCs w:val="22"/>
        </w:rPr>
        <w:t>;</w:t>
      </w:r>
      <w:r w:rsidR="00C86888" w:rsidRPr="00065FAA">
        <w:rPr>
          <w:rFonts w:ascii="Palatino Linotype" w:hAnsi="Palatino Linotype" w:cs="Arial"/>
          <w:i/>
          <w:sz w:val="22"/>
          <w:szCs w:val="22"/>
        </w:rPr>
        <w:t xml:space="preserve"> así como</w:t>
      </w:r>
      <w:r w:rsidR="009D5671" w:rsidRPr="00065FAA">
        <w:rPr>
          <w:rFonts w:ascii="Palatino Linotype" w:hAnsi="Palatino Linotype" w:cs="Arial"/>
          <w:i/>
          <w:sz w:val="22"/>
          <w:szCs w:val="22"/>
        </w:rPr>
        <w:t>,</w:t>
      </w:r>
      <w:r w:rsidR="00C86888" w:rsidRPr="00065FAA">
        <w:rPr>
          <w:rFonts w:ascii="Palatino Linotype" w:hAnsi="Palatino Linotype" w:cs="Arial"/>
          <w:i/>
          <w:sz w:val="22"/>
          <w:szCs w:val="22"/>
        </w:rPr>
        <w:t xml:space="preserve"> el documento del que se desprenda el inicio del cargo</w:t>
      </w:r>
      <w:r w:rsidR="009D5671" w:rsidRPr="00065FAA">
        <w:rPr>
          <w:rFonts w:ascii="Palatino Linotype" w:hAnsi="Palatino Linotype" w:cs="Arial"/>
          <w:i/>
          <w:sz w:val="22"/>
          <w:szCs w:val="22"/>
        </w:rPr>
        <w:t xml:space="preserve"> de los servidores públicos faltantes</w:t>
      </w:r>
      <w:r w:rsidR="00C86888" w:rsidRPr="00065FAA">
        <w:rPr>
          <w:rFonts w:ascii="Palatino Linotype" w:hAnsi="Palatino Linotype" w:cs="Arial"/>
          <w:i/>
          <w:sz w:val="22"/>
          <w:szCs w:val="22"/>
        </w:rPr>
        <w:t>.</w:t>
      </w:r>
    </w:p>
    <w:p w:rsidR="00C86888" w:rsidRPr="00065FAA" w:rsidRDefault="00C86888" w:rsidP="00B57C88">
      <w:pPr>
        <w:pStyle w:val="Prrafodelista"/>
        <w:spacing w:line="276" w:lineRule="auto"/>
        <w:ind w:left="851" w:right="899"/>
        <w:jc w:val="both"/>
        <w:rPr>
          <w:rFonts w:ascii="Palatino Linotype" w:hAnsi="Palatino Linotype" w:cs="Arial"/>
          <w:i/>
          <w:sz w:val="22"/>
          <w:szCs w:val="22"/>
        </w:rPr>
      </w:pPr>
      <w:r w:rsidRPr="00065FAA">
        <w:rPr>
          <w:rFonts w:ascii="Palatino Linotype" w:hAnsi="Palatino Linotype" w:cs="Arial"/>
          <w:i/>
          <w:sz w:val="22"/>
          <w:szCs w:val="22"/>
        </w:rPr>
        <w:t>b)</w:t>
      </w:r>
      <w:r w:rsidRPr="00065FAA">
        <w:rPr>
          <w:rFonts w:ascii="Palatino Linotype" w:hAnsi="Palatino Linotype" w:cs="Arial"/>
          <w:i/>
          <w:sz w:val="22"/>
          <w:szCs w:val="22"/>
        </w:rPr>
        <w:tab/>
        <w:t xml:space="preserve"> Las Actas de entrega-recepción y anexos de la Contralora Municipal, Director de Obras, Secretario Técnico, Tesorero Municipal, Subdirector de Obras, Subdirector de Desarrollo Urbano, Subdirector de Vialidad, Jefe de Departamento de Parques y Jardines, Jefe de Departamento de Permisos Semifijos, Jefe de Departamento de Presupuestos Caja General, Departamento de Legislación y Difusión, Subdirección de Adquisiciones y Contratación de Servicios, Departamento de Participación Comunitario, Departamento de Atención a la Juventud y Departamento de Tenencia de la Tierra que encuentren determinadas en la estructura orgánica del Ayuntamiento de la Administración 2019-2021;  </w:t>
      </w:r>
    </w:p>
    <w:p w:rsidR="00C86888" w:rsidRPr="00065FAA" w:rsidRDefault="00C86888" w:rsidP="00B57C88">
      <w:pPr>
        <w:pStyle w:val="Prrafodelista"/>
        <w:spacing w:line="276" w:lineRule="auto"/>
        <w:ind w:left="851" w:right="899"/>
        <w:jc w:val="both"/>
        <w:rPr>
          <w:rFonts w:ascii="Palatino Linotype" w:eastAsia="Arial Unicode MS" w:hAnsi="Palatino Linotype" w:cs="Arial"/>
          <w:i/>
          <w:sz w:val="22"/>
          <w:szCs w:val="22"/>
        </w:rPr>
      </w:pPr>
      <w:r w:rsidRPr="00065FAA">
        <w:rPr>
          <w:rFonts w:ascii="Palatino Linotype" w:eastAsia="Arial Unicode MS" w:hAnsi="Palatino Linotype" w:cs="Arial"/>
          <w:i/>
          <w:sz w:val="22"/>
          <w:szCs w:val="22"/>
        </w:rPr>
        <w:t>c)</w:t>
      </w:r>
      <w:r w:rsidRPr="00065FAA">
        <w:rPr>
          <w:rFonts w:ascii="Palatino Linotype" w:eastAsia="Arial Unicode MS" w:hAnsi="Palatino Linotype" w:cs="Arial"/>
          <w:i/>
          <w:sz w:val="22"/>
          <w:szCs w:val="22"/>
        </w:rPr>
        <w:tab/>
        <w:t xml:space="preserve"> El currículum vitae</w:t>
      </w:r>
      <w:r w:rsidR="009D5671" w:rsidRPr="00065FAA">
        <w:rPr>
          <w:rFonts w:ascii="Palatino Linotype" w:eastAsia="Arial Unicode MS" w:hAnsi="Palatino Linotype" w:cs="Arial"/>
          <w:i/>
          <w:sz w:val="22"/>
          <w:szCs w:val="22"/>
        </w:rPr>
        <w:t>, ficha curricular o documento análogo</w:t>
      </w:r>
      <w:r w:rsidRPr="00065FAA">
        <w:rPr>
          <w:rFonts w:ascii="Palatino Linotype" w:eastAsia="Arial Unicode MS" w:hAnsi="Palatino Linotype" w:cs="Arial"/>
          <w:i/>
          <w:sz w:val="22"/>
          <w:szCs w:val="22"/>
        </w:rPr>
        <w:t xml:space="preserve"> de los servidores públicos referidos en la solicitud de información; </w:t>
      </w:r>
    </w:p>
    <w:p w:rsidR="00C86888" w:rsidRPr="00065FAA" w:rsidRDefault="00C86888" w:rsidP="00B57C88">
      <w:pPr>
        <w:pStyle w:val="Prrafodelista"/>
        <w:spacing w:line="276" w:lineRule="auto"/>
        <w:ind w:left="851" w:right="899"/>
        <w:jc w:val="both"/>
        <w:rPr>
          <w:rFonts w:eastAsia="Arial Unicode MS"/>
        </w:rPr>
      </w:pPr>
      <w:r w:rsidRPr="00065FAA">
        <w:rPr>
          <w:rFonts w:ascii="Palatino Linotype" w:eastAsia="Arial Unicode MS" w:hAnsi="Palatino Linotype" w:cs="Arial"/>
          <w:i/>
          <w:sz w:val="22"/>
          <w:szCs w:val="22"/>
        </w:rPr>
        <w:t>d)</w:t>
      </w:r>
      <w:r w:rsidRPr="00065FAA">
        <w:rPr>
          <w:rFonts w:ascii="Palatino Linotype" w:eastAsia="Arial Unicode MS" w:hAnsi="Palatino Linotype" w:cs="Arial"/>
          <w:i/>
          <w:sz w:val="22"/>
          <w:szCs w:val="22"/>
        </w:rPr>
        <w:tab/>
        <w:t xml:space="preserve"> Los certificados de competencia laboral de</w:t>
      </w:r>
      <w:r w:rsidR="009D5671" w:rsidRPr="00065FAA">
        <w:rPr>
          <w:rFonts w:ascii="Palatino Linotype" w:eastAsia="Arial Unicode MS" w:hAnsi="Palatino Linotype" w:cs="Arial"/>
          <w:i/>
          <w:sz w:val="22"/>
          <w:szCs w:val="22"/>
        </w:rPr>
        <w:t xml:space="preserve">l Contralor Interno, </w:t>
      </w:r>
      <w:r w:rsidRPr="00065FAA">
        <w:rPr>
          <w:rFonts w:ascii="Palatino Linotype" w:eastAsia="Arial Unicode MS" w:hAnsi="Palatino Linotype" w:cs="Arial"/>
          <w:i/>
          <w:sz w:val="22"/>
          <w:szCs w:val="22"/>
        </w:rPr>
        <w:t>Tesorero</w:t>
      </w:r>
      <w:r w:rsidR="00C9041D" w:rsidRPr="00065FAA">
        <w:rPr>
          <w:rFonts w:ascii="Palatino Linotype" w:eastAsia="Arial Unicode MS" w:hAnsi="Palatino Linotype" w:cs="Arial"/>
          <w:i/>
          <w:sz w:val="22"/>
          <w:szCs w:val="22"/>
        </w:rPr>
        <w:t>, Director de Obras Públicas</w:t>
      </w:r>
      <w:r w:rsidRPr="00065FAA">
        <w:rPr>
          <w:rFonts w:ascii="Palatino Linotype" w:eastAsia="Arial Unicode MS" w:hAnsi="Palatino Linotype" w:cs="Arial"/>
          <w:i/>
          <w:sz w:val="22"/>
          <w:szCs w:val="22"/>
        </w:rPr>
        <w:t xml:space="preserve">, expedidos por el IHAEM y/o por el Consejo Nacional de Normalización y Certificación de Competencias Laborales, vigentes al siete de febrero de dos mil veinte; y, </w:t>
      </w:r>
    </w:p>
    <w:p w:rsidR="00C86888" w:rsidRPr="00065FAA" w:rsidRDefault="00C86888" w:rsidP="00B57C88">
      <w:pPr>
        <w:pStyle w:val="Prrafodelista"/>
        <w:spacing w:line="276" w:lineRule="auto"/>
        <w:ind w:left="851" w:right="899"/>
        <w:jc w:val="both"/>
        <w:rPr>
          <w:rFonts w:ascii="Palatino Linotype" w:eastAsia="Arial Unicode MS" w:hAnsi="Palatino Linotype" w:cs="Arial"/>
          <w:i/>
          <w:sz w:val="22"/>
          <w:szCs w:val="22"/>
        </w:rPr>
      </w:pPr>
      <w:r w:rsidRPr="00065FAA">
        <w:rPr>
          <w:rFonts w:ascii="Palatino Linotype" w:eastAsia="Arial Unicode MS" w:hAnsi="Palatino Linotype" w:cs="Arial"/>
          <w:i/>
          <w:sz w:val="22"/>
          <w:szCs w:val="22"/>
        </w:rPr>
        <w:t>e)</w:t>
      </w:r>
      <w:r w:rsidRPr="00065FAA">
        <w:rPr>
          <w:rFonts w:ascii="Palatino Linotype" w:eastAsia="Arial Unicode MS" w:hAnsi="Palatino Linotype" w:cs="Arial"/>
          <w:i/>
          <w:sz w:val="22"/>
          <w:szCs w:val="22"/>
        </w:rPr>
        <w:tab/>
        <w:t xml:space="preserve"> Las actas administrativas levantadas a los servidores públicos de los que se requirió la información que hayan quedado firmes o de las que no se haya iniciado procedimiento administrativo alguno en versión pública, protegiendo en todo momento los datos que puedan hacer identificables a los servidores públicos sancionados por faltas administrativas no graves.</w:t>
      </w:r>
    </w:p>
    <w:p w:rsidR="00C86888" w:rsidRPr="00065FAA" w:rsidRDefault="00C86888" w:rsidP="00C86888">
      <w:pPr>
        <w:spacing w:line="276" w:lineRule="auto"/>
        <w:ind w:left="851" w:right="899"/>
        <w:jc w:val="both"/>
        <w:rPr>
          <w:rFonts w:ascii="Palatino Linotype" w:eastAsia="Arial Unicode MS" w:hAnsi="Palatino Linotype" w:cs="Arial"/>
          <w:i/>
          <w:sz w:val="22"/>
          <w:szCs w:val="22"/>
        </w:rPr>
      </w:pPr>
    </w:p>
    <w:p w:rsidR="00C86888" w:rsidRPr="00065FAA" w:rsidRDefault="00C86888" w:rsidP="00C86888">
      <w:pPr>
        <w:pStyle w:val="Prrafodelista"/>
        <w:spacing w:line="276" w:lineRule="auto"/>
        <w:ind w:left="851" w:right="899"/>
        <w:jc w:val="both"/>
        <w:rPr>
          <w:rFonts w:ascii="Palatino Linotype" w:eastAsia="Arial Unicode MS" w:hAnsi="Palatino Linotype" w:cs="Arial"/>
          <w:i/>
          <w:sz w:val="22"/>
          <w:szCs w:val="22"/>
        </w:rPr>
      </w:pPr>
      <w:r w:rsidRPr="00065FAA">
        <w:rPr>
          <w:rFonts w:ascii="Palatino Linotype" w:eastAsia="Arial Unicode MS" w:hAnsi="Palatino Linotype" w:cs="Arial"/>
          <w:i/>
          <w:sz w:val="22"/>
          <w:szCs w:val="22"/>
        </w:rPr>
        <w:lastRenderedPageBreak/>
        <w:t xml:space="preserve">Debiendo notificar al </w:t>
      </w:r>
      <w:r w:rsidRPr="00065FAA">
        <w:rPr>
          <w:rFonts w:ascii="Palatino Linotype" w:eastAsia="Arial Unicode MS" w:hAnsi="Palatino Linotype" w:cs="Arial"/>
          <w:b/>
          <w:i/>
          <w:sz w:val="22"/>
          <w:szCs w:val="22"/>
        </w:rPr>
        <w:t>RECURRENTE</w:t>
      </w:r>
      <w:r w:rsidRPr="00065FAA">
        <w:rPr>
          <w:rFonts w:ascii="Palatino Linotype" w:eastAsia="Arial Unicode MS" w:hAnsi="Palatino Linotype" w:cs="Arial"/>
          <w:i/>
          <w:sz w:val="22"/>
          <w:szCs w:val="22"/>
        </w:rPr>
        <w:t xml:space="preserve"> el Acuerdo de Clasificación de la información que apruebe su Comité de Transparencia con motivo de la versión pública.</w:t>
      </w:r>
    </w:p>
    <w:p w:rsidR="00C9041D" w:rsidRPr="00065FAA" w:rsidRDefault="00C9041D" w:rsidP="00C86888">
      <w:pPr>
        <w:pStyle w:val="Prrafodelista"/>
        <w:spacing w:line="276" w:lineRule="auto"/>
        <w:ind w:left="851" w:right="899"/>
        <w:jc w:val="both"/>
        <w:rPr>
          <w:rFonts w:ascii="Palatino Linotype" w:eastAsia="Arial Unicode MS" w:hAnsi="Palatino Linotype" w:cs="Arial"/>
          <w:i/>
          <w:sz w:val="22"/>
          <w:szCs w:val="22"/>
        </w:rPr>
      </w:pPr>
    </w:p>
    <w:p w:rsidR="00C9041D" w:rsidRPr="00065FAA" w:rsidRDefault="00065FAA" w:rsidP="00C86888">
      <w:pPr>
        <w:pStyle w:val="Prrafodelista"/>
        <w:spacing w:line="276" w:lineRule="auto"/>
        <w:ind w:left="851" w:right="899"/>
        <w:jc w:val="both"/>
        <w:rPr>
          <w:rFonts w:ascii="Palatino Linotype" w:eastAsia="Arial Unicode MS" w:hAnsi="Palatino Linotype" w:cs="Arial"/>
          <w:i/>
          <w:sz w:val="22"/>
          <w:szCs w:val="22"/>
        </w:rPr>
      </w:pPr>
      <w:r w:rsidRPr="00065FAA">
        <w:rPr>
          <w:rFonts w:ascii="Palatino Linotype" w:eastAsia="Arial Unicode MS" w:hAnsi="Palatino Linotype" w:cs="Arial"/>
          <w:i/>
          <w:sz w:val="22"/>
          <w:szCs w:val="22"/>
        </w:rPr>
        <w:t xml:space="preserve">En caso de que existan Actas Administrativas en contra de algún servidor público de los requeridos en la solicitud y éstas se encuentren en trámite de algún procedimiento administrativo, </w:t>
      </w:r>
      <w:r w:rsidRPr="00065FAA">
        <w:rPr>
          <w:rFonts w:ascii="Palatino Linotype" w:eastAsia="Arial Unicode MS" w:hAnsi="Palatino Linotype" w:cs="Arial"/>
          <w:b/>
          <w:i/>
          <w:sz w:val="22"/>
          <w:szCs w:val="22"/>
        </w:rPr>
        <w:t>EL SUJETO OBLIGADO</w:t>
      </w:r>
      <w:r w:rsidRPr="00065FAA">
        <w:rPr>
          <w:rFonts w:ascii="Palatino Linotype" w:eastAsia="Arial Unicode MS" w:hAnsi="Palatino Linotype" w:cs="Arial"/>
          <w:i/>
          <w:sz w:val="22"/>
          <w:szCs w:val="22"/>
        </w:rPr>
        <w:t xml:space="preserve"> deberá emitir el Acuerdo de Clasificación como </w:t>
      </w:r>
      <w:r w:rsidR="00C9041D" w:rsidRPr="00065FAA">
        <w:rPr>
          <w:rFonts w:ascii="Palatino Linotype" w:eastAsia="Arial Unicode MS" w:hAnsi="Palatino Linotype" w:cs="Arial"/>
          <w:i/>
          <w:sz w:val="22"/>
          <w:szCs w:val="22"/>
        </w:rPr>
        <w:t>información como reservada, conforme a los artículos 49 fracción VIII, 129, 140</w:t>
      </w:r>
      <w:r w:rsidRPr="00065FAA">
        <w:rPr>
          <w:rFonts w:ascii="Palatino Linotype" w:eastAsia="Arial Unicode MS" w:hAnsi="Palatino Linotype" w:cs="Arial"/>
          <w:i/>
          <w:sz w:val="22"/>
          <w:szCs w:val="22"/>
        </w:rPr>
        <w:t xml:space="preserve"> fracción VI </w:t>
      </w:r>
      <w:r w:rsidR="00C9041D" w:rsidRPr="00065FAA">
        <w:rPr>
          <w:rFonts w:ascii="Palatino Linotype" w:eastAsia="Arial Unicode MS" w:hAnsi="Palatino Linotype" w:cs="Arial"/>
          <w:i/>
          <w:sz w:val="22"/>
          <w:szCs w:val="22"/>
        </w:rPr>
        <w:t>de la Ley de Transparencia y Acceso a la Información Pública del Estado de México y Municipios.”</w:t>
      </w:r>
    </w:p>
    <w:p w:rsidR="00C86888" w:rsidRPr="00065FAA" w:rsidRDefault="00C86888" w:rsidP="00C86888">
      <w:pPr>
        <w:spacing w:line="276" w:lineRule="auto"/>
        <w:ind w:right="899"/>
        <w:jc w:val="both"/>
        <w:rPr>
          <w:rFonts w:ascii="Palatino Linotype" w:hAnsi="Palatino Linotype" w:cs="Arial"/>
          <w:i/>
          <w:sz w:val="22"/>
          <w:szCs w:val="22"/>
        </w:rPr>
      </w:pPr>
    </w:p>
    <w:p w:rsidR="00C86888" w:rsidRPr="00065FAA" w:rsidRDefault="00C86888" w:rsidP="00C86888">
      <w:pPr>
        <w:spacing w:line="360" w:lineRule="auto"/>
        <w:jc w:val="both"/>
        <w:rPr>
          <w:rFonts w:ascii="Palatino Linotype" w:hAnsi="Palatino Linotype"/>
          <w:color w:val="222222"/>
          <w:shd w:val="clear" w:color="auto" w:fill="FFFFFF"/>
        </w:rPr>
      </w:pPr>
      <w:r w:rsidRPr="00065FAA">
        <w:rPr>
          <w:rFonts w:ascii="Palatino Linotype" w:hAnsi="Palatino Linotype"/>
          <w:b/>
          <w:color w:val="222222"/>
          <w:sz w:val="28"/>
          <w:szCs w:val="28"/>
          <w:shd w:val="clear" w:color="auto" w:fill="FFFFFF"/>
        </w:rPr>
        <w:t>TERCERO.</w:t>
      </w:r>
      <w:r w:rsidRPr="00065FAA">
        <w:rPr>
          <w:rStyle w:val="apple-converted-space"/>
          <w:rFonts w:ascii="Palatino Linotype" w:hAnsi="Palatino Linotype"/>
          <w:b/>
          <w:color w:val="222222"/>
          <w:shd w:val="clear" w:color="auto" w:fill="FFFFFF"/>
        </w:rPr>
        <w:t> </w:t>
      </w:r>
      <w:r w:rsidRPr="00065FAA">
        <w:rPr>
          <w:rFonts w:ascii="Palatino Linotype" w:hAnsi="Palatino Linotype"/>
          <w:b/>
          <w:color w:val="222222"/>
          <w:lang w:eastAsia="es-ES_tradnl"/>
        </w:rPr>
        <w:t>Notifíquese</w:t>
      </w:r>
      <w:r w:rsidRPr="00065FAA">
        <w:rPr>
          <w:rFonts w:ascii="Palatino Linotype" w:hAnsi="Palatino Linotype"/>
          <w:color w:val="222222"/>
          <w:lang w:eastAsia="es-ES_tradnl"/>
        </w:rPr>
        <w:t xml:space="preserve"> </w:t>
      </w:r>
      <w:r w:rsidRPr="00065FAA">
        <w:rPr>
          <w:rFonts w:ascii="Palatino Linotype" w:hAnsi="Palatino Linotype"/>
          <w:color w:val="222222"/>
          <w:shd w:val="clear" w:color="auto" w:fill="FFFFFF"/>
        </w:rPr>
        <w:t>al Titular de la Unidad de Transparencia del</w:t>
      </w:r>
      <w:r w:rsidRPr="00065FAA">
        <w:rPr>
          <w:rStyle w:val="apple-converted-space"/>
          <w:rFonts w:ascii="Palatino Linotype" w:hAnsi="Palatino Linotype"/>
          <w:b/>
          <w:color w:val="222222"/>
          <w:shd w:val="clear" w:color="auto" w:fill="FFFFFF"/>
        </w:rPr>
        <w:t> </w:t>
      </w:r>
      <w:r w:rsidRPr="00065FAA">
        <w:rPr>
          <w:rFonts w:ascii="Palatino Linotype" w:hAnsi="Palatino Linotype"/>
          <w:b/>
          <w:color w:val="222222"/>
          <w:shd w:val="clear" w:color="auto" w:fill="FFFFFF"/>
        </w:rPr>
        <w:t>SUJETO OBLIGADO</w:t>
      </w:r>
      <w:r w:rsidRPr="00065FAA">
        <w:rPr>
          <w:rFonts w:ascii="Palatino Linotype" w:hAnsi="Palatino Linotype"/>
          <w:color w:val="222222"/>
          <w:shd w:val="clear" w:color="auto" w:fill="FFFFFF"/>
        </w:rPr>
        <w:t xml:space="preserve">, para que conforme a los artículos 186, último párrafo y 189, párrafo segundo de la Ley de </w:t>
      </w:r>
      <w:r w:rsidRPr="00065FAA">
        <w:rPr>
          <w:rFonts w:ascii="Palatino Linotype" w:hAnsi="Palatino Linotype" w:cs="Arial"/>
        </w:rPr>
        <w:t>Transparencia</w:t>
      </w:r>
      <w:r w:rsidRPr="00065FAA">
        <w:rPr>
          <w:rFonts w:ascii="Palatino Linotype" w:hAnsi="Palatino Linotype"/>
          <w:color w:val="222222"/>
          <w:shd w:val="clear" w:color="auto" w:fill="FFFFFF"/>
        </w:rPr>
        <w:t xml:space="preserve"> y Acceso a la Información Pública del Estado de México y Municipios, dé </w:t>
      </w:r>
      <w:r w:rsidRPr="00065FAA">
        <w:rPr>
          <w:rFonts w:ascii="Palatino Linotype" w:hAnsi="Palatino Linotype" w:cs="Arial"/>
        </w:rPr>
        <w:t>cumplimiento</w:t>
      </w:r>
      <w:r w:rsidRPr="00065FAA">
        <w:rPr>
          <w:rFonts w:ascii="Palatino Linotype" w:hAnsi="Palatino Linotype"/>
          <w:color w:val="222222"/>
          <w:shd w:val="clear" w:color="auto" w:fill="FFFFFF"/>
        </w:rPr>
        <w:t xml:space="preserve"> a lo ordenado dentro del plazo de diez días hábiles, debiendo </w:t>
      </w:r>
      <w:r w:rsidRPr="00065FAA">
        <w:rPr>
          <w:rFonts w:ascii="Palatino Linotype" w:hAnsi="Palatino Linotype" w:cs="Arial"/>
        </w:rPr>
        <w:t>informar</w:t>
      </w:r>
      <w:r w:rsidRPr="00065FAA">
        <w:rPr>
          <w:rFonts w:ascii="Palatino Linotype" w:hAnsi="Palatino Linotype"/>
          <w:color w:val="222222"/>
          <w:shd w:val="clear" w:color="auto" w:fill="FFFFFF"/>
        </w:rPr>
        <w:t xml:space="preserve"> a este Instituto en un plazo </w:t>
      </w:r>
      <w:r w:rsidRPr="00065FAA">
        <w:rPr>
          <w:rFonts w:ascii="Palatino Linotype" w:hAnsi="Palatino Linotype"/>
          <w:color w:val="222222"/>
          <w:lang w:eastAsia="es-ES_tradnl"/>
        </w:rPr>
        <w:t>de</w:t>
      </w:r>
      <w:r w:rsidRPr="00065FAA">
        <w:rPr>
          <w:rFonts w:ascii="Palatino Linotype" w:hAnsi="Palatino Linotype"/>
          <w:color w:val="222222"/>
          <w:shd w:val="clear" w:color="auto" w:fill="FFFFFF"/>
        </w:rPr>
        <w:t xml:space="preserve"> tres días hábiles siguientes sobre el cumplimiento dado a la presente resolución.</w:t>
      </w:r>
    </w:p>
    <w:p w:rsidR="00C86888" w:rsidRPr="00065FAA" w:rsidRDefault="00C86888" w:rsidP="00C8688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065FAA">
        <w:rPr>
          <w:rFonts w:ascii="Palatino Linotype" w:hAnsi="Palatino Linotype" w:cs="Arial"/>
          <w:b/>
          <w:sz w:val="28"/>
          <w:lang w:val="es-ES_tradnl"/>
        </w:rPr>
        <w:t xml:space="preserve">CUARTO. </w:t>
      </w:r>
      <w:r w:rsidRPr="00065FAA">
        <w:rPr>
          <w:rFonts w:ascii="Palatino Linotype" w:hAnsi="Palatino Linotype" w:cs="Arial"/>
          <w:szCs w:val="28"/>
        </w:rPr>
        <w:t xml:space="preserve">Con fundamento en el artículo 198 de la Ley de Transparencia y Acceso a la Información Pública del Estado de México y Municipios, se apercibe al </w:t>
      </w:r>
      <w:r w:rsidRPr="00065FAA">
        <w:rPr>
          <w:rFonts w:ascii="Palatino Linotype" w:hAnsi="Palatino Linotype" w:cs="Arial"/>
          <w:b/>
          <w:szCs w:val="28"/>
        </w:rPr>
        <w:t>SUJETO OBLIGADO</w:t>
      </w:r>
      <w:r w:rsidRPr="00065FAA">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rsidR="00C86888" w:rsidRPr="00065FAA" w:rsidRDefault="00C86888" w:rsidP="00C86888">
      <w:pPr>
        <w:spacing w:line="360" w:lineRule="auto"/>
        <w:jc w:val="both"/>
        <w:rPr>
          <w:rFonts w:ascii="Palatino Linotype" w:eastAsia="Calibri" w:hAnsi="Palatino Linotype" w:cs="Arial"/>
        </w:rPr>
      </w:pPr>
      <w:r w:rsidRPr="00065FAA">
        <w:rPr>
          <w:rFonts w:ascii="Palatino Linotype" w:hAnsi="Palatino Linotype"/>
          <w:b/>
          <w:color w:val="222222"/>
          <w:sz w:val="28"/>
          <w:szCs w:val="28"/>
          <w:shd w:val="clear" w:color="auto" w:fill="FFFFFF"/>
        </w:rPr>
        <w:t>QUINTO</w:t>
      </w:r>
      <w:r w:rsidRPr="00065FAA">
        <w:rPr>
          <w:rFonts w:ascii="Palatino Linotype" w:hAnsi="Palatino Linotype" w:cs="Arial"/>
          <w:b/>
          <w:bCs/>
          <w:color w:val="222222"/>
          <w:lang w:eastAsia="es-MX"/>
        </w:rPr>
        <w:t xml:space="preserve">. </w:t>
      </w:r>
      <w:r w:rsidRPr="00065FAA">
        <w:rPr>
          <w:rFonts w:ascii="Palatino Linotype" w:hAnsi="Palatino Linotype"/>
          <w:b/>
          <w:color w:val="222222"/>
          <w:lang w:eastAsia="es-ES_tradnl"/>
        </w:rPr>
        <w:t>Notifíquese</w:t>
      </w:r>
      <w:r w:rsidRPr="00065FAA">
        <w:rPr>
          <w:rFonts w:ascii="Palatino Linotype" w:hAnsi="Palatino Linotype"/>
          <w:color w:val="222222"/>
          <w:lang w:eastAsia="es-ES_tradnl"/>
        </w:rPr>
        <w:t xml:space="preserve"> al </w:t>
      </w:r>
      <w:r w:rsidRPr="00065FAA">
        <w:rPr>
          <w:rFonts w:ascii="Palatino Linotype" w:hAnsi="Palatino Linotype"/>
          <w:b/>
          <w:color w:val="222222"/>
          <w:lang w:eastAsia="es-ES_tradnl"/>
        </w:rPr>
        <w:t>RECURRENTE</w:t>
      </w:r>
      <w:r w:rsidRPr="00065FAA">
        <w:rPr>
          <w:rFonts w:ascii="Palatino Linotype" w:hAnsi="Palatino Linotype"/>
          <w:color w:val="222222"/>
          <w:lang w:eastAsia="es-ES_tradnl"/>
        </w:rPr>
        <w:t xml:space="preserve"> la </w:t>
      </w:r>
      <w:r w:rsidRPr="00065FAA">
        <w:rPr>
          <w:rFonts w:ascii="Palatino Linotype" w:hAnsi="Palatino Linotype" w:cs="Arial"/>
        </w:rPr>
        <w:t>presente</w:t>
      </w:r>
      <w:r w:rsidRPr="00065FAA">
        <w:rPr>
          <w:rFonts w:ascii="Palatino Linotype" w:hAnsi="Palatino Linotype"/>
          <w:color w:val="222222"/>
          <w:lang w:eastAsia="es-ES_tradnl"/>
        </w:rPr>
        <w:t xml:space="preserve"> resolución.</w:t>
      </w:r>
    </w:p>
    <w:p w:rsidR="00C86888" w:rsidRPr="00065FAA" w:rsidRDefault="00C86888" w:rsidP="00C86888">
      <w:pPr>
        <w:spacing w:line="360" w:lineRule="auto"/>
        <w:ind w:right="49"/>
        <w:jc w:val="both"/>
        <w:rPr>
          <w:rFonts w:ascii="Palatino Linotype" w:hAnsi="Palatino Linotype" w:cs="Arial"/>
          <w:b/>
          <w:bCs/>
          <w:color w:val="222222"/>
          <w:lang w:eastAsia="es-MX"/>
        </w:rPr>
      </w:pPr>
    </w:p>
    <w:p w:rsidR="00C86888" w:rsidRPr="00DB2EA3" w:rsidRDefault="00C86888" w:rsidP="00C86888">
      <w:pPr>
        <w:spacing w:line="360" w:lineRule="auto"/>
        <w:jc w:val="both"/>
        <w:rPr>
          <w:rFonts w:ascii="Palatino Linotype" w:hAnsi="Palatino Linotype"/>
          <w:color w:val="222222"/>
          <w:lang w:eastAsia="es-ES_tradnl"/>
        </w:rPr>
      </w:pPr>
      <w:r w:rsidRPr="00065FAA">
        <w:rPr>
          <w:rFonts w:ascii="Palatino Linotype" w:hAnsi="Palatino Linotype"/>
          <w:b/>
          <w:color w:val="222222"/>
          <w:sz w:val="28"/>
          <w:szCs w:val="28"/>
          <w:shd w:val="clear" w:color="auto" w:fill="FFFFFF"/>
        </w:rPr>
        <w:lastRenderedPageBreak/>
        <w:t>SEXTO</w:t>
      </w:r>
      <w:r w:rsidRPr="00065FAA">
        <w:rPr>
          <w:rFonts w:ascii="Palatino Linotype" w:hAnsi="Palatino Linotype" w:cs="Arial"/>
          <w:b/>
          <w:bCs/>
          <w:color w:val="222222"/>
          <w:sz w:val="28"/>
          <w:lang w:eastAsia="es-MX"/>
        </w:rPr>
        <w:t>.</w:t>
      </w:r>
      <w:r w:rsidRPr="00065FAA">
        <w:rPr>
          <w:rFonts w:ascii="Palatino Linotype" w:hAnsi="Palatino Linotype"/>
          <w:color w:val="222222"/>
          <w:szCs w:val="17"/>
          <w:lang w:eastAsia="es-ES_tradnl"/>
        </w:rPr>
        <w:t xml:space="preserve"> </w:t>
      </w:r>
      <w:r w:rsidRPr="00065FAA">
        <w:rPr>
          <w:rFonts w:ascii="Palatino Linotype" w:hAnsi="Palatino Linotype"/>
          <w:b/>
          <w:color w:val="222222"/>
          <w:lang w:eastAsia="es-ES_tradnl"/>
        </w:rPr>
        <w:t>Hágase del conocimiento</w:t>
      </w:r>
      <w:r w:rsidRPr="00065FAA">
        <w:rPr>
          <w:rFonts w:ascii="Palatino Linotype" w:hAnsi="Palatino Linotype"/>
          <w:color w:val="222222"/>
          <w:lang w:eastAsia="es-ES_tradnl"/>
        </w:rPr>
        <w:t xml:space="preserve"> al </w:t>
      </w:r>
      <w:r w:rsidRPr="00065FAA">
        <w:rPr>
          <w:rFonts w:ascii="Palatino Linotype" w:hAnsi="Palatino Linotype"/>
          <w:b/>
          <w:color w:val="222222"/>
          <w:lang w:eastAsia="es-ES_tradnl"/>
        </w:rPr>
        <w:t>RECURRENTE</w:t>
      </w:r>
      <w:r w:rsidRPr="00065FAA">
        <w:rPr>
          <w:rFonts w:ascii="Palatino Linotype" w:hAnsi="Palatino Linotype"/>
          <w:color w:val="222222"/>
          <w:lang w:eastAsia="es-ES_tradnl"/>
        </w:rPr>
        <w:t xml:space="preserve"> que de conformidad con lo establecido en el </w:t>
      </w:r>
      <w:r w:rsidRPr="00065FAA">
        <w:rPr>
          <w:rFonts w:ascii="Palatino Linotype" w:hAnsi="Palatino Linotype" w:cs="Arial"/>
        </w:rPr>
        <w:t>artículo</w:t>
      </w:r>
      <w:r w:rsidRPr="00065FAA">
        <w:rPr>
          <w:rFonts w:ascii="Palatino Linotype" w:hAnsi="Palatino Linotype"/>
          <w:color w:val="222222"/>
          <w:lang w:eastAsia="es-ES_tradnl"/>
        </w:rPr>
        <w:t xml:space="preserve"> 196 de la </w:t>
      </w:r>
      <w:r w:rsidRPr="00065FAA">
        <w:rPr>
          <w:rFonts w:ascii="Palatino Linotype" w:hAnsi="Palatino Linotype" w:cs="Arial"/>
        </w:rPr>
        <w:t>Ley</w:t>
      </w:r>
      <w:r w:rsidRPr="00065FA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86888" w:rsidRDefault="00C86888" w:rsidP="00C8688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F32479">
        <w:rPr>
          <w:rFonts w:ascii="Palatino Linotype" w:hAnsi="Palatino Linotype" w:cs="Arial"/>
        </w:rPr>
        <w:t>POR UNANIMIDAD</w:t>
      </w:r>
      <w:r w:rsidRPr="0047309A">
        <w:rPr>
          <w:rFonts w:ascii="Palatino Linotype" w:hAnsi="Palatino Linotype" w:cs="Arial"/>
        </w:rPr>
        <w:t xml:space="preserve">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w:t>
      </w:r>
      <w:r w:rsidR="00D04022">
        <w:rPr>
          <w:rFonts w:ascii="Palatino Linotype" w:hAnsi="Palatino Linotype" w:cs="Arial"/>
        </w:rPr>
        <w:t xml:space="preserve"> EMITIENDO VOTO PARTICULAR</w:t>
      </w:r>
      <w:r w:rsidR="00631A9A">
        <w:rPr>
          <w:rFonts w:ascii="Palatino Linotype" w:hAnsi="Palatino Linotype" w:cs="Arial"/>
        </w:rPr>
        <w:t xml:space="preserve"> Y</w:t>
      </w:r>
      <w:r w:rsidRPr="0047309A">
        <w:rPr>
          <w:rFonts w:ascii="Palatino Linotype" w:hAnsi="Palatino Linotype" w:cs="Arial"/>
        </w:rPr>
        <w:t xml:space="preserve"> J</w:t>
      </w:r>
      <w:r w:rsidR="00631A9A">
        <w:rPr>
          <w:rFonts w:ascii="Palatino Linotype" w:hAnsi="Palatino Linotype" w:cs="Arial"/>
        </w:rPr>
        <w:t>AVIER MARTÍNEZ CRUZ</w:t>
      </w:r>
      <w:r w:rsidRPr="00F32479">
        <w:rPr>
          <w:rFonts w:ascii="Palatino Linotype" w:hAnsi="Palatino Linotype" w:cs="Arial"/>
        </w:rPr>
        <w:t>; EN</w:t>
      </w:r>
      <w:r w:rsidRPr="00F32479">
        <w:rPr>
          <w:rFonts w:ascii="Palatino Linotype" w:hAnsi="Palatino Linotype" w:cs="Arial"/>
          <w:shd w:val="clear" w:color="auto" w:fill="FFFFFF" w:themeFill="background1"/>
        </w:rPr>
        <w:t xml:space="preserve"> LA </w:t>
      </w:r>
      <w:r w:rsidRPr="00F32479">
        <w:rPr>
          <w:rFonts w:ascii="Palatino Linotype" w:hAnsi="Palatino Linotype" w:cs="Arial"/>
        </w:rPr>
        <w:t>DÉCIMA SEXTA SESIÓN ORDINARIA CELEBRADA EL DÍA DOS DE SEPTIEMBRE DE DOS MIL VEINTE, ANTE EL SECRETARIO TÉCNICO DEL</w:t>
      </w:r>
      <w:r w:rsidRPr="00F26BCD">
        <w:rPr>
          <w:rFonts w:ascii="Palatino Linotype" w:hAnsi="Palatino Linotype" w:cs="Arial"/>
        </w:rPr>
        <w:t xml:space="preserve"> PLENO, ALEXIS TAPIA RAMÍREZ.</w:t>
      </w:r>
    </w:p>
    <w:tbl>
      <w:tblPr>
        <w:tblW w:w="10368" w:type="dxa"/>
        <w:jc w:val="center"/>
        <w:tblLayout w:type="fixed"/>
        <w:tblLook w:val="04A0" w:firstRow="1" w:lastRow="0" w:firstColumn="1" w:lastColumn="0" w:noHBand="0" w:noVBand="1"/>
      </w:tblPr>
      <w:tblGrid>
        <w:gridCol w:w="10368"/>
      </w:tblGrid>
      <w:tr w:rsidR="00C86888" w:rsidRPr="00DB2EA3">
        <w:trPr>
          <w:jc w:val="center"/>
        </w:trPr>
        <w:tc>
          <w:tcPr>
            <w:tcW w:w="10368" w:type="dxa"/>
          </w:tcPr>
          <w:p w:rsidR="00C86888" w:rsidRPr="00DB2EA3" w:rsidRDefault="00C86888" w:rsidP="009D5671">
            <w:pPr>
              <w:jc w:val="center"/>
              <w:rPr>
                <w:rFonts w:ascii="Palatino Linotype" w:hAnsi="Palatino Linotype" w:cs="Arial"/>
                <w:b/>
              </w:rPr>
            </w:pPr>
          </w:p>
          <w:p w:rsidR="00C86888" w:rsidRDefault="00C86888" w:rsidP="006B5B89">
            <w:pP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C86888" w:rsidRPr="00DB2EA3">
              <w:trPr>
                <w:jc w:val="center"/>
              </w:trPr>
              <w:tc>
                <w:tcPr>
                  <w:tcW w:w="10365" w:type="dxa"/>
                  <w:gridSpan w:val="2"/>
                  <w:shd w:val="clear" w:color="auto" w:fill="auto"/>
                </w:tcPr>
                <w:p w:rsidR="00C86888" w:rsidRPr="00DB2EA3" w:rsidRDefault="00C86888" w:rsidP="009D5671">
                  <w:pPr>
                    <w:jc w:val="center"/>
                    <w:rPr>
                      <w:rFonts w:ascii="Palatino Linotype" w:hAnsi="Palatino Linotype" w:cs="Arial"/>
                      <w:b/>
                    </w:rPr>
                  </w:pPr>
                  <w:r w:rsidRPr="00DB2EA3">
                    <w:rPr>
                      <w:rFonts w:ascii="Palatino Linotype" w:hAnsi="Palatino Linotype" w:cs="Arial"/>
                      <w:b/>
                    </w:rPr>
                    <w:t>Zulema Martínez Sánchez</w:t>
                  </w:r>
                </w:p>
                <w:p w:rsidR="00C86888" w:rsidRPr="006B5B89" w:rsidRDefault="00C86888" w:rsidP="009D5671">
                  <w:pPr>
                    <w:jc w:val="center"/>
                    <w:rPr>
                      <w:rFonts w:ascii="Palatino Linotype" w:hAnsi="Palatino Linotype" w:cs="Arial"/>
                    </w:rPr>
                  </w:pPr>
                  <w:r w:rsidRPr="006B5B89">
                    <w:rPr>
                      <w:rFonts w:ascii="Palatino Linotype" w:hAnsi="Palatino Linotype" w:cs="Arial"/>
                    </w:rPr>
                    <w:t>Comisionada Presidenta</w:t>
                  </w: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 xml:space="preserve">(RÚBRICA) </w:t>
                  </w:r>
                </w:p>
              </w:tc>
            </w:tr>
            <w:tr w:rsidR="00C86888" w:rsidRPr="00DB2EA3">
              <w:trPr>
                <w:jc w:val="center"/>
              </w:trPr>
              <w:tc>
                <w:tcPr>
                  <w:tcW w:w="5182" w:type="dxa"/>
                  <w:shd w:val="clear" w:color="auto" w:fill="auto"/>
                </w:tcPr>
                <w:p w:rsidR="00C86888" w:rsidRDefault="00C86888" w:rsidP="006B5B89">
                  <w:pPr>
                    <w:rPr>
                      <w:rFonts w:ascii="Palatino Linotype" w:hAnsi="Palatino Linotype" w:cs="Arial"/>
                      <w:b/>
                    </w:rPr>
                  </w:pPr>
                </w:p>
                <w:p w:rsidR="006B5B89" w:rsidRDefault="006B5B89"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Eva Abaid Yapur</w:t>
                  </w:r>
                </w:p>
                <w:p w:rsidR="00C86888" w:rsidRPr="006B5B89" w:rsidRDefault="00C86888" w:rsidP="009D5671">
                  <w:pPr>
                    <w:jc w:val="center"/>
                    <w:rPr>
                      <w:rFonts w:ascii="Palatino Linotype" w:hAnsi="Palatino Linotype" w:cs="Arial"/>
                    </w:rPr>
                  </w:pPr>
                  <w:r w:rsidRPr="006B5B89">
                    <w:rPr>
                      <w:rFonts w:ascii="Palatino Linotype" w:hAnsi="Palatino Linotype" w:cs="Arial"/>
                    </w:rPr>
                    <w:t>Comisionada</w:t>
                  </w: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(RÚBRICA)</w:t>
                  </w:r>
                </w:p>
              </w:tc>
              <w:tc>
                <w:tcPr>
                  <w:tcW w:w="5183" w:type="dxa"/>
                  <w:shd w:val="clear" w:color="auto" w:fill="auto"/>
                </w:tcPr>
                <w:p w:rsidR="00C86888" w:rsidRPr="00DB2EA3" w:rsidRDefault="00C86888" w:rsidP="009D5671">
                  <w:pPr>
                    <w:jc w:val="center"/>
                    <w:rPr>
                      <w:rFonts w:ascii="Palatino Linotype" w:hAnsi="Palatino Linotype" w:cs="Arial"/>
                      <w:b/>
                    </w:rPr>
                  </w:pPr>
                </w:p>
                <w:p w:rsidR="00C86888" w:rsidRDefault="00C86888" w:rsidP="006B5B89">
                  <w:pPr>
                    <w:rPr>
                      <w:rFonts w:ascii="Palatino Linotype" w:hAnsi="Palatino Linotype" w:cs="Arial"/>
                      <w:b/>
                    </w:rPr>
                  </w:pPr>
                </w:p>
                <w:p w:rsidR="00C86888"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José Guadalupe Luna Hernández</w:t>
                  </w:r>
                </w:p>
                <w:p w:rsidR="00C86888" w:rsidRPr="006B5B89" w:rsidRDefault="00C86888" w:rsidP="009D5671">
                  <w:pPr>
                    <w:jc w:val="center"/>
                    <w:rPr>
                      <w:rFonts w:ascii="Palatino Linotype" w:hAnsi="Palatino Linotype" w:cs="Arial"/>
                    </w:rPr>
                  </w:pPr>
                  <w:r w:rsidRPr="006B5B89">
                    <w:rPr>
                      <w:rFonts w:ascii="Palatino Linotype" w:hAnsi="Palatino Linotype" w:cs="Arial"/>
                    </w:rPr>
                    <w:t>Comisionado</w:t>
                  </w: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(RÚBRICA)</w:t>
                  </w:r>
                </w:p>
              </w:tc>
            </w:tr>
            <w:tr w:rsidR="00C86888" w:rsidRPr="00DB2EA3">
              <w:trPr>
                <w:jc w:val="center"/>
              </w:trPr>
              <w:tc>
                <w:tcPr>
                  <w:tcW w:w="5182" w:type="dxa"/>
                  <w:shd w:val="clear" w:color="auto" w:fill="auto"/>
                </w:tcPr>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Javier Martínez Cruz</w:t>
                  </w:r>
                </w:p>
                <w:p w:rsidR="00C86888" w:rsidRPr="006B5B89" w:rsidRDefault="00C86888" w:rsidP="009D5671">
                  <w:pPr>
                    <w:jc w:val="center"/>
                    <w:rPr>
                      <w:rFonts w:ascii="Palatino Linotype" w:hAnsi="Palatino Linotype" w:cs="Arial"/>
                    </w:rPr>
                  </w:pPr>
                  <w:r w:rsidRPr="006B5B89">
                    <w:rPr>
                      <w:rFonts w:ascii="Palatino Linotype" w:hAnsi="Palatino Linotype" w:cs="Arial"/>
                    </w:rPr>
                    <w:t>Comisionado</w:t>
                  </w: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(RÚBRICA)</w:t>
                  </w:r>
                </w:p>
              </w:tc>
              <w:tc>
                <w:tcPr>
                  <w:tcW w:w="5183" w:type="dxa"/>
                  <w:shd w:val="clear" w:color="auto" w:fill="auto"/>
                </w:tcPr>
                <w:p w:rsidR="00C86888" w:rsidRPr="00DB2EA3"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Luis Gustavo Parra Noriega</w:t>
                  </w:r>
                </w:p>
                <w:p w:rsidR="00C86888" w:rsidRPr="006B5B89" w:rsidRDefault="00C86888" w:rsidP="009D5671">
                  <w:pPr>
                    <w:jc w:val="center"/>
                    <w:rPr>
                      <w:rFonts w:ascii="Palatino Linotype" w:hAnsi="Palatino Linotype" w:cs="Arial"/>
                    </w:rPr>
                  </w:pPr>
                  <w:r w:rsidRPr="006B5B89">
                    <w:rPr>
                      <w:rFonts w:ascii="Palatino Linotype" w:hAnsi="Palatino Linotype" w:cs="Arial"/>
                    </w:rPr>
                    <w:t>Comisionado</w:t>
                  </w:r>
                </w:p>
                <w:p w:rsidR="00C86888" w:rsidRPr="00DB2EA3" w:rsidRDefault="00631A9A" w:rsidP="009D5671">
                  <w:pPr>
                    <w:jc w:val="center"/>
                    <w:rPr>
                      <w:rFonts w:ascii="Palatino Linotype" w:hAnsi="Palatino Linotype" w:cs="Arial"/>
                      <w:b/>
                    </w:rPr>
                  </w:pPr>
                  <w:r>
                    <w:rPr>
                      <w:rFonts w:ascii="Palatino Linotype" w:hAnsi="Palatino Linotype" w:cs="Arial"/>
                      <w:b/>
                    </w:rPr>
                    <w:t>(AUSENCIA JUSTIFICADA</w:t>
                  </w:r>
                  <w:r w:rsidR="00C86888" w:rsidRPr="00DB2EA3">
                    <w:rPr>
                      <w:rFonts w:ascii="Palatino Linotype" w:hAnsi="Palatino Linotype" w:cs="Arial"/>
                      <w:b/>
                    </w:rPr>
                    <w:t>)</w:t>
                  </w:r>
                </w:p>
              </w:tc>
            </w:tr>
            <w:tr w:rsidR="00C86888" w:rsidRPr="00DB2EA3">
              <w:trPr>
                <w:jc w:val="center"/>
              </w:trPr>
              <w:tc>
                <w:tcPr>
                  <w:tcW w:w="10365" w:type="dxa"/>
                  <w:gridSpan w:val="2"/>
                  <w:shd w:val="clear" w:color="auto" w:fill="auto"/>
                </w:tcPr>
                <w:p w:rsidR="00C86888" w:rsidRPr="00DB2EA3" w:rsidRDefault="00C86888"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bookmarkStart w:id="0" w:name="_GoBack"/>
                  <w:bookmarkEnd w:id="0"/>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6B5B89" w:rsidRDefault="006B5B89" w:rsidP="009D5671">
                  <w:pPr>
                    <w:jc w:val="center"/>
                    <w:rPr>
                      <w:rFonts w:ascii="Palatino Linotype" w:hAnsi="Palatino Linotype" w:cs="Arial"/>
                      <w:b/>
                    </w:rPr>
                  </w:pPr>
                </w:p>
                <w:p w:rsidR="00C86888"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Alexis Tapia Ramírez</w:t>
                  </w:r>
                </w:p>
                <w:p w:rsidR="00C86888" w:rsidRPr="006B5B89" w:rsidRDefault="00C86888" w:rsidP="009D5671">
                  <w:pPr>
                    <w:jc w:val="center"/>
                    <w:rPr>
                      <w:rFonts w:ascii="Palatino Linotype" w:hAnsi="Palatino Linotype" w:cs="Arial"/>
                    </w:rPr>
                  </w:pPr>
                  <w:r w:rsidRPr="006B5B89">
                    <w:rPr>
                      <w:rFonts w:ascii="Palatino Linotype" w:hAnsi="Palatino Linotype" w:cs="Arial"/>
                    </w:rPr>
                    <w:t>Secretario Técnico del Pleno</w:t>
                  </w:r>
                </w:p>
                <w:p w:rsidR="00C86888" w:rsidRPr="00DB2EA3" w:rsidRDefault="00C86888" w:rsidP="009D5671">
                  <w:pPr>
                    <w:jc w:val="center"/>
                    <w:rPr>
                      <w:rFonts w:ascii="Palatino Linotype" w:hAnsi="Palatino Linotype" w:cs="Arial"/>
                      <w:b/>
                    </w:rPr>
                  </w:pPr>
                  <w:r w:rsidRPr="00DB2EA3">
                    <w:rPr>
                      <w:rFonts w:ascii="Palatino Linotype" w:hAnsi="Palatino Linotype" w:cs="Arial"/>
                      <w:b/>
                    </w:rPr>
                    <w:t xml:space="preserve">(RÚBRICA) </w:t>
                  </w:r>
                </w:p>
                <w:p w:rsidR="00C86888" w:rsidRPr="00DB2EA3" w:rsidRDefault="00C86888" w:rsidP="009D5671">
                  <w:pPr>
                    <w:jc w:val="center"/>
                    <w:rPr>
                      <w:rFonts w:ascii="Palatino Linotype" w:hAnsi="Palatino Linotype" w:cs="Arial"/>
                      <w:b/>
                    </w:rPr>
                  </w:pPr>
                </w:p>
              </w:tc>
            </w:tr>
          </w:tbl>
          <w:p w:rsidR="00C86888" w:rsidRPr="00DB2EA3" w:rsidRDefault="00C86888" w:rsidP="009D5671">
            <w:pPr>
              <w:jc w:val="center"/>
              <w:rPr>
                <w:rFonts w:ascii="Palatino Linotype" w:hAnsi="Palatino Linotype" w:cs="Arial"/>
                <w:b/>
              </w:rPr>
            </w:pPr>
          </w:p>
        </w:tc>
      </w:tr>
    </w:tbl>
    <w:p w:rsidR="006B5B89" w:rsidRDefault="006B5B89" w:rsidP="00C86888">
      <w:pPr>
        <w:jc w:val="both"/>
        <w:rPr>
          <w:rFonts w:ascii="Palatino Linotype" w:hAnsi="Palatino Linotype" w:cs="Arial"/>
          <w:sz w:val="22"/>
        </w:rPr>
      </w:pPr>
    </w:p>
    <w:p w:rsidR="006B5B89" w:rsidRDefault="006B5B89" w:rsidP="00C86888">
      <w:pPr>
        <w:jc w:val="both"/>
        <w:rPr>
          <w:rFonts w:ascii="Palatino Linotype" w:hAnsi="Palatino Linotype" w:cs="Arial"/>
          <w:sz w:val="22"/>
        </w:rPr>
      </w:pPr>
    </w:p>
    <w:p w:rsidR="00C86888" w:rsidRPr="00DB2EA3" w:rsidRDefault="00C86888" w:rsidP="00C86888">
      <w:pPr>
        <w:jc w:val="both"/>
        <w:rPr>
          <w:rFonts w:ascii="Palatino Linotype" w:hAnsi="Palatino Linotype" w:cs="Arial"/>
          <w:sz w:val="22"/>
        </w:rPr>
      </w:pPr>
      <w:r w:rsidRPr="00DB2EA3">
        <w:rPr>
          <w:rFonts w:ascii="Palatino Linotype" w:hAnsi="Palatino Linotype" w:cs="Arial"/>
          <w:sz w:val="22"/>
        </w:rPr>
        <w:t xml:space="preserve">Esta hoja corresponde a la resolución de </w:t>
      </w:r>
      <w:r>
        <w:rPr>
          <w:rFonts w:ascii="Palatino Linotype" w:hAnsi="Palatino Linotype" w:cs="Arial"/>
          <w:sz w:val="22"/>
        </w:rPr>
        <w:t>dos d</w:t>
      </w:r>
      <w:r w:rsidRPr="00DB2EA3">
        <w:rPr>
          <w:rFonts w:ascii="Palatino Linotype" w:hAnsi="Palatino Linotype" w:cs="Arial"/>
          <w:sz w:val="22"/>
        </w:rPr>
        <w:t xml:space="preserve">e </w:t>
      </w:r>
      <w:r>
        <w:rPr>
          <w:rFonts w:ascii="Palatino Linotype" w:hAnsi="Palatino Linotype" w:cs="Arial"/>
          <w:sz w:val="22"/>
        </w:rPr>
        <w:t xml:space="preserve">septiembre </w:t>
      </w:r>
      <w:r w:rsidRPr="00DB2EA3">
        <w:rPr>
          <w:rFonts w:ascii="Palatino Linotype" w:hAnsi="Palatino Linotype" w:cs="Arial"/>
          <w:sz w:val="22"/>
        </w:rPr>
        <w:t>de dos mil veinte, emitida en</w:t>
      </w:r>
      <w:r>
        <w:rPr>
          <w:rFonts w:ascii="Palatino Linotype" w:hAnsi="Palatino Linotype" w:cs="Arial"/>
          <w:sz w:val="22"/>
        </w:rPr>
        <w:t xml:space="preserve"> el recurso de revisión número 01447</w:t>
      </w:r>
      <w:r w:rsidRPr="00DB2EA3">
        <w:rPr>
          <w:rFonts w:ascii="Palatino Linotype" w:hAnsi="Palatino Linotype" w:cs="Arial"/>
          <w:sz w:val="22"/>
        </w:rPr>
        <w:t>/</w:t>
      </w:r>
      <w:r>
        <w:rPr>
          <w:rFonts w:ascii="Palatino Linotype" w:hAnsi="Palatino Linotype" w:cs="Arial"/>
          <w:sz w:val="22"/>
        </w:rPr>
        <w:t>INFOEM/IP/RR/2020</w:t>
      </w:r>
      <w:r w:rsidRPr="00DB2EA3">
        <w:rPr>
          <w:rFonts w:ascii="Palatino Linotype" w:hAnsi="Palatino Linotype" w:cs="Arial"/>
          <w:sz w:val="22"/>
        </w:rPr>
        <w:t>.</w:t>
      </w:r>
    </w:p>
    <w:p w:rsidR="00C86888" w:rsidRPr="00DB2EA3" w:rsidRDefault="00C86888" w:rsidP="00C86888">
      <w:pPr>
        <w:pStyle w:val="Piedepgina"/>
        <w:rPr>
          <w:rFonts w:ascii="Palatino Linotype" w:hAnsi="Palatino Linotype" w:cs="Arial"/>
          <w:sz w:val="18"/>
        </w:rPr>
      </w:pPr>
      <w:r w:rsidRPr="00DB2EA3">
        <w:rPr>
          <w:rFonts w:ascii="Palatino Linotype" w:hAnsi="Palatino Linotype" w:cs="Arial"/>
          <w:sz w:val="22"/>
        </w:rPr>
        <w:t>YSM</w:t>
      </w:r>
      <w:r>
        <w:rPr>
          <w:rFonts w:ascii="Palatino Linotype" w:hAnsi="Palatino Linotype" w:cs="Arial"/>
          <w:sz w:val="22"/>
        </w:rPr>
        <w:t>/IAHA</w:t>
      </w:r>
    </w:p>
    <w:p w:rsidR="001E079B" w:rsidRDefault="001E079B" w:rsidP="00C34EFF"/>
    <w:p w:rsidR="00C34EFF" w:rsidRDefault="00C34EFF" w:rsidP="00C34EFF"/>
    <w:p w:rsidR="00C34EFF" w:rsidRPr="00C34EFF" w:rsidRDefault="00C34EFF" w:rsidP="00C34EFF"/>
    <w:sectPr w:rsidR="00C34EFF" w:rsidRPr="00C34EFF"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DD9" w:rsidRDefault="00FB2DD9" w:rsidP="00C80F8C">
      <w:r>
        <w:separator/>
      </w:r>
    </w:p>
  </w:endnote>
  <w:endnote w:type="continuationSeparator" w:id="0">
    <w:p w:rsidR="00FB2DD9" w:rsidRDefault="00FB2D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71" w:rsidRPr="0010196A" w:rsidRDefault="009D567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2346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2346E" w:rsidRPr="0010196A">
      <w:rPr>
        <w:rFonts w:ascii="Palatino Linotype" w:hAnsi="Palatino Linotype" w:cs="Arial"/>
        <w:bCs/>
        <w:sz w:val="22"/>
        <w:szCs w:val="22"/>
      </w:rPr>
      <w:fldChar w:fldCharType="separate"/>
    </w:r>
    <w:r w:rsidR="00EA58C9">
      <w:rPr>
        <w:rFonts w:ascii="Palatino Linotype" w:hAnsi="Palatino Linotype" w:cs="Arial"/>
        <w:bCs/>
        <w:noProof/>
        <w:sz w:val="22"/>
        <w:szCs w:val="22"/>
      </w:rPr>
      <w:t>72</w:t>
    </w:r>
    <w:r w:rsidR="0052346E"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52346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2346E" w:rsidRPr="0010196A">
      <w:rPr>
        <w:rFonts w:ascii="Palatino Linotype" w:hAnsi="Palatino Linotype" w:cs="Arial"/>
        <w:bCs/>
        <w:sz w:val="22"/>
        <w:szCs w:val="22"/>
      </w:rPr>
      <w:fldChar w:fldCharType="separate"/>
    </w:r>
    <w:r w:rsidR="00EA58C9">
      <w:rPr>
        <w:rFonts w:ascii="Palatino Linotype" w:hAnsi="Palatino Linotype" w:cs="Arial"/>
        <w:bCs/>
        <w:noProof/>
        <w:sz w:val="22"/>
        <w:szCs w:val="22"/>
      </w:rPr>
      <w:t>72</w:t>
    </w:r>
    <w:r w:rsidR="0052346E"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71" w:rsidRPr="0010196A" w:rsidRDefault="009D567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2346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2346E" w:rsidRPr="0010196A">
      <w:rPr>
        <w:rFonts w:ascii="Palatino Linotype" w:hAnsi="Palatino Linotype" w:cs="Arial"/>
        <w:bCs/>
        <w:sz w:val="22"/>
        <w:szCs w:val="22"/>
      </w:rPr>
      <w:fldChar w:fldCharType="separate"/>
    </w:r>
    <w:r w:rsidR="00B65BEE">
      <w:rPr>
        <w:rFonts w:ascii="Palatino Linotype" w:hAnsi="Palatino Linotype" w:cs="Arial"/>
        <w:bCs/>
        <w:noProof/>
        <w:sz w:val="22"/>
        <w:szCs w:val="22"/>
      </w:rPr>
      <w:t>1</w:t>
    </w:r>
    <w:r w:rsidR="0052346E"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52346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2346E" w:rsidRPr="0010196A">
      <w:rPr>
        <w:rFonts w:ascii="Palatino Linotype" w:hAnsi="Palatino Linotype" w:cs="Arial"/>
        <w:bCs/>
        <w:sz w:val="22"/>
        <w:szCs w:val="22"/>
      </w:rPr>
      <w:fldChar w:fldCharType="separate"/>
    </w:r>
    <w:r w:rsidR="00B65BEE">
      <w:rPr>
        <w:rFonts w:ascii="Palatino Linotype" w:hAnsi="Palatino Linotype" w:cs="Arial"/>
        <w:bCs/>
        <w:noProof/>
        <w:sz w:val="22"/>
        <w:szCs w:val="22"/>
      </w:rPr>
      <w:t>72</w:t>
    </w:r>
    <w:r w:rsidR="0052346E"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DD9" w:rsidRDefault="00FB2DD9" w:rsidP="00C80F8C">
      <w:r>
        <w:separator/>
      </w:r>
    </w:p>
  </w:footnote>
  <w:footnote w:type="continuationSeparator" w:id="0">
    <w:p w:rsidR="00FB2DD9" w:rsidRDefault="00FB2DD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71" w:rsidRDefault="00FB2DD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71" w:rsidRPr="0010196A" w:rsidRDefault="00FB2DD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D5671" w:rsidRPr="008F2CCC">
      <w:tc>
        <w:tcPr>
          <w:tcW w:w="3261" w:type="dxa"/>
          <w:vMerge w:val="restart"/>
        </w:tcPr>
        <w:p w:rsidR="009D5671" w:rsidRPr="008F2CCC" w:rsidRDefault="009D567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D5671" w:rsidRPr="00664658" w:rsidRDefault="009D567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D5671" w:rsidRPr="00664658" w:rsidRDefault="009D5671" w:rsidP="00C34EFF">
          <w:pPr>
            <w:jc w:val="both"/>
            <w:rPr>
              <w:rFonts w:ascii="Palatino Linotype" w:hAnsi="Palatino Linotype"/>
              <w:b/>
              <w:sz w:val="22"/>
              <w:szCs w:val="22"/>
              <w:lang w:val="es-ES_tradnl"/>
            </w:rPr>
          </w:pPr>
          <w:r>
            <w:rPr>
              <w:rFonts w:ascii="Palatino Linotype" w:hAnsi="Palatino Linotype"/>
              <w:b/>
              <w:sz w:val="22"/>
              <w:szCs w:val="22"/>
              <w:lang w:val="es-ES_tradnl"/>
            </w:rPr>
            <w:t>01447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9D5671" w:rsidRPr="008F2CCC">
      <w:tc>
        <w:tcPr>
          <w:tcW w:w="3261" w:type="dxa"/>
          <w:vMerge/>
        </w:tcPr>
        <w:p w:rsidR="009D5671" w:rsidRPr="008F2CCC" w:rsidRDefault="009D5671" w:rsidP="00D41D47">
          <w:pPr>
            <w:rPr>
              <w:rFonts w:ascii="Palatino Linotype" w:hAnsi="Palatino Linotype"/>
              <w:b/>
              <w:sz w:val="22"/>
              <w:szCs w:val="22"/>
              <w:lang w:val="es-ES_tradnl"/>
            </w:rPr>
          </w:pPr>
        </w:p>
      </w:tc>
      <w:tc>
        <w:tcPr>
          <w:tcW w:w="2551" w:type="dxa"/>
          <w:shd w:val="clear" w:color="auto" w:fill="auto"/>
        </w:tcPr>
        <w:p w:rsidR="009D5671" w:rsidRPr="00664658" w:rsidRDefault="009D567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D5671" w:rsidRPr="00D41D47" w:rsidRDefault="009D5671" w:rsidP="00957D35">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9D5671" w:rsidRPr="008F2CCC">
      <w:trPr>
        <w:trHeight w:val="228"/>
      </w:trPr>
      <w:tc>
        <w:tcPr>
          <w:tcW w:w="3261" w:type="dxa"/>
          <w:vMerge/>
        </w:tcPr>
        <w:p w:rsidR="009D5671" w:rsidRPr="008F2CCC" w:rsidRDefault="009D5671" w:rsidP="00070856">
          <w:pPr>
            <w:rPr>
              <w:rFonts w:ascii="Palatino Linotype" w:hAnsi="Palatino Linotype"/>
              <w:b/>
              <w:sz w:val="22"/>
              <w:szCs w:val="22"/>
              <w:lang w:val="es-ES_tradnl"/>
            </w:rPr>
          </w:pPr>
        </w:p>
      </w:tc>
      <w:tc>
        <w:tcPr>
          <w:tcW w:w="2551" w:type="dxa"/>
          <w:shd w:val="clear" w:color="auto" w:fill="auto"/>
        </w:tcPr>
        <w:p w:rsidR="009D5671" w:rsidRPr="00664658" w:rsidRDefault="009D567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D5671" w:rsidRPr="00664658" w:rsidRDefault="009D567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D5671" w:rsidRPr="0010196A" w:rsidRDefault="009D567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71" w:rsidRPr="0010196A" w:rsidRDefault="00FB2DD9">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9D5671" w:rsidRPr="008F2CCC">
      <w:tc>
        <w:tcPr>
          <w:tcW w:w="4253" w:type="dxa"/>
          <w:vMerge w:val="restart"/>
          <w:shd w:val="clear" w:color="auto" w:fill="auto"/>
        </w:tcPr>
        <w:p w:rsidR="009D5671" w:rsidRPr="008F2CCC" w:rsidRDefault="009D567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9D5671" w:rsidRPr="008F2CCC" w:rsidRDefault="009D567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9D5671" w:rsidRPr="008F2CCC" w:rsidRDefault="009D5671" w:rsidP="00C34EFF">
          <w:pPr>
            <w:jc w:val="both"/>
            <w:rPr>
              <w:rFonts w:ascii="Palatino Linotype" w:hAnsi="Palatino Linotype"/>
              <w:b/>
              <w:sz w:val="22"/>
              <w:szCs w:val="22"/>
              <w:lang w:val="es-ES_tradnl"/>
            </w:rPr>
          </w:pPr>
          <w:r>
            <w:rPr>
              <w:rFonts w:ascii="Palatino Linotype" w:hAnsi="Palatino Linotype"/>
              <w:b/>
              <w:sz w:val="22"/>
              <w:szCs w:val="22"/>
              <w:lang w:val="es-ES_tradnl"/>
            </w:rPr>
            <w:t>01447/INFOEM/IP/RR/2020</w:t>
          </w:r>
        </w:p>
      </w:tc>
    </w:tr>
    <w:tr w:rsidR="009D5671" w:rsidRPr="008F2CCC">
      <w:tc>
        <w:tcPr>
          <w:tcW w:w="4253" w:type="dxa"/>
          <w:vMerge/>
          <w:shd w:val="clear" w:color="auto" w:fill="auto"/>
        </w:tcPr>
        <w:p w:rsidR="009D5671" w:rsidRPr="008F2CCC" w:rsidRDefault="009D5671" w:rsidP="00A2780F">
          <w:pPr>
            <w:rPr>
              <w:rFonts w:ascii="Palatino Linotype" w:hAnsi="Palatino Linotype"/>
              <w:b/>
              <w:sz w:val="22"/>
              <w:szCs w:val="22"/>
              <w:lang w:val="es-ES_tradnl"/>
            </w:rPr>
          </w:pPr>
        </w:p>
      </w:tc>
      <w:tc>
        <w:tcPr>
          <w:tcW w:w="2552" w:type="dxa"/>
          <w:shd w:val="clear" w:color="auto" w:fill="auto"/>
        </w:tcPr>
        <w:p w:rsidR="009D5671" w:rsidRPr="008F2CCC" w:rsidRDefault="009D567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9D5671" w:rsidRPr="008F2CCC" w:rsidRDefault="00DE513F" w:rsidP="00DE513F">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9D5671" w:rsidRPr="00C86888">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9D5671" w:rsidRPr="00C86888">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9D5671" w:rsidRPr="008F2CCC">
      <w:trPr>
        <w:trHeight w:val="228"/>
      </w:trPr>
      <w:tc>
        <w:tcPr>
          <w:tcW w:w="4253" w:type="dxa"/>
          <w:vMerge/>
          <w:shd w:val="clear" w:color="auto" w:fill="auto"/>
        </w:tcPr>
        <w:p w:rsidR="009D5671" w:rsidRPr="008F2CCC" w:rsidRDefault="009D5671" w:rsidP="00E37C88">
          <w:pPr>
            <w:rPr>
              <w:rFonts w:ascii="Palatino Linotype" w:hAnsi="Palatino Linotype"/>
              <w:b/>
              <w:sz w:val="22"/>
              <w:szCs w:val="22"/>
              <w:lang w:val="es-ES_tradnl"/>
            </w:rPr>
          </w:pPr>
        </w:p>
      </w:tc>
      <w:tc>
        <w:tcPr>
          <w:tcW w:w="2552" w:type="dxa"/>
          <w:shd w:val="clear" w:color="auto" w:fill="auto"/>
        </w:tcPr>
        <w:p w:rsidR="009D5671" w:rsidRPr="008F2CCC" w:rsidRDefault="009D567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9D5671" w:rsidRPr="00DC41C8" w:rsidRDefault="009D5671" w:rsidP="00840ECD">
          <w:pPr>
            <w:jc w:val="both"/>
            <w:rPr>
              <w:rFonts w:ascii="Palatino Linotype" w:hAnsi="Palatino Linotype"/>
              <w:b/>
              <w:sz w:val="22"/>
              <w:szCs w:val="22"/>
            </w:rPr>
          </w:pPr>
          <w:r>
            <w:rPr>
              <w:rFonts w:ascii="Palatino Linotype" w:hAnsi="Palatino Linotype"/>
              <w:b/>
              <w:sz w:val="22"/>
              <w:szCs w:val="22"/>
            </w:rPr>
            <w:t>Ayuntamiento de Metepec</w:t>
          </w:r>
        </w:p>
      </w:tc>
    </w:tr>
    <w:tr w:rsidR="009D5671" w:rsidRPr="008F2CCC">
      <w:tc>
        <w:tcPr>
          <w:tcW w:w="4253" w:type="dxa"/>
          <w:vMerge/>
          <w:shd w:val="clear" w:color="auto" w:fill="auto"/>
        </w:tcPr>
        <w:p w:rsidR="009D5671" w:rsidRPr="008F2CCC" w:rsidRDefault="009D5671" w:rsidP="00A2780F">
          <w:pPr>
            <w:rPr>
              <w:rFonts w:ascii="Palatino Linotype" w:hAnsi="Palatino Linotype"/>
              <w:b/>
              <w:sz w:val="22"/>
              <w:szCs w:val="22"/>
              <w:lang w:val="es-ES_tradnl"/>
            </w:rPr>
          </w:pPr>
        </w:p>
      </w:tc>
      <w:tc>
        <w:tcPr>
          <w:tcW w:w="2552" w:type="dxa"/>
          <w:shd w:val="clear" w:color="auto" w:fill="auto"/>
        </w:tcPr>
        <w:p w:rsidR="009D5671" w:rsidRPr="008F2CCC" w:rsidRDefault="009D567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9D5671" w:rsidRPr="008F2CCC" w:rsidRDefault="009D567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D5671" w:rsidRPr="0010196A" w:rsidRDefault="009D567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3126C"/>
    <w:multiLevelType w:val="hybridMultilevel"/>
    <w:tmpl w:val="1B0AC84C"/>
    <w:lvl w:ilvl="0" w:tplc="080A001B">
      <w:start w:val="1"/>
      <w:numFmt w:val="lowerRoman"/>
      <w:lvlText w:val="%1."/>
      <w:lvlJc w:val="righ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ECA1CAE"/>
    <w:multiLevelType w:val="hybridMultilevel"/>
    <w:tmpl w:val="736C59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842D29"/>
    <w:multiLevelType w:val="hybridMultilevel"/>
    <w:tmpl w:val="13C2755E"/>
    <w:lvl w:ilvl="0" w:tplc="A57607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12D419F"/>
    <w:multiLevelType w:val="hybridMultilevel"/>
    <w:tmpl w:val="2B62DE34"/>
    <w:lvl w:ilvl="0" w:tplc="E3FAAAF0">
      <w:start w:val="1"/>
      <w:numFmt w:val="lowerLetter"/>
      <w:lvlText w:val="%1)"/>
      <w:lvlJc w:val="left"/>
      <w:pPr>
        <w:ind w:left="720" w:hanging="360"/>
      </w:pPr>
      <w:rPr>
        <w:rFonts w:hint="default"/>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FAA"/>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104"/>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27"/>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56C"/>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058"/>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4F8"/>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AC"/>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D40"/>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C89"/>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46E"/>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A9A"/>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FBC"/>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B89"/>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E0"/>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FE"/>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CA"/>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6D9"/>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234"/>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DF7"/>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B21"/>
    <w:rsid w:val="009D2EC8"/>
    <w:rsid w:val="009D2EDB"/>
    <w:rsid w:val="009D374B"/>
    <w:rsid w:val="009D3EC7"/>
    <w:rsid w:val="009D5671"/>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C88"/>
    <w:rsid w:val="00B57D62"/>
    <w:rsid w:val="00B57E2A"/>
    <w:rsid w:val="00B57FE5"/>
    <w:rsid w:val="00B600B2"/>
    <w:rsid w:val="00B61C6C"/>
    <w:rsid w:val="00B621C6"/>
    <w:rsid w:val="00B626DA"/>
    <w:rsid w:val="00B62A7E"/>
    <w:rsid w:val="00B6347F"/>
    <w:rsid w:val="00B64959"/>
    <w:rsid w:val="00B653D3"/>
    <w:rsid w:val="00B65923"/>
    <w:rsid w:val="00B65BEE"/>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888"/>
    <w:rsid w:val="00C86DC7"/>
    <w:rsid w:val="00C86DDC"/>
    <w:rsid w:val="00C874FB"/>
    <w:rsid w:val="00C87924"/>
    <w:rsid w:val="00C9040D"/>
    <w:rsid w:val="00C9041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022"/>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35C"/>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3F"/>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C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17"/>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479"/>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DD9"/>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5C14D74-B615-4A81-9B32-163F6120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8688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86888"/>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etepec.gob.mx/pagina/index.php" TargetMode="External"/><Relationship Id="rId17" Type="http://schemas.openxmlformats.org/officeDocument/2006/relationships/image" Target="media/image9.png"/><Relationship Id="rId25" Type="http://schemas.openxmlformats.org/officeDocument/2006/relationships/hyperlink" Target="http://www.metepec.gob.mx/pagina/index.ph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52AD4-4A7A-4BE1-85B8-45EBD446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16033</Words>
  <Characters>88183</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2020-01-22T19:55:00Z</cp:lastPrinted>
  <dcterms:created xsi:type="dcterms:W3CDTF">2020-09-11T17:30:00Z</dcterms:created>
  <dcterms:modified xsi:type="dcterms:W3CDTF">2020-09-11T17:30:00Z</dcterms:modified>
</cp:coreProperties>
</file>