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A0E2A" w14:textId="77777777" w:rsidR="00621ADB" w:rsidRDefault="0060161C">
      <w:pPr>
        <w:spacing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veintiuno de octubre de dos mil veinte.</w:t>
      </w:r>
    </w:p>
    <w:p w14:paraId="59DE3F4B" w14:textId="77777777" w:rsidR="00621ADB" w:rsidRDefault="00621ADB">
      <w:pPr>
        <w:spacing w:line="360" w:lineRule="auto"/>
        <w:jc w:val="both"/>
        <w:rPr>
          <w:rFonts w:ascii="Palatino Linotype" w:eastAsia="Palatino Linotype" w:hAnsi="Palatino Linotype" w:cs="Palatino Linotype"/>
        </w:rPr>
      </w:pPr>
    </w:p>
    <w:p w14:paraId="3E2EF883"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03867/INFOEM/IP/RR/2020</w:t>
      </w:r>
      <w:r>
        <w:rPr>
          <w:rFonts w:ascii="Palatino Linotype" w:eastAsia="Palatino Linotype" w:hAnsi="Palatino Linotype" w:cs="Palatino Linotype"/>
        </w:rPr>
        <w:t>, promovido por una persona de manera anónima</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en contra de la falta de trámite y respuesta del </w:t>
      </w:r>
      <w:r>
        <w:rPr>
          <w:rFonts w:ascii="Palatino Linotype" w:eastAsia="Palatino Linotype" w:hAnsi="Palatino Linotype" w:cs="Palatino Linotype"/>
          <w:b/>
        </w:rPr>
        <w:t xml:space="preserve">Ayuntamiento de Ozumba,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 siguiente: </w:t>
      </w:r>
    </w:p>
    <w:p w14:paraId="2B009262" w14:textId="77777777" w:rsidR="00621ADB" w:rsidRDefault="00621ADB">
      <w:pPr>
        <w:jc w:val="center"/>
        <w:rPr>
          <w:rFonts w:ascii="Palatino Linotype" w:eastAsia="Palatino Linotype" w:hAnsi="Palatino Linotype" w:cs="Palatino Linotype"/>
          <w:b/>
        </w:rPr>
      </w:pPr>
    </w:p>
    <w:p w14:paraId="4FFC7671" w14:textId="77777777" w:rsidR="00621ADB" w:rsidRDefault="0060161C">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14:paraId="2358B9C6" w14:textId="77777777" w:rsidR="00621ADB" w:rsidRDefault="00621ADB">
      <w:pPr>
        <w:jc w:val="center"/>
        <w:rPr>
          <w:rFonts w:ascii="Palatino Linotype" w:eastAsia="Palatino Linotype" w:hAnsi="Palatino Linotype" w:cs="Palatino Linotype"/>
          <w:b/>
        </w:rPr>
      </w:pPr>
    </w:p>
    <w:p w14:paraId="1DDBA9EA" w14:textId="77777777" w:rsidR="00621ADB" w:rsidRDefault="0060161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fecha veintidós de agosto de dos mil veinte,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la cual fue registrada en </w:t>
      </w:r>
      <w:r>
        <w:rPr>
          <w:rFonts w:ascii="Palatino Linotype" w:eastAsia="Palatino Linotype" w:hAnsi="Palatino Linotype" w:cs="Palatino Linotype"/>
          <w:b/>
        </w:rPr>
        <w:t xml:space="preserve">SAÍMEX </w:t>
      </w:r>
      <w:r>
        <w:rPr>
          <w:rFonts w:ascii="Palatino Linotype" w:eastAsia="Palatino Linotype" w:hAnsi="Palatino Linotype" w:cs="Palatino Linotype"/>
        </w:rPr>
        <w:t>al día siguiente hábil, es decir, veinticuatro de agosto de veinte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que se le asignó el número de expediente </w:t>
      </w:r>
      <w:r>
        <w:rPr>
          <w:rFonts w:ascii="Palatino Linotype" w:eastAsia="Palatino Linotype" w:hAnsi="Palatino Linotype" w:cs="Palatino Linotype"/>
          <w:b/>
        </w:rPr>
        <w:t>00334/OZUMBA/IP/2020</w:t>
      </w:r>
      <w:r>
        <w:rPr>
          <w:rFonts w:ascii="Palatino Linotype" w:eastAsia="Palatino Linotype" w:hAnsi="Palatino Linotype" w:cs="Palatino Linotype"/>
        </w:rPr>
        <w:t>, por medio de la cual requirió:</w:t>
      </w:r>
    </w:p>
    <w:p w14:paraId="0F122657" w14:textId="77777777" w:rsidR="00621ADB" w:rsidRDefault="00621ADB">
      <w:pPr>
        <w:tabs>
          <w:tab w:val="left" w:pos="851"/>
        </w:tabs>
        <w:ind w:left="851" w:right="901"/>
        <w:jc w:val="both"/>
        <w:rPr>
          <w:rFonts w:ascii="Palatino Linotype" w:eastAsia="Palatino Linotype" w:hAnsi="Palatino Linotype" w:cs="Palatino Linotype"/>
          <w:i/>
          <w:sz w:val="22"/>
          <w:szCs w:val="22"/>
        </w:rPr>
      </w:pPr>
    </w:p>
    <w:p w14:paraId="46559126" w14:textId="77777777" w:rsidR="00621ADB" w:rsidRDefault="0060161C">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“Salario de todos los Regidores del Municipio de Ozumba de la quincena del 01/08/2020 al 15/08/2020, Nombre Completo y que </w:t>
      </w:r>
      <w:proofErr w:type="spellStart"/>
      <w:r>
        <w:rPr>
          <w:rFonts w:ascii="Palatino Linotype" w:eastAsia="Palatino Linotype" w:hAnsi="Palatino Linotype" w:cs="Palatino Linotype"/>
          <w:i/>
          <w:sz w:val="22"/>
          <w:szCs w:val="22"/>
        </w:rPr>
        <w:t>Profecion</w:t>
      </w:r>
      <w:proofErr w:type="spellEnd"/>
      <w:r>
        <w:rPr>
          <w:rFonts w:ascii="Palatino Linotype" w:eastAsia="Palatino Linotype" w:hAnsi="Palatino Linotype" w:cs="Palatino Linotype"/>
          <w:i/>
          <w:sz w:val="22"/>
          <w:szCs w:val="22"/>
        </w:rPr>
        <w:t xml:space="preserve"> tienen cada uno de ellos, incluyendo Ultimo grado de estudios.” (sic)</w:t>
      </w:r>
    </w:p>
    <w:p w14:paraId="5BAE4BD3" w14:textId="77777777" w:rsidR="00621ADB" w:rsidRDefault="00621ADB">
      <w:pPr>
        <w:tabs>
          <w:tab w:val="left" w:pos="851"/>
        </w:tabs>
        <w:ind w:left="851" w:right="901"/>
        <w:jc w:val="both"/>
        <w:rPr>
          <w:rFonts w:ascii="Palatino Linotype" w:eastAsia="Palatino Linotype" w:hAnsi="Palatino Linotype" w:cs="Palatino Linotype"/>
          <w:i/>
          <w:sz w:val="22"/>
          <w:szCs w:val="22"/>
        </w:rPr>
      </w:pPr>
    </w:p>
    <w:p w14:paraId="489FC281" w14:textId="77777777" w:rsidR="00621ADB" w:rsidRDefault="00621ADB">
      <w:pPr>
        <w:tabs>
          <w:tab w:val="left" w:pos="851"/>
        </w:tabs>
        <w:ind w:left="851" w:right="901"/>
        <w:jc w:val="both"/>
        <w:rPr>
          <w:rFonts w:ascii="Palatino Linotype" w:eastAsia="Palatino Linotype" w:hAnsi="Palatino Linotype" w:cs="Palatino Linotype"/>
          <w:i/>
          <w:sz w:val="22"/>
          <w:szCs w:val="22"/>
        </w:rPr>
      </w:pPr>
    </w:p>
    <w:p w14:paraId="33F5BB6F"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p>
    <w:p w14:paraId="752472BA" w14:textId="77777777" w:rsidR="00621ADB" w:rsidRDefault="00621ADB">
      <w:pPr>
        <w:spacing w:line="360" w:lineRule="auto"/>
        <w:jc w:val="both"/>
        <w:rPr>
          <w:rFonts w:ascii="Palatino Linotype" w:eastAsia="Palatino Linotype" w:hAnsi="Palatino Linotype" w:cs="Palatino Linotype"/>
          <w:b/>
        </w:rPr>
      </w:pPr>
    </w:p>
    <w:p w14:paraId="12524EDF"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II.</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fue omiso en entregar la respuesta a la solicitud de información pública.</w:t>
      </w:r>
    </w:p>
    <w:p w14:paraId="7AA879E1" w14:textId="77777777" w:rsidR="00621ADB" w:rsidRDefault="00621ADB">
      <w:pPr>
        <w:spacing w:line="360" w:lineRule="auto"/>
        <w:jc w:val="both"/>
        <w:rPr>
          <w:rFonts w:ascii="Palatino Linotype" w:eastAsia="Palatino Linotype" w:hAnsi="Palatino Linotype" w:cs="Palatino Linotype"/>
          <w:b/>
        </w:rPr>
      </w:pPr>
    </w:p>
    <w:p w14:paraId="2C58A7C6"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III. </w:t>
      </w:r>
      <w:r>
        <w:rPr>
          <w:rFonts w:ascii="Palatino Linotype" w:eastAsia="Palatino Linotype" w:hAnsi="Palatino Linotype" w:cs="Palatino Linotype"/>
        </w:rPr>
        <w:t xml:space="preserve">Inconforme por la falta de respuesta, el quince de septiembre de dos mil veinte,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sujeto del presente estudio,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03867/INFOEM/IP/RR/2020,</w:t>
      </w:r>
      <w:r>
        <w:rPr>
          <w:rFonts w:ascii="Palatino Linotype" w:eastAsia="Palatino Linotype" w:hAnsi="Palatino Linotype" w:cs="Palatino Linotype"/>
        </w:rPr>
        <w:t xml:space="preserve"> en el que señaló como acto impugnado: </w:t>
      </w:r>
    </w:p>
    <w:p w14:paraId="6029144B" w14:textId="77777777" w:rsidR="00621ADB" w:rsidRDefault="00621ADB">
      <w:pPr>
        <w:spacing w:line="360" w:lineRule="auto"/>
        <w:jc w:val="both"/>
        <w:rPr>
          <w:rFonts w:ascii="Palatino Linotype" w:eastAsia="Palatino Linotype" w:hAnsi="Palatino Linotype" w:cs="Palatino Linotype"/>
        </w:rPr>
      </w:pPr>
    </w:p>
    <w:p w14:paraId="22FC7862" w14:textId="77777777" w:rsidR="00621ADB" w:rsidRDefault="0060161C">
      <w:pPr>
        <w:tabs>
          <w:tab w:val="left" w:pos="851"/>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saber el Salario de todos los Regidores del Municipio de Ozumba de la quincena del 01/08/2020 al 15/08/</w:t>
      </w:r>
      <w:proofErr w:type="gramStart"/>
      <w:r>
        <w:rPr>
          <w:rFonts w:ascii="Palatino Linotype" w:eastAsia="Palatino Linotype" w:hAnsi="Palatino Linotype" w:cs="Palatino Linotype"/>
          <w:i/>
          <w:sz w:val="22"/>
          <w:szCs w:val="22"/>
        </w:rPr>
        <w:t>2020 ,</w:t>
      </w:r>
      <w:proofErr w:type="gramEnd"/>
      <w:r>
        <w:rPr>
          <w:rFonts w:ascii="Palatino Linotype" w:eastAsia="Palatino Linotype" w:hAnsi="Palatino Linotype" w:cs="Palatino Linotype"/>
          <w:i/>
          <w:sz w:val="22"/>
          <w:szCs w:val="22"/>
        </w:rPr>
        <w:t xml:space="preserve"> Nombre Completo y que </w:t>
      </w:r>
      <w:proofErr w:type="spellStart"/>
      <w:r>
        <w:rPr>
          <w:rFonts w:ascii="Palatino Linotype" w:eastAsia="Palatino Linotype" w:hAnsi="Palatino Linotype" w:cs="Palatino Linotype"/>
          <w:i/>
          <w:sz w:val="22"/>
          <w:szCs w:val="22"/>
        </w:rPr>
        <w:t>Profecion</w:t>
      </w:r>
      <w:proofErr w:type="spellEnd"/>
      <w:r>
        <w:rPr>
          <w:rFonts w:ascii="Palatino Linotype" w:eastAsia="Palatino Linotype" w:hAnsi="Palatino Linotype" w:cs="Palatino Linotype"/>
          <w:i/>
          <w:sz w:val="22"/>
          <w:szCs w:val="22"/>
        </w:rPr>
        <w:t xml:space="preserve"> tienen cada uno de ellos, incluyendo Ultimo grado de estudios.” (sic)</w:t>
      </w:r>
    </w:p>
    <w:p w14:paraId="4AA31A19" w14:textId="77777777" w:rsidR="00621ADB" w:rsidRDefault="00621ADB">
      <w:pPr>
        <w:spacing w:line="360" w:lineRule="auto"/>
        <w:jc w:val="both"/>
        <w:rPr>
          <w:rFonts w:ascii="Palatino Linotype" w:eastAsia="Palatino Linotype" w:hAnsi="Palatino Linotype" w:cs="Palatino Linotype"/>
        </w:rPr>
      </w:pPr>
    </w:p>
    <w:p w14:paraId="6E2D0A65"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razones o motivos de inconformidad: </w:t>
      </w:r>
    </w:p>
    <w:p w14:paraId="50F4B250" w14:textId="77777777" w:rsidR="00621ADB" w:rsidRDefault="00621ADB">
      <w:pPr>
        <w:tabs>
          <w:tab w:val="left" w:pos="851"/>
        </w:tabs>
        <w:ind w:left="851" w:right="901"/>
        <w:jc w:val="both"/>
        <w:rPr>
          <w:rFonts w:ascii="Palatino Linotype" w:eastAsia="Palatino Linotype" w:hAnsi="Palatino Linotype" w:cs="Palatino Linotype"/>
          <w:i/>
          <w:sz w:val="22"/>
          <w:szCs w:val="22"/>
        </w:rPr>
      </w:pPr>
    </w:p>
    <w:p w14:paraId="56697703" w14:textId="77777777" w:rsidR="00621ADB" w:rsidRDefault="0060161C">
      <w:pPr>
        <w:tabs>
          <w:tab w:val="left" w:pos="851"/>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“Creo que la Ley de Transparencia y Acceso a la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es </w:t>
      </w:r>
      <w:proofErr w:type="spellStart"/>
      <w:r>
        <w:rPr>
          <w:rFonts w:ascii="Palatino Linotype" w:eastAsia="Palatino Linotype" w:hAnsi="Palatino Linotype" w:cs="Palatino Linotype"/>
          <w:i/>
          <w:sz w:val="22"/>
          <w:szCs w:val="22"/>
        </w:rPr>
        <w:t>es</w:t>
      </w:r>
      <w:proofErr w:type="spellEnd"/>
      <w:r>
        <w:rPr>
          <w:rFonts w:ascii="Palatino Linotype" w:eastAsia="Palatino Linotype" w:hAnsi="Palatino Linotype" w:cs="Palatino Linotype"/>
          <w:i/>
          <w:sz w:val="22"/>
          <w:szCs w:val="22"/>
        </w:rPr>
        <w:t xml:space="preserve"> clara y precisa en el Articulo 160 los Sujetos Obligados deberán otorgar acceso a los documentos que se encuentren en sus archivos o que estén obligados A DOCUMENTAR DE ACUERDO CON SUS </w:t>
      </w:r>
      <w:proofErr w:type="gramStart"/>
      <w:r>
        <w:rPr>
          <w:rFonts w:ascii="Palatino Linotype" w:eastAsia="Palatino Linotype" w:hAnsi="Palatino Linotype" w:cs="Palatino Linotype"/>
          <w:i/>
          <w:sz w:val="22"/>
          <w:szCs w:val="22"/>
        </w:rPr>
        <w:t>FACULTADES,.......</w:t>
      </w:r>
      <w:proofErr w:type="gramEnd"/>
      <w:r>
        <w:rPr>
          <w:rFonts w:ascii="Palatino Linotype" w:eastAsia="Palatino Linotype" w:hAnsi="Palatino Linotype" w:cs="Palatino Linotype"/>
          <w:i/>
          <w:sz w:val="22"/>
          <w:szCs w:val="22"/>
        </w:rPr>
        <w:t xml:space="preserve"> Y COMO LO MARCA EL ARTICULO </w:t>
      </w:r>
      <w:proofErr w:type="gramStart"/>
      <w:r>
        <w:rPr>
          <w:rFonts w:ascii="Palatino Linotype" w:eastAsia="Palatino Linotype" w:hAnsi="Palatino Linotype" w:cs="Palatino Linotype"/>
          <w:i/>
          <w:sz w:val="22"/>
          <w:szCs w:val="22"/>
        </w:rPr>
        <w:t>4.El</w:t>
      </w:r>
      <w:proofErr w:type="gramEnd"/>
      <w:r>
        <w:rPr>
          <w:rFonts w:ascii="Palatino Linotype" w:eastAsia="Palatino Linotype" w:hAnsi="Palatino Linotype" w:cs="Palatino Linotype"/>
          <w:i/>
          <w:sz w:val="22"/>
          <w:szCs w:val="22"/>
        </w:rPr>
        <w:t xml:space="preserve"> derecho humano de Acceso </w:t>
      </w:r>
      <w:proofErr w:type="spellStart"/>
      <w:r>
        <w:rPr>
          <w:rFonts w:ascii="Palatino Linotype" w:eastAsia="Palatino Linotype" w:hAnsi="Palatino Linotype" w:cs="Palatino Linotype"/>
          <w:i/>
          <w:sz w:val="22"/>
          <w:szCs w:val="22"/>
        </w:rPr>
        <w:t>ala</w:t>
      </w:r>
      <w:proofErr w:type="spellEnd"/>
      <w:r>
        <w:rPr>
          <w:rFonts w:ascii="Palatino Linotype" w:eastAsia="Palatino Linotype" w:hAnsi="Palatino Linotype" w:cs="Palatino Linotype"/>
          <w:i/>
          <w:sz w:val="22"/>
          <w:szCs w:val="22"/>
        </w:rPr>
        <w:t xml:space="preserve">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es la Prerrogativa de las personas para buscar, difundir </w:t>
      </w:r>
      <w:proofErr w:type="spellStart"/>
      <w:r>
        <w:rPr>
          <w:rFonts w:ascii="Palatino Linotype" w:eastAsia="Palatino Linotype" w:hAnsi="Palatino Linotype" w:cs="Palatino Linotype"/>
          <w:i/>
          <w:sz w:val="22"/>
          <w:szCs w:val="22"/>
        </w:rPr>
        <w:t>y</w:t>
      </w:r>
      <w:proofErr w:type="spellEnd"/>
      <w:r>
        <w:rPr>
          <w:rFonts w:ascii="Palatino Linotype" w:eastAsia="Palatino Linotype" w:hAnsi="Palatino Linotype" w:cs="Palatino Linotype"/>
          <w:i/>
          <w:sz w:val="22"/>
          <w:szCs w:val="22"/>
        </w:rPr>
        <w:t xml:space="preserve"> Investigar, recabar, recibir y solicitar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(sic)</w:t>
      </w:r>
    </w:p>
    <w:p w14:paraId="270780AA" w14:textId="77777777" w:rsidR="00621ADB" w:rsidRDefault="00621ADB">
      <w:pPr>
        <w:tabs>
          <w:tab w:val="left" w:pos="851"/>
        </w:tabs>
        <w:ind w:left="851" w:right="901"/>
        <w:jc w:val="both"/>
        <w:rPr>
          <w:rFonts w:ascii="Palatino Linotype" w:eastAsia="Palatino Linotype" w:hAnsi="Palatino Linotype" w:cs="Palatino Linotype"/>
          <w:i/>
          <w:sz w:val="22"/>
          <w:szCs w:val="22"/>
        </w:rPr>
      </w:pPr>
    </w:p>
    <w:p w14:paraId="65DFB3AD"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IV. </w:t>
      </w:r>
      <w:r>
        <w:rPr>
          <w:rFonts w:ascii="Palatino Linotype" w:eastAsia="Palatino Linotype" w:hAnsi="Palatino Linotype" w:cs="Palatino Linotype"/>
        </w:rPr>
        <w:t xml:space="preserve">El quince de septiembre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w:t>
      </w:r>
      <w:r>
        <w:rPr>
          <w:rFonts w:ascii="Palatino Linotype" w:eastAsia="Palatino Linotype" w:hAnsi="Palatino Linotype" w:cs="Palatino Linotype"/>
        </w:rPr>
        <w:lastRenderedPageBreak/>
        <w:t xml:space="preserve">Comisionada </w:t>
      </w:r>
      <w:r>
        <w:rPr>
          <w:rFonts w:ascii="Palatino Linotype" w:eastAsia="Palatino Linotype" w:hAnsi="Palatino Linotype" w:cs="Palatino Linotype"/>
          <w:b/>
        </w:rPr>
        <w:t>EVA ABAID YAPUR</w:t>
      </w:r>
      <w:r>
        <w:rPr>
          <w:rFonts w:ascii="Palatino Linotype" w:eastAsia="Palatino Linotype" w:hAnsi="Palatino Linotype" w:cs="Palatino Linotype"/>
        </w:rPr>
        <w:t xml:space="preserve">, a efecto de decretar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1FCDD59" w14:textId="77777777" w:rsidR="00621ADB" w:rsidRDefault="00621ADB">
      <w:pPr>
        <w:spacing w:line="360" w:lineRule="auto"/>
        <w:jc w:val="both"/>
        <w:rPr>
          <w:rFonts w:ascii="Palatino Linotype" w:eastAsia="Palatino Linotype" w:hAnsi="Palatino Linotype" w:cs="Palatino Linotype"/>
        </w:rPr>
      </w:pPr>
    </w:p>
    <w:p w14:paraId="6CC46F94" w14:textId="77777777" w:rsidR="00621ADB" w:rsidRDefault="0060161C">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veintidós de septiembre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su</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w:t>
      </w:r>
    </w:p>
    <w:p w14:paraId="46F96F36" w14:textId="77777777" w:rsidR="00621ADB" w:rsidRDefault="00621ADB">
      <w:pPr>
        <w:tabs>
          <w:tab w:val="center" w:pos="4252"/>
          <w:tab w:val="right" w:pos="8504"/>
        </w:tabs>
        <w:spacing w:line="360" w:lineRule="auto"/>
        <w:jc w:val="both"/>
        <w:rPr>
          <w:rFonts w:ascii="Palatino Linotype" w:eastAsia="Palatino Linotype" w:hAnsi="Palatino Linotype" w:cs="Palatino Linotype"/>
        </w:rPr>
      </w:pPr>
    </w:p>
    <w:p w14:paraId="6A2C3A90"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 </w:t>
      </w:r>
      <w:r>
        <w:rPr>
          <w:rFonts w:ascii="Palatino Linotype" w:eastAsia="Palatino Linotype" w:hAnsi="Palatino Linotype" w:cs="Palatino Linotype"/>
        </w:rPr>
        <w:t>En cumplimiento a lo anterior, 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se observa que</w:t>
      </w:r>
      <w:r>
        <w:rPr>
          <w:rFonts w:ascii="Palatino Linotype" w:eastAsia="Palatino Linotype" w:hAnsi="Palatino Linotype" w:cs="Palatino Linotype"/>
          <w:b/>
        </w:rPr>
        <w:t xml:space="preserve"> </w:t>
      </w:r>
      <w:r>
        <w:rPr>
          <w:rFonts w:ascii="Palatino Linotype" w:eastAsia="Palatino Linotype" w:hAnsi="Palatino Linotype" w:cs="Palatino Linotype"/>
        </w:rPr>
        <w:t>el día veintiocho de septiembre de dos mil veinte,</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el Informe Justificado, como se desprende a continuación: </w:t>
      </w:r>
    </w:p>
    <w:p w14:paraId="3DCF9F3F" w14:textId="77777777" w:rsidR="00621ADB" w:rsidRDefault="0060161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A9A65BF" wp14:editId="703E3EAE">
            <wp:extent cx="4447188" cy="311534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12272" t="3459" r="13494" b="4101"/>
                    <a:stretch>
                      <a:fillRect/>
                    </a:stretch>
                  </pic:blipFill>
                  <pic:spPr>
                    <a:xfrm>
                      <a:off x="0" y="0"/>
                      <a:ext cx="4447188" cy="3115344"/>
                    </a:xfrm>
                    <a:prstGeom prst="rect">
                      <a:avLst/>
                    </a:prstGeom>
                    <a:ln/>
                  </pic:spPr>
                </pic:pic>
              </a:graphicData>
            </a:graphic>
          </wp:inline>
        </w:drawing>
      </w:r>
    </w:p>
    <w:p w14:paraId="611D142B" w14:textId="77777777" w:rsidR="00621ADB" w:rsidRDefault="00621ADB">
      <w:pPr>
        <w:spacing w:line="360" w:lineRule="auto"/>
        <w:jc w:val="center"/>
        <w:rPr>
          <w:rFonts w:ascii="Palatino Linotype" w:eastAsia="Palatino Linotype" w:hAnsi="Palatino Linotype" w:cs="Palatino Linotype"/>
        </w:rPr>
      </w:pPr>
    </w:p>
    <w:p w14:paraId="339B9F1F" w14:textId="77777777" w:rsidR="00621ADB" w:rsidRDefault="0060161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Advirtiendo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dicho informe,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anexó el archivo </w:t>
      </w:r>
      <w:r>
        <w:rPr>
          <w:rFonts w:ascii="Palatino Linotype" w:eastAsia="Palatino Linotype" w:hAnsi="Palatino Linotype" w:cs="Palatino Linotype"/>
          <w:b/>
        </w:rPr>
        <w:t xml:space="preserve">Recursos humanos - Solicitud 334.pdf, </w:t>
      </w:r>
      <w:r>
        <w:rPr>
          <w:rFonts w:ascii="Palatino Linotype" w:eastAsia="Palatino Linotype" w:hAnsi="Palatino Linotype" w:cs="Palatino Linotype"/>
        </w:rPr>
        <w:t xml:space="preserve">mismos que no se insertan, en razón de que fueron puestos a disposición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el día seis de octubre de dos mil veinte, por actualizar lo previsto en el artículo 185, fracción III de la Ley de la materia.</w:t>
      </w:r>
    </w:p>
    <w:p w14:paraId="74343882" w14:textId="77777777" w:rsidR="00621ADB" w:rsidRDefault="00621ADB">
      <w:pPr>
        <w:spacing w:line="360" w:lineRule="auto"/>
        <w:jc w:val="both"/>
        <w:rPr>
          <w:rFonts w:ascii="Palatino Linotype" w:eastAsia="Palatino Linotype" w:hAnsi="Palatino Linotype" w:cs="Palatino Linotype"/>
          <w:b/>
          <w:sz w:val="28"/>
          <w:szCs w:val="28"/>
        </w:rPr>
      </w:pPr>
    </w:p>
    <w:p w14:paraId="1268C1AD" w14:textId="77777777" w:rsidR="00621ADB" w:rsidRDefault="0060161C">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particular no realizó </w:t>
      </w:r>
      <w:r w:rsidR="00DB6909">
        <w:rPr>
          <w:rFonts w:ascii="Palatino Linotype" w:eastAsia="Palatino Linotype" w:hAnsi="Palatino Linotype" w:cs="Palatino Linotype"/>
        </w:rPr>
        <w:t>manifestación</w:t>
      </w:r>
      <w:r>
        <w:rPr>
          <w:rFonts w:ascii="Palatino Linotype" w:eastAsia="Palatino Linotype" w:hAnsi="Palatino Linotype" w:cs="Palatino Linotype"/>
        </w:rPr>
        <w:t xml:space="preserve"> alguna, ni presentó pruebas o alegatos.</w:t>
      </w:r>
    </w:p>
    <w:p w14:paraId="57DAB36F" w14:textId="77777777" w:rsidR="00621ADB" w:rsidRDefault="00621ADB">
      <w:pPr>
        <w:spacing w:line="360" w:lineRule="auto"/>
        <w:jc w:val="both"/>
        <w:rPr>
          <w:rFonts w:ascii="Palatino Linotype" w:eastAsia="Palatino Linotype" w:hAnsi="Palatino Linotype" w:cs="Palatino Linotype"/>
          <w:b/>
          <w:sz w:val="28"/>
          <w:szCs w:val="28"/>
        </w:rPr>
      </w:pPr>
    </w:p>
    <w:p w14:paraId="7C227BE4" w14:textId="2221640E"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VII. </w:t>
      </w:r>
      <w:r>
        <w:rPr>
          <w:rFonts w:ascii="Palatino Linotype" w:eastAsia="Palatino Linotype" w:hAnsi="Palatino Linotype" w:cs="Palatino Linotype"/>
        </w:rPr>
        <w:t xml:space="preserve">En fecha doce de octubre de dos mil veinte, se notificó a las partes el Acuerdo de Cierre de Instrucción en los siguientes términos: </w:t>
      </w:r>
    </w:p>
    <w:p w14:paraId="760837DD" w14:textId="77777777" w:rsidR="00727850" w:rsidRDefault="00727850">
      <w:pPr>
        <w:spacing w:line="360" w:lineRule="auto"/>
        <w:jc w:val="both"/>
        <w:rPr>
          <w:rFonts w:ascii="Palatino Linotype" w:eastAsia="Palatino Linotype" w:hAnsi="Palatino Linotype" w:cs="Palatino Linotype"/>
        </w:rPr>
      </w:pPr>
    </w:p>
    <w:p w14:paraId="51F7E079" w14:textId="7F89E0F5" w:rsidR="00621ADB" w:rsidRDefault="00727850" w:rsidP="00727850">
      <w:pPr>
        <w:spacing w:line="360" w:lineRule="auto"/>
        <w:ind w:right="50"/>
        <w:jc w:val="center"/>
        <w:rPr>
          <w:rFonts w:ascii="Palatino Linotype" w:eastAsia="Palatino Linotype" w:hAnsi="Palatino Linotype" w:cs="Palatino Linotype"/>
          <w:b/>
          <w:sz w:val="28"/>
          <w:szCs w:val="28"/>
        </w:rPr>
      </w:pPr>
      <w:r>
        <w:rPr>
          <w:rFonts w:ascii="Palatino Linotype" w:eastAsia="Palatino Linotype" w:hAnsi="Palatino Linotype" w:cs="Palatino Linotype"/>
          <w:b/>
          <w:noProof/>
          <w:sz w:val="28"/>
          <w:szCs w:val="28"/>
        </w:rPr>
        <w:lastRenderedPageBreak/>
        <w:drawing>
          <wp:inline distT="0" distB="0" distL="0" distR="0" wp14:anchorId="18A263CB" wp14:editId="4C94B252">
            <wp:extent cx="3993515" cy="3895725"/>
            <wp:effectExtent l="0" t="0" r="698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515" cy="3895725"/>
                    </a:xfrm>
                    <a:prstGeom prst="rect">
                      <a:avLst/>
                    </a:prstGeom>
                    <a:noFill/>
                  </pic:spPr>
                </pic:pic>
              </a:graphicData>
            </a:graphic>
          </wp:inline>
        </w:drawing>
      </w:r>
    </w:p>
    <w:p w14:paraId="72CD8684" w14:textId="77777777" w:rsidR="00727850" w:rsidRDefault="00727850">
      <w:pPr>
        <w:spacing w:line="360" w:lineRule="auto"/>
        <w:ind w:right="50"/>
        <w:jc w:val="both"/>
        <w:rPr>
          <w:rFonts w:ascii="Palatino Linotype" w:eastAsia="Palatino Linotype" w:hAnsi="Palatino Linotype" w:cs="Palatino Linotype"/>
          <w:b/>
          <w:sz w:val="28"/>
          <w:szCs w:val="28"/>
        </w:rPr>
      </w:pPr>
    </w:p>
    <w:p w14:paraId="3B1D031F" w14:textId="51AE66F2" w:rsidR="00621ADB" w:rsidRDefault="0060161C">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VIII.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 fundamento en el artículo 185, fracción VIII de la Ley de Transparencia y Acceso a la Información Pública del Estado de México y Municipios, se remitió el expediente a efecto de que la Comisionada </w:t>
      </w:r>
      <w:r>
        <w:rPr>
          <w:rFonts w:ascii="Palatino Linotype" w:eastAsia="Palatino Linotype" w:hAnsi="Palatino Linotype" w:cs="Palatino Linotype"/>
          <w:b/>
        </w:rPr>
        <w:t>EVA ABAID YAPUR</w:t>
      </w:r>
      <w:r>
        <w:rPr>
          <w:rFonts w:ascii="Palatino Linotype" w:eastAsia="Palatino Linotype" w:hAnsi="Palatino Linotype" w:cs="Palatino Linotype"/>
        </w:rPr>
        <w:t xml:space="preserve"> formule y presente al Pleno el proyecto de resolución correspondiente; y</w:t>
      </w:r>
    </w:p>
    <w:p w14:paraId="630D98CC" w14:textId="77777777" w:rsidR="00621ADB" w:rsidRDefault="00621ADB">
      <w:pPr>
        <w:jc w:val="center"/>
        <w:rPr>
          <w:rFonts w:ascii="Palatino Linotype" w:eastAsia="Palatino Linotype" w:hAnsi="Palatino Linotype" w:cs="Palatino Linotype"/>
        </w:rPr>
      </w:pPr>
    </w:p>
    <w:p w14:paraId="1BABB077" w14:textId="77777777" w:rsidR="00621ADB" w:rsidRDefault="0060161C">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249D7D5B" w14:textId="77777777" w:rsidR="00621ADB" w:rsidRDefault="00621ADB">
      <w:pPr>
        <w:jc w:val="center"/>
        <w:rPr>
          <w:rFonts w:ascii="Palatino Linotype" w:eastAsia="Palatino Linotype" w:hAnsi="Palatino Linotype" w:cs="Palatino Linotype"/>
          <w:b/>
          <w:sz w:val="28"/>
          <w:szCs w:val="28"/>
        </w:rPr>
      </w:pPr>
    </w:p>
    <w:p w14:paraId="48DEC168" w14:textId="77777777" w:rsidR="00621ADB" w:rsidRDefault="0060161C">
      <w:pPr>
        <w:spacing w:line="360" w:lineRule="auto"/>
        <w:ind w:right="50"/>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conforme a lo dispuesto en </w:t>
      </w:r>
      <w:r>
        <w:rPr>
          <w:rFonts w:ascii="Palatino Linotype" w:eastAsia="Palatino Linotype" w:hAnsi="Palatino Linotype" w:cs="Palatino Linotype"/>
        </w:rPr>
        <w:lastRenderedPageBreak/>
        <w:t>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24AE9936" w14:textId="77777777" w:rsidR="00621ADB" w:rsidRDefault="00621ADB">
      <w:pPr>
        <w:spacing w:line="360" w:lineRule="auto"/>
        <w:jc w:val="both"/>
        <w:rPr>
          <w:rFonts w:ascii="Palatino Linotype" w:eastAsia="Palatino Linotype" w:hAnsi="Palatino Linotype" w:cs="Palatino Linotype"/>
          <w:b/>
        </w:rPr>
      </w:pPr>
    </w:p>
    <w:p w14:paraId="59386BB5" w14:textId="77777777" w:rsidR="00621ADB" w:rsidRDefault="0060161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r>
        <w:rPr>
          <w:rFonts w:ascii="Palatino Linotype" w:eastAsia="Palatino Linotype" w:hAnsi="Palatino Linotype" w:cs="Palatino Linotype"/>
        </w:rPr>
        <w:t xml:space="preserve">El recurso de revisión fue interpuesto por parte legítima, en atención a que se presentó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quien es la misma persona que formuló la solicitud de acceso a la información pública al </w:t>
      </w:r>
      <w:r>
        <w:rPr>
          <w:rFonts w:ascii="Palatino Linotype" w:eastAsia="Palatino Linotype" w:hAnsi="Palatino Linotype" w:cs="Palatino Linotype"/>
          <w:b/>
        </w:rPr>
        <w:t>SUJETO OBLIGADO.</w:t>
      </w:r>
    </w:p>
    <w:p w14:paraId="6488D658" w14:textId="77777777" w:rsidR="00621ADB" w:rsidRDefault="00621ADB">
      <w:pPr>
        <w:spacing w:line="360" w:lineRule="auto"/>
        <w:jc w:val="both"/>
        <w:rPr>
          <w:rFonts w:ascii="Palatino Linotype" w:eastAsia="Palatino Linotype" w:hAnsi="Palatino Linotype" w:cs="Palatino Linotype"/>
          <w:b/>
        </w:rPr>
      </w:pPr>
    </w:p>
    <w:p w14:paraId="7093D4C5" w14:textId="77777777" w:rsidR="00621ADB" w:rsidRDefault="006016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b/>
          <w:color w:val="000000"/>
        </w:rPr>
        <w:t xml:space="preserve">Oportunidad. </w:t>
      </w:r>
      <w:r>
        <w:rPr>
          <w:rFonts w:ascii="Palatino Linotype" w:eastAsia="Palatino Linotype" w:hAnsi="Palatino Linotype" w:cs="Palatino Linotype"/>
          <w:color w:val="000000"/>
        </w:rPr>
        <w:t>Es de precisar que la Ley de Transparencia y Acceso a la Información Pública del Estado de México y Municipios, describe el mecanismo de procedencia de los recursos de revisión, como se puede apreciar en el siguiente artículo:</w:t>
      </w:r>
    </w:p>
    <w:p w14:paraId="72566B7F" w14:textId="77777777" w:rsidR="00621ADB" w:rsidRDefault="00621AD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866D08F" w14:textId="77777777" w:rsidR="00621ADB" w:rsidRDefault="0060161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w:t>
      </w:r>
      <w:r>
        <w:rPr>
          <w:rFonts w:ascii="Palatino Linotype" w:eastAsia="Palatino Linotype" w:hAnsi="Palatino Linotype" w:cs="Palatino Linotype"/>
          <w:i/>
          <w:sz w:val="22"/>
          <w:szCs w:val="22"/>
        </w:rPr>
        <w:t>de</w:t>
      </w:r>
      <w:r>
        <w:rPr>
          <w:rFonts w:ascii="Palatino Linotype" w:eastAsia="Palatino Linotype" w:hAnsi="Palatino Linotype" w:cs="Palatino Linotype"/>
          <w:i/>
          <w:color w:val="000000"/>
          <w:sz w:val="22"/>
          <w:szCs w:val="22"/>
        </w:rPr>
        <w:t xml:space="preserve"> Transparencia deberá notificar la respuesta a la solicitud al interesado en el </w:t>
      </w:r>
      <w:r>
        <w:rPr>
          <w:rFonts w:ascii="Palatino Linotype" w:eastAsia="Palatino Linotype" w:hAnsi="Palatino Linotype" w:cs="Palatino Linotype"/>
          <w:i/>
          <w:sz w:val="22"/>
          <w:szCs w:val="22"/>
        </w:rPr>
        <w:t>menor</w:t>
      </w:r>
      <w:r>
        <w:rPr>
          <w:rFonts w:ascii="Palatino Linotype" w:eastAsia="Palatino Linotype" w:hAnsi="Palatino Linotype" w:cs="Palatino Linotype"/>
          <w:i/>
          <w:color w:val="000000"/>
          <w:sz w:val="22"/>
          <w:szCs w:val="22"/>
        </w:rPr>
        <w:t xml:space="preserve"> tiempo posible, que no podrá exceder de quince días hábiles, contados a partir del día siguiente a la presentación de aquélla.</w:t>
      </w:r>
    </w:p>
    <w:p w14:paraId="1B5BEDAB" w14:textId="77777777" w:rsidR="00621ADB" w:rsidRDefault="00621ADB">
      <w:pPr>
        <w:ind w:left="851" w:right="902"/>
        <w:jc w:val="both"/>
        <w:rPr>
          <w:rFonts w:ascii="Palatino Linotype" w:eastAsia="Palatino Linotype" w:hAnsi="Palatino Linotype" w:cs="Palatino Linotype"/>
          <w:i/>
          <w:color w:val="000000"/>
          <w:sz w:val="22"/>
          <w:szCs w:val="22"/>
        </w:rPr>
      </w:pPr>
    </w:p>
    <w:p w14:paraId="30B98C5E" w14:textId="77777777" w:rsidR="00621ADB" w:rsidRDefault="0060161C">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Excepcionalmente, el plazo referido en el párrafo anterior podrá ampliarse hasta por siete días hábiles más, siempre y </w:t>
      </w:r>
      <w:r>
        <w:rPr>
          <w:rFonts w:ascii="Palatino Linotype" w:eastAsia="Palatino Linotype" w:hAnsi="Palatino Linotype" w:cs="Palatino Linotype"/>
          <w:i/>
          <w:sz w:val="22"/>
          <w:szCs w:val="22"/>
        </w:rPr>
        <w:t>cuando</w:t>
      </w:r>
      <w:r>
        <w:rPr>
          <w:rFonts w:ascii="Palatino Linotype" w:eastAsia="Palatino Linotype" w:hAnsi="Palatino Linotype" w:cs="Palatino Linotype"/>
          <w:i/>
          <w:color w:val="000000"/>
          <w:sz w:val="22"/>
          <w:szCs w:val="22"/>
        </w:rPr>
        <w:t xml:space="preserve"> existan razones fundadas y motivadas, las cuales deberán ser aprobadas por el Comité de Transparencia, mediante la emisión </w:t>
      </w:r>
      <w:r>
        <w:rPr>
          <w:rFonts w:ascii="Palatino Linotype" w:eastAsia="Palatino Linotype" w:hAnsi="Palatino Linotype" w:cs="Palatino Linotype"/>
          <w:i/>
          <w:color w:val="000000"/>
          <w:sz w:val="22"/>
          <w:szCs w:val="22"/>
        </w:rPr>
        <w:lastRenderedPageBreak/>
        <w:t xml:space="preserve">de una resolución que deberá notificarse al solicitante, antes de su vencimiento. No podrán invocarse como causales de ampliación del plazo motivos que supongan negligencia o descuido del sujeto obligado en el desahogo de la solicitud.” </w:t>
      </w:r>
    </w:p>
    <w:p w14:paraId="594AC46B" w14:textId="77777777" w:rsidR="00621ADB" w:rsidRDefault="00621ADB">
      <w:pPr>
        <w:ind w:left="851" w:right="901"/>
        <w:jc w:val="both"/>
        <w:rPr>
          <w:rFonts w:ascii="Palatino Linotype" w:eastAsia="Palatino Linotype" w:hAnsi="Palatino Linotype" w:cs="Palatino Linotype"/>
          <w:i/>
          <w:color w:val="000000"/>
        </w:rPr>
      </w:pPr>
    </w:p>
    <w:p w14:paraId="245E27A5" w14:textId="77777777" w:rsidR="00621ADB" w:rsidRDefault="0060161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4B23B890" w14:textId="77777777" w:rsidR="00621ADB" w:rsidRDefault="00621ADB">
      <w:pPr>
        <w:spacing w:line="360" w:lineRule="auto"/>
        <w:jc w:val="both"/>
        <w:rPr>
          <w:rFonts w:ascii="Palatino Linotype" w:eastAsia="Palatino Linotype" w:hAnsi="Palatino Linotype" w:cs="Palatino Linotype"/>
          <w:color w:val="000000"/>
        </w:rPr>
      </w:pPr>
    </w:p>
    <w:p w14:paraId="346C3B10" w14:textId="77777777" w:rsidR="00621ADB" w:rsidRDefault="0060161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se constituye la figura jurídica de la </w:t>
      </w:r>
      <w:r>
        <w:rPr>
          <w:rFonts w:ascii="Palatino Linotype" w:eastAsia="Palatino Linotype" w:hAnsi="Palatino Linotype" w:cs="Palatino Linotype"/>
          <w:b/>
          <w:color w:val="000000"/>
        </w:rPr>
        <w:t>NEGATIVA FICTA</w:t>
      </w:r>
      <w:r>
        <w:rPr>
          <w:rFonts w:ascii="Palatino Linotype" w:eastAsia="Palatino Linotype" w:hAnsi="Palatino Linotype" w:cs="Palatino Linotype"/>
          <w:color w:val="000000"/>
        </w:rPr>
        <w:t>, cuya esencia consiste en atribuir un efecto negativo al silencio de la autoridad administrativa frente a las instancias y solicitudes que hagan los particulares.</w:t>
      </w:r>
    </w:p>
    <w:p w14:paraId="3722AAFB" w14:textId="77777777" w:rsidR="00621ADB" w:rsidRDefault="00621ADB">
      <w:pPr>
        <w:spacing w:line="360" w:lineRule="auto"/>
        <w:jc w:val="both"/>
        <w:rPr>
          <w:rFonts w:ascii="Palatino Linotype" w:eastAsia="Palatino Linotype" w:hAnsi="Palatino Linotype" w:cs="Palatino Linotype"/>
          <w:color w:val="000000"/>
        </w:rPr>
      </w:pPr>
    </w:p>
    <w:p w14:paraId="480634AD" w14:textId="77777777" w:rsidR="00621ADB" w:rsidRDefault="0060161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178 de la Ley de Transparencia y Acceso a la Información Pública del Estado de México y Municipios, establece:</w:t>
      </w:r>
    </w:p>
    <w:p w14:paraId="311FB45B" w14:textId="77777777" w:rsidR="00621ADB" w:rsidRDefault="00621ADB">
      <w:pPr>
        <w:jc w:val="both"/>
        <w:rPr>
          <w:rFonts w:ascii="Palatino Linotype" w:eastAsia="Palatino Linotype" w:hAnsi="Palatino Linotype" w:cs="Palatino Linotype"/>
          <w:color w:val="000000"/>
        </w:rPr>
      </w:pPr>
    </w:p>
    <w:p w14:paraId="2856C2EE"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80DCF5" w14:textId="77777777" w:rsidR="00621ADB" w:rsidRDefault="00621ADB">
      <w:pPr>
        <w:ind w:left="851" w:right="901"/>
        <w:jc w:val="both"/>
        <w:rPr>
          <w:rFonts w:ascii="Palatino Linotype" w:eastAsia="Palatino Linotype" w:hAnsi="Palatino Linotype" w:cs="Palatino Linotype"/>
          <w:i/>
          <w:color w:val="000000"/>
          <w:sz w:val="22"/>
          <w:szCs w:val="22"/>
        </w:rPr>
      </w:pPr>
    </w:p>
    <w:p w14:paraId="21A97B32"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A falta de respuesta del sujeto obligado, dentro de los plazos establecidos en esta Ley, a una solicitud de acceso a la información pública, el recurso podrá ser interpuesto en cualquier momento</w:t>
      </w:r>
      <w:r>
        <w:rPr>
          <w:rFonts w:ascii="Palatino Linotype" w:eastAsia="Palatino Linotype" w:hAnsi="Palatino Linotype" w:cs="Palatino Linotype"/>
          <w:i/>
          <w:color w:val="000000"/>
          <w:sz w:val="22"/>
          <w:szCs w:val="22"/>
        </w:rPr>
        <w:t>, acompañado con el documento que pruebe la fecha en que presentó la solicitud.</w:t>
      </w:r>
    </w:p>
    <w:p w14:paraId="7DE7FEFB" w14:textId="77777777" w:rsidR="00621ADB" w:rsidRDefault="00621ADB">
      <w:pPr>
        <w:ind w:left="851" w:right="901"/>
        <w:jc w:val="both"/>
        <w:rPr>
          <w:rFonts w:ascii="Palatino Linotype" w:eastAsia="Palatino Linotype" w:hAnsi="Palatino Linotype" w:cs="Palatino Linotype"/>
          <w:i/>
          <w:color w:val="000000"/>
          <w:sz w:val="22"/>
          <w:szCs w:val="22"/>
        </w:rPr>
      </w:pPr>
    </w:p>
    <w:p w14:paraId="482DF0DF"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el caso de que se interponga ante la Unidad de Transparencia, ésta deberá remitir el recurso de revisión al Instituto a más tardar al día siguiente de haberlo recibido.”</w:t>
      </w:r>
    </w:p>
    <w:p w14:paraId="257E876F"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(Énfasis añadido) </w:t>
      </w:r>
    </w:p>
    <w:p w14:paraId="021E80CC" w14:textId="77777777" w:rsidR="00621ADB" w:rsidRDefault="00621ADB">
      <w:pPr>
        <w:jc w:val="both"/>
        <w:rPr>
          <w:rFonts w:ascii="Palatino Linotype" w:eastAsia="Palatino Linotype" w:hAnsi="Palatino Linotype" w:cs="Palatino Linotype"/>
          <w:color w:val="000000"/>
        </w:rPr>
      </w:pPr>
    </w:p>
    <w:p w14:paraId="673FD2EC" w14:textId="77777777" w:rsidR="00621ADB" w:rsidRDefault="0060161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está en la total libertad de presentar su medio de impugnación en cualquier momento, consecuentemente se tiene que dicho recurso se presentó oportunamente.</w:t>
      </w:r>
    </w:p>
    <w:p w14:paraId="168B8626" w14:textId="77777777" w:rsidR="00621ADB" w:rsidRDefault="00621ADB">
      <w:pPr>
        <w:spacing w:line="360" w:lineRule="auto"/>
        <w:jc w:val="both"/>
        <w:rPr>
          <w:rFonts w:ascii="Palatino Linotype" w:eastAsia="Palatino Linotype" w:hAnsi="Palatino Linotype" w:cs="Palatino Linotype"/>
          <w:color w:val="000000"/>
        </w:rPr>
      </w:pPr>
    </w:p>
    <w:p w14:paraId="01A62531" w14:textId="77777777" w:rsidR="00621ADB" w:rsidRDefault="0060161C">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color w:val="201F1E"/>
          <w:sz w:val="28"/>
          <w:szCs w:val="28"/>
        </w:rPr>
        <w:t>CUARTO. </w:t>
      </w:r>
      <w:r>
        <w:rPr>
          <w:rFonts w:ascii="Palatino Linotype" w:eastAsia="Palatino Linotype" w:hAnsi="Palatino Linotype" w:cs="Palatino Linotype"/>
          <w:b/>
          <w:color w:val="201F1E"/>
        </w:rPr>
        <w:t>Procedibilidad. </w:t>
      </w:r>
      <w:r>
        <w:rPr>
          <w:rFonts w:ascii="Palatino Linotype" w:eastAsia="Palatino Linotype" w:hAnsi="Palatino Linotype" w:cs="Palatino Linotype"/>
          <w:color w:val="201F1E"/>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5DED83EB" w14:textId="77777777" w:rsidR="00621ADB" w:rsidRDefault="0060161C">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 </w:t>
      </w:r>
    </w:p>
    <w:p w14:paraId="7BEAB445"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“Artículo 180. </w:t>
      </w:r>
      <w:r>
        <w:rPr>
          <w:rFonts w:ascii="Palatino Linotype" w:eastAsia="Palatino Linotype" w:hAnsi="Palatino Linotype" w:cs="Palatino Linotype"/>
          <w:i/>
          <w:color w:val="201F1E"/>
          <w:sz w:val="22"/>
          <w:szCs w:val="22"/>
        </w:rPr>
        <w:t>El recurso de revisión contendrá:</w:t>
      </w:r>
    </w:p>
    <w:p w14:paraId="7612C7EE"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 </w:t>
      </w:r>
      <w:r>
        <w:rPr>
          <w:rFonts w:ascii="Palatino Linotype" w:eastAsia="Palatino Linotype" w:hAnsi="Palatino Linotype" w:cs="Palatino Linotype"/>
          <w:i/>
          <w:color w:val="201F1E"/>
          <w:sz w:val="22"/>
          <w:szCs w:val="22"/>
        </w:rPr>
        <w:t>El sujeto obligado ante la cual se presentó la solicitud;</w:t>
      </w:r>
    </w:p>
    <w:p w14:paraId="498CE1E2"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II. </w:t>
      </w:r>
      <w:r>
        <w:rPr>
          <w:rFonts w:ascii="Palatino Linotype" w:eastAsia="Palatino Linotype" w:hAnsi="Palatino Linotype" w:cs="Palatino Linotype"/>
          <w:b/>
          <w:i/>
          <w:color w:val="201F1E"/>
          <w:sz w:val="22"/>
          <w:szCs w:val="22"/>
          <w:u w:val="single"/>
        </w:rPr>
        <w:t>El nombre del solicitante que recurre </w:t>
      </w:r>
      <w:r>
        <w:rPr>
          <w:rFonts w:ascii="Palatino Linotype" w:eastAsia="Palatino Linotype" w:hAnsi="Palatino Linotype" w:cs="Palatino Linotype"/>
          <w:i/>
          <w:color w:val="201F1E"/>
          <w:sz w:val="22"/>
          <w:szCs w:val="22"/>
        </w:rPr>
        <w:t>o de su representante y, en su caso, del tercero interesado, así como la dirección o medio que señale para recibir notificaciones;</w:t>
      </w:r>
    </w:p>
    <w:p w14:paraId="3CC26EA6"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III. </w:t>
      </w:r>
      <w:r>
        <w:rPr>
          <w:rFonts w:ascii="Palatino Linotype" w:eastAsia="Palatino Linotype" w:hAnsi="Palatino Linotype" w:cs="Palatino Linotype"/>
          <w:i/>
          <w:color w:val="201F1E"/>
          <w:sz w:val="22"/>
          <w:szCs w:val="22"/>
        </w:rPr>
        <w:t>El número de folio de respuesta de la solicitud de acceso;</w:t>
      </w:r>
    </w:p>
    <w:p w14:paraId="0A1B9E1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lastRenderedPageBreak/>
        <w:t>IV. </w:t>
      </w:r>
      <w:r>
        <w:rPr>
          <w:rFonts w:ascii="Palatino Linotype" w:eastAsia="Palatino Linotype" w:hAnsi="Palatino Linotype" w:cs="Palatino Linotype"/>
          <w:i/>
          <w:color w:val="201F1E"/>
          <w:sz w:val="22"/>
          <w:szCs w:val="22"/>
        </w:rPr>
        <w:t>La fecha en que fue notificada la respuesta al solicitante o tuvo conocimiento del acto reclamado, o de presentación de la solicitud, en caso de falta de respuesta;</w:t>
      </w:r>
    </w:p>
    <w:p w14:paraId="608C8C4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V. </w:t>
      </w:r>
      <w:r>
        <w:rPr>
          <w:rFonts w:ascii="Palatino Linotype" w:eastAsia="Palatino Linotype" w:hAnsi="Palatino Linotype" w:cs="Palatino Linotype"/>
          <w:i/>
          <w:color w:val="201F1E"/>
          <w:sz w:val="22"/>
          <w:szCs w:val="22"/>
        </w:rPr>
        <w:t>El acto que se recurre;</w:t>
      </w:r>
    </w:p>
    <w:p w14:paraId="0AEE7B4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VI. </w:t>
      </w:r>
      <w:r>
        <w:rPr>
          <w:rFonts w:ascii="Palatino Linotype" w:eastAsia="Palatino Linotype" w:hAnsi="Palatino Linotype" w:cs="Palatino Linotype"/>
          <w:i/>
          <w:color w:val="201F1E"/>
          <w:sz w:val="22"/>
          <w:szCs w:val="22"/>
        </w:rPr>
        <w:t>Las razones o motivos de inconformidad;</w:t>
      </w:r>
    </w:p>
    <w:p w14:paraId="79FC1374"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VII. </w:t>
      </w:r>
      <w:r>
        <w:rPr>
          <w:rFonts w:ascii="Palatino Linotype" w:eastAsia="Palatino Linotype" w:hAnsi="Palatino Linotype" w:cs="Palatino Linotype"/>
          <w:i/>
          <w:color w:val="201F1E"/>
          <w:sz w:val="22"/>
          <w:szCs w:val="22"/>
        </w:rPr>
        <w:t>La copia de la respuesta que se impugna y, en su caso, de la notificación correspondiente, en el caso de respuesta de la solicitud; y</w:t>
      </w:r>
    </w:p>
    <w:p w14:paraId="56833FFA"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VIII. </w:t>
      </w:r>
      <w:r>
        <w:rPr>
          <w:rFonts w:ascii="Palatino Linotype" w:eastAsia="Palatino Linotype" w:hAnsi="Palatino Linotype" w:cs="Palatino Linotype"/>
          <w:i/>
          <w:color w:val="201F1E"/>
          <w:sz w:val="22"/>
          <w:szCs w:val="22"/>
        </w:rPr>
        <w:t>Firma del recurrente, en su caso, cuando se presente por escrito, requisito sin el cual se dará trámite al recurso.</w:t>
      </w:r>
    </w:p>
    <w:p w14:paraId="043A36F6"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Adicionalmente, se podrán anexar las pruebas y demás elementos que considere procedentes someter a juicio del Instituto.</w:t>
      </w:r>
    </w:p>
    <w:p w14:paraId="485B2660"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En ningún caso será necesario que el particular ratifique el recurso de revisión interpuesto.</w:t>
      </w:r>
    </w:p>
    <w:p w14:paraId="6BDC14C1"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u w:val="single"/>
        </w:rPr>
        <w:t>En caso de que el recurso se interponga de manera electrónica no será indispensable que contengan los requisitos establecidos en las fracciones II</w:t>
      </w:r>
      <w:r>
        <w:rPr>
          <w:rFonts w:ascii="Palatino Linotype" w:eastAsia="Palatino Linotype" w:hAnsi="Palatino Linotype" w:cs="Palatino Linotype"/>
          <w:i/>
          <w:color w:val="201F1E"/>
          <w:sz w:val="22"/>
          <w:szCs w:val="22"/>
        </w:rPr>
        <w:t>, IV, VII y VIII.</w:t>
      </w:r>
      <w:r>
        <w:rPr>
          <w:rFonts w:ascii="Palatino Linotype" w:eastAsia="Palatino Linotype" w:hAnsi="Palatino Linotype" w:cs="Palatino Linotype"/>
          <w:b/>
          <w:i/>
          <w:color w:val="201F1E"/>
          <w:sz w:val="22"/>
          <w:szCs w:val="22"/>
        </w:rPr>
        <w:t>”</w:t>
      </w:r>
    </w:p>
    <w:p w14:paraId="75150ED2"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sz w:val="22"/>
          <w:szCs w:val="22"/>
        </w:rPr>
        <w:t>(Énfasis añadido)</w:t>
      </w:r>
    </w:p>
    <w:p w14:paraId="43E67EE8" w14:textId="77777777" w:rsidR="00621ADB" w:rsidRDefault="0060161C">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 </w:t>
      </w:r>
    </w:p>
    <w:p w14:paraId="7C9F646B"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En principio, de una interpretación del artículo transcrito se observan los requisitos que deberán contener los recursos de revisión; sobre el particular, de la revisión del expediente electrónico del </w:t>
      </w:r>
      <w:r>
        <w:rPr>
          <w:rFonts w:ascii="Palatino Linotype" w:eastAsia="Palatino Linotype" w:hAnsi="Palatino Linotype" w:cs="Palatino Linotype"/>
          <w:b/>
          <w:color w:val="201F1E"/>
        </w:rPr>
        <w:t>SAIMEX</w:t>
      </w:r>
      <w:r>
        <w:rPr>
          <w:rFonts w:ascii="Palatino Linotype" w:eastAsia="Palatino Linotype" w:hAnsi="Palatino Linotype" w:cs="Palatino Linotype"/>
          <w:color w:val="201F1E"/>
        </w:rPr>
        <w:t> se desprende que la parte solicitante y ahora </w:t>
      </w:r>
      <w:r>
        <w:rPr>
          <w:rFonts w:ascii="Palatino Linotype" w:eastAsia="Palatino Linotype" w:hAnsi="Palatino Linotype" w:cs="Palatino Linotype"/>
          <w:b/>
          <w:color w:val="201F1E"/>
        </w:rPr>
        <w:t>RECURRENTE</w:t>
      </w:r>
      <w:r>
        <w:rPr>
          <w:rFonts w:ascii="Palatino Linotype" w:eastAsia="Palatino Linotype" w:hAnsi="Palatino Linotype" w:cs="Palatino Linotype"/>
          <w:color w:val="201F1E"/>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09DC4A6B"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631FB3ED"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Empero lo anterior, debe destacarse que el artículo 15 de Ley de Transparencia y Acceso a la Información Pública del Estado de México y Municipios prevé que, toda persona tendrá acceso a la información </w:t>
      </w:r>
      <w:r>
        <w:rPr>
          <w:rFonts w:ascii="Palatino Linotype" w:eastAsia="Palatino Linotype" w:hAnsi="Palatino Linotype" w:cs="Palatino Linotype"/>
          <w:color w:val="000000"/>
        </w:rPr>
        <w:t>sin necesidad de acreditar interés alguno o justificar su utilización, de lo que se infiere que para el </w:t>
      </w:r>
      <w:r>
        <w:rPr>
          <w:rFonts w:ascii="Palatino Linotype" w:eastAsia="Palatino Linotype" w:hAnsi="Palatino Linotype" w:cs="Palatino Linotype"/>
          <w:color w:val="201F1E"/>
        </w:rPr>
        <w:t>ejercicio</w:t>
      </w:r>
      <w:r>
        <w:rPr>
          <w:rFonts w:ascii="Palatino Linotype" w:eastAsia="Palatino Linotype" w:hAnsi="Palatino Linotype" w:cs="Palatino Linotype"/>
          <w:color w:val="000000"/>
        </w:rPr>
        <w:t> del derecho de acceso a la información pública, </w:t>
      </w:r>
      <w:r>
        <w:rPr>
          <w:rFonts w:ascii="Palatino Linotype" w:eastAsia="Palatino Linotype" w:hAnsi="Palatino Linotype" w:cs="Palatino Linotype"/>
          <w:b/>
          <w:color w:val="000000"/>
          <w:u w:val="single"/>
        </w:rPr>
        <w:t>el nombre no es un requisito </w:t>
      </w:r>
      <w:r>
        <w:rPr>
          <w:rFonts w:ascii="Palatino Linotype" w:eastAsia="Palatino Linotype" w:hAnsi="Palatino Linotype" w:cs="Palatino Linotype"/>
          <w:b/>
          <w:i/>
          <w:color w:val="000000"/>
          <w:u w:val="single"/>
        </w:rPr>
        <w:t>sine qua non</w:t>
      </w:r>
      <w:r>
        <w:rPr>
          <w:rFonts w:ascii="Palatino Linotype" w:eastAsia="Palatino Linotype" w:hAnsi="Palatino Linotype" w:cs="Palatino Linotype"/>
          <w:color w:val="000000"/>
        </w:rPr>
        <w:t xml:space="preserve"> para que los </w:t>
      </w:r>
      <w:r>
        <w:rPr>
          <w:rFonts w:ascii="Palatino Linotype" w:eastAsia="Palatino Linotype" w:hAnsi="Palatino Linotype" w:cs="Palatino Linotype"/>
          <w:color w:val="000000"/>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24668C2"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722DB643"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EB615BC"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 </w:t>
      </w:r>
    </w:p>
    <w:p w14:paraId="0A6CAEA2" w14:textId="77777777" w:rsidR="00621ADB" w:rsidRDefault="0060161C">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Constitución Política de los Estados Unidos Mexicanos</w:t>
      </w:r>
    </w:p>
    <w:p w14:paraId="06742E75"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“Artículo 6o.</w:t>
      </w:r>
      <w:r>
        <w:rPr>
          <w:rFonts w:ascii="Palatino Linotype" w:eastAsia="Palatino Linotype" w:hAnsi="Palatino Linotype" w:cs="Palatino Linotype"/>
          <w:i/>
          <w:color w:val="201F1E"/>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color w:val="201F1E"/>
          <w:sz w:val="22"/>
          <w:szCs w:val="22"/>
        </w:rPr>
        <w:t>El derecho a la información será garantizado por el Estado.</w:t>
      </w:r>
    </w:p>
    <w:p w14:paraId="3226FB6C"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Toda persona tiene derecho al libre acceso a información plural y oportuna, así como a buscar, recibir y difundir información e ideas de toda índole por cualquier medio de expresión.</w:t>
      </w:r>
    </w:p>
    <w:p w14:paraId="1C882B90"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Para efectos de lo dispuesto en el presente artículo se observará lo siguiente:</w:t>
      </w:r>
    </w:p>
    <w:p w14:paraId="2EFBF82C"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A. Para el ejercicio del derecho de acceso a la información, la Federación, los Estados y el Distrito Federal, en el ámbito de sus respectivas competencias, se regirán por los siguientes principios y bases:</w:t>
      </w:r>
    </w:p>
    <w:p w14:paraId="136C870E"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w:t>
      </w:r>
      <w:r>
        <w:rPr>
          <w:rFonts w:ascii="Palatino Linotype" w:eastAsia="Palatino Linotype" w:hAnsi="Palatino Linotype" w:cs="Palatino Linotype"/>
          <w:i/>
          <w:color w:val="201F1E"/>
          <w:sz w:val="22"/>
          <w:szCs w:val="22"/>
          <w:u w:val="single"/>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85DA1C"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II.    La información que se refiere a la vida privada y los datos personales será protegida en los términos y con las excepciones que fijen las leyes.</w:t>
      </w:r>
    </w:p>
    <w:p w14:paraId="3B0D3C96"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u w:val="single"/>
        </w:rPr>
        <w:t>III.   Toda persona, sin necesidad de acreditar interés alguno o justificar su utilización, tendrá acceso gratuito a la información pública, a sus datos personales o a la rectificación de éstos.</w:t>
      </w:r>
    </w:p>
    <w:p w14:paraId="05DA2D39"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IV.   Se establecerán mecanismos de acceso a la información y procedimientos de revisión expeditos que se sustanciarán ante los organismos autónomos especializados e imparciales que establece esta Constitución.</w:t>
      </w:r>
    </w:p>
    <w:p w14:paraId="1E05984F"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B0D5CE"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u w:val="single"/>
        </w:rPr>
        <w:t>VI.   Las leyes determinarán la manera en que los sujetos obligados deberán hacer pública la información relativa a los recursos públicos que entreguen a personas físicas o morales.</w:t>
      </w:r>
    </w:p>
    <w:p w14:paraId="36072823"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VII. La inobservancia a las disposiciones en materia de acceso a la información pública será sancionada en los términos que dispongan las leyes.</w:t>
      </w:r>
    </w:p>
    <w:p w14:paraId="4B9B9A8F"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B85439B"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w:t>
      </w:r>
    </w:p>
    <w:p w14:paraId="327F5B1D"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u w:val="single"/>
        </w:rPr>
        <w:t>La ley establecerá aquella información que se considere reservada o confidencial.</w:t>
      </w:r>
      <w:r>
        <w:rPr>
          <w:rFonts w:ascii="Palatino Linotype" w:eastAsia="Palatino Linotype" w:hAnsi="Palatino Linotype" w:cs="Palatino Linotype"/>
          <w:b/>
          <w:i/>
          <w:color w:val="201F1E"/>
          <w:sz w:val="22"/>
          <w:szCs w:val="22"/>
        </w:rPr>
        <w:t>”</w:t>
      </w:r>
    </w:p>
    <w:p w14:paraId="5AD73E2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000000"/>
          <w:sz w:val="22"/>
          <w:szCs w:val="22"/>
        </w:rPr>
        <w:t> </w:t>
      </w:r>
    </w:p>
    <w:p w14:paraId="0E78371C" w14:textId="77777777" w:rsidR="00621ADB" w:rsidRDefault="0060161C">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Constitución Política del Estado Libre y Soberano de México</w:t>
      </w:r>
    </w:p>
    <w:p w14:paraId="34E6F7F4" w14:textId="77777777" w:rsidR="00621ADB" w:rsidRDefault="0060161C">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 </w:t>
      </w:r>
    </w:p>
    <w:p w14:paraId="1BC309C2"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“Artículo 5.  …</w:t>
      </w:r>
    </w:p>
    <w:p w14:paraId="245A2135"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lastRenderedPageBreak/>
        <w:t>El derecho a la información será garantizado por el Estado. La ley establecerá las previsiones que permitan asegurar la protección, el respeto y la difusión de este derecho.</w:t>
      </w:r>
    </w:p>
    <w:p w14:paraId="30B8BDE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A5A23FB"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Este derecho se regirá por los principios y bases siguientes:</w:t>
      </w:r>
    </w:p>
    <w:p w14:paraId="2F231E9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eastAsia="Palatino Linotype" w:hAnsi="Palatino Linotype" w:cs="Palatino Linotype"/>
          <w:i/>
          <w:color w:val="201F1E"/>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59487D"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II.</w:t>
      </w:r>
      <w:r>
        <w:rPr>
          <w:rFonts w:ascii="Palatino Linotype" w:eastAsia="Palatino Linotype" w:hAnsi="Palatino Linotype" w:cs="Palatino Linotype"/>
          <w:i/>
          <w:color w:val="201F1E"/>
          <w:sz w:val="22"/>
          <w:szCs w:val="22"/>
        </w:rPr>
        <w:t> La información referente a la intimidad de la vida privada y la imagen de las personas será protegida a través de un marco jurídico rígido de tratamiento y manejo de datos personales, con las excepciones que establezca la ley reglamentaria.</w:t>
      </w:r>
    </w:p>
    <w:p w14:paraId="093EE81D"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III. Toda persona, sin necesidad de acreditar interés alguno o justificar su utilización, tendrá acceso gratuito a la información pública, a sus datos personales o a la rectificación de éstos.</w:t>
      </w:r>
    </w:p>
    <w:p w14:paraId="4D5B4806"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IV.</w:t>
      </w:r>
      <w:r>
        <w:rPr>
          <w:rFonts w:ascii="Palatino Linotype" w:eastAsia="Palatino Linotype" w:hAnsi="Palatino Linotype" w:cs="Palatino Linotype"/>
          <w:i/>
          <w:color w:val="201F1E"/>
          <w:sz w:val="22"/>
          <w:szCs w:val="22"/>
        </w:rPr>
        <w:t> Se establecerán mecanismos de acceso a la información y procedimientos de revisión expeditos que se sustanciarán ante el organismo autónomo especializado e imparcial que establece esta Constitución.</w:t>
      </w:r>
    </w:p>
    <w:p w14:paraId="41E6DD74"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V.</w:t>
      </w:r>
      <w:r>
        <w:rPr>
          <w:rFonts w:ascii="Palatino Linotype" w:eastAsia="Palatino Linotype" w:hAnsi="Palatino Linotype" w:cs="Palatino Linotype"/>
          <w:i/>
          <w:color w:val="201F1E"/>
          <w:sz w:val="22"/>
          <w:szCs w:val="22"/>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eastAsia="Palatino Linotype" w:hAnsi="Palatino Linotype" w:cs="Palatino Linotype"/>
          <w:b/>
          <w:i/>
          <w:color w:val="201F1E"/>
          <w:sz w:val="22"/>
          <w:szCs w:val="22"/>
        </w:rPr>
        <w:t>”</w:t>
      </w:r>
    </w:p>
    <w:p w14:paraId="50CA8BB9"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sz w:val="22"/>
          <w:szCs w:val="22"/>
        </w:rPr>
        <w:t>(Énfasis añadido)</w:t>
      </w:r>
    </w:p>
    <w:p w14:paraId="055F1738" w14:textId="77777777" w:rsidR="00621ADB" w:rsidRDefault="0060161C">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sz w:val="22"/>
          <w:szCs w:val="22"/>
        </w:rPr>
        <w:t> </w:t>
      </w:r>
    </w:p>
    <w:p w14:paraId="2C0A7F1C"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lastRenderedPageBreak/>
        <w:t>Por otra parte, del contenido del artículo 1 de la Constitución Política de los Estados Unidos Mexicanos, se destaca lo siguiente:</w:t>
      </w:r>
    </w:p>
    <w:p w14:paraId="29BB1EC1"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 </w:t>
      </w:r>
    </w:p>
    <w:p w14:paraId="0A9793D4"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“Artículo 1o</w:t>
      </w:r>
      <w:r>
        <w:rPr>
          <w:rFonts w:ascii="Palatino Linotype" w:eastAsia="Palatino Linotype" w:hAnsi="Palatino Linotype" w:cs="Palatino Linotype"/>
          <w:i/>
          <w:color w:val="201F1E"/>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40EEAF4"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u w:val="single"/>
        </w:rPr>
        <w:t>Las normas relativas a los derechos humanos se interpretarán</w:t>
      </w:r>
      <w:r>
        <w:rPr>
          <w:rFonts w:ascii="Palatino Linotype" w:eastAsia="Palatino Linotype" w:hAnsi="Palatino Linotype" w:cs="Palatino Linotype"/>
          <w:i/>
          <w:color w:val="201F1E"/>
          <w:sz w:val="22"/>
          <w:szCs w:val="22"/>
        </w:rPr>
        <w:t> de conformidad con esta Constitución y con los tratados internacionales de la </w:t>
      </w:r>
      <w:r>
        <w:rPr>
          <w:rFonts w:ascii="Palatino Linotype" w:eastAsia="Palatino Linotype" w:hAnsi="Palatino Linotype" w:cs="Palatino Linotype"/>
          <w:b/>
          <w:i/>
          <w:color w:val="201F1E"/>
          <w:sz w:val="22"/>
          <w:szCs w:val="22"/>
        </w:rPr>
        <w:t>materia </w:t>
      </w:r>
      <w:r>
        <w:rPr>
          <w:rFonts w:ascii="Palatino Linotype" w:eastAsia="Palatino Linotype" w:hAnsi="Palatino Linotype" w:cs="Palatino Linotype"/>
          <w:b/>
          <w:i/>
          <w:color w:val="201F1E"/>
          <w:sz w:val="22"/>
          <w:szCs w:val="22"/>
          <w:u w:val="single"/>
        </w:rPr>
        <w:t>favoreciendo en todo tiempo a las personas la protección más amplia</w:t>
      </w:r>
      <w:r>
        <w:rPr>
          <w:rFonts w:ascii="Palatino Linotype" w:eastAsia="Palatino Linotype" w:hAnsi="Palatino Linotype" w:cs="Palatino Linotype"/>
          <w:b/>
          <w:i/>
          <w:color w:val="201F1E"/>
          <w:sz w:val="22"/>
          <w:szCs w:val="22"/>
        </w:rPr>
        <w:t>.</w:t>
      </w:r>
    </w:p>
    <w:p w14:paraId="7B5882A8"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201F1E"/>
          <w:sz w:val="22"/>
          <w:szCs w:val="22"/>
        </w:rPr>
        <w:t>. En consecuencia, el Estado deberá prevenir, investigar, sancionar y reparar las violaciones a los derechos humanos, en los términos que establezca la ley.</w:t>
      </w:r>
      <w:r>
        <w:rPr>
          <w:rFonts w:ascii="Palatino Linotype" w:eastAsia="Palatino Linotype" w:hAnsi="Palatino Linotype" w:cs="Palatino Linotype"/>
          <w:b/>
          <w:i/>
          <w:color w:val="201F1E"/>
          <w:sz w:val="22"/>
          <w:szCs w:val="22"/>
        </w:rPr>
        <w:t>”</w:t>
      </w:r>
    </w:p>
    <w:p w14:paraId="0D995627"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sz w:val="22"/>
          <w:szCs w:val="22"/>
        </w:rPr>
        <w:t>(Énfasis añadido)</w:t>
      </w:r>
    </w:p>
    <w:p w14:paraId="4E8AD808" w14:textId="77777777" w:rsidR="00621ADB" w:rsidRDefault="0060161C">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sz w:val="22"/>
          <w:szCs w:val="22"/>
        </w:rPr>
        <w:t> </w:t>
      </w:r>
    </w:p>
    <w:p w14:paraId="3F8E77C8"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961B6E"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34A73AC1"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rPr>
      </w:pPr>
      <w:r>
        <w:rPr>
          <w:rFonts w:ascii="Palatino Linotype" w:eastAsia="Palatino Linotype" w:hAnsi="Palatino Linotype" w:cs="Palatino Linotype"/>
          <w:color w:val="201F1E"/>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0E85D841"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3FC5FCCC"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b/>
          <w:i/>
          <w:color w:val="201F1E"/>
          <w:sz w:val="22"/>
          <w:szCs w:val="22"/>
        </w:rPr>
        <w:t>“Acceso a información gubernamental. No debe condicionarse a que el solicitante acredite su personalidad, demuestre interés alguno o justifique su utilización.</w:t>
      </w:r>
      <w:r>
        <w:rPr>
          <w:rFonts w:ascii="Palatino Linotype" w:eastAsia="Palatino Linotype" w:hAnsi="Palatino Linotype" w:cs="Palatino Linotype"/>
          <w:i/>
          <w:color w:val="201F1E"/>
          <w:sz w:val="22"/>
          <w:szCs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97FE704" w14:textId="77777777" w:rsidR="00621ADB" w:rsidRDefault="0060161C">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i/>
          <w:color w:val="201F1E"/>
          <w:sz w:val="22"/>
          <w:szCs w:val="22"/>
        </w:rPr>
        <w:t> </w:t>
      </w:r>
    </w:p>
    <w:p w14:paraId="2ACE542E"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rPr>
      </w:pPr>
      <w:r>
        <w:rPr>
          <w:rFonts w:ascii="Palatino Linotype" w:eastAsia="Palatino Linotype" w:hAnsi="Palatino Linotype" w:cs="Palatino Linotype"/>
          <w:color w:val="201F1E"/>
        </w:rPr>
        <w:t>En ese orden de ideas, se estima que el requerimiento relativo al nombre como presupuesto de procedibilidad, podría limitar el ejercicio del derecho de acceso a la información pública, debido a que, el hecho de solicitar la identificación del</w:t>
      </w:r>
      <w:r>
        <w:rPr>
          <w:rFonts w:ascii="Palatino Linotype" w:eastAsia="Palatino Linotype" w:hAnsi="Palatino Linotype" w:cs="Palatino Linotype"/>
          <w:b/>
          <w:color w:val="201F1E"/>
        </w:rPr>
        <w:t> RECURRENTE</w:t>
      </w:r>
      <w:r>
        <w:rPr>
          <w:rFonts w:ascii="Palatino Linotype" w:eastAsia="Palatino Linotype" w:hAnsi="Palatino Linotype" w:cs="Palatino Linotype"/>
          <w:color w:val="201F1E"/>
        </w:rPr>
        <w:t> a través de dicho dato personal, en ciertos extremos se equipara a una exigencia acerca de su interés o justificación de su utilización, lo que materialmente haría nugatorio un derecho fundamental.</w:t>
      </w:r>
    </w:p>
    <w:p w14:paraId="48802660"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rPr>
      </w:pPr>
    </w:p>
    <w:p w14:paraId="774D1D85"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 xml:space="preserve">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w:t>
      </w:r>
      <w:r>
        <w:rPr>
          <w:rFonts w:ascii="Palatino Linotype" w:eastAsia="Palatino Linotype" w:hAnsi="Palatino Linotype" w:cs="Palatino Linotype"/>
          <w:color w:val="201F1E"/>
        </w:rPr>
        <w:lastRenderedPageBreak/>
        <w:t>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64725FB1"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12CDE431"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7FB7EBF0"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rPr>
      </w:pPr>
      <w:r>
        <w:rPr>
          <w:rFonts w:ascii="Palatino Linotype" w:eastAsia="Palatino Linotype" w:hAnsi="Palatino Linotype" w:cs="Palatino Linotype"/>
          <w:color w:val="201F1E"/>
        </w:rPr>
        <w:t>Asimismo, se estima que el requisito relativo al nombre del </w:t>
      </w:r>
      <w:r>
        <w:rPr>
          <w:rFonts w:ascii="Palatino Linotype" w:eastAsia="Palatino Linotype" w:hAnsi="Palatino Linotype" w:cs="Palatino Linotype"/>
          <w:b/>
          <w:color w:val="201F1E"/>
        </w:rPr>
        <w:t>RECURRENTE</w:t>
      </w:r>
      <w:r>
        <w:rPr>
          <w:rFonts w:ascii="Palatino Linotype" w:eastAsia="Palatino Linotype" w:hAnsi="Palatino Linotype" w:cs="Palatino Linotype"/>
          <w:color w:val="201F1E"/>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color w:val="201F1E"/>
        </w:rPr>
        <w:t>EL RECURRENTE</w:t>
      </w:r>
      <w:r>
        <w:rPr>
          <w:rFonts w:ascii="Palatino Linotype" w:eastAsia="Palatino Linotype" w:hAnsi="Palatino Linotype" w:cs="Palatino Linotype"/>
          <w:color w:val="201F1E"/>
        </w:rPr>
        <w:t> es la misma persona que realizó la solicitud de acceso a la información pública que ahora se impugna.</w:t>
      </w:r>
    </w:p>
    <w:p w14:paraId="4DE3429C" w14:textId="77777777" w:rsidR="00621ADB" w:rsidRDefault="00621A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p>
    <w:p w14:paraId="227F2E38" w14:textId="77777777" w:rsidR="00621ADB" w:rsidRDefault="0060161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rPr>
      </w:pPr>
      <w:r>
        <w:rPr>
          <w:rFonts w:ascii="Palatino Linotype" w:eastAsia="Palatino Linotype" w:hAnsi="Palatino Linotype" w:cs="Palatino Linotype"/>
          <w:color w:val="201F1E"/>
        </w:rPr>
        <w:t xml:space="preserve">En adición a lo anterior, el propio artículo 180, en su último párrafo, establece que cuando el recurso de revisión se interponga de manera electrónica no será indispensable que contenga determinados requisitos, entre ellos, el nombre </w:t>
      </w:r>
      <w:r>
        <w:rPr>
          <w:rFonts w:ascii="Palatino Linotype" w:eastAsia="Palatino Linotype" w:hAnsi="Palatino Linotype" w:cs="Palatino Linotype"/>
          <w:color w:val="201F1E"/>
        </w:rPr>
        <w:lastRenderedPageBreak/>
        <w:t>del</w:t>
      </w:r>
      <w:r>
        <w:rPr>
          <w:rFonts w:ascii="Palatino Linotype" w:eastAsia="Palatino Linotype" w:hAnsi="Palatino Linotype" w:cs="Palatino Linotype"/>
          <w:b/>
          <w:color w:val="201F1E"/>
        </w:rPr>
        <w:t> RECURRENTE;</w:t>
      </w:r>
      <w:r>
        <w:rPr>
          <w:rFonts w:ascii="Palatino Linotype" w:eastAsia="Palatino Linotype" w:hAnsi="Palatino Linotype" w:cs="Palatino Linotype"/>
          <w:color w:val="201F1E"/>
        </w:rPr>
        <w:t> por lo que, en el presente caso, al haber sido presentado el recurso de revisión vía </w:t>
      </w:r>
      <w:r>
        <w:rPr>
          <w:rFonts w:ascii="Palatino Linotype" w:eastAsia="Palatino Linotype" w:hAnsi="Palatino Linotype" w:cs="Palatino Linotype"/>
          <w:b/>
          <w:color w:val="201F1E"/>
        </w:rPr>
        <w:t>SAIMEX</w:t>
      </w:r>
      <w:r>
        <w:rPr>
          <w:rFonts w:ascii="Palatino Linotype" w:eastAsia="Palatino Linotype" w:hAnsi="Palatino Linotype" w:cs="Palatino Linotype"/>
          <w:color w:val="201F1E"/>
        </w:rPr>
        <w:t>, dicho requisito resulta innecesario.</w:t>
      </w:r>
    </w:p>
    <w:p w14:paraId="041CE221" w14:textId="77777777" w:rsidR="00621ADB" w:rsidRDefault="00621ADB">
      <w:pPr>
        <w:spacing w:line="360" w:lineRule="auto"/>
        <w:jc w:val="both"/>
        <w:rPr>
          <w:rFonts w:ascii="Palatino Linotype" w:eastAsia="Palatino Linotype" w:hAnsi="Palatino Linotype" w:cs="Palatino Linotype"/>
        </w:rPr>
      </w:pPr>
    </w:p>
    <w:p w14:paraId="631BBFE9"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Estudio y resolución del asunto.</w:t>
      </w:r>
      <w:r>
        <w:rPr>
          <w:rFonts w:ascii="Palatino Linotype" w:eastAsia="Palatino Linotype" w:hAnsi="Palatino Linotype" w:cs="Palatino Linotype"/>
          <w:color w:val="000000"/>
        </w:rPr>
        <w:t xml:space="preserve"> Del análisis efectuado, se advierte que el </w:t>
      </w:r>
      <w:r>
        <w:rPr>
          <w:rFonts w:ascii="Palatino Linotype" w:eastAsia="Palatino Linotype" w:hAnsi="Palatino Linotype" w:cs="Palatino Linotype"/>
        </w:rPr>
        <w:t>presente recurso de revisión es procedente, pues se actualizan las hipótesis previstas en las fracciones VII y XI, del artículo 179 de la ley de la materia, el cual a la letra dice:</w:t>
      </w:r>
    </w:p>
    <w:p w14:paraId="3A9E4921" w14:textId="77777777" w:rsidR="00621ADB" w:rsidRDefault="00621ADB">
      <w:pPr>
        <w:jc w:val="both"/>
        <w:rPr>
          <w:rFonts w:ascii="Palatino Linotype" w:eastAsia="Palatino Linotype" w:hAnsi="Palatino Linotype" w:cs="Palatino Linotype"/>
        </w:rPr>
      </w:pPr>
    </w:p>
    <w:p w14:paraId="656837A6"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6A2BD224"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298C11"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VII. La falta de respuesta a una solicitud de acceso a la información</w:t>
      </w:r>
      <w:r>
        <w:rPr>
          <w:rFonts w:ascii="Palatino Linotype" w:eastAsia="Palatino Linotype" w:hAnsi="Palatino Linotype" w:cs="Palatino Linotype"/>
          <w:i/>
          <w:color w:val="000000"/>
          <w:sz w:val="22"/>
          <w:szCs w:val="22"/>
        </w:rPr>
        <w:t>;</w:t>
      </w:r>
    </w:p>
    <w:p w14:paraId="0AEF2B9D" w14:textId="77777777" w:rsidR="00621ADB" w:rsidRDefault="0060161C">
      <w:pPr>
        <w:ind w:left="851" w:right="90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1468EBCC" w14:textId="77777777" w:rsidR="00621ADB" w:rsidRDefault="0060161C">
      <w:pPr>
        <w:ind w:left="851" w:right="90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 La falta de trámite a una solicitud;</w:t>
      </w:r>
    </w:p>
    <w:p w14:paraId="182AA8B5"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796F90D" w14:textId="77777777" w:rsidR="00621ADB" w:rsidRDefault="0060161C">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35DD44A2" w14:textId="77777777" w:rsidR="00621ADB" w:rsidRDefault="00621ADB">
      <w:pPr>
        <w:ind w:left="851" w:right="901"/>
        <w:jc w:val="both"/>
        <w:rPr>
          <w:rFonts w:ascii="Palatino Linotype" w:eastAsia="Palatino Linotype" w:hAnsi="Palatino Linotype" w:cs="Palatino Linotype"/>
          <w:i/>
          <w:color w:val="000000"/>
        </w:rPr>
      </w:pPr>
    </w:p>
    <w:p w14:paraId="049EDDB0" w14:textId="77777777" w:rsidR="00621ADB" w:rsidRDefault="0060161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supuestos de procedencia del recurso de revisión, en aquellos casos en que no se dé tramite a una solicitud y por tanto respuesta a lo solicitado; por lo que, en el presente caso,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turnar a las áreas competentes y dar respuesta a lo requerido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su solicitud de información pública; </w:t>
      </w:r>
      <w:r>
        <w:rPr>
          <w:rFonts w:ascii="Palatino Linotype" w:eastAsia="Palatino Linotype" w:hAnsi="Palatino Linotype" w:cs="Palatino Linotype"/>
          <w:color w:val="000000"/>
        </w:rPr>
        <w:t xml:space="preserve">atento a ello, este Órgano Garante considera que las razones o motivos de inconformidad son </w:t>
      </w:r>
      <w:r>
        <w:rPr>
          <w:rFonts w:ascii="Palatino Linotype" w:eastAsia="Palatino Linotype" w:hAnsi="Palatino Linotype" w:cs="Palatino Linotype"/>
          <w:b/>
          <w:color w:val="000000"/>
        </w:rPr>
        <w:t>fundados</w:t>
      </w:r>
      <w:r>
        <w:rPr>
          <w:rFonts w:ascii="Palatino Linotype" w:eastAsia="Palatino Linotype" w:hAnsi="Palatino Linotype" w:cs="Palatino Linotype"/>
          <w:color w:val="000000"/>
        </w:rPr>
        <w:t>.</w:t>
      </w:r>
    </w:p>
    <w:p w14:paraId="5DAB4C74" w14:textId="77777777" w:rsidR="00621ADB" w:rsidRDefault="00621ADB">
      <w:pPr>
        <w:spacing w:line="360" w:lineRule="auto"/>
        <w:jc w:val="both"/>
        <w:rPr>
          <w:rFonts w:ascii="Palatino Linotype" w:eastAsia="Palatino Linotype" w:hAnsi="Palatino Linotype" w:cs="Palatino Linotype"/>
        </w:rPr>
      </w:pPr>
    </w:p>
    <w:p w14:paraId="0FA0DBBB"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Previo a exponer los argumentos que justifiquen la afirmación que antecede, es de recordar que el particular solicitó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medularmente lo siguiente: </w:t>
      </w:r>
    </w:p>
    <w:p w14:paraId="291A4364" w14:textId="77777777" w:rsidR="00621ADB" w:rsidRDefault="00621ADB">
      <w:pPr>
        <w:spacing w:line="360" w:lineRule="auto"/>
        <w:jc w:val="both"/>
        <w:rPr>
          <w:rFonts w:ascii="Palatino Linotype" w:eastAsia="Palatino Linotype" w:hAnsi="Palatino Linotype" w:cs="Palatino Linotype"/>
        </w:rPr>
      </w:pPr>
    </w:p>
    <w:p w14:paraId="6F981E7B" w14:textId="77777777" w:rsidR="00621ADB" w:rsidRDefault="0060161C">
      <w:pPr>
        <w:numPr>
          <w:ilvl w:val="0"/>
          <w:numId w:val="1"/>
        </w:numPr>
        <w:pBdr>
          <w:top w:val="nil"/>
          <w:left w:val="nil"/>
          <w:bottom w:val="nil"/>
          <w:right w:val="nil"/>
          <w:between w:val="nil"/>
        </w:pBdr>
        <w:ind w:left="1276" w:right="90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Salario de los Regidores del Municipio de Ozumba de la quincena del 01/08/2020 al 15/08/2020;</w:t>
      </w:r>
    </w:p>
    <w:p w14:paraId="39D635A4" w14:textId="77777777" w:rsidR="00621ADB" w:rsidRDefault="0060161C">
      <w:pPr>
        <w:numPr>
          <w:ilvl w:val="0"/>
          <w:numId w:val="1"/>
        </w:numPr>
        <w:pBdr>
          <w:top w:val="nil"/>
          <w:left w:val="nil"/>
          <w:bottom w:val="nil"/>
          <w:right w:val="nil"/>
          <w:between w:val="nil"/>
        </w:pBdr>
        <w:ind w:left="1276" w:right="90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Nombre Completo; </w:t>
      </w:r>
    </w:p>
    <w:p w14:paraId="69D4B037" w14:textId="77777777" w:rsidR="00621ADB" w:rsidRDefault="0060161C">
      <w:pPr>
        <w:numPr>
          <w:ilvl w:val="0"/>
          <w:numId w:val="1"/>
        </w:numPr>
        <w:pBdr>
          <w:top w:val="nil"/>
          <w:left w:val="nil"/>
          <w:bottom w:val="nil"/>
          <w:right w:val="nil"/>
          <w:between w:val="nil"/>
        </w:pBdr>
        <w:ind w:left="1276" w:right="90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Profesión; y</w:t>
      </w:r>
    </w:p>
    <w:p w14:paraId="1F790D71" w14:textId="77777777" w:rsidR="00621ADB" w:rsidRDefault="0060161C">
      <w:pPr>
        <w:numPr>
          <w:ilvl w:val="0"/>
          <w:numId w:val="1"/>
        </w:numPr>
        <w:pBdr>
          <w:top w:val="nil"/>
          <w:left w:val="nil"/>
          <w:bottom w:val="nil"/>
          <w:right w:val="nil"/>
          <w:between w:val="nil"/>
        </w:pBdr>
        <w:ind w:left="1276" w:right="90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Ultimo grado de estudios.</w:t>
      </w:r>
    </w:p>
    <w:p w14:paraId="02056B44" w14:textId="77777777" w:rsidR="00621ADB" w:rsidRDefault="0060161C">
      <w:pPr>
        <w:tabs>
          <w:tab w:val="left" w:pos="3324"/>
        </w:tabs>
        <w:rPr>
          <w:rFonts w:ascii="Palatino Linotype" w:eastAsia="Palatino Linotype" w:hAnsi="Palatino Linotype" w:cs="Palatino Linotype"/>
        </w:rPr>
      </w:pPr>
      <w:r>
        <w:rPr>
          <w:rFonts w:ascii="Palatino Linotype" w:eastAsia="Palatino Linotype" w:hAnsi="Palatino Linotype" w:cs="Palatino Linotype"/>
        </w:rPr>
        <w:tab/>
      </w:r>
    </w:p>
    <w:p w14:paraId="24F0C08F"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 acuerdo a las constancias que integran el expediente electrónico se advierte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fue omiso en atender la solicitud de información pública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asimismo, mediante un acto posterior como lo es el Informe Justificado pretendió darle atención al mismo adjuntando parte de la información requerida.  </w:t>
      </w:r>
    </w:p>
    <w:p w14:paraId="4317F1E9" w14:textId="77777777" w:rsidR="00621ADB" w:rsidRDefault="00621ADB">
      <w:pPr>
        <w:spacing w:line="360" w:lineRule="auto"/>
        <w:jc w:val="both"/>
        <w:rPr>
          <w:rFonts w:ascii="Palatino Linotype" w:eastAsia="Palatino Linotype" w:hAnsi="Palatino Linotype" w:cs="Palatino Linotype"/>
        </w:rPr>
      </w:pPr>
    </w:p>
    <w:p w14:paraId="08A85ED3"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mediante Informe Justificado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dio atención únicamente a los requerimientos de los incisos b), c) y d); tal como se muestra a continuación: </w:t>
      </w:r>
    </w:p>
    <w:p w14:paraId="3E4A7CB3" w14:textId="77777777" w:rsidR="00621ADB" w:rsidRDefault="0060161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293C5F6" wp14:editId="1A1E33AE">
            <wp:extent cx="5609842" cy="218211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64509"/>
                    <a:stretch>
                      <a:fillRect/>
                    </a:stretch>
                  </pic:blipFill>
                  <pic:spPr>
                    <a:xfrm>
                      <a:off x="0" y="0"/>
                      <a:ext cx="5609842" cy="2182114"/>
                    </a:xfrm>
                    <a:prstGeom prst="rect">
                      <a:avLst/>
                    </a:prstGeom>
                    <a:ln/>
                  </pic:spPr>
                </pic:pic>
              </a:graphicData>
            </a:graphic>
          </wp:inline>
        </w:drawing>
      </w:r>
    </w:p>
    <w:p w14:paraId="4A9EB3C5" w14:textId="77777777" w:rsidR="00621ADB" w:rsidRDefault="0060161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3B14E5D" wp14:editId="14180973">
            <wp:extent cx="5647867" cy="1912026"/>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23170" b="27349"/>
                    <a:stretch>
                      <a:fillRect/>
                    </a:stretch>
                  </pic:blipFill>
                  <pic:spPr>
                    <a:xfrm>
                      <a:off x="0" y="0"/>
                      <a:ext cx="5647867" cy="1912026"/>
                    </a:xfrm>
                    <a:prstGeom prst="rect">
                      <a:avLst/>
                    </a:prstGeom>
                    <a:ln/>
                  </pic:spPr>
                </pic:pic>
              </a:graphicData>
            </a:graphic>
          </wp:inline>
        </w:drawing>
      </w:r>
    </w:p>
    <w:p w14:paraId="4563771D" w14:textId="77777777" w:rsidR="00621ADB" w:rsidRDefault="00621ADB">
      <w:pPr>
        <w:spacing w:line="360" w:lineRule="auto"/>
        <w:jc w:val="both"/>
        <w:rPr>
          <w:rFonts w:ascii="Palatino Linotype" w:eastAsia="Palatino Linotype" w:hAnsi="Palatino Linotype" w:cs="Palatino Linotype"/>
        </w:rPr>
      </w:pPr>
    </w:p>
    <w:p w14:paraId="13DD789E"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y a fin de determinar si la información remitida incluye todos los Regidores, es importante traer en contexto el </w:t>
      </w:r>
      <w:r w:rsidR="00DB6909">
        <w:rPr>
          <w:rFonts w:ascii="Palatino Linotype" w:eastAsia="Palatino Linotype" w:hAnsi="Palatino Linotype" w:cs="Palatino Linotype"/>
        </w:rPr>
        <w:t>artículo</w:t>
      </w:r>
      <w:r>
        <w:rPr>
          <w:rFonts w:ascii="Palatino Linotype" w:eastAsia="Palatino Linotype" w:hAnsi="Palatino Linotype" w:cs="Palatino Linotype"/>
        </w:rPr>
        <w:t xml:space="preserve"> 4 del Bando Municipal de H. Ayuntamiento de Ozumba 2020, que dice lo siguiente: </w:t>
      </w:r>
    </w:p>
    <w:p w14:paraId="3268FA26" w14:textId="77777777" w:rsidR="00621ADB" w:rsidRDefault="00621ADB">
      <w:pPr>
        <w:jc w:val="both"/>
        <w:rPr>
          <w:rFonts w:ascii="Palatino Linotype" w:eastAsia="Palatino Linotype" w:hAnsi="Palatino Linotype" w:cs="Palatino Linotype"/>
          <w:sz w:val="22"/>
          <w:szCs w:val="22"/>
        </w:rPr>
      </w:pPr>
    </w:p>
    <w:p w14:paraId="005158DA" w14:textId="77777777" w:rsidR="00621ADB" w:rsidRDefault="0060161C">
      <w:pPr>
        <w:ind w:left="567"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4</w:t>
      </w:r>
      <w:r>
        <w:rPr>
          <w:rFonts w:ascii="Palatino Linotype" w:eastAsia="Palatino Linotype" w:hAnsi="Palatino Linotype" w:cs="Palatino Linotype"/>
          <w:i/>
          <w:sz w:val="22"/>
          <w:szCs w:val="22"/>
        </w:rPr>
        <w:t xml:space="preserve">.- Para efecto de definición de términos incorporados en el presente Bando </w:t>
      </w:r>
      <w:proofErr w:type="gramStart"/>
      <w:r>
        <w:rPr>
          <w:rFonts w:ascii="Palatino Linotype" w:eastAsia="Palatino Linotype" w:hAnsi="Palatino Linotype" w:cs="Palatino Linotype"/>
          <w:i/>
          <w:sz w:val="22"/>
          <w:szCs w:val="22"/>
        </w:rPr>
        <w:t>Municipal,  Se</w:t>
      </w:r>
      <w:proofErr w:type="gramEnd"/>
      <w:r>
        <w:rPr>
          <w:rFonts w:ascii="Palatino Linotype" w:eastAsia="Palatino Linotype" w:hAnsi="Palatino Linotype" w:cs="Palatino Linotype"/>
          <w:i/>
          <w:sz w:val="22"/>
          <w:szCs w:val="22"/>
        </w:rPr>
        <w:t xml:space="preserve"> entenderá por:</w:t>
      </w:r>
    </w:p>
    <w:p w14:paraId="4BCA5CE4" w14:textId="77777777" w:rsidR="00621ADB" w:rsidRDefault="00621ADB">
      <w:pPr>
        <w:ind w:left="567" w:right="901"/>
        <w:jc w:val="both"/>
        <w:rPr>
          <w:rFonts w:ascii="Palatino Linotype" w:eastAsia="Palatino Linotype" w:hAnsi="Palatino Linotype" w:cs="Palatino Linotype"/>
          <w:i/>
          <w:sz w:val="22"/>
          <w:szCs w:val="22"/>
        </w:rPr>
      </w:pPr>
    </w:p>
    <w:p w14:paraId="2D5A6B6D" w14:textId="77777777" w:rsidR="00621ADB" w:rsidRDefault="0060161C">
      <w:pPr>
        <w:ind w:left="567"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D7F93C" w14:textId="77777777" w:rsidR="00621ADB" w:rsidRDefault="0060161C">
      <w:pPr>
        <w:ind w:left="567"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ll. Ayuntamiento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Honorable Ayuntamiento Constitucional</w:t>
      </w:r>
      <w:r>
        <w:rPr>
          <w:rFonts w:ascii="Palatino Linotype" w:eastAsia="Palatino Linotype" w:hAnsi="Palatino Linotype" w:cs="Palatino Linotype"/>
          <w:i/>
          <w:sz w:val="22"/>
          <w:szCs w:val="22"/>
        </w:rPr>
        <w:t xml:space="preserve"> del Municipio de Ozumba, Estado de México; entendido </w:t>
      </w:r>
      <w:r>
        <w:rPr>
          <w:rFonts w:ascii="Palatino Linotype" w:eastAsia="Palatino Linotype" w:hAnsi="Palatino Linotype" w:cs="Palatino Linotype"/>
          <w:b/>
          <w:i/>
          <w:sz w:val="22"/>
          <w:szCs w:val="22"/>
        </w:rPr>
        <w:t>éste como el órgano de gobierno integrado por</w:t>
      </w:r>
      <w:r>
        <w:rPr>
          <w:rFonts w:ascii="Palatino Linotype" w:eastAsia="Palatino Linotype" w:hAnsi="Palatino Linotype" w:cs="Palatino Linotype"/>
          <w:i/>
          <w:sz w:val="22"/>
          <w:szCs w:val="22"/>
        </w:rPr>
        <w:t xml:space="preserve"> un Presidente Municipal, un Síndico y </w:t>
      </w:r>
      <w:r>
        <w:rPr>
          <w:rFonts w:ascii="Palatino Linotype" w:eastAsia="Palatino Linotype" w:hAnsi="Palatino Linotype" w:cs="Palatino Linotype"/>
          <w:b/>
          <w:i/>
          <w:sz w:val="22"/>
          <w:szCs w:val="22"/>
        </w:rPr>
        <w:t>diez Regidores</w:t>
      </w:r>
      <w:r>
        <w:rPr>
          <w:rFonts w:ascii="Palatino Linotype" w:eastAsia="Palatino Linotype" w:hAnsi="Palatino Linotype" w:cs="Palatino Linotype"/>
          <w:i/>
          <w:sz w:val="22"/>
          <w:szCs w:val="22"/>
        </w:rPr>
        <w:t xml:space="preserve">, quienes determinan los lineamientos generales del Gobierno Municipal, correspondiendo al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la ejecución de los mismos a través de las dependencias y unidades administrativas previamente conformadas.</w:t>
      </w:r>
    </w:p>
    <w:p w14:paraId="788134F5" w14:textId="77777777" w:rsidR="00621ADB" w:rsidRDefault="0060161C">
      <w:pPr>
        <w:ind w:left="567"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D983C2" w14:textId="77777777" w:rsidR="00621ADB" w:rsidRDefault="0060161C">
      <w:pPr>
        <w:ind w:left="567" w:right="9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roofErr w:type="spellStart"/>
      <w:r>
        <w:rPr>
          <w:rFonts w:ascii="Palatino Linotype" w:eastAsia="Palatino Linotype" w:hAnsi="Palatino Linotype" w:cs="Palatino Linotype"/>
          <w:sz w:val="22"/>
          <w:szCs w:val="22"/>
        </w:rPr>
        <w:t>enfasis</w:t>
      </w:r>
      <w:proofErr w:type="spellEnd"/>
      <w:r>
        <w:rPr>
          <w:rFonts w:ascii="Palatino Linotype" w:eastAsia="Palatino Linotype" w:hAnsi="Palatino Linotype" w:cs="Palatino Linotype"/>
          <w:sz w:val="22"/>
          <w:szCs w:val="22"/>
        </w:rPr>
        <w:t xml:space="preserve"> añadido)</w:t>
      </w:r>
    </w:p>
    <w:p w14:paraId="26A065F2" w14:textId="77777777" w:rsidR="00621ADB" w:rsidRDefault="00621ADB">
      <w:pPr>
        <w:ind w:right="901"/>
        <w:jc w:val="both"/>
        <w:rPr>
          <w:rFonts w:ascii="Palatino Linotype" w:eastAsia="Palatino Linotype" w:hAnsi="Palatino Linotype" w:cs="Palatino Linotype"/>
          <w:sz w:val="22"/>
          <w:szCs w:val="22"/>
        </w:rPr>
      </w:pPr>
    </w:p>
    <w:p w14:paraId="7273BECA" w14:textId="4FE294EF"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mencionar, que conforme al Bando Municipal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con diez Regidores, los cuales corresponde a la información remitida en informe justificado; en </w:t>
      </w:r>
      <w:r w:rsidR="000F631F">
        <w:rPr>
          <w:rFonts w:ascii="Palatino Linotype" w:eastAsia="Palatino Linotype" w:hAnsi="Palatino Linotype" w:cs="Palatino Linotype"/>
        </w:rPr>
        <w:t>consecuencia,</w:t>
      </w:r>
      <w:r>
        <w:rPr>
          <w:rFonts w:ascii="Palatino Linotype" w:eastAsia="Palatino Linotype" w:hAnsi="Palatino Linotype" w:cs="Palatino Linotype"/>
        </w:rPr>
        <w:t xml:space="preserve"> este </w:t>
      </w:r>
      <w:r w:rsidR="00DB6909">
        <w:rPr>
          <w:rFonts w:ascii="Palatino Linotype" w:eastAsia="Palatino Linotype" w:hAnsi="Palatino Linotype" w:cs="Palatino Linotype"/>
        </w:rPr>
        <w:t>Órgano</w:t>
      </w:r>
      <w:r>
        <w:rPr>
          <w:rFonts w:ascii="Palatino Linotype" w:eastAsia="Palatino Linotype" w:hAnsi="Palatino Linotype" w:cs="Palatino Linotype"/>
        </w:rPr>
        <w:t xml:space="preserve"> Garante determina que se tiene por atendidos los requerimientos identificados con los incisos b), c) y d), relacionados con el nombre, profesión y </w:t>
      </w:r>
      <w:r w:rsidR="00DB6909">
        <w:rPr>
          <w:rFonts w:ascii="Palatino Linotype" w:eastAsia="Palatino Linotype" w:hAnsi="Palatino Linotype" w:cs="Palatino Linotype"/>
        </w:rPr>
        <w:t>último</w:t>
      </w:r>
      <w:r>
        <w:rPr>
          <w:rFonts w:ascii="Palatino Linotype" w:eastAsia="Palatino Linotype" w:hAnsi="Palatino Linotype" w:cs="Palatino Linotype"/>
        </w:rPr>
        <w:t xml:space="preserve"> grado de estudios de los diez Regidores. </w:t>
      </w:r>
    </w:p>
    <w:p w14:paraId="5D6B4F54" w14:textId="77777777" w:rsidR="00621ADB" w:rsidRDefault="00621ADB">
      <w:pPr>
        <w:spacing w:line="360" w:lineRule="auto"/>
        <w:jc w:val="both"/>
        <w:rPr>
          <w:rFonts w:ascii="Palatino Linotype" w:eastAsia="Palatino Linotype" w:hAnsi="Palatino Linotype" w:cs="Palatino Linotype"/>
        </w:rPr>
      </w:pPr>
    </w:p>
    <w:p w14:paraId="78CF44C5"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al requerimiento realizado por el particular identificado con el inciso a), relacionado con el salario de todos los Regidores del Municipio de Ozumba, </w:t>
      </w:r>
      <w:r w:rsidR="00DB6909">
        <w:rPr>
          <w:rFonts w:ascii="Palatino Linotype" w:eastAsia="Palatino Linotype" w:hAnsi="Palatino Linotype" w:cs="Palatino Linotype"/>
        </w:rPr>
        <w:t>correspondientes</w:t>
      </w:r>
      <w:r>
        <w:rPr>
          <w:rFonts w:ascii="Palatino Linotype" w:eastAsia="Palatino Linotype" w:hAnsi="Palatino Linotype" w:cs="Palatino Linotype"/>
        </w:rPr>
        <w:t xml:space="preserve"> a la primera quincena de agosto del año en curso; al respecto,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fue omiso de </w:t>
      </w:r>
      <w:r w:rsidR="00DB6909">
        <w:rPr>
          <w:rFonts w:ascii="Palatino Linotype" w:eastAsia="Palatino Linotype" w:hAnsi="Palatino Linotype" w:cs="Palatino Linotype"/>
        </w:rPr>
        <w:t>pronunciar</w:t>
      </w:r>
      <w:r>
        <w:rPr>
          <w:rFonts w:ascii="Palatino Linotype" w:eastAsia="Palatino Linotype" w:hAnsi="Palatino Linotype" w:cs="Palatino Linotype"/>
        </w:rPr>
        <w:t xml:space="preserve"> o remitir </w:t>
      </w:r>
      <w:r w:rsidR="00DB6909">
        <w:rPr>
          <w:rFonts w:ascii="Palatino Linotype" w:eastAsia="Palatino Linotype" w:hAnsi="Palatino Linotype" w:cs="Palatino Linotype"/>
        </w:rPr>
        <w:t>información</w:t>
      </w:r>
      <w:r>
        <w:rPr>
          <w:rFonts w:ascii="Palatino Linotype" w:eastAsia="Palatino Linotype" w:hAnsi="Palatino Linotype" w:cs="Palatino Linotype"/>
        </w:rPr>
        <w:t xml:space="preserve">; sin embargo, este </w:t>
      </w:r>
      <w:r w:rsidR="00DB6909">
        <w:rPr>
          <w:rFonts w:ascii="Palatino Linotype" w:eastAsia="Palatino Linotype" w:hAnsi="Palatino Linotype" w:cs="Palatino Linotype"/>
        </w:rPr>
        <w:t>Órgano</w:t>
      </w:r>
      <w:r>
        <w:rPr>
          <w:rFonts w:ascii="Palatino Linotype" w:eastAsia="Palatino Linotype" w:hAnsi="Palatino Linotype" w:cs="Palatino Linotype"/>
        </w:rPr>
        <w:t xml:space="preserve"> Garante precisa dicho </w:t>
      </w:r>
      <w:r w:rsidR="00DB6909">
        <w:rPr>
          <w:rFonts w:ascii="Palatino Linotype" w:eastAsia="Palatino Linotype" w:hAnsi="Palatino Linotype" w:cs="Palatino Linotype"/>
        </w:rPr>
        <w:t>requerimiento</w:t>
      </w:r>
      <w:r>
        <w:rPr>
          <w:rFonts w:ascii="Palatino Linotype" w:eastAsia="Palatino Linotype" w:hAnsi="Palatino Linotype" w:cs="Palatino Linotype"/>
        </w:rPr>
        <w:t xml:space="preserve"> puede ser atendido de manera enunciativa mas no limitativa, mediante la entrega de recibo de nómina o reporte de remuneraciones.</w:t>
      </w:r>
    </w:p>
    <w:p w14:paraId="428E320D" w14:textId="77777777" w:rsidR="00621ADB" w:rsidRDefault="00621ADB">
      <w:pPr>
        <w:spacing w:line="360" w:lineRule="auto"/>
        <w:jc w:val="both"/>
        <w:rPr>
          <w:rFonts w:ascii="Palatino Linotype" w:eastAsia="Palatino Linotype" w:hAnsi="Palatino Linotype" w:cs="Palatino Linotype"/>
          <w:color w:val="222222"/>
          <w:highlight w:val="yellow"/>
        </w:rPr>
      </w:pPr>
    </w:p>
    <w:p w14:paraId="6422F98F" w14:textId="77777777" w:rsidR="00621ADB" w:rsidRDefault="0060161C">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tal efecto </w:t>
      </w:r>
      <w:r>
        <w:rPr>
          <w:rFonts w:ascii="Palatino Linotype" w:eastAsia="Palatino Linotype" w:hAnsi="Palatino Linotype" w:cs="Palatino Linotype"/>
        </w:rPr>
        <w:t xml:space="preserve">este Órgano Garante considera </w:t>
      </w:r>
      <w:r>
        <w:rPr>
          <w:rFonts w:ascii="Palatino Linotype" w:eastAsia="Palatino Linotype" w:hAnsi="Palatino Linotype" w:cs="Palatino Linotype"/>
          <w:color w:val="000000"/>
        </w:rPr>
        <w:t>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CCCBED0" w14:textId="77777777" w:rsidR="00621ADB" w:rsidRDefault="00621ADB">
      <w:pPr>
        <w:spacing w:line="360" w:lineRule="auto"/>
        <w:jc w:val="both"/>
        <w:rPr>
          <w:rFonts w:ascii="Palatino Linotype" w:eastAsia="Palatino Linotype" w:hAnsi="Palatino Linotype" w:cs="Palatino Linotype"/>
          <w:color w:val="000000"/>
        </w:rPr>
      </w:pPr>
    </w:p>
    <w:p w14:paraId="45C0FF90"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NÓMINA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Listado general de los trabajadores</w:t>
      </w:r>
      <w:r>
        <w:rPr>
          <w:rFonts w:ascii="Palatino Linotype" w:eastAsia="Palatino Linotype" w:hAnsi="Palatino Linotype" w:cs="Palatino Linotype"/>
          <w:i/>
          <w:sz w:val="22"/>
          <w:szCs w:val="22"/>
        </w:rPr>
        <w:t xml:space="preserve"> de una institución, en el cual se asientan las </w:t>
      </w:r>
      <w:r>
        <w:rPr>
          <w:rFonts w:ascii="Palatino Linotype" w:eastAsia="Palatino Linotype" w:hAnsi="Palatino Linotype" w:cs="Palatino Linotype"/>
          <w:b/>
          <w:i/>
          <w:sz w:val="22"/>
          <w:szCs w:val="22"/>
          <w:u w:val="single"/>
        </w:rPr>
        <w:t>percepciones brutas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deducciones</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u w:val="single"/>
        </w:rPr>
        <w:t>alcance neto</w:t>
      </w:r>
      <w:r>
        <w:rPr>
          <w:rFonts w:ascii="Palatino Linotype" w:eastAsia="Palatino Linotype" w:hAnsi="Palatino Linotype" w:cs="Palatino Linotype"/>
          <w:i/>
          <w:sz w:val="22"/>
          <w:szCs w:val="22"/>
          <w:u w:val="single"/>
        </w:rPr>
        <w:t xml:space="preserve"> de las mismas</w:t>
      </w:r>
      <w:r>
        <w:rPr>
          <w:rFonts w:ascii="Palatino Linotype" w:eastAsia="Palatino Linotype" w:hAnsi="Palatino Linotype" w:cs="Palatino Linotype"/>
          <w:i/>
          <w:sz w:val="22"/>
          <w:szCs w:val="22"/>
        </w:rPr>
        <w:t>; la nómina es utilizada para efectuar los pagos periódicos (semanales, quincenales o mensuales) a los trabajadores por concepto de sueldos y salarios.”</w:t>
      </w:r>
    </w:p>
    <w:p w14:paraId="18191487" w14:textId="77777777" w:rsidR="00621ADB" w:rsidRDefault="00621ADB">
      <w:pPr>
        <w:spacing w:line="360" w:lineRule="auto"/>
        <w:jc w:val="both"/>
        <w:rPr>
          <w:rFonts w:ascii="Palatino Linotype" w:eastAsia="Palatino Linotype" w:hAnsi="Palatino Linotype" w:cs="Palatino Linotype"/>
        </w:rPr>
      </w:pPr>
    </w:p>
    <w:p w14:paraId="15353106"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ya se apuntó, si bien es cierto nuestra legislación no establece la definición de “nómina”,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este término es mencionado en diferentes ordenamientos legales; así el artículo 804 fracción II de la Ley Federal de Trabajo, señalan: </w:t>
      </w:r>
    </w:p>
    <w:p w14:paraId="34A66C93" w14:textId="77777777" w:rsidR="00621ADB" w:rsidRDefault="00621ADB">
      <w:pPr>
        <w:spacing w:line="360" w:lineRule="auto"/>
        <w:jc w:val="both"/>
        <w:rPr>
          <w:rFonts w:ascii="Palatino Linotype" w:eastAsia="Palatino Linotype" w:hAnsi="Palatino Linotype" w:cs="Palatino Linotype"/>
        </w:rPr>
      </w:pPr>
    </w:p>
    <w:p w14:paraId="6FA0227C"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Pr>
          <w:rFonts w:ascii="Palatino Linotype" w:eastAsia="Palatino Linotype" w:hAnsi="Palatino Linotype" w:cs="Palatino Linotype"/>
          <w:i/>
          <w:sz w:val="22"/>
          <w:szCs w:val="22"/>
        </w:rPr>
        <w:t xml:space="preserve">: </w:t>
      </w:r>
    </w:p>
    <w:p w14:paraId="6D57DC24"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53CE6"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14:paraId="041E2C15"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8DE405" w14:textId="77777777" w:rsidR="00621ADB" w:rsidRDefault="0060161C">
      <w:pPr>
        <w:spacing w:line="276" w:lineRule="auto"/>
        <w:ind w:left="851" w:right="85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u w:val="single"/>
        </w:rPr>
        <w:t>Los documentos</w:t>
      </w:r>
      <w:r>
        <w:rPr>
          <w:rFonts w:ascii="Palatino Linotype" w:eastAsia="Palatino Linotype" w:hAnsi="Palatino Linotype" w:cs="Palatino Linotype"/>
          <w:i/>
          <w:sz w:val="22"/>
          <w:szCs w:val="22"/>
        </w:rPr>
        <w:t xml:space="preserve"> señalados en la fracción I </w:t>
      </w:r>
      <w:r>
        <w:rPr>
          <w:rFonts w:ascii="Palatino Linotype" w:eastAsia="Palatino Linotype" w:hAnsi="Palatino Linotype" w:cs="Palatino Linotype"/>
          <w:b/>
          <w:i/>
          <w:sz w:val="22"/>
          <w:szCs w:val="22"/>
          <w:u w:val="single"/>
        </w:rPr>
        <w:t>deberán conservarse</w:t>
      </w:r>
      <w:r>
        <w:rPr>
          <w:rFonts w:ascii="Palatino Linotype" w:eastAsia="Palatino Linotype" w:hAnsi="Palatino Linotype" w:cs="Palatino Linotype"/>
          <w:i/>
          <w:sz w:val="22"/>
          <w:szCs w:val="22"/>
        </w:rPr>
        <w:t xml:space="preserve"> mientras dure la relación laboral y hasta un año después; los </w:t>
      </w:r>
      <w:r>
        <w:rPr>
          <w:rFonts w:ascii="Palatino Linotype" w:eastAsia="Palatino Linotype" w:hAnsi="Palatino Linotype" w:cs="Palatino Linotype"/>
          <w:b/>
          <w:i/>
          <w:sz w:val="22"/>
          <w:szCs w:val="22"/>
          <w:u w:val="single"/>
        </w:rPr>
        <w:t>señalados en las fracciones II</w:t>
      </w:r>
      <w:r>
        <w:rPr>
          <w:rFonts w:ascii="Palatino Linotype" w:eastAsia="Palatino Linotype" w:hAnsi="Palatino Linotype" w:cs="Palatino Linotype"/>
          <w:i/>
          <w:sz w:val="22"/>
          <w:szCs w:val="22"/>
        </w:rPr>
        <w:t xml:space="preserve">, III y IV, </w:t>
      </w:r>
      <w:r>
        <w:rPr>
          <w:rFonts w:ascii="Palatino Linotype" w:eastAsia="Palatino Linotype" w:hAnsi="Palatino Linotype" w:cs="Palatino Linotype"/>
          <w:b/>
          <w:i/>
          <w:sz w:val="22"/>
          <w:szCs w:val="22"/>
          <w:u w:val="single"/>
        </w:rPr>
        <w:t>durante el último año y un año después de que se extinga la relación laboral</w:t>
      </w:r>
      <w:r>
        <w:rPr>
          <w:rFonts w:ascii="Palatino Linotype" w:eastAsia="Palatino Linotype" w:hAnsi="Palatino Linotype" w:cs="Palatino Linotype"/>
          <w:i/>
          <w:sz w:val="22"/>
          <w:szCs w:val="22"/>
        </w:rPr>
        <w:t xml:space="preserve">; y los mencionados en la fracción V, conforme lo señalen las Leyes que los rijan. </w:t>
      </w:r>
      <w:r>
        <w:rPr>
          <w:rFonts w:ascii="Palatino Linotype" w:eastAsia="Palatino Linotype" w:hAnsi="Palatino Linotype" w:cs="Palatino Linotype"/>
          <w:i/>
          <w:sz w:val="22"/>
          <w:szCs w:val="22"/>
        </w:rPr>
        <w:br/>
      </w:r>
      <w:r>
        <w:rPr>
          <w:rFonts w:ascii="Palatino Linotype" w:eastAsia="Palatino Linotype" w:hAnsi="Palatino Linotype" w:cs="Palatino Linotype"/>
          <w:sz w:val="22"/>
          <w:szCs w:val="22"/>
        </w:rPr>
        <w:t>(Énfasis añadido)</w:t>
      </w:r>
    </w:p>
    <w:p w14:paraId="227144BF" w14:textId="77777777" w:rsidR="00621ADB" w:rsidRDefault="00621ADB">
      <w:pPr>
        <w:tabs>
          <w:tab w:val="right" w:pos="8505"/>
        </w:tabs>
        <w:spacing w:line="360" w:lineRule="auto"/>
        <w:jc w:val="both"/>
        <w:rPr>
          <w:rFonts w:ascii="Palatino Linotype" w:eastAsia="Palatino Linotype" w:hAnsi="Palatino Linotype" w:cs="Palatino Linotype"/>
        </w:rPr>
      </w:pPr>
    </w:p>
    <w:p w14:paraId="6E671E50" w14:textId="77777777" w:rsidR="00621ADB" w:rsidRDefault="0060161C">
      <w:pPr>
        <w:tabs>
          <w:tab w:val="right" w:pos="850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antes señalado, es dable concluir que los recibos de pago o nómina, consisten en un registro conformado por el conjunto de trabajadores a los cuales se les va a remunerar por los </w:t>
      </w:r>
      <w:hyperlink r:id="rId11">
        <w:r>
          <w:rPr>
            <w:rFonts w:ascii="Palatino Linotype" w:eastAsia="Palatino Linotype" w:hAnsi="Palatino Linotype" w:cs="Palatino Linotype"/>
          </w:rPr>
          <w:t>servicios</w:t>
        </w:r>
      </w:hyperlink>
      <w:r>
        <w:rPr>
          <w:rFonts w:ascii="Palatino Linotype" w:eastAsia="Palatino Linotype" w:hAnsi="Palatino Linotype" w:cs="Palatino Linotype"/>
        </w:rPr>
        <w:t xml:space="preserve"> que éstos le prestan al patrón, en el cual se asientan las percepciones brutas, deducciones y el neto a recibir de dichos trabajadores.</w:t>
      </w:r>
    </w:p>
    <w:p w14:paraId="0502D57B" w14:textId="77777777" w:rsidR="00621ADB" w:rsidRDefault="00621ADB">
      <w:pPr>
        <w:tabs>
          <w:tab w:val="right" w:pos="8505"/>
        </w:tabs>
        <w:spacing w:line="360" w:lineRule="auto"/>
        <w:jc w:val="both"/>
        <w:rPr>
          <w:rFonts w:ascii="Palatino Linotype" w:eastAsia="Palatino Linotype" w:hAnsi="Palatino Linotype" w:cs="Palatino Linotype"/>
        </w:rPr>
      </w:pPr>
    </w:p>
    <w:p w14:paraId="58C4913F"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tratándose de servidores públicos de los Municipios la Ley del Trabajo de los Servidores Públicos del Estado y Municipios, en su artículo 220-K fracciones II y IV y último párrafo, establecen lo siguiente:</w:t>
      </w:r>
    </w:p>
    <w:p w14:paraId="0804F542" w14:textId="77777777" w:rsidR="00621ADB" w:rsidRDefault="00621ADB">
      <w:pPr>
        <w:spacing w:line="360" w:lineRule="auto"/>
        <w:jc w:val="both"/>
        <w:rPr>
          <w:rFonts w:ascii="Palatino Linotype" w:eastAsia="Palatino Linotype" w:hAnsi="Palatino Linotype" w:cs="Palatino Linotype"/>
        </w:rPr>
      </w:pPr>
    </w:p>
    <w:p w14:paraId="41419083"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B51B986"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470B8A"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i/>
          <w:sz w:val="22"/>
          <w:szCs w:val="22"/>
          <w:u w:val="single"/>
        </w:rPr>
        <w:t>Recibos de pagos de salarios</w:t>
      </w:r>
      <w:r>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1592A060"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351F444A" w14:textId="77777777" w:rsidR="00621ADB" w:rsidRDefault="0060161C">
      <w:pPr>
        <w:spacing w:line="276" w:lineRule="auto"/>
        <w:ind w:left="851" w:right="85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i/>
          <w:sz w:val="22"/>
          <w:szCs w:val="22"/>
          <w:u w:val="single"/>
        </w:rPr>
        <w:t>Recibos o las constancias de depósito o del medio de información magnética o electrónica que sean utilizadas para el pago de salarios, prima vacacional, aguinaldo y demás prestaciones establecidas en la presente ley; y</w:t>
      </w:r>
    </w:p>
    <w:p w14:paraId="0B8B9451"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Pr>
          <w:rFonts w:ascii="Palatino Linotype" w:eastAsia="Palatino Linotype" w:hAnsi="Palatino Linotype" w:cs="Palatino Linotype"/>
          <w:i/>
          <w:sz w:val="22"/>
          <w:szCs w:val="22"/>
          <w:u w:val="single"/>
        </w:rPr>
        <w:t>II, III, IV durante el último año y un año después de que se extinga la relación laboral</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y los mencionados en la fracción V, conforme lo señalen las leyes que los rijan.</w:t>
      </w:r>
    </w:p>
    <w:p w14:paraId="04C59B35"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BDFE113"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 (Sic)</w:t>
      </w:r>
    </w:p>
    <w:p w14:paraId="46CA5ECF"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CA3FAEC" w14:textId="77777777" w:rsidR="00621ADB" w:rsidRDefault="00621ADB">
      <w:pPr>
        <w:spacing w:line="276" w:lineRule="auto"/>
        <w:ind w:left="851" w:right="850"/>
        <w:jc w:val="both"/>
        <w:rPr>
          <w:rFonts w:ascii="Palatino Linotype" w:eastAsia="Palatino Linotype" w:hAnsi="Palatino Linotype" w:cs="Palatino Linotype"/>
          <w:i/>
          <w:sz w:val="22"/>
          <w:szCs w:val="22"/>
        </w:rPr>
      </w:pPr>
    </w:p>
    <w:p w14:paraId="19DE13C4"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7A90C7C" w14:textId="77777777" w:rsidR="00621ADB" w:rsidRDefault="00621ADB">
      <w:pPr>
        <w:spacing w:line="360" w:lineRule="auto"/>
        <w:jc w:val="both"/>
        <w:rPr>
          <w:rFonts w:ascii="Palatino Linotype" w:eastAsia="Palatino Linotype" w:hAnsi="Palatino Linotype" w:cs="Palatino Linotype"/>
        </w:rPr>
      </w:pPr>
    </w:p>
    <w:p w14:paraId="2B50D96C"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Pr>
          <w:rFonts w:ascii="Palatino Linotype" w:eastAsia="Palatino Linotype" w:hAnsi="Palatino Linotype" w:cs="Palatino Linotype"/>
          <w:i/>
        </w:rPr>
        <w:t>recibos o comprobantes de pago</w:t>
      </w:r>
      <w:r>
        <w:rPr>
          <w:rFonts w:ascii="Palatino Linotype" w:eastAsia="Palatino Linotype" w:hAnsi="Palatino Linotype" w:cs="Palatino Linotype"/>
        </w:rPr>
        <w:t>”, los cuales constituyen un instrumento mediante el cual el sujeto obligado acredita las remuneraciones al personal y, que de acuerdo al uso implantado en la colectividad se denominan “</w:t>
      </w:r>
      <w:r>
        <w:rPr>
          <w:rFonts w:ascii="Palatino Linotype" w:eastAsia="Palatino Linotype" w:hAnsi="Palatino Linotype" w:cs="Palatino Linotype"/>
          <w:i/>
        </w:rPr>
        <w:t>recibos de nómina</w:t>
      </w:r>
      <w:r>
        <w:rPr>
          <w:rFonts w:ascii="Palatino Linotype" w:eastAsia="Palatino Linotype" w:hAnsi="Palatino Linotype" w:cs="Palatino Linotype"/>
        </w:rPr>
        <w:t>”.</w:t>
      </w:r>
    </w:p>
    <w:p w14:paraId="57B1DF1F" w14:textId="77777777" w:rsidR="00621ADB" w:rsidRDefault="00621ADB">
      <w:pPr>
        <w:spacing w:line="360" w:lineRule="auto"/>
        <w:jc w:val="both"/>
        <w:rPr>
          <w:rFonts w:ascii="Palatino Linotype" w:eastAsia="Palatino Linotype" w:hAnsi="Palatino Linotype" w:cs="Palatino Linotype"/>
        </w:rPr>
      </w:pPr>
    </w:p>
    <w:p w14:paraId="5DC98EC3"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876BB44" w14:textId="77777777" w:rsidR="00621ADB" w:rsidRDefault="00621ADB">
      <w:pPr>
        <w:spacing w:line="360" w:lineRule="auto"/>
        <w:jc w:val="both"/>
        <w:rPr>
          <w:rFonts w:ascii="Palatino Linotype" w:eastAsia="Palatino Linotype" w:hAnsi="Palatino Linotype" w:cs="Palatino Linotype"/>
        </w:rPr>
      </w:pPr>
    </w:p>
    <w:p w14:paraId="1DFACCD0" w14:textId="77777777" w:rsidR="00621ADB" w:rsidRDefault="0060161C">
      <w:pPr>
        <w:tabs>
          <w:tab w:val="right" w:pos="850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Aunado a lo anterior, </w:t>
      </w:r>
      <w:r>
        <w:rPr>
          <w:rFonts w:ascii="Palatino Linotype" w:eastAsia="Palatino Linotype" w:hAnsi="Palatino Linotype" w:cs="Palatino Linotype"/>
          <w:color w:val="000000"/>
        </w:rPr>
        <w:t xml:space="preserve">para conocer lo que debe contener la información correspondiente a los “Recibos de Nómina”, es necesario señalar la fracción II del artículo 4 de la Ley de Fiscalización Superior del Estado de México, la cual señala: </w:t>
      </w:r>
    </w:p>
    <w:p w14:paraId="39900860" w14:textId="77777777" w:rsidR="00621ADB" w:rsidRDefault="00621ADB">
      <w:pPr>
        <w:spacing w:line="360" w:lineRule="auto"/>
        <w:jc w:val="both"/>
        <w:rPr>
          <w:rFonts w:ascii="Palatino Linotype" w:eastAsia="Palatino Linotype" w:hAnsi="Palatino Linotype" w:cs="Palatino Linotype"/>
          <w:color w:val="000000"/>
        </w:rPr>
      </w:pPr>
    </w:p>
    <w:p w14:paraId="659E2948"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7FA2AA43"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E6AB6E4" w14:textId="77777777" w:rsidR="00621ADB" w:rsidRDefault="0060161C">
      <w:pPr>
        <w:numPr>
          <w:ilvl w:val="0"/>
          <w:numId w:val="2"/>
        </w:numPr>
        <w:spacing w:line="276" w:lineRule="auto"/>
        <w:ind w:left="851" w:right="49"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w:t>
      </w:r>
    </w:p>
    <w:p w14:paraId="7EF707B0" w14:textId="77777777" w:rsidR="00621ADB" w:rsidRDefault="0060161C">
      <w:pPr>
        <w:spacing w:line="276"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p>
    <w:p w14:paraId="65EEFA59" w14:textId="77777777" w:rsidR="00621ADB" w:rsidRDefault="00621ADB">
      <w:pPr>
        <w:spacing w:line="360" w:lineRule="auto"/>
        <w:rPr>
          <w:rFonts w:ascii="Palatino Linotype" w:eastAsia="Palatino Linotype" w:hAnsi="Palatino Linotype" w:cs="Palatino Linotype"/>
          <w:color w:val="000000"/>
        </w:rPr>
      </w:pPr>
    </w:p>
    <w:p w14:paraId="1C071BA6" w14:textId="2722110E" w:rsidR="00621ADB" w:rsidRDefault="0060161C">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Razón por la </w:t>
      </w:r>
      <w:r w:rsidR="009716C9">
        <w:rPr>
          <w:rFonts w:ascii="Palatino Linotype" w:eastAsia="Palatino Linotype" w:hAnsi="Palatino Linotype" w:cs="Palatino Linotype"/>
          <w:color w:val="000000"/>
        </w:rPr>
        <w:t>que,</w:t>
      </w:r>
      <w:r>
        <w:rPr>
          <w:rFonts w:ascii="Palatino Linotype" w:eastAsia="Palatino Linotype" w:hAnsi="Palatino Linotype" w:cs="Palatino Linotype"/>
          <w:color w:val="000000"/>
        </w:rPr>
        <w:t xml:space="preserve"> al Órgano Superior de Fiscalización de </w:t>
      </w:r>
      <w:proofErr w:type="gramStart"/>
      <w:r>
        <w:rPr>
          <w:rFonts w:ascii="Palatino Linotype" w:eastAsia="Palatino Linotype" w:hAnsi="Palatino Linotype" w:cs="Palatino Linotype"/>
          <w:color w:val="000000"/>
        </w:rPr>
        <w:t>ésta</w:t>
      </w:r>
      <w:proofErr w:type="gramEnd"/>
      <w:r>
        <w:rPr>
          <w:rFonts w:ascii="Palatino Linotype" w:eastAsia="Palatino Linotype" w:hAnsi="Palatino Linotype" w:cs="Palatino Linotype"/>
          <w:color w:val="000000"/>
        </w:rPr>
        <w:t xml:space="preserve"> entidad federativa, le asiste la facultad de emitir los </w:t>
      </w:r>
      <w:r>
        <w:rPr>
          <w:rFonts w:ascii="Palatino Linotype" w:eastAsia="Palatino Linotype" w:hAnsi="Palatino Linotype" w:cs="Palatino Linotype"/>
          <w:b/>
          <w:color w:val="000000"/>
        </w:rPr>
        <w:t>Lineamientos para la Integración del Informe Mensual</w:t>
      </w:r>
      <w:r>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57BC77AF" w14:textId="77777777" w:rsidR="00621ADB" w:rsidRDefault="00621ADB">
      <w:pPr>
        <w:spacing w:line="360" w:lineRule="auto"/>
        <w:ind w:left="567" w:right="618"/>
        <w:jc w:val="both"/>
        <w:rPr>
          <w:rFonts w:ascii="Palatino Linotype" w:eastAsia="Palatino Linotype" w:hAnsi="Palatino Linotype" w:cs="Palatino Linotype"/>
          <w:b/>
          <w:i/>
        </w:rPr>
      </w:pPr>
    </w:p>
    <w:p w14:paraId="7448603E"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17A12B67"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0AD215"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p>
    <w:p w14:paraId="432A23EE" w14:textId="77777777" w:rsidR="00621ADB" w:rsidRDefault="0060161C">
      <w:pPr>
        <w:spacing w:line="276"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14:paraId="42B1330F" w14:textId="77777777" w:rsidR="00621ADB" w:rsidRDefault="00621ADB">
      <w:pPr>
        <w:spacing w:line="360" w:lineRule="auto"/>
        <w:ind w:left="851"/>
        <w:jc w:val="both"/>
        <w:rPr>
          <w:rFonts w:ascii="Palatino Linotype" w:eastAsia="Palatino Linotype" w:hAnsi="Palatino Linotype" w:cs="Palatino Linotype"/>
        </w:rPr>
      </w:pPr>
    </w:p>
    <w:p w14:paraId="230098DF" w14:textId="1CAE24BF"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forma, el Órgano Superior de Fiscalización del Estado de México (OSFEM</w:t>
      </w:r>
      <w:r w:rsidR="009716C9">
        <w:rPr>
          <w:rFonts w:ascii="Palatino Linotype" w:eastAsia="Palatino Linotype" w:hAnsi="Palatino Linotype" w:cs="Palatino Linotype"/>
        </w:rPr>
        <w:t>), emite</w:t>
      </w:r>
      <w:r>
        <w:rPr>
          <w:rFonts w:ascii="Palatino Linotype" w:eastAsia="Palatino Linotype" w:hAnsi="Palatino Linotype" w:cs="Palatino Linotype"/>
        </w:rPr>
        <w:t xml:space="preserve"> anualmente los Lineamientos para definir los criterios, formatos y documentación necesaria para presentar los informes </w:t>
      </w:r>
      <w:r w:rsidR="000F631F">
        <w:rPr>
          <w:rFonts w:ascii="Palatino Linotype" w:eastAsia="Palatino Linotype" w:hAnsi="Palatino Linotype" w:cs="Palatino Linotype"/>
        </w:rPr>
        <w:t>mensuales, dentro</w:t>
      </w:r>
      <w:r>
        <w:rPr>
          <w:rFonts w:ascii="Palatino Linotype" w:eastAsia="Palatino Linotype" w:hAnsi="Palatino Linotype" w:cs="Palatino Linotype"/>
        </w:rPr>
        <w:t xml:space="preserve"> de los cuales destacan –en relación con el análisis que nos ocupa-, el disco 4, relativo a información de nómina.</w:t>
      </w:r>
    </w:p>
    <w:p w14:paraId="68F5755B" w14:textId="77777777" w:rsidR="00621ADB" w:rsidRDefault="00621ADB">
      <w:pPr>
        <w:spacing w:line="360" w:lineRule="auto"/>
        <w:rPr>
          <w:rFonts w:ascii="Palatino Linotype" w:eastAsia="Palatino Linotype" w:hAnsi="Palatino Linotype" w:cs="Palatino Linotype"/>
        </w:rPr>
      </w:pPr>
    </w:p>
    <w:p w14:paraId="2BA415CD"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0E528F9" w14:textId="77777777" w:rsidR="00621ADB" w:rsidRDefault="00621ADB">
      <w:pPr>
        <w:spacing w:line="360" w:lineRule="auto"/>
        <w:jc w:val="both"/>
        <w:rPr>
          <w:rFonts w:ascii="Palatino Linotype" w:eastAsia="Palatino Linotype" w:hAnsi="Palatino Linotype" w:cs="Palatino Linotype"/>
        </w:rPr>
      </w:pPr>
    </w:p>
    <w:p w14:paraId="0261A796" w14:textId="77777777" w:rsidR="00621ADB" w:rsidRDefault="0060161C">
      <w:pPr>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32.-</w:t>
      </w:r>
      <w:r>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766D1C6" w14:textId="77777777" w:rsidR="00621ADB" w:rsidRDefault="0060161C">
      <w:pPr>
        <w:spacing w:line="276" w:lineRule="auto"/>
        <w:ind w:left="851" w:right="85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Los Presidentes Municipales presentarán a la Legislatura las cuentas públicas anuales</w:t>
      </w:r>
      <w:r>
        <w:rPr>
          <w:rFonts w:ascii="Palatino Linotype" w:eastAsia="Palatino Linotype" w:hAnsi="Palatino Linotype" w:cs="Palatino Linotype"/>
          <w:i/>
          <w:sz w:val="22"/>
          <w:szCs w:val="22"/>
        </w:rPr>
        <w:t xml:space="preserve"> de sus respectivos municipios, del ejercicio fiscal inmediato anterior, </w:t>
      </w:r>
      <w:r>
        <w:rPr>
          <w:rFonts w:ascii="Palatino Linotype" w:eastAsia="Palatino Linotype" w:hAnsi="Palatino Linotype" w:cs="Palatino Linotype"/>
          <w:b/>
          <w:i/>
          <w:sz w:val="22"/>
          <w:szCs w:val="22"/>
        </w:rPr>
        <w:t>dentro de los quince primeros días del mes de marzo</w:t>
      </w:r>
      <w:r>
        <w:rPr>
          <w:rFonts w:ascii="Palatino Linotype" w:eastAsia="Palatino Linotype" w:hAnsi="Palatino Linotype" w:cs="Palatino Linotype"/>
          <w:i/>
          <w:sz w:val="22"/>
          <w:szCs w:val="22"/>
        </w:rPr>
        <w:t xml:space="preserve"> de cada año; </w:t>
      </w:r>
      <w:r>
        <w:rPr>
          <w:rFonts w:ascii="Palatino Linotype" w:eastAsia="Palatino Linotype" w:hAnsi="Palatino Linotype" w:cs="Palatino Linotype"/>
          <w:b/>
          <w:i/>
          <w:sz w:val="22"/>
          <w:szCs w:val="22"/>
        </w:rPr>
        <w:t>asimism</w:t>
      </w:r>
      <w:r>
        <w:rPr>
          <w:rFonts w:ascii="Palatino Linotype" w:eastAsia="Palatino Linotype" w:hAnsi="Palatino Linotype" w:cs="Palatino Linotype"/>
          <w:i/>
          <w:sz w:val="22"/>
          <w:szCs w:val="22"/>
        </w:rPr>
        <w:t xml:space="preserve">o, </w:t>
      </w:r>
      <w:r>
        <w:rPr>
          <w:rFonts w:ascii="Palatino Linotype" w:eastAsia="Palatino Linotype" w:hAnsi="Palatino Linotype" w:cs="Palatino Linotype"/>
          <w:b/>
          <w:i/>
          <w:sz w:val="22"/>
          <w:szCs w:val="22"/>
          <w:u w:val="single"/>
        </w:rPr>
        <w:t>los informes mensuales</w:t>
      </w:r>
      <w:r>
        <w:rPr>
          <w:rFonts w:ascii="Palatino Linotype" w:eastAsia="Palatino Linotype" w:hAnsi="Palatino Linotype" w:cs="Palatino Linotype"/>
          <w:i/>
          <w:sz w:val="22"/>
          <w:szCs w:val="22"/>
        </w:rPr>
        <w:t xml:space="preserve"> los deberán presentar </w:t>
      </w:r>
      <w:r>
        <w:rPr>
          <w:rFonts w:ascii="Palatino Linotype" w:eastAsia="Palatino Linotype" w:hAnsi="Palatino Linotype" w:cs="Palatino Linotype"/>
          <w:b/>
          <w:i/>
          <w:sz w:val="22"/>
          <w:szCs w:val="22"/>
          <w:u w:val="single"/>
        </w:rPr>
        <w:t>dentro de los veinte días posteriores al término del mes correspondiente.”</w:t>
      </w:r>
    </w:p>
    <w:p w14:paraId="3E8A802F" w14:textId="77777777" w:rsidR="00621ADB" w:rsidRDefault="00621ADB">
      <w:pPr>
        <w:spacing w:line="360" w:lineRule="auto"/>
        <w:ind w:left="851" w:right="758"/>
        <w:jc w:val="both"/>
        <w:rPr>
          <w:rFonts w:ascii="Palatino Linotype" w:eastAsia="Palatino Linotype" w:hAnsi="Palatino Linotype" w:cs="Palatino Linotype"/>
          <w:i/>
        </w:rPr>
      </w:pPr>
    </w:p>
    <w:p w14:paraId="6264612A" w14:textId="77777777" w:rsidR="00621ADB" w:rsidRDefault="0060161C">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w:t>
      </w:r>
      <w:r>
        <w:rPr>
          <w:rFonts w:ascii="Palatino Linotype" w:eastAsia="Palatino Linotype" w:hAnsi="Palatino Linotype" w:cs="Palatino Linotype"/>
          <w:b/>
        </w:rPr>
        <w:t>documental comprobatoria</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deberá conservarse en los archivos de la entidad fiscalizada –Municipio</w:t>
      </w:r>
      <w:r>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3FF07D25" w14:textId="77777777" w:rsidR="00621ADB" w:rsidRDefault="00621ADB">
      <w:pPr>
        <w:spacing w:line="360" w:lineRule="auto"/>
        <w:rPr>
          <w:rFonts w:ascii="Palatino Linotype" w:eastAsia="Palatino Linotype" w:hAnsi="Palatino Linotype" w:cs="Palatino Linotype"/>
        </w:rPr>
      </w:pPr>
    </w:p>
    <w:p w14:paraId="07FDDC12" w14:textId="77777777" w:rsidR="00621ADB" w:rsidRDefault="0060161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Atento a lo anterior, </w:t>
      </w:r>
      <w:r>
        <w:rPr>
          <w:rFonts w:ascii="Palatino Linotype" w:eastAsia="Palatino Linotype" w:hAnsi="Palatino Linotype" w:cs="Palatino Linotype"/>
          <w:color w:val="000000"/>
        </w:rPr>
        <w:t xml:space="preserve">los Lineamientos para la Integración del Informe Mensual 2016, visibles en la página oficial de dicho Órgano en el sitio de internet </w:t>
      </w:r>
      <w:hyperlink r:id="rId12">
        <w:r>
          <w:rPr>
            <w:color w:val="035899"/>
            <w:u w:val="single"/>
          </w:rPr>
          <w:t>https://www.osfem.gob.mx/04_Normatividad/doc/Normatividad/2020/02_LinEntInfMenMpal20.pdf</w:t>
        </w:r>
      </w:hyperlink>
      <w:r>
        <w:t xml:space="preserve"> </w:t>
      </w:r>
      <w:r>
        <w:rPr>
          <w:rFonts w:ascii="Palatino Linotype" w:eastAsia="Palatino Linotype" w:hAnsi="Palatino Linotype" w:cs="Palatino Linotype"/>
          <w:color w:val="000000"/>
        </w:rPr>
        <w:t xml:space="preserve">  donde se destaca que dentro de los informes mensuales que los Ayuntamientos tienen la obligación de rendir, se tiene contemplado precisamente la presentación de la Información referente a los </w:t>
      </w:r>
      <w:r>
        <w:rPr>
          <w:rFonts w:ascii="Palatino Linotype" w:eastAsia="Palatino Linotype" w:hAnsi="Palatino Linotype" w:cs="Palatino Linotype"/>
          <w:i/>
        </w:rPr>
        <w:t>recibos de nómina o comprobantes digitales por concepto de nómina y reporte de remuneraciones de mandos medios y superiores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los cuales tiene como objetivo presentar la información del pago de las remuneraciones 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w:t>
      </w:r>
      <w:r>
        <w:rPr>
          <w:rFonts w:ascii="Palatino Linotype" w:eastAsia="Palatino Linotype" w:hAnsi="Palatino Linotype" w:cs="Palatino Linotype"/>
          <w:color w:val="000000"/>
        </w:rPr>
        <w:t xml:space="preserve">tal y como se muestra en las siguientes imágenes: </w:t>
      </w:r>
    </w:p>
    <w:p w14:paraId="30F05A09" w14:textId="77777777" w:rsidR="00621ADB" w:rsidRDefault="00621ADB">
      <w:pPr>
        <w:spacing w:line="360" w:lineRule="auto"/>
        <w:jc w:val="both"/>
        <w:rPr>
          <w:rFonts w:ascii="Palatino Linotype" w:eastAsia="Palatino Linotype" w:hAnsi="Palatino Linotype" w:cs="Palatino Linotype"/>
          <w:color w:val="000000"/>
        </w:rPr>
      </w:pPr>
    </w:p>
    <w:p w14:paraId="0FBAC74A" w14:textId="77777777" w:rsidR="00621ADB" w:rsidRDefault="0060161C">
      <w:pPr>
        <w:tabs>
          <w:tab w:val="left" w:pos="4820"/>
        </w:tabs>
        <w:spacing w:line="360" w:lineRule="auto"/>
        <w:ind w:right="-91"/>
        <w:jc w:val="center"/>
        <w:rPr>
          <w:rFonts w:ascii="Palatino Linotype" w:eastAsia="Palatino Linotype" w:hAnsi="Palatino Linotype" w:cs="Palatino Linotype"/>
        </w:rPr>
      </w:pPr>
      <w:r>
        <w:rPr>
          <w:noProof/>
          <w:lang w:val="es-MX"/>
        </w:rPr>
        <w:drawing>
          <wp:inline distT="0" distB="0" distL="0" distR="0" wp14:anchorId="792F3513" wp14:editId="231411DD">
            <wp:extent cx="5267334" cy="216126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8133" t="2841" r="22693" b="64786"/>
                    <a:stretch>
                      <a:fillRect/>
                    </a:stretch>
                  </pic:blipFill>
                  <pic:spPr>
                    <a:xfrm>
                      <a:off x="0" y="0"/>
                      <a:ext cx="5267334" cy="2161260"/>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14:anchorId="53FE1DC8" wp14:editId="56C95AF8">
                <wp:simplePos x="0" y="0"/>
                <wp:positionH relativeFrom="column">
                  <wp:posOffset>415290</wp:posOffset>
                </wp:positionH>
                <wp:positionV relativeFrom="paragraph">
                  <wp:posOffset>46990</wp:posOffset>
                </wp:positionV>
                <wp:extent cx="2038350" cy="179705"/>
                <wp:effectExtent l="57150" t="19050" r="57150" b="86995"/>
                <wp:wrapNone/>
                <wp:docPr id="6" name="Rectángulo redondeado 6"/>
                <wp:cNvGraphicFramePr/>
                <a:graphic xmlns:a="http://schemas.openxmlformats.org/drawingml/2006/main">
                  <a:graphicData uri="http://schemas.microsoft.com/office/word/2010/wordprocessingShape">
                    <wps:wsp>
                      <wps:cNvSpPr/>
                      <wps:spPr>
                        <a:xfrm>
                          <a:off x="0" y="0"/>
                          <a:ext cx="2038350" cy="17970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465CA8" id="Rectángulo redondeado 6" o:spid="_x0000_s1026" style="position:absolute;margin-left:32.7pt;margin-top:3.7pt;width:160.5pt;height:14.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" filled="f" strokecolor="red" strokeweight="1.5pt">
                <v:shadow on="t" color="black" opacity="22937f" origin=",.5" offset="0,.63889mm"/>
              </v:roundrect>
            </w:pict>
          </mc:Fallback>
        </mc:AlternateContent>
      </w:r>
    </w:p>
    <w:p w14:paraId="0B7C2852" w14:textId="77777777" w:rsidR="00621ADB" w:rsidRDefault="0060161C">
      <w:pPr>
        <w:spacing w:line="360" w:lineRule="auto"/>
        <w:jc w:val="center"/>
      </w:pPr>
      <w:r>
        <w:t xml:space="preserve"> </w:t>
      </w:r>
      <w:r>
        <w:rPr>
          <w:noProof/>
          <w:lang w:val="es-MX"/>
        </w:rPr>
        <w:drawing>
          <wp:inline distT="0" distB="0" distL="0" distR="0" wp14:anchorId="05B3C9B8" wp14:editId="5D4E415A">
            <wp:extent cx="5066980" cy="2318787"/>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9063" t="56264" r="22684"/>
                    <a:stretch>
                      <a:fillRect/>
                    </a:stretch>
                  </pic:blipFill>
                  <pic:spPr>
                    <a:xfrm>
                      <a:off x="0" y="0"/>
                      <a:ext cx="5066980" cy="2318787"/>
                    </a:xfrm>
                    <a:prstGeom prst="rect">
                      <a:avLst/>
                    </a:prstGeom>
                    <a:ln/>
                  </pic:spPr>
                </pic:pic>
              </a:graphicData>
            </a:graphic>
          </wp:inline>
        </w:drawing>
      </w:r>
    </w:p>
    <w:p w14:paraId="35237B60" w14:textId="77777777" w:rsidR="00621ADB" w:rsidRDefault="00621ADB">
      <w:pPr>
        <w:spacing w:line="360" w:lineRule="auto"/>
        <w:jc w:val="center"/>
      </w:pPr>
    </w:p>
    <w:p w14:paraId="2D40E473" w14:textId="77777777" w:rsidR="00621ADB" w:rsidRDefault="0060161C">
      <w:pPr>
        <w:spacing w:line="360" w:lineRule="auto"/>
        <w:jc w:val="center"/>
      </w:pPr>
      <w:r>
        <w:rPr>
          <w:noProof/>
          <w:lang w:val="es-MX"/>
        </w:rPr>
        <w:lastRenderedPageBreak/>
        <w:drawing>
          <wp:inline distT="0" distB="0" distL="0" distR="0" wp14:anchorId="1E2E0BAA" wp14:editId="678236CC">
            <wp:extent cx="4995848" cy="6980709"/>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23068" t="8054" r="24895" b="7006"/>
                    <a:stretch>
                      <a:fillRect/>
                    </a:stretch>
                  </pic:blipFill>
                  <pic:spPr>
                    <a:xfrm>
                      <a:off x="0" y="0"/>
                      <a:ext cx="4995848" cy="6980709"/>
                    </a:xfrm>
                    <a:prstGeom prst="rect">
                      <a:avLst/>
                    </a:prstGeom>
                    <a:ln/>
                  </pic:spPr>
                </pic:pic>
              </a:graphicData>
            </a:graphic>
          </wp:inline>
        </w:drawing>
      </w:r>
    </w:p>
    <w:p w14:paraId="2D88C9B3" w14:textId="77777777" w:rsidR="00621ADB" w:rsidRDefault="0060161C">
      <w:pPr>
        <w:spacing w:line="360" w:lineRule="auto"/>
        <w:jc w:val="center"/>
        <w:rPr>
          <w:rFonts w:ascii="Palatino Linotype" w:eastAsia="Palatino Linotype" w:hAnsi="Palatino Linotype" w:cs="Palatino Linotype"/>
        </w:rPr>
      </w:pPr>
      <w:r>
        <w:rPr>
          <w:noProof/>
          <w:lang w:val="es-MX"/>
        </w:rPr>
        <w:lastRenderedPageBreak/>
        <w:drawing>
          <wp:inline distT="0" distB="0" distL="0" distR="0" wp14:anchorId="097D193D" wp14:editId="1F3DE692">
            <wp:extent cx="5374219" cy="6975452"/>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3033" t="7183" r="24590" b="2180"/>
                    <a:stretch>
                      <a:fillRect/>
                    </a:stretch>
                  </pic:blipFill>
                  <pic:spPr>
                    <a:xfrm>
                      <a:off x="0" y="0"/>
                      <a:ext cx="5374219" cy="6975452"/>
                    </a:xfrm>
                    <a:prstGeom prst="rect">
                      <a:avLst/>
                    </a:prstGeom>
                    <a:ln/>
                  </pic:spPr>
                </pic:pic>
              </a:graphicData>
            </a:graphic>
          </wp:inline>
        </w:drawing>
      </w:r>
      <w:r>
        <w:rPr>
          <w:noProof/>
          <w:lang w:val="es-MX"/>
        </w:rPr>
        <mc:AlternateContent>
          <mc:Choice Requires="wps">
            <w:drawing>
              <wp:anchor distT="0" distB="0" distL="114300" distR="114300" simplePos="0" relativeHeight="251660288" behindDoc="0" locked="0" layoutInCell="1" hidden="0" allowOverlap="1" wp14:anchorId="24C3255D" wp14:editId="6D7D2EB5">
                <wp:simplePos x="0" y="0"/>
                <wp:positionH relativeFrom="column">
                  <wp:posOffset>903125</wp:posOffset>
                </wp:positionH>
                <wp:positionV relativeFrom="paragraph">
                  <wp:posOffset>1616577</wp:posOffset>
                </wp:positionV>
                <wp:extent cx="2385391" cy="230588"/>
                <wp:effectExtent l="0" t="0" r="15240" b="1714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391" cy="230588"/>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anchor>
            </w:drawing>
          </mc:Choice>
          <mc:Fallback>
            <w:pict>
              <v:rect w14:anchorId="10C6D0C8" id="Rectángulo 3" o:spid="_x0000_s1026" style="position:absolute;margin-left:71.1pt;margin-top:127.3pt;width:187.85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" filled="f" strokecolor="red" strokeweight="1.5pt"/>
            </w:pict>
          </mc:Fallback>
        </mc:AlternateContent>
      </w:r>
    </w:p>
    <w:p w14:paraId="73AE9B29" w14:textId="5E69F6C7" w:rsidR="00621ADB" w:rsidRDefault="000F631F">
      <w:pPr>
        <w:spacing w:line="360" w:lineRule="auto"/>
        <w:jc w:val="center"/>
      </w:pPr>
      <w:r>
        <w:rPr>
          <w:noProof/>
          <w:lang w:val="es-MX"/>
        </w:rPr>
        <w:lastRenderedPageBreak/>
        <mc:AlternateContent>
          <mc:Choice Requires="wps">
            <w:drawing>
              <wp:anchor distT="0" distB="0" distL="114300" distR="114300" simplePos="0" relativeHeight="251666432" behindDoc="0" locked="0" layoutInCell="1" hidden="0" allowOverlap="1" wp14:anchorId="222D14EC" wp14:editId="50A93B9A">
                <wp:simplePos x="0" y="0"/>
                <wp:positionH relativeFrom="column">
                  <wp:posOffset>112450</wp:posOffset>
                </wp:positionH>
                <wp:positionV relativeFrom="paragraph">
                  <wp:posOffset>4260601</wp:posOffset>
                </wp:positionV>
                <wp:extent cx="5686425" cy="306705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686425" cy="3067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34F97A"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85pt,335.5pt" to="456.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" strokecolor="black [3200]" strokeweight="2pt">
                <v:shadow on="t" color="black" opacity="24903f" origin=",.5" offset="0,.55556mm"/>
              </v:line>
            </w:pict>
          </mc:Fallback>
        </mc:AlternateContent>
      </w:r>
      <w:r w:rsidR="0060161C">
        <w:rPr>
          <w:noProof/>
          <w:lang w:val="es-MX"/>
        </w:rPr>
        <w:drawing>
          <wp:inline distT="0" distB="0" distL="0" distR="0" wp14:anchorId="7675D25B" wp14:editId="2113EFF6">
            <wp:extent cx="6090303" cy="46076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15100" t="22887" r="16662" b="8284"/>
                    <a:stretch>
                      <a:fillRect/>
                    </a:stretch>
                  </pic:blipFill>
                  <pic:spPr>
                    <a:xfrm>
                      <a:off x="0" y="0"/>
                      <a:ext cx="6090303" cy="4607650"/>
                    </a:xfrm>
                    <a:prstGeom prst="rect">
                      <a:avLst/>
                    </a:prstGeom>
                    <a:ln/>
                  </pic:spPr>
                </pic:pic>
              </a:graphicData>
            </a:graphic>
          </wp:inline>
        </w:drawing>
      </w:r>
      <w:r w:rsidR="0060161C">
        <w:lastRenderedPageBreak/>
        <w:t xml:space="preserve"> </w:t>
      </w:r>
      <w:r w:rsidR="0060161C">
        <w:rPr>
          <w:noProof/>
          <w:lang w:val="es-MX"/>
        </w:rPr>
        <w:drawing>
          <wp:inline distT="0" distB="0" distL="0" distR="0" wp14:anchorId="14E9706F" wp14:editId="5A8B116A">
            <wp:extent cx="5531286" cy="7119924"/>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3209" t="5675" r="25163" b="5722"/>
                    <a:stretch>
                      <a:fillRect/>
                    </a:stretch>
                  </pic:blipFill>
                  <pic:spPr>
                    <a:xfrm>
                      <a:off x="0" y="0"/>
                      <a:ext cx="5531286" cy="7119924"/>
                    </a:xfrm>
                    <a:prstGeom prst="rect">
                      <a:avLst/>
                    </a:prstGeom>
                    <a:ln/>
                  </pic:spPr>
                </pic:pic>
              </a:graphicData>
            </a:graphic>
          </wp:inline>
        </w:drawing>
      </w:r>
      <w:r w:rsidR="0060161C">
        <w:rPr>
          <w:noProof/>
          <w:lang w:val="es-MX"/>
        </w:rPr>
        <mc:AlternateContent>
          <mc:Choice Requires="wps">
            <w:drawing>
              <wp:anchor distT="0" distB="0" distL="114300" distR="114300" simplePos="0" relativeHeight="251661312" behindDoc="0" locked="0" layoutInCell="1" hidden="0" allowOverlap="1" wp14:anchorId="2427E71A" wp14:editId="29D990E3">
                <wp:simplePos x="0" y="0"/>
                <wp:positionH relativeFrom="column">
                  <wp:posOffset>624840</wp:posOffset>
                </wp:positionH>
                <wp:positionV relativeFrom="paragraph">
                  <wp:posOffset>1289050</wp:posOffset>
                </wp:positionV>
                <wp:extent cx="1657350" cy="219075"/>
                <wp:effectExtent l="0" t="0" r="19050" b="28575"/>
                <wp:wrapNone/>
                <wp:docPr id="4" name="Rectángulo redondeado 4"/>
                <wp:cNvGraphicFramePr/>
                <a:graphic xmlns:a="http://schemas.openxmlformats.org/drawingml/2006/main">
                  <a:graphicData uri="http://schemas.microsoft.com/office/word/2010/wordprocessingShape">
                    <wps:wsp>
                      <wps:cNvSpPr/>
                      <wps:spPr>
                        <a:xfrm>
                          <a:off x="0" y="0"/>
                          <a:ext cx="1657350" cy="2190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B6B31" id="Rectángulo redondeado 4" o:spid="_x0000_s1026" style="position:absolute;margin-left:49.2pt;margin-top:101.5pt;width:130.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" filled="f" strokecolor="#c0504d [3205]" strokeweight="2pt"/>
            </w:pict>
          </mc:Fallback>
        </mc:AlternateContent>
      </w:r>
      <w:r w:rsidR="0060161C">
        <w:rPr>
          <w:noProof/>
          <w:lang w:val="es-MX"/>
        </w:rPr>
        <mc:AlternateContent>
          <mc:Choice Requires="wps">
            <w:drawing>
              <wp:anchor distT="0" distB="0" distL="114300" distR="114300" simplePos="0" relativeHeight="251662336" behindDoc="0" locked="0" layoutInCell="1" hidden="0" allowOverlap="1" wp14:anchorId="1A981009" wp14:editId="56ABEC41">
                <wp:simplePos x="0" y="0"/>
                <wp:positionH relativeFrom="column">
                  <wp:posOffset>891540</wp:posOffset>
                </wp:positionH>
                <wp:positionV relativeFrom="paragraph">
                  <wp:posOffset>727075</wp:posOffset>
                </wp:positionV>
                <wp:extent cx="4133850" cy="276225"/>
                <wp:effectExtent l="0" t="0" r="19050" b="28575"/>
                <wp:wrapNone/>
                <wp:docPr id="2" name="Rectángulo redondeado 2"/>
                <wp:cNvGraphicFramePr/>
                <a:graphic xmlns:a="http://schemas.openxmlformats.org/drawingml/2006/main">
                  <a:graphicData uri="http://schemas.microsoft.com/office/word/2010/wordprocessingShape">
                    <wps:wsp>
                      <wps:cNvSpPr/>
                      <wps:spPr>
                        <a:xfrm>
                          <a:off x="0" y="0"/>
                          <a:ext cx="4133850" cy="276225"/>
                        </a:xfrm>
                        <a:prstGeom prst="roundRect">
                          <a:avLst/>
                        </a:prstGeom>
                        <a:noFill/>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7B8E0" id="Rectángulo redondeado 2" o:spid="_x0000_s1026" style="position:absolute;margin-left:70.2pt;margin-top:57.25pt;width:325.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" filled="f" strokecolor="#c0504d [3205]" strokeweight="2pt"/>
            </w:pict>
          </mc:Fallback>
        </mc:AlternateContent>
      </w:r>
    </w:p>
    <w:p w14:paraId="0C836A82" w14:textId="77777777" w:rsidR="00621ADB" w:rsidRDefault="00621ADB">
      <w:pPr>
        <w:spacing w:line="360" w:lineRule="auto"/>
        <w:jc w:val="center"/>
      </w:pPr>
    </w:p>
    <w:p w14:paraId="2899C562" w14:textId="77777777" w:rsidR="00621ADB" w:rsidRDefault="0060161C">
      <w:pPr>
        <w:spacing w:line="360" w:lineRule="auto"/>
        <w:jc w:val="center"/>
        <w:rPr>
          <w:rFonts w:ascii="Palatino Linotype" w:eastAsia="Palatino Linotype" w:hAnsi="Palatino Linotype" w:cs="Palatino Linotype"/>
        </w:rPr>
      </w:pPr>
      <w:r>
        <w:rPr>
          <w:noProof/>
          <w:lang w:val="es-MX"/>
        </w:rPr>
        <w:drawing>
          <wp:inline distT="0" distB="0" distL="0" distR="0" wp14:anchorId="5C1F9D4D" wp14:editId="43E28503">
            <wp:extent cx="5715813" cy="5230986"/>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11841" t="7894" r="12674"/>
                    <a:stretch>
                      <a:fillRect/>
                    </a:stretch>
                  </pic:blipFill>
                  <pic:spPr>
                    <a:xfrm>
                      <a:off x="0" y="0"/>
                      <a:ext cx="5715813" cy="5230986"/>
                    </a:xfrm>
                    <a:prstGeom prst="rect">
                      <a:avLst/>
                    </a:prstGeom>
                    <a:ln/>
                  </pic:spPr>
                </pic:pic>
              </a:graphicData>
            </a:graphic>
          </wp:inline>
        </w:drawing>
      </w:r>
      <w:r>
        <w:rPr>
          <w:noProof/>
          <w:lang w:val="es-MX"/>
        </w:rPr>
        <mc:AlternateContent>
          <mc:Choice Requires="wps">
            <w:drawing>
              <wp:anchor distT="0" distB="0" distL="114300" distR="114300" simplePos="0" relativeHeight="251664384" behindDoc="0" locked="0" layoutInCell="1" hidden="0" allowOverlap="1" wp14:anchorId="6415AF76" wp14:editId="2EF926DF">
                <wp:simplePos x="0" y="0"/>
                <wp:positionH relativeFrom="column">
                  <wp:posOffset>110491</wp:posOffset>
                </wp:positionH>
                <wp:positionV relativeFrom="paragraph">
                  <wp:posOffset>803275</wp:posOffset>
                </wp:positionV>
                <wp:extent cx="2876550" cy="333375"/>
                <wp:effectExtent l="0" t="0" r="19050" b="28575"/>
                <wp:wrapNone/>
                <wp:docPr id="1" name="Rectángulo redondeado 1"/>
                <wp:cNvGraphicFramePr/>
                <a:graphic xmlns:a="http://schemas.openxmlformats.org/drawingml/2006/main">
                  <a:graphicData uri="http://schemas.microsoft.com/office/word/2010/wordprocessingShape">
                    <wps:wsp>
                      <wps:cNvSpPr/>
                      <wps:spPr>
                        <a:xfrm>
                          <a:off x="0" y="0"/>
                          <a:ext cx="2876550" cy="333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2A4FC" id="Rectángulo redondeado 1" o:spid="_x0000_s1026" style="position:absolute;margin-left:8.7pt;margin-top:63.25pt;width:226.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" filled="f" strokecolor="#c0504d [3205]" strokeweight="2pt"/>
            </w:pict>
          </mc:Fallback>
        </mc:AlternateContent>
      </w:r>
    </w:p>
    <w:p w14:paraId="2E36175F" w14:textId="77777777" w:rsidR="00621ADB" w:rsidRDefault="0060161C">
      <w:pPr>
        <w:spacing w:line="360" w:lineRule="auto"/>
        <w:jc w:val="center"/>
        <w:rPr>
          <w:rFonts w:ascii="Palatino Linotype" w:eastAsia="Palatino Linotype" w:hAnsi="Palatino Linotype" w:cs="Palatino Linotype"/>
        </w:rPr>
      </w:pPr>
      <w:r>
        <w:rPr>
          <w:noProof/>
          <w:lang w:val="es-MX"/>
        </w:rPr>
        <w:lastRenderedPageBreak/>
        <w:drawing>
          <wp:inline distT="0" distB="0" distL="0" distR="0" wp14:anchorId="27550D28" wp14:editId="04E690B3">
            <wp:extent cx="5848741" cy="5108548"/>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9538" t="3726" r="11194" b="3962"/>
                    <a:stretch>
                      <a:fillRect/>
                    </a:stretch>
                  </pic:blipFill>
                  <pic:spPr>
                    <a:xfrm>
                      <a:off x="0" y="0"/>
                      <a:ext cx="5848741" cy="5108548"/>
                    </a:xfrm>
                    <a:prstGeom prst="rect">
                      <a:avLst/>
                    </a:prstGeom>
                    <a:ln/>
                  </pic:spPr>
                </pic:pic>
              </a:graphicData>
            </a:graphic>
          </wp:inline>
        </w:drawing>
      </w:r>
    </w:p>
    <w:p w14:paraId="6C2B5806" w14:textId="77777777" w:rsidR="00621ADB" w:rsidRDefault="00621ADB">
      <w:pPr>
        <w:widowControl w:val="0"/>
        <w:tabs>
          <w:tab w:val="left" w:pos="1418"/>
        </w:tabs>
        <w:spacing w:line="360" w:lineRule="auto"/>
        <w:jc w:val="both"/>
        <w:rPr>
          <w:rFonts w:ascii="Palatino Linotype" w:eastAsia="Palatino Linotype" w:hAnsi="Palatino Linotype" w:cs="Palatino Linotype"/>
        </w:rPr>
      </w:pPr>
    </w:p>
    <w:p w14:paraId="55DCC714" w14:textId="77777777" w:rsidR="00621ADB" w:rsidRDefault="0060161C">
      <w:pPr>
        <w:widowControl w:val="0"/>
        <w:tabs>
          <w:tab w:val="left" w:pos="141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imágenes insertas, se obtiene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tiene el deber de generar los comprobantes fiscales digitales por internet por concepto de nómina y reporte de remuneraciones de mandos medios y superiores, documentos en que se refleja el sueldo que perciben de manera bruta y neta los servidores públicos solicitados. </w:t>
      </w:r>
    </w:p>
    <w:p w14:paraId="11CE2F7F" w14:textId="77777777" w:rsidR="00621ADB" w:rsidRDefault="00621ADB">
      <w:pPr>
        <w:widowControl w:val="0"/>
        <w:tabs>
          <w:tab w:val="left" w:pos="1418"/>
        </w:tabs>
        <w:spacing w:line="360" w:lineRule="auto"/>
        <w:jc w:val="both"/>
        <w:rPr>
          <w:rFonts w:ascii="Palatino Linotype" w:eastAsia="Palatino Linotype" w:hAnsi="Palatino Linotype" w:cs="Palatino Linotype"/>
          <w:color w:val="222222"/>
          <w:highlight w:val="white"/>
        </w:rPr>
      </w:pPr>
    </w:p>
    <w:p w14:paraId="2E00DDD3"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w:t>
      </w:r>
      <w:proofErr w:type="gramStart"/>
      <w:r>
        <w:rPr>
          <w:rFonts w:ascii="Palatino Linotype" w:eastAsia="Palatino Linotype" w:hAnsi="Palatino Linotype" w:cs="Palatino Linotype"/>
        </w:rPr>
        <w:t>hacer pública</w:t>
      </w:r>
      <w:proofErr w:type="gramEnd"/>
      <w:r>
        <w:rPr>
          <w:rFonts w:ascii="Palatino Linotype" w:eastAsia="Palatino Linotype" w:hAnsi="Palatino Linotype" w:cs="Palatino Linotype"/>
        </w:rPr>
        <w:t xml:space="preserve"> toda la información respecto a los montos y nombres de las personas a quienes se entreguen recursos públicos y con ello transparentar la forma, términos, causas y finalidad en la disposición de esos recursos; precepto legal que es del tenor siguiente:</w:t>
      </w:r>
    </w:p>
    <w:p w14:paraId="724AB473" w14:textId="77777777" w:rsidR="00621ADB" w:rsidRDefault="00621ADB">
      <w:pPr>
        <w:spacing w:line="360" w:lineRule="auto"/>
        <w:jc w:val="both"/>
        <w:rPr>
          <w:rFonts w:ascii="Palatino Linotype" w:eastAsia="Palatino Linotype" w:hAnsi="Palatino Linotype" w:cs="Palatino Linotype"/>
        </w:rPr>
      </w:pPr>
    </w:p>
    <w:p w14:paraId="36F9A6F3"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228685D5"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C8EFC8"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eastAsia="Palatino Linotype" w:hAnsi="Palatino Linotype" w:cs="Palatino Linotype"/>
          <w:i/>
          <w:sz w:val="22"/>
          <w:szCs w:val="22"/>
        </w:rPr>
        <w:t>” (Sic)</w:t>
      </w:r>
    </w:p>
    <w:p w14:paraId="40A3965C" w14:textId="77777777" w:rsidR="00621ADB" w:rsidRDefault="00621ADB">
      <w:pPr>
        <w:spacing w:line="360" w:lineRule="auto"/>
        <w:ind w:left="567" w:right="283"/>
        <w:jc w:val="both"/>
        <w:rPr>
          <w:rFonts w:ascii="Palatino Linotype" w:eastAsia="Palatino Linotype" w:hAnsi="Palatino Linotype" w:cs="Palatino Linotype"/>
          <w:i/>
          <w:sz w:val="22"/>
          <w:szCs w:val="22"/>
        </w:rPr>
      </w:pPr>
    </w:p>
    <w:p w14:paraId="5ECC24EE"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8B1B2AC" w14:textId="77777777" w:rsidR="00621ADB" w:rsidRDefault="00621ADB">
      <w:pPr>
        <w:spacing w:line="360" w:lineRule="auto"/>
        <w:jc w:val="both"/>
        <w:rPr>
          <w:rFonts w:ascii="Palatino Linotype" w:eastAsia="Palatino Linotype" w:hAnsi="Palatino Linotype" w:cs="Palatino Linotype"/>
        </w:rPr>
      </w:pPr>
    </w:p>
    <w:p w14:paraId="3420661F" w14:textId="77777777" w:rsidR="00621ADB" w:rsidRDefault="0060161C">
      <w:pPr>
        <w:ind w:left="851" w:right="85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“Criterio 01/2003.</w:t>
      </w:r>
    </w:p>
    <w:p w14:paraId="59FA93D8"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06A479"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E0C274" w14:textId="77777777" w:rsidR="00621ADB" w:rsidRDefault="00621ADB">
      <w:pPr>
        <w:ind w:left="851" w:right="850"/>
        <w:jc w:val="both"/>
        <w:rPr>
          <w:rFonts w:ascii="Palatino Linotype" w:eastAsia="Palatino Linotype" w:hAnsi="Palatino Linotype" w:cs="Palatino Linotype"/>
          <w:i/>
          <w:sz w:val="22"/>
          <w:szCs w:val="22"/>
        </w:rPr>
      </w:pPr>
    </w:p>
    <w:p w14:paraId="03907F70" w14:textId="77777777" w:rsidR="00621ADB" w:rsidRDefault="0060161C">
      <w:pPr>
        <w:ind w:left="851" w:right="85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59758E01"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w:t>
      </w:r>
    </w:p>
    <w:p w14:paraId="0DD5B48B" w14:textId="77777777" w:rsidR="00621ADB" w:rsidRDefault="0060161C">
      <w:pPr>
        <w:ind w:left="851" w:right="85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w:t>
      </w:r>
    </w:p>
    <w:p w14:paraId="5A7BEA2C" w14:textId="77777777" w:rsidR="00621ADB" w:rsidRDefault="006016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ED3843B" w14:textId="77777777" w:rsidR="00621ADB" w:rsidRDefault="00621ADB">
      <w:pPr>
        <w:spacing w:line="360" w:lineRule="auto"/>
        <w:jc w:val="both"/>
        <w:rPr>
          <w:rFonts w:ascii="Palatino Linotype" w:eastAsia="Palatino Linotype" w:hAnsi="Palatino Linotype" w:cs="Palatino Linotype"/>
        </w:rPr>
      </w:pPr>
    </w:p>
    <w:p w14:paraId="7384BB00" w14:textId="77777777" w:rsidR="00621ADB" w:rsidRDefault="0060161C">
      <w:pPr>
        <w:widowControl w:val="0"/>
        <w:tabs>
          <w:tab w:val="left" w:pos="1418"/>
        </w:tabs>
        <w:spacing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En esa virtud, es dable ordenar al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haga entrega del salario de </w:t>
      </w:r>
      <w:r>
        <w:rPr>
          <w:rFonts w:ascii="Palatino Linotype" w:eastAsia="Palatino Linotype" w:hAnsi="Palatino Linotype" w:cs="Palatino Linotype"/>
          <w:color w:val="222222"/>
          <w:highlight w:val="white"/>
        </w:rPr>
        <w:lastRenderedPageBreak/>
        <w:t>primera quincena de mes de agosto de la anualidad, de los diez regidores que se encuentra en ejercicio de sus funciones actualmente del Municipio de Ozumba.</w:t>
      </w:r>
    </w:p>
    <w:p w14:paraId="4606DA99" w14:textId="77777777" w:rsidR="00621ADB" w:rsidRDefault="00621ADB">
      <w:pPr>
        <w:widowControl w:val="0"/>
        <w:tabs>
          <w:tab w:val="left" w:pos="1418"/>
        </w:tabs>
        <w:spacing w:line="360" w:lineRule="auto"/>
        <w:jc w:val="both"/>
        <w:rPr>
          <w:rFonts w:ascii="Palatino Linotype" w:eastAsia="Palatino Linotype" w:hAnsi="Palatino Linotype" w:cs="Palatino Linotype"/>
          <w:color w:val="222222"/>
          <w:highlight w:val="white"/>
        </w:rPr>
      </w:pPr>
    </w:p>
    <w:p w14:paraId="0FFCF321"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es necesario precisar que la entrega de los documentos que en su caso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entregue, deberá ser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760800C4" w14:textId="77777777" w:rsidR="00621ADB" w:rsidRDefault="00621ADB">
      <w:pPr>
        <w:spacing w:line="360" w:lineRule="auto"/>
        <w:jc w:val="both"/>
        <w:rPr>
          <w:rFonts w:ascii="Palatino Linotype" w:eastAsia="Palatino Linotype" w:hAnsi="Palatino Linotype" w:cs="Palatino Linotype"/>
        </w:rPr>
      </w:pPr>
    </w:p>
    <w:p w14:paraId="2C125FDB" w14:textId="77777777" w:rsidR="00621ADB" w:rsidRDefault="0060161C">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w:t>
      </w:r>
      <w:r>
        <w:rPr>
          <w:rFonts w:ascii="Palatino Linotype" w:eastAsia="Palatino Linotype" w:hAnsi="Palatino Linotype" w:cs="Palatino Linotype"/>
          <w:b/>
        </w:rPr>
        <w:t>de las personas físicas</w:t>
      </w:r>
      <w:r>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para su obtención es necesario acreditar personalidad, fecha de nacimiento entre otros con documentos oficiales.</w:t>
      </w:r>
    </w:p>
    <w:p w14:paraId="57F429C0" w14:textId="77777777" w:rsidR="00621ADB" w:rsidRDefault="00621ADB">
      <w:pPr>
        <w:spacing w:line="360" w:lineRule="auto"/>
        <w:ind w:right="-91"/>
        <w:jc w:val="both"/>
        <w:rPr>
          <w:rFonts w:ascii="Palatino Linotype" w:eastAsia="Palatino Linotype" w:hAnsi="Palatino Linotype" w:cs="Palatino Linotype"/>
        </w:rPr>
      </w:pPr>
    </w:p>
    <w:p w14:paraId="4CF298BF" w14:textId="77777777" w:rsidR="00621ADB" w:rsidRDefault="0060161C">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11DAA3BE" w14:textId="77777777" w:rsidR="00621ADB" w:rsidRDefault="00621ADB">
      <w:pPr>
        <w:ind w:left="567" w:right="618"/>
        <w:jc w:val="both"/>
        <w:rPr>
          <w:rFonts w:ascii="Palatino Linotype" w:eastAsia="Palatino Linotype" w:hAnsi="Palatino Linotype" w:cs="Palatino Linotype"/>
          <w:b/>
          <w:i/>
        </w:rPr>
      </w:pPr>
    </w:p>
    <w:p w14:paraId="0BC86706"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“Registro Federal de Contribuyentes (RFC) de las personas físicas es un dato personal confidencial. </w:t>
      </w:r>
      <w:r>
        <w:rPr>
          <w:rFonts w:ascii="Palatino Linotype" w:eastAsia="Palatino Linotype" w:hAnsi="Palatino Linotype" w:cs="Palatino Linotype"/>
          <w:i/>
          <w:sz w:val="22"/>
          <w:szCs w:val="22"/>
        </w:rPr>
        <w:t>De conformidad con lo establecido en el artículo 18,</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fracción II de la Ley Federal de Transparencia y Acceso a la Información Pública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Gubernamental </w:t>
      </w:r>
      <w:r>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i/>
          <w:sz w:val="22"/>
          <w:szCs w:val="22"/>
          <w:u w:val="single"/>
        </w:rPr>
        <w:t>obtener el RFC es necesario</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acreditar previamente mediante documentos oficiales (pasaporte, acta de</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nacimiento, etc.) la identidad de la persona, su fecha y lugar de nacimiento, entre</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u w:val="single"/>
        </w:rPr>
        <w:t xml:space="preserve">otros. </w:t>
      </w:r>
      <w:r>
        <w:rPr>
          <w:rFonts w:ascii="Palatino Linotype" w:eastAsia="Palatino Linotype" w:hAnsi="Palatino Linotype" w:cs="Palatino Linotype"/>
          <w:i/>
          <w:sz w:val="22"/>
          <w:szCs w:val="22"/>
        </w:rPr>
        <w:t>De acuerdo con la legislación tributaria, las personas físicas tramitan su</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inscripción en el Registro Federal de Contribuyentes con el único propósito de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realizar mediante esa clave de identificación, operaciones o actividades de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naturaleza tributaria. En este sentido, el artículo 79 del Código Fiscal de la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Federación prevé que la utilización de una clave de registro no asignada por la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autoridad constituye como una infracción en materia fiscal. De acuerdo con lo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antes apuntado, el </w:t>
      </w:r>
      <w:proofErr w:type="gramStart"/>
      <w:r>
        <w:rPr>
          <w:rFonts w:ascii="Palatino Linotype" w:eastAsia="Palatino Linotype" w:hAnsi="Palatino Linotype" w:cs="Palatino Linotype"/>
          <w:i/>
          <w:sz w:val="22"/>
          <w:szCs w:val="22"/>
        </w:rPr>
        <w:t>RFC vinculado</w:t>
      </w:r>
      <w:proofErr w:type="gramEnd"/>
      <w:r>
        <w:rPr>
          <w:rFonts w:ascii="Palatino Linotype" w:eastAsia="Palatino Linotype" w:hAnsi="Palatino Linotype" w:cs="Palatino Linotype"/>
          <w:i/>
          <w:sz w:val="22"/>
          <w:szCs w:val="22"/>
        </w:rPr>
        <w:t xml:space="preserve"> al nombre de su titular, permite identificar la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edad de la persona, así como su </w:t>
      </w:r>
      <w:proofErr w:type="spellStart"/>
      <w:r>
        <w:rPr>
          <w:rFonts w:ascii="Palatino Linotype" w:eastAsia="Palatino Linotype" w:hAnsi="Palatino Linotype" w:cs="Palatino Linotype"/>
          <w:i/>
          <w:sz w:val="22"/>
          <w:szCs w:val="22"/>
        </w:rPr>
        <w:t>homoclave</w:t>
      </w:r>
      <w:proofErr w:type="spellEnd"/>
      <w:r>
        <w:rPr>
          <w:rFonts w:ascii="Palatino Linotype" w:eastAsia="Palatino Linotype" w:hAnsi="Palatino Linotype" w:cs="Palatino Linotype"/>
          <w:i/>
          <w:sz w:val="22"/>
          <w:szCs w:val="22"/>
        </w:rPr>
        <w:t>, siendo esta última única e irrepetible,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por lo que es posible concluir que el RFC constituye un dato personal y, por tanto,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información confidencial, de conformidad con los previsto en el artículo 18,</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fracción II de la Ley Federal de Transparencia y Acceso a la Información Pública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Gubernamental.</w:t>
      </w:r>
    </w:p>
    <w:p w14:paraId="22251118"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Expedientes:</w:t>
      </w:r>
    </w:p>
    <w:p w14:paraId="030D9D3D"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4538/07 Instituto Politécnico Nacional - Alonso Gómez-Robledo V.</w:t>
      </w:r>
    </w:p>
    <w:p w14:paraId="3C55E6A1"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5664/08 Secretaría de Comunicaciones y Transportes – 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w:t>
      </w:r>
    </w:p>
    <w:p w14:paraId="467D948B"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5910/08 Secretaría de Gobernación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w:t>
      </w:r>
    </w:p>
    <w:p w14:paraId="5AB8721C"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1391/09 Comisión Federal de Electricidad - Alonso Gómez-Robledo V.</w:t>
      </w:r>
    </w:p>
    <w:p w14:paraId="70FE7F4D"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1479/09 Secretaría de la Función Pública – 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w:t>
      </w:r>
    </w:p>
    <w:p w14:paraId="6E6692B9" w14:textId="77777777" w:rsidR="00621ADB" w:rsidRDefault="0060161C">
      <w:pPr>
        <w:ind w:left="567" w:right="61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7017B6D2" w14:textId="77777777" w:rsidR="00621ADB" w:rsidRDefault="00621ADB">
      <w:pPr>
        <w:spacing w:line="360" w:lineRule="auto"/>
        <w:jc w:val="both"/>
        <w:rPr>
          <w:rFonts w:ascii="Palatino Linotype" w:eastAsia="Palatino Linotype" w:hAnsi="Palatino Linotype" w:cs="Palatino Linotype"/>
        </w:rPr>
      </w:pPr>
    </w:p>
    <w:p w14:paraId="58CD7A9E"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el Registro Federal de Contribuyentes se vincula al nombre de su titular, permitiendo identificar la edad de la persona,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determinando la identificación de dicha persona para efectos fiscales, por lo éste constituye un dato personal que concierne a una </w:t>
      </w:r>
      <w:r>
        <w:rPr>
          <w:rFonts w:ascii="Palatino Linotype" w:eastAsia="Palatino Linotype" w:hAnsi="Palatino Linotype" w:cs="Palatino Linotype"/>
        </w:rPr>
        <w:lastRenderedPageBreak/>
        <w:t>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DE5E1A1" w14:textId="77777777" w:rsidR="00621ADB" w:rsidRDefault="00621ADB">
      <w:pPr>
        <w:spacing w:line="360" w:lineRule="auto"/>
        <w:jc w:val="both"/>
        <w:rPr>
          <w:rFonts w:ascii="Palatino Linotype" w:eastAsia="Palatino Linotype" w:hAnsi="Palatino Linotype" w:cs="Palatino Linotype"/>
        </w:rPr>
      </w:pPr>
    </w:p>
    <w:p w14:paraId="570DBC59" w14:textId="77777777" w:rsidR="00621ADB" w:rsidRDefault="0060161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 xml:space="preserve">Clave Única de Registro de Población,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4FF7A86" w14:textId="77777777" w:rsidR="00621ADB" w:rsidRDefault="00621ADB">
      <w:pPr>
        <w:spacing w:line="360" w:lineRule="auto"/>
        <w:ind w:right="-93"/>
        <w:rPr>
          <w:rFonts w:ascii="Palatino Linotype" w:eastAsia="Palatino Linotype" w:hAnsi="Palatino Linotype" w:cs="Palatino Linotype"/>
        </w:rPr>
      </w:pPr>
    </w:p>
    <w:p w14:paraId="180C3881" w14:textId="77777777" w:rsidR="00621ADB" w:rsidRDefault="0060161C">
      <w:pPr>
        <w:spacing w:line="360" w:lineRule="auto"/>
        <w:ind w:right="-93"/>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14:paraId="27E06DD4" w14:textId="77777777" w:rsidR="00621ADB" w:rsidRDefault="00621ADB">
      <w:pPr>
        <w:spacing w:line="360" w:lineRule="auto"/>
        <w:ind w:right="-93"/>
        <w:rPr>
          <w:rFonts w:ascii="Palatino Linotype" w:eastAsia="Palatino Linotype" w:hAnsi="Palatino Linotype" w:cs="Palatino Linotype"/>
        </w:rPr>
      </w:pPr>
    </w:p>
    <w:p w14:paraId="67E223FF" w14:textId="77777777" w:rsidR="00621ADB" w:rsidRDefault="0060161C">
      <w:pPr>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698BE080" w14:textId="77777777" w:rsidR="00621ADB" w:rsidRDefault="0060161C">
      <w:pPr>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363079CC" w14:textId="77777777" w:rsidR="00621ADB" w:rsidRDefault="00621ADB">
      <w:pPr>
        <w:spacing w:line="360" w:lineRule="auto"/>
        <w:ind w:right="-93"/>
        <w:rPr>
          <w:rFonts w:ascii="Palatino Linotype" w:eastAsia="Palatino Linotype" w:hAnsi="Palatino Linotype" w:cs="Palatino Linotype"/>
        </w:rPr>
      </w:pPr>
    </w:p>
    <w:p w14:paraId="7CBD6524" w14:textId="77777777" w:rsidR="00621ADB" w:rsidRDefault="0060161C">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w:t>
      </w:r>
      <w:r>
        <w:rPr>
          <w:rFonts w:ascii="Palatino Linotype" w:eastAsia="Palatino Linotype" w:hAnsi="Palatino Linotype" w:cs="Palatino Linotype"/>
        </w:rPr>
        <w:lastRenderedPageBreak/>
        <w:t xml:space="preserve">año/mes/día; sexo; Entidad Federativa o lugar de nacimiento; finalmente 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o digito verificador, compuesto de dos elementos, con el que se evitan duplicaciones en la Clave, identifican el cambio de siglo y garantizan la correcta integración. </w:t>
      </w:r>
    </w:p>
    <w:p w14:paraId="08DE14B6" w14:textId="77777777" w:rsidR="00621ADB" w:rsidRDefault="00621ADB">
      <w:pPr>
        <w:shd w:val="clear" w:color="auto" w:fill="FFFFFF"/>
        <w:spacing w:line="360" w:lineRule="auto"/>
        <w:jc w:val="both"/>
        <w:rPr>
          <w:rFonts w:ascii="Palatino Linotype" w:eastAsia="Palatino Linotype" w:hAnsi="Palatino Linotype" w:cs="Palatino Linotype"/>
        </w:rPr>
      </w:pPr>
    </w:p>
    <w:p w14:paraId="4ACD3CB2" w14:textId="77777777" w:rsidR="00621ADB" w:rsidRDefault="0060161C">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Al respecto, el entonces Instituto Federal de Acceso a la Información Pública y Protección de Datos Personales (IFAI) a través del Criterio 0003-10, señala literalmente lo siguiente:</w:t>
      </w:r>
    </w:p>
    <w:p w14:paraId="3E9E4371" w14:textId="77777777" w:rsidR="00621ADB" w:rsidRDefault="00621ADB">
      <w:pPr>
        <w:spacing w:line="360" w:lineRule="auto"/>
        <w:ind w:right="-91"/>
        <w:jc w:val="both"/>
        <w:rPr>
          <w:rFonts w:ascii="Palatino Linotype" w:eastAsia="Palatino Linotype" w:hAnsi="Palatino Linotype" w:cs="Palatino Linotype"/>
        </w:rPr>
      </w:pPr>
    </w:p>
    <w:p w14:paraId="588E2A87"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 xml:space="preserve">“Criterio 003-10 Clave Única de Registro de Población (CURP) es un dato personal confidencial. </w:t>
      </w:r>
      <w:r>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Pr>
          <w:rFonts w:ascii="Palatino Linotype" w:eastAsia="Palatino Linotype" w:hAnsi="Palatino Linotype" w:cs="Palatino Linotype"/>
          <w:i/>
          <w:sz w:val="22"/>
          <w:szCs w:val="22"/>
        </w:rPr>
        <w:t>el artículos anteriormente señalados</w:t>
      </w:r>
      <w:proofErr w:type="gramEnd"/>
      <w:r>
        <w:rPr>
          <w:rFonts w:ascii="Palatino Linotype" w:eastAsia="Palatino Linotype" w:hAnsi="Palatino Linotype" w:cs="Palatino Linotype"/>
          <w:i/>
          <w:sz w:val="22"/>
          <w:szCs w:val="22"/>
        </w:rPr>
        <w:t xml:space="preserve">. </w:t>
      </w:r>
    </w:p>
    <w:p w14:paraId="61026D22" w14:textId="77777777" w:rsidR="00621ADB" w:rsidRDefault="00621ADB">
      <w:pPr>
        <w:ind w:left="851" w:right="899"/>
        <w:jc w:val="both"/>
        <w:rPr>
          <w:rFonts w:ascii="Palatino Linotype" w:eastAsia="Palatino Linotype" w:hAnsi="Palatino Linotype" w:cs="Palatino Linotype"/>
          <w:b/>
          <w:i/>
          <w:sz w:val="22"/>
          <w:szCs w:val="22"/>
        </w:rPr>
      </w:pPr>
    </w:p>
    <w:p w14:paraId="3521A75D"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Expedientes: </w:t>
      </w:r>
    </w:p>
    <w:p w14:paraId="671E77D8"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3100/08 Secretaría del Trabajo y Previsión Social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 con Voto Particular de Juan Pablo Guerrero Amparán. </w:t>
      </w:r>
    </w:p>
    <w:p w14:paraId="16E88A3D"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4877/08 Instituto Federal de Acceso a la Información Pública – Juan Pablo Guerrero Amparán. </w:t>
      </w:r>
    </w:p>
    <w:p w14:paraId="720C07CB"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0325/09 Secretaría de la Función Pública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 con Voto Disidente de Juan Pablo Guerrero Amparán. </w:t>
      </w:r>
    </w:p>
    <w:p w14:paraId="5293FB71" w14:textId="77777777" w:rsidR="00621ADB" w:rsidRDefault="006016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3132/09 Servicio Postal Mexicano – Ángel Trinidad Zaldívar. </w:t>
      </w:r>
    </w:p>
    <w:p w14:paraId="12221245" w14:textId="77777777" w:rsidR="00621ADB" w:rsidRDefault="0060161C">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4071/09 Instituto Federal de Acceso a la Información Pública - Ángel Trinidad Zaldívar.” (SIC)</w:t>
      </w:r>
    </w:p>
    <w:p w14:paraId="402389FA" w14:textId="77777777" w:rsidR="00621ADB" w:rsidRDefault="00621ADB">
      <w:pPr>
        <w:spacing w:line="360" w:lineRule="auto"/>
        <w:ind w:left="567" w:right="618"/>
        <w:jc w:val="both"/>
        <w:rPr>
          <w:rFonts w:ascii="Palatino Linotype" w:eastAsia="Palatino Linotype" w:hAnsi="Palatino Linotype" w:cs="Palatino Linotype"/>
          <w:i/>
        </w:rPr>
      </w:pPr>
    </w:p>
    <w:p w14:paraId="2E711C67" w14:textId="77777777" w:rsidR="00621ADB" w:rsidRDefault="0060161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Clave Única de Registro de Población, se encuentra vinculado al nombre de la persona, permitiendo identificar la edad, fecha de nacimiento, sexo, lugar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445B7A6D" w14:textId="77777777" w:rsidR="00621ADB" w:rsidRDefault="00621ADB">
      <w:pPr>
        <w:spacing w:line="360" w:lineRule="auto"/>
        <w:jc w:val="both"/>
        <w:rPr>
          <w:rFonts w:ascii="Palatino Linotype" w:eastAsia="Palatino Linotype" w:hAnsi="Palatino Linotype" w:cs="Palatino Linotype"/>
        </w:rPr>
      </w:pPr>
    </w:p>
    <w:p w14:paraId="04748DBB" w14:textId="77777777" w:rsidR="00621ADB" w:rsidRDefault="0060161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066DE227" w14:textId="77777777" w:rsidR="00621ADB" w:rsidRDefault="00621ADB">
      <w:pPr>
        <w:spacing w:line="360" w:lineRule="auto"/>
        <w:ind w:right="-93"/>
        <w:jc w:val="both"/>
        <w:rPr>
          <w:rFonts w:ascii="Palatino Linotype" w:eastAsia="Palatino Linotype" w:hAnsi="Palatino Linotype" w:cs="Palatino Linotype"/>
        </w:rPr>
      </w:pPr>
    </w:p>
    <w:p w14:paraId="4089B3E1"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públicas, en virtud de no </w:t>
      </w:r>
      <w:proofErr w:type="gramStart"/>
      <w:r>
        <w:rPr>
          <w:rFonts w:ascii="Palatino Linotype" w:eastAsia="Palatino Linotype" w:hAnsi="Palatino Linotype" w:cs="Palatino Linotype"/>
        </w:rPr>
        <w:t>favorecer  en</w:t>
      </w:r>
      <w:proofErr w:type="gramEnd"/>
      <w:r>
        <w:rPr>
          <w:rFonts w:ascii="Palatino Linotype" w:eastAsia="Palatino Linotype" w:hAnsi="Palatino Linotype" w:cs="Palatino Linotype"/>
        </w:rPr>
        <w:t xml:space="preserve"> la transparencia y rendición de cuentas, sino, </w:t>
      </w:r>
      <w:r>
        <w:rPr>
          <w:rFonts w:ascii="Palatino Linotype" w:eastAsia="Palatino Linotype" w:hAnsi="Palatino Linotype" w:cs="Palatino Linotype"/>
        </w:rPr>
        <w:lastRenderedPageBreak/>
        <w:t>por el contrario con ello se violentaría la protección de información confidencial, porque incide en la intimidad de un individuo identificado.</w:t>
      </w:r>
    </w:p>
    <w:p w14:paraId="7DC6A40A" w14:textId="77777777" w:rsidR="00621ADB" w:rsidRDefault="00621ADB">
      <w:pPr>
        <w:spacing w:line="360" w:lineRule="auto"/>
        <w:jc w:val="both"/>
        <w:rPr>
          <w:rFonts w:ascii="Palatino Linotype" w:eastAsia="Palatino Linotype" w:hAnsi="Palatino Linotype" w:cs="Palatino Linotype"/>
        </w:rPr>
      </w:pPr>
    </w:p>
    <w:p w14:paraId="489003A7" w14:textId="77777777" w:rsidR="00621ADB" w:rsidRDefault="0060161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57E8E66C" w14:textId="77777777" w:rsidR="00621ADB" w:rsidRDefault="00621ADB">
      <w:pPr>
        <w:spacing w:line="360" w:lineRule="auto"/>
        <w:ind w:firstLine="1418"/>
        <w:jc w:val="both"/>
        <w:rPr>
          <w:rFonts w:ascii="Palatino Linotype" w:eastAsia="Palatino Linotype" w:hAnsi="Palatino Linotype" w:cs="Palatino Linotype"/>
        </w:rPr>
      </w:pPr>
    </w:p>
    <w:p w14:paraId="1CDCA563"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57C18CDF"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374632E9"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1B1BDDB4"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14:paraId="1714F9B1"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ABBB0BA"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D77969B"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5FD97347"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342842C3" w14:textId="77777777" w:rsidR="00621ADB" w:rsidRDefault="0060161C">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0795EFC3" w14:textId="77777777" w:rsidR="00621ADB" w:rsidRDefault="0060161C">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1E1BB2CE" w14:textId="77777777" w:rsidR="00621ADB" w:rsidRDefault="0060161C">
      <w:pPr>
        <w:ind w:left="567" w:right="618"/>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7A74DB2" w14:textId="77777777" w:rsidR="00621ADB" w:rsidRDefault="00621ADB">
      <w:pPr>
        <w:spacing w:line="360" w:lineRule="auto"/>
        <w:jc w:val="both"/>
        <w:rPr>
          <w:rFonts w:ascii="Palatino Linotype" w:eastAsia="Palatino Linotype" w:hAnsi="Palatino Linotype" w:cs="Palatino Linotype"/>
        </w:rPr>
      </w:pPr>
    </w:p>
    <w:p w14:paraId="585C7CBB"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F29EE51" w14:textId="77777777" w:rsidR="00621ADB" w:rsidRDefault="00621ADB">
      <w:pPr>
        <w:spacing w:line="360" w:lineRule="auto"/>
        <w:ind w:right="-93"/>
        <w:jc w:val="both"/>
        <w:rPr>
          <w:rFonts w:ascii="Palatino Linotype" w:eastAsia="Palatino Linotype" w:hAnsi="Palatino Linotype" w:cs="Palatino Linotype"/>
        </w:rPr>
      </w:pPr>
    </w:p>
    <w:p w14:paraId="36A89835"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en el presente caso,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CE3E99D" w14:textId="77777777" w:rsidR="00621ADB" w:rsidRDefault="00621ADB">
      <w:pPr>
        <w:spacing w:line="360" w:lineRule="auto"/>
        <w:jc w:val="both"/>
        <w:rPr>
          <w:rFonts w:ascii="Palatino Linotype" w:eastAsia="Palatino Linotype" w:hAnsi="Palatino Linotype" w:cs="Palatino Linotype"/>
        </w:rPr>
      </w:pPr>
    </w:p>
    <w:p w14:paraId="4E862D5C"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0C87100C"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347F45DF"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11A8479E"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7FD0366F"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1C54FCF" w14:textId="77777777" w:rsidR="00621ADB" w:rsidRDefault="0060161C">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14:paraId="3993B268"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roofErr w:type="gramStart"/>
      <w:r>
        <w:rPr>
          <w:rFonts w:ascii="Palatino Linotype" w:eastAsia="Palatino Linotype" w:hAnsi="Palatino Linotype" w:cs="Palatino Linotype"/>
          <w:b/>
          <w:i/>
          <w:sz w:val="22"/>
          <w:szCs w:val="22"/>
        </w:rPr>
        <w:t>Segundo.-</w:t>
      </w:r>
      <w:proofErr w:type="gramEnd"/>
      <w:r>
        <w:rPr>
          <w:rFonts w:ascii="Palatino Linotype" w:eastAsia="Palatino Linotype" w:hAnsi="Palatino Linotype" w:cs="Palatino Linotype"/>
          <w:i/>
          <w:sz w:val="22"/>
          <w:szCs w:val="22"/>
        </w:rPr>
        <w:t xml:space="preserve"> Para efectos de los presentes Lineamientos Generales, se entenderá por:</w:t>
      </w:r>
    </w:p>
    <w:p w14:paraId="72302382"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CF295D"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72A76F"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A8E0E36"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C412FE"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B199143"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EE67BE6"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1B2C081D"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03400732"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A60C7A7"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DD83E3D"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BD8A291"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E190FB"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1883D436"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470EC2B"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20EB36"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8EC5C4B"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9D95BE"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E867476"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72EB5EC" w14:textId="77777777" w:rsidR="00621ADB" w:rsidRDefault="0060161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w:t>
      </w:r>
    </w:p>
    <w:p w14:paraId="1605FDAC" w14:textId="77777777" w:rsidR="00621ADB" w:rsidRDefault="00621ADB">
      <w:pPr>
        <w:spacing w:line="360" w:lineRule="auto"/>
        <w:jc w:val="both"/>
        <w:rPr>
          <w:rFonts w:ascii="Palatino Linotype" w:eastAsia="Palatino Linotype" w:hAnsi="Palatino Linotype" w:cs="Palatino Linotype"/>
        </w:rPr>
      </w:pPr>
    </w:p>
    <w:p w14:paraId="7EE16847"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w:t>
      </w:r>
      <w:r>
        <w:rPr>
          <w:rFonts w:ascii="Palatino Linotype" w:eastAsia="Palatino Linotype" w:hAnsi="Palatino Linotype" w:cs="Palatino Linotype"/>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6A5FDC" w14:textId="77777777" w:rsidR="00621ADB" w:rsidRDefault="00621ADB">
      <w:pPr>
        <w:spacing w:line="360" w:lineRule="auto"/>
        <w:jc w:val="both"/>
        <w:rPr>
          <w:rFonts w:ascii="Palatino Linotype" w:eastAsia="Palatino Linotype" w:hAnsi="Palatino Linotype" w:cs="Palatino Linotype"/>
          <w:highlight w:val="green"/>
        </w:rPr>
      </w:pPr>
    </w:p>
    <w:p w14:paraId="13EC3C56" w14:textId="77777777" w:rsidR="00621ADB" w:rsidRDefault="0060161C">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el o los documentos donde se advierta el salario de los regidores del Municipio, </w:t>
      </w:r>
      <w:r>
        <w:rPr>
          <w:rFonts w:ascii="Palatino Linotype" w:eastAsia="Palatino Linotype" w:hAnsi="Palatino Linotype" w:cs="Palatino Linotype"/>
          <w:b/>
          <w:u w:val="single"/>
        </w:rPr>
        <w:t>correspondientes a la primera quincena de agosto de dos mil veinte.</w:t>
      </w:r>
    </w:p>
    <w:p w14:paraId="68D378AB" w14:textId="77777777" w:rsidR="00621ADB" w:rsidRDefault="00621ADB">
      <w:pPr>
        <w:tabs>
          <w:tab w:val="left" w:pos="8647"/>
        </w:tabs>
        <w:spacing w:line="360" w:lineRule="auto"/>
        <w:ind w:right="51"/>
        <w:jc w:val="both"/>
        <w:rPr>
          <w:rFonts w:ascii="Palatino Linotype" w:eastAsia="Palatino Linotype" w:hAnsi="Palatino Linotype" w:cs="Palatino Linotype"/>
        </w:rPr>
      </w:pPr>
    </w:p>
    <w:p w14:paraId="13C938A0"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otro orden de ideas, es importante señalar que en razón de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rPr>
        <w:t xml:space="preserve">fue omiso en entregar la respuesta a la solicitud de información pública y dado que el recurso de revisión materia del presente asunto, no es el medio para investigar y en su caso, sancionar a servidores públicos </w:t>
      </w:r>
      <w:r>
        <w:rPr>
          <w:rFonts w:ascii="Palatino Linotype" w:eastAsia="Palatino Linotype" w:hAnsi="Palatino Linotype" w:cs="Palatino Linotype"/>
          <w:b/>
          <w:u w:val="single"/>
        </w:rPr>
        <w:t>por la omisión de la entrega de información pública</w:t>
      </w:r>
      <w:r>
        <w:rPr>
          <w:rFonts w:ascii="Palatino Linotype" w:eastAsia="Palatino Linotype" w:hAnsi="Palatino Linotype" w:cs="Palatino Linotype"/>
        </w:rPr>
        <w:t xml:space="preserve">, toda vez que el artículo 163 de la Ley de la materia, prevé el plazo de respuesta y atención a solicitudes de información; atento a ello, este Instituto en el ámbito de sus atribuciones, hará del conocimiento al Contralor de este Instituto a fin de que en términos del ordinal 190 de la Ley de la materia determine lo conducente. </w:t>
      </w:r>
    </w:p>
    <w:p w14:paraId="298E194F" w14:textId="77777777" w:rsidR="00621ADB" w:rsidRDefault="00621ADB">
      <w:pPr>
        <w:spacing w:line="360" w:lineRule="auto"/>
        <w:jc w:val="both"/>
        <w:rPr>
          <w:rFonts w:ascii="Palatino Linotype" w:eastAsia="Palatino Linotype" w:hAnsi="Palatino Linotype" w:cs="Palatino Linotype"/>
        </w:rPr>
      </w:pPr>
    </w:p>
    <w:p w14:paraId="4B6DB49B"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proofErr w:type="gramStart"/>
      <w:r>
        <w:rPr>
          <w:rFonts w:ascii="Palatino Linotype" w:eastAsia="Palatino Linotype" w:hAnsi="Palatino Linotype" w:cs="Palatino Linotype"/>
        </w:rPr>
        <w:t>párrafos vigésimo segundo</w:t>
      </w:r>
      <w:proofErr w:type="gramEnd"/>
      <w:r>
        <w:rPr>
          <w:rFonts w:ascii="Palatino Linotype" w:eastAsia="Palatino Linotype" w:hAnsi="Palatino Linotype" w:cs="Palatino Linotype"/>
        </w:rPr>
        <w:t>,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14:paraId="4AB66E08" w14:textId="77777777" w:rsidR="00621ADB" w:rsidRDefault="00621ADB">
      <w:pPr>
        <w:rPr>
          <w:rFonts w:ascii="Palatino Linotype" w:eastAsia="Palatino Linotype" w:hAnsi="Palatino Linotype" w:cs="Palatino Linotype"/>
          <w:b/>
          <w:sz w:val="28"/>
          <w:szCs w:val="28"/>
        </w:rPr>
      </w:pPr>
    </w:p>
    <w:p w14:paraId="53A80CEF" w14:textId="77777777" w:rsidR="00621ADB" w:rsidRDefault="00621ADB">
      <w:pPr>
        <w:jc w:val="center"/>
        <w:rPr>
          <w:rFonts w:ascii="Palatino Linotype" w:eastAsia="Palatino Linotype" w:hAnsi="Palatino Linotype" w:cs="Palatino Linotype"/>
          <w:b/>
          <w:sz w:val="28"/>
          <w:szCs w:val="28"/>
        </w:rPr>
      </w:pPr>
    </w:p>
    <w:p w14:paraId="71051978" w14:textId="77777777" w:rsidR="00621ADB" w:rsidRDefault="0060161C">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14:paraId="6BAEF8F7" w14:textId="77777777" w:rsidR="00621ADB" w:rsidRDefault="00621ADB">
      <w:pPr>
        <w:jc w:val="center"/>
        <w:rPr>
          <w:rFonts w:ascii="Palatino Linotype" w:eastAsia="Palatino Linotype" w:hAnsi="Palatino Linotype" w:cs="Palatino Linotype"/>
          <w:b/>
        </w:rPr>
      </w:pPr>
    </w:p>
    <w:p w14:paraId="32921CFC" w14:textId="77777777"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sz w:val="28"/>
          <w:szCs w:val="28"/>
        </w:rPr>
        <w:t>PRIMERO</w:t>
      </w:r>
      <w:r>
        <w:rPr>
          <w:rFonts w:ascii="Palatino Linotype" w:eastAsia="Palatino Linotype" w:hAnsi="Palatino Linotype" w:cs="Palatino Linotype"/>
        </w:rPr>
        <w:t>. 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w:t>
      </w:r>
    </w:p>
    <w:p w14:paraId="2A6EAFC3" w14:textId="77777777" w:rsidR="00621ADB" w:rsidRDefault="00621ADB">
      <w:pPr>
        <w:spacing w:line="360" w:lineRule="auto"/>
        <w:jc w:val="both"/>
        <w:rPr>
          <w:rFonts w:ascii="Palatino Linotype" w:eastAsia="Palatino Linotype" w:hAnsi="Palatino Linotype" w:cs="Palatino Linotype"/>
        </w:rPr>
      </w:pPr>
    </w:p>
    <w:p w14:paraId="735998DD" w14:textId="77777777" w:rsidR="00621ADB" w:rsidRDefault="0060161C">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color w:val="222222"/>
          <w:sz w:val="28"/>
          <w:szCs w:val="28"/>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atienda la solicitud de información </w:t>
      </w:r>
      <w:r>
        <w:rPr>
          <w:rFonts w:ascii="Palatino Linotype" w:eastAsia="Palatino Linotype" w:hAnsi="Palatino Linotype" w:cs="Palatino Linotype"/>
          <w:b/>
        </w:rPr>
        <w:t>00334/OZUMBA/IP/2020</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y,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de ser procedente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lo</w:t>
      </w:r>
      <w:r>
        <w:rPr>
          <w:rFonts w:ascii="Palatino Linotype" w:eastAsia="Palatino Linotype" w:hAnsi="Palatino Linotype" w:cs="Palatino Linotype"/>
          <w:b/>
        </w:rPr>
        <w:t xml:space="preserve"> </w:t>
      </w:r>
      <w:r>
        <w:rPr>
          <w:rFonts w:ascii="Palatino Linotype" w:eastAsia="Palatino Linotype" w:hAnsi="Palatino Linotype" w:cs="Palatino Linotype"/>
        </w:rPr>
        <w:t>siguiente</w:t>
      </w:r>
      <w:r>
        <w:rPr>
          <w:rFonts w:ascii="Palatino Linotype" w:eastAsia="Palatino Linotype" w:hAnsi="Palatino Linotype" w:cs="Palatino Linotype"/>
          <w:highlight w:val="white"/>
        </w:rPr>
        <w:t>:</w:t>
      </w:r>
    </w:p>
    <w:p w14:paraId="4F4A4BFF" w14:textId="77777777" w:rsidR="00621ADB" w:rsidRDefault="00621ADB">
      <w:pPr>
        <w:spacing w:line="276" w:lineRule="auto"/>
        <w:ind w:right="49"/>
        <w:jc w:val="both"/>
        <w:rPr>
          <w:rFonts w:ascii="Palatino Linotype" w:eastAsia="Palatino Linotype" w:hAnsi="Palatino Linotype" w:cs="Palatino Linotype"/>
          <w:sz w:val="22"/>
          <w:szCs w:val="22"/>
        </w:rPr>
      </w:pPr>
    </w:p>
    <w:p w14:paraId="70525D43" w14:textId="38784C8A" w:rsidR="00621ADB" w:rsidRDefault="0060161C">
      <w:pPr>
        <w:spacing w:line="276" w:lineRule="auto"/>
        <w:ind w:left="851" w:right="902" w:hanging="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“Salario </w:t>
      </w:r>
      <w:r w:rsidR="009716C9">
        <w:rPr>
          <w:rFonts w:ascii="Palatino Linotype" w:eastAsia="Palatino Linotype" w:hAnsi="Palatino Linotype" w:cs="Palatino Linotype"/>
          <w:i/>
          <w:color w:val="000000"/>
          <w:sz w:val="22"/>
          <w:szCs w:val="22"/>
        </w:rPr>
        <w:t xml:space="preserve">bruto y neto </w:t>
      </w:r>
      <w:r>
        <w:rPr>
          <w:rFonts w:ascii="Palatino Linotype" w:eastAsia="Palatino Linotype" w:hAnsi="Palatino Linotype" w:cs="Palatino Linotype"/>
          <w:i/>
          <w:color w:val="000000"/>
          <w:sz w:val="22"/>
          <w:szCs w:val="22"/>
        </w:rPr>
        <w:t>de todos los Regidores del Municipio de Ozumba de la quincena del 01/08/2020 al 15/08/2020”</w:t>
      </w:r>
    </w:p>
    <w:p w14:paraId="22D0B533" w14:textId="77777777" w:rsidR="00621ADB" w:rsidRDefault="00621ADB">
      <w:pPr>
        <w:spacing w:line="276" w:lineRule="auto"/>
        <w:ind w:right="51"/>
        <w:jc w:val="both"/>
        <w:rPr>
          <w:rFonts w:ascii="Palatino Linotype" w:eastAsia="Palatino Linotype" w:hAnsi="Palatino Linotype" w:cs="Palatino Linotype"/>
          <w:i/>
          <w:sz w:val="22"/>
          <w:szCs w:val="22"/>
        </w:rPr>
      </w:pPr>
    </w:p>
    <w:p w14:paraId="3BC421B2" w14:textId="3B7AF38A" w:rsidR="00621ADB" w:rsidRDefault="0060161C">
      <w:pPr>
        <w:spacing w:line="276" w:lineRule="auto"/>
        <w:ind w:left="851" w:right="902"/>
        <w:jc w:val="both"/>
        <w:rPr>
          <w:rFonts w:ascii="Palatino Linotype" w:eastAsia="Palatino Linotype" w:hAnsi="Palatino Linotype" w:cs="Palatino Linotype"/>
          <w:i/>
          <w:color w:val="222222"/>
          <w:sz w:val="22"/>
          <w:szCs w:val="22"/>
          <w:highlight w:val="white"/>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Pr>
          <w:rFonts w:ascii="Palatino Linotype" w:eastAsia="Palatino Linotype" w:hAnsi="Palatino Linotype" w:cs="Palatino Linotype"/>
          <w:i/>
          <w:color w:val="222222"/>
          <w:sz w:val="22"/>
          <w:szCs w:val="22"/>
          <w:highlight w:val="white"/>
        </w:rPr>
        <w:t>”</w:t>
      </w:r>
    </w:p>
    <w:p w14:paraId="76DDD1AB" w14:textId="77777777" w:rsidR="00A72D96" w:rsidRDefault="00A72D96">
      <w:pPr>
        <w:spacing w:line="276" w:lineRule="auto"/>
        <w:ind w:left="851" w:right="902"/>
        <w:jc w:val="both"/>
        <w:rPr>
          <w:rFonts w:ascii="Palatino Linotype" w:eastAsia="Palatino Linotype" w:hAnsi="Palatino Linotype" w:cs="Palatino Linotype"/>
          <w:i/>
          <w:color w:val="222222"/>
          <w:sz w:val="22"/>
          <w:szCs w:val="22"/>
          <w:highlight w:val="white"/>
        </w:rPr>
      </w:pPr>
    </w:p>
    <w:p w14:paraId="6E4D7E08" w14:textId="77777777" w:rsidR="00621ADB" w:rsidRDefault="00621ADB">
      <w:pPr>
        <w:spacing w:line="276" w:lineRule="auto"/>
        <w:ind w:left="851" w:right="902" w:hanging="142"/>
        <w:jc w:val="both"/>
        <w:rPr>
          <w:rFonts w:ascii="Palatino Linotype" w:eastAsia="Palatino Linotype" w:hAnsi="Palatino Linotype" w:cs="Palatino Linotype"/>
          <w:i/>
          <w:sz w:val="22"/>
          <w:szCs w:val="22"/>
        </w:rPr>
      </w:pPr>
    </w:p>
    <w:p w14:paraId="2DE8E6FA" w14:textId="77777777" w:rsidR="00621ADB" w:rsidRDefault="0060161C">
      <w:pPr>
        <w:spacing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sz w:val="28"/>
          <w:szCs w:val="28"/>
          <w:highlight w:val="white"/>
        </w:rPr>
        <w:lastRenderedPageBreak/>
        <w:t>TERCERO.</w:t>
      </w:r>
      <w:r>
        <w:rPr>
          <w:rFonts w:ascii="Palatino Linotype" w:eastAsia="Palatino Linotype" w:hAnsi="Palatino Linotype" w:cs="Palatino Linotype"/>
          <w:b/>
          <w:color w:val="222222"/>
          <w:highlight w:val="white"/>
        </w:rPr>
        <w:t> </w:t>
      </w:r>
      <w:r>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highlight w:val="white"/>
        </w:rPr>
        <w:t>al Titular de la Unidad de Transparencia del</w:t>
      </w:r>
      <w:r>
        <w:rPr>
          <w:rFonts w:ascii="Palatino Linotype" w:eastAsia="Palatino Linotype" w:hAnsi="Palatino Linotype" w:cs="Palatino Linotype"/>
          <w:b/>
          <w:color w:val="222222"/>
          <w:highlight w:val="white"/>
        </w:rPr>
        <w:t> SUJETO OBLIGADO</w:t>
      </w:r>
      <w:r>
        <w:rPr>
          <w:rFonts w:ascii="Palatino Linotype" w:eastAsia="Palatino Linotype" w:hAnsi="Palatino Linotype" w:cs="Palatino Linotype"/>
          <w:color w:val="222222"/>
          <w:highlight w:val="white"/>
        </w:rPr>
        <w:t xml:space="preserve">, para que conforme a los artículos 186, último párrafo y 189, párrafo segundo de la Ley de </w:t>
      </w:r>
      <w:r>
        <w:rPr>
          <w:rFonts w:ascii="Palatino Linotype" w:eastAsia="Palatino Linotype" w:hAnsi="Palatino Linotype" w:cs="Palatino Linotype"/>
        </w:rPr>
        <w:t>Transparencia</w:t>
      </w:r>
      <w:r>
        <w:rPr>
          <w:rFonts w:ascii="Palatino Linotype" w:eastAsia="Palatino Linotype" w:hAnsi="Palatino Linotype" w:cs="Palatino Linotype"/>
          <w:color w:val="222222"/>
          <w:highlight w:val="white"/>
        </w:rPr>
        <w:t xml:space="preserve"> y Acceso a la Información Pública del Estado de México y Municipios, dé cumplimiento a lo ordenado dentro del plazo de diez días hábiles, debiendo informar a este Instituto en un plazo </w:t>
      </w:r>
      <w:r>
        <w:rPr>
          <w:rFonts w:ascii="Palatino Linotype" w:eastAsia="Palatino Linotype" w:hAnsi="Palatino Linotype" w:cs="Palatino Linotype"/>
          <w:color w:val="222222"/>
        </w:rPr>
        <w:t>de</w:t>
      </w:r>
      <w:r>
        <w:rPr>
          <w:rFonts w:ascii="Palatino Linotype" w:eastAsia="Palatino Linotype" w:hAnsi="Palatino Linotype" w:cs="Palatino Linotype"/>
          <w:color w:val="222222"/>
          <w:highlight w:val="white"/>
        </w:rPr>
        <w:t xml:space="preserve"> tres días hábiles siguientes sobre el cumplimiento dado a la presente resolución.</w:t>
      </w:r>
    </w:p>
    <w:p w14:paraId="5AF1D837" w14:textId="77777777" w:rsidR="00621ADB" w:rsidRDefault="00621ADB">
      <w:pPr>
        <w:spacing w:line="360" w:lineRule="auto"/>
        <w:jc w:val="both"/>
        <w:rPr>
          <w:rFonts w:ascii="Palatino Linotype" w:eastAsia="Palatino Linotype" w:hAnsi="Palatino Linotype" w:cs="Palatino Linotype"/>
          <w:b/>
          <w:color w:val="222222"/>
          <w:highlight w:val="white"/>
        </w:rPr>
      </w:pPr>
    </w:p>
    <w:p w14:paraId="46D7D9DE" w14:textId="77777777" w:rsidR="00A72D96" w:rsidRDefault="00A72D96" w:rsidP="00A72D96">
      <w:pPr>
        <w:pStyle w:val="xmsonormal"/>
        <w:shd w:val="clear" w:color="auto" w:fill="FFFFFF"/>
        <w:spacing w:before="0" w:beforeAutospacing="0" w:after="0" w:afterAutospacing="0" w:line="360" w:lineRule="auto"/>
        <w:ind w:right="49"/>
        <w:jc w:val="both"/>
        <w:rPr>
          <w:color w:val="201F1E"/>
        </w:rPr>
      </w:pPr>
      <w:r>
        <w:rPr>
          <w:rFonts w:ascii="Palatino Linotype" w:hAnsi="Palatino Linotype"/>
          <w:b/>
          <w:bCs/>
          <w:color w:val="201F1E"/>
          <w:sz w:val="28"/>
          <w:szCs w:val="28"/>
          <w:bdr w:val="none" w:sz="0" w:space="0" w:color="auto" w:frame="1"/>
        </w:rPr>
        <w:t>CUARTO. </w:t>
      </w:r>
      <w:r>
        <w:rPr>
          <w:rFonts w:ascii="Palatino Linotype" w:hAnsi="Palatino Linotype"/>
          <w:color w:val="201F1E"/>
          <w:bdr w:val="none" w:sz="0" w:space="0" w:color="auto" w:frame="1"/>
        </w:rPr>
        <w:t>Con fundamento en el artículo 198 de la Ley de Transparencia y Acceso a la Información Pública del Estado de México y Municipios, se apercibe al </w:t>
      </w:r>
      <w:r>
        <w:rPr>
          <w:rFonts w:ascii="Palatino Linotype" w:hAnsi="Palatino Linotype"/>
          <w:b/>
          <w:bCs/>
          <w:color w:val="201F1E"/>
          <w:bdr w:val="none" w:sz="0" w:space="0" w:color="auto" w:frame="1"/>
        </w:rPr>
        <w:t>SUJETO OBLIGADO</w:t>
      </w:r>
      <w:r>
        <w:rPr>
          <w:rFonts w:ascii="Palatino Linotype" w:hAnsi="Palatino Linotype"/>
          <w:color w:val="201F1E"/>
          <w:bdr w:val="none" w:sz="0" w:space="0" w:color="auto" w:frame="1"/>
        </w:rPr>
        <w:t> que, en caso de negarse a cumplir la presente resolución o hacerlo de manera parcial se actuará de conformidad con lo previsto en los artículos 213, 214, 216 y 217 de dicha Ley.</w:t>
      </w:r>
    </w:p>
    <w:p w14:paraId="61CDE8FF" w14:textId="77777777" w:rsidR="00A72D96" w:rsidRDefault="00A72D96" w:rsidP="00A72D96">
      <w:pPr>
        <w:pStyle w:val="xmsonormal"/>
        <w:shd w:val="clear" w:color="auto" w:fill="FFFFFF"/>
        <w:spacing w:before="0" w:beforeAutospacing="0" w:after="0" w:afterAutospacing="0" w:line="360" w:lineRule="auto"/>
        <w:ind w:right="49"/>
        <w:jc w:val="both"/>
        <w:rPr>
          <w:color w:val="201F1E"/>
        </w:rPr>
      </w:pPr>
      <w:r>
        <w:rPr>
          <w:rFonts w:ascii="Palatino Linotype" w:hAnsi="Palatino Linotype"/>
          <w:color w:val="201F1E"/>
          <w:bdr w:val="none" w:sz="0" w:space="0" w:color="auto" w:frame="1"/>
        </w:rPr>
        <w:t> </w:t>
      </w:r>
    </w:p>
    <w:p w14:paraId="33706630" w14:textId="77777777" w:rsidR="00A72D96" w:rsidRDefault="00A72D96" w:rsidP="00A72D96">
      <w:pPr>
        <w:pStyle w:val="xmsonormal"/>
        <w:shd w:val="clear" w:color="auto" w:fill="FFFFFF"/>
        <w:spacing w:before="0" w:beforeAutospacing="0" w:after="0" w:afterAutospacing="0" w:line="360" w:lineRule="auto"/>
        <w:ind w:right="49"/>
        <w:jc w:val="both"/>
        <w:rPr>
          <w:color w:val="201F1E"/>
        </w:rPr>
      </w:pPr>
      <w:r>
        <w:rPr>
          <w:rFonts w:ascii="Palatino Linotype" w:hAnsi="Palatino Linotype"/>
          <w:b/>
          <w:bCs/>
          <w:color w:val="201F1E"/>
          <w:sz w:val="28"/>
          <w:szCs w:val="28"/>
          <w:bdr w:val="none" w:sz="0" w:space="0" w:color="auto" w:frame="1"/>
        </w:rPr>
        <w:t>QUINTO.</w:t>
      </w:r>
      <w:r>
        <w:rPr>
          <w:rFonts w:ascii="Palatino Linotype" w:hAnsi="Palatino Linotype"/>
          <w:color w:val="201F1E"/>
          <w:bdr w:val="none" w:sz="0" w:space="0" w:color="auto" w:frame="1"/>
        </w:rPr>
        <w:t> </w:t>
      </w:r>
      <w:r>
        <w:rPr>
          <w:rFonts w:ascii="Palatino Linotype" w:hAnsi="Palatino Linotype"/>
          <w:b/>
          <w:bCs/>
          <w:color w:val="201F1E"/>
          <w:bdr w:val="none" w:sz="0" w:space="0" w:color="auto" w:frame="1"/>
        </w:rPr>
        <w:t>Notifíquese</w:t>
      </w:r>
      <w:r>
        <w:rPr>
          <w:rFonts w:ascii="Palatino Linotype" w:hAnsi="Palatino Linotype"/>
          <w:color w:val="201F1E"/>
          <w:bdr w:val="none" w:sz="0" w:space="0" w:color="auto" w:frame="1"/>
        </w:rPr>
        <w:t> a </w:t>
      </w:r>
      <w:r>
        <w:rPr>
          <w:rFonts w:ascii="Palatino Linotype" w:hAnsi="Palatino Linotype"/>
          <w:b/>
          <w:bCs/>
          <w:color w:val="201F1E"/>
          <w:bdr w:val="none" w:sz="0" w:space="0" w:color="auto" w:frame="1"/>
        </w:rPr>
        <w:t>LA</w:t>
      </w:r>
      <w:r>
        <w:rPr>
          <w:rFonts w:ascii="Palatino Linotype" w:hAnsi="Palatino Linotype"/>
          <w:color w:val="201F1E"/>
          <w:bdr w:val="none" w:sz="0" w:space="0" w:color="auto" w:frame="1"/>
        </w:rPr>
        <w:t> </w:t>
      </w:r>
      <w:r>
        <w:rPr>
          <w:rFonts w:ascii="Palatino Linotype" w:hAnsi="Palatino Linotype"/>
          <w:b/>
          <w:bCs/>
          <w:color w:val="201F1E"/>
          <w:bdr w:val="none" w:sz="0" w:space="0" w:color="auto" w:frame="1"/>
        </w:rPr>
        <w:t>RECURRENTE</w:t>
      </w:r>
      <w:r>
        <w:rPr>
          <w:rFonts w:ascii="Palatino Linotype" w:hAnsi="Palatino Linotype"/>
          <w:color w:val="201F1E"/>
          <w:bdr w:val="none" w:sz="0" w:space="0" w:color="auto" w:frame="1"/>
        </w:rPr>
        <w:t> la presente resolución.</w:t>
      </w:r>
    </w:p>
    <w:p w14:paraId="7A0D1A53" w14:textId="77777777" w:rsidR="00A72D96" w:rsidRDefault="00A72D96" w:rsidP="00A72D96">
      <w:pPr>
        <w:pStyle w:val="xmsonormal"/>
        <w:shd w:val="clear" w:color="auto" w:fill="FFFFFF"/>
        <w:spacing w:before="0" w:beforeAutospacing="0" w:after="0" w:afterAutospacing="0" w:line="360" w:lineRule="auto"/>
        <w:jc w:val="both"/>
        <w:rPr>
          <w:color w:val="201F1E"/>
        </w:rPr>
      </w:pPr>
      <w:r>
        <w:rPr>
          <w:rFonts w:ascii="Palatino Linotype" w:hAnsi="Palatino Linotype"/>
          <w:color w:val="201F1E"/>
          <w:bdr w:val="none" w:sz="0" w:space="0" w:color="auto" w:frame="1"/>
        </w:rPr>
        <w:t> </w:t>
      </w:r>
    </w:p>
    <w:p w14:paraId="63B7C8A7" w14:textId="77777777" w:rsidR="00A72D96" w:rsidRDefault="00A72D96" w:rsidP="00A72D96">
      <w:pPr>
        <w:pStyle w:val="xmsonormal"/>
        <w:shd w:val="clear" w:color="auto" w:fill="FFFFFF"/>
        <w:spacing w:before="0" w:beforeAutospacing="0" w:after="0" w:afterAutospacing="0" w:line="360" w:lineRule="auto"/>
        <w:ind w:right="49"/>
        <w:jc w:val="both"/>
        <w:rPr>
          <w:color w:val="201F1E"/>
        </w:rPr>
      </w:pPr>
      <w:r>
        <w:rPr>
          <w:rFonts w:ascii="Palatino Linotype" w:hAnsi="Palatino Linotype"/>
          <w:b/>
          <w:bCs/>
          <w:color w:val="201F1E"/>
          <w:sz w:val="28"/>
          <w:szCs w:val="28"/>
          <w:bdr w:val="none" w:sz="0" w:space="0" w:color="auto" w:frame="1"/>
        </w:rPr>
        <w:t>SEXTO.</w:t>
      </w:r>
      <w:r>
        <w:rPr>
          <w:rFonts w:ascii="Palatino Linotype" w:hAnsi="Palatino Linotype"/>
          <w:color w:val="201F1E"/>
          <w:bdr w:val="none" w:sz="0" w:space="0" w:color="auto" w:frame="1"/>
        </w:rPr>
        <w:t> </w:t>
      </w:r>
      <w:r>
        <w:rPr>
          <w:rFonts w:ascii="Palatino Linotype" w:hAnsi="Palatino Linotype"/>
          <w:b/>
          <w:bCs/>
          <w:color w:val="201F1E"/>
          <w:bdr w:val="none" w:sz="0" w:space="0" w:color="auto" w:frame="1"/>
        </w:rPr>
        <w:t>Hágase del conocimiento</w:t>
      </w:r>
      <w:r>
        <w:rPr>
          <w:rFonts w:ascii="Palatino Linotype" w:hAnsi="Palatino Linotype"/>
          <w:color w:val="201F1E"/>
          <w:bdr w:val="none" w:sz="0" w:space="0" w:color="auto" w:frame="1"/>
        </w:rPr>
        <w:t> a </w:t>
      </w:r>
      <w:r>
        <w:rPr>
          <w:rFonts w:ascii="Palatino Linotype" w:hAnsi="Palatino Linotype"/>
          <w:b/>
          <w:bCs/>
          <w:color w:val="201F1E"/>
          <w:bdr w:val="none" w:sz="0" w:space="0" w:color="auto" w:frame="1"/>
        </w:rPr>
        <w:t>LA</w:t>
      </w:r>
      <w:r>
        <w:rPr>
          <w:rFonts w:ascii="Palatino Linotype" w:hAnsi="Palatino Linotype"/>
          <w:color w:val="201F1E"/>
          <w:bdr w:val="none" w:sz="0" w:space="0" w:color="auto" w:frame="1"/>
        </w:rPr>
        <w:t> </w:t>
      </w:r>
      <w:r>
        <w:rPr>
          <w:rFonts w:ascii="Palatino Linotype" w:hAnsi="Palatino Linotype"/>
          <w:b/>
          <w:bCs/>
          <w:color w:val="201F1E"/>
          <w:bdr w:val="none" w:sz="0" w:space="0" w:color="auto" w:frame="1"/>
        </w:rPr>
        <w:t>RECURRENTE</w:t>
      </w:r>
      <w:r>
        <w:rPr>
          <w:rFonts w:ascii="Palatino Linotype" w:hAnsi="Palatino Linotype"/>
          <w:color w:val="201F1E"/>
          <w:bdr w:val="none" w:sz="0" w:space="0" w:color="auto" w:frame="1"/>
        </w:rPr>
        <w:t> que de conformidad con lo establecido en el artículo 196 de la Ley de Transparencia y Acceso a la Información Pública del Estado de México y Municipios, podrá impugnarla vía Juicio de Amparo en los términos de las leyes aplicables.</w:t>
      </w:r>
    </w:p>
    <w:p w14:paraId="1C999B17" w14:textId="77777777" w:rsidR="00A72D96" w:rsidRDefault="00A72D96" w:rsidP="00A72D96">
      <w:pPr>
        <w:pStyle w:val="xmsonormal"/>
        <w:shd w:val="clear" w:color="auto" w:fill="FFFFFF"/>
        <w:spacing w:before="0" w:beforeAutospacing="0" w:after="0" w:afterAutospacing="0" w:line="360" w:lineRule="auto"/>
        <w:jc w:val="both"/>
        <w:rPr>
          <w:color w:val="201F1E"/>
        </w:rPr>
      </w:pPr>
      <w:r>
        <w:rPr>
          <w:rFonts w:ascii="Palatino Linotype" w:hAnsi="Palatino Linotype"/>
          <w:b/>
          <w:bCs/>
          <w:color w:val="201F1E"/>
          <w:bdr w:val="none" w:sz="0" w:space="0" w:color="auto" w:frame="1"/>
        </w:rPr>
        <w:t> </w:t>
      </w:r>
    </w:p>
    <w:p w14:paraId="4BDF94D3" w14:textId="77777777" w:rsidR="00A72D96" w:rsidRDefault="00A72D96" w:rsidP="00A72D96">
      <w:pPr>
        <w:pStyle w:val="xmsonormal"/>
        <w:shd w:val="clear" w:color="auto" w:fill="FFFFFF"/>
        <w:spacing w:before="0" w:beforeAutospacing="0" w:after="0" w:afterAutospacing="0" w:line="360" w:lineRule="auto"/>
        <w:jc w:val="both"/>
        <w:rPr>
          <w:color w:val="201F1E"/>
        </w:rPr>
      </w:pPr>
      <w:r>
        <w:rPr>
          <w:rFonts w:ascii="Palatino Linotype" w:hAnsi="Palatino Linotype"/>
          <w:b/>
          <w:bCs/>
          <w:color w:val="201F1E"/>
          <w:sz w:val="28"/>
          <w:szCs w:val="28"/>
          <w:bdr w:val="none" w:sz="0" w:space="0" w:color="auto" w:frame="1"/>
        </w:rPr>
        <w:t>SÉPTIMO. </w:t>
      </w:r>
      <w:r>
        <w:rPr>
          <w:rFonts w:ascii="Palatino Linotype" w:hAnsi="Palatino Linotype"/>
          <w:b/>
          <w:bCs/>
          <w:color w:val="201F1E"/>
          <w:bdr w:val="none" w:sz="0" w:space="0" w:color="auto" w:frame="1"/>
        </w:rPr>
        <w:t>Hágase del conocimiento </w:t>
      </w:r>
      <w:r>
        <w:rPr>
          <w:rFonts w:ascii="Palatino Linotype" w:hAnsi="Palatino Linotype"/>
          <w:color w:val="201F1E"/>
          <w:bdr w:val="none" w:sz="0" w:space="0" w:color="auto" w:frame="1"/>
        </w:rPr>
        <w:t>del </w:t>
      </w:r>
      <w:r>
        <w:rPr>
          <w:rFonts w:ascii="Palatino Linotype" w:hAnsi="Palatino Linotype"/>
          <w:b/>
          <w:bCs/>
          <w:color w:val="201F1E"/>
          <w:bdr w:val="none" w:sz="0" w:space="0" w:color="auto" w:frame="1"/>
        </w:rPr>
        <w:t>RECURRENTE </w:t>
      </w:r>
      <w:r>
        <w:rPr>
          <w:rFonts w:ascii="Palatino Linotype" w:hAnsi="Palatino Linotype"/>
          <w:color w:val="201F1E"/>
          <w:bdr w:val="none" w:sz="0" w:space="0" w:color="auto" w:frame="1"/>
        </w:rPr>
        <w:t>que la respuesta que dé </w:t>
      </w:r>
      <w:r>
        <w:rPr>
          <w:rFonts w:ascii="Palatino Linotype" w:hAnsi="Palatino Linotype"/>
          <w:b/>
          <w:bCs/>
          <w:color w:val="201F1E"/>
          <w:bdr w:val="none" w:sz="0" w:space="0" w:color="auto" w:frame="1"/>
        </w:rPr>
        <w:t>EL SUJETO OBLIGADO</w:t>
      </w:r>
      <w:r>
        <w:rPr>
          <w:rFonts w:ascii="Palatino Linotype" w:hAnsi="Palatino Linotype"/>
          <w:color w:val="201F1E"/>
          <w:bdr w:val="none" w:sz="0" w:space="0" w:color="auto" w:frame="1"/>
        </w:rPr>
        <w:t xml:space="preserve"> derivada de la presente resolución es susceptible de ser impugnada nuevamente, mediante recurso de revisión, ante este Instituto, en </w:t>
      </w:r>
      <w:r>
        <w:rPr>
          <w:rFonts w:ascii="Palatino Linotype" w:hAnsi="Palatino Linotype"/>
          <w:color w:val="201F1E"/>
          <w:bdr w:val="none" w:sz="0" w:space="0" w:color="auto" w:frame="1"/>
        </w:rPr>
        <w:lastRenderedPageBreak/>
        <w:t>términos del artículo 179, último párrafo de la Ley de Transparencia, Acceso a la Información Pública y Protección de Datos Personales del Estado de México y Municipios.</w:t>
      </w:r>
    </w:p>
    <w:p w14:paraId="5B5D49D4" w14:textId="77777777" w:rsidR="00A72D96" w:rsidRDefault="00A72D96" w:rsidP="00A72D96">
      <w:pPr>
        <w:pStyle w:val="xmsonormal"/>
        <w:shd w:val="clear" w:color="auto" w:fill="FFFFFF"/>
        <w:spacing w:before="0" w:beforeAutospacing="0" w:after="0" w:afterAutospacing="0" w:line="360" w:lineRule="auto"/>
        <w:jc w:val="both"/>
        <w:rPr>
          <w:color w:val="201F1E"/>
        </w:rPr>
      </w:pPr>
      <w:r>
        <w:rPr>
          <w:rFonts w:ascii="Palatino Linotype" w:hAnsi="Palatino Linotype"/>
          <w:b/>
          <w:bCs/>
          <w:color w:val="201F1E"/>
          <w:sz w:val="28"/>
          <w:szCs w:val="28"/>
          <w:bdr w:val="none" w:sz="0" w:space="0" w:color="auto" w:frame="1"/>
        </w:rPr>
        <w:t> </w:t>
      </w:r>
    </w:p>
    <w:p w14:paraId="24E6286D" w14:textId="77777777" w:rsidR="00A72D96" w:rsidRDefault="00A72D96" w:rsidP="00A72D96">
      <w:pPr>
        <w:pStyle w:val="xmsonormal"/>
        <w:shd w:val="clear" w:color="auto" w:fill="FFFFFF"/>
        <w:spacing w:before="0" w:beforeAutospacing="0" w:after="0" w:afterAutospacing="0" w:line="360" w:lineRule="auto"/>
        <w:jc w:val="both"/>
        <w:rPr>
          <w:color w:val="201F1E"/>
        </w:rPr>
      </w:pPr>
      <w:r>
        <w:rPr>
          <w:rFonts w:ascii="Palatino Linotype" w:hAnsi="Palatino Linotype"/>
          <w:b/>
          <w:bCs/>
          <w:color w:val="201F1E"/>
          <w:sz w:val="28"/>
          <w:szCs w:val="28"/>
          <w:bdr w:val="none" w:sz="0" w:space="0" w:color="auto" w:frame="1"/>
        </w:rPr>
        <w:t>OCTAVO.</w:t>
      </w:r>
      <w:r>
        <w:rPr>
          <w:rFonts w:ascii="Palatino Linotype" w:hAnsi="Palatino Linotype"/>
          <w:b/>
          <w:bCs/>
          <w:color w:val="201F1E"/>
          <w:bdr w:val="none" w:sz="0" w:space="0" w:color="auto" w:frame="1"/>
        </w:rPr>
        <w:t> Gírese</w:t>
      </w:r>
      <w:r>
        <w:rPr>
          <w:rFonts w:ascii="Palatino Linotype" w:hAnsi="Palatino Linotype"/>
          <w:color w:val="201F1E"/>
          <w:bdr w:val="none" w:sz="0" w:space="0" w:color="auto" w:frame="1"/>
        </w:rPr>
        <w:t>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Pr>
          <w:rFonts w:ascii="Palatino Linotype" w:hAnsi="Palatino Linotype"/>
          <w:b/>
          <w:bCs/>
          <w:color w:val="201F1E"/>
          <w:bdr w:val="none" w:sz="0" w:space="0" w:color="auto" w:frame="1"/>
        </w:rPr>
        <w:t>QUINTO</w:t>
      </w:r>
      <w:r>
        <w:rPr>
          <w:rFonts w:ascii="Palatino Linotype" w:hAnsi="Palatino Linotype"/>
          <w:color w:val="201F1E"/>
          <w:bdr w:val="none" w:sz="0" w:space="0" w:color="auto" w:frame="1"/>
        </w:rPr>
        <w:t> de la presente resolución.</w:t>
      </w:r>
    </w:p>
    <w:p w14:paraId="64923218" w14:textId="77777777" w:rsidR="00621ADB" w:rsidRDefault="00621ADB">
      <w:pPr>
        <w:spacing w:line="360" w:lineRule="auto"/>
        <w:jc w:val="both"/>
        <w:rPr>
          <w:rFonts w:ascii="Palatino Linotype" w:eastAsia="Palatino Linotype" w:hAnsi="Palatino Linotype" w:cs="Palatino Linotype"/>
        </w:rPr>
      </w:pPr>
    </w:p>
    <w:p w14:paraId="5798B44F" w14:textId="21732946" w:rsidR="00621ADB" w:rsidRDefault="006016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w:t>
      </w:r>
      <w:r w:rsidR="00E60AC2">
        <w:rPr>
          <w:rFonts w:ascii="Palatino Linotype" w:eastAsia="Palatino Linotype" w:hAnsi="Palatino Linotype" w:cs="Palatino Linotype"/>
        </w:rPr>
        <w:t xml:space="preserve"> MAYORÍA </w:t>
      </w:r>
      <w:r>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E60AC2">
        <w:rPr>
          <w:rFonts w:ascii="Palatino Linotype" w:eastAsia="Palatino Linotype" w:hAnsi="Palatino Linotype" w:cs="Palatino Linotype"/>
        </w:rPr>
        <w:t xml:space="preserve">EMITIENDO VOTO EN CONTRA CON VOTO DISIDENTE </w:t>
      </w:r>
      <w:r>
        <w:rPr>
          <w:rFonts w:ascii="Palatino Linotype" w:eastAsia="Palatino Linotype" w:hAnsi="Palatino Linotype" w:cs="Palatino Linotype"/>
        </w:rPr>
        <w:t xml:space="preserve">Y LUIS GUSTAVO PARRA NORIEGA; </w:t>
      </w:r>
      <w:r>
        <w:rPr>
          <w:rFonts w:ascii="Palatino Linotype" w:eastAsia="Palatino Linotype" w:hAnsi="Palatino Linotype" w:cs="Palatino Linotype"/>
          <w:highlight w:val="white"/>
        </w:rPr>
        <w:t xml:space="preserve">EN </w:t>
      </w:r>
      <w:r w:rsidRPr="00E60AC2">
        <w:rPr>
          <w:rFonts w:ascii="Palatino Linotype" w:eastAsia="Palatino Linotype" w:hAnsi="Palatino Linotype" w:cs="Palatino Linotype"/>
        </w:rPr>
        <w:t xml:space="preserve">LA </w:t>
      </w:r>
      <w:r w:rsidR="00E60AC2" w:rsidRPr="00E60AC2">
        <w:rPr>
          <w:rFonts w:ascii="Palatino Linotype" w:eastAsia="Palatino Linotype" w:hAnsi="Palatino Linotype" w:cs="Palatino Linotype"/>
        </w:rPr>
        <w:t>VIGESI</w:t>
      </w:r>
      <w:r w:rsidRPr="00E60AC2">
        <w:rPr>
          <w:rFonts w:ascii="Palatino Linotype" w:eastAsia="Palatino Linotype" w:hAnsi="Palatino Linotype" w:cs="Palatino Linotype"/>
        </w:rPr>
        <w:t>MA TERCERA SESIÓN ORDINARIA CELEBRADA EL VEINTIUNO DE OCTUBRE DE DOS MIL VEINTE, ANTE EL SECRETARIO TÉCNICO DEL PLENO, ALEXIS</w:t>
      </w:r>
      <w:r>
        <w:rPr>
          <w:rFonts w:ascii="Palatino Linotype" w:eastAsia="Palatino Linotype" w:hAnsi="Palatino Linotype" w:cs="Palatino Linotype"/>
        </w:rPr>
        <w:t xml:space="preserve"> TAPIA RAMÍREZ.</w:t>
      </w:r>
    </w:p>
    <w:tbl>
      <w:tblPr>
        <w:tblStyle w:val="a"/>
        <w:tblW w:w="10368" w:type="dxa"/>
        <w:jc w:val="center"/>
        <w:tblInd w:w="0" w:type="dxa"/>
        <w:tblLayout w:type="fixed"/>
        <w:tblLook w:val="0400" w:firstRow="0" w:lastRow="0" w:firstColumn="0" w:lastColumn="0" w:noHBand="0" w:noVBand="1"/>
      </w:tblPr>
      <w:tblGrid>
        <w:gridCol w:w="10368"/>
      </w:tblGrid>
      <w:tr w:rsidR="00621ADB" w14:paraId="64E54B53" w14:textId="77777777">
        <w:trPr>
          <w:jc w:val="center"/>
        </w:trPr>
        <w:tc>
          <w:tcPr>
            <w:tcW w:w="10368" w:type="dxa"/>
          </w:tcPr>
          <w:p w14:paraId="184A22A1" w14:textId="77777777" w:rsidR="00621ADB" w:rsidRDefault="00621ADB">
            <w:pPr>
              <w:rPr>
                <w:rFonts w:ascii="Palatino Linotype" w:eastAsia="Palatino Linotype" w:hAnsi="Palatino Linotype" w:cs="Palatino Linotype"/>
                <w:b/>
              </w:rPr>
            </w:pPr>
          </w:p>
          <w:p w14:paraId="6F1F2B7D" w14:textId="77777777" w:rsidR="00621ADB" w:rsidRDefault="00621ADB">
            <w:pPr>
              <w:rPr>
                <w:rFonts w:ascii="Palatino Linotype" w:eastAsia="Palatino Linotype" w:hAnsi="Palatino Linotype" w:cs="Palatino Linotype"/>
                <w:b/>
              </w:rPr>
            </w:pPr>
          </w:p>
          <w:p w14:paraId="0174587F" w14:textId="77777777" w:rsidR="00621ADB" w:rsidRDefault="00621ADB">
            <w:pPr>
              <w:rPr>
                <w:rFonts w:ascii="Palatino Linotype" w:eastAsia="Palatino Linotype" w:hAnsi="Palatino Linotype" w:cs="Palatino Linotype"/>
                <w:b/>
              </w:rPr>
            </w:pPr>
          </w:p>
          <w:tbl>
            <w:tblPr>
              <w:tblStyle w:val="a0"/>
              <w:tblW w:w="10365" w:type="dxa"/>
              <w:jc w:val="center"/>
              <w:tblInd w:w="0" w:type="dxa"/>
              <w:tblLayout w:type="fixed"/>
              <w:tblLook w:val="0400" w:firstRow="0" w:lastRow="0" w:firstColumn="0" w:lastColumn="0" w:noHBand="0" w:noVBand="1"/>
            </w:tblPr>
            <w:tblGrid>
              <w:gridCol w:w="5182"/>
              <w:gridCol w:w="5183"/>
            </w:tblGrid>
            <w:tr w:rsidR="00621ADB" w14:paraId="3B3613DA" w14:textId="77777777">
              <w:trPr>
                <w:jc w:val="center"/>
              </w:trPr>
              <w:tc>
                <w:tcPr>
                  <w:tcW w:w="10365" w:type="dxa"/>
                  <w:gridSpan w:val="2"/>
                  <w:shd w:val="clear" w:color="auto" w:fill="auto"/>
                </w:tcPr>
                <w:p w14:paraId="6773A29A"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14:paraId="5A31DD10"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Comisionada </w:t>
                  </w:r>
                  <w:proofErr w:type="gramStart"/>
                  <w:r>
                    <w:rPr>
                      <w:rFonts w:ascii="Palatino Linotype" w:eastAsia="Palatino Linotype" w:hAnsi="Palatino Linotype" w:cs="Palatino Linotype"/>
                      <w:b/>
                    </w:rPr>
                    <w:t>Presidenta</w:t>
                  </w:r>
                  <w:proofErr w:type="gramEnd"/>
                </w:p>
                <w:p w14:paraId="45FAA26D" w14:textId="77777777" w:rsidR="00621ADB" w:rsidRDefault="0060161C">
                  <w:pPr>
                    <w:jc w:val="center"/>
                    <w:rPr>
                      <w:rFonts w:ascii="Palatino Linotype" w:eastAsia="Palatino Linotype" w:hAnsi="Palatino Linotype" w:cs="Palatino Linotype"/>
                      <w:b/>
                    </w:rPr>
                  </w:pPr>
                  <w:r w:rsidRPr="00171C2B">
                    <w:rPr>
                      <w:rFonts w:ascii="Palatino Linotype" w:eastAsia="Palatino Linotype" w:hAnsi="Palatino Linotype" w:cs="Palatino Linotype"/>
                      <w:b/>
                      <w:color w:val="FFFFFF" w:themeColor="background1"/>
                    </w:rPr>
                    <w:t xml:space="preserve">(RÚBRICA) </w:t>
                  </w:r>
                </w:p>
              </w:tc>
            </w:tr>
            <w:tr w:rsidR="00621ADB" w14:paraId="4A6CE495" w14:textId="77777777">
              <w:trPr>
                <w:jc w:val="center"/>
              </w:trPr>
              <w:tc>
                <w:tcPr>
                  <w:tcW w:w="5182" w:type="dxa"/>
                  <w:shd w:val="clear" w:color="auto" w:fill="auto"/>
                </w:tcPr>
                <w:p w14:paraId="24A46D63" w14:textId="77777777" w:rsidR="00621ADB" w:rsidRDefault="00621ADB">
                  <w:pPr>
                    <w:jc w:val="center"/>
                    <w:rPr>
                      <w:rFonts w:ascii="Palatino Linotype" w:eastAsia="Palatino Linotype" w:hAnsi="Palatino Linotype" w:cs="Palatino Linotype"/>
                      <w:b/>
                    </w:rPr>
                  </w:pPr>
                </w:p>
                <w:p w14:paraId="5305249D" w14:textId="77777777" w:rsidR="00621ADB" w:rsidRDefault="00621ADB">
                  <w:pPr>
                    <w:jc w:val="center"/>
                    <w:rPr>
                      <w:rFonts w:ascii="Palatino Linotype" w:eastAsia="Palatino Linotype" w:hAnsi="Palatino Linotype" w:cs="Palatino Linotype"/>
                      <w:b/>
                    </w:rPr>
                  </w:pPr>
                </w:p>
                <w:p w14:paraId="47A43756" w14:textId="77777777" w:rsidR="00E60AC2" w:rsidRDefault="00E60AC2">
                  <w:pPr>
                    <w:jc w:val="center"/>
                    <w:rPr>
                      <w:rFonts w:ascii="Palatino Linotype" w:eastAsia="Palatino Linotype" w:hAnsi="Palatino Linotype" w:cs="Palatino Linotype"/>
                      <w:b/>
                    </w:rPr>
                  </w:pPr>
                </w:p>
                <w:p w14:paraId="075A76FA" w14:textId="77777777" w:rsidR="00621ADB" w:rsidRDefault="00621ADB">
                  <w:pPr>
                    <w:jc w:val="center"/>
                    <w:rPr>
                      <w:rFonts w:ascii="Palatino Linotype" w:eastAsia="Palatino Linotype" w:hAnsi="Palatino Linotype" w:cs="Palatino Linotype"/>
                      <w:b/>
                    </w:rPr>
                  </w:pPr>
                </w:p>
                <w:p w14:paraId="3493036D" w14:textId="77777777" w:rsidR="00621ADB" w:rsidRDefault="00621ADB">
                  <w:pPr>
                    <w:jc w:val="center"/>
                    <w:rPr>
                      <w:rFonts w:ascii="Palatino Linotype" w:eastAsia="Palatino Linotype" w:hAnsi="Palatino Linotype" w:cs="Palatino Linotype"/>
                      <w:b/>
                    </w:rPr>
                  </w:pPr>
                </w:p>
                <w:p w14:paraId="06F745B1"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Eva </w:t>
                  </w:r>
                  <w:proofErr w:type="spellStart"/>
                  <w:r>
                    <w:rPr>
                      <w:rFonts w:ascii="Palatino Linotype" w:eastAsia="Palatino Linotype" w:hAnsi="Palatino Linotype" w:cs="Palatino Linotype"/>
                      <w:b/>
                    </w:rPr>
                    <w:t>Abaid</w:t>
                  </w:r>
                  <w:proofErr w:type="spellEnd"/>
                  <w:r>
                    <w:rPr>
                      <w:rFonts w:ascii="Palatino Linotype" w:eastAsia="Palatino Linotype" w:hAnsi="Palatino Linotype" w:cs="Palatino Linotype"/>
                      <w:b/>
                    </w:rPr>
                    <w:t xml:space="preserve"> Yapur</w:t>
                  </w:r>
                </w:p>
                <w:p w14:paraId="573949A7"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Comisionada</w:t>
                  </w:r>
                </w:p>
                <w:p w14:paraId="4BCB67E8" w14:textId="77777777" w:rsidR="00621ADB" w:rsidRDefault="0060161C">
                  <w:pPr>
                    <w:jc w:val="center"/>
                    <w:rPr>
                      <w:rFonts w:ascii="Palatino Linotype" w:eastAsia="Palatino Linotype" w:hAnsi="Palatino Linotype" w:cs="Palatino Linotype"/>
                      <w:b/>
                    </w:rPr>
                  </w:pPr>
                  <w:r w:rsidRPr="00171C2B">
                    <w:rPr>
                      <w:rFonts w:ascii="Palatino Linotype" w:eastAsia="Palatino Linotype" w:hAnsi="Palatino Linotype" w:cs="Palatino Linotype"/>
                      <w:b/>
                      <w:color w:val="FFFFFF" w:themeColor="background1"/>
                    </w:rPr>
                    <w:t>(RÚBRICA)</w:t>
                  </w:r>
                </w:p>
              </w:tc>
              <w:tc>
                <w:tcPr>
                  <w:tcW w:w="5183" w:type="dxa"/>
                  <w:shd w:val="clear" w:color="auto" w:fill="auto"/>
                </w:tcPr>
                <w:p w14:paraId="555DF9C2" w14:textId="77777777" w:rsidR="00621ADB" w:rsidRDefault="00621ADB">
                  <w:pPr>
                    <w:jc w:val="center"/>
                    <w:rPr>
                      <w:rFonts w:ascii="Palatino Linotype" w:eastAsia="Palatino Linotype" w:hAnsi="Palatino Linotype" w:cs="Palatino Linotype"/>
                      <w:b/>
                    </w:rPr>
                  </w:pPr>
                </w:p>
                <w:p w14:paraId="11437673" w14:textId="77777777" w:rsidR="00621ADB" w:rsidRDefault="00621ADB">
                  <w:pPr>
                    <w:jc w:val="center"/>
                    <w:rPr>
                      <w:rFonts w:ascii="Palatino Linotype" w:eastAsia="Palatino Linotype" w:hAnsi="Palatino Linotype" w:cs="Palatino Linotype"/>
                      <w:b/>
                    </w:rPr>
                  </w:pPr>
                </w:p>
                <w:p w14:paraId="01EBA6DA" w14:textId="77777777" w:rsidR="00E60AC2" w:rsidRDefault="00E60AC2">
                  <w:pPr>
                    <w:jc w:val="center"/>
                    <w:rPr>
                      <w:rFonts w:ascii="Palatino Linotype" w:eastAsia="Palatino Linotype" w:hAnsi="Palatino Linotype" w:cs="Palatino Linotype"/>
                      <w:b/>
                    </w:rPr>
                  </w:pPr>
                </w:p>
                <w:p w14:paraId="6423CDA0" w14:textId="77777777" w:rsidR="00621ADB" w:rsidRDefault="00621ADB">
                  <w:pPr>
                    <w:jc w:val="center"/>
                    <w:rPr>
                      <w:rFonts w:ascii="Palatino Linotype" w:eastAsia="Palatino Linotype" w:hAnsi="Palatino Linotype" w:cs="Palatino Linotype"/>
                      <w:b/>
                    </w:rPr>
                  </w:pPr>
                </w:p>
                <w:p w14:paraId="4C9467A3" w14:textId="77777777" w:rsidR="00621ADB" w:rsidRDefault="00621ADB">
                  <w:pPr>
                    <w:jc w:val="center"/>
                    <w:rPr>
                      <w:rFonts w:ascii="Palatino Linotype" w:eastAsia="Palatino Linotype" w:hAnsi="Palatino Linotype" w:cs="Palatino Linotype"/>
                      <w:b/>
                    </w:rPr>
                  </w:pPr>
                </w:p>
                <w:p w14:paraId="7458C35C"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José Guadalupe Luna Hernández</w:t>
                  </w:r>
                </w:p>
                <w:p w14:paraId="0C4B96E3"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Comisionado</w:t>
                  </w:r>
                </w:p>
                <w:p w14:paraId="4AE83CAF" w14:textId="77777777" w:rsidR="00621ADB" w:rsidRDefault="0060161C">
                  <w:pPr>
                    <w:jc w:val="center"/>
                    <w:rPr>
                      <w:rFonts w:ascii="Palatino Linotype" w:eastAsia="Palatino Linotype" w:hAnsi="Palatino Linotype" w:cs="Palatino Linotype"/>
                      <w:b/>
                    </w:rPr>
                  </w:pPr>
                  <w:r w:rsidRPr="00171C2B">
                    <w:rPr>
                      <w:rFonts w:ascii="Palatino Linotype" w:eastAsia="Palatino Linotype" w:hAnsi="Palatino Linotype" w:cs="Palatino Linotype"/>
                      <w:b/>
                      <w:color w:val="FFFFFF" w:themeColor="background1"/>
                    </w:rPr>
                    <w:t>(RÚBRICA)</w:t>
                  </w:r>
                </w:p>
              </w:tc>
            </w:tr>
            <w:tr w:rsidR="00621ADB" w14:paraId="7EE68B34" w14:textId="77777777">
              <w:trPr>
                <w:jc w:val="center"/>
              </w:trPr>
              <w:tc>
                <w:tcPr>
                  <w:tcW w:w="5182" w:type="dxa"/>
                  <w:shd w:val="clear" w:color="auto" w:fill="auto"/>
                </w:tcPr>
                <w:p w14:paraId="4E8A0E41" w14:textId="77777777" w:rsidR="00621ADB" w:rsidRDefault="00621ADB">
                  <w:pPr>
                    <w:jc w:val="center"/>
                    <w:rPr>
                      <w:rFonts w:ascii="Palatino Linotype" w:eastAsia="Palatino Linotype" w:hAnsi="Palatino Linotype" w:cs="Palatino Linotype"/>
                      <w:b/>
                    </w:rPr>
                  </w:pPr>
                </w:p>
                <w:p w14:paraId="2151C38F" w14:textId="77777777" w:rsidR="00621ADB" w:rsidRDefault="00621ADB">
                  <w:pPr>
                    <w:jc w:val="center"/>
                    <w:rPr>
                      <w:rFonts w:ascii="Palatino Linotype" w:eastAsia="Palatino Linotype" w:hAnsi="Palatino Linotype" w:cs="Palatino Linotype"/>
                      <w:b/>
                    </w:rPr>
                  </w:pPr>
                </w:p>
                <w:p w14:paraId="0C377384" w14:textId="77777777" w:rsidR="00E60AC2" w:rsidRDefault="00E60AC2">
                  <w:pPr>
                    <w:jc w:val="center"/>
                    <w:rPr>
                      <w:rFonts w:ascii="Palatino Linotype" w:eastAsia="Palatino Linotype" w:hAnsi="Palatino Linotype" w:cs="Palatino Linotype"/>
                      <w:b/>
                    </w:rPr>
                  </w:pPr>
                </w:p>
                <w:p w14:paraId="58C806A9" w14:textId="77777777" w:rsidR="00621ADB" w:rsidRDefault="00621ADB">
                  <w:pPr>
                    <w:rPr>
                      <w:rFonts w:ascii="Palatino Linotype" w:eastAsia="Palatino Linotype" w:hAnsi="Palatino Linotype" w:cs="Palatino Linotype"/>
                      <w:b/>
                    </w:rPr>
                  </w:pPr>
                </w:p>
                <w:p w14:paraId="0CB466B3" w14:textId="77777777" w:rsidR="00621ADB" w:rsidRDefault="00621ADB">
                  <w:pPr>
                    <w:jc w:val="center"/>
                    <w:rPr>
                      <w:rFonts w:ascii="Palatino Linotype" w:eastAsia="Palatino Linotype" w:hAnsi="Palatino Linotype" w:cs="Palatino Linotype"/>
                      <w:b/>
                    </w:rPr>
                  </w:pPr>
                </w:p>
                <w:p w14:paraId="7FD4AAAE"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Javier Martínez Cruz</w:t>
                  </w:r>
                </w:p>
                <w:p w14:paraId="1CA4C442"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Comisionado</w:t>
                  </w:r>
                </w:p>
                <w:p w14:paraId="7809D2F1" w14:textId="77777777" w:rsidR="00621ADB" w:rsidRDefault="0060161C">
                  <w:pPr>
                    <w:jc w:val="center"/>
                    <w:rPr>
                      <w:rFonts w:ascii="Palatino Linotype" w:eastAsia="Palatino Linotype" w:hAnsi="Palatino Linotype" w:cs="Palatino Linotype"/>
                      <w:b/>
                    </w:rPr>
                  </w:pPr>
                  <w:r w:rsidRPr="00171C2B">
                    <w:rPr>
                      <w:rFonts w:ascii="Palatino Linotype" w:eastAsia="Palatino Linotype" w:hAnsi="Palatino Linotype" w:cs="Palatino Linotype"/>
                      <w:b/>
                      <w:color w:val="FFFFFF" w:themeColor="background1"/>
                    </w:rPr>
                    <w:t>(RÚBRICA)</w:t>
                  </w:r>
                </w:p>
              </w:tc>
              <w:tc>
                <w:tcPr>
                  <w:tcW w:w="5183" w:type="dxa"/>
                  <w:shd w:val="clear" w:color="auto" w:fill="auto"/>
                </w:tcPr>
                <w:p w14:paraId="2BEE65E2" w14:textId="77777777" w:rsidR="00621ADB" w:rsidRDefault="00621ADB">
                  <w:pPr>
                    <w:jc w:val="center"/>
                    <w:rPr>
                      <w:rFonts w:ascii="Palatino Linotype" w:eastAsia="Palatino Linotype" w:hAnsi="Palatino Linotype" w:cs="Palatino Linotype"/>
                      <w:b/>
                    </w:rPr>
                  </w:pPr>
                </w:p>
                <w:p w14:paraId="73C74C2A" w14:textId="77777777" w:rsidR="00621ADB" w:rsidRDefault="00621ADB">
                  <w:pPr>
                    <w:jc w:val="center"/>
                    <w:rPr>
                      <w:rFonts w:ascii="Palatino Linotype" w:eastAsia="Palatino Linotype" w:hAnsi="Palatino Linotype" w:cs="Palatino Linotype"/>
                      <w:b/>
                    </w:rPr>
                  </w:pPr>
                </w:p>
                <w:p w14:paraId="486CAD0C" w14:textId="77777777" w:rsidR="00E60AC2" w:rsidRDefault="00E60AC2">
                  <w:pPr>
                    <w:jc w:val="center"/>
                    <w:rPr>
                      <w:rFonts w:ascii="Palatino Linotype" w:eastAsia="Palatino Linotype" w:hAnsi="Palatino Linotype" w:cs="Palatino Linotype"/>
                      <w:b/>
                    </w:rPr>
                  </w:pPr>
                </w:p>
                <w:p w14:paraId="3FC1E8E2" w14:textId="77777777" w:rsidR="00621ADB" w:rsidRDefault="00621ADB">
                  <w:pPr>
                    <w:jc w:val="center"/>
                    <w:rPr>
                      <w:rFonts w:ascii="Palatino Linotype" w:eastAsia="Palatino Linotype" w:hAnsi="Palatino Linotype" w:cs="Palatino Linotype"/>
                      <w:b/>
                    </w:rPr>
                  </w:pPr>
                </w:p>
                <w:p w14:paraId="0D10093C" w14:textId="77777777" w:rsidR="00621ADB" w:rsidRDefault="00621ADB">
                  <w:pPr>
                    <w:jc w:val="center"/>
                    <w:rPr>
                      <w:rFonts w:ascii="Palatino Linotype" w:eastAsia="Palatino Linotype" w:hAnsi="Palatino Linotype" w:cs="Palatino Linotype"/>
                      <w:b/>
                    </w:rPr>
                  </w:pPr>
                </w:p>
                <w:p w14:paraId="3B3F0230"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Luis Gustavo Parra Noriega</w:t>
                  </w:r>
                </w:p>
                <w:p w14:paraId="7B43B889"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Comisionado</w:t>
                  </w:r>
                </w:p>
                <w:p w14:paraId="700B5C73" w14:textId="77777777" w:rsidR="00621ADB" w:rsidRDefault="0060161C">
                  <w:pPr>
                    <w:jc w:val="center"/>
                    <w:rPr>
                      <w:rFonts w:ascii="Palatino Linotype" w:eastAsia="Palatino Linotype" w:hAnsi="Palatino Linotype" w:cs="Palatino Linotype"/>
                      <w:b/>
                    </w:rPr>
                  </w:pPr>
                  <w:r w:rsidRPr="00171C2B">
                    <w:rPr>
                      <w:rFonts w:ascii="Palatino Linotype" w:eastAsia="Palatino Linotype" w:hAnsi="Palatino Linotype" w:cs="Palatino Linotype"/>
                      <w:b/>
                      <w:color w:val="FFFFFF" w:themeColor="background1"/>
                    </w:rPr>
                    <w:t>(RÚBRICA)</w:t>
                  </w:r>
                </w:p>
              </w:tc>
            </w:tr>
            <w:tr w:rsidR="00621ADB" w14:paraId="47C576D9" w14:textId="77777777">
              <w:trPr>
                <w:jc w:val="center"/>
              </w:trPr>
              <w:tc>
                <w:tcPr>
                  <w:tcW w:w="10365" w:type="dxa"/>
                  <w:gridSpan w:val="2"/>
                  <w:shd w:val="clear" w:color="auto" w:fill="auto"/>
                </w:tcPr>
                <w:p w14:paraId="6D774B97" w14:textId="77777777" w:rsidR="00621ADB" w:rsidRDefault="00621ADB">
                  <w:pPr>
                    <w:jc w:val="center"/>
                    <w:rPr>
                      <w:rFonts w:ascii="Palatino Linotype" w:eastAsia="Palatino Linotype" w:hAnsi="Palatino Linotype" w:cs="Palatino Linotype"/>
                      <w:b/>
                    </w:rPr>
                  </w:pPr>
                </w:p>
                <w:p w14:paraId="149BC9E2" w14:textId="77777777" w:rsidR="00621ADB" w:rsidRDefault="00621ADB">
                  <w:pPr>
                    <w:jc w:val="center"/>
                    <w:rPr>
                      <w:rFonts w:ascii="Palatino Linotype" w:eastAsia="Palatino Linotype" w:hAnsi="Palatino Linotype" w:cs="Palatino Linotype"/>
                      <w:b/>
                    </w:rPr>
                  </w:pPr>
                </w:p>
                <w:p w14:paraId="46574460" w14:textId="77777777" w:rsidR="00E60AC2" w:rsidRDefault="00E60AC2">
                  <w:pPr>
                    <w:jc w:val="center"/>
                    <w:rPr>
                      <w:rFonts w:ascii="Palatino Linotype" w:eastAsia="Palatino Linotype" w:hAnsi="Palatino Linotype" w:cs="Palatino Linotype"/>
                      <w:b/>
                    </w:rPr>
                  </w:pPr>
                </w:p>
                <w:p w14:paraId="379C977A" w14:textId="77777777" w:rsidR="00621ADB" w:rsidRDefault="00621ADB">
                  <w:pPr>
                    <w:jc w:val="center"/>
                    <w:rPr>
                      <w:rFonts w:ascii="Palatino Linotype" w:eastAsia="Palatino Linotype" w:hAnsi="Palatino Linotype" w:cs="Palatino Linotype"/>
                      <w:b/>
                    </w:rPr>
                  </w:pPr>
                </w:p>
                <w:p w14:paraId="0D6BFBE4" w14:textId="77777777" w:rsidR="00621ADB" w:rsidRDefault="00621ADB">
                  <w:pPr>
                    <w:jc w:val="center"/>
                    <w:rPr>
                      <w:rFonts w:ascii="Palatino Linotype" w:eastAsia="Palatino Linotype" w:hAnsi="Palatino Linotype" w:cs="Palatino Linotype"/>
                      <w:b/>
                    </w:rPr>
                  </w:pPr>
                </w:p>
                <w:p w14:paraId="02AB01C5"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14:paraId="756F8EEC" w14:textId="77777777" w:rsidR="00621ADB" w:rsidRDefault="0060161C">
                  <w:pPr>
                    <w:jc w:val="center"/>
                    <w:rPr>
                      <w:rFonts w:ascii="Palatino Linotype" w:eastAsia="Palatino Linotype" w:hAnsi="Palatino Linotype" w:cs="Palatino Linotype"/>
                      <w:b/>
                    </w:rPr>
                  </w:pPr>
                  <w:r>
                    <w:rPr>
                      <w:rFonts w:ascii="Palatino Linotype" w:eastAsia="Palatino Linotype" w:hAnsi="Palatino Linotype" w:cs="Palatino Linotype"/>
                      <w:b/>
                    </w:rPr>
                    <w:t>Secretario Técnico del Pleno</w:t>
                  </w:r>
                </w:p>
                <w:p w14:paraId="53CAE1F5" w14:textId="77777777" w:rsidR="00621ADB" w:rsidRPr="00171C2B" w:rsidRDefault="0060161C">
                  <w:pPr>
                    <w:jc w:val="center"/>
                    <w:rPr>
                      <w:rFonts w:ascii="Palatino Linotype" w:eastAsia="Palatino Linotype" w:hAnsi="Palatino Linotype" w:cs="Palatino Linotype"/>
                      <w:b/>
                      <w:color w:val="FFFFFF" w:themeColor="background1"/>
                    </w:rPr>
                  </w:pPr>
                  <w:r w:rsidRPr="00171C2B">
                    <w:rPr>
                      <w:rFonts w:ascii="Palatino Linotype" w:eastAsia="Palatino Linotype" w:hAnsi="Palatino Linotype" w:cs="Palatino Linotype"/>
                      <w:b/>
                      <w:color w:val="FFFFFF" w:themeColor="background1"/>
                    </w:rPr>
                    <w:t xml:space="preserve">(RÚBRICA) </w:t>
                  </w:r>
                </w:p>
                <w:p w14:paraId="5A031F6C" w14:textId="77777777" w:rsidR="00621ADB" w:rsidRDefault="00621ADB">
                  <w:pPr>
                    <w:tabs>
                      <w:tab w:val="left" w:pos="4959"/>
                    </w:tabs>
                    <w:jc w:val="center"/>
                    <w:rPr>
                      <w:rFonts w:ascii="Palatino Linotype" w:eastAsia="Palatino Linotype" w:hAnsi="Palatino Linotype" w:cs="Palatino Linotype"/>
                      <w:b/>
                    </w:rPr>
                  </w:pPr>
                </w:p>
                <w:p w14:paraId="157460F8" w14:textId="77777777" w:rsidR="00E60AC2" w:rsidRDefault="00E60AC2">
                  <w:pPr>
                    <w:tabs>
                      <w:tab w:val="left" w:pos="4959"/>
                    </w:tabs>
                    <w:jc w:val="center"/>
                    <w:rPr>
                      <w:rFonts w:ascii="Palatino Linotype" w:eastAsia="Palatino Linotype" w:hAnsi="Palatino Linotype" w:cs="Palatino Linotype"/>
                      <w:b/>
                    </w:rPr>
                  </w:pPr>
                </w:p>
                <w:p w14:paraId="1CE70446" w14:textId="77777777" w:rsidR="00E60AC2" w:rsidRDefault="00E60AC2">
                  <w:pPr>
                    <w:tabs>
                      <w:tab w:val="left" w:pos="4959"/>
                    </w:tabs>
                    <w:jc w:val="center"/>
                    <w:rPr>
                      <w:rFonts w:ascii="Palatino Linotype" w:eastAsia="Palatino Linotype" w:hAnsi="Palatino Linotype" w:cs="Palatino Linotype"/>
                      <w:b/>
                    </w:rPr>
                  </w:pPr>
                </w:p>
                <w:p w14:paraId="2CB8CDE8" w14:textId="77777777" w:rsidR="00E60AC2" w:rsidRDefault="00E60AC2">
                  <w:pPr>
                    <w:tabs>
                      <w:tab w:val="left" w:pos="4959"/>
                    </w:tabs>
                    <w:jc w:val="center"/>
                    <w:rPr>
                      <w:rFonts w:ascii="Palatino Linotype" w:eastAsia="Palatino Linotype" w:hAnsi="Palatino Linotype" w:cs="Palatino Linotype"/>
                      <w:b/>
                    </w:rPr>
                  </w:pPr>
                </w:p>
                <w:p w14:paraId="48BFFF85" w14:textId="77777777" w:rsidR="00E60AC2" w:rsidRDefault="00E60AC2">
                  <w:pPr>
                    <w:tabs>
                      <w:tab w:val="left" w:pos="4959"/>
                    </w:tabs>
                    <w:jc w:val="center"/>
                    <w:rPr>
                      <w:rFonts w:ascii="Palatino Linotype" w:eastAsia="Palatino Linotype" w:hAnsi="Palatino Linotype" w:cs="Palatino Linotype"/>
                      <w:b/>
                    </w:rPr>
                  </w:pPr>
                </w:p>
                <w:p w14:paraId="08BA5AAD" w14:textId="77777777" w:rsidR="00E60AC2" w:rsidRDefault="00E60AC2">
                  <w:pPr>
                    <w:tabs>
                      <w:tab w:val="left" w:pos="4959"/>
                    </w:tabs>
                    <w:jc w:val="center"/>
                    <w:rPr>
                      <w:rFonts w:ascii="Palatino Linotype" w:eastAsia="Palatino Linotype" w:hAnsi="Palatino Linotype" w:cs="Palatino Linotype"/>
                      <w:b/>
                    </w:rPr>
                  </w:pPr>
                </w:p>
                <w:p w14:paraId="70354BA7" w14:textId="77777777" w:rsidR="00E60AC2" w:rsidRDefault="00E60AC2">
                  <w:pPr>
                    <w:tabs>
                      <w:tab w:val="left" w:pos="4959"/>
                    </w:tabs>
                    <w:jc w:val="center"/>
                    <w:rPr>
                      <w:rFonts w:ascii="Palatino Linotype" w:eastAsia="Palatino Linotype" w:hAnsi="Palatino Linotype" w:cs="Palatino Linotype"/>
                      <w:b/>
                    </w:rPr>
                  </w:pPr>
                </w:p>
                <w:p w14:paraId="294B45E7" w14:textId="77777777" w:rsidR="00E60AC2" w:rsidRDefault="00E60AC2">
                  <w:pPr>
                    <w:tabs>
                      <w:tab w:val="left" w:pos="4959"/>
                    </w:tabs>
                    <w:jc w:val="center"/>
                    <w:rPr>
                      <w:rFonts w:ascii="Palatino Linotype" w:eastAsia="Palatino Linotype" w:hAnsi="Palatino Linotype" w:cs="Palatino Linotype"/>
                      <w:b/>
                    </w:rPr>
                  </w:pPr>
                </w:p>
              </w:tc>
            </w:tr>
          </w:tbl>
          <w:p w14:paraId="7D6D4B0E" w14:textId="77777777" w:rsidR="00621ADB" w:rsidRDefault="00621ADB">
            <w:pPr>
              <w:jc w:val="center"/>
              <w:rPr>
                <w:rFonts w:ascii="Palatino Linotype" w:eastAsia="Palatino Linotype" w:hAnsi="Palatino Linotype" w:cs="Palatino Linotype"/>
                <w:b/>
              </w:rPr>
            </w:pPr>
          </w:p>
        </w:tc>
      </w:tr>
    </w:tbl>
    <w:p w14:paraId="4B879714" w14:textId="77777777" w:rsidR="00621ADB" w:rsidRDefault="0060161C">
      <w:pPr>
        <w:jc w:val="both"/>
        <w:rPr>
          <w:rFonts w:ascii="Palatino Linotype" w:eastAsia="Palatino Linotype" w:hAnsi="Palatino Linotype" w:cs="Palatino Linotype"/>
        </w:rPr>
      </w:pPr>
      <w:r>
        <w:rPr>
          <w:rFonts w:ascii="Palatino Linotype" w:eastAsia="Palatino Linotype" w:hAnsi="Palatino Linotype" w:cs="Palatino Linotype"/>
        </w:rPr>
        <w:lastRenderedPageBreak/>
        <w:t>Esta hoja corresponde a la resolución veintiuno de octubre de dos mil veinte, emitida en el recurso de revisión número 03867/INFOEM/IP/RR/2020.</w:t>
      </w:r>
    </w:p>
    <w:p w14:paraId="2BBBB1A2" w14:textId="77777777" w:rsidR="00621ADB" w:rsidRDefault="0060161C">
      <w:pPr>
        <w:jc w:val="both"/>
        <w:rPr>
          <w:rFonts w:ascii="Palatino Linotype" w:eastAsia="Palatino Linotype" w:hAnsi="Palatino Linotype" w:cs="Palatino Linotype"/>
          <w:sz w:val="18"/>
          <w:szCs w:val="18"/>
        </w:rPr>
      </w:pPr>
      <w:bookmarkStart w:id="0" w:name="_gjdgxs" w:colFirst="0" w:colLast="0"/>
      <w:bookmarkEnd w:id="0"/>
      <w:r>
        <w:rPr>
          <w:rFonts w:ascii="Palatino Linotype" w:eastAsia="Palatino Linotype" w:hAnsi="Palatino Linotype" w:cs="Palatino Linotype"/>
          <w:sz w:val="18"/>
          <w:szCs w:val="18"/>
        </w:rPr>
        <w:t xml:space="preserve">YSM/RPG/CCC </w:t>
      </w:r>
    </w:p>
    <w:sectPr w:rsidR="00621ADB">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9813C" w14:textId="77777777" w:rsidR="00EC4F02" w:rsidRDefault="00EC4F02">
      <w:r>
        <w:separator/>
      </w:r>
    </w:p>
  </w:endnote>
  <w:endnote w:type="continuationSeparator" w:id="0">
    <w:p w14:paraId="2B5ED7D3" w14:textId="77777777" w:rsidR="00EC4F02" w:rsidRDefault="00EC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A598D" w14:textId="4437C8F3" w:rsidR="00621ADB" w:rsidRDefault="006016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71C2B">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71C2B">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A6AB0" w14:textId="5A141307" w:rsidR="00621ADB" w:rsidRDefault="0060161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71C2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71C2B">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D605D" w14:textId="77777777" w:rsidR="00EC4F02" w:rsidRDefault="00EC4F02">
      <w:r>
        <w:separator/>
      </w:r>
    </w:p>
  </w:footnote>
  <w:footnote w:type="continuationSeparator" w:id="0">
    <w:p w14:paraId="2159F8E0" w14:textId="77777777" w:rsidR="00EC4F02" w:rsidRDefault="00EC4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AA587" w14:textId="77777777" w:rsidR="00621ADB" w:rsidRDefault="00621AD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226B5" w14:textId="77777777" w:rsidR="00621ADB" w:rsidRDefault="00621AD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1"/>
      <w:tblW w:w="9534" w:type="dxa"/>
      <w:tblInd w:w="-142" w:type="dxa"/>
      <w:tblLayout w:type="fixed"/>
      <w:tblLook w:val="0400" w:firstRow="0" w:lastRow="0" w:firstColumn="0" w:lastColumn="0" w:noHBand="0" w:noVBand="1"/>
    </w:tblPr>
    <w:tblGrid>
      <w:gridCol w:w="3261"/>
      <w:gridCol w:w="2551"/>
      <w:gridCol w:w="3722"/>
    </w:tblGrid>
    <w:tr w:rsidR="00621ADB" w14:paraId="0E33B83A" w14:textId="77777777">
      <w:tc>
        <w:tcPr>
          <w:tcW w:w="3261" w:type="dxa"/>
          <w:vMerge w:val="restart"/>
        </w:tcPr>
        <w:p w14:paraId="2603BE3B"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rPr>
            <w:drawing>
              <wp:inline distT="0" distB="0" distL="0" distR="0" wp14:anchorId="22CD1929" wp14:editId="314B09C5">
                <wp:extent cx="1692162" cy="852673"/>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8A5940E"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32DC6E4"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03867/INFOEM/IP/RR/2020</w:t>
          </w:r>
        </w:p>
      </w:tc>
    </w:tr>
    <w:tr w:rsidR="00621ADB" w14:paraId="5EA101EB" w14:textId="77777777">
      <w:tc>
        <w:tcPr>
          <w:tcW w:w="3261" w:type="dxa"/>
          <w:vMerge/>
        </w:tcPr>
        <w:p w14:paraId="712F40AB" w14:textId="77777777" w:rsidR="00621ADB" w:rsidRDefault="00621AD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3CD0C86C"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30A5AB15"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621ADB" w14:paraId="22BFEF15" w14:textId="77777777">
      <w:trPr>
        <w:trHeight w:val="228"/>
      </w:trPr>
      <w:tc>
        <w:tcPr>
          <w:tcW w:w="3261" w:type="dxa"/>
          <w:vMerge/>
        </w:tcPr>
        <w:p w14:paraId="61D38489" w14:textId="77777777" w:rsidR="00621ADB" w:rsidRDefault="00621AD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A9078C1"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637536B0"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Eva </w:t>
          </w:r>
          <w:proofErr w:type="spellStart"/>
          <w:r>
            <w:rPr>
              <w:rFonts w:ascii="Palatino Linotype" w:eastAsia="Palatino Linotype" w:hAnsi="Palatino Linotype" w:cs="Palatino Linotype"/>
              <w:b/>
              <w:sz w:val="22"/>
              <w:szCs w:val="22"/>
            </w:rPr>
            <w:t>Abaid</w:t>
          </w:r>
          <w:proofErr w:type="spellEnd"/>
          <w:r>
            <w:rPr>
              <w:rFonts w:ascii="Palatino Linotype" w:eastAsia="Palatino Linotype" w:hAnsi="Palatino Linotype" w:cs="Palatino Linotype"/>
              <w:b/>
              <w:sz w:val="22"/>
              <w:szCs w:val="22"/>
            </w:rPr>
            <w:t xml:space="preserve"> Yapur</w:t>
          </w:r>
        </w:p>
      </w:tc>
    </w:tr>
  </w:tbl>
  <w:p w14:paraId="3843B6BF" w14:textId="77777777" w:rsidR="00621ADB" w:rsidRDefault="00621AD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A2424" w14:textId="77777777" w:rsidR="00621ADB" w:rsidRDefault="00621ADB">
    <w:pPr>
      <w:rPr>
        <w:rFonts w:ascii="Palatino Linotype" w:eastAsia="Palatino Linotype" w:hAnsi="Palatino Linotype" w:cs="Palatino Linotype"/>
        <w:sz w:val="28"/>
        <w:szCs w:val="28"/>
      </w:rPr>
    </w:pPr>
  </w:p>
  <w:tbl>
    <w:tblPr>
      <w:tblStyle w:val="a2"/>
      <w:tblW w:w="10490" w:type="dxa"/>
      <w:tblInd w:w="-1276" w:type="dxa"/>
      <w:tblLayout w:type="fixed"/>
      <w:tblLook w:val="0400" w:firstRow="0" w:lastRow="0" w:firstColumn="0" w:lastColumn="0" w:noHBand="0" w:noVBand="1"/>
    </w:tblPr>
    <w:tblGrid>
      <w:gridCol w:w="4253"/>
      <w:gridCol w:w="2552"/>
      <w:gridCol w:w="3685"/>
    </w:tblGrid>
    <w:tr w:rsidR="00621ADB" w14:paraId="07BB40B3" w14:textId="77777777">
      <w:tc>
        <w:tcPr>
          <w:tcW w:w="4253" w:type="dxa"/>
          <w:vMerge w:val="restart"/>
          <w:shd w:val="clear" w:color="auto" w:fill="auto"/>
        </w:tcPr>
        <w:p w14:paraId="24793AB8"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rPr>
            <w:drawing>
              <wp:inline distT="0" distB="0" distL="0" distR="0" wp14:anchorId="26C2962C" wp14:editId="1207D407">
                <wp:extent cx="1692162" cy="852673"/>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9CE5CD0"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CCB8BB3"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03867/INFOEM/IP/RR/2020</w:t>
          </w:r>
        </w:p>
      </w:tc>
    </w:tr>
    <w:tr w:rsidR="00621ADB" w14:paraId="2C335186" w14:textId="77777777">
      <w:tc>
        <w:tcPr>
          <w:tcW w:w="4253" w:type="dxa"/>
          <w:vMerge/>
          <w:shd w:val="clear" w:color="auto" w:fill="auto"/>
        </w:tcPr>
        <w:p w14:paraId="35ADD15E" w14:textId="77777777" w:rsidR="00621ADB" w:rsidRDefault="00621AD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845E1C8"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5BF39F4E" w14:textId="77777777" w:rsidR="00621ADB" w:rsidRDefault="00621ADB">
          <w:pPr>
            <w:jc w:val="both"/>
            <w:rPr>
              <w:rFonts w:ascii="Palatino Linotype" w:eastAsia="Palatino Linotype" w:hAnsi="Palatino Linotype" w:cs="Palatino Linotype"/>
              <w:b/>
              <w:sz w:val="22"/>
              <w:szCs w:val="22"/>
            </w:rPr>
          </w:pPr>
        </w:p>
      </w:tc>
    </w:tr>
    <w:tr w:rsidR="00621ADB" w14:paraId="4ED436D6" w14:textId="77777777">
      <w:trPr>
        <w:trHeight w:val="228"/>
      </w:trPr>
      <w:tc>
        <w:tcPr>
          <w:tcW w:w="4253" w:type="dxa"/>
          <w:vMerge/>
          <w:shd w:val="clear" w:color="auto" w:fill="auto"/>
        </w:tcPr>
        <w:p w14:paraId="47CB4185" w14:textId="77777777" w:rsidR="00621ADB" w:rsidRDefault="00621AD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B9D5BDD"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3EDA113D"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621ADB" w14:paraId="501D5600" w14:textId="77777777">
      <w:tc>
        <w:tcPr>
          <w:tcW w:w="4253" w:type="dxa"/>
          <w:vMerge/>
          <w:shd w:val="clear" w:color="auto" w:fill="auto"/>
        </w:tcPr>
        <w:p w14:paraId="3E489C3D" w14:textId="77777777" w:rsidR="00621ADB" w:rsidRDefault="00621AD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29EAA9A" w14:textId="77777777" w:rsidR="00621ADB" w:rsidRDefault="006016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C0392A4" w14:textId="77777777" w:rsidR="00621ADB" w:rsidRDefault="006016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Eva </w:t>
          </w:r>
          <w:proofErr w:type="spellStart"/>
          <w:r>
            <w:rPr>
              <w:rFonts w:ascii="Palatino Linotype" w:eastAsia="Palatino Linotype" w:hAnsi="Palatino Linotype" w:cs="Palatino Linotype"/>
              <w:b/>
              <w:sz w:val="22"/>
              <w:szCs w:val="22"/>
            </w:rPr>
            <w:t>Abaid</w:t>
          </w:r>
          <w:proofErr w:type="spellEnd"/>
          <w:r>
            <w:rPr>
              <w:rFonts w:ascii="Palatino Linotype" w:eastAsia="Palatino Linotype" w:hAnsi="Palatino Linotype" w:cs="Palatino Linotype"/>
              <w:b/>
              <w:sz w:val="22"/>
              <w:szCs w:val="22"/>
            </w:rPr>
            <w:t xml:space="preserve"> Yapur</w:t>
          </w:r>
        </w:p>
      </w:tc>
    </w:tr>
  </w:tbl>
  <w:p w14:paraId="1079263A" w14:textId="77777777" w:rsidR="00621ADB" w:rsidRDefault="00621ADB">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62233226"/>
    <w:multiLevelType w:val="multilevel"/>
    <w:tmpl w:val="133C4ABA"/>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ADB"/>
    <w:rsid w:val="000F631F"/>
    <w:rsid w:val="00171C2B"/>
    <w:rsid w:val="0060161C"/>
    <w:rsid w:val="00621ADB"/>
    <w:rsid w:val="00727850"/>
    <w:rsid w:val="008B2252"/>
    <w:rsid w:val="009716C9"/>
    <w:rsid w:val="00A72D96"/>
    <w:rsid w:val="00C50EB7"/>
    <w:rsid w:val="00C7144C"/>
    <w:rsid w:val="00CF0023"/>
    <w:rsid w:val="00DB6909"/>
    <w:rsid w:val="00E60AC2"/>
    <w:rsid w:val="00EC4F0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802B1C"/>
  <w15:docId w15:val="{107479C7-B985-4C00-8219-47CF6D53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DB6909"/>
    <w:rPr>
      <w:sz w:val="16"/>
      <w:szCs w:val="16"/>
    </w:rPr>
  </w:style>
  <w:style w:type="paragraph" w:styleId="Textocomentario">
    <w:name w:val="annotation text"/>
    <w:basedOn w:val="Normal"/>
    <w:link w:val="TextocomentarioCar"/>
    <w:uiPriority w:val="99"/>
    <w:semiHidden/>
    <w:unhideWhenUsed/>
    <w:rsid w:val="00DB6909"/>
    <w:rPr>
      <w:sz w:val="20"/>
      <w:szCs w:val="20"/>
    </w:rPr>
  </w:style>
  <w:style w:type="character" w:customStyle="1" w:styleId="TextocomentarioCar">
    <w:name w:val="Texto comentario Car"/>
    <w:basedOn w:val="Fuentedeprrafopredeter"/>
    <w:link w:val="Textocomentario"/>
    <w:uiPriority w:val="99"/>
    <w:semiHidden/>
    <w:rsid w:val="00DB6909"/>
    <w:rPr>
      <w:sz w:val="20"/>
      <w:szCs w:val="20"/>
    </w:rPr>
  </w:style>
  <w:style w:type="paragraph" w:styleId="Asuntodelcomentario">
    <w:name w:val="annotation subject"/>
    <w:basedOn w:val="Textocomentario"/>
    <w:next w:val="Textocomentario"/>
    <w:link w:val="AsuntodelcomentarioCar"/>
    <w:uiPriority w:val="99"/>
    <w:semiHidden/>
    <w:unhideWhenUsed/>
    <w:rsid w:val="00DB6909"/>
    <w:rPr>
      <w:b/>
      <w:bCs/>
    </w:rPr>
  </w:style>
  <w:style w:type="character" w:customStyle="1" w:styleId="AsuntodelcomentarioCar">
    <w:name w:val="Asunto del comentario Car"/>
    <w:basedOn w:val="TextocomentarioCar"/>
    <w:link w:val="Asuntodelcomentario"/>
    <w:uiPriority w:val="99"/>
    <w:semiHidden/>
    <w:rsid w:val="00DB6909"/>
    <w:rPr>
      <w:b/>
      <w:bCs/>
      <w:sz w:val="20"/>
      <w:szCs w:val="20"/>
    </w:rPr>
  </w:style>
  <w:style w:type="paragraph" w:styleId="Textodeglobo">
    <w:name w:val="Balloon Text"/>
    <w:basedOn w:val="Normal"/>
    <w:link w:val="TextodegloboCar"/>
    <w:uiPriority w:val="99"/>
    <w:semiHidden/>
    <w:unhideWhenUsed/>
    <w:rsid w:val="00DB69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6909"/>
    <w:rPr>
      <w:rFonts w:ascii="Segoe UI" w:hAnsi="Segoe UI" w:cs="Segoe UI"/>
      <w:sz w:val="18"/>
      <w:szCs w:val="18"/>
    </w:rPr>
  </w:style>
  <w:style w:type="paragraph" w:customStyle="1" w:styleId="xmsonormal">
    <w:name w:val="x_msonormal"/>
    <w:basedOn w:val="Normal"/>
    <w:rsid w:val="00A72D96"/>
    <w:pPr>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77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osfem.gob.mx/04_Normatividad/doc/Normatividad/2020/02_LinEntInfMenMpal20.pdf"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verific-servicios/verific-servicios.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47</Pages>
  <Words>10138</Words>
  <Characters>55764</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Yesenia</dc:creator>
  <cp:lastModifiedBy>César Corral Cruz</cp:lastModifiedBy>
  <cp:revision>6</cp:revision>
  <dcterms:created xsi:type="dcterms:W3CDTF">2020-10-16T01:02:00Z</dcterms:created>
  <dcterms:modified xsi:type="dcterms:W3CDTF">2020-12-10T22:38:00Z</dcterms:modified>
</cp:coreProperties>
</file>