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5FCB84C" w:rsidR="00BF3214" w:rsidRPr="00AD2A55" w:rsidRDefault="00BF3214" w:rsidP="005057E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B0B74">
        <w:rPr>
          <w:rFonts w:ascii="Palatino Linotype" w:eastAsia="Times New Roman" w:hAnsi="Palatino Linotype" w:cs="Arial"/>
          <w:color w:val="000000"/>
          <w:sz w:val="24"/>
          <w:szCs w:val="24"/>
          <w:lang w:eastAsia="es-MX"/>
        </w:rPr>
        <w:t>veintiséis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3A4F137D"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4676AF">
        <w:rPr>
          <w:rFonts w:ascii="Palatino Linotype" w:hAnsi="Palatino Linotype" w:cs="Arial"/>
          <w:b/>
          <w:bCs/>
          <w:sz w:val="24"/>
          <w:szCs w:val="24"/>
          <w:lang w:eastAsia="es-MX"/>
        </w:rPr>
        <w:t>1490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 xml:space="preserve">C. </w:t>
      </w:r>
      <w:r w:rsidR="003D0522">
        <w:rPr>
          <w:rFonts w:ascii="Palatino Linotype" w:hAnsi="Palatino Linotype" w:cs="Arial"/>
          <w:b/>
          <w:sz w:val="21"/>
          <w:szCs w:val="21"/>
        </w:rPr>
        <w:t xml:space="preserve">XXXXX </w:t>
      </w:r>
      <w:proofErr w:type="spellStart"/>
      <w:r w:rsidR="003D0522">
        <w:rPr>
          <w:rFonts w:ascii="Palatino Linotype" w:hAnsi="Palatino Linotype" w:cs="Arial"/>
          <w:b/>
          <w:sz w:val="21"/>
          <w:szCs w:val="21"/>
        </w:rPr>
        <w:t>XXXXX</w:t>
      </w:r>
      <w:proofErr w:type="spellEnd"/>
      <w:r w:rsidR="003D0522">
        <w:rPr>
          <w:rFonts w:ascii="Palatino Linotype" w:hAnsi="Palatino Linotype" w:cs="Arial"/>
          <w:b/>
          <w:sz w:val="21"/>
          <w:szCs w:val="21"/>
        </w:rPr>
        <w:t xml:space="preserve"> </w:t>
      </w:r>
      <w:proofErr w:type="spellStart"/>
      <w:r w:rsidR="003D0522">
        <w:rPr>
          <w:rFonts w:ascii="Palatino Linotype" w:hAnsi="Palatino Linotype" w:cs="Arial"/>
          <w:b/>
          <w:sz w:val="21"/>
          <w:szCs w:val="21"/>
        </w:rPr>
        <w:t>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4676AF">
        <w:rPr>
          <w:rFonts w:ascii="Palatino Linotype" w:hAnsi="Palatino Linotype" w:cs="Arial"/>
          <w:b/>
          <w:sz w:val="24"/>
          <w:szCs w:val="24"/>
        </w:rPr>
        <w:t>Instituto de Salud del Estado de México,</w:t>
      </w:r>
      <w:r w:rsidRPr="00AD2A55">
        <w:rPr>
          <w:rFonts w:ascii="Palatino Linotype" w:hAnsi="Palatino Linotype" w:cs="Arial"/>
          <w:sz w:val="24"/>
          <w:szCs w:val="24"/>
        </w:rPr>
        <w:t xml:space="preserve">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bookmarkStart w:id="0" w:name="_GoBack"/>
      <w:bookmarkEnd w:id="0"/>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10AE96CA"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4676AF">
        <w:rPr>
          <w:rFonts w:ascii="Palatino Linotype" w:hAnsi="Palatino Linotype" w:cs="Arial"/>
          <w:sz w:val="24"/>
          <w:szCs w:val="24"/>
        </w:rPr>
        <w:t>once de febrero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C217AD" w:rsidRPr="00C217AD">
        <w:rPr>
          <w:rFonts w:ascii="Palatino Linotype" w:hAnsi="Palatino Linotype" w:cs="Arial"/>
          <w:b/>
          <w:sz w:val="24"/>
          <w:szCs w:val="24"/>
        </w:rPr>
        <w:t>00</w:t>
      </w:r>
      <w:r w:rsidR="004676AF">
        <w:rPr>
          <w:rFonts w:ascii="Palatino Linotype" w:hAnsi="Palatino Linotype" w:cs="Arial"/>
          <w:b/>
          <w:sz w:val="24"/>
          <w:szCs w:val="24"/>
        </w:rPr>
        <w:t>113</w:t>
      </w:r>
      <w:r w:rsidR="00C217AD" w:rsidRPr="00C217AD">
        <w:rPr>
          <w:rFonts w:ascii="Palatino Linotype" w:hAnsi="Palatino Linotype" w:cs="Arial"/>
          <w:b/>
          <w:sz w:val="24"/>
          <w:szCs w:val="24"/>
        </w:rPr>
        <w:t>/</w:t>
      </w:r>
      <w:r w:rsidR="004676AF">
        <w:rPr>
          <w:rFonts w:ascii="Palatino Linotype" w:hAnsi="Palatino Linotype" w:cs="Arial"/>
          <w:b/>
          <w:sz w:val="24"/>
          <w:szCs w:val="24"/>
        </w:rPr>
        <w:t>ISEM</w:t>
      </w:r>
      <w:r w:rsidR="00C217AD" w:rsidRPr="00C217AD">
        <w:rPr>
          <w:rFonts w:ascii="Palatino Linotype" w:hAnsi="Palatino Linotype" w:cs="Arial"/>
          <w:b/>
          <w:sz w:val="24"/>
          <w:szCs w:val="24"/>
        </w:rPr>
        <w:t>/IP/2020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6DB22B0B"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C217AD" w:rsidRPr="00C217AD">
        <w:rPr>
          <w:rFonts w:ascii="Palatino Linotype" w:hAnsi="Palatino Linotype" w:cs="Arial"/>
          <w:b/>
          <w:sz w:val="24"/>
          <w:szCs w:val="24"/>
        </w:rPr>
        <w:t>00</w:t>
      </w:r>
      <w:r w:rsidR="004676AF">
        <w:rPr>
          <w:rFonts w:ascii="Palatino Linotype" w:hAnsi="Palatino Linotype" w:cs="Arial"/>
          <w:b/>
          <w:sz w:val="24"/>
          <w:szCs w:val="24"/>
        </w:rPr>
        <w:t>113</w:t>
      </w:r>
      <w:r w:rsidR="00C217AD" w:rsidRPr="00C217AD">
        <w:rPr>
          <w:rFonts w:ascii="Palatino Linotype" w:hAnsi="Palatino Linotype" w:cs="Arial"/>
          <w:b/>
          <w:sz w:val="24"/>
          <w:szCs w:val="24"/>
        </w:rPr>
        <w:t>/</w:t>
      </w:r>
      <w:r w:rsidR="004676AF">
        <w:rPr>
          <w:rFonts w:ascii="Palatino Linotype" w:hAnsi="Palatino Linotype" w:cs="Arial"/>
          <w:b/>
          <w:sz w:val="24"/>
          <w:szCs w:val="24"/>
        </w:rPr>
        <w:t>ISEM</w:t>
      </w:r>
      <w:r w:rsidR="00C217AD" w:rsidRPr="00C217AD">
        <w:rPr>
          <w:rFonts w:ascii="Palatino Linotype" w:hAnsi="Palatino Linotype" w:cs="Arial"/>
          <w:b/>
          <w:sz w:val="24"/>
          <w:szCs w:val="24"/>
        </w:rPr>
        <w:t>/IP/2020</w:t>
      </w:r>
      <w:r w:rsidR="00B46138">
        <w:rPr>
          <w:rFonts w:ascii="Palatino Linotype" w:hAnsi="Palatino Linotype"/>
          <w:i/>
          <w:color w:val="000000"/>
        </w:rPr>
        <w:t>.</w:t>
      </w:r>
    </w:p>
    <w:p w14:paraId="042F8C77" w14:textId="089E8D0D" w:rsidR="00947259" w:rsidRPr="00522E6D"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522E6D">
        <w:rPr>
          <w:rFonts w:ascii="Palatino Linotype" w:hAnsi="Palatino Linotype"/>
          <w:i/>
          <w:color w:val="000000"/>
        </w:rPr>
        <w:t>“</w:t>
      </w:r>
      <w:r w:rsidR="00522E6D" w:rsidRPr="00522E6D">
        <w:rPr>
          <w:rFonts w:ascii="Palatino Linotype" w:hAnsi="Palatino Linotype"/>
          <w:i/>
          <w:color w:val="000000"/>
        </w:rPr>
        <w:t xml:space="preserve">Quiero saber del parque vehicular que tiene la COPRISEM Comisión para la Regulación contra Riesgos Sanitarios del Estado de México, manifestado en el documento anexo cuenta con seguros como lo manda la ley para resguardar el patrimonio estatal Que compañías de seguros vendieron las pólizas Que coberturas tienen las </w:t>
      </w:r>
      <w:proofErr w:type="spellStart"/>
      <w:r w:rsidR="00522E6D" w:rsidRPr="00522E6D">
        <w:rPr>
          <w:rFonts w:ascii="Palatino Linotype" w:hAnsi="Palatino Linotype"/>
          <w:i/>
          <w:color w:val="000000"/>
        </w:rPr>
        <w:t>polizas</w:t>
      </w:r>
      <w:proofErr w:type="spellEnd"/>
      <w:r w:rsidR="00522E6D" w:rsidRPr="00522E6D">
        <w:rPr>
          <w:rFonts w:ascii="Palatino Linotype" w:hAnsi="Palatino Linotype"/>
          <w:i/>
          <w:color w:val="000000"/>
        </w:rPr>
        <w:t xml:space="preserve"> de cada vehículo Cual fue el procedimiento para adjudicar la contratación de </w:t>
      </w:r>
      <w:proofErr w:type="spellStart"/>
      <w:r w:rsidR="00522E6D" w:rsidRPr="00522E6D">
        <w:rPr>
          <w:rFonts w:ascii="Palatino Linotype" w:hAnsi="Palatino Linotype"/>
          <w:i/>
          <w:color w:val="000000"/>
        </w:rPr>
        <w:t>polizas</w:t>
      </w:r>
      <w:proofErr w:type="spellEnd"/>
      <w:r w:rsidR="00522E6D" w:rsidRPr="00522E6D">
        <w:rPr>
          <w:rFonts w:ascii="Palatino Linotype" w:hAnsi="Palatino Linotype"/>
          <w:i/>
          <w:color w:val="000000"/>
        </w:rPr>
        <w:t xml:space="preserve"> de seguros para la flota vehicular de la </w:t>
      </w:r>
      <w:proofErr w:type="spellStart"/>
      <w:r w:rsidR="00522E6D" w:rsidRPr="00522E6D">
        <w:rPr>
          <w:rFonts w:ascii="Palatino Linotype" w:hAnsi="Palatino Linotype"/>
          <w:i/>
          <w:color w:val="000000"/>
        </w:rPr>
        <w:t>coprisem</w:t>
      </w:r>
      <w:proofErr w:type="spellEnd"/>
      <w:r w:rsidR="00522E6D" w:rsidRPr="00522E6D">
        <w:rPr>
          <w:rFonts w:ascii="Palatino Linotype" w:hAnsi="Palatino Linotype"/>
          <w:i/>
          <w:color w:val="000000"/>
        </w:rPr>
        <w:t xml:space="preserve"> El parque vehicular manifestado por la </w:t>
      </w:r>
      <w:proofErr w:type="spellStart"/>
      <w:r w:rsidR="00522E6D" w:rsidRPr="00522E6D">
        <w:rPr>
          <w:rFonts w:ascii="Palatino Linotype" w:hAnsi="Palatino Linotype"/>
          <w:i/>
          <w:color w:val="000000"/>
        </w:rPr>
        <w:t>coprisem</w:t>
      </w:r>
      <w:proofErr w:type="spellEnd"/>
      <w:r w:rsidR="00522E6D" w:rsidRPr="00522E6D">
        <w:rPr>
          <w:rFonts w:ascii="Palatino Linotype" w:hAnsi="Palatino Linotype"/>
          <w:i/>
          <w:color w:val="000000"/>
        </w:rPr>
        <w:t xml:space="preserve"> está relacionado en el documento público anexo manifestado por la misma </w:t>
      </w:r>
      <w:proofErr w:type="spellStart"/>
      <w:r w:rsidR="00522E6D" w:rsidRPr="00522E6D">
        <w:rPr>
          <w:rFonts w:ascii="Palatino Linotype" w:hAnsi="Palatino Linotype"/>
          <w:i/>
          <w:color w:val="000000"/>
        </w:rPr>
        <w:t>coprisem</w:t>
      </w:r>
      <w:proofErr w:type="spellEnd"/>
      <w:r w:rsidR="00522E6D" w:rsidRPr="00522E6D">
        <w:rPr>
          <w:rFonts w:ascii="Palatino Linotype" w:hAnsi="Palatino Linotype"/>
          <w:i/>
          <w:color w:val="000000"/>
        </w:rPr>
        <w:t xml:space="preserve"> Muchas gracias.</w:t>
      </w:r>
      <w:r w:rsidR="00BF3214" w:rsidRPr="00522E6D">
        <w:rPr>
          <w:rFonts w:ascii="Palatino Linotype" w:eastAsia="Times New Roman" w:hAnsi="Palatino Linotype" w:cs="Times New Roman"/>
          <w:i/>
          <w:lang w:eastAsia="es-ES"/>
        </w:rPr>
        <w:t>”</w:t>
      </w:r>
      <w:r w:rsidR="00BF3214" w:rsidRPr="00522E6D">
        <w:rPr>
          <w:rFonts w:ascii="Palatino Linotype" w:eastAsia="Times New Roman" w:hAnsi="Palatino Linotype" w:cs="Times New Roman"/>
          <w:i/>
          <w:lang w:val="es-ES_tradnl" w:eastAsia="es-ES"/>
        </w:rPr>
        <w:t xml:space="preserve"> </w:t>
      </w:r>
      <w:r w:rsidR="00EA51DC" w:rsidRPr="00522E6D">
        <w:rPr>
          <w:rFonts w:ascii="Palatino Linotype" w:eastAsia="Times New Roman" w:hAnsi="Palatino Linotype" w:cs="Times New Roman"/>
          <w:i/>
          <w:lang w:val="es-ES_tradnl" w:eastAsia="es-ES"/>
        </w:rPr>
        <w:t>(Sic).</w:t>
      </w:r>
    </w:p>
    <w:p w14:paraId="4EF56DC2" w14:textId="77777777" w:rsidR="00522E6D" w:rsidRDefault="00522E6D" w:rsidP="00EA760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Del formato de solicitud de información, se aprecia que el solicitante adjuntó un documento denominado </w:t>
      </w:r>
      <w:r>
        <w:rPr>
          <w:rFonts w:ascii="Palatino Linotype" w:hAnsi="Palatino Linotype" w:cs="Arial"/>
          <w:b/>
          <w:sz w:val="24"/>
          <w:szCs w:val="24"/>
        </w:rPr>
        <w:t xml:space="preserve">576090_619 respuesta DA a RR sol 361.pdf, </w:t>
      </w:r>
      <w:r>
        <w:rPr>
          <w:rFonts w:ascii="Palatino Linotype" w:hAnsi="Palatino Linotype" w:cs="Arial"/>
          <w:sz w:val="24"/>
          <w:szCs w:val="24"/>
        </w:rPr>
        <w:t>documento que contiene la siguiente información:</w:t>
      </w:r>
    </w:p>
    <w:p w14:paraId="0BF28B22" w14:textId="2BAB56E5" w:rsidR="00522E6D" w:rsidRDefault="00BD4CC4" w:rsidP="00EA760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Oficio número 208C0101320000L/00091/2020, suscrito por la Directora de Administración del Instituto de Salud del Estado de México, en donde da respuesta a  </w:t>
      </w:r>
      <w:proofErr w:type="spellStart"/>
      <w:r>
        <w:rPr>
          <w:rFonts w:ascii="Palatino Linotype" w:hAnsi="Palatino Linotype" w:cs="Arial"/>
          <w:sz w:val="24"/>
          <w:szCs w:val="24"/>
        </w:rPr>
        <w:t>a</w:t>
      </w:r>
      <w:proofErr w:type="spellEnd"/>
      <w:r>
        <w:rPr>
          <w:rFonts w:ascii="Palatino Linotype" w:hAnsi="Palatino Linotype" w:cs="Arial"/>
          <w:sz w:val="24"/>
          <w:szCs w:val="24"/>
        </w:rPr>
        <w:t xml:space="preserve"> los resolutivos del recurso de revisión </w:t>
      </w:r>
      <w:r w:rsidR="00B601B9">
        <w:rPr>
          <w:rFonts w:ascii="Palatino Linotype" w:hAnsi="Palatino Linotype" w:cs="Arial"/>
          <w:sz w:val="24"/>
          <w:szCs w:val="24"/>
        </w:rPr>
        <w:t>07487/INFOEM/IP/RR/2019, al parecer corresponde a la información con la que se pretende otorgar respuesta al solicitante, mismo que contiene diversa información, en la que podemos encontrar un listado de personal, así como a una relación de 180 vehículos pertenecientes al área de regulación sanitaria, el listado de los vehículos adquiridos en dos mil diecisiete, así como la relación de los procedimientos adquisitivos por la COPRISEM en el periodo dos mil diecisiete a dos mil diecinueve.</w:t>
      </w:r>
    </w:p>
    <w:p w14:paraId="788DFD11" w14:textId="388084D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C217AD">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3EA15603"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w:t>
      </w:r>
      <w:r w:rsidR="00C217AD">
        <w:rPr>
          <w:rFonts w:ascii="Palatino Linotype" w:hAnsi="Palatino Linotype"/>
          <w:sz w:val="24"/>
          <w:szCs w:val="24"/>
        </w:rPr>
        <w:t xml:space="preserve"> el </w:t>
      </w:r>
      <w:r w:rsidR="00DA2C41">
        <w:rPr>
          <w:rFonts w:ascii="Palatino Linotype" w:hAnsi="Palatino Linotype"/>
          <w:sz w:val="24"/>
          <w:szCs w:val="24"/>
        </w:rPr>
        <w:t>cuatro de marzo</w:t>
      </w:r>
      <w:r w:rsidR="00C217AD">
        <w:rPr>
          <w:rFonts w:ascii="Palatino Linotype" w:hAnsi="Palatino Linotype"/>
          <w:sz w:val="24"/>
          <w:szCs w:val="24"/>
        </w:rPr>
        <w:t xml:space="preserve"> de dos mil veinte</w:t>
      </w:r>
      <w:r w:rsidRPr="009763E3">
        <w:rPr>
          <w:rFonts w:ascii="Palatino Linotype" w:hAnsi="Palatino Linotype"/>
          <w:sz w:val="24"/>
          <w:szCs w:val="24"/>
        </w:rPr>
        <w:t>, el Sujeto Obligado,</w:t>
      </w:r>
      <w:r w:rsidR="00702BEF">
        <w:rPr>
          <w:rFonts w:ascii="Palatino Linotype" w:hAnsi="Palatino Linotype"/>
          <w:sz w:val="24"/>
          <w:szCs w:val="24"/>
        </w:rPr>
        <w:t xml:space="preserve"> remitió respuesta</w:t>
      </w:r>
      <w:r w:rsidR="00C217AD">
        <w:rPr>
          <w:rFonts w:ascii="Palatino Linotype" w:hAnsi="Palatino Linotype"/>
          <w:sz w:val="24"/>
          <w:szCs w:val="24"/>
        </w:rPr>
        <w:t xml:space="preserve"> en los siguientes </w:t>
      </w:r>
      <w:r w:rsidR="00D0237B">
        <w:rPr>
          <w:rFonts w:ascii="Palatino Linotype" w:hAnsi="Palatino Linotype"/>
          <w:sz w:val="24"/>
          <w:szCs w:val="24"/>
        </w:rPr>
        <w:t>términos</w:t>
      </w:r>
      <w:r w:rsidR="00702BEF">
        <w:rPr>
          <w:rFonts w:ascii="Palatino Linotype" w:hAnsi="Palatino Linotype"/>
          <w:sz w:val="24"/>
          <w:szCs w:val="24"/>
        </w:rPr>
        <w:t>:</w:t>
      </w:r>
    </w:p>
    <w:p w14:paraId="7A3EF1FC" w14:textId="7196C6D8" w:rsidR="00D0237B" w:rsidRDefault="00D0237B" w:rsidP="00D0237B">
      <w:pPr>
        <w:spacing w:after="0" w:line="240" w:lineRule="auto"/>
        <w:ind w:left="851" w:right="850"/>
        <w:jc w:val="right"/>
        <w:rPr>
          <w:rFonts w:ascii="Palatino Linotype" w:hAnsi="Palatino Linotype"/>
          <w:i/>
          <w:color w:val="000000"/>
        </w:rPr>
      </w:pPr>
      <w:r w:rsidRPr="00D0237B">
        <w:rPr>
          <w:rFonts w:ascii="Palatino Linotype" w:hAnsi="Palatino Linotype"/>
          <w:i/>
          <w:color w:val="000000"/>
        </w:rPr>
        <w:t>Folio de la solicitud: 00</w:t>
      </w:r>
      <w:r w:rsidR="00DA2C41">
        <w:rPr>
          <w:rFonts w:ascii="Palatino Linotype" w:hAnsi="Palatino Linotype"/>
          <w:i/>
          <w:color w:val="000000"/>
        </w:rPr>
        <w:t>113</w:t>
      </w:r>
      <w:r w:rsidRPr="00D0237B">
        <w:rPr>
          <w:rFonts w:ascii="Palatino Linotype" w:hAnsi="Palatino Linotype"/>
          <w:i/>
          <w:color w:val="000000"/>
        </w:rPr>
        <w:t>/</w:t>
      </w:r>
      <w:r w:rsidR="00DA2C41">
        <w:rPr>
          <w:rFonts w:ascii="Palatino Linotype" w:hAnsi="Palatino Linotype"/>
          <w:i/>
          <w:color w:val="000000"/>
        </w:rPr>
        <w:t>ISEM</w:t>
      </w:r>
      <w:r w:rsidRPr="00D0237B">
        <w:rPr>
          <w:rFonts w:ascii="Palatino Linotype" w:hAnsi="Palatino Linotype"/>
          <w:i/>
          <w:color w:val="000000"/>
        </w:rPr>
        <w:t>/IP/2020</w:t>
      </w:r>
    </w:p>
    <w:p w14:paraId="082A00AC" w14:textId="77777777" w:rsidR="00D0237B" w:rsidRPr="00D0237B" w:rsidRDefault="00D0237B" w:rsidP="00D0237B">
      <w:pPr>
        <w:spacing w:after="0" w:line="240" w:lineRule="auto"/>
        <w:ind w:left="851" w:right="850"/>
        <w:jc w:val="right"/>
        <w:rPr>
          <w:rFonts w:ascii="Palatino Linotype" w:hAnsi="Palatino Linotype"/>
          <w:i/>
          <w:color w:val="000000"/>
        </w:rPr>
      </w:pPr>
    </w:p>
    <w:p w14:paraId="2D5515EB" w14:textId="75B27253" w:rsid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D708E" w14:textId="4E6277CF" w:rsidR="00DA2C41" w:rsidRDefault="00DA2C41" w:rsidP="00D0237B">
      <w:pPr>
        <w:spacing w:after="0" w:line="240" w:lineRule="auto"/>
        <w:ind w:left="851" w:right="850"/>
        <w:jc w:val="both"/>
        <w:rPr>
          <w:rFonts w:ascii="Palatino Linotype" w:hAnsi="Palatino Linotype"/>
          <w:i/>
          <w:color w:val="000000"/>
        </w:rPr>
      </w:pPr>
      <w:r>
        <w:rPr>
          <w:rFonts w:ascii="Palatino Linotype" w:hAnsi="Palatino Linotype"/>
          <w:i/>
          <w:color w:val="000000"/>
        </w:rPr>
        <w:lastRenderedPageBreak/>
        <w:t>Se envía respuesta a su solicitud.</w:t>
      </w:r>
    </w:p>
    <w:p w14:paraId="40574BB3" w14:textId="77777777" w:rsidR="00DA2C41" w:rsidRDefault="00DA2C41" w:rsidP="00D0237B">
      <w:pPr>
        <w:spacing w:after="0" w:line="240" w:lineRule="auto"/>
        <w:ind w:left="851" w:right="850"/>
        <w:jc w:val="both"/>
        <w:rPr>
          <w:rFonts w:ascii="Palatino Linotype" w:hAnsi="Palatino Linotype"/>
          <w:i/>
          <w:color w:val="000000"/>
        </w:rPr>
      </w:pPr>
    </w:p>
    <w:p w14:paraId="4E687D08" w14:textId="77777777" w:rsidR="00D0237B" w:rsidRPr="00D0237B" w:rsidRDefault="00D0237B" w:rsidP="00D0237B">
      <w:pPr>
        <w:spacing w:after="0" w:line="240" w:lineRule="auto"/>
        <w:ind w:left="851" w:right="850"/>
        <w:jc w:val="both"/>
        <w:rPr>
          <w:rFonts w:ascii="Palatino Linotype" w:hAnsi="Palatino Linotype"/>
          <w:i/>
          <w:color w:val="000000"/>
        </w:rPr>
      </w:pPr>
    </w:p>
    <w:p w14:paraId="29948AD4" w14:textId="40910E4E" w:rsidR="00D0237B" w:rsidRPr="00D0237B" w:rsidRDefault="00D0237B" w:rsidP="00D0237B">
      <w:pPr>
        <w:spacing w:after="0" w:line="240" w:lineRule="auto"/>
        <w:ind w:left="851" w:right="850"/>
        <w:jc w:val="both"/>
        <w:rPr>
          <w:rFonts w:ascii="Palatino Linotype" w:hAnsi="Palatino Linotype"/>
          <w:i/>
          <w:color w:val="000000"/>
        </w:rPr>
      </w:pPr>
      <w:r w:rsidRPr="00D0237B">
        <w:rPr>
          <w:rFonts w:ascii="Palatino Linotype" w:hAnsi="Palatino Linotype"/>
          <w:i/>
          <w:color w:val="000000"/>
        </w:rPr>
        <w:t>ATENTAMENTE</w:t>
      </w:r>
    </w:p>
    <w:p w14:paraId="17DEA1E7" w14:textId="5848D5D3" w:rsidR="00D0237B" w:rsidRPr="00D0237B" w:rsidRDefault="00DA2C41" w:rsidP="00D0237B">
      <w:pPr>
        <w:spacing w:after="0" w:line="240" w:lineRule="auto"/>
        <w:ind w:left="851" w:right="850"/>
        <w:jc w:val="both"/>
        <w:rPr>
          <w:rFonts w:ascii="Palatino Linotype" w:hAnsi="Palatino Linotype"/>
          <w:i/>
          <w:color w:val="000000"/>
        </w:rPr>
      </w:pPr>
      <w:r>
        <w:rPr>
          <w:rFonts w:ascii="Palatino Linotype" w:hAnsi="Palatino Linotype"/>
          <w:i/>
          <w:color w:val="000000"/>
        </w:rPr>
        <w:t>LIC. ELOINA SILVETTE DÍAZ GUTIÉRREZ</w:t>
      </w:r>
    </w:p>
    <w:p w14:paraId="1B311E14" w14:textId="77777777" w:rsidR="00D0237B" w:rsidRDefault="00D0237B" w:rsidP="003F5C59">
      <w:pPr>
        <w:spacing w:after="0" w:line="360" w:lineRule="auto"/>
        <w:jc w:val="both"/>
        <w:rPr>
          <w:rFonts w:ascii="Verdana" w:hAnsi="Verdana"/>
          <w:color w:val="000000"/>
          <w:sz w:val="18"/>
          <w:szCs w:val="18"/>
        </w:rPr>
      </w:pPr>
    </w:p>
    <w:p w14:paraId="465BA195" w14:textId="063458BE" w:rsidR="00D0237B" w:rsidRPr="00D0237B" w:rsidRDefault="00D0237B" w:rsidP="003F5C59">
      <w:pPr>
        <w:spacing w:after="0" w:line="360" w:lineRule="auto"/>
        <w:jc w:val="both"/>
        <w:rPr>
          <w:rFonts w:ascii="Palatino Linotype" w:hAnsi="Palatino Linotype"/>
          <w:color w:val="000000"/>
          <w:sz w:val="24"/>
          <w:szCs w:val="24"/>
        </w:rPr>
      </w:pPr>
      <w:r w:rsidRPr="00D0237B">
        <w:rPr>
          <w:rFonts w:ascii="Palatino Linotype" w:hAnsi="Palatino Linotype"/>
          <w:color w:val="000000"/>
          <w:sz w:val="24"/>
          <w:szCs w:val="24"/>
        </w:rPr>
        <w:t>Cabe resaltar que el Sujeto Obligado remitió tres archivos a su respuesta, mismos que no se insertan el presente apartado por ser del conocimiento de las partes, sin embargo se describe su contenido:</w:t>
      </w:r>
    </w:p>
    <w:p w14:paraId="0A7FEE21" w14:textId="7339A19C" w:rsidR="00DA2C41" w:rsidRDefault="00DA2C41" w:rsidP="00DA2C41">
      <w:pPr>
        <w:spacing w:after="0" w:line="360" w:lineRule="auto"/>
        <w:jc w:val="both"/>
        <w:rPr>
          <w:rStyle w:val="Hipervnculo"/>
          <w:rFonts w:ascii="Palatino Linotype" w:hAnsi="Palatino Linotype" w:cs="Arial"/>
          <w:bCs/>
          <w:color w:val="auto"/>
          <w:sz w:val="24"/>
          <w:szCs w:val="24"/>
          <w:u w:val="none"/>
        </w:rPr>
      </w:pPr>
      <w:r>
        <w:rPr>
          <w:rStyle w:val="Hipervnculo"/>
          <w:rFonts w:ascii="Palatino Linotype" w:hAnsi="Palatino Linotype" w:cs="Arial"/>
          <w:b/>
          <w:bCs/>
          <w:color w:val="auto"/>
          <w:sz w:val="24"/>
          <w:szCs w:val="24"/>
          <w:u w:val="none"/>
        </w:rPr>
        <w:t xml:space="preserve">225.pdf, </w:t>
      </w:r>
      <w:r>
        <w:rPr>
          <w:rStyle w:val="Hipervnculo"/>
          <w:rFonts w:ascii="Palatino Linotype" w:hAnsi="Palatino Linotype" w:cs="Arial"/>
          <w:bCs/>
          <w:color w:val="auto"/>
          <w:sz w:val="24"/>
          <w:szCs w:val="24"/>
          <w:u w:val="none"/>
        </w:rPr>
        <w:t xml:space="preserve">archivo que contiene el oficio 208C0101200000L/225/2020, de fecha dieciocho de febrero de dos mil veinte en donde el Coordinador de Regulación Sanitaria y Comisionado para la Protección contra Riesgos Sanitarios del Estado de México, en donde informa que el área encargada de la integración, control, comprobación completa de los procesos de licitación pública, invitación restringida y adjudicación directa sobre la adquisición de bienes y servicios es la Subdirección de Recursos Materiales y por lo que respecta </w:t>
      </w:r>
      <w:r w:rsidR="00E83414">
        <w:rPr>
          <w:rStyle w:val="Hipervnculo"/>
          <w:rFonts w:ascii="Palatino Linotype" w:hAnsi="Palatino Linotype" w:cs="Arial"/>
          <w:bCs/>
          <w:color w:val="auto"/>
          <w:sz w:val="24"/>
          <w:szCs w:val="24"/>
          <w:u w:val="none"/>
        </w:rPr>
        <w:t>a la gestión, contratación del seguro vehicular, le corresponde a la Subdirección de Servicios Generales y Control Patrimonial.</w:t>
      </w:r>
    </w:p>
    <w:p w14:paraId="5F2D9853" w14:textId="77777777" w:rsidR="00E83414" w:rsidRDefault="00E83414" w:rsidP="00DA2C41">
      <w:pPr>
        <w:spacing w:after="0" w:line="360" w:lineRule="auto"/>
        <w:jc w:val="both"/>
      </w:pPr>
    </w:p>
    <w:p w14:paraId="05A7B353" w14:textId="1F36DA18" w:rsidR="00D0237B" w:rsidRPr="0045637C" w:rsidRDefault="00E83414" w:rsidP="003F5C59">
      <w:pPr>
        <w:spacing w:after="0" w:line="360" w:lineRule="auto"/>
        <w:jc w:val="both"/>
        <w:rPr>
          <w:rFonts w:ascii="Palatino Linotype" w:hAnsi="Palatino Linotype"/>
          <w:sz w:val="24"/>
          <w:szCs w:val="24"/>
        </w:rPr>
      </w:pPr>
      <w:r>
        <w:rPr>
          <w:rStyle w:val="Hipervnculo"/>
          <w:rFonts w:ascii="Palatino Linotype" w:hAnsi="Palatino Linotype" w:cs="Arial"/>
          <w:b/>
          <w:bCs/>
          <w:color w:val="auto"/>
          <w:sz w:val="24"/>
          <w:szCs w:val="24"/>
          <w:u w:val="none"/>
        </w:rPr>
        <w:t>00113.pdf,</w:t>
      </w:r>
      <w:r w:rsidR="0045637C">
        <w:rPr>
          <w:rFonts w:ascii="Palatino Linotype" w:hAnsi="Palatino Linotype"/>
          <w:b/>
          <w:sz w:val="24"/>
          <w:szCs w:val="24"/>
        </w:rPr>
        <w:t xml:space="preserve"> </w:t>
      </w:r>
      <w:r w:rsidR="0045637C">
        <w:rPr>
          <w:rFonts w:ascii="Palatino Linotype" w:hAnsi="Palatino Linotype"/>
          <w:sz w:val="24"/>
          <w:szCs w:val="24"/>
        </w:rPr>
        <w:t xml:space="preserve">contiene </w:t>
      </w:r>
      <w:r>
        <w:rPr>
          <w:rFonts w:ascii="Palatino Linotype" w:hAnsi="Palatino Linotype"/>
          <w:sz w:val="24"/>
          <w:szCs w:val="24"/>
        </w:rPr>
        <w:t xml:space="preserve">el oficio 208C0101320300L/AUD0747/2020, de fecha veinte de febrero de dos mil veinte, en donde el Subdirector de Servicios Generales y Control Patrimonial, informa que el parque vehicular, asignado a la Comisión para la Regulación contra Riesgos Sanitarios del Estado de México, cuenta con seguro vehicular, dicho servicio es proporcionado por el proveedor “HDI Seguros, S.A. de C.V., respecto de la cobertura informa que es amplia y por lo que respecta al procedimiento para la contratación, esta se </w:t>
      </w:r>
      <w:r w:rsidR="00367C2E">
        <w:rPr>
          <w:rFonts w:ascii="Palatino Linotype" w:hAnsi="Palatino Linotype"/>
          <w:sz w:val="24"/>
          <w:szCs w:val="24"/>
        </w:rPr>
        <w:t>realizó</w:t>
      </w:r>
      <w:r>
        <w:rPr>
          <w:rFonts w:ascii="Palatino Linotype" w:hAnsi="Palatino Linotype"/>
          <w:sz w:val="24"/>
          <w:szCs w:val="24"/>
        </w:rPr>
        <w:t xml:space="preserve"> mediante Licitación Pública Nacional Presencia </w:t>
      </w:r>
      <w:r w:rsidR="00367C2E">
        <w:rPr>
          <w:rFonts w:ascii="Palatino Linotype" w:hAnsi="Palatino Linotype"/>
          <w:sz w:val="24"/>
          <w:szCs w:val="24"/>
        </w:rPr>
        <w:t>número</w:t>
      </w:r>
      <w:r>
        <w:rPr>
          <w:rFonts w:ascii="Palatino Linotype" w:hAnsi="Palatino Linotype"/>
          <w:sz w:val="24"/>
          <w:szCs w:val="24"/>
        </w:rPr>
        <w:t xml:space="preserve"> 44</w:t>
      </w:r>
      <w:r w:rsidR="00367C2E">
        <w:rPr>
          <w:rFonts w:ascii="Palatino Linotype" w:hAnsi="Palatino Linotype"/>
          <w:sz w:val="24"/>
          <w:szCs w:val="24"/>
        </w:rPr>
        <w:t>0640003-014-19.</w:t>
      </w:r>
    </w:p>
    <w:p w14:paraId="43D2CF16" w14:textId="2B558D81" w:rsidR="00D0237B" w:rsidRDefault="00D0237B" w:rsidP="003F5C59">
      <w:pPr>
        <w:spacing w:after="0" w:line="360" w:lineRule="auto"/>
        <w:jc w:val="both"/>
        <w:rPr>
          <w:rFonts w:ascii="Palatino Linotype" w:hAnsi="Palatino Linotype"/>
          <w:b/>
          <w:sz w:val="24"/>
          <w:szCs w:val="24"/>
        </w:rPr>
      </w:pPr>
      <w:r w:rsidRPr="00D0237B">
        <w:rPr>
          <w:rFonts w:ascii="Palatino Linotype" w:hAnsi="Palatino Linotype" w:cs="Arial"/>
          <w:b/>
          <w:bCs/>
          <w:sz w:val="24"/>
          <w:szCs w:val="24"/>
        </w:rPr>
        <w:lastRenderedPageBreak/>
        <w:br/>
      </w:r>
      <w:r w:rsidR="00367C2E">
        <w:rPr>
          <w:rStyle w:val="Hipervnculo"/>
          <w:rFonts w:ascii="Palatino Linotype" w:hAnsi="Palatino Linotype" w:cs="Arial"/>
          <w:b/>
          <w:bCs/>
          <w:color w:val="auto"/>
          <w:sz w:val="24"/>
          <w:szCs w:val="24"/>
          <w:u w:val="none"/>
        </w:rPr>
        <w:t xml:space="preserve">SAIMEX 00113 IP.DOCX, </w:t>
      </w:r>
      <w:r w:rsidR="00367C2E">
        <w:rPr>
          <w:rStyle w:val="Hipervnculo"/>
          <w:rFonts w:ascii="Palatino Linotype" w:hAnsi="Palatino Linotype" w:cs="Arial"/>
          <w:bCs/>
          <w:color w:val="auto"/>
          <w:sz w:val="24"/>
          <w:szCs w:val="24"/>
          <w:u w:val="none"/>
        </w:rPr>
        <w:t>archivo que contiene la respuesta que brindo la Titular de la Unidad de Transparencia al ciudadano, en donde remite los oficios antes descritos.</w:t>
      </w:r>
      <w:r w:rsidR="0045637C">
        <w:rPr>
          <w:rFonts w:ascii="Palatino Linotype" w:hAnsi="Palatino Linotype"/>
          <w:b/>
          <w:sz w:val="24"/>
          <w:szCs w:val="24"/>
        </w:rPr>
        <w:t xml:space="preserve"> </w:t>
      </w:r>
    </w:p>
    <w:p w14:paraId="0C22610A" w14:textId="77777777" w:rsidR="00367C2E" w:rsidRDefault="00367C2E" w:rsidP="003F5C59">
      <w:pPr>
        <w:spacing w:after="0" w:line="360" w:lineRule="auto"/>
        <w:jc w:val="both"/>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32F9E045"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w:t>
      </w:r>
      <w:r w:rsidRPr="00AD2A55">
        <w:rPr>
          <w:rFonts w:ascii="Palatino Linotype" w:hAnsi="Palatino Linotype" w:cs="Arial"/>
          <w:sz w:val="24"/>
          <w:szCs w:val="24"/>
        </w:rPr>
        <w:t>respuest</w:t>
      </w:r>
      <w:r w:rsidR="00390005">
        <w:rPr>
          <w:rFonts w:ascii="Palatino Linotype" w:hAnsi="Palatino Linotype" w:cs="Arial"/>
          <w:sz w:val="24"/>
          <w:szCs w:val="24"/>
        </w:rPr>
        <w:t>a</w:t>
      </w:r>
      <w:r w:rsidR="00C9547B">
        <w:rPr>
          <w:rFonts w:ascii="Palatino Linotype" w:hAnsi="Palatino Linotype" w:cs="Arial"/>
          <w:sz w:val="24"/>
          <w:szCs w:val="24"/>
        </w:rPr>
        <w:t xml:space="preserve"> remitida</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367C2E">
        <w:rPr>
          <w:rFonts w:ascii="Palatino Linotype" w:hAnsi="Palatino Linotype" w:cs="Arial"/>
          <w:sz w:val="24"/>
          <w:szCs w:val="24"/>
        </w:rPr>
        <w:t>seis de marzo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 xml:space="preserve">l ahora Recurrente interpone recurso de revisión </w:t>
      </w:r>
      <w:r w:rsidR="00367C2E">
        <w:rPr>
          <w:rFonts w:ascii="Palatino Linotype" w:hAnsi="Palatino Linotype" w:cs="Arial"/>
          <w:sz w:val="24"/>
          <w:szCs w:val="24"/>
        </w:rPr>
        <w:t>e</w:t>
      </w:r>
      <w:r w:rsidR="00DD5650" w:rsidRPr="00AD2A55">
        <w:rPr>
          <w:rFonts w:ascii="Palatino Linotype" w:hAnsi="Palatino Linotype" w:cs="Arial"/>
          <w:sz w:val="24"/>
          <w:szCs w:val="24"/>
        </w:rPr>
        <w:t>l cual fue registrado</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1490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7DAE9AAC"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C9547B">
        <w:rPr>
          <w:rFonts w:ascii="Palatino Linotype" w:hAnsi="Palatino Linotype" w:cs="Arial"/>
          <w:b/>
          <w:bCs/>
          <w:sz w:val="24"/>
          <w:szCs w:val="24"/>
          <w:lang w:eastAsia="es-MX"/>
        </w:rPr>
        <w:t>0</w:t>
      </w:r>
      <w:r w:rsidR="00367C2E">
        <w:rPr>
          <w:rFonts w:ascii="Palatino Linotype" w:hAnsi="Palatino Linotype" w:cs="Arial"/>
          <w:b/>
          <w:bCs/>
          <w:sz w:val="24"/>
          <w:szCs w:val="24"/>
          <w:lang w:eastAsia="es-MX"/>
        </w:rPr>
        <w:t>149</w:t>
      </w:r>
      <w:r w:rsidR="004F2B2F">
        <w:rPr>
          <w:rFonts w:ascii="Palatino Linotype" w:hAnsi="Palatino Linotype" w:cs="Arial"/>
          <w:b/>
          <w:bCs/>
          <w:sz w:val="24"/>
          <w:szCs w:val="24"/>
          <w:lang w:eastAsia="es-MX"/>
        </w:rPr>
        <w:t>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CBF60AC" w:rsidR="00BD12EB" w:rsidRPr="00B42E6A" w:rsidRDefault="00BD12EB" w:rsidP="00C9547B">
      <w:pPr>
        <w:ind w:left="851" w:right="850"/>
        <w:jc w:val="both"/>
        <w:rPr>
          <w:rFonts w:ascii="Palatino Linotype" w:eastAsia="Times New Roman" w:hAnsi="Palatino Linotype" w:cs="Times New Roman"/>
          <w:i/>
          <w:lang w:eastAsia="es-MX"/>
        </w:rPr>
      </w:pPr>
      <w:r w:rsidRPr="00B42E6A">
        <w:rPr>
          <w:rFonts w:ascii="Palatino Linotype" w:hAnsi="Palatino Linotype"/>
          <w:i/>
          <w:color w:val="000000"/>
        </w:rPr>
        <w:t>“</w:t>
      </w:r>
      <w:r w:rsidR="00367C2E" w:rsidRPr="00B42E6A">
        <w:rPr>
          <w:rFonts w:ascii="Palatino Linotype" w:hAnsi="Palatino Linotype"/>
          <w:i/>
          <w:color w:val="000000"/>
        </w:rPr>
        <w:t xml:space="preserve">En mi derecho a acceder a información pública transparente, suficiente y que me permita investigar sobre el quehacer gubernamental, anexo información enviada por el mismo sujeto obligado y lo que recibo son evasivas de responsabilidad como si uno fuera tonto. Solo pedía las </w:t>
      </w:r>
      <w:proofErr w:type="spellStart"/>
      <w:r w:rsidR="00367C2E" w:rsidRPr="00B42E6A">
        <w:rPr>
          <w:rFonts w:ascii="Palatino Linotype" w:hAnsi="Palatino Linotype"/>
          <w:i/>
          <w:color w:val="000000"/>
        </w:rPr>
        <w:t>polizas</w:t>
      </w:r>
      <w:proofErr w:type="spellEnd"/>
      <w:r w:rsidR="00367C2E" w:rsidRPr="00B42E6A">
        <w:rPr>
          <w:rFonts w:ascii="Palatino Linotype" w:hAnsi="Palatino Linotype"/>
          <w:i/>
          <w:color w:val="000000"/>
        </w:rPr>
        <w:t xml:space="preserve"> de seguros de los vehículos que incluí en un anexo de mi solicitud y no me respondieron como esperaba. Yo esperaba que me enviaran la copia de la </w:t>
      </w:r>
      <w:proofErr w:type="spellStart"/>
      <w:r w:rsidR="00367C2E" w:rsidRPr="00B42E6A">
        <w:rPr>
          <w:rFonts w:ascii="Palatino Linotype" w:hAnsi="Palatino Linotype"/>
          <w:i/>
          <w:color w:val="000000"/>
        </w:rPr>
        <w:t>poliza</w:t>
      </w:r>
      <w:proofErr w:type="spellEnd"/>
      <w:r w:rsidR="00367C2E" w:rsidRPr="00B42E6A">
        <w:rPr>
          <w:rFonts w:ascii="Palatino Linotype" w:hAnsi="Palatino Linotype"/>
          <w:i/>
          <w:color w:val="000000"/>
        </w:rPr>
        <w:t xml:space="preserve"> de seguro de cada vehículo y del </w:t>
      </w:r>
      <w:proofErr w:type="spellStart"/>
      <w:r w:rsidR="00367C2E" w:rsidRPr="00B42E6A">
        <w:rPr>
          <w:rFonts w:ascii="Palatino Linotype" w:hAnsi="Palatino Linotype"/>
          <w:i/>
          <w:color w:val="000000"/>
        </w:rPr>
        <w:t>procedo</w:t>
      </w:r>
      <w:proofErr w:type="spellEnd"/>
      <w:r w:rsidR="00367C2E" w:rsidRPr="00B42E6A">
        <w:rPr>
          <w:rFonts w:ascii="Palatino Linotype" w:hAnsi="Palatino Linotype"/>
          <w:i/>
          <w:color w:val="000000"/>
        </w:rPr>
        <w:t xml:space="preserve"> de licitación y adjudicación de los seguros de los autos de la </w:t>
      </w:r>
      <w:proofErr w:type="spellStart"/>
      <w:r w:rsidR="00367C2E" w:rsidRPr="00B42E6A">
        <w:rPr>
          <w:rFonts w:ascii="Palatino Linotype" w:hAnsi="Palatino Linotype"/>
          <w:i/>
          <w:color w:val="000000"/>
        </w:rPr>
        <w:t>coprisem</w:t>
      </w:r>
      <w:proofErr w:type="spellEnd"/>
      <w:r w:rsidR="00367C2E" w:rsidRPr="00B42E6A">
        <w:rPr>
          <w:rFonts w:ascii="Palatino Linotype" w:hAnsi="Palatino Linotype"/>
          <w:i/>
          <w:color w:val="000000"/>
        </w:rPr>
        <w:t>.</w:t>
      </w:r>
      <w:r w:rsidRPr="00B42E6A">
        <w:rPr>
          <w:rFonts w:ascii="Palatino Linotype" w:hAnsi="Palatino Linotype"/>
          <w:i/>
          <w:color w:val="000000"/>
        </w:rPr>
        <w:t>”(Sic).</w:t>
      </w:r>
    </w:p>
    <w:p w14:paraId="06F46787" w14:textId="77777777" w:rsidR="00877F20" w:rsidRPr="00C9547B" w:rsidRDefault="00877F20" w:rsidP="00C9547B">
      <w:pPr>
        <w:spacing w:after="0" w:line="360" w:lineRule="auto"/>
        <w:ind w:left="851" w:right="850"/>
        <w:jc w:val="both"/>
        <w:rPr>
          <w:rFonts w:ascii="Palatino Linotype" w:hAnsi="Palatino Linotype" w:cs="Arial"/>
          <w:b/>
          <w:i/>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3C98A112" w:rsidR="009F6F65" w:rsidRPr="00C9547B" w:rsidRDefault="00BD12EB" w:rsidP="00C9547B">
      <w:pPr>
        <w:ind w:left="851" w:right="850"/>
        <w:jc w:val="both"/>
        <w:rPr>
          <w:rFonts w:ascii="Palatino Linotype" w:eastAsia="Times New Roman" w:hAnsi="Palatino Linotype" w:cs="Times New Roman"/>
          <w:i/>
          <w:lang w:eastAsia="es-MX"/>
        </w:rPr>
      </w:pPr>
      <w:r w:rsidRPr="00B42E6A">
        <w:rPr>
          <w:rFonts w:ascii="Palatino Linotype" w:hAnsi="Palatino Linotype" w:cs="Arial"/>
          <w:i/>
        </w:rPr>
        <w:t>“</w:t>
      </w:r>
      <w:r w:rsidR="00B42E6A" w:rsidRPr="00B42E6A">
        <w:rPr>
          <w:rFonts w:ascii="Palatino Linotype" w:hAnsi="Palatino Linotype"/>
          <w:i/>
          <w:color w:val="000000"/>
        </w:rPr>
        <w:t xml:space="preserve">Ocultan la información y no obedecen el principio del derecho a la información expresado en la constitución y leyes relativas. </w:t>
      </w:r>
      <w:proofErr w:type="gramStart"/>
      <w:r w:rsidR="00B42E6A" w:rsidRPr="00B42E6A">
        <w:rPr>
          <w:rFonts w:ascii="Palatino Linotype" w:hAnsi="Palatino Linotype"/>
          <w:i/>
          <w:color w:val="000000"/>
        </w:rPr>
        <w:t>así</w:t>
      </w:r>
      <w:proofErr w:type="gramEnd"/>
      <w:r w:rsidR="00B42E6A" w:rsidRPr="00B42E6A">
        <w:rPr>
          <w:rFonts w:ascii="Palatino Linotype" w:hAnsi="Palatino Linotype"/>
          <w:i/>
          <w:color w:val="000000"/>
        </w:rPr>
        <w:t xml:space="preserve"> como tratados internacionales. Anexo documento con la información sobre los </w:t>
      </w:r>
      <w:proofErr w:type="spellStart"/>
      <w:r w:rsidR="00B42E6A" w:rsidRPr="00B42E6A">
        <w:rPr>
          <w:rFonts w:ascii="Palatino Linotype" w:hAnsi="Palatino Linotype"/>
          <w:i/>
          <w:color w:val="000000"/>
        </w:rPr>
        <w:t>vehícuos</w:t>
      </w:r>
      <w:proofErr w:type="spellEnd"/>
      <w:r w:rsidR="00B42E6A" w:rsidRPr="00B42E6A">
        <w:rPr>
          <w:rFonts w:ascii="Palatino Linotype" w:hAnsi="Palatino Linotype"/>
          <w:i/>
          <w:color w:val="000000"/>
        </w:rPr>
        <w:t xml:space="preserve"> asignados a la </w:t>
      </w:r>
      <w:proofErr w:type="spellStart"/>
      <w:r w:rsidR="00B42E6A" w:rsidRPr="00B42E6A">
        <w:rPr>
          <w:rFonts w:ascii="Palatino Linotype" w:hAnsi="Palatino Linotype"/>
          <w:i/>
          <w:color w:val="000000"/>
        </w:rPr>
        <w:t>coprisem</w:t>
      </w:r>
      <w:proofErr w:type="spellEnd"/>
      <w:r w:rsidR="00B42E6A" w:rsidRPr="00B42E6A">
        <w:rPr>
          <w:rFonts w:ascii="Palatino Linotype" w:hAnsi="Palatino Linotype"/>
          <w:i/>
          <w:color w:val="000000"/>
        </w:rPr>
        <w:t xml:space="preserve"> y esperaba confirmar que cuentan con seguros pero la información enviada es obscura y no obedece a principios legales de accesibilidad y transparencia Muchas gracias</w:t>
      </w:r>
      <w:r w:rsidR="009763E3" w:rsidRPr="00C9547B">
        <w:rPr>
          <w:rFonts w:ascii="Palatino Linotype" w:hAnsi="Palatino Linotype"/>
          <w:i/>
          <w:color w:val="000000"/>
        </w:rPr>
        <w:t>” (S</w:t>
      </w:r>
      <w:r w:rsidRPr="00C9547B">
        <w:rPr>
          <w:rFonts w:ascii="Palatino Linotype" w:hAnsi="Palatino Linotype"/>
          <w:i/>
          <w:color w:val="000000"/>
        </w:rPr>
        <w:t>ic)</w:t>
      </w:r>
      <w:r w:rsidR="006A3E42" w:rsidRPr="00C9547B">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578E74C4"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Los medios de impugnación presentados mediante recursos de revisión con número </w:t>
      </w:r>
      <w:r w:rsidR="00C9547B">
        <w:rPr>
          <w:rFonts w:ascii="Palatino Linotype" w:hAnsi="Palatino Linotype" w:cs="Arial"/>
          <w:b/>
          <w:sz w:val="24"/>
          <w:szCs w:val="24"/>
        </w:rPr>
        <w:t>0</w:t>
      </w:r>
      <w:r w:rsidR="00B42E6A">
        <w:rPr>
          <w:rFonts w:ascii="Palatino Linotype" w:hAnsi="Palatino Linotype" w:cs="Arial"/>
          <w:b/>
          <w:sz w:val="24"/>
          <w:szCs w:val="24"/>
        </w:rPr>
        <w:t>1490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B42E6A">
        <w:rPr>
          <w:rFonts w:ascii="Palatino Linotype" w:hAnsi="Palatino Linotype" w:cs="Arial"/>
          <w:sz w:val="24"/>
          <w:szCs w:val="24"/>
        </w:rPr>
        <w:t>trece de marzo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4C6CE1" w:rsidRDefault="003116CC" w:rsidP="00AD2A55">
      <w:pPr>
        <w:spacing w:after="0" w:line="360" w:lineRule="auto"/>
        <w:jc w:val="both"/>
        <w:rPr>
          <w:rFonts w:ascii="Palatino Linotype" w:hAnsi="Palatino Linotype" w:cs="Arial"/>
          <w:b/>
          <w:sz w:val="24"/>
          <w:szCs w:val="24"/>
        </w:rPr>
      </w:pPr>
      <w:r w:rsidRPr="004C6CE1">
        <w:rPr>
          <w:rFonts w:ascii="Palatino Linotype" w:hAnsi="Palatino Linotype" w:cs="Arial"/>
          <w:b/>
          <w:sz w:val="28"/>
          <w:szCs w:val="28"/>
        </w:rPr>
        <w:t>QUINT</w:t>
      </w:r>
      <w:r w:rsidR="007D0B6C" w:rsidRPr="004C6CE1">
        <w:rPr>
          <w:rFonts w:ascii="Palatino Linotype" w:hAnsi="Palatino Linotype" w:cs="Arial"/>
          <w:b/>
          <w:sz w:val="28"/>
          <w:szCs w:val="28"/>
        </w:rPr>
        <w:t>O</w:t>
      </w:r>
      <w:r w:rsidR="00BF3214" w:rsidRPr="004C6CE1">
        <w:rPr>
          <w:rFonts w:ascii="Palatino Linotype" w:hAnsi="Palatino Linotype" w:cs="Arial"/>
          <w:b/>
          <w:sz w:val="28"/>
          <w:szCs w:val="28"/>
        </w:rPr>
        <w:t>.</w:t>
      </w:r>
      <w:r w:rsidR="00BF3214" w:rsidRPr="004C6CE1">
        <w:rPr>
          <w:rFonts w:ascii="Palatino Linotype" w:hAnsi="Palatino Linotype" w:cs="Arial"/>
          <w:b/>
          <w:sz w:val="24"/>
          <w:szCs w:val="24"/>
        </w:rPr>
        <w:t xml:space="preserve"> </w:t>
      </w:r>
      <w:r w:rsidR="00BC106F" w:rsidRPr="004C6CE1">
        <w:rPr>
          <w:rFonts w:ascii="Palatino Linotype" w:hAnsi="Palatino Linotype" w:cs="Arial"/>
          <w:b/>
          <w:sz w:val="24"/>
          <w:szCs w:val="24"/>
        </w:rPr>
        <w:t>De la etapa de manifestaciones y/o alegatos.</w:t>
      </w:r>
    </w:p>
    <w:p w14:paraId="4DF5B869" w14:textId="368B9E4D" w:rsidR="00D47517" w:rsidRPr="004C6CE1" w:rsidRDefault="00D9651B" w:rsidP="00DD5650">
      <w:pPr>
        <w:spacing w:after="0" w:line="360" w:lineRule="auto"/>
        <w:jc w:val="both"/>
        <w:rPr>
          <w:rFonts w:ascii="Palatino Linotype" w:hAnsi="Palatino Linotype" w:cs="Arial"/>
          <w:sz w:val="24"/>
          <w:szCs w:val="24"/>
        </w:rPr>
      </w:pPr>
      <w:r w:rsidRPr="004C6CE1">
        <w:rPr>
          <w:rFonts w:ascii="Palatino Linotype" w:hAnsi="Palatino Linotype" w:cs="Arial"/>
          <w:sz w:val="24"/>
          <w:szCs w:val="24"/>
        </w:rPr>
        <w:t xml:space="preserve">Que de los autos electrónicos que obran en el expediente </w:t>
      </w:r>
      <w:r w:rsidR="005A62C9" w:rsidRPr="004C6CE1">
        <w:rPr>
          <w:rFonts w:ascii="Palatino Linotype" w:hAnsi="Palatino Linotype" w:cs="Arial"/>
          <w:sz w:val="24"/>
          <w:szCs w:val="24"/>
        </w:rPr>
        <w:t xml:space="preserve">del recurso de revisión </w:t>
      </w:r>
      <w:r w:rsidR="00C9547B" w:rsidRPr="004C6CE1">
        <w:rPr>
          <w:rFonts w:ascii="Palatino Linotype" w:hAnsi="Palatino Linotype" w:cs="Arial"/>
          <w:b/>
          <w:sz w:val="24"/>
          <w:szCs w:val="24"/>
        </w:rPr>
        <w:t>0</w:t>
      </w:r>
      <w:r w:rsidR="00B42E6A" w:rsidRPr="004C6CE1">
        <w:rPr>
          <w:rFonts w:ascii="Palatino Linotype" w:hAnsi="Palatino Linotype" w:cs="Arial"/>
          <w:b/>
          <w:sz w:val="24"/>
          <w:szCs w:val="24"/>
        </w:rPr>
        <w:t>1490</w:t>
      </w:r>
      <w:r w:rsidR="00753CE8" w:rsidRPr="004C6CE1">
        <w:rPr>
          <w:rFonts w:ascii="Palatino Linotype" w:hAnsi="Palatino Linotype" w:cs="Arial"/>
          <w:b/>
          <w:sz w:val="24"/>
          <w:szCs w:val="24"/>
        </w:rPr>
        <w:t>/</w:t>
      </w:r>
      <w:r w:rsidR="00803D97" w:rsidRPr="004C6CE1">
        <w:rPr>
          <w:rFonts w:ascii="Palatino Linotype" w:hAnsi="Palatino Linotype" w:cs="Arial"/>
          <w:b/>
          <w:sz w:val="24"/>
          <w:szCs w:val="24"/>
        </w:rPr>
        <w:t>INFOEM/IP/RR/2020</w:t>
      </w:r>
      <w:r w:rsidR="005A62C9" w:rsidRPr="004C6CE1">
        <w:rPr>
          <w:rFonts w:ascii="Palatino Linotype" w:hAnsi="Palatino Linotype" w:cs="Arial"/>
          <w:sz w:val="24"/>
          <w:szCs w:val="24"/>
        </w:rPr>
        <w:t>,</w:t>
      </w:r>
      <w:r w:rsidRPr="004C6CE1">
        <w:rPr>
          <w:rFonts w:ascii="Palatino Linotype" w:hAnsi="Palatino Linotype" w:cs="Arial"/>
          <w:sz w:val="24"/>
          <w:szCs w:val="24"/>
        </w:rPr>
        <w:t xml:space="preserve"> se aprecia que </w:t>
      </w:r>
      <w:r w:rsidR="00FE2D30" w:rsidRPr="004C6CE1">
        <w:rPr>
          <w:rFonts w:ascii="Palatino Linotype" w:hAnsi="Palatino Linotype" w:cs="Arial"/>
          <w:sz w:val="24"/>
          <w:szCs w:val="24"/>
        </w:rPr>
        <w:t xml:space="preserve">tanto </w:t>
      </w:r>
      <w:r w:rsidRPr="004C6CE1">
        <w:rPr>
          <w:rFonts w:ascii="Palatino Linotype" w:hAnsi="Palatino Linotype" w:cs="Arial"/>
          <w:sz w:val="24"/>
          <w:szCs w:val="24"/>
        </w:rPr>
        <w:t>e</w:t>
      </w:r>
      <w:r w:rsidR="00FE2D30" w:rsidRPr="004C6CE1">
        <w:rPr>
          <w:rFonts w:ascii="Palatino Linotype" w:hAnsi="Palatino Linotype" w:cs="Arial"/>
          <w:sz w:val="24"/>
          <w:szCs w:val="24"/>
        </w:rPr>
        <w:t>l Sujeto Obligado, como el Recurrente n</w:t>
      </w:r>
      <w:r w:rsidR="006F681C" w:rsidRPr="004C6CE1">
        <w:rPr>
          <w:rFonts w:ascii="Palatino Linotype" w:hAnsi="Palatino Linotype" w:cs="Arial"/>
          <w:sz w:val="24"/>
          <w:szCs w:val="24"/>
        </w:rPr>
        <w:t>o remitieron información alguna, como se muestra a continuación:</w:t>
      </w:r>
    </w:p>
    <w:p w14:paraId="2C007FA5" w14:textId="7E4E5BCB" w:rsidR="006F681C" w:rsidRPr="004C6CE1" w:rsidRDefault="00B42E6A" w:rsidP="006F681C">
      <w:pPr>
        <w:spacing w:after="0" w:line="360" w:lineRule="auto"/>
        <w:jc w:val="center"/>
        <w:rPr>
          <w:rFonts w:ascii="Palatino Linotype" w:hAnsi="Palatino Linotype" w:cs="Arial"/>
          <w:sz w:val="24"/>
          <w:szCs w:val="24"/>
        </w:rPr>
      </w:pPr>
      <w:r w:rsidRPr="004C6CE1">
        <w:rPr>
          <w:noProof/>
          <w:lang w:eastAsia="es-MX"/>
        </w:rPr>
        <w:drawing>
          <wp:inline distT="0" distB="0" distL="0" distR="0" wp14:anchorId="1F246872" wp14:editId="51D2F46C">
            <wp:extent cx="5248048" cy="1390650"/>
            <wp:effectExtent l="190500" t="190500" r="18161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41" t="29406" r="23446" b="45893"/>
                    <a:stretch/>
                  </pic:blipFill>
                  <pic:spPr bwMode="auto">
                    <a:xfrm>
                      <a:off x="0" y="0"/>
                      <a:ext cx="5257176" cy="139306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C07EA8A" w14:textId="77777777" w:rsidR="004E00AF" w:rsidRDefault="004E00AF"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4C6CE1" w:rsidRDefault="00BC106F" w:rsidP="00AD2A55">
      <w:pPr>
        <w:tabs>
          <w:tab w:val="left" w:pos="3206"/>
        </w:tabs>
        <w:spacing w:after="0" w:line="360" w:lineRule="auto"/>
        <w:jc w:val="both"/>
        <w:rPr>
          <w:rFonts w:ascii="Palatino Linotype" w:hAnsi="Palatino Linotype" w:cs="Arial"/>
          <w:b/>
          <w:sz w:val="24"/>
          <w:szCs w:val="24"/>
        </w:rPr>
      </w:pPr>
      <w:r w:rsidRPr="004C6CE1">
        <w:rPr>
          <w:rFonts w:ascii="Palatino Linotype" w:hAnsi="Palatino Linotype" w:cs="Arial"/>
          <w:b/>
          <w:sz w:val="24"/>
          <w:szCs w:val="24"/>
        </w:rPr>
        <w:t>Del cierre de instrucción.</w:t>
      </w:r>
      <w:r w:rsidRPr="004C6CE1">
        <w:rPr>
          <w:rFonts w:ascii="Palatino Linotype" w:hAnsi="Palatino Linotype" w:cs="Arial"/>
          <w:b/>
          <w:sz w:val="24"/>
          <w:szCs w:val="24"/>
        </w:rPr>
        <w:tab/>
      </w:r>
    </w:p>
    <w:p w14:paraId="5B10646E" w14:textId="4C5A4404" w:rsidR="004E00AF" w:rsidRPr="00F85BA2" w:rsidRDefault="004E00AF" w:rsidP="004E00AF">
      <w:pPr>
        <w:tabs>
          <w:tab w:val="left" w:pos="3206"/>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De las constancias que integran el expediente electrónico, </w:t>
      </w:r>
      <w:r>
        <w:rPr>
          <w:rFonts w:ascii="Palatino Linotype" w:hAnsi="Palatino Linotype" w:cs="Arial"/>
          <w:sz w:val="24"/>
          <w:szCs w:val="24"/>
        </w:rPr>
        <w:t>fue notificado el acuerdo de cierre de instrucción el día cinco de agosto de dos mil veinte</w:t>
      </w:r>
      <w:r>
        <w:rPr>
          <w:rFonts w:ascii="Palatino Linotype" w:hAnsi="Palatino Linotype" w:cs="Arial"/>
          <w:bCs/>
          <w:sz w:val="24"/>
          <w:szCs w:val="24"/>
        </w:rPr>
        <w:t>, en virtud de ello, atendiendo a que no se otorgó el término de siete días que consagra</w:t>
      </w:r>
      <w:r w:rsidRPr="00F85BA2">
        <w:rPr>
          <w:rFonts w:ascii="Palatino Linotype" w:hAnsi="Palatino Linotype" w:cs="Arial"/>
          <w:bCs/>
          <w:sz w:val="24"/>
          <w:szCs w:val="24"/>
        </w:rPr>
        <w:t xml:space="preserve"> el artículo 185 Fracción</w:t>
      </w:r>
      <w:r>
        <w:rPr>
          <w:rFonts w:ascii="Palatino Linotype" w:hAnsi="Palatino Linotype" w:cs="Arial"/>
          <w:bCs/>
          <w:sz w:val="24"/>
          <w:szCs w:val="24"/>
        </w:rPr>
        <w:t xml:space="preserve"> II d</w:t>
      </w:r>
      <w:r w:rsidRPr="00F85BA2">
        <w:rPr>
          <w:rFonts w:ascii="Palatino Linotype" w:hAnsi="Palatino Linotype" w:cs="Arial"/>
          <w:bCs/>
          <w:sz w:val="24"/>
          <w:szCs w:val="24"/>
        </w:rPr>
        <w:t>e la Ley de Transparencia y Acceso a la Información Pública del Estado de México y Municipios</w:t>
      </w:r>
      <w:r>
        <w:rPr>
          <w:rFonts w:ascii="Palatino Linotype" w:hAnsi="Palatino Linotype" w:cs="Arial"/>
          <w:bCs/>
          <w:sz w:val="24"/>
          <w:szCs w:val="24"/>
        </w:rPr>
        <w:t xml:space="preserve">, con el fin de subsanar dicha irregularidad en la tramitación </w:t>
      </w:r>
      <w:r>
        <w:rPr>
          <w:rFonts w:ascii="Palatino Linotype" w:hAnsi="Palatino Linotype" w:cs="Arial"/>
          <w:bCs/>
          <w:sz w:val="24"/>
          <w:szCs w:val="24"/>
        </w:rPr>
        <w:lastRenderedPageBreak/>
        <w:t>del procedimiento,</w:t>
      </w:r>
      <w:r w:rsidRPr="00431721">
        <w:t xml:space="preserve"> </w:t>
      </w:r>
      <w:r w:rsidRPr="00431721">
        <w:rPr>
          <w:rFonts w:ascii="Palatino Linotype" w:hAnsi="Palatino Linotype" w:cs="Arial"/>
          <w:bCs/>
          <w:sz w:val="24"/>
          <w:szCs w:val="24"/>
        </w:rPr>
        <w:t xml:space="preserve">en fecha </w:t>
      </w:r>
      <w:r>
        <w:rPr>
          <w:rFonts w:ascii="Palatino Linotype" w:hAnsi="Palatino Linotype" w:cs="Arial"/>
          <w:bCs/>
          <w:sz w:val="24"/>
          <w:szCs w:val="24"/>
        </w:rPr>
        <w:t>catorce</w:t>
      </w:r>
      <w:r w:rsidRPr="00431721">
        <w:rPr>
          <w:rFonts w:ascii="Palatino Linotype" w:hAnsi="Palatino Linotype" w:cs="Arial"/>
          <w:bCs/>
          <w:sz w:val="24"/>
          <w:szCs w:val="24"/>
        </w:rPr>
        <w:t xml:space="preserve"> de agosto de dos mil veinte</w:t>
      </w:r>
      <w:r>
        <w:rPr>
          <w:rFonts w:ascii="Palatino Linotype" w:hAnsi="Palatino Linotype" w:cs="Arial"/>
          <w:bCs/>
          <w:sz w:val="24"/>
          <w:szCs w:val="24"/>
        </w:rPr>
        <w:t xml:space="preserve"> se determinó dejar sin efectos el acuerdo de cierre de instrucción referido, otorgando un periodo de tres días </w:t>
      </w:r>
      <w:r w:rsidRPr="005B544E">
        <w:rPr>
          <w:rFonts w:ascii="Palatino Linotype" w:hAnsi="Palatino Linotype" w:cs="Arial"/>
          <w:bCs/>
          <w:sz w:val="24"/>
          <w:szCs w:val="24"/>
        </w:rPr>
        <w:t>h</w:t>
      </w:r>
      <w:r>
        <w:rPr>
          <w:rFonts w:ascii="Palatino Linotype" w:hAnsi="Palatino Linotype" w:cs="Arial"/>
          <w:bCs/>
          <w:sz w:val="24"/>
          <w:szCs w:val="24"/>
        </w:rPr>
        <w:t xml:space="preserve">ábiles adicionales en la etapa de instrucción a efecto de que el Recurrente rindiera manifestaciones que a su derecho convenga. </w:t>
      </w:r>
    </w:p>
    <w:p w14:paraId="1EE9A635" w14:textId="77777777" w:rsidR="004E00AF" w:rsidRDefault="004E00AF" w:rsidP="004E00AF">
      <w:pPr>
        <w:spacing w:after="0" w:line="360" w:lineRule="auto"/>
        <w:jc w:val="both"/>
        <w:rPr>
          <w:rFonts w:ascii="Palatino Linotype" w:hAnsi="Palatino Linotype" w:cs="Arial"/>
          <w:sz w:val="24"/>
          <w:szCs w:val="24"/>
        </w:rPr>
      </w:pPr>
    </w:p>
    <w:p w14:paraId="0499F55B" w14:textId="1061DA19" w:rsidR="004E00AF" w:rsidRDefault="004E00AF" w:rsidP="004E00AF">
      <w:pPr>
        <w:spacing w:after="0" w:line="360" w:lineRule="auto"/>
        <w:jc w:val="both"/>
        <w:rPr>
          <w:rFonts w:ascii="Palatino Linotype" w:hAnsi="Palatino Linotype" w:cs="Arial"/>
          <w:sz w:val="24"/>
          <w:szCs w:val="24"/>
        </w:rPr>
      </w:pPr>
      <w:r>
        <w:rPr>
          <w:rFonts w:ascii="Palatino Linotype" w:hAnsi="Palatino Linotype" w:cs="Arial"/>
          <w:sz w:val="24"/>
          <w:szCs w:val="24"/>
        </w:rPr>
        <w:t>Posteriormente</w:t>
      </w:r>
      <w:r w:rsidRPr="00AD2A55">
        <w:rPr>
          <w:rFonts w:ascii="Palatino Linotype" w:hAnsi="Palatino Linotype" w:cs="Arial"/>
          <w:sz w:val="24"/>
          <w:szCs w:val="24"/>
        </w:rPr>
        <w:t>, una vez transcurrido el término legal, se decreta el cierre de instrucción</w:t>
      </w:r>
      <w:r>
        <w:rPr>
          <w:rFonts w:ascii="Palatino Linotype" w:hAnsi="Palatino Linotype" w:cs="Arial"/>
          <w:sz w:val="24"/>
          <w:szCs w:val="24"/>
        </w:rPr>
        <w:t xml:space="preserve"> en fecha veintiuno de agosto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6BD6674" w14:textId="77777777" w:rsidR="004E00AF" w:rsidRDefault="004E00AF" w:rsidP="00AD2A55">
      <w:pPr>
        <w:spacing w:after="0" w:line="360" w:lineRule="auto"/>
        <w:jc w:val="both"/>
        <w:rPr>
          <w:rFonts w:ascii="Palatino Linotype" w:hAnsi="Palatino Linotype" w:cs="Arial"/>
          <w:sz w:val="24"/>
          <w:szCs w:val="24"/>
        </w:rPr>
      </w:pPr>
    </w:p>
    <w:p w14:paraId="734CAEC5" w14:textId="77777777" w:rsidR="00ED60A5" w:rsidRPr="00405687" w:rsidRDefault="00ED60A5" w:rsidP="00AD2A55">
      <w:pPr>
        <w:spacing w:after="0" w:line="360" w:lineRule="auto"/>
        <w:jc w:val="both"/>
        <w:rPr>
          <w:rFonts w:ascii="Palatino Linotype" w:hAnsi="Palatino Linotype" w:cs="Arial"/>
          <w:sz w:val="8"/>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lastRenderedPageBreak/>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w:t>
      </w:r>
      <w:proofErr w:type="spellStart"/>
      <w:r w:rsidRPr="00AD2A55">
        <w:rPr>
          <w:rFonts w:ascii="Palatino Linotype" w:hAnsi="Palatino Linotype" w:cs="Arial"/>
          <w:sz w:val="24"/>
          <w:szCs w:val="24"/>
        </w:rPr>
        <w:t>Resolutor</w:t>
      </w:r>
      <w:proofErr w:type="spellEnd"/>
      <w:r w:rsidRPr="00AD2A5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lastRenderedPageBreak/>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w:t>
      </w:r>
      <w:proofErr w:type="spellStart"/>
      <w:r w:rsidRPr="00AD2A55">
        <w:rPr>
          <w:rFonts w:ascii="Palatino Linotype" w:hAnsi="Palatino Linotype" w:cs="Arial"/>
        </w:rPr>
        <w:t>Resolutor</w:t>
      </w:r>
      <w:proofErr w:type="spellEnd"/>
      <w:r w:rsidRPr="00AD2A55">
        <w:rPr>
          <w:rFonts w:ascii="Palatino Linotype" w:hAnsi="Palatino Linotype" w:cs="Arial"/>
        </w:rPr>
        <w:t xml:space="preserve">,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65965220" w14:textId="76B9E379" w:rsidR="00896FDC" w:rsidRDefault="00392D20" w:rsidP="00C9547B">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w:t>
      </w:r>
      <w:r w:rsidR="005057E7">
        <w:rPr>
          <w:rFonts w:ascii="Palatino Linotype" w:hAnsi="Palatino Linotype" w:cs="Arial"/>
        </w:rPr>
        <w:t>por la respuesta emitida, toda vez que a su decir, no se le entrego las pólizas de seguros de los vehículos que se incluyen en el anexo, así como de los documentos del proceso de licitación y adjudicación del seguros de los vehículos pertenecientes al COPRISEM.</w:t>
      </w:r>
    </w:p>
    <w:p w14:paraId="42C6B883" w14:textId="77777777" w:rsidR="00C9547B" w:rsidRDefault="00C9547B" w:rsidP="00C9547B">
      <w:pPr>
        <w:pStyle w:val="Prrafodelista"/>
        <w:autoSpaceDE w:val="0"/>
        <w:autoSpaceDN w:val="0"/>
        <w:adjustRightInd w:val="0"/>
        <w:spacing w:line="360" w:lineRule="auto"/>
        <w:ind w:left="0"/>
        <w:jc w:val="both"/>
        <w:rPr>
          <w:rFonts w:ascii="Palatino Linotype" w:hAnsi="Palatino Linotype" w:cs="Arial"/>
        </w:rPr>
      </w:pPr>
    </w:p>
    <w:p w14:paraId="1757CBC2" w14:textId="084EC89A"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Ahora bien por parte del Sujeto Obligado, es de señalar que si emite un respuesta positiva relacionada con la solicitud de información, es así entonces que e</w:t>
      </w:r>
      <w:r w:rsidR="00560E87" w:rsidRPr="00A216CC">
        <w:rPr>
          <w:rFonts w:ascii="Palatino Linotype" w:eastAsia="Times New Roman" w:hAnsi="Palatino Linotype" w:cs="Times New Roman"/>
          <w:sz w:val="24"/>
          <w:szCs w:val="24"/>
          <w:lang w:eastAsia="es-MX"/>
        </w:rPr>
        <w:t xml:space="preserve">l Sujeto Obligado acepta tácitamente que posee y administra la información requerida </w:t>
      </w:r>
      <w:r w:rsidR="00560E87">
        <w:rPr>
          <w:rFonts w:ascii="Palatino Linotype" w:eastAsia="Times New Roman" w:hAnsi="Palatino Linotype" w:cs="Times New Roman"/>
          <w:sz w:val="24"/>
          <w:szCs w:val="24"/>
          <w:lang w:eastAsia="es-MX"/>
        </w:rPr>
        <w:t>del requerimiento solicitado, ya que de las documentales inmersas en el expediente del SAIMEX, se aprecia que remitió información acerca del requerimiento inicialmente solicitado,</w:t>
      </w:r>
      <w:r w:rsidR="00560E87"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sidR="00560E87">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w:t>
      </w:r>
      <w:r>
        <w:rPr>
          <w:rFonts w:ascii="Palatino Linotype" w:eastAsia="Times New Roman" w:hAnsi="Palatino Linotype" w:cs="Times New Roman"/>
          <w:sz w:val="24"/>
          <w:szCs w:val="24"/>
          <w:lang w:eastAsia="es-MX"/>
        </w:rPr>
        <w:t>pendencia, cuenta con ella o no.</w:t>
      </w:r>
    </w:p>
    <w:p w14:paraId="200C05FF" w14:textId="77777777"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p>
    <w:p w14:paraId="517281ED" w14:textId="5032F9E1"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Ahora bien, en este sentido nuestro estudio versará en determinar la conformación de la respuesta, así como los motivos de inconformidad vertidos por el recurrente con la finalidad de determinar lo conducente.</w:t>
      </w:r>
    </w:p>
    <w:p w14:paraId="52458603" w14:textId="77777777" w:rsidR="005057E7" w:rsidRDefault="005057E7" w:rsidP="005057E7">
      <w:pPr>
        <w:spacing w:after="0" w:line="360" w:lineRule="auto"/>
        <w:ind w:right="141"/>
        <w:jc w:val="both"/>
        <w:rPr>
          <w:rFonts w:ascii="Palatino Linotype" w:eastAsia="Times New Roman" w:hAnsi="Palatino Linotype" w:cs="Times New Roman"/>
          <w:sz w:val="24"/>
          <w:szCs w:val="24"/>
          <w:lang w:eastAsia="es-MX"/>
        </w:rPr>
      </w:pPr>
    </w:p>
    <w:p w14:paraId="4788C961" w14:textId="68E40329" w:rsidR="005057E7" w:rsidRDefault="005057E7" w:rsidP="002A3126">
      <w:pPr>
        <w:spacing w:after="0" w:line="360" w:lineRule="auto"/>
        <w:ind w:right="141"/>
        <w:jc w:val="both"/>
        <w:rPr>
          <w:rFonts w:ascii="Palatino Linotype" w:hAnsi="Palatino Linotype"/>
          <w:sz w:val="24"/>
          <w:szCs w:val="24"/>
        </w:rPr>
      </w:pPr>
      <w:r>
        <w:rPr>
          <w:rFonts w:ascii="Palatino Linotype" w:eastAsia="Times New Roman" w:hAnsi="Palatino Linotype" w:cs="Times New Roman"/>
          <w:sz w:val="24"/>
          <w:szCs w:val="24"/>
          <w:lang w:eastAsia="es-MX"/>
        </w:rPr>
        <w:t xml:space="preserve">Es preciso señalar que </w:t>
      </w:r>
      <w:r w:rsidR="004E2390">
        <w:rPr>
          <w:rFonts w:ascii="Palatino Linotype" w:eastAsia="Times New Roman" w:hAnsi="Palatino Linotype" w:cs="Times New Roman"/>
          <w:sz w:val="24"/>
          <w:szCs w:val="24"/>
          <w:lang w:eastAsia="es-MX"/>
        </w:rPr>
        <w:t>en este caso en particular es aplicable lo que</w:t>
      </w:r>
      <w:r w:rsidR="004E2390" w:rsidRPr="00CD3A08">
        <w:rPr>
          <w:rFonts w:ascii="Palatino Linotype" w:hAnsi="Palatino Linotype" w:cs="Arial"/>
          <w:sz w:val="24"/>
          <w:szCs w:val="24"/>
        </w:rPr>
        <w:t xml:space="preserve"> establece la Ley de Transparencia y Acceso a la Información Pública del Estado de México y Municipios, la cual contempla la suplencia misma que se establece en los artículos </w:t>
      </w:r>
      <w:r w:rsidR="004E2390" w:rsidRPr="00CD3A08">
        <w:rPr>
          <w:rFonts w:ascii="Palatino Linotype" w:hAnsi="Palatino Linotype"/>
          <w:sz w:val="24"/>
          <w:szCs w:val="24"/>
        </w:rPr>
        <w:t>13</w:t>
      </w:r>
      <w:r w:rsidR="004E2390" w:rsidRPr="00CD3A08">
        <w:rPr>
          <w:rStyle w:val="Refdenotaalpie"/>
          <w:rFonts w:ascii="Palatino Linotype" w:hAnsi="Palatino Linotype"/>
          <w:sz w:val="24"/>
          <w:szCs w:val="24"/>
        </w:rPr>
        <w:footnoteReference w:id="1"/>
      </w:r>
      <w:r w:rsidR="004E2390" w:rsidRPr="00CD3A08">
        <w:rPr>
          <w:rFonts w:ascii="Palatino Linotype" w:hAnsi="Palatino Linotype"/>
          <w:sz w:val="24"/>
          <w:szCs w:val="24"/>
        </w:rPr>
        <w:t xml:space="preserve"> </w:t>
      </w:r>
      <w:r w:rsidR="004E2390" w:rsidRPr="00CD3A08">
        <w:rPr>
          <w:rFonts w:ascii="Palatino Linotype" w:hAnsi="Palatino Linotype"/>
          <w:sz w:val="24"/>
          <w:szCs w:val="24"/>
        </w:rPr>
        <w:lastRenderedPageBreak/>
        <w:t>y 181</w:t>
      </w:r>
      <w:r w:rsidR="004E2390" w:rsidRPr="00CD3A08">
        <w:rPr>
          <w:rStyle w:val="Refdenotaalpie"/>
          <w:rFonts w:ascii="Palatino Linotype" w:hAnsi="Palatino Linotype"/>
          <w:sz w:val="24"/>
          <w:szCs w:val="24"/>
        </w:rPr>
        <w:footnoteReference w:id="2"/>
      </w:r>
      <w:r w:rsidR="004E2390" w:rsidRPr="00CD3A08">
        <w:rPr>
          <w:rFonts w:ascii="Palatino Linotype" w:hAnsi="Palatino Linotype"/>
          <w:sz w:val="24"/>
          <w:szCs w:val="24"/>
        </w:rPr>
        <w:t>, penúltimo párrafo de la Ley de Transparencia y Acceso a la Información Pública del Estado de México y Municipios, aplica la suplencia a favor del hoy Recurrente, a fin de considerar que su requerimiento se centra en obtener</w:t>
      </w:r>
      <w:r w:rsidR="004E2390">
        <w:rPr>
          <w:rFonts w:ascii="Palatino Linotype" w:hAnsi="Palatino Linotype"/>
          <w:sz w:val="24"/>
          <w:szCs w:val="24"/>
        </w:rPr>
        <w:t xml:space="preserve"> la documentación </w:t>
      </w:r>
      <w:r w:rsidR="002A3126">
        <w:rPr>
          <w:rFonts w:ascii="Palatino Linotype" w:hAnsi="Palatino Linotype"/>
          <w:sz w:val="24"/>
          <w:szCs w:val="24"/>
        </w:rPr>
        <w:t>sop</w:t>
      </w:r>
      <w:r w:rsidR="004E2390">
        <w:rPr>
          <w:rFonts w:ascii="Palatino Linotype" w:hAnsi="Palatino Linotype"/>
          <w:sz w:val="24"/>
          <w:szCs w:val="24"/>
        </w:rPr>
        <w:t xml:space="preserve">orte </w:t>
      </w:r>
      <w:r w:rsidR="002A3126">
        <w:rPr>
          <w:rFonts w:ascii="Palatino Linotype" w:hAnsi="Palatino Linotype"/>
          <w:sz w:val="24"/>
          <w:szCs w:val="24"/>
        </w:rPr>
        <w:t>respecto de las pólizas de seguros de vehículos y de su</w:t>
      </w:r>
      <w:r w:rsidR="00817C7C">
        <w:rPr>
          <w:rFonts w:ascii="Palatino Linotype" w:hAnsi="Palatino Linotype"/>
          <w:sz w:val="24"/>
          <w:szCs w:val="24"/>
        </w:rPr>
        <w:t xml:space="preserve"> proces</w:t>
      </w:r>
      <w:r w:rsidR="002A3126">
        <w:rPr>
          <w:rFonts w:ascii="Palatino Linotype" w:hAnsi="Palatino Linotype"/>
          <w:sz w:val="24"/>
          <w:szCs w:val="24"/>
        </w:rPr>
        <w:t>o adquisitivo.</w:t>
      </w:r>
    </w:p>
    <w:p w14:paraId="02895062" w14:textId="77777777" w:rsidR="002A3126" w:rsidRDefault="002A3126" w:rsidP="002A3126">
      <w:pPr>
        <w:spacing w:after="0" w:line="360" w:lineRule="auto"/>
        <w:ind w:right="141"/>
        <w:jc w:val="both"/>
        <w:rPr>
          <w:rFonts w:ascii="Palatino Linotype" w:hAnsi="Palatino Linotype"/>
          <w:sz w:val="24"/>
          <w:szCs w:val="24"/>
        </w:rPr>
      </w:pPr>
    </w:p>
    <w:p w14:paraId="659988BC" w14:textId="323EE193" w:rsidR="00D833E9" w:rsidRPr="00324721" w:rsidRDefault="002A3126" w:rsidP="00D833E9">
      <w:pPr>
        <w:spacing w:after="0" w:line="360" w:lineRule="auto"/>
        <w:ind w:right="51"/>
        <w:jc w:val="both"/>
        <w:rPr>
          <w:rFonts w:ascii="Palatino Linotype" w:hAnsi="Palatino Linotype" w:cs="Arial"/>
          <w:color w:val="000000"/>
          <w:sz w:val="24"/>
          <w:szCs w:val="24"/>
        </w:rPr>
      </w:pPr>
      <w:r>
        <w:rPr>
          <w:rFonts w:ascii="Palatino Linotype" w:hAnsi="Palatino Linotype"/>
          <w:sz w:val="24"/>
          <w:szCs w:val="24"/>
        </w:rPr>
        <w:t>En este sentido, es necesario mencionar que de acuerdo al artículo 12</w:t>
      </w:r>
      <w:r w:rsidR="00817C7C">
        <w:rPr>
          <w:rStyle w:val="Refdenotaalpie"/>
          <w:rFonts w:ascii="Palatino Linotype" w:hAnsi="Palatino Linotype"/>
          <w:sz w:val="24"/>
          <w:szCs w:val="24"/>
        </w:rPr>
        <w:footnoteReference w:id="3"/>
      </w:r>
      <w:r>
        <w:rPr>
          <w:rFonts w:ascii="Palatino Linotype" w:hAnsi="Palatino Linotype"/>
          <w:sz w:val="24"/>
          <w:szCs w:val="24"/>
        </w:rPr>
        <w:t xml:space="preserve"> de la Ley de Transparencia y Acceso a la Información Pública del Estado de México y Municipios, </w:t>
      </w:r>
      <w:r w:rsidR="00817C7C">
        <w:rPr>
          <w:rFonts w:ascii="Palatino Linotype" w:hAnsi="Palatino Linotype"/>
          <w:sz w:val="24"/>
          <w:szCs w:val="24"/>
        </w:rPr>
        <w:t xml:space="preserve">el cual establece que los Sujeto Obligados no están constreñidos a procesar, presentarla conforme el interés de solicitante, generarla, resumirla o practicar cálculos o investigaciones, únicamente están obligados a entregar la información que obre en sus archivos en el estado en que esta se encuentre, siempre y cuando </w:t>
      </w:r>
      <w:proofErr w:type="spellStart"/>
      <w:r w:rsidR="00D833E9">
        <w:rPr>
          <w:rFonts w:ascii="Palatino Linotype" w:hAnsi="Palatino Linotype"/>
          <w:sz w:val="24"/>
          <w:szCs w:val="24"/>
        </w:rPr>
        <w:t>respetanto</w:t>
      </w:r>
      <w:proofErr w:type="spellEnd"/>
      <w:r w:rsidR="00D833E9">
        <w:rPr>
          <w:rFonts w:ascii="Palatino Linotype" w:hAnsi="Palatino Linotype"/>
          <w:sz w:val="24"/>
          <w:szCs w:val="24"/>
        </w:rPr>
        <w:t xml:space="preserve"> las excepciones que marcan las leyes aplicables, para el caso en particular, es de señalarse que el Sujeto Obligado elaboro un documento </w:t>
      </w:r>
      <w:r w:rsidR="00D833E9">
        <w:rPr>
          <w:rFonts w:ascii="Palatino Linotype" w:hAnsi="Palatino Linotype"/>
          <w:i/>
          <w:sz w:val="24"/>
          <w:szCs w:val="24"/>
        </w:rPr>
        <w:t xml:space="preserve">ad hoc, </w:t>
      </w:r>
      <w:r w:rsidR="00D833E9">
        <w:rPr>
          <w:rFonts w:ascii="Palatino Linotype" w:hAnsi="Palatino Linotype" w:cs="Arial"/>
          <w:color w:val="000000"/>
          <w:sz w:val="24"/>
          <w:szCs w:val="24"/>
        </w:rPr>
        <w:t>c</w:t>
      </w:r>
      <w:r w:rsidR="00D833E9" w:rsidRPr="00324721">
        <w:rPr>
          <w:rFonts w:ascii="Palatino Linotype" w:hAnsi="Palatino Linotype" w:cs="Arial"/>
          <w:color w:val="000000"/>
          <w:sz w:val="24"/>
          <w:szCs w:val="24"/>
        </w:rPr>
        <w:t xml:space="preserve">omo apoyo a lo anterior, es aplicable el Criterio 03-17, emitido por </w:t>
      </w:r>
      <w:r w:rsidR="00D833E9" w:rsidRPr="00324721">
        <w:rPr>
          <w:rFonts w:ascii="Palatino Linotype" w:eastAsia="Arial Unicode MS" w:hAnsi="Palatino Linotype" w:cs="Arial"/>
          <w:color w:val="000000"/>
          <w:sz w:val="24"/>
          <w:szCs w:val="24"/>
        </w:rPr>
        <w:t>el Instituto Nacional de Transparencia, Acceso a la Información y Protección de Datos Personales,</w:t>
      </w:r>
      <w:r w:rsidR="00D833E9" w:rsidRPr="00324721">
        <w:rPr>
          <w:rFonts w:ascii="Palatino Linotype" w:hAnsi="Palatino Linotype"/>
          <w:bCs/>
          <w:color w:val="000000"/>
          <w:sz w:val="24"/>
          <w:szCs w:val="24"/>
        </w:rPr>
        <w:t xml:space="preserve"> que dice:</w:t>
      </w:r>
      <w:r w:rsidR="00D833E9" w:rsidRPr="00324721">
        <w:rPr>
          <w:rFonts w:ascii="Palatino Linotype" w:hAnsi="Palatino Linotype"/>
          <w:b/>
          <w:bCs/>
          <w:color w:val="000000"/>
          <w:sz w:val="24"/>
          <w:szCs w:val="24"/>
        </w:rPr>
        <w:t xml:space="preserve"> </w:t>
      </w:r>
    </w:p>
    <w:p w14:paraId="4E1F82BE" w14:textId="77777777" w:rsidR="00D833E9" w:rsidRPr="009E7E05" w:rsidRDefault="00D833E9" w:rsidP="00D833E9">
      <w:pPr>
        <w:pStyle w:val="Prrafodelista"/>
        <w:ind w:left="928" w:right="850"/>
        <w:jc w:val="both"/>
        <w:rPr>
          <w:rFonts w:ascii="Palatino Linotype" w:hAnsi="Palatino Linotype" w:cs="Arial"/>
          <w:i/>
          <w:color w:val="000000"/>
        </w:rPr>
      </w:pPr>
    </w:p>
    <w:p w14:paraId="29E78E4A"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w:t>
      </w:r>
      <w:r w:rsidRPr="009E7E05">
        <w:rPr>
          <w:rFonts w:ascii="Palatino Linotype" w:hAnsi="Palatino Linotype" w:cs="Arial"/>
          <w:i/>
          <w:color w:val="000000"/>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4A6980" w14:textId="77777777" w:rsidR="00D833E9" w:rsidRPr="009E7E05" w:rsidRDefault="00D833E9" w:rsidP="00D833E9">
      <w:pPr>
        <w:pStyle w:val="Prrafodelista"/>
        <w:ind w:left="928" w:right="901"/>
        <w:jc w:val="both"/>
        <w:rPr>
          <w:rFonts w:ascii="Palatino Linotype" w:hAnsi="Palatino Linotype" w:cs="Arial"/>
          <w:i/>
          <w:color w:val="000000"/>
        </w:rPr>
      </w:pPr>
    </w:p>
    <w:p w14:paraId="48BE2B51"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429097C5"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401B3623"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6EF8A0D2" w14:textId="77777777" w:rsidR="00D833E9" w:rsidRPr="009E7E05" w:rsidRDefault="00D833E9" w:rsidP="00D833E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533E9CC3" w14:textId="77777777" w:rsidR="00D833E9" w:rsidRDefault="00D833E9" w:rsidP="00D833E9"/>
    <w:p w14:paraId="77FC8FEA" w14:textId="12337CED" w:rsidR="00D833E9" w:rsidRPr="00495F92" w:rsidRDefault="00D833E9" w:rsidP="00D833E9">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t xml:space="preserve">Sin que ello limite al Sujeto Obligado a realizar documentos </w:t>
      </w:r>
      <w:r>
        <w:rPr>
          <w:rFonts w:ascii="Palatino Linotype" w:hAnsi="Palatino Linotype"/>
          <w:i/>
          <w:color w:val="000000"/>
          <w:sz w:val="24"/>
          <w:szCs w:val="24"/>
        </w:rPr>
        <w:t xml:space="preserve">ad hoc, </w:t>
      </w:r>
      <w:r>
        <w:rPr>
          <w:rFonts w:ascii="Palatino Linotype" w:hAnsi="Palatino Linotype"/>
          <w:color w:val="000000"/>
          <w:sz w:val="24"/>
          <w:szCs w:val="24"/>
        </w:rPr>
        <w:t xml:space="preserve">no obstante no están obligados a realizarlos, por ello cabe destacar que </w:t>
      </w:r>
      <w:r w:rsidRPr="00495F92">
        <w:rPr>
          <w:rFonts w:ascii="Palatino Linotype" w:hAnsi="Palatino Linotype"/>
          <w:sz w:val="24"/>
          <w:szCs w:val="24"/>
        </w:rPr>
        <w:t>para</w:t>
      </w:r>
      <w:r>
        <w:rPr>
          <w:rFonts w:ascii="Palatino Linotype" w:hAnsi="Palatino Linotype"/>
          <w:sz w:val="24"/>
          <w:szCs w:val="24"/>
        </w:rPr>
        <w:t xml:space="preserve"> el caso que nos ocupa se debe </w:t>
      </w:r>
      <w:r w:rsidR="001C7320">
        <w:rPr>
          <w:rFonts w:ascii="Palatino Linotype" w:hAnsi="Palatino Linotype"/>
          <w:sz w:val="24"/>
          <w:szCs w:val="24"/>
        </w:rPr>
        <w:t>privilegiar el derecho de acceso a la información y garantizar la máxima publicidad en materia de transparencia, por lo que es necesario mencionar que para</w:t>
      </w:r>
      <w:r w:rsidRPr="00495F92">
        <w:rPr>
          <w:rFonts w:ascii="Palatino Linotype" w:hAnsi="Palatino Linotype"/>
          <w:sz w:val="24"/>
          <w:szCs w:val="24"/>
        </w:rPr>
        <w:t xml:space="preserve"> tener por satisfecho </w:t>
      </w:r>
      <w:r w:rsidRPr="00495F92">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F29F108" w14:textId="77777777" w:rsidR="00D833E9" w:rsidRPr="00495F92" w:rsidRDefault="00D833E9" w:rsidP="00D833E9">
      <w:pPr>
        <w:spacing w:after="0" w:line="360" w:lineRule="auto"/>
        <w:jc w:val="both"/>
        <w:rPr>
          <w:rFonts w:ascii="Palatino Linotype" w:hAnsi="Palatino Linotype"/>
          <w:sz w:val="24"/>
          <w:szCs w:val="24"/>
        </w:rPr>
      </w:pPr>
    </w:p>
    <w:p w14:paraId="77107E78" w14:textId="77777777" w:rsidR="00D833E9" w:rsidRPr="00495F92" w:rsidRDefault="00D833E9" w:rsidP="00D833E9">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495F92">
        <w:rPr>
          <w:rFonts w:ascii="Palatino Linotype" w:hAnsi="Palatino Linotype" w:cs="Arial"/>
          <w:color w:val="000000" w:themeColor="text1"/>
          <w:sz w:val="24"/>
          <w:szCs w:val="24"/>
        </w:rPr>
        <w:t>el  solicitante</w:t>
      </w:r>
      <w:proofErr w:type="gramEnd"/>
      <w:r w:rsidRPr="00495F92">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w:t>
      </w:r>
      <w:r w:rsidRPr="00495F92">
        <w:rPr>
          <w:rFonts w:ascii="Palatino Linotype" w:hAnsi="Palatino Linotype" w:cs="Arial"/>
          <w:color w:val="000000" w:themeColor="text1"/>
          <w:sz w:val="24"/>
          <w:szCs w:val="24"/>
        </w:rPr>
        <w:lastRenderedPageBreak/>
        <w:t xml:space="preserve">y 24 último párrafo </w:t>
      </w:r>
      <w:r w:rsidRPr="00495F92">
        <w:rPr>
          <w:rFonts w:ascii="Palatino Linotype" w:hAnsi="Palatino Linotype" w:cs="Arial"/>
          <w:bCs/>
          <w:color w:val="000000" w:themeColor="text1"/>
          <w:sz w:val="24"/>
          <w:szCs w:val="24"/>
        </w:rPr>
        <w:t>de la Ley de Transparencia y Acceso a la Información Pública del Estado de México y Municipios</w:t>
      </w:r>
      <w:r w:rsidRPr="00495F92">
        <w:rPr>
          <w:rFonts w:ascii="Palatino Linotype" w:hAnsi="Palatino Linotype" w:cs="Arial"/>
          <w:color w:val="000000" w:themeColor="text1"/>
          <w:sz w:val="24"/>
          <w:szCs w:val="24"/>
        </w:rPr>
        <w:t>:</w:t>
      </w:r>
    </w:p>
    <w:p w14:paraId="4ED0B522" w14:textId="77777777" w:rsidR="00D833E9" w:rsidRPr="00495F92" w:rsidRDefault="00D833E9" w:rsidP="00D833E9">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b/>
      </w:r>
    </w:p>
    <w:p w14:paraId="37C1B6CA"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3. </w:t>
      </w:r>
      <w:r w:rsidRPr="00495F92">
        <w:rPr>
          <w:rFonts w:ascii="Palatino Linotype" w:hAnsi="Palatino Linotype" w:cs="Arial"/>
          <w:bCs/>
          <w:i/>
          <w:color w:val="000000" w:themeColor="text1"/>
          <w:u w:val="single"/>
        </w:rPr>
        <w:t>Para los efectos de la presente Ley se entenderá por</w:t>
      </w:r>
      <w:r w:rsidRPr="00495F92">
        <w:rPr>
          <w:rFonts w:ascii="Palatino Linotype" w:hAnsi="Palatino Linotype" w:cs="Arial"/>
          <w:bCs/>
          <w:i/>
          <w:color w:val="000000" w:themeColor="text1"/>
        </w:rPr>
        <w:t>:</w:t>
      </w:r>
    </w:p>
    <w:p w14:paraId="1D8E2A44" w14:textId="77777777" w:rsidR="00D833E9" w:rsidRPr="00495F92" w:rsidRDefault="00D833E9" w:rsidP="00D833E9">
      <w:pPr>
        <w:spacing w:after="0" w:line="240" w:lineRule="auto"/>
        <w:ind w:left="851" w:right="850"/>
        <w:jc w:val="both"/>
        <w:rPr>
          <w:rFonts w:ascii="Palatino Linotype" w:hAnsi="Palatino Linotype" w:cs="Arial"/>
          <w:i/>
        </w:rPr>
      </w:pPr>
      <w:r w:rsidRPr="00495F92">
        <w:rPr>
          <w:rFonts w:ascii="Palatino Linotype" w:hAnsi="Palatino Linotype" w:cs="Arial"/>
          <w:i/>
        </w:rPr>
        <w:t>…</w:t>
      </w:r>
    </w:p>
    <w:p w14:paraId="71F84618"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XI. </w:t>
      </w:r>
      <w:r w:rsidRPr="00495F92">
        <w:rPr>
          <w:rFonts w:ascii="Palatino Linotype" w:hAnsi="Palatino Linotype" w:cs="Arial"/>
          <w:b/>
          <w:bCs/>
          <w:i/>
          <w:color w:val="000000" w:themeColor="text1"/>
          <w:u w:val="single"/>
        </w:rPr>
        <w:t>Documento</w:t>
      </w:r>
      <w:r w:rsidRPr="00495F92">
        <w:rPr>
          <w:rFonts w:ascii="Palatino Linotype" w:hAnsi="Palatino Linotype" w:cs="Arial"/>
          <w:b/>
          <w:bCs/>
          <w:i/>
          <w:color w:val="000000" w:themeColor="text1"/>
        </w:rPr>
        <w:t xml:space="preserve">: </w:t>
      </w:r>
      <w:r w:rsidRPr="00495F92">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A60D4A" w14:textId="77777777" w:rsidR="00D833E9" w:rsidRPr="00495F92" w:rsidRDefault="00D833E9" w:rsidP="00D833E9">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XII. Documento electrónico:</w:t>
      </w:r>
      <w:r w:rsidRPr="00495F92">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958B269"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14:paraId="0AC160E1" w14:textId="77777777" w:rsidR="00D833E9" w:rsidRPr="00495F92" w:rsidRDefault="00D833E9" w:rsidP="00D833E9">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 xml:space="preserve">Artículo 4. </w:t>
      </w:r>
      <w:r w:rsidRPr="00495F92">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495F92">
        <w:rPr>
          <w:rFonts w:ascii="Palatino Linotype" w:hAnsi="Palatino Linotype" w:cs="Arial"/>
          <w:bCs/>
          <w:i/>
          <w:color w:val="000000" w:themeColor="text1"/>
        </w:rPr>
        <w:t>, sin necesidad de acreditar personalidad ni interés jurídico.</w:t>
      </w:r>
    </w:p>
    <w:p w14:paraId="37AE5F72"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95F9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7906BBC"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A81E48A"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12. </w:t>
      </w:r>
      <w:r w:rsidRPr="00495F9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429426C"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495F92">
        <w:rPr>
          <w:rFonts w:ascii="Palatino Linotype" w:hAnsi="Palatino Linotype" w:cs="Arial"/>
          <w:i/>
          <w:color w:val="000000" w:themeColor="text1"/>
        </w:rPr>
        <w:t xml:space="preserve"> La obligación de </w:t>
      </w:r>
      <w:r w:rsidRPr="00495F92">
        <w:rPr>
          <w:rFonts w:ascii="Palatino Linotype" w:hAnsi="Palatino Linotype" w:cs="Arial"/>
          <w:i/>
          <w:color w:val="000000" w:themeColor="text1"/>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5DE5FD3A"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14:paraId="5B308BA9"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24. </w:t>
      </w:r>
      <w:r w:rsidRPr="00495F92">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706ABA51"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r w:rsidRPr="00495F92">
        <w:rPr>
          <w:rFonts w:ascii="Palatino Linotype" w:hAnsi="Palatino Linotype" w:cs="Arial"/>
          <w:i/>
          <w:color w:val="000000" w:themeColor="text1"/>
        </w:rPr>
        <w:t>.</w:t>
      </w:r>
    </w:p>
    <w:p w14:paraId="497AB328" w14:textId="77777777" w:rsidR="00D833E9" w:rsidRPr="00495F92" w:rsidRDefault="00D833E9" w:rsidP="00D833E9">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IX.</w:t>
      </w:r>
      <w:r w:rsidRPr="00495F92">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337D795" w14:textId="77777777" w:rsidR="00D833E9" w:rsidRPr="00495F92" w:rsidRDefault="00D833E9" w:rsidP="00D833E9">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w:t>
      </w:r>
    </w:p>
    <w:p w14:paraId="10561EA3" w14:textId="77777777" w:rsidR="00D833E9" w:rsidRPr="00495F92" w:rsidRDefault="00D833E9" w:rsidP="00D833E9">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w:t>
      </w:r>
      <w:r w:rsidRPr="00495F92">
        <w:rPr>
          <w:rFonts w:ascii="Palatino Linotype" w:hAnsi="Palatino Linotype" w:cs="Arial"/>
          <w:bCs/>
          <w:i/>
          <w:color w:val="000000" w:themeColor="text1"/>
        </w:rPr>
        <w:t xml:space="preserve"> </w:t>
      </w:r>
      <w:r w:rsidRPr="00495F92">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52E20CD6"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p>
    <w:p w14:paraId="4513525F" w14:textId="77777777" w:rsidR="00D833E9" w:rsidRPr="00495F92" w:rsidRDefault="00D833E9" w:rsidP="00D833E9">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14BDE2E" w14:textId="77777777" w:rsidR="00D833E9" w:rsidRPr="00495F92" w:rsidRDefault="00D833E9" w:rsidP="00D833E9">
      <w:pPr>
        <w:spacing w:after="0" w:line="240" w:lineRule="auto"/>
        <w:ind w:left="851" w:right="851"/>
        <w:jc w:val="both"/>
        <w:rPr>
          <w:rFonts w:ascii="Palatino Linotype" w:hAnsi="Palatino Linotype" w:cs="Arial"/>
          <w:i/>
          <w:color w:val="000000" w:themeColor="text1"/>
          <w:u w:val="single"/>
        </w:rPr>
      </w:pPr>
      <w:r w:rsidRPr="00495F92">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2697521F" w14:textId="77777777" w:rsidR="00D833E9" w:rsidRPr="00495F92" w:rsidRDefault="00D833E9" w:rsidP="00D833E9">
      <w:pPr>
        <w:spacing w:after="0" w:line="360" w:lineRule="auto"/>
        <w:ind w:left="851" w:right="851"/>
        <w:jc w:val="both"/>
        <w:rPr>
          <w:rFonts w:ascii="Palatino Linotype" w:hAnsi="Palatino Linotype" w:cs="Arial"/>
          <w:i/>
          <w:color w:val="000000" w:themeColor="text1"/>
        </w:rPr>
      </w:pPr>
    </w:p>
    <w:p w14:paraId="163626B6" w14:textId="77777777" w:rsidR="00D833E9" w:rsidRPr="00495F92" w:rsidRDefault="00D833E9" w:rsidP="00D833E9">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677D77B" w14:textId="77777777" w:rsidR="00D833E9" w:rsidRPr="00495F92" w:rsidRDefault="00D833E9" w:rsidP="00D833E9">
      <w:pPr>
        <w:spacing w:after="0" w:line="360" w:lineRule="auto"/>
        <w:jc w:val="both"/>
        <w:rPr>
          <w:rFonts w:ascii="Palatino Linotype" w:hAnsi="Palatino Linotype" w:cs="Arial"/>
          <w:color w:val="000000" w:themeColor="text1"/>
          <w:sz w:val="24"/>
          <w:szCs w:val="24"/>
        </w:rPr>
      </w:pPr>
    </w:p>
    <w:p w14:paraId="2E92487A" w14:textId="77777777" w:rsidR="00D833E9" w:rsidRDefault="00D833E9" w:rsidP="00D833E9">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CF32C0A" w14:textId="77777777" w:rsidR="00D833E9" w:rsidRDefault="00D833E9" w:rsidP="00D833E9"/>
    <w:p w14:paraId="57ED4C8E" w14:textId="77777777" w:rsidR="00D833E9" w:rsidRPr="00987CBB" w:rsidRDefault="00D833E9" w:rsidP="00D833E9">
      <w:pPr>
        <w:spacing w:after="0" w:line="360" w:lineRule="auto"/>
        <w:jc w:val="both"/>
        <w:rPr>
          <w:rFonts w:ascii="Palatino Linotype" w:hAnsi="Palatino Linotype" w:cs="Arial"/>
          <w:color w:val="000000" w:themeColor="text1"/>
          <w:sz w:val="24"/>
          <w:szCs w:val="24"/>
        </w:rPr>
      </w:pPr>
      <w:r w:rsidRPr="00987CBB">
        <w:rPr>
          <w:rFonts w:ascii="Palatino Linotype" w:hAnsi="Palatino Linotype" w:cs="Arial"/>
          <w:color w:val="000000" w:themeColor="text1"/>
          <w:sz w:val="24"/>
          <w:szCs w:val="24"/>
        </w:rPr>
        <w:t xml:space="preserve">En tal sentido, derivado del pronunciamiento del Sujeto Obligado, es dable señalar que los actos que realicen los servidores públicos, se realizan apegados a la atribuciones conferidas en los manuales y reglamentos que al efecto se expidan por lo </w:t>
      </w:r>
      <w:r w:rsidRPr="00987CBB">
        <w:rPr>
          <w:rFonts w:ascii="Palatino Linotype" w:hAnsi="Palatino Linotype" w:cs="Arial"/>
          <w:color w:val="000000" w:themeColor="text1"/>
          <w:sz w:val="24"/>
          <w:szCs w:val="24"/>
        </w:rPr>
        <w:lastRenderedPageBreak/>
        <w:t>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14:paraId="459EC405" w14:textId="77777777" w:rsidR="00D833E9" w:rsidRPr="00183325" w:rsidRDefault="00D833E9" w:rsidP="00D833E9">
      <w:pPr>
        <w:spacing w:line="360" w:lineRule="auto"/>
        <w:jc w:val="both"/>
        <w:rPr>
          <w:rFonts w:ascii="Palatino Linotype" w:hAnsi="Palatino Linotype" w:cs="Arial"/>
          <w:sz w:val="12"/>
        </w:rPr>
      </w:pPr>
    </w:p>
    <w:p w14:paraId="76D2C4E3" w14:textId="77777777" w:rsidR="00D833E9" w:rsidRPr="009454DD" w:rsidRDefault="00D833E9" w:rsidP="00D833E9">
      <w:pPr>
        <w:tabs>
          <w:tab w:val="left" w:pos="8222"/>
        </w:tabs>
        <w:spacing w:after="0" w:line="240" w:lineRule="auto"/>
        <w:ind w:left="851" w:right="850"/>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D826D6" w14:textId="77777777" w:rsidR="00D833E9" w:rsidRDefault="00D833E9" w:rsidP="00D833E9"/>
    <w:p w14:paraId="1556A8A6" w14:textId="77777777" w:rsidR="00D833E9" w:rsidRPr="00F746F0" w:rsidRDefault="00D833E9" w:rsidP="00D833E9">
      <w:pPr>
        <w:rPr>
          <w:rFonts w:ascii="Palatino Linotype" w:hAnsi="Palatino Linotype" w:cs="Arial"/>
          <w:color w:val="000000" w:themeColor="text1"/>
          <w:sz w:val="24"/>
          <w:szCs w:val="24"/>
        </w:rPr>
      </w:pPr>
    </w:p>
    <w:p w14:paraId="3890B807" w14:textId="77777777" w:rsidR="00D833E9" w:rsidRDefault="00D833E9" w:rsidP="00D833E9">
      <w:pPr>
        <w:spacing w:after="0" w:line="360" w:lineRule="auto"/>
        <w:jc w:val="both"/>
      </w:pPr>
      <w:r w:rsidRPr="00F746F0">
        <w:rPr>
          <w:rFonts w:ascii="Palatino Linotype" w:hAnsi="Palatino Linotype" w:cs="Arial"/>
          <w:color w:val="000000" w:themeColor="text1"/>
          <w:sz w:val="24"/>
          <w:szCs w:val="24"/>
        </w:rPr>
        <w:t xml:space="preserve">Sin embargo tal acción si se encuentra sustentada en la Ley de Transparencia y Acceso a la Información Pública del Estado de México y Municipios, a través de su artículo </w:t>
      </w:r>
      <w:r>
        <w:rPr>
          <w:rFonts w:ascii="Palatino Linotype" w:hAnsi="Palatino Linotype" w:cs="Arial"/>
          <w:color w:val="000000" w:themeColor="text1"/>
          <w:sz w:val="24"/>
          <w:szCs w:val="24"/>
        </w:rPr>
        <w:t>3, fracción XLII, 24 y 53, que a la letra señalan:</w:t>
      </w:r>
    </w:p>
    <w:p w14:paraId="22F0C893" w14:textId="77777777" w:rsidR="00D833E9" w:rsidRDefault="00D833E9" w:rsidP="00D833E9"/>
    <w:p w14:paraId="0A4B75B0"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3. Para los efectos de la presente Ley se entenderá por:</w:t>
      </w:r>
    </w:p>
    <w:p w14:paraId="0BEEA2F4"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5CEE1F17"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 xml:space="preserve">XLII. Transparencia proactiva: 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w:t>
      </w:r>
      <w:r w:rsidRPr="00F746F0">
        <w:rPr>
          <w:rFonts w:ascii="Palatino Linotype" w:hAnsi="Palatino Linotype"/>
          <w:i/>
        </w:rPr>
        <w:lastRenderedPageBreak/>
        <w:t>cuentas, promuevan la participación activa de la sociedad en la solución de problemas públicos de manera permanente y den respuesta a la demanda;</w:t>
      </w:r>
    </w:p>
    <w:p w14:paraId="362B94E4"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24. Para el cumplimiento de los objetivos de esta Ley, los sujetos obligados deberán cumplir con las siguientes obligaciones, según corresponda, de acuerdo a su naturaleza:</w:t>
      </w:r>
    </w:p>
    <w:p w14:paraId="40FBB902"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13F554D3"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XIII. Difundir proactivamente información de interés público;</w:t>
      </w:r>
    </w:p>
    <w:p w14:paraId="45C3E6FD"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Artículo 53. Las Unidades de Transparencia tendrán las siguientes funciones:</w:t>
      </w:r>
    </w:p>
    <w:p w14:paraId="07814491"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w:t>
      </w:r>
    </w:p>
    <w:p w14:paraId="05301B30" w14:textId="77777777" w:rsidR="00D833E9" w:rsidRPr="00F746F0" w:rsidRDefault="00D833E9" w:rsidP="00D833E9">
      <w:pPr>
        <w:ind w:left="851" w:right="850"/>
        <w:jc w:val="both"/>
        <w:rPr>
          <w:rFonts w:ascii="Palatino Linotype" w:hAnsi="Palatino Linotype"/>
          <w:i/>
        </w:rPr>
      </w:pPr>
      <w:r w:rsidRPr="00F746F0">
        <w:rPr>
          <w:rFonts w:ascii="Palatino Linotype" w:hAnsi="Palatino Linotype"/>
          <w:i/>
        </w:rPr>
        <w:t>XI. Promover e implementar políticas de transparencia proactiva procurando su accesibilidad;</w:t>
      </w:r>
    </w:p>
    <w:p w14:paraId="218FAFDF" w14:textId="77777777" w:rsidR="00D833E9" w:rsidRDefault="00D833E9" w:rsidP="00D833E9"/>
    <w:p w14:paraId="205AB0AA" w14:textId="77777777" w:rsidR="00D833E9" w:rsidRDefault="00D833E9" w:rsidP="00D833E9"/>
    <w:p w14:paraId="52383B81" w14:textId="77777777" w:rsidR="00D833E9" w:rsidRDefault="00D833E9" w:rsidP="00D833E9">
      <w:pPr>
        <w:spacing w:after="0" w:line="360" w:lineRule="auto"/>
        <w:jc w:val="both"/>
        <w:rPr>
          <w:rFonts w:ascii="Palatino Linotype" w:hAnsi="Palatino Linotype"/>
          <w:sz w:val="24"/>
          <w:szCs w:val="24"/>
        </w:rPr>
      </w:pPr>
      <w:r w:rsidRPr="00484436">
        <w:rPr>
          <w:rFonts w:ascii="Palatino Linotype" w:hAnsi="Palatino Linotype"/>
          <w:sz w:val="24"/>
          <w:szCs w:val="24"/>
        </w:rPr>
        <w:t>De los preceptos legales en cita, se advierte que el Sujeto Obligado, esta constreñido a publicitar los temas relacionados con transparencia proactiva, en relación a temas de interés público a través de medio electrónicos, con la finalidad de que los usuarios tengan la mayor accesibilidad.</w:t>
      </w:r>
    </w:p>
    <w:p w14:paraId="524FA438" w14:textId="77777777" w:rsidR="00D833E9" w:rsidRPr="00484436" w:rsidRDefault="00D833E9" w:rsidP="00D833E9">
      <w:pPr>
        <w:spacing w:after="0" w:line="360" w:lineRule="auto"/>
        <w:jc w:val="both"/>
        <w:rPr>
          <w:rFonts w:ascii="Palatino Linotype" w:hAnsi="Palatino Linotype"/>
          <w:sz w:val="24"/>
          <w:szCs w:val="24"/>
        </w:rPr>
      </w:pPr>
    </w:p>
    <w:p w14:paraId="545BE8CF" w14:textId="2FBC99B9" w:rsidR="00D833E9" w:rsidRPr="008064D2" w:rsidRDefault="00D833E9" w:rsidP="00D833E9">
      <w:pPr>
        <w:spacing w:after="0" w:line="360" w:lineRule="auto"/>
        <w:jc w:val="both"/>
      </w:pPr>
      <w:r w:rsidRPr="00987CBB">
        <w:rPr>
          <w:rFonts w:ascii="Palatino Linotype" w:hAnsi="Palatino Linotype"/>
          <w:sz w:val="24"/>
          <w:szCs w:val="24"/>
        </w:rPr>
        <w:t>Ahor</w:t>
      </w:r>
      <w:r w:rsidR="001C7320">
        <w:rPr>
          <w:rFonts w:ascii="Palatino Linotype" w:hAnsi="Palatino Linotype"/>
          <w:sz w:val="24"/>
          <w:szCs w:val="24"/>
        </w:rPr>
        <w:t>a bien por lo que re</w:t>
      </w:r>
      <w:r w:rsidR="008064D2">
        <w:rPr>
          <w:rFonts w:ascii="Palatino Linotype" w:hAnsi="Palatino Linotype"/>
          <w:sz w:val="24"/>
          <w:szCs w:val="24"/>
        </w:rPr>
        <w:t xml:space="preserve">specta a las pólizas de seguros, de los vehículos pertenecientes a la </w:t>
      </w:r>
      <w:r w:rsidR="008064D2" w:rsidRPr="008064D2">
        <w:rPr>
          <w:rFonts w:ascii="Palatino Linotype" w:hAnsi="Palatino Linotype"/>
          <w:sz w:val="24"/>
          <w:szCs w:val="24"/>
        </w:rPr>
        <w:t>Comisión para la Protección contra Riesgos</w:t>
      </w:r>
      <w:r w:rsidR="008064D2">
        <w:rPr>
          <w:rFonts w:ascii="Palatino Linotype" w:hAnsi="Palatino Linotype"/>
          <w:sz w:val="24"/>
          <w:szCs w:val="24"/>
        </w:rPr>
        <w:t xml:space="preserve"> Sanitarios del Estado de México, así como la documentación soporte del procedimiento adquisitivo,</w:t>
      </w:r>
      <w:r w:rsidRPr="00987CBB">
        <w:rPr>
          <w:rFonts w:ascii="Palatino Linotype" w:hAnsi="Palatino Linotype"/>
          <w:sz w:val="24"/>
          <w:szCs w:val="24"/>
        </w:rPr>
        <w:t xml:space="preserve"> es necesario hacer hincapié en que </w:t>
      </w:r>
      <w:r w:rsidRPr="00987CBB">
        <w:rPr>
          <w:rFonts w:ascii="Palatino Linotype" w:hAnsi="Palatino Linotype" w:cs="Arial"/>
          <w:sz w:val="24"/>
          <w:szCs w:val="24"/>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987CBB">
        <w:rPr>
          <w:rFonts w:ascii="Palatino Linotype" w:hAnsi="Palatino Linotype" w:cs="Arial"/>
          <w:sz w:val="24"/>
          <w:szCs w:val="24"/>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4FF3FB0" w14:textId="77777777" w:rsidR="00D833E9" w:rsidRPr="009975FD" w:rsidRDefault="00D833E9" w:rsidP="00D833E9">
      <w:pPr>
        <w:ind w:left="851" w:right="899"/>
        <w:jc w:val="both"/>
        <w:rPr>
          <w:rFonts w:ascii="Palatino Linotype" w:hAnsi="Palatino Linotype" w:cs="Arial"/>
          <w:i/>
        </w:rPr>
      </w:pPr>
    </w:p>
    <w:p w14:paraId="2F3B31C2" w14:textId="77777777" w:rsidR="00D833E9" w:rsidRPr="009975FD" w:rsidRDefault="00D833E9" w:rsidP="00D833E9">
      <w:pPr>
        <w:ind w:left="851" w:right="899"/>
        <w:jc w:val="both"/>
        <w:rPr>
          <w:rFonts w:ascii="Palatino Linotype" w:hAnsi="Palatino Linotype" w:cs="Arial"/>
          <w:i/>
        </w:rPr>
      </w:pPr>
      <w:r w:rsidRPr="009975FD">
        <w:rPr>
          <w:rFonts w:ascii="Palatino Linotype" w:hAnsi="Palatino Linotype" w:cs="Arial"/>
          <w:i/>
        </w:rPr>
        <w:t>“</w:t>
      </w:r>
      <w:r w:rsidRPr="009975FD">
        <w:rPr>
          <w:rFonts w:ascii="Palatino Linotype" w:hAnsi="Palatino Linotype" w:cs="Arial"/>
          <w:b/>
          <w:i/>
        </w:rPr>
        <w:t xml:space="preserve">Artículo 3. </w:t>
      </w:r>
      <w:r w:rsidRPr="009975FD">
        <w:rPr>
          <w:rFonts w:ascii="Palatino Linotype" w:hAnsi="Palatino Linotype" w:cs="Arial"/>
          <w:i/>
        </w:rPr>
        <w:t>Para los efectos de la presente Ley se entenderá por:</w:t>
      </w:r>
    </w:p>
    <w:p w14:paraId="0CF0ABC2" w14:textId="77777777" w:rsidR="00D833E9" w:rsidRPr="009975FD" w:rsidRDefault="00D833E9" w:rsidP="00D833E9">
      <w:pPr>
        <w:ind w:left="851" w:right="899"/>
        <w:jc w:val="both"/>
        <w:rPr>
          <w:rFonts w:ascii="Palatino Linotype" w:hAnsi="Palatino Linotype" w:cs="Arial"/>
          <w:i/>
        </w:rPr>
      </w:pPr>
      <w:r w:rsidRPr="009975FD">
        <w:rPr>
          <w:rFonts w:ascii="Palatino Linotype" w:hAnsi="Palatino Linotype" w:cs="Arial"/>
          <w:i/>
        </w:rPr>
        <w:t>…</w:t>
      </w:r>
    </w:p>
    <w:p w14:paraId="07F9E182" w14:textId="77777777" w:rsidR="00D833E9" w:rsidRPr="009975FD" w:rsidRDefault="00D833E9" w:rsidP="00D833E9">
      <w:pPr>
        <w:ind w:left="851" w:right="899"/>
        <w:jc w:val="both"/>
        <w:rPr>
          <w:rFonts w:ascii="Palatino Linotype" w:hAnsi="Palatino Linotype" w:cs="Arial"/>
          <w:i/>
          <w:color w:val="000000"/>
        </w:rPr>
      </w:pPr>
      <w:r w:rsidRPr="009975FD">
        <w:rPr>
          <w:rFonts w:ascii="Palatino Linotype" w:hAnsi="Palatino Linotype" w:cs="Arial"/>
          <w:b/>
          <w:i/>
          <w:color w:val="000000"/>
        </w:rPr>
        <w:t>XI. Documento:</w:t>
      </w:r>
      <w:r w:rsidRPr="009975FD">
        <w:rPr>
          <w:rFonts w:ascii="Palatino Linotype" w:hAnsi="Palatino Linotype" w:cs="Arial"/>
          <w:i/>
          <w:color w:val="000000"/>
        </w:rPr>
        <w:t xml:space="preserve"> Los expedientes, reportes, estudios, actas</w:t>
      </w:r>
      <w:r w:rsidRPr="009975FD">
        <w:rPr>
          <w:rFonts w:ascii="Palatino Linotype" w:hAnsi="Palatino Linotype" w:cs="Arial"/>
          <w:b/>
          <w:i/>
          <w:color w:val="000000"/>
        </w:rPr>
        <w:t>,</w:t>
      </w:r>
      <w:r w:rsidRPr="009975FD">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84CFC44" w14:textId="77777777" w:rsidR="00D833E9" w:rsidRPr="009975FD" w:rsidRDefault="00D833E9" w:rsidP="00D833E9">
      <w:pPr>
        <w:spacing w:line="360" w:lineRule="auto"/>
        <w:ind w:right="-93"/>
        <w:jc w:val="both"/>
        <w:rPr>
          <w:rFonts w:ascii="Palatino Linotype" w:hAnsi="Palatino Linotype" w:cs="Arial"/>
        </w:rPr>
      </w:pPr>
    </w:p>
    <w:p w14:paraId="5C766D7B" w14:textId="5CB8A7C4" w:rsidR="00D833E9" w:rsidRDefault="00D833E9" w:rsidP="00D833E9">
      <w:pPr>
        <w:spacing w:after="0" w:line="360" w:lineRule="auto"/>
        <w:jc w:val="both"/>
        <w:rPr>
          <w:rFonts w:ascii="Palatino Linotype" w:hAnsi="Palatino Linotype" w:cs="Arial"/>
          <w:sz w:val="24"/>
          <w:szCs w:val="24"/>
        </w:rPr>
      </w:pPr>
      <w:r w:rsidRPr="00F746F0">
        <w:rPr>
          <w:rFonts w:ascii="Palatino Linotype" w:eastAsia="Palatino Linotype" w:hAnsi="Palatino Linotype" w:cs="Palatino Linotype"/>
          <w:color w:val="000000"/>
          <w:sz w:val="24"/>
          <w:szCs w:val="24"/>
        </w:rPr>
        <w:t>En virtud de lo anterior</w:t>
      </w:r>
      <w:r w:rsidRPr="00F746F0">
        <w:rPr>
          <w:rFonts w:ascii="Palatino Linotype" w:eastAsia="Palatino Linotype" w:hAnsi="Palatino Linotype" w:cs="Palatino Linotype"/>
          <w:sz w:val="24"/>
          <w:szCs w:val="24"/>
        </w:rPr>
        <w:t xml:space="preserve">, se determina que la respuesta del Sujeto Obligado no </w:t>
      </w:r>
      <w:proofErr w:type="gramStart"/>
      <w:r w:rsidRPr="00F746F0">
        <w:rPr>
          <w:rFonts w:ascii="Palatino Linotype" w:eastAsia="Palatino Linotype" w:hAnsi="Palatino Linotype" w:cs="Palatino Linotype"/>
          <w:sz w:val="24"/>
          <w:szCs w:val="24"/>
        </w:rPr>
        <w:t>cumplen</w:t>
      </w:r>
      <w:proofErr w:type="gramEnd"/>
      <w:r w:rsidRPr="00F746F0">
        <w:rPr>
          <w:rFonts w:ascii="Palatino Linotype" w:eastAsia="Palatino Linotype" w:hAnsi="Palatino Linotype" w:cs="Palatino Linotype"/>
          <w:sz w:val="24"/>
          <w:szCs w:val="24"/>
        </w:rPr>
        <w:t xml:space="preserve"> con lo establecido por los artículos 4, 12 y 24 último párrafo de la Ley de </w:t>
      </w:r>
      <w:r w:rsidRPr="00F746F0">
        <w:rPr>
          <w:rFonts w:ascii="Palatino Linotype" w:hAnsi="Palatino Linotype" w:cs="Arial"/>
          <w:sz w:val="24"/>
          <w:szCs w:val="24"/>
        </w:rPr>
        <w:t>Transparencia y Acceso a la Información Pública del Estado de México y Municipios.</w:t>
      </w:r>
    </w:p>
    <w:p w14:paraId="4652EB0A" w14:textId="77777777" w:rsidR="00D833E9" w:rsidRDefault="00D833E9" w:rsidP="00D833E9">
      <w:pPr>
        <w:spacing w:after="0" w:line="360" w:lineRule="auto"/>
        <w:jc w:val="both"/>
        <w:rPr>
          <w:rFonts w:ascii="Palatino Linotype" w:hAnsi="Palatino Linotype" w:cs="Arial"/>
          <w:sz w:val="24"/>
          <w:szCs w:val="24"/>
        </w:rPr>
      </w:pPr>
    </w:p>
    <w:p w14:paraId="760FB2ED" w14:textId="77777777" w:rsidR="00D833E9" w:rsidRPr="00F746F0" w:rsidRDefault="00D833E9" w:rsidP="00D833E9">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esta ponencia que de acuerdo al pronunciamiento del Sujeto Obligado, el cual versa, en no negar que existe la información, si no por el contrario con su respuesta asume contar con ella, es de mencionar que todos los actos administrativos que realizan los servidores públicos, apegados a sus atribuciones deben estar debidamente fundados y motivados, de acuerdo al artículo 18 y 19</w:t>
      </w:r>
      <w:r>
        <w:rPr>
          <w:rStyle w:val="Refdenotaalpie"/>
          <w:rFonts w:ascii="Palatino Linotype" w:hAnsi="Palatino Linotype" w:cs="Arial"/>
          <w:sz w:val="24"/>
          <w:szCs w:val="24"/>
        </w:rPr>
        <w:footnoteReference w:id="4"/>
      </w:r>
      <w:r>
        <w:rPr>
          <w:rFonts w:ascii="Palatino Linotype" w:hAnsi="Palatino Linotype" w:cs="Arial"/>
          <w:sz w:val="24"/>
          <w:szCs w:val="24"/>
        </w:rPr>
        <w:t xml:space="preserve"> de la </w:t>
      </w:r>
      <w:r>
        <w:rPr>
          <w:rFonts w:ascii="Palatino Linotype" w:hAnsi="Palatino Linotype" w:cs="Arial"/>
          <w:sz w:val="24"/>
          <w:szCs w:val="24"/>
        </w:rPr>
        <w:lastRenderedPageBreak/>
        <w:t>Ley de Transparencia local, es así como llegamos a la conclusión de que se deberá documentar todo acto derivado de las atribuciones conferidas a cada unidad administrativa</w:t>
      </w:r>
    </w:p>
    <w:p w14:paraId="53501533" w14:textId="77777777" w:rsidR="00D833E9" w:rsidRPr="00F746F0" w:rsidRDefault="00D833E9" w:rsidP="00D833E9">
      <w:pPr>
        <w:spacing w:after="0" w:line="360" w:lineRule="auto"/>
        <w:jc w:val="both"/>
        <w:rPr>
          <w:rFonts w:ascii="Palatino Linotype" w:hAnsi="Palatino Linotype" w:cs="Arial"/>
          <w:sz w:val="24"/>
          <w:szCs w:val="24"/>
        </w:rPr>
      </w:pPr>
    </w:p>
    <w:p w14:paraId="424A1CF8" w14:textId="6D02FD82" w:rsidR="00D833E9" w:rsidRPr="00F746F0" w:rsidRDefault="00D833E9" w:rsidP="00D833E9">
      <w:pPr>
        <w:spacing w:after="0" w:line="360" w:lineRule="auto"/>
        <w:jc w:val="both"/>
        <w:rPr>
          <w:rFonts w:ascii="Palatino Linotype" w:hAnsi="Palatino Linotype" w:cs="Arial"/>
          <w:color w:val="000000" w:themeColor="text1"/>
          <w:sz w:val="24"/>
          <w:szCs w:val="24"/>
        </w:rPr>
      </w:pPr>
      <w:r w:rsidRPr="00F746F0">
        <w:rPr>
          <w:rFonts w:ascii="Palatino Linotype" w:eastAsia="Palatino Linotype" w:hAnsi="Palatino Linotype" w:cs="Palatino Linotype"/>
          <w:color w:val="000000"/>
          <w:sz w:val="24"/>
          <w:szCs w:val="24"/>
        </w:rPr>
        <w:t>De la anterior definición de advierte que puede existir diversos documentos que acreditan o dan certeza de un hecho o acto, como lo es en el presente caso los documentos que acrediten o formen parte de l</w:t>
      </w:r>
      <w:r w:rsidR="008064D2">
        <w:rPr>
          <w:rFonts w:ascii="Palatino Linotype" w:eastAsia="Palatino Linotype" w:hAnsi="Palatino Linotype" w:cs="Palatino Linotype"/>
          <w:color w:val="000000"/>
          <w:sz w:val="24"/>
          <w:szCs w:val="24"/>
        </w:rPr>
        <w:t xml:space="preserve">os expedientes que contengan la información correspondiente a las </w:t>
      </w:r>
      <w:proofErr w:type="spellStart"/>
      <w:r w:rsidR="008064D2">
        <w:rPr>
          <w:rFonts w:ascii="Palatino Linotype" w:eastAsia="Palatino Linotype" w:hAnsi="Palatino Linotype" w:cs="Palatino Linotype"/>
          <w:color w:val="000000"/>
          <w:sz w:val="24"/>
          <w:szCs w:val="24"/>
        </w:rPr>
        <w:t>polizas</w:t>
      </w:r>
      <w:proofErr w:type="spellEnd"/>
      <w:r w:rsidR="008064D2">
        <w:rPr>
          <w:rFonts w:ascii="Palatino Linotype" w:eastAsia="Palatino Linotype" w:hAnsi="Palatino Linotype" w:cs="Palatino Linotype"/>
          <w:color w:val="000000"/>
          <w:sz w:val="24"/>
          <w:szCs w:val="24"/>
        </w:rPr>
        <w:t xml:space="preserve"> de seguro de los vehículos pertenecientes a la COPRISEM</w:t>
      </w:r>
      <w:r w:rsidRPr="00F746F0">
        <w:rPr>
          <w:rFonts w:ascii="Palatino Linotype" w:hAnsi="Palatino Linotype" w:cs="Arial"/>
          <w:color w:val="000000" w:themeColor="text1"/>
          <w:sz w:val="24"/>
          <w:szCs w:val="24"/>
        </w:rPr>
        <w:t xml:space="preserve"> como lo establece el criterio 17/17 emitido por el Instituto Nacional de Transparencia, Acceso a la Información y Protección de Datos Personales que a la letra señala:</w:t>
      </w:r>
    </w:p>
    <w:p w14:paraId="30462EF6" w14:textId="77777777" w:rsidR="00D833E9" w:rsidRPr="00A012AC" w:rsidRDefault="00D833E9" w:rsidP="00D833E9">
      <w:pPr>
        <w:spacing w:after="0" w:line="360" w:lineRule="auto"/>
        <w:jc w:val="both"/>
        <w:rPr>
          <w:rFonts w:ascii="Palatino Linotype" w:hAnsi="Palatino Linotype" w:cs="Arial"/>
          <w:color w:val="000000" w:themeColor="text1"/>
          <w:sz w:val="8"/>
          <w:szCs w:val="24"/>
        </w:rPr>
      </w:pPr>
    </w:p>
    <w:p w14:paraId="0F84572E" w14:textId="77777777" w:rsidR="00D833E9" w:rsidRPr="00A012AC" w:rsidRDefault="00D833E9" w:rsidP="00D833E9">
      <w:pPr>
        <w:spacing w:before="120" w:after="120" w:line="240" w:lineRule="auto"/>
        <w:ind w:left="851" w:right="850"/>
        <w:jc w:val="both"/>
        <w:rPr>
          <w:rFonts w:ascii="Palatino Linotype" w:hAnsi="Palatino Linotype" w:cs="Arial"/>
          <w:b/>
          <w:i/>
        </w:rPr>
      </w:pPr>
      <w:r w:rsidRPr="00A012AC">
        <w:rPr>
          <w:rFonts w:ascii="Palatino Linotype" w:hAnsi="Palatino Linotype" w:cs="Arial"/>
          <w:b/>
          <w:bCs/>
          <w:i/>
        </w:rPr>
        <w:t xml:space="preserve">Anexos de los documentos solicitados. </w:t>
      </w:r>
      <w:r w:rsidRPr="00A012AC">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31141F2" w14:textId="77777777" w:rsidR="00D833E9" w:rsidRDefault="00D833E9" w:rsidP="00D833E9">
      <w:pPr>
        <w:spacing w:before="120" w:after="120" w:line="360" w:lineRule="auto"/>
        <w:jc w:val="both"/>
        <w:rPr>
          <w:rFonts w:ascii="Arial" w:hAnsi="Arial" w:cs="Arial"/>
          <w:b/>
          <w:sz w:val="24"/>
          <w:szCs w:val="24"/>
        </w:rPr>
      </w:pPr>
    </w:p>
    <w:p w14:paraId="281BD0A2" w14:textId="6733C22C" w:rsidR="00D833E9" w:rsidRDefault="00D833E9" w:rsidP="00D833E9">
      <w:pPr>
        <w:spacing w:after="0" w:line="360" w:lineRule="auto"/>
        <w:jc w:val="both"/>
        <w:rPr>
          <w:rFonts w:ascii="Palatino Linotype" w:eastAsia="Palatino Linotype" w:hAnsi="Palatino Linotype" w:cs="Palatino Linotype"/>
          <w:color w:val="000000"/>
          <w:sz w:val="24"/>
          <w:szCs w:val="24"/>
        </w:rPr>
      </w:pPr>
      <w:r w:rsidRPr="00F746F0">
        <w:rPr>
          <w:rFonts w:ascii="Palatino Linotype" w:eastAsia="Palatino Linotype" w:hAnsi="Palatino Linotype" w:cs="Palatino Linotype"/>
          <w:color w:val="000000"/>
          <w:sz w:val="24"/>
          <w:szCs w:val="24"/>
        </w:rPr>
        <w:t xml:space="preserve">En este sentido se deberá realizar una búsqueda de la información en las áreas correspondientes de contar con ella, a fin de entregar los documentos soporte de las </w:t>
      </w:r>
      <w:r w:rsidR="008064D2">
        <w:rPr>
          <w:rFonts w:ascii="Palatino Linotype" w:eastAsia="Palatino Linotype" w:hAnsi="Palatino Linotype" w:cs="Palatino Linotype"/>
          <w:color w:val="000000"/>
          <w:sz w:val="24"/>
          <w:szCs w:val="24"/>
        </w:rPr>
        <w:t xml:space="preserve">pólizas de seguro de los vehículos pertenecientes a la COPRISEM, así como la </w:t>
      </w:r>
      <w:r w:rsidR="008064D2">
        <w:rPr>
          <w:rFonts w:ascii="Palatino Linotype" w:eastAsia="Palatino Linotype" w:hAnsi="Palatino Linotype" w:cs="Palatino Linotype"/>
          <w:color w:val="000000"/>
          <w:sz w:val="24"/>
          <w:szCs w:val="24"/>
        </w:rPr>
        <w:lastRenderedPageBreak/>
        <w:t>documentación soporte del proceso adquisitivo de ser servicio de seguros antes mencionado.</w:t>
      </w:r>
    </w:p>
    <w:p w14:paraId="3EEC7AE4" w14:textId="77777777" w:rsidR="00D1664E" w:rsidRPr="00F746F0" w:rsidRDefault="00D1664E" w:rsidP="00D833E9">
      <w:pPr>
        <w:spacing w:after="0" w:line="360" w:lineRule="auto"/>
        <w:jc w:val="both"/>
        <w:rPr>
          <w:rFonts w:ascii="Palatino Linotype" w:eastAsia="Palatino Linotype" w:hAnsi="Palatino Linotype" w:cs="Palatino Linotype"/>
          <w:color w:val="000000"/>
          <w:sz w:val="24"/>
          <w:szCs w:val="24"/>
        </w:rPr>
      </w:pPr>
    </w:p>
    <w:p w14:paraId="4E1FAA05" w14:textId="7B30836E" w:rsidR="00D833E9" w:rsidRDefault="00AC5235" w:rsidP="00D833E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w:t>
      </w:r>
      <w:r w:rsidR="00D1664E">
        <w:rPr>
          <w:rFonts w:ascii="Palatino Linotype" w:eastAsia="Palatino Linotype" w:hAnsi="Palatino Linotype" w:cs="Palatino Linotype"/>
          <w:color w:val="000000"/>
          <w:sz w:val="24"/>
          <w:szCs w:val="24"/>
        </w:rPr>
        <w:t>último</w:t>
      </w:r>
      <w:r>
        <w:rPr>
          <w:rFonts w:ascii="Palatino Linotype" w:eastAsia="Palatino Linotype" w:hAnsi="Palatino Linotype" w:cs="Palatino Linotype"/>
          <w:color w:val="000000"/>
          <w:sz w:val="24"/>
          <w:szCs w:val="24"/>
        </w:rPr>
        <w:t xml:space="preserve"> y no menos importante, es de señalar que el Solicitante no plasmo la temporalidad del requerimiento, por lo que derivado del contexto de la solicitud de inf</w:t>
      </w:r>
      <w:r w:rsidR="00D1664E">
        <w:rPr>
          <w:rFonts w:ascii="Palatino Linotype" w:eastAsia="Palatino Linotype" w:hAnsi="Palatino Linotype" w:cs="Palatino Linotype"/>
          <w:color w:val="000000"/>
          <w:sz w:val="24"/>
          <w:szCs w:val="24"/>
        </w:rPr>
        <w:t>ormación, es dable ordenar la entrega de la información, correspondiente a la actualizada a la fecha de solicitud, es decir al once de febrero de dos mil veinte.</w:t>
      </w:r>
    </w:p>
    <w:p w14:paraId="796BC2D6" w14:textId="77777777" w:rsidR="00D1664E" w:rsidRDefault="00D1664E" w:rsidP="00D833E9">
      <w:pPr>
        <w:spacing w:after="0" w:line="360" w:lineRule="auto"/>
        <w:jc w:val="both"/>
        <w:rPr>
          <w:rFonts w:ascii="Palatino Linotype" w:eastAsia="Palatino Linotype" w:hAnsi="Palatino Linotype" w:cs="Palatino Linotype"/>
          <w:color w:val="000000"/>
          <w:sz w:val="24"/>
          <w:szCs w:val="24"/>
        </w:rPr>
      </w:pPr>
    </w:p>
    <w:p w14:paraId="0F2F0CB9" w14:textId="73C3F074" w:rsidR="00D1664E" w:rsidRDefault="00D1664E" w:rsidP="00D833E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Para la entrega de la información, se debe observar lo que establece la Ley de Transparencia y Acceso a la Información Pública del Estado de México y demás leyes aplicables, en materia de clasificación de la información.</w:t>
      </w:r>
    </w:p>
    <w:p w14:paraId="30D12D87" w14:textId="77777777" w:rsidR="00D1664E" w:rsidRPr="00F746F0" w:rsidRDefault="00D1664E" w:rsidP="00D833E9">
      <w:pPr>
        <w:spacing w:after="0" w:line="360" w:lineRule="auto"/>
        <w:jc w:val="both"/>
        <w:rPr>
          <w:rFonts w:ascii="Palatino Linotype" w:eastAsia="Palatino Linotype" w:hAnsi="Palatino Linotype" w:cs="Palatino Linotype"/>
          <w:color w:val="000000"/>
          <w:sz w:val="24"/>
          <w:szCs w:val="24"/>
        </w:rPr>
      </w:pPr>
    </w:p>
    <w:p w14:paraId="2837D819" w14:textId="7CC46771" w:rsidR="001E4D01" w:rsidRPr="00D1664E" w:rsidRDefault="001E4D01" w:rsidP="00D1664E">
      <w:pPr>
        <w:pStyle w:val="Prrafodelista"/>
        <w:numPr>
          <w:ilvl w:val="0"/>
          <w:numId w:val="9"/>
        </w:numPr>
        <w:autoSpaceDE w:val="0"/>
        <w:autoSpaceDN w:val="0"/>
        <w:adjustRightInd w:val="0"/>
        <w:spacing w:line="360" w:lineRule="auto"/>
        <w:jc w:val="both"/>
        <w:rPr>
          <w:rFonts w:ascii="Palatino Linotype" w:hAnsi="Palatino Linotype"/>
          <w:b/>
          <w:i/>
          <w:color w:val="000000"/>
        </w:rPr>
      </w:pPr>
      <w:r w:rsidRPr="00D1664E">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C0BE1B1" w14:textId="77777777" w:rsidR="00F95D56" w:rsidRDefault="00F95D56" w:rsidP="00F95D56"/>
    <w:p w14:paraId="7BCDB090" w14:textId="6C84946F"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BB68C1">
        <w:rPr>
          <w:rFonts w:ascii="Palatino Linotype" w:hAnsi="Palatino Linotype"/>
          <w:sz w:val="24"/>
          <w:szCs w:val="24"/>
        </w:rPr>
        <w:t>II</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AC5235">
        <w:rPr>
          <w:rFonts w:ascii="Palatino Linotype" w:hAnsi="Palatino Linotype"/>
          <w:sz w:val="24"/>
          <w:szCs w:val="24"/>
        </w:rPr>
        <w:t>Modifica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AC5235" w:rsidRPr="00C217AD">
        <w:rPr>
          <w:rFonts w:ascii="Palatino Linotype" w:hAnsi="Palatino Linotype" w:cs="Arial"/>
          <w:b/>
          <w:sz w:val="24"/>
          <w:szCs w:val="24"/>
        </w:rPr>
        <w:t>00</w:t>
      </w:r>
      <w:r w:rsidR="00AC5235">
        <w:rPr>
          <w:rFonts w:ascii="Palatino Linotype" w:hAnsi="Palatino Linotype" w:cs="Arial"/>
          <w:b/>
          <w:sz w:val="24"/>
          <w:szCs w:val="24"/>
        </w:rPr>
        <w:t>113</w:t>
      </w:r>
      <w:r w:rsidR="00AC5235" w:rsidRPr="00C217AD">
        <w:rPr>
          <w:rFonts w:ascii="Palatino Linotype" w:hAnsi="Palatino Linotype" w:cs="Arial"/>
          <w:b/>
          <w:sz w:val="24"/>
          <w:szCs w:val="24"/>
        </w:rPr>
        <w:t>/</w:t>
      </w:r>
      <w:r w:rsidR="00AC5235">
        <w:rPr>
          <w:rFonts w:ascii="Palatino Linotype" w:hAnsi="Palatino Linotype" w:cs="Arial"/>
          <w:b/>
          <w:sz w:val="24"/>
          <w:szCs w:val="24"/>
        </w:rPr>
        <w:t>ISEM</w:t>
      </w:r>
      <w:r w:rsidR="00AC5235" w:rsidRPr="00C217AD">
        <w:rPr>
          <w:rFonts w:ascii="Palatino Linotype" w:hAnsi="Palatino Linotype" w:cs="Arial"/>
          <w:b/>
          <w:sz w:val="24"/>
          <w:szCs w:val="24"/>
        </w:rPr>
        <w:t>/IP/2020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18BA5BCA" w14:textId="77777777" w:rsidR="00B249F2" w:rsidRDefault="00B249F2"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7205711C" w14:textId="2E19BEEA" w:rsidR="00816CE9" w:rsidRPr="0086170F" w:rsidRDefault="00816CE9" w:rsidP="00816CE9">
      <w:pPr>
        <w:spacing w:after="0" w:line="360" w:lineRule="auto"/>
        <w:jc w:val="both"/>
        <w:rPr>
          <w:rFonts w:ascii="Palatino Linotype" w:hAnsi="Palatino Linotype" w:cs="Arial"/>
          <w:sz w:val="24"/>
          <w:szCs w:val="24"/>
        </w:rPr>
      </w:pPr>
      <w:r>
        <w:rPr>
          <w:rFonts w:ascii="Palatino Linotype" w:hAnsi="Palatino Linotype" w:cs="Arial"/>
          <w:b/>
          <w:sz w:val="28"/>
          <w:szCs w:val="28"/>
        </w:rPr>
        <w:t>PRIMERO</w:t>
      </w:r>
      <w:r>
        <w:rPr>
          <w:rFonts w:ascii="Palatino Linotype" w:hAnsi="Palatino Linotype" w:cs="Arial"/>
          <w:sz w:val="28"/>
          <w:szCs w:val="28"/>
        </w:rPr>
        <w:t>.</w:t>
      </w:r>
      <w:r w:rsidRPr="00CA7323">
        <w:rPr>
          <w:rFonts w:ascii="Palatino Linotype" w:hAnsi="Palatino Linotype" w:cs="Arial"/>
          <w:sz w:val="24"/>
          <w:szCs w:val="24"/>
        </w:rPr>
        <w:t xml:space="preserve"> </w:t>
      </w:r>
      <w:r w:rsidRPr="0086170F">
        <w:rPr>
          <w:rFonts w:ascii="Palatino Linotype" w:hAnsi="Palatino Linotype" w:cs="Arial"/>
          <w:sz w:val="24"/>
          <w:szCs w:val="24"/>
        </w:rPr>
        <w:t xml:space="preserve">Se </w:t>
      </w:r>
      <w:r w:rsidR="00AC5235">
        <w:rPr>
          <w:rFonts w:ascii="Palatino Linotype" w:hAnsi="Palatino Linotype" w:cs="Arial"/>
          <w:sz w:val="24"/>
          <w:szCs w:val="24"/>
        </w:rPr>
        <w:t>modifica</w:t>
      </w:r>
      <w:r w:rsidRPr="0086170F">
        <w:rPr>
          <w:rFonts w:ascii="Palatino Linotype" w:hAnsi="Palatino Linotype" w:cs="Arial"/>
          <w:sz w:val="24"/>
          <w:szCs w:val="24"/>
        </w:rPr>
        <w:t xml:space="preserve"> la respuesta entregada por el Sujeto Obligado, a la</w:t>
      </w:r>
      <w:r>
        <w:rPr>
          <w:rFonts w:ascii="Palatino Linotype" w:hAnsi="Palatino Linotype" w:cs="Arial"/>
          <w:sz w:val="24"/>
          <w:szCs w:val="24"/>
        </w:rPr>
        <w:t xml:space="preserve"> </w:t>
      </w:r>
      <w:r w:rsidRPr="0086170F">
        <w:rPr>
          <w:rFonts w:ascii="Palatino Linotype" w:hAnsi="Palatino Linotype" w:cs="Arial"/>
          <w:sz w:val="24"/>
          <w:szCs w:val="24"/>
        </w:rPr>
        <w:t xml:space="preserve">solicitud de información </w:t>
      </w:r>
      <w:r w:rsidR="00AC5235" w:rsidRPr="00C217AD">
        <w:rPr>
          <w:rFonts w:ascii="Palatino Linotype" w:hAnsi="Palatino Linotype" w:cs="Arial"/>
          <w:b/>
          <w:sz w:val="24"/>
          <w:szCs w:val="24"/>
        </w:rPr>
        <w:t>00</w:t>
      </w:r>
      <w:r w:rsidR="00AC5235">
        <w:rPr>
          <w:rFonts w:ascii="Palatino Linotype" w:hAnsi="Palatino Linotype" w:cs="Arial"/>
          <w:b/>
          <w:sz w:val="24"/>
          <w:szCs w:val="24"/>
        </w:rPr>
        <w:t>113</w:t>
      </w:r>
      <w:r w:rsidR="00AC5235" w:rsidRPr="00C217AD">
        <w:rPr>
          <w:rFonts w:ascii="Palatino Linotype" w:hAnsi="Palatino Linotype" w:cs="Arial"/>
          <w:b/>
          <w:sz w:val="24"/>
          <w:szCs w:val="24"/>
        </w:rPr>
        <w:t>/</w:t>
      </w:r>
      <w:r w:rsidR="00AC5235">
        <w:rPr>
          <w:rFonts w:ascii="Palatino Linotype" w:hAnsi="Palatino Linotype" w:cs="Arial"/>
          <w:b/>
          <w:sz w:val="24"/>
          <w:szCs w:val="24"/>
        </w:rPr>
        <w:t>ISEM</w:t>
      </w:r>
      <w:r w:rsidR="00AC5235" w:rsidRPr="00C217AD">
        <w:rPr>
          <w:rFonts w:ascii="Palatino Linotype" w:hAnsi="Palatino Linotype" w:cs="Arial"/>
          <w:b/>
          <w:sz w:val="24"/>
          <w:szCs w:val="24"/>
        </w:rPr>
        <w:t>/IP/2020</w:t>
      </w:r>
      <w:r>
        <w:rPr>
          <w:rFonts w:ascii="Palatino Linotype" w:hAnsi="Palatino Linotype" w:cs="Arial"/>
          <w:b/>
          <w:sz w:val="24"/>
          <w:szCs w:val="24"/>
        </w:rPr>
        <w:t xml:space="preserve">, </w:t>
      </w:r>
      <w:r w:rsidRPr="0086170F">
        <w:rPr>
          <w:rFonts w:ascii="Palatino Linotype" w:hAnsi="Palatino Linotype" w:cs="Arial"/>
          <w:sz w:val="24"/>
          <w:szCs w:val="24"/>
        </w:rPr>
        <w:t xml:space="preserve">por resultar fundados los motivos de inconformidad que arguye </w:t>
      </w:r>
      <w:r>
        <w:rPr>
          <w:rFonts w:ascii="Palatino Linotype" w:hAnsi="Palatino Linotype" w:cs="Arial"/>
          <w:sz w:val="24"/>
          <w:szCs w:val="24"/>
        </w:rPr>
        <w:t>e</w:t>
      </w:r>
      <w:r w:rsidRPr="0086170F">
        <w:rPr>
          <w:rFonts w:ascii="Palatino Linotype" w:hAnsi="Palatino Linotype" w:cs="Arial"/>
          <w:sz w:val="24"/>
          <w:szCs w:val="24"/>
        </w:rPr>
        <w:t>l recurrente, en términos del considerando cuarto de la presente resolución.</w:t>
      </w:r>
    </w:p>
    <w:p w14:paraId="55D13E66" w14:textId="77777777" w:rsidR="00816CE9" w:rsidRDefault="00816CE9" w:rsidP="00816CE9">
      <w:pPr>
        <w:spacing w:line="360" w:lineRule="auto"/>
        <w:jc w:val="both"/>
        <w:rPr>
          <w:rFonts w:ascii="Palatino Linotype" w:hAnsi="Palatino Linotype" w:cs="Arial"/>
          <w:sz w:val="18"/>
        </w:rPr>
      </w:pPr>
    </w:p>
    <w:p w14:paraId="5753B960" w14:textId="51F94C73" w:rsidR="00816CE9" w:rsidRDefault="00816CE9" w:rsidP="00816CE9">
      <w:pPr>
        <w:spacing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6170F">
        <w:rPr>
          <w:rFonts w:ascii="Palatino Linotype" w:hAnsi="Palatino Linotype" w:cs="Arial"/>
          <w:sz w:val="24"/>
          <w:szCs w:val="24"/>
        </w:rPr>
        <w:t>Se ordena al Sujeto Obligado, en términos del considerando cuarto haga e</w:t>
      </w:r>
      <w:r>
        <w:rPr>
          <w:rFonts w:ascii="Palatino Linotype" w:hAnsi="Palatino Linotype" w:cs="Arial"/>
          <w:sz w:val="24"/>
          <w:szCs w:val="24"/>
        </w:rPr>
        <w:t xml:space="preserve">ntrega al Recurrente vía SAIMEX y en versión pública de </w:t>
      </w:r>
      <w:r w:rsidRPr="0086170F">
        <w:rPr>
          <w:rFonts w:ascii="Palatino Linotype" w:hAnsi="Palatino Linotype" w:cs="Arial"/>
          <w:sz w:val="24"/>
          <w:szCs w:val="24"/>
        </w:rPr>
        <w:t>lo siguiente:</w:t>
      </w:r>
    </w:p>
    <w:p w14:paraId="54B61B54" w14:textId="77777777" w:rsidR="009B31D6" w:rsidRPr="00ED1F33" w:rsidRDefault="009B31D6" w:rsidP="00816CE9">
      <w:pPr>
        <w:spacing w:line="360" w:lineRule="auto"/>
        <w:jc w:val="both"/>
        <w:rPr>
          <w:rFonts w:ascii="Palatino Linotype" w:hAnsi="Palatino Linotype" w:cs="Arial"/>
          <w:i/>
          <w:sz w:val="12"/>
          <w:szCs w:val="24"/>
        </w:rPr>
      </w:pPr>
    </w:p>
    <w:p w14:paraId="59286A97" w14:textId="77777777" w:rsidR="00ED1F33" w:rsidRPr="00ED1F33" w:rsidRDefault="00AC5235" w:rsidP="00ED1F33">
      <w:pPr>
        <w:pStyle w:val="Prrafodelista"/>
        <w:numPr>
          <w:ilvl w:val="0"/>
          <w:numId w:val="12"/>
        </w:numPr>
        <w:spacing w:line="360" w:lineRule="auto"/>
        <w:ind w:left="709" w:right="567" w:hanging="425"/>
        <w:jc w:val="both"/>
        <w:rPr>
          <w:rFonts w:ascii="Palatino Linotype" w:hAnsi="Palatino Linotype"/>
          <w:i/>
        </w:rPr>
      </w:pPr>
      <w:r w:rsidRPr="00ED1F33">
        <w:rPr>
          <w:rFonts w:ascii="Palatino Linotype" w:eastAsia="Palatino Linotype" w:hAnsi="Palatino Linotype" w:cs="Palatino Linotype"/>
          <w:i/>
          <w:color w:val="000000"/>
        </w:rPr>
        <w:lastRenderedPageBreak/>
        <w:t xml:space="preserve">Pólizas de seguro de los vehículos pertenecientes a la </w:t>
      </w:r>
      <w:r w:rsidR="00D1664E" w:rsidRPr="00ED1F33">
        <w:rPr>
          <w:rFonts w:ascii="Palatino Linotype" w:hAnsi="Palatino Linotype"/>
          <w:i/>
        </w:rPr>
        <w:t xml:space="preserve">Comisión para la Protección contra Riesgos Sanitarios del Estado de México, vigentes al </w:t>
      </w:r>
      <w:r w:rsidR="00ED1F33" w:rsidRPr="00ED1F33">
        <w:rPr>
          <w:rFonts w:ascii="Palatino Linotype" w:hAnsi="Palatino Linotype"/>
          <w:i/>
        </w:rPr>
        <w:t>once de febrero de dos mil veinte.</w:t>
      </w:r>
    </w:p>
    <w:p w14:paraId="32485542" w14:textId="1E7D1A6D" w:rsidR="00AC5235" w:rsidRPr="00ED1F33" w:rsidRDefault="00ED1F33" w:rsidP="00ED1F33">
      <w:pPr>
        <w:pStyle w:val="Prrafodelista"/>
        <w:numPr>
          <w:ilvl w:val="0"/>
          <w:numId w:val="12"/>
        </w:numPr>
        <w:spacing w:line="360" w:lineRule="auto"/>
        <w:ind w:left="709" w:right="567" w:hanging="425"/>
        <w:jc w:val="both"/>
        <w:rPr>
          <w:rFonts w:ascii="Palatino Linotype" w:hAnsi="Palatino Linotype"/>
          <w:i/>
        </w:rPr>
      </w:pPr>
      <w:r w:rsidRPr="00ED1F33">
        <w:rPr>
          <w:rFonts w:ascii="Palatino Linotype" w:hAnsi="Palatino Linotype"/>
          <w:i/>
        </w:rPr>
        <w:t>Expediente de la Licitación Pública Nacional Presencia número 440640003-014-19.</w:t>
      </w:r>
    </w:p>
    <w:p w14:paraId="2F4445D9" w14:textId="77777777" w:rsidR="00816CE9" w:rsidRPr="009B31D6" w:rsidRDefault="00816CE9" w:rsidP="00ED1F33">
      <w:pPr>
        <w:spacing w:line="360" w:lineRule="auto"/>
        <w:ind w:left="709" w:right="567" w:hanging="425"/>
        <w:jc w:val="both"/>
        <w:rPr>
          <w:rFonts w:ascii="Palatino Linotype" w:hAnsi="Palatino Linotype" w:cs="Arial"/>
          <w:sz w:val="18"/>
          <w:szCs w:val="24"/>
        </w:rPr>
      </w:pPr>
    </w:p>
    <w:p w14:paraId="3243EC23" w14:textId="77777777" w:rsidR="00816CE9" w:rsidRDefault="00816CE9" w:rsidP="00ED1F33">
      <w:pPr>
        <w:spacing w:line="360" w:lineRule="auto"/>
        <w:ind w:left="709" w:right="567"/>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1E09777" w14:textId="77777777" w:rsidR="00ED1F33" w:rsidRPr="00ED1F33" w:rsidRDefault="00ED1F33" w:rsidP="00816CE9">
      <w:pPr>
        <w:spacing w:line="360" w:lineRule="auto"/>
        <w:jc w:val="both"/>
        <w:rPr>
          <w:rFonts w:ascii="Palatino Linotype" w:hAnsi="Palatino Linotype" w:cs="Arial"/>
          <w:i/>
          <w:sz w:val="14"/>
          <w:szCs w:val="2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27A5278C"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2B538856" w14:textId="06297982" w:rsid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CB0B74">
        <w:rPr>
          <w:rFonts w:ascii="Palatino Linotype" w:hAnsi="Palatino Linotype" w:cs="Arial"/>
          <w:sz w:val="24"/>
          <w:szCs w:val="24"/>
        </w:rPr>
        <w:t xml:space="preserve"> DÉCIMA QUINTA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CB0B74">
        <w:rPr>
          <w:rFonts w:ascii="Palatino Linotype" w:hAnsi="Palatino Linotype" w:cs="Arial"/>
          <w:sz w:val="24"/>
          <w:szCs w:val="24"/>
        </w:rPr>
        <w:t>VEINTISÉIS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CB0B74">
        <w:rPr>
          <w:rFonts w:ascii="Palatino Linotype" w:hAnsi="Palatino Linotype" w:cs="Arial"/>
          <w:sz w:val="24"/>
          <w:szCs w:val="24"/>
        </w:rPr>
        <w:t>------------------------------------------------------------------------------------------------------------------------------------------------------------------------------------------------------------------------------------------------------------------------------------------------------------------------------------------------------------------------------------------------------------------------------------------------------------------------------------------------------------------------------------------------------------------------------------------------------------------------------------------------------------------------------------------------------------------------------------------------------------------------------------------------------------------------------------------------------------------------------------------------------------------------------------------------------------------------------------------------------------------------------------------------------------------------------------------------------------------------------------------------------------------------------------------------------------------------------------------------------------------------------------------------------------------------------------------------------------------------------------------------------------------------------------------------------------------------------------------------------------------------------------------------------------------------------------------------------------------------------------------------------------------------------------------------------------</w:t>
      </w:r>
    </w:p>
    <w:p w14:paraId="00271805" w14:textId="77777777" w:rsidR="00CB0B74" w:rsidRDefault="00CB0B74" w:rsidP="00AD2A55">
      <w:pPr>
        <w:spacing w:after="0" w:line="360" w:lineRule="auto"/>
        <w:jc w:val="both"/>
        <w:rPr>
          <w:rFonts w:ascii="Palatino Linotype" w:hAnsi="Palatino Linotype" w:cs="Arial"/>
          <w:sz w:val="24"/>
          <w:szCs w:val="24"/>
        </w:rPr>
      </w:pPr>
    </w:p>
    <w:p w14:paraId="76D1163C" w14:textId="77777777" w:rsidR="00CB0B74" w:rsidRDefault="00CB0B74"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064D2" w:rsidRPr="00EF2FC0" w:rsidRDefault="008064D2"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064D2" w:rsidRDefault="008064D2"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064D2" w:rsidRPr="00016AF3" w:rsidRDefault="008064D2"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064D2" w:rsidRPr="00EF2FC0" w:rsidRDefault="008064D2"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064D2" w:rsidRDefault="008064D2"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064D2" w:rsidRPr="00016AF3" w:rsidRDefault="008064D2"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064D2" w:rsidRPr="00EF2FC0" w:rsidRDefault="008064D2"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064D2"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064D2" w:rsidRPr="00797B31" w:rsidRDefault="008064D2"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064D2" w:rsidRPr="00EF2FC0" w:rsidRDefault="008064D2"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064D2"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064D2" w:rsidRPr="00797B31" w:rsidRDefault="008064D2"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064D2" w:rsidRPr="00EF2FC0" w:rsidRDefault="008064D2"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064D2" w:rsidRPr="00EF2FC0"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064D2" w:rsidRDefault="008064D2"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064D2" w:rsidRPr="00EF2FC0" w:rsidRDefault="008064D2"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064D2" w:rsidRPr="00EF2FC0"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064D2" w:rsidRDefault="008064D2"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064D2" w:rsidRPr="00EF2FC0" w:rsidRDefault="008064D2"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064D2" w:rsidRPr="00EF2FC0" w:rsidRDefault="008064D2"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064D2" w:rsidRDefault="008064D2"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064D2" w:rsidRDefault="008064D2"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064D2" w:rsidRPr="00EF2FC0" w:rsidRDefault="008064D2"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064D2" w:rsidRPr="00EF2FC0" w:rsidRDefault="008064D2"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064D2" w:rsidRDefault="008064D2"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064D2" w:rsidRDefault="008064D2"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064D2" w:rsidRPr="00EF2FC0" w:rsidRDefault="008064D2"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064D2" w:rsidRPr="00EF2FC0"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064D2" w:rsidRDefault="008064D2"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064D2" w:rsidRPr="00EF2FC0" w:rsidRDefault="008064D2"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064D2" w:rsidRPr="00EF2FC0" w:rsidRDefault="008064D2"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064D2" w:rsidRDefault="008064D2"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064D2" w:rsidRDefault="008064D2"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064D2" w:rsidRPr="007F6133" w:rsidRDefault="008064D2"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064D2" w:rsidRDefault="008064D2"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064D2" w:rsidRDefault="008064D2"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064D2" w:rsidRDefault="008064D2" w:rsidP="00BF3214">
                            <w:pPr>
                              <w:jc w:val="center"/>
                              <w:rPr>
                                <w:rFonts w:ascii="Palatino Linotype" w:hAnsi="Palatino Linotype"/>
                                <w:sz w:val="24"/>
                                <w:szCs w:val="24"/>
                              </w:rPr>
                            </w:pPr>
                          </w:p>
                          <w:p w14:paraId="01412AD8" w14:textId="77777777" w:rsidR="008064D2" w:rsidRPr="00EF2FC0" w:rsidRDefault="008064D2" w:rsidP="00BF3214">
                            <w:pPr>
                              <w:jc w:val="center"/>
                              <w:rPr>
                                <w:rFonts w:ascii="Palatino Linotype" w:hAnsi="Palatino Linotype"/>
                                <w:sz w:val="24"/>
                                <w:szCs w:val="24"/>
                              </w:rPr>
                            </w:pPr>
                          </w:p>
                          <w:p w14:paraId="3C1552D2" w14:textId="77777777" w:rsidR="008064D2" w:rsidRDefault="008064D2"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064D2" w:rsidRPr="007F6133" w:rsidRDefault="008064D2"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064D2" w:rsidRDefault="008064D2"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064D2" w:rsidRDefault="008064D2"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064D2" w:rsidRDefault="008064D2" w:rsidP="00BF3214">
                      <w:pPr>
                        <w:jc w:val="center"/>
                        <w:rPr>
                          <w:rFonts w:ascii="Palatino Linotype" w:hAnsi="Palatino Linotype"/>
                          <w:sz w:val="24"/>
                          <w:szCs w:val="24"/>
                        </w:rPr>
                      </w:pPr>
                    </w:p>
                    <w:p w14:paraId="01412AD8" w14:textId="77777777" w:rsidR="008064D2" w:rsidRPr="00EF2FC0" w:rsidRDefault="008064D2" w:rsidP="00BF3214">
                      <w:pPr>
                        <w:jc w:val="center"/>
                        <w:rPr>
                          <w:rFonts w:ascii="Palatino Linotype" w:hAnsi="Palatino Linotype"/>
                          <w:sz w:val="24"/>
                          <w:szCs w:val="24"/>
                        </w:rPr>
                      </w:pPr>
                    </w:p>
                    <w:p w14:paraId="3C1552D2" w14:textId="77777777" w:rsidR="008064D2" w:rsidRDefault="008064D2"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7ED8812E"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fecha</w:t>
      </w:r>
      <w:r w:rsidR="00CB0B74">
        <w:rPr>
          <w:rFonts w:ascii="Palatino Linotype" w:hAnsi="Palatino Linotype" w:cs="Arial"/>
          <w:sz w:val="20"/>
          <w:szCs w:val="20"/>
        </w:rPr>
        <w:t xml:space="preserve"> veintiséis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9066A6">
        <w:rPr>
          <w:rFonts w:ascii="Palatino Linotype" w:hAnsi="Palatino Linotype" w:cs="Arial"/>
          <w:bCs/>
          <w:sz w:val="20"/>
          <w:szCs w:val="20"/>
          <w:lang w:eastAsia="es-MX"/>
        </w:rPr>
        <w:t>1490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6D4CF5FB"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AC5235">
        <w:rPr>
          <w:rFonts w:ascii="Palatino Linotype" w:hAnsi="Palatino Linotype"/>
          <w:sz w:val="20"/>
          <w:szCs w:val="20"/>
        </w:rPr>
        <w:t>MO</w:t>
      </w:r>
    </w:p>
    <w:sectPr w:rsidR="00C70171" w:rsidRPr="00D701CA"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C945" w14:textId="77777777" w:rsidR="00654668" w:rsidRDefault="00654668" w:rsidP="00BF3214">
      <w:pPr>
        <w:spacing w:after="0" w:line="240" w:lineRule="auto"/>
      </w:pPr>
      <w:r>
        <w:separator/>
      </w:r>
    </w:p>
  </w:endnote>
  <w:endnote w:type="continuationSeparator" w:id="0">
    <w:p w14:paraId="66D3ADC6" w14:textId="77777777" w:rsidR="00654668" w:rsidRDefault="0065466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064D2" w:rsidRPr="002D6DD8" w:rsidRDefault="008064D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52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522">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8064D2" w:rsidRDefault="008064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064D2" w:rsidRPr="000B69FA" w:rsidRDefault="008064D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05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D0522">
      <w:rPr>
        <w:rFonts w:ascii="Palatino Linotype" w:hAnsi="Palatino Linotype"/>
        <w:bCs/>
        <w:noProof/>
        <w:sz w:val="20"/>
      </w:rPr>
      <w:t>27</w:t>
    </w:r>
    <w:r>
      <w:rPr>
        <w:rFonts w:ascii="Palatino Linotype" w:hAnsi="Palatino Linotype"/>
        <w:bCs/>
        <w:noProof/>
        <w:sz w:val="20"/>
      </w:rPr>
      <w:fldChar w:fldCharType="end"/>
    </w:r>
  </w:p>
  <w:p w14:paraId="1DC90981" w14:textId="77777777" w:rsidR="008064D2" w:rsidRDefault="008064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F664F" w14:textId="77777777" w:rsidR="00654668" w:rsidRDefault="00654668" w:rsidP="00BF3214">
      <w:pPr>
        <w:spacing w:after="0" w:line="240" w:lineRule="auto"/>
      </w:pPr>
      <w:r>
        <w:separator/>
      </w:r>
    </w:p>
  </w:footnote>
  <w:footnote w:type="continuationSeparator" w:id="0">
    <w:p w14:paraId="7B79AE44" w14:textId="77777777" w:rsidR="00654668" w:rsidRDefault="00654668" w:rsidP="00BF3214">
      <w:pPr>
        <w:spacing w:after="0" w:line="240" w:lineRule="auto"/>
      </w:pPr>
      <w:r>
        <w:continuationSeparator/>
      </w:r>
    </w:p>
  </w:footnote>
  <w:footnote w:id="1">
    <w:p w14:paraId="09585248" w14:textId="77777777" w:rsidR="008064D2" w:rsidRPr="00855119" w:rsidRDefault="008064D2" w:rsidP="004E2390">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14:paraId="1C594C6E" w14:textId="77777777" w:rsidR="008064D2" w:rsidRPr="00855119" w:rsidRDefault="008064D2" w:rsidP="004E2390">
      <w:pPr>
        <w:pStyle w:val="Textonotapie"/>
        <w:rPr>
          <w:rFonts w:ascii="Palatino Linotype" w:hAnsi="Palatino Linotype"/>
          <w:sz w:val="18"/>
          <w:szCs w:val="18"/>
        </w:rPr>
      </w:pPr>
    </w:p>
  </w:footnote>
  <w:footnote w:id="2">
    <w:p w14:paraId="28D5DB40" w14:textId="77777777" w:rsidR="008064D2" w:rsidRPr="00855119" w:rsidRDefault="008064D2" w:rsidP="004E2390">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14:paraId="2F48DE13" w14:textId="77777777" w:rsidR="008064D2" w:rsidRDefault="008064D2" w:rsidP="004E2390">
      <w:pPr>
        <w:pStyle w:val="Textonotapie"/>
      </w:pPr>
    </w:p>
  </w:footnote>
  <w:footnote w:id="3">
    <w:p w14:paraId="01C64D8D" w14:textId="63B26971" w:rsidR="008064D2" w:rsidRPr="00817C7C" w:rsidRDefault="008064D2" w:rsidP="00817C7C">
      <w:pPr>
        <w:pStyle w:val="Textonotapie"/>
        <w:jc w:val="both"/>
        <w:rPr>
          <w:rFonts w:ascii="Palatino Linotype" w:hAnsi="Palatino Linotype"/>
          <w:sz w:val="18"/>
          <w:szCs w:val="18"/>
        </w:rPr>
      </w:pPr>
      <w:r w:rsidRPr="00817C7C">
        <w:rPr>
          <w:rStyle w:val="Refdenotaalpie"/>
          <w:rFonts w:ascii="Palatino Linotype" w:hAnsi="Palatino Linotype"/>
          <w:b/>
          <w:sz w:val="18"/>
          <w:szCs w:val="18"/>
        </w:rPr>
        <w:footnoteRef/>
      </w:r>
      <w:r w:rsidRPr="00817C7C">
        <w:rPr>
          <w:rFonts w:ascii="Palatino Linotype" w:hAnsi="Palatino Linotype"/>
          <w:b/>
          <w:sz w:val="18"/>
          <w:szCs w:val="18"/>
        </w:rPr>
        <w:t xml:space="preserve"> Artículo 12</w:t>
      </w:r>
      <w:r w:rsidRPr="00817C7C">
        <w:rPr>
          <w:rFonts w:ascii="Palatino Linotype" w:hAnsi="Palatino Linotype"/>
          <w:sz w:val="18"/>
          <w:szCs w:val="18"/>
        </w:rPr>
        <w:t>.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04BD2495" w14:textId="77777777" w:rsidR="008064D2" w:rsidRPr="00484436" w:rsidRDefault="008064D2" w:rsidP="00D833E9">
      <w:pPr>
        <w:pStyle w:val="Textonotapie"/>
        <w:jc w:val="both"/>
        <w:rPr>
          <w:rFonts w:ascii="Palatino Linotype" w:hAnsi="Palatino Linotype"/>
          <w:sz w:val="18"/>
          <w:szCs w:val="18"/>
        </w:rPr>
      </w:pPr>
      <w:r w:rsidRPr="00484436">
        <w:rPr>
          <w:rStyle w:val="Refdenotaalpie"/>
          <w:rFonts w:ascii="Palatino Linotype" w:hAnsi="Palatino Linotype"/>
          <w:sz w:val="18"/>
          <w:szCs w:val="18"/>
        </w:rPr>
        <w:footnoteRef/>
      </w:r>
      <w:r w:rsidRPr="00484436">
        <w:rPr>
          <w:rFonts w:ascii="Palatino Linotype" w:hAnsi="Palatino Linotype"/>
          <w:b/>
          <w:sz w:val="18"/>
          <w:szCs w:val="18"/>
        </w:rPr>
        <w:t xml:space="preserve"> Artículo 18</w:t>
      </w:r>
      <w:r w:rsidRPr="00484436">
        <w:rPr>
          <w:rFonts w:ascii="Palatino Linotype" w:hAnsi="Palatino Linotype"/>
          <w:sz w:val="18"/>
          <w:szCs w:val="18"/>
        </w:rPr>
        <w:t xml:space="preserve">. Los sujetos obligados deberán documentar todo acto que derive del ejercicio de sus facultades, competencias o funciones, considerando desde su origen la eventual publicidad y reutilización de la información que generen. </w:t>
      </w:r>
    </w:p>
    <w:p w14:paraId="67311502" w14:textId="77777777" w:rsidR="008064D2" w:rsidRPr="00484436" w:rsidRDefault="008064D2" w:rsidP="00D833E9">
      <w:pPr>
        <w:pStyle w:val="Textonotapie"/>
        <w:jc w:val="both"/>
        <w:rPr>
          <w:rFonts w:ascii="Palatino Linotype" w:hAnsi="Palatino Linotype"/>
          <w:sz w:val="18"/>
          <w:szCs w:val="18"/>
        </w:rPr>
      </w:pPr>
      <w:r w:rsidRPr="00484436">
        <w:rPr>
          <w:rFonts w:ascii="Palatino Linotype" w:hAnsi="Palatino Linotype"/>
          <w:b/>
          <w:sz w:val="18"/>
          <w:szCs w:val="18"/>
        </w:rPr>
        <w:t>Artículo 19</w:t>
      </w:r>
      <w:r w:rsidRPr="00484436">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 </w:t>
      </w:r>
    </w:p>
    <w:p w14:paraId="60FFE65C" w14:textId="77777777" w:rsidR="008064D2" w:rsidRPr="00484436" w:rsidRDefault="008064D2" w:rsidP="00D833E9">
      <w:pPr>
        <w:pStyle w:val="Textonotapie"/>
        <w:jc w:val="both"/>
        <w:rPr>
          <w:rFonts w:ascii="Palatino Linotype" w:hAnsi="Palatino Linotype"/>
          <w:sz w:val="18"/>
          <w:szCs w:val="18"/>
        </w:rPr>
      </w:pPr>
      <w:r w:rsidRPr="00484436">
        <w:rPr>
          <w:rFonts w:ascii="Palatino Linotype" w:hAnsi="Palatino Linotype"/>
          <w:sz w:val="18"/>
          <w:szCs w:val="18"/>
        </w:rPr>
        <w:t xml:space="preserve">En los casos en que ciertas facultades, competencias o funciones no se hayan ejercido, se debe motivar la respuesta en función de las causas que motiven tal circunstancia. </w:t>
      </w:r>
    </w:p>
    <w:p w14:paraId="54354232" w14:textId="77777777" w:rsidR="008064D2" w:rsidRPr="00484436" w:rsidRDefault="008064D2" w:rsidP="00D833E9">
      <w:pPr>
        <w:pStyle w:val="Textonotapie"/>
        <w:jc w:val="both"/>
      </w:pPr>
      <w:r w:rsidRPr="00484436">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Layout w:type="fixed"/>
      <w:tblCellMar>
        <w:left w:w="70" w:type="dxa"/>
        <w:right w:w="70" w:type="dxa"/>
      </w:tblCellMar>
      <w:tblLook w:val="04A0" w:firstRow="1" w:lastRow="0" w:firstColumn="1" w:lastColumn="0" w:noHBand="0" w:noVBand="1"/>
    </w:tblPr>
    <w:tblGrid>
      <w:gridCol w:w="6091"/>
      <w:gridCol w:w="4253"/>
    </w:tblGrid>
    <w:tr w:rsidR="008064D2" w14:paraId="35E5EC0A" w14:textId="77777777" w:rsidTr="00C217AD">
      <w:trPr>
        <w:trHeight w:val="227"/>
      </w:trPr>
      <w:tc>
        <w:tcPr>
          <w:tcW w:w="6091" w:type="dxa"/>
          <w:hideMark/>
        </w:tcPr>
        <w:p w14:paraId="7BC472F9" w14:textId="77777777" w:rsidR="008064D2" w:rsidRDefault="008064D2" w:rsidP="004676A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71617EE5" w:rsidR="008064D2" w:rsidRDefault="008064D2" w:rsidP="004676AF">
          <w:pPr>
            <w:spacing w:after="120" w:line="256" w:lineRule="auto"/>
            <w:ind w:left="-486" w:right="214"/>
            <w:jc w:val="right"/>
            <w:rPr>
              <w:rFonts w:ascii="Palatino Linotype" w:hAnsi="Palatino Linotype" w:cs="Arial"/>
              <w:szCs w:val="20"/>
            </w:rPr>
          </w:pPr>
          <w:r w:rsidRPr="00C217AD">
            <w:rPr>
              <w:rFonts w:ascii="Palatino Linotype" w:hAnsi="Palatino Linotype" w:cs="Arial"/>
              <w:b/>
              <w:sz w:val="21"/>
              <w:szCs w:val="21"/>
            </w:rPr>
            <w:t>0</w:t>
          </w:r>
          <w:r>
            <w:rPr>
              <w:rFonts w:ascii="Palatino Linotype" w:hAnsi="Palatino Linotype" w:cs="Arial"/>
              <w:b/>
              <w:sz w:val="21"/>
              <w:szCs w:val="21"/>
            </w:rPr>
            <w:t>1490</w:t>
          </w:r>
          <w:r w:rsidRPr="00C217AD">
            <w:rPr>
              <w:rFonts w:ascii="Palatino Linotype" w:hAnsi="Palatino Linotype" w:cs="Arial"/>
              <w:b/>
              <w:sz w:val="21"/>
              <w:szCs w:val="21"/>
            </w:rPr>
            <w:t>/INFOEM/IP/RR/2020.</w:t>
          </w:r>
        </w:p>
      </w:tc>
    </w:tr>
    <w:tr w:rsidR="008064D2" w14:paraId="0482DFAC" w14:textId="77777777" w:rsidTr="00C217AD">
      <w:trPr>
        <w:trHeight w:val="242"/>
      </w:trPr>
      <w:tc>
        <w:tcPr>
          <w:tcW w:w="6091" w:type="dxa"/>
          <w:hideMark/>
        </w:tcPr>
        <w:p w14:paraId="509D07E9" w14:textId="77777777" w:rsidR="008064D2" w:rsidRDefault="008064D2" w:rsidP="004676A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7ED97DFE" w:rsidR="008064D2" w:rsidRDefault="008064D2" w:rsidP="004676AF">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Instituto de Salud del Estado de México.</w:t>
          </w:r>
        </w:p>
      </w:tc>
    </w:tr>
    <w:tr w:rsidR="008064D2" w14:paraId="7B7E63F5" w14:textId="77777777" w:rsidTr="00C217AD">
      <w:trPr>
        <w:trHeight w:val="342"/>
      </w:trPr>
      <w:tc>
        <w:tcPr>
          <w:tcW w:w="6091" w:type="dxa"/>
          <w:hideMark/>
        </w:tcPr>
        <w:p w14:paraId="2BCB7A44" w14:textId="77777777" w:rsidR="008064D2" w:rsidRDefault="008064D2" w:rsidP="004676A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8064D2" w:rsidRPr="00035DB8" w:rsidRDefault="008064D2" w:rsidP="004676AF">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064D2" w:rsidRDefault="008064D2"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4" w:type="dxa"/>
      <w:tblInd w:w="-851" w:type="dxa"/>
      <w:tblCellMar>
        <w:left w:w="70" w:type="dxa"/>
        <w:right w:w="70" w:type="dxa"/>
      </w:tblCellMar>
      <w:tblLook w:val="04A0" w:firstRow="1" w:lastRow="0" w:firstColumn="1" w:lastColumn="0" w:noHBand="0" w:noVBand="1"/>
    </w:tblPr>
    <w:tblGrid>
      <w:gridCol w:w="6091"/>
      <w:gridCol w:w="4253"/>
    </w:tblGrid>
    <w:tr w:rsidR="008064D2" w:rsidRPr="00D26364" w14:paraId="25A37BB4" w14:textId="77777777" w:rsidTr="00C217AD">
      <w:trPr>
        <w:trHeight w:val="227"/>
      </w:trPr>
      <w:tc>
        <w:tcPr>
          <w:tcW w:w="6091" w:type="dxa"/>
          <w:hideMark/>
        </w:tcPr>
        <w:p w14:paraId="3B7407D3" w14:textId="77777777" w:rsidR="008064D2" w:rsidRPr="00D26364" w:rsidRDefault="008064D2"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32167382" w:rsidR="008064D2" w:rsidRPr="00C217AD" w:rsidRDefault="008064D2" w:rsidP="004676AF">
          <w:pPr>
            <w:tabs>
              <w:tab w:val="left" w:pos="644"/>
            </w:tabs>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0</w:t>
          </w:r>
          <w:r>
            <w:rPr>
              <w:rFonts w:ascii="Palatino Linotype" w:hAnsi="Palatino Linotype" w:cs="Arial"/>
              <w:b/>
              <w:sz w:val="21"/>
              <w:szCs w:val="21"/>
            </w:rPr>
            <w:t>1490</w:t>
          </w:r>
          <w:r w:rsidRPr="00C217AD">
            <w:rPr>
              <w:rFonts w:ascii="Palatino Linotype" w:hAnsi="Palatino Linotype" w:cs="Arial"/>
              <w:b/>
              <w:sz w:val="21"/>
              <w:szCs w:val="21"/>
            </w:rPr>
            <w:t>/INFOEM/IP/RR/2020.</w:t>
          </w:r>
        </w:p>
      </w:tc>
    </w:tr>
    <w:tr w:rsidR="008064D2" w:rsidRPr="00D26364" w14:paraId="480BC2A1" w14:textId="77777777" w:rsidTr="00C217AD">
      <w:trPr>
        <w:trHeight w:val="242"/>
      </w:trPr>
      <w:tc>
        <w:tcPr>
          <w:tcW w:w="6091" w:type="dxa"/>
          <w:hideMark/>
        </w:tcPr>
        <w:p w14:paraId="0BCD7858" w14:textId="77777777" w:rsidR="008064D2" w:rsidRPr="00D26364" w:rsidRDefault="008064D2"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0E03FBDA" w:rsidR="008064D2" w:rsidRPr="00C217AD" w:rsidRDefault="008064D2" w:rsidP="004676AF">
          <w:pPr>
            <w:tabs>
              <w:tab w:val="left" w:pos="644"/>
            </w:tabs>
            <w:spacing w:after="120" w:line="256" w:lineRule="auto"/>
            <w:ind w:left="-486" w:right="72" w:firstLine="486"/>
            <w:jc w:val="right"/>
            <w:rPr>
              <w:rFonts w:ascii="Palatino Linotype" w:hAnsi="Palatino Linotype" w:cs="Arial"/>
              <w:b/>
              <w:sz w:val="21"/>
              <w:szCs w:val="21"/>
            </w:rPr>
          </w:pPr>
          <w:r>
            <w:rPr>
              <w:rFonts w:ascii="Palatino Linotype" w:hAnsi="Palatino Linotype" w:cs="Arial"/>
              <w:b/>
              <w:sz w:val="21"/>
              <w:szCs w:val="21"/>
            </w:rPr>
            <w:t>Instituto de Salud del Estado de México.</w:t>
          </w:r>
        </w:p>
      </w:tc>
    </w:tr>
    <w:tr w:rsidR="008064D2" w:rsidRPr="00D26364" w14:paraId="60A059F9" w14:textId="77777777" w:rsidTr="00C217AD">
      <w:trPr>
        <w:trHeight w:val="342"/>
      </w:trPr>
      <w:tc>
        <w:tcPr>
          <w:tcW w:w="6091" w:type="dxa"/>
        </w:tcPr>
        <w:p w14:paraId="063683FE" w14:textId="77777777" w:rsidR="008064D2" w:rsidRPr="00D26364" w:rsidRDefault="008064D2"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6AE8D72F" w:rsidR="008064D2" w:rsidRPr="00C217AD" w:rsidRDefault="003D0522" w:rsidP="00C217A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sz w:val="21"/>
              <w:szCs w:val="21"/>
            </w:rPr>
            <w:t xml:space="preserve">XXXXX </w:t>
          </w:r>
          <w:proofErr w:type="spellStart"/>
          <w:r>
            <w:rPr>
              <w:rFonts w:ascii="Palatino Linotype" w:hAnsi="Palatino Linotype" w:cs="Arial"/>
              <w:b/>
              <w:sz w:val="21"/>
              <w:szCs w:val="21"/>
            </w:rPr>
            <w:t>XXXXX</w:t>
          </w:r>
          <w:proofErr w:type="spellEnd"/>
          <w:r>
            <w:rPr>
              <w:rFonts w:ascii="Palatino Linotype" w:hAnsi="Palatino Linotype" w:cs="Arial"/>
              <w:b/>
              <w:sz w:val="21"/>
              <w:szCs w:val="21"/>
            </w:rPr>
            <w:t xml:space="preserve"> </w:t>
          </w:r>
          <w:proofErr w:type="spellStart"/>
          <w:r>
            <w:rPr>
              <w:rFonts w:ascii="Palatino Linotype" w:hAnsi="Palatino Linotype" w:cs="Arial"/>
              <w:b/>
              <w:sz w:val="21"/>
              <w:szCs w:val="21"/>
            </w:rPr>
            <w:t>XXXXX</w:t>
          </w:r>
          <w:proofErr w:type="spellEnd"/>
        </w:p>
      </w:tc>
    </w:tr>
    <w:tr w:rsidR="008064D2" w:rsidRPr="00D26364" w14:paraId="7854C9FF" w14:textId="77777777" w:rsidTr="00C217AD">
      <w:trPr>
        <w:trHeight w:val="342"/>
      </w:trPr>
      <w:tc>
        <w:tcPr>
          <w:tcW w:w="6091" w:type="dxa"/>
        </w:tcPr>
        <w:p w14:paraId="02A89BC6" w14:textId="77777777" w:rsidR="008064D2" w:rsidRPr="00D26364" w:rsidRDefault="008064D2"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8064D2" w:rsidRPr="00C217AD" w:rsidRDefault="008064D2" w:rsidP="00C217AD">
          <w:pPr>
            <w:spacing w:after="120" w:line="256" w:lineRule="auto"/>
            <w:ind w:left="-486" w:right="72" w:firstLine="1585"/>
            <w:jc w:val="right"/>
            <w:rPr>
              <w:rFonts w:ascii="Palatino Linotype" w:hAnsi="Palatino Linotype" w:cs="Arial"/>
              <w:b/>
              <w:sz w:val="21"/>
              <w:szCs w:val="21"/>
            </w:rPr>
          </w:pPr>
          <w:r w:rsidRPr="00C217AD">
            <w:rPr>
              <w:rFonts w:ascii="Palatino Linotype" w:hAnsi="Palatino Linotype" w:cs="Arial"/>
              <w:b/>
              <w:sz w:val="21"/>
              <w:szCs w:val="21"/>
            </w:rPr>
            <w:t>Zulema Martínez Sánchez</w:t>
          </w:r>
        </w:p>
      </w:tc>
    </w:tr>
  </w:tbl>
  <w:p w14:paraId="67D63C23" w14:textId="77777777" w:rsidR="008064D2" w:rsidRDefault="008064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5C135D8"/>
    <w:multiLevelType w:val="hybridMultilevel"/>
    <w:tmpl w:val="28524486"/>
    <w:lvl w:ilvl="0" w:tplc="585E62C6">
      <w:start w:val="1"/>
      <w:numFmt w:val="upperRoman"/>
      <w:lvlText w:val="%1."/>
      <w:lvlJc w:val="left"/>
      <w:pPr>
        <w:ind w:left="1080" w:hanging="720"/>
      </w:pPr>
      <w:rPr>
        <w:rFonts w:eastAsia="Times New Roman" w:cs="Arial" w:hint="default"/>
        <w:b w:val="0"/>
        <w:i/>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1E7457"/>
    <w:multiLevelType w:val="hybridMultilevel"/>
    <w:tmpl w:val="6A302BD0"/>
    <w:lvl w:ilvl="0" w:tplc="37C4CA38">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3F08FB"/>
    <w:multiLevelType w:val="hybridMultilevel"/>
    <w:tmpl w:val="95EE7496"/>
    <w:lvl w:ilvl="0" w:tplc="09FC71FE">
      <w:start w:val="1"/>
      <w:numFmt w:val="decimal"/>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7"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46415C2C"/>
    <w:multiLevelType w:val="hybridMultilevel"/>
    <w:tmpl w:val="FFA85470"/>
    <w:lvl w:ilvl="0" w:tplc="AA7492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B0505"/>
    <w:multiLevelType w:val="hybridMultilevel"/>
    <w:tmpl w:val="1FE262AA"/>
    <w:lvl w:ilvl="0" w:tplc="080A000F">
      <w:start w:val="1"/>
      <w:numFmt w:val="decimal"/>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9"/>
  </w:num>
  <w:num w:numId="4">
    <w:abstractNumId w:val="7"/>
  </w:num>
  <w:num w:numId="5">
    <w:abstractNumId w:val="5"/>
  </w:num>
  <w:num w:numId="6">
    <w:abstractNumId w:val="0"/>
  </w:num>
  <w:num w:numId="7">
    <w:abstractNumId w:val="11"/>
  </w:num>
  <w:num w:numId="8">
    <w:abstractNumId w:val="8"/>
  </w:num>
  <w:num w:numId="9">
    <w:abstractNumId w:val="1"/>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3CE"/>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1AB5"/>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4340"/>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C29"/>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BD5"/>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320"/>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538"/>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0EF1"/>
    <w:rsid w:val="002A1955"/>
    <w:rsid w:val="002A26B8"/>
    <w:rsid w:val="002A2AC3"/>
    <w:rsid w:val="002A2D36"/>
    <w:rsid w:val="002A312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7C2E"/>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0522"/>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37C"/>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6AF"/>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CE1"/>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0AF"/>
    <w:rsid w:val="004E0A13"/>
    <w:rsid w:val="004E1269"/>
    <w:rsid w:val="004E168B"/>
    <w:rsid w:val="004E2207"/>
    <w:rsid w:val="004E2390"/>
    <w:rsid w:val="004E26BE"/>
    <w:rsid w:val="004E33F1"/>
    <w:rsid w:val="004E3C70"/>
    <w:rsid w:val="004E47A4"/>
    <w:rsid w:val="004E53F0"/>
    <w:rsid w:val="004E608C"/>
    <w:rsid w:val="004E76C2"/>
    <w:rsid w:val="004F0300"/>
    <w:rsid w:val="004F1AF6"/>
    <w:rsid w:val="004F2094"/>
    <w:rsid w:val="004F28A7"/>
    <w:rsid w:val="004F2B2F"/>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7E7"/>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6D"/>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81E"/>
    <w:rsid w:val="00557A07"/>
    <w:rsid w:val="00560E0C"/>
    <w:rsid w:val="00560E87"/>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4668"/>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6375"/>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4D2"/>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6CE9"/>
    <w:rsid w:val="00817C7C"/>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6A6"/>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7B3"/>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16AD"/>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1D6"/>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235"/>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591"/>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49F2"/>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6A"/>
    <w:rsid w:val="00B42EA2"/>
    <w:rsid w:val="00B4389C"/>
    <w:rsid w:val="00B45895"/>
    <w:rsid w:val="00B46138"/>
    <w:rsid w:val="00B47BE3"/>
    <w:rsid w:val="00B5065D"/>
    <w:rsid w:val="00B52358"/>
    <w:rsid w:val="00B526FC"/>
    <w:rsid w:val="00B52C58"/>
    <w:rsid w:val="00B545DC"/>
    <w:rsid w:val="00B546AA"/>
    <w:rsid w:val="00B56931"/>
    <w:rsid w:val="00B57D5C"/>
    <w:rsid w:val="00B601B9"/>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8C1"/>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CC4"/>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665"/>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7AD"/>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547B"/>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0B74"/>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4C7"/>
    <w:rsid w:val="00CD49B4"/>
    <w:rsid w:val="00CD5D17"/>
    <w:rsid w:val="00CD6388"/>
    <w:rsid w:val="00CD765F"/>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237B"/>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64E"/>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33E9"/>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C41"/>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433"/>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BF8"/>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5F4"/>
    <w:rsid w:val="00E74E8A"/>
    <w:rsid w:val="00E74EAC"/>
    <w:rsid w:val="00E75093"/>
    <w:rsid w:val="00E760F6"/>
    <w:rsid w:val="00E76977"/>
    <w:rsid w:val="00E77A4E"/>
    <w:rsid w:val="00E8066F"/>
    <w:rsid w:val="00E80793"/>
    <w:rsid w:val="00E80799"/>
    <w:rsid w:val="00E80ADE"/>
    <w:rsid w:val="00E819B3"/>
    <w:rsid w:val="00E81C63"/>
    <w:rsid w:val="00E825A9"/>
    <w:rsid w:val="00E83414"/>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1F33"/>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76"/>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271"/>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753"/>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5D56"/>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8509017">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7319850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37AAD-8BD4-429C-9E89-48CCB10B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27</Pages>
  <Words>6991</Words>
  <Characters>38452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6</cp:revision>
  <cp:lastPrinted>2020-03-13T16:37:00Z</cp:lastPrinted>
  <dcterms:created xsi:type="dcterms:W3CDTF">2020-08-04T19:05:00Z</dcterms:created>
  <dcterms:modified xsi:type="dcterms:W3CDTF">2020-09-10T01:02:00Z</dcterms:modified>
</cp:coreProperties>
</file>