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D707F7" w:rsidRDefault="00BE4FCA" w:rsidP="00100B8B">
      <w:pPr>
        <w:spacing w:before="240" w:after="240" w:line="360" w:lineRule="auto"/>
        <w:jc w:val="center"/>
        <w:rPr>
          <w:rFonts w:ascii="Palatino Linotype" w:hAnsi="Palatino Linotype"/>
          <w:b/>
        </w:rPr>
      </w:pPr>
      <w:bookmarkStart w:id="0" w:name="_GoBack"/>
      <w:bookmarkEnd w:id="0"/>
      <w:r w:rsidRPr="00722988">
        <w:rPr>
          <w:rFonts w:ascii="Palatino Linotype" w:hAnsi="Palatino Linotype"/>
          <w:b/>
        </w:rPr>
        <w:t xml:space="preserve"> </w:t>
      </w:r>
      <w:r w:rsidR="00100B8B" w:rsidRPr="00D707F7">
        <w:rPr>
          <w:rFonts w:ascii="Palatino Linotype" w:hAnsi="Palatino Linotype"/>
          <w:b/>
        </w:rPr>
        <w:t>LÍNEAS ARGUMENTATIVAS.</w:t>
      </w:r>
    </w:p>
    <w:p w14:paraId="2EF5EAC7" w14:textId="77777777" w:rsidR="00943B9C" w:rsidRPr="00D707F7" w:rsidRDefault="00943B9C" w:rsidP="00943B9C">
      <w:pPr>
        <w:spacing w:before="240" w:after="360" w:line="360" w:lineRule="auto"/>
        <w:contextualSpacing/>
        <w:jc w:val="both"/>
        <w:rPr>
          <w:rFonts w:ascii="Palatino Linotype" w:eastAsia="Times New Roman" w:hAnsi="Palatino Linotype"/>
        </w:rPr>
      </w:pPr>
      <w:r w:rsidRPr="00D707F7">
        <w:rPr>
          <w:rFonts w:ascii="Palatino Linotype" w:eastAsia="Times New Roman" w:hAnsi="Palatino Linotype"/>
          <w:b/>
        </w:rPr>
        <w:t>DEBERES DE LAS AUTORIDADES.</w:t>
      </w:r>
      <w:r w:rsidRPr="00D707F7">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D707F7" w:rsidRDefault="00943B9C" w:rsidP="00943B9C">
      <w:pPr>
        <w:spacing w:line="360" w:lineRule="auto"/>
        <w:jc w:val="both"/>
        <w:rPr>
          <w:rFonts w:ascii="Palatino Linotype" w:eastAsia="Calibri" w:hAnsi="Palatino Linotype" w:cs="Times New Roman"/>
        </w:rPr>
      </w:pPr>
      <w:r w:rsidRPr="00D707F7">
        <w:rPr>
          <w:rFonts w:ascii="Palatino Linotype" w:eastAsia="Calibri" w:hAnsi="Palatino Linotype" w:cs="Times New Roman"/>
          <w:b/>
        </w:rPr>
        <w:t>DE LA GARANTÍA DE PROPORCIONAR LA INFORMACIÓN PÚBLICA GUBERNAMENTAL.</w:t>
      </w:r>
      <w:r w:rsidRPr="00D707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D707F7"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D707F7" w:rsidRDefault="00B0144D" w:rsidP="00B0144D">
      <w:pPr>
        <w:spacing w:line="360" w:lineRule="auto"/>
        <w:jc w:val="both"/>
        <w:rPr>
          <w:rFonts w:ascii="Palatino Linotype" w:hAnsi="Palatino Linotype" w:cs="Arial"/>
        </w:rPr>
      </w:pPr>
    </w:p>
    <w:p w14:paraId="42C21874" w14:textId="77777777" w:rsidR="00AC22B5" w:rsidRPr="00D707F7" w:rsidRDefault="00AC22B5" w:rsidP="00B0144D">
      <w:pPr>
        <w:spacing w:line="360" w:lineRule="auto"/>
        <w:jc w:val="both"/>
        <w:rPr>
          <w:rFonts w:ascii="Palatino Linotype" w:hAnsi="Palatino Linotype" w:cs="Arial"/>
        </w:rPr>
      </w:pPr>
    </w:p>
    <w:p w14:paraId="2B30FCD3" w14:textId="77777777" w:rsidR="00AC22B5" w:rsidRPr="00D707F7" w:rsidRDefault="00AC22B5" w:rsidP="00B0144D">
      <w:pPr>
        <w:spacing w:line="360" w:lineRule="auto"/>
        <w:jc w:val="both"/>
        <w:rPr>
          <w:rFonts w:ascii="Palatino Linotype" w:hAnsi="Palatino Linotype" w:cs="Arial"/>
        </w:rPr>
      </w:pPr>
    </w:p>
    <w:p w14:paraId="115FE699" w14:textId="77777777" w:rsidR="00AC22B5" w:rsidRPr="00D707F7" w:rsidRDefault="00AC22B5" w:rsidP="00B0144D">
      <w:pPr>
        <w:spacing w:line="360" w:lineRule="auto"/>
        <w:jc w:val="both"/>
        <w:rPr>
          <w:rFonts w:ascii="Palatino Linotype" w:hAnsi="Palatino Linotype" w:cs="Arial"/>
        </w:rPr>
      </w:pPr>
    </w:p>
    <w:p w14:paraId="271E3B0C" w14:textId="77777777" w:rsidR="00AC22B5" w:rsidRPr="00D707F7" w:rsidRDefault="00AC22B5" w:rsidP="00B0144D">
      <w:pPr>
        <w:spacing w:line="360" w:lineRule="auto"/>
        <w:jc w:val="both"/>
        <w:rPr>
          <w:rFonts w:ascii="Palatino Linotype" w:hAnsi="Palatino Linotype" w:cs="Arial"/>
        </w:rPr>
      </w:pPr>
    </w:p>
    <w:p w14:paraId="0023DA9A" w14:textId="13E06EBD" w:rsidR="002F7480" w:rsidRPr="00D707F7" w:rsidRDefault="002F7480" w:rsidP="00943B9C">
      <w:pPr>
        <w:spacing w:before="240" w:after="240" w:line="360" w:lineRule="auto"/>
        <w:jc w:val="both"/>
        <w:rPr>
          <w:rFonts w:ascii="Palatino Linotype" w:eastAsia="Times New Roman" w:hAnsi="Palatino Linotype" w:cs="Times New Roman"/>
          <w:b/>
          <w:u w:val="single"/>
        </w:rPr>
      </w:pPr>
      <w:r w:rsidRPr="00D707F7">
        <w:rPr>
          <w:rFonts w:ascii="Palatino Linotype" w:hAnsi="Palatino Linotype"/>
        </w:rPr>
        <w:t xml:space="preserve">  </w:t>
      </w:r>
      <w:r w:rsidR="008632C8" w:rsidRPr="00D707F7">
        <w:rPr>
          <w:rFonts w:ascii="Palatino Linotype" w:eastAsia="MS Mincho" w:hAnsi="Palatino Linotype" w:cs="Arial"/>
        </w:rPr>
        <w:t xml:space="preserve"> </w:t>
      </w:r>
    </w:p>
    <w:p w14:paraId="65652C33" w14:textId="77777777" w:rsidR="00BB03D0" w:rsidRPr="00D707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707F7"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b/>
          <w:sz w:val="23"/>
          <w:szCs w:val="23"/>
          <w:lang w:val="es-ES"/>
        </w:rPr>
        <w:id w:val="-1245946457"/>
        <w:docPartObj>
          <w:docPartGallery w:val="Table of Contents"/>
          <w:docPartUnique/>
        </w:docPartObj>
      </w:sdtPr>
      <w:sdtEndPr>
        <w:rPr>
          <w:bCs/>
          <w:sz w:val="24"/>
          <w:szCs w:val="24"/>
        </w:rPr>
      </w:sdtEndPr>
      <w:sdtContent>
        <w:p w14:paraId="40CE5B97" w14:textId="77777777" w:rsidR="00C515DD" w:rsidRPr="00FC04DF" w:rsidRDefault="00DA7E2F" w:rsidP="00FC04DF">
          <w:pPr>
            <w:pStyle w:val="TDC1"/>
            <w:spacing w:line="480" w:lineRule="auto"/>
            <w:ind w:left="0"/>
            <w:rPr>
              <w:rFonts w:ascii="Palatino Linotype" w:hAnsi="Palatino Linotype"/>
              <w:b/>
              <w:noProof/>
              <w:lang w:val="es-MX" w:eastAsia="es-MX"/>
            </w:rPr>
          </w:pPr>
          <w:r w:rsidRPr="00FC04DF">
            <w:rPr>
              <w:rFonts w:ascii="Palatino Linotype" w:eastAsiaTheme="majorEastAsia" w:hAnsi="Palatino Linotype" w:cstheme="majorBidi"/>
              <w:b/>
              <w:lang w:val="es-MX" w:eastAsia="es-MX"/>
            </w:rPr>
            <w:fldChar w:fldCharType="begin"/>
          </w:r>
          <w:r w:rsidRPr="00FC04DF">
            <w:rPr>
              <w:rFonts w:ascii="Palatino Linotype" w:hAnsi="Palatino Linotype"/>
              <w:b/>
            </w:rPr>
            <w:instrText xml:space="preserve"> TOC \o "1-3" \h \z \u </w:instrText>
          </w:r>
          <w:r w:rsidRPr="00FC04DF">
            <w:rPr>
              <w:rFonts w:ascii="Palatino Linotype" w:eastAsiaTheme="majorEastAsia" w:hAnsi="Palatino Linotype" w:cstheme="majorBidi"/>
              <w:b/>
              <w:lang w:val="es-MX" w:eastAsia="es-MX"/>
            </w:rPr>
            <w:fldChar w:fldCharType="separate"/>
          </w:r>
          <w:hyperlink w:anchor="_Toc49862999" w:history="1">
            <w:r w:rsidR="00C515DD" w:rsidRPr="00FC04DF">
              <w:rPr>
                <w:rStyle w:val="Hipervnculo"/>
                <w:rFonts w:ascii="Palatino Linotype" w:hAnsi="Palatino Linotype"/>
                <w:b/>
                <w:noProof/>
              </w:rPr>
              <w:t>ANTECEDENTES</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_Toc49862999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3</w:t>
            </w:r>
            <w:r w:rsidR="00C515DD" w:rsidRPr="00FC04DF">
              <w:rPr>
                <w:rFonts w:ascii="Palatino Linotype" w:hAnsi="Palatino Linotype"/>
                <w:b/>
                <w:noProof/>
                <w:webHidden/>
              </w:rPr>
              <w:fldChar w:fldCharType="end"/>
            </w:r>
          </w:hyperlink>
        </w:p>
        <w:p w14:paraId="02FC7EC0" w14:textId="77777777" w:rsidR="00C515DD" w:rsidRPr="00FC04DF" w:rsidRDefault="002C1F24" w:rsidP="00FC04DF">
          <w:pPr>
            <w:pStyle w:val="TDC1"/>
            <w:spacing w:line="480" w:lineRule="auto"/>
            <w:ind w:left="0"/>
            <w:rPr>
              <w:rFonts w:ascii="Palatino Linotype" w:hAnsi="Palatino Linotype"/>
              <w:b/>
              <w:noProof/>
              <w:lang w:val="es-MX" w:eastAsia="es-MX"/>
            </w:rPr>
          </w:pPr>
          <w:hyperlink w:anchor="_Toc49863002" w:history="1">
            <w:r w:rsidR="00C515DD" w:rsidRPr="00FC04DF">
              <w:rPr>
                <w:rStyle w:val="Hipervnculo"/>
                <w:rFonts w:ascii="Palatino Linotype" w:hAnsi="Palatino Linotype"/>
                <w:b/>
                <w:noProof/>
              </w:rPr>
              <w:t>CONSIDERANDO</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_Toc49863002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5</w:t>
            </w:r>
            <w:r w:rsidR="00C515DD" w:rsidRPr="00FC04DF">
              <w:rPr>
                <w:rFonts w:ascii="Palatino Linotype" w:hAnsi="Palatino Linotype"/>
                <w:b/>
                <w:noProof/>
                <w:webHidden/>
              </w:rPr>
              <w:fldChar w:fldCharType="end"/>
            </w:r>
          </w:hyperlink>
        </w:p>
        <w:p w14:paraId="2B9749CB" w14:textId="77777777" w:rsidR="00C515DD" w:rsidRPr="00FC04DF" w:rsidRDefault="002C1F24" w:rsidP="00FC04DF">
          <w:pPr>
            <w:pStyle w:val="TDC2"/>
            <w:rPr>
              <w:rFonts w:ascii="Palatino Linotype" w:hAnsi="Palatino Linotype"/>
              <w:b/>
              <w:noProof/>
              <w:lang w:val="es-MX" w:eastAsia="es-MX"/>
            </w:rPr>
          </w:pPr>
          <w:hyperlink w:anchor="_Toc49863003" w:history="1">
            <w:r w:rsidR="00C515DD" w:rsidRPr="00FC04DF">
              <w:rPr>
                <w:rStyle w:val="Hipervnculo"/>
                <w:rFonts w:ascii="Palatino Linotype" w:hAnsi="Palatino Linotype"/>
                <w:b/>
                <w:noProof/>
              </w:rPr>
              <w:t>PRIMERO. De la competencia</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_Toc49863003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5</w:t>
            </w:r>
            <w:r w:rsidR="00C515DD" w:rsidRPr="00FC04DF">
              <w:rPr>
                <w:rFonts w:ascii="Palatino Linotype" w:hAnsi="Palatino Linotype"/>
                <w:b/>
                <w:noProof/>
                <w:webHidden/>
              </w:rPr>
              <w:fldChar w:fldCharType="end"/>
            </w:r>
          </w:hyperlink>
        </w:p>
        <w:p w14:paraId="65F6B382" w14:textId="77777777" w:rsidR="00C515DD" w:rsidRPr="00FC04DF" w:rsidRDefault="002C1F24" w:rsidP="00FC04DF">
          <w:pPr>
            <w:pStyle w:val="TDC2"/>
            <w:rPr>
              <w:rFonts w:ascii="Palatino Linotype" w:hAnsi="Palatino Linotype"/>
              <w:b/>
              <w:noProof/>
              <w:lang w:val="es-MX" w:eastAsia="es-MX"/>
            </w:rPr>
          </w:pPr>
          <w:hyperlink w:anchor="_Toc49863004" w:history="1">
            <w:r w:rsidR="00C515DD" w:rsidRPr="00FC04DF">
              <w:rPr>
                <w:rStyle w:val="Hipervnculo"/>
                <w:rFonts w:ascii="Palatino Linotype" w:hAnsi="Palatino Linotype"/>
                <w:b/>
                <w:noProof/>
              </w:rPr>
              <w:t>SEGUNDO. De la oportunidad y procedencia.</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_Toc49863004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6</w:t>
            </w:r>
            <w:r w:rsidR="00C515DD" w:rsidRPr="00FC04DF">
              <w:rPr>
                <w:rFonts w:ascii="Palatino Linotype" w:hAnsi="Palatino Linotype"/>
                <w:b/>
                <w:noProof/>
                <w:webHidden/>
              </w:rPr>
              <w:fldChar w:fldCharType="end"/>
            </w:r>
          </w:hyperlink>
        </w:p>
        <w:p w14:paraId="44516D00" w14:textId="77777777" w:rsidR="00C515DD" w:rsidRPr="00FC04DF" w:rsidRDefault="002C1F24" w:rsidP="00FC04DF">
          <w:pPr>
            <w:pStyle w:val="TDC1"/>
            <w:spacing w:line="480" w:lineRule="auto"/>
            <w:rPr>
              <w:rFonts w:ascii="Palatino Linotype" w:hAnsi="Palatino Linotype"/>
              <w:b/>
              <w:noProof/>
              <w:lang w:val="es-MX" w:eastAsia="es-MX"/>
            </w:rPr>
          </w:pPr>
          <w:hyperlink w:anchor="_Toc49863005" w:history="1">
            <w:r w:rsidR="00C515DD" w:rsidRPr="00FC04DF">
              <w:rPr>
                <w:rStyle w:val="Hipervnculo"/>
                <w:rFonts w:ascii="Palatino Linotype" w:hAnsi="Palatino Linotype"/>
                <w:b/>
                <w:noProof/>
              </w:rPr>
              <w:t xml:space="preserve">TERCERO. Del planteamiento de la </w:t>
            </w:r>
            <w:r w:rsidR="00C515DD" w:rsidRPr="00FC04DF">
              <w:rPr>
                <w:rStyle w:val="Hipervnculo"/>
                <w:rFonts w:ascii="Palatino Linotype" w:hAnsi="Palatino Linotype"/>
                <w:b/>
                <w:i/>
                <w:noProof/>
              </w:rPr>
              <w:t>Litis</w:t>
            </w:r>
            <w:r w:rsidR="00C515DD" w:rsidRPr="00FC04DF">
              <w:rPr>
                <w:rStyle w:val="Hipervnculo"/>
                <w:rFonts w:ascii="Palatino Linotype" w:hAnsi="Palatino Linotype"/>
                <w:b/>
                <w:noProof/>
              </w:rPr>
              <w:t>.</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_Toc49863005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9</w:t>
            </w:r>
            <w:r w:rsidR="00C515DD" w:rsidRPr="00FC04DF">
              <w:rPr>
                <w:rFonts w:ascii="Palatino Linotype" w:hAnsi="Palatino Linotype"/>
                <w:b/>
                <w:noProof/>
                <w:webHidden/>
              </w:rPr>
              <w:fldChar w:fldCharType="end"/>
            </w:r>
          </w:hyperlink>
        </w:p>
        <w:p w14:paraId="02CF6CA0" w14:textId="77777777" w:rsidR="00C515DD" w:rsidRPr="00FC04DF" w:rsidRDefault="002C1F24" w:rsidP="00FC04DF">
          <w:pPr>
            <w:pStyle w:val="TDC1"/>
            <w:spacing w:line="480" w:lineRule="auto"/>
            <w:rPr>
              <w:rFonts w:ascii="Palatino Linotype" w:hAnsi="Palatino Linotype"/>
              <w:b/>
              <w:noProof/>
              <w:lang w:val="es-MX" w:eastAsia="es-MX"/>
            </w:rPr>
          </w:pPr>
          <w:hyperlink w:anchor="_Toc49863006" w:history="1">
            <w:r w:rsidR="00C515DD" w:rsidRPr="00FC04DF">
              <w:rPr>
                <w:rStyle w:val="Hipervnculo"/>
                <w:rFonts w:ascii="Palatino Linotype" w:hAnsi="Palatino Linotype"/>
                <w:b/>
                <w:noProof/>
              </w:rPr>
              <w:t>CUARTO. Del estudio y resolución del asunto.</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_Toc49863006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9</w:t>
            </w:r>
            <w:r w:rsidR="00C515DD" w:rsidRPr="00FC04DF">
              <w:rPr>
                <w:rFonts w:ascii="Palatino Linotype" w:hAnsi="Palatino Linotype"/>
                <w:b/>
                <w:noProof/>
                <w:webHidden/>
              </w:rPr>
              <w:fldChar w:fldCharType="end"/>
            </w:r>
          </w:hyperlink>
        </w:p>
        <w:p w14:paraId="2E9235E6" w14:textId="77777777" w:rsidR="00C515DD" w:rsidRPr="00FC04DF" w:rsidRDefault="002C1F24" w:rsidP="00FC04DF">
          <w:pPr>
            <w:pStyle w:val="TDC1"/>
            <w:spacing w:line="480" w:lineRule="auto"/>
            <w:rPr>
              <w:rFonts w:ascii="Palatino Linotype" w:hAnsi="Palatino Linotype"/>
              <w:b/>
              <w:noProof/>
              <w:lang w:val="es-MX" w:eastAsia="es-MX"/>
            </w:rPr>
          </w:pPr>
          <w:hyperlink w:anchor="_Toc49863010" w:history="1">
            <w:r w:rsidR="00C515DD" w:rsidRPr="00FC04DF">
              <w:rPr>
                <w:rStyle w:val="Hipervnculo"/>
                <w:rFonts w:ascii="Palatino Linotype" w:eastAsia="Times New Roman" w:hAnsi="Palatino Linotype" w:cstheme="majorBidi"/>
                <w:b/>
                <w:noProof/>
              </w:rPr>
              <w:t>QUINTO. El cumplimiento a esta resolución es susceptible de ser impugnado.</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_Toc49863010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35</w:t>
            </w:r>
            <w:r w:rsidR="00C515DD" w:rsidRPr="00FC04DF">
              <w:rPr>
                <w:rFonts w:ascii="Palatino Linotype" w:hAnsi="Palatino Linotype"/>
                <w:b/>
                <w:noProof/>
                <w:webHidden/>
              </w:rPr>
              <w:fldChar w:fldCharType="end"/>
            </w:r>
          </w:hyperlink>
        </w:p>
        <w:p w14:paraId="3A2A753F" w14:textId="77777777" w:rsidR="00C515DD" w:rsidRPr="00FC04DF" w:rsidRDefault="002C1F24" w:rsidP="00FC04DF">
          <w:pPr>
            <w:pStyle w:val="TDC1"/>
            <w:spacing w:line="480" w:lineRule="auto"/>
            <w:rPr>
              <w:rFonts w:ascii="Palatino Linotype" w:hAnsi="Palatino Linotype"/>
              <w:b/>
              <w:noProof/>
              <w:lang w:val="es-MX" w:eastAsia="es-MX"/>
            </w:rPr>
          </w:pPr>
          <w:hyperlink w:anchor="_Toc49863011" w:history="1">
            <w:r w:rsidR="00C515DD" w:rsidRPr="00FC04DF">
              <w:rPr>
                <w:rStyle w:val="Hipervnculo"/>
                <w:rFonts w:ascii="Palatino Linotype" w:eastAsia="MS Gothic" w:hAnsi="Palatino Linotype" w:cstheme="majorBidi"/>
                <w:b/>
                <w:noProof/>
              </w:rPr>
              <w:t>SEXTO. Vista a los órganos de control interno.</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_Toc49863011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37</w:t>
            </w:r>
            <w:r w:rsidR="00C515DD" w:rsidRPr="00FC04DF">
              <w:rPr>
                <w:rFonts w:ascii="Palatino Linotype" w:hAnsi="Palatino Linotype"/>
                <w:b/>
                <w:noProof/>
                <w:webHidden/>
              </w:rPr>
              <w:fldChar w:fldCharType="end"/>
            </w:r>
          </w:hyperlink>
        </w:p>
        <w:p w14:paraId="09E0D0AD" w14:textId="77777777" w:rsidR="00C515DD" w:rsidRPr="00FC04DF" w:rsidRDefault="002C1F24" w:rsidP="00FC04DF">
          <w:pPr>
            <w:pStyle w:val="TDC2"/>
            <w:rPr>
              <w:rFonts w:ascii="Palatino Linotype" w:hAnsi="Palatino Linotype"/>
              <w:b/>
              <w:noProof/>
              <w:lang w:val="es-MX" w:eastAsia="es-MX"/>
            </w:rPr>
          </w:pPr>
          <w:hyperlink w:anchor="_Toc49863012" w:history="1">
            <w:r w:rsidR="00C515DD" w:rsidRPr="00FC04DF">
              <w:rPr>
                <w:rStyle w:val="Hipervnculo"/>
                <w:rFonts w:ascii="Palatino Linotype" w:eastAsiaTheme="majorEastAsia" w:hAnsi="Palatino Linotype" w:cstheme="majorBidi"/>
                <w:b/>
                <w:noProof/>
              </w:rPr>
              <w:t>SÉPTIMO. De la versión pública.</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_Toc49863012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40</w:t>
            </w:r>
            <w:r w:rsidR="00C515DD" w:rsidRPr="00FC04DF">
              <w:rPr>
                <w:rFonts w:ascii="Palatino Linotype" w:hAnsi="Palatino Linotype"/>
                <w:b/>
                <w:noProof/>
                <w:webHidden/>
              </w:rPr>
              <w:fldChar w:fldCharType="end"/>
            </w:r>
          </w:hyperlink>
        </w:p>
        <w:p w14:paraId="6A8F712D" w14:textId="77777777" w:rsidR="00C515DD" w:rsidRPr="00FC04DF" w:rsidRDefault="002C1F24" w:rsidP="00FC04DF">
          <w:pPr>
            <w:pStyle w:val="TDC1"/>
            <w:spacing w:line="480" w:lineRule="auto"/>
            <w:ind w:left="0"/>
            <w:rPr>
              <w:rFonts w:ascii="Palatino Linotype" w:hAnsi="Palatino Linotype"/>
              <w:b/>
              <w:noProof/>
              <w:lang w:val="es-MX" w:eastAsia="es-MX"/>
            </w:rPr>
          </w:pPr>
          <w:hyperlink w:anchor="_Toc49863025" w:history="1">
            <w:r w:rsidR="00C515DD" w:rsidRPr="00FC04DF">
              <w:rPr>
                <w:rStyle w:val="Hipervnculo"/>
                <w:rFonts w:ascii="Palatino Linotype" w:eastAsia="Calibri" w:hAnsi="Palatino Linotype" w:cstheme="majorBidi"/>
                <w:b/>
                <w:noProof/>
                <w:lang w:val="es-ES"/>
              </w:rPr>
              <w:t>R E S O L U T I V O S</w:t>
            </w:r>
            <w:r w:rsidR="00C515DD" w:rsidRPr="00FC04DF">
              <w:rPr>
                <w:rFonts w:ascii="Palatino Linotype" w:hAnsi="Palatino Linotype"/>
                <w:b/>
                <w:noProof/>
                <w:webHidden/>
              </w:rPr>
              <w:tab/>
            </w:r>
            <w:r w:rsidR="00C515DD" w:rsidRPr="00FC04DF">
              <w:rPr>
                <w:rFonts w:ascii="Palatino Linotype" w:hAnsi="Palatino Linotype"/>
                <w:b/>
                <w:noProof/>
                <w:webHidden/>
              </w:rPr>
              <w:fldChar w:fldCharType="begin"/>
            </w:r>
            <w:r w:rsidR="00C515DD" w:rsidRPr="00FC04DF">
              <w:rPr>
                <w:rFonts w:ascii="Palatino Linotype" w:hAnsi="Palatino Linotype"/>
                <w:b/>
                <w:noProof/>
                <w:webHidden/>
              </w:rPr>
              <w:instrText xml:space="preserve"> PAGEREF _Toc49863025 \h </w:instrText>
            </w:r>
            <w:r w:rsidR="00C515DD" w:rsidRPr="00FC04DF">
              <w:rPr>
                <w:rFonts w:ascii="Palatino Linotype" w:hAnsi="Palatino Linotype"/>
                <w:b/>
                <w:noProof/>
                <w:webHidden/>
              </w:rPr>
            </w:r>
            <w:r w:rsidR="00C515DD" w:rsidRPr="00FC04DF">
              <w:rPr>
                <w:rFonts w:ascii="Palatino Linotype" w:hAnsi="Palatino Linotype"/>
                <w:b/>
                <w:noProof/>
                <w:webHidden/>
              </w:rPr>
              <w:fldChar w:fldCharType="separate"/>
            </w:r>
            <w:r w:rsidR="00FC04DF" w:rsidRPr="00FC04DF">
              <w:rPr>
                <w:rFonts w:ascii="Palatino Linotype" w:hAnsi="Palatino Linotype"/>
                <w:b/>
                <w:noProof/>
                <w:webHidden/>
              </w:rPr>
              <w:t>67</w:t>
            </w:r>
            <w:r w:rsidR="00C515DD" w:rsidRPr="00FC04DF">
              <w:rPr>
                <w:rFonts w:ascii="Palatino Linotype" w:hAnsi="Palatino Linotype"/>
                <w:b/>
                <w:noProof/>
                <w:webHidden/>
              </w:rPr>
              <w:fldChar w:fldCharType="end"/>
            </w:r>
          </w:hyperlink>
        </w:p>
        <w:p w14:paraId="2416AEAB" w14:textId="51426476" w:rsidR="00100B8B" w:rsidRPr="00D707F7" w:rsidRDefault="00DA7E2F" w:rsidP="00FC04DF">
          <w:pPr>
            <w:spacing w:line="480" w:lineRule="auto"/>
            <w:rPr>
              <w:rFonts w:ascii="Palatino Linotype" w:hAnsi="Palatino Linotype"/>
            </w:rPr>
          </w:pPr>
          <w:r w:rsidRPr="00FC04DF">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73F7F940" w14:textId="603B21BA"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lastRenderedPageBreak/>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C27631">
        <w:rPr>
          <w:rFonts w:ascii="Palatino Linotype" w:hAnsi="Palatino Linotype"/>
        </w:rPr>
        <w:t>veintitrés</w:t>
      </w:r>
      <w:r w:rsidR="00100B8B" w:rsidRPr="00D707F7">
        <w:rPr>
          <w:rFonts w:ascii="Palatino Linotype" w:hAnsi="Palatino Linotype"/>
        </w:rPr>
        <w:t xml:space="preserve"> </w:t>
      </w:r>
      <w:r w:rsidR="00662C69" w:rsidRPr="00D707F7">
        <w:rPr>
          <w:rFonts w:ascii="Palatino Linotype" w:hAnsi="Palatino Linotype"/>
        </w:rPr>
        <w:t>(</w:t>
      </w:r>
      <w:r w:rsidR="00C27631">
        <w:rPr>
          <w:rFonts w:ascii="Palatino Linotype" w:hAnsi="Palatino Linotype"/>
        </w:rPr>
        <w:t>23</w:t>
      </w:r>
      <w:r w:rsidR="00662C69" w:rsidRPr="00D707F7">
        <w:rPr>
          <w:rFonts w:ascii="Palatino Linotype" w:hAnsi="Palatino Linotype"/>
        </w:rPr>
        <w:t xml:space="preserve">) de </w:t>
      </w:r>
      <w:r w:rsidR="00D67CE3">
        <w:rPr>
          <w:rFonts w:ascii="Palatino Linotype" w:hAnsi="Palatino Linotype"/>
        </w:rPr>
        <w:t>septiembre</w:t>
      </w:r>
      <w:r w:rsidR="001E74A5" w:rsidRPr="00D707F7">
        <w:rPr>
          <w:rFonts w:ascii="Palatino Linotype" w:hAnsi="Palatino Linotype"/>
        </w:rPr>
        <w:t xml:space="preserve"> </w:t>
      </w:r>
      <w:r w:rsidR="00662C69" w:rsidRPr="00D707F7">
        <w:rPr>
          <w:rFonts w:ascii="Palatino Linotype" w:hAnsi="Palatino Linotype"/>
        </w:rPr>
        <w:t xml:space="preserve">de dos mil </w:t>
      </w:r>
      <w:r w:rsidR="00222AAA" w:rsidRPr="00D707F7">
        <w:rPr>
          <w:rFonts w:ascii="Palatino Linotype" w:hAnsi="Palatino Linotype"/>
        </w:rPr>
        <w:t>veinte</w:t>
      </w:r>
      <w:r w:rsidR="00662C69" w:rsidRPr="00D707F7">
        <w:rPr>
          <w:rFonts w:ascii="Palatino Linotype" w:hAnsi="Palatino Linotype"/>
        </w:rPr>
        <w:t>.</w:t>
      </w:r>
    </w:p>
    <w:p w14:paraId="02C1324E" w14:textId="00A0A872" w:rsidR="00662C69" w:rsidRPr="007A6835" w:rsidRDefault="00662C69" w:rsidP="007A6835">
      <w:pPr>
        <w:pStyle w:val="Encabezado"/>
        <w:tabs>
          <w:tab w:val="clear" w:pos="4252"/>
          <w:tab w:val="clear" w:pos="8504"/>
          <w:tab w:val="left" w:pos="521"/>
        </w:tabs>
        <w:spacing w:line="360" w:lineRule="auto"/>
        <w:jc w:val="both"/>
        <w:rPr>
          <w:rFonts w:ascii="Palatino Linotype" w:hAnsi="Palatino Linotype"/>
          <w:b/>
          <w:sz w:val="22"/>
          <w:szCs w:val="22"/>
          <w:highlight w:val="black"/>
        </w:rPr>
      </w:pPr>
      <w:r w:rsidRPr="00D707F7">
        <w:rPr>
          <w:rFonts w:ascii="Palatino Linotype" w:hAnsi="Palatino Linotype"/>
          <w:b/>
        </w:rPr>
        <w:t>VISTO</w:t>
      </w:r>
      <w:r w:rsidRPr="00D707F7">
        <w:rPr>
          <w:rFonts w:ascii="Palatino Linotype" w:hAnsi="Palatino Linotype"/>
        </w:rPr>
        <w:t xml:space="preserve"> el expediente electrónico for</w:t>
      </w:r>
      <w:r w:rsidR="00D37494" w:rsidRPr="00D707F7">
        <w:rPr>
          <w:rFonts w:ascii="Palatino Linotype" w:hAnsi="Palatino Linotype"/>
        </w:rPr>
        <w:t>mado con motivo del</w:t>
      </w:r>
      <w:r w:rsidRPr="00D707F7">
        <w:rPr>
          <w:rFonts w:ascii="Palatino Linotype" w:hAnsi="Palatino Linotype"/>
        </w:rPr>
        <w:t xml:space="preserve"> recurso de revisión </w:t>
      </w:r>
      <w:r w:rsidR="00C27631">
        <w:rPr>
          <w:rFonts w:ascii="Palatino Linotype" w:hAnsi="Palatino Linotype"/>
          <w:b/>
        </w:rPr>
        <w:t>02028/INFOEM/IP/RR/2020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 por</w:t>
      </w:r>
      <w:r w:rsidR="007A6835">
        <w:rPr>
          <w:rFonts w:ascii="Palatino Linotype" w:hAnsi="Palatino Linotype"/>
        </w:rPr>
        <w:t xml:space="preserve"> </w:t>
      </w:r>
      <w:r w:rsidR="00311C3D" w:rsidRPr="00D707F7">
        <w:rPr>
          <w:rFonts w:ascii="Palatino Linotype" w:hAnsi="Palatino Linotype"/>
        </w:rPr>
        <w:t xml:space="preserve"> </w:t>
      </w:r>
      <w:r w:rsidR="007A6835" w:rsidRPr="007A6835">
        <w:rPr>
          <w:rFonts w:ascii="Palatino Linotype" w:hAnsi="Palatino Linotype"/>
          <w:b/>
          <w:sz w:val="22"/>
          <w:szCs w:val="22"/>
          <w:highlight w:val="black"/>
        </w:rPr>
        <w:t>-----------------------</w:t>
      </w:r>
      <w:r w:rsidR="007A6835">
        <w:rPr>
          <w:rFonts w:ascii="Palatino Linotype" w:hAnsi="Palatino Linotype"/>
          <w:b/>
          <w:sz w:val="22"/>
          <w:szCs w:val="22"/>
        </w:rPr>
        <w:t xml:space="preserve"> </w:t>
      </w:r>
      <w:r w:rsidR="007D1A30">
        <w:rPr>
          <w:rFonts w:ascii="Palatino Linotype" w:hAnsi="Palatino Linotype"/>
        </w:rPr>
        <w:t xml:space="preserve">a través </w:t>
      </w:r>
      <w:r w:rsidR="001E7E27">
        <w:rPr>
          <w:rFonts w:ascii="Palatino Linotype" w:hAnsi="Palatino Linotype"/>
        </w:rPr>
        <w:t xml:space="preserve">del Sistema de Acceso a la Información Mexiquense </w:t>
      </w:r>
      <w:r w:rsidR="001E7E27" w:rsidRPr="0006470C">
        <w:rPr>
          <w:rFonts w:ascii="Palatino Linotype" w:hAnsi="Palatino Linotype"/>
          <w:b/>
        </w:rPr>
        <w:t>(SAIMEX)</w:t>
      </w:r>
      <w:r w:rsidR="007521DE" w:rsidRPr="0006470C">
        <w:rPr>
          <w:rFonts w:ascii="Palatino Linotype" w:hAnsi="Palatino Linotype"/>
        </w:rPr>
        <w:t>,</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51659D">
        <w:rPr>
          <w:rFonts w:ascii="Palatino Linotype" w:hAnsi="Palatino Linotype"/>
        </w:rPr>
        <w:t>e</w:t>
      </w:r>
      <w:r w:rsidR="0064508B" w:rsidRPr="00D707F7">
        <w:rPr>
          <w:rFonts w:ascii="Palatino Linotype" w:hAnsi="Palatino Linotype"/>
        </w:rPr>
        <w:t>l</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 respuesta de</w:t>
      </w:r>
      <w:r w:rsidR="007D1A30">
        <w:rPr>
          <w:rFonts w:ascii="Palatino Linotype" w:hAnsi="Palatino Linotype" w:cs="Arial"/>
        </w:rPr>
        <w:t>l</w:t>
      </w:r>
      <w:r w:rsidR="00F378CB" w:rsidRPr="00D707F7">
        <w:rPr>
          <w:rFonts w:ascii="Palatino Linotype" w:hAnsi="Palatino Linotype" w:cs="Arial"/>
        </w:rPr>
        <w:t xml:space="preserve"> </w:t>
      </w:r>
      <w:r w:rsidR="004A51A8">
        <w:rPr>
          <w:rFonts w:ascii="Palatino Linotype" w:hAnsi="Palatino Linotype" w:cs="Arial"/>
          <w:b/>
        </w:rPr>
        <w:t xml:space="preserve">Ayuntamiento de </w:t>
      </w:r>
      <w:r w:rsidR="00D67CE3">
        <w:rPr>
          <w:rFonts w:ascii="Palatino Linotype" w:hAnsi="Palatino Linotype" w:cs="Arial"/>
          <w:b/>
        </w:rPr>
        <w:t>Ozumba</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xml:space="preserve">, </w:t>
      </w:r>
      <w:r w:rsidR="004D71C0" w:rsidRPr="00D707F7">
        <w:rPr>
          <w:rFonts w:ascii="Palatino Linotype" w:hAnsi="Palatino Linotype"/>
        </w:rPr>
        <w:t xml:space="preserve">por lo que </w:t>
      </w:r>
      <w:r w:rsidRPr="00D707F7">
        <w:rPr>
          <w:rFonts w:ascii="Palatino Linotype" w:hAnsi="Palatino Linotype"/>
        </w:rPr>
        <w:t>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1" w:name="_Toc461555884"/>
      <w:bookmarkStart w:id="2" w:name="_Toc466371847"/>
      <w:bookmarkStart w:id="3" w:name="_Toc49862999"/>
      <w:r w:rsidRPr="00D707F7">
        <w:rPr>
          <w:b/>
          <w:szCs w:val="24"/>
        </w:rPr>
        <w:t>ANTECEDENTES</w:t>
      </w:r>
      <w:bookmarkEnd w:id="1"/>
      <w:bookmarkEnd w:id="2"/>
      <w:bookmarkEnd w:id="3"/>
    </w:p>
    <w:p w14:paraId="402A4C0A" w14:textId="336F9909" w:rsidR="00D9392E"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D707F7">
        <w:rPr>
          <w:rFonts w:ascii="Palatino Linotype" w:eastAsia="Calibri" w:hAnsi="Palatino Linotype" w:cs="Arial"/>
          <w:lang w:val="es-ES"/>
        </w:rPr>
        <w:t xml:space="preserve">El día </w:t>
      </w:r>
      <w:r w:rsidR="00C27631">
        <w:rPr>
          <w:rFonts w:ascii="Palatino Linotype" w:eastAsia="Calibri" w:hAnsi="Palatino Linotype" w:cs="Arial"/>
          <w:lang w:val="es-ES"/>
        </w:rPr>
        <w:t>veinticuatro</w:t>
      </w:r>
      <w:r w:rsidRPr="00D707F7">
        <w:rPr>
          <w:rFonts w:ascii="Palatino Linotype" w:eastAsia="Calibri" w:hAnsi="Palatino Linotype" w:cs="Arial"/>
          <w:lang w:val="es-ES"/>
        </w:rPr>
        <w:t xml:space="preserve"> (</w:t>
      </w:r>
      <w:r w:rsidR="00656D75">
        <w:rPr>
          <w:rFonts w:ascii="Palatino Linotype" w:eastAsia="Calibri" w:hAnsi="Palatino Linotype" w:cs="Arial"/>
          <w:lang w:val="es-ES"/>
        </w:rPr>
        <w:t>2</w:t>
      </w:r>
      <w:r w:rsidR="00C27631">
        <w:rPr>
          <w:rFonts w:ascii="Palatino Linotype" w:eastAsia="Calibri" w:hAnsi="Palatino Linotype" w:cs="Arial"/>
          <w:lang w:val="es-ES"/>
        </w:rPr>
        <w:t>4</w:t>
      </w:r>
      <w:r w:rsidRPr="00D707F7">
        <w:rPr>
          <w:rFonts w:ascii="Palatino Linotype" w:eastAsia="Calibri" w:hAnsi="Palatino Linotype" w:cs="Arial"/>
          <w:lang w:val="es-ES"/>
        </w:rPr>
        <w:t xml:space="preserve">) de </w:t>
      </w:r>
      <w:r w:rsidR="00C27631">
        <w:rPr>
          <w:rFonts w:ascii="Palatino Linotype" w:eastAsia="Calibri" w:hAnsi="Palatino Linotype" w:cs="Arial"/>
          <w:lang w:val="es-ES"/>
        </w:rPr>
        <w:t>septiembre</w:t>
      </w:r>
      <w:r w:rsidR="00DA3F4B">
        <w:rPr>
          <w:rFonts w:ascii="Palatino Linotype" w:eastAsia="Calibri" w:hAnsi="Palatino Linotype" w:cs="Arial"/>
          <w:lang w:val="es-ES"/>
        </w:rPr>
        <w:t xml:space="preserve"> de dos mil veinte</w:t>
      </w:r>
      <w:r w:rsidRPr="00D707F7">
        <w:rPr>
          <w:rFonts w:ascii="Palatino Linotype" w:hAnsi="Palatino Linotype"/>
          <w:b/>
        </w:rPr>
        <w:t xml:space="preserve">, </w:t>
      </w:r>
      <w:r w:rsidRPr="00D707F7">
        <w:rPr>
          <w:rFonts w:ascii="Palatino Linotype" w:eastAsia="Calibri" w:hAnsi="Palatino Linotype" w:cs="Arial"/>
          <w:lang w:val="es-ES"/>
        </w:rPr>
        <w:t>se presentó</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w:t>
      </w:r>
      <w:r w:rsidRPr="00D707F7">
        <w:rPr>
          <w:rFonts w:ascii="Palatino Linotype" w:eastAsia="Calibri" w:hAnsi="Palatino Linotype" w:cs="Arial"/>
          <w:b/>
          <w:lang w:val="es-ES"/>
        </w:rPr>
        <w:t>SUJETO OBLIGADO</w:t>
      </w:r>
      <w:r w:rsidRPr="00D707F7">
        <w:rPr>
          <w:rFonts w:ascii="Palatino Linotype" w:eastAsia="Calibri" w:hAnsi="Palatino Linotype" w:cs="Arial"/>
        </w:rPr>
        <w:t xml:space="preserve"> vía </w:t>
      </w:r>
      <w:r w:rsidR="00DA3F4B">
        <w:rPr>
          <w:rFonts w:ascii="Palatino Linotype" w:eastAsia="Calibri" w:hAnsi="Palatino Linotype" w:cs="Arial"/>
          <w:lang w:val="es-ES"/>
        </w:rPr>
        <w:t>SAIMEX</w:t>
      </w:r>
      <w:r w:rsidRPr="00D707F7">
        <w:rPr>
          <w:rFonts w:ascii="Palatino Linotype" w:eastAsia="Calibri" w:hAnsi="Palatino Linotype" w:cs="Arial"/>
          <w:lang w:val="es-ES"/>
        </w:rPr>
        <w:t>, la solicitud de información pública registrad</w:t>
      </w:r>
      <w:r w:rsidR="0081425E" w:rsidRPr="00D707F7">
        <w:rPr>
          <w:rFonts w:ascii="Palatino Linotype" w:eastAsia="Calibri" w:hAnsi="Palatino Linotype" w:cs="Arial"/>
          <w:lang w:val="es-ES"/>
        </w:rPr>
        <w:t>a</w:t>
      </w:r>
      <w:r w:rsidRPr="00D707F7">
        <w:rPr>
          <w:rFonts w:ascii="Palatino Linotype" w:eastAsia="Calibri" w:hAnsi="Palatino Linotype" w:cs="Arial"/>
          <w:lang w:val="es-ES"/>
        </w:rPr>
        <w:t xml:space="preserve"> con </w:t>
      </w:r>
      <w:r w:rsidR="0081425E" w:rsidRPr="00D707F7">
        <w:rPr>
          <w:rFonts w:ascii="Palatino Linotype" w:eastAsia="Calibri" w:hAnsi="Palatino Linotype" w:cs="Arial"/>
          <w:lang w:val="es-ES"/>
        </w:rPr>
        <w:t>e</w:t>
      </w:r>
      <w:r w:rsidRPr="00D707F7">
        <w:rPr>
          <w:rFonts w:ascii="Palatino Linotype" w:eastAsia="Calibri" w:hAnsi="Palatino Linotype" w:cs="Arial"/>
          <w:lang w:val="es-ES"/>
        </w:rPr>
        <w:t>l</w:t>
      </w:r>
      <w:r w:rsidR="0081425E" w:rsidRPr="00D707F7">
        <w:rPr>
          <w:rFonts w:ascii="Palatino Linotype" w:eastAsia="Calibri" w:hAnsi="Palatino Linotype" w:cs="Arial"/>
          <w:lang w:val="es-ES"/>
        </w:rPr>
        <w:t xml:space="preserve"> número</w:t>
      </w:r>
      <w:r w:rsidR="004D71C0" w:rsidRPr="00D707F7">
        <w:rPr>
          <w:rFonts w:ascii="Palatino Linotype" w:hAnsi="Palatino Linotype"/>
          <w:b/>
          <w:bCs/>
          <w:color w:val="000000" w:themeColor="text1"/>
        </w:rPr>
        <w:t xml:space="preserve"> </w:t>
      </w:r>
      <w:r w:rsidR="00C27631">
        <w:rPr>
          <w:rFonts w:ascii="Palatino Linotype" w:hAnsi="Palatino Linotype"/>
          <w:b/>
          <w:bCs/>
          <w:color w:val="000000" w:themeColor="text1"/>
        </w:rPr>
        <w:t>00183/OZUMBA/IP/2019</w:t>
      </w:r>
      <w:r w:rsidR="0006470C">
        <w:rPr>
          <w:rFonts w:ascii="Palatino Linotype" w:hAnsi="Palatino Linotype"/>
          <w:b/>
          <w:bCs/>
          <w:color w:val="000000" w:themeColor="text1"/>
        </w:rPr>
        <w:t>,</w:t>
      </w:r>
      <w:r w:rsidRPr="00D707F7">
        <w:rPr>
          <w:rFonts w:ascii="Palatino Linotype" w:eastAsia="Calibri" w:hAnsi="Palatino Linotype" w:cs="Arial"/>
          <w:lang w:val="es-ES"/>
        </w:rPr>
        <w:t xml:space="preserve"> mediante la cual </w:t>
      </w:r>
      <w:r w:rsidR="00A133FA" w:rsidRPr="00D707F7">
        <w:rPr>
          <w:rFonts w:ascii="Palatino Linotype" w:eastAsia="Calibri" w:hAnsi="Palatino Linotype" w:cs="Arial"/>
          <w:lang w:val="es-ES"/>
        </w:rPr>
        <w:t xml:space="preserve">se </w:t>
      </w:r>
      <w:r w:rsidRPr="00D707F7">
        <w:rPr>
          <w:rFonts w:ascii="Palatino Linotype" w:eastAsia="Calibri" w:hAnsi="Palatino Linotype" w:cs="Arial"/>
          <w:lang w:val="es-ES"/>
        </w:rPr>
        <w:t>solicitó</w:t>
      </w:r>
      <w:r w:rsidR="00A16B32" w:rsidRPr="00D707F7">
        <w:rPr>
          <w:rFonts w:ascii="Palatino Linotype" w:eastAsia="Calibri" w:hAnsi="Palatino Linotype" w:cs="Arial"/>
          <w:lang w:val="es-ES"/>
        </w:rPr>
        <w:t xml:space="preserve"> </w:t>
      </w:r>
      <w:r w:rsidR="00646BEE" w:rsidRPr="00D707F7">
        <w:rPr>
          <w:rFonts w:ascii="Palatino Linotype" w:eastAsia="Calibri" w:hAnsi="Palatino Linotype" w:cs="Arial"/>
          <w:lang w:val="es-ES"/>
        </w:rPr>
        <w:t>la</w:t>
      </w:r>
      <w:r w:rsidR="00A16B32" w:rsidRPr="00D707F7">
        <w:rPr>
          <w:rFonts w:ascii="Palatino Linotype" w:eastAsia="Calibri" w:hAnsi="Palatino Linotype" w:cs="Arial"/>
          <w:lang w:val="es-ES"/>
        </w:rPr>
        <w:t xml:space="preserve"> siguiente</w:t>
      </w:r>
      <w:r w:rsidR="00646BEE" w:rsidRPr="00D707F7">
        <w:rPr>
          <w:rFonts w:ascii="Palatino Linotype" w:eastAsia="Calibri" w:hAnsi="Palatino Linotype" w:cs="Arial"/>
          <w:lang w:val="es-ES"/>
        </w:rPr>
        <w:t xml:space="preserve"> información</w:t>
      </w:r>
      <w:r w:rsidRPr="00D707F7">
        <w:rPr>
          <w:rFonts w:ascii="Palatino Linotype" w:eastAsia="Calibri" w:hAnsi="Palatino Linotype" w:cs="Arial"/>
          <w:lang w:val="es-ES"/>
        </w:rPr>
        <w:t>:</w:t>
      </w:r>
    </w:p>
    <w:p w14:paraId="056CC9CF" w14:textId="77777777" w:rsidR="004512A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7C195025" w:rsidR="004512AB" w:rsidRPr="004512A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4512AB">
        <w:rPr>
          <w:rFonts w:ascii="Palatino Linotype" w:eastAsia="Calibri" w:hAnsi="Palatino Linotype" w:cs="Arial"/>
          <w:i/>
          <w:lang w:val="es-ES"/>
        </w:rPr>
        <w:t>“</w:t>
      </w:r>
      <w:r w:rsidR="00C27631" w:rsidRPr="00C27631">
        <w:rPr>
          <w:rFonts w:ascii="Palatino Linotype" w:eastAsia="Calibri" w:hAnsi="Palatino Linotype" w:cs="Arial"/>
          <w:i/>
          <w:lang w:val="es-ES"/>
        </w:rPr>
        <w:t xml:space="preserve">por medio dela presente se solicita el desglose de gastos del evento de exhibición de basquetbol realizado en la deportiva en el mes de septiembre del </w:t>
      </w:r>
      <w:proofErr w:type="gramStart"/>
      <w:r w:rsidR="00C27631" w:rsidRPr="00C27631">
        <w:rPr>
          <w:rFonts w:ascii="Palatino Linotype" w:eastAsia="Calibri" w:hAnsi="Palatino Linotype" w:cs="Arial"/>
          <w:i/>
          <w:lang w:val="es-ES"/>
        </w:rPr>
        <w:t>2019 ,</w:t>
      </w:r>
      <w:proofErr w:type="gramEnd"/>
      <w:r w:rsidR="00C27631" w:rsidRPr="00C27631">
        <w:rPr>
          <w:rFonts w:ascii="Palatino Linotype" w:eastAsia="Calibri" w:hAnsi="Palatino Linotype" w:cs="Arial"/>
          <w:i/>
          <w:lang w:val="es-ES"/>
        </w:rPr>
        <w:t xml:space="preserve"> se pide se indiquen los proveedores</w:t>
      </w:r>
      <w:r w:rsidR="004A51A8">
        <w:rPr>
          <w:rFonts w:ascii="Palatino Linotype" w:eastAsia="Calibri" w:hAnsi="Palatino Linotype" w:cs="Arial"/>
          <w:i/>
          <w:lang w:val="es-ES"/>
        </w:rPr>
        <w:t>”</w:t>
      </w:r>
    </w:p>
    <w:p w14:paraId="3986AF97" w14:textId="77777777" w:rsidR="004512AB" w:rsidRPr="004512AB" w:rsidRDefault="004512AB" w:rsidP="004512AB">
      <w:pPr>
        <w:pStyle w:val="Prrafodelista"/>
        <w:spacing w:line="360" w:lineRule="auto"/>
        <w:ind w:left="851" w:right="34"/>
        <w:jc w:val="both"/>
        <w:rPr>
          <w:rFonts w:ascii="Palatino Linotype" w:hAnsi="Palatino Linotype"/>
        </w:rPr>
      </w:pPr>
    </w:p>
    <w:p w14:paraId="50BB2322" w14:textId="43C2B109" w:rsidR="00BC2CF8" w:rsidRDefault="00BC2CF8" w:rsidP="00DA3F4B">
      <w:pPr>
        <w:pStyle w:val="Prrafodelista"/>
        <w:numPr>
          <w:ilvl w:val="0"/>
          <w:numId w:val="4"/>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lastRenderedPageBreak/>
        <w:t>Se eligió como modalidad de entrega de la información</w:t>
      </w:r>
      <w:r w:rsidRPr="00D707F7">
        <w:rPr>
          <w:rFonts w:ascii="Palatino Linotype" w:hAnsi="Palatino Linotype"/>
        </w:rPr>
        <w:t xml:space="preserve">: </w:t>
      </w:r>
      <w:r w:rsidR="00DA3F4B" w:rsidRPr="00DA3F4B">
        <w:rPr>
          <w:rFonts w:ascii="Palatino Linotype" w:hAnsi="Palatino Linotype"/>
        </w:rPr>
        <w:t>A través del SAIMEX</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5BCB7316" w14:textId="39D8022F" w:rsidR="00801CD8" w:rsidRPr="00A72480" w:rsidRDefault="00801CD8" w:rsidP="00801CD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722988">
        <w:rPr>
          <w:rFonts w:ascii="Palatino Linotype" w:eastAsia="Times New Roman" w:hAnsi="Palatino Linotype" w:cs="Arial"/>
          <w:color w:val="000000" w:themeColor="text1"/>
          <w:lang w:val="es-ES"/>
        </w:rPr>
        <w:t xml:space="preserve">En fecha </w:t>
      </w:r>
      <w:r>
        <w:rPr>
          <w:rFonts w:ascii="Palatino Linotype" w:eastAsia="Times New Roman" w:hAnsi="Palatino Linotype" w:cs="Arial"/>
          <w:color w:val="000000" w:themeColor="text1"/>
          <w:lang w:val="es-ES"/>
        </w:rPr>
        <w:t>uno</w:t>
      </w:r>
      <w:r w:rsidRPr="00722988">
        <w:rPr>
          <w:rFonts w:ascii="Palatino Linotype" w:eastAsia="Times New Roman" w:hAnsi="Palatino Linotype" w:cs="Arial"/>
          <w:color w:val="000000" w:themeColor="text1"/>
          <w:lang w:val="es-ES"/>
        </w:rPr>
        <w:t xml:space="preserve"> (</w:t>
      </w:r>
      <w:r>
        <w:rPr>
          <w:rFonts w:ascii="Palatino Linotype" w:eastAsia="Times New Roman" w:hAnsi="Palatino Linotype" w:cs="Arial"/>
          <w:color w:val="000000" w:themeColor="text1"/>
          <w:lang w:val="es-ES"/>
        </w:rPr>
        <w:t>01</w:t>
      </w:r>
      <w:r w:rsidRPr="00722988">
        <w:rPr>
          <w:rFonts w:ascii="Palatino Linotype" w:eastAsia="Times New Roman" w:hAnsi="Palatino Linotype" w:cs="Arial"/>
          <w:color w:val="000000" w:themeColor="text1"/>
          <w:lang w:val="es-ES"/>
        </w:rPr>
        <w:t xml:space="preserve">) de </w:t>
      </w:r>
      <w:r w:rsidR="00780D0F">
        <w:rPr>
          <w:rFonts w:ascii="Palatino Linotype" w:eastAsia="Times New Roman" w:hAnsi="Palatino Linotype" w:cs="Arial"/>
          <w:color w:val="000000" w:themeColor="text1"/>
          <w:lang w:val="es-ES"/>
        </w:rPr>
        <w:t>julio</w:t>
      </w:r>
      <w:r w:rsidRPr="00722988">
        <w:rPr>
          <w:rFonts w:ascii="Palatino Linotype" w:eastAsia="Times New Roman" w:hAnsi="Palatino Linotype" w:cs="Arial"/>
          <w:color w:val="000000" w:themeColor="text1"/>
          <w:lang w:val="es-ES"/>
        </w:rPr>
        <w:t xml:space="preserve"> de dos mil veinte, el particular interpuso el recurso de revisión en contra de la falta de respuesta, señalando</w:t>
      </w:r>
      <w:r w:rsidRPr="00722988">
        <w:rPr>
          <w:rFonts w:ascii="Palatino Linotype" w:eastAsia="Times New Roman" w:hAnsi="Palatino Linotype" w:cs="Arial"/>
          <w:color w:val="000000" w:themeColor="text1"/>
        </w:rPr>
        <w:t xml:space="preserve"> </w:t>
      </w:r>
      <w:r w:rsidRPr="00722988">
        <w:rPr>
          <w:rFonts w:ascii="Palatino Linotype" w:eastAsia="Times New Roman" w:hAnsi="Palatino Linotype" w:cs="Arial"/>
          <w:color w:val="000000" w:themeColor="text1"/>
          <w:lang w:val="es-ES"/>
        </w:rPr>
        <w:t>como:</w:t>
      </w:r>
    </w:p>
    <w:p w14:paraId="270B009D" w14:textId="3D8448E9" w:rsidR="00801CD8" w:rsidRPr="00722988" w:rsidRDefault="00801CD8" w:rsidP="00801CD8">
      <w:pPr>
        <w:pStyle w:val="Sinespaciado"/>
      </w:pPr>
    </w:p>
    <w:p w14:paraId="6C2356E8" w14:textId="04AEBE83" w:rsidR="00801CD8" w:rsidRPr="00722988" w:rsidRDefault="00801CD8" w:rsidP="00C27631">
      <w:pPr>
        <w:pStyle w:val="Ttulo2"/>
        <w:numPr>
          <w:ilvl w:val="0"/>
          <w:numId w:val="3"/>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49862893"/>
      <w:bookmarkStart w:id="15" w:name="_Toc49862930"/>
      <w:bookmarkStart w:id="16" w:name="_Toc49863000"/>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722988">
        <w:rPr>
          <w:rStyle w:val="Ttulo2Car"/>
          <w:rFonts w:ascii="Palatino Linotype" w:hAnsi="Palatino Linotype"/>
          <w:b/>
          <w:color w:val="auto"/>
          <w:sz w:val="24"/>
          <w:szCs w:val="24"/>
        </w:rPr>
        <w:t>Acto impugnado</w:t>
      </w:r>
      <w:bookmarkEnd w:id="4"/>
      <w:r w:rsidRPr="00722988">
        <w:rPr>
          <w:rStyle w:val="Ttulo2Car"/>
          <w:rFonts w:ascii="Palatino Linotype" w:hAnsi="Palatino Linotype"/>
          <w:b/>
          <w:color w:val="000000" w:themeColor="text1"/>
          <w:sz w:val="24"/>
          <w:szCs w:val="24"/>
        </w:rPr>
        <w:t xml:space="preserve">: </w:t>
      </w:r>
      <w:r w:rsidRPr="00722988">
        <w:rPr>
          <w:rStyle w:val="Ttulo2Car"/>
          <w:rFonts w:ascii="Palatino Linotype" w:hAnsi="Palatino Linotype"/>
          <w:i/>
          <w:color w:val="000000" w:themeColor="text1"/>
          <w:sz w:val="24"/>
          <w:szCs w:val="24"/>
        </w:rPr>
        <w:t>“</w:t>
      </w:r>
      <w:r w:rsidR="00C27631" w:rsidRPr="00C27631">
        <w:rPr>
          <w:rStyle w:val="Ttulo2Car"/>
          <w:rFonts w:ascii="Palatino Linotype" w:hAnsi="Palatino Linotype"/>
          <w:i/>
          <w:color w:val="000000" w:themeColor="text1"/>
          <w:sz w:val="24"/>
          <w:szCs w:val="24"/>
        </w:rPr>
        <w:t xml:space="preserve">por medio dela presente se solicita el desglose de gastos del evento de exhibición de basquetbol realizado en la deportiva en el mes de septiembre del </w:t>
      </w:r>
      <w:proofErr w:type="gramStart"/>
      <w:r w:rsidR="00C27631" w:rsidRPr="00C27631">
        <w:rPr>
          <w:rStyle w:val="Ttulo2Car"/>
          <w:rFonts w:ascii="Palatino Linotype" w:hAnsi="Palatino Linotype"/>
          <w:i/>
          <w:color w:val="000000" w:themeColor="text1"/>
          <w:sz w:val="24"/>
          <w:szCs w:val="24"/>
        </w:rPr>
        <w:t>2019 ,</w:t>
      </w:r>
      <w:proofErr w:type="gramEnd"/>
      <w:r w:rsidR="00C27631" w:rsidRPr="00C27631">
        <w:rPr>
          <w:rStyle w:val="Ttulo2Car"/>
          <w:rFonts w:ascii="Palatino Linotype" w:hAnsi="Palatino Linotype"/>
          <w:i/>
          <w:color w:val="000000" w:themeColor="text1"/>
          <w:sz w:val="24"/>
          <w:szCs w:val="24"/>
        </w:rPr>
        <w:t xml:space="preserve"> se pide se indiquen los proveedores</w:t>
      </w:r>
      <w:r w:rsidRPr="00722988">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r w:rsidRPr="00722988">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2C9F440" w14:textId="6A8A8DD1" w:rsidR="00801CD8" w:rsidRPr="00722988" w:rsidRDefault="00801CD8" w:rsidP="00801CD8">
      <w:pPr>
        <w:ind w:left="851"/>
        <w:rPr>
          <w:rFonts w:ascii="Palatino Linotype" w:hAnsi="Palatino Linotype"/>
          <w:lang w:val="es-MX" w:eastAsia="en-US"/>
        </w:rPr>
      </w:pPr>
    </w:p>
    <w:p w14:paraId="38ABF95E" w14:textId="0C5BB464" w:rsidR="00801CD8" w:rsidRPr="00722988" w:rsidRDefault="00801CD8" w:rsidP="00C27631">
      <w:pPr>
        <w:pStyle w:val="Ttulo2"/>
        <w:numPr>
          <w:ilvl w:val="0"/>
          <w:numId w:val="3"/>
        </w:numPr>
        <w:spacing w:line="36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49862894"/>
      <w:bookmarkStart w:id="74" w:name="_Toc49862931"/>
      <w:bookmarkStart w:id="75" w:name="_Toc49863001"/>
      <w:bookmarkStart w:id="76" w:name="_Toc471908127"/>
      <w:bookmarkStart w:id="77" w:name="_Toc491791301"/>
      <w:bookmarkStart w:id="78" w:name="_Toc496726171"/>
      <w:bookmarkStart w:id="79" w:name="_Toc497242135"/>
      <w:bookmarkStart w:id="80" w:name="_Toc497292518"/>
      <w:bookmarkStart w:id="81" w:name="_Toc498503717"/>
      <w:bookmarkStart w:id="82" w:name="_Toc499568661"/>
      <w:bookmarkStart w:id="83" w:name="_Toc499568694"/>
      <w:bookmarkStart w:id="84" w:name="_Toc499665453"/>
      <w:bookmarkStart w:id="85" w:name="_Toc499729820"/>
      <w:bookmarkStart w:id="86" w:name="_Toc499835025"/>
      <w:bookmarkStart w:id="87" w:name="_Toc499835836"/>
      <w:bookmarkStart w:id="88" w:name="_Toc499835859"/>
      <w:bookmarkStart w:id="89" w:name="_Toc500264538"/>
      <w:bookmarkStart w:id="90" w:name="_Toc503290276"/>
      <w:bookmarkStart w:id="91" w:name="_Toc524009638"/>
      <w:bookmarkStart w:id="92" w:name="_Toc524009673"/>
      <w:bookmarkStart w:id="93" w:name="_Toc524602721"/>
      <w:bookmarkStart w:id="94" w:name="_Toc526365280"/>
      <w:bookmarkStart w:id="95" w:name="_Toc526365338"/>
      <w:bookmarkStart w:id="96" w:name="_Toc530067665"/>
      <w:bookmarkStart w:id="97" w:name="_Toc530067693"/>
      <w:bookmarkStart w:id="98" w:name="_Toc530067940"/>
      <w:bookmarkStart w:id="99" w:name="_Toc530590421"/>
      <w:bookmarkStart w:id="100" w:name="_Toc530593952"/>
      <w:bookmarkStart w:id="101" w:name="_Toc531190249"/>
      <w:bookmarkStart w:id="102" w:name="_Toc531190296"/>
      <w:bookmarkStart w:id="103" w:name="_Toc534908209"/>
      <w:bookmarkStart w:id="104" w:name="_Toc534909345"/>
      <w:bookmarkStart w:id="105" w:name="_Toc535353306"/>
      <w:bookmarkStart w:id="106" w:name="_Toc535353792"/>
      <w:bookmarkStart w:id="107" w:name="_Toc18436352"/>
      <w:bookmarkStart w:id="108" w:name="_Toc18436386"/>
      <w:bookmarkStart w:id="109" w:name="_Toc18513478"/>
      <w:bookmarkStart w:id="110" w:name="_Toc18513504"/>
      <w:bookmarkStart w:id="111" w:name="_Toc18606802"/>
      <w:bookmarkStart w:id="112" w:name="_Toc19723537"/>
      <w:bookmarkStart w:id="113" w:name="_Toc20322796"/>
      <w:bookmarkStart w:id="114" w:name="_Toc20323053"/>
      <w:bookmarkStart w:id="115" w:name="_Toc20323182"/>
      <w:bookmarkStart w:id="116" w:name="_Toc20420592"/>
      <w:bookmarkStart w:id="117" w:name="_Toc20421580"/>
      <w:bookmarkStart w:id="118" w:name="_Toc21027317"/>
      <w:bookmarkStart w:id="119" w:name="_Toc22660653"/>
      <w:bookmarkStart w:id="120" w:name="_Toc22811624"/>
      <w:bookmarkStart w:id="121" w:name="_Toc26436016"/>
      <w:r w:rsidRPr="00722988">
        <w:rPr>
          <w:rStyle w:val="Ttulo2Car"/>
          <w:rFonts w:ascii="Palatino Linotype" w:hAnsi="Palatino Linotype"/>
          <w:b/>
          <w:color w:val="000000" w:themeColor="text1"/>
          <w:sz w:val="24"/>
          <w:szCs w:val="24"/>
        </w:rPr>
        <w:t>Razones o Motivos de inconformidad:</w:t>
      </w:r>
      <w:bookmarkEnd w:id="63"/>
      <w:r w:rsidRPr="00722988">
        <w:rPr>
          <w:rFonts w:ascii="Palatino Linotype" w:hAnsi="Palatino Linotype"/>
          <w:b/>
          <w:color w:val="000000" w:themeColor="text1"/>
          <w:sz w:val="24"/>
          <w:szCs w:val="24"/>
        </w:rPr>
        <w:t xml:space="preserve"> </w:t>
      </w:r>
      <w:r w:rsidRPr="00722988">
        <w:rPr>
          <w:rFonts w:ascii="Palatino Linotype" w:hAnsi="Palatino Linotype"/>
          <w:i/>
          <w:color w:val="000000" w:themeColor="text1"/>
          <w:sz w:val="24"/>
          <w:szCs w:val="24"/>
        </w:rPr>
        <w:t>“</w:t>
      </w:r>
      <w:r w:rsidR="00C27631" w:rsidRPr="00C27631">
        <w:rPr>
          <w:rFonts w:ascii="Palatino Linotype" w:hAnsi="Palatino Linotype"/>
          <w:i/>
          <w:color w:val="000000" w:themeColor="text1"/>
          <w:sz w:val="24"/>
          <w:szCs w:val="24"/>
        </w:rPr>
        <w:t xml:space="preserve">Están violando mi derecho a conocer la información, están ocultando la </w:t>
      </w:r>
      <w:proofErr w:type="gramStart"/>
      <w:r w:rsidR="00C27631" w:rsidRPr="00C27631">
        <w:rPr>
          <w:rFonts w:ascii="Palatino Linotype" w:hAnsi="Palatino Linotype"/>
          <w:i/>
          <w:color w:val="000000" w:themeColor="text1"/>
          <w:sz w:val="24"/>
          <w:szCs w:val="24"/>
        </w:rPr>
        <w:t>información ,</w:t>
      </w:r>
      <w:proofErr w:type="gramEnd"/>
      <w:r w:rsidR="00C27631" w:rsidRPr="00C27631">
        <w:rPr>
          <w:rFonts w:ascii="Palatino Linotype" w:hAnsi="Palatino Linotype"/>
          <w:i/>
          <w:color w:val="000000" w:themeColor="text1"/>
          <w:sz w:val="24"/>
          <w:szCs w:val="24"/>
        </w:rPr>
        <w:t xml:space="preserve"> lo cual viola mi derecho , varias solicitudes del MUNCIPIO DE OZUMBA Y EL DIF NUNCA SON CONTESTADAS, FAVOR DE VERIFICAR PORQUE OCULTAN TODA LA INFORMACION</w:t>
      </w:r>
      <w:r w:rsidRPr="00722988">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r w:rsidRPr="00722988">
        <w:rPr>
          <w:rFonts w:ascii="Palatino Linotype" w:hAnsi="Palatino Linotype"/>
          <w:i/>
          <w:color w:val="000000" w:themeColor="text1"/>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00780D0F">
        <w:rPr>
          <w:rFonts w:ascii="Palatino Linotype" w:hAnsi="Palatino Linotype"/>
          <w:color w:val="000000" w:themeColor="text1"/>
          <w:sz w:val="24"/>
          <w:szCs w:val="24"/>
        </w:rPr>
        <w:t>(SIC)</w:t>
      </w:r>
    </w:p>
    <w:p w14:paraId="388A54E1" w14:textId="77777777" w:rsidR="00801CD8" w:rsidRDefault="00801CD8" w:rsidP="00801CD8">
      <w:pPr>
        <w:rPr>
          <w:rFonts w:ascii="Palatino Linotype" w:hAnsi="Palatino Linotype"/>
          <w:lang w:val="es-MX" w:eastAsia="en-US"/>
        </w:rPr>
      </w:pPr>
    </w:p>
    <w:p w14:paraId="633680F2" w14:textId="3935DC2E" w:rsidR="00801CD8" w:rsidRPr="00722988" w:rsidRDefault="00801CD8" w:rsidP="00801CD8">
      <w:pPr>
        <w:pStyle w:val="Prrafodelista"/>
        <w:numPr>
          <w:ilvl w:val="0"/>
          <w:numId w:val="2"/>
        </w:numPr>
        <w:spacing w:before="240" w:after="240" w:line="360" w:lineRule="auto"/>
        <w:ind w:left="0" w:firstLine="0"/>
        <w:jc w:val="both"/>
        <w:rPr>
          <w:rFonts w:ascii="Palatino Linotype" w:hAnsi="Palatino Linotype"/>
          <w:i/>
        </w:rPr>
      </w:pPr>
      <w:r w:rsidRPr="0072298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rPr>
        <w:t>siete</w:t>
      </w:r>
      <w:r w:rsidRPr="00722988">
        <w:rPr>
          <w:rFonts w:ascii="Palatino Linotype" w:eastAsia="Calibri" w:hAnsi="Palatino Linotype" w:cs="Arial"/>
          <w:lang w:val="es-ES"/>
        </w:rPr>
        <w:t xml:space="preserve"> (</w:t>
      </w:r>
      <w:r>
        <w:rPr>
          <w:rFonts w:ascii="Palatino Linotype" w:eastAsia="Calibri" w:hAnsi="Palatino Linotype" w:cs="Arial"/>
          <w:lang w:val="es-ES"/>
        </w:rPr>
        <w:t>07</w:t>
      </w:r>
      <w:r w:rsidRPr="00722988">
        <w:rPr>
          <w:rFonts w:ascii="Palatino Linotype" w:eastAsia="Calibri" w:hAnsi="Palatino Linotype" w:cs="Arial"/>
          <w:lang w:val="es-ES"/>
        </w:rPr>
        <w:t xml:space="preserve">) de </w:t>
      </w:r>
      <w:r>
        <w:rPr>
          <w:rFonts w:ascii="Palatino Linotype" w:eastAsia="Calibri" w:hAnsi="Palatino Linotype" w:cs="Arial"/>
          <w:lang w:val="es-ES"/>
        </w:rPr>
        <w:t>agost</w:t>
      </w:r>
      <w:r w:rsidRPr="00722988">
        <w:rPr>
          <w:rFonts w:ascii="Palatino Linotype" w:eastAsia="Calibri" w:hAnsi="Palatino Linotype" w:cs="Arial"/>
          <w:lang w:val="es-ES"/>
        </w:rPr>
        <w:t xml:space="preserve">o del año en curso, puso a disposición de las partes el expediente electrónico </w:t>
      </w:r>
      <w:r w:rsidRPr="00722988">
        <w:rPr>
          <w:rFonts w:ascii="Palatino Linotype" w:eastAsia="Calibri" w:hAnsi="Palatino Linotype" w:cs="Arial"/>
        </w:rPr>
        <w:t xml:space="preserve">vía </w:t>
      </w:r>
      <w:r w:rsidRPr="00722988">
        <w:rPr>
          <w:rFonts w:ascii="Palatino Linotype" w:eastAsia="Calibri" w:hAnsi="Palatino Linotype" w:cs="Arial"/>
          <w:lang w:val="es-ES"/>
        </w:rPr>
        <w:t>Sistema de Acceso a la Información Mexiquense (</w:t>
      </w:r>
      <w:r w:rsidRPr="00722988">
        <w:rPr>
          <w:rFonts w:ascii="Palatino Linotype" w:eastAsia="Calibri" w:hAnsi="Palatino Linotype" w:cs="Arial"/>
          <w:b/>
          <w:lang w:val="es-ES"/>
        </w:rPr>
        <w:t xml:space="preserve">SAIMEX) </w:t>
      </w:r>
      <w:r w:rsidRPr="0072298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sidRPr="00722988">
        <w:rPr>
          <w:rFonts w:ascii="Palatino Linotype" w:eastAsia="Calibri" w:hAnsi="Palatino Linotype" w:cs="Arial"/>
          <w:lang w:val="es-ES"/>
        </w:rPr>
        <w:lastRenderedPageBreak/>
        <w:t xml:space="preserve">de esta forma para que el </w:t>
      </w:r>
      <w:r w:rsidRPr="00722988">
        <w:rPr>
          <w:rFonts w:ascii="Palatino Linotype" w:eastAsia="Calibri" w:hAnsi="Palatino Linotype" w:cs="Arial"/>
          <w:b/>
          <w:lang w:val="es-ES"/>
        </w:rPr>
        <w:t>SUJETO OBLIGADO</w:t>
      </w:r>
      <w:r w:rsidRPr="00722988">
        <w:rPr>
          <w:rFonts w:ascii="Palatino Linotype" w:eastAsia="Calibri" w:hAnsi="Palatino Linotype" w:cs="Arial"/>
          <w:lang w:val="es-ES"/>
        </w:rPr>
        <w:t xml:space="preserve"> presentará el Informe Justificado procedente.</w:t>
      </w:r>
    </w:p>
    <w:p w14:paraId="3CFDABEA" w14:textId="77777777" w:rsidR="00801CD8" w:rsidRPr="00722988" w:rsidRDefault="00801CD8" w:rsidP="00801CD8">
      <w:pPr>
        <w:pStyle w:val="Prrafodelista"/>
        <w:spacing w:before="240" w:after="240" w:line="360" w:lineRule="auto"/>
        <w:ind w:left="0"/>
        <w:jc w:val="both"/>
        <w:rPr>
          <w:rFonts w:ascii="Palatino Linotype" w:hAnsi="Palatino Linotype"/>
          <w:i/>
        </w:rPr>
      </w:pPr>
    </w:p>
    <w:p w14:paraId="6AB90E57" w14:textId="526F92D9" w:rsidR="00801CD8" w:rsidRPr="00722988" w:rsidRDefault="00801CD8" w:rsidP="00801CD8">
      <w:pPr>
        <w:pStyle w:val="Prrafodelista"/>
        <w:numPr>
          <w:ilvl w:val="0"/>
          <w:numId w:val="2"/>
        </w:numPr>
        <w:spacing w:before="240" w:after="240" w:line="360" w:lineRule="auto"/>
        <w:ind w:left="0" w:firstLine="0"/>
        <w:jc w:val="both"/>
        <w:rPr>
          <w:rFonts w:ascii="Palatino Linotype" w:hAnsi="Palatino Linotype"/>
        </w:rPr>
      </w:pPr>
      <w:r w:rsidRPr="00722988">
        <w:rPr>
          <w:rFonts w:ascii="Palatino Linotype" w:hAnsi="Palatino Linotype"/>
          <w:color w:val="000000"/>
        </w:rPr>
        <w:t xml:space="preserve">El </w:t>
      </w:r>
      <w:r w:rsidRPr="00722988">
        <w:rPr>
          <w:rFonts w:ascii="Palatino Linotype" w:hAnsi="Palatino Linotype"/>
          <w:b/>
          <w:color w:val="000000"/>
        </w:rPr>
        <w:t>SUJETO OBLIGADO</w:t>
      </w:r>
      <w:r w:rsidRPr="00722988">
        <w:rPr>
          <w:rFonts w:ascii="Palatino Linotype" w:hAnsi="Palatino Linotype"/>
          <w:color w:val="000000"/>
        </w:rPr>
        <w:t xml:space="preserve">, </w:t>
      </w:r>
      <w:r>
        <w:rPr>
          <w:rFonts w:ascii="Palatino Linotype" w:hAnsi="Palatino Linotype"/>
          <w:color w:val="000000"/>
        </w:rPr>
        <w:t>fue omiso en rendir el informe justificado correspondiente; por su parte el particular también dejo de realizar manifestaciones que a su derecho convinieran y asistieran</w:t>
      </w:r>
      <w:r w:rsidRPr="00722988">
        <w:rPr>
          <w:rFonts w:ascii="Palatino Linotype" w:hAnsi="Palatino Linotype"/>
          <w:color w:val="000000"/>
        </w:rPr>
        <w:t>.</w:t>
      </w:r>
    </w:p>
    <w:p w14:paraId="586813BE" w14:textId="77777777" w:rsidR="00801CD8" w:rsidRPr="00722988" w:rsidRDefault="00801CD8" w:rsidP="00801CD8">
      <w:pPr>
        <w:pStyle w:val="Prrafodelista"/>
        <w:spacing w:before="240" w:after="240" w:line="360" w:lineRule="auto"/>
        <w:ind w:left="0"/>
        <w:jc w:val="both"/>
        <w:rPr>
          <w:rFonts w:ascii="Palatino Linotype" w:hAnsi="Palatino Linotype"/>
          <w:b/>
        </w:rPr>
      </w:pPr>
    </w:p>
    <w:p w14:paraId="2BCA4EB2" w14:textId="7556CF8C" w:rsidR="00801CD8" w:rsidRPr="00722988" w:rsidRDefault="00801CD8" w:rsidP="00801CD8">
      <w:pPr>
        <w:pStyle w:val="Prrafodelista"/>
        <w:numPr>
          <w:ilvl w:val="0"/>
          <w:numId w:val="2"/>
        </w:numPr>
        <w:spacing w:before="240" w:after="240" w:line="360" w:lineRule="auto"/>
        <w:ind w:left="0" w:firstLine="0"/>
        <w:jc w:val="both"/>
        <w:rPr>
          <w:rFonts w:ascii="Palatino Linotype" w:hAnsi="Palatino Linotype"/>
          <w:b/>
        </w:rPr>
      </w:pPr>
      <w:r w:rsidRPr="00722988">
        <w:rPr>
          <w:rFonts w:ascii="Palatino Linotype" w:hAnsi="Palatino Linotype"/>
        </w:rPr>
        <w:t xml:space="preserve">El Comisionado Ponente decreto el cierre de instrucción mediante acuerdo de fecha </w:t>
      </w:r>
      <w:r w:rsidRPr="008B35BD">
        <w:rPr>
          <w:rFonts w:ascii="Palatino Linotype" w:hAnsi="Palatino Linotype"/>
        </w:rPr>
        <w:t>veinti</w:t>
      </w:r>
      <w:r>
        <w:rPr>
          <w:rFonts w:ascii="Palatino Linotype" w:hAnsi="Palatino Linotype"/>
        </w:rPr>
        <w:t>cinco</w:t>
      </w:r>
      <w:r w:rsidRPr="008B35BD">
        <w:rPr>
          <w:rFonts w:ascii="Palatino Linotype" w:hAnsi="Palatino Linotype"/>
        </w:rPr>
        <w:t xml:space="preserve"> (2</w:t>
      </w:r>
      <w:r>
        <w:rPr>
          <w:rFonts w:ascii="Palatino Linotype" w:hAnsi="Palatino Linotype"/>
        </w:rPr>
        <w:t>5</w:t>
      </w:r>
      <w:r w:rsidRPr="008B35BD">
        <w:rPr>
          <w:rFonts w:ascii="Palatino Linotype" w:hAnsi="Palatino Linotype"/>
        </w:rPr>
        <w:t>) de agosto</w:t>
      </w:r>
      <w:r w:rsidRPr="00722988">
        <w:rPr>
          <w:rFonts w:ascii="Palatino Linotype" w:hAnsi="Palatino Linotype"/>
        </w:rPr>
        <w:t xml:space="preserve"> de dos mil veinte; por lo que se</w:t>
      </w:r>
      <w:r w:rsidRPr="00722988">
        <w:rPr>
          <w:rFonts w:ascii="Palatino Linotype" w:hAnsi="Palatino Linotype" w:cs="Arial"/>
        </w:rPr>
        <w:t xml:space="preserve"> ordenó turnar el expediente a resolución, por lo que no habiendo más que hacer constar, y - - - - - - - </w:t>
      </w:r>
    </w:p>
    <w:p w14:paraId="0B39C102" w14:textId="77777777" w:rsidR="00801CD8" w:rsidRPr="00D707F7" w:rsidRDefault="00801CD8" w:rsidP="00801CD8">
      <w:pPr>
        <w:pStyle w:val="Ttulo1"/>
        <w:jc w:val="center"/>
        <w:rPr>
          <w:b/>
          <w:szCs w:val="24"/>
        </w:rPr>
      </w:pPr>
      <w:bookmarkStart w:id="122" w:name="_Toc491791302"/>
      <w:bookmarkStart w:id="123" w:name="_Toc49863002"/>
      <w:r w:rsidRPr="00D707F7">
        <w:rPr>
          <w:b/>
          <w:szCs w:val="24"/>
        </w:rPr>
        <w:t>CONSIDERANDO</w:t>
      </w:r>
      <w:bookmarkEnd w:id="122"/>
      <w:bookmarkEnd w:id="123"/>
    </w:p>
    <w:p w14:paraId="41AE21FF" w14:textId="77777777" w:rsidR="00801CD8" w:rsidRPr="00D707F7" w:rsidRDefault="00801CD8" w:rsidP="00801CD8">
      <w:pPr>
        <w:rPr>
          <w:rFonts w:ascii="Palatino Linotype" w:hAnsi="Palatino Linotype"/>
          <w:lang w:val="es-MX" w:eastAsia="en-US"/>
        </w:rPr>
      </w:pPr>
    </w:p>
    <w:p w14:paraId="505B1D49" w14:textId="77777777" w:rsidR="00801CD8" w:rsidRPr="00D707F7" w:rsidRDefault="00801CD8" w:rsidP="00801CD8">
      <w:pPr>
        <w:pStyle w:val="Ttulo2"/>
        <w:rPr>
          <w:rFonts w:ascii="Palatino Linotype" w:hAnsi="Palatino Linotype"/>
          <w:b/>
          <w:color w:val="auto"/>
          <w:sz w:val="24"/>
          <w:szCs w:val="24"/>
        </w:rPr>
      </w:pPr>
      <w:bookmarkStart w:id="124" w:name="_Toc491791303"/>
      <w:bookmarkStart w:id="125" w:name="_Toc49863003"/>
      <w:r w:rsidRPr="00D707F7">
        <w:rPr>
          <w:rFonts w:ascii="Palatino Linotype" w:hAnsi="Palatino Linotype"/>
          <w:b/>
          <w:color w:val="auto"/>
          <w:sz w:val="24"/>
          <w:szCs w:val="24"/>
        </w:rPr>
        <w:t>PRIMERO. De la competencia</w:t>
      </w:r>
      <w:bookmarkEnd w:id="124"/>
      <w:bookmarkEnd w:id="125"/>
    </w:p>
    <w:p w14:paraId="527F57B4" w14:textId="77777777" w:rsidR="00801CD8" w:rsidRPr="00D707F7" w:rsidRDefault="00801CD8" w:rsidP="00801CD8">
      <w:pPr>
        <w:rPr>
          <w:rFonts w:ascii="Palatino Linotype" w:hAnsi="Palatino Linotype"/>
          <w:lang w:val="es-MX" w:eastAsia="en-US"/>
        </w:rPr>
      </w:pPr>
    </w:p>
    <w:p w14:paraId="7A547A97" w14:textId="77777777" w:rsidR="00801CD8" w:rsidRPr="00C936E7" w:rsidRDefault="00801CD8" w:rsidP="00801CD8">
      <w:pPr>
        <w:pStyle w:val="Prrafodelista"/>
        <w:numPr>
          <w:ilvl w:val="0"/>
          <w:numId w:val="2"/>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 xml:space="preserve">Reglamento Interior del </w:t>
      </w:r>
      <w:r w:rsidRPr="00D707F7">
        <w:rPr>
          <w:rFonts w:ascii="Palatino Linotype" w:eastAsia="Calibri" w:hAnsi="Palatino Linotype" w:cs="Arial"/>
          <w:b/>
          <w:lang w:val="es-ES"/>
        </w:rPr>
        <w:lastRenderedPageBreak/>
        <w:t>Instituto de Transparencia, Acceso a la Información Pública y Protección de Datos Personales del Estado de México y Municipios.</w:t>
      </w:r>
    </w:p>
    <w:p w14:paraId="15EFE9C5" w14:textId="77777777" w:rsidR="00801CD8" w:rsidRPr="00D707F7" w:rsidRDefault="00801CD8" w:rsidP="00801CD8">
      <w:pPr>
        <w:pStyle w:val="Prrafodelista"/>
        <w:spacing w:line="360" w:lineRule="auto"/>
        <w:ind w:left="0"/>
        <w:jc w:val="both"/>
        <w:rPr>
          <w:rFonts w:ascii="Palatino Linotype" w:eastAsia="Calibri" w:hAnsi="Palatino Linotype" w:cs="Times New Roman"/>
          <w:b/>
          <w:lang w:val="es-ES"/>
        </w:rPr>
      </w:pPr>
    </w:p>
    <w:p w14:paraId="2FE7E83C" w14:textId="77777777" w:rsidR="00801CD8" w:rsidRPr="00D707F7" w:rsidRDefault="00801CD8" w:rsidP="00801CD8">
      <w:pPr>
        <w:pStyle w:val="Ttulo2"/>
        <w:rPr>
          <w:rFonts w:ascii="Palatino Linotype" w:hAnsi="Palatino Linotype"/>
          <w:b/>
          <w:color w:val="auto"/>
          <w:sz w:val="24"/>
          <w:szCs w:val="24"/>
        </w:rPr>
      </w:pPr>
      <w:bookmarkStart w:id="126" w:name="_Toc491791304"/>
      <w:bookmarkStart w:id="127" w:name="_Toc49863004"/>
      <w:r w:rsidRPr="00D707F7">
        <w:rPr>
          <w:rFonts w:ascii="Palatino Linotype" w:hAnsi="Palatino Linotype"/>
          <w:b/>
          <w:color w:val="auto"/>
          <w:sz w:val="24"/>
          <w:szCs w:val="24"/>
        </w:rPr>
        <w:t>SEGUNDO. De la oportunidad y procedencia.</w:t>
      </w:r>
      <w:bookmarkEnd w:id="126"/>
      <w:bookmarkEnd w:id="127"/>
    </w:p>
    <w:p w14:paraId="6EC50C14" w14:textId="77777777" w:rsidR="00801CD8" w:rsidRPr="00D707F7" w:rsidRDefault="00801CD8" w:rsidP="00801CD8">
      <w:pPr>
        <w:rPr>
          <w:rFonts w:ascii="Palatino Linotype" w:hAnsi="Palatino Linotype"/>
          <w:lang w:val="es-MX" w:eastAsia="en-US"/>
        </w:rPr>
      </w:pPr>
    </w:p>
    <w:p w14:paraId="186D43A5" w14:textId="77777777" w:rsidR="00801CD8" w:rsidRPr="00722988"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bookmarkStart w:id="128" w:name="_Toc521431830"/>
      <w:bookmarkStart w:id="129" w:name="_Toc27653760"/>
      <w:r w:rsidRPr="00722988">
        <w:rPr>
          <w:rFonts w:ascii="Palatino Linotype" w:eastAsia="Calibri" w:hAnsi="Palatino Linotype" w:cs="Times New Roman"/>
          <w:lang w:val="es-ES"/>
        </w:rPr>
        <w:t>Es</w:t>
      </w:r>
      <w:r w:rsidRPr="00722988">
        <w:rPr>
          <w:rFonts w:ascii="Palatino Linotype" w:eastAsia="Calibri" w:hAnsi="Palatino Linotype" w:cs="Arial"/>
          <w:lang w:val="es-ES"/>
        </w:rPr>
        <w:t xml:space="preserve"> de precisar, que la Ley de Transparencia y Acceso a la Información Pública del Estado de México y Municipios, en el artículo 178 describe la proc</w:t>
      </w:r>
      <w:r>
        <w:rPr>
          <w:rFonts w:ascii="Palatino Linotype" w:eastAsia="Calibri" w:hAnsi="Palatino Linotype" w:cs="Arial"/>
          <w:lang w:val="es-ES"/>
        </w:rPr>
        <w:t>edencia del recurso de revisión;</w:t>
      </w:r>
      <w:r w:rsidRPr="00722988">
        <w:rPr>
          <w:rFonts w:ascii="Palatino Linotype" w:eastAsia="Calibri" w:hAnsi="Palatino Linotype" w:cs="Arial"/>
          <w:lang w:val="es-ES"/>
        </w:rPr>
        <w:t xml:space="preserve"> asimismo señala que el plazo del </w:t>
      </w:r>
      <w:r w:rsidRPr="00722988">
        <w:rPr>
          <w:rFonts w:ascii="Palatino Linotype" w:eastAsia="Calibri" w:hAnsi="Palatino Linotype" w:cs="Arial"/>
          <w:b/>
          <w:lang w:val="es-ES"/>
        </w:rPr>
        <w:t>SUJETO OBLIGADO</w:t>
      </w:r>
      <w:r w:rsidRPr="0072298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C8C578" w14:textId="77777777" w:rsidR="00801CD8" w:rsidRPr="00722988" w:rsidRDefault="00801CD8" w:rsidP="00801CD8">
      <w:pPr>
        <w:pStyle w:val="Prrafodelista"/>
        <w:spacing w:line="360" w:lineRule="auto"/>
        <w:ind w:left="0"/>
        <w:jc w:val="both"/>
        <w:rPr>
          <w:rFonts w:ascii="Palatino Linotype" w:eastAsia="Times New Roman" w:hAnsi="Palatino Linotype" w:cs="Arial"/>
          <w:color w:val="000000"/>
        </w:rPr>
      </w:pPr>
    </w:p>
    <w:p w14:paraId="5B4C4CBB" w14:textId="77777777" w:rsidR="00801CD8" w:rsidRPr="0010400B"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Times New Roman"/>
          <w:lang w:val="es-ES"/>
        </w:rPr>
        <w:t>Por</w:t>
      </w:r>
      <w:r w:rsidRPr="00722988">
        <w:rPr>
          <w:rFonts w:ascii="Palatino Linotype" w:eastAsia="Calibri" w:hAnsi="Palatino Linotype" w:cs="Arial"/>
          <w:lang w:val="es-ES"/>
        </w:rPr>
        <w:t xml:space="preserve"> ende, se constituye la figura jurídica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22988">
        <w:rPr>
          <w:rFonts w:ascii="Palatino Linotype" w:eastAsia="Calibri" w:hAnsi="Palatino Linotype" w:cs="Arial"/>
          <w:b/>
          <w:lang w:val="es-ES"/>
        </w:rPr>
        <w:t>178</w:t>
      </w:r>
      <w:r w:rsidRPr="00722988">
        <w:rPr>
          <w:rFonts w:ascii="Palatino Linotype" w:eastAsia="Calibri" w:hAnsi="Palatino Linotype" w:cs="Arial"/>
          <w:lang w:val="es-ES"/>
        </w:rPr>
        <w:t xml:space="preserve"> segundo párrafo de </w:t>
      </w:r>
      <w:r w:rsidRPr="00722988">
        <w:rPr>
          <w:rFonts w:ascii="Palatino Linotype" w:eastAsia="Calibri" w:hAnsi="Palatino Linotype" w:cs="Arial"/>
          <w:b/>
          <w:lang w:val="es-ES"/>
        </w:rPr>
        <w:t>Ley de Transparencia y Acceso a la Información Pública del Estado de México y Municipios</w:t>
      </w:r>
      <w:r w:rsidRPr="00722988">
        <w:rPr>
          <w:rFonts w:ascii="Palatino Linotype" w:eastAsia="Calibri" w:hAnsi="Palatino Linotype" w:cs="Times New Roman"/>
          <w:color w:val="000000"/>
          <w:shd w:val="clear" w:color="auto" w:fill="FFFFFF"/>
        </w:rPr>
        <w:t xml:space="preserve">, que dispone; ante la falta de respuesta del </w:t>
      </w:r>
      <w:r w:rsidRPr="00722988">
        <w:rPr>
          <w:rFonts w:ascii="Palatino Linotype" w:eastAsia="Calibri" w:hAnsi="Palatino Linotype" w:cs="Times New Roman"/>
          <w:b/>
          <w:color w:val="000000"/>
          <w:shd w:val="clear" w:color="auto" w:fill="FFFFFF"/>
        </w:rPr>
        <w:t>SUJETO OBLIGADO,</w:t>
      </w:r>
      <w:r w:rsidRPr="00722988">
        <w:rPr>
          <w:rFonts w:ascii="Palatino Linotype" w:eastAsia="Calibri" w:hAnsi="Palatino Linotype" w:cs="Times New Roman"/>
          <w:color w:val="000000"/>
          <w:shd w:val="clear" w:color="auto" w:fill="FFFFFF"/>
        </w:rPr>
        <w:t xml:space="preserve"> dentro de los plazos establecidos en esta Ley, a una solicitud de acceso a la información pública, el recurso </w:t>
      </w:r>
      <w:r w:rsidRPr="00722988">
        <w:rPr>
          <w:rFonts w:ascii="Palatino Linotype" w:eastAsia="Calibri" w:hAnsi="Palatino Linotype" w:cs="Times New Roman"/>
          <w:b/>
          <w:color w:val="000000"/>
          <w:shd w:val="clear" w:color="auto" w:fill="FFFFFF"/>
        </w:rPr>
        <w:t xml:space="preserve">podrá ser interpuesto en cualquier momento. </w:t>
      </w:r>
    </w:p>
    <w:p w14:paraId="19288E5C" w14:textId="77777777" w:rsidR="00801CD8" w:rsidRPr="0010400B" w:rsidRDefault="00801CD8" w:rsidP="00801CD8">
      <w:pPr>
        <w:pStyle w:val="Prrafodelista"/>
        <w:rPr>
          <w:rFonts w:ascii="Palatino Linotype" w:eastAsia="Times New Roman" w:hAnsi="Palatino Linotype" w:cs="Arial"/>
          <w:color w:val="000000"/>
        </w:rPr>
      </w:pPr>
    </w:p>
    <w:p w14:paraId="43EA0C87" w14:textId="77777777" w:rsidR="00801CD8" w:rsidRPr="00722988"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rPr>
      </w:pPr>
      <w:r w:rsidRPr="00722988">
        <w:rPr>
          <w:rFonts w:ascii="Palatino Linotype" w:eastAsia="Calibri" w:hAnsi="Palatino Linotype" w:cs="Arial"/>
          <w:lang w:val="es-ES"/>
        </w:rPr>
        <w:lastRenderedPageBreak/>
        <w:t xml:space="preserve">Por lo que, tratándose de la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22988">
        <w:rPr>
          <w:rFonts w:ascii="Palatino Linotype" w:eastAsia="Calibri" w:hAnsi="Palatino Linotype" w:cs="Arial"/>
          <w:i/>
          <w:lang w:val="es-ES"/>
        </w:rPr>
        <w:t>negativa ficta</w:t>
      </w:r>
      <w:r w:rsidRPr="00722988">
        <w:rPr>
          <w:rFonts w:ascii="Palatino Linotype" w:eastAsia="Calibri" w:hAnsi="Palatino Linotype" w:cs="Arial"/>
          <w:lang w:val="es-ES"/>
        </w:rPr>
        <w:t>, que señala:</w:t>
      </w:r>
    </w:p>
    <w:p w14:paraId="04EF7E39" w14:textId="77777777" w:rsidR="00801CD8" w:rsidRPr="00722988" w:rsidRDefault="00801CD8" w:rsidP="00801CD8">
      <w:pPr>
        <w:tabs>
          <w:tab w:val="left" w:pos="7655"/>
        </w:tabs>
        <w:spacing w:before="240" w:after="240" w:line="360" w:lineRule="auto"/>
        <w:ind w:left="567" w:right="567"/>
        <w:jc w:val="center"/>
        <w:rPr>
          <w:rFonts w:ascii="Palatino Linotype" w:eastAsia="Calibri" w:hAnsi="Palatino Linotype" w:cs="Arial"/>
          <w:b/>
          <w:lang w:val="es-ES"/>
        </w:rPr>
      </w:pPr>
      <w:r w:rsidRPr="00722988">
        <w:rPr>
          <w:rFonts w:ascii="Palatino Linotype" w:eastAsia="Calibri" w:hAnsi="Palatino Linotype" w:cs="Arial"/>
          <w:b/>
          <w:lang w:val="es-ES"/>
        </w:rPr>
        <w:t>Criterio 0001-15</w:t>
      </w:r>
    </w:p>
    <w:p w14:paraId="72CA08C0" w14:textId="77777777" w:rsidR="00801CD8" w:rsidRPr="00722988" w:rsidRDefault="00801CD8" w:rsidP="00801CD8">
      <w:pPr>
        <w:tabs>
          <w:tab w:val="left" w:pos="7655"/>
        </w:tabs>
        <w:spacing w:before="240" w:after="240" w:line="360" w:lineRule="auto"/>
        <w:ind w:left="567" w:right="567"/>
        <w:jc w:val="both"/>
        <w:rPr>
          <w:rFonts w:ascii="Palatino Linotype" w:eastAsia="Calibri" w:hAnsi="Palatino Linotype" w:cs="Arial"/>
          <w:i/>
          <w:lang w:val="es-ES"/>
        </w:rPr>
      </w:pPr>
      <w:r w:rsidRPr="00722988">
        <w:rPr>
          <w:rFonts w:ascii="Palatino Linotype" w:eastAsia="Calibri" w:hAnsi="Palatino Linotype" w:cs="Arial"/>
          <w:b/>
          <w:i/>
          <w:lang w:val="es-ES"/>
        </w:rPr>
        <w:t>NEGATIVA FICTA. PLAZO PARA INTERPONER EL RECURSO DE REVISIÓN TRATÁNDOSE DE.</w:t>
      </w:r>
      <w:r w:rsidRPr="00722988">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722988">
        <w:rPr>
          <w:rFonts w:ascii="Palatino Linotype" w:eastAsia="Calibri" w:hAnsi="Palatino Linotype" w:cs="Arial"/>
          <w:i/>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BBEA8DB" w14:textId="77777777" w:rsidR="00801CD8" w:rsidRPr="00722988" w:rsidRDefault="00801CD8" w:rsidP="00801CD8">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722988">
        <w:rPr>
          <w:rFonts w:ascii="Palatino Linotype" w:eastAsia="Times New Roman" w:hAnsi="Palatino Linotype" w:cs="Arial"/>
          <w:color w:val="000000" w:themeColor="text1"/>
          <w:lang w:val="es-ES" w:eastAsia="es-MX"/>
        </w:rPr>
        <w:t xml:space="preserve">Lo anterior, se explica porque la </w:t>
      </w:r>
      <w:r w:rsidRPr="00722988">
        <w:rPr>
          <w:rFonts w:ascii="Palatino Linotype" w:eastAsia="Times New Roman" w:hAnsi="Palatino Linotype" w:cs="Arial"/>
          <w:b/>
          <w:color w:val="000000" w:themeColor="text1"/>
          <w:u w:val="single"/>
          <w:lang w:val="es-ES" w:eastAsia="es-MX"/>
        </w:rPr>
        <w:t>posible ausencia</w:t>
      </w:r>
      <w:r w:rsidRPr="00722988">
        <w:rPr>
          <w:rFonts w:ascii="Palatino Linotype" w:eastAsia="Times New Roman"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722988">
        <w:rPr>
          <w:rFonts w:ascii="Palatino Linotype" w:eastAsia="Times New Roman" w:hAnsi="Palatino Linotype" w:cs="Arial"/>
          <w:b/>
          <w:color w:val="000000" w:themeColor="text1"/>
          <w:lang w:val="es-ES" w:eastAsia="es-MX"/>
        </w:rPr>
        <w:t>SUJETO OBLIGADO</w:t>
      </w:r>
      <w:r w:rsidRPr="00722988">
        <w:rPr>
          <w:rFonts w:ascii="Palatino Linotype" w:eastAsia="Times New Roman" w:hAnsi="Palatino Linotype" w:cs="Arial"/>
          <w:color w:val="000000" w:themeColor="text1"/>
          <w:lang w:val="es-ES" w:eastAsia="es-MX"/>
        </w:rPr>
        <w:t>.</w:t>
      </w:r>
    </w:p>
    <w:p w14:paraId="6C60C42E" w14:textId="77777777" w:rsidR="00801CD8" w:rsidRPr="00722988" w:rsidRDefault="00801CD8" w:rsidP="00801CD8">
      <w:pPr>
        <w:ind w:left="284"/>
        <w:contextualSpacing/>
        <w:rPr>
          <w:rFonts w:ascii="Palatino Linotype" w:eastAsia="Times New Roman" w:hAnsi="Palatino Linotype" w:cs="Arial"/>
          <w:color w:val="000000" w:themeColor="text1"/>
          <w:lang w:val="es-ES" w:eastAsia="es-MX"/>
        </w:rPr>
      </w:pPr>
    </w:p>
    <w:p w14:paraId="575304C2" w14:textId="77777777" w:rsidR="00801CD8" w:rsidRPr="00722988" w:rsidRDefault="00801CD8" w:rsidP="00801CD8">
      <w:pPr>
        <w:pStyle w:val="Prrafodelista"/>
        <w:numPr>
          <w:ilvl w:val="0"/>
          <w:numId w:val="2"/>
        </w:numPr>
        <w:spacing w:line="360" w:lineRule="auto"/>
        <w:ind w:left="0" w:firstLine="0"/>
        <w:jc w:val="both"/>
        <w:rPr>
          <w:rFonts w:ascii="Palatino Linotype" w:hAnsi="Palatino Linotype" w:cs="Arial"/>
          <w:b/>
        </w:rPr>
      </w:pPr>
      <w:r w:rsidRPr="00722988">
        <w:rPr>
          <w:rFonts w:ascii="Palatino Linotype" w:hAnsi="Palatino Linotype" w:cs="Arial"/>
          <w:lang w:val="es-ES"/>
        </w:rPr>
        <w:t>Expuesto</w:t>
      </w:r>
      <w:r w:rsidRPr="00722988">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6EA5D9F" w14:textId="35D3FF39" w:rsidR="00801CD8" w:rsidRDefault="006D7A96" w:rsidP="00801CD8">
      <w:pP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20F2FDF5" wp14:editId="55DB1CC3">
                <wp:simplePos x="0" y="0"/>
                <wp:positionH relativeFrom="column">
                  <wp:posOffset>-1962</wp:posOffset>
                </wp:positionH>
                <wp:positionV relativeFrom="paragraph">
                  <wp:posOffset>120716</wp:posOffset>
                </wp:positionV>
                <wp:extent cx="5595582" cy="1282890"/>
                <wp:effectExtent l="38100" t="38100" r="62865" b="88900"/>
                <wp:wrapNone/>
                <wp:docPr id="5" name="5 Conector recto"/>
                <wp:cNvGraphicFramePr/>
                <a:graphic xmlns:a="http://schemas.openxmlformats.org/drawingml/2006/main">
                  <a:graphicData uri="http://schemas.microsoft.com/office/word/2010/wordprocessingShape">
                    <wps:wsp>
                      <wps:cNvCnPr/>
                      <wps:spPr>
                        <a:xfrm>
                          <a:off x="0" y="0"/>
                          <a:ext cx="5595582" cy="1282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6913C4F" id="5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9.5pt" to="440.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" strokecolor="black [3200]" strokeweight="2pt">
                <v:shadow on="t" color="black" opacity="24903f" origin=",.5" offset="0,.55556mm"/>
              </v:line>
            </w:pict>
          </mc:Fallback>
        </mc:AlternateContent>
      </w:r>
    </w:p>
    <w:p w14:paraId="10ECABA5" w14:textId="77777777" w:rsidR="006D7A96" w:rsidRDefault="006D7A96" w:rsidP="00801CD8">
      <w:pPr>
        <w:rPr>
          <w:rFonts w:ascii="Palatino Linotype" w:hAnsi="Palatino Linotype" w:cs="Arial"/>
        </w:rPr>
      </w:pPr>
    </w:p>
    <w:p w14:paraId="447A0E30" w14:textId="77777777" w:rsidR="006D7A96" w:rsidRDefault="006D7A96" w:rsidP="00801CD8">
      <w:pPr>
        <w:rPr>
          <w:rFonts w:ascii="Palatino Linotype" w:hAnsi="Palatino Linotype" w:cs="Arial"/>
        </w:rPr>
      </w:pPr>
    </w:p>
    <w:p w14:paraId="197F1763" w14:textId="77777777" w:rsidR="006D7A96" w:rsidRDefault="006D7A96" w:rsidP="00801CD8">
      <w:pPr>
        <w:rPr>
          <w:rFonts w:ascii="Palatino Linotype" w:hAnsi="Palatino Linotype" w:cs="Arial"/>
        </w:rPr>
      </w:pPr>
    </w:p>
    <w:p w14:paraId="3BB10389" w14:textId="77777777" w:rsidR="006D7A96" w:rsidRPr="00722988" w:rsidRDefault="006D7A96" w:rsidP="00801CD8">
      <w:pPr>
        <w:rPr>
          <w:rFonts w:ascii="Palatino Linotype" w:hAnsi="Palatino Linotype" w:cs="Arial"/>
        </w:rPr>
      </w:pPr>
    </w:p>
    <w:p w14:paraId="081659C2" w14:textId="77777777" w:rsidR="00801CD8" w:rsidRPr="00D707F7" w:rsidRDefault="00801CD8" w:rsidP="00801CD8">
      <w:pPr>
        <w:pStyle w:val="Ttulo1"/>
        <w:spacing w:line="360" w:lineRule="auto"/>
        <w:rPr>
          <w:b/>
          <w:color w:val="000000" w:themeColor="text1"/>
          <w:szCs w:val="24"/>
        </w:rPr>
      </w:pPr>
      <w:bookmarkStart w:id="130" w:name="_Toc34246179"/>
      <w:bookmarkStart w:id="131" w:name="_Toc49863005"/>
      <w:r w:rsidRPr="00D707F7">
        <w:rPr>
          <w:b/>
          <w:color w:val="000000" w:themeColor="text1"/>
          <w:szCs w:val="24"/>
        </w:rPr>
        <w:t xml:space="preserve">TERCERO. </w:t>
      </w:r>
      <w:bookmarkStart w:id="132" w:name="_Toc501021589"/>
      <w:bookmarkEnd w:id="128"/>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9"/>
      <w:bookmarkEnd w:id="130"/>
      <w:bookmarkEnd w:id="131"/>
      <w:bookmarkEnd w:id="132"/>
    </w:p>
    <w:p w14:paraId="5C7E1568" w14:textId="77777777" w:rsidR="00801CD8" w:rsidRPr="00D707F7" w:rsidRDefault="00801CD8" w:rsidP="00801CD8">
      <w:pPr>
        <w:rPr>
          <w:lang w:val="es-MX" w:eastAsia="en-US"/>
        </w:rPr>
      </w:pPr>
    </w:p>
    <w:p w14:paraId="6C081DE1" w14:textId="7BBBCEE6" w:rsidR="00801CD8" w:rsidRPr="001352F1" w:rsidRDefault="00801CD8" w:rsidP="00C27631">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Se solicitó conocer el soporte documental donde conste o se advierta el </w:t>
      </w:r>
      <w:r w:rsidR="00C27631" w:rsidRPr="00C27631">
        <w:rPr>
          <w:rFonts w:ascii="Palatino Linotype" w:hAnsi="Palatino Linotype" w:cs="Arial"/>
        </w:rPr>
        <w:t xml:space="preserve">desglose de gastos del evento de exhibición de basquetbol realizado en la deportiva en el mes de septiembre del 2019, </w:t>
      </w:r>
      <w:r w:rsidR="00C27631">
        <w:rPr>
          <w:rFonts w:ascii="Palatino Linotype" w:hAnsi="Palatino Linotype" w:cs="Arial"/>
        </w:rPr>
        <w:t>indicando</w:t>
      </w:r>
      <w:r w:rsidR="00C27631" w:rsidRPr="00C27631">
        <w:rPr>
          <w:rFonts w:ascii="Palatino Linotype" w:hAnsi="Palatino Linotype" w:cs="Arial"/>
        </w:rPr>
        <w:t xml:space="preserve"> los proveedores</w:t>
      </w:r>
      <w:r w:rsidRPr="0010400B">
        <w:rPr>
          <w:rFonts w:ascii="Palatino Linotype" w:hAnsi="Palatino Linotype" w:cs="Arial"/>
        </w:rPr>
        <w:t>.</w:t>
      </w:r>
      <w:r>
        <w:rPr>
          <w:rFonts w:ascii="Palatino Linotype" w:hAnsi="Palatino Linotype" w:cs="Arial"/>
        </w:rPr>
        <w:t xml:space="preserve"> </w:t>
      </w:r>
    </w:p>
    <w:p w14:paraId="0E6F3E8C" w14:textId="77777777" w:rsidR="00801CD8" w:rsidRDefault="00801CD8" w:rsidP="00801CD8">
      <w:pPr>
        <w:spacing w:line="360" w:lineRule="auto"/>
        <w:contextualSpacing/>
        <w:jc w:val="both"/>
        <w:rPr>
          <w:rFonts w:ascii="Palatino Linotype" w:hAnsi="Palatino Linotype" w:cs="Arial"/>
        </w:rPr>
      </w:pPr>
    </w:p>
    <w:p w14:paraId="5CBF336F" w14:textId="796410B6" w:rsidR="00801CD8" w:rsidRPr="00AB76E8" w:rsidRDefault="00801CD8" w:rsidP="00801CD8">
      <w:pPr>
        <w:numPr>
          <w:ilvl w:val="0"/>
          <w:numId w:val="2"/>
        </w:numPr>
        <w:spacing w:line="360" w:lineRule="auto"/>
        <w:ind w:left="0" w:firstLine="0"/>
        <w:contextualSpacing/>
        <w:jc w:val="both"/>
        <w:rPr>
          <w:rFonts w:ascii="Palatino Linotype" w:hAnsi="Palatino Linotype" w:cs="Arial"/>
        </w:rPr>
      </w:pPr>
      <w:r w:rsidRPr="00AB76E8">
        <w:rPr>
          <w:rFonts w:ascii="Palatino Linotype" w:hAnsi="Palatino Linotype" w:cs="Arial"/>
        </w:rPr>
        <w:t>El particular</w:t>
      </w:r>
      <w:r w:rsidRPr="00AB76E8">
        <w:rPr>
          <w:rFonts w:ascii="Palatino Linotype" w:hAnsi="Palatino Linotype" w:cs="Arial"/>
          <w:b/>
        </w:rPr>
        <w:t xml:space="preserve"> </w:t>
      </w:r>
      <w:r w:rsidRPr="00AB76E8">
        <w:rPr>
          <w:rFonts w:ascii="Palatino Linotype" w:hAnsi="Palatino Linotype" w:cs="Arial"/>
        </w:rPr>
        <w:t xml:space="preserve">inconforme con la </w:t>
      </w:r>
      <w:r>
        <w:rPr>
          <w:rFonts w:ascii="Palatino Linotype" w:hAnsi="Palatino Linotype" w:cs="Arial"/>
        </w:rPr>
        <w:t xml:space="preserve">falta de </w:t>
      </w:r>
      <w:r w:rsidRPr="00AB76E8">
        <w:rPr>
          <w:rFonts w:ascii="Palatino Linotype" w:hAnsi="Palatino Linotype" w:cs="Arial"/>
        </w:rPr>
        <w:t xml:space="preserve">respuesta, expuso que </w:t>
      </w:r>
      <w:r w:rsidR="006D7A96">
        <w:rPr>
          <w:rFonts w:ascii="Palatino Linotype" w:hAnsi="Palatino Linotype" w:cs="Arial"/>
        </w:rPr>
        <w:t>existió una omisión lisa y llan</w:t>
      </w:r>
      <w:r>
        <w:rPr>
          <w:rFonts w:ascii="Palatino Linotype" w:hAnsi="Palatino Linotype" w:cs="Arial"/>
        </w:rPr>
        <w:t xml:space="preserve">a </w:t>
      </w:r>
      <w:r w:rsidR="006D7A96">
        <w:rPr>
          <w:rFonts w:ascii="Palatino Linotype" w:hAnsi="Palatino Linotype" w:cs="Arial"/>
        </w:rPr>
        <w:t>par parte del Ayuntamiento de Ozumba, misma que ha sido constante en anteriores solicitudes de información</w:t>
      </w:r>
      <w:r>
        <w:rPr>
          <w:rFonts w:ascii="Palatino Linotype" w:eastAsia="Times New Roman" w:hAnsi="Palatino Linotype" w:cs="Arial"/>
          <w:color w:val="000000" w:themeColor="text1"/>
          <w:lang w:eastAsia="es-MX"/>
        </w:rPr>
        <w:t>.</w:t>
      </w:r>
      <w:r>
        <w:rPr>
          <w:rFonts w:ascii="Palatino Linotype" w:hAnsi="Palatino Linotype"/>
          <w:color w:val="000000" w:themeColor="text1"/>
        </w:rPr>
        <w:t xml:space="preserve"> </w:t>
      </w:r>
    </w:p>
    <w:p w14:paraId="2E251A78" w14:textId="77777777" w:rsidR="00801CD8" w:rsidRPr="00AB76E8" w:rsidRDefault="00801CD8" w:rsidP="00801CD8">
      <w:pPr>
        <w:spacing w:line="360" w:lineRule="auto"/>
        <w:contextualSpacing/>
        <w:jc w:val="both"/>
        <w:rPr>
          <w:rFonts w:ascii="Palatino Linotype" w:hAnsi="Palatino Linotype" w:cs="Arial"/>
        </w:rPr>
      </w:pPr>
    </w:p>
    <w:p w14:paraId="60752BB5" w14:textId="0EE20BD5" w:rsidR="00801CD8" w:rsidRPr="00BD39BA" w:rsidRDefault="00801CD8" w:rsidP="00801CD8">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w:t>
      </w:r>
      <w:r>
        <w:rPr>
          <w:rFonts w:ascii="Palatino Linotype" w:eastAsia="Times New Roman" w:hAnsi="Palatino Linotype" w:cs="Arial"/>
        </w:rPr>
        <w:t>corresponderá</w:t>
      </w:r>
      <w:r w:rsidRPr="00B0510D">
        <w:rPr>
          <w:rFonts w:ascii="Palatino Linotype" w:eastAsia="Times New Roman" w:hAnsi="Palatino Linotype" w:cs="Arial"/>
        </w:rPr>
        <w:t xml:space="preserve"> a determinar si </w:t>
      </w:r>
      <w:r>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V</w:t>
      </w:r>
      <w:r>
        <w:rPr>
          <w:rFonts w:ascii="Palatino Linotype" w:eastAsia="MS Mincho" w:hAnsi="Palatino Linotype" w:cs="Arial"/>
        </w:rPr>
        <w:t xml:space="preserve">II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ón </w:t>
      </w:r>
      <w:r w:rsidRPr="00B0510D">
        <w:rPr>
          <w:rFonts w:ascii="Palatino Linotype" w:eastAsia="Times New Roman" w:hAnsi="Palatino Linotype" w:cs="Arial"/>
          <w:color w:val="000000" w:themeColor="text1"/>
          <w:lang w:val="es-ES" w:eastAsia="es-MX"/>
        </w:rPr>
        <w:t>que determina</w:t>
      </w:r>
      <w:r>
        <w:rPr>
          <w:rFonts w:ascii="Palatino Linotype" w:eastAsia="Times New Roman" w:hAnsi="Palatino Linotype" w:cs="Arial"/>
          <w:color w:val="000000" w:themeColor="text1"/>
          <w:lang w:val="es-ES" w:eastAsia="es-MX"/>
        </w:rPr>
        <w:t xml:space="preserve"> la hipótesis jurídica relativa</w:t>
      </w:r>
      <w:r w:rsidRPr="00B0510D">
        <w:rPr>
          <w:rFonts w:ascii="Palatino Linotype" w:eastAsia="Times New Roman" w:hAnsi="Palatino Linotype" w:cs="Arial"/>
          <w:color w:val="000000" w:themeColor="text1"/>
          <w:lang w:val="es-ES" w:eastAsia="es-MX"/>
        </w:rPr>
        <w:t xml:space="preserve"> a </w:t>
      </w:r>
      <w:r>
        <w:rPr>
          <w:rFonts w:ascii="Palatino Linotype" w:eastAsia="Times New Roman" w:hAnsi="Palatino Linotype" w:cs="Arial"/>
          <w:color w:val="000000" w:themeColor="text1"/>
          <w:lang w:val="es-ES" w:eastAsia="es-MX"/>
        </w:rPr>
        <w:t>l</w:t>
      </w:r>
      <w:r w:rsidRPr="00861027">
        <w:rPr>
          <w:rFonts w:ascii="Palatino Linotype" w:eastAsia="Times New Roman" w:hAnsi="Palatino Linotype" w:cs="Arial"/>
          <w:color w:val="000000" w:themeColor="text1"/>
          <w:lang w:val="es-ES" w:eastAsia="es-MX"/>
        </w:rPr>
        <w:t>a falta de respuesta a una solicitud de acceso a la información</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el </w:t>
      </w:r>
      <w:r w:rsidRPr="00B0510D">
        <w:rPr>
          <w:rFonts w:ascii="Palatino Linotype" w:eastAsia="MS Mincho" w:hAnsi="Palatino Linotype" w:cs="Arial"/>
          <w:b/>
        </w:rPr>
        <w:t>RECURRENTE</w:t>
      </w:r>
      <w:r>
        <w:rPr>
          <w:rFonts w:ascii="Palatino Linotype" w:eastAsia="Times New Roman" w:hAnsi="Palatino Linotype" w:cs="Arial"/>
          <w:color w:val="000000" w:themeColor="text1"/>
          <w:lang w:val="es-ES" w:eastAsia="es-MX"/>
        </w:rPr>
        <w:t xml:space="preserve">. </w:t>
      </w:r>
    </w:p>
    <w:p w14:paraId="0A1AAEDA" w14:textId="77777777" w:rsidR="00801CD8" w:rsidRPr="00D707F7" w:rsidRDefault="00801CD8" w:rsidP="00801CD8">
      <w:pPr>
        <w:pStyle w:val="Prrafodelista"/>
        <w:spacing w:line="360" w:lineRule="auto"/>
        <w:ind w:left="0"/>
        <w:jc w:val="both"/>
        <w:rPr>
          <w:rFonts w:ascii="Palatino Linotype" w:eastAsia="Times New Roman" w:hAnsi="Palatino Linotype" w:cs="Arial"/>
          <w:color w:val="000000" w:themeColor="text1"/>
        </w:rPr>
      </w:pPr>
    </w:p>
    <w:p w14:paraId="3CB28A7B" w14:textId="77777777" w:rsidR="00801CD8" w:rsidRPr="00D707F7" w:rsidRDefault="00801CD8" w:rsidP="00801CD8">
      <w:pPr>
        <w:pStyle w:val="Ttulo1"/>
        <w:spacing w:line="360" w:lineRule="auto"/>
        <w:rPr>
          <w:b/>
          <w:color w:val="000000" w:themeColor="text1"/>
          <w:szCs w:val="24"/>
        </w:rPr>
      </w:pPr>
      <w:bookmarkStart w:id="133" w:name="_Toc501021590"/>
      <w:bookmarkStart w:id="134" w:name="_Toc27653761"/>
      <w:bookmarkStart w:id="135" w:name="_Toc49863006"/>
      <w:r w:rsidRPr="006740D6">
        <w:rPr>
          <w:b/>
          <w:color w:val="000000" w:themeColor="text1"/>
          <w:szCs w:val="24"/>
        </w:rPr>
        <w:t>CUARTO. Del estudio y resolución del asunto.</w:t>
      </w:r>
      <w:bookmarkEnd w:id="133"/>
      <w:bookmarkEnd w:id="134"/>
      <w:bookmarkEnd w:id="135"/>
    </w:p>
    <w:p w14:paraId="28776DBF" w14:textId="77777777" w:rsidR="00801CD8" w:rsidRPr="00D707F7" w:rsidRDefault="00801CD8" w:rsidP="00801CD8">
      <w:pPr>
        <w:rPr>
          <w:rFonts w:ascii="Palatino Linotype" w:hAnsi="Palatino Linotype"/>
          <w:lang w:val="es-MX" w:eastAsia="en-US"/>
        </w:rPr>
      </w:pPr>
    </w:p>
    <w:p w14:paraId="193970ED" w14:textId="77777777" w:rsidR="006D7A96" w:rsidRPr="00255189" w:rsidRDefault="006D7A96" w:rsidP="006D7A96">
      <w:pPr>
        <w:keepNext/>
        <w:keepLines/>
        <w:numPr>
          <w:ilvl w:val="1"/>
          <w:numId w:val="2"/>
        </w:numPr>
        <w:spacing w:before="40"/>
        <w:ind w:left="851" w:hanging="720"/>
        <w:contextualSpacing/>
        <w:jc w:val="both"/>
        <w:outlineLvl w:val="1"/>
        <w:rPr>
          <w:rFonts w:ascii="Palatino Linotype" w:eastAsia="MS Gothic" w:hAnsi="Palatino Linotype" w:cs="Times New Roman"/>
          <w:b/>
        </w:rPr>
      </w:pPr>
      <w:bookmarkStart w:id="136" w:name="_Toc498528948"/>
      <w:bookmarkStart w:id="137" w:name="_Toc3467942"/>
      <w:bookmarkStart w:id="138" w:name="_Toc49863007"/>
      <w:r w:rsidRPr="00255189">
        <w:rPr>
          <w:rFonts w:ascii="Palatino Linotype" w:eastAsia="MS Gothic" w:hAnsi="Palatino Linotype" w:cs="Times New Roman"/>
          <w:b/>
        </w:rPr>
        <w:t>Del deber de las autoridades de promover, respetar, proteger y garantizar el derecho de acceso a la información pública.</w:t>
      </w:r>
      <w:bookmarkEnd w:id="136"/>
      <w:bookmarkEnd w:id="137"/>
      <w:bookmarkEnd w:id="138"/>
      <w:r w:rsidRPr="00255189">
        <w:rPr>
          <w:rFonts w:ascii="Palatino Linotype" w:eastAsia="MS Gothic" w:hAnsi="Palatino Linotype" w:cs="Times New Roman"/>
          <w:b/>
        </w:rPr>
        <w:t xml:space="preserve"> </w:t>
      </w:r>
    </w:p>
    <w:p w14:paraId="4BADE134" w14:textId="77777777" w:rsidR="006D7A96" w:rsidRPr="00255189" w:rsidRDefault="006D7A96" w:rsidP="006D7A96">
      <w:pPr>
        <w:ind w:left="720"/>
        <w:contextualSpacing/>
        <w:rPr>
          <w:rFonts w:ascii="Palatino Linotype" w:eastAsia="MS Mincho" w:hAnsi="Palatino Linotype" w:cs="Arial"/>
        </w:rPr>
      </w:pPr>
    </w:p>
    <w:p w14:paraId="68A56F11"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Es menester precisar que este Órgano Garante parte de que el Derecho de Acceso a la Información Pública, es un derecho humano reconocido en el Pacto de Derechos Civiles y Políticos en su artículo 19.2; en la Convención Americana sobre </w:t>
      </w:r>
      <w:r w:rsidRPr="000F6AF7">
        <w:rPr>
          <w:rFonts w:ascii="Palatino Linotype" w:eastAsia="MS Mincho" w:hAnsi="Palatino Linotype" w:cs="Arial"/>
        </w:rPr>
        <w:lastRenderedPageBreak/>
        <w:t xml:space="preserve">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 </w:t>
      </w:r>
    </w:p>
    <w:p w14:paraId="2DA2BD96" w14:textId="77777777" w:rsidR="006D7A96" w:rsidRPr="000F6AF7" w:rsidRDefault="006D7A96" w:rsidP="000F6AF7">
      <w:pPr>
        <w:spacing w:line="360" w:lineRule="auto"/>
        <w:contextualSpacing/>
        <w:jc w:val="both"/>
        <w:rPr>
          <w:rFonts w:ascii="Palatino Linotype" w:eastAsia="MS Mincho" w:hAnsi="Palatino Linotype" w:cs="Arial"/>
        </w:rPr>
      </w:pPr>
    </w:p>
    <w:p w14:paraId="574FF83C" w14:textId="77777777" w:rsidR="006D7A96" w:rsidRPr="000F6AF7" w:rsidRDefault="006D7A96" w:rsidP="000F6AF7">
      <w:pPr>
        <w:pStyle w:val="Prrafodelista"/>
        <w:numPr>
          <w:ilvl w:val="0"/>
          <w:numId w:val="2"/>
        </w:numPr>
        <w:spacing w:line="360" w:lineRule="auto"/>
        <w:ind w:left="0" w:firstLine="0"/>
        <w:jc w:val="both"/>
        <w:rPr>
          <w:rFonts w:ascii="Palatino Linotype" w:eastAsia="MS Mincho" w:hAnsi="Palatino Linotype" w:cs="Arial"/>
        </w:rPr>
      </w:pPr>
      <w:r w:rsidRPr="000F6AF7">
        <w:rPr>
          <w:rFonts w:ascii="Palatino Linotype" w:hAnsi="Palatino Linotype" w:cs="Arial"/>
          <w:lang w:val="es-ES"/>
        </w:rPr>
        <w:t>Definiendo</w:t>
      </w:r>
      <w:r w:rsidRPr="000F6AF7">
        <w:rPr>
          <w:rFonts w:ascii="Palatino Linotype" w:eastAsia="MS Mincho" w:hAnsi="Palatino Linotype" w:cs="Arial"/>
        </w:rPr>
        <w:t xml:space="preserve"> el Derecho de Acceso a la Información Pública como: La igualdad de oportunidades para recibir, buscar e impartir información</w:t>
      </w:r>
      <w:r w:rsidRPr="000F6AF7">
        <w:rPr>
          <w:rFonts w:ascii="Palatino Linotype" w:eastAsia="MS Mincho" w:hAnsi="Palatino Linotype" w:cs="Arial"/>
        </w:rPr>
        <w:footnoteReference w:id="1"/>
      </w:r>
      <w:r w:rsidRPr="000F6AF7">
        <w:rPr>
          <w:rFonts w:ascii="Palatino Linotype" w:eastAsia="MS Mincho" w:hAnsi="Palatino Linotype" w:cs="Aria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0D0F">
        <w:rPr>
          <w:rFonts w:ascii="Palatino Linotype" w:eastAsia="MS Mincho" w:hAnsi="Palatino Linotype" w:cs="Arial"/>
          <w:sz w:val="12"/>
        </w:rPr>
        <w:footnoteReference w:id="2"/>
      </w:r>
      <w:r w:rsidRPr="000F6AF7">
        <w:rPr>
          <w:rFonts w:ascii="Palatino Linotype" w:eastAsia="MS Mincho" w:hAnsi="Palatino Linotype" w:cs="Arial"/>
        </w:rPr>
        <w:t>que se constituye como una herramienta fundamental para ejercer el control democrático de las gestiones estatales, de forma tal que puedan cuestionar, indagar y considerar si se está dando un adecuado cumplimiento a las funciones públicas,</w:t>
      </w:r>
      <w:r w:rsidRPr="000F6AF7">
        <w:rPr>
          <w:rFonts w:ascii="Palatino Linotype" w:eastAsia="MS Mincho" w:hAnsi="Palatino Linotype" w:cs="Arial"/>
        </w:rPr>
        <w:footnoteReference w:id="3"/>
      </w:r>
      <w:r w:rsidRPr="000F6AF7">
        <w:rPr>
          <w:rFonts w:ascii="Palatino Linotype" w:eastAsia="MS Mincho" w:hAnsi="Palatino Linotype" w:cs="Arial"/>
        </w:rPr>
        <w:t xml:space="preserve">fomentando la transparencia de las actividades estatales y promoviendo </w:t>
      </w:r>
      <w:r w:rsidRPr="000F6AF7">
        <w:rPr>
          <w:rFonts w:ascii="Palatino Linotype" w:eastAsia="MS Mincho" w:hAnsi="Palatino Linotype" w:cs="Arial"/>
        </w:rPr>
        <w:lastRenderedPageBreak/>
        <w:t>la responsabilidad de los funcionarios sobre su gestión pública,</w:t>
      </w:r>
      <w:r w:rsidRPr="00780D0F">
        <w:rPr>
          <w:rFonts w:ascii="Palatino Linotype" w:eastAsia="MS Mincho" w:hAnsi="Palatino Linotype" w:cs="Arial"/>
          <w:sz w:val="14"/>
        </w:rPr>
        <w:footnoteReference w:id="4"/>
      </w:r>
      <w:r w:rsidRPr="000F6AF7">
        <w:rPr>
          <w:rFonts w:ascii="Palatino Linotype" w:eastAsia="MS Mincho" w:hAnsi="Palatino Linotype" w:cs="Arial"/>
        </w:rPr>
        <w:t>que permite saber qué están haciendo los gobiernos por sus pueblos, sin lo cual la verdad languidecería y la participación en el gobierno permanecería fragmentada.</w:t>
      </w:r>
    </w:p>
    <w:p w14:paraId="31F30059" w14:textId="77777777" w:rsidR="006D7A96" w:rsidRPr="000F6AF7" w:rsidRDefault="006D7A96" w:rsidP="000F6AF7">
      <w:pPr>
        <w:spacing w:line="360" w:lineRule="auto"/>
        <w:contextualSpacing/>
        <w:jc w:val="both"/>
        <w:rPr>
          <w:rFonts w:ascii="Palatino Linotype" w:eastAsia="MS Mincho" w:hAnsi="Palatino Linotype" w:cs="Arial"/>
        </w:rPr>
      </w:pPr>
    </w:p>
    <w:p w14:paraId="5261150C"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1714878" w14:textId="48B13323" w:rsidR="006D7A96" w:rsidRPr="000F6AF7" w:rsidRDefault="006D7A96" w:rsidP="006037FC">
      <w:pPr>
        <w:spacing w:line="360" w:lineRule="auto"/>
        <w:contextualSpacing/>
        <w:jc w:val="both"/>
        <w:rPr>
          <w:rFonts w:ascii="Palatino Linotype" w:eastAsia="MS Mincho" w:hAnsi="Palatino Linotype" w:cs="Arial"/>
        </w:rPr>
      </w:pPr>
    </w:p>
    <w:p w14:paraId="21F61F01" w14:textId="39D2CE9E"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Por lo tanto, derivado de lo señalado con anterioridad la actuación Ayuntamiento de </w:t>
      </w:r>
      <w:r w:rsidR="006037FC">
        <w:rPr>
          <w:rFonts w:ascii="Palatino Linotype" w:eastAsia="MS Mincho" w:hAnsi="Palatino Linotype" w:cs="Arial"/>
        </w:rPr>
        <w:t>Ozumba</w:t>
      </w:r>
      <w:r w:rsidRPr="000F6AF7">
        <w:rPr>
          <w:rFonts w:ascii="Palatino Linotype" w:eastAsia="MS Mincho" w:hAnsi="Palatino Linotype" w:cs="Aria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7A102321" w14:textId="77777777" w:rsidR="006D7A96" w:rsidRPr="000F6AF7" w:rsidRDefault="006D7A96" w:rsidP="006037FC">
      <w:pPr>
        <w:spacing w:line="360" w:lineRule="auto"/>
        <w:contextualSpacing/>
        <w:jc w:val="both"/>
        <w:rPr>
          <w:rFonts w:ascii="Palatino Linotype" w:eastAsia="MS Mincho" w:hAnsi="Palatino Linotype" w:cs="Arial"/>
        </w:rPr>
      </w:pPr>
    </w:p>
    <w:p w14:paraId="5820AAEA"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7849ABA5" w14:textId="77777777" w:rsidR="006D7A96" w:rsidRPr="000F6AF7" w:rsidRDefault="006D7A96" w:rsidP="006037FC">
      <w:pPr>
        <w:spacing w:line="360" w:lineRule="auto"/>
        <w:contextualSpacing/>
        <w:jc w:val="both"/>
        <w:rPr>
          <w:rFonts w:ascii="Palatino Linotype" w:eastAsia="MS Mincho" w:hAnsi="Palatino Linotype" w:cs="Arial"/>
        </w:rPr>
      </w:pPr>
    </w:p>
    <w:p w14:paraId="3D4AD493"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por los principios de simplicidad, rapidez gratuidad del procedimiento, auxilio y orientación a los particulares, contemplando el derecho de las personas con discapacidad y hablantes de lengua indígena. </w:t>
      </w:r>
    </w:p>
    <w:p w14:paraId="7AC9DA26" w14:textId="77777777" w:rsidR="006D7A96" w:rsidRPr="000F6AF7" w:rsidRDefault="006D7A96" w:rsidP="006037FC">
      <w:pPr>
        <w:spacing w:line="360" w:lineRule="auto"/>
        <w:contextualSpacing/>
        <w:jc w:val="both"/>
        <w:rPr>
          <w:rFonts w:ascii="Palatino Linotype" w:eastAsia="MS Mincho" w:hAnsi="Palatino Linotype" w:cs="Arial"/>
        </w:rPr>
      </w:pPr>
    </w:p>
    <w:p w14:paraId="2CC2E056"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Es así que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938878A"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Establecido lo anterior, resulta evidente que las razones o motivos de inconformidad hechos valer en el recurso de revisión resultan fundadas y procedentes, debido a que el SUJETO OBLIGADO fue omiso en responder la solicitud de información en cuestión, es decir, NO proporciono respuesta alguna, negando así el acceso a cualquier tipo de información sin ofrecer mayores </w:t>
      </w:r>
      <w:r w:rsidRPr="000F6AF7">
        <w:rPr>
          <w:rFonts w:ascii="Palatino Linotype" w:eastAsia="MS Mincho" w:hAnsi="Palatino Linotype" w:cs="Arial"/>
        </w:rPr>
        <w:lastRenderedPageBreak/>
        <w:t xml:space="preserve">explicaciones, es decir, no fundó ni motivó su omisión, su falta de actuación en relación a sus obligaciones de garantizar el acceso a la información pública. </w:t>
      </w:r>
    </w:p>
    <w:p w14:paraId="38B4B97C" w14:textId="77777777" w:rsidR="006D7A96" w:rsidRPr="000F6AF7" w:rsidRDefault="006D7A96" w:rsidP="006037FC">
      <w:pPr>
        <w:spacing w:line="360" w:lineRule="auto"/>
        <w:contextualSpacing/>
        <w:jc w:val="both"/>
        <w:rPr>
          <w:rFonts w:ascii="Palatino Linotype" w:eastAsia="MS Mincho" w:hAnsi="Palatino Linotype" w:cs="Arial"/>
        </w:rPr>
      </w:pPr>
    </w:p>
    <w:p w14:paraId="083CA9A9" w14:textId="3E64BB80"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Dicha omisión implica un incumplimiento de las obligaciones que la Ley de Transparencia y Acceso a la Información del Estado de México y Municipios le impone al Ayuntamiento de </w:t>
      </w:r>
      <w:r w:rsidR="006037FC">
        <w:rPr>
          <w:rFonts w:ascii="Palatino Linotype" w:eastAsia="MS Mincho" w:hAnsi="Palatino Linotype" w:cs="Arial"/>
        </w:rPr>
        <w:t>Ozumba</w:t>
      </w:r>
      <w:r w:rsidRPr="000F6AF7">
        <w:rPr>
          <w:rFonts w:ascii="Palatino Linotype" w:eastAsia="MS Mincho" w:hAnsi="Palatino Linotype" w:cs="Arial"/>
        </w:rPr>
        <w:t xml:space="preserve"> como sujeto obligado, de conformidad con el artículo 23 fracción IV, que a la letra dice:</w:t>
      </w:r>
    </w:p>
    <w:p w14:paraId="1A45632E" w14:textId="77777777" w:rsidR="006D7A96" w:rsidRPr="000F6AF7" w:rsidRDefault="006D7A96" w:rsidP="006037FC">
      <w:pPr>
        <w:spacing w:line="360" w:lineRule="auto"/>
        <w:contextualSpacing/>
        <w:jc w:val="both"/>
        <w:rPr>
          <w:rFonts w:ascii="Palatino Linotype" w:eastAsia="MS Mincho" w:hAnsi="Palatino Linotype" w:cs="Arial"/>
        </w:rPr>
      </w:pPr>
    </w:p>
    <w:p w14:paraId="72FAAAAF" w14:textId="77777777" w:rsidR="006D7A96" w:rsidRPr="000F6AF7" w:rsidRDefault="006D7A96" w:rsidP="00780D0F">
      <w:pPr>
        <w:spacing w:line="360" w:lineRule="auto"/>
        <w:ind w:left="426"/>
        <w:contextualSpacing/>
        <w:jc w:val="both"/>
        <w:rPr>
          <w:rFonts w:ascii="Palatino Linotype" w:eastAsia="MS Mincho" w:hAnsi="Palatino Linotype" w:cs="Arial"/>
        </w:rPr>
      </w:pPr>
      <w:r w:rsidRPr="000F6AF7">
        <w:rPr>
          <w:rFonts w:ascii="Palatino Linotype" w:eastAsia="MS Mincho" w:hAnsi="Palatino Linotype" w:cs="Arial"/>
        </w:rPr>
        <w:t xml:space="preserve">“Artículo 23. Son sujetos obligados a transparentar y permitir el acceso a su información y proteger los datos personales que obren en su poder: </w:t>
      </w:r>
    </w:p>
    <w:p w14:paraId="1572E6A6" w14:textId="77777777" w:rsidR="006D7A96" w:rsidRPr="000F6AF7" w:rsidRDefault="006D7A96" w:rsidP="00780D0F">
      <w:pPr>
        <w:spacing w:line="360" w:lineRule="auto"/>
        <w:ind w:left="426" w:right="758"/>
        <w:contextualSpacing/>
        <w:jc w:val="both"/>
        <w:rPr>
          <w:rFonts w:ascii="Palatino Linotype" w:eastAsia="MS Mincho" w:hAnsi="Palatino Linotype" w:cs="Arial"/>
        </w:rPr>
      </w:pPr>
    </w:p>
    <w:p w14:paraId="74073782" w14:textId="77777777" w:rsidR="006D7A96" w:rsidRPr="000F6AF7" w:rsidRDefault="006D7A96" w:rsidP="00780D0F">
      <w:pPr>
        <w:spacing w:line="360" w:lineRule="auto"/>
        <w:ind w:left="426" w:right="758"/>
        <w:contextualSpacing/>
        <w:jc w:val="both"/>
        <w:rPr>
          <w:rFonts w:ascii="Palatino Linotype" w:eastAsia="MS Mincho" w:hAnsi="Palatino Linotype" w:cs="Arial"/>
        </w:rPr>
      </w:pPr>
      <w:r w:rsidRPr="000F6AF7">
        <w:rPr>
          <w:rFonts w:ascii="Palatino Linotype" w:eastAsia="MS Mincho" w:hAnsi="Palatino Linotype" w:cs="Arial"/>
        </w:rPr>
        <w:t>IV. Los ayuntamientos y las dependencias, organismos, órganos y entidades de la administración municipal;”</w:t>
      </w:r>
    </w:p>
    <w:p w14:paraId="53E961D3" w14:textId="77777777" w:rsidR="006D7A96" w:rsidRPr="000F6AF7" w:rsidRDefault="006D7A96" w:rsidP="006037FC">
      <w:pPr>
        <w:spacing w:line="360" w:lineRule="auto"/>
        <w:contextualSpacing/>
        <w:jc w:val="both"/>
        <w:rPr>
          <w:rFonts w:ascii="Palatino Linotype" w:eastAsia="MS Mincho" w:hAnsi="Palatino Linotype" w:cs="Arial"/>
        </w:rPr>
      </w:pPr>
    </w:p>
    <w:p w14:paraId="3B5AAF33" w14:textId="178B50D9"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Así en calidad de SUJETO OBLIGADO, el Ayuntamiento de </w:t>
      </w:r>
      <w:r w:rsidR="006037FC">
        <w:rPr>
          <w:rFonts w:ascii="Palatino Linotype" w:eastAsia="MS Mincho" w:hAnsi="Palatino Linotype" w:cs="Arial"/>
        </w:rPr>
        <w:t>Ozumba</w:t>
      </w:r>
      <w:r w:rsidRPr="000F6AF7">
        <w:rPr>
          <w:rFonts w:ascii="Palatino Linotype" w:eastAsia="MS Mincho" w:hAnsi="Palatino Linotype" w:cs="Arial"/>
        </w:rPr>
        <w:t xml:space="preserve"> 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0FFFF50" w14:textId="77777777" w:rsidR="006D7A96" w:rsidRPr="000F6AF7" w:rsidRDefault="006D7A96" w:rsidP="006037FC">
      <w:pPr>
        <w:spacing w:line="360" w:lineRule="auto"/>
        <w:contextualSpacing/>
        <w:jc w:val="both"/>
        <w:rPr>
          <w:rFonts w:ascii="Palatino Linotype" w:eastAsia="MS Mincho" w:hAnsi="Palatino Linotype" w:cs="Arial"/>
        </w:rPr>
      </w:pPr>
    </w:p>
    <w:p w14:paraId="17F253FE"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Constitución Política de los Estados Unidos Mexicanos</w:t>
      </w:r>
    </w:p>
    <w:p w14:paraId="468CE607"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p>
    <w:p w14:paraId="26618192"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lastRenderedPageBreak/>
        <w:t>“Artículo 6. …</w:t>
      </w:r>
    </w:p>
    <w:p w14:paraId="05B48E84"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w:t>
      </w:r>
    </w:p>
    <w:p w14:paraId="7ACC1493"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Para efectos de lo dispuesto en el presente artículo se observará lo siguiente:</w:t>
      </w:r>
    </w:p>
    <w:p w14:paraId="023E3535"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A. Para el ejercicio del derecho de acceso a la información, la Federación y las entidades federativas, en el ámbito de sus respectivas competencias, se regirán por los siguientes principios y bases:</w:t>
      </w:r>
    </w:p>
    <w:p w14:paraId="278BD1A7"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p>
    <w:p w14:paraId="39F6AB45"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 xml:space="preserve">I. </w:t>
      </w:r>
      <w:r w:rsidRPr="006037FC">
        <w:rPr>
          <w:rFonts w:ascii="Palatino Linotype" w:eastAsia="MS Mincho" w:hAnsi="Palatino Linotype" w:cs="Arial"/>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153801"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p>
    <w:p w14:paraId="14125236"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 xml:space="preserve">(Énfasis añadido) </w:t>
      </w:r>
    </w:p>
    <w:p w14:paraId="1DE89EE9"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p>
    <w:p w14:paraId="2A748465"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Constitución Política del Estado Libre y Soberano de México</w:t>
      </w:r>
    </w:p>
    <w:p w14:paraId="5307EFA2"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p>
    <w:p w14:paraId="7280F303" w14:textId="77777777" w:rsidR="006D7A96" w:rsidRPr="006037FC"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“Artículo 5.- …</w:t>
      </w:r>
    </w:p>
    <w:p w14:paraId="57F7C023" w14:textId="77777777" w:rsidR="006D7A96" w:rsidRDefault="006D7A96" w:rsidP="006037FC">
      <w:pPr>
        <w:spacing w:line="360" w:lineRule="auto"/>
        <w:ind w:left="426" w:right="474"/>
        <w:contextualSpacing/>
        <w:jc w:val="both"/>
        <w:rPr>
          <w:rFonts w:ascii="Palatino Linotype" w:eastAsia="MS Mincho" w:hAnsi="Palatino Linotype" w:cs="Arial"/>
          <w:i/>
        </w:rPr>
      </w:pPr>
      <w:r w:rsidRPr="006037FC">
        <w:rPr>
          <w:rFonts w:ascii="Palatino Linotype" w:eastAsia="MS Mincho" w:hAnsi="Palatino Linotype" w:cs="Arial"/>
          <w:i/>
        </w:rPr>
        <w:t>…</w:t>
      </w:r>
    </w:p>
    <w:p w14:paraId="3085ECC8" w14:textId="77777777" w:rsidR="006037FC" w:rsidRPr="006037FC" w:rsidRDefault="006037FC" w:rsidP="006037FC">
      <w:pPr>
        <w:spacing w:line="360" w:lineRule="auto"/>
        <w:ind w:left="426" w:right="474"/>
        <w:contextualSpacing/>
        <w:jc w:val="both"/>
        <w:rPr>
          <w:rFonts w:ascii="Palatino Linotype" w:eastAsia="MS Mincho" w:hAnsi="Palatino Linotype" w:cs="Arial"/>
          <w:i/>
        </w:rPr>
      </w:pPr>
    </w:p>
    <w:p w14:paraId="5692D6E8" w14:textId="77777777" w:rsidR="006D7A96"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El derecho a la información será garantizado por el Estado. La ley establecerá las previsiones que permitan asegurar la protección, el respeto y la difusión de este derecho.</w:t>
      </w:r>
    </w:p>
    <w:p w14:paraId="1CD9863F" w14:textId="77777777" w:rsidR="006037FC" w:rsidRPr="000F6AF7" w:rsidRDefault="006037FC" w:rsidP="006037FC">
      <w:pPr>
        <w:spacing w:line="360" w:lineRule="auto"/>
        <w:contextualSpacing/>
        <w:jc w:val="both"/>
        <w:rPr>
          <w:rFonts w:ascii="Palatino Linotype" w:eastAsia="MS Mincho" w:hAnsi="Palatino Linotype" w:cs="Arial"/>
        </w:rPr>
      </w:pPr>
    </w:p>
    <w:p w14:paraId="5A4B541A" w14:textId="77777777" w:rsidR="006D7A96"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90405C" w14:textId="77777777" w:rsidR="006037FC" w:rsidRDefault="006037FC" w:rsidP="006037FC">
      <w:pPr>
        <w:pStyle w:val="Prrafodelista"/>
        <w:rPr>
          <w:rFonts w:ascii="Palatino Linotype" w:eastAsia="MS Mincho" w:hAnsi="Palatino Linotype" w:cs="Arial"/>
        </w:rPr>
      </w:pPr>
    </w:p>
    <w:p w14:paraId="16E650C6" w14:textId="77777777" w:rsidR="006D7A96"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Este derecho se regirá por los principios y bases siguientes:</w:t>
      </w:r>
    </w:p>
    <w:p w14:paraId="734AD581" w14:textId="77777777" w:rsidR="00780D0F" w:rsidRDefault="00780D0F" w:rsidP="00780D0F">
      <w:pPr>
        <w:pStyle w:val="Prrafodelista"/>
        <w:rPr>
          <w:rFonts w:ascii="Palatino Linotype" w:eastAsia="MS Mincho" w:hAnsi="Palatino Linotype" w:cs="Arial"/>
        </w:rPr>
      </w:pPr>
    </w:p>
    <w:p w14:paraId="1A456545" w14:textId="77777777" w:rsidR="00780D0F" w:rsidRPr="000F6AF7" w:rsidRDefault="00780D0F" w:rsidP="00780D0F">
      <w:pPr>
        <w:spacing w:line="360" w:lineRule="auto"/>
        <w:contextualSpacing/>
        <w:jc w:val="both"/>
        <w:rPr>
          <w:rFonts w:ascii="Palatino Linotype" w:eastAsia="MS Mincho" w:hAnsi="Palatino Linotype" w:cs="Arial"/>
        </w:rPr>
      </w:pPr>
    </w:p>
    <w:p w14:paraId="1CB581EA" w14:textId="77777777" w:rsidR="006D7A96" w:rsidRPr="000F6AF7" w:rsidRDefault="006D7A96" w:rsidP="006037FC">
      <w:pPr>
        <w:spacing w:line="360" w:lineRule="auto"/>
        <w:ind w:left="426" w:right="333"/>
        <w:contextualSpacing/>
        <w:jc w:val="both"/>
        <w:rPr>
          <w:rFonts w:ascii="Palatino Linotype" w:eastAsia="MS Mincho" w:hAnsi="Palatino Linotype" w:cs="Arial"/>
        </w:rPr>
      </w:pPr>
      <w:r w:rsidRPr="000F6AF7">
        <w:rPr>
          <w:rFonts w:ascii="Palatino Linotype" w:eastAsia="MS Mincho" w:hAnsi="Palatino Linotype" w:cs="Aria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w:t>
      </w:r>
      <w:r w:rsidRPr="000F6AF7">
        <w:rPr>
          <w:rFonts w:ascii="Palatino Linotype" w:eastAsia="MS Mincho" w:hAnsi="Palatino Linotype" w:cs="Arial"/>
        </w:rPr>
        <w:lastRenderedPageBreak/>
        <w:t>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10F886" w14:textId="77777777" w:rsidR="006D7A96" w:rsidRPr="000F6AF7" w:rsidRDefault="006D7A96" w:rsidP="006037FC">
      <w:pPr>
        <w:spacing w:line="360" w:lineRule="auto"/>
        <w:contextualSpacing/>
        <w:jc w:val="both"/>
        <w:rPr>
          <w:rFonts w:ascii="Palatino Linotype" w:eastAsia="MS Mincho" w:hAnsi="Palatino Linotype" w:cs="Arial"/>
        </w:rPr>
      </w:pPr>
    </w:p>
    <w:p w14:paraId="061B0AB8"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5676E6BF" w14:textId="77777777" w:rsidR="006D7A96" w:rsidRPr="000F6AF7" w:rsidRDefault="006D7A96" w:rsidP="006037FC">
      <w:pPr>
        <w:spacing w:line="360" w:lineRule="auto"/>
        <w:contextualSpacing/>
        <w:jc w:val="both"/>
        <w:rPr>
          <w:rFonts w:ascii="Palatino Linotype" w:eastAsia="MS Mincho" w:hAnsi="Palatino Linotype" w:cs="Arial"/>
        </w:rPr>
      </w:pPr>
    </w:p>
    <w:p w14:paraId="2A7F062E" w14:textId="77777777" w:rsidR="006D7A96" w:rsidRPr="006037FC" w:rsidRDefault="006D7A96" w:rsidP="006037FC">
      <w:pPr>
        <w:spacing w:line="360" w:lineRule="auto"/>
        <w:ind w:left="284" w:right="474"/>
        <w:contextualSpacing/>
        <w:jc w:val="both"/>
        <w:rPr>
          <w:rFonts w:ascii="Palatino Linotype" w:eastAsia="MS Mincho" w:hAnsi="Palatino Linotype" w:cs="Arial"/>
          <w:i/>
        </w:rPr>
      </w:pPr>
      <w:r w:rsidRPr="006037FC">
        <w:rPr>
          <w:rFonts w:ascii="Palatino Linotype" w:eastAsia="MS Mincho" w:hAnsi="Palatino Linotype" w:cs="Arial"/>
          <w:i/>
        </w:rPr>
        <w:t xml:space="preserve">“Artículo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661CCF8D" w14:textId="77777777" w:rsidR="006D7A96" w:rsidRPr="000F6AF7" w:rsidRDefault="006D7A96" w:rsidP="006037FC">
      <w:pPr>
        <w:spacing w:line="360" w:lineRule="auto"/>
        <w:contextualSpacing/>
        <w:jc w:val="both"/>
        <w:rPr>
          <w:rFonts w:ascii="Palatino Linotype" w:eastAsia="MS Mincho" w:hAnsi="Palatino Linotype" w:cs="Arial"/>
        </w:rPr>
      </w:pPr>
    </w:p>
    <w:p w14:paraId="7A5340F1"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w:t>
      </w:r>
      <w:r w:rsidRPr="000F6AF7">
        <w:rPr>
          <w:rFonts w:ascii="Palatino Linotype" w:eastAsia="MS Mincho" w:hAnsi="Palatino Linotype" w:cs="Arial"/>
        </w:rPr>
        <w:lastRenderedPageBreak/>
        <w:t xml:space="preserve">que emitan los órganos nacionales e internacionales especializados, favoreciendo en todo tiempo a las personas la protección más amplia, atendiendo al principio </w:t>
      </w:r>
      <w:proofErr w:type="spellStart"/>
      <w:r w:rsidRPr="000F6AF7">
        <w:rPr>
          <w:rFonts w:ascii="Palatino Linotype" w:eastAsia="MS Mincho" w:hAnsi="Palatino Linotype" w:cs="Arial"/>
        </w:rPr>
        <w:t>pro</w:t>
      </w:r>
      <w:proofErr w:type="spellEnd"/>
      <w:r w:rsidRPr="000F6AF7">
        <w:rPr>
          <w:rFonts w:ascii="Palatino Linotype" w:eastAsia="MS Mincho" w:hAnsi="Palatino Linotype" w:cs="Arial"/>
        </w:rPr>
        <w:t xml:space="preserve"> persona.</w:t>
      </w:r>
    </w:p>
    <w:p w14:paraId="66EF4CE4" w14:textId="77777777" w:rsidR="006D7A96" w:rsidRPr="000F6AF7" w:rsidRDefault="006D7A96" w:rsidP="006037FC">
      <w:pPr>
        <w:spacing w:line="360" w:lineRule="auto"/>
        <w:contextualSpacing/>
        <w:jc w:val="both"/>
        <w:rPr>
          <w:rFonts w:ascii="Palatino Linotype" w:eastAsia="MS Mincho" w:hAnsi="Palatino Linotype" w:cs="Arial"/>
        </w:rPr>
      </w:pPr>
    </w:p>
    <w:p w14:paraId="0565C40A"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 xml:space="preserve"> Para el caso de la interpretación se podrá tomar en cuenta los criterios, determinaciones y opiniones de los organismos nacionales e internacionales, en materia de transparencia y el derecho de acceso a la información.”</w:t>
      </w:r>
    </w:p>
    <w:p w14:paraId="22A62E88" w14:textId="77777777" w:rsidR="006D7A96" w:rsidRPr="000F6AF7" w:rsidRDefault="006D7A96" w:rsidP="006037FC">
      <w:pPr>
        <w:spacing w:line="360" w:lineRule="auto"/>
        <w:contextualSpacing/>
        <w:jc w:val="both"/>
        <w:rPr>
          <w:rFonts w:ascii="Palatino Linotype" w:eastAsia="MS Mincho" w:hAnsi="Palatino Linotype" w:cs="Arial"/>
        </w:rPr>
      </w:pPr>
    </w:p>
    <w:p w14:paraId="5C53D6A5" w14:textId="77777777" w:rsidR="006D7A96"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Por tanto, en cumplimiento a las obligaciones que la Constitución Federal , la Constitución Estatal y la Ley de la materia el SUJETO OBLIGADO está constreñido a dar atención a las solicitudes de información que a través del SAIMEX o de vía directa  que le sean presentadas en ejercicio del derecho humano de acceso a la información pública, lo cual, en el caso no aconteció, pues tal y como se ha acreditado de la revisión del expediente electrónico formado en el SAIMEX, el SUJETO OBLIGADO fue omiso en dar respuesta a la solicitud. Prueba de ello, es la captura de pantalla que se incorpora:</w:t>
      </w:r>
    </w:p>
    <w:p w14:paraId="32205F11" w14:textId="22CD6D1D" w:rsidR="006037FC" w:rsidRPr="000F6AF7" w:rsidRDefault="00E67D99" w:rsidP="006037FC">
      <w:pPr>
        <w:spacing w:line="360" w:lineRule="auto"/>
        <w:contextualSpacing/>
        <w:jc w:val="both"/>
        <w:rPr>
          <w:rFonts w:ascii="Palatino Linotype" w:eastAsia="MS Mincho" w:hAnsi="Palatino Linotype" w:cs="Arial"/>
        </w:rPr>
      </w:pPr>
      <w:r w:rsidRPr="00E67D99">
        <w:rPr>
          <w:rFonts w:ascii="Palatino Linotype" w:eastAsia="MS Mincho" w:hAnsi="Palatino Linotype" w:cs="Arial"/>
          <w:noProof/>
          <w:lang w:val="es-MX" w:eastAsia="es-MX"/>
        </w:rPr>
        <w:drawing>
          <wp:inline distT="0" distB="0" distL="0" distR="0" wp14:anchorId="3DDFB8CB" wp14:editId="4AC1139F">
            <wp:extent cx="5213281" cy="1352282"/>
            <wp:effectExtent l="0" t="0" r="698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23" cy="1353356"/>
                    </a:xfrm>
                    <a:prstGeom prst="rect">
                      <a:avLst/>
                    </a:prstGeom>
                    <a:noFill/>
                    <a:ln>
                      <a:noFill/>
                    </a:ln>
                  </pic:spPr>
                </pic:pic>
              </a:graphicData>
            </a:graphic>
          </wp:inline>
        </w:drawing>
      </w:r>
    </w:p>
    <w:p w14:paraId="7063F1D9" w14:textId="73DD52BD" w:rsidR="006D7A96" w:rsidRPr="000F6AF7" w:rsidRDefault="006D7A96" w:rsidP="006037FC">
      <w:pPr>
        <w:spacing w:line="360" w:lineRule="auto"/>
        <w:contextualSpacing/>
        <w:jc w:val="both"/>
        <w:rPr>
          <w:rFonts w:ascii="Palatino Linotype" w:eastAsia="MS Mincho" w:hAnsi="Palatino Linotype" w:cs="Arial"/>
        </w:rPr>
      </w:pPr>
    </w:p>
    <w:p w14:paraId="63FDEAD3" w14:textId="5D6C73CC" w:rsidR="006D7A96" w:rsidRPr="000F6AF7" w:rsidRDefault="006D7A96" w:rsidP="006037FC">
      <w:pPr>
        <w:spacing w:line="360" w:lineRule="auto"/>
        <w:contextualSpacing/>
        <w:jc w:val="both"/>
        <w:rPr>
          <w:rFonts w:ascii="Palatino Linotype" w:eastAsia="MS Mincho" w:hAnsi="Palatino Linotype" w:cs="Arial"/>
        </w:rPr>
      </w:pPr>
    </w:p>
    <w:p w14:paraId="1F268AC1" w14:textId="3F65D553"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lastRenderedPageBreak/>
        <w:t>De las constancias que obran en el expediente de</w:t>
      </w:r>
      <w:r w:rsidR="00780D0F">
        <w:rPr>
          <w:rFonts w:ascii="Palatino Linotype" w:eastAsia="MS Mincho" w:hAnsi="Palatino Linotype" w:cs="Arial"/>
        </w:rPr>
        <w:t xml:space="preserve"> la plataforma digital (SAIMEX)</w:t>
      </w:r>
      <w:r w:rsidRPr="000F6AF7">
        <w:rPr>
          <w:rFonts w:ascii="Palatino Linotype" w:eastAsia="MS Mincho" w:hAnsi="Palatino Linotype" w:cs="Arial"/>
        </w:rPr>
        <w:t xml:space="preserve">, se observa que no fueron turnadas por parte del Titular de la Unidad de Transparencia a los servidores públicos habilitados, lo que generó la falta de respuesta, motivo por el cual el particular </w:t>
      </w:r>
      <w:r w:rsidR="00780D0F">
        <w:rPr>
          <w:rFonts w:ascii="Palatino Linotype" w:eastAsia="MS Mincho" w:hAnsi="Palatino Linotype" w:cs="Arial"/>
        </w:rPr>
        <w:t>interpuso recurso de revisión</w:t>
      </w:r>
      <w:r w:rsidRPr="000F6AF7">
        <w:rPr>
          <w:rFonts w:ascii="Palatino Linotype" w:eastAsia="MS Mincho" w:hAnsi="Palatino Linotype" w:cs="Arial"/>
        </w:rPr>
        <w:t xml:space="preserve">. </w:t>
      </w:r>
    </w:p>
    <w:p w14:paraId="24A5C962" w14:textId="77777777" w:rsidR="006D7A96" w:rsidRPr="000F6AF7" w:rsidRDefault="006D7A96" w:rsidP="006037FC">
      <w:pPr>
        <w:spacing w:line="360" w:lineRule="auto"/>
        <w:contextualSpacing/>
        <w:jc w:val="both"/>
        <w:rPr>
          <w:rFonts w:ascii="Palatino Linotype" w:eastAsia="MS Mincho" w:hAnsi="Palatino Linotype" w:cs="Arial"/>
        </w:rPr>
      </w:pPr>
    </w:p>
    <w:p w14:paraId="072B8215" w14:textId="77777777" w:rsidR="006D7A96" w:rsidRPr="000F6AF7" w:rsidRDefault="006D7A96" w:rsidP="000F6AF7">
      <w:pPr>
        <w:numPr>
          <w:ilvl w:val="0"/>
          <w:numId w:val="2"/>
        </w:numPr>
        <w:spacing w:line="360" w:lineRule="auto"/>
        <w:ind w:left="0" w:firstLine="0"/>
        <w:contextualSpacing/>
        <w:jc w:val="both"/>
        <w:rPr>
          <w:rFonts w:ascii="Palatino Linotype" w:eastAsia="MS Mincho" w:hAnsi="Palatino Linotype" w:cs="Arial"/>
        </w:rPr>
      </w:pPr>
      <w:r w:rsidRPr="000F6AF7">
        <w:rPr>
          <w:rFonts w:ascii="Palatino Linotype" w:eastAsia="MS Mincho" w:hAnsi="Palatino Linotype" w:cs="Aria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071D90A4" w14:textId="77777777" w:rsidR="006D7A96" w:rsidRPr="00255189"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eastAsia="Calibri" w:hAnsi="Palatino Linotype" w:cs="Times New Roman"/>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14429A5B" w14:textId="77777777" w:rsidR="006D7A96" w:rsidRPr="00255189" w:rsidRDefault="006D7A96" w:rsidP="006D7A96">
      <w:pPr>
        <w:ind w:left="720"/>
        <w:contextualSpacing/>
        <w:rPr>
          <w:rFonts w:ascii="Palatino Linotype" w:eastAsia="Times New Roman" w:hAnsi="Palatino Linotype" w:cs="Arial"/>
          <w:color w:val="000000"/>
        </w:rPr>
      </w:pPr>
    </w:p>
    <w:p w14:paraId="5A284011"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552EB00E"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b/>
          <w:i/>
        </w:rPr>
        <w:t>Artículo 53.</w:t>
      </w:r>
      <w:r w:rsidRPr="00255189">
        <w:rPr>
          <w:rFonts w:ascii="Palatino Linotype" w:hAnsi="Palatino Linotype"/>
          <w:i/>
        </w:rPr>
        <w:t xml:space="preserve"> Las Unidades de Transparencia tendrán las siguientes funciones:</w:t>
      </w:r>
    </w:p>
    <w:p w14:paraId="7B24E7CB"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i/>
        </w:rPr>
        <w:t>…</w:t>
      </w:r>
    </w:p>
    <w:p w14:paraId="51DD475D" w14:textId="77777777" w:rsidR="006D7A96" w:rsidRPr="00255189" w:rsidRDefault="006D7A96" w:rsidP="006D7A96">
      <w:pPr>
        <w:spacing w:line="360" w:lineRule="auto"/>
        <w:ind w:left="567" w:right="616"/>
        <w:jc w:val="both"/>
        <w:rPr>
          <w:rFonts w:ascii="Palatino Linotype" w:hAnsi="Palatino Linotype"/>
          <w:i/>
        </w:rPr>
      </w:pPr>
      <w:r w:rsidRPr="006E3DBF">
        <w:rPr>
          <w:rFonts w:ascii="Palatino Linotype" w:hAnsi="Palatino Linotype"/>
          <w:b/>
          <w:i/>
          <w:u w:val="single"/>
        </w:rPr>
        <w:t>II. Recibir, tramitar y dar respuesta a las solicitudes de acceso a la información</w:t>
      </w:r>
      <w:r w:rsidRPr="00255189">
        <w:rPr>
          <w:rFonts w:ascii="Palatino Linotype" w:hAnsi="Palatino Linotype"/>
          <w:i/>
        </w:rPr>
        <w:t>;</w:t>
      </w:r>
    </w:p>
    <w:p w14:paraId="310794ED"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i/>
        </w:rPr>
        <w:t>…</w:t>
      </w:r>
    </w:p>
    <w:p w14:paraId="0AE90F48"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i/>
        </w:rPr>
        <w:lastRenderedPageBreak/>
        <w:t>IV. Realizar, con efectividad, los trámites internos necesarios para la atención de las solicitudes de acceso a la información;</w:t>
      </w:r>
    </w:p>
    <w:p w14:paraId="29FC0610"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i/>
        </w:rPr>
        <w:t>…</w:t>
      </w:r>
    </w:p>
    <w:p w14:paraId="44816389" w14:textId="77777777" w:rsidR="006D7A96" w:rsidRPr="00255189" w:rsidRDefault="006D7A96" w:rsidP="006D7A96">
      <w:pPr>
        <w:spacing w:line="360" w:lineRule="auto"/>
        <w:ind w:left="567" w:right="616"/>
        <w:jc w:val="both"/>
        <w:rPr>
          <w:rFonts w:ascii="Palatino Linotype" w:hAnsi="Palatino Linotype"/>
          <w:i/>
        </w:rPr>
      </w:pPr>
      <w:r w:rsidRPr="00255189">
        <w:rPr>
          <w:rFonts w:ascii="Palatino Linotype" w:hAnsi="Palatino Linotype"/>
          <w:i/>
        </w:rPr>
        <w:t>XII. Fomentar la transparencia y accesibilidad al interior del sujeto obligado;”</w:t>
      </w:r>
    </w:p>
    <w:p w14:paraId="32D462CD"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18DF18C2" w14:textId="77777777" w:rsidR="006D7A96" w:rsidRPr="00255189"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lang w:val="es-ES"/>
        </w:rPr>
        <w:t xml:space="preserve">en el ámbito de sus atribuciones, </w:t>
      </w:r>
      <w:r w:rsidRPr="00255189">
        <w:rPr>
          <w:rFonts w:ascii="Palatino Linotype" w:eastAsia="Calibri" w:hAnsi="Palatino Linotype" w:cs="Times New Roman"/>
          <w:b/>
          <w:i/>
          <w:lang w:val="es-ES"/>
        </w:rPr>
        <w:t>de promover</w:t>
      </w:r>
      <w:r w:rsidRPr="00255189">
        <w:rPr>
          <w:rFonts w:ascii="Palatino Linotype" w:eastAsia="Calibri" w:hAnsi="Palatino Linotype" w:cs="Times New Roman"/>
          <w:i/>
          <w:lang w:val="es-ES"/>
        </w:rPr>
        <w:t xml:space="preserve">, </w:t>
      </w:r>
      <w:r w:rsidRPr="00255189">
        <w:rPr>
          <w:rFonts w:ascii="Palatino Linotype" w:eastAsia="Calibri" w:hAnsi="Palatino Linotype" w:cs="Times New Roman"/>
          <w:b/>
          <w:i/>
          <w:lang w:val="es-ES"/>
        </w:rPr>
        <w:t>respetar, proteger y</w:t>
      </w:r>
      <w:r w:rsidRPr="00255189">
        <w:rPr>
          <w:rFonts w:ascii="Palatino Linotype" w:eastAsia="Calibri" w:hAnsi="Palatino Linotype" w:cs="Times New Roman"/>
          <w:i/>
          <w:lang w:val="es-ES"/>
        </w:rPr>
        <w:t xml:space="preserve"> </w:t>
      </w:r>
      <w:r w:rsidRPr="00255189">
        <w:rPr>
          <w:rFonts w:ascii="Palatino Linotype" w:eastAsia="Calibri" w:hAnsi="Palatino Linotype" w:cs="Times New Roman"/>
          <w:b/>
          <w:i/>
          <w:lang w:val="es-ES"/>
        </w:rPr>
        <w:t>garantizar</w:t>
      </w:r>
      <w:r w:rsidRPr="00255189">
        <w:rPr>
          <w:rFonts w:ascii="Palatino Linotype" w:eastAsia="Calibri" w:hAnsi="Palatino Linotype" w:cs="Times New Roman"/>
          <w:i/>
          <w:lang w:val="es-ES"/>
        </w:rPr>
        <w:t xml:space="preserve"> los derechos humanos. </w:t>
      </w:r>
      <w:r w:rsidRPr="00255189">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lang w:val="es-ES"/>
        </w:rPr>
        <w:t xml:space="preserve">procedimiento de acceso a </w:t>
      </w:r>
      <w:r w:rsidRPr="00255189">
        <w:rPr>
          <w:rFonts w:ascii="Palatino Linotype" w:eastAsia="Calibri" w:hAnsi="Palatino Linotype" w:cs="Times New Roman"/>
          <w:b/>
          <w:i/>
          <w:lang w:val="es-ES"/>
        </w:rPr>
        <w:t>la información es la garantía</w:t>
      </w:r>
      <w:r w:rsidRPr="00255189">
        <w:rPr>
          <w:rFonts w:ascii="Palatino Linotype" w:eastAsia="Calibri" w:hAnsi="Palatino Linotype" w:cs="Times New Roman"/>
          <w:i/>
          <w:lang w:val="es-ES"/>
        </w:rPr>
        <w:t xml:space="preserve"> primaria del derecho en cuestión.</w:t>
      </w:r>
      <w:r w:rsidRPr="00255189">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lang w:val="es-ES"/>
        </w:rPr>
        <w:t>investigar, sancionar y reparar las violaciones a los derechos humanos.</w:t>
      </w:r>
      <w:r w:rsidRPr="00255189">
        <w:rPr>
          <w:rFonts w:ascii="Palatino Linotype" w:eastAsia="Calibri" w:hAnsi="Palatino Linotype" w:cs="Times New Roman"/>
          <w:lang w:val="es-ES"/>
        </w:rPr>
        <w:t xml:space="preserve"> </w:t>
      </w:r>
    </w:p>
    <w:p w14:paraId="41C58C7D" w14:textId="77777777" w:rsidR="006D7A96" w:rsidRPr="00255189" w:rsidRDefault="006D7A96" w:rsidP="006D7A96">
      <w:pPr>
        <w:ind w:left="720"/>
        <w:contextualSpacing/>
        <w:rPr>
          <w:rFonts w:ascii="Palatino Linotype" w:eastAsia="Calibri" w:hAnsi="Palatino Linotype" w:cs="Times New Roman"/>
          <w:lang w:val="es-ES"/>
        </w:rPr>
      </w:pPr>
    </w:p>
    <w:p w14:paraId="52AB7239" w14:textId="78675193" w:rsidR="006D7A96" w:rsidRPr="00255189" w:rsidRDefault="006D7A96" w:rsidP="006037FC">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eastAsia="Calibri" w:hAnsi="Palatino Linotype" w:cs="Times New Roman"/>
          <w:lang w:val="es-ES"/>
        </w:rPr>
        <w:t>Éste Órgano Garante, como institución pública que forma parte del Estado Mexicano y en cuya representación actúa al substanciar el recurso de rev</w:t>
      </w:r>
      <w:r w:rsidR="007F0819">
        <w:rPr>
          <w:rFonts w:ascii="Palatino Linotype" w:eastAsia="Calibri" w:hAnsi="Palatino Linotype" w:cs="Times New Roman"/>
          <w:lang w:val="es-ES"/>
        </w:rPr>
        <w:t>isión, como garantía secundaria;</w:t>
      </w:r>
      <w:r w:rsidRPr="00255189">
        <w:rPr>
          <w:rFonts w:ascii="Palatino Linotype" w:eastAsia="Calibri" w:hAnsi="Palatino Linotype" w:cs="Times New Roman"/>
          <w:lang w:val="es-ES"/>
        </w:rPr>
        <w:t xml:space="preserve"> es decir, como remedio materialmente jurisdiccional ante las posibles afectaciones al derecho de acceso a la información, según el artículo 176 de </w:t>
      </w:r>
      <w:r w:rsidRPr="00255189">
        <w:rPr>
          <w:rFonts w:ascii="Palatino Linotype" w:eastAsia="Calibri" w:hAnsi="Palatino Linotype" w:cs="Times New Roman"/>
          <w:lang w:val="es-ES"/>
        </w:rPr>
        <w:lastRenderedPageBreak/>
        <w:t xml:space="preserve">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649D43E" w14:textId="77777777" w:rsidR="006D7A96" w:rsidRPr="00255189" w:rsidRDefault="006D7A96" w:rsidP="006D7A96">
      <w:pPr>
        <w:keepNext/>
        <w:keepLines/>
        <w:numPr>
          <w:ilvl w:val="0"/>
          <w:numId w:val="29"/>
        </w:numPr>
        <w:spacing w:before="240"/>
        <w:outlineLvl w:val="0"/>
        <w:rPr>
          <w:rFonts w:ascii="Palatino Linotype" w:eastAsia="Times New Roman" w:hAnsi="Palatino Linotype" w:cstheme="majorBidi"/>
          <w:b/>
          <w:szCs w:val="32"/>
        </w:rPr>
      </w:pPr>
      <w:bookmarkStart w:id="139" w:name="_Toc536106972"/>
      <w:bookmarkStart w:id="140" w:name="_Toc3467944"/>
      <w:bookmarkStart w:id="141" w:name="_Toc49863008"/>
      <w:r w:rsidRPr="00255189">
        <w:rPr>
          <w:rFonts w:ascii="Palatino Linotype" w:eastAsia="Times New Roman" w:hAnsi="Palatino Linotype" w:cstheme="majorBidi"/>
          <w:b/>
          <w:szCs w:val="32"/>
        </w:rPr>
        <w:t>Sobre la respuesta que se emita a la solicitud.</w:t>
      </w:r>
      <w:bookmarkEnd w:id="139"/>
      <w:bookmarkEnd w:id="140"/>
      <w:bookmarkEnd w:id="141"/>
    </w:p>
    <w:p w14:paraId="296018B4" w14:textId="77777777" w:rsidR="006D7A96" w:rsidRPr="00255189" w:rsidRDefault="006D7A96" w:rsidP="006D7A96">
      <w:pPr>
        <w:spacing w:line="360" w:lineRule="auto"/>
        <w:ind w:right="49"/>
        <w:contextualSpacing/>
        <w:jc w:val="both"/>
        <w:rPr>
          <w:rFonts w:ascii="Palatino Linotype" w:eastAsia="Times New Roman" w:hAnsi="Palatino Linotype" w:cs="Arial"/>
          <w:b/>
          <w:color w:val="000000"/>
        </w:rPr>
      </w:pPr>
    </w:p>
    <w:p w14:paraId="66A0847C" w14:textId="77777777" w:rsidR="006D7A96" w:rsidRPr="00255189" w:rsidRDefault="006D7A96" w:rsidP="006037FC">
      <w:pPr>
        <w:numPr>
          <w:ilvl w:val="0"/>
          <w:numId w:val="2"/>
        </w:numPr>
        <w:spacing w:line="360" w:lineRule="auto"/>
        <w:ind w:left="0" w:firstLine="0"/>
        <w:contextualSpacing/>
        <w:jc w:val="both"/>
        <w:rPr>
          <w:rFonts w:ascii="Palatino Linotype" w:eastAsia="Times New Roman" w:hAnsi="Palatino Linotype" w:cs="Arial"/>
          <w:b/>
          <w:color w:val="000000"/>
        </w:rPr>
      </w:pPr>
      <w:r w:rsidRPr="006037FC">
        <w:rPr>
          <w:rFonts w:ascii="Palatino Linotype" w:eastAsia="Calibri" w:hAnsi="Palatino Linotype" w:cs="Times New Roman"/>
          <w:lang w:val="es-ES"/>
        </w:rPr>
        <w:t>En</w:t>
      </w:r>
      <w:r w:rsidRPr="00255189">
        <w:rPr>
          <w:rFonts w:ascii="Palatino Linotype" w:eastAsia="Times New Roman" w:hAnsi="Palatino Linotype" w:cs="Arial"/>
          <w:color w:val="000000"/>
        </w:rPr>
        <w:t xml:space="preserve"> cumplimiento a esta resolución, el </w:t>
      </w:r>
      <w:r w:rsidRPr="00255189">
        <w:rPr>
          <w:rFonts w:ascii="Palatino Linotype" w:eastAsia="Times New Roman" w:hAnsi="Palatino Linotype" w:cs="Arial"/>
          <w:b/>
          <w:color w:val="000000"/>
        </w:rPr>
        <w:t>SUJETO OBLIGADO</w:t>
      </w:r>
      <w:r w:rsidRPr="00255189">
        <w:rPr>
          <w:rFonts w:ascii="Palatino Linotype" w:eastAsia="Times New Roman" w:hAnsi="Palatino Linotype" w:cs="Arial"/>
          <w:color w:val="000000"/>
        </w:rPr>
        <w:t xml:space="preserve"> deberá dar atención </w:t>
      </w:r>
      <w:r w:rsidRPr="00255189">
        <w:rPr>
          <w:rFonts w:ascii="Palatino Linotype" w:hAnsi="Palatino Linotype" w:cs="Arial"/>
        </w:rPr>
        <w:t>a la solicitud de información, sin que sea materia de este recurso</w:t>
      </w:r>
      <w:r w:rsidRPr="00255189">
        <w:rPr>
          <w:rFonts w:ascii="Palatino Linotype" w:hAnsi="Palatino Linotype" w:cs="Arial"/>
          <w:b/>
        </w:rPr>
        <w:t xml:space="preserve"> </w:t>
      </w:r>
      <w:r w:rsidRPr="00255189">
        <w:rPr>
          <w:rFonts w:ascii="Palatino Linotype" w:hAnsi="Palatino Linotype" w:cs="Arial"/>
        </w:rPr>
        <w:t>analizar o</w:t>
      </w:r>
      <w:r w:rsidRPr="00255189">
        <w:rPr>
          <w:rFonts w:ascii="Palatino Linotype" w:hAnsi="Palatino Linotype" w:cs="Arial"/>
          <w:b/>
        </w:rPr>
        <w:t xml:space="preserve"> </w:t>
      </w:r>
      <w:r w:rsidRPr="00255189">
        <w:rPr>
          <w:rFonts w:ascii="Palatino Linotype" w:hAnsi="Palatino Linotype" w:cs="Aria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hAnsi="Palatino Linotype" w:cs="Arial"/>
        </w:rPr>
        <w:t xml:space="preserve">competencias, </w:t>
      </w:r>
      <w:r w:rsidRPr="00255189">
        <w:rPr>
          <w:rFonts w:ascii="Palatino Linotype" w:hAnsi="Palatino Linotype" w:cs="Arial"/>
        </w:rPr>
        <w:t xml:space="preserve">atribuciones </w:t>
      </w:r>
      <w:r>
        <w:rPr>
          <w:rFonts w:ascii="Palatino Linotype" w:hAnsi="Palatino Linotype" w:cs="Arial"/>
        </w:rPr>
        <w:t xml:space="preserve">y funciones </w:t>
      </w:r>
      <w:r w:rsidRPr="00255189">
        <w:rPr>
          <w:rFonts w:ascii="Palatino Linotype" w:hAnsi="Palatino Linotype" w:cs="Arial"/>
        </w:rPr>
        <w:t>y con arreglo a lo dispuesto por la ley de la materia.</w:t>
      </w:r>
    </w:p>
    <w:p w14:paraId="370773BF" w14:textId="77777777" w:rsidR="006D7A96" w:rsidRPr="00255189" w:rsidRDefault="006D7A96" w:rsidP="006D7A96">
      <w:pPr>
        <w:spacing w:line="360" w:lineRule="auto"/>
        <w:ind w:right="49"/>
        <w:contextualSpacing/>
        <w:jc w:val="both"/>
        <w:rPr>
          <w:rFonts w:ascii="Palatino Linotype" w:eastAsia="Times New Roman" w:hAnsi="Palatino Linotype" w:cs="Arial"/>
          <w:b/>
          <w:color w:val="000000"/>
        </w:rPr>
      </w:pPr>
    </w:p>
    <w:p w14:paraId="33F0330A"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b/>
          <w:color w:val="000000"/>
        </w:rPr>
      </w:pPr>
      <w:r w:rsidRPr="007F0819">
        <w:rPr>
          <w:rFonts w:ascii="Palatino Linotype" w:eastAsia="Calibri" w:hAnsi="Palatino Linotype" w:cs="Times New Roman"/>
          <w:lang w:val="es-ES"/>
        </w:rPr>
        <w:t>En</w:t>
      </w:r>
      <w:r w:rsidRPr="00255189">
        <w:rPr>
          <w:rFonts w:ascii="Palatino Linotype" w:hAnsi="Palatino Linotype" w:cs="Arial"/>
        </w:rPr>
        <w:t xml:space="preserve"> este caso, el Sujeto Obligado deberá de sustanciar todo el procedimiento de acceso a la información pública verificando si la información que le ha sido requerida corresponde al ejercicio de sus facultades, competencias o funciones.</w:t>
      </w:r>
    </w:p>
    <w:p w14:paraId="20E2D981" w14:textId="77777777" w:rsidR="006D7A96" w:rsidRPr="00255189" w:rsidRDefault="006D7A96" w:rsidP="006D7A96">
      <w:pPr>
        <w:spacing w:line="360" w:lineRule="auto"/>
        <w:ind w:right="49"/>
        <w:contextualSpacing/>
        <w:jc w:val="both"/>
        <w:rPr>
          <w:rFonts w:ascii="Palatino Linotype" w:eastAsia="Times New Roman" w:hAnsi="Palatino Linotype" w:cs="Arial"/>
          <w:b/>
          <w:color w:val="000000"/>
        </w:rPr>
      </w:pPr>
    </w:p>
    <w:p w14:paraId="39BEFFA8" w14:textId="77777777" w:rsidR="006D7A96" w:rsidRDefault="006D7A96" w:rsidP="007F0819">
      <w:pPr>
        <w:numPr>
          <w:ilvl w:val="0"/>
          <w:numId w:val="2"/>
        </w:numPr>
        <w:spacing w:line="360" w:lineRule="auto"/>
        <w:ind w:left="0" w:firstLine="0"/>
        <w:contextualSpacing/>
        <w:jc w:val="both"/>
        <w:rPr>
          <w:rFonts w:ascii="Palatino Linotype" w:hAnsi="Palatino Linotype" w:cs="Arial"/>
        </w:rPr>
      </w:pPr>
      <w:r w:rsidRPr="007F0819">
        <w:rPr>
          <w:rFonts w:ascii="Palatino Linotype" w:eastAsia="Calibri" w:hAnsi="Palatino Linotype" w:cs="Times New Roman"/>
          <w:lang w:val="es-ES"/>
        </w:rPr>
        <w:t>Si</w:t>
      </w:r>
      <w:r w:rsidRPr="00255189">
        <w:rPr>
          <w:rFonts w:ascii="Palatino Linotype" w:hAnsi="Palatino Linotype" w:cs="Arial"/>
        </w:rPr>
        <w:t xml:space="preserve"> dentro de las facultades, atribuciones y competencias no se encuentra  la de poseer la información requerida, deberá hacerlo del conocimiento del particular  </w:t>
      </w:r>
      <w:r>
        <w:rPr>
          <w:rFonts w:ascii="Palatino Linotype" w:hAnsi="Palatino Linotype" w:cs="Arial"/>
        </w:rPr>
        <w:t xml:space="preserve">de forma clara y precisa, fundado y motivando su actuación </w:t>
      </w:r>
      <w:r w:rsidRPr="00255189">
        <w:rPr>
          <w:rFonts w:ascii="Palatino Linotype" w:hAnsi="Palatino Linotype" w:cs="Arial"/>
        </w:rPr>
        <w:t xml:space="preserve">y en su caso orientar al solicitante sobre el o los Sujetos Obligados competentes, sin pasar desapercibido que </w:t>
      </w:r>
      <w:r w:rsidRPr="00255189">
        <w:rPr>
          <w:rFonts w:ascii="Palatino Linotype" w:hAnsi="Palatino Linotype" w:cs="Arial"/>
        </w:rPr>
        <w:lastRenderedPageBreak/>
        <w:t xml:space="preserve">tal orientación debe realizarse dentro de los tres días hábiles posteriores a la recepción de la solicitud, </w:t>
      </w:r>
      <w:r>
        <w:rPr>
          <w:rFonts w:ascii="Palatino Linotype" w:hAnsi="Palatino Linotype" w:cs="Arial"/>
        </w:rPr>
        <w:t xml:space="preserve">o de lo contrario deberá hacerlo a través del acuerdo de incompetencia </w:t>
      </w:r>
      <w:r w:rsidRPr="00255189">
        <w:rPr>
          <w:rFonts w:ascii="Palatino Linotype" w:hAnsi="Palatino Linotype" w:cs="Arial"/>
        </w:rPr>
        <w:t xml:space="preserve">de acuerdo a lo dispuesto en </w:t>
      </w:r>
      <w:r>
        <w:rPr>
          <w:rFonts w:ascii="Palatino Linotype" w:hAnsi="Palatino Linotype" w:cs="Arial"/>
        </w:rPr>
        <w:t xml:space="preserve">el artículo 49 fracción II y </w:t>
      </w:r>
      <w:r w:rsidRPr="00255189">
        <w:rPr>
          <w:rFonts w:ascii="Palatino Linotype" w:hAnsi="Palatino Linotype" w:cs="Arial"/>
        </w:rPr>
        <w:t xml:space="preserve">el artículo 167 de la Ley de Transparencia y Acceso a la Información Pública del Estado de México y Municipios. </w:t>
      </w:r>
    </w:p>
    <w:p w14:paraId="1593A0D6" w14:textId="77777777" w:rsidR="00FC04DF" w:rsidRDefault="00FC04DF" w:rsidP="00FC04DF">
      <w:pPr>
        <w:pStyle w:val="Prrafodelista"/>
        <w:rPr>
          <w:rFonts w:ascii="Palatino Linotype" w:hAnsi="Palatino Linotype" w:cs="Arial"/>
        </w:rPr>
      </w:pPr>
    </w:p>
    <w:p w14:paraId="36FC031B"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hAnsi="Palatino Linotype" w:cs="Arial"/>
        </w:rPr>
        <w:t xml:space="preserve">No </w:t>
      </w:r>
      <w:r w:rsidRPr="007F0819">
        <w:rPr>
          <w:rFonts w:ascii="Palatino Linotype" w:eastAsia="Calibri" w:hAnsi="Palatino Linotype" w:cs="Times New Roman"/>
          <w:lang w:val="es-ES"/>
        </w:rPr>
        <w:t>está</w:t>
      </w:r>
      <w:r w:rsidRPr="00255189">
        <w:rPr>
          <w:rFonts w:ascii="Palatino Linotype" w:hAnsi="Palatino Linotype" w:cs="Arial"/>
        </w:rPr>
        <w:t xml:space="preserve">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A593298" w14:textId="77777777" w:rsidR="006D7A96" w:rsidRPr="008D59CF"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hAnsi="Palatino Linotype" w:cs="Arial"/>
        </w:rPr>
        <w:t>.</w:t>
      </w:r>
    </w:p>
    <w:p w14:paraId="7AF6DFBC" w14:textId="77777777" w:rsidR="006D7A96" w:rsidRDefault="006D7A96" w:rsidP="006D7A96">
      <w:pPr>
        <w:pStyle w:val="Prrafodelista"/>
        <w:rPr>
          <w:rFonts w:ascii="Palatino Linotype" w:eastAsia="Times New Roman" w:hAnsi="Palatino Linotype" w:cs="Arial"/>
          <w:color w:val="000000"/>
        </w:rPr>
      </w:pPr>
    </w:p>
    <w:p w14:paraId="6BF22C6D" w14:textId="77777777" w:rsidR="006D7A96"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Pr>
          <w:rFonts w:ascii="Palatino Linotype" w:eastAsia="Times New Roman" w:hAnsi="Palatino Linotype" w:cs="Arial"/>
          <w:color w:val="000000"/>
        </w:rPr>
        <w:t xml:space="preserve">Es importante también señalar que, la respuesta que dará en cumplimiento a la </w:t>
      </w:r>
      <w:r w:rsidRPr="007F0819">
        <w:rPr>
          <w:rFonts w:ascii="Palatino Linotype" w:hAnsi="Palatino Linotype" w:cs="Arial"/>
        </w:rPr>
        <w:t>presente</w:t>
      </w:r>
      <w:r>
        <w:rPr>
          <w:rFonts w:ascii="Palatino Linotype" w:eastAsia="Times New Roman" w:hAnsi="Palatino Linotype" w:cs="Arial"/>
          <w:color w:val="000000"/>
        </w:rPr>
        <w:t xml:space="preserve"> resolución, </w:t>
      </w:r>
      <w:r w:rsidRPr="00D23DA2">
        <w:rPr>
          <w:rFonts w:ascii="Palatino Linotype" w:eastAsia="Times New Roman" w:hAnsi="Palatino Linotype" w:cs="Arial"/>
          <w:b/>
          <w:color w:val="000000"/>
        </w:rPr>
        <w:t>deberá ajustarse a lo dispuesto a los criterios y precedentes que este Órgano Garante ha resuelto</w:t>
      </w:r>
      <w:r>
        <w:rPr>
          <w:rFonts w:ascii="Palatino Linotype" w:eastAsia="Times New Roman" w:hAnsi="Palatino Linotype" w:cs="Arial"/>
          <w:b/>
          <w:color w:val="000000"/>
        </w:rPr>
        <w:t xml:space="preserve"> y aprobado</w:t>
      </w:r>
      <w:r w:rsidRPr="00D23DA2">
        <w:rPr>
          <w:rFonts w:ascii="Palatino Linotype" w:eastAsia="Times New Roman" w:hAnsi="Palatino Linotype" w:cs="Arial"/>
          <w:b/>
          <w:color w:val="000000"/>
        </w:rPr>
        <w:t>,</w:t>
      </w:r>
      <w:r>
        <w:rPr>
          <w:rFonts w:ascii="Palatino Linotype" w:eastAsia="Times New Roman" w:hAnsi="Palatino Linotype" w:cs="Arial"/>
          <w:color w:val="000000"/>
        </w:rPr>
        <w:t xml:space="preserve"> es decir, por lo que constituye una alta responsabilidad del </w:t>
      </w:r>
      <w:r w:rsidRPr="008D59CF">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proporcionar la información que atienda la presente, ajustándose a la normatividad establecida y a los distintos asuntos de los cuales este órgano colegiado ha conocido. </w:t>
      </w:r>
    </w:p>
    <w:p w14:paraId="449F38A0" w14:textId="77777777" w:rsidR="006D7A96" w:rsidRDefault="006D7A96" w:rsidP="006D7A96">
      <w:pPr>
        <w:pStyle w:val="Prrafodelista"/>
        <w:rPr>
          <w:rFonts w:ascii="Palatino Linotype" w:eastAsia="Times New Roman" w:hAnsi="Palatino Linotype" w:cs="Arial"/>
          <w:color w:val="000000"/>
        </w:rPr>
      </w:pPr>
    </w:p>
    <w:p w14:paraId="2B4C22AD"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Pr>
          <w:rFonts w:ascii="Palatino Linotype" w:eastAsia="Times New Roman" w:hAnsi="Palatino Linotype" w:cs="Arial"/>
          <w:color w:val="000000"/>
        </w:rPr>
        <w:t>Por lo que tratándose del tema o temas que se requieran en las solicitudes, el sujeto obligado deberá en todo momento ajustarse además de la normatividad aplicable a los asuntos, a las resoluciones aprobadas.</w:t>
      </w:r>
    </w:p>
    <w:p w14:paraId="4746225D"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8A13647" w14:textId="77777777" w:rsidR="006D7A96" w:rsidRPr="00255189" w:rsidRDefault="006D7A96" w:rsidP="006D7A96">
      <w:pPr>
        <w:spacing w:before="240" w:after="240" w:line="360" w:lineRule="auto"/>
        <w:contextualSpacing/>
        <w:jc w:val="both"/>
        <w:rPr>
          <w:rFonts w:ascii="Palatino Linotype" w:hAnsi="Palatino Linotype" w:cs="Arial"/>
          <w:lang w:val="es-ES"/>
        </w:rPr>
      </w:pPr>
    </w:p>
    <w:p w14:paraId="0BAC4299"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A83A446" w14:textId="77777777" w:rsidR="006D7A96" w:rsidRPr="00255189" w:rsidRDefault="006D7A96" w:rsidP="006D7A96">
      <w:pPr>
        <w:spacing w:before="240" w:after="240" w:line="360" w:lineRule="auto"/>
        <w:contextualSpacing/>
        <w:jc w:val="both"/>
        <w:rPr>
          <w:rFonts w:ascii="Palatino Linotype" w:hAnsi="Palatino Linotype" w:cs="Arial"/>
          <w:lang w:val="es-ES"/>
        </w:rPr>
      </w:pPr>
    </w:p>
    <w:p w14:paraId="5741F036"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17A93F35" w14:textId="77777777" w:rsidR="006D7A96" w:rsidRPr="00255189" w:rsidRDefault="006D7A96" w:rsidP="006D7A96">
      <w:pPr>
        <w:ind w:left="720"/>
        <w:contextualSpacing/>
        <w:rPr>
          <w:rFonts w:ascii="Palatino Linotype" w:hAnsi="Palatino Linotype" w:cs="Arial"/>
          <w:lang w:val="es-ES"/>
        </w:rPr>
      </w:pPr>
    </w:p>
    <w:p w14:paraId="52EA83D5"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9D06956" w14:textId="77777777" w:rsidR="006D7A96" w:rsidRPr="00255189" w:rsidRDefault="006D7A96" w:rsidP="006D7A96">
      <w:pPr>
        <w:spacing w:before="240" w:after="240" w:line="360" w:lineRule="auto"/>
        <w:contextualSpacing/>
        <w:jc w:val="both"/>
        <w:rPr>
          <w:rFonts w:ascii="Palatino Linotype" w:hAnsi="Palatino Linotype" w:cs="Arial"/>
        </w:rPr>
      </w:pPr>
    </w:p>
    <w:p w14:paraId="1B65AB63" w14:textId="77777777" w:rsidR="006D7A96" w:rsidRPr="00255189" w:rsidRDefault="006D7A96" w:rsidP="006D7A96">
      <w:pPr>
        <w:tabs>
          <w:tab w:val="left" w:pos="8080"/>
        </w:tabs>
        <w:spacing w:line="360" w:lineRule="auto"/>
        <w:ind w:left="567" w:right="567"/>
        <w:contextualSpacing/>
        <w:jc w:val="both"/>
        <w:rPr>
          <w:rFonts w:ascii="Palatino Linotype" w:hAnsi="Palatino Linotype" w:cs="Arial"/>
          <w:i/>
        </w:rPr>
      </w:pPr>
      <w:r w:rsidRPr="00255189">
        <w:rPr>
          <w:rFonts w:ascii="Palatino Linotype" w:hAnsi="Palatino Linotype" w:cs="Arial"/>
          <w:i/>
        </w:rPr>
        <w:t>“</w:t>
      </w:r>
      <w:r w:rsidRPr="00255189">
        <w:rPr>
          <w:rFonts w:ascii="Palatino Linotype" w:hAnsi="Palatino Linotype" w:cs="Arial"/>
          <w:b/>
          <w:i/>
        </w:rPr>
        <w:t>Artículo 19.</w:t>
      </w:r>
      <w:r w:rsidRPr="00255189">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14:paraId="266CAFB6" w14:textId="77777777" w:rsidR="006D7A96" w:rsidRPr="00255189" w:rsidRDefault="006D7A96" w:rsidP="006D7A96">
      <w:pPr>
        <w:tabs>
          <w:tab w:val="left" w:pos="8080"/>
        </w:tabs>
        <w:spacing w:line="360" w:lineRule="auto"/>
        <w:ind w:left="567" w:right="567"/>
        <w:contextualSpacing/>
        <w:jc w:val="both"/>
        <w:rPr>
          <w:rFonts w:ascii="Palatino Linotype" w:hAnsi="Palatino Linotype" w:cs="Arial"/>
          <w:i/>
        </w:rPr>
      </w:pPr>
    </w:p>
    <w:p w14:paraId="329D9C2E" w14:textId="77777777" w:rsidR="006D7A96" w:rsidRPr="00255189" w:rsidRDefault="006D7A96" w:rsidP="006D7A96">
      <w:pPr>
        <w:tabs>
          <w:tab w:val="left" w:pos="8080"/>
        </w:tabs>
        <w:spacing w:line="360" w:lineRule="auto"/>
        <w:ind w:left="567" w:right="567"/>
        <w:contextualSpacing/>
        <w:jc w:val="both"/>
        <w:rPr>
          <w:rFonts w:ascii="Palatino Linotype" w:hAnsi="Palatino Linotype" w:cs="Arial"/>
          <w:i/>
        </w:rPr>
      </w:pPr>
      <w:r w:rsidRPr="00255189">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14:paraId="637D59FD" w14:textId="77777777" w:rsidR="006D7A96" w:rsidRPr="00255189" w:rsidRDefault="006D7A96" w:rsidP="006D7A96">
      <w:pPr>
        <w:tabs>
          <w:tab w:val="left" w:pos="8080"/>
        </w:tabs>
        <w:spacing w:line="360" w:lineRule="auto"/>
        <w:ind w:left="567" w:right="567"/>
        <w:contextualSpacing/>
        <w:jc w:val="both"/>
        <w:rPr>
          <w:rFonts w:ascii="Palatino Linotype" w:hAnsi="Palatino Linotype" w:cs="Arial"/>
          <w:i/>
        </w:rPr>
      </w:pPr>
    </w:p>
    <w:p w14:paraId="5AF23179" w14:textId="77777777" w:rsidR="006D7A96" w:rsidRPr="00255189" w:rsidRDefault="006D7A96" w:rsidP="006D7A96">
      <w:pPr>
        <w:tabs>
          <w:tab w:val="left" w:pos="8080"/>
        </w:tabs>
        <w:spacing w:line="360" w:lineRule="auto"/>
        <w:ind w:left="567" w:right="567"/>
        <w:contextualSpacing/>
        <w:jc w:val="both"/>
        <w:rPr>
          <w:rFonts w:ascii="Palatino Linotype" w:hAnsi="Palatino Linotype" w:cs="Arial"/>
          <w:i/>
        </w:rPr>
      </w:pPr>
      <w:r w:rsidRPr="00255189">
        <w:rPr>
          <w:rFonts w:ascii="Palatino Linotype" w:hAnsi="Palatino Linotype" w:cs="Arial"/>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860E4BF" w14:textId="77777777" w:rsidR="006D7A96" w:rsidRPr="00255189" w:rsidRDefault="006D7A96" w:rsidP="006D7A96">
      <w:pPr>
        <w:spacing w:before="240" w:after="240" w:line="360" w:lineRule="auto"/>
        <w:contextualSpacing/>
        <w:jc w:val="both"/>
        <w:rPr>
          <w:rFonts w:ascii="Palatino Linotype" w:hAnsi="Palatino Linotype" w:cs="Arial"/>
        </w:rPr>
      </w:pPr>
    </w:p>
    <w:p w14:paraId="58343B8B" w14:textId="77777777" w:rsidR="006D7A96" w:rsidRPr="00255189" w:rsidRDefault="006D7A96" w:rsidP="006D7A96">
      <w:pPr>
        <w:rPr>
          <w:rFonts w:ascii="Palatino Linotype" w:hAnsi="Palatino Linotype" w:cs="Arial"/>
        </w:rPr>
      </w:pPr>
    </w:p>
    <w:p w14:paraId="66DD1A43"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t xml:space="preserve">El primer supuesto, que corresponde a lo señalado en su segundo párrafo, alude a actos no realizados y contemplados en alguna hipótesis jurídica: </w:t>
      </w:r>
    </w:p>
    <w:p w14:paraId="4B456337" w14:textId="77777777" w:rsidR="006D7A96" w:rsidRPr="00255189" w:rsidRDefault="006D7A96" w:rsidP="006D7A96">
      <w:pPr>
        <w:spacing w:before="240" w:after="240" w:line="360" w:lineRule="auto"/>
        <w:ind w:right="567"/>
        <w:contextualSpacing/>
        <w:jc w:val="both"/>
        <w:rPr>
          <w:rFonts w:ascii="Palatino Linotype" w:hAnsi="Palatino Linotype" w:cs="Arial"/>
        </w:rPr>
      </w:pPr>
    </w:p>
    <w:p w14:paraId="3FFC1DE1" w14:textId="77777777" w:rsidR="006D7A96" w:rsidRPr="00255189" w:rsidRDefault="006D7A96" w:rsidP="006D7A96">
      <w:pPr>
        <w:numPr>
          <w:ilvl w:val="0"/>
          <w:numId w:val="30"/>
        </w:numPr>
        <w:spacing w:before="240" w:after="240" w:line="360" w:lineRule="auto"/>
        <w:ind w:right="709"/>
        <w:contextualSpacing/>
        <w:jc w:val="both"/>
        <w:rPr>
          <w:rFonts w:ascii="Palatino Linotype" w:hAnsi="Palatino Linotype" w:cs="Arial"/>
        </w:rPr>
      </w:pPr>
      <w:r w:rsidRPr="00255189">
        <w:rPr>
          <w:rFonts w:ascii="Palatino Linotype" w:hAnsi="Palatino Linotype" w:cs="Arial"/>
        </w:rPr>
        <w:t xml:space="preserve">Cuya realización dependa de que un tercero demande la emisión de un acto de autoridad, la expedición de una licencia, por ejemplo; </w:t>
      </w:r>
    </w:p>
    <w:p w14:paraId="461325F7" w14:textId="77777777" w:rsidR="006D7A96" w:rsidRPr="00255189" w:rsidRDefault="006D7A96" w:rsidP="006D7A96">
      <w:pPr>
        <w:spacing w:before="240" w:after="240" w:line="360" w:lineRule="auto"/>
        <w:ind w:left="927" w:right="709"/>
        <w:contextualSpacing/>
        <w:jc w:val="both"/>
        <w:rPr>
          <w:rFonts w:ascii="Palatino Linotype" w:hAnsi="Palatino Linotype" w:cs="Arial"/>
        </w:rPr>
      </w:pPr>
    </w:p>
    <w:p w14:paraId="67A45DC7" w14:textId="77777777" w:rsidR="006D7A96" w:rsidRPr="00255189" w:rsidRDefault="006D7A96" w:rsidP="006D7A96">
      <w:pPr>
        <w:numPr>
          <w:ilvl w:val="0"/>
          <w:numId w:val="30"/>
        </w:numPr>
        <w:spacing w:before="240" w:after="240" w:line="360" w:lineRule="auto"/>
        <w:ind w:right="709"/>
        <w:contextualSpacing/>
        <w:jc w:val="both"/>
        <w:rPr>
          <w:rFonts w:ascii="Palatino Linotype" w:hAnsi="Palatino Linotype" w:cs="Arial"/>
        </w:rPr>
      </w:pPr>
      <w:r w:rsidRPr="00255189">
        <w:rPr>
          <w:rFonts w:ascii="Palatino Linotype" w:hAnsi="Palatino Linotype" w:cs="Arial"/>
        </w:rPr>
        <w:t>De un acontecimiento de realización probable, la Cuenta Pública correspondiente a un ejercicio fiscal en curso; o</w:t>
      </w:r>
    </w:p>
    <w:p w14:paraId="27AE8E76" w14:textId="77777777" w:rsidR="006D7A96" w:rsidRPr="00255189" w:rsidRDefault="006D7A96" w:rsidP="006D7A96">
      <w:pPr>
        <w:spacing w:before="240" w:after="240" w:line="360" w:lineRule="auto"/>
        <w:ind w:right="709"/>
        <w:jc w:val="both"/>
        <w:rPr>
          <w:rFonts w:ascii="Palatino Linotype" w:hAnsi="Palatino Linotype" w:cs="Arial"/>
        </w:rPr>
      </w:pPr>
    </w:p>
    <w:p w14:paraId="6E9BFF4F" w14:textId="77777777" w:rsidR="006D7A96" w:rsidRPr="00255189" w:rsidRDefault="006D7A96" w:rsidP="006D7A96">
      <w:pPr>
        <w:numPr>
          <w:ilvl w:val="0"/>
          <w:numId w:val="30"/>
        </w:numPr>
        <w:spacing w:before="240" w:after="240" w:line="360" w:lineRule="auto"/>
        <w:ind w:right="709"/>
        <w:contextualSpacing/>
        <w:jc w:val="both"/>
        <w:rPr>
          <w:rFonts w:ascii="Palatino Linotype" w:hAnsi="Palatino Linotype" w:cs="Arial"/>
        </w:rPr>
      </w:pPr>
      <w:r w:rsidRPr="00255189">
        <w:rPr>
          <w:rFonts w:ascii="Palatino Linotype" w:hAnsi="Palatino Linotype" w:cs="Arial"/>
        </w:rPr>
        <w:t>Una facultad potestativa, la firma de convenio de colaboración.</w:t>
      </w:r>
    </w:p>
    <w:p w14:paraId="719E6D9C" w14:textId="77777777" w:rsidR="006D7A96" w:rsidRPr="00255189" w:rsidRDefault="006D7A96" w:rsidP="006D7A96">
      <w:pPr>
        <w:spacing w:before="240" w:after="240" w:line="360" w:lineRule="auto"/>
        <w:ind w:right="567"/>
        <w:jc w:val="both"/>
        <w:rPr>
          <w:rFonts w:ascii="Palatino Linotype" w:hAnsi="Palatino Linotype" w:cs="Arial"/>
        </w:rPr>
      </w:pPr>
    </w:p>
    <w:p w14:paraId="65DFF9DF"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C81D81F" w14:textId="77777777" w:rsidR="006D7A96" w:rsidRPr="00255189" w:rsidRDefault="006D7A96" w:rsidP="006D7A96">
      <w:pPr>
        <w:spacing w:before="240" w:after="240" w:line="360" w:lineRule="auto"/>
        <w:contextualSpacing/>
        <w:jc w:val="both"/>
        <w:rPr>
          <w:rFonts w:ascii="Palatino Linotype" w:hAnsi="Palatino Linotype" w:cs="Arial"/>
        </w:rPr>
      </w:pPr>
    </w:p>
    <w:p w14:paraId="7C4CFD9E"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lastRenderedPageBreak/>
        <w:t xml:space="preserve">El segundo supuesto, que corresponde a lo señalado en su último párrafo del artículo antes referido, alude a: </w:t>
      </w:r>
    </w:p>
    <w:p w14:paraId="30AA86DE" w14:textId="77777777" w:rsidR="006D7A96" w:rsidRPr="00255189" w:rsidRDefault="006D7A96" w:rsidP="006D7A96">
      <w:pPr>
        <w:ind w:left="720"/>
        <w:contextualSpacing/>
        <w:rPr>
          <w:rFonts w:ascii="Palatino Linotype" w:hAnsi="Palatino Linotype" w:cs="Arial"/>
        </w:rPr>
      </w:pPr>
    </w:p>
    <w:p w14:paraId="1904BEDA" w14:textId="77777777" w:rsidR="006D7A96" w:rsidRPr="00255189"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r w:rsidRPr="00255189">
        <w:rPr>
          <w:rFonts w:ascii="Palatino Linotype" w:hAnsi="Palatino Linotype" w:cs="Arial"/>
        </w:rPr>
        <w:t xml:space="preserve">1.- Actos realizados sobre los cuales: </w:t>
      </w:r>
    </w:p>
    <w:p w14:paraId="661A809E" w14:textId="77777777" w:rsidR="006D7A96" w:rsidRPr="00255189"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p>
    <w:p w14:paraId="21C51BEB" w14:textId="77777777" w:rsidR="006D7A96" w:rsidRPr="00255189" w:rsidRDefault="006D7A96" w:rsidP="006D7A96">
      <w:pPr>
        <w:numPr>
          <w:ilvl w:val="0"/>
          <w:numId w:val="31"/>
        </w:numPr>
        <w:tabs>
          <w:tab w:val="left" w:pos="7655"/>
        </w:tabs>
        <w:spacing w:before="240" w:after="240" w:line="360" w:lineRule="auto"/>
        <w:ind w:left="851" w:right="709" w:hanging="284"/>
        <w:contextualSpacing/>
        <w:jc w:val="both"/>
        <w:rPr>
          <w:rFonts w:ascii="Palatino Linotype" w:hAnsi="Palatino Linotype" w:cs="Arial"/>
        </w:rPr>
      </w:pPr>
      <w:r w:rsidRPr="00255189">
        <w:rPr>
          <w:rFonts w:ascii="Palatino Linotype" w:hAnsi="Palatino Linotype" w:cs="Arial"/>
        </w:rPr>
        <w:t xml:space="preserve">No se generó, poseyó o administró el documento que registre la información solicitada; </w:t>
      </w:r>
    </w:p>
    <w:p w14:paraId="21CCDD24" w14:textId="77777777" w:rsidR="006D7A96" w:rsidRPr="00255189"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p>
    <w:p w14:paraId="4B4C6E97" w14:textId="77777777" w:rsidR="006D7A96" w:rsidRPr="00255189" w:rsidRDefault="006D7A96" w:rsidP="006D7A96">
      <w:pPr>
        <w:tabs>
          <w:tab w:val="left" w:pos="7655"/>
        </w:tabs>
        <w:spacing w:before="240" w:after="240" w:line="360" w:lineRule="auto"/>
        <w:ind w:left="851" w:right="709" w:hanging="284"/>
        <w:contextualSpacing/>
        <w:jc w:val="both"/>
        <w:rPr>
          <w:rFonts w:ascii="Palatino Linotype" w:hAnsi="Palatino Linotype" w:cs="Arial"/>
        </w:rPr>
      </w:pPr>
      <w:r w:rsidRPr="00255189">
        <w:rPr>
          <w:rFonts w:ascii="Palatino Linotype" w:hAnsi="Palatino Linotype" w:cs="Arial"/>
        </w:rPr>
        <w:t>b) Habiendo sido generada, poseída o administrada, no se cuenta con la información solicitada.</w:t>
      </w:r>
    </w:p>
    <w:p w14:paraId="4E3B7FC1" w14:textId="77777777" w:rsidR="006D7A96" w:rsidRPr="00255189" w:rsidRDefault="006D7A96" w:rsidP="006D7A96">
      <w:pPr>
        <w:tabs>
          <w:tab w:val="left" w:pos="7655"/>
        </w:tabs>
        <w:spacing w:before="240" w:after="240" w:line="360" w:lineRule="auto"/>
        <w:ind w:left="851" w:right="567" w:hanging="284"/>
        <w:contextualSpacing/>
        <w:jc w:val="both"/>
        <w:rPr>
          <w:rFonts w:ascii="Palatino Linotype" w:hAnsi="Palatino Linotype" w:cs="Arial"/>
        </w:rPr>
      </w:pPr>
    </w:p>
    <w:p w14:paraId="5BA0F457" w14:textId="77777777" w:rsidR="006D7A96" w:rsidRPr="00255189" w:rsidRDefault="006D7A96" w:rsidP="006D7A96">
      <w:pPr>
        <w:tabs>
          <w:tab w:val="left" w:pos="7655"/>
        </w:tabs>
        <w:spacing w:before="240" w:after="240" w:line="360" w:lineRule="auto"/>
        <w:ind w:left="851" w:right="567" w:hanging="284"/>
        <w:contextualSpacing/>
        <w:jc w:val="both"/>
        <w:rPr>
          <w:rFonts w:ascii="Palatino Linotype" w:hAnsi="Palatino Linotype" w:cs="Arial"/>
        </w:rPr>
      </w:pPr>
      <w:r w:rsidRPr="00255189">
        <w:rPr>
          <w:rFonts w:ascii="Palatino Linotype" w:hAnsi="Palatino Linotype" w:cs="Arial"/>
        </w:rPr>
        <w:t xml:space="preserve">2.- El sujeto obligado fue omiso en el ejercicio de una facultad, competencia o atribución inexcusable. </w:t>
      </w:r>
    </w:p>
    <w:p w14:paraId="48CA96A8" w14:textId="77777777" w:rsidR="006D7A96" w:rsidRPr="00255189" w:rsidRDefault="006D7A96" w:rsidP="006D7A96">
      <w:pPr>
        <w:spacing w:before="240" w:after="240" w:line="360" w:lineRule="auto"/>
        <w:contextualSpacing/>
        <w:jc w:val="both"/>
        <w:rPr>
          <w:rFonts w:ascii="Palatino Linotype" w:hAnsi="Palatino Linotype" w:cs="Arial"/>
        </w:rPr>
      </w:pPr>
    </w:p>
    <w:p w14:paraId="1F0277D6"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3CBC0730" w14:textId="77777777" w:rsidR="006D7A96" w:rsidRPr="00255189" w:rsidRDefault="006D7A96" w:rsidP="006D7A96">
      <w:pPr>
        <w:ind w:left="720"/>
        <w:contextualSpacing/>
        <w:rPr>
          <w:rFonts w:ascii="Palatino Linotype" w:hAnsi="Palatino Linotype" w:cs="Arial"/>
        </w:rPr>
      </w:pPr>
    </w:p>
    <w:p w14:paraId="146C89FE"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255189">
        <w:rPr>
          <w:rFonts w:ascii="Palatino Linotype" w:hAnsi="Palatino Linotype" w:cs="Arial"/>
        </w:rPr>
        <w:lastRenderedPageBreak/>
        <w:t xml:space="preserve">éstas, buscando, localizando y entregando la información de manera íntegra, parcial o clasificándola en su totalidad por los supuestos que se señalan en la sección siguiente o, en su defecto, </w:t>
      </w:r>
      <w:r w:rsidRPr="00255189">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255189">
        <w:rPr>
          <w:rFonts w:ascii="Palatino Linotype" w:hAnsi="Palatino Linotype" w:cs="Arial"/>
        </w:rPr>
        <w:t>, pero emitiendo una respuesta.</w:t>
      </w:r>
    </w:p>
    <w:p w14:paraId="22F688AD"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66E61F8D" w14:textId="77777777" w:rsidR="006D7A96" w:rsidRPr="00255189" w:rsidRDefault="006D7A96" w:rsidP="006D7A96">
      <w:pPr>
        <w:keepNext/>
        <w:keepLines/>
        <w:spacing w:before="40"/>
        <w:outlineLvl w:val="1"/>
        <w:rPr>
          <w:rFonts w:ascii="Palatino Linotype" w:eastAsia="Times New Roman" w:hAnsi="Palatino Linotype" w:cstheme="majorBidi"/>
          <w:b/>
        </w:rPr>
      </w:pPr>
      <w:bookmarkStart w:id="142" w:name="_Toc524344194"/>
      <w:bookmarkStart w:id="143" w:name="_Toc526271199"/>
      <w:bookmarkStart w:id="144" w:name="_Toc536105846"/>
      <w:bookmarkStart w:id="145" w:name="_Toc536106973"/>
      <w:bookmarkStart w:id="146" w:name="_Toc3467945"/>
      <w:bookmarkStart w:id="147" w:name="_Toc49863009"/>
      <w:r w:rsidRPr="00255189">
        <w:rPr>
          <w:rFonts w:ascii="Palatino Linotype" w:eastAsia="Times New Roman" w:hAnsi="Palatino Linotype" w:cstheme="majorBidi"/>
          <w:b/>
        </w:rPr>
        <w:t>IV. Análisis al que debe someterse la información antes de su entrega.</w:t>
      </w:r>
      <w:bookmarkEnd w:id="142"/>
      <w:bookmarkEnd w:id="143"/>
      <w:bookmarkEnd w:id="144"/>
      <w:bookmarkEnd w:id="145"/>
      <w:bookmarkEnd w:id="146"/>
      <w:bookmarkEnd w:id="147"/>
    </w:p>
    <w:p w14:paraId="255541BC"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52C79726"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7F0819">
        <w:rPr>
          <w:rFonts w:ascii="Palatino Linotype" w:hAnsi="Palatino Linotype" w:cs="Arial"/>
        </w:rPr>
        <w:t>Considerando</w:t>
      </w:r>
      <w:r w:rsidRPr="00255189">
        <w:rPr>
          <w:rFonts w:ascii="Palatino Linotype" w:hAnsi="Palatino Linotype" w:cs="Arial"/>
          <w:lang w:val="es-ES"/>
        </w:rPr>
        <w:t xml:space="preserve">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DFE5C14" w14:textId="77777777" w:rsidR="006D7A96" w:rsidRPr="00255189" w:rsidRDefault="006D7A96" w:rsidP="006D7A96">
      <w:pPr>
        <w:spacing w:before="240" w:after="240" w:line="360" w:lineRule="auto"/>
        <w:ind w:left="426"/>
        <w:contextualSpacing/>
        <w:jc w:val="both"/>
        <w:rPr>
          <w:rFonts w:ascii="Palatino Linotype" w:hAnsi="Palatino Linotype" w:cs="Arial"/>
          <w:lang w:val="es-ES"/>
        </w:rPr>
      </w:pPr>
    </w:p>
    <w:p w14:paraId="321F4BD9"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 xml:space="preserve">En </w:t>
      </w:r>
      <w:r w:rsidRPr="007F0819">
        <w:rPr>
          <w:rFonts w:ascii="Palatino Linotype" w:hAnsi="Palatino Linotype" w:cs="Arial"/>
        </w:rPr>
        <w:t>armonía</w:t>
      </w:r>
      <w:r w:rsidRPr="00255189">
        <w:rPr>
          <w:rFonts w:ascii="Palatino Linotype" w:hAnsi="Palatino Linotype" w:cs="Arial"/>
          <w:lang w:val="es-ES"/>
        </w:rPr>
        <w:t xml:space="preserve"> con la constitución local, la Ley de Transparencia y Acceso a la Información Pública del Estado de México y Municipios establece las únicas dos limitantes que se pueden actualizar para restringir el acceso a los documentos en </w:t>
      </w:r>
      <w:r w:rsidRPr="00255189">
        <w:rPr>
          <w:rFonts w:ascii="Palatino Linotype" w:hAnsi="Palatino Linotype" w:cs="Arial"/>
          <w:lang w:val="es-ES"/>
        </w:rPr>
        <w:lastRenderedPageBreak/>
        <w:t>posesión de los entes públicos, así como un catálogo limitado de premisas para que la información sea reservada por causas de interés público:</w:t>
      </w:r>
    </w:p>
    <w:p w14:paraId="75ADA2D7" w14:textId="77777777" w:rsidR="006D7A96" w:rsidRPr="00255189" w:rsidRDefault="006D7A96" w:rsidP="006D7A96">
      <w:pPr>
        <w:ind w:left="720"/>
        <w:contextualSpacing/>
        <w:rPr>
          <w:rFonts w:ascii="Palatino Linotype" w:hAnsi="Palatino Linotype" w:cs="Arial"/>
          <w:lang w:val="es-ES"/>
        </w:rPr>
      </w:pPr>
    </w:p>
    <w:p w14:paraId="214CF83C" w14:textId="77777777" w:rsidR="006D7A96" w:rsidRPr="00255189" w:rsidRDefault="006D7A96" w:rsidP="006D7A96">
      <w:pPr>
        <w:spacing w:before="240" w:after="240" w:line="360" w:lineRule="auto"/>
        <w:contextualSpacing/>
        <w:jc w:val="both"/>
        <w:rPr>
          <w:rFonts w:ascii="Palatino Linotype" w:hAnsi="Palatino Linotype" w:cs="Arial"/>
          <w:lang w:val="es-ES"/>
        </w:rPr>
      </w:pPr>
    </w:p>
    <w:p w14:paraId="20DBDF74"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b/>
          <w:i/>
          <w:color w:val="000000"/>
        </w:rPr>
        <w:t>“Artículo 4.</w:t>
      </w:r>
      <w:r w:rsidRPr="00255189">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E182DD3"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A2B278"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2CA595FD"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w:t>
      </w:r>
    </w:p>
    <w:p w14:paraId="6777D011"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p>
    <w:p w14:paraId="7A760F1D"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lastRenderedPageBreak/>
        <w:t>“</w:t>
      </w:r>
      <w:r w:rsidRPr="00255189">
        <w:rPr>
          <w:rFonts w:ascii="Palatino Linotype" w:hAnsi="Palatino Linotype" w:cs="Arial"/>
          <w:b/>
          <w:i/>
          <w:color w:val="000000"/>
        </w:rPr>
        <w:t>Artículo 122.</w:t>
      </w:r>
      <w:r w:rsidRPr="00255189">
        <w:rPr>
          <w:rFonts w:ascii="Palatino Linotype" w:hAnsi="Palatino Linotype" w:cs="Arial"/>
          <w:i/>
          <w:color w:val="000000"/>
        </w:rPr>
        <w:t xml:space="preserve"> La clasificación es el proceso mediante el cual el sujeto obligado determina que la información en su poder </w:t>
      </w:r>
      <w:proofErr w:type="spellStart"/>
      <w:r w:rsidRPr="00255189">
        <w:rPr>
          <w:rFonts w:ascii="Palatino Linotype" w:hAnsi="Palatino Linotype" w:cs="Arial"/>
          <w:i/>
          <w:color w:val="000000"/>
        </w:rPr>
        <w:t>actualiza</w:t>
      </w:r>
      <w:proofErr w:type="spellEnd"/>
      <w:r w:rsidRPr="00255189">
        <w:rPr>
          <w:rFonts w:ascii="Palatino Linotype" w:hAnsi="Palatino Linotype" w:cs="Arial"/>
          <w:i/>
          <w:color w:val="000000"/>
        </w:rPr>
        <w:t xml:space="preserve"> alguno de los supuestos de reserva o confidencialidad, de conformidad con lo dispuesto en el presente título.</w:t>
      </w:r>
    </w:p>
    <w:p w14:paraId="1E2EBDCE"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02343B77"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28D9FD7A"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w:t>
      </w:r>
    </w:p>
    <w:p w14:paraId="4DDE0278"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p>
    <w:p w14:paraId="59119B92"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w:t>
      </w:r>
      <w:r w:rsidRPr="00255189">
        <w:rPr>
          <w:rFonts w:ascii="Palatino Linotype" w:hAnsi="Palatino Linotype" w:cs="Arial"/>
          <w:b/>
          <w:i/>
          <w:color w:val="000000"/>
        </w:rPr>
        <w:t>Artículo 140.</w:t>
      </w:r>
      <w:r w:rsidRPr="00255189">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138A120C"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I. Comprometa la seguridad pública y cuente con un propósito genuino y un efecto demostrable;</w:t>
      </w:r>
    </w:p>
    <w:p w14:paraId="32E32051"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II. Pueda menoscabar la conducción de las negociaciones y relaciones internacionales;</w:t>
      </w:r>
    </w:p>
    <w:p w14:paraId="4E5B819E"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 xml:space="preserve">III. Se entregue a la Entidad expresamente con ese carácter o el de confidencialidad por otro u otros sujetos de derecho internacional, excepto </w:t>
      </w:r>
      <w:r w:rsidRPr="00255189">
        <w:rPr>
          <w:rFonts w:ascii="Palatino Linotype" w:hAnsi="Palatino Linotype" w:cs="Arial"/>
          <w:i/>
          <w:color w:val="000000"/>
        </w:rPr>
        <w:lastRenderedPageBreak/>
        <w:t>cuando se trate de violaciones graves de derechos humanos o delitos de lesa humanidad de conformidad con el derecho internacional;</w:t>
      </w:r>
    </w:p>
    <w:p w14:paraId="27885B19"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IV. Ponga en riesgo la vida, la seguridad o la salud de una persona física;</w:t>
      </w:r>
    </w:p>
    <w:p w14:paraId="351B999C"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V. Aquella cuya divulgación obstruya o pueda causar un serio perjuicio a:</w:t>
      </w:r>
    </w:p>
    <w:p w14:paraId="7EE0D31B"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1. Las actividades de fiscalización, verificación, inspección, comprobación y auditoría sobre el cumplimiento de las Leyes; o</w:t>
      </w:r>
    </w:p>
    <w:p w14:paraId="120FA00F"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2. La recaudación de las contribuciones.</w:t>
      </w:r>
    </w:p>
    <w:p w14:paraId="7C7C0CA1"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3DFD6AA2"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VII. La que contengan las opiniones, recomendaciones o puntos de vista que formen parte del proceso deliberativo de los servidores públicos, hasta en tanto sea adoptada la decisión definitiva, la cual deberá estar documentada;</w:t>
      </w:r>
    </w:p>
    <w:p w14:paraId="3DF0A34A"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VIII. Vulnere la conducción de los expedientes judiciales o de los procedimientos administrativos seguidos en forma de juicio, en tanto no hayan quedado firmes;</w:t>
      </w:r>
    </w:p>
    <w:p w14:paraId="53B530F0"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lastRenderedPageBreak/>
        <w:t>IX. Se encuentre contenida dentro de las investigaciones de hechos que la Ley señale como delitos y se tramiten ante el Ministerio Público;</w:t>
      </w:r>
    </w:p>
    <w:p w14:paraId="692345F8"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94032AF"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EE51326" w14:textId="77777777" w:rsidR="006D7A96" w:rsidRPr="00255189" w:rsidRDefault="006D7A96" w:rsidP="006D7A96">
      <w:pPr>
        <w:spacing w:line="360" w:lineRule="auto"/>
        <w:ind w:left="851" w:right="618"/>
        <w:contextualSpacing/>
        <w:jc w:val="both"/>
        <w:rPr>
          <w:rFonts w:ascii="Palatino Linotype" w:hAnsi="Palatino Linotype" w:cs="Arial"/>
          <w:i/>
          <w:color w:val="000000"/>
        </w:rPr>
      </w:pPr>
      <w:r w:rsidRPr="00255189">
        <w:rPr>
          <w:rFonts w:ascii="Palatino Linotype" w:hAnsi="Palatino Linotype" w:cs="Arial"/>
          <w:i/>
          <w:color w:val="000000"/>
        </w:rPr>
        <w:t>XI. Las que por disposición expresa de una ley tengan tal carácter, siempre que sean acordes con las bases, principios y disposiciones establecidos en esta Ley y no la contravengan; así como las previstas en tratados internacionales.”</w:t>
      </w:r>
    </w:p>
    <w:p w14:paraId="271DBCEB" w14:textId="77777777" w:rsidR="006D7A96" w:rsidRPr="00255189" w:rsidRDefault="006D7A96" w:rsidP="006D7A96">
      <w:pPr>
        <w:spacing w:line="360" w:lineRule="auto"/>
        <w:ind w:left="851" w:right="618"/>
        <w:contextualSpacing/>
        <w:jc w:val="both"/>
        <w:rPr>
          <w:rFonts w:ascii="Palatino Linotype" w:hAnsi="Palatino Linotype" w:cs="Arial"/>
          <w:b/>
          <w:i/>
          <w:color w:val="000000"/>
        </w:rPr>
      </w:pPr>
      <w:r w:rsidRPr="00255189">
        <w:rPr>
          <w:rFonts w:ascii="Palatino Linotype" w:hAnsi="Palatino Linotype" w:cs="Arial"/>
          <w:i/>
          <w:color w:val="000000"/>
        </w:rPr>
        <w:t>“</w:t>
      </w:r>
      <w:r w:rsidRPr="00255189">
        <w:rPr>
          <w:rFonts w:ascii="Palatino Linotype" w:hAnsi="Palatino Linotype" w:cs="Arial"/>
          <w:b/>
          <w:i/>
          <w:color w:val="000000"/>
        </w:rPr>
        <w:t>Artículo 141.</w:t>
      </w:r>
      <w:r w:rsidRPr="00255189">
        <w:rPr>
          <w:rFonts w:ascii="Palatino Linotype" w:hAnsi="Palatino Linotype" w:cs="Arial"/>
          <w:i/>
          <w:color w:val="000000"/>
        </w:rPr>
        <w:t xml:space="preserve"> </w:t>
      </w:r>
      <w:r w:rsidRPr="00255189">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3AE54C0D" w14:textId="77777777" w:rsidR="006D7A96" w:rsidRPr="00255189" w:rsidRDefault="006D7A96" w:rsidP="006D7A96">
      <w:pPr>
        <w:spacing w:line="360" w:lineRule="auto"/>
        <w:ind w:left="851" w:right="618"/>
        <w:contextualSpacing/>
        <w:jc w:val="both"/>
        <w:rPr>
          <w:rFonts w:ascii="Palatino Linotype" w:hAnsi="Palatino Linotype" w:cs="Arial"/>
          <w:b/>
          <w:i/>
          <w:color w:val="000000"/>
        </w:rPr>
      </w:pPr>
      <w:r w:rsidRPr="00255189">
        <w:rPr>
          <w:rFonts w:ascii="Palatino Linotype" w:hAnsi="Palatino Linotype" w:cs="Arial"/>
          <w:i/>
          <w:color w:val="000000"/>
        </w:rPr>
        <w:t xml:space="preserve">(Énfasis añadido) </w:t>
      </w:r>
    </w:p>
    <w:p w14:paraId="09A36FE9" w14:textId="77777777" w:rsidR="006D7A96" w:rsidRPr="00255189" w:rsidRDefault="006D7A96" w:rsidP="006D7A96">
      <w:pPr>
        <w:autoSpaceDE w:val="0"/>
        <w:autoSpaceDN w:val="0"/>
        <w:adjustRightInd w:val="0"/>
        <w:spacing w:line="360" w:lineRule="auto"/>
        <w:ind w:right="50" w:firstLine="1418"/>
        <w:jc w:val="both"/>
        <w:rPr>
          <w:rFonts w:ascii="Palatino Linotype" w:hAnsi="Palatino Linotype" w:cs="Arial"/>
          <w:bCs/>
          <w:color w:val="000000" w:themeColor="text1"/>
        </w:rPr>
      </w:pPr>
    </w:p>
    <w:p w14:paraId="5E08E14F" w14:textId="77777777" w:rsidR="006D7A96"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255189">
        <w:rPr>
          <w:rFonts w:ascii="Palatino Linotype" w:hAnsi="Palatino Linotype" w:cs="Arial"/>
          <w:lang w:val="es-ES"/>
        </w:rPr>
        <w:lastRenderedPageBreak/>
        <w:t>artículo 141 precisa que las causales de reserva deberán fundarse y motivarse y deben de ser acompañadas de la aplicación de la prueba de daño.</w:t>
      </w:r>
    </w:p>
    <w:p w14:paraId="5B8DDBC7" w14:textId="77777777" w:rsidR="00FC04DF" w:rsidRPr="00255189" w:rsidRDefault="00FC04DF" w:rsidP="00FC04DF">
      <w:pPr>
        <w:spacing w:line="360" w:lineRule="auto"/>
        <w:contextualSpacing/>
        <w:jc w:val="both"/>
        <w:rPr>
          <w:rFonts w:ascii="Palatino Linotype" w:hAnsi="Palatino Linotype" w:cs="Arial"/>
          <w:lang w:val="es-ES"/>
        </w:rPr>
      </w:pPr>
    </w:p>
    <w:p w14:paraId="61F57A48"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1610E6D" w14:textId="77777777" w:rsidR="006D7A96" w:rsidRPr="00255189" w:rsidRDefault="006D7A96" w:rsidP="006D7A96">
      <w:pPr>
        <w:ind w:left="720"/>
        <w:contextualSpacing/>
        <w:rPr>
          <w:rFonts w:ascii="Palatino Linotype" w:hAnsi="Palatino Linotype" w:cs="Arial"/>
          <w:lang w:val="es-ES"/>
        </w:rPr>
      </w:pPr>
    </w:p>
    <w:p w14:paraId="23731F27"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27ECD73"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259C63AF"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255189">
        <w:rPr>
          <w:rFonts w:ascii="Palatino Linotype" w:hAnsi="Palatino Linotype" w:cs="Arial"/>
          <w:lang w:val="es-ES"/>
        </w:rPr>
        <w:lastRenderedPageBreak/>
        <w:t>dicho límite y privilegiar la transparencia y difusión de la información respectiva, en virtud de que se trata de datos o de información de relevancia pública.</w:t>
      </w:r>
    </w:p>
    <w:p w14:paraId="7BA8FF2C" w14:textId="77777777" w:rsidR="006D7A96" w:rsidRPr="00255189" w:rsidRDefault="006D7A96" w:rsidP="006D7A96">
      <w:pPr>
        <w:spacing w:before="240" w:after="240" w:line="360" w:lineRule="auto"/>
        <w:ind w:left="426"/>
        <w:contextualSpacing/>
        <w:jc w:val="both"/>
        <w:rPr>
          <w:rFonts w:ascii="Palatino Linotype" w:hAnsi="Palatino Linotype" w:cs="Arial"/>
          <w:lang w:val="es-ES"/>
        </w:rPr>
      </w:pPr>
    </w:p>
    <w:p w14:paraId="1D522995"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lang w:val="es-ES"/>
        </w:rPr>
      </w:pPr>
      <w:r w:rsidRPr="00255189">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411F080" w14:textId="77777777" w:rsidR="006D7A96" w:rsidRPr="00255189" w:rsidRDefault="006D7A96" w:rsidP="006D7A96">
      <w:pPr>
        <w:ind w:left="720"/>
        <w:contextualSpacing/>
        <w:rPr>
          <w:rFonts w:ascii="Palatino Linotype" w:hAnsi="Palatino Linotype" w:cs="Arial"/>
          <w:lang w:val="es-ES"/>
        </w:rPr>
      </w:pPr>
    </w:p>
    <w:p w14:paraId="6F444141"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lang w:val="es-ES"/>
        </w:rPr>
        <w:t>De</w:t>
      </w:r>
      <w:r w:rsidRPr="00255189">
        <w:rPr>
          <w:rFonts w:ascii="Palatino Linotype" w:hAnsi="Palatino Linotype" w:cs="Arial"/>
        </w:rPr>
        <w:t xml:space="preserve"> tal manera que el </w:t>
      </w:r>
      <w:r w:rsidRPr="00255189">
        <w:rPr>
          <w:rFonts w:ascii="Palatino Linotype" w:hAnsi="Palatino Linotype" w:cs="Arial"/>
          <w:b/>
        </w:rPr>
        <w:t>SUJETO OBLIGADO</w:t>
      </w:r>
      <w:r w:rsidRPr="00255189">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14:paraId="2888440A" w14:textId="77777777" w:rsidR="006D7A96" w:rsidRPr="00255189" w:rsidRDefault="006D7A96" w:rsidP="006D7A96">
      <w:pPr>
        <w:spacing w:before="240" w:after="240" w:line="360" w:lineRule="auto"/>
        <w:ind w:left="426"/>
        <w:contextualSpacing/>
        <w:jc w:val="both"/>
        <w:rPr>
          <w:rFonts w:ascii="Palatino Linotype" w:hAnsi="Palatino Linotype" w:cs="Arial"/>
        </w:rPr>
      </w:pPr>
    </w:p>
    <w:p w14:paraId="0EA6FCFE"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255189">
        <w:rPr>
          <w:rFonts w:ascii="Palatino Linotype" w:eastAsia="Times New Roman" w:hAnsi="Palatino Linotype" w:cs="Arial"/>
          <w:color w:val="222222"/>
          <w:lang w:eastAsia="es-MX"/>
        </w:rPr>
        <w:t xml:space="preserve">Para </w:t>
      </w:r>
      <w:r w:rsidRPr="007F0819">
        <w:rPr>
          <w:rFonts w:ascii="Palatino Linotype" w:hAnsi="Palatino Linotype" w:cs="Arial"/>
          <w:lang w:val="es-ES"/>
        </w:rPr>
        <w:t>precisar</w:t>
      </w:r>
      <w:r w:rsidRPr="00255189">
        <w:rPr>
          <w:rFonts w:ascii="Palatino Linotype" w:eastAsia="Times New Roman" w:hAnsi="Palatino Linotype" w:cs="Arial"/>
          <w:color w:val="222222"/>
          <w:lang w:eastAsia="es-MX"/>
        </w:rPr>
        <w:t xml:space="preserve">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7444915" w14:textId="77777777" w:rsidR="006D7A96" w:rsidRPr="00255189" w:rsidRDefault="006D7A96" w:rsidP="006D7A96">
      <w:pPr>
        <w:spacing w:before="240" w:after="240" w:line="360" w:lineRule="auto"/>
        <w:contextualSpacing/>
        <w:jc w:val="both"/>
        <w:rPr>
          <w:rFonts w:ascii="Palatino Linotype" w:eastAsia="Times New Roman" w:hAnsi="Palatino Linotype" w:cs="Arial"/>
          <w:color w:val="222222"/>
          <w:lang w:eastAsia="es-MX"/>
        </w:rPr>
      </w:pPr>
    </w:p>
    <w:p w14:paraId="51B475EE" w14:textId="77777777" w:rsidR="006D7A96" w:rsidRPr="00255189" w:rsidRDefault="006D7A96" w:rsidP="006D7A96">
      <w:pPr>
        <w:spacing w:line="360" w:lineRule="auto"/>
        <w:ind w:left="851" w:right="617"/>
        <w:contextualSpacing/>
        <w:jc w:val="both"/>
        <w:rPr>
          <w:rFonts w:ascii="Palatino Linotype" w:hAnsi="Palatino Linotype" w:cs="Arial"/>
          <w:i/>
          <w:color w:val="000000"/>
        </w:rPr>
      </w:pPr>
      <w:r w:rsidRPr="00255189">
        <w:rPr>
          <w:rFonts w:ascii="Palatino Linotype" w:hAnsi="Palatino Linotype" w:cs="Arial"/>
          <w:b/>
          <w:i/>
          <w:color w:val="000000"/>
        </w:rPr>
        <w:t>“Artículo 16.</w:t>
      </w:r>
      <w:r w:rsidRPr="00255189">
        <w:rPr>
          <w:rFonts w:ascii="Palatino Linotype" w:hAnsi="Palatino Linotype" w:cs="Arial"/>
          <w:i/>
          <w:color w:val="000000"/>
        </w:rPr>
        <w:t xml:space="preserve"> Nadie puede ser molestado en su persona, familia, domicilio, papeles o posesiones, </w:t>
      </w:r>
      <w:r w:rsidRPr="00255189">
        <w:rPr>
          <w:rFonts w:ascii="Palatino Linotype" w:hAnsi="Palatino Linotype" w:cs="Arial"/>
          <w:b/>
          <w:i/>
          <w:color w:val="000000"/>
        </w:rPr>
        <w:t>sino en virtud de mandamiento escrito de la autoridad competente, que funde y motive la causa legal del procedimiento</w:t>
      </w:r>
      <w:r w:rsidRPr="00255189">
        <w:rPr>
          <w:rFonts w:ascii="Palatino Linotype" w:hAnsi="Palatino Linotype" w:cs="Arial"/>
          <w:i/>
          <w:color w:val="000000"/>
        </w:rPr>
        <w:t>.”</w:t>
      </w:r>
    </w:p>
    <w:p w14:paraId="131D1A5C" w14:textId="77777777" w:rsidR="006D7A96" w:rsidRPr="00255189" w:rsidRDefault="006D7A96" w:rsidP="006D7A96">
      <w:pPr>
        <w:spacing w:line="360" w:lineRule="auto"/>
        <w:ind w:left="851" w:right="617"/>
        <w:contextualSpacing/>
        <w:jc w:val="both"/>
        <w:rPr>
          <w:rFonts w:ascii="Palatino Linotype" w:hAnsi="Palatino Linotype" w:cs="Arial"/>
          <w:i/>
          <w:color w:val="000000"/>
        </w:rPr>
      </w:pPr>
      <w:r w:rsidRPr="00255189">
        <w:rPr>
          <w:rFonts w:ascii="Palatino Linotype" w:hAnsi="Palatino Linotype" w:cs="Arial"/>
          <w:i/>
          <w:color w:val="000000"/>
        </w:rPr>
        <w:t xml:space="preserve">(Énfasis añadido) </w:t>
      </w:r>
    </w:p>
    <w:p w14:paraId="5E88E84D" w14:textId="77777777" w:rsidR="006D7A96" w:rsidRPr="00255189" w:rsidRDefault="006D7A96" w:rsidP="006D7A96">
      <w:pPr>
        <w:shd w:val="clear" w:color="auto" w:fill="FFFFFF"/>
        <w:spacing w:line="360" w:lineRule="auto"/>
        <w:contextualSpacing/>
        <w:jc w:val="both"/>
        <w:rPr>
          <w:rFonts w:ascii="Palatino Linotype" w:eastAsia="Times New Roman" w:hAnsi="Palatino Linotype" w:cs="Arial"/>
          <w:color w:val="222222"/>
          <w:lang w:eastAsia="es-MX"/>
        </w:rPr>
      </w:pPr>
    </w:p>
    <w:p w14:paraId="4544CA9B"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255189">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B1D8714" w14:textId="77777777" w:rsidR="006D7A96" w:rsidRPr="00255189" w:rsidRDefault="006D7A96" w:rsidP="006D7A96">
      <w:pPr>
        <w:spacing w:before="240" w:after="240" w:line="360" w:lineRule="auto"/>
        <w:ind w:left="426"/>
        <w:contextualSpacing/>
        <w:jc w:val="both"/>
        <w:rPr>
          <w:rFonts w:ascii="Palatino Linotype" w:eastAsia="Times New Roman" w:hAnsi="Palatino Linotype" w:cs="Arial"/>
          <w:color w:val="222222"/>
          <w:lang w:eastAsia="es-MX"/>
        </w:rPr>
      </w:pPr>
    </w:p>
    <w:p w14:paraId="36D40440"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255189">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14:paraId="54BF082B"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255189">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255189">
        <w:rPr>
          <w:rFonts w:ascii="Palatino Linotype" w:eastAsia="Times New Roman" w:hAnsi="Palatino Linotype" w:cs="Arial"/>
          <w:color w:val="222222"/>
          <w:lang w:eastAsia="es-MX"/>
        </w:rPr>
        <w:lastRenderedPageBreak/>
        <w:t>del análisis de las pruebas, lo cual se debe exteriorizar en una argumentación o juicio de hecho....”</w:t>
      </w:r>
    </w:p>
    <w:p w14:paraId="3FA92F44" w14:textId="77777777" w:rsidR="006D7A96" w:rsidRPr="00255189" w:rsidRDefault="006D7A96" w:rsidP="006D7A96">
      <w:pPr>
        <w:spacing w:before="240" w:after="240" w:line="360" w:lineRule="auto"/>
        <w:ind w:left="426"/>
        <w:contextualSpacing/>
        <w:jc w:val="both"/>
        <w:rPr>
          <w:rFonts w:ascii="Palatino Linotype" w:eastAsia="Times New Roman" w:hAnsi="Palatino Linotype" w:cs="Arial"/>
          <w:color w:val="222222"/>
          <w:lang w:eastAsia="es-MX"/>
        </w:rPr>
      </w:pPr>
    </w:p>
    <w:p w14:paraId="58870EC8"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sidRPr="00255189">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04EE8A5" w14:textId="77777777" w:rsidR="006D7A96" w:rsidRPr="00255189" w:rsidRDefault="006D7A96" w:rsidP="006D7A96">
      <w:pPr>
        <w:contextualSpacing/>
        <w:rPr>
          <w:rFonts w:ascii="Palatino Linotype" w:eastAsia="Times New Roman" w:hAnsi="Palatino Linotype" w:cs="Arial"/>
          <w:color w:val="222222"/>
          <w:lang w:eastAsia="es-MX"/>
        </w:rPr>
      </w:pPr>
    </w:p>
    <w:p w14:paraId="7E3FE18C"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rPr>
      </w:pPr>
      <w:r w:rsidRPr="00255189">
        <w:rPr>
          <w:rFonts w:ascii="Palatino Linotype" w:eastAsia="Times New Roman" w:hAnsi="Palatino Linotype" w:cs="Arial"/>
          <w:color w:val="222222"/>
          <w:lang w:eastAsia="es-MX"/>
        </w:rPr>
        <w:t xml:space="preserve">Es así que a través de la presente resolución, se hace del conocimiento del </w:t>
      </w:r>
      <w:r w:rsidRPr="00255189">
        <w:rPr>
          <w:rFonts w:ascii="Palatino Linotype" w:eastAsia="Times New Roman" w:hAnsi="Palatino Linotype" w:cs="Arial"/>
          <w:b/>
          <w:color w:val="222222"/>
          <w:lang w:eastAsia="es-MX"/>
        </w:rPr>
        <w:t>SUJETO OBLIGADO</w:t>
      </w:r>
      <w:r w:rsidRPr="00255189">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3BCAF5E" w14:textId="77777777" w:rsidR="006D7A96" w:rsidRPr="00255189" w:rsidRDefault="006D7A96" w:rsidP="006D7A96">
      <w:pPr>
        <w:ind w:left="720"/>
        <w:contextualSpacing/>
        <w:rPr>
          <w:rFonts w:ascii="Palatino Linotype" w:eastAsia="Times New Roman" w:hAnsi="Palatino Linotype" w:cs="Arial"/>
          <w:color w:val="000000"/>
        </w:rPr>
      </w:pPr>
    </w:p>
    <w:p w14:paraId="28A09E90" w14:textId="77777777" w:rsidR="006D7A96" w:rsidRPr="00255189" w:rsidRDefault="006D7A96" w:rsidP="006D7A96">
      <w:pPr>
        <w:keepNext/>
        <w:keepLines/>
        <w:spacing w:before="240"/>
        <w:outlineLvl w:val="0"/>
        <w:rPr>
          <w:rFonts w:ascii="Palatino Linotype" w:eastAsia="Times New Roman" w:hAnsi="Palatino Linotype" w:cstheme="majorBidi"/>
        </w:rPr>
      </w:pPr>
      <w:bookmarkStart w:id="148" w:name="_Toc524344195"/>
      <w:bookmarkStart w:id="149" w:name="_Toc526271200"/>
      <w:bookmarkStart w:id="150" w:name="_Toc536106974"/>
      <w:bookmarkStart w:id="151" w:name="_Toc3467946"/>
      <w:bookmarkStart w:id="152" w:name="_Toc49863010"/>
      <w:r w:rsidRPr="00255189">
        <w:rPr>
          <w:rFonts w:ascii="Palatino Linotype" w:eastAsia="Times New Roman" w:hAnsi="Palatino Linotype" w:cstheme="majorBidi"/>
          <w:b/>
        </w:rPr>
        <w:t>QUINTO. El cumplimiento a esta resolución es susceptible de ser impugnado</w:t>
      </w:r>
      <w:bookmarkEnd w:id="148"/>
      <w:bookmarkEnd w:id="149"/>
      <w:r w:rsidRPr="00255189">
        <w:rPr>
          <w:rFonts w:ascii="Palatino Linotype" w:eastAsia="Times New Roman" w:hAnsi="Palatino Linotype" w:cstheme="majorBidi"/>
          <w:b/>
        </w:rPr>
        <w:t>.</w:t>
      </w:r>
      <w:bookmarkEnd w:id="150"/>
      <w:bookmarkEnd w:id="151"/>
      <w:bookmarkEnd w:id="152"/>
    </w:p>
    <w:p w14:paraId="34EFC611" w14:textId="77777777" w:rsidR="006D7A96" w:rsidRPr="00255189" w:rsidRDefault="006D7A96" w:rsidP="006D7A96">
      <w:pPr>
        <w:spacing w:line="360" w:lineRule="auto"/>
        <w:ind w:right="49"/>
        <w:contextualSpacing/>
        <w:jc w:val="both"/>
        <w:rPr>
          <w:rFonts w:ascii="Palatino Linotype" w:eastAsia="Times New Roman" w:hAnsi="Palatino Linotype" w:cs="Arial"/>
          <w:b/>
          <w:color w:val="000000"/>
        </w:rPr>
      </w:pPr>
    </w:p>
    <w:p w14:paraId="6D8E4627" w14:textId="77777777" w:rsidR="006D7A96" w:rsidRDefault="006D7A96" w:rsidP="007F0819">
      <w:pPr>
        <w:numPr>
          <w:ilvl w:val="0"/>
          <w:numId w:val="2"/>
        </w:numPr>
        <w:spacing w:line="360" w:lineRule="auto"/>
        <w:ind w:left="0" w:firstLine="0"/>
        <w:contextualSpacing/>
        <w:jc w:val="both"/>
        <w:rPr>
          <w:rFonts w:ascii="Palatino Linotype" w:hAnsi="Palatino Linotype" w:cs="Arial"/>
        </w:rPr>
      </w:pPr>
      <w:r w:rsidRPr="00255189">
        <w:rPr>
          <w:rFonts w:ascii="Palatino Linotype" w:hAnsi="Palatino Linotype" w:cs="Arial"/>
        </w:rPr>
        <w:t xml:space="preserve">Cabe señalar que, atento a lo dispuesto </w:t>
      </w:r>
      <w:r>
        <w:rPr>
          <w:rFonts w:ascii="Palatino Linotype" w:hAnsi="Palatino Linotype" w:cs="Aria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hAnsi="Palatino Linotype" w:cs="Arial"/>
        </w:rPr>
        <w:t xml:space="preserve"> el párrafo final</w:t>
      </w:r>
      <w:r>
        <w:rPr>
          <w:rFonts w:ascii="Palatino Linotype" w:hAnsi="Palatino Linotype" w:cs="Arial"/>
        </w:rPr>
        <w:t xml:space="preserve"> lo siguiente:</w:t>
      </w:r>
    </w:p>
    <w:p w14:paraId="0626270E" w14:textId="77777777" w:rsidR="006D7A96" w:rsidRDefault="006D7A96" w:rsidP="006D7A96">
      <w:pPr>
        <w:spacing w:before="240" w:after="240" w:line="360" w:lineRule="auto"/>
        <w:contextualSpacing/>
        <w:jc w:val="both"/>
        <w:rPr>
          <w:rFonts w:ascii="Palatino Linotype" w:hAnsi="Palatino Linotype" w:cs="Arial"/>
        </w:rPr>
      </w:pPr>
    </w:p>
    <w:p w14:paraId="00B4F252"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i/>
        </w:rPr>
        <w:lastRenderedPageBreak/>
        <w:t>….</w:t>
      </w:r>
    </w:p>
    <w:p w14:paraId="38C0EA0A"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b/>
          <w:i/>
        </w:rPr>
        <w:t xml:space="preserve">La respuesta que den los sujetos obligados derivada </w:t>
      </w:r>
      <w:r w:rsidRPr="00F96B83">
        <w:rPr>
          <w:rFonts w:ascii="Palatino Linotype" w:hAnsi="Palatino Linotype" w:cs="Arial"/>
          <w:b/>
          <w:i/>
          <w:u w:val="single"/>
        </w:rPr>
        <w:t>de la resolución</w:t>
      </w:r>
      <w:r w:rsidRPr="00F96B83">
        <w:rPr>
          <w:rFonts w:ascii="Palatino Linotype" w:hAnsi="Palatino Linotype" w:cs="Arial"/>
          <w:i/>
        </w:rPr>
        <w:t xml:space="preserve"> a un recurso de revisión que proceda por las causales señaladas en las fracciones </w:t>
      </w:r>
      <w:r w:rsidRPr="00F96B83">
        <w:rPr>
          <w:rFonts w:ascii="Palatino Linotype" w:hAnsi="Palatino Linotype" w:cs="Arial"/>
          <w:i/>
          <w:u w:val="single"/>
        </w:rPr>
        <w:t xml:space="preserve">IV, VII, IX, X, XI y XII </w:t>
      </w:r>
      <w:r w:rsidRPr="00F96B83">
        <w:rPr>
          <w:rFonts w:ascii="Palatino Linotype" w:hAnsi="Palatino Linotype" w:cs="Arial"/>
          <w:i/>
        </w:rPr>
        <w:t xml:space="preserve">es </w:t>
      </w:r>
      <w:r w:rsidRPr="00F96B83">
        <w:rPr>
          <w:rFonts w:ascii="Palatino Linotype" w:hAnsi="Palatino Linotype" w:cs="Arial"/>
          <w:i/>
          <w:u w:val="single"/>
        </w:rPr>
        <w:t>susceptible de ser impugnada</w:t>
      </w:r>
      <w:r w:rsidRPr="00F96B83">
        <w:rPr>
          <w:rFonts w:ascii="Palatino Linotype" w:hAnsi="Palatino Linotype" w:cs="Arial"/>
          <w:i/>
        </w:rPr>
        <w:t xml:space="preserve"> de nueva cuenta, mediante recurso de revisión, ante el Instituto. </w:t>
      </w:r>
    </w:p>
    <w:p w14:paraId="5BDF4897" w14:textId="77777777" w:rsidR="006D7A96" w:rsidRDefault="006D7A96" w:rsidP="006D7A96">
      <w:pPr>
        <w:spacing w:before="240" w:after="240" w:line="360" w:lineRule="auto"/>
        <w:ind w:left="360"/>
        <w:contextualSpacing/>
        <w:jc w:val="both"/>
        <w:rPr>
          <w:rFonts w:ascii="Palatino Linotype" w:hAnsi="Palatino Linotype" w:cs="Arial"/>
        </w:rPr>
      </w:pPr>
    </w:p>
    <w:p w14:paraId="1FF0AEAF" w14:textId="77777777" w:rsidR="006D7A96" w:rsidRDefault="006D7A96" w:rsidP="007F0819">
      <w:pPr>
        <w:numPr>
          <w:ilvl w:val="0"/>
          <w:numId w:val="2"/>
        </w:numPr>
        <w:spacing w:line="360" w:lineRule="auto"/>
        <w:ind w:left="0" w:firstLine="0"/>
        <w:contextualSpacing/>
        <w:jc w:val="both"/>
        <w:rPr>
          <w:rFonts w:ascii="Palatino Linotype" w:hAnsi="Palatino Linotype" w:cs="Arial"/>
        </w:rPr>
      </w:pPr>
      <w:r w:rsidRPr="00F96B83">
        <w:rPr>
          <w:rFonts w:ascii="Palatino Linotype" w:hAnsi="Palatino Linotype" w:cs="Arial"/>
        </w:rPr>
        <w:t xml:space="preserve"> </w:t>
      </w:r>
      <w:r>
        <w:rPr>
          <w:rFonts w:ascii="Palatino Linotype" w:hAnsi="Palatino Linotype" w:cs="Arial"/>
        </w:rPr>
        <w:t xml:space="preserve">Es así que en este asunto en el que se está ante la presencia de una falta de respuesta  y una falta de trámite a  la solicitud de información por parte del </w:t>
      </w:r>
      <w:r w:rsidRPr="00F96B83">
        <w:rPr>
          <w:rFonts w:ascii="Palatino Linotype" w:hAnsi="Palatino Linotype" w:cs="Arial"/>
          <w:b/>
        </w:rPr>
        <w:t>SUJETO OBLIGADO</w:t>
      </w:r>
      <w:r>
        <w:rPr>
          <w:rFonts w:ascii="Palatino Linotype" w:hAnsi="Palatino Linotype" w:cs="Arial"/>
        </w:rPr>
        <w:t>, se encuadra en los supuestos que contempla el artículo 179 en sus fracciones VII y XI, mismas que señalan lo siguiente:</w:t>
      </w:r>
    </w:p>
    <w:p w14:paraId="6F6A43A4" w14:textId="77777777" w:rsidR="006D7A96" w:rsidRDefault="006D7A96" w:rsidP="006D7A96">
      <w:pPr>
        <w:spacing w:before="240" w:after="240" w:line="360" w:lineRule="auto"/>
        <w:ind w:left="360"/>
        <w:contextualSpacing/>
        <w:jc w:val="both"/>
        <w:rPr>
          <w:rFonts w:ascii="Palatino Linotype" w:hAnsi="Palatino Linotype" w:cs="Arial"/>
        </w:rPr>
      </w:pPr>
    </w:p>
    <w:p w14:paraId="5AB1E323"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i/>
        </w:rPr>
        <w:t>Artículo 179. El recurso de revisión es un medio de protección que la Ley otorga a los particulares, para hacer valer su derecho de acceso a la información pública, y procederá en contra de las siguientes causas:</w:t>
      </w:r>
    </w:p>
    <w:p w14:paraId="75639997"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i/>
        </w:rPr>
        <w:t>….</w:t>
      </w:r>
    </w:p>
    <w:p w14:paraId="09083AEF" w14:textId="77777777" w:rsidR="006D7A96" w:rsidRPr="00F96B83" w:rsidRDefault="006D7A96" w:rsidP="006D7A96">
      <w:pPr>
        <w:spacing w:before="240" w:after="240" w:line="360" w:lineRule="auto"/>
        <w:ind w:left="567" w:right="567"/>
        <w:contextualSpacing/>
        <w:jc w:val="both"/>
        <w:rPr>
          <w:rFonts w:ascii="Palatino Linotype" w:hAnsi="Palatino Linotype" w:cs="Arial"/>
          <w:b/>
          <w:i/>
        </w:rPr>
      </w:pPr>
      <w:r w:rsidRPr="00F96B83">
        <w:rPr>
          <w:rFonts w:ascii="Palatino Linotype" w:hAnsi="Palatino Linotype" w:cs="Arial"/>
          <w:b/>
          <w:i/>
        </w:rPr>
        <w:t>VII. La falta de respuesta a una solicitud de acceso a la información;</w:t>
      </w:r>
    </w:p>
    <w:p w14:paraId="1BC986B8"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i/>
        </w:rPr>
        <w:t>…</w:t>
      </w:r>
    </w:p>
    <w:p w14:paraId="1D41F48C" w14:textId="77777777" w:rsidR="006D7A96" w:rsidRPr="00F96B83" w:rsidRDefault="006D7A96" w:rsidP="006D7A96">
      <w:pPr>
        <w:spacing w:before="240" w:after="240" w:line="360" w:lineRule="auto"/>
        <w:ind w:left="567" w:right="567"/>
        <w:contextualSpacing/>
        <w:jc w:val="both"/>
        <w:rPr>
          <w:rFonts w:ascii="Palatino Linotype" w:hAnsi="Palatino Linotype" w:cs="Arial"/>
          <w:b/>
          <w:i/>
        </w:rPr>
      </w:pPr>
      <w:r w:rsidRPr="00F96B83">
        <w:rPr>
          <w:rFonts w:ascii="Palatino Linotype" w:hAnsi="Palatino Linotype" w:cs="Arial"/>
          <w:b/>
          <w:i/>
        </w:rPr>
        <w:t>XI. La falta de trámite a una solicitud;</w:t>
      </w:r>
    </w:p>
    <w:p w14:paraId="064F5F14" w14:textId="77777777" w:rsidR="006D7A96" w:rsidRPr="00F96B83" w:rsidRDefault="006D7A96" w:rsidP="006D7A96">
      <w:pPr>
        <w:spacing w:before="240" w:after="240" w:line="360" w:lineRule="auto"/>
        <w:ind w:left="567" w:right="567"/>
        <w:contextualSpacing/>
        <w:jc w:val="both"/>
        <w:rPr>
          <w:rFonts w:ascii="Palatino Linotype" w:hAnsi="Palatino Linotype" w:cs="Arial"/>
          <w:i/>
        </w:rPr>
      </w:pPr>
      <w:r w:rsidRPr="00F96B83">
        <w:rPr>
          <w:rFonts w:ascii="Palatino Linotype" w:hAnsi="Palatino Linotype" w:cs="Arial"/>
          <w:i/>
        </w:rPr>
        <w:t>…</w:t>
      </w:r>
    </w:p>
    <w:p w14:paraId="2DFF28EE" w14:textId="77777777" w:rsidR="006D7A96" w:rsidRDefault="006D7A96" w:rsidP="006D7A96">
      <w:pPr>
        <w:spacing w:before="240" w:after="240" w:line="360" w:lineRule="auto"/>
        <w:ind w:left="360"/>
        <w:contextualSpacing/>
        <w:jc w:val="both"/>
        <w:rPr>
          <w:rFonts w:ascii="Palatino Linotype" w:hAnsi="Palatino Linotype" w:cs="Arial"/>
        </w:rPr>
      </w:pPr>
    </w:p>
    <w:p w14:paraId="30D201D0" w14:textId="77777777" w:rsidR="006D7A96" w:rsidRPr="007D78F2" w:rsidRDefault="006D7A96" w:rsidP="007F0819">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En ese tenor, en el asunto particular derivado de la negativa por parte del sujeto obligado a dar trámite a la solicitud por parte del Titular de la Unidad de </w:t>
      </w:r>
      <w:r>
        <w:rPr>
          <w:rFonts w:ascii="Palatino Linotype" w:hAnsi="Palatino Linotype" w:cs="Arial"/>
        </w:rPr>
        <w:lastRenderedPageBreak/>
        <w:t>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hAnsi="Palatino Linotype" w:cs="Arial"/>
        </w:rPr>
        <w:t xml:space="preserve">e la presente </w:t>
      </w:r>
      <w:r>
        <w:rPr>
          <w:rFonts w:ascii="Palatino Linotype" w:hAnsi="Palatino Linotype" w:cs="Arial"/>
        </w:rPr>
        <w:t xml:space="preserve">resolución, </w:t>
      </w:r>
      <w:r w:rsidRPr="007D78F2">
        <w:rPr>
          <w:rFonts w:ascii="Palatino Linotype" w:hAnsi="Palatino Linotype" w:cs="Arial"/>
        </w:rPr>
        <w:t>dar atención a la solicitud de información y además de ello entregar la información correspondiente, con las formalidades en tiempo y forma que dispone la normatividad aplicable.</w:t>
      </w:r>
    </w:p>
    <w:p w14:paraId="039C49C1" w14:textId="77777777" w:rsidR="006D7A96" w:rsidRDefault="006D7A96" w:rsidP="006D7A96">
      <w:pPr>
        <w:spacing w:before="240" w:after="240" w:line="360" w:lineRule="auto"/>
        <w:ind w:left="360"/>
        <w:contextualSpacing/>
        <w:jc w:val="both"/>
        <w:rPr>
          <w:rFonts w:ascii="Palatino Linotype" w:hAnsi="Palatino Linotype" w:cs="Arial"/>
        </w:rPr>
      </w:pPr>
    </w:p>
    <w:p w14:paraId="1DC625A4" w14:textId="77777777" w:rsidR="006D7A96" w:rsidRPr="007D78F2" w:rsidRDefault="006D7A96" w:rsidP="007F0819">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El último párrafo del artículo 179 de la ley de la materia, se configura entonces en aquellos casos en donde </w:t>
      </w:r>
      <w:r w:rsidRPr="00F96B83">
        <w:rPr>
          <w:rFonts w:ascii="Palatino Linotype" w:hAnsi="Palatino Linotype" w:cs="Arial"/>
        </w:rPr>
        <w:t xml:space="preserve">los </w:t>
      </w:r>
      <w:r w:rsidRPr="007D78F2">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7D78F2">
        <w:rPr>
          <w:rFonts w:ascii="Palatino Linotype" w:hAnsi="Palatino Linotype" w:cs="Arial"/>
        </w:rPr>
        <w:t>,</w:t>
      </w:r>
      <w:r w:rsidRPr="00F96B83">
        <w:rPr>
          <w:rFonts w:ascii="Palatino Linotype" w:hAnsi="Palatino Linotype" w:cs="Arial"/>
        </w:rPr>
        <w:t xml:space="preserve"> dicha respuesta es susceptible de ser impugnada de nueva cuenta, mediante recurso de revisión ante el Instituto. </w:t>
      </w:r>
      <w:r w:rsidRPr="007D78F2">
        <w:rPr>
          <w:rFonts w:ascii="Palatino Linotype" w:hAnsi="Palatino Linotype" w:cs="Arial"/>
        </w:rPr>
        <w:t xml:space="preserve">Esto es, que el acto que genere el </w:t>
      </w:r>
      <w:r w:rsidRPr="007D78F2">
        <w:rPr>
          <w:rFonts w:ascii="Palatino Linotype" w:hAnsi="Palatino Linotype" w:cs="Arial"/>
          <w:b/>
        </w:rPr>
        <w:t>SUJETO OBLIGADO</w:t>
      </w:r>
      <w:r w:rsidRPr="007D78F2">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hAnsi="Palatino Linotype" w:cs="Arial"/>
          <w:b/>
        </w:rPr>
        <w:t>queda al alcance de la persona la interposición de un nuevo recurso de revisión</w:t>
      </w:r>
      <w:r w:rsidRPr="007D78F2">
        <w:rPr>
          <w:rFonts w:ascii="Palatino Linotype" w:hAnsi="Palatino Linotype" w:cs="Arial"/>
        </w:rPr>
        <w:t xml:space="preserve"> que independiente del que se resuelve en este instrumento, versará sobre la revisión de la respuesta que le sea entregada. Lo cual </w:t>
      </w:r>
      <w:r w:rsidRPr="007D78F2">
        <w:rPr>
          <w:rFonts w:ascii="Palatino Linotype" w:hAnsi="Palatino Linotype" w:cs="Arial"/>
        </w:rPr>
        <w:lastRenderedPageBreak/>
        <w:t>proporciona al particular un</w:t>
      </w:r>
      <w:r>
        <w:rPr>
          <w:rFonts w:ascii="Palatino Linotype" w:hAnsi="Palatino Linotype" w:cs="Arial"/>
        </w:rPr>
        <w:t>a herramienta para defender su Derecho de Acceso a la I</w:t>
      </w:r>
      <w:r w:rsidRPr="007D78F2">
        <w:rPr>
          <w:rFonts w:ascii="Palatino Linotype" w:hAnsi="Palatino Linotype" w:cs="Arial"/>
        </w:rPr>
        <w:t>nformación ante un posible cumplimiento defectuoso de la presente.</w:t>
      </w:r>
    </w:p>
    <w:p w14:paraId="559EC4B7" w14:textId="77777777" w:rsidR="006D7A96" w:rsidRPr="00255189" w:rsidRDefault="006D7A96" w:rsidP="006D7A96">
      <w:pPr>
        <w:spacing w:before="240" w:after="240" w:line="360" w:lineRule="auto"/>
        <w:contextualSpacing/>
        <w:jc w:val="both"/>
        <w:rPr>
          <w:rFonts w:ascii="Palatino Linotype" w:hAnsi="Palatino Linotype" w:cs="Arial"/>
        </w:rPr>
      </w:pPr>
    </w:p>
    <w:p w14:paraId="46ED8CE7" w14:textId="77777777" w:rsidR="006D7A96" w:rsidRPr="00255189" w:rsidRDefault="006D7A96" w:rsidP="006D7A96">
      <w:pPr>
        <w:keepNext/>
        <w:keepLines/>
        <w:spacing w:before="240"/>
        <w:outlineLvl w:val="0"/>
        <w:rPr>
          <w:rFonts w:ascii="Palatino Linotype" w:eastAsia="MS Gothic" w:hAnsi="Palatino Linotype" w:cstheme="majorBidi"/>
          <w:b/>
        </w:rPr>
      </w:pPr>
      <w:bookmarkStart w:id="153" w:name="_Toc487739452"/>
      <w:bookmarkStart w:id="154" w:name="_Toc524344196"/>
      <w:bookmarkStart w:id="155" w:name="_Toc526271201"/>
      <w:bookmarkStart w:id="156" w:name="_Toc536106975"/>
      <w:bookmarkStart w:id="157" w:name="_Toc3467947"/>
      <w:bookmarkStart w:id="158" w:name="_Toc49863011"/>
      <w:r w:rsidRPr="00255189">
        <w:rPr>
          <w:rFonts w:ascii="Palatino Linotype" w:eastAsia="MS Gothic" w:hAnsi="Palatino Linotype" w:cstheme="majorBidi"/>
          <w:b/>
        </w:rPr>
        <w:t>SEXTO. Vista a los órganos de control interno</w:t>
      </w:r>
      <w:bookmarkEnd w:id="153"/>
      <w:r w:rsidRPr="00255189">
        <w:rPr>
          <w:rFonts w:ascii="Palatino Linotype" w:eastAsia="MS Gothic" w:hAnsi="Palatino Linotype" w:cstheme="majorBidi"/>
          <w:b/>
        </w:rPr>
        <w:t>.</w:t>
      </w:r>
      <w:bookmarkEnd w:id="154"/>
      <w:bookmarkEnd w:id="155"/>
      <w:bookmarkEnd w:id="156"/>
      <w:bookmarkEnd w:id="157"/>
      <w:bookmarkEnd w:id="158"/>
    </w:p>
    <w:p w14:paraId="22434D64" w14:textId="77777777" w:rsidR="006D7A96" w:rsidRPr="00255189" w:rsidRDefault="006D7A96" w:rsidP="006D7A96"/>
    <w:p w14:paraId="0AFCB625"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rPr>
      </w:pPr>
      <w:r w:rsidRPr="00255189">
        <w:rPr>
          <w:rFonts w:ascii="Palatino Linotype" w:eastAsia="Times New Roman" w:hAnsi="Palatino Linotype"/>
        </w:rPr>
        <w:t xml:space="preserve">Es </w:t>
      </w:r>
      <w:r w:rsidRPr="007F0819">
        <w:rPr>
          <w:rFonts w:ascii="Palatino Linotype" w:hAnsi="Palatino Linotype" w:cs="Arial"/>
        </w:rPr>
        <w:t>necesario</w:t>
      </w:r>
      <w:r w:rsidRPr="00255189">
        <w:rPr>
          <w:rFonts w:ascii="Palatino Linotype" w:eastAsia="Times New Roman" w:hAnsi="Palatino Linotype"/>
        </w:rPr>
        <w:t xml:space="preserve"> resaltar que el recursos de revisión previsto en la Ley de la materia no es el medio para investigar y en su caso, sancionar a servidores públicos </w:t>
      </w:r>
      <w:r w:rsidRPr="00255189">
        <w:rPr>
          <w:rFonts w:ascii="Palatino Linotype" w:eastAsia="Times New Roman" w:hAnsi="Palatino Linotype"/>
          <w:b/>
          <w:u w:val="single"/>
        </w:rPr>
        <w:t>por la omisión de la entrega de información pública</w:t>
      </w:r>
      <w:r w:rsidRPr="00255189">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rPr>
        <w:t>SUJETO OBLIGADO</w:t>
      </w:r>
      <w:r w:rsidRPr="00255189">
        <w:rPr>
          <w:rFonts w:ascii="Palatino Linotype" w:eastAsia="Times New Roman" w:hAnsi="Palatino Linotype"/>
        </w:rPr>
        <w:t>.</w:t>
      </w:r>
    </w:p>
    <w:p w14:paraId="1BE4617E" w14:textId="77777777" w:rsidR="006D7A96" w:rsidRPr="00255189" w:rsidRDefault="006D7A96" w:rsidP="006D7A96">
      <w:pPr>
        <w:spacing w:before="240" w:after="240" w:line="360" w:lineRule="auto"/>
        <w:contextualSpacing/>
        <w:jc w:val="both"/>
        <w:rPr>
          <w:rFonts w:ascii="Palatino Linotype" w:eastAsia="Times New Roman" w:hAnsi="Palatino Linotype"/>
        </w:rPr>
      </w:pPr>
    </w:p>
    <w:p w14:paraId="237CCD28"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rPr>
      </w:pPr>
      <w:r w:rsidRPr="00255189">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05D73BB8" w14:textId="77777777" w:rsidR="006D7A96" w:rsidRPr="00255189" w:rsidRDefault="006D7A96" w:rsidP="006D7A96">
      <w:pPr>
        <w:spacing w:before="240" w:after="240" w:line="360" w:lineRule="auto"/>
        <w:contextualSpacing/>
        <w:jc w:val="both"/>
        <w:rPr>
          <w:rFonts w:ascii="Palatino Linotype" w:eastAsia="Times New Roman" w:hAnsi="Palatino Linotype"/>
        </w:rPr>
      </w:pPr>
    </w:p>
    <w:p w14:paraId="2D1AC08F"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r w:rsidRPr="00255189">
        <w:rPr>
          <w:rFonts w:ascii="Palatino Linotype" w:eastAsia="Times New Roman" w:hAnsi="Palatino Linotype" w:cs="Times New Roman"/>
          <w:b/>
          <w:i/>
        </w:rPr>
        <w:t>Artículo 36.</w:t>
      </w:r>
      <w:r w:rsidRPr="00255189">
        <w:rPr>
          <w:rFonts w:ascii="Palatino Linotype" w:eastAsia="Times New Roman" w:hAnsi="Palatino Linotype" w:cs="Times New Roman"/>
          <w:i/>
        </w:rPr>
        <w:t xml:space="preserve"> El Instituto tendrá, en el ámbito de su competencia, las siguientes atribuciones:</w:t>
      </w:r>
    </w:p>
    <w:p w14:paraId="765A090F"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771A7FDA"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X. Hacer del conocimiento del órgano de control interno o equivalente de cada Sujeto Obligado las infracciones a esta Ley; “</w:t>
      </w:r>
    </w:p>
    <w:p w14:paraId="4EA7D4B1"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179765F1" w14:textId="77777777" w:rsidR="006D7A96" w:rsidRPr="00255189" w:rsidRDefault="006D7A96" w:rsidP="006D7A96">
      <w:pPr>
        <w:spacing w:before="240" w:after="240" w:line="360" w:lineRule="auto"/>
        <w:contextualSpacing/>
        <w:jc w:val="both"/>
        <w:rPr>
          <w:rFonts w:ascii="Palatino Linotype" w:eastAsia="MS Mincho" w:hAnsi="Palatino Linotype" w:cs="Arial"/>
        </w:rPr>
      </w:pPr>
    </w:p>
    <w:p w14:paraId="262E87A6" w14:textId="77777777" w:rsidR="006D7A96" w:rsidRPr="00255189" w:rsidRDefault="006D7A96" w:rsidP="007F0819">
      <w:pPr>
        <w:numPr>
          <w:ilvl w:val="0"/>
          <w:numId w:val="2"/>
        </w:numPr>
        <w:spacing w:line="360" w:lineRule="auto"/>
        <w:ind w:left="0" w:firstLine="0"/>
        <w:contextualSpacing/>
        <w:jc w:val="both"/>
        <w:rPr>
          <w:rFonts w:ascii="Palatino Linotype" w:eastAsia="MS Mincho" w:hAnsi="Palatino Linotype" w:cs="Arial"/>
        </w:rPr>
      </w:pPr>
      <w:r w:rsidRPr="00255189">
        <w:rPr>
          <w:rFonts w:ascii="Palatino Linotype" w:eastAsia="Times New Roman" w:hAnsi="Palatino Linotype"/>
        </w:rPr>
        <w:t xml:space="preserve">Asimismo, este Pleno hará del conocimiento del órgano de control de este Instituto de las infracciones en que el </w:t>
      </w:r>
      <w:r w:rsidRPr="00255189">
        <w:rPr>
          <w:rFonts w:ascii="Palatino Linotype" w:eastAsia="Times New Roman" w:hAnsi="Palatino Linotype"/>
          <w:b/>
        </w:rPr>
        <w:t>SUJETO OBLIGADO</w:t>
      </w:r>
      <w:r w:rsidRPr="00255189">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216AE83" w14:textId="77777777" w:rsidR="006D7A96" w:rsidRPr="00255189" w:rsidRDefault="006D7A96" w:rsidP="006D7A96">
      <w:pPr>
        <w:spacing w:before="240" w:after="240" w:line="360" w:lineRule="auto"/>
        <w:contextualSpacing/>
        <w:jc w:val="both"/>
        <w:rPr>
          <w:rFonts w:ascii="Palatino Linotype" w:eastAsia="MS Mincho" w:hAnsi="Palatino Linotype" w:cs="Arial"/>
        </w:rPr>
      </w:pPr>
    </w:p>
    <w:p w14:paraId="1B31D52C"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r w:rsidRPr="00255189">
        <w:rPr>
          <w:rFonts w:ascii="Palatino Linotype" w:eastAsia="Times New Roman" w:hAnsi="Palatino Linotype" w:cs="Times New Roman"/>
          <w:b/>
          <w:i/>
        </w:rPr>
        <w:t>Artículo 190.</w:t>
      </w:r>
      <w:r w:rsidRPr="00255189">
        <w:rPr>
          <w:rFonts w:ascii="Palatino Linotype" w:eastAsia="Times New Roman"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1CBBCF1"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p>
    <w:p w14:paraId="601C6016"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Artículo 222.</w:t>
      </w:r>
      <w:r w:rsidRPr="00255189">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B9F1378"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60BAB683"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t>I. Cualquier acto u omisión que provoque la suspensión o deficiencia en la atención de las solicitudes de información</w:t>
      </w:r>
      <w:r w:rsidRPr="00255189">
        <w:rPr>
          <w:rFonts w:ascii="Palatino Linotype" w:eastAsia="Times New Roman" w:hAnsi="Palatino Linotype" w:cs="Times New Roman"/>
          <w:i/>
        </w:rPr>
        <w:t>;</w:t>
      </w:r>
    </w:p>
    <w:p w14:paraId="75F8AA36"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b/>
          <w:i/>
        </w:rPr>
        <w:lastRenderedPageBreak/>
        <w:t>II. La falta de respuesta a las solicitudes de información en los plazos señalados en la normatividad aplicable</w:t>
      </w:r>
      <w:r w:rsidRPr="00255189">
        <w:rPr>
          <w:rFonts w:ascii="Palatino Linotype" w:eastAsia="Times New Roman" w:hAnsi="Palatino Linotype" w:cs="Times New Roman"/>
          <w:i/>
        </w:rPr>
        <w:t>;</w:t>
      </w:r>
    </w:p>
    <w:p w14:paraId="5FA6C5AA" w14:textId="77777777" w:rsidR="006D7A96" w:rsidRPr="00255189" w:rsidRDefault="006D7A96" w:rsidP="006D7A96">
      <w:pPr>
        <w:spacing w:line="360" w:lineRule="auto"/>
        <w:ind w:left="567" w:right="567"/>
        <w:contextualSpacing/>
        <w:jc w:val="both"/>
        <w:rPr>
          <w:rFonts w:ascii="Palatino Linotype" w:eastAsia="Times New Roman" w:hAnsi="Palatino Linotype" w:cs="Times New Roman"/>
          <w:i/>
        </w:rPr>
      </w:pPr>
      <w:r w:rsidRPr="00255189">
        <w:rPr>
          <w:rFonts w:ascii="Palatino Linotype" w:eastAsia="Times New Roman" w:hAnsi="Palatino Linotype" w:cs="Times New Roman"/>
          <w:i/>
        </w:rPr>
        <w:t>…</w:t>
      </w:r>
    </w:p>
    <w:p w14:paraId="1BF9E1E7" w14:textId="77777777" w:rsidR="006D7A96" w:rsidRPr="00255189" w:rsidRDefault="006D7A96" w:rsidP="006D7A96">
      <w:pPr>
        <w:spacing w:line="360" w:lineRule="auto"/>
        <w:ind w:left="567" w:right="567"/>
        <w:contextualSpacing/>
        <w:jc w:val="both"/>
        <w:rPr>
          <w:rFonts w:ascii="Palatino Linotype" w:hAnsi="Palatino Linotype"/>
          <w:i/>
        </w:rPr>
      </w:pPr>
      <w:r w:rsidRPr="00255189">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hAnsi="Palatino Linotype"/>
          <w:i/>
        </w:rPr>
        <w:t xml:space="preserve"> (De Acuerdo al Decreto N°207, Publicado el 30 de mayo de 2017)</w:t>
      </w:r>
    </w:p>
    <w:p w14:paraId="5C5C17E8" w14:textId="77777777" w:rsidR="006D7A96" w:rsidRDefault="006D7A96" w:rsidP="006D7A96">
      <w:pPr>
        <w:spacing w:line="360" w:lineRule="auto"/>
        <w:ind w:left="567" w:right="567"/>
        <w:contextualSpacing/>
        <w:jc w:val="both"/>
        <w:rPr>
          <w:rFonts w:ascii="Palatino Linotype" w:hAnsi="Palatino Linotype"/>
          <w:i/>
        </w:rPr>
      </w:pPr>
      <w:r w:rsidRPr="00255189">
        <w:rPr>
          <w:rFonts w:ascii="Palatino Linotype" w:hAnsi="Palatino Linotype"/>
          <w:i/>
        </w:rPr>
        <w:t>…”</w:t>
      </w:r>
    </w:p>
    <w:p w14:paraId="540E19F0" w14:textId="77777777" w:rsidR="006D7A96" w:rsidRPr="00255189" w:rsidRDefault="006D7A96" w:rsidP="006D7A96">
      <w:pPr>
        <w:spacing w:line="360" w:lineRule="auto"/>
        <w:ind w:right="49"/>
        <w:contextualSpacing/>
        <w:jc w:val="both"/>
        <w:rPr>
          <w:rFonts w:ascii="Palatino Linotype" w:eastAsia="Times New Roman" w:hAnsi="Palatino Linotype" w:cs="Arial"/>
          <w:color w:val="000000"/>
        </w:rPr>
      </w:pPr>
    </w:p>
    <w:p w14:paraId="3C05F34A" w14:textId="77777777" w:rsidR="006D7A96" w:rsidRPr="00626BA7"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626BA7">
        <w:rPr>
          <w:rFonts w:ascii="Palatino Linotype" w:hAnsi="Palatino Linotype" w:cs="Arial"/>
          <w:color w:val="000000" w:themeColor="text1"/>
        </w:rPr>
        <w:t xml:space="preserve">En </w:t>
      </w:r>
      <w:r w:rsidRPr="007F0819">
        <w:rPr>
          <w:rFonts w:ascii="Palatino Linotype" w:eastAsia="Times New Roman" w:hAnsi="Palatino Linotype"/>
        </w:rPr>
        <w:t>consecuencia</w:t>
      </w:r>
      <w:r w:rsidRPr="00626BA7">
        <w:rPr>
          <w:rFonts w:ascii="Palatino Linotype" w:hAnsi="Palatino Linotype" w:cs="Arial"/>
          <w:color w:val="000000" w:themeColor="text1"/>
        </w:rPr>
        <w:t xml:space="preserve"> el recurso de revisión consiste en una garantía secundaria</w:t>
      </w:r>
      <w:r w:rsidRPr="00626BA7">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626BA7">
        <w:rPr>
          <w:rStyle w:val="Refdenotaalpie"/>
          <w:rFonts w:ascii="Palatino Linotype" w:hAnsi="Palatino Linotype" w:cs="Arial"/>
          <w:color w:val="000000" w:themeColor="text1"/>
        </w:rPr>
        <w:footnoteReference w:id="5"/>
      </w:r>
      <w:r w:rsidRPr="00626BA7">
        <w:rPr>
          <w:rFonts w:ascii="Palatino Linotype" w:hAnsi="Palatino Linotype" w:cs="Arial"/>
          <w:color w:val="000000" w:themeColor="text1"/>
        </w:rPr>
        <w:t xml:space="preserve">.  , esto refiere que, ante la falta de respuesta por parte del </w:t>
      </w:r>
      <w:r w:rsidRPr="00626BA7">
        <w:rPr>
          <w:rFonts w:ascii="Palatino Linotype" w:hAnsi="Palatino Linotype" w:cs="Arial"/>
          <w:b/>
          <w:color w:val="000000" w:themeColor="text1"/>
        </w:rPr>
        <w:t>SUJETO OBLIGADO</w:t>
      </w:r>
      <w:r w:rsidRPr="00626BA7">
        <w:rPr>
          <w:rFonts w:ascii="Palatino Linotype" w:hAnsi="Palatino Linotype" w:cs="Arial"/>
          <w:color w:val="000000" w:themeColor="text1"/>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4B533553" w14:textId="77777777" w:rsidR="006D7A96" w:rsidRDefault="006D7A96" w:rsidP="006D7A96">
      <w:pPr>
        <w:spacing w:after="120" w:line="360" w:lineRule="auto"/>
        <w:ind w:left="360" w:right="49"/>
        <w:contextualSpacing/>
        <w:jc w:val="both"/>
        <w:rPr>
          <w:rFonts w:ascii="Palatino Linotype" w:hAnsi="Palatino Linotype" w:cs="Arial"/>
          <w:b/>
          <w:color w:val="000000" w:themeColor="text1"/>
        </w:rPr>
      </w:pPr>
    </w:p>
    <w:p w14:paraId="52318A04" w14:textId="77777777" w:rsidR="006D7A96" w:rsidRPr="00C515DD" w:rsidRDefault="006D7A96" w:rsidP="00C515DD">
      <w:pPr>
        <w:keepNext/>
        <w:keepLines/>
        <w:spacing w:before="40"/>
        <w:outlineLvl w:val="1"/>
        <w:rPr>
          <w:rFonts w:ascii="Palatino Linotype" w:eastAsiaTheme="majorEastAsia" w:hAnsi="Palatino Linotype" w:cstheme="majorBidi"/>
          <w:b/>
          <w:color w:val="000000" w:themeColor="text1"/>
        </w:rPr>
      </w:pPr>
      <w:bookmarkStart w:id="159" w:name="_Toc49863012"/>
      <w:r w:rsidRPr="00C515DD">
        <w:rPr>
          <w:rFonts w:ascii="Palatino Linotype" w:eastAsiaTheme="majorEastAsia" w:hAnsi="Palatino Linotype" w:cstheme="majorBidi"/>
          <w:b/>
          <w:color w:val="000000" w:themeColor="text1"/>
        </w:rPr>
        <w:t>SÉPTIMO. De la versión pública.</w:t>
      </w:r>
      <w:bookmarkEnd w:id="159"/>
    </w:p>
    <w:p w14:paraId="7B22AC32" w14:textId="77777777" w:rsidR="00C515DD" w:rsidRPr="00C515DD" w:rsidRDefault="00C515DD" w:rsidP="00C515DD">
      <w:pPr>
        <w:rPr>
          <w:rFonts w:ascii="Palatino Linotype" w:hAnsi="Palatino Linotype"/>
          <w:b/>
        </w:rPr>
      </w:pPr>
    </w:p>
    <w:p w14:paraId="5188A5A0" w14:textId="77777777" w:rsidR="006D7A96"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lastRenderedPageBreak/>
        <w:t>Por otro lado, debe destacarse que debido a la naturaleza de la información solicitada</w:t>
      </w:r>
      <w:r w:rsidRPr="00255189">
        <w:rPr>
          <w:rFonts w:ascii="Palatino Linotype" w:hAnsi="Palatino Linotype" w:cs="Arial"/>
          <w:b/>
          <w:color w:val="000000" w:themeColor="text1"/>
        </w:rPr>
        <w:t xml:space="preserve">, </w:t>
      </w:r>
      <w:r w:rsidRPr="00255189">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hAnsi="Palatino Linotype" w:cs="Arial"/>
          <w:b/>
          <w:color w:val="000000" w:themeColor="text1"/>
          <w:u w:val="single"/>
        </w:rPr>
        <w:t>versión pública</w:t>
      </w:r>
      <w:r w:rsidRPr="00255189">
        <w:rPr>
          <w:rFonts w:ascii="Palatino Linotype" w:hAnsi="Palatino Linotype" w:cs="Arial"/>
          <w:color w:val="000000" w:themeColor="text1"/>
        </w:rPr>
        <w:t xml:space="preserve"> del documento por las consideraciones que se estimen pertinentes.</w:t>
      </w:r>
    </w:p>
    <w:p w14:paraId="0246D3BB" w14:textId="77777777" w:rsidR="006D7A96" w:rsidRPr="00255189" w:rsidRDefault="006D7A96" w:rsidP="006D7A96">
      <w:pPr>
        <w:spacing w:after="120" w:line="360" w:lineRule="auto"/>
        <w:ind w:left="360" w:right="49"/>
        <w:contextualSpacing/>
        <w:jc w:val="both"/>
        <w:rPr>
          <w:rFonts w:ascii="Palatino Linotype" w:hAnsi="Palatino Linotype" w:cs="Arial"/>
          <w:color w:val="000000" w:themeColor="text1"/>
        </w:rPr>
      </w:pPr>
    </w:p>
    <w:p w14:paraId="72354FEC" w14:textId="77777777" w:rsidR="006D7A96" w:rsidRPr="00C515DD"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rPr>
      </w:pPr>
      <w:r w:rsidRPr="00255189">
        <w:rPr>
          <w:rFonts w:ascii="Palatino Linotype" w:eastAsia="Calibri" w:hAnsi="Palatino Linotype" w:cs="Arial"/>
          <w:color w:val="000000" w:themeColor="text1"/>
          <w:lang w:val="es-ES" w:eastAsia="es-MX"/>
        </w:rPr>
        <w:t xml:space="preserve">Es de señalar, que por lo que hace a las versiones públicas, el </w:t>
      </w:r>
      <w:r w:rsidRPr="00255189">
        <w:rPr>
          <w:rFonts w:ascii="Palatino Linotype" w:eastAsia="Calibri" w:hAnsi="Palatino Linotype" w:cs="Arial"/>
          <w:b/>
          <w:color w:val="000000" w:themeColor="text1"/>
          <w:lang w:val="es-ES" w:eastAsia="es-MX"/>
        </w:rPr>
        <w:t xml:space="preserve">SUJETO </w:t>
      </w:r>
      <w:r w:rsidRPr="007F0819">
        <w:rPr>
          <w:rFonts w:ascii="Palatino Linotype" w:hAnsi="Palatino Linotype" w:cs="Arial"/>
          <w:color w:val="000000" w:themeColor="text1"/>
        </w:rPr>
        <w:t>OBLIGADO</w:t>
      </w:r>
      <w:r w:rsidRPr="00255189">
        <w:rPr>
          <w:rFonts w:ascii="Palatino Linotype" w:eastAsia="Calibri" w:hAnsi="Palatino Linotype" w:cs="Arial"/>
          <w:color w:val="000000" w:themeColor="text1"/>
          <w:lang w:val="es-ES" w:eastAsia="es-MX"/>
        </w:rPr>
        <w:t xml:space="preserve"> debe cumplir con las formalidades exigidas en la Ley, por lo que </w:t>
      </w:r>
      <w:r w:rsidRPr="00255189">
        <w:rPr>
          <w:rFonts w:ascii="Palatino Linotype" w:eastAsia="Times New Roman" w:hAnsi="Palatino Linotype" w:cs="Arial"/>
          <w:color w:val="000000" w:themeColor="text1"/>
          <w:lang w:eastAsia="es-MX"/>
        </w:rPr>
        <w:t xml:space="preserve">para tal efecto emitirá el </w:t>
      </w:r>
      <w:r w:rsidRPr="00255189">
        <w:rPr>
          <w:rFonts w:ascii="Palatino Linotype" w:eastAsia="Calibri" w:hAnsi="Palatino Linotype" w:cs="Arial"/>
          <w:color w:val="000000" w:themeColor="text1"/>
          <w:lang w:val="es-ES" w:eastAsia="es-MX"/>
        </w:rPr>
        <w:t>Acuerdo del Comité de Transparencia en términos de los artículos 49 fracción</w:t>
      </w:r>
      <w:r w:rsidRPr="00255189">
        <w:rPr>
          <w:rFonts w:ascii="Palatino Linotype" w:eastAsia="Calibri" w:hAnsi="Palatino Linotype" w:cs="Arial"/>
          <w:bCs/>
          <w:color w:val="000000" w:themeColor="text1"/>
        </w:rPr>
        <w:t xml:space="preserve"> VIII,</w:t>
      </w:r>
      <w:r w:rsidRPr="00255189">
        <w:rPr>
          <w:rFonts w:ascii="Palatino Linotype" w:eastAsia="Calibri" w:hAnsi="Palatino Linotype" w:cs="Arial"/>
          <w:color w:val="000000" w:themeColor="text1"/>
          <w:lang w:val="es-ES" w:eastAsia="es-MX"/>
        </w:rPr>
        <w:t xml:space="preserve"> 122</w:t>
      </w:r>
      <w:r w:rsidRPr="00255189">
        <w:rPr>
          <w:rFonts w:cs="Times New Roman"/>
          <w:vertAlign w:val="superscript"/>
          <w:lang w:val="es-ES" w:eastAsia="es-MX"/>
        </w:rPr>
        <w:footnoteReference w:id="6"/>
      </w:r>
      <w:r w:rsidRPr="00255189">
        <w:rPr>
          <w:rFonts w:ascii="Palatino Linotype" w:eastAsia="Calibri" w:hAnsi="Palatino Linotype" w:cs="Arial"/>
          <w:color w:val="000000" w:themeColor="text1"/>
          <w:lang w:val="es-ES" w:eastAsia="es-MX"/>
        </w:rPr>
        <w:t>, 135</w:t>
      </w:r>
      <w:r w:rsidRPr="00255189">
        <w:rPr>
          <w:rFonts w:cs="Times New Roman"/>
          <w:vertAlign w:val="superscript"/>
          <w:lang w:val="es-ES" w:eastAsia="es-MX"/>
        </w:rPr>
        <w:footnoteReference w:id="7"/>
      </w:r>
      <w:r w:rsidRPr="00255189">
        <w:rPr>
          <w:rFonts w:ascii="Palatino Linotype" w:eastAsia="Calibri" w:hAnsi="Palatino Linotype" w:cs="Arial"/>
          <w:color w:val="000000" w:themeColor="text1"/>
          <w:lang w:val="es-ES" w:eastAsia="es-MX"/>
        </w:rPr>
        <w:t xml:space="preserve"> y 149 de la </w:t>
      </w:r>
      <w:r w:rsidRPr="00255189">
        <w:rPr>
          <w:rFonts w:ascii="Palatino Linotype" w:eastAsia="Calibri" w:hAnsi="Palatino Linotype" w:cs="Arial"/>
          <w:b/>
          <w:color w:val="000000" w:themeColor="text1"/>
          <w:lang w:val="es-ES" w:eastAsia="es-MX"/>
        </w:rPr>
        <w:t>Ley de Transparencia y Acceso a la Información Pública del Estado de México y Municipios</w:t>
      </w:r>
      <w:r w:rsidRPr="00255189">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5340C128" w14:textId="77777777" w:rsidR="00C515DD" w:rsidRDefault="00C515DD" w:rsidP="00C515DD">
      <w:pPr>
        <w:pStyle w:val="Prrafodelista"/>
        <w:rPr>
          <w:rFonts w:ascii="Palatino Linotype" w:eastAsia="Times New Roman" w:hAnsi="Palatino Linotype" w:cs="Arial"/>
          <w:color w:val="000000" w:themeColor="text1"/>
        </w:rPr>
      </w:pPr>
    </w:p>
    <w:p w14:paraId="02480A46" w14:textId="77777777" w:rsidR="006D7A96" w:rsidRPr="00255189" w:rsidRDefault="006D7A96" w:rsidP="006D7A96">
      <w:pPr>
        <w:keepNext/>
        <w:keepLines/>
        <w:spacing w:before="40"/>
        <w:outlineLvl w:val="1"/>
        <w:rPr>
          <w:rFonts w:ascii="Palatino Linotype" w:eastAsiaTheme="majorEastAsia" w:hAnsi="Palatino Linotype" w:cstheme="majorBidi"/>
          <w:b/>
          <w:color w:val="000000" w:themeColor="text1"/>
        </w:rPr>
      </w:pPr>
      <w:bookmarkStart w:id="160" w:name="_Toc500756709"/>
      <w:bookmarkStart w:id="161" w:name="_Toc536691777"/>
      <w:bookmarkStart w:id="162" w:name="_Toc3467949"/>
      <w:bookmarkStart w:id="163" w:name="_Toc49863013"/>
      <w:r w:rsidRPr="00255189">
        <w:rPr>
          <w:rFonts w:ascii="Palatino Linotype" w:eastAsiaTheme="majorEastAsia" w:hAnsi="Palatino Linotype" w:cstheme="majorBidi"/>
          <w:b/>
          <w:color w:val="000000" w:themeColor="text1"/>
        </w:rPr>
        <w:t>I. De la clasificación de la información.</w:t>
      </w:r>
      <w:bookmarkEnd w:id="160"/>
      <w:bookmarkEnd w:id="161"/>
      <w:bookmarkEnd w:id="162"/>
      <w:bookmarkEnd w:id="163"/>
    </w:p>
    <w:p w14:paraId="20BEDB73" w14:textId="77777777" w:rsidR="006D7A96" w:rsidRPr="00255189" w:rsidRDefault="006D7A96" w:rsidP="006D7A96">
      <w:pPr>
        <w:rPr>
          <w:rFonts w:ascii="Palatino Linotype" w:hAnsi="Palatino Linotype"/>
          <w:color w:val="000000" w:themeColor="text1"/>
        </w:rPr>
      </w:pPr>
    </w:p>
    <w:p w14:paraId="54F59136" w14:textId="77777777" w:rsidR="006D7A96"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7F0819">
        <w:rPr>
          <w:rFonts w:ascii="Palatino Linotype" w:eastAsia="Calibri" w:hAnsi="Palatino Linotype" w:cs="Arial"/>
          <w:color w:val="000000" w:themeColor="text1"/>
          <w:lang w:val="es-ES" w:eastAsia="es-MX"/>
        </w:rPr>
        <w:t>La</w:t>
      </w:r>
      <w:r w:rsidRPr="00255189">
        <w:rPr>
          <w:rFonts w:ascii="Palatino Linotype" w:hAnsi="Palatino Linotype"/>
          <w:color w:val="000000" w:themeColor="text1"/>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vertAlign w:val="superscript"/>
        </w:rPr>
        <w:footnoteReference w:id="8"/>
      </w:r>
      <w:r w:rsidRPr="00255189">
        <w:rPr>
          <w:rFonts w:ascii="Palatino Linotype" w:hAnsi="Palatino Linotype"/>
          <w:color w:val="000000" w:themeColor="text1"/>
        </w:rPr>
        <w:t xml:space="preserve"> aunque cualquier límite o restricción, para ser legítimo, debe reunir con tres requisitos: primero, debe de estar establecida en un ordenamiento legal, antes de su aplicación; debe de corresponder a un fin </w:t>
      </w:r>
      <w:r w:rsidRPr="00255189">
        <w:rPr>
          <w:rFonts w:ascii="Palatino Linotype" w:hAnsi="Palatino Linotype"/>
          <w:color w:val="000000" w:themeColor="text1"/>
        </w:rPr>
        <w:lastRenderedPageBreak/>
        <w:t>legítimo y ser estrictamente proporcional con el principio o valor que se pretende preservar.</w:t>
      </w:r>
      <w:r w:rsidRPr="00255189">
        <w:rPr>
          <w:vertAlign w:val="superscript"/>
        </w:rPr>
        <w:footnoteReference w:id="9"/>
      </w:r>
      <w:r w:rsidRPr="00255189">
        <w:rPr>
          <w:rFonts w:ascii="Palatino Linotype" w:hAnsi="Palatino Linotype"/>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CE2343A" w14:textId="77777777" w:rsidR="007F0819" w:rsidRPr="00255189" w:rsidRDefault="007F0819" w:rsidP="007F0819">
      <w:pPr>
        <w:spacing w:line="360" w:lineRule="auto"/>
        <w:contextualSpacing/>
        <w:jc w:val="both"/>
        <w:rPr>
          <w:rFonts w:ascii="Palatino Linotype" w:hAnsi="Palatino Linotype"/>
          <w:color w:val="000000" w:themeColor="text1"/>
        </w:rPr>
      </w:pPr>
    </w:p>
    <w:p w14:paraId="6BD0AB91"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7F0819">
        <w:rPr>
          <w:rFonts w:ascii="Palatino Linotype" w:eastAsia="Calibri" w:hAnsi="Palatino Linotype" w:cs="Arial"/>
          <w:color w:val="000000" w:themeColor="text1"/>
          <w:lang w:val="es-ES" w:eastAsia="es-MX"/>
        </w:rPr>
        <w:t>El</w:t>
      </w:r>
      <w:r w:rsidRPr="00255189">
        <w:rPr>
          <w:rFonts w:ascii="Palatino Linotype" w:hAnsi="Palatino Linotype"/>
          <w:color w:val="000000" w:themeColor="text1"/>
        </w:rPr>
        <w:t xml:space="preserve">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60ABAAD"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7F0819">
        <w:rPr>
          <w:rFonts w:ascii="Palatino Linotype" w:eastAsia="Calibri" w:hAnsi="Palatino Linotype" w:cs="Arial"/>
          <w:color w:val="000000" w:themeColor="text1"/>
          <w:lang w:val="es-ES" w:eastAsia="es-MX"/>
        </w:rPr>
        <w:lastRenderedPageBreak/>
        <w:t>Por</w:t>
      </w:r>
      <w:r w:rsidRPr="00255189">
        <w:rPr>
          <w:rFonts w:ascii="Palatino Linotype" w:hAnsi="Palatino Linotype"/>
          <w:color w:val="000000" w:themeColor="text1"/>
        </w:rPr>
        <w:t xml:space="preserve"> esa razón, es que en esta ocasión se presenta un apretado resumen de las formalidades, elementos y procedimientos que debe considerar el sujeto obligado para emitir este tipo de acuerdos y que el Órgano Garante debe verificar que se cumplan.</w:t>
      </w:r>
    </w:p>
    <w:p w14:paraId="44A86F3D" w14:textId="77777777" w:rsidR="006D7A96" w:rsidRPr="00255189" w:rsidRDefault="006D7A96" w:rsidP="006D7A96">
      <w:pPr>
        <w:spacing w:line="360" w:lineRule="auto"/>
        <w:jc w:val="both"/>
        <w:rPr>
          <w:rFonts w:ascii="Palatino Linotype" w:hAnsi="Palatino Linotype"/>
          <w:color w:val="000000" w:themeColor="text1"/>
        </w:rPr>
      </w:pPr>
    </w:p>
    <w:p w14:paraId="0CC062B0" w14:textId="77777777" w:rsidR="006D7A96" w:rsidRPr="00255189" w:rsidRDefault="006D7A96" w:rsidP="006D7A96">
      <w:pPr>
        <w:keepNext/>
        <w:keepLines/>
        <w:numPr>
          <w:ilvl w:val="0"/>
          <w:numId w:val="43"/>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4" w:name="_Toc485631700"/>
      <w:bookmarkStart w:id="165" w:name="_Toc500756710"/>
      <w:bookmarkStart w:id="166" w:name="_Toc536691778"/>
      <w:bookmarkStart w:id="167" w:name="_Toc3467950"/>
      <w:bookmarkStart w:id="168" w:name="_Toc49863014"/>
      <w:r w:rsidRPr="00255189">
        <w:rPr>
          <w:rFonts w:ascii="Palatino Linotype" w:eastAsiaTheme="majorEastAsia" w:hAnsi="Palatino Linotype" w:cstheme="majorBidi"/>
          <w:b/>
          <w:color w:val="000000" w:themeColor="text1"/>
        </w:rPr>
        <w:t>Requisitos previos.</w:t>
      </w:r>
      <w:bookmarkEnd w:id="164"/>
      <w:bookmarkEnd w:id="165"/>
      <w:bookmarkEnd w:id="166"/>
      <w:bookmarkEnd w:id="167"/>
      <w:bookmarkEnd w:id="168"/>
    </w:p>
    <w:p w14:paraId="4B96A027"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6C8AC411"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 xml:space="preserve">Los </w:t>
      </w:r>
      <w:r w:rsidRPr="00255189">
        <w:rPr>
          <w:rFonts w:ascii="Palatino Linotype" w:hAnsi="Palatino Linotype"/>
          <w:color w:val="000000" w:themeColor="text1"/>
        </w:rPr>
        <w:t>artículos</w:t>
      </w:r>
      <w:r w:rsidRPr="0025518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290C075"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2633FAC8"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8C15B3"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293C41"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55F98DB6" w14:textId="77777777" w:rsidR="006D7A96" w:rsidRPr="00255189" w:rsidRDefault="006D7A96" w:rsidP="006D7A96">
      <w:pPr>
        <w:keepNext/>
        <w:keepLines/>
        <w:numPr>
          <w:ilvl w:val="0"/>
          <w:numId w:val="43"/>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69" w:name="_Toc485631701"/>
      <w:bookmarkStart w:id="170" w:name="_Toc500756711"/>
      <w:bookmarkStart w:id="171" w:name="_Toc536691779"/>
      <w:bookmarkStart w:id="172" w:name="_Toc3467951"/>
      <w:bookmarkStart w:id="173" w:name="_Toc49863015"/>
      <w:r w:rsidRPr="00255189">
        <w:rPr>
          <w:rFonts w:ascii="Palatino Linotype" w:eastAsiaTheme="majorEastAsia" w:hAnsi="Palatino Linotype" w:cstheme="majorBidi"/>
          <w:b/>
          <w:color w:val="000000" w:themeColor="text1"/>
        </w:rPr>
        <w:t>Supuestos de clasificación.</w:t>
      </w:r>
      <w:bookmarkEnd w:id="169"/>
      <w:bookmarkEnd w:id="170"/>
      <w:bookmarkEnd w:id="171"/>
      <w:bookmarkEnd w:id="172"/>
      <w:bookmarkEnd w:id="173"/>
    </w:p>
    <w:p w14:paraId="61BE61F2" w14:textId="77777777" w:rsidR="006D7A96" w:rsidRPr="00255189" w:rsidRDefault="006D7A96" w:rsidP="006D7A96">
      <w:pPr>
        <w:spacing w:line="360" w:lineRule="auto"/>
        <w:jc w:val="both"/>
        <w:rPr>
          <w:rFonts w:ascii="Palatino Linotype" w:hAnsi="Palatino Linotype" w:cs="Arial"/>
          <w:color w:val="000000" w:themeColor="text1"/>
        </w:rPr>
      </w:pPr>
    </w:p>
    <w:p w14:paraId="5FC07128"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74C1E91D"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4E18F8B7"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2F0A7600" w14:textId="77777777" w:rsidR="006D7A96" w:rsidRPr="00255189" w:rsidRDefault="006D7A96" w:rsidP="006D7A96">
      <w:pPr>
        <w:spacing w:line="360" w:lineRule="auto"/>
        <w:jc w:val="both"/>
        <w:rPr>
          <w:rFonts w:ascii="Palatino Linotype" w:hAnsi="Palatino Linotype" w:cs="Arial"/>
          <w:color w:val="000000" w:themeColor="text1"/>
        </w:rPr>
      </w:pPr>
    </w:p>
    <w:p w14:paraId="3F5D9898"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55189">
        <w:rPr>
          <w:rFonts w:ascii="Palatino Linotype" w:hAnsi="Palatino Linotype" w:cs="Bookman Old Style"/>
          <w:bCs/>
          <w:color w:val="000000" w:themeColor="text1"/>
        </w:rPr>
        <w:t xml:space="preserve">I. </w:t>
      </w:r>
      <w:r w:rsidRPr="00255189">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14:paraId="04B3DAB6"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55189">
        <w:rPr>
          <w:rFonts w:ascii="Palatino Linotype" w:hAnsi="Palatino Linotype" w:cs="Bookman Old Style"/>
          <w:bCs/>
          <w:color w:val="000000" w:themeColor="text1"/>
        </w:rPr>
        <w:t xml:space="preserve">II. </w:t>
      </w:r>
      <w:r w:rsidRPr="00255189">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w:t>
      </w:r>
      <w:r w:rsidRPr="00255189">
        <w:rPr>
          <w:rFonts w:ascii="Palatino Linotype" w:hAnsi="Palatino Linotype" w:cs="Bookman Old Style"/>
          <w:color w:val="000000" w:themeColor="text1"/>
        </w:rPr>
        <w:lastRenderedPageBreak/>
        <w:t xml:space="preserve">internacional o a sujetos obligados cuando no involucren el ejercicio de recursos públicos; y </w:t>
      </w:r>
    </w:p>
    <w:p w14:paraId="02DA2348"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55189">
        <w:rPr>
          <w:rFonts w:ascii="Palatino Linotype" w:hAnsi="Palatino Linotype" w:cs="Bookman Old Style"/>
          <w:bCs/>
          <w:color w:val="000000" w:themeColor="text1"/>
        </w:rPr>
        <w:t xml:space="preserve">III. </w:t>
      </w:r>
      <w:r w:rsidRPr="00255189">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14:paraId="05882640"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255189">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14:paraId="5330155B" w14:textId="77777777" w:rsidR="006D7A96" w:rsidRDefault="006D7A96" w:rsidP="006D7A96">
      <w:pPr>
        <w:widowControl w:val="0"/>
        <w:autoSpaceDE w:val="0"/>
        <w:autoSpaceDN w:val="0"/>
        <w:adjustRightInd w:val="0"/>
        <w:spacing w:after="240" w:line="360" w:lineRule="auto"/>
        <w:ind w:left="567" w:right="616"/>
        <w:jc w:val="both"/>
        <w:rPr>
          <w:rFonts w:ascii="Palatino Linotype" w:hAnsi="Palatino Linotype" w:cs="Bookman Old Style"/>
          <w:color w:val="000000" w:themeColor="text1"/>
        </w:rPr>
      </w:pPr>
      <w:r w:rsidRPr="00255189">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14:paraId="5EB0C81E"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EFA096E"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19489555"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Como consecuencia de lo anterior, el sujeto obligado debe identificar claramente el tipo de información y hacer un juicio de subsunción o encaje</w:t>
      </w:r>
      <w:r w:rsidRPr="00255189">
        <w:rPr>
          <w:rFonts w:ascii="Palatino Linotype" w:hAnsi="Palatino Linotype" w:cs="Arial"/>
          <w:color w:val="000000" w:themeColor="text1"/>
          <w:vertAlign w:val="superscript"/>
        </w:rPr>
        <w:footnoteReference w:id="10"/>
      </w:r>
      <w:r w:rsidRPr="00255189">
        <w:rPr>
          <w:rFonts w:ascii="Palatino Linotype" w:hAnsi="Palatino Linotype" w:cs="Arial"/>
          <w:color w:val="000000" w:themeColor="text1"/>
        </w:rPr>
        <w:t xml:space="preserve"> para </w:t>
      </w:r>
      <w:r w:rsidRPr="00255189">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1095A597"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57FE3ED0"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4FBC8ACD" w14:textId="77777777" w:rsidR="006D7A96" w:rsidRPr="00255189" w:rsidRDefault="006D7A96" w:rsidP="006D7A96">
      <w:pPr>
        <w:spacing w:line="360" w:lineRule="auto"/>
        <w:contextualSpacing/>
        <w:jc w:val="both"/>
        <w:rPr>
          <w:rFonts w:ascii="Palatino Linotype" w:hAnsi="Palatino Linotype"/>
          <w:b/>
          <w:color w:val="000000" w:themeColor="text1"/>
        </w:rPr>
      </w:pPr>
    </w:p>
    <w:p w14:paraId="0F25C121" w14:textId="77777777" w:rsidR="006D7A96" w:rsidRPr="00255189" w:rsidRDefault="006D7A96" w:rsidP="006D7A96">
      <w:pPr>
        <w:keepNext/>
        <w:keepLines/>
        <w:numPr>
          <w:ilvl w:val="0"/>
          <w:numId w:val="43"/>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74" w:name="_Toc485631702"/>
      <w:bookmarkStart w:id="175" w:name="_Toc500756712"/>
      <w:bookmarkStart w:id="176" w:name="_Toc536691780"/>
      <w:bookmarkStart w:id="177" w:name="_Toc3467952"/>
      <w:bookmarkStart w:id="178" w:name="_Toc49863016"/>
      <w:r w:rsidRPr="00255189">
        <w:rPr>
          <w:rFonts w:ascii="Palatino Linotype" w:eastAsiaTheme="majorEastAsia" w:hAnsi="Palatino Linotype" w:cstheme="majorBidi"/>
          <w:b/>
          <w:color w:val="000000" w:themeColor="text1"/>
        </w:rPr>
        <w:t>Excepciones a los supuestos de clasificación de la información como reservada.</w:t>
      </w:r>
      <w:bookmarkEnd w:id="174"/>
      <w:bookmarkEnd w:id="175"/>
      <w:bookmarkEnd w:id="176"/>
      <w:bookmarkEnd w:id="177"/>
      <w:bookmarkEnd w:id="178"/>
    </w:p>
    <w:p w14:paraId="366EBC9F" w14:textId="77777777" w:rsidR="006D7A96" w:rsidRPr="00255189" w:rsidRDefault="006D7A96" w:rsidP="006D7A96">
      <w:pPr>
        <w:rPr>
          <w:rFonts w:ascii="Palatino Linotype" w:hAnsi="Palatino Linotype"/>
          <w:color w:val="000000" w:themeColor="text1"/>
        </w:rPr>
      </w:pPr>
    </w:p>
    <w:p w14:paraId="5146EAFD"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255189">
        <w:rPr>
          <w:rFonts w:ascii="Palatino Linotype" w:eastAsia="Times New Roman" w:hAnsi="Palatino Linotype" w:cs="Times New Roman"/>
          <w:color w:val="000000" w:themeColor="text1"/>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lang w:val="es-ES"/>
        </w:rPr>
        <w:t>que no puede clasificarse como información reservada</w:t>
      </w:r>
      <w:r>
        <w:rPr>
          <w:rFonts w:ascii="Palatino Linotype" w:eastAsia="Times New Roman" w:hAnsi="Palatino Linotype" w:cs="Times New Roman"/>
          <w:b/>
          <w:color w:val="000000" w:themeColor="text1"/>
          <w:lang w:val="es-ES"/>
        </w:rPr>
        <w:t>:</w:t>
      </w:r>
    </w:p>
    <w:p w14:paraId="28B1D3D6" w14:textId="77777777" w:rsidR="006D7A96" w:rsidRPr="00ED595C"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lastRenderedPageBreak/>
        <w:t>I. Se trate de violaciones graves de derechos humanos, calificada así por autoridad competente;</w:t>
      </w:r>
    </w:p>
    <w:p w14:paraId="4918901C" w14:textId="77777777" w:rsidR="006D7A96" w:rsidRPr="00ED595C"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4E5D5411" w14:textId="77777777" w:rsidR="006D7A96" w:rsidRPr="00ED595C"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D6EFE78" w14:textId="77777777" w:rsidR="006D7A96"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562529D1" w14:textId="77777777" w:rsidR="006D7A96" w:rsidRPr="00ED595C" w:rsidRDefault="006D7A96" w:rsidP="006D7A96">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6AC22A3D" w14:textId="77777777" w:rsidR="006D7A96" w:rsidRPr="00ED595C" w:rsidRDefault="006D7A96" w:rsidP="007F0819">
      <w:pPr>
        <w:numPr>
          <w:ilvl w:val="0"/>
          <w:numId w:val="2"/>
        </w:numPr>
        <w:spacing w:line="360" w:lineRule="auto"/>
        <w:ind w:left="0" w:firstLine="0"/>
        <w:contextualSpacing/>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35DB54E8" w14:textId="77777777" w:rsidR="006D7A96" w:rsidRPr="00255189" w:rsidRDefault="006D7A96" w:rsidP="006D7A96">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79" w:name="_Toc485631703"/>
      <w:bookmarkStart w:id="180" w:name="_Toc500756713"/>
      <w:bookmarkStart w:id="181" w:name="_Toc536691781"/>
      <w:bookmarkStart w:id="182" w:name="_Toc3467953"/>
      <w:bookmarkStart w:id="183" w:name="_Toc49863017"/>
      <w:r w:rsidRPr="00255189">
        <w:rPr>
          <w:rFonts w:ascii="Palatino Linotype" w:eastAsiaTheme="majorEastAsia" w:hAnsi="Palatino Linotype" w:cstheme="majorBidi"/>
          <w:b/>
          <w:color w:val="000000" w:themeColor="text1"/>
        </w:rPr>
        <w:t>II. La intervención del Comité de Transparencia.</w:t>
      </w:r>
      <w:bookmarkEnd w:id="179"/>
      <w:bookmarkEnd w:id="180"/>
      <w:bookmarkEnd w:id="181"/>
      <w:bookmarkEnd w:id="182"/>
      <w:bookmarkEnd w:id="183"/>
    </w:p>
    <w:p w14:paraId="3A550D97" w14:textId="77777777" w:rsidR="006D7A96" w:rsidRPr="00255189" w:rsidRDefault="006D7A96" w:rsidP="006D7A96">
      <w:pPr>
        <w:spacing w:line="360" w:lineRule="auto"/>
        <w:contextualSpacing/>
        <w:jc w:val="both"/>
        <w:rPr>
          <w:rFonts w:ascii="Palatino Linotype" w:hAnsi="Palatino Linotype" w:cs="Arial"/>
          <w:b/>
          <w:color w:val="000000" w:themeColor="text1"/>
        </w:rPr>
      </w:pPr>
    </w:p>
    <w:p w14:paraId="6BF7345E" w14:textId="77777777" w:rsidR="006D7A96" w:rsidRPr="00255189" w:rsidRDefault="006D7A96" w:rsidP="006D7A96">
      <w:pPr>
        <w:keepNext/>
        <w:keepLines/>
        <w:numPr>
          <w:ilvl w:val="0"/>
          <w:numId w:val="44"/>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4" w:name="_Toc485631704"/>
      <w:bookmarkStart w:id="185" w:name="_Toc500756714"/>
      <w:bookmarkStart w:id="186" w:name="_Toc536691782"/>
      <w:bookmarkStart w:id="187" w:name="_Toc3467954"/>
      <w:bookmarkStart w:id="188" w:name="_Toc49863018"/>
      <w:r w:rsidRPr="00255189">
        <w:rPr>
          <w:rFonts w:ascii="Palatino Linotype" w:eastAsiaTheme="majorEastAsia" w:hAnsi="Palatino Linotype" w:cstheme="majorBidi"/>
          <w:b/>
          <w:color w:val="000000" w:themeColor="text1"/>
        </w:rPr>
        <w:lastRenderedPageBreak/>
        <w:t>Formalidades para emitir el acuerdo de clasificación.</w:t>
      </w:r>
      <w:bookmarkEnd w:id="184"/>
      <w:bookmarkEnd w:id="185"/>
      <w:bookmarkEnd w:id="186"/>
      <w:bookmarkEnd w:id="187"/>
      <w:bookmarkEnd w:id="188"/>
    </w:p>
    <w:p w14:paraId="05A0E42D" w14:textId="77777777" w:rsidR="006D7A96" w:rsidRPr="00255189" w:rsidRDefault="006D7A96" w:rsidP="006D7A96">
      <w:pPr>
        <w:tabs>
          <w:tab w:val="left" w:pos="7770"/>
        </w:tabs>
        <w:spacing w:line="360" w:lineRule="auto"/>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ab/>
      </w:r>
    </w:p>
    <w:p w14:paraId="085E46BA"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olor w:val="000000" w:themeColor="text1"/>
          <w:lang w:eastAsia="es-ES_tradnl"/>
        </w:rPr>
      </w:pPr>
      <w:r w:rsidRPr="00255189">
        <w:rPr>
          <w:rFonts w:ascii="Palatino Linotype" w:hAnsi="Palatino Linotype" w:cs="Arial"/>
          <w:color w:val="000000" w:themeColor="text1"/>
        </w:rPr>
        <w:t xml:space="preserve">El </w:t>
      </w:r>
      <w:r w:rsidRPr="007F0819">
        <w:rPr>
          <w:rFonts w:ascii="Palatino Linotype" w:eastAsia="Times New Roman" w:hAnsi="Palatino Linotype" w:cs="Times New Roman"/>
          <w:color w:val="000000" w:themeColor="text1"/>
          <w:lang w:val="es-ES"/>
        </w:rPr>
        <w:t>Comité</w:t>
      </w:r>
      <w:r w:rsidRPr="00255189">
        <w:rPr>
          <w:rFonts w:ascii="Palatino Linotype" w:hAnsi="Palatino Linotype" w:cs="Arial"/>
          <w:color w:val="000000" w:themeColor="text1"/>
        </w:rPr>
        <w:t xml:space="preserve"> de Transparencia, según lo dispuesto en los artículos 128 y 103 de la Ley Estatal y de la Ley General, respectivamente, y </w:t>
      </w:r>
      <w:r w:rsidRPr="00255189">
        <w:rPr>
          <w:rFonts w:ascii="Palatino Linotype" w:hAnsi="Palatino Linotype"/>
          <w:color w:val="000000" w:themeColor="text1"/>
        </w:rPr>
        <w:t xml:space="preserve">la fracción III del numeral Segundo de los </w:t>
      </w:r>
      <w:r w:rsidRPr="0025518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255189">
        <w:rPr>
          <w:rFonts w:ascii="Palatino Linotype" w:hAnsi="Palatino Linotype"/>
          <w:color w:val="000000" w:themeColor="text1"/>
        </w:rPr>
        <w:t xml:space="preserve"> </w:t>
      </w:r>
      <w:r w:rsidRPr="00255189">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23CBFFC6"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64201D3A"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255189">
        <w:rPr>
          <w:rFonts w:ascii="Palatino Linotype" w:hAnsi="Palatino Linotype" w:cs="Arial"/>
          <w:color w:val="000000" w:themeColor="text1"/>
        </w:rPr>
        <w:lastRenderedPageBreak/>
        <w:t>composición del Comité puede generar vicios de legalidad de origen en el acto que restringe un derecho humano.</w:t>
      </w:r>
    </w:p>
    <w:p w14:paraId="3F0E3328" w14:textId="77777777" w:rsidR="006D7A96" w:rsidRPr="00255189" w:rsidRDefault="006D7A96" w:rsidP="006D7A96">
      <w:pPr>
        <w:spacing w:line="360" w:lineRule="auto"/>
        <w:jc w:val="both"/>
        <w:rPr>
          <w:rFonts w:ascii="Palatino Linotype" w:hAnsi="Palatino Linotype"/>
          <w:color w:val="000000" w:themeColor="text1"/>
        </w:rPr>
      </w:pPr>
    </w:p>
    <w:p w14:paraId="1ECD4D64"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7F0819">
        <w:rPr>
          <w:rFonts w:ascii="Palatino Linotype" w:hAnsi="Palatino Linotype" w:cs="Arial"/>
          <w:color w:val="000000" w:themeColor="text1"/>
        </w:rPr>
        <w:t>La</w:t>
      </w:r>
      <w:r w:rsidRPr="00255189">
        <w:rPr>
          <w:rFonts w:ascii="Palatino Linotype" w:hAnsi="Palatino Linotype"/>
          <w:color w:val="000000" w:themeColor="text1"/>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51EB039" w14:textId="77777777" w:rsidR="006D7A96" w:rsidRPr="00255189" w:rsidRDefault="006D7A96" w:rsidP="006D7A96">
      <w:pPr>
        <w:spacing w:line="360" w:lineRule="auto"/>
        <w:jc w:val="both"/>
        <w:rPr>
          <w:rFonts w:ascii="Palatino Linotype" w:hAnsi="Palatino Linotype"/>
          <w:color w:val="000000" w:themeColor="text1"/>
        </w:rPr>
      </w:pPr>
    </w:p>
    <w:p w14:paraId="455B4BB4" w14:textId="77777777" w:rsidR="006D7A96" w:rsidRPr="00255189" w:rsidRDefault="006D7A96" w:rsidP="006D7A96">
      <w:pPr>
        <w:keepNext/>
        <w:keepLines/>
        <w:numPr>
          <w:ilvl w:val="0"/>
          <w:numId w:val="44"/>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89" w:name="_Toc485631705"/>
      <w:bookmarkStart w:id="190" w:name="_Toc500756715"/>
      <w:bookmarkStart w:id="191" w:name="_Toc536691783"/>
      <w:bookmarkStart w:id="192" w:name="_Toc3467955"/>
      <w:bookmarkStart w:id="193" w:name="_Toc49863019"/>
      <w:r w:rsidRPr="00255189">
        <w:rPr>
          <w:rFonts w:ascii="Palatino Linotype" w:eastAsiaTheme="majorEastAsia" w:hAnsi="Palatino Linotype" w:cstheme="majorBidi"/>
          <w:b/>
          <w:color w:val="000000" w:themeColor="text1"/>
        </w:rPr>
        <w:t>Requisitos de fondo del acuerdo de clasificación.</w:t>
      </w:r>
      <w:bookmarkEnd w:id="189"/>
      <w:bookmarkEnd w:id="190"/>
      <w:bookmarkEnd w:id="191"/>
      <w:bookmarkEnd w:id="192"/>
      <w:bookmarkEnd w:id="193"/>
    </w:p>
    <w:p w14:paraId="5A741FCA"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33F47BB3" w14:textId="5097BF9E" w:rsidR="006D7A96"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w:t>
      </w:r>
      <w:r w:rsidR="00FC04DF">
        <w:rPr>
          <w:rFonts w:ascii="Palatino Linotype" w:hAnsi="Palatino Linotype" w:cs="Arial"/>
          <w:color w:val="000000" w:themeColor="text1"/>
        </w:rPr>
        <w:t>r debidamente la clasificación.</w:t>
      </w:r>
    </w:p>
    <w:p w14:paraId="689EFC38" w14:textId="77777777" w:rsidR="00FC04DF" w:rsidRPr="00255189" w:rsidRDefault="00FC04DF" w:rsidP="00FC04DF">
      <w:pPr>
        <w:spacing w:line="360" w:lineRule="auto"/>
        <w:contextualSpacing/>
        <w:jc w:val="both"/>
        <w:rPr>
          <w:rFonts w:ascii="Palatino Linotype" w:hAnsi="Palatino Linotype" w:cs="Arial"/>
          <w:color w:val="000000" w:themeColor="text1"/>
        </w:rPr>
      </w:pPr>
    </w:p>
    <w:p w14:paraId="68456373"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0533A7" w14:textId="77777777" w:rsidR="006D7A96" w:rsidRPr="00255189"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79B77B0"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7F0819">
        <w:rPr>
          <w:rFonts w:ascii="Palatino Linotype" w:hAnsi="Palatino Linotype"/>
          <w:color w:val="000000" w:themeColor="text1"/>
        </w:rPr>
        <w:t>Han</w:t>
      </w:r>
      <w:r w:rsidRPr="00255189">
        <w:rPr>
          <w:rFonts w:ascii="Palatino Linotype" w:eastAsia="Times New Roman" w:hAnsi="Palatino Linotype" w:cs="Arial"/>
          <w:color w:val="000000" w:themeColor="text1"/>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vertAlign w:val="superscript"/>
          <w:lang w:eastAsia="es-MX"/>
        </w:rPr>
        <w:footnoteReference w:id="11"/>
      </w:r>
    </w:p>
    <w:p w14:paraId="524B9BF7" w14:textId="77777777" w:rsidR="006D7A96" w:rsidRPr="00255189"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39AB2454"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eastAsia="Times New Roman" w:hAnsi="Palatino Linotype" w:cs="Arial"/>
          <w:color w:val="000000" w:themeColor="text1"/>
          <w:lang w:eastAsia="es-MX"/>
        </w:rPr>
        <w:lastRenderedPageBreak/>
        <w:t>Por su parte, el intérprete judicial del país ha establecido una jurisprudencia respecto a qué debe entenderse por fundamentación y motivación, en los siguientes términos:</w:t>
      </w:r>
    </w:p>
    <w:p w14:paraId="759D7CEF" w14:textId="77777777" w:rsidR="006D7A96" w:rsidRPr="00255189" w:rsidRDefault="006D7A96" w:rsidP="006D7A96">
      <w:pPr>
        <w:spacing w:line="360" w:lineRule="auto"/>
        <w:ind w:right="618"/>
        <w:contextualSpacing/>
        <w:jc w:val="both"/>
        <w:rPr>
          <w:rFonts w:ascii="Palatino Linotype" w:hAnsi="Palatino Linotype" w:cs="Arial"/>
          <w:color w:val="000000" w:themeColor="text1"/>
        </w:rPr>
      </w:pPr>
    </w:p>
    <w:p w14:paraId="35CED589"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b/>
          <w:i/>
          <w:color w:val="000000" w:themeColor="text1"/>
        </w:rPr>
        <w:t>FUNDAMENTACIÓN Y MOTIVACIÓN.</w:t>
      </w:r>
      <w:r w:rsidRPr="004650C6">
        <w:rPr>
          <w:rFonts w:ascii="Palatino Linotype" w:hAnsi="Palatino Linotype" w:cs="Arial"/>
          <w:i/>
          <w:color w:val="000000" w:themeColor="text1"/>
        </w:rPr>
        <w:t xml:space="preserve"> La </w:t>
      </w:r>
      <w:r w:rsidRPr="004650C6">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hAnsi="Palatino Linotype" w:cs="Arial"/>
          <w:i/>
          <w:color w:val="000000" w:themeColor="text1"/>
        </w:rPr>
        <w:t>.</w:t>
      </w:r>
    </w:p>
    <w:p w14:paraId="5AE2B439"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t>SEGUNDO TRIBUNAL COLEGIADO DEL SEXTO CIRCUITO.</w:t>
      </w:r>
    </w:p>
    <w:p w14:paraId="4628C52D"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5211A5A"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1FCC1B8"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58A06D35"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1D8A8165" w14:textId="77777777" w:rsidR="006D7A96" w:rsidRPr="004650C6" w:rsidRDefault="006D7A96" w:rsidP="006D7A96">
      <w:pPr>
        <w:spacing w:line="360" w:lineRule="auto"/>
        <w:ind w:left="567" w:right="618"/>
        <w:contextualSpacing/>
        <w:jc w:val="both"/>
        <w:rPr>
          <w:rFonts w:ascii="Palatino Linotype" w:hAnsi="Palatino Linotype" w:cs="Arial"/>
          <w:i/>
          <w:color w:val="000000" w:themeColor="text1"/>
        </w:rPr>
      </w:pPr>
      <w:r w:rsidRPr="004650C6">
        <w:rPr>
          <w:rFonts w:ascii="Palatino Linotype" w:hAnsi="Palatino Linotype" w:cs="Arial"/>
          <w:i/>
          <w:color w:val="000000" w:themeColor="text1"/>
        </w:rPr>
        <w:lastRenderedPageBreak/>
        <w:t xml:space="preserve">Amparo directo 7/96. Pedro Vicente López Miro. 21 de febrero de 1996. Unanimidad de votos. Ponente: María Eugenia Estela Martínez Cardiel. Secretario: Enrique </w:t>
      </w:r>
      <w:proofErr w:type="spellStart"/>
      <w:r w:rsidRPr="004650C6">
        <w:rPr>
          <w:rFonts w:ascii="Palatino Linotype" w:hAnsi="Palatino Linotype" w:cs="Arial"/>
          <w:i/>
          <w:color w:val="000000" w:themeColor="text1"/>
        </w:rPr>
        <w:t>Baigts</w:t>
      </w:r>
      <w:proofErr w:type="spellEnd"/>
      <w:r w:rsidRPr="004650C6">
        <w:rPr>
          <w:rFonts w:ascii="Palatino Linotype" w:hAnsi="Palatino Linotype" w:cs="Arial"/>
          <w:i/>
          <w:color w:val="000000" w:themeColor="text1"/>
        </w:rPr>
        <w:t xml:space="preserve"> Muñoz.</w:t>
      </w:r>
      <w:r w:rsidRPr="004650C6">
        <w:rPr>
          <w:rFonts w:ascii="Palatino Linotype" w:hAnsi="Palatino Linotype" w:cs="Arial"/>
          <w:i/>
          <w:color w:val="000000" w:themeColor="text1"/>
          <w:vertAlign w:val="superscript"/>
        </w:rPr>
        <w:footnoteReference w:id="12"/>
      </w:r>
    </w:p>
    <w:p w14:paraId="6592C2D3" w14:textId="77777777" w:rsidR="006D7A96" w:rsidRPr="00255189" w:rsidRDefault="006D7A96" w:rsidP="006D7A96">
      <w:pPr>
        <w:spacing w:line="360" w:lineRule="auto"/>
        <w:ind w:left="567"/>
        <w:contextualSpacing/>
        <w:jc w:val="both"/>
        <w:rPr>
          <w:rFonts w:ascii="Palatino Linotype" w:hAnsi="Palatino Linotype" w:cs="Arial"/>
          <w:color w:val="000000" w:themeColor="text1"/>
          <w:lang w:val="es-ES"/>
        </w:rPr>
      </w:pPr>
    </w:p>
    <w:p w14:paraId="4A490F43"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DB6BC8" w14:textId="77777777" w:rsidR="006D7A96" w:rsidRPr="00255189"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4FC2CDD1"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eastAsia="Times New Roman"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F5EB5FF" w14:textId="77777777" w:rsidR="006D7A96" w:rsidRPr="00255189" w:rsidRDefault="006D7A96" w:rsidP="006D7A96">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6F78E721"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0C47C19F" w14:textId="77777777" w:rsidR="006D7A96" w:rsidRPr="00255189" w:rsidRDefault="006D7A96" w:rsidP="006D7A96">
      <w:pPr>
        <w:shd w:val="clear" w:color="auto" w:fill="FFFFFF"/>
        <w:spacing w:after="200" w:line="360" w:lineRule="auto"/>
        <w:contextualSpacing/>
        <w:jc w:val="both"/>
        <w:rPr>
          <w:rFonts w:ascii="Palatino Linotype" w:eastAsia="Times New Roman" w:hAnsi="Palatino Linotype" w:cs="Arial"/>
          <w:color w:val="000000" w:themeColor="text1"/>
          <w:lang w:eastAsia="es-MX"/>
        </w:rPr>
      </w:pPr>
    </w:p>
    <w:p w14:paraId="37DBA224"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eastAsia="Times New Roman" w:hAnsi="Palatino Linotype" w:cs="Arial"/>
          <w:color w:val="000000" w:themeColor="text1"/>
          <w:lang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hAnsi="Palatino Linotype"/>
          <w:color w:val="000000" w:themeColor="text1"/>
        </w:rPr>
        <w:t xml:space="preserve"> </w:t>
      </w:r>
      <w:r w:rsidRPr="00255189">
        <w:rPr>
          <w:rFonts w:ascii="Palatino Linotype" w:eastAsia="Times New Roman" w:hAnsi="Palatino Linotype" w:cs="Arial"/>
          <w:color w:val="000000" w:themeColor="text1"/>
          <w:lang w:eastAsia="es-MX"/>
        </w:rPr>
        <w:t>datos personales</w:t>
      </w:r>
      <w:r w:rsidRPr="00255189">
        <w:rPr>
          <w:rFonts w:ascii="Palatino Linotype" w:eastAsia="Times New Roman" w:hAnsi="Palatino Linotype" w:cs="Arial"/>
          <w:color w:val="000000" w:themeColor="text1"/>
          <w:vertAlign w:val="superscript"/>
          <w:lang w:eastAsia="es-MX"/>
        </w:rPr>
        <w:footnoteReference w:id="13"/>
      </w:r>
      <w:r w:rsidRPr="00255189">
        <w:rPr>
          <w:rFonts w:ascii="Palatino Linotype" w:eastAsia="Times New Roman" w:hAnsi="Palatino Linotype" w:cs="Arial"/>
          <w:color w:val="000000" w:themeColor="text1"/>
          <w:lang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FE80D73" w14:textId="77777777" w:rsidR="006D7A96" w:rsidRPr="00255189" w:rsidRDefault="006D7A96" w:rsidP="006D7A96">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0458F4D5" w14:textId="77777777" w:rsidR="006D7A96" w:rsidRDefault="006D7A96" w:rsidP="007F0819">
      <w:pPr>
        <w:numPr>
          <w:ilvl w:val="0"/>
          <w:numId w:val="2"/>
        </w:numPr>
        <w:spacing w:line="360" w:lineRule="auto"/>
        <w:ind w:left="0" w:firstLine="0"/>
        <w:contextualSpacing/>
        <w:jc w:val="both"/>
        <w:rPr>
          <w:rFonts w:ascii="Palatino Linotype" w:eastAsia="Calibri" w:hAnsi="Palatino Linotype" w:cs="Arial"/>
          <w:color w:val="000000" w:themeColor="text1"/>
          <w:lang w:val="es-ES" w:eastAsia="es-MX"/>
        </w:rPr>
      </w:pPr>
      <w:r w:rsidRPr="007F0819">
        <w:rPr>
          <w:rFonts w:ascii="Palatino Linotype" w:eastAsia="Times New Roman" w:hAnsi="Palatino Linotype" w:cs="Arial"/>
          <w:color w:val="000000" w:themeColor="text1"/>
          <w:lang w:eastAsia="es-MX"/>
        </w:rPr>
        <w:t>Otro</w:t>
      </w:r>
      <w:r w:rsidRPr="00255189">
        <w:rPr>
          <w:rFonts w:ascii="Palatino Linotype" w:eastAsia="Calibri" w:hAnsi="Palatino Linotype" w:cs="Arial"/>
          <w:color w:val="000000" w:themeColor="text1"/>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w:t>
      </w:r>
      <w:r w:rsidRPr="00255189">
        <w:rPr>
          <w:rFonts w:ascii="Palatino Linotype" w:eastAsia="Calibri" w:hAnsi="Palatino Linotype" w:cs="Arial"/>
          <w:color w:val="000000" w:themeColor="text1"/>
          <w:lang w:val="es-ES" w:eastAsia="es-MX"/>
        </w:rPr>
        <w:lastRenderedPageBreak/>
        <w:t>cuando no involucren el ejercicio de recursos públicos, así lo define la fracción XXI del artículo 3 de la Ley Estatal.</w:t>
      </w:r>
    </w:p>
    <w:p w14:paraId="240FC588" w14:textId="77777777" w:rsidR="00FC04DF" w:rsidRDefault="00FC04DF" w:rsidP="00FC04DF">
      <w:pPr>
        <w:pStyle w:val="Prrafodelista"/>
        <w:rPr>
          <w:rFonts w:ascii="Palatino Linotype" w:eastAsia="Calibri" w:hAnsi="Palatino Linotype" w:cs="Arial"/>
          <w:color w:val="000000" w:themeColor="text1"/>
          <w:lang w:val="es-ES" w:eastAsia="es-MX"/>
        </w:rPr>
      </w:pPr>
    </w:p>
    <w:p w14:paraId="3E45410A" w14:textId="77777777" w:rsidR="006D7A96" w:rsidRPr="00255189" w:rsidRDefault="006D7A96" w:rsidP="006D7A96">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94" w:name="_Toc485631706"/>
      <w:bookmarkStart w:id="195" w:name="_Toc500756716"/>
      <w:bookmarkStart w:id="196" w:name="_Toc536691784"/>
      <w:bookmarkStart w:id="197" w:name="_Toc3467956"/>
      <w:bookmarkStart w:id="198" w:name="_Toc49863020"/>
      <w:r w:rsidRPr="00255189">
        <w:rPr>
          <w:rFonts w:ascii="Palatino Linotype" w:eastAsiaTheme="majorEastAsia" w:hAnsi="Palatino Linotype" w:cstheme="majorBidi"/>
          <w:b/>
          <w:color w:val="000000" w:themeColor="text1"/>
        </w:rPr>
        <w:t>III. Condiciones especiales de la clasificación de la información como reservada</w:t>
      </w:r>
      <w:bookmarkEnd w:id="194"/>
      <w:bookmarkEnd w:id="195"/>
      <w:bookmarkEnd w:id="196"/>
      <w:bookmarkEnd w:id="197"/>
      <w:bookmarkEnd w:id="198"/>
      <w:r w:rsidRPr="00255189">
        <w:rPr>
          <w:rFonts w:ascii="Palatino Linotype" w:eastAsiaTheme="majorEastAsia" w:hAnsi="Palatino Linotype" w:cstheme="majorBidi"/>
          <w:b/>
          <w:color w:val="000000" w:themeColor="text1"/>
        </w:rPr>
        <w:t xml:space="preserve"> </w:t>
      </w:r>
    </w:p>
    <w:p w14:paraId="01DCE5FE" w14:textId="77777777" w:rsidR="006D7A96" w:rsidRPr="00255189" w:rsidRDefault="006D7A96" w:rsidP="006D7A96">
      <w:pPr>
        <w:spacing w:line="360" w:lineRule="auto"/>
        <w:contextualSpacing/>
        <w:jc w:val="both"/>
        <w:rPr>
          <w:rFonts w:ascii="Palatino Linotype" w:hAnsi="Palatino Linotype" w:cs="Arial"/>
          <w:b/>
          <w:color w:val="000000" w:themeColor="text1"/>
        </w:rPr>
      </w:pPr>
    </w:p>
    <w:p w14:paraId="126FEE15" w14:textId="77777777" w:rsidR="006D7A96" w:rsidRPr="00255189" w:rsidRDefault="006D7A96" w:rsidP="006D7A96">
      <w:pPr>
        <w:keepNext/>
        <w:keepLines/>
        <w:numPr>
          <w:ilvl w:val="0"/>
          <w:numId w:val="39"/>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199" w:name="_Toc485631707"/>
      <w:bookmarkStart w:id="200" w:name="_Toc500756717"/>
      <w:bookmarkStart w:id="201" w:name="_Toc536691785"/>
      <w:bookmarkStart w:id="202" w:name="_Toc3467957"/>
      <w:bookmarkStart w:id="203" w:name="_Toc49863021"/>
      <w:r w:rsidRPr="00255189">
        <w:rPr>
          <w:rFonts w:ascii="Palatino Linotype" w:eastAsiaTheme="majorEastAsia" w:hAnsi="Palatino Linotype" w:cstheme="majorBidi"/>
          <w:b/>
          <w:color w:val="000000" w:themeColor="text1"/>
        </w:rPr>
        <w:t>La fundamentación específica.</w:t>
      </w:r>
      <w:bookmarkEnd w:id="199"/>
      <w:bookmarkEnd w:id="200"/>
      <w:bookmarkEnd w:id="201"/>
      <w:bookmarkEnd w:id="202"/>
      <w:bookmarkEnd w:id="203"/>
    </w:p>
    <w:p w14:paraId="6B0D66EF" w14:textId="77777777" w:rsidR="006D7A96" w:rsidRPr="00255189" w:rsidRDefault="006D7A96" w:rsidP="006D7A96">
      <w:pPr>
        <w:spacing w:line="360" w:lineRule="auto"/>
        <w:contextualSpacing/>
        <w:jc w:val="both"/>
        <w:rPr>
          <w:rFonts w:ascii="Palatino Linotype" w:hAnsi="Palatino Linotype" w:cs="Arial"/>
          <w:color w:val="000000" w:themeColor="text1"/>
        </w:rPr>
      </w:pPr>
    </w:p>
    <w:p w14:paraId="7C32BE5B"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s="Arial"/>
          <w:color w:val="000000" w:themeColor="text1"/>
        </w:rPr>
      </w:pPr>
      <w:r w:rsidRPr="00255189">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255189">
        <w:rPr>
          <w:rFonts w:ascii="Palatino Linotype" w:hAnsi="Palatino Linotype" w:cs="Arial"/>
          <w:color w:val="000000" w:themeColor="text1"/>
        </w:rPr>
        <w:t>autoreferencial</w:t>
      </w:r>
      <w:proofErr w:type="spellEnd"/>
      <w:r w:rsidRPr="00255189">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41BD99AD" w14:textId="77777777" w:rsidR="006D7A96" w:rsidRPr="00255189" w:rsidRDefault="006D7A96" w:rsidP="006D7A96">
      <w:pPr>
        <w:spacing w:line="360" w:lineRule="auto"/>
        <w:contextualSpacing/>
        <w:jc w:val="both"/>
        <w:rPr>
          <w:rFonts w:ascii="Palatino Linotype" w:hAnsi="Palatino Linotype" w:cs="Arial"/>
          <w:b/>
          <w:color w:val="000000" w:themeColor="text1"/>
        </w:rPr>
      </w:pPr>
    </w:p>
    <w:p w14:paraId="21BD5BFD" w14:textId="77777777" w:rsidR="006D7A96" w:rsidRPr="00255189" w:rsidRDefault="006D7A96" w:rsidP="006D7A96">
      <w:pPr>
        <w:keepNext/>
        <w:keepLines/>
        <w:numPr>
          <w:ilvl w:val="0"/>
          <w:numId w:val="39"/>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rPr>
      </w:pPr>
      <w:bookmarkStart w:id="204" w:name="_Toc485631708"/>
      <w:bookmarkStart w:id="205" w:name="_Toc500756718"/>
      <w:bookmarkStart w:id="206" w:name="_Toc536691786"/>
      <w:bookmarkStart w:id="207" w:name="_Toc3467958"/>
      <w:bookmarkStart w:id="208" w:name="_Toc49863022"/>
      <w:r w:rsidRPr="00255189">
        <w:rPr>
          <w:rFonts w:ascii="Palatino Linotype" w:eastAsiaTheme="majorEastAsia" w:hAnsi="Palatino Linotype" w:cstheme="majorBidi"/>
          <w:b/>
          <w:color w:val="000000" w:themeColor="text1"/>
        </w:rPr>
        <w:t>La prueba de daño.</w:t>
      </w:r>
      <w:bookmarkEnd w:id="204"/>
      <w:bookmarkEnd w:id="205"/>
      <w:bookmarkEnd w:id="206"/>
      <w:bookmarkEnd w:id="207"/>
      <w:bookmarkEnd w:id="208"/>
    </w:p>
    <w:p w14:paraId="787EC017" w14:textId="77777777" w:rsidR="006D7A96" w:rsidRPr="00255189" w:rsidRDefault="006D7A96" w:rsidP="006D7A96">
      <w:pPr>
        <w:spacing w:line="360" w:lineRule="auto"/>
        <w:contextualSpacing/>
        <w:jc w:val="both"/>
        <w:rPr>
          <w:rFonts w:ascii="Palatino Linotype" w:hAnsi="Palatino Linotype"/>
          <w:color w:val="000000" w:themeColor="text1"/>
        </w:rPr>
      </w:pPr>
    </w:p>
    <w:p w14:paraId="319C21A0"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7F0819">
        <w:rPr>
          <w:rFonts w:ascii="Palatino Linotype" w:hAnsi="Palatino Linotype" w:cs="Arial"/>
          <w:color w:val="000000" w:themeColor="text1"/>
        </w:rPr>
        <w:t>Las</w:t>
      </w:r>
      <w:r w:rsidRPr="00255189">
        <w:rPr>
          <w:rFonts w:ascii="Palatino Linotype" w:hAnsi="Palatino Linotype"/>
          <w:color w:val="000000" w:themeColor="text1"/>
        </w:rPr>
        <w:t xml:space="preserve"> mismas disposiciones referidas en el párrafo anterior precisan que, además de señalar las razones, motivos o circunstancias, se deberá aplicar la prueba </w:t>
      </w:r>
      <w:r w:rsidRPr="00255189">
        <w:rPr>
          <w:rFonts w:ascii="Palatino Linotype" w:hAnsi="Palatino Linotype"/>
          <w:color w:val="000000" w:themeColor="text1"/>
        </w:rPr>
        <w:lastRenderedPageBreak/>
        <w:t>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DC2C6EC" w14:textId="77777777" w:rsidR="006D7A96" w:rsidRPr="00255189" w:rsidRDefault="006D7A96" w:rsidP="006D7A96">
      <w:pPr>
        <w:spacing w:line="360" w:lineRule="auto"/>
        <w:contextualSpacing/>
        <w:jc w:val="both"/>
        <w:rPr>
          <w:rFonts w:ascii="Palatino Linotype" w:hAnsi="Palatino Linotype"/>
          <w:color w:val="000000" w:themeColor="text1"/>
        </w:rPr>
      </w:pPr>
    </w:p>
    <w:p w14:paraId="445636BB"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Para aplicar la prueba de daño, se deberán de precisar la razones objetivas por las que la apertura genera una afectación, acreditando que:</w:t>
      </w:r>
    </w:p>
    <w:p w14:paraId="3A7E8C76" w14:textId="77777777" w:rsidR="006D7A96" w:rsidRPr="00255189" w:rsidRDefault="006D7A96" w:rsidP="006D7A96">
      <w:pPr>
        <w:spacing w:line="360" w:lineRule="auto"/>
        <w:contextualSpacing/>
        <w:jc w:val="both"/>
        <w:rPr>
          <w:rFonts w:ascii="Palatino Linotype" w:hAnsi="Palatino Linotype"/>
          <w:color w:val="000000" w:themeColor="text1"/>
        </w:rPr>
      </w:pPr>
    </w:p>
    <w:p w14:paraId="23DF4D41"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255189">
        <w:rPr>
          <w:rFonts w:ascii="Palatino Linotype" w:hAnsi="Palatino Linotype" w:cs="Bookman Old Style"/>
          <w:bCs/>
          <w:i/>
          <w:color w:val="000000" w:themeColor="text1"/>
        </w:rPr>
        <w:t xml:space="preserve">I. </w:t>
      </w:r>
      <w:r w:rsidRPr="00255189">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48A38DE8"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255189">
        <w:rPr>
          <w:rFonts w:ascii="Palatino Linotype" w:hAnsi="Palatino Linotype" w:cs="Bookman Old Style"/>
          <w:bCs/>
          <w:i/>
          <w:color w:val="000000" w:themeColor="text1"/>
        </w:rPr>
        <w:t xml:space="preserve">II. </w:t>
      </w:r>
      <w:r w:rsidRPr="00255189">
        <w:rPr>
          <w:rFonts w:ascii="Palatino Linotype" w:hAnsi="Palatino Linotype" w:cs="Bookman Old Style"/>
          <w:i/>
          <w:color w:val="000000" w:themeColor="text1"/>
        </w:rPr>
        <w:t xml:space="preserve">El riesgo de perjuicio que supondría la divulgación supera el interés público general de que se difunda; y </w:t>
      </w:r>
    </w:p>
    <w:p w14:paraId="4587C836" w14:textId="77777777" w:rsidR="006D7A96" w:rsidRPr="00255189" w:rsidRDefault="006D7A96" w:rsidP="006D7A96">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255189">
        <w:rPr>
          <w:rFonts w:ascii="Palatino Linotype" w:hAnsi="Palatino Linotype" w:cs="Bookman Old Style"/>
          <w:bCs/>
          <w:i/>
          <w:color w:val="000000" w:themeColor="text1"/>
        </w:rPr>
        <w:t xml:space="preserve">III. </w:t>
      </w:r>
      <w:r w:rsidRPr="00255189">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05188BAC" w14:textId="77777777" w:rsidR="006D7A96" w:rsidRPr="007F0819"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7F0819">
        <w:rPr>
          <w:rFonts w:ascii="Palatino Linotype" w:hAnsi="Palatino Linotype"/>
          <w:color w:val="000000" w:themeColor="text1"/>
        </w:rPr>
        <w:lastRenderedPageBreak/>
        <w:t>Sobre</w:t>
      </w:r>
      <w:r w:rsidRPr="00255189">
        <w:rPr>
          <w:rFonts w:ascii="Palatino Linotype" w:hAnsi="Palatino Linotype" w:cs="Times New Roman"/>
          <w:color w:val="000000" w:themeColor="text1"/>
          <w:lang w:eastAsia="es-ES_tradnl"/>
        </w:rPr>
        <w:t xml:space="preserv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vertAlign w:val="superscript"/>
          <w:lang w:eastAsia="es-ES_tradnl"/>
        </w:rPr>
        <w:footnoteReference w:id="14"/>
      </w:r>
      <w:r w:rsidRPr="00255189">
        <w:rPr>
          <w:rFonts w:ascii="Palatino Linotype" w:hAnsi="Palatino Linotype" w:cs="Times New Roman"/>
          <w:color w:val="000000" w:themeColor="text1"/>
          <w:lang w:eastAsia="es-ES_tradnl"/>
        </w:rPr>
        <w:t xml:space="preserve"> mientras que el daño es considerado como un “perjuicio o lesión”</w:t>
      </w:r>
      <w:r w:rsidRPr="00255189">
        <w:rPr>
          <w:rFonts w:ascii="Palatino Linotype" w:hAnsi="Palatino Linotype" w:cs="Times New Roman"/>
          <w:color w:val="000000" w:themeColor="text1"/>
          <w:vertAlign w:val="superscript"/>
          <w:lang w:eastAsia="es-ES_tradnl"/>
        </w:rPr>
        <w:footnoteReference w:id="15"/>
      </w:r>
      <w:r w:rsidRPr="00255189">
        <w:rPr>
          <w:rFonts w:ascii="Palatino Linotype" w:hAnsi="Palatino Linotype" w:cs="Times New Roman"/>
          <w:color w:val="000000" w:themeColor="text1"/>
          <w:lang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hd w:val="clear" w:color="auto" w:fill="FFFFFF"/>
          <w:lang w:eastAsia="es-ES_tradnl"/>
        </w:rPr>
        <w:t xml:space="preserve"> lo “</w:t>
      </w:r>
      <w:r w:rsidRPr="00255189">
        <w:rPr>
          <w:rFonts w:ascii="Palatino Linotype" w:eastAsia="Times New Roman" w:hAnsi="Palatino Linotype" w:cs="Times New Roman"/>
          <w:color w:val="000000" w:themeColor="text1"/>
          <w:lang w:eastAsia="es-ES_tradnl"/>
        </w:rPr>
        <w:t>(que</w:t>
      </w:r>
      <w:r w:rsidRPr="00255189">
        <w:rPr>
          <w:rFonts w:ascii="Palatino Linotype" w:eastAsia="Arial Unicode MS" w:hAnsi="Palatino Linotype" w:cs="Arial Unicode MS"/>
          <w:color w:val="000000" w:themeColor="text1"/>
          <w:spacing w:val="4"/>
          <w:shd w:val="clear" w:color="auto" w:fill="FFFFFF"/>
          <w:lang w:eastAsia="es-ES_tradnl"/>
        </w:rPr>
        <w:t xml:space="preserve"> </w:t>
      </w:r>
      <w:r w:rsidRPr="00255189">
        <w:rPr>
          <w:rFonts w:ascii="Palatino Linotype" w:eastAsia="Times New Roman" w:hAnsi="Palatino Linotype" w:cs="Times New Roman"/>
          <w:color w:val="000000" w:themeColor="text1"/>
          <w:lang w:eastAsia="es-ES_tradnl"/>
        </w:rPr>
        <w:t>tiene</w:t>
      </w:r>
      <w:r w:rsidRPr="00255189">
        <w:rPr>
          <w:rFonts w:ascii="Palatino Linotype" w:eastAsia="Arial Unicode MS" w:hAnsi="Palatino Linotype" w:cs="Arial Unicode MS"/>
          <w:color w:val="000000" w:themeColor="text1"/>
          <w:spacing w:val="4"/>
          <w:shd w:val="clear" w:color="auto" w:fill="FFFFFF"/>
          <w:lang w:eastAsia="es-ES_tradnl"/>
        </w:rPr>
        <w:t xml:space="preserve"> </w:t>
      </w:r>
      <w:r w:rsidRPr="00255189">
        <w:rPr>
          <w:rFonts w:ascii="Palatino Linotype" w:eastAsia="Times New Roman" w:hAnsi="Palatino Linotype" w:cs="Times New Roman"/>
          <w:color w:val="000000" w:themeColor="text1"/>
          <w:lang w:eastAsia="es-ES_tradnl"/>
        </w:rPr>
        <w:t>existencia</w:t>
      </w:r>
      <w:r w:rsidRPr="00255189">
        <w:rPr>
          <w:rFonts w:ascii="Palatino Linotype" w:eastAsia="Arial Unicode MS" w:hAnsi="Palatino Linotype" w:cs="Arial Unicode MS"/>
          <w:color w:val="000000" w:themeColor="text1"/>
          <w:spacing w:val="4"/>
          <w:shd w:val="clear" w:color="auto" w:fill="FFFFFF"/>
          <w:lang w:eastAsia="es-ES_tradnl"/>
        </w:rPr>
        <w:t xml:space="preserve"> </w:t>
      </w:r>
      <w:r w:rsidRPr="00255189">
        <w:rPr>
          <w:rFonts w:ascii="Palatino Linotype" w:eastAsia="Times New Roman" w:hAnsi="Palatino Linotype" w:cs="Times New Roman"/>
          <w:color w:val="000000" w:themeColor="text1"/>
          <w:lang w:eastAsia="es-ES_tradnl"/>
        </w:rPr>
        <w:t>objetiva”,</w:t>
      </w:r>
      <w:r w:rsidRPr="00255189">
        <w:rPr>
          <w:rFonts w:ascii="Palatino Linotype" w:eastAsia="Times New Roman" w:hAnsi="Palatino Linotype" w:cs="Times New Roman"/>
          <w:color w:val="000000" w:themeColor="text1"/>
          <w:vertAlign w:val="superscript"/>
          <w:lang w:eastAsia="es-ES_tradnl"/>
        </w:rPr>
        <w:footnoteReference w:id="16"/>
      </w:r>
      <w:r w:rsidRPr="00255189">
        <w:rPr>
          <w:rFonts w:ascii="Palatino Linotype" w:eastAsia="Times New Roman" w:hAnsi="Palatino Linotype" w:cs="Times New Roman"/>
          <w:color w:val="000000" w:themeColor="text1"/>
          <w:lang w:eastAsia="es-ES_tradnl"/>
        </w:rPr>
        <w:t xml:space="preserve"> </w:t>
      </w:r>
      <w:r w:rsidRPr="00255189">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hd w:val="clear" w:color="auto" w:fill="FFFFFF"/>
          <w:vertAlign w:val="superscript"/>
          <w:lang w:eastAsia="es-ES_tradnl"/>
        </w:rPr>
        <w:footnoteReference w:id="17"/>
      </w:r>
      <w:r w:rsidRPr="00255189">
        <w:rPr>
          <w:rFonts w:ascii="Palatino Linotype" w:eastAsia="Arial Unicode MS" w:hAnsi="Palatino Linotype" w:cs="Arial Unicode MS"/>
          <w:color w:val="000000" w:themeColor="text1"/>
          <w:spacing w:val="4"/>
          <w:shd w:val="clear" w:color="auto" w:fill="FFFFFF"/>
          <w:lang w:eastAsia="es-ES_tradnl"/>
        </w:rPr>
        <w:t xml:space="preserve"> es decir, </w:t>
      </w:r>
      <w:r w:rsidRPr="00255189">
        <w:rPr>
          <w:rFonts w:ascii="Palatino Linotype" w:hAnsi="Palatino Linotype"/>
          <w:color w:val="000000" w:themeColor="text1"/>
        </w:rPr>
        <w:t xml:space="preserve">“(manifestar, declarar. Probar, sirviéndose de cualquier género de demostración, </w:t>
      </w:r>
      <w:hyperlink r:id="rId9" w:anchor="6nAyKjE" w:history="1">
        <w:r w:rsidRPr="00255189">
          <w:rPr>
            <w:rFonts w:ascii="Palatino Linotype" w:hAnsi="Palatino Linotype"/>
            <w:color w:val="000000" w:themeColor="text1"/>
          </w:rPr>
          <w:t>enseñar</w:t>
        </w:r>
      </w:hyperlink>
      <w:r w:rsidRPr="00255189">
        <w:rPr>
          <w:rFonts w:ascii="Palatino Linotype" w:hAnsi="Palatino Linotype"/>
          <w:color w:val="000000" w:themeColor="text1"/>
        </w:rPr>
        <w:t xml:space="preserve"> mostrar o exponer algo)”.</w:t>
      </w:r>
      <w:r w:rsidRPr="00255189">
        <w:rPr>
          <w:rFonts w:ascii="Palatino Linotype" w:hAnsi="Palatino Linotype"/>
          <w:color w:val="000000" w:themeColor="text1"/>
          <w:vertAlign w:val="superscript"/>
        </w:rPr>
        <w:footnoteReference w:id="18"/>
      </w:r>
      <w:r w:rsidRPr="00255189">
        <w:rPr>
          <w:rFonts w:ascii="Palatino Linotype" w:hAnsi="Palatino Linotype"/>
          <w:color w:val="000000" w:themeColor="text1"/>
        </w:rPr>
        <w:t xml:space="preserve"> Mientras que lo identificable es lo que puede ser identificado,</w:t>
      </w:r>
      <w:r w:rsidRPr="00255189">
        <w:rPr>
          <w:rFonts w:ascii="Palatino Linotype" w:hAnsi="Palatino Linotype"/>
          <w:color w:val="000000" w:themeColor="text1"/>
          <w:vertAlign w:val="superscript"/>
        </w:rPr>
        <w:footnoteReference w:id="19"/>
      </w:r>
      <w:r w:rsidRPr="00255189">
        <w:rPr>
          <w:rFonts w:ascii="Palatino Linotype" w:hAnsi="Palatino Linotype"/>
          <w:color w:val="000000" w:themeColor="text1"/>
        </w:rPr>
        <w:t xml:space="preserve"> esto es,</w:t>
      </w:r>
      <w:r w:rsidRPr="00255189">
        <w:rPr>
          <w:rFonts w:ascii="Palatino Linotype" w:hAnsi="Palatino Linotype"/>
          <w:color w:val="000000" w:themeColor="text1"/>
          <w:lang w:eastAsia="es-ES_tradnl"/>
        </w:rPr>
        <w:t xml:space="preserve"> “(dar los datos necesarios para ser reconocido”.</w:t>
      </w:r>
      <w:r w:rsidRPr="00255189">
        <w:rPr>
          <w:rFonts w:ascii="Palatino Linotype" w:hAnsi="Palatino Linotype"/>
          <w:color w:val="000000" w:themeColor="text1"/>
          <w:vertAlign w:val="superscript"/>
          <w:lang w:eastAsia="es-ES_tradnl"/>
        </w:rPr>
        <w:footnoteReference w:id="20"/>
      </w:r>
    </w:p>
    <w:p w14:paraId="4EFCF49E" w14:textId="77777777" w:rsidR="007F0819" w:rsidRPr="004650C6" w:rsidRDefault="007F0819" w:rsidP="007F0819">
      <w:pPr>
        <w:spacing w:line="360" w:lineRule="auto"/>
        <w:contextualSpacing/>
        <w:jc w:val="both"/>
        <w:rPr>
          <w:rFonts w:ascii="Palatino Linotype" w:hAnsi="Palatino Linotype" w:cs="Times New Roman"/>
          <w:color w:val="000000" w:themeColor="text1"/>
          <w:lang w:eastAsia="es-ES_tradnl"/>
        </w:rPr>
      </w:pPr>
    </w:p>
    <w:p w14:paraId="19B306F9"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041F4EDC" w14:textId="77777777" w:rsidR="006D7A96" w:rsidRPr="00255189" w:rsidRDefault="006D7A96" w:rsidP="006D7A96">
      <w:pPr>
        <w:spacing w:line="360" w:lineRule="auto"/>
        <w:contextualSpacing/>
        <w:jc w:val="both"/>
        <w:rPr>
          <w:rFonts w:ascii="Palatino Linotype" w:hAnsi="Palatino Linotype"/>
          <w:color w:val="000000" w:themeColor="text1"/>
        </w:rPr>
      </w:pPr>
    </w:p>
    <w:p w14:paraId="4020FD94"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Identificado ese riesgo, se debe demostrar que el mismo supera el interés público general porque se difunda dicha información. </w:t>
      </w:r>
    </w:p>
    <w:p w14:paraId="4CACDE52" w14:textId="77777777" w:rsidR="006D7A96" w:rsidRPr="00255189" w:rsidRDefault="006D7A96" w:rsidP="006D7A96">
      <w:pPr>
        <w:spacing w:line="360" w:lineRule="auto"/>
        <w:contextualSpacing/>
        <w:jc w:val="both"/>
        <w:rPr>
          <w:rFonts w:ascii="Palatino Linotype" w:hAnsi="Palatino Linotype"/>
          <w:color w:val="000000" w:themeColor="text1"/>
        </w:rPr>
      </w:pPr>
    </w:p>
    <w:p w14:paraId="1ED9DB8A"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255189">
        <w:rPr>
          <w:rFonts w:ascii="Palatino Linotype" w:hAnsi="Palatino Linotype"/>
          <w:color w:val="000000" w:themeColor="text1"/>
          <w:vertAlign w:val="superscript"/>
        </w:rPr>
        <w:footnoteReference w:id="21"/>
      </w:r>
      <w:r w:rsidRPr="00255189">
        <w:rPr>
          <w:rFonts w:ascii="Palatino Linotype" w:hAnsi="Palatino Linotype"/>
          <w:color w:val="000000" w:themeColor="text1"/>
        </w:rPr>
        <w:t>, siguiendo el principio de ponderación propuesto por el Tribunal Constitucional Alemán,</w:t>
      </w:r>
      <w:r w:rsidRPr="00255189">
        <w:rPr>
          <w:rFonts w:ascii="Palatino Linotype" w:hAnsi="Palatino Linotype"/>
          <w:color w:val="000000" w:themeColor="text1"/>
          <w:vertAlign w:val="superscript"/>
        </w:rPr>
        <w:footnoteReference w:id="22"/>
      </w:r>
      <w:r w:rsidRPr="00255189">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w:t>
      </w:r>
      <w:r w:rsidRPr="00255189">
        <w:rPr>
          <w:rFonts w:ascii="Palatino Linotype" w:hAnsi="Palatino Linotype"/>
          <w:color w:val="000000" w:themeColor="text1"/>
        </w:rPr>
        <w:lastRenderedPageBreak/>
        <w:t>esto es, que el derecho que prevalezca sea en la dimensión estrictamente proporcional al derecho que retrocede.</w:t>
      </w:r>
    </w:p>
    <w:p w14:paraId="26C7F841" w14:textId="77777777" w:rsidR="006D7A96" w:rsidRPr="00255189" w:rsidRDefault="006D7A96" w:rsidP="006D7A96">
      <w:pPr>
        <w:contextualSpacing/>
        <w:rPr>
          <w:rFonts w:ascii="Palatino Linotype" w:hAnsi="Palatino Linotype"/>
          <w:color w:val="000000" w:themeColor="text1"/>
        </w:rPr>
      </w:pPr>
    </w:p>
    <w:p w14:paraId="608B9527" w14:textId="77777777" w:rsidR="006D7A96" w:rsidRPr="00255189" w:rsidRDefault="006D7A96" w:rsidP="006D7A96">
      <w:pPr>
        <w:keepNext/>
        <w:keepLines/>
        <w:numPr>
          <w:ilvl w:val="0"/>
          <w:numId w:val="39"/>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209" w:name="_Toc485631709"/>
      <w:bookmarkStart w:id="210" w:name="_Toc500756719"/>
      <w:bookmarkStart w:id="211" w:name="_Toc536691787"/>
      <w:bookmarkStart w:id="212" w:name="_Toc3467959"/>
      <w:bookmarkStart w:id="213" w:name="_Toc49863023"/>
      <w:r w:rsidRPr="00255189">
        <w:rPr>
          <w:rFonts w:ascii="Palatino Linotype" w:eastAsiaTheme="majorEastAsia" w:hAnsi="Palatino Linotype" w:cstheme="majorBidi"/>
          <w:b/>
          <w:color w:val="000000" w:themeColor="text1"/>
        </w:rPr>
        <w:t>La clasificación de la información reservada debe ser de manera temporal.</w:t>
      </w:r>
      <w:bookmarkEnd w:id="209"/>
      <w:bookmarkEnd w:id="210"/>
      <w:bookmarkEnd w:id="211"/>
      <w:bookmarkEnd w:id="212"/>
      <w:bookmarkEnd w:id="213"/>
    </w:p>
    <w:p w14:paraId="65E5D434" w14:textId="77777777" w:rsidR="006D7A96" w:rsidRPr="00255189" w:rsidRDefault="006D7A96" w:rsidP="007F0819">
      <w:pPr>
        <w:spacing w:line="360" w:lineRule="auto"/>
        <w:contextualSpacing/>
        <w:jc w:val="both"/>
        <w:rPr>
          <w:rFonts w:ascii="Palatino Linotype" w:hAnsi="Palatino Linotype"/>
          <w:b/>
          <w:color w:val="000000" w:themeColor="text1"/>
        </w:rPr>
      </w:pPr>
    </w:p>
    <w:p w14:paraId="3D0AC354"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60F451B1" w14:textId="77777777" w:rsidR="006D7A96" w:rsidRPr="00255189" w:rsidRDefault="006D7A96" w:rsidP="006D7A96">
      <w:pPr>
        <w:spacing w:line="360" w:lineRule="auto"/>
        <w:contextualSpacing/>
        <w:jc w:val="both"/>
        <w:rPr>
          <w:rFonts w:ascii="Palatino Linotype" w:hAnsi="Palatino Linotype"/>
          <w:color w:val="000000" w:themeColor="text1"/>
        </w:rPr>
      </w:pPr>
    </w:p>
    <w:p w14:paraId="17EEEDE3"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28D73C" w14:textId="77777777" w:rsidR="006D7A96" w:rsidRPr="00255189" w:rsidRDefault="006D7A96" w:rsidP="006D7A96">
      <w:pPr>
        <w:contextualSpacing/>
        <w:rPr>
          <w:rFonts w:ascii="Palatino Linotype" w:hAnsi="Palatino Linotype"/>
          <w:color w:val="000000" w:themeColor="text1"/>
        </w:rPr>
      </w:pPr>
    </w:p>
    <w:p w14:paraId="6DD5F45B"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40C45EA" w14:textId="77777777" w:rsidR="006D7A96" w:rsidRPr="00255189" w:rsidRDefault="006D7A96" w:rsidP="006D7A96">
      <w:pPr>
        <w:contextualSpacing/>
        <w:rPr>
          <w:rFonts w:ascii="Palatino Linotype" w:hAnsi="Palatino Linotype"/>
          <w:b/>
          <w:color w:val="000000" w:themeColor="text1"/>
        </w:rPr>
      </w:pPr>
    </w:p>
    <w:p w14:paraId="25E2E96B"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lastRenderedPageBreak/>
        <w:t>De</w:t>
      </w:r>
      <w:r w:rsidRPr="00255189">
        <w:rPr>
          <w:rFonts w:ascii="Palatino Linotype" w:hAnsi="Palatino Linotype"/>
          <w:b/>
          <w:color w:val="000000" w:themeColor="text1"/>
        </w:rPr>
        <w:t xml:space="preserve"> </w:t>
      </w:r>
      <w:r w:rsidRPr="00255189">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0D216552" w14:textId="77777777" w:rsidR="006D7A96" w:rsidRPr="00255189" w:rsidRDefault="006D7A96" w:rsidP="006D7A96">
      <w:pPr>
        <w:contextualSpacing/>
        <w:rPr>
          <w:rFonts w:ascii="Palatino Linotype" w:hAnsi="Palatino Linotype"/>
          <w:color w:val="000000" w:themeColor="text1"/>
        </w:rPr>
      </w:pPr>
    </w:p>
    <w:p w14:paraId="5538BE26"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CE39CF4" w14:textId="77777777" w:rsidR="006D7A96" w:rsidRPr="00255189" w:rsidRDefault="006D7A96" w:rsidP="006D7A96">
      <w:pPr>
        <w:spacing w:line="360" w:lineRule="auto"/>
        <w:jc w:val="both"/>
        <w:rPr>
          <w:rFonts w:ascii="Palatino Linotype" w:hAnsi="Palatino Linotype" w:cs="Arial"/>
          <w:b/>
          <w:color w:val="000000" w:themeColor="text1"/>
        </w:rPr>
      </w:pPr>
    </w:p>
    <w:p w14:paraId="43094516" w14:textId="77777777" w:rsidR="006D7A96" w:rsidRDefault="006D7A96" w:rsidP="006D7A96">
      <w:pPr>
        <w:keepNext/>
        <w:keepLines/>
        <w:numPr>
          <w:ilvl w:val="0"/>
          <w:numId w:val="45"/>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214" w:name="_Toc485631710"/>
      <w:bookmarkStart w:id="215" w:name="_Toc500756720"/>
      <w:bookmarkStart w:id="216" w:name="_Toc536691788"/>
      <w:bookmarkStart w:id="217" w:name="_Toc3467960"/>
      <w:bookmarkStart w:id="218" w:name="_Toc49863024"/>
      <w:r w:rsidRPr="00255189">
        <w:rPr>
          <w:rFonts w:ascii="Palatino Linotype" w:eastAsiaTheme="majorEastAsia" w:hAnsi="Palatino Linotype" w:cstheme="majorBidi"/>
          <w:b/>
          <w:color w:val="000000" w:themeColor="text1"/>
        </w:rPr>
        <w:t>Condiciones especiales de la clasificación de la información como confidencial.</w:t>
      </w:r>
      <w:bookmarkEnd w:id="214"/>
      <w:bookmarkEnd w:id="215"/>
      <w:bookmarkEnd w:id="216"/>
      <w:bookmarkEnd w:id="217"/>
      <w:bookmarkEnd w:id="218"/>
    </w:p>
    <w:p w14:paraId="7D1BBBF5" w14:textId="77777777" w:rsidR="007F0819" w:rsidRPr="00255189" w:rsidRDefault="007F0819" w:rsidP="007F0819">
      <w:pPr>
        <w:keepNext/>
        <w:keepLines/>
        <w:pBdr>
          <w:top w:val="nil"/>
          <w:left w:val="nil"/>
          <w:bottom w:val="nil"/>
          <w:right w:val="nil"/>
          <w:between w:val="nil"/>
          <w:bar w:val="nil"/>
        </w:pBdr>
        <w:spacing w:before="40"/>
        <w:ind w:left="426"/>
        <w:contextualSpacing/>
        <w:jc w:val="both"/>
        <w:outlineLvl w:val="1"/>
        <w:rPr>
          <w:rFonts w:ascii="Palatino Linotype" w:eastAsiaTheme="majorEastAsia" w:hAnsi="Palatino Linotype" w:cstheme="majorBidi"/>
          <w:b/>
          <w:color w:val="000000" w:themeColor="text1"/>
        </w:rPr>
      </w:pPr>
    </w:p>
    <w:p w14:paraId="55AC2DFD"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96D2A50" w14:textId="77777777" w:rsidR="006D7A96" w:rsidRPr="00255189" w:rsidRDefault="006D7A96" w:rsidP="006D7A9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255189">
        <w:rPr>
          <w:rFonts w:ascii="Palatino Linotype" w:eastAsia="Times New Roman" w:hAnsi="Palatino Linotype" w:cs="Times New Roman"/>
          <w:bCs/>
          <w:color w:val="000000" w:themeColor="text1"/>
          <w:lang w:val="es-ES"/>
        </w:rPr>
        <w:lastRenderedPageBreak/>
        <w:t>I.</w:t>
      </w:r>
      <w:r w:rsidRPr="00255189">
        <w:rPr>
          <w:rFonts w:ascii="Palatino Linotype" w:eastAsia="Times New Roman" w:hAnsi="Palatino Linotype" w:cs="Times New Roman"/>
          <w:color w:val="000000" w:themeColor="text1"/>
          <w:lang w:val="es-ES"/>
        </w:rPr>
        <w:t xml:space="preserve"> La información se encuentre en registros públicos o fuentes de acceso público;</w:t>
      </w:r>
    </w:p>
    <w:p w14:paraId="7BFD0C03" w14:textId="77777777" w:rsidR="006D7A96" w:rsidRPr="00255189" w:rsidRDefault="006D7A96" w:rsidP="006D7A96">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lang w:val="es-ES"/>
        </w:rPr>
      </w:pPr>
      <w:r w:rsidRPr="00255189">
        <w:rPr>
          <w:rFonts w:ascii="Palatino Linotype" w:eastAsia="Times New Roman" w:hAnsi="Palatino Linotype" w:cs="Times New Roman"/>
          <w:bCs/>
          <w:color w:val="000000" w:themeColor="text1"/>
          <w:lang w:val="es-ES"/>
        </w:rPr>
        <w:t xml:space="preserve">II. </w:t>
      </w:r>
      <w:r w:rsidRPr="00255189">
        <w:rPr>
          <w:rFonts w:ascii="Palatino Linotype" w:eastAsia="Times New Roman" w:hAnsi="Palatino Linotype" w:cs="Times New Roman"/>
          <w:color w:val="000000" w:themeColor="text1"/>
          <w:lang w:val="es-ES"/>
        </w:rPr>
        <w:t>Por Ley tenga el carácter de pública;</w:t>
      </w:r>
    </w:p>
    <w:p w14:paraId="35C2BDD6" w14:textId="77777777" w:rsidR="006D7A96" w:rsidRPr="00255189"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255189">
        <w:rPr>
          <w:rFonts w:ascii="Palatino Linotype" w:eastAsia="Times New Roman" w:hAnsi="Palatino Linotype" w:cs="Times New Roman"/>
          <w:bCs/>
          <w:color w:val="000000" w:themeColor="text1"/>
          <w:lang w:val="es-ES"/>
        </w:rPr>
        <w:t xml:space="preserve">III. </w:t>
      </w:r>
      <w:r w:rsidRPr="00255189">
        <w:rPr>
          <w:rFonts w:ascii="Palatino Linotype" w:eastAsia="Times New Roman" w:hAnsi="Palatino Linotype" w:cs="Times New Roman"/>
          <w:color w:val="000000" w:themeColor="text1"/>
          <w:lang w:val="es-ES"/>
        </w:rPr>
        <w:t xml:space="preserve">Exista una orden judicial; </w:t>
      </w:r>
    </w:p>
    <w:p w14:paraId="0AF98034" w14:textId="77777777" w:rsidR="006D7A96" w:rsidRPr="00255189"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255189">
        <w:rPr>
          <w:rFonts w:ascii="Palatino Linotype" w:eastAsia="Times New Roman" w:hAnsi="Palatino Linotype" w:cs="Times New Roman"/>
          <w:bCs/>
          <w:color w:val="000000" w:themeColor="text1"/>
          <w:lang w:val="es-ES"/>
        </w:rPr>
        <w:t xml:space="preserve">IV. </w:t>
      </w:r>
      <w:r w:rsidRPr="00255189">
        <w:rPr>
          <w:rFonts w:ascii="Palatino Linotype" w:eastAsia="Times New Roman" w:hAnsi="Palatino Linotype" w:cs="Times New Roman"/>
          <w:color w:val="000000" w:themeColor="text1"/>
          <w:lang w:val="es-ES"/>
        </w:rPr>
        <w:t xml:space="preserve">Por razones de seguridad pública, o para proteger los derechos de terceros, se requiera su publicación; o </w:t>
      </w:r>
    </w:p>
    <w:p w14:paraId="20B80CFB" w14:textId="77777777" w:rsidR="006D7A96" w:rsidRPr="00255189" w:rsidRDefault="006D7A96" w:rsidP="006D7A96">
      <w:pPr>
        <w:spacing w:before="100" w:beforeAutospacing="1" w:after="100" w:afterAutospacing="1" w:line="360" w:lineRule="auto"/>
        <w:ind w:left="567" w:right="616"/>
        <w:jc w:val="both"/>
        <w:rPr>
          <w:rFonts w:ascii="Palatino Linotype" w:eastAsia="Times New Roman" w:hAnsi="Palatino Linotype" w:cs="Times New Roman"/>
          <w:color w:val="000000" w:themeColor="text1"/>
          <w:lang w:val="es-ES"/>
        </w:rPr>
      </w:pPr>
      <w:r w:rsidRPr="00255189">
        <w:rPr>
          <w:rFonts w:ascii="Palatino Linotype" w:eastAsia="Times New Roman" w:hAnsi="Palatino Linotype" w:cs="Times New Roman"/>
          <w:bCs/>
          <w:color w:val="000000" w:themeColor="text1"/>
          <w:lang w:val="es-ES"/>
        </w:rPr>
        <w:t xml:space="preserve">V. </w:t>
      </w:r>
      <w:r w:rsidRPr="00255189">
        <w:rPr>
          <w:rFonts w:ascii="Palatino Linotype" w:eastAsia="Times New Roman" w:hAnsi="Palatino Linotype" w:cs="Times New Roman"/>
          <w:color w:val="000000" w:themeColor="text1"/>
          <w:lang w:val="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FD6B49A" w14:textId="77777777" w:rsidR="006D7A96"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255189">
        <w:rPr>
          <w:rFonts w:ascii="Palatino Linotype" w:hAnsi="Palatino Linotype"/>
          <w:color w:val="000000" w:themeColor="text1"/>
        </w:rPr>
        <w:t>En</w:t>
      </w:r>
      <w:r w:rsidRPr="00255189">
        <w:rPr>
          <w:rFonts w:ascii="Palatino Linotype" w:hAnsi="Palatino Linotype" w:cs="Times New Roman"/>
          <w:color w:val="000000" w:themeColor="text1"/>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A929F6E" w14:textId="77777777" w:rsidR="007F0819" w:rsidRPr="00255189" w:rsidRDefault="007F0819" w:rsidP="007F0819">
      <w:pPr>
        <w:spacing w:line="360" w:lineRule="auto"/>
        <w:contextualSpacing/>
        <w:jc w:val="both"/>
        <w:rPr>
          <w:rFonts w:ascii="Palatino Linotype" w:hAnsi="Palatino Linotype" w:cs="Times New Roman"/>
          <w:color w:val="000000" w:themeColor="text1"/>
          <w:lang w:eastAsia="es-ES_tradnl"/>
        </w:rPr>
      </w:pPr>
    </w:p>
    <w:p w14:paraId="7ADB535B"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Pero</w:t>
      </w:r>
      <w:r w:rsidRPr="00255189">
        <w:rPr>
          <w:rFonts w:ascii="Palatino Linotype" w:hAnsi="Palatino Linotype" w:cs="Times New Roman"/>
          <w:color w:val="000000" w:themeColor="text1"/>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B19BAFA" w14:textId="77777777" w:rsidR="006D7A96" w:rsidRPr="00255189" w:rsidRDefault="006D7A96" w:rsidP="006D7A96">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3526D878" w14:textId="77777777" w:rsidR="006D7A96" w:rsidRPr="00255189" w:rsidRDefault="006D7A96" w:rsidP="007F0819">
      <w:pPr>
        <w:numPr>
          <w:ilvl w:val="0"/>
          <w:numId w:val="2"/>
        </w:numPr>
        <w:spacing w:line="360" w:lineRule="auto"/>
        <w:ind w:left="0" w:firstLine="0"/>
        <w:contextualSpacing/>
        <w:jc w:val="both"/>
        <w:rPr>
          <w:rFonts w:ascii="Palatino Linotype" w:hAnsi="Palatino Linotype"/>
          <w:color w:val="000000" w:themeColor="text1"/>
        </w:rPr>
      </w:pPr>
      <w:r w:rsidRPr="00255189">
        <w:rPr>
          <w:rFonts w:ascii="Palatino Linotype" w:hAnsi="Palatino Linotype"/>
          <w:color w:val="000000" w:themeColor="text1"/>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E4B50A8" w14:textId="77777777" w:rsidR="006D7A96" w:rsidRPr="00255189" w:rsidRDefault="006D7A96" w:rsidP="006D7A96">
      <w:pPr>
        <w:rPr>
          <w:rFonts w:ascii="Palatino Linotype" w:hAnsi="Palatino Linotype"/>
          <w:color w:val="000000" w:themeColor="text1"/>
        </w:rPr>
      </w:pPr>
    </w:p>
    <w:tbl>
      <w:tblPr>
        <w:tblStyle w:val="Tablaconcuadrcula2"/>
        <w:tblW w:w="8451" w:type="dxa"/>
        <w:tblLook w:val="04A0" w:firstRow="1" w:lastRow="0" w:firstColumn="1" w:lastColumn="0" w:noHBand="0" w:noVBand="1"/>
      </w:tblPr>
      <w:tblGrid>
        <w:gridCol w:w="2100"/>
        <w:gridCol w:w="1731"/>
        <w:gridCol w:w="2418"/>
        <w:gridCol w:w="2202"/>
      </w:tblGrid>
      <w:tr w:rsidR="006D7A96" w:rsidRPr="00255189" w14:paraId="22CD6478" w14:textId="77777777" w:rsidTr="006D7A96">
        <w:tc>
          <w:tcPr>
            <w:tcW w:w="2155" w:type="dxa"/>
            <w:vMerge w:val="restart"/>
            <w:shd w:val="clear" w:color="auto" w:fill="C6D9F1" w:themeFill="text2" w:themeFillTint="33"/>
          </w:tcPr>
          <w:p w14:paraId="1A620770"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14:paraId="3DC41553"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14:paraId="2672EF7D" w14:textId="77777777" w:rsidR="006D7A96" w:rsidRPr="00255189" w:rsidRDefault="006D7A96" w:rsidP="006D7A96">
            <w:pPr>
              <w:jc w:val="both"/>
              <w:rPr>
                <w:rFonts w:ascii="Palatino Linotype" w:hAnsi="Palatino Linotype"/>
                <w:color w:val="000000" w:themeColor="text1"/>
              </w:rPr>
            </w:pPr>
          </w:p>
          <w:p w14:paraId="225A5C30" w14:textId="77777777" w:rsidR="006D7A96" w:rsidRPr="00255189" w:rsidRDefault="006D7A96" w:rsidP="006D7A96">
            <w:pPr>
              <w:jc w:val="both"/>
              <w:rPr>
                <w:rFonts w:ascii="Palatino Linotype" w:hAnsi="Palatino Linotype"/>
                <w:color w:val="000000" w:themeColor="text1"/>
              </w:rPr>
            </w:pPr>
          </w:p>
          <w:p w14:paraId="7F8F65BD" w14:textId="77777777" w:rsidR="006D7A96" w:rsidRPr="00255189" w:rsidRDefault="006D7A96" w:rsidP="006D7A96">
            <w:pPr>
              <w:jc w:val="both"/>
              <w:rPr>
                <w:rFonts w:ascii="Palatino Linotype" w:hAnsi="Palatino Linotype"/>
                <w:color w:val="000000" w:themeColor="text1"/>
              </w:rPr>
            </w:pPr>
          </w:p>
          <w:p w14:paraId="3B3F0EBA" w14:textId="77777777" w:rsidR="006D7A96" w:rsidRPr="00255189" w:rsidRDefault="006D7A96" w:rsidP="006D7A96">
            <w:pPr>
              <w:numPr>
                <w:ilvl w:val="0"/>
                <w:numId w:val="41"/>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14:paraId="7D24D434" w14:textId="77777777" w:rsidR="006D7A96" w:rsidRPr="00255189" w:rsidRDefault="006D7A96" w:rsidP="006D7A96">
            <w:pPr>
              <w:numPr>
                <w:ilvl w:val="0"/>
                <w:numId w:val="41"/>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14:paraId="08EDB88B" w14:textId="77777777" w:rsidR="006D7A96" w:rsidRPr="00255189" w:rsidRDefault="006D7A96" w:rsidP="006D7A96">
            <w:pPr>
              <w:jc w:val="both"/>
              <w:rPr>
                <w:rFonts w:ascii="Palatino Linotype" w:hAnsi="Palatino Linotype"/>
                <w:color w:val="000000" w:themeColor="text1"/>
              </w:rPr>
            </w:pPr>
          </w:p>
        </w:tc>
      </w:tr>
      <w:tr w:rsidR="006D7A96" w:rsidRPr="00255189" w14:paraId="542E58E9" w14:textId="77777777" w:rsidTr="006D7A96">
        <w:tc>
          <w:tcPr>
            <w:tcW w:w="2155" w:type="dxa"/>
            <w:vMerge/>
            <w:shd w:val="clear" w:color="auto" w:fill="C6D9F1" w:themeFill="text2" w:themeFillTint="33"/>
          </w:tcPr>
          <w:p w14:paraId="3C941D5F" w14:textId="77777777" w:rsidR="006D7A96" w:rsidRPr="00255189" w:rsidRDefault="006D7A96" w:rsidP="006D7A96">
            <w:pPr>
              <w:jc w:val="both"/>
              <w:rPr>
                <w:rFonts w:ascii="Palatino Linotype" w:hAnsi="Palatino Linotype"/>
                <w:color w:val="000000" w:themeColor="text1"/>
              </w:rPr>
            </w:pPr>
          </w:p>
        </w:tc>
        <w:tc>
          <w:tcPr>
            <w:tcW w:w="1759" w:type="dxa"/>
          </w:tcPr>
          <w:p w14:paraId="19378DD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w:t>
            </w:r>
            <w:r w:rsidRPr="00255189">
              <w:rPr>
                <w:rFonts w:ascii="Palatino Linotype" w:hAnsi="Palatino Linotype"/>
                <w:color w:val="000000" w:themeColor="text1"/>
              </w:rPr>
              <w:lastRenderedPageBreak/>
              <w:t xml:space="preserve">aprueban la clasificación </w:t>
            </w:r>
          </w:p>
        </w:tc>
        <w:tc>
          <w:tcPr>
            <w:tcW w:w="2269" w:type="dxa"/>
          </w:tcPr>
          <w:p w14:paraId="03486FA2" w14:textId="77777777" w:rsidR="006D7A96" w:rsidRPr="00255189" w:rsidRDefault="006D7A96" w:rsidP="006D7A96">
            <w:pPr>
              <w:jc w:val="both"/>
              <w:rPr>
                <w:rFonts w:ascii="Palatino Linotype" w:hAnsi="Palatino Linotype"/>
                <w:color w:val="000000" w:themeColor="text1"/>
              </w:rPr>
            </w:pPr>
          </w:p>
        </w:tc>
        <w:tc>
          <w:tcPr>
            <w:tcW w:w="2268" w:type="dxa"/>
          </w:tcPr>
          <w:p w14:paraId="0CEF5220" w14:textId="77777777" w:rsidR="006D7A96" w:rsidRPr="00255189" w:rsidRDefault="006D7A96" w:rsidP="006D7A96">
            <w:pPr>
              <w:jc w:val="both"/>
              <w:rPr>
                <w:rFonts w:ascii="Palatino Linotype" w:hAnsi="Palatino Linotype"/>
                <w:color w:val="000000" w:themeColor="text1"/>
              </w:rPr>
            </w:pPr>
          </w:p>
        </w:tc>
      </w:tr>
      <w:tr w:rsidR="006D7A96" w:rsidRPr="00255189" w14:paraId="6E90379F" w14:textId="77777777" w:rsidTr="006D7A96">
        <w:tc>
          <w:tcPr>
            <w:tcW w:w="2155" w:type="dxa"/>
            <w:vMerge/>
            <w:shd w:val="clear" w:color="auto" w:fill="C6D9F1" w:themeFill="text2" w:themeFillTint="33"/>
          </w:tcPr>
          <w:p w14:paraId="1115D7D4" w14:textId="77777777" w:rsidR="006D7A96" w:rsidRPr="00255189" w:rsidRDefault="006D7A96" w:rsidP="006D7A96">
            <w:pPr>
              <w:jc w:val="both"/>
              <w:rPr>
                <w:rFonts w:ascii="Palatino Linotype" w:hAnsi="Palatino Linotype"/>
                <w:color w:val="000000" w:themeColor="text1"/>
              </w:rPr>
            </w:pPr>
          </w:p>
        </w:tc>
        <w:tc>
          <w:tcPr>
            <w:tcW w:w="1759" w:type="dxa"/>
          </w:tcPr>
          <w:p w14:paraId="0E05878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14:paraId="052C2F24" w14:textId="77777777" w:rsidR="006D7A96" w:rsidRPr="00255189" w:rsidRDefault="006D7A96" w:rsidP="006D7A96">
            <w:pPr>
              <w:numPr>
                <w:ilvl w:val="0"/>
                <w:numId w:val="40"/>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14:paraId="0B19324D" w14:textId="77777777" w:rsidR="006D7A96" w:rsidRPr="00255189" w:rsidRDefault="006D7A96" w:rsidP="006D7A96">
            <w:pPr>
              <w:numPr>
                <w:ilvl w:val="0"/>
                <w:numId w:val="40"/>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14:paraId="60AB6C9E" w14:textId="77777777" w:rsidR="006D7A96" w:rsidRPr="00255189" w:rsidRDefault="006D7A96" w:rsidP="006D7A96">
            <w:pPr>
              <w:numPr>
                <w:ilvl w:val="0"/>
                <w:numId w:val="40"/>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14:paraId="2B72CF87" w14:textId="77777777" w:rsidR="006D7A96" w:rsidRPr="00255189" w:rsidRDefault="006D7A96" w:rsidP="006D7A96">
            <w:pPr>
              <w:jc w:val="both"/>
              <w:rPr>
                <w:rFonts w:ascii="Palatino Linotype" w:hAnsi="Palatino Linotype"/>
                <w:color w:val="000000" w:themeColor="text1"/>
              </w:rPr>
            </w:pPr>
          </w:p>
        </w:tc>
      </w:tr>
      <w:tr w:rsidR="006D7A96" w:rsidRPr="00255189" w14:paraId="0FF212BD" w14:textId="77777777" w:rsidTr="006D7A96">
        <w:tc>
          <w:tcPr>
            <w:tcW w:w="2155" w:type="dxa"/>
            <w:vMerge/>
            <w:shd w:val="clear" w:color="auto" w:fill="C6D9F1" w:themeFill="text2" w:themeFillTint="33"/>
          </w:tcPr>
          <w:p w14:paraId="2DB2B6D7" w14:textId="77777777" w:rsidR="006D7A96" w:rsidRPr="00255189" w:rsidRDefault="006D7A96" w:rsidP="006D7A96">
            <w:pPr>
              <w:jc w:val="both"/>
              <w:rPr>
                <w:rFonts w:ascii="Palatino Linotype" w:hAnsi="Palatino Linotype"/>
                <w:color w:val="000000" w:themeColor="text1"/>
              </w:rPr>
            </w:pPr>
          </w:p>
        </w:tc>
        <w:tc>
          <w:tcPr>
            <w:tcW w:w="1759" w:type="dxa"/>
          </w:tcPr>
          <w:p w14:paraId="3C1D151F"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14:paraId="42C016E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5E3AC706" w14:textId="77777777" w:rsidR="006D7A96" w:rsidRPr="00255189" w:rsidRDefault="006D7A96" w:rsidP="006D7A96">
            <w:pPr>
              <w:jc w:val="both"/>
              <w:rPr>
                <w:rFonts w:ascii="Palatino Linotype" w:hAnsi="Palatino Linotype"/>
                <w:color w:val="000000" w:themeColor="text1"/>
              </w:rPr>
            </w:pPr>
          </w:p>
        </w:tc>
      </w:tr>
      <w:tr w:rsidR="006D7A96" w:rsidRPr="00255189" w14:paraId="1E5C7BA5" w14:textId="77777777" w:rsidTr="006D7A96">
        <w:tc>
          <w:tcPr>
            <w:tcW w:w="2155" w:type="dxa"/>
            <w:vMerge w:val="restart"/>
            <w:shd w:val="clear" w:color="auto" w:fill="C6D9F1" w:themeFill="text2" w:themeFillTint="33"/>
          </w:tcPr>
          <w:p w14:paraId="54C5A32B"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14:paraId="3D117F8A"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14:paraId="63569F95" w14:textId="77777777" w:rsidR="006D7A96" w:rsidRPr="00255189" w:rsidRDefault="006D7A96" w:rsidP="006D7A96">
            <w:pPr>
              <w:numPr>
                <w:ilvl w:val="0"/>
                <w:numId w:val="42"/>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14:paraId="0D34F7CA" w14:textId="77777777" w:rsidR="006D7A96" w:rsidRPr="00255189" w:rsidRDefault="006D7A96" w:rsidP="006D7A96">
            <w:pPr>
              <w:numPr>
                <w:ilvl w:val="0"/>
                <w:numId w:val="42"/>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14:paraId="4412BFFF"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6D7A96" w:rsidRPr="00255189" w14:paraId="2839D1B3" w14:textId="77777777" w:rsidTr="006D7A96">
        <w:tc>
          <w:tcPr>
            <w:tcW w:w="2155" w:type="dxa"/>
            <w:vMerge/>
            <w:shd w:val="clear" w:color="auto" w:fill="C6D9F1" w:themeFill="text2" w:themeFillTint="33"/>
          </w:tcPr>
          <w:p w14:paraId="5D0032E5" w14:textId="77777777" w:rsidR="006D7A96" w:rsidRPr="00255189" w:rsidRDefault="006D7A96" w:rsidP="006D7A96">
            <w:pPr>
              <w:jc w:val="both"/>
              <w:rPr>
                <w:rFonts w:ascii="Palatino Linotype" w:hAnsi="Palatino Linotype"/>
                <w:color w:val="000000" w:themeColor="text1"/>
              </w:rPr>
            </w:pPr>
          </w:p>
        </w:tc>
        <w:tc>
          <w:tcPr>
            <w:tcW w:w="1759" w:type="dxa"/>
          </w:tcPr>
          <w:p w14:paraId="6BAD5FBE"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14:paraId="753EF315"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14:paraId="0B005E99" w14:textId="77777777" w:rsidR="006D7A96" w:rsidRPr="00255189" w:rsidRDefault="006D7A96" w:rsidP="006D7A96">
            <w:pPr>
              <w:jc w:val="both"/>
              <w:rPr>
                <w:rFonts w:ascii="Palatino Linotype" w:hAnsi="Palatino Linotype"/>
                <w:color w:val="000000" w:themeColor="text1"/>
              </w:rPr>
            </w:pPr>
          </w:p>
        </w:tc>
      </w:tr>
      <w:tr w:rsidR="006D7A96" w:rsidRPr="00255189" w14:paraId="4CF35E9B" w14:textId="77777777" w:rsidTr="006D7A96">
        <w:tc>
          <w:tcPr>
            <w:tcW w:w="2155" w:type="dxa"/>
            <w:vMerge/>
            <w:shd w:val="clear" w:color="auto" w:fill="C6D9F1" w:themeFill="text2" w:themeFillTint="33"/>
          </w:tcPr>
          <w:p w14:paraId="4D2E89C2" w14:textId="77777777" w:rsidR="006D7A96" w:rsidRPr="00255189" w:rsidRDefault="006D7A96" w:rsidP="006D7A96">
            <w:pPr>
              <w:jc w:val="both"/>
              <w:rPr>
                <w:rFonts w:ascii="Palatino Linotype" w:hAnsi="Palatino Linotype"/>
                <w:color w:val="000000" w:themeColor="text1"/>
              </w:rPr>
            </w:pPr>
          </w:p>
        </w:tc>
        <w:tc>
          <w:tcPr>
            <w:tcW w:w="1759" w:type="dxa"/>
          </w:tcPr>
          <w:p w14:paraId="0D67A721"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14:paraId="5C8353AF" w14:textId="77777777" w:rsidR="006D7A96" w:rsidRPr="00255189" w:rsidRDefault="006D7A96" w:rsidP="006D7A96">
            <w:pPr>
              <w:jc w:val="both"/>
              <w:rPr>
                <w:rFonts w:ascii="Palatino Linotype" w:hAnsi="Palatino Linotype"/>
                <w:color w:val="000000" w:themeColor="text1"/>
              </w:rPr>
            </w:pPr>
          </w:p>
        </w:tc>
        <w:tc>
          <w:tcPr>
            <w:tcW w:w="2268" w:type="dxa"/>
          </w:tcPr>
          <w:p w14:paraId="352E5158" w14:textId="77777777" w:rsidR="006D7A96" w:rsidRPr="00255189" w:rsidRDefault="006D7A96" w:rsidP="006D7A96">
            <w:pPr>
              <w:jc w:val="both"/>
              <w:rPr>
                <w:rFonts w:ascii="Palatino Linotype" w:hAnsi="Palatino Linotype"/>
                <w:color w:val="000000" w:themeColor="text1"/>
              </w:rPr>
            </w:pPr>
          </w:p>
        </w:tc>
      </w:tr>
      <w:tr w:rsidR="006D7A96" w:rsidRPr="00255189" w14:paraId="5CAC8BDD" w14:textId="77777777" w:rsidTr="006D7A96">
        <w:tc>
          <w:tcPr>
            <w:tcW w:w="2155" w:type="dxa"/>
            <w:vMerge w:val="restart"/>
            <w:shd w:val="clear" w:color="auto" w:fill="C6D9F1" w:themeFill="text2" w:themeFillTint="33"/>
          </w:tcPr>
          <w:p w14:paraId="2F813EA5"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14:paraId="0C4D0DB8"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14:paraId="03141427"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14:paraId="3455DA82" w14:textId="77777777" w:rsidR="006D7A96" w:rsidRPr="00255189" w:rsidRDefault="006D7A96" w:rsidP="006D7A96">
            <w:pPr>
              <w:jc w:val="both"/>
              <w:rPr>
                <w:rFonts w:ascii="Palatino Linotype" w:hAnsi="Palatino Linotype"/>
                <w:color w:val="000000" w:themeColor="text1"/>
              </w:rPr>
            </w:pPr>
          </w:p>
        </w:tc>
      </w:tr>
      <w:tr w:rsidR="006D7A96" w:rsidRPr="00255189" w14:paraId="07467C0A" w14:textId="77777777" w:rsidTr="006D7A96">
        <w:tc>
          <w:tcPr>
            <w:tcW w:w="2155" w:type="dxa"/>
            <w:vMerge/>
            <w:shd w:val="clear" w:color="auto" w:fill="C6D9F1" w:themeFill="text2" w:themeFillTint="33"/>
          </w:tcPr>
          <w:p w14:paraId="627E7792" w14:textId="77777777" w:rsidR="006D7A96" w:rsidRPr="00255189" w:rsidRDefault="006D7A96" w:rsidP="006D7A96">
            <w:pPr>
              <w:jc w:val="both"/>
              <w:rPr>
                <w:rFonts w:ascii="Palatino Linotype" w:hAnsi="Palatino Linotype"/>
                <w:color w:val="000000" w:themeColor="text1"/>
              </w:rPr>
            </w:pPr>
          </w:p>
        </w:tc>
        <w:tc>
          <w:tcPr>
            <w:tcW w:w="1759" w:type="dxa"/>
            <w:vMerge/>
          </w:tcPr>
          <w:p w14:paraId="28BE1786" w14:textId="77777777" w:rsidR="006D7A96" w:rsidRPr="00255189" w:rsidRDefault="006D7A96" w:rsidP="006D7A96">
            <w:pPr>
              <w:jc w:val="both"/>
              <w:rPr>
                <w:rFonts w:ascii="Palatino Linotype" w:hAnsi="Palatino Linotype"/>
                <w:color w:val="000000" w:themeColor="text1"/>
              </w:rPr>
            </w:pPr>
          </w:p>
        </w:tc>
        <w:tc>
          <w:tcPr>
            <w:tcW w:w="2269" w:type="dxa"/>
          </w:tcPr>
          <w:p w14:paraId="1F993058"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Delitos de </w:t>
            </w:r>
            <w:proofErr w:type="spellStart"/>
            <w:r w:rsidRPr="00255189">
              <w:rPr>
                <w:rFonts w:ascii="Palatino Linotype" w:hAnsi="Palatino Linotype"/>
                <w:color w:val="000000" w:themeColor="text1"/>
              </w:rPr>
              <w:t>lessa</w:t>
            </w:r>
            <w:proofErr w:type="spellEnd"/>
            <w:r w:rsidRPr="00255189">
              <w:rPr>
                <w:rFonts w:ascii="Palatino Linotype" w:hAnsi="Palatino Linotype"/>
                <w:color w:val="000000" w:themeColor="text1"/>
              </w:rPr>
              <w:t xml:space="preserve"> humanidad</w:t>
            </w:r>
          </w:p>
        </w:tc>
        <w:tc>
          <w:tcPr>
            <w:tcW w:w="2268" w:type="dxa"/>
          </w:tcPr>
          <w:p w14:paraId="52E07071" w14:textId="77777777" w:rsidR="006D7A96" w:rsidRPr="00255189" w:rsidRDefault="006D7A96" w:rsidP="006D7A96">
            <w:pPr>
              <w:jc w:val="both"/>
              <w:rPr>
                <w:rFonts w:ascii="Palatino Linotype" w:hAnsi="Palatino Linotype"/>
                <w:color w:val="000000" w:themeColor="text1"/>
              </w:rPr>
            </w:pPr>
          </w:p>
        </w:tc>
      </w:tr>
      <w:tr w:rsidR="006D7A96" w:rsidRPr="00255189" w14:paraId="4A204A27" w14:textId="77777777" w:rsidTr="006D7A96">
        <w:tc>
          <w:tcPr>
            <w:tcW w:w="2155" w:type="dxa"/>
            <w:vMerge/>
            <w:shd w:val="clear" w:color="auto" w:fill="C6D9F1" w:themeFill="text2" w:themeFillTint="33"/>
          </w:tcPr>
          <w:p w14:paraId="36114F12" w14:textId="77777777" w:rsidR="006D7A96" w:rsidRPr="00255189" w:rsidRDefault="006D7A96" w:rsidP="006D7A96">
            <w:pPr>
              <w:jc w:val="both"/>
              <w:rPr>
                <w:rFonts w:ascii="Palatino Linotype" w:hAnsi="Palatino Linotype"/>
                <w:color w:val="000000" w:themeColor="text1"/>
              </w:rPr>
            </w:pPr>
          </w:p>
        </w:tc>
        <w:tc>
          <w:tcPr>
            <w:tcW w:w="1759" w:type="dxa"/>
            <w:vMerge/>
          </w:tcPr>
          <w:p w14:paraId="51132B4C" w14:textId="77777777" w:rsidR="006D7A96" w:rsidRPr="00255189" w:rsidRDefault="006D7A96" w:rsidP="006D7A96">
            <w:pPr>
              <w:jc w:val="both"/>
              <w:rPr>
                <w:rFonts w:ascii="Palatino Linotype" w:hAnsi="Palatino Linotype"/>
                <w:color w:val="000000" w:themeColor="text1"/>
              </w:rPr>
            </w:pPr>
          </w:p>
        </w:tc>
        <w:tc>
          <w:tcPr>
            <w:tcW w:w="2269" w:type="dxa"/>
          </w:tcPr>
          <w:p w14:paraId="6770E091"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14:paraId="70641255"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6D7A96" w:rsidRPr="00255189" w14:paraId="6F1AC67A" w14:textId="77777777" w:rsidTr="006D7A96">
        <w:tc>
          <w:tcPr>
            <w:tcW w:w="2155" w:type="dxa"/>
            <w:vMerge w:val="restart"/>
            <w:shd w:val="clear" w:color="auto" w:fill="C6D9F1" w:themeFill="text2" w:themeFillTint="33"/>
          </w:tcPr>
          <w:p w14:paraId="53C99CFF" w14:textId="77777777" w:rsidR="006D7A96" w:rsidRPr="00255189" w:rsidRDefault="006D7A96" w:rsidP="006D7A96">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14:paraId="7898D2E0"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14:paraId="19DEDF54"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14:paraId="162A480D" w14:textId="77777777" w:rsidR="006D7A96" w:rsidRPr="00255189" w:rsidRDefault="006D7A96" w:rsidP="006D7A96">
            <w:pPr>
              <w:jc w:val="both"/>
              <w:rPr>
                <w:rFonts w:ascii="Palatino Linotype" w:hAnsi="Palatino Linotype"/>
                <w:color w:val="000000" w:themeColor="text1"/>
              </w:rPr>
            </w:pPr>
          </w:p>
        </w:tc>
      </w:tr>
      <w:tr w:rsidR="006D7A96" w:rsidRPr="00255189" w14:paraId="52B21D19" w14:textId="77777777" w:rsidTr="006D7A96">
        <w:tc>
          <w:tcPr>
            <w:tcW w:w="2155" w:type="dxa"/>
            <w:vMerge/>
            <w:shd w:val="clear" w:color="auto" w:fill="C6D9F1" w:themeFill="text2" w:themeFillTint="33"/>
          </w:tcPr>
          <w:p w14:paraId="713D3984" w14:textId="77777777" w:rsidR="006D7A96" w:rsidRPr="00255189" w:rsidRDefault="006D7A96" w:rsidP="006D7A96">
            <w:pPr>
              <w:jc w:val="both"/>
              <w:rPr>
                <w:rFonts w:ascii="Palatino Linotype" w:hAnsi="Palatino Linotype"/>
                <w:color w:val="000000" w:themeColor="text1"/>
              </w:rPr>
            </w:pPr>
          </w:p>
        </w:tc>
        <w:tc>
          <w:tcPr>
            <w:tcW w:w="1759" w:type="dxa"/>
            <w:vMerge/>
          </w:tcPr>
          <w:p w14:paraId="54D47F41" w14:textId="77777777" w:rsidR="006D7A96" w:rsidRPr="00255189" w:rsidRDefault="006D7A96" w:rsidP="006D7A96">
            <w:pPr>
              <w:jc w:val="both"/>
              <w:rPr>
                <w:rFonts w:ascii="Palatino Linotype" w:hAnsi="Palatino Linotype"/>
                <w:color w:val="000000" w:themeColor="text1"/>
              </w:rPr>
            </w:pPr>
          </w:p>
        </w:tc>
        <w:tc>
          <w:tcPr>
            <w:tcW w:w="2269" w:type="dxa"/>
          </w:tcPr>
          <w:p w14:paraId="7722B5A7"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w:t>
            </w:r>
            <w:r w:rsidRPr="00255189">
              <w:rPr>
                <w:rFonts w:ascii="Palatino Linotype" w:hAnsi="Palatino Linotype"/>
                <w:color w:val="000000" w:themeColor="text1"/>
              </w:rPr>
              <w:lastRenderedPageBreak/>
              <w:t xml:space="preserve">revoca la decisión de las áreas </w:t>
            </w:r>
          </w:p>
        </w:tc>
        <w:tc>
          <w:tcPr>
            <w:tcW w:w="2268" w:type="dxa"/>
          </w:tcPr>
          <w:p w14:paraId="099FCE18" w14:textId="77777777" w:rsidR="006D7A96" w:rsidRPr="00255189" w:rsidRDefault="006D7A96" w:rsidP="006D7A96">
            <w:pPr>
              <w:jc w:val="both"/>
              <w:rPr>
                <w:rFonts w:ascii="Palatino Linotype" w:hAnsi="Palatino Linotype"/>
                <w:color w:val="000000" w:themeColor="text1"/>
              </w:rPr>
            </w:pPr>
          </w:p>
        </w:tc>
      </w:tr>
      <w:tr w:rsidR="006D7A96" w:rsidRPr="00255189" w14:paraId="72348FA7" w14:textId="77777777" w:rsidTr="006D7A96">
        <w:tc>
          <w:tcPr>
            <w:tcW w:w="2155" w:type="dxa"/>
            <w:shd w:val="clear" w:color="auto" w:fill="C6D9F1" w:themeFill="text2" w:themeFillTint="33"/>
          </w:tcPr>
          <w:p w14:paraId="161332A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14:paraId="798A2F90"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14:paraId="454FA8CA"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14:paraId="1C0B226E" w14:textId="77777777" w:rsidR="006D7A96" w:rsidRPr="00255189" w:rsidRDefault="006D7A96" w:rsidP="006D7A96">
            <w:pPr>
              <w:jc w:val="both"/>
              <w:rPr>
                <w:rFonts w:ascii="Palatino Linotype" w:hAnsi="Palatino Linotype"/>
                <w:color w:val="000000" w:themeColor="text1"/>
              </w:rPr>
            </w:pPr>
          </w:p>
        </w:tc>
      </w:tr>
      <w:tr w:rsidR="006D7A96" w:rsidRPr="00255189" w14:paraId="011B8928" w14:textId="77777777" w:rsidTr="006D7A96">
        <w:trPr>
          <w:trHeight w:val="486"/>
        </w:trPr>
        <w:tc>
          <w:tcPr>
            <w:tcW w:w="2155" w:type="dxa"/>
            <w:vMerge w:val="restart"/>
            <w:shd w:val="clear" w:color="auto" w:fill="C6D9F1" w:themeFill="text2" w:themeFillTint="33"/>
          </w:tcPr>
          <w:p w14:paraId="6577F4A0"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14:paraId="45F07AD0"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Motivar implica</w:t>
            </w:r>
          </w:p>
          <w:p w14:paraId="35A44B7D"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14:paraId="7AF0D0A6"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14:paraId="0381732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14:paraId="182A9886" w14:textId="77777777" w:rsidR="006D7A96" w:rsidRPr="00255189" w:rsidRDefault="006D7A96" w:rsidP="006D7A96">
            <w:pPr>
              <w:jc w:val="both"/>
              <w:rPr>
                <w:rFonts w:ascii="Palatino Linotype" w:hAnsi="Palatino Linotype"/>
                <w:color w:val="000000" w:themeColor="text1"/>
              </w:rPr>
            </w:pPr>
          </w:p>
          <w:p w14:paraId="352A16DC"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2ABBC905"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6D7A96" w:rsidRPr="00255189" w14:paraId="1F34B292" w14:textId="77777777" w:rsidTr="006D7A96">
        <w:trPr>
          <w:trHeight w:val="486"/>
        </w:trPr>
        <w:tc>
          <w:tcPr>
            <w:tcW w:w="2155" w:type="dxa"/>
            <w:vMerge/>
            <w:shd w:val="clear" w:color="auto" w:fill="C6D9F1" w:themeFill="text2" w:themeFillTint="33"/>
          </w:tcPr>
          <w:p w14:paraId="186969D3" w14:textId="77777777" w:rsidR="006D7A96" w:rsidRPr="00255189" w:rsidRDefault="006D7A96" w:rsidP="006D7A96">
            <w:pPr>
              <w:jc w:val="both"/>
              <w:rPr>
                <w:rFonts w:ascii="Palatino Linotype" w:hAnsi="Palatino Linotype"/>
                <w:color w:val="000000" w:themeColor="text1"/>
              </w:rPr>
            </w:pPr>
          </w:p>
        </w:tc>
        <w:tc>
          <w:tcPr>
            <w:tcW w:w="1759" w:type="dxa"/>
            <w:vMerge/>
          </w:tcPr>
          <w:p w14:paraId="1F0D702A" w14:textId="77777777" w:rsidR="006D7A96" w:rsidRPr="00255189" w:rsidRDefault="006D7A96" w:rsidP="006D7A96">
            <w:pPr>
              <w:jc w:val="both"/>
              <w:rPr>
                <w:rFonts w:ascii="Palatino Linotype" w:hAnsi="Palatino Linotype"/>
                <w:color w:val="000000" w:themeColor="text1"/>
              </w:rPr>
            </w:pPr>
          </w:p>
        </w:tc>
        <w:tc>
          <w:tcPr>
            <w:tcW w:w="2269" w:type="dxa"/>
            <w:vMerge/>
          </w:tcPr>
          <w:p w14:paraId="6194B630" w14:textId="77777777" w:rsidR="006D7A96" w:rsidRPr="00255189" w:rsidRDefault="006D7A96" w:rsidP="006D7A96">
            <w:pPr>
              <w:jc w:val="both"/>
              <w:rPr>
                <w:rFonts w:ascii="Palatino Linotype" w:hAnsi="Palatino Linotype"/>
                <w:color w:val="000000" w:themeColor="text1"/>
              </w:rPr>
            </w:pPr>
          </w:p>
        </w:tc>
        <w:tc>
          <w:tcPr>
            <w:tcW w:w="2268" w:type="dxa"/>
            <w:vMerge/>
          </w:tcPr>
          <w:p w14:paraId="211E371A" w14:textId="77777777" w:rsidR="006D7A96" w:rsidRPr="00255189" w:rsidRDefault="006D7A96" w:rsidP="006D7A96">
            <w:pPr>
              <w:jc w:val="both"/>
              <w:rPr>
                <w:rFonts w:ascii="Palatino Linotype" w:hAnsi="Palatino Linotype"/>
                <w:color w:val="000000" w:themeColor="text1"/>
              </w:rPr>
            </w:pPr>
          </w:p>
        </w:tc>
      </w:tr>
      <w:tr w:rsidR="006D7A96" w:rsidRPr="00255189" w14:paraId="7F731B38" w14:textId="77777777" w:rsidTr="006D7A96">
        <w:tc>
          <w:tcPr>
            <w:tcW w:w="2155" w:type="dxa"/>
            <w:vMerge/>
            <w:shd w:val="clear" w:color="auto" w:fill="C6D9F1" w:themeFill="text2" w:themeFillTint="33"/>
          </w:tcPr>
          <w:p w14:paraId="43B34183" w14:textId="77777777" w:rsidR="006D7A96" w:rsidRPr="00255189" w:rsidRDefault="006D7A96" w:rsidP="006D7A96">
            <w:pPr>
              <w:jc w:val="both"/>
              <w:rPr>
                <w:rFonts w:ascii="Palatino Linotype" w:hAnsi="Palatino Linotype"/>
                <w:color w:val="000000" w:themeColor="text1"/>
              </w:rPr>
            </w:pPr>
          </w:p>
        </w:tc>
        <w:tc>
          <w:tcPr>
            <w:tcW w:w="1759" w:type="dxa"/>
            <w:vMerge/>
          </w:tcPr>
          <w:p w14:paraId="4EE51A74" w14:textId="77777777" w:rsidR="006D7A96" w:rsidRPr="00255189" w:rsidRDefault="006D7A96" w:rsidP="006D7A96">
            <w:pPr>
              <w:jc w:val="both"/>
              <w:rPr>
                <w:rFonts w:ascii="Palatino Linotype" w:hAnsi="Palatino Linotype"/>
                <w:color w:val="000000" w:themeColor="text1"/>
              </w:rPr>
            </w:pPr>
          </w:p>
        </w:tc>
        <w:tc>
          <w:tcPr>
            <w:tcW w:w="2269" w:type="dxa"/>
            <w:vMerge/>
          </w:tcPr>
          <w:p w14:paraId="4634A224" w14:textId="77777777" w:rsidR="006D7A96" w:rsidRPr="00255189" w:rsidRDefault="006D7A96" w:rsidP="006D7A96">
            <w:pPr>
              <w:jc w:val="both"/>
              <w:rPr>
                <w:rFonts w:ascii="Palatino Linotype" w:hAnsi="Palatino Linotype"/>
                <w:color w:val="000000" w:themeColor="text1"/>
              </w:rPr>
            </w:pPr>
          </w:p>
        </w:tc>
        <w:tc>
          <w:tcPr>
            <w:tcW w:w="2268" w:type="dxa"/>
          </w:tcPr>
          <w:p w14:paraId="6C3D1C49"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6D7A96" w:rsidRPr="00255189" w14:paraId="32F9BF9C" w14:textId="77777777" w:rsidTr="006D7A96">
        <w:trPr>
          <w:trHeight w:val="1454"/>
        </w:trPr>
        <w:tc>
          <w:tcPr>
            <w:tcW w:w="2155" w:type="dxa"/>
            <w:vMerge/>
            <w:shd w:val="clear" w:color="auto" w:fill="C6D9F1" w:themeFill="text2" w:themeFillTint="33"/>
          </w:tcPr>
          <w:p w14:paraId="7DE83989" w14:textId="77777777" w:rsidR="006D7A96" w:rsidRPr="00255189" w:rsidRDefault="006D7A96" w:rsidP="006D7A96">
            <w:pPr>
              <w:jc w:val="both"/>
              <w:rPr>
                <w:rFonts w:ascii="Palatino Linotype" w:hAnsi="Palatino Linotype"/>
                <w:color w:val="000000" w:themeColor="text1"/>
              </w:rPr>
            </w:pPr>
          </w:p>
        </w:tc>
        <w:tc>
          <w:tcPr>
            <w:tcW w:w="1759" w:type="dxa"/>
            <w:vMerge/>
          </w:tcPr>
          <w:p w14:paraId="50F44942" w14:textId="77777777" w:rsidR="006D7A96" w:rsidRPr="00255189" w:rsidRDefault="006D7A96" w:rsidP="006D7A96">
            <w:pPr>
              <w:jc w:val="both"/>
              <w:rPr>
                <w:rFonts w:ascii="Palatino Linotype" w:hAnsi="Palatino Linotype"/>
                <w:color w:val="000000" w:themeColor="text1"/>
              </w:rPr>
            </w:pPr>
          </w:p>
        </w:tc>
        <w:tc>
          <w:tcPr>
            <w:tcW w:w="2269" w:type="dxa"/>
            <w:vMerge/>
          </w:tcPr>
          <w:p w14:paraId="46AB58FF" w14:textId="77777777" w:rsidR="006D7A96" w:rsidRPr="00255189" w:rsidRDefault="006D7A96" w:rsidP="006D7A96">
            <w:pPr>
              <w:jc w:val="both"/>
              <w:rPr>
                <w:rFonts w:ascii="Palatino Linotype" w:hAnsi="Palatino Linotype"/>
                <w:color w:val="000000" w:themeColor="text1"/>
              </w:rPr>
            </w:pPr>
          </w:p>
        </w:tc>
        <w:tc>
          <w:tcPr>
            <w:tcW w:w="2268" w:type="dxa"/>
          </w:tcPr>
          <w:p w14:paraId="3681F751"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6D7A96" w:rsidRPr="00255189" w14:paraId="2B3B18CA" w14:textId="77777777" w:rsidTr="006D7A96">
        <w:tc>
          <w:tcPr>
            <w:tcW w:w="2155" w:type="dxa"/>
            <w:vMerge w:val="restart"/>
            <w:shd w:val="clear" w:color="auto" w:fill="C6D9F1" w:themeFill="text2" w:themeFillTint="33"/>
          </w:tcPr>
          <w:p w14:paraId="32388DB4"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14:paraId="3EA0F78D"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w:t>
            </w:r>
            <w:r w:rsidRPr="00255189">
              <w:rPr>
                <w:rFonts w:ascii="Palatino Linotype" w:hAnsi="Palatino Linotype"/>
                <w:color w:val="000000" w:themeColor="text1"/>
              </w:rPr>
              <w:lastRenderedPageBreak/>
              <w:t xml:space="preserve">del artículo 148 de la ley Estatal </w:t>
            </w:r>
          </w:p>
        </w:tc>
        <w:tc>
          <w:tcPr>
            <w:tcW w:w="2269" w:type="dxa"/>
          </w:tcPr>
          <w:p w14:paraId="4045A8CD"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entrega aún sin consentimiento del </w:t>
            </w:r>
            <w:r w:rsidRPr="00255189">
              <w:rPr>
                <w:rFonts w:ascii="Palatino Linotype" w:hAnsi="Palatino Linotype"/>
                <w:color w:val="000000" w:themeColor="text1"/>
              </w:rPr>
              <w:lastRenderedPageBreak/>
              <w:t xml:space="preserve">titular del dato personal </w:t>
            </w:r>
          </w:p>
        </w:tc>
        <w:tc>
          <w:tcPr>
            <w:tcW w:w="2268" w:type="dxa"/>
          </w:tcPr>
          <w:p w14:paraId="4B698C60" w14:textId="77777777" w:rsidR="006D7A96" w:rsidRPr="00255189" w:rsidRDefault="006D7A96" w:rsidP="006D7A96">
            <w:pPr>
              <w:jc w:val="both"/>
              <w:rPr>
                <w:rFonts w:ascii="Palatino Linotype" w:hAnsi="Palatino Linotype"/>
                <w:color w:val="000000" w:themeColor="text1"/>
              </w:rPr>
            </w:pPr>
          </w:p>
        </w:tc>
      </w:tr>
      <w:tr w:rsidR="006D7A96" w:rsidRPr="00255189" w14:paraId="55007D54" w14:textId="77777777" w:rsidTr="006D7A96">
        <w:trPr>
          <w:trHeight w:val="3404"/>
        </w:trPr>
        <w:tc>
          <w:tcPr>
            <w:tcW w:w="2155" w:type="dxa"/>
            <w:vMerge/>
            <w:shd w:val="clear" w:color="auto" w:fill="C6D9F1" w:themeFill="text2" w:themeFillTint="33"/>
          </w:tcPr>
          <w:p w14:paraId="1532D607" w14:textId="77777777" w:rsidR="006D7A96" w:rsidRPr="00255189" w:rsidRDefault="006D7A96" w:rsidP="006D7A96">
            <w:pPr>
              <w:jc w:val="both"/>
              <w:rPr>
                <w:rFonts w:ascii="Palatino Linotype" w:hAnsi="Palatino Linotype"/>
                <w:color w:val="000000" w:themeColor="text1"/>
              </w:rPr>
            </w:pPr>
          </w:p>
        </w:tc>
        <w:tc>
          <w:tcPr>
            <w:tcW w:w="1759" w:type="dxa"/>
          </w:tcPr>
          <w:p w14:paraId="5A497972" w14:textId="77777777" w:rsidR="006D7A96" w:rsidRPr="00255189" w:rsidRDefault="006D7A96" w:rsidP="006D7A96">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14:paraId="4FC4FF60" w14:textId="77777777" w:rsidR="006D7A96" w:rsidRPr="00255189" w:rsidRDefault="006D7A96" w:rsidP="006D7A96">
            <w:pPr>
              <w:jc w:val="both"/>
              <w:rPr>
                <w:rFonts w:ascii="Palatino Linotype" w:hAnsi="Palatino Linotype"/>
                <w:color w:val="000000" w:themeColor="text1"/>
              </w:rPr>
            </w:pPr>
          </w:p>
        </w:tc>
        <w:tc>
          <w:tcPr>
            <w:tcW w:w="2268" w:type="dxa"/>
          </w:tcPr>
          <w:p w14:paraId="5385F478" w14:textId="77777777" w:rsidR="006D7A96" w:rsidRPr="00255189" w:rsidRDefault="006D7A96" w:rsidP="006D7A96">
            <w:pPr>
              <w:jc w:val="both"/>
              <w:rPr>
                <w:rFonts w:ascii="Palatino Linotype" w:hAnsi="Palatino Linotype"/>
                <w:color w:val="000000" w:themeColor="text1"/>
              </w:rPr>
            </w:pPr>
          </w:p>
        </w:tc>
      </w:tr>
    </w:tbl>
    <w:p w14:paraId="0ED4E246" w14:textId="77777777" w:rsidR="006D7A96" w:rsidRDefault="006D7A96" w:rsidP="007F0819">
      <w:pPr>
        <w:numPr>
          <w:ilvl w:val="0"/>
          <w:numId w:val="2"/>
        </w:numPr>
        <w:spacing w:line="360" w:lineRule="auto"/>
        <w:ind w:left="0" w:firstLine="0"/>
        <w:contextualSpacing/>
        <w:jc w:val="both"/>
        <w:rPr>
          <w:rFonts w:ascii="Palatino Linotype" w:hAnsi="Palatino Linotype" w:cs="Times New Roman"/>
          <w:color w:val="000000" w:themeColor="text1"/>
          <w:lang w:eastAsia="es-ES_tradnl"/>
        </w:rPr>
      </w:pPr>
      <w:r w:rsidRPr="00255189">
        <w:rPr>
          <w:rFonts w:ascii="Palatino Linotype" w:hAnsi="Palatino Linotype"/>
          <w:color w:val="000000" w:themeColor="text1"/>
        </w:rPr>
        <w:t>Pero</w:t>
      </w:r>
      <w:r w:rsidRPr="00255189">
        <w:rPr>
          <w:rFonts w:ascii="Palatino Linotype" w:hAnsi="Palatino Linotype" w:cs="Times New Roman"/>
          <w:color w:val="000000" w:themeColor="text1"/>
          <w:lang w:eastAsia="es-ES_tradnl"/>
        </w:rPr>
        <w:t xml:space="preserve"> si la información que se pretende clasificar como confidencial no se </w:t>
      </w:r>
      <w:r w:rsidRPr="007F0819">
        <w:rPr>
          <w:rFonts w:ascii="Palatino Linotype" w:hAnsi="Palatino Linotype"/>
          <w:color w:val="000000" w:themeColor="text1"/>
        </w:rPr>
        <w:t>encuentra</w:t>
      </w:r>
      <w:r w:rsidRPr="00255189">
        <w:rPr>
          <w:rFonts w:ascii="Palatino Linotype" w:hAnsi="Palatino Linotype" w:cs="Times New Roman"/>
          <w:color w:val="000000" w:themeColor="text1"/>
          <w:lang w:eastAsia="es-ES_tradnl"/>
        </w:rPr>
        <w:t xml:space="preserve"> en los supuestos antes señalados y es posible, se deberá consultar al titular de los datos si permite o no el acceso. De no ser posible, la realización de la consulta, procede, fundando y motivando, la clasificación.</w:t>
      </w:r>
    </w:p>
    <w:p w14:paraId="7FE8148D" w14:textId="77777777" w:rsidR="007F0819" w:rsidRPr="00255189" w:rsidRDefault="007F0819" w:rsidP="007F0819">
      <w:pPr>
        <w:spacing w:line="360" w:lineRule="auto"/>
        <w:contextualSpacing/>
        <w:jc w:val="both"/>
        <w:rPr>
          <w:rFonts w:ascii="Palatino Linotype" w:hAnsi="Palatino Linotype" w:cs="Times New Roman"/>
          <w:color w:val="000000" w:themeColor="text1"/>
          <w:lang w:eastAsia="es-ES_tradnl"/>
        </w:rPr>
      </w:pPr>
    </w:p>
    <w:p w14:paraId="17F95A58" w14:textId="77777777" w:rsidR="006D7A96" w:rsidRPr="00255189" w:rsidRDefault="006D7A96" w:rsidP="007F0819">
      <w:pPr>
        <w:numPr>
          <w:ilvl w:val="0"/>
          <w:numId w:val="2"/>
        </w:numPr>
        <w:spacing w:line="360" w:lineRule="auto"/>
        <w:ind w:left="0" w:firstLine="0"/>
        <w:contextualSpacing/>
        <w:jc w:val="both"/>
        <w:rPr>
          <w:rFonts w:ascii="Palatino Linotype" w:eastAsia="Times New Roman" w:hAnsi="Palatino Linotype" w:cs="Arial"/>
          <w:color w:val="000000" w:themeColor="text1"/>
          <w:lang w:eastAsia="es-MX"/>
        </w:rPr>
      </w:pPr>
      <w:r w:rsidRPr="00255189">
        <w:rPr>
          <w:rFonts w:ascii="Palatino Linotype" w:hAnsi="Palatino Linotype"/>
          <w:color w:val="000000" w:themeColor="text1"/>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40B9D50" w14:textId="77777777" w:rsidR="006D7A96" w:rsidRPr="00255189" w:rsidRDefault="006D7A96" w:rsidP="006D7A96">
      <w:pPr>
        <w:ind w:left="720"/>
        <w:contextualSpacing/>
        <w:rPr>
          <w:rFonts w:ascii="Palatino Linotype" w:eastAsia="Times New Roman" w:hAnsi="Palatino Linotype" w:cs="Arial"/>
          <w:color w:val="000000"/>
        </w:rPr>
      </w:pPr>
    </w:p>
    <w:p w14:paraId="5C9EDA81" w14:textId="77777777" w:rsidR="006D7A96" w:rsidRPr="00FC04DF" w:rsidRDefault="006D7A96" w:rsidP="007F0819">
      <w:pPr>
        <w:numPr>
          <w:ilvl w:val="0"/>
          <w:numId w:val="2"/>
        </w:numPr>
        <w:spacing w:line="360" w:lineRule="auto"/>
        <w:ind w:left="0" w:firstLine="0"/>
        <w:contextualSpacing/>
        <w:jc w:val="both"/>
        <w:rPr>
          <w:rFonts w:ascii="Palatino Linotype" w:eastAsia="MS Mincho" w:hAnsi="Palatino Linotype" w:cstheme="majorBidi"/>
        </w:rPr>
      </w:pPr>
      <w:r w:rsidRPr="007F0819">
        <w:rPr>
          <w:rFonts w:ascii="Palatino Linotype" w:hAnsi="Palatino Linotype"/>
          <w:color w:val="000000" w:themeColor="text1"/>
        </w:rPr>
        <w:lastRenderedPageBreak/>
        <w:t>Por</w:t>
      </w:r>
      <w:r w:rsidRPr="00255189">
        <w:rPr>
          <w:rFonts w:ascii="Palatino Linotype" w:eastAsia="Times New Roman" w:hAnsi="Palatino Linotype" w:cs="Arial"/>
          <w:color w:val="000000"/>
        </w:rPr>
        <w:t xml:space="preserve"> lo anteriormente expuesto y fundado, este </w:t>
      </w:r>
      <w:r w:rsidRPr="00255189">
        <w:rPr>
          <w:rFonts w:ascii="Palatino Linotype" w:eastAsia="Times New Roman" w:hAnsi="Palatino Linotype" w:cs="Arial"/>
          <w:b/>
          <w:color w:val="000000"/>
        </w:rPr>
        <w:t>ÓRGANO GARANTE</w:t>
      </w:r>
      <w:r w:rsidRPr="00255189">
        <w:rPr>
          <w:rFonts w:ascii="Palatino Linotype" w:eastAsia="Times New Roman" w:hAnsi="Palatino Linotype" w:cs="Arial"/>
          <w:color w:val="000000"/>
        </w:rPr>
        <w:t xml:space="preserve"> emite los siguientes:</w:t>
      </w:r>
    </w:p>
    <w:p w14:paraId="78EEDC22" w14:textId="77777777" w:rsidR="00FC04DF" w:rsidRPr="00255189" w:rsidRDefault="00FC04DF" w:rsidP="00FC04DF">
      <w:pPr>
        <w:spacing w:line="360" w:lineRule="auto"/>
        <w:contextualSpacing/>
        <w:jc w:val="both"/>
        <w:rPr>
          <w:rFonts w:ascii="Palatino Linotype" w:eastAsia="MS Mincho" w:hAnsi="Palatino Linotype" w:cstheme="majorBidi"/>
        </w:rPr>
      </w:pPr>
    </w:p>
    <w:p w14:paraId="55317BE6" w14:textId="77777777" w:rsidR="006D7A96" w:rsidRPr="00255189" w:rsidRDefault="006D7A96" w:rsidP="006D7A96">
      <w:pPr>
        <w:keepNext/>
        <w:keepLines/>
        <w:spacing w:before="240" w:line="360" w:lineRule="auto"/>
        <w:jc w:val="center"/>
        <w:outlineLvl w:val="0"/>
        <w:rPr>
          <w:rFonts w:ascii="Palatino Linotype" w:eastAsia="Calibri" w:hAnsi="Palatino Linotype" w:cstheme="majorBidi"/>
          <w:lang w:val="es-ES"/>
        </w:rPr>
      </w:pPr>
      <w:bookmarkStart w:id="219" w:name="_Toc524344198"/>
      <w:bookmarkStart w:id="220" w:name="_Toc526271203"/>
      <w:bookmarkStart w:id="221" w:name="_Toc536106982"/>
      <w:bookmarkStart w:id="222" w:name="_Toc3467961"/>
      <w:bookmarkStart w:id="223" w:name="_Toc49863025"/>
      <w:r w:rsidRPr="00255189">
        <w:rPr>
          <w:rFonts w:ascii="Palatino Linotype" w:eastAsia="Calibri" w:hAnsi="Palatino Linotype" w:cstheme="majorBidi"/>
          <w:b/>
          <w:lang w:val="es-ES"/>
        </w:rPr>
        <w:t>R E S O L U T I V O S</w:t>
      </w:r>
      <w:bookmarkEnd w:id="219"/>
      <w:bookmarkEnd w:id="220"/>
      <w:bookmarkEnd w:id="221"/>
      <w:bookmarkEnd w:id="222"/>
      <w:bookmarkEnd w:id="223"/>
      <w:r w:rsidRPr="00255189">
        <w:rPr>
          <w:rFonts w:ascii="Palatino Linotype" w:eastAsia="Calibri" w:hAnsi="Palatino Linotype" w:cstheme="majorBidi"/>
          <w:b/>
          <w:lang w:val="es-ES"/>
        </w:rPr>
        <w:t xml:space="preserve"> </w:t>
      </w:r>
    </w:p>
    <w:p w14:paraId="666B1C1D" w14:textId="77777777" w:rsidR="006D7A96" w:rsidRPr="00255189" w:rsidRDefault="006D7A96" w:rsidP="006D7A96">
      <w:pPr>
        <w:rPr>
          <w:lang w:val="es-ES"/>
        </w:rPr>
      </w:pPr>
    </w:p>
    <w:p w14:paraId="36228483" w14:textId="7CBE1FDD" w:rsidR="006D7A96" w:rsidRPr="00255189" w:rsidRDefault="006D7A96" w:rsidP="006D7A96">
      <w:pPr>
        <w:spacing w:line="360" w:lineRule="auto"/>
        <w:jc w:val="both"/>
        <w:rPr>
          <w:rFonts w:ascii="Palatino Linotype" w:hAnsi="Palatino Linotype" w:cs="Arial"/>
          <w:bCs/>
          <w:lang w:eastAsia="es-MX"/>
        </w:rPr>
      </w:pPr>
      <w:r w:rsidRPr="00255189">
        <w:rPr>
          <w:rFonts w:ascii="Palatino Linotype" w:eastAsia="Times New Roman" w:hAnsi="Palatino Linotype" w:cs="Arial"/>
          <w:b/>
        </w:rPr>
        <w:t xml:space="preserve">PRIMERO. </w:t>
      </w:r>
      <w:r w:rsidRPr="00255189">
        <w:rPr>
          <w:rFonts w:ascii="Palatino Linotype" w:eastAsia="Times New Roman" w:hAnsi="Palatino Linotype" w:cs="Arial"/>
        </w:rPr>
        <w:t>Resultan fundadas las</w:t>
      </w:r>
      <w:r w:rsidRPr="00255189">
        <w:rPr>
          <w:rFonts w:ascii="Palatino Linotype" w:eastAsia="Times New Roman" w:hAnsi="Palatino Linotype" w:cs="Arial"/>
          <w:b/>
        </w:rPr>
        <w:t xml:space="preserve"> </w:t>
      </w:r>
      <w:r w:rsidRPr="00255189">
        <w:rPr>
          <w:rFonts w:ascii="Palatino Linotype" w:eastAsia="Times New Roman" w:hAnsi="Palatino Linotype" w:cs="Arial"/>
          <w:lang w:val="es-ES"/>
        </w:rPr>
        <w:t xml:space="preserve">razones o motivos de </w:t>
      </w:r>
      <w:r>
        <w:rPr>
          <w:rFonts w:ascii="Palatino Linotype" w:eastAsia="Times New Roman" w:hAnsi="Palatino Linotype" w:cs="Arial"/>
          <w:lang w:val="es-ES"/>
        </w:rPr>
        <w:t xml:space="preserve">inconformidad hechos valer en </w:t>
      </w:r>
      <w:r w:rsidR="00C515DD">
        <w:rPr>
          <w:rFonts w:ascii="Palatino Linotype" w:eastAsia="Times New Roman" w:hAnsi="Palatino Linotype" w:cs="Arial"/>
          <w:lang w:val="es-ES"/>
        </w:rPr>
        <w:t>e</w:t>
      </w:r>
      <w:r>
        <w:rPr>
          <w:rFonts w:ascii="Palatino Linotype" w:eastAsia="Times New Roman" w:hAnsi="Palatino Linotype" w:cs="Arial"/>
          <w:lang w:val="es-ES"/>
        </w:rPr>
        <w:t>l</w:t>
      </w:r>
      <w:r w:rsidRPr="00255189">
        <w:rPr>
          <w:rFonts w:ascii="Palatino Linotype" w:eastAsia="Times New Roman" w:hAnsi="Palatino Linotype" w:cs="Arial"/>
          <w:lang w:val="es-ES"/>
        </w:rPr>
        <w:t xml:space="preserve"> recurso de revisión </w:t>
      </w:r>
      <w:r w:rsidR="00C27631">
        <w:rPr>
          <w:rFonts w:ascii="Palatino Linotype" w:eastAsia="Times New Roman" w:hAnsi="Palatino Linotype" w:cs="Arial"/>
          <w:b/>
          <w:bCs/>
        </w:rPr>
        <w:t>02028/INFOEM/IP/RR/2020</w:t>
      </w:r>
      <w:r w:rsidRPr="00626BA7">
        <w:rPr>
          <w:rFonts w:ascii="Palatino Linotype" w:eastAsia="Times New Roman" w:hAnsi="Palatino Linotype" w:cs="Arial"/>
          <w:b/>
          <w:bCs/>
        </w:rPr>
        <w:t xml:space="preserve"> </w:t>
      </w:r>
      <w:r w:rsidRPr="00626BA7">
        <w:rPr>
          <w:rFonts w:ascii="Palatino Linotype" w:hAnsi="Palatino Linotype" w:cs="Arial"/>
          <w:bCs/>
          <w:lang w:eastAsia="es-MX"/>
        </w:rPr>
        <w:t xml:space="preserve">en términos del </w:t>
      </w:r>
      <w:r w:rsidRPr="00626BA7">
        <w:rPr>
          <w:rFonts w:ascii="Palatino Linotype" w:hAnsi="Palatino Linotype" w:cs="Arial"/>
          <w:b/>
          <w:bCs/>
          <w:lang w:eastAsia="es-MX"/>
        </w:rPr>
        <w:t>Considerando</w:t>
      </w:r>
      <w:r w:rsidRPr="00255189">
        <w:rPr>
          <w:rFonts w:ascii="Palatino Linotype" w:hAnsi="Palatino Linotype" w:cs="Arial"/>
          <w:b/>
          <w:bCs/>
          <w:lang w:eastAsia="es-MX"/>
        </w:rPr>
        <w:t xml:space="preserve"> CUARTO </w:t>
      </w:r>
      <w:r w:rsidRPr="00255189">
        <w:rPr>
          <w:rFonts w:ascii="Palatino Linotype" w:hAnsi="Palatino Linotype" w:cs="Arial"/>
          <w:bCs/>
          <w:lang w:eastAsia="es-MX"/>
        </w:rPr>
        <w:t>de la presente resolución.</w:t>
      </w:r>
    </w:p>
    <w:p w14:paraId="654278B8" w14:textId="77777777" w:rsidR="006D7A96" w:rsidRPr="00255189" w:rsidRDefault="006D7A96" w:rsidP="006D7A96">
      <w:pPr>
        <w:spacing w:line="360" w:lineRule="auto"/>
        <w:jc w:val="both"/>
        <w:rPr>
          <w:rFonts w:ascii="Palatino Linotype" w:hAnsi="Palatino Linotype" w:cs="Arial"/>
          <w:bCs/>
          <w:lang w:eastAsia="es-MX"/>
        </w:rPr>
      </w:pPr>
    </w:p>
    <w:p w14:paraId="421E1099" w14:textId="1357E2B8" w:rsidR="006D7A96" w:rsidRPr="00255189" w:rsidRDefault="006D7A96" w:rsidP="006D7A96">
      <w:pPr>
        <w:spacing w:line="360" w:lineRule="auto"/>
        <w:jc w:val="both"/>
        <w:rPr>
          <w:rFonts w:ascii="Palatino Linotype" w:eastAsia="Calibri" w:hAnsi="Palatino Linotype" w:cs="Arial"/>
          <w:b/>
          <w:lang w:val="es-ES"/>
        </w:rPr>
      </w:pPr>
      <w:r w:rsidRPr="00255189">
        <w:rPr>
          <w:rFonts w:ascii="Palatino Linotype" w:eastAsia="Calibri" w:hAnsi="Palatino Linotype" w:cs="Arial"/>
          <w:b/>
          <w:bCs/>
          <w:lang w:val="es-ES"/>
        </w:rPr>
        <w:t xml:space="preserve">SEGUNDO. </w:t>
      </w:r>
      <w:r w:rsidRPr="00255189">
        <w:rPr>
          <w:rFonts w:ascii="Palatino Linotype" w:eastAsia="Calibri" w:hAnsi="Palatino Linotype" w:cs="Arial"/>
          <w:lang w:val="es-ES"/>
        </w:rPr>
        <w:t xml:space="preserve">Se </w:t>
      </w:r>
      <w:r w:rsidRPr="00255189">
        <w:rPr>
          <w:rFonts w:ascii="Palatino Linotype" w:eastAsia="Calibri" w:hAnsi="Palatino Linotype" w:cs="Arial"/>
          <w:b/>
          <w:lang w:val="es-ES"/>
        </w:rPr>
        <w:t xml:space="preserve">ORDENA </w:t>
      </w:r>
      <w:r w:rsidRPr="00255189">
        <w:rPr>
          <w:rFonts w:ascii="Palatino Linotype" w:eastAsia="Calibri" w:hAnsi="Palatino Linotype" w:cs="Arial"/>
          <w:lang w:val="es-ES"/>
        </w:rPr>
        <w:t xml:space="preserve">al </w:t>
      </w:r>
      <w:r w:rsidRPr="00626BA7">
        <w:rPr>
          <w:rFonts w:ascii="Palatino Linotype" w:eastAsia="Calibri" w:hAnsi="Palatino Linotype" w:cs="Arial"/>
          <w:b/>
          <w:bCs/>
        </w:rPr>
        <w:t xml:space="preserve">Ayuntamiento de </w:t>
      </w:r>
      <w:r w:rsidR="006037FC">
        <w:rPr>
          <w:rFonts w:ascii="Palatino Linotype" w:eastAsia="Calibri" w:hAnsi="Palatino Linotype" w:cs="Arial"/>
          <w:b/>
          <w:bCs/>
        </w:rPr>
        <w:t>Ozumba</w:t>
      </w:r>
      <w:r>
        <w:rPr>
          <w:rFonts w:ascii="Palatino Linotype" w:eastAsia="Calibri" w:hAnsi="Palatino Linotype" w:cs="Arial"/>
          <w:b/>
          <w:bCs/>
        </w:rPr>
        <w:t xml:space="preserve"> </w:t>
      </w:r>
      <w:r w:rsidRPr="00255189">
        <w:rPr>
          <w:rFonts w:ascii="Palatino Linotype" w:eastAsia="Calibri" w:hAnsi="Palatino Linotype" w:cs="Arial"/>
          <w:lang w:val="es-ES"/>
        </w:rPr>
        <w:t>dar atención a la solicitud de información</w:t>
      </w:r>
      <w:r w:rsidRPr="00A55292">
        <w:t xml:space="preserve"> </w:t>
      </w:r>
      <w:r w:rsidR="00F45415" w:rsidRPr="00F45415">
        <w:rPr>
          <w:rFonts w:ascii="Palatino Linotype" w:eastAsia="Calibri" w:hAnsi="Palatino Linotype" w:cs="Arial"/>
          <w:b/>
          <w:lang w:val="es-ES"/>
        </w:rPr>
        <w:t>00183/OZUMBA/IP/2019</w:t>
      </w:r>
      <w:r w:rsidR="00F45415">
        <w:rPr>
          <w:rFonts w:ascii="Palatino Linotype" w:eastAsia="Calibri" w:hAnsi="Palatino Linotype" w:cs="Arial"/>
          <w:b/>
          <w:lang w:val="es-ES"/>
        </w:rPr>
        <w:t xml:space="preserve"> </w:t>
      </w:r>
      <w:r w:rsidRPr="00255189">
        <w:rPr>
          <w:rFonts w:ascii="Palatino Linotype" w:eastAsia="Calibri" w:hAnsi="Palatino Linotype" w:cs="Arial"/>
          <w:lang w:val="es-ES"/>
        </w:rPr>
        <w:t xml:space="preserve">y en su caso, entregar la información </w:t>
      </w:r>
      <w:r w:rsidR="00C515DD">
        <w:rPr>
          <w:rFonts w:ascii="Palatino Linotype" w:eastAsia="Calibri" w:hAnsi="Palatino Linotype" w:cs="Arial"/>
          <w:lang w:val="es-ES"/>
        </w:rPr>
        <w:t>vía</w:t>
      </w:r>
      <w:r w:rsidRPr="00255189">
        <w:rPr>
          <w:rFonts w:ascii="Palatino Linotype" w:eastAsia="Calibri" w:hAnsi="Palatino Linotype" w:cs="Arial"/>
          <w:lang w:val="es-ES"/>
        </w:rPr>
        <w:t xml:space="preserve"> </w:t>
      </w:r>
      <w:r w:rsidRPr="00255189">
        <w:rPr>
          <w:rFonts w:ascii="Palatino Linotype" w:eastAsia="Calibri" w:hAnsi="Palatino Linotype" w:cs="Arial"/>
        </w:rPr>
        <w:t>Sistema de Acceso a Información Mexiquense (</w:t>
      </w:r>
      <w:r w:rsidR="00C515DD">
        <w:rPr>
          <w:rFonts w:ascii="Palatino Linotype" w:eastAsia="Calibri" w:hAnsi="Palatino Linotype" w:cs="Arial"/>
          <w:b/>
          <w:lang w:val="es-ES"/>
        </w:rPr>
        <w:t xml:space="preserve">SAIMEX), </w:t>
      </w:r>
      <w:r w:rsidR="00C515DD" w:rsidRPr="00C515DD">
        <w:rPr>
          <w:rFonts w:ascii="Palatino Linotype" w:eastAsia="Calibri" w:hAnsi="Palatino Linotype" w:cs="Arial"/>
          <w:lang w:val="es-ES"/>
        </w:rPr>
        <w:t>debiendo observar las excepciones contenidas en la Ley de Transparencia y Acceso a la Información Pública del Estado de México y Municipios, en términos de</w:t>
      </w:r>
      <w:r w:rsidR="00780D0F">
        <w:rPr>
          <w:rFonts w:ascii="Palatino Linotype" w:eastAsia="Calibri" w:hAnsi="Palatino Linotype" w:cs="Arial"/>
          <w:lang w:val="es-ES"/>
        </w:rPr>
        <w:t xml:space="preserve"> </w:t>
      </w:r>
      <w:r w:rsidR="00C515DD" w:rsidRPr="00C515DD">
        <w:rPr>
          <w:rFonts w:ascii="Palatino Linotype" w:eastAsia="Calibri" w:hAnsi="Palatino Linotype" w:cs="Arial"/>
          <w:lang w:val="es-ES"/>
        </w:rPr>
        <w:t>l</w:t>
      </w:r>
      <w:r w:rsidR="00780D0F">
        <w:rPr>
          <w:rFonts w:ascii="Palatino Linotype" w:eastAsia="Calibri" w:hAnsi="Palatino Linotype" w:cs="Arial"/>
          <w:lang w:val="es-ES"/>
        </w:rPr>
        <w:t>os</w:t>
      </w:r>
      <w:r w:rsidR="00C515DD" w:rsidRPr="00C515DD">
        <w:rPr>
          <w:rFonts w:ascii="Palatino Linotype" w:eastAsia="Calibri" w:hAnsi="Palatino Linotype" w:cs="Arial"/>
          <w:lang w:val="es-ES"/>
        </w:rPr>
        <w:t xml:space="preserve"> </w:t>
      </w:r>
      <w:r w:rsidR="00C515DD" w:rsidRPr="00780D0F">
        <w:rPr>
          <w:rFonts w:ascii="Palatino Linotype" w:eastAsia="Calibri" w:hAnsi="Palatino Linotype" w:cs="Arial"/>
          <w:b/>
          <w:lang w:val="es-ES"/>
        </w:rPr>
        <w:t>Considerando</w:t>
      </w:r>
      <w:r w:rsidR="00780D0F">
        <w:rPr>
          <w:rFonts w:ascii="Palatino Linotype" w:eastAsia="Calibri" w:hAnsi="Palatino Linotype" w:cs="Arial"/>
          <w:b/>
          <w:lang w:val="es-ES"/>
        </w:rPr>
        <w:t>s</w:t>
      </w:r>
      <w:r w:rsidR="00C515DD" w:rsidRPr="00780D0F">
        <w:rPr>
          <w:rFonts w:ascii="Palatino Linotype" w:eastAsia="Calibri" w:hAnsi="Palatino Linotype" w:cs="Arial"/>
          <w:b/>
          <w:lang w:val="es-ES"/>
        </w:rPr>
        <w:t xml:space="preserve"> CUARTO</w:t>
      </w:r>
      <w:r w:rsidR="00780D0F">
        <w:rPr>
          <w:rFonts w:ascii="Palatino Linotype" w:eastAsia="Calibri" w:hAnsi="Palatino Linotype" w:cs="Arial"/>
          <w:lang w:val="es-ES"/>
        </w:rPr>
        <w:t xml:space="preserve"> y </w:t>
      </w:r>
      <w:r w:rsidR="00780D0F">
        <w:rPr>
          <w:rFonts w:ascii="Palatino Linotype" w:eastAsia="Calibri" w:hAnsi="Palatino Linotype" w:cs="Arial"/>
          <w:b/>
          <w:lang w:val="es-ES"/>
        </w:rPr>
        <w:t>SÉPTIMO</w:t>
      </w:r>
      <w:r w:rsidR="00C515DD" w:rsidRPr="00C515DD">
        <w:rPr>
          <w:rFonts w:ascii="Palatino Linotype" w:eastAsia="Calibri" w:hAnsi="Palatino Linotype" w:cs="Arial"/>
          <w:lang w:val="es-ES"/>
        </w:rPr>
        <w:t xml:space="preserve"> de esta resolución.</w:t>
      </w:r>
    </w:p>
    <w:p w14:paraId="166F8AB0" w14:textId="77777777" w:rsidR="006D7A96" w:rsidRPr="00255189" w:rsidRDefault="006D7A96" w:rsidP="006D7A96">
      <w:pPr>
        <w:spacing w:line="360" w:lineRule="auto"/>
        <w:jc w:val="both"/>
        <w:rPr>
          <w:rFonts w:ascii="Palatino Linotype" w:eastAsia="Calibri" w:hAnsi="Palatino Linotype" w:cs="Arial"/>
          <w:lang w:val="es-ES"/>
        </w:rPr>
      </w:pPr>
    </w:p>
    <w:p w14:paraId="502831E4" w14:textId="77777777" w:rsidR="006D7A96" w:rsidRPr="00255189" w:rsidRDefault="006D7A96" w:rsidP="006D7A96">
      <w:pPr>
        <w:tabs>
          <w:tab w:val="left" w:pos="8080"/>
        </w:tabs>
        <w:spacing w:line="360" w:lineRule="auto"/>
        <w:ind w:right="49"/>
        <w:contextualSpacing/>
        <w:jc w:val="both"/>
        <w:rPr>
          <w:rFonts w:ascii="Palatino Linotype" w:eastAsia="Palatino Linotype" w:hAnsi="Palatino Linotype" w:cs="Palatino Linotype"/>
          <w:b/>
        </w:rPr>
      </w:pPr>
      <w:r w:rsidRPr="00255189">
        <w:rPr>
          <w:rFonts w:ascii="Palatino Linotype" w:eastAsia="Palatino Linotype" w:hAnsi="Palatino Linotype" w:cs="Palatino Linotype"/>
          <w:b/>
        </w:rPr>
        <w:t xml:space="preserve">TERCERO. Notifíquese </w:t>
      </w:r>
      <w:r w:rsidRPr="00255189">
        <w:rPr>
          <w:rFonts w:ascii="Palatino Linotype" w:eastAsia="Palatino Linotype" w:hAnsi="Palatino Linotype" w:cs="Palatino Linotype"/>
        </w:rPr>
        <w:t xml:space="preserve">al Titular de la Unidad de Transparencia del </w:t>
      </w:r>
      <w:r w:rsidRPr="00255189">
        <w:rPr>
          <w:rFonts w:ascii="Palatino Linotype" w:eastAsia="Palatino Linotype" w:hAnsi="Palatino Linotype" w:cs="Palatino Linotype"/>
          <w:b/>
        </w:rPr>
        <w:t>SUJETO OBLIGADO</w:t>
      </w:r>
      <w:r w:rsidRPr="0025518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5518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10EDB42" w14:textId="77777777" w:rsidR="006D7A96" w:rsidRPr="00255189" w:rsidRDefault="006D7A96" w:rsidP="006D7A96">
      <w:pPr>
        <w:shd w:val="clear" w:color="auto" w:fill="FFFFFF"/>
        <w:spacing w:line="360" w:lineRule="auto"/>
        <w:jc w:val="both"/>
        <w:rPr>
          <w:rFonts w:ascii="Palatino Linotype" w:eastAsia="Times New Roman" w:hAnsi="Palatino Linotype" w:cs="Arial"/>
          <w:b/>
        </w:rPr>
      </w:pPr>
    </w:p>
    <w:p w14:paraId="21FE4E3E" w14:textId="77777777" w:rsidR="006D7A96" w:rsidRPr="00626BA7" w:rsidRDefault="006D7A96" w:rsidP="006D7A96">
      <w:pPr>
        <w:shd w:val="clear" w:color="auto" w:fill="FFFFFF"/>
        <w:spacing w:line="360" w:lineRule="auto"/>
        <w:jc w:val="both"/>
        <w:rPr>
          <w:rFonts w:ascii="Palatino Linotype" w:eastAsia="MS Mincho" w:hAnsi="Palatino Linotype" w:cs="Times New Roman"/>
        </w:rPr>
      </w:pPr>
      <w:r w:rsidRPr="00255189">
        <w:rPr>
          <w:rFonts w:ascii="Palatino Linotype" w:eastAsia="Times New Roman" w:hAnsi="Palatino Linotype" w:cs="Arial"/>
          <w:b/>
        </w:rPr>
        <w:t xml:space="preserve">CUARTO. </w:t>
      </w:r>
      <w:r w:rsidRPr="00255189">
        <w:rPr>
          <w:rFonts w:ascii="Palatino Linotype" w:eastAsia="Times New Roman" w:hAnsi="Palatino Linotype" w:cs="Times New Roman"/>
          <w:b/>
          <w:bCs/>
          <w:color w:val="222222"/>
          <w:lang w:val="es-ES"/>
        </w:rPr>
        <w:t xml:space="preserve">Notifíquese </w:t>
      </w:r>
      <w:r w:rsidRPr="00626BA7">
        <w:rPr>
          <w:rFonts w:ascii="Palatino Linotype" w:eastAsia="Times New Roman" w:hAnsi="Palatino Linotype" w:cs="Times New Roman"/>
          <w:bCs/>
          <w:color w:val="222222"/>
          <w:lang w:val="es-ES"/>
        </w:rPr>
        <w:t>a</w:t>
      </w:r>
      <w:r w:rsidRPr="00626BA7">
        <w:rPr>
          <w:rFonts w:ascii="Palatino Linotype" w:hAnsi="Palatino Linotype"/>
        </w:rPr>
        <w:t xml:space="preserve"> </w:t>
      </w:r>
      <w:r w:rsidRPr="00626BA7">
        <w:rPr>
          <w:rFonts w:ascii="Palatino Linotype" w:hAnsi="Palatino Linotype"/>
          <w:b/>
        </w:rPr>
        <w:t xml:space="preserve">EL RECURRENTE </w:t>
      </w:r>
      <w:r w:rsidRPr="00626BA7">
        <w:rPr>
          <w:rFonts w:ascii="Palatino Linotype" w:hAnsi="Palatino Linotype"/>
        </w:rPr>
        <w:t>la presente resolución</w:t>
      </w:r>
      <w:r w:rsidRPr="00626BA7">
        <w:rPr>
          <w:rFonts w:ascii="Palatino Linotype" w:eastAsia="MS Mincho" w:hAnsi="Palatino Linotype" w:cs="Times New Roman"/>
        </w:rPr>
        <w:t>.</w:t>
      </w:r>
    </w:p>
    <w:p w14:paraId="340C5D24" w14:textId="77777777" w:rsidR="006D7A96" w:rsidRPr="00626BA7" w:rsidRDefault="006D7A96" w:rsidP="006D7A96">
      <w:pPr>
        <w:shd w:val="clear" w:color="auto" w:fill="FFFFFF"/>
        <w:spacing w:line="360" w:lineRule="auto"/>
        <w:jc w:val="both"/>
        <w:rPr>
          <w:rFonts w:ascii="Palatino Linotype" w:eastAsia="MS Mincho" w:hAnsi="Palatino Linotype" w:cs="Times New Roman"/>
        </w:rPr>
      </w:pPr>
    </w:p>
    <w:p w14:paraId="595E05E5" w14:textId="2DA15981" w:rsidR="006D7A96" w:rsidRDefault="006D7A96" w:rsidP="006D7A96">
      <w:pPr>
        <w:shd w:val="clear" w:color="auto" w:fill="FFFFFF"/>
        <w:spacing w:line="360" w:lineRule="auto"/>
        <w:jc w:val="both"/>
        <w:rPr>
          <w:rFonts w:ascii="Palatino Linotype" w:eastAsia="MS Mincho" w:hAnsi="Palatino Linotype" w:cs="Times New Roman"/>
          <w:lang w:val="es-ES"/>
        </w:rPr>
      </w:pPr>
      <w:r w:rsidRPr="00626BA7">
        <w:rPr>
          <w:rFonts w:ascii="Palatino Linotype" w:eastAsia="MS Mincho" w:hAnsi="Palatino Linotype" w:cs="Times New Roman"/>
          <w:b/>
        </w:rPr>
        <w:t>QUINTO.</w:t>
      </w:r>
      <w:r w:rsidRPr="00626BA7">
        <w:rPr>
          <w:rFonts w:ascii="Palatino Linotype" w:eastAsia="MS Mincho" w:hAnsi="Palatino Linotype" w:cs="Times New Roman"/>
        </w:rPr>
        <w:t xml:space="preserve"> </w:t>
      </w:r>
      <w:r w:rsidRPr="00626BA7">
        <w:rPr>
          <w:rFonts w:ascii="Palatino Linotype" w:eastAsia="MS Mincho" w:hAnsi="Palatino Linotype" w:cs="Times New Roman"/>
          <w:lang w:val="es-ES"/>
        </w:rPr>
        <w:t xml:space="preserve">Se hace del conocimiento de </w:t>
      </w:r>
      <w:r w:rsidRPr="00626BA7">
        <w:rPr>
          <w:rFonts w:ascii="Palatino Linotype" w:hAnsi="Palatino Linotype"/>
          <w:b/>
        </w:rPr>
        <w:t xml:space="preserve">EL RECURRENTE </w:t>
      </w:r>
      <w:r w:rsidRPr="00626BA7">
        <w:rPr>
          <w:rFonts w:ascii="Palatino Linotype" w:eastAsia="MS Mincho" w:hAnsi="Palatino Linotype" w:cs="Times New Roman"/>
          <w:lang w:val="es-ES"/>
        </w:rPr>
        <w:t>que, de conformidad con lo establecido en el artículo 196 de la Ley de Transparencia</w:t>
      </w:r>
      <w:r w:rsidRPr="00255189">
        <w:rPr>
          <w:rFonts w:ascii="Palatino Linotype" w:eastAsia="MS Mincho" w:hAnsi="Palatino Linotype" w:cs="Times New Roman"/>
          <w:lang w:val="es-ES"/>
        </w:rPr>
        <w:t xml:space="preserve">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lang w:val="es-ES"/>
        </w:rPr>
        <w:t>vía juicio de amparo</w:t>
      </w:r>
      <w:r w:rsidRPr="00255189">
        <w:rPr>
          <w:rFonts w:ascii="Palatino Linotype" w:eastAsia="MS Mincho" w:hAnsi="Palatino Linotype" w:cs="Times New Roman"/>
          <w:lang w:val="es-ES"/>
        </w:rPr>
        <w:t> en los términos de las leyes aplicables.</w:t>
      </w:r>
    </w:p>
    <w:p w14:paraId="0714F78A" w14:textId="77777777" w:rsidR="006D7A96" w:rsidRPr="00255189" w:rsidRDefault="006D7A96" w:rsidP="006D7A96">
      <w:pPr>
        <w:shd w:val="clear" w:color="auto" w:fill="FFFFFF"/>
        <w:spacing w:line="360" w:lineRule="auto"/>
        <w:jc w:val="both"/>
        <w:rPr>
          <w:rFonts w:ascii="Palatino Linotype" w:eastAsia="MS Mincho" w:hAnsi="Palatino Linotype" w:cs="Times New Roman"/>
          <w:lang w:val="es-ES"/>
        </w:rPr>
      </w:pPr>
    </w:p>
    <w:p w14:paraId="4A691856" w14:textId="77777777" w:rsidR="006D7A96" w:rsidRDefault="006D7A96" w:rsidP="006D7A96">
      <w:pPr>
        <w:shd w:val="clear" w:color="auto" w:fill="FFFFFF"/>
        <w:spacing w:line="360" w:lineRule="auto"/>
        <w:jc w:val="both"/>
        <w:rPr>
          <w:rFonts w:ascii="Palatino Linotype" w:eastAsia="MS Mincho" w:hAnsi="Palatino Linotype" w:cs="Times New Roman"/>
        </w:rPr>
      </w:pPr>
      <w:r>
        <w:rPr>
          <w:rFonts w:ascii="Palatino Linotype" w:eastAsia="MS Mincho" w:hAnsi="Palatino Linotype" w:cs="Times New Roman"/>
          <w:b/>
          <w:bCs/>
        </w:rPr>
        <w:t>SEXTO.</w:t>
      </w:r>
      <w:r>
        <w:rPr>
          <w:rFonts w:ascii="Palatino Linotype" w:eastAsia="MS Mincho" w:hAnsi="Palatino Linotype" w:cs="Times New Roman"/>
          <w:bCs/>
        </w:rPr>
        <w:t xml:space="preserve"> Hágase del conocimiento</w:t>
      </w:r>
      <w:r>
        <w:rPr>
          <w:rFonts w:ascii="Palatino Linotype" w:eastAsia="MS Mincho" w:hAnsi="Palatino Linotype" w:cs="Times New Roman"/>
          <w:b/>
          <w:bCs/>
        </w:rPr>
        <w:t> </w:t>
      </w:r>
      <w:r>
        <w:rPr>
          <w:rFonts w:ascii="Palatino Linotype" w:eastAsia="MS Mincho" w:hAnsi="Palatino Linotype" w:cs="Times New Roman"/>
        </w:rPr>
        <w:t>del </w:t>
      </w:r>
      <w:r>
        <w:rPr>
          <w:rFonts w:ascii="Palatino Linotype" w:eastAsia="MS Mincho" w:hAnsi="Palatino Linotype" w:cs="Times New Roman"/>
          <w:b/>
          <w:bCs/>
        </w:rPr>
        <w:t>RECURRENTE </w:t>
      </w:r>
      <w:r>
        <w:rPr>
          <w:rFonts w:ascii="Palatino Linotype" w:eastAsia="MS Mincho" w:hAnsi="Palatino Linotype" w:cs="Times New Roman"/>
        </w:rPr>
        <w:t>que la respuesta que dé </w:t>
      </w:r>
      <w:r>
        <w:rPr>
          <w:rFonts w:ascii="Palatino Linotype" w:eastAsia="MS Mincho" w:hAnsi="Palatino Linotype" w:cs="Times New Roman"/>
          <w:b/>
          <w:bCs/>
        </w:rPr>
        <w:t>EL SUJETO OBLIGADO</w:t>
      </w:r>
      <w:r>
        <w:rPr>
          <w:rFonts w:ascii="Palatino Linotype" w:eastAsia="MS Mincho" w:hAnsi="Palatino Linotype" w:cs="Times New Roman"/>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CD785B7" w14:textId="77777777" w:rsidR="006D7A96" w:rsidRDefault="006D7A96" w:rsidP="006D7A96">
      <w:pPr>
        <w:shd w:val="clear" w:color="auto" w:fill="FFFFFF"/>
        <w:spacing w:line="360" w:lineRule="auto"/>
        <w:jc w:val="both"/>
        <w:rPr>
          <w:rFonts w:ascii="Palatino Linotype" w:eastAsia="MS Mincho" w:hAnsi="Palatino Linotype" w:cs="Times New Roman"/>
          <w:lang w:val="es-ES"/>
        </w:rPr>
      </w:pPr>
    </w:p>
    <w:p w14:paraId="33319B97" w14:textId="77777777" w:rsidR="006D7A96" w:rsidRDefault="006D7A96" w:rsidP="006D7A96">
      <w:pPr>
        <w:spacing w:line="360" w:lineRule="auto"/>
        <w:jc w:val="both"/>
        <w:rPr>
          <w:rFonts w:ascii="Palatino Linotype" w:eastAsia="MS Mincho" w:hAnsi="Palatino Linotype" w:cs="Times New Roman"/>
          <w:b/>
        </w:rPr>
      </w:pPr>
      <w:r>
        <w:rPr>
          <w:rFonts w:ascii="Palatino Linotype" w:eastAsia="MS Mincho" w:hAnsi="Palatino Linotype" w:cs="Times New Roman"/>
          <w:b/>
        </w:rPr>
        <w:t xml:space="preserve">SÉPTIMO. </w:t>
      </w:r>
      <w:r>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rPr>
        <w:t>Considerando SEXTO.</w:t>
      </w:r>
    </w:p>
    <w:p w14:paraId="33E6AFBE" w14:textId="2FBFC2DE" w:rsidR="00F45415" w:rsidRDefault="00F45415" w:rsidP="00F45415">
      <w:pPr>
        <w:spacing w:before="240" w:after="360" w:line="360" w:lineRule="auto"/>
        <w:jc w:val="both"/>
        <w:rPr>
          <w:rFonts w:ascii="Palatino Linotype" w:hAnsi="Palatino Linotype"/>
          <w:color w:val="000000"/>
          <w:shd w:val="clear" w:color="auto" w:fill="FFFFFF"/>
        </w:rPr>
      </w:pPr>
      <w:r>
        <w:rPr>
          <w:rFonts w:ascii="Palatino Linotype" w:hAnsi="Palatino Linotype"/>
          <w:b/>
          <w:bCs/>
          <w:color w:val="000000"/>
          <w:shd w:val="clear" w:color="auto" w:fill="FFFFFF"/>
        </w:rPr>
        <w:t>OCTAVO.</w:t>
      </w:r>
      <w:r>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Pr>
          <w:rFonts w:ascii="Palatino Linotype" w:hAnsi="Palatino Linotype"/>
          <w:b/>
          <w:bCs/>
          <w:color w:val="000000"/>
          <w:shd w:val="clear" w:color="auto" w:fill="FFFFFF"/>
        </w:rPr>
        <w:t xml:space="preserve">SUJETO </w:t>
      </w:r>
      <w:r>
        <w:rPr>
          <w:rFonts w:ascii="Palatino Linotype" w:hAnsi="Palatino Linotype"/>
          <w:b/>
          <w:bCs/>
          <w:color w:val="000000"/>
          <w:shd w:val="clear" w:color="auto" w:fill="FFFFFF"/>
        </w:rPr>
        <w:lastRenderedPageBreak/>
        <w:t>OBLIGADO</w:t>
      </w:r>
      <w:r>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65471E96" w14:textId="1ED1C1C8" w:rsidR="008C41F1" w:rsidRDefault="008C41F1" w:rsidP="008C41F1">
      <w:pPr>
        <w:tabs>
          <w:tab w:val="left" w:pos="0"/>
        </w:tabs>
        <w:spacing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DÉCIMA NOVENA SESIÓN ORDINARIA CELEBRADA EL VEINTITRÉS DE SEPTIEMBRE DE DOS MIL VEINTE, ANTE EL SECRETARIO TÉCNICO DEL PLENO, </w:t>
      </w:r>
      <w:r>
        <w:rPr>
          <w:rFonts w:ascii="Palatino Linotype" w:hAnsi="Palatino Linotype"/>
        </w:rPr>
        <w:t>ALEXIS TAPIA RAMÍREZ</w:t>
      </w:r>
      <w:r>
        <w:rPr>
          <w:rFonts w:ascii="Palatino Linotype" w:hAnsi="Palatino Linotype" w:cs="Arial"/>
        </w:rPr>
        <w:t>.</w:t>
      </w:r>
    </w:p>
    <w:p w14:paraId="746D4651" w14:textId="4A964C2A" w:rsidR="008C41F1" w:rsidRDefault="008C41F1" w:rsidP="008C41F1">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02F4CE83" wp14:editId="315FB679">
                <wp:simplePos x="0" y="0"/>
                <wp:positionH relativeFrom="column">
                  <wp:posOffset>91440</wp:posOffset>
                </wp:positionH>
                <wp:positionV relativeFrom="paragraph">
                  <wp:posOffset>156844</wp:posOffset>
                </wp:positionV>
                <wp:extent cx="5353050" cy="282892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353050" cy="2828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481361"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12.35pt" to="428.7pt,2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" strokecolor="#4f81bd [3204]" strokeweight="2pt">
                <v:shadow on="t" color="black" opacity="24903f" origin=",.5" offset="0,.55556mm"/>
              </v:line>
            </w:pict>
          </mc:Fallback>
        </mc:AlternateContent>
      </w:r>
    </w:p>
    <w:p w14:paraId="1F2F8BDC" w14:textId="77777777" w:rsidR="008C41F1" w:rsidRDefault="008C41F1" w:rsidP="008C41F1">
      <w:pPr>
        <w:tabs>
          <w:tab w:val="left" w:pos="0"/>
        </w:tabs>
        <w:spacing w:line="360" w:lineRule="auto"/>
        <w:ind w:right="49"/>
        <w:jc w:val="both"/>
        <w:rPr>
          <w:rFonts w:ascii="Palatino Linotype" w:hAnsi="Palatino Linotype" w:cs="Arial"/>
        </w:rPr>
      </w:pPr>
    </w:p>
    <w:p w14:paraId="7E154944" w14:textId="77777777" w:rsidR="008C41F1" w:rsidRDefault="008C41F1" w:rsidP="008C41F1">
      <w:pPr>
        <w:tabs>
          <w:tab w:val="left" w:pos="0"/>
        </w:tabs>
        <w:spacing w:line="360" w:lineRule="auto"/>
        <w:ind w:right="49"/>
        <w:jc w:val="both"/>
        <w:rPr>
          <w:rFonts w:ascii="Palatino Linotype" w:hAnsi="Palatino Linotype" w:cs="Arial"/>
        </w:rPr>
      </w:pPr>
    </w:p>
    <w:p w14:paraId="11A8A773" w14:textId="77777777" w:rsidR="008C41F1" w:rsidRDefault="008C41F1" w:rsidP="008C41F1">
      <w:pPr>
        <w:tabs>
          <w:tab w:val="left" w:pos="0"/>
        </w:tabs>
        <w:spacing w:line="360" w:lineRule="auto"/>
        <w:ind w:right="49"/>
        <w:jc w:val="both"/>
        <w:rPr>
          <w:rFonts w:ascii="Palatino Linotype" w:hAnsi="Palatino Linotype" w:cs="Arial"/>
        </w:rPr>
      </w:pPr>
    </w:p>
    <w:p w14:paraId="0E2C9011" w14:textId="7003D99D" w:rsidR="008C41F1" w:rsidRDefault="008C41F1" w:rsidP="008C41F1">
      <w:pPr>
        <w:tabs>
          <w:tab w:val="left" w:pos="0"/>
        </w:tabs>
        <w:spacing w:line="360" w:lineRule="auto"/>
        <w:ind w:right="49"/>
        <w:jc w:val="both"/>
        <w:rPr>
          <w:rFonts w:ascii="Palatino Linotype" w:hAnsi="Palatino Linotype" w:cs="Arial"/>
        </w:rPr>
      </w:pPr>
    </w:p>
    <w:p w14:paraId="5EC05292" w14:textId="132C92AB" w:rsidR="008C41F1" w:rsidRDefault="008C41F1" w:rsidP="008C41F1">
      <w:pPr>
        <w:tabs>
          <w:tab w:val="left" w:pos="0"/>
        </w:tabs>
        <w:spacing w:line="360" w:lineRule="auto"/>
        <w:ind w:right="49"/>
        <w:jc w:val="both"/>
        <w:rPr>
          <w:rFonts w:ascii="Palatino Linotype" w:hAnsi="Palatino Linotype" w:cs="Arial"/>
        </w:rPr>
      </w:pPr>
    </w:p>
    <w:p w14:paraId="3003659E" w14:textId="0D5E1A6B" w:rsidR="008C41F1" w:rsidRDefault="008C41F1" w:rsidP="008C41F1">
      <w:pPr>
        <w:tabs>
          <w:tab w:val="left" w:pos="0"/>
        </w:tabs>
        <w:spacing w:line="360" w:lineRule="auto"/>
        <w:ind w:right="49"/>
        <w:jc w:val="both"/>
        <w:rPr>
          <w:rFonts w:ascii="Palatino Linotype" w:hAnsi="Palatino Linotype" w:cs="Arial"/>
        </w:rPr>
      </w:pPr>
    </w:p>
    <w:p w14:paraId="6E28414D" w14:textId="77777777" w:rsidR="008C41F1" w:rsidRDefault="008C41F1" w:rsidP="008C41F1">
      <w:pPr>
        <w:tabs>
          <w:tab w:val="left" w:pos="0"/>
        </w:tabs>
        <w:spacing w:line="360" w:lineRule="auto"/>
        <w:ind w:right="49"/>
        <w:jc w:val="both"/>
        <w:rPr>
          <w:rFonts w:ascii="Palatino Linotype" w:hAnsi="Palatino Linotype" w:cs="Arial"/>
        </w:rPr>
      </w:pPr>
    </w:p>
    <w:tbl>
      <w:tblPr>
        <w:tblW w:w="9915" w:type="dxa"/>
        <w:jc w:val="center"/>
        <w:tblLayout w:type="fixed"/>
        <w:tblLook w:val="04A0" w:firstRow="1" w:lastRow="0" w:firstColumn="1" w:lastColumn="0" w:noHBand="0" w:noVBand="1"/>
      </w:tblPr>
      <w:tblGrid>
        <w:gridCol w:w="4904"/>
        <w:gridCol w:w="5011"/>
      </w:tblGrid>
      <w:tr w:rsidR="008C41F1" w14:paraId="087D8ACD" w14:textId="77777777" w:rsidTr="008C41F1">
        <w:trPr>
          <w:jc w:val="center"/>
        </w:trPr>
        <w:tc>
          <w:tcPr>
            <w:tcW w:w="9918" w:type="dxa"/>
            <w:gridSpan w:val="2"/>
          </w:tcPr>
          <w:p w14:paraId="5E9F92DF" w14:textId="77777777" w:rsidR="008C41F1" w:rsidRDefault="008C41F1">
            <w:pPr>
              <w:tabs>
                <w:tab w:val="left" w:pos="0"/>
              </w:tabs>
              <w:rPr>
                <w:rFonts w:ascii="Palatino Linotype" w:hAnsi="Palatino Linotype" w:cs="Arial"/>
                <w:b/>
              </w:rPr>
            </w:pPr>
          </w:p>
          <w:p w14:paraId="2AD265C8" w14:textId="77777777" w:rsidR="008C41F1" w:rsidRDefault="008C41F1">
            <w:pPr>
              <w:tabs>
                <w:tab w:val="left" w:pos="0"/>
              </w:tabs>
              <w:rPr>
                <w:rFonts w:ascii="Palatino Linotype" w:hAnsi="Palatino Linotype" w:cs="Arial"/>
                <w:b/>
              </w:rPr>
            </w:pPr>
          </w:p>
          <w:p w14:paraId="64976B4B" w14:textId="77777777" w:rsidR="008C41F1" w:rsidRDefault="008C41F1">
            <w:pPr>
              <w:tabs>
                <w:tab w:val="left" w:pos="0"/>
              </w:tabs>
              <w:rPr>
                <w:rFonts w:ascii="Palatino Linotype" w:hAnsi="Palatino Linotype" w:cs="Arial"/>
                <w:b/>
              </w:rPr>
            </w:pPr>
          </w:p>
          <w:p w14:paraId="1FFBFA95" w14:textId="77777777" w:rsidR="008C41F1" w:rsidRDefault="008C41F1">
            <w:pPr>
              <w:tabs>
                <w:tab w:val="left" w:pos="0"/>
              </w:tabs>
              <w:jc w:val="center"/>
              <w:rPr>
                <w:rFonts w:ascii="Palatino Linotype" w:hAnsi="Palatino Linotype" w:cs="Arial"/>
                <w:b/>
              </w:rPr>
            </w:pPr>
            <w:r>
              <w:rPr>
                <w:rFonts w:ascii="Palatino Linotype" w:hAnsi="Palatino Linotype" w:cs="Arial"/>
                <w:b/>
              </w:rPr>
              <w:t>Zulema Martínez Sánchez</w:t>
            </w:r>
          </w:p>
          <w:p w14:paraId="20C8F3E8" w14:textId="77777777" w:rsidR="008C41F1" w:rsidRDefault="008C41F1">
            <w:pPr>
              <w:tabs>
                <w:tab w:val="left" w:pos="0"/>
              </w:tabs>
              <w:jc w:val="center"/>
              <w:rPr>
                <w:rFonts w:ascii="Palatino Linotype" w:hAnsi="Palatino Linotype" w:cs="Arial"/>
                <w:b/>
              </w:rPr>
            </w:pPr>
            <w:r>
              <w:rPr>
                <w:rFonts w:ascii="Palatino Linotype" w:hAnsi="Palatino Linotype" w:cs="Arial"/>
              </w:rPr>
              <w:t>Comisionada Presidenta</w:t>
            </w:r>
          </w:p>
          <w:p w14:paraId="5841D396" w14:textId="77777777" w:rsidR="008C41F1" w:rsidRDefault="008C41F1">
            <w:pPr>
              <w:tabs>
                <w:tab w:val="left" w:pos="0"/>
              </w:tabs>
              <w:jc w:val="center"/>
              <w:rPr>
                <w:rFonts w:ascii="Palatino Linotype" w:hAnsi="Palatino Linotype" w:cs="Arial"/>
                <w:b/>
              </w:rPr>
            </w:pPr>
            <w:r>
              <w:rPr>
                <w:rFonts w:ascii="Palatino Linotype" w:hAnsi="Palatino Linotype" w:cs="Arial"/>
                <w:b/>
              </w:rPr>
              <w:t xml:space="preserve">(Rúbrica) </w:t>
            </w:r>
          </w:p>
          <w:p w14:paraId="705F0631" w14:textId="77777777" w:rsidR="008C41F1" w:rsidRDefault="008C41F1">
            <w:pPr>
              <w:tabs>
                <w:tab w:val="left" w:pos="0"/>
              </w:tabs>
              <w:jc w:val="center"/>
              <w:rPr>
                <w:rFonts w:ascii="Palatino Linotype" w:hAnsi="Palatino Linotype" w:cs="Arial"/>
                <w:b/>
              </w:rPr>
            </w:pPr>
          </w:p>
        </w:tc>
      </w:tr>
      <w:tr w:rsidR="008C41F1" w14:paraId="0C201A83" w14:textId="77777777" w:rsidTr="008C41F1">
        <w:trPr>
          <w:jc w:val="center"/>
        </w:trPr>
        <w:tc>
          <w:tcPr>
            <w:tcW w:w="4905" w:type="dxa"/>
          </w:tcPr>
          <w:p w14:paraId="53429DD5" w14:textId="77777777" w:rsidR="008C41F1" w:rsidRDefault="008C41F1">
            <w:pPr>
              <w:tabs>
                <w:tab w:val="left" w:pos="0"/>
              </w:tabs>
              <w:rPr>
                <w:rFonts w:ascii="Palatino Linotype" w:hAnsi="Palatino Linotype" w:cs="Arial"/>
                <w:b/>
              </w:rPr>
            </w:pPr>
          </w:p>
          <w:p w14:paraId="3DADD988" w14:textId="77777777" w:rsidR="008C41F1" w:rsidRDefault="008C41F1">
            <w:pPr>
              <w:tabs>
                <w:tab w:val="left" w:pos="0"/>
              </w:tabs>
              <w:rPr>
                <w:rFonts w:ascii="Palatino Linotype" w:hAnsi="Palatino Linotype" w:cs="Arial"/>
                <w:b/>
              </w:rPr>
            </w:pPr>
          </w:p>
          <w:p w14:paraId="517F187D" w14:textId="77777777" w:rsidR="008C41F1" w:rsidRDefault="008C41F1">
            <w:pPr>
              <w:tabs>
                <w:tab w:val="left" w:pos="0"/>
              </w:tabs>
              <w:rPr>
                <w:rFonts w:ascii="Palatino Linotype" w:hAnsi="Palatino Linotype" w:cs="Arial"/>
                <w:b/>
              </w:rPr>
            </w:pPr>
          </w:p>
          <w:p w14:paraId="13DB4456" w14:textId="77777777" w:rsidR="008C41F1" w:rsidRDefault="008C41F1">
            <w:pPr>
              <w:tabs>
                <w:tab w:val="left" w:pos="0"/>
              </w:tabs>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DD9514F" w14:textId="77777777" w:rsidR="008C41F1" w:rsidRDefault="008C41F1">
            <w:pPr>
              <w:tabs>
                <w:tab w:val="left" w:pos="0"/>
              </w:tabs>
              <w:jc w:val="center"/>
              <w:rPr>
                <w:rFonts w:ascii="Palatino Linotype" w:hAnsi="Palatino Linotype" w:cs="Arial"/>
              </w:rPr>
            </w:pPr>
            <w:r>
              <w:rPr>
                <w:rFonts w:ascii="Palatino Linotype" w:hAnsi="Palatino Linotype" w:cs="Arial"/>
              </w:rPr>
              <w:t>Comisionada</w:t>
            </w:r>
          </w:p>
          <w:p w14:paraId="75113B22" w14:textId="77777777" w:rsidR="008C41F1" w:rsidRDefault="008C41F1">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311675B9" w14:textId="77777777" w:rsidR="008C41F1" w:rsidRDefault="008C41F1">
            <w:pPr>
              <w:tabs>
                <w:tab w:val="left" w:pos="0"/>
              </w:tabs>
              <w:rPr>
                <w:rFonts w:ascii="Palatino Linotype" w:hAnsi="Palatino Linotype" w:cs="Arial"/>
                <w:b/>
              </w:rPr>
            </w:pPr>
          </w:p>
          <w:p w14:paraId="45AF031D" w14:textId="77777777" w:rsidR="008C41F1" w:rsidRDefault="008C41F1">
            <w:pPr>
              <w:tabs>
                <w:tab w:val="left" w:pos="0"/>
              </w:tabs>
              <w:rPr>
                <w:rFonts w:ascii="Palatino Linotype" w:hAnsi="Palatino Linotype" w:cs="Arial"/>
                <w:b/>
              </w:rPr>
            </w:pPr>
          </w:p>
          <w:p w14:paraId="66173F42" w14:textId="77777777" w:rsidR="008C41F1" w:rsidRDefault="008C41F1">
            <w:pPr>
              <w:tabs>
                <w:tab w:val="left" w:pos="0"/>
              </w:tabs>
              <w:rPr>
                <w:rFonts w:ascii="Palatino Linotype" w:hAnsi="Palatino Linotype" w:cs="Arial"/>
                <w:b/>
              </w:rPr>
            </w:pPr>
          </w:p>
          <w:p w14:paraId="24E2AB02" w14:textId="77777777" w:rsidR="008C41F1" w:rsidRDefault="008C41F1">
            <w:pPr>
              <w:tabs>
                <w:tab w:val="left" w:pos="0"/>
              </w:tabs>
              <w:jc w:val="center"/>
              <w:rPr>
                <w:rFonts w:ascii="Palatino Linotype" w:hAnsi="Palatino Linotype" w:cs="Arial"/>
                <w:b/>
              </w:rPr>
            </w:pPr>
            <w:r>
              <w:rPr>
                <w:rFonts w:ascii="Palatino Linotype" w:hAnsi="Palatino Linotype" w:cs="Arial"/>
                <w:b/>
              </w:rPr>
              <w:t>José Guadalupe Luna Hernández</w:t>
            </w:r>
          </w:p>
          <w:p w14:paraId="26C73203" w14:textId="77777777" w:rsidR="008C41F1" w:rsidRDefault="008C41F1">
            <w:pPr>
              <w:tabs>
                <w:tab w:val="left" w:pos="0"/>
              </w:tabs>
              <w:jc w:val="center"/>
              <w:rPr>
                <w:rFonts w:ascii="Palatino Linotype" w:hAnsi="Palatino Linotype" w:cs="Arial"/>
              </w:rPr>
            </w:pPr>
            <w:r>
              <w:rPr>
                <w:rFonts w:ascii="Palatino Linotype" w:hAnsi="Palatino Linotype" w:cs="Arial"/>
              </w:rPr>
              <w:t>Comisionado</w:t>
            </w:r>
          </w:p>
          <w:p w14:paraId="42D65F1A" w14:textId="77777777" w:rsidR="008C41F1" w:rsidRDefault="008C41F1">
            <w:pPr>
              <w:tabs>
                <w:tab w:val="left" w:pos="0"/>
              </w:tabs>
              <w:jc w:val="center"/>
              <w:rPr>
                <w:rFonts w:ascii="Palatino Linotype" w:hAnsi="Palatino Linotype" w:cs="Arial"/>
                <w:b/>
              </w:rPr>
            </w:pPr>
            <w:r>
              <w:rPr>
                <w:rFonts w:ascii="Palatino Linotype" w:hAnsi="Palatino Linotype" w:cs="Arial"/>
                <w:b/>
              </w:rPr>
              <w:t>(Rúbrica)</w:t>
            </w:r>
          </w:p>
          <w:p w14:paraId="350B4342" w14:textId="77777777" w:rsidR="008C41F1" w:rsidRDefault="008C41F1">
            <w:pPr>
              <w:tabs>
                <w:tab w:val="left" w:pos="0"/>
              </w:tabs>
              <w:jc w:val="center"/>
              <w:rPr>
                <w:rFonts w:ascii="Palatino Linotype" w:hAnsi="Palatino Linotype" w:cs="Arial"/>
                <w:b/>
              </w:rPr>
            </w:pPr>
          </w:p>
        </w:tc>
      </w:tr>
      <w:tr w:rsidR="008C41F1" w14:paraId="05460940" w14:textId="77777777" w:rsidTr="008C41F1">
        <w:trPr>
          <w:jc w:val="center"/>
        </w:trPr>
        <w:tc>
          <w:tcPr>
            <w:tcW w:w="4905" w:type="dxa"/>
          </w:tcPr>
          <w:p w14:paraId="46A5DDC5" w14:textId="77777777" w:rsidR="008C41F1" w:rsidRDefault="008C41F1">
            <w:pPr>
              <w:tabs>
                <w:tab w:val="left" w:pos="0"/>
              </w:tabs>
              <w:jc w:val="center"/>
              <w:rPr>
                <w:rFonts w:ascii="Palatino Linotype" w:hAnsi="Palatino Linotype" w:cs="Arial"/>
                <w:b/>
              </w:rPr>
            </w:pPr>
          </w:p>
          <w:p w14:paraId="6439A1A9" w14:textId="77777777" w:rsidR="008C41F1" w:rsidRDefault="008C41F1">
            <w:pPr>
              <w:tabs>
                <w:tab w:val="left" w:pos="0"/>
              </w:tabs>
              <w:jc w:val="center"/>
              <w:rPr>
                <w:rFonts w:ascii="Palatino Linotype" w:hAnsi="Palatino Linotype" w:cs="Arial"/>
                <w:b/>
              </w:rPr>
            </w:pPr>
          </w:p>
          <w:p w14:paraId="11FBBB18" w14:textId="77777777" w:rsidR="008C41F1" w:rsidRDefault="008C41F1">
            <w:pPr>
              <w:tabs>
                <w:tab w:val="left" w:pos="0"/>
              </w:tabs>
              <w:jc w:val="center"/>
              <w:rPr>
                <w:rFonts w:ascii="Palatino Linotype" w:hAnsi="Palatino Linotype" w:cs="Arial"/>
                <w:b/>
              </w:rPr>
            </w:pPr>
          </w:p>
          <w:p w14:paraId="01455460" w14:textId="77777777" w:rsidR="008C41F1" w:rsidRDefault="008C41F1">
            <w:pPr>
              <w:tabs>
                <w:tab w:val="left" w:pos="0"/>
              </w:tabs>
              <w:jc w:val="center"/>
              <w:rPr>
                <w:rFonts w:ascii="Palatino Linotype" w:hAnsi="Palatino Linotype" w:cs="Arial"/>
                <w:b/>
              </w:rPr>
            </w:pPr>
          </w:p>
          <w:p w14:paraId="5BC29362" w14:textId="77777777" w:rsidR="008C41F1" w:rsidRDefault="008C41F1">
            <w:pPr>
              <w:tabs>
                <w:tab w:val="left" w:pos="0"/>
              </w:tabs>
              <w:jc w:val="center"/>
              <w:rPr>
                <w:rFonts w:ascii="Palatino Linotype" w:hAnsi="Palatino Linotype" w:cs="Arial"/>
                <w:b/>
              </w:rPr>
            </w:pPr>
            <w:r>
              <w:rPr>
                <w:rFonts w:ascii="Palatino Linotype" w:hAnsi="Palatino Linotype" w:cs="Arial"/>
                <w:b/>
              </w:rPr>
              <w:t>Javier Martínez Cruz</w:t>
            </w:r>
          </w:p>
          <w:p w14:paraId="529CEC65" w14:textId="77777777" w:rsidR="008C41F1" w:rsidRDefault="008C41F1">
            <w:pPr>
              <w:tabs>
                <w:tab w:val="left" w:pos="0"/>
              </w:tabs>
              <w:jc w:val="center"/>
              <w:rPr>
                <w:rFonts w:ascii="Palatino Linotype" w:hAnsi="Palatino Linotype" w:cs="Arial"/>
              </w:rPr>
            </w:pPr>
            <w:r>
              <w:rPr>
                <w:rFonts w:ascii="Palatino Linotype" w:hAnsi="Palatino Linotype" w:cs="Arial"/>
              </w:rPr>
              <w:t>Comisionado</w:t>
            </w:r>
          </w:p>
          <w:p w14:paraId="6925C32B" w14:textId="77777777" w:rsidR="008C41F1" w:rsidRDefault="008C41F1">
            <w:pPr>
              <w:tabs>
                <w:tab w:val="left" w:pos="0"/>
              </w:tabs>
              <w:jc w:val="center"/>
              <w:rPr>
                <w:rFonts w:ascii="Palatino Linotype" w:hAnsi="Palatino Linotype" w:cs="Arial"/>
                <w:b/>
              </w:rPr>
            </w:pPr>
            <w:r>
              <w:rPr>
                <w:rFonts w:ascii="Palatino Linotype" w:hAnsi="Palatino Linotype" w:cs="Arial"/>
                <w:b/>
              </w:rPr>
              <w:t>(Rúbrica)</w:t>
            </w:r>
          </w:p>
        </w:tc>
        <w:tc>
          <w:tcPr>
            <w:tcW w:w="5013" w:type="dxa"/>
          </w:tcPr>
          <w:p w14:paraId="68BD38B6" w14:textId="77777777" w:rsidR="008C41F1" w:rsidRDefault="008C41F1">
            <w:pPr>
              <w:tabs>
                <w:tab w:val="left" w:pos="0"/>
              </w:tabs>
              <w:jc w:val="center"/>
              <w:rPr>
                <w:rFonts w:ascii="Palatino Linotype" w:hAnsi="Palatino Linotype" w:cs="Arial"/>
                <w:b/>
              </w:rPr>
            </w:pPr>
          </w:p>
          <w:p w14:paraId="3E359421" w14:textId="77777777" w:rsidR="008C41F1" w:rsidRDefault="008C41F1">
            <w:pPr>
              <w:tabs>
                <w:tab w:val="left" w:pos="0"/>
              </w:tabs>
              <w:jc w:val="center"/>
              <w:rPr>
                <w:rFonts w:ascii="Palatino Linotype" w:hAnsi="Palatino Linotype" w:cs="Arial"/>
                <w:b/>
              </w:rPr>
            </w:pPr>
          </w:p>
          <w:p w14:paraId="2880930D" w14:textId="77777777" w:rsidR="008C41F1" w:rsidRDefault="008C41F1">
            <w:pPr>
              <w:tabs>
                <w:tab w:val="left" w:pos="0"/>
              </w:tabs>
              <w:jc w:val="center"/>
              <w:rPr>
                <w:rFonts w:ascii="Palatino Linotype" w:hAnsi="Palatino Linotype" w:cs="Arial"/>
                <w:b/>
              </w:rPr>
            </w:pPr>
          </w:p>
          <w:p w14:paraId="67962420" w14:textId="77777777" w:rsidR="008C41F1" w:rsidRDefault="008C41F1">
            <w:pPr>
              <w:tabs>
                <w:tab w:val="left" w:pos="0"/>
              </w:tabs>
              <w:jc w:val="center"/>
              <w:rPr>
                <w:rFonts w:ascii="Palatino Linotype" w:hAnsi="Palatino Linotype" w:cs="Arial"/>
                <w:b/>
              </w:rPr>
            </w:pPr>
          </w:p>
          <w:p w14:paraId="05F4C7A1" w14:textId="77777777" w:rsidR="008C41F1" w:rsidRDefault="008C41F1">
            <w:pPr>
              <w:tabs>
                <w:tab w:val="left" w:pos="0"/>
              </w:tabs>
              <w:jc w:val="center"/>
              <w:rPr>
                <w:rFonts w:ascii="Palatino Linotype" w:hAnsi="Palatino Linotype" w:cs="Arial"/>
                <w:b/>
              </w:rPr>
            </w:pPr>
            <w:r>
              <w:rPr>
                <w:rFonts w:ascii="Palatino Linotype" w:hAnsi="Palatino Linotype" w:cs="Arial"/>
                <w:b/>
              </w:rPr>
              <w:t>Luis Gustavo Parra Noriega</w:t>
            </w:r>
          </w:p>
          <w:p w14:paraId="1A9B2376" w14:textId="77777777" w:rsidR="008C41F1" w:rsidRDefault="008C41F1">
            <w:pPr>
              <w:tabs>
                <w:tab w:val="left" w:pos="0"/>
              </w:tabs>
              <w:jc w:val="center"/>
              <w:rPr>
                <w:rFonts w:ascii="Palatino Linotype" w:hAnsi="Palatino Linotype" w:cs="Arial"/>
              </w:rPr>
            </w:pPr>
            <w:r>
              <w:rPr>
                <w:rFonts w:ascii="Palatino Linotype" w:hAnsi="Palatino Linotype" w:cs="Arial"/>
              </w:rPr>
              <w:t>Comisionado</w:t>
            </w:r>
          </w:p>
          <w:p w14:paraId="4CAC33A4" w14:textId="77777777" w:rsidR="008C41F1" w:rsidRDefault="008C41F1">
            <w:pPr>
              <w:tabs>
                <w:tab w:val="left" w:pos="0"/>
              </w:tabs>
              <w:jc w:val="center"/>
              <w:rPr>
                <w:rFonts w:ascii="Palatino Linotype" w:hAnsi="Palatino Linotype" w:cs="Arial"/>
                <w:b/>
              </w:rPr>
            </w:pPr>
            <w:r>
              <w:rPr>
                <w:rFonts w:ascii="Palatino Linotype" w:hAnsi="Palatino Linotype" w:cs="Arial"/>
                <w:b/>
              </w:rPr>
              <w:t>(Rúbrica)</w:t>
            </w:r>
          </w:p>
        </w:tc>
      </w:tr>
      <w:tr w:rsidR="008C41F1" w14:paraId="5A06E11C" w14:textId="77777777" w:rsidTr="008C41F1">
        <w:trPr>
          <w:jc w:val="center"/>
        </w:trPr>
        <w:tc>
          <w:tcPr>
            <w:tcW w:w="9918" w:type="dxa"/>
            <w:gridSpan w:val="2"/>
          </w:tcPr>
          <w:p w14:paraId="6ADD9A97" w14:textId="77777777" w:rsidR="008C41F1" w:rsidRDefault="008C41F1">
            <w:pPr>
              <w:tabs>
                <w:tab w:val="left" w:pos="0"/>
              </w:tabs>
              <w:jc w:val="center"/>
              <w:rPr>
                <w:rFonts w:ascii="Palatino Linotype" w:hAnsi="Palatino Linotype" w:cs="Arial"/>
                <w:b/>
              </w:rPr>
            </w:pPr>
          </w:p>
          <w:p w14:paraId="5280717D" w14:textId="77777777" w:rsidR="008C41F1" w:rsidRDefault="008C41F1">
            <w:pPr>
              <w:tabs>
                <w:tab w:val="left" w:pos="0"/>
              </w:tabs>
              <w:jc w:val="center"/>
              <w:rPr>
                <w:rFonts w:ascii="Palatino Linotype" w:hAnsi="Palatino Linotype" w:cs="Arial"/>
                <w:b/>
              </w:rPr>
            </w:pPr>
          </w:p>
          <w:p w14:paraId="248EB223" w14:textId="77777777" w:rsidR="008C41F1" w:rsidRDefault="008C41F1">
            <w:pPr>
              <w:tabs>
                <w:tab w:val="left" w:pos="0"/>
              </w:tabs>
              <w:rPr>
                <w:rFonts w:ascii="Palatino Linotype" w:hAnsi="Palatino Linotype" w:cs="Arial"/>
                <w:b/>
              </w:rPr>
            </w:pPr>
          </w:p>
          <w:p w14:paraId="1154A782" w14:textId="77777777" w:rsidR="008C41F1" w:rsidRDefault="008C41F1">
            <w:pPr>
              <w:tabs>
                <w:tab w:val="left" w:pos="0"/>
              </w:tabs>
              <w:jc w:val="center"/>
              <w:rPr>
                <w:rFonts w:ascii="Palatino Linotype" w:hAnsi="Palatino Linotype" w:cs="Arial"/>
                <w:b/>
              </w:rPr>
            </w:pPr>
          </w:p>
          <w:p w14:paraId="77AAE1F1" w14:textId="77777777" w:rsidR="008C41F1" w:rsidRDefault="008C41F1">
            <w:pPr>
              <w:tabs>
                <w:tab w:val="left" w:pos="0"/>
              </w:tabs>
              <w:jc w:val="center"/>
              <w:rPr>
                <w:rFonts w:ascii="Palatino Linotype" w:hAnsi="Palatino Linotype" w:cs="Arial"/>
                <w:b/>
              </w:rPr>
            </w:pPr>
            <w:r>
              <w:rPr>
                <w:rFonts w:ascii="Palatino Linotype" w:hAnsi="Palatino Linotype" w:cs="Arial"/>
                <w:b/>
              </w:rPr>
              <w:t>Alexis Tapia Ramírez</w:t>
            </w:r>
          </w:p>
          <w:p w14:paraId="71AAD1D5" w14:textId="77777777" w:rsidR="008C41F1" w:rsidRDefault="008C41F1">
            <w:pPr>
              <w:tabs>
                <w:tab w:val="left" w:pos="0"/>
              </w:tabs>
              <w:jc w:val="center"/>
              <w:rPr>
                <w:rFonts w:ascii="Palatino Linotype" w:hAnsi="Palatino Linotype" w:cs="Arial"/>
              </w:rPr>
            </w:pPr>
            <w:r>
              <w:rPr>
                <w:rFonts w:ascii="Palatino Linotype" w:hAnsi="Palatino Linotype" w:cs="Arial"/>
              </w:rPr>
              <w:t>Secretario Técnico del Pleno</w:t>
            </w:r>
          </w:p>
          <w:p w14:paraId="4140DF2D" w14:textId="77777777" w:rsidR="008C41F1" w:rsidRDefault="008C41F1">
            <w:pPr>
              <w:tabs>
                <w:tab w:val="left" w:pos="0"/>
              </w:tabs>
              <w:jc w:val="center"/>
              <w:rPr>
                <w:rFonts w:ascii="Palatino Linotype" w:hAnsi="Palatino Linotype" w:cs="Arial"/>
                <w:b/>
              </w:rPr>
            </w:pPr>
            <w:r>
              <w:rPr>
                <w:rFonts w:ascii="Palatino Linotype" w:hAnsi="Palatino Linotype" w:cs="Arial"/>
                <w:b/>
              </w:rPr>
              <w:t>(Rúbrica)</w:t>
            </w:r>
          </w:p>
          <w:p w14:paraId="70BE927E" w14:textId="77777777" w:rsidR="008C41F1" w:rsidRDefault="008C41F1">
            <w:pPr>
              <w:tabs>
                <w:tab w:val="left" w:pos="0"/>
              </w:tabs>
              <w:jc w:val="center"/>
              <w:rPr>
                <w:rFonts w:ascii="Palatino Linotype" w:hAnsi="Palatino Linotype" w:cs="Arial"/>
                <w:b/>
              </w:rPr>
            </w:pPr>
          </w:p>
        </w:tc>
      </w:tr>
    </w:tbl>
    <w:p w14:paraId="54F6DA65" w14:textId="77777777" w:rsidR="008C41F1" w:rsidRDefault="008C41F1" w:rsidP="008C41F1">
      <w:pPr>
        <w:tabs>
          <w:tab w:val="left" w:pos="0"/>
        </w:tabs>
        <w:spacing w:line="360" w:lineRule="auto"/>
        <w:jc w:val="both"/>
        <w:rPr>
          <w:rFonts w:ascii="Palatino Linotype" w:hAnsi="Palatino Linotype" w:cs="Arial"/>
        </w:rPr>
      </w:pPr>
    </w:p>
    <w:p w14:paraId="6AA39171" w14:textId="572E11DA" w:rsidR="008C41F1" w:rsidRPr="008C41F1" w:rsidRDefault="008C41F1" w:rsidP="008C41F1">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veintitrés (23) de septiembre de dos mil veinte, emitida en el recurso de revisión </w:t>
      </w:r>
      <w:r>
        <w:rPr>
          <w:rFonts w:ascii="Palatino Linotype" w:hAnsi="Palatino Linotype" w:cs="Arial"/>
          <w:b/>
          <w:bCs/>
        </w:rPr>
        <w:t>02028/INFOEM/IP/RR/2020.</w:t>
      </w:r>
    </w:p>
    <w:sectPr w:rsidR="008C41F1" w:rsidRPr="008C41F1"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A93E6" w14:textId="77777777" w:rsidR="00546DD3" w:rsidRDefault="00546DD3" w:rsidP="00587366">
      <w:r>
        <w:separator/>
      </w:r>
    </w:p>
  </w:endnote>
  <w:endnote w:type="continuationSeparator" w:id="0">
    <w:p w14:paraId="61D59B86" w14:textId="77777777" w:rsidR="00546DD3" w:rsidRDefault="00546D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C41F1" w:rsidRPr="00883450" w:rsidRDefault="008C41F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C1F2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C1F24">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77777777" w:rsidR="008C41F1" w:rsidRDefault="008C41F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C41F1" w:rsidRPr="00883450" w:rsidRDefault="008C41F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C1F2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C1F24" w:rsidRPr="002C1F24">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77777777" w:rsidR="008C41F1" w:rsidRPr="00883450" w:rsidRDefault="008C41F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EFBA" w14:textId="77777777" w:rsidR="00546DD3" w:rsidRDefault="00546DD3" w:rsidP="00587366">
      <w:r>
        <w:separator/>
      </w:r>
    </w:p>
  </w:footnote>
  <w:footnote w:type="continuationSeparator" w:id="0">
    <w:p w14:paraId="55502FA7" w14:textId="77777777" w:rsidR="00546DD3" w:rsidRDefault="00546DD3" w:rsidP="00587366">
      <w:r>
        <w:continuationSeparator/>
      </w:r>
    </w:p>
  </w:footnote>
  <w:footnote w:id="1">
    <w:p w14:paraId="471777F5" w14:textId="77777777" w:rsidR="008C41F1" w:rsidRDefault="008C41F1" w:rsidP="006D7A96">
      <w:pPr>
        <w:pStyle w:val="Textonotapie"/>
      </w:pPr>
      <w:r>
        <w:rPr>
          <w:rStyle w:val="Refdenotaalpie"/>
        </w:rPr>
        <w:footnoteRef/>
      </w:r>
      <w:r>
        <w:t xml:space="preserve"> Convención Americana sobre Derechos Humanos. Artículo 13.</w:t>
      </w:r>
    </w:p>
  </w:footnote>
  <w:footnote w:id="2">
    <w:p w14:paraId="6A61C147" w14:textId="77777777" w:rsidR="008C41F1" w:rsidRDefault="008C41F1" w:rsidP="006D7A96">
      <w:pPr>
        <w:pStyle w:val="Textonotapie"/>
      </w:pPr>
      <w:r>
        <w:rPr>
          <w:rStyle w:val="Refdenotaalpie"/>
        </w:rPr>
        <w:footnoteRef/>
      </w:r>
      <w:r>
        <w:t xml:space="preserve"> Constitución Política de los Estados Unidos Mexicanos. Artículo sexto, sección A, fracción I.</w:t>
      </w:r>
    </w:p>
  </w:footnote>
  <w:footnote w:id="3">
    <w:p w14:paraId="4340A160" w14:textId="77777777" w:rsidR="008C41F1" w:rsidRDefault="008C41F1" w:rsidP="006D7A9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17BBEE3" w14:textId="77777777" w:rsidR="008C41F1" w:rsidRDefault="008C41F1" w:rsidP="006D7A96">
      <w:pPr>
        <w:pStyle w:val="Textonotapie"/>
      </w:pPr>
      <w:r>
        <w:rPr>
          <w:rStyle w:val="Refdenotaalpie"/>
        </w:rPr>
        <w:footnoteRef/>
      </w:r>
      <w:r>
        <w:t xml:space="preserve"> Ibídem. Parr. 87.</w:t>
      </w:r>
    </w:p>
  </w:footnote>
  <w:footnote w:id="5">
    <w:p w14:paraId="2356CA3B" w14:textId="77777777" w:rsidR="008C41F1" w:rsidRDefault="008C41F1" w:rsidP="006D7A96">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53990303" w14:textId="77777777" w:rsidR="008C41F1" w:rsidRPr="00985DD4" w:rsidRDefault="008C41F1" w:rsidP="006D7A96">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3015722B" w14:textId="77777777" w:rsidR="008C41F1" w:rsidRPr="00985DD4" w:rsidRDefault="008C41F1" w:rsidP="006D7A96">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1C99A90" w14:textId="77777777" w:rsidR="008C41F1" w:rsidRPr="00985DD4" w:rsidRDefault="008C41F1" w:rsidP="006D7A96">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E3B4FF7" w14:textId="77777777" w:rsidR="008C41F1" w:rsidRPr="00985DD4" w:rsidRDefault="008C41F1" w:rsidP="006D7A96">
      <w:pPr>
        <w:autoSpaceDE w:val="0"/>
        <w:autoSpaceDN w:val="0"/>
        <w:adjustRightInd w:val="0"/>
        <w:spacing w:line="276" w:lineRule="auto"/>
        <w:jc w:val="both"/>
        <w:rPr>
          <w:sz w:val="20"/>
          <w:szCs w:val="20"/>
        </w:rPr>
      </w:pPr>
    </w:p>
  </w:footnote>
  <w:footnote w:id="7">
    <w:p w14:paraId="7477A5C5" w14:textId="77777777" w:rsidR="008C41F1" w:rsidRPr="00985DD4" w:rsidRDefault="008C41F1" w:rsidP="006D7A96">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2D1F7E43" w14:textId="77777777" w:rsidR="008C41F1" w:rsidRDefault="008C41F1" w:rsidP="006D7A96">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3BA862" w14:textId="77777777" w:rsidR="008C41F1" w:rsidRPr="00266430" w:rsidRDefault="008C41F1" w:rsidP="006D7A96">
      <w:pPr>
        <w:pStyle w:val="Textonotapie"/>
        <w:jc w:val="both"/>
      </w:pPr>
      <w:r w:rsidRPr="00266430">
        <w:t xml:space="preserve">1a./J. 2/2012 (9a.). Primera Sala. Décima Época. Semanario Judicial de la Federación y su Gaceta. Libro V, Febrero de 2012, Pág. 533.  </w:t>
      </w:r>
    </w:p>
  </w:footnote>
  <w:footnote w:id="9">
    <w:p w14:paraId="07B77B7E" w14:textId="77777777" w:rsidR="008C41F1" w:rsidRPr="00A870EF" w:rsidRDefault="008C41F1" w:rsidP="006D7A96">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509339E" w14:textId="77777777" w:rsidR="008C41F1" w:rsidRDefault="008C41F1" w:rsidP="006D7A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0DF9A1" w14:textId="77777777" w:rsidR="008C41F1" w:rsidRDefault="008C41F1" w:rsidP="006D7A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2E8F65" w14:textId="77777777" w:rsidR="008C41F1" w:rsidRPr="001E1F95" w:rsidRDefault="008C41F1" w:rsidP="006D7A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314003EA" w14:textId="77777777" w:rsidR="008C41F1" w:rsidRPr="007F43A5" w:rsidRDefault="008C41F1" w:rsidP="006D7A96">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FE2E2E6" w14:textId="77777777" w:rsidR="008C41F1" w:rsidRPr="0037004E" w:rsidRDefault="008C41F1" w:rsidP="006D7A96">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E2788EA" w14:textId="77777777" w:rsidR="008C41F1" w:rsidRDefault="008C41F1" w:rsidP="006D7A96">
      <w:pPr>
        <w:pStyle w:val="Textonotapie"/>
      </w:pPr>
    </w:p>
  </w:footnote>
  <w:footnote w:id="13">
    <w:p w14:paraId="0DBC607D" w14:textId="77777777" w:rsidR="008C41F1" w:rsidRDefault="008C41F1" w:rsidP="006D7A96">
      <w:pPr>
        <w:pStyle w:val="Textonotapie"/>
        <w:jc w:val="both"/>
      </w:pPr>
      <w:r>
        <w:rPr>
          <w:rStyle w:val="Refdenotaalpie"/>
        </w:rPr>
        <w:footnoteRef/>
      </w:r>
      <w:r>
        <w:t xml:space="preserve"> Artículo 3. Para los efectos de la presente Ley se entenderá por:</w:t>
      </w:r>
    </w:p>
    <w:p w14:paraId="0ECE48F8" w14:textId="77777777" w:rsidR="008C41F1" w:rsidRDefault="008C41F1" w:rsidP="006D7A96">
      <w:pPr>
        <w:pStyle w:val="Textonotapie"/>
        <w:jc w:val="both"/>
      </w:pPr>
      <w:r>
        <w:t xml:space="preserve"> (…)</w:t>
      </w:r>
    </w:p>
    <w:p w14:paraId="1AD2165B" w14:textId="77777777" w:rsidR="008C41F1" w:rsidRDefault="008C41F1" w:rsidP="006D7A96">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08B066BF" w14:textId="77777777" w:rsidR="008C41F1" w:rsidRPr="00ED2A04" w:rsidRDefault="008C41F1" w:rsidP="006D7A96">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72625E03" w14:textId="77777777" w:rsidR="008C41F1" w:rsidRPr="00ED2A04" w:rsidRDefault="008C41F1" w:rsidP="006D7A96">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42BD94DF" w14:textId="77777777" w:rsidR="008C41F1" w:rsidRPr="000406A4" w:rsidRDefault="008C41F1" w:rsidP="006D7A96">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7E050B8B" w14:textId="77777777" w:rsidR="008C41F1" w:rsidRPr="000406A4" w:rsidRDefault="008C41F1" w:rsidP="006D7A96">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298E037" w14:textId="77777777" w:rsidR="008C41F1" w:rsidRPr="000406A4" w:rsidRDefault="008C41F1" w:rsidP="006D7A96">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5DDE5640" w14:textId="77777777" w:rsidR="008C41F1" w:rsidRPr="000406A4" w:rsidRDefault="008C41F1" w:rsidP="006D7A96">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59FBEE6" w14:textId="77777777" w:rsidR="008C41F1" w:rsidRPr="000406A4" w:rsidRDefault="008C41F1" w:rsidP="006D7A96">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6B5BBD" w14:textId="77777777" w:rsidR="008C41F1" w:rsidRPr="00042E67" w:rsidRDefault="008C41F1" w:rsidP="006D7A96">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DAB47DD" w14:textId="77777777" w:rsidR="008C41F1" w:rsidRPr="00A4142C" w:rsidRDefault="008C41F1" w:rsidP="00FC04D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48192" w14:textId="4C30F05D" w:rsidR="008C41F1" w:rsidRDefault="002C1F24">
    <w:pPr>
      <w:pStyle w:val="Encabezado"/>
    </w:pPr>
    <w:r>
      <w:rPr>
        <w:noProof/>
      </w:rPr>
      <w:pict w14:anchorId="0C81E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69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F9A7495" w:rsidR="008C41F1" w:rsidRDefault="002C1F24" w:rsidP="001C6012">
    <w:pPr>
      <w:pStyle w:val="Encabezado"/>
      <w:tabs>
        <w:tab w:val="clear" w:pos="4252"/>
        <w:tab w:val="clear" w:pos="8504"/>
        <w:tab w:val="left" w:pos="8460"/>
      </w:tabs>
    </w:pPr>
    <w:r>
      <w:rPr>
        <w:noProof/>
      </w:rPr>
      <w:pict w14:anchorId="13776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69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8C41F1">
      <w:tab/>
    </w:r>
  </w:p>
  <w:p w14:paraId="64F5F23E" w14:textId="390690E5" w:rsidR="008C41F1" w:rsidRDefault="008C41F1">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C41F1" w:rsidRPr="00674A46" w14:paraId="07F2896E" w14:textId="77777777" w:rsidTr="0081485A">
      <w:trPr>
        <w:trHeight w:val="138"/>
        <w:jc w:val="right"/>
      </w:trPr>
      <w:tc>
        <w:tcPr>
          <w:tcW w:w="4253" w:type="dxa"/>
          <w:vAlign w:val="center"/>
        </w:tcPr>
        <w:p w14:paraId="4A5B1974" w14:textId="3B2AB4E0" w:rsidR="008C41F1" w:rsidRPr="00674A46" w:rsidRDefault="008C41F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B8A90A8" w:rsidR="008C41F1" w:rsidRPr="00674A46" w:rsidRDefault="008C41F1" w:rsidP="0051659D">
          <w:pPr>
            <w:pStyle w:val="Encabezado"/>
            <w:rPr>
              <w:rFonts w:ascii="Palatino Linotype" w:hAnsi="Palatino Linotype"/>
              <w:b/>
              <w:sz w:val="22"/>
              <w:szCs w:val="22"/>
            </w:rPr>
          </w:pPr>
          <w:r>
            <w:rPr>
              <w:rFonts w:ascii="Palatino Linotype" w:hAnsi="Palatino Linotype" w:cs="Arial"/>
              <w:b/>
              <w:bCs/>
              <w:sz w:val="22"/>
              <w:szCs w:val="22"/>
              <w:lang w:eastAsia="es-MX"/>
            </w:rPr>
            <w:t>02028/INFOEM/IP/RR/2020</w:t>
          </w:r>
        </w:p>
      </w:tc>
    </w:tr>
    <w:tr w:rsidR="008C41F1" w:rsidRPr="00674A46" w14:paraId="1B5D8690" w14:textId="77777777" w:rsidTr="0081485A">
      <w:trPr>
        <w:trHeight w:val="233"/>
        <w:jc w:val="right"/>
      </w:trPr>
      <w:tc>
        <w:tcPr>
          <w:tcW w:w="4253" w:type="dxa"/>
          <w:vAlign w:val="center"/>
        </w:tcPr>
        <w:p w14:paraId="3903F2C6" w14:textId="22D569F8" w:rsidR="008C41F1" w:rsidRPr="00674A46" w:rsidRDefault="008C41F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C138861" w:rsidR="008C41F1" w:rsidRPr="00B75F20" w:rsidRDefault="008C41F1" w:rsidP="00D67CE3">
          <w:pPr>
            <w:pStyle w:val="Encabezado"/>
            <w:jc w:val="both"/>
            <w:rPr>
              <w:rFonts w:ascii="Palatino Linotype" w:hAnsi="Palatino Linotype"/>
              <w:b/>
              <w:sz w:val="22"/>
              <w:szCs w:val="22"/>
            </w:rPr>
          </w:pPr>
          <w:r w:rsidRPr="004A51A8">
            <w:rPr>
              <w:rFonts w:ascii="Palatino Linotype" w:hAnsi="Palatino Linotype"/>
              <w:b/>
              <w:bCs/>
              <w:color w:val="000000"/>
              <w:sz w:val="22"/>
              <w:szCs w:val="22"/>
            </w:rPr>
            <w:t xml:space="preserve">Ayuntamiento de </w:t>
          </w:r>
          <w:r>
            <w:rPr>
              <w:rFonts w:ascii="Palatino Linotype" w:hAnsi="Palatino Linotype"/>
              <w:b/>
              <w:bCs/>
              <w:color w:val="000000"/>
              <w:sz w:val="22"/>
              <w:szCs w:val="22"/>
            </w:rPr>
            <w:t>Ozumba</w:t>
          </w:r>
        </w:p>
      </w:tc>
    </w:tr>
    <w:tr w:rsidR="008C41F1" w:rsidRPr="00674A46" w14:paraId="095EB01B" w14:textId="77777777" w:rsidTr="0081485A">
      <w:trPr>
        <w:trHeight w:val="321"/>
        <w:jc w:val="right"/>
      </w:trPr>
      <w:tc>
        <w:tcPr>
          <w:tcW w:w="4253" w:type="dxa"/>
          <w:vAlign w:val="center"/>
        </w:tcPr>
        <w:p w14:paraId="6E000A51" w14:textId="25DCC1C7" w:rsidR="008C41F1" w:rsidRPr="00674A46" w:rsidRDefault="008C41F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C41F1" w:rsidRPr="00674A46" w:rsidRDefault="008C41F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C41F1" w:rsidRDefault="008C41F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3DB5D02" w:rsidR="008C41F1" w:rsidRDefault="002C1F24" w:rsidP="00472C41">
    <w:pPr>
      <w:pStyle w:val="Encabezado"/>
      <w:tabs>
        <w:tab w:val="clear" w:pos="4252"/>
        <w:tab w:val="clear" w:pos="8504"/>
        <w:tab w:val="left" w:pos="3103"/>
      </w:tabs>
    </w:pPr>
    <w:r>
      <w:rPr>
        <w:noProof/>
      </w:rPr>
      <w:pict w14:anchorId="618BD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69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C41F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C41F1" w:rsidRPr="00674A46" w14:paraId="0A3256F2" w14:textId="77777777" w:rsidTr="006E6B65">
      <w:trPr>
        <w:trHeight w:val="138"/>
        <w:jc w:val="right"/>
      </w:trPr>
      <w:tc>
        <w:tcPr>
          <w:tcW w:w="3261" w:type="dxa"/>
          <w:vAlign w:val="center"/>
        </w:tcPr>
        <w:p w14:paraId="3D80769D" w14:textId="316F11F8" w:rsidR="008C41F1" w:rsidRPr="00674A46" w:rsidRDefault="008C41F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42FD9CEA" w:rsidR="008C41F1" w:rsidRPr="00674A46" w:rsidRDefault="008C41F1" w:rsidP="00C27631">
          <w:pPr>
            <w:pStyle w:val="Encabezado"/>
            <w:rPr>
              <w:rFonts w:ascii="Palatino Linotype" w:hAnsi="Palatino Linotype"/>
              <w:b/>
              <w:sz w:val="22"/>
              <w:szCs w:val="22"/>
            </w:rPr>
          </w:pPr>
          <w:r>
            <w:rPr>
              <w:rFonts w:ascii="Palatino Linotype" w:hAnsi="Palatino Linotype" w:cs="Arial"/>
              <w:b/>
              <w:bCs/>
              <w:sz w:val="22"/>
              <w:szCs w:val="22"/>
              <w:lang w:eastAsia="es-MX"/>
            </w:rPr>
            <w:t>02028/INFOEM/IP/RR/2020</w:t>
          </w:r>
        </w:p>
      </w:tc>
    </w:tr>
    <w:tr w:rsidR="008C41F1" w:rsidRPr="00B75F20" w14:paraId="128C8B3C" w14:textId="77777777" w:rsidTr="006E6B65">
      <w:trPr>
        <w:trHeight w:val="233"/>
        <w:jc w:val="right"/>
      </w:trPr>
      <w:tc>
        <w:tcPr>
          <w:tcW w:w="3261" w:type="dxa"/>
          <w:vAlign w:val="center"/>
        </w:tcPr>
        <w:p w14:paraId="483E3371" w14:textId="66B1BC74" w:rsidR="008C41F1" w:rsidRPr="00674A46" w:rsidRDefault="008C41F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3964AA8" w:rsidR="007A6835" w:rsidRPr="007A6835" w:rsidRDefault="007A6835" w:rsidP="009B42A1">
          <w:pPr>
            <w:pStyle w:val="Encabezado"/>
            <w:tabs>
              <w:tab w:val="clear" w:pos="4252"/>
              <w:tab w:val="clear" w:pos="8504"/>
              <w:tab w:val="left" w:pos="521"/>
            </w:tabs>
            <w:rPr>
              <w:rFonts w:ascii="Palatino Linotype" w:hAnsi="Palatino Linotype"/>
              <w:b/>
              <w:sz w:val="22"/>
              <w:szCs w:val="22"/>
              <w:highlight w:val="black"/>
            </w:rPr>
          </w:pPr>
          <w:r w:rsidRPr="007A6835">
            <w:rPr>
              <w:rFonts w:ascii="Palatino Linotype" w:hAnsi="Palatino Linotype"/>
              <w:b/>
              <w:sz w:val="22"/>
              <w:szCs w:val="22"/>
              <w:highlight w:val="black"/>
            </w:rPr>
            <w:t>-----------------------</w:t>
          </w:r>
        </w:p>
      </w:tc>
    </w:tr>
    <w:tr w:rsidR="008C41F1" w:rsidRPr="00674A46" w14:paraId="41BE0704" w14:textId="77777777" w:rsidTr="006E6B65">
      <w:trPr>
        <w:trHeight w:val="321"/>
        <w:jc w:val="right"/>
      </w:trPr>
      <w:tc>
        <w:tcPr>
          <w:tcW w:w="3261" w:type="dxa"/>
          <w:vAlign w:val="center"/>
        </w:tcPr>
        <w:p w14:paraId="34C64148" w14:textId="10C6C8A9" w:rsidR="008C41F1" w:rsidRPr="00674A46" w:rsidRDefault="008C41F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D31C545" w:rsidR="008C41F1" w:rsidRPr="00674A46" w:rsidRDefault="008C41F1" w:rsidP="005C3414">
          <w:pPr>
            <w:pStyle w:val="Encabezado"/>
            <w:jc w:val="both"/>
            <w:rPr>
              <w:rFonts w:ascii="Palatino Linotype" w:hAnsi="Palatino Linotype"/>
              <w:b/>
              <w:sz w:val="22"/>
              <w:szCs w:val="22"/>
            </w:rPr>
          </w:pPr>
          <w:r w:rsidRPr="00D67CE3">
            <w:rPr>
              <w:rFonts w:ascii="Palatino Linotype" w:hAnsi="Palatino Linotype"/>
              <w:b/>
              <w:bCs/>
              <w:color w:val="000000"/>
              <w:sz w:val="22"/>
              <w:szCs w:val="22"/>
            </w:rPr>
            <w:t>Ayuntamiento de Ozumba</w:t>
          </w:r>
        </w:p>
      </w:tc>
    </w:tr>
    <w:tr w:rsidR="008C41F1" w:rsidRPr="00674A46" w14:paraId="0C8B6193" w14:textId="77777777" w:rsidTr="006E6B65">
      <w:trPr>
        <w:trHeight w:val="321"/>
        <w:jc w:val="right"/>
      </w:trPr>
      <w:tc>
        <w:tcPr>
          <w:tcW w:w="3261" w:type="dxa"/>
          <w:vAlign w:val="center"/>
        </w:tcPr>
        <w:p w14:paraId="321FFAFF" w14:textId="40E5A678" w:rsidR="008C41F1" w:rsidRPr="00674A46" w:rsidRDefault="008C41F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C41F1" w:rsidRPr="00674A46" w:rsidRDefault="008C41F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C41F1" w:rsidRDefault="008C41F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317490"/>
    <w:multiLevelType w:val="hybridMultilevel"/>
    <w:tmpl w:val="828254CC"/>
    <w:lvl w:ilvl="0" w:tplc="1C8A5F0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9"/>
  </w:num>
  <w:num w:numId="2">
    <w:abstractNumId w:val="18"/>
  </w:num>
  <w:num w:numId="3">
    <w:abstractNumId w:val="35"/>
  </w:num>
  <w:num w:numId="4">
    <w:abstractNumId w:val="41"/>
  </w:num>
  <w:num w:numId="5">
    <w:abstractNumId w:val="20"/>
  </w:num>
  <w:num w:numId="6">
    <w:abstractNumId w:val="36"/>
  </w:num>
  <w:num w:numId="7">
    <w:abstractNumId w:val="3"/>
  </w:num>
  <w:num w:numId="8">
    <w:abstractNumId w:val="16"/>
  </w:num>
  <w:num w:numId="9">
    <w:abstractNumId w:val="13"/>
  </w:num>
  <w:num w:numId="10">
    <w:abstractNumId w:val="11"/>
  </w:num>
  <w:num w:numId="11">
    <w:abstractNumId w:val="22"/>
  </w:num>
  <w:num w:numId="12">
    <w:abstractNumId w:val="29"/>
  </w:num>
  <w:num w:numId="13">
    <w:abstractNumId w:val="2"/>
  </w:num>
  <w:num w:numId="14">
    <w:abstractNumId w:val="1"/>
  </w:num>
  <w:num w:numId="15">
    <w:abstractNumId w:val="14"/>
  </w:num>
  <w:num w:numId="16">
    <w:abstractNumId w:val="40"/>
  </w:num>
  <w:num w:numId="17">
    <w:abstractNumId w:val="37"/>
  </w:num>
  <w:num w:numId="18">
    <w:abstractNumId w:val="27"/>
  </w:num>
  <w:num w:numId="19">
    <w:abstractNumId w:val="33"/>
  </w:num>
  <w:num w:numId="20">
    <w:abstractNumId w:val="21"/>
  </w:num>
  <w:num w:numId="21">
    <w:abstractNumId w:val="38"/>
  </w:num>
  <w:num w:numId="22">
    <w:abstractNumId w:val="42"/>
  </w:num>
  <w:num w:numId="23">
    <w:abstractNumId w:val="23"/>
  </w:num>
  <w:num w:numId="24">
    <w:abstractNumId w:val="9"/>
  </w:num>
  <w:num w:numId="25">
    <w:abstractNumId w:val="15"/>
  </w:num>
  <w:num w:numId="26">
    <w:abstractNumId w:val="39"/>
  </w:num>
  <w:num w:numId="27">
    <w:abstractNumId w:val="30"/>
  </w:num>
  <w:num w:numId="28">
    <w:abstractNumId w:val="6"/>
  </w:num>
  <w:num w:numId="29">
    <w:abstractNumId w:val="10"/>
  </w:num>
  <w:num w:numId="30">
    <w:abstractNumId w:val="24"/>
  </w:num>
  <w:num w:numId="31">
    <w:abstractNumId w:val="17"/>
  </w:num>
  <w:num w:numId="32">
    <w:abstractNumId w:val="4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1"/>
  </w:num>
  <w:num w:numId="37">
    <w:abstractNumId w:val="34"/>
  </w:num>
  <w:num w:numId="38">
    <w:abstractNumId w:val="12"/>
  </w:num>
  <w:num w:numId="39">
    <w:abstractNumId w:val="25"/>
  </w:num>
  <w:num w:numId="40">
    <w:abstractNumId w:val="32"/>
  </w:num>
  <w:num w:numId="41">
    <w:abstractNumId w:val="26"/>
  </w:num>
  <w:num w:numId="42">
    <w:abstractNumId w:val="7"/>
  </w:num>
  <w:num w:numId="43">
    <w:abstractNumId w:val="28"/>
  </w:num>
  <w:num w:numId="44">
    <w:abstractNumId w:val="8"/>
  </w:num>
  <w:num w:numId="4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56E55"/>
    <w:rsid w:val="00061344"/>
    <w:rsid w:val="00061742"/>
    <w:rsid w:val="00062229"/>
    <w:rsid w:val="00062648"/>
    <w:rsid w:val="000631D9"/>
    <w:rsid w:val="0006407E"/>
    <w:rsid w:val="0006470C"/>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5D8A"/>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AF7"/>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47768"/>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1F24"/>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2F7AE6"/>
    <w:rsid w:val="0030028B"/>
    <w:rsid w:val="003007E0"/>
    <w:rsid w:val="0030150B"/>
    <w:rsid w:val="003019B7"/>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51A8"/>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DD3"/>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5462"/>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37FC"/>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6D75"/>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193B"/>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D7A96"/>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0D0F"/>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6835"/>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1A30"/>
    <w:rsid w:val="007D3933"/>
    <w:rsid w:val="007D3FBD"/>
    <w:rsid w:val="007D4892"/>
    <w:rsid w:val="007D49A0"/>
    <w:rsid w:val="007D6D36"/>
    <w:rsid w:val="007D739C"/>
    <w:rsid w:val="007D7B38"/>
    <w:rsid w:val="007D7EF3"/>
    <w:rsid w:val="007E004C"/>
    <w:rsid w:val="007E0CCA"/>
    <w:rsid w:val="007E3772"/>
    <w:rsid w:val="007E4E68"/>
    <w:rsid w:val="007E5125"/>
    <w:rsid w:val="007E5DB4"/>
    <w:rsid w:val="007E5F2C"/>
    <w:rsid w:val="007F0617"/>
    <w:rsid w:val="007F0819"/>
    <w:rsid w:val="007F3AC9"/>
    <w:rsid w:val="007F3CB7"/>
    <w:rsid w:val="007F5589"/>
    <w:rsid w:val="007F729E"/>
    <w:rsid w:val="007F75F2"/>
    <w:rsid w:val="007F76E9"/>
    <w:rsid w:val="00800E69"/>
    <w:rsid w:val="00801CD8"/>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41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41F1"/>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3F6"/>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5FA7"/>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33A7"/>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450F"/>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631"/>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15DD"/>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67CE3"/>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2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67D99"/>
    <w:rsid w:val="00E701D0"/>
    <w:rsid w:val="00E71633"/>
    <w:rsid w:val="00E71A61"/>
    <w:rsid w:val="00E71C2E"/>
    <w:rsid w:val="00E72689"/>
    <w:rsid w:val="00E7280B"/>
    <w:rsid w:val="00E730AA"/>
    <w:rsid w:val="00E76F52"/>
    <w:rsid w:val="00E772AB"/>
    <w:rsid w:val="00E803E8"/>
    <w:rsid w:val="00E80900"/>
    <w:rsid w:val="00E82084"/>
    <w:rsid w:val="00E82B54"/>
    <w:rsid w:val="00E838B2"/>
    <w:rsid w:val="00E83C86"/>
    <w:rsid w:val="00E83DF6"/>
    <w:rsid w:val="00E84521"/>
    <w:rsid w:val="00E85048"/>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3D5C"/>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3D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415"/>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891"/>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04DF"/>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F47785A-77AB-4E5B-A76C-7A2C5D90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780D0F"/>
    <w:pPr>
      <w:tabs>
        <w:tab w:val="left" w:pos="440"/>
        <w:tab w:val="right" w:leader="dot" w:pos="8828"/>
      </w:tabs>
      <w:spacing w:after="100"/>
      <w:ind w:left="709"/>
      <w:jc w:val="both"/>
    </w:pPr>
  </w:style>
  <w:style w:type="paragraph" w:styleId="TDC2">
    <w:name w:val="toc 2"/>
    <w:basedOn w:val="Normal"/>
    <w:next w:val="Normal"/>
    <w:autoRedefine/>
    <w:uiPriority w:val="39"/>
    <w:unhideWhenUsed/>
    <w:rsid w:val="00780D0F"/>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table" w:customStyle="1" w:styleId="Tablaconcuadrcula11">
    <w:name w:val="Tabla con cuadrícula11"/>
    <w:basedOn w:val="Tablanormal"/>
    <w:next w:val="Tablaconcuadrcula"/>
    <w:uiPriority w:val="59"/>
    <w:rsid w:val="006D7A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D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59459212">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EC77-8E6C-432F-B241-6083F0F69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69</Pages>
  <Words>12699</Words>
  <Characters>69850</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2019-01-16T02:59:00Z</cp:lastPrinted>
  <dcterms:created xsi:type="dcterms:W3CDTF">2020-09-18T02:17:00Z</dcterms:created>
  <dcterms:modified xsi:type="dcterms:W3CDTF">2020-10-29T22:15:00Z</dcterms:modified>
</cp:coreProperties>
</file>