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7EE5" w:rsidRDefault="00A25A46">
      <w:pPr>
        <w:spacing w:line="360" w:lineRule="auto"/>
        <w:jc w:val="both"/>
        <w:rPr>
          <w:rFonts w:ascii="Palatino Linotype" w:hAnsi="Palatino Linotype"/>
        </w:rPr>
      </w:pPr>
      <w:bookmarkStart w:id="0" w:name="_GoBack"/>
      <w:bookmarkEnd w:id="0"/>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diecinueve de agosto de dos mil veinte.</w:t>
      </w:r>
    </w:p>
    <w:p w:rsidR="00F97EE5" w:rsidRDefault="00F97EE5">
      <w:pPr>
        <w:spacing w:line="360" w:lineRule="auto"/>
        <w:jc w:val="both"/>
        <w:rPr>
          <w:rFonts w:ascii="Palatino Linotype" w:hAnsi="Palatino Linotype"/>
        </w:rPr>
      </w:pPr>
    </w:p>
    <w:p w:rsidR="00F97EE5" w:rsidRDefault="00A25A46">
      <w:pPr>
        <w:spacing w:line="360" w:lineRule="auto"/>
        <w:jc w:val="both"/>
        <w:rPr>
          <w:rFonts w:ascii="Palatino Linotype" w:hAnsi="Palatino Linotype"/>
          <w:b/>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01387/INFOEM/IP/RR/2020</w:t>
      </w:r>
      <w:r>
        <w:rPr>
          <w:rFonts w:ascii="Palatino Linotype" w:hAnsi="Palatino Linotype"/>
        </w:rPr>
        <w:t>, promovido por el C.</w:t>
      </w:r>
      <w:r>
        <w:rPr>
          <w:rFonts w:ascii="Palatino Linotype" w:hAnsi="Palatino Linotype"/>
          <w:b/>
        </w:rPr>
        <w:t xml:space="preserve"> </w:t>
      </w:r>
      <w:r w:rsidR="00244191" w:rsidRPr="00244191">
        <w:rPr>
          <w:rFonts w:ascii="Palatino Linotype" w:hAnsi="Palatino Linotype"/>
          <w:b/>
        </w:rPr>
        <w:t>Xxxxxxx xxxxxxx xxxxxx</w:t>
      </w:r>
      <w:r>
        <w:rPr>
          <w:rFonts w:ascii="Palatino Linotype" w:hAnsi="Palatino Linotype" w:cs="Arial"/>
          <w:b/>
        </w:rPr>
        <w:t xml:space="preserve">, </w:t>
      </w:r>
      <w:r>
        <w:rPr>
          <w:rFonts w:ascii="Palatino Linotype" w:hAnsi="Palatino Linotype" w:cs="Arial"/>
        </w:rPr>
        <w:t>en lo sucesivo</w:t>
      </w:r>
      <w:r>
        <w:rPr>
          <w:rFonts w:ascii="Palatino Linotype" w:hAnsi="Palatino Linotype" w:cs="Arial"/>
          <w:b/>
        </w:rPr>
        <w:t xml:space="preserve"> EL RECURRENTE,</w:t>
      </w:r>
      <w:r>
        <w:rPr>
          <w:rFonts w:ascii="Palatino Linotype" w:hAnsi="Palatino Linotype"/>
        </w:rPr>
        <w:t xml:space="preserve"> en contra de la respuesta emitida por el </w:t>
      </w:r>
      <w:r>
        <w:rPr>
          <w:rFonts w:ascii="Palatino Linotype" w:hAnsi="Palatino Linotype"/>
          <w:b/>
        </w:rPr>
        <w:t xml:space="preserve">Instituto de Salud del Estado de México, </w:t>
      </w:r>
      <w:r>
        <w:rPr>
          <w:rFonts w:ascii="Palatino Linotype" w:hAnsi="Palatino Linotype"/>
        </w:rPr>
        <w:t xml:space="preserve">en lo sucesivo </w:t>
      </w:r>
      <w:r>
        <w:rPr>
          <w:rFonts w:ascii="Palatino Linotype" w:hAnsi="Palatino Linotype"/>
          <w:b/>
        </w:rPr>
        <w:t>EL SUJETO OBLIGADO</w:t>
      </w:r>
      <w:r>
        <w:rPr>
          <w:rFonts w:ascii="Palatino Linotype" w:hAnsi="Palatino Linotype"/>
        </w:rPr>
        <w:t xml:space="preserve">, se procede a dictar la presente resolución con base en lo siguiente: </w:t>
      </w:r>
    </w:p>
    <w:p w:rsidR="00F97EE5" w:rsidRDefault="00F97EE5">
      <w:pPr>
        <w:jc w:val="center"/>
        <w:rPr>
          <w:rFonts w:ascii="Palatino Linotype" w:hAnsi="Palatino Linotype"/>
        </w:rPr>
      </w:pPr>
    </w:p>
    <w:p w:rsidR="00F97EE5" w:rsidRDefault="00A25A46">
      <w:pPr>
        <w:jc w:val="center"/>
        <w:rPr>
          <w:rFonts w:ascii="Palatino Linotype" w:hAnsi="Palatino Linotype"/>
          <w:b/>
          <w:bCs/>
          <w:spacing w:val="40"/>
          <w:sz w:val="28"/>
        </w:rPr>
      </w:pPr>
      <w:r>
        <w:rPr>
          <w:rFonts w:ascii="Palatino Linotype" w:hAnsi="Palatino Linotype"/>
          <w:b/>
          <w:bCs/>
          <w:spacing w:val="40"/>
          <w:sz w:val="28"/>
        </w:rPr>
        <w:t>RESULTANDO</w:t>
      </w:r>
    </w:p>
    <w:p w:rsidR="00F97EE5" w:rsidRDefault="00F97EE5">
      <w:pPr>
        <w:jc w:val="center"/>
        <w:rPr>
          <w:rFonts w:ascii="Palatino Linotype" w:hAnsi="Palatino Linotype"/>
          <w:b/>
          <w:bCs/>
          <w:spacing w:val="40"/>
        </w:rPr>
      </w:pPr>
    </w:p>
    <w:p w:rsidR="00F97EE5" w:rsidRDefault="00A25A46">
      <w:pPr>
        <w:spacing w:line="360" w:lineRule="auto"/>
        <w:jc w:val="both"/>
        <w:rPr>
          <w:rFonts w:ascii="Palatino Linotype" w:hAnsi="Palatino Linotype" w:cs="Arial"/>
          <w:b/>
          <w:bCs/>
          <w:lang w:val="es-ES"/>
        </w:rPr>
      </w:pPr>
      <w:r>
        <w:rPr>
          <w:rFonts w:ascii="Palatino Linotype" w:hAnsi="Palatino Linotype"/>
          <w:b/>
          <w:sz w:val="28"/>
          <w:szCs w:val="28"/>
        </w:rPr>
        <w:t xml:space="preserve">I. </w:t>
      </w:r>
      <w:r>
        <w:rPr>
          <w:rFonts w:ascii="Palatino Linotype" w:hAnsi="Palatino Linotype" w:cs="Arial"/>
        </w:rPr>
        <w:t xml:space="preserve">En </w:t>
      </w:r>
      <w:r>
        <w:rPr>
          <w:rFonts w:ascii="Palatino Linotype" w:hAnsi="Palatino Linotype" w:cs="Arial"/>
          <w:lang w:val="es-ES"/>
        </w:rPr>
        <w:t>fecha</w:t>
      </w:r>
      <w:r>
        <w:rPr>
          <w:rFonts w:ascii="Palatino Linotype" w:hAnsi="Palatino Linotype"/>
          <w:lang w:val="es-ES"/>
        </w:rPr>
        <w:t xml:space="preserve"> </w:t>
      </w:r>
      <w:r>
        <w:rPr>
          <w:rFonts w:ascii="Palatino Linotype" w:hAnsi="Palatino Linotype" w:cs="Arial"/>
          <w:lang w:val="es-ES"/>
        </w:rPr>
        <w:t>diez de febrero de dos mil veinte</w:t>
      </w:r>
      <w:r>
        <w:rPr>
          <w:rFonts w:ascii="Palatino Linotype" w:hAnsi="Palatino Linotype"/>
          <w:lang w:val="es-ES"/>
        </w:rPr>
        <w:t xml:space="preserve">, </w:t>
      </w:r>
      <w:r>
        <w:rPr>
          <w:rFonts w:ascii="Palatino Linotype" w:hAnsi="Palatino Linotype"/>
          <w:b/>
          <w:lang w:val="es-ES"/>
        </w:rPr>
        <w:t>EL RECURRENTE</w:t>
      </w:r>
      <w:r>
        <w:rPr>
          <w:rFonts w:ascii="Palatino Linotype" w:hAnsi="Palatino Linotype" w:cs="Arial"/>
          <w:lang w:val="es-ES"/>
        </w:rPr>
        <w:t xml:space="preserve"> </w:t>
      </w:r>
      <w:r>
        <w:rPr>
          <w:rFonts w:ascii="Palatino Linotype" w:hAnsi="Palatino Linotype" w:cs="Arial"/>
        </w:rPr>
        <w:t xml:space="preserve">presentó a través del Sistema de Acceso a la Información Mexiquense, en lo subsecuente </w:t>
      </w:r>
      <w:r>
        <w:rPr>
          <w:rFonts w:ascii="Palatino Linotype" w:hAnsi="Palatino Linotype" w:cs="Arial"/>
          <w:b/>
        </w:rPr>
        <w:t>EL SAIMEX</w:t>
      </w:r>
      <w:r>
        <w:rPr>
          <w:rFonts w:ascii="Palatino Linotype" w:hAnsi="Palatino Linotype" w:cs="Arial"/>
        </w:rPr>
        <w:t xml:space="preserve"> ante </w:t>
      </w:r>
      <w:r>
        <w:rPr>
          <w:rFonts w:ascii="Palatino Linotype" w:hAnsi="Palatino Linotype" w:cs="Arial"/>
          <w:b/>
        </w:rPr>
        <w:t>EL SUJETO OBLIGADO</w:t>
      </w:r>
      <w:r>
        <w:rPr>
          <w:rFonts w:ascii="Palatino Linotype" w:hAnsi="Palatino Linotype" w:cs="Arial"/>
          <w:lang w:val="es-ES"/>
        </w:rPr>
        <w:t xml:space="preserve">, la solicitud de acceso a la información pública, a la que se le asignó el número de expediente </w:t>
      </w:r>
      <w:r>
        <w:rPr>
          <w:rFonts w:ascii="Palatino Linotype" w:hAnsi="Palatino Linotype" w:cs="Arial"/>
          <w:b/>
        </w:rPr>
        <w:t>00103/ISEM/IP/2020</w:t>
      </w:r>
      <w:r>
        <w:rPr>
          <w:rFonts w:ascii="Palatino Linotype" w:hAnsi="Palatino Linotype" w:cs="Arial"/>
          <w:lang w:val="es-ES"/>
        </w:rPr>
        <w:t>, mediante la cual solicitó:</w:t>
      </w:r>
    </w:p>
    <w:p w:rsidR="00F97EE5" w:rsidRDefault="00F97EE5">
      <w:pPr>
        <w:tabs>
          <w:tab w:val="left" w:pos="851"/>
        </w:tabs>
        <w:ind w:left="851" w:right="901"/>
        <w:jc w:val="both"/>
        <w:rPr>
          <w:rFonts w:ascii="Palatino Linotype" w:hAnsi="Palatino Linotype" w:cs="Arial"/>
          <w:i/>
          <w:sz w:val="22"/>
          <w:szCs w:val="22"/>
        </w:rPr>
      </w:pPr>
    </w:p>
    <w:p w:rsidR="00F97EE5" w:rsidRDefault="00A25A46">
      <w:pPr>
        <w:tabs>
          <w:tab w:val="left" w:pos="851"/>
        </w:tabs>
        <w:ind w:left="851" w:right="901"/>
        <w:jc w:val="both"/>
        <w:rPr>
          <w:rFonts w:ascii="Palatino Linotype" w:hAnsi="Palatino Linotype" w:cs="Arial"/>
          <w:i/>
          <w:sz w:val="22"/>
          <w:szCs w:val="22"/>
        </w:rPr>
      </w:pPr>
      <w:r>
        <w:rPr>
          <w:rFonts w:ascii="Palatino Linotype" w:hAnsi="Palatino Linotype" w:cs="Arial"/>
          <w:i/>
          <w:sz w:val="22"/>
          <w:szCs w:val="22"/>
        </w:rPr>
        <w:t>“Quiero saber todos los procesos de adjudicación directa y ce invitación restringida que ha llevado a cabo la coprisem desde octubre del 2017 a la fecha En caso de convenciones, cursos, y demás reuniones de trabajo que hayan sido adquiridos con presupuesto público quiero que me enseñen las fotos de los mismos o la evidencia de haberlos llevado a cabo, incluyendo facturas de vallides fiscal.” (Sic)</w:t>
      </w:r>
    </w:p>
    <w:p w:rsidR="00F97EE5" w:rsidRDefault="00F97EE5">
      <w:pPr>
        <w:tabs>
          <w:tab w:val="left" w:pos="851"/>
        </w:tabs>
        <w:ind w:left="851" w:right="901"/>
        <w:jc w:val="both"/>
        <w:rPr>
          <w:rFonts w:ascii="Palatino Linotype" w:hAnsi="Palatino Linotype" w:cs="Arial"/>
          <w:i/>
          <w:sz w:val="22"/>
          <w:szCs w:val="22"/>
        </w:rPr>
      </w:pPr>
    </w:p>
    <w:p w:rsidR="00F97EE5" w:rsidRDefault="00A25A46">
      <w:pPr>
        <w:spacing w:line="360" w:lineRule="auto"/>
        <w:jc w:val="both"/>
        <w:rPr>
          <w:rFonts w:ascii="Palatino Linotype" w:hAnsi="Palatino Linotype" w:cs="Arial"/>
          <w:b/>
        </w:rPr>
      </w:pPr>
      <w:r>
        <w:rPr>
          <w:rFonts w:ascii="Palatino Linotype" w:hAnsi="Palatino Linotype" w:cs="Arial"/>
          <w:b/>
        </w:rPr>
        <w:t>MODALIDAD DE ENTREGA:</w:t>
      </w:r>
      <w:r>
        <w:rPr>
          <w:rFonts w:ascii="Palatino Linotype" w:hAnsi="Palatino Linotype" w:cs="Arial"/>
        </w:rPr>
        <w:t xml:space="preserve"> Vía </w:t>
      </w:r>
      <w:r>
        <w:rPr>
          <w:rFonts w:ascii="Palatino Linotype" w:hAnsi="Palatino Linotype" w:cs="Arial"/>
          <w:b/>
        </w:rPr>
        <w:t>SAIMEX.</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cs="Arial"/>
          <w:lang w:val="es-ES" w:eastAsia="es-MX"/>
        </w:rPr>
      </w:pPr>
      <w:r>
        <w:rPr>
          <w:rFonts w:ascii="Palatino Linotype" w:hAnsi="Palatino Linotype"/>
          <w:b/>
          <w:sz w:val="28"/>
          <w:szCs w:val="28"/>
        </w:rPr>
        <w:t xml:space="preserve">II. </w:t>
      </w:r>
      <w:r>
        <w:rPr>
          <w:rFonts w:ascii="Palatino Linotype" w:hAnsi="Palatino Linotype" w:cs="Arial"/>
          <w:lang w:val="es-ES"/>
        </w:rPr>
        <w:t xml:space="preserve">En cumplimiento al artículo 162 de la Ley de Transparencia y Acceso a la Información Pública del Estado de México y Municipios, el trece de febrero de dos mil </w:t>
      </w:r>
      <w:r>
        <w:rPr>
          <w:rFonts w:ascii="Palatino Linotype" w:hAnsi="Palatino Linotype" w:cs="Arial"/>
          <w:lang w:val="es-ES"/>
        </w:rPr>
        <w:lastRenderedPageBreak/>
        <w:t xml:space="preserve">veinte, el Titular de la Unidad de Transparencia del </w:t>
      </w:r>
      <w:r>
        <w:rPr>
          <w:rFonts w:ascii="Palatino Linotype" w:hAnsi="Palatino Linotype" w:cs="Arial"/>
          <w:b/>
          <w:lang w:val="es-ES"/>
        </w:rPr>
        <w:t>SUJETO OBLIGADO</w:t>
      </w:r>
      <w:r>
        <w:rPr>
          <w:rFonts w:ascii="Palatino Linotype" w:hAnsi="Palatino Linotype" w:cs="Arial"/>
          <w:lang w:val="es-ES"/>
        </w:rPr>
        <w:t xml:space="preserve">, </w:t>
      </w:r>
      <w:r>
        <w:rPr>
          <w:rFonts w:ascii="Palatino Linotype" w:hAnsi="Palatino Linotype"/>
          <w:bCs/>
          <w:lang w:val="es-ES"/>
        </w:rPr>
        <w:t xml:space="preserve">turnó el requerimiento de información a los Servidores Públicos Habilitados de la Dirección de Finanzas, Dirección de Administración y Coordinación de Regulación Sanitaria, </w:t>
      </w:r>
      <w:r>
        <w:rPr>
          <w:rFonts w:ascii="Palatino Linotype" w:hAnsi="Palatino Linotype" w:cs="Arial"/>
          <w:lang w:val="es-ES"/>
        </w:rPr>
        <w:t>a efecto de que realizara la búsqueda y localización de la información tal como se desprende a continuación:</w:t>
      </w:r>
      <w:r>
        <w:rPr>
          <w:rFonts w:ascii="Palatino Linotype" w:hAnsi="Palatino Linotype" w:cs="Arial"/>
          <w:lang w:val="es-ES" w:eastAsia="es-MX"/>
        </w:rPr>
        <w:t xml:space="preserve"> </w:t>
      </w:r>
    </w:p>
    <w:p w:rsidR="00F97EE5" w:rsidRDefault="00A25A46">
      <w:pPr>
        <w:spacing w:line="360" w:lineRule="auto"/>
        <w:jc w:val="both"/>
        <w:rPr>
          <w:rFonts w:ascii="Palatino Linotype" w:hAnsi="Palatino Linotype" w:cs="Arial"/>
          <w:lang w:val="es-ES" w:eastAsia="es-MX"/>
        </w:rPr>
      </w:pPr>
      <w:r>
        <w:rPr>
          <w:noProof/>
          <w:lang w:eastAsia="es-MX"/>
        </w:rPr>
        <w:drawing>
          <wp:inline distT="0" distB="0" distL="0" distR="0">
            <wp:extent cx="5791835" cy="1614805"/>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8"/>
                    <a:stretch>
                      <a:fillRect/>
                    </a:stretch>
                  </pic:blipFill>
                  <pic:spPr bwMode="auto">
                    <a:xfrm>
                      <a:off x="0" y="0"/>
                      <a:ext cx="5791835" cy="1614805"/>
                    </a:xfrm>
                    <a:prstGeom prst="rect">
                      <a:avLst/>
                    </a:prstGeom>
                  </pic:spPr>
                </pic:pic>
              </a:graphicData>
            </a:graphic>
          </wp:inline>
        </w:drawing>
      </w:r>
      <w:r>
        <w:rPr>
          <w:noProof/>
          <w:lang w:eastAsia="es-MX"/>
        </w:rPr>
        <mc:AlternateContent>
          <mc:Choice Requires="wps">
            <w:drawing>
              <wp:anchor distT="0" distB="0" distL="0" distR="0" simplePos="0" relativeHeight="103" behindDoc="0" locked="0" layoutInCell="1" allowOverlap="1" wp14:anchorId="4A64F48C">
                <wp:simplePos x="0" y="0"/>
                <wp:positionH relativeFrom="margin">
                  <wp:align>right</wp:align>
                </wp:positionH>
                <wp:positionV relativeFrom="paragraph">
                  <wp:posOffset>258445</wp:posOffset>
                </wp:positionV>
                <wp:extent cx="5633720" cy="753110"/>
                <wp:effectExtent l="76200" t="38100" r="81915" b="104775"/>
                <wp:wrapNone/>
                <wp:docPr id="1" name="Rectángulo redondeado 18"/>
                <wp:cNvGraphicFramePr/>
                <a:graphic xmlns:a="http://schemas.openxmlformats.org/drawingml/2006/main">
                  <a:graphicData uri="http://schemas.microsoft.com/office/word/2010/wordprocessingShape">
                    <wps:wsp>
                      <wps:cNvSpPr/>
                      <wps:spPr>
                        <a:xfrm>
                          <a:off x="0" y="0"/>
                          <a:ext cx="5632920" cy="752400"/>
                        </a:xfrm>
                        <a:prstGeom prst="roundRect">
                          <a:avLst>
                            <a:gd name="adj" fmla="val 16667"/>
                          </a:avLst>
                        </a:prstGeom>
                        <a:noFill/>
                        <a:ln w="28440">
                          <a:solidFill>
                            <a:srgbClr val="FF0000"/>
                          </a:solidFill>
                          <a:round/>
                        </a:ln>
                        <a:effectLst>
                          <a:outerShdw blurRad="40000" dist="23040" dir="5400000" rotWithShape="0">
                            <a:srgbClr val="000000">
                              <a:alpha val="35000"/>
                            </a:srgbClr>
                          </a:outerShdw>
                        </a:effectLst>
                      </wps:spPr>
                      <wps:style>
                        <a:lnRef idx="1">
                          <a:schemeClr val="accent1"/>
                        </a:lnRef>
                        <a:fillRef idx="3">
                          <a:schemeClr val="accent1"/>
                        </a:fillRef>
                        <a:effectRef idx="2">
                          <a:schemeClr val="accent1"/>
                        </a:effectRef>
                        <a:fontRef idx="minor"/>
                      </wps:style>
                      <wps:bodyPr/>
                    </wps:wsp>
                  </a:graphicData>
                </a:graphic>
              </wp:anchor>
            </w:drawing>
          </mc:Choice>
          <mc:Fallback>
            <w:pict/>
          </mc:Fallback>
        </mc:AlternateContent>
      </w:r>
    </w:p>
    <w:p w:rsidR="00F97EE5" w:rsidRDefault="00F97EE5">
      <w:pPr>
        <w:spacing w:line="360" w:lineRule="auto"/>
        <w:jc w:val="both"/>
        <w:rPr>
          <w:rFonts w:ascii="Palatino Linotype" w:hAnsi="Palatino Linotype"/>
          <w:b/>
          <w:sz w:val="28"/>
          <w:szCs w:val="28"/>
        </w:rPr>
      </w:pPr>
    </w:p>
    <w:p w:rsidR="00F97EE5" w:rsidRDefault="00A25A46">
      <w:pPr>
        <w:spacing w:line="360" w:lineRule="auto"/>
        <w:jc w:val="both"/>
        <w:rPr>
          <w:rFonts w:ascii="Palatino Linotype" w:hAnsi="Palatino Linotype" w:cs="Arial"/>
          <w:lang w:val="es-ES_tradnl"/>
        </w:rPr>
      </w:pPr>
      <w:r>
        <w:rPr>
          <w:rFonts w:ascii="Palatino Linotype" w:hAnsi="Palatino Linotype"/>
          <w:b/>
          <w:sz w:val="28"/>
          <w:szCs w:val="28"/>
        </w:rPr>
        <w:t>III.</w:t>
      </w:r>
      <w:r>
        <w:rPr>
          <w:rFonts w:ascii="Palatino Linotype" w:hAnsi="Palatino Linotype"/>
          <w:sz w:val="28"/>
          <w:szCs w:val="28"/>
        </w:rPr>
        <w:t xml:space="preserve"> </w:t>
      </w:r>
      <w:r>
        <w:rPr>
          <w:rFonts w:ascii="Palatino Linotype" w:hAnsi="Palatino Linotype"/>
        </w:rPr>
        <w:t xml:space="preserve">De las constancias que obran en </w:t>
      </w:r>
      <w:r>
        <w:rPr>
          <w:rFonts w:ascii="Palatino Linotype" w:hAnsi="Palatino Linotype"/>
          <w:b/>
        </w:rPr>
        <w:t>EL SAIMEX,</w:t>
      </w:r>
      <w:r>
        <w:rPr>
          <w:rFonts w:ascii="Palatino Linotype" w:hAnsi="Palatino Linotype"/>
        </w:rPr>
        <w:t xml:space="preserve"> se advierte que en tres de marzo de dos mil veinte, </w:t>
      </w:r>
      <w:r>
        <w:rPr>
          <w:rFonts w:ascii="Palatino Linotype" w:hAnsi="Palatino Linotype" w:cs="Arial"/>
          <w:lang w:val="es-ES_tradnl"/>
        </w:rPr>
        <w:t>el Responsable de la Unidad de Transparencia del</w:t>
      </w:r>
      <w:r>
        <w:rPr>
          <w:rFonts w:ascii="Palatino Linotype" w:hAnsi="Palatino Linotype" w:cs="Arial"/>
          <w:b/>
          <w:lang w:val="es-ES_tradnl"/>
        </w:rPr>
        <w:t xml:space="preserve"> SUJETO OBLIGADO</w:t>
      </w:r>
      <w:r>
        <w:rPr>
          <w:rFonts w:ascii="Palatino Linotype" w:hAnsi="Palatino Linotype" w:cs="Arial"/>
          <w:lang w:val="es-ES_tradnl"/>
        </w:rPr>
        <w:t xml:space="preserve"> dio respuesta a la solicitud de información, en los siguientes términos:</w:t>
      </w:r>
    </w:p>
    <w:p w:rsidR="00F97EE5" w:rsidRDefault="00F97EE5">
      <w:pPr>
        <w:ind w:left="851" w:right="899"/>
        <w:jc w:val="both"/>
        <w:rPr>
          <w:rFonts w:ascii="Palatino Linotype" w:hAnsi="Palatino Linotype" w:cs="Arial"/>
          <w:i/>
          <w:sz w:val="22"/>
          <w:szCs w:val="22"/>
        </w:rPr>
      </w:pPr>
    </w:p>
    <w:p w:rsidR="00F97EE5" w:rsidRDefault="00A25A46">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F97EE5" w:rsidRDefault="00F97EE5">
      <w:pPr>
        <w:ind w:left="851" w:right="901"/>
        <w:jc w:val="both"/>
        <w:rPr>
          <w:rFonts w:ascii="Palatino Linotype" w:hAnsi="Palatino Linotype" w:cs="Arial"/>
          <w:i/>
          <w:sz w:val="22"/>
          <w:szCs w:val="22"/>
          <w:lang w:eastAsia="es-MX"/>
        </w:rPr>
      </w:pPr>
    </w:p>
    <w:p w:rsidR="00F97EE5" w:rsidRDefault="00A25A46">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Se envía respuesta a su solicitud.</w:t>
      </w:r>
    </w:p>
    <w:p w:rsidR="00F97EE5" w:rsidRDefault="00F97EE5">
      <w:pPr>
        <w:ind w:left="851" w:right="901"/>
        <w:jc w:val="both"/>
        <w:rPr>
          <w:rFonts w:ascii="Palatino Linotype" w:hAnsi="Palatino Linotype" w:cs="Arial"/>
          <w:i/>
          <w:sz w:val="22"/>
          <w:szCs w:val="22"/>
          <w:lang w:eastAsia="es-MX"/>
        </w:rPr>
      </w:pPr>
    </w:p>
    <w:p w:rsidR="00F97EE5" w:rsidRDefault="00A25A46">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ATENTAMENTE</w:t>
      </w:r>
    </w:p>
    <w:p w:rsidR="00F97EE5" w:rsidRDefault="00F97EE5">
      <w:pPr>
        <w:ind w:left="851" w:right="901"/>
        <w:jc w:val="both"/>
        <w:rPr>
          <w:rFonts w:ascii="Palatino Linotype" w:hAnsi="Palatino Linotype" w:cs="Arial"/>
          <w:i/>
          <w:sz w:val="22"/>
          <w:szCs w:val="22"/>
          <w:lang w:eastAsia="es-MX"/>
        </w:rPr>
      </w:pPr>
    </w:p>
    <w:p w:rsidR="00F97EE5" w:rsidRDefault="00A25A46">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LIC. ELOINA SILVETTE DÍAZ GUTIÉRREZ” (Sic)</w:t>
      </w:r>
    </w:p>
    <w:p w:rsidR="00F97EE5" w:rsidRDefault="00F97EE5">
      <w:pPr>
        <w:ind w:left="851" w:right="899"/>
        <w:jc w:val="both"/>
        <w:rPr>
          <w:rFonts w:ascii="Palatino Linotype" w:hAnsi="Palatino Linotype" w:cs="Arial"/>
          <w:i/>
          <w:sz w:val="22"/>
          <w:szCs w:val="22"/>
        </w:rPr>
      </w:pPr>
    </w:p>
    <w:p w:rsidR="00F97EE5" w:rsidRDefault="00A25A46">
      <w:pPr>
        <w:spacing w:line="360" w:lineRule="auto"/>
        <w:jc w:val="both"/>
        <w:rPr>
          <w:rFonts w:ascii="Palatino Linotype" w:hAnsi="Palatino Linotype"/>
        </w:rPr>
      </w:pPr>
      <w:r>
        <w:rPr>
          <w:rFonts w:ascii="Palatino Linotype" w:hAnsi="Palatino Linotype"/>
        </w:rPr>
        <w:t xml:space="preserve">Advirtiendo de dicha respuesta, que </w:t>
      </w:r>
      <w:r>
        <w:rPr>
          <w:rFonts w:ascii="Palatino Linotype" w:hAnsi="Palatino Linotype" w:cs="Arial"/>
          <w:b/>
        </w:rPr>
        <w:t>EL SUJETO OBLIGADO</w:t>
      </w:r>
      <w:r>
        <w:rPr>
          <w:rFonts w:ascii="Palatino Linotype" w:hAnsi="Palatino Linotype"/>
        </w:rPr>
        <w:t xml:space="preserve"> acompañó los archivos electrónicos siguientes: </w:t>
      </w:r>
    </w:p>
    <w:p w:rsidR="00F97EE5" w:rsidRDefault="00F97EE5">
      <w:pPr>
        <w:spacing w:line="360" w:lineRule="auto"/>
        <w:jc w:val="both"/>
        <w:rPr>
          <w:rFonts w:ascii="Palatino Linotype" w:hAnsi="Palatino Linotype" w:cs="Arial"/>
          <w:b/>
        </w:rPr>
      </w:pPr>
    </w:p>
    <w:p w:rsidR="00F97EE5" w:rsidRDefault="00244191">
      <w:pPr>
        <w:spacing w:line="360" w:lineRule="auto"/>
        <w:jc w:val="both"/>
        <w:rPr>
          <w:rFonts w:ascii="Palatino Linotype" w:hAnsi="Palatino Linotype" w:cs="Arial"/>
        </w:rPr>
      </w:pPr>
      <w:hyperlink r:id="rId9" w:tgtFrame="_blank">
        <w:r w:rsidR="00A25A46">
          <w:rPr>
            <w:rFonts w:ascii="Palatino Linotype" w:hAnsi="Palatino Linotype" w:cs="Arial"/>
            <w:b/>
          </w:rPr>
          <w:t>227.pdf</w:t>
        </w:r>
      </w:hyperlink>
      <w:r w:rsidR="00A25A46">
        <w:rPr>
          <w:rFonts w:ascii="Palatino Linotype" w:hAnsi="Palatino Linotype" w:cs="Arial"/>
          <w:b/>
        </w:rPr>
        <w:t xml:space="preserve">: </w:t>
      </w:r>
      <w:r w:rsidR="00A25A46">
        <w:rPr>
          <w:rFonts w:ascii="Palatino Linotype" w:hAnsi="Palatino Linotype" w:cs="Arial"/>
        </w:rPr>
        <w:t>el cual corresponde al oficio 208C0101200000L/227/2020, por medio del cual el Coordinador de Regulación Sanitaria y Comisionado para la Protección Contra Riesgos Sanitarios, refiere que conforme al Reglamento Interno del Instituto de Salud del estado de México, corresponde a la Subdirección de Recursos Materiales, la integración, control y comprobación completa de los procesos de licitación pública, invitación restringida y adjudicación directa sobre la adquisición de bienes y servicios.</w:t>
      </w:r>
    </w:p>
    <w:p w:rsidR="00F97EE5" w:rsidRDefault="00F97EE5">
      <w:pPr>
        <w:spacing w:line="360" w:lineRule="auto"/>
        <w:jc w:val="both"/>
        <w:rPr>
          <w:rFonts w:ascii="Palatino Linotype" w:hAnsi="Palatino Linotype" w:cs="Arial"/>
          <w:b/>
        </w:rPr>
      </w:pPr>
    </w:p>
    <w:p w:rsidR="00F97EE5" w:rsidRDefault="00244191">
      <w:pPr>
        <w:spacing w:line="360" w:lineRule="auto"/>
        <w:jc w:val="both"/>
        <w:rPr>
          <w:rFonts w:ascii="Palatino Linotype" w:hAnsi="Palatino Linotype" w:cs="Arial"/>
        </w:rPr>
      </w:pPr>
      <w:hyperlink r:id="rId10" w:tgtFrame="_blank">
        <w:r w:rsidR="00A25A46">
          <w:rPr>
            <w:rFonts w:ascii="Palatino Linotype" w:hAnsi="Palatino Linotype" w:cs="Arial"/>
            <w:b/>
          </w:rPr>
          <w:t>552 DF 2020.pdf</w:t>
        </w:r>
      </w:hyperlink>
      <w:r w:rsidR="00A25A46">
        <w:rPr>
          <w:rFonts w:ascii="Palatino Linotype" w:hAnsi="Palatino Linotype" w:cs="Arial"/>
          <w:b/>
        </w:rPr>
        <w:t xml:space="preserve">: </w:t>
      </w:r>
      <w:r w:rsidR="00A25A46">
        <w:rPr>
          <w:rFonts w:ascii="Palatino Linotype" w:hAnsi="Palatino Linotype" w:cs="Arial"/>
        </w:rPr>
        <w:t>el cual corresponde al oficio no. 208C0101310000L/552/2020, el Director de Finanzas, refiere no haber encontrado información al respecto, por no contar con presupuesto de COPRISEM.</w:t>
      </w:r>
    </w:p>
    <w:p w:rsidR="00F97EE5" w:rsidRDefault="00F97EE5">
      <w:pPr>
        <w:spacing w:line="360" w:lineRule="auto"/>
        <w:jc w:val="both"/>
        <w:rPr>
          <w:rFonts w:ascii="Palatino Linotype" w:hAnsi="Palatino Linotype" w:cs="Arial"/>
          <w:b/>
        </w:rPr>
      </w:pPr>
    </w:p>
    <w:p w:rsidR="00F97EE5" w:rsidRDefault="00244191">
      <w:pPr>
        <w:spacing w:line="360" w:lineRule="auto"/>
        <w:jc w:val="both"/>
        <w:rPr>
          <w:rFonts w:ascii="Palatino Linotype" w:hAnsi="Palatino Linotype" w:cs="Arial"/>
        </w:rPr>
      </w:pPr>
      <w:hyperlink r:id="rId11" w:tgtFrame="_blank">
        <w:r w:rsidR="00A25A46">
          <w:rPr>
            <w:rFonts w:ascii="Palatino Linotype" w:hAnsi="Palatino Linotype" w:cs="Arial"/>
            <w:b/>
          </w:rPr>
          <w:t>SAIMEX 00103 IP.docx</w:t>
        </w:r>
      </w:hyperlink>
      <w:r w:rsidR="00A25A46">
        <w:rPr>
          <w:rFonts w:ascii="Palatino Linotype" w:hAnsi="Palatino Linotype" w:cs="Arial"/>
          <w:b/>
        </w:rPr>
        <w:t xml:space="preserve">: </w:t>
      </w:r>
      <w:r w:rsidR="00A25A46">
        <w:rPr>
          <w:rFonts w:ascii="Palatino Linotype" w:hAnsi="Palatino Linotype" w:cs="Arial"/>
        </w:rPr>
        <w:t>el cual de su contenido se hace referencia de adjuntar información proporcionada en respuesta a su solicitud, por el área administrativa de este Instituto de Salud del Estado de México, mediante el oficio número 208C0101320200L/0677/2020, en el sentido de remitir información relacionada con los procedimientos adquisitivos en la modalidad de adjudicación directa que han sido substanciados durante el periodo de octubre de 2017 a la fecha; asimismo, a través de tarjeta informativa emitida por la Subdirección de Tesorería y Contabilidad, se hace de su conocimiento no hallarse en sus archivos información que atienda en forma positiva su requerimiento.</w:t>
      </w:r>
    </w:p>
    <w:p w:rsidR="00F97EE5" w:rsidRDefault="00F97EE5">
      <w:pPr>
        <w:spacing w:line="360" w:lineRule="auto"/>
        <w:jc w:val="both"/>
        <w:rPr>
          <w:rFonts w:ascii="Palatino Linotype" w:hAnsi="Palatino Linotype" w:cs="Arial"/>
        </w:rPr>
      </w:pPr>
    </w:p>
    <w:p w:rsidR="00F97EE5" w:rsidRDefault="00244191">
      <w:pPr>
        <w:spacing w:line="360" w:lineRule="auto"/>
        <w:jc w:val="both"/>
        <w:rPr>
          <w:rFonts w:ascii="Palatino Linotype" w:hAnsi="Palatino Linotype" w:cs="Arial"/>
        </w:rPr>
      </w:pPr>
      <w:hyperlink r:id="rId12" w:tgtFrame="_blank">
        <w:r w:rsidR="00A25A46">
          <w:rPr>
            <w:rFonts w:ascii="Palatino Linotype" w:hAnsi="Palatino Linotype" w:cs="Arial"/>
            <w:b/>
          </w:rPr>
          <w:t>587407 sol 103 2020.pdf</w:t>
        </w:r>
      </w:hyperlink>
      <w:r w:rsidR="00A25A46">
        <w:rPr>
          <w:rFonts w:ascii="Palatino Linotype" w:hAnsi="Palatino Linotype" w:cs="Arial"/>
          <w:b/>
        </w:rPr>
        <w:t xml:space="preserve">: </w:t>
      </w:r>
      <w:r w:rsidR="00A25A46">
        <w:rPr>
          <w:rFonts w:ascii="Palatino Linotype" w:hAnsi="Palatino Linotype" w:cs="Arial"/>
        </w:rPr>
        <w:t xml:space="preserve">el cual corresponde al oficio 208C0101320200L/0677/2020, de fecha veintisiete de febrero de dos mil veinte, por medio del cual el Subdirector de </w:t>
      </w:r>
      <w:r w:rsidR="00A25A46">
        <w:rPr>
          <w:rFonts w:ascii="Palatino Linotype" w:hAnsi="Palatino Linotype" w:cs="Arial"/>
        </w:rPr>
        <w:lastRenderedPageBreak/>
        <w:t xml:space="preserve">Recursos Materiales, anexa una relación de procedimientos adquisitivos en la modalidad de adjudicación directa, substanciados durante el periodo de octubre de 2017 a la fecha del oficio; haciendo la precisión de no haber realizado procedimientos en la modalidad de invitación restringida en dicho periodo. </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cs="Arial"/>
        </w:rPr>
      </w:pPr>
      <w:r>
        <w:rPr>
          <w:rFonts w:ascii="Palatino Linotype" w:hAnsi="Palatino Linotype" w:cs="Arial"/>
        </w:rPr>
        <w:t>Asimismo, refirió con respecto a las fotos solicitadas y evidencia de haberse llevado a cabo convenciones, cursos, y demás reuniones de trabajo incluyendo facturas, hizo del conocimiento que no se genera, recopila, administra, maneja, procesa, archiva o conserva en la Subdirección a su cargo, de acuerdo a lo establecido en el Manual General de Organizador/ y Reglamento Interno del Instituto de Salud del Estado de México.</w:t>
      </w:r>
    </w:p>
    <w:p w:rsidR="00F97EE5" w:rsidRDefault="00F97EE5">
      <w:pPr>
        <w:spacing w:line="360" w:lineRule="auto"/>
        <w:jc w:val="both"/>
        <w:rPr>
          <w:rFonts w:ascii="Palatino Linotype" w:hAnsi="Palatino Linotype" w:cs="Arial"/>
          <w:b/>
        </w:rPr>
      </w:pPr>
    </w:p>
    <w:p w:rsidR="00F97EE5" w:rsidRDefault="00A25A46">
      <w:pPr>
        <w:spacing w:line="360" w:lineRule="auto"/>
        <w:jc w:val="both"/>
        <w:rPr>
          <w:rFonts w:ascii="Palatino Linotype" w:hAnsi="Palatino Linotype" w:cs="Arial"/>
        </w:rPr>
      </w:pPr>
      <w:r>
        <w:rPr>
          <w:rFonts w:ascii="Palatino Linotype" w:hAnsi="Palatino Linotype"/>
          <w:b/>
          <w:sz w:val="28"/>
          <w:szCs w:val="28"/>
        </w:rPr>
        <w:t>IV.</w:t>
      </w:r>
      <w:r>
        <w:rPr>
          <w:rFonts w:ascii="Palatino Linotype" w:hAnsi="Palatino Linotype"/>
          <w:b/>
        </w:rPr>
        <w:t xml:space="preserve"> </w:t>
      </w:r>
      <w:r>
        <w:rPr>
          <w:rFonts w:ascii="Palatino Linotype" w:hAnsi="Palatino Linotype"/>
        </w:rPr>
        <w:t xml:space="preserve">Inconforme con la </w:t>
      </w:r>
      <w:r>
        <w:rPr>
          <w:rFonts w:ascii="Palatino Linotype" w:hAnsi="Palatino Linotype" w:cs="Arial"/>
        </w:rPr>
        <w:t xml:space="preserve">respuesta, el tres de marzo de dos mil veinte, </w:t>
      </w:r>
      <w:r>
        <w:rPr>
          <w:rFonts w:ascii="Palatino Linotype" w:hAnsi="Palatino Linotype"/>
          <w:b/>
        </w:rPr>
        <w:t>EL RECURRENTE</w:t>
      </w:r>
      <w:r>
        <w:rPr>
          <w:rFonts w:ascii="Palatino Linotype" w:hAnsi="Palatino Linotype"/>
        </w:rPr>
        <w:t xml:space="preserve"> interpuso el recurso de revisión objeto del presente estudio, el cual fue registrado en </w:t>
      </w:r>
      <w:r>
        <w:rPr>
          <w:rFonts w:ascii="Palatino Linotype" w:hAnsi="Palatino Linotype"/>
          <w:b/>
        </w:rPr>
        <w:t>EL SAIMEX</w:t>
      </w:r>
      <w:r>
        <w:rPr>
          <w:rFonts w:ascii="Palatino Linotype" w:hAnsi="Palatino Linotype"/>
        </w:rPr>
        <w:t xml:space="preserve"> y se le asignó el número de expediente </w:t>
      </w:r>
      <w:r>
        <w:rPr>
          <w:rFonts w:ascii="Palatino Linotype" w:hAnsi="Palatino Linotype" w:cs="Arial"/>
          <w:b/>
          <w:bCs/>
        </w:rPr>
        <w:t>01387/INFOEM/IP/RR/2020</w:t>
      </w:r>
      <w:r>
        <w:rPr>
          <w:rFonts w:ascii="Palatino Linotype" w:hAnsi="Palatino Linotype" w:cs="Arial"/>
        </w:rPr>
        <w:t xml:space="preserve">, en el que señaló como acto impugnado: </w:t>
      </w:r>
    </w:p>
    <w:p w:rsidR="00F97EE5" w:rsidRDefault="00F97EE5">
      <w:pPr>
        <w:ind w:left="851" w:right="899"/>
        <w:jc w:val="both"/>
        <w:rPr>
          <w:rFonts w:ascii="Palatino Linotype" w:hAnsi="Palatino Linotype" w:cs="Arial"/>
          <w:i/>
          <w:sz w:val="22"/>
          <w:szCs w:val="22"/>
        </w:rPr>
      </w:pPr>
    </w:p>
    <w:p w:rsidR="00F97EE5" w:rsidRDefault="00A25A46">
      <w:pPr>
        <w:ind w:left="851" w:right="899"/>
        <w:jc w:val="both"/>
        <w:rPr>
          <w:rFonts w:ascii="Palatino Linotype" w:hAnsi="Palatino Linotype" w:cs="Arial"/>
          <w:i/>
          <w:sz w:val="22"/>
          <w:szCs w:val="22"/>
        </w:rPr>
      </w:pPr>
      <w:r>
        <w:rPr>
          <w:rFonts w:ascii="Palatino Linotype" w:hAnsi="Palatino Linotype" w:cs="Arial"/>
          <w:i/>
          <w:sz w:val="22"/>
          <w:szCs w:val="22"/>
        </w:rPr>
        <w:t xml:space="preserve">“Se me está negando el derecho a informarme sobre un tema de capacitación a través de convenciones y cursos que realizó la coprisem y que niega el mostrar evidencias fotográficas o de alguna otra forma de que dichos servicios fueron prestados al organismo por el proveedor y que si fueron pagados. En el primer anexo denominado nomina info administrativa, que contiene el oficio no. 208C0101320000L7 00 091 /2020 28 de enero de 2020, firmado por la directora de administración del ISEM se me informa de varios conceptos, entre ellos la RELACIÓN DE PROCEDIMIENTOS ADQUISITIVOS COPRISEM (COORDINACIÓN DE REGULACIÓN SANITARIA)PERIODO 2017-2019 y se advierten más de dos que corresponden a convenciones y cursos de capacitación; tal y como lo refiere el oficio 208C0101320200L/0677 /2020, emitido por el Subdirector de Recursos Materiales </w:t>
      </w:r>
      <w:r>
        <w:rPr>
          <w:rFonts w:ascii="Palatino Linotype" w:hAnsi="Palatino Linotype" w:cs="Arial"/>
          <w:i/>
          <w:sz w:val="22"/>
          <w:szCs w:val="22"/>
        </w:rPr>
        <w:lastRenderedPageBreak/>
        <w:t>en fecha 27 de febrero de 2020 y que anexo con la denominación rec mat informa. Por su parte la dirección de finanzas del ISEM manifiesta mediante ocurso no. 208C0101310000L552/2020 niega tener un presupuesto de la coprisem Con el anexo denominado coprisem solo usuaria referente al oficio no 208C0101200000/227/2020, el titular de la coprisem, afirma que sólo es el área usuaria de dichos servicios contratados por el ISEM. Sin embargo NUNCA menciona la existencia de fotos u otros medios para comprobar la realización de dichas convenciones y cursos de capacitación; los cuales si se cobraron pero no los justifica, y que fue precisamente la información que solocite.” (sic)</w:t>
      </w:r>
    </w:p>
    <w:p w:rsidR="00F97EE5" w:rsidRDefault="00F97EE5">
      <w:pPr>
        <w:ind w:left="851" w:right="899"/>
        <w:jc w:val="both"/>
        <w:rPr>
          <w:rFonts w:ascii="Palatino Linotype" w:hAnsi="Palatino Linotype" w:cs="Arial"/>
          <w:i/>
          <w:sz w:val="22"/>
          <w:szCs w:val="22"/>
        </w:rPr>
      </w:pPr>
    </w:p>
    <w:p w:rsidR="00F97EE5" w:rsidRDefault="00A25A46">
      <w:pPr>
        <w:spacing w:line="360" w:lineRule="auto"/>
        <w:jc w:val="both"/>
        <w:rPr>
          <w:rFonts w:ascii="Palatino Linotype" w:hAnsi="Palatino Linotype" w:cs="Arial"/>
        </w:rPr>
      </w:pPr>
      <w:r>
        <w:rPr>
          <w:rFonts w:ascii="Palatino Linotype" w:hAnsi="Palatino Linotype" w:cs="Arial"/>
        </w:rPr>
        <w:t xml:space="preserve">Así como, razones o motivos de inconformidad, lo siguiente: </w:t>
      </w:r>
    </w:p>
    <w:p w:rsidR="00F97EE5" w:rsidRDefault="00F97EE5">
      <w:pPr>
        <w:ind w:left="851" w:right="899"/>
        <w:jc w:val="both"/>
        <w:rPr>
          <w:rFonts w:ascii="Palatino Linotype" w:hAnsi="Palatino Linotype" w:cs="Arial"/>
          <w:i/>
          <w:sz w:val="22"/>
          <w:szCs w:val="22"/>
        </w:rPr>
      </w:pPr>
    </w:p>
    <w:p w:rsidR="00F97EE5" w:rsidRDefault="00A25A46">
      <w:pPr>
        <w:ind w:left="851" w:right="899"/>
        <w:jc w:val="both"/>
        <w:rPr>
          <w:rFonts w:ascii="Palatino Linotype" w:hAnsi="Palatino Linotype" w:cs="Arial"/>
          <w:i/>
          <w:sz w:val="22"/>
          <w:szCs w:val="22"/>
        </w:rPr>
      </w:pPr>
      <w:r>
        <w:rPr>
          <w:rFonts w:ascii="Palatino Linotype" w:hAnsi="Palatino Linotype" w:cs="Arial"/>
          <w:i/>
          <w:sz w:val="22"/>
          <w:szCs w:val="22"/>
        </w:rPr>
        <w:t xml:space="preserve">“Se me entregó información contradictoria de las áreas involucradas y ninguna atendió mi solicitud de que me enviaran las facturas, los procesos de adjudicación y la evidencia fotográfica de la realización de las convenciones y cursos solicitados por la coprisem en determinado periodo Muchas gracias de antemano” (sic) </w:t>
      </w:r>
    </w:p>
    <w:p w:rsidR="00F97EE5" w:rsidRDefault="00F97EE5">
      <w:pPr>
        <w:ind w:left="851" w:right="899"/>
        <w:jc w:val="both"/>
        <w:rPr>
          <w:rFonts w:ascii="Palatino Linotype" w:hAnsi="Palatino Linotype" w:cs="Arial"/>
          <w:i/>
          <w:sz w:val="22"/>
          <w:szCs w:val="22"/>
        </w:rPr>
      </w:pPr>
    </w:p>
    <w:p w:rsidR="00F97EE5" w:rsidRDefault="00A25A46">
      <w:pPr>
        <w:pStyle w:val="Default"/>
        <w:spacing w:line="360" w:lineRule="auto"/>
        <w:ind w:right="49"/>
        <w:jc w:val="both"/>
        <w:rPr>
          <w:rFonts w:ascii="Palatino Linotype" w:hAnsi="Palatino Linotype"/>
          <w:lang w:val="es-ES_tradnl"/>
        </w:rPr>
      </w:pPr>
      <w:r>
        <w:rPr>
          <w:rFonts w:ascii="Palatino Linotype" w:hAnsi="Palatino Linotype"/>
          <w:b/>
          <w:sz w:val="28"/>
          <w:szCs w:val="28"/>
        </w:rPr>
        <w:t xml:space="preserve">V. </w:t>
      </w:r>
      <w:r>
        <w:rPr>
          <w:rFonts w:ascii="Palatino Linotype" w:hAnsi="Palatino Linotype"/>
        </w:rPr>
        <w:t>El</w:t>
      </w:r>
      <w:r>
        <w:rPr>
          <w:rFonts w:ascii="Palatino Linotype" w:hAnsi="Palatino Linotype"/>
          <w:b/>
          <w:sz w:val="28"/>
          <w:szCs w:val="28"/>
        </w:rPr>
        <w:t xml:space="preserve"> </w:t>
      </w:r>
      <w:r>
        <w:rPr>
          <w:rFonts w:ascii="Palatino Linotype" w:hAnsi="Palatino Linotype"/>
        </w:rPr>
        <w:t xml:space="preserve">tres de marzo de dos mil veinte, el </w:t>
      </w:r>
      <w:r>
        <w:rPr>
          <w:rFonts w:ascii="Palatino Linotype" w:hAnsi="Palatino Linotype"/>
          <w:lang w:val="es-ES_tradnl"/>
        </w:rPr>
        <w:t>recurso de que</w:t>
      </w:r>
      <w:r>
        <w:rPr>
          <w:rFonts w:ascii="Palatino Linotype" w:hAnsi="Palatino Linotype"/>
        </w:rPr>
        <w:t xml:space="preserve"> se trata</w:t>
      </w:r>
      <w:r>
        <w:rPr>
          <w:rFonts w:ascii="Palatino Linotype" w:hAnsi="Palatino Linotype"/>
          <w:lang w:val="es-ES_tradnl"/>
        </w:rPr>
        <w:t xml:space="preserve"> se envió electrónicamente al Instituto de </w:t>
      </w:r>
      <w:r>
        <w:rPr>
          <w:rFonts w:ascii="Palatino Linotype" w:eastAsia="Arial Unicode MS" w:hAnsi="Palatino Linotype"/>
        </w:rPr>
        <w:t>Transparencia</w:t>
      </w:r>
      <w:r>
        <w:rPr>
          <w:rFonts w:ascii="Palatino Linotype" w:hAnsi="Palatino Linotype"/>
          <w:lang w:val="es-ES_tradnl"/>
        </w:rPr>
        <w:t xml:space="preserve">, Acceso a la Información Pública y Protección de Datos Personales del Estado de México y Municipios y con fundamento en el artículo 185, fracción I de la </w:t>
      </w:r>
      <w:r>
        <w:rPr>
          <w:rFonts w:ascii="Palatino Linotype" w:hAnsi="Palatino Linotype"/>
        </w:rPr>
        <w:t>Ley de Transparencia y Acceso a la Información Pública del Estado de México y Municipios</w:t>
      </w:r>
      <w:r>
        <w:rPr>
          <w:rFonts w:ascii="Palatino Linotype" w:hAnsi="Palatino Linotype"/>
          <w:lang w:val="es-ES_tradnl"/>
        </w:rPr>
        <w:t>, se turnó, a través del</w:t>
      </w:r>
      <w:r>
        <w:rPr>
          <w:rFonts w:ascii="Palatino Linotype" w:eastAsia="Arial Unicode MS" w:hAnsi="Palatino Linotype"/>
          <w:lang w:val="es-ES_tradnl"/>
        </w:rPr>
        <w:t xml:space="preserve"> </w:t>
      </w:r>
      <w:r>
        <w:rPr>
          <w:rFonts w:ascii="Palatino Linotype" w:eastAsia="Arial Unicode MS" w:hAnsi="Palatino Linotype"/>
          <w:b/>
          <w:lang w:val="es-ES_tradnl"/>
        </w:rPr>
        <w:t>SAIMEX</w:t>
      </w:r>
      <w:r>
        <w:rPr>
          <w:rFonts w:ascii="Palatino Linotype" w:hAnsi="Palatino Linotype"/>
        </w:rPr>
        <w:t xml:space="preserve">, a la </w:t>
      </w:r>
      <w:r>
        <w:rPr>
          <w:rFonts w:ascii="Palatino Linotype" w:hAnsi="Palatino Linotype"/>
          <w:lang w:val="es-ES_tradnl"/>
        </w:rPr>
        <w:t xml:space="preserve">Comisionada </w:t>
      </w:r>
      <w:r>
        <w:rPr>
          <w:rFonts w:ascii="Palatino Linotype" w:hAnsi="Palatino Linotype"/>
          <w:b/>
          <w:lang w:val="es-ES_tradnl"/>
        </w:rPr>
        <w:t>EVA ABAID YAPUR</w:t>
      </w:r>
      <w:r>
        <w:rPr>
          <w:rFonts w:ascii="Palatino Linotype" w:hAnsi="Palatino Linotype"/>
        </w:rPr>
        <w:t>,</w:t>
      </w:r>
      <w:r>
        <w:rPr>
          <w:rFonts w:ascii="Palatino Linotype" w:hAnsi="Palatino Linotype"/>
          <w:lang w:val="es-ES_tradnl"/>
        </w:rPr>
        <w:t xml:space="preserve"> a efecto de decretar su admisión o desechamiento.</w:t>
      </w:r>
    </w:p>
    <w:p w:rsidR="00F97EE5" w:rsidRDefault="00F97EE5">
      <w:pPr>
        <w:pStyle w:val="Default"/>
        <w:spacing w:line="360" w:lineRule="auto"/>
        <w:ind w:right="49"/>
        <w:jc w:val="both"/>
        <w:rPr>
          <w:rFonts w:ascii="Palatino Linotype" w:hAnsi="Palatino Linotype"/>
          <w:lang w:val="es-ES_tradnl"/>
        </w:rPr>
      </w:pPr>
    </w:p>
    <w:p w:rsidR="00F97EE5" w:rsidRDefault="00A25A46">
      <w:pPr>
        <w:pStyle w:val="Piedepgina"/>
        <w:spacing w:line="360" w:lineRule="auto"/>
        <w:jc w:val="both"/>
        <w:rPr>
          <w:rFonts w:ascii="Palatino Linotype" w:hAnsi="Palatino Linotype" w:cs="Arial"/>
        </w:rPr>
      </w:pPr>
      <w:r>
        <w:rPr>
          <w:rFonts w:ascii="Palatino Linotype" w:hAnsi="Palatino Linotype" w:cs="Arial"/>
          <w:b/>
          <w:sz w:val="28"/>
        </w:rPr>
        <w:t xml:space="preserve">VI. </w:t>
      </w:r>
      <w:r>
        <w:rPr>
          <w:rFonts w:ascii="Palatino Linotype" w:hAnsi="Palatino Linotype" w:cs="Arial"/>
        </w:rPr>
        <w:t>De las constancias del expediente electrónico del</w:t>
      </w:r>
      <w:r>
        <w:rPr>
          <w:rFonts w:ascii="Palatino Linotype" w:hAnsi="Palatino Linotype" w:cs="Arial"/>
          <w:b/>
        </w:rPr>
        <w:t xml:space="preserve"> SAIMEX</w:t>
      </w:r>
      <w:r>
        <w:rPr>
          <w:rFonts w:ascii="Palatino Linotype" w:hAnsi="Palatino Linotype" w:cs="Arial"/>
        </w:rPr>
        <w:t xml:space="preserve">, se advierte que en fecha diez de marzo de dos mil veinte,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w:t>
      </w:r>
      <w:r>
        <w:rPr>
          <w:rFonts w:ascii="Palatino Linotype" w:hAnsi="Palatino Linotype" w:cs="Arial"/>
        </w:rPr>
        <w:lastRenderedPageBreak/>
        <w:t xml:space="preserve">conviniera, a efecto de presentar pruebas y alegatos; así como para que </w:t>
      </w:r>
      <w:r>
        <w:rPr>
          <w:rFonts w:ascii="Palatino Linotype" w:hAnsi="Palatino Linotype" w:cs="Arial"/>
          <w:b/>
        </w:rPr>
        <w:t xml:space="preserve">EL SUJETO OBLIGADO </w:t>
      </w:r>
      <w:r>
        <w:rPr>
          <w:rFonts w:ascii="Palatino Linotype" w:hAnsi="Palatino Linotype" w:cs="Arial"/>
        </w:rPr>
        <w:t>rindiera su</w:t>
      </w:r>
      <w:r>
        <w:rPr>
          <w:rFonts w:ascii="Palatino Linotype" w:hAnsi="Palatino Linotype" w:cs="Arial"/>
          <w:b/>
        </w:rPr>
        <w:t xml:space="preserve"> </w:t>
      </w:r>
      <w:r>
        <w:rPr>
          <w:rFonts w:ascii="Palatino Linotype" w:hAnsi="Palatino Linotype" w:cs="Arial"/>
        </w:rPr>
        <w:t>Informe Justificado.</w:t>
      </w:r>
    </w:p>
    <w:p w:rsidR="00F97EE5" w:rsidRDefault="00F97EE5">
      <w:pPr>
        <w:pStyle w:val="Piedepgina"/>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cs="Arial"/>
        </w:rPr>
      </w:pPr>
      <w:r>
        <w:rPr>
          <w:rFonts w:ascii="Palatino Linotype" w:eastAsia="Arial Unicode MS" w:hAnsi="Palatino Linotype" w:cs="Arial"/>
          <w:b/>
          <w:sz w:val="28"/>
          <w:szCs w:val="28"/>
        </w:rPr>
        <w:t xml:space="preserve">VII. </w:t>
      </w:r>
      <w:r>
        <w:rPr>
          <w:rFonts w:ascii="Palatino Linotype" w:eastAsia="Arial Unicode MS" w:hAnsi="Palatino Linotype" w:cs="Arial"/>
        </w:rPr>
        <w:t xml:space="preserve">Conforme a las constancias del </w:t>
      </w:r>
      <w:r>
        <w:rPr>
          <w:rFonts w:ascii="Palatino Linotype" w:eastAsia="Arial Unicode MS" w:hAnsi="Palatino Linotype" w:cs="Arial"/>
          <w:b/>
        </w:rPr>
        <w:t>SAIMEX</w:t>
      </w:r>
      <w:r>
        <w:rPr>
          <w:rFonts w:ascii="Palatino Linotype" w:eastAsia="Arial Unicode MS" w:hAnsi="Palatino Linotype" w:cs="Arial"/>
        </w:rPr>
        <w:t xml:space="preserve"> se desprende que atento a lo dispuesto en el artículo 185 de la Ley de Transparencia y Acceso a la Información Pública del Estado de México y Municipios, dentro del término legalmente concedido al </w:t>
      </w:r>
      <w:r>
        <w:rPr>
          <w:rFonts w:ascii="Palatino Linotype" w:eastAsia="Arial Unicode MS" w:hAnsi="Palatino Linotype" w:cs="Arial"/>
          <w:b/>
        </w:rPr>
        <w:t>RECURRENTE</w:t>
      </w:r>
      <w:r>
        <w:rPr>
          <w:rFonts w:ascii="Palatino Linotype" w:eastAsia="Arial Unicode MS" w:hAnsi="Palatino Linotype" w:cs="Arial"/>
        </w:rPr>
        <w:t xml:space="preserve">, éste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 </w:t>
      </w:r>
      <w:r>
        <w:rPr>
          <w:rFonts w:ascii="Palatino Linotype" w:hAnsi="Palatino Linotype" w:cs="Arial"/>
        </w:rPr>
        <w:t xml:space="preserve"> </w:t>
      </w:r>
    </w:p>
    <w:p w:rsidR="00F97EE5" w:rsidRDefault="00A25A46">
      <w:pPr>
        <w:spacing w:line="360" w:lineRule="auto"/>
        <w:jc w:val="center"/>
        <w:rPr>
          <w:rFonts w:ascii="Palatino Linotype" w:hAnsi="Palatino Linotype" w:cs="Arial"/>
        </w:rPr>
      </w:pPr>
      <w:r>
        <w:rPr>
          <w:noProof/>
          <w:lang w:eastAsia="es-MX"/>
        </w:rPr>
        <w:drawing>
          <wp:inline distT="0" distB="0" distL="0" distR="0">
            <wp:extent cx="5768340" cy="2209800"/>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4"/>
                    <pic:cNvPicPr>
                      <a:picLocks noChangeAspect="1" noChangeArrowheads="1"/>
                    </pic:cNvPicPr>
                  </pic:nvPicPr>
                  <pic:blipFill>
                    <a:blip r:embed="rId13"/>
                    <a:stretch>
                      <a:fillRect/>
                    </a:stretch>
                  </pic:blipFill>
                  <pic:spPr bwMode="auto">
                    <a:xfrm>
                      <a:off x="0" y="0"/>
                      <a:ext cx="5768340" cy="2209800"/>
                    </a:xfrm>
                    <a:prstGeom prst="rect">
                      <a:avLst/>
                    </a:prstGeom>
                  </pic:spPr>
                </pic:pic>
              </a:graphicData>
            </a:graphic>
          </wp:inline>
        </w:drawing>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b/>
          <w:sz w:val="28"/>
          <w:szCs w:val="28"/>
        </w:rPr>
      </w:pPr>
      <w:r>
        <w:rPr>
          <w:rFonts w:ascii="Palatino Linotype" w:hAnsi="Palatino Linotype"/>
          <w:b/>
          <w:sz w:val="28"/>
          <w:szCs w:val="28"/>
        </w:rPr>
        <w:t xml:space="preserve">VIII. </w:t>
      </w:r>
      <w:r>
        <w:rPr>
          <w:rFonts w:ascii="Palatino Linotype" w:hAnsi="Palatino Linotype" w:cs="Arial"/>
        </w:rPr>
        <w:t xml:space="preserve">En fecha tres de agosto de dos mil veinte, la Comisionada Ponente acordó el cierre de instrucción, así como la remisión del mismo a efecto de ser resuelto, de conformidad con lo establecido en el artículo 185 fracción VIII de la Ley de Transparencia y Acceso a la Información Pública del Estado de México y Municipios; y </w:t>
      </w:r>
    </w:p>
    <w:p w:rsidR="00F97EE5" w:rsidRDefault="00F97EE5">
      <w:pPr>
        <w:spacing w:line="360" w:lineRule="auto"/>
        <w:jc w:val="both"/>
        <w:rPr>
          <w:rFonts w:ascii="Palatino Linotype" w:hAnsi="Palatino Linotype"/>
          <w:b/>
          <w:sz w:val="28"/>
          <w:szCs w:val="28"/>
        </w:rPr>
      </w:pPr>
    </w:p>
    <w:p w:rsidR="00F97EE5" w:rsidRDefault="00A25A46">
      <w:pPr>
        <w:spacing w:line="360" w:lineRule="auto"/>
        <w:jc w:val="center"/>
        <w:rPr>
          <w:rFonts w:ascii="Palatino Linotype" w:hAnsi="Palatino Linotype"/>
          <w:b/>
          <w:bCs/>
          <w:spacing w:val="40"/>
          <w:sz w:val="28"/>
        </w:rPr>
      </w:pPr>
      <w:r>
        <w:rPr>
          <w:rFonts w:ascii="Palatino Linotype" w:hAnsi="Palatino Linotype"/>
          <w:b/>
          <w:bCs/>
          <w:spacing w:val="40"/>
          <w:sz w:val="28"/>
        </w:rPr>
        <w:lastRenderedPageBreak/>
        <w:t>CONSIDERANDO</w:t>
      </w:r>
    </w:p>
    <w:p w:rsidR="00F97EE5" w:rsidRDefault="00F97EE5">
      <w:pPr>
        <w:spacing w:line="360" w:lineRule="auto"/>
        <w:jc w:val="center"/>
        <w:rPr>
          <w:rFonts w:ascii="Palatino Linotype" w:hAnsi="Palatino Linotype"/>
          <w:b/>
          <w:bCs/>
          <w:spacing w:val="40"/>
          <w:sz w:val="28"/>
        </w:rPr>
      </w:pPr>
    </w:p>
    <w:p w:rsidR="00F97EE5" w:rsidRDefault="00A25A46">
      <w:pPr>
        <w:spacing w:line="360" w:lineRule="auto"/>
        <w:ind w:right="50"/>
        <w:jc w:val="both"/>
        <w:rPr>
          <w:rFonts w:ascii="Palatino Linotype" w:hAnsi="Palatino Linotype" w:cs="Arial"/>
        </w:rPr>
      </w:pPr>
      <w:r>
        <w:rPr>
          <w:rFonts w:ascii="Palatino Linotype" w:hAnsi="Palatino Linotype"/>
          <w:b/>
          <w:sz w:val="28"/>
          <w:szCs w:val="28"/>
        </w:rPr>
        <w:t>PRIMERO</w:t>
      </w:r>
      <w:r>
        <w:rPr>
          <w:rFonts w:ascii="Palatino Linotype" w:hAnsi="Palatino Linotype"/>
          <w:b/>
        </w:rPr>
        <w:t>.</w:t>
      </w:r>
      <w:r>
        <w:rPr>
          <w:rFonts w:ascii="Palatino Linotype" w:hAnsi="Palatino Linotype"/>
        </w:rPr>
        <w:t xml:space="preserve"> </w:t>
      </w: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 xml:space="preserve">Este Instituto de </w:t>
      </w:r>
      <w:r>
        <w:rPr>
          <w:rFonts w:ascii="Palatino Linotype" w:hAnsi="Palatino Linotype" w:cs="Arial"/>
        </w:rPr>
        <w:t>Transparencia</w:t>
      </w:r>
      <w:r>
        <w:rPr>
          <w:rFonts w:ascii="Palatino Linotype" w:hAnsi="Palatino Linotype"/>
        </w:rPr>
        <w:t xml:space="preserve">, Acceso a la Información Pública y Protección de Datos Personales del Estado de México y Municipios, es competente para conocer y resolver el presente recurso, conforme a lo dispuesto en los artículos 6, Letra A de la Constitución Política de los Estados Unidos Mexicanos; 5, </w:t>
      </w:r>
      <w:r>
        <w:rPr>
          <w:rFonts w:ascii="Palatino Linotype" w:eastAsia="Calibri" w:hAnsi="Palatino Linotype" w:cs="Arial"/>
        </w:rPr>
        <w:t xml:space="preserve">párrafos </w:t>
      </w:r>
      <w:r>
        <w:rPr>
          <w:rFonts w:ascii="Palatino Linotype" w:hAnsi="Palatino Linotype"/>
        </w:rPr>
        <w:t xml:space="preserve">vigésimo </w:t>
      </w:r>
      <w:r>
        <w:rPr>
          <w:rFonts w:ascii="Palatino Linotype" w:hAnsi="Palatino Linotype" w:cs="Arial"/>
        </w:rPr>
        <w:t>segundo,</w:t>
      </w:r>
      <w:r>
        <w:rPr>
          <w:rFonts w:ascii="Palatino Linotype" w:hAnsi="Palatino Linotype"/>
        </w:rPr>
        <w:t xml:space="preserve"> vigésimo tercero y vigésimo cuarto, fracciones IV y V de la Constitución Política del Estado Libre y Soberano de México; 1, 2, fracción II, 13, 29, 36, fracciones I y II, 176, 178, 179, 181, párrafo tercero y 185 de la Ley de Transparencia y Acceso a la Información Pública del Estado de México y Municipios</w:t>
      </w:r>
      <w:r>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 Ciudadano en términos de la Ley de la materia.</w:t>
      </w:r>
    </w:p>
    <w:p w:rsidR="00F97EE5" w:rsidRDefault="00F97EE5">
      <w:pPr>
        <w:spacing w:line="360" w:lineRule="auto"/>
        <w:ind w:right="50"/>
        <w:jc w:val="both"/>
        <w:rPr>
          <w:rFonts w:ascii="Palatino Linotype" w:hAnsi="Palatino Linotype" w:cs="Arial"/>
          <w:b/>
        </w:rPr>
      </w:pPr>
    </w:p>
    <w:p w:rsidR="00F97EE5" w:rsidRDefault="00A25A46">
      <w:pPr>
        <w:spacing w:line="360" w:lineRule="auto"/>
        <w:jc w:val="both"/>
        <w:rPr>
          <w:rFonts w:ascii="Palatino Linotype" w:hAnsi="Palatino Linotype" w:cs="Arial"/>
          <w:b/>
        </w:rPr>
      </w:pPr>
      <w:r>
        <w:rPr>
          <w:rFonts w:ascii="Palatino Linotype" w:hAnsi="Palatino Linotype" w:cs="Arial"/>
          <w:b/>
          <w:sz w:val="28"/>
        </w:rPr>
        <w:t>SEGUNDO</w:t>
      </w:r>
      <w:r>
        <w:rPr>
          <w:rFonts w:ascii="Palatino Linotype" w:hAnsi="Palatino Linotype" w:cs="Arial"/>
          <w:b/>
        </w:rPr>
        <w:t xml:space="preserve">. Interés. </w:t>
      </w:r>
      <w:r>
        <w:rPr>
          <w:rFonts w:ascii="Palatino Linotype" w:hAnsi="Palatino Linotype" w:cs="Arial"/>
          <w:bCs/>
        </w:rPr>
        <w:t xml:space="preserve">El recurso de revisión fue interpuesto por parte legítima, en atención a que se presentó por </w:t>
      </w:r>
      <w:r>
        <w:rPr>
          <w:rFonts w:ascii="Palatino Linotype" w:hAnsi="Palatino Linotype" w:cs="Arial"/>
          <w:b/>
          <w:bCs/>
        </w:rPr>
        <w:t>EL RECURRENTE,</w:t>
      </w:r>
      <w:r>
        <w:rPr>
          <w:rFonts w:ascii="Palatino Linotype" w:hAnsi="Palatino Linotype" w:cs="Arial"/>
          <w:bCs/>
        </w:rPr>
        <w:t xml:space="preserve"> quien es la misma persona que formuló la solicitud de acceso a la información pública al </w:t>
      </w:r>
      <w:r>
        <w:rPr>
          <w:rFonts w:ascii="Palatino Linotype" w:hAnsi="Palatino Linotype" w:cs="Arial"/>
          <w:b/>
          <w:bCs/>
        </w:rPr>
        <w:t>SUJETO OBLIGADO.</w:t>
      </w:r>
    </w:p>
    <w:p w:rsidR="00F97EE5" w:rsidRDefault="00F97EE5">
      <w:pPr>
        <w:spacing w:line="360" w:lineRule="auto"/>
        <w:jc w:val="both"/>
        <w:rPr>
          <w:rFonts w:ascii="Palatino Linotype" w:hAnsi="Palatino Linotype" w:cs="Arial"/>
          <w:b/>
          <w:szCs w:val="28"/>
        </w:rPr>
      </w:pPr>
    </w:p>
    <w:p w:rsidR="00F97EE5" w:rsidRDefault="00A25A46">
      <w:pPr>
        <w:pStyle w:val="Prrafodelista"/>
        <w:spacing w:line="360" w:lineRule="auto"/>
        <w:ind w:left="0" w:right="49"/>
        <w:jc w:val="both"/>
        <w:rPr>
          <w:rFonts w:ascii="Palatino Linotype" w:hAnsi="Palatino Linotype" w:cs="Arial"/>
        </w:rPr>
      </w:pPr>
      <w:r>
        <w:rPr>
          <w:rFonts w:ascii="Palatino Linotype" w:hAnsi="Palatino Linotype" w:cs="Arial"/>
          <w:b/>
          <w:sz w:val="28"/>
          <w:szCs w:val="28"/>
        </w:rPr>
        <w:t xml:space="preserve">TERCERO. </w:t>
      </w:r>
      <w:r>
        <w:rPr>
          <w:rFonts w:ascii="Palatino Linotype" w:hAnsi="Palatino Linotype" w:cs="Arial"/>
          <w:b/>
        </w:rPr>
        <w:t xml:space="preserve">Oportunidad. </w:t>
      </w:r>
      <w:r>
        <w:rPr>
          <w:rFonts w:ascii="Palatino Linotype" w:hAnsi="Palatino Linotype" w:cs="Arial"/>
        </w:rPr>
        <w:t xml:space="preserve">El recurso de revisión fue interpuesto dentro del plazo de quince días hábiles contados a partir del día siguiente al en que </w:t>
      </w:r>
      <w:r>
        <w:rPr>
          <w:rFonts w:ascii="Palatino Linotype" w:hAnsi="Palatino Linotype" w:cs="Arial"/>
          <w:b/>
        </w:rPr>
        <w:t xml:space="preserve">EL RECURRENTE </w:t>
      </w:r>
      <w:r>
        <w:rPr>
          <w:rFonts w:ascii="Palatino Linotype" w:hAnsi="Palatino Linotype" w:cs="Arial"/>
        </w:rPr>
        <w:t xml:space="preserve">tuvo conocimiento de la respuesta impugnada, tal y como lo prevé el artículo 178 de </w:t>
      </w:r>
      <w:r>
        <w:rPr>
          <w:rFonts w:ascii="Palatino Linotype" w:hAnsi="Palatino Linotype" w:cs="Arial"/>
        </w:rPr>
        <w:lastRenderedPageBreak/>
        <w:t xml:space="preserve">la Ley de Transparencia y Acceso a la Información Pública del Estado de México y Municipios, que establece: </w:t>
      </w:r>
    </w:p>
    <w:p w:rsidR="00F97EE5" w:rsidRDefault="00F97EE5">
      <w:pPr>
        <w:ind w:left="851" w:right="902"/>
        <w:jc w:val="both"/>
        <w:rPr>
          <w:rFonts w:ascii="Palatino Linotype" w:eastAsiaTheme="minorEastAsia" w:hAnsi="Palatino Linotype" w:cs="Arial"/>
          <w:szCs w:val="20"/>
          <w:lang w:val="es-ES_tradnl"/>
        </w:rPr>
      </w:pPr>
    </w:p>
    <w:p w:rsidR="00F97EE5" w:rsidRDefault="00A25A46">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b/>
          <w:i/>
          <w:sz w:val="22"/>
          <w:szCs w:val="22"/>
          <w:lang w:val="es-ES_tradnl"/>
        </w:rPr>
        <w:t>“Artículo 178.</w:t>
      </w:r>
      <w:r>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F97EE5" w:rsidRDefault="00A25A46">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F97EE5" w:rsidRDefault="00A25A46">
      <w:pPr>
        <w:tabs>
          <w:tab w:val="left" w:pos="851"/>
        </w:tabs>
        <w:ind w:left="851" w:right="901"/>
        <w:jc w:val="both"/>
        <w:rPr>
          <w:rFonts w:ascii="Palatino Linotype" w:eastAsiaTheme="minorEastAsia" w:hAnsi="Palatino Linotype" w:cs="Arial"/>
          <w:i/>
          <w:sz w:val="22"/>
          <w:szCs w:val="22"/>
          <w:lang w:val="es-ES_tradnl"/>
        </w:rPr>
      </w:pPr>
      <w:r>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Pr>
          <w:rFonts w:ascii="Palatino Linotype" w:eastAsiaTheme="minorEastAsia" w:hAnsi="Palatino Linotype" w:cs="Arial"/>
          <w:b/>
          <w:i/>
          <w:sz w:val="22"/>
          <w:szCs w:val="22"/>
          <w:lang w:val="es-ES_tradnl"/>
        </w:rPr>
        <w:t>”</w:t>
      </w:r>
    </w:p>
    <w:p w:rsidR="00F97EE5" w:rsidRDefault="00F97EE5">
      <w:pPr>
        <w:ind w:left="851" w:right="902"/>
        <w:jc w:val="both"/>
        <w:rPr>
          <w:rFonts w:ascii="Palatino Linotype" w:eastAsiaTheme="minorEastAsia" w:hAnsi="Palatino Linotype" w:cs="Arial"/>
          <w:szCs w:val="20"/>
          <w:lang w:val="es-ES_tradnl"/>
        </w:rPr>
      </w:pPr>
    </w:p>
    <w:p w:rsidR="00F97EE5" w:rsidRDefault="00A25A46">
      <w:pPr>
        <w:spacing w:line="360" w:lineRule="auto"/>
        <w:jc w:val="both"/>
        <w:rPr>
          <w:rFonts w:ascii="Palatino Linotype" w:hAnsi="Palatino Linotype" w:cs="Arial"/>
          <w:color w:val="FF0000"/>
        </w:rPr>
      </w:pPr>
      <w:r>
        <w:rPr>
          <w:rFonts w:ascii="Palatino Linotype" w:eastAsiaTheme="minorEastAsia" w:hAnsi="Palatino Linotype" w:cs="Arial"/>
          <w:lang w:val="es-ES_tradnl"/>
        </w:rPr>
        <w:t xml:space="preserve">En efecto, atendiendo a que </w:t>
      </w:r>
      <w:r>
        <w:rPr>
          <w:rFonts w:ascii="Palatino Linotype" w:eastAsiaTheme="minorEastAsia" w:hAnsi="Palatino Linotype" w:cs="Arial"/>
          <w:b/>
          <w:lang w:val="es-ES_tradnl"/>
        </w:rPr>
        <w:t>EL SUJETO OBLIGADO</w:t>
      </w:r>
      <w:r>
        <w:rPr>
          <w:rFonts w:ascii="Palatino Linotype" w:eastAsiaTheme="minorEastAsia" w:hAnsi="Palatino Linotype" w:cs="Arial"/>
          <w:lang w:val="es-ES_tradnl"/>
        </w:rPr>
        <w:t xml:space="preserve"> notificó la respuesta a la solicitud de información pública el </w:t>
      </w:r>
      <w:r>
        <w:rPr>
          <w:rFonts w:ascii="Palatino Linotype" w:eastAsiaTheme="minorEastAsia" w:hAnsi="Palatino Linotype" w:cs="Arial"/>
          <w:b/>
          <w:lang w:val="es-ES_tradnl"/>
        </w:rPr>
        <w:t xml:space="preserve">tres de marzo de dos mil veinte; </w:t>
      </w:r>
      <w:r>
        <w:rPr>
          <w:rFonts w:ascii="Palatino Linotype" w:hAnsi="Palatino Linotype" w:cs="Arial"/>
        </w:rPr>
        <w:t>en consecuencia, el plazo de quince días hábiles que el artículo 178 de la ley de la materia otorga al</w:t>
      </w:r>
      <w:r>
        <w:rPr>
          <w:rFonts w:ascii="Palatino Linotype" w:hAnsi="Palatino Linotype" w:cs="Arial"/>
          <w:b/>
        </w:rPr>
        <w:t xml:space="preserve"> RECURRENTE</w:t>
      </w:r>
      <w:r>
        <w:rPr>
          <w:rFonts w:ascii="Palatino Linotype" w:hAnsi="Palatino Linotype" w:cs="Arial"/>
        </w:rPr>
        <w:t xml:space="preserve"> para presentar el recurso de revisión, transcurrió del</w:t>
      </w:r>
      <w:r>
        <w:rPr>
          <w:rFonts w:ascii="Palatino Linotype" w:hAnsi="Palatino Linotype" w:cs="Arial"/>
          <w:b/>
        </w:rPr>
        <w:t xml:space="preserve"> cuatro de marzo al once de mayo de dos mil veinte</w:t>
      </w:r>
      <w:r>
        <w:rPr>
          <w:rFonts w:ascii="Palatino Linotype" w:hAnsi="Palatino Linotype" w:cs="Arial"/>
        </w:rPr>
        <w:t xml:space="preserve">, sin contemplar en el cómputo los días siete, ocho, catorce, quince, veintiuno, veintidós, veintiocho y veintinueve de marzo, cuatro, cinco, once, doce, dieciocho, diecinueve, veinticinco y veintiséis de abril; así como, dos y tres de mayo de dos mil veinte, por corresponder a sábados y domingos, considerados como días inhábiles; en términos del artículo 3, fracción X de la </w:t>
      </w:r>
      <w:r>
        <w:rPr>
          <w:rFonts w:ascii="Palatino Linotype" w:hAnsi="Palatino Linotype"/>
        </w:rPr>
        <w:t xml:space="preserve">Ley de Transparencia y Acceso a la Información Pública del Estado de México y Municipios; así como, el día dieciséis de febrero, seis, siete, ocho, nueve y diez de abril, uno, cuatro y cinco de mayo de dos mil veinte, por ser considerados como días inhábiles por suspensión de labores, en términos del </w:t>
      </w:r>
      <w:r>
        <w:rPr>
          <w:rFonts w:ascii="Palatino Linotype" w:hAnsi="Palatino Linotype" w:cs="Arial"/>
        </w:rPr>
        <w:t xml:space="preserve">Calendario Oficial en Materia de Transparencia, Acceso a la Información Pública y Protección de Datos Personales del Estado de México y </w:t>
      </w:r>
      <w:r>
        <w:rPr>
          <w:rFonts w:ascii="Palatino Linotype" w:hAnsi="Palatino Linotype" w:cs="Arial"/>
        </w:rPr>
        <w:lastRenderedPageBreak/>
        <w:t xml:space="preserve">Municipios; así como de labores del Instituto para el año dos mil veinte y enero de dos mil veintiuno, publicado en el Periódico Oficial “Gaceta del Gobierno”, el diecinueve de diciembre de dos mil veinte; asimismo, el día nueve de marzo de dos mil veinte, conforme al acuerdo INFOEM/ORD/08/V/2020, aprobado en la Octava Sesión Ordinaria de fecha cinco de marzo de dos mil veinte, por medio del cual el Pleno de este Instituto estableció que no correrían términos para el trámite y desahogo de los procedimientos en materia de acceso a la información y protección de datos personales; así como, los días veintitrés, veinticuatro, veinticinco, veintiséis veintisiete, treinta y treinta y uno de marzo, uno, dos, tres, trece, catorce, quince, dieciséis, diecisiete, veinte, veintiuno, veintidós, veintitrés, veinticuatro, veintisiete, veintiocho, veintinueve y treinta de abril de dos mil veinte, por suspensión de plazos, ante la situación del COVID-19 virus. </w:t>
      </w:r>
    </w:p>
    <w:p w:rsidR="00F97EE5" w:rsidRDefault="00F97EE5">
      <w:pPr>
        <w:spacing w:line="360" w:lineRule="auto"/>
        <w:jc w:val="both"/>
        <w:rPr>
          <w:rFonts w:ascii="Palatino Linotype" w:eastAsiaTheme="minorEastAsia" w:hAnsi="Palatino Linotype" w:cs="Arial"/>
          <w:lang w:val="es-ES_tradnl"/>
        </w:rPr>
      </w:pPr>
    </w:p>
    <w:p w:rsidR="00F97EE5" w:rsidRDefault="00A25A46">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En ese tenor, si el recurso de revisión que nos ocupa, se interpuso el</w:t>
      </w:r>
      <w:r>
        <w:rPr>
          <w:rFonts w:ascii="Palatino Linotype" w:eastAsiaTheme="minorEastAsia" w:hAnsi="Palatino Linotype" w:cs="Arial"/>
          <w:b/>
          <w:lang w:val="es-ES_tradnl"/>
        </w:rPr>
        <w:t xml:space="preserve"> tres de marzo de dos mil veinte,</w:t>
      </w:r>
      <w:r>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F97EE5" w:rsidRDefault="00F97EE5">
      <w:pPr>
        <w:spacing w:line="360" w:lineRule="auto"/>
        <w:jc w:val="both"/>
        <w:rPr>
          <w:rFonts w:ascii="Palatino Linotype" w:eastAsiaTheme="minorEastAsia" w:hAnsi="Palatino Linotype" w:cs="Arial"/>
          <w:lang w:val="es-ES_tradnl"/>
        </w:rPr>
      </w:pPr>
    </w:p>
    <w:p w:rsidR="00F97EE5" w:rsidRDefault="00A25A46">
      <w:pPr>
        <w:spacing w:line="360" w:lineRule="auto"/>
        <w:jc w:val="both"/>
        <w:rPr>
          <w:rFonts w:ascii="Palatino Linotype" w:hAnsi="Palatino Linotype"/>
        </w:rPr>
      </w:pPr>
      <w:r>
        <w:rPr>
          <w:rFonts w:ascii="Palatino Linotype" w:hAnsi="Palatino Linotype"/>
        </w:rPr>
        <w:t xml:space="preserve">Lo anterior es así, toda vez que aun cuando el medio de impugnación que nos ocupa, se haya interpuesto el mismo día en que se tuvo por notificada la respuesta impugnada, ello es insuficiente para desechar el recurso de revisión de mérito, toda vez que el precepto legal citado, sólo establece que estos medios de defensa se han de promover dentro de los quince días hábiles siguientes al en que </w:t>
      </w:r>
      <w:r>
        <w:rPr>
          <w:rFonts w:ascii="Palatino Linotype" w:hAnsi="Palatino Linotype"/>
          <w:b/>
        </w:rPr>
        <w:t>EL RECURRENTE</w:t>
      </w:r>
      <w:r>
        <w:rPr>
          <w:rFonts w:ascii="Palatino Linotype" w:hAnsi="Palatino Linotype"/>
        </w:rPr>
        <w:t xml:space="preserve"> tenga conocimiento de la respuesta impugnada; sin embargo, no prohíbe que el recurso de revisión, se presente el mismo día en que aquélla fue notificada.</w:t>
      </w:r>
    </w:p>
    <w:p w:rsidR="00F97EE5" w:rsidRDefault="00F97EE5">
      <w:pPr>
        <w:spacing w:line="360" w:lineRule="auto"/>
        <w:jc w:val="both"/>
        <w:rPr>
          <w:rFonts w:ascii="Palatino Linotype" w:hAnsi="Palatino Linotype"/>
        </w:rPr>
      </w:pPr>
    </w:p>
    <w:p w:rsidR="00F97EE5" w:rsidRDefault="00A25A46">
      <w:pPr>
        <w:spacing w:line="360" w:lineRule="auto"/>
        <w:jc w:val="both"/>
        <w:rPr>
          <w:rFonts w:ascii="Palatino Linotype" w:hAnsi="Palatino Linotype"/>
        </w:rPr>
      </w:pPr>
      <w:r>
        <w:rPr>
          <w:rFonts w:ascii="Palatino Linotype" w:hAnsi="Palatino Linotype"/>
        </w:rPr>
        <w:t>En sustento a lo anterior, es aplicable por analogía la Jurisprudencia número 1a./J. 41/2015 (10a.), Décima época, sustentada por la Primera Sala de la Suprema Corte de Justicia de la Nación, visible en la página 569, libro 19, tomo I, de la Gaceta del Semanario Judicial de la Federación, del mes de junio de 2015, cuyo rubro y texto esgrimen:</w:t>
      </w:r>
    </w:p>
    <w:p w:rsidR="00F97EE5" w:rsidRDefault="00F97EE5">
      <w:pPr>
        <w:tabs>
          <w:tab w:val="left" w:pos="851"/>
        </w:tabs>
        <w:ind w:left="851" w:right="901"/>
        <w:jc w:val="both"/>
        <w:rPr>
          <w:rFonts w:ascii="Palatino Linotype" w:hAnsi="Palatino Linotype"/>
        </w:rPr>
      </w:pPr>
    </w:p>
    <w:p w:rsidR="00F97EE5" w:rsidRDefault="00A25A46">
      <w:pPr>
        <w:tabs>
          <w:tab w:val="left" w:pos="851"/>
        </w:tabs>
        <w:ind w:left="851" w:right="901"/>
        <w:jc w:val="both"/>
        <w:rPr>
          <w:rFonts w:ascii="Palatino Linotype" w:hAnsi="Palatino Linotype"/>
          <w:i/>
          <w:sz w:val="22"/>
          <w:szCs w:val="22"/>
        </w:rPr>
      </w:pPr>
      <w:r>
        <w:rPr>
          <w:rFonts w:ascii="Palatino Linotype" w:hAnsi="Palatino Linotype"/>
          <w:b/>
          <w:i/>
          <w:sz w:val="22"/>
          <w:szCs w:val="22"/>
        </w:rPr>
        <w:t xml:space="preserve">“RECURSO DE RECLAMACIÓN. SU INTERPOSICIÓN NO ES EXTEMPORÁNEA SI SE REALIZA ANTES DE QUE INICIE EL PLAZO PARA HACERLO. </w:t>
      </w:r>
      <w:r>
        <w:rPr>
          <w:rFonts w:ascii="Palatino Linotype" w:hAnsi="Palatino Linotype"/>
          <w:i/>
          <w:sz w:val="22"/>
          <w:szCs w:val="22"/>
        </w:rPr>
        <w:t>Conforme al artículo 104, párrafo segundo, de la Ley de Amparo, el recurso de reclamación podrá interponerse por cualquiera de las partes, por escrito, dentro del término de tres días siguientes al en que surta efectos la notificación de la resolución impugnada. Ahora bien, dicho numeral sólo refiere que el aludido medio de defensa no puede hacerse valer después de tres días, por tanto, no impide que el escrito correspondiente se presente antes de iniciado ese término. De ahí que si dicho recurso se interpone antes de que inicie el plazo para hacerlo, su presentación no es extemporánea.</w:t>
      </w:r>
    </w:p>
    <w:p w:rsidR="00F97EE5" w:rsidRDefault="00A25A46">
      <w:pPr>
        <w:tabs>
          <w:tab w:val="left" w:pos="851"/>
        </w:tabs>
        <w:ind w:left="851" w:right="901"/>
        <w:jc w:val="both"/>
        <w:rPr>
          <w:rFonts w:ascii="Palatino Linotype" w:hAnsi="Palatino Linotype"/>
          <w:i/>
          <w:sz w:val="22"/>
          <w:szCs w:val="22"/>
        </w:rPr>
      </w:pPr>
      <w:r>
        <w:rPr>
          <w:rFonts w:ascii="Palatino Linotype" w:hAnsi="Palatino Linotype"/>
          <w:i/>
          <w:sz w:val="22"/>
          <w:szCs w:val="22"/>
        </w:rPr>
        <w:t>Recurso de reclamación 953/2013. 9 de abril de 2014. Cinco votos de los Ministros Arturo Zaldívar Lelo de Larrea, José Ramón Cossío Díaz, Alfredo Gutiérrez Ortiz Mena, Olga Sánchez Cordero de García Villegas y Jorge Mario Pardo Rebolledo. Ponente: Arturo Zaldívar Lelo de Larrea. Secretaria: Carmina Cortés Rodríguez.</w:t>
      </w:r>
    </w:p>
    <w:p w:rsidR="00F97EE5" w:rsidRDefault="00A25A46">
      <w:pPr>
        <w:tabs>
          <w:tab w:val="left" w:pos="851"/>
        </w:tabs>
        <w:ind w:left="851" w:right="901"/>
        <w:jc w:val="both"/>
        <w:rPr>
          <w:rFonts w:ascii="Palatino Linotype" w:hAnsi="Palatino Linotype"/>
          <w:i/>
          <w:sz w:val="22"/>
          <w:szCs w:val="22"/>
        </w:rPr>
      </w:pPr>
      <w:r>
        <w:rPr>
          <w:rFonts w:ascii="Palatino Linotype" w:hAnsi="Palatino Linotype"/>
          <w:i/>
          <w:sz w:val="22"/>
          <w:szCs w:val="22"/>
        </w:rPr>
        <w:t>Recurso de reclamación 1067/2014. Raúl Rodríguez Cervantes. 28 de enero de 2015. Cinco votos de los Ministros Arturo Zaldívar Lelo de Larrea, José Ramón Cossío Díaz, Jorge Mario Pardo Rebolledo, Olga Sánchez Cordero de García Villegas y Alfredo Gutiérrez Ortiz Mena. Ponente: Alfredo Gutiérrez Ortiz Mena. Secretaria: Cecilia Armengol Alonso.</w:t>
      </w:r>
    </w:p>
    <w:p w:rsidR="00F97EE5" w:rsidRDefault="00A25A46">
      <w:pPr>
        <w:tabs>
          <w:tab w:val="left" w:pos="851"/>
        </w:tabs>
        <w:ind w:left="851" w:right="901"/>
        <w:jc w:val="both"/>
        <w:rPr>
          <w:rFonts w:ascii="Palatino Linotype" w:hAnsi="Palatino Linotype"/>
          <w:i/>
          <w:sz w:val="22"/>
          <w:szCs w:val="22"/>
        </w:rPr>
      </w:pPr>
      <w:r>
        <w:rPr>
          <w:rFonts w:ascii="Palatino Linotype" w:hAnsi="Palatino Linotype"/>
          <w:i/>
          <w:sz w:val="22"/>
          <w:szCs w:val="22"/>
        </w:rPr>
        <w:t>Recurso de reclamación 895/2014. 18 de febrero de 2015. Cinco votos de los Ministros Arturo Zaldívar Lelo de Larrea, José Ramón Cossío Díaz, Jorge Mario Pardo Rebolledo, Olga Sánchez Cordero de García Villegas y Alfredo Gutiérrez Ortiz Mena. Ponente: José Ramón Cossío Díaz. Secretario: Rodrigo Montes de Oca Arboleya.</w:t>
      </w:r>
    </w:p>
    <w:p w:rsidR="00F97EE5" w:rsidRDefault="00A25A46">
      <w:pPr>
        <w:tabs>
          <w:tab w:val="left" w:pos="851"/>
        </w:tabs>
        <w:ind w:left="851" w:right="901"/>
        <w:jc w:val="both"/>
        <w:rPr>
          <w:rFonts w:ascii="Palatino Linotype" w:hAnsi="Palatino Linotype"/>
          <w:i/>
          <w:sz w:val="22"/>
          <w:szCs w:val="22"/>
        </w:rPr>
      </w:pPr>
      <w:r>
        <w:rPr>
          <w:rFonts w:ascii="Palatino Linotype" w:hAnsi="Palatino Linotype"/>
          <w:i/>
          <w:sz w:val="22"/>
          <w:szCs w:val="22"/>
        </w:rPr>
        <w:t xml:space="preserve">Recurso de reclamación 1164/2014. Paula Abascal Valdez. 18 de febrero de 2015. Cinco votos de los Ministros Arturo Zaldívar Lelo de Larrea, José Ramón Cossío Díaz, Jorge Mario Pardo Rebolledo, Olga Sánchez Cordero de García Villegas y </w:t>
      </w:r>
      <w:r>
        <w:rPr>
          <w:rFonts w:ascii="Palatino Linotype" w:hAnsi="Palatino Linotype"/>
          <w:i/>
          <w:sz w:val="22"/>
          <w:szCs w:val="22"/>
        </w:rPr>
        <w:lastRenderedPageBreak/>
        <w:t>Alfredo Gutiérrez Ortiz Mena. Ponente: José Ramón Cossío Díaz. Secretaria: Lorena Goslinga Remírez.</w:t>
      </w:r>
    </w:p>
    <w:p w:rsidR="00F97EE5" w:rsidRDefault="00A25A46">
      <w:pPr>
        <w:tabs>
          <w:tab w:val="left" w:pos="851"/>
        </w:tabs>
        <w:ind w:left="851" w:right="901"/>
        <w:jc w:val="both"/>
        <w:rPr>
          <w:rFonts w:ascii="Palatino Linotype" w:hAnsi="Palatino Linotype"/>
          <w:i/>
          <w:sz w:val="22"/>
          <w:szCs w:val="22"/>
        </w:rPr>
      </w:pPr>
      <w:r>
        <w:rPr>
          <w:rFonts w:ascii="Palatino Linotype" w:hAnsi="Palatino Linotype"/>
          <w:i/>
          <w:sz w:val="22"/>
          <w:szCs w:val="22"/>
        </w:rPr>
        <w:t>Recurso de reclamación 1231/2014. 18 de marzo de 2015. Cinco votos de los Ministros Arturo Zaldívar Lelo de Larrea, José Ramón Cossío Díaz, Jorge Mario Pardo Rebolledo, Olga Sánchez Cordero de García Villegas y Alfredo Gutiérrez Ortiz Mena. Ponente: Arturo Zaldívar Lelo de Larrea. Secretario: Saúl Armando Patiño Lara.</w:t>
      </w:r>
    </w:p>
    <w:p w:rsidR="00F97EE5" w:rsidRDefault="00A25A46">
      <w:pPr>
        <w:tabs>
          <w:tab w:val="left" w:pos="851"/>
        </w:tabs>
        <w:ind w:left="851" w:right="901"/>
        <w:jc w:val="both"/>
        <w:rPr>
          <w:rFonts w:ascii="Palatino Linotype" w:hAnsi="Palatino Linotype"/>
          <w:b/>
          <w:i/>
          <w:sz w:val="22"/>
          <w:szCs w:val="22"/>
        </w:rPr>
      </w:pPr>
      <w:r>
        <w:rPr>
          <w:rFonts w:ascii="Palatino Linotype" w:hAnsi="Palatino Linotype"/>
          <w:i/>
          <w:sz w:val="22"/>
          <w:szCs w:val="22"/>
        </w:rPr>
        <w:t>Tesis de jurisprudencia 41/2015 (10a.). Aprobada por la Primera Sala de este Alto Tribunal, en sesión privada de veintisiete de mayo de dos mil quince.</w:t>
      </w:r>
      <w:r>
        <w:rPr>
          <w:rFonts w:ascii="Palatino Linotype" w:hAnsi="Palatino Linotype"/>
          <w:b/>
          <w:i/>
          <w:sz w:val="22"/>
          <w:szCs w:val="22"/>
        </w:rPr>
        <w:t>”</w:t>
      </w:r>
    </w:p>
    <w:p w:rsidR="00F97EE5" w:rsidRDefault="00A25A46">
      <w:pPr>
        <w:tabs>
          <w:tab w:val="left" w:pos="851"/>
        </w:tabs>
        <w:ind w:left="851" w:right="901"/>
        <w:jc w:val="both"/>
        <w:rPr>
          <w:rFonts w:ascii="Palatino Linotype" w:hAnsi="Palatino Linotype"/>
          <w:i/>
          <w:sz w:val="22"/>
          <w:szCs w:val="22"/>
        </w:rPr>
      </w:pPr>
      <w:r>
        <w:rPr>
          <w:rFonts w:ascii="Palatino Linotype" w:hAnsi="Palatino Linotype"/>
          <w:i/>
          <w:sz w:val="22"/>
          <w:szCs w:val="22"/>
        </w:rPr>
        <w:t>Esta tesis se publicó el viernes 19 de junio de 2015 a las 9:30 horas en el Semanario Judicial de la Federación y, por ende, se considera de aplicación obligatoria a partir del lunes 22 de junio de 2015, para los efectos previstos en el punto séptimo del Acuerdo General Plenario 19/2013.”</w:t>
      </w:r>
    </w:p>
    <w:p w:rsidR="00F97EE5" w:rsidRDefault="00F97EE5">
      <w:pPr>
        <w:tabs>
          <w:tab w:val="left" w:pos="851"/>
        </w:tabs>
        <w:ind w:left="851" w:right="901"/>
        <w:jc w:val="both"/>
        <w:rPr>
          <w:rFonts w:ascii="Palatino Linotype" w:hAnsi="Palatino Linotype"/>
        </w:rPr>
      </w:pPr>
    </w:p>
    <w:p w:rsidR="00F97EE5" w:rsidRDefault="00A25A46">
      <w:pPr>
        <w:spacing w:line="360" w:lineRule="auto"/>
        <w:ind w:right="49"/>
        <w:jc w:val="both"/>
        <w:rPr>
          <w:rFonts w:ascii="Palatino Linotype" w:hAnsi="Palatino Linotype"/>
        </w:rPr>
      </w:pPr>
      <w:r>
        <w:rPr>
          <w:rFonts w:ascii="Palatino Linotype" w:hAnsi="Palatino Linotype"/>
        </w:rPr>
        <w:t>Por lo tanto, en aras de privilegiar el derecho de acceso a la información se entra al estudio del presente recurso de revisión, sin que la fecha en que se presentó afecte la resolución.</w:t>
      </w:r>
    </w:p>
    <w:p w:rsidR="00F97EE5" w:rsidRDefault="00F97EE5">
      <w:pPr>
        <w:spacing w:line="360" w:lineRule="auto"/>
        <w:jc w:val="both"/>
        <w:rPr>
          <w:rFonts w:ascii="Palatino Linotype" w:eastAsiaTheme="minorEastAsia" w:hAnsi="Palatino Linotype" w:cs="Arial"/>
          <w:lang w:val="es-ES_tradnl"/>
        </w:rPr>
      </w:pPr>
    </w:p>
    <w:p w:rsidR="00F97EE5" w:rsidRDefault="00A25A46">
      <w:pPr>
        <w:spacing w:line="360" w:lineRule="auto"/>
        <w:ind w:right="49"/>
        <w:jc w:val="both"/>
        <w:rPr>
          <w:rFonts w:ascii="Palatino Linotype" w:hAnsi="Palatino Linotype"/>
          <w:b/>
        </w:rPr>
      </w:pPr>
      <w:r>
        <w:rPr>
          <w:rFonts w:ascii="Palatino Linotype" w:hAnsi="Palatino Linotype" w:cs="Arial"/>
          <w:b/>
          <w:sz w:val="28"/>
          <w:szCs w:val="28"/>
        </w:rPr>
        <w:t>CUARTO</w:t>
      </w:r>
      <w:r>
        <w:rPr>
          <w:rFonts w:ascii="Palatino Linotype" w:hAnsi="Palatino Linotype"/>
          <w:b/>
          <w:sz w:val="28"/>
          <w:szCs w:val="28"/>
        </w:rPr>
        <w:t>.</w:t>
      </w:r>
      <w:r>
        <w:rPr>
          <w:rFonts w:ascii="Palatino Linotype" w:hAnsi="Palatino Linotype"/>
          <w:b/>
        </w:rPr>
        <w:t xml:space="preserve"> Procedibilidad. </w:t>
      </w:r>
      <w:r>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en atención a que fueron presentados mediante el formato visible en </w:t>
      </w:r>
      <w:r>
        <w:rPr>
          <w:rFonts w:ascii="Palatino Linotype" w:hAnsi="Palatino Linotype"/>
          <w:b/>
        </w:rPr>
        <w:t>EL SAIMEX.</w:t>
      </w:r>
    </w:p>
    <w:p w:rsidR="00F97EE5" w:rsidRDefault="00F97EE5">
      <w:pPr>
        <w:spacing w:line="360" w:lineRule="auto"/>
        <w:ind w:right="49"/>
        <w:jc w:val="both"/>
        <w:rPr>
          <w:rFonts w:ascii="Palatino Linotype" w:eastAsiaTheme="minorEastAsia" w:hAnsi="Palatino Linotype" w:cs="Arial"/>
          <w:b/>
          <w:lang w:val="es-ES_tradnl"/>
        </w:rPr>
      </w:pPr>
    </w:p>
    <w:p w:rsidR="00F97EE5" w:rsidRDefault="00A25A46">
      <w:pPr>
        <w:spacing w:line="360" w:lineRule="auto"/>
        <w:jc w:val="both"/>
        <w:rPr>
          <w:rFonts w:ascii="Palatino Linotype" w:hAnsi="Palatino Linotype" w:cs="Arial"/>
        </w:rPr>
      </w:pPr>
      <w:r>
        <w:rPr>
          <w:rFonts w:ascii="Palatino Linotype" w:hAnsi="Palatino Linotype" w:cs="Arial"/>
          <w:b/>
          <w:sz w:val="28"/>
          <w:szCs w:val="28"/>
        </w:rPr>
        <w:t>QUINTO</w:t>
      </w:r>
      <w:r>
        <w:rPr>
          <w:rFonts w:ascii="Palatino Linotype" w:hAnsi="Palatino Linotype" w:cs="Arial"/>
          <w:b/>
        </w:rPr>
        <w:t xml:space="preserve">. </w:t>
      </w:r>
      <w:r>
        <w:rPr>
          <w:rFonts w:ascii="Palatino Linotype" w:eastAsiaTheme="minorEastAsia" w:hAnsi="Palatino Linotype" w:cs="Arial"/>
          <w:b/>
          <w:lang w:val="es-ES_tradnl"/>
        </w:rPr>
        <w:t>Estudio y resolución del asunto</w:t>
      </w:r>
      <w:r>
        <w:rPr>
          <w:rFonts w:ascii="Palatino Linotype" w:eastAsiaTheme="minorEastAsia" w:hAnsi="Palatino Linotype" w:cstheme="minorBidi"/>
          <w:b/>
          <w:lang w:val="es-ES_tradnl"/>
        </w:rPr>
        <w:t xml:space="preserve">. </w:t>
      </w:r>
      <w:r>
        <w:rPr>
          <w:rFonts w:ascii="Palatino Linotype" w:hAnsi="Palatino Linotype" w:cs="Arial"/>
        </w:rPr>
        <w:t xml:space="preserve">Una vez determinada la vía sobre la que versará el presente recurso, y previa revisión del expediente electrónico formado en </w:t>
      </w:r>
      <w:r>
        <w:rPr>
          <w:rFonts w:ascii="Palatino Linotype" w:hAnsi="Palatino Linotype" w:cs="Arial"/>
          <w:b/>
        </w:rPr>
        <w:t>EL SAIMEX</w:t>
      </w:r>
      <w:r>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w:t>
      </w:r>
      <w:r>
        <w:rPr>
          <w:rFonts w:ascii="Palatino Linotype" w:hAnsi="Palatino Linotype" w:cs="Arial"/>
        </w:rPr>
        <w:lastRenderedPageBreak/>
        <w:t>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diversos 8 y 9 de la Ley de Transparencia local.</w:t>
      </w:r>
    </w:p>
    <w:p w:rsidR="00F97EE5" w:rsidRDefault="00F97EE5">
      <w:pPr>
        <w:spacing w:line="360" w:lineRule="auto"/>
        <w:jc w:val="both"/>
        <w:rPr>
          <w:rFonts w:ascii="Palatino Linotype" w:eastAsia="Arial Unicode MS" w:hAnsi="Palatino Linotype" w:cs="Arial"/>
        </w:rPr>
      </w:pPr>
    </w:p>
    <w:p w:rsidR="00F97EE5" w:rsidRDefault="00A25A46">
      <w:pPr>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Por lo anterior, es importante precisar que se obvia el análisis de la competencia por parte del </w:t>
      </w:r>
      <w:r>
        <w:rPr>
          <w:rFonts w:ascii="Palatino Linotype" w:hAnsi="Palatino Linotype"/>
          <w:b/>
          <w:bCs/>
          <w:color w:val="222222"/>
          <w:lang w:eastAsia="es-MX"/>
        </w:rPr>
        <w:t>SUJETO OBLIGADO</w:t>
      </w:r>
      <w:r>
        <w:rPr>
          <w:rFonts w:ascii="Palatino Linotype" w:hAnsi="Palatino Linotype"/>
          <w:color w:val="222222"/>
          <w:lang w:eastAsia="es-MX"/>
        </w:rPr>
        <w:t>, para generar, administrar o poseer la información solicitada, dado que éste ha asumido la misma, en razón de que en su respuesta admitió contar con dicha información.</w:t>
      </w:r>
    </w:p>
    <w:p w:rsidR="00F97EE5" w:rsidRDefault="00F97EE5">
      <w:pPr>
        <w:spacing w:line="360" w:lineRule="auto"/>
        <w:jc w:val="both"/>
        <w:rPr>
          <w:rFonts w:ascii="Palatino Linotype" w:hAnsi="Palatino Linotype"/>
          <w:color w:val="222222"/>
          <w:lang w:eastAsia="es-MX"/>
        </w:rPr>
      </w:pPr>
    </w:p>
    <w:p w:rsidR="00F97EE5" w:rsidRDefault="00A25A46">
      <w:pPr>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En efecto, el hecho de que </w:t>
      </w:r>
      <w:r>
        <w:rPr>
          <w:rFonts w:ascii="Palatino Linotype" w:hAnsi="Palatino Linotype"/>
          <w:b/>
          <w:bCs/>
          <w:color w:val="222222"/>
          <w:lang w:eastAsia="es-MX"/>
        </w:rPr>
        <w:t>EL SUJETO OBLIGADO</w:t>
      </w:r>
      <w:r>
        <w:rPr>
          <w:rFonts w:ascii="Palatino Linotype" w:hAnsi="Palatino Linotype"/>
          <w:color w:val="222222"/>
          <w:lang w:eastAsia="es-MX"/>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w:t>
      </w:r>
    </w:p>
    <w:p w:rsidR="00F97EE5" w:rsidRDefault="00F97EE5">
      <w:pPr>
        <w:jc w:val="both"/>
        <w:rPr>
          <w:rFonts w:ascii="Palatino Linotype" w:hAnsi="Palatino Linotype"/>
          <w:color w:val="222222"/>
          <w:lang w:eastAsia="es-MX"/>
        </w:rPr>
      </w:pPr>
    </w:p>
    <w:p w:rsidR="00F97EE5" w:rsidRDefault="00A25A46">
      <w:pPr>
        <w:shd w:val="clear" w:color="auto" w:fill="FFFFFF"/>
        <w:ind w:left="851" w:right="902"/>
        <w:jc w:val="both"/>
        <w:rPr>
          <w:rFonts w:ascii="Palatino Linotype" w:hAnsi="Palatino Linotype"/>
          <w:color w:val="222222"/>
          <w:lang w:eastAsia="es-MX"/>
        </w:rPr>
      </w:pPr>
      <w:r>
        <w:rPr>
          <w:rFonts w:ascii="Palatino Linotype" w:hAnsi="Palatino Linotype"/>
          <w:i/>
          <w:iCs/>
          <w:color w:val="222222"/>
          <w:sz w:val="22"/>
          <w:szCs w:val="22"/>
          <w:lang w:eastAsia="es-MX"/>
        </w:rPr>
        <w:t>“</w:t>
      </w:r>
      <w:r>
        <w:rPr>
          <w:rFonts w:ascii="Palatino Linotype" w:hAnsi="Palatino Linotype"/>
          <w:b/>
          <w:bCs/>
          <w:i/>
          <w:iCs/>
          <w:color w:val="222222"/>
          <w:sz w:val="22"/>
          <w:szCs w:val="22"/>
          <w:lang w:eastAsia="es-MX"/>
        </w:rPr>
        <w:t>Artículo 12.</w:t>
      </w:r>
      <w:r>
        <w:rPr>
          <w:rFonts w:ascii="Palatino Linotype" w:hAnsi="Palatino Linotype"/>
          <w:i/>
          <w:iCs/>
          <w:color w:val="222222"/>
          <w:sz w:val="22"/>
          <w:szCs w:val="22"/>
          <w:lang w:eastAsia="es-MX"/>
        </w:rPr>
        <w:t> Quienes generen, recopilen, administren, manejen, procesen, archiven o conserven información pública serán responsables de la misma en los términos de las disposiciones jurídicas aplicables.</w:t>
      </w:r>
    </w:p>
    <w:p w:rsidR="00F97EE5" w:rsidRDefault="00A25A46">
      <w:pPr>
        <w:shd w:val="clear" w:color="auto" w:fill="FFFFFF"/>
        <w:ind w:left="851" w:right="902"/>
        <w:jc w:val="both"/>
        <w:rPr>
          <w:rFonts w:ascii="Palatino Linotype" w:hAnsi="Palatino Linotype"/>
          <w:i/>
          <w:iCs/>
          <w:color w:val="222222"/>
          <w:sz w:val="22"/>
          <w:szCs w:val="22"/>
          <w:lang w:eastAsia="es-MX"/>
        </w:rPr>
      </w:pPr>
      <w:r>
        <w:rPr>
          <w:rFonts w:ascii="Palatino Linotype" w:hAnsi="Palatino Linotype"/>
          <w:i/>
          <w:iCs/>
          <w:color w:val="222222"/>
          <w:sz w:val="22"/>
          <w:szCs w:val="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rsidR="00F97EE5" w:rsidRDefault="00F97EE5">
      <w:pPr>
        <w:shd w:val="clear" w:color="auto" w:fill="FFFFFF"/>
        <w:ind w:left="851" w:right="902"/>
        <w:jc w:val="both"/>
        <w:rPr>
          <w:rFonts w:ascii="Palatino Linotype" w:hAnsi="Palatino Linotype"/>
          <w:color w:val="222222"/>
          <w:lang w:eastAsia="es-MX"/>
        </w:rPr>
      </w:pPr>
    </w:p>
    <w:p w:rsidR="00F97EE5" w:rsidRDefault="00A25A46">
      <w:pPr>
        <w:spacing w:line="360" w:lineRule="auto"/>
        <w:jc w:val="both"/>
        <w:rPr>
          <w:rFonts w:ascii="Palatino Linotype" w:hAnsi="Palatino Linotype"/>
          <w:color w:val="222222"/>
          <w:lang w:eastAsia="es-MX"/>
        </w:rPr>
      </w:pPr>
      <w:r>
        <w:rPr>
          <w:rFonts w:ascii="Palatino Linotype" w:hAnsi="Palatino Linotype"/>
          <w:color w:val="222222"/>
          <w:lang w:eastAsia="es-MX"/>
        </w:rPr>
        <w:lastRenderedPageBreak/>
        <w:t>Así, el estudio de la naturaleza jurídica de la información pública solicitada, tiene por objeto determinar si ésta la genera, posee o administra </w:t>
      </w:r>
      <w:r>
        <w:rPr>
          <w:rFonts w:ascii="Palatino Linotype" w:hAnsi="Palatino Linotype"/>
          <w:b/>
          <w:bCs/>
          <w:color w:val="222222"/>
          <w:lang w:eastAsia="es-MX"/>
        </w:rPr>
        <w:t>EL SUJETO OBLIGADO</w:t>
      </w:r>
      <w:r>
        <w:rPr>
          <w:rFonts w:ascii="Palatino Linotype" w:hAnsi="Palatino Linotype"/>
          <w:color w:val="222222"/>
          <w:lang w:eastAsia="es-MX"/>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p>
    <w:p w:rsidR="00F97EE5" w:rsidRDefault="00F97EE5">
      <w:pPr>
        <w:spacing w:line="360" w:lineRule="auto"/>
        <w:jc w:val="both"/>
        <w:rPr>
          <w:rFonts w:ascii="Palatino Linotype" w:hAnsi="Palatino Linotype"/>
          <w:color w:val="222222"/>
          <w:lang w:val="es-ES" w:eastAsia="es-MX"/>
        </w:rPr>
      </w:pPr>
    </w:p>
    <w:p w:rsidR="00F97EE5" w:rsidRDefault="00A25A46">
      <w:pPr>
        <w:spacing w:line="360" w:lineRule="auto"/>
        <w:jc w:val="both"/>
        <w:rPr>
          <w:rFonts w:ascii="Palatino Linotype" w:hAnsi="Palatino Linotype" w:cs="Arial"/>
        </w:rPr>
      </w:pPr>
      <w:r>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Pr>
          <w:rFonts w:ascii="Palatino Linotype" w:eastAsiaTheme="minorEastAsia" w:hAnsi="Palatino Linotype" w:cs="Arial"/>
          <w:b/>
          <w:lang w:val="es-ES_tradnl"/>
        </w:rPr>
        <w:t xml:space="preserve">SUJETO OBLIGADO </w:t>
      </w:r>
      <w:r>
        <w:rPr>
          <w:rFonts w:ascii="Palatino Linotype" w:eastAsiaTheme="minorEastAsia" w:hAnsi="Palatino Linotype" w:cs="Arial"/>
          <w:lang w:val="es-ES_tradnl"/>
        </w:rPr>
        <w:t xml:space="preserve">mediante respuesta, se colma el derecho de </w:t>
      </w:r>
      <w:r>
        <w:rPr>
          <w:rFonts w:ascii="Palatino Linotype" w:hAnsi="Palatino Linotype" w:cs="Arial"/>
        </w:rPr>
        <w:t xml:space="preserve">acceso a la información ejercido por </w:t>
      </w:r>
      <w:r>
        <w:rPr>
          <w:rFonts w:ascii="Palatino Linotype" w:hAnsi="Palatino Linotype" w:cs="Arial"/>
          <w:b/>
        </w:rPr>
        <w:t>EL RECURRENTE</w:t>
      </w:r>
      <w:r>
        <w:rPr>
          <w:rFonts w:ascii="Palatino Linotype" w:hAnsi="Palatino Linotype" w:cs="Arial"/>
        </w:rPr>
        <w:t>; atento a ello, se realiza la siguiente tabla, para mayor entendimiento:</w:t>
      </w:r>
    </w:p>
    <w:p w:rsidR="00F97EE5" w:rsidRDefault="00F97EE5">
      <w:pPr>
        <w:spacing w:line="360" w:lineRule="auto"/>
        <w:jc w:val="both"/>
        <w:rPr>
          <w:rFonts w:ascii="Palatino Linotype" w:hAnsi="Palatino Linotype" w:cs="Arial"/>
        </w:rPr>
      </w:pPr>
    </w:p>
    <w:tbl>
      <w:tblPr>
        <w:tblStyle w:val="Tablaconcuadrcula"/>
        <w:tblW w:w="9111" w:type="dxa"/>
        <w:tblLook w:val="04A0" w:firstRow="1" w:lastRow="0" w:firstColumn="1" w:lastColumn="0" w:noHBand="0" w:noVBand="1"/>
      </w:tblPr>
      <w:tblGrid>
        <w:gridCol w:w="2278"/>
        <w:gridCol w:w="2538"/>
        <w:gridCol w:w="2018"/>
        <w:gridCol w:w="2277"/>
      </w:tblGrid>
      <w:tr w:rsidR="00F97EE5">
        <w:trPr>
          <w:tblHeader/>
        </w:trPr>
        <w:tc>
          <w:tcPr>
            <w:tcW w:w="2277" w:type="dxa"/>
            <w:shd w:val="pct15" w:color="auto" w:fill="auto"/>
          </w:tcPr>
          <w:p w:rsidR="00F97EE5" w:rsidRDefault="00A25A46">
            <w:pPr>
              <w:ind w:right="49"/>
              <w:jc w:val="center"/>
              <w:rPr>
                <w:rFonts w:ascii="Palatino Linotype" w:hAnsi="Palatino Linotype" w:cs="Arial"/>
                <w:color w:val="000000" w:themeColor="text1"/>
              </w:rPr>
            </w:pPr>
            <w:r>
              <w:rPr>
                <w:rFonts w:ascii="Palatino Linotype" w:eastAsiaTheme="minorHAnsi" w:hAnsi="Palatino Linotype" w:cs="Bookman Old Style"/>
                <w:b/>
                <w:bCs/>
                <w:i/>
                <w:sz w:val="22"/>
              </w:rPr>
              <w:t>Solicitud</w:t>
            </w:r>
          </w:p>
        </w:tc>
        <w:tc>
          <w:tcPr>
            <w:tcW w:w="2538" w:type="dxa"/>
            <w:shd w:val="pct15" w:color="auto" w:fill="auto"/>
          </w:tcPr>
          <w:p w:rsidR="00F97EE5" w:rsidRDefault="00A25A46">
            <w:pPr>
              <w:ind w:right="49"/>
              <w:jc w:val="center"/>
              <w:rPr>
                <w:rFonts w:ascii="Palatino Linotype" w:hAnsi="Palatino Linotype" w:cs="Arial"/>
                <w:color w:val="000000" w:themeColor="text1"/>
              </w:rPr>
            </w:pPr>
            <w:r>
              <w:rPr>
                <w:rFonts w:ascii="Palatino Linotype" w:eastAsiaTheme="minorHAnsi" w:hAnsi="Palatino Linotype" w:cs="Bookman Old Style"/>
                <w:b/>
                <w:bCs/>
                <w:i/>
                <w:sz w:val="22"/>
              </w:rPr>
              <w:t xml:space="preserve">Respuesta </w:t>
            </w:r>
          </w:p>
        </w:tc>
        <w:tc>
          <w:tcPr>
            <w:tcW w:w="2018" w:type="dxa"/>
            <w:shd w:val="pct15" w:color="auto" w:fill="auto"/>
          </w:tcPr>
          <w:p w:rsidR="00F97EE5" w:rsidRDefault="00A25A46">
            <w:pPr>
              <w:ind w:right="49"/>
              <w:jc w:val="center"/>
              <w:rPr>
                <w:rFonts w:ascii="Palatino Linotype" w:hAnsi="Palatino Linotype" w:cs="Bookman Old Style"/>
                <w:b/>
                <w:bCs/>
                <w:i/>
              </w:rPr>
            </w:pPr>
            <w:r>
              <w:rPr>
                <w:rFonts w:ascii="Palatino Linotype" w:eastAsiaTheme="minorHAnsi" w:hAnsi="Palatino Linotype" w:cs="Bookman Old Style"/>
                <w:b/>
                <w:bCs/>
                <w:i/>
                <w:sz w:val="22"/>
              </w:rPr>
              <w:t>Observaciones</w:t>
            </w:r>
          </w:p>
        </w:tc>
        <w:tc>
          <w:tcPr>
            <w:tcW w:w="2277" w:type="dxa"/>
            <w:shd w:val="pct15" w:color="auto" w:fill="auto"/>
          </w:tcPr>
          <w:p w:rsidR="00F97EE5" w:rsidRDefault="00A25A46">
            <w:pPr>
              <w:pStyle w:val="Prrafodelista"/>
              <w:ind w:left="0"/>
              <w:jc w:val="center"/>
              <w:rPr>
                <w:rFonts w:ascii="Palatino Linotype" w:eastAsiaTheme="minorEastAsia" w:hAnsi="Palatino Linotype" w:cs="Bookman Old Style"/>
                <w:b/>
                <w:bCs/>
                <w:i/>
                <w:sz w:val="20"/>
                <w:szCs w:val="20"/>
                <w:lang w:eastAsia="es-MX"/>
              </w:rPr>
            </w:pPr>
            <w:r>
              <w:rPr>
                <w:rFonts w:ascii="Palatino Linotype" w:eastAsiaTheme="minorEastAsia" w:hAnsi="Palatino Linotype" w:cs="Bookman Old Style"/>
                <w:b/>
                <w:bCs/>
                <w:i/>
                <w:sz w:val="20"/>
                <w:szCs w:val="20"/>
                <w:lang w:eastAsia="es-MX"/>
              </w:rPr>
              <w:t>Colma</w:t>
            </w:r>
          </w:p>
          <w:p w:rsidR="00F97EE5" w:rsidRDefault="00A25A46">
            <w:pPr>
              <w:ind w:right="49"/>
              <w:jc w:val="center"/>
              <w:rPr>
                <w:rFonts w:ascii="Palatino Linotype" w:hAnsi="Palatino Linotype" w:cs="Arial"/>
                <w:color w:val="000000" w:themeColor="text1"/>
              </w:rPr>
            </w:pPr>
            <w:r>
              <w:rPr>
                <w:rFonts w:ascii="Palatino Linotype" w:eastAsiaTheme="minorHAnsi" w:hAnsi="Palatino Linotype" w:cs="Bookman Old Style"/>
                <w:b/>
                <w:bCs/>
                <w:i/>
                <w:sz w:val="22"/>
              </w:rPr>
              <w:t>Sí/No</w:t>
            </w:r>
          </w:p>
        </w:tc>
      </w:tr>
      <w:tr w:rsidR="00F97EE5">
        <w:tc>
          <w:tcPr>
            <w:tcW w:w="2277" w:type="dxa"/>
          </w:tcPr>
          <w:p w:rsidR="00F97EE5" w:rsidRDefault="00A25A46">
            <w:pPr>
              <w:pStyle w:val="Prrafodelista"/>
              <w:numPr>
                <w:ilvl w:val="0"/>
                <w:numId w:val="1"/>
              </w:numPr>
              <w:ind w:left="313" w:right="49" w:hanging="284"/>
              <w:jc w:val="both"/>
              <w:rPr>
                <w:rFonts w:ascii="Palatino Linotype" w:hAnsi="Palatino Linotype"/>
                <w:color w:val="222222"/>
                <w:sz w:val="20"/>
                <w:lang w:val="es-ES" w:eastAsia="es-MX"/>
              </w:rPr>
            </w:pPr>
            <w:r>
              <w:rPr>
                <w:rFonts w:ascii="Palatino Linotype" w:eastAsiaTheme="minorHAnsi" w:hAnsi="Palatino Linotype"/>
                <w:color w:val="222222"/>
                <w:sz w:val="20"/>
                <w:lang w:val="es-ES" w:eastAsia="es-MX"/>
              </w:rPr>
              <w:t>Procesos de adjudicación directa e invitación restringida que ha llevado a cabo la coprisem desde octubre del 2017 a la fecha</w:t>
            </w:r>
          </w:p>
        </w:tc>
        <w:tc>
          <w:tcPr>
            <w:tcW w:w="2538" w:type="dxa"/>
          </w:tcPr>
          <w:p w:rsidR="00F97EE5" w:rsidRDefault="00A25A46">
            <w:pPr>
              <w:ind w:left="29" w:right="49"/>
              <w:jc w:val="both"/>
              <w:rPr>
                <w:rFonts w:ascii="Palatino Linotype" w:hAnsi="Palatino Linotype"/>
                <w:color w:val="222222"/>
                <w:sz w:val="20"/>
                <w:lang w:val="es-ES" w:eastAsia="es-MX"/>
              </w:rPr>
            </w:pPr>
            <w:r>
              <w:rPr>
                <w:rFonts w:ascii="Palatino Linotype" w:eastAsiaTheme="minorHAnsi" w:hAnsi="Palatino Linotype"/>
                <w:color w:val="222222"/>
                <w:sz w:val="20"/>
                <w:lang w:val="es-ES" w:eastAsia="es-MX"/>
              </w:rPr>
              <w:t xml:space="preserve">El Subdirector de Recursos Materiales, anexó relación e procedimientos adquisitivos en la modalidad de adjudicación directa; haciendo la precisión de no haber realizado procedimientos en la modalidad de invitación restringida en dicho periodo. </w:t>
            </w:r>
          </w:p>
        </w:tc>
        <w:tc>
          <w:tcPr>
            <w:tcW w:w="2018" w:type="dxa"/>
          </w:tcPr>
          <w:p w:rsidR="00F97EE5" w:rsidRDefault="00A25A46">
            <w:pPr>
              <w:pStyle w:val="Prrafodelista"/>
              <w:ind w:left="91" w:right="49"/>
              <w:jc w:val="both"/>
              <w:rPr>
                <w:rFonts w:ascii="Palatino Linotype" w:hAnsi="Palatino Linotype" w:cs="Bookman Old Style"/>
                <w:bCs/>
                <w:sz w:val="20"/>
                <w:szCs w:val="20"/>
              </w:rPr>
            </w:pPr>
            <w:r>
              <w:rPr>
                <w:rFonts w:ascii="Palatino Linotype" w:hAnsi="Palatino Linotype" w:cs="Bookman Old Style"/>
                <w:bCs/>
                <w:sz w:val="20"/>
                <w:szCs w:val="20"/>
              </w:rPr>
              <w:t xml:space="preserve">Anexa relación </w:t>
            </w:r>
          </w:p>
        </w:tc>
        <w:tc>
          <w:tcPr>
            <w:tcW w:w="2277" w:type="dxa"/>
          </w:tcPr>
          <w:p w:rsidR="00F97EE5" w:rsidRDefault="00F97EE5">
            <w:pPr>
              <w:pStyle w:val="Prrafodelista"/>
              <w:numPr>
                <w:ilvl w:val="0"/>
                <w:numId w:val="2"/>
              </w:numPr>
              <w:ind w:right="49" w:hanging="153"/>
              <w:jc w:val="center"/>
              <w:rPr>
                <w:rFonts w:ascii="Palatino Linotype" w:hAnsi="Palatino Linotype" w:cs="Bookman Old Style"/>
                <w:b/>
                <w:bCs/>
                <w:i/>
              </w:rPr>
            </w:pPr>
          </w:p>
        </w:tc>
      </w:tr>
      <w:tr w:rsidR="00F97EE5">
        <w:tc>
          <w:tcPr>
            <w:tcW w:w="2277" w:type="dxa"/>
          </w:tcPr>
          <w:p w:rsidR="00F97EE5" w:rsidRDefault="00A25A46">
            <w:pPr>
              <w:pStyle w:val="Prrafodelista"/>
              <w:numPr>
                <w:ilvl w:val="0"/>
                <w:numId w:val="1"/>
              </w:numPr>
              <w:ind w:left="313" w:right="49" w:hanging="284"/>
              <w:jc w:val="both"/>
              <w:rPr>
                <w:rFonts w:ascii="Palatino Linotype" w:hAnsi="Palatino Linotype"/>
                <w:color w:val="222222"/>
                <w:sz w:val="20"/>
                <w:lang w:val="es-ES" w:eastAsia="es-MX"/>
              </w:rPr>
            </w:pPr>
            <w:r>
              <w:rPr>
                <w:rFonts w:ascii="Palatino Linotype" w:eastAsiaTheme="minorHAnsi" w:hAnsi="Palatino Linotype"/>
                <w:color w:val="222222"/>
                <w:sz w:val="20"/>
                <w:lang w:val="es-ES" w:eastAsia="es-MX"/>
              </w:rPr>
              <w:t xml:space="preserve">En caso de convenciones, </w:t>
            </w:r>
            <w:r>
              <w:rPr>
                <w:rFonts w:ascii="Palatino Linotype" w:eastAsiaTheme="minorHAnsi" w:hAnsi="Palatino Linotype"/>
                <w:color w:val="222222"/>
                <w:sz w:val="20"/>
                <w:lang w:val="es-ES" w:eastAsia="es-MX"/>
              </w:rPr>
              <w:lastRenderedPageBreak/>
              <w:t>cursos, y demás reuniones de trabajo que hayan sido adquiridos con presupuesto público quiero que me enseñen las fotos de los mismos o la evidencia de haberlos llevado a cabo.</w:t>
            </w:r>
          </w:p>
        </w:tc>
        <w:tc>
          <w:tcPr>
            <w:tcW w:w="2538" w:type="dxa"/>
          </w:tcPr>
          <w:p w:rsidR="00F97EE5" w:rsidRDefault="00A25A46">
            <w:pPr>
              <w:ind w:left="29" w:right="49"/>
              <w:jc w:val="both"/>
              <w:rPr>
                <w:rFonts w:ascii="Palatino Linotype" w:hAnsi="Palatino Linotype"/>
                <w:color w:val="222222"/>
                <w:sz w:val="20"/>
                <w:lang w:val="es-ES" w:eastAsia="es-MX"/>
              </w:rPr>
            </w:pPr>
            <w:r>
              <w:rPr>
                <w:rFonts w:ascii="Palatino Linotype" w:eastAsiaTheme="minorHAnsi" w:hAnsi="Palatino Linotype"/>
                <w:color w:val="222222"/>
                <w:sz w:val="20"/>
                <w:lang w:val="es-ES" w:eastAsia="es-MX"/>
              </w:rPr>
              <w:lastRenderedPageBreak/>
              <w:t xml:space="preserve">El Subdirector de Recursos Materiales, </w:t>
            </w:r>
            <w:r>
              <w:rPr>
                <w:rFonts w:ascii="Palatino Linotype" w:eastAsiaTheme="minorHAnsi" w:hAnsi="Palatino Linotype"/>
                <w:color w:val="222222"/>
                <w:sz w:val="20"/>
                <w:lang w:val="es-ES" w:eastAsia="es-MX"/>
              </w:rPr>
              <w:lastRenderedPageBreak/>
              <w:t>Asimismo, refirió que no genera, recopila, administra, maneja, procesa, archiva o conserva en la Subdirección a su cargo, de acuerdo a lo establecido en el Manual General de Organizador/ y Reglamento Interno del Instituto de Salud del Estado de México.</w:t>
            </w:r>
          </w:p>
        </w:tc>
        <w:tc>
          <w:tcPr>
            <w:tcW w:w="2018" w:type="dxa"/>
          </w:tcPr>
          <w:p w:rsidR="00F97EE5" w:rsidRDefault="00A25A46">
            <w:pPr>
              <w:pStyle w:val="Prrafodelista"/>
              <w:ind w:left="91" w:right="49"/>
              <w:jc w:val="both"/>
              <w:rPr>
                <w:rFonts w:ascii="Palatino Linotype" w:hAnsi="Palatino Linotype" w:cs="Bookman Old Style"/>
                <w:bCs/>
                <w:sz w:val="20"/>
                <w:szCs w:val="20"/>
              </w:rPr>
            </w:pPr>
            <w:r>
              <w:rPr>
                <w:rFonts w:ascii="Palatino Linotype" w:hAnsi="Palatino Linotype" w:cs="Bookman Old Style"/>
                <w:bCs/>
                <w:sz w:val="20"/>
                <w:szCs w:val="20"/>
              </w:rPr>
              <w:lastRenderedPageBreak/>
              <w:t xml:space="preserve">Se omitió turnar a todas las áreas que </w:t>
            </w:r>
            <w:r>
              <w:rPr>
                <w:rFonts w:ascii="Palatino Linotype" w:hAnsi="Palatino Linotype" w:cs="Bookman Old Style"/>
                <w:bCs/>
                <w:sz w:val="20"/>
                <w:szCs w:val="20"/>
              </w:rPr>
              <w:lastRenderedPageBreak/>
              <w:t>conforme a sus atribuciones, como lo es la Unidad de Enseñanza, Investigación y Calidad, de manera enunciativa más no limitativa.</w:t>
            </w:r>
          </w:p>
        </w:tc>
        <w:tc>
          <w:tcPr>
            <w:tcW w:w="2277" w:type="dxa"/>
          </w:tcPr>
          <w:p w:rsidR="00F97EE5" w:rsidRDefault="00A25A46">
            <w:pPr>
              <w:ind w:right="49"/>
              <w:jc w:val="center"/>
              <w:rPr>
                <w:rFonts w:ascii="Palatino Linotype" w:hAnsi="Palatino Linotype" w:cs="Bookman Old Style"/>
                <w:b/>
                <w:bCs/>
                <w:i/>
                <w:sz w:val="36"/>
                <w:szCs w:val="36"/>
              </w:rPr>
            </w:pPr>
            <w:r>
              <w:rPr>
                <w:rFonts w:ascii="Palatino Linotype" w:eastAsiaTheme="minorHAnsi" w:hAnsi="Palatino Linotype" w:cs="Bookman Old Style"/>
                <w:b/>
                <w:bCs/>
                <w:i/>
                <w:sz w:val="36"/>
                <w:szCs w:val="36"/>
              </w:rPr>
              <w:lastRenderedPageBreak/>
              <w:t>X</w:t>
            </w:r>
          </w:p>
        </w:tc>
      </w:tr>
      <w:tr w:rsidR="00F97EE5">
        <w:tc>
          <w:tcPr>
            <w:tcW w:w="2277" w:type="dxa"/>
          </w:tcPr>
          <w:p w:rsidR="00F97EE5" w:rsidRDefault="00A25A46">
            <w:pPr>
              <w:pStyle w:val="Prrafodelista"/>
              <w:numPr>
                <w:ilvl w:val="0"/>
                <w:numId w:val="1"/>
              </w:numPr>
              <w:ind w:left="313" w:right="49" w:hanging="284"/>
              <w:jc w:val="both"/>
              <w:rPr>
                <w:rFonts w:ascii="Palatino Linotype" w:hAnsi="Palatino Linotype"/>
                <w:color w:val="222222"/>
                <w:sz w:val="20"/>
                <w:lang w:val="es-ES" w:eastAsia="es-MX"/>
              </w:rPr>
            </w:pPr>
            <w:r>
              <w:rPr>
                <w:rFonts w:ascii="Palatino Linotype" w:eastAsiaTheme="minorHAnsi" w:hAnsi="Palatino Linotype"/>
                <w:color w:val="222222"/>
                <w:sz w:val="20"/>
                <w:lang w:val="es-ES" w:eastAsia="es-MX"/>
              </w:rPr>
              <w:lastRenderedPageBreak/>
              <w:t>Facturas derivadas de los contratos relacionadas con convenciones, cursos, y demás reuniones de trabajo.</w:t>
            </w:r>
          </w:p>
        </w:tc>
        <w:tc>
          <w:tcPr>
            <w:tcW w:w="2538" w:type="dxa"/>
          </w:tcPr>
          <w:p w:rsidR="00F97EE5" w:rsidRDefault="00A25A46">
            <w:pPr>
              <w:ind w:left="29" w:right="49"/>
              <w:jc w:val="both"/>
              <w:rPr>
                <w:rFonts w:ascii="Palatino Linotype" w:hAnsi="Palatino Linotype"/>
                <w:color w:val="222222"/>
                <w:sz w:val="20"/>
                <w:lang w:val="es-ES" w:eastAsia="es-MX"/>
              </w:rPr>
            </w:pPr>
            <w:r>
              <w:rPr>
                <w:rFonts w:ascii="Palatino Linotype" w:eastAsiaTheme="minorHAnsi" w:hAnsi="Palatino Linotype"/>
                <w:color w:val="222222"/>
                <w:sz w:val="20"/>
                <w:lang w:val="es-ES" w:eastAsia="es-MX"/>
              </w:rPr>
              <w:t>El Director de Finanzas, refiere no haber encontrado información al respecto.</w:t>
            </w:r>
          </w:p>
        </w:tc>
        <w:tc>
          <w:tcPr>
            <w:tcW w:w="2018" w:type="dxa"/>
          </w:tcPr>
          <w:p w:rsidR="00F97EE5" w:rsidRDefault="00A25A46">
            <w:pPr>
              <w:pStyle w:val="Prrafodelista"/>
              <w:ind w:left="91" w:right="49"/>
              <w:jc w:val="both"/>
              <w:rPr>
                <w:rFonts w:ascii="Palatino Linotype" w:hAnsi="Palatino Linotype" w:cs="Bookman Old Style"/>
                <w:bCs/>
                <w:sz w:val="20"/>
                <w:szCs w:val="20"/>
              </w:rPr>
            </w:pPr>
            <w:r>
              <w:rPr>
                <w:rFonts w:ascii="Palatino Linotype" w:hAnsi="Palatino Linotype" w:cs="Arial"/>
                <w:sz w:val="22"/>
              </w:rPr>
              <w:t>Dicha respuesta carece de certeza jurídica.</w:t>
            </w:r>
          </w:p>
        </w:tc>
        <w:tc>
          <w:tcPr>
            <w:tcW w:w="2277" w:type="dxa"/>
          </w:tcPr>
          <w:p w:rsidR="00F97EE5" w:rsidRDefault="00A25A46">
            <w:pPr>
              <w:ind w:right="49"/>
              <w:jc w:val="center"/>
              <w:rPr>
                <w:rFonts w:ascii="Palatino Linotype" w:hAnsi="Palatino Linotype" w:cs="Bookman Old Style"/>
                <w:b/>
                <w:bCs/>
                <w:i/>
                <w:sz w:val="36"/>
                <w:szCs w:val="36"/>
              </w:rPr>
            </w:pPr>
            <w:r>
              <w:rPr>
                <w:rFonts w:ascii="Palatino Linotype" w:eastAsiaTheme="minorHAnsi" w:hAnsi="Palatino Linotype" w:cs="Bookman Old Style"/>
                <w:b/>
                <w:bCs/>
                <w:i/>
                <w:sz w:val="36"/>
                <w:szCs w:val="36"/>
              </w:rPr>
              <w:t>X</w:t>
            </w:r>
          </w:p>
        </w:tc>
      </w:tr>
    </w:tbl>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cs="Arial"/>
        </w:rPr>
      </w:pPr>
      <w:r>
        <w:rPr>
          <w:rFonts w:ascii="Palatino Linotype" w:hAnsi="Palatino Linotype" w:cs="Arial"/>
        </w:rPr>
        <w:t xml:space="preserve">De lo anterior, se puede advertir que </w:t>
      </w:r>
      <w:r>
        <w:rPr>
          <w:rFonts w:ascii="Palatino Linotype" w:hAnsi="Palatino Linotype" w:cs="Arial"/>
          <w:b/>
        </w:rPr>
        <w:t xml:space="preserve">EL SUJETO OBLIGADO </w:t>
      </w:r>
      <w:r>
        <w:rPr>
          <w:rFonts w:ascii="Palatino Linotype" w:hAnsi="Palatino Linotype" w:cs="Arial"/>
        </w:rPr>
        <w:t>no satisfizo el derecho de acceso a la información ejercido por el particular, pues como se puede observar en la tabla que antecede, atendió de manera parcial la misma.</w:t>
      </w:r>
    </w:p>
    <w:p w:rsidR="00F97EE5" w:rsidRDefault="00F97EE5">
      <w:pPr>
        <w:spacing w:line="360" w:lineRule="auto"/>
        <w:jc w:val="both"/>
        <w:rPr>
          <w:rFonts w:ascii="Palatino Linotype" w:hAnsi="Palatino Linotype"/>
          <w:color w:val="222222"/>
          <w:lang w:val="es-ES" w:eastAsia="es-MX"/>
        </w:rPr>
      </w:pPr>
    </w:p>
    <w:p w:rsidR="00F97EE5" w:rsidRDefault="00A25A46">
      <w:pPr>
        <w:spacing w:line="360" w:lineRule="auto"/>
        <w:jc w:val="both"/>
        <w:rPr>
          <w:rFonts w:ascii="Palatino Linotype" w:hAnsi="Palatino Linotype"/>
          <w:color w:val="222222"/>
          <w:lang w:val="es-ES" w:eastAsia="es-MX"/>
        </w:rPr>
      </w:pPr>
      <w:r>
        <w:rPr>
          <w:rFonts w:ascii="Palatino Linotype" w:hAnsi="Palatino Linotype"/>
          <w:color w:val="222222"/>
          <w:lang w:val="es-ES" w:eastAsia="es-MX"/>
        </w:rPr>
        <w:t xml:space="preserve">Lo anterior es así, pues respecto al requerimiento identificado con los numerales 1, relacionado con los </w:t>
      </w:r>
      <w:r>
        <w:rPr>
          <w:rFonts w:ascii="Palatino Linotype" w:hAnsi="Palatino Linotype"/>
          <w:i/>
          <w:color w:val="222222"/>
          <w:lang w:val="es-ES" w:eastAsia="es-MX"/>
        </w:rPr>
        <w:t xml:space="preserve">procesos de adjudicación directa e invitación restringida que ha llevado a cabo la coprisem desde octubre del 2017 a la fecha; </w:t>
      </w:r>
      <w:r>
        <w:rPr>
          <w:rFonts w:ascii="Palatino Linotype" w:hAnsi="Palatino Linotype"/>
          <w:color w:val="222222"/>
          <w:lang w:val="es-ES" w:eastAsia="es-MX"/>
        </w:rPr>
        <w:t xml:space="preserve">el Servidor Público de la Subdirección de Recursos Materiales, anexó relación de procedimientos adquisitivos en la modalidad de adjudicación directa, tal como se muestra a continuación: </w:t>
      </w:r>
    </w:p>
    <w:p w:rsidR="00F97EE5" w:rsidRDefault="00F97EE5">
      <w:pPr>
        <w:spacing w:line="360" w:lineRule="auto"/>
        <w:jc w:val="both"/>
        <w:rPr>
          <w:rFonts w:ascii="Palatino Linotype" w:hAnsi="Palatino Linotype"/>
          <w:color w:val="222222"/>
          <w:lang w:val="es-ES" w:eastAsia="es-MX"/>
        </w:rPr>
      </w:pPr>
    </w:p>
    <w:p w:rsidR="00F97EE5" w:rsidRDefault="00A25A46">
      <w:pPr>
        <w:spacing w:line="360" w:lineRule="auto"/>
        <w:jc w:val="center"/>
        <w:rPr>
          <w:rFonts w:ascii="Palatino Linotype" w:hAnsi="Palatino Linotype"/>
          <w:color w:val="222222"/>
          <w:lang w:val="es-ES" w:eastAsia="es-MX"/>
        </w:rPr>
      </w:pPr>
      <w:r>
        <w:rPr>
          <w:noProof/>
          <w:lang w:eastAsia="es-MX"/>
        </w:rPr>
        <w:lastRenderedPageBreak/>
        <w:drawing>
          <wp:inline distT="0" distB="0" distL="0" distR="0">
            <wp:extent cx="5585460" cy="7439025"/>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2"/>
                    <pic:cNvPicPr>
                      <a:picLocks noChangeAspect="1" noChangeArrowheads="1"/>
                    </pic:cNvPicPr>
                  </pic:nvPicPr>
                  <pic:blipFill>
                    <a:blip r:embed="rId14"/>
                    <a:stretch>
                      <a:fillRect/>
                    </a:stretch>
                  </pic:blipFill>
                  <pic:spPr bwMode="auto">
                    <a:xfrm>
                      <a:off x="0" y="0"/>
                      <a:ext cx="5585460" cy="7439025"/>
                    </a:xfrm>
                    <a:prstGeom prst="rect">
                      <a:avLst/>
                    </a:prstGeom>
                  </pic:spPr>
                </pic:pic>
              </a:graphicData>
            </a:graphic>
          </wp:inline>
        </w:drawing>
      </w:r>
      <w:r>
        <w:rPr>
          <w:noProof/>
          <w:lang w:eastAsia="es-MX"/>
        </w:rPr>
        <w:lastRenderedPageBreak/>
        <w:drawing>
          <wp:inline distT="0" distB="0" distL="0" distR="0">
            <wp:extent cx="5654040" cy="7515225"/>
            <wp:effectExtent l="0" t="0" r="0" b="0"/>
            <wp:docPr id="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3"/>
                    <pic:cNvPicPr>
                      <a:picLocks noChangeAspect="1" noChangeArrowheads="1"/>
                    </pic:cNvPicPr>
                  </pic:nvPicPr>
                  <pic:blipFill>
                    <a:blip r:embed="rId15"/>
                    <a:stretch>
                      <a:fillRect/>
                    </a:stretch>
                  </pic:blipFill>
                  <pic:spPr bwMode="auto">
                    <a:xfrm>
                      <a:off x="0" y="0"/>
                      <a:ext cx="5654040" cy="7515225"/>
                    </a:xfrm>
                    <a:prstGeom prst="rect">
                      <a:avLst/>
                    </a:prstGeom>
                  </pic:spPr>
                </pic:pic>
              </a:graphicData>
            </a:graphic>
          </wp:inline>
        </w:drawing>
      </w:r>
      <w:r>
        <w:rPr>
          <w:noProof/>
          <w:lang w:eastAsia="es-MX"/>
        </w:rPr>
        <w:lastRenderedPageBreak/>
        <w:drawing>
          <wp:inline distT="0" distB="0" distL="0" distR="0">
            <wp:extent cx="5600700" cy="7486650"/>
            <wp:effectExtent l="0" t="0" r="0" b="0"/>
            <wp:docPr id="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5"/>
                    <pic:cNvPicPr>
                      <a:picLocks noChangeAspect="1" noChangeArrowheads="1"/>
                    </pic:cNvPicPr>
                  </pic:nvPicPr>
                  <pic:blipFill>
                    <a:blip r:embed="rId16"/>
                    <a:stretch>
                      <a:fillRect/>
                    </a:stretch>
                  </pic:blipFill>
                  <pic:spPr bwMode="auto">
                    <a:xfrm>
                      <a:off x="0" y="0"/>
                      <a:ext cx="5600700" cy="7486650"/>
                    </a:xfrm>
                    <a:prstGeom prst="rect">
                      <a:avLst/>
                    </a:prstGeom>
                  </pic:spPr>
                </pic:pic>
              </a:graphicData>
            </a:graphic>
          </wp:inline>
        </w:drawing>
      </w:r>
      <w:r>
        <w:rPr>
          <w:noProof/>
          <w:lang w:eastAsia="es-MX"/>
        </w:rPr>
        <w:lastRenderedPageBreak/>
        <w:drawing>
          <wp:inline distT="0" distB="0" distL="0" distR="0">
            <wp:extent cx="5570220" cy="7629525"/>
            <wp:effectExtent l="0" t="0" r="0" b="0"/>
            <wp:docPr id="8"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6"/>
                    <pic:cNvPicPr>
                      <a:picLocks noChangeAspect="1" noChangeArrowheads="1"/>
                    </pic:cNvPicPr>
                  </pic:nvPicPr>
                  <pic:blipFill>
                    <a:blip r:embed="rId17"/>
                    <a:stretch>
                      <a:fillRect/>
                    </a:stretch>
                  </pic:blipFill>
                  <pic:spPr bwMode="auto">
                    <a:xfrm>
                      <a:off x="0" y="0"/>
                      <a:ext cx="5570220" cy="7629525"/>
                    </a:xfrm>
                    <a:prstGeom prst="rect">
                      <a:avLst/>
                    </a:prstGeom>
                  </pic:spPr>
                </pic:pic>
              </a:graphicData>
            </a:graphic>
          </wp:inline>
        </w:drawing>
      </w:r>
    </w:p>
    <w:p w:rsidR="00F97EE5" w:rsidRDefault="00A25A46">
      <w:pPr>
        <w:spacing w:line="360" w:lineRule="auto"/>
        <w:jc w:val="both"/>
        <w:rPr>
          <w:rFonts w:ascii="Palatino Linotype" w:hAnsi="Palatino Linotype"/>
          <w:color w:val="222222"/>
          <w:lang w:val="es-ES" w:eastAsia="es-MX"/>
        </w:rPr>
      </w:pPr>
      <w:r>
        <w:rPr>
          <w:rFonts w:ascii="Palatino Linotype" w:hAnsi="Palatino Linotype"/>
          <w:color w:val="222222"/>
          <w:lang w:val="es-ES" w:eastAsia="es-MX"/>
        </w:rPr>
        <w:lastRenderedPageBreak/>
        <w:t xml:space="preserve">Precisando para ello, que respecto a la modalidad de invitación restringida, no se habían realizado procedimientos adquisitivos en dicho periodo. </w:t>
      </w:r>
    </w:p>
    <w:p w:rsidR="00F97EE5" w:rsidRDefault="00F97EE5">
      <w:pPr>
        <w:spacing w:line="360" w:lineRule="auto"/>
        <w:jc w:val="both"/>
        <w:rPr>
          <w:rFonts w:ascii="Palatino Linotype" w:hAnsi="Palatino Linotype"/>
          <w:color w:val="222222"/>
          <w:lang w:val="es-ES" w:eastAsia="es-MX"/>
        </w:rPr>
      </w:pPr>
    </w:p>
    <w:p w:rsidR="00F97EE5" w:rsidRDefault="00A25A46">
      <w:pPr>
        <w:spacing w:line="360" w:lineRule="auto"/>
        <w:jc w:val="both"/>
        <w:rPr>
          <w:rFonts w:ascii="Palatino Linotype" w:hAnsi="Palatino Linotype"/>
          <w:color w:val="222222"/>
          <w:lang w:val="es-ES" w:eastAsia="es-MX"/>
        </w:rPr>
      </w:pPr>
      <w:r>
        <w:rPr>
          <w:rFonts w:ascii="Palatino Linotype" w:hAnsi="Palatino Linotype"/>
          <w:color w:val="222222"/>
          <w:lang w:val="es-ES" w:eastAsia="es-MX"/>
        </w:rPr>
        <w:t xml:space="preserve">De lo anterior, se determina que se tiene por atendido el requerimiento relacionado con las adjudicaciones realizadas por la Comisión para la Protección contra Riesgos Sanitarios del Estado de México, del periodo solicitado. </w:t>
      </w:r>
    </w:p>
    <w:p w:rsidR="00F97EE5" w:rsidRDefault="00F97EE5">
      <w:pPr>
        <w:spacing w:line="360" w:lineRule="auto"/>
        <w:jc w:val="both"/>
        <w:rPr>
          <w:rFonts w:ascii="Palatino Linotype" w:hAnsi="Palatino Linotype"/>
          <w:color w:val="222222"/>
          <w:lang w:val="es-ES" w:eastAsia="es-MX"/>
        </w:rPr>
      </w:pPr>
    </w:p>
    <w:p w:rsidR="00F97EE5" w:rsidRDefault="00A25A46">
      <w:pPr>
        <w:spacing w:line="360" w:lineRule="auto"/>
        <w:jc w:val="both"/>
        <w:rPr>
          <w:rFonts w:ascii="Palatino Linotype" w:hAnsi="Palatino Linotype" w:cs="Arial"/>
        </w:rPr>
      </w:pPr>
      <w:r>
        <w:rPr>
          <w:rFonts w:ascii="Palatino Linotype" w:hAnsi="Palatino Linotype"/>
          <w:color w:val="222222"/>
          <w:lang w:val="es-ES" w:eastAsia="es-MX"/>
        </w:rPr>
        <w:t xml:space="preserve">Por otro lado, respecto al requerimiento identificado con el numeral 2, relacionado con las fotos o evidencias de las adjudicaciones relacionadas con convenciones, cursos y demás reuniones de trabajo; al respecto, es de señalar que del análisis realizado a las documentales que integran la respuesta del </w:t>
      </w:r>
      <w:r>
        <w:rPr>
          <w:rFonts w:ascii="Palatino Linotype" w:hAnsi="Palatino Linotype"/>
          <w:b/>
          <w:color w:val="222222"/>
          <w:lang w:val="es-ES" w:eastAsia="es-MX"/>
        </w:rPr>
        <w:t xml:space="preserve">SUJETO OBLIGADO </w:t>
      </w:r>
      <w:r>
        <w:rPr>
          <w:rFonts w:ascii="Palatino Linotype" w:hAnsi="Palatino Linotype"/>
          <w:color w:val="222222"/>
          <w:lang w:val="es-ES" w:eastAsia="es-MX"/>
        </w:rPr>
        <w:t xml:space="preserve">se puede advertir que el </w:t>
      </w:r>
      <w:r>
        <w:rPr>
          <w:rFonts w:ascii="Palatino Linotype" w:hAnsi="Palatino Linotype"/>
          <w:color w:val="222222"/>
          <w:shd w:val="clear" w:color="auto" w:fill="FFFFFF"/>
        </w:rPr>
        <w:t xml:space="preserve">Titular de la Unidad de Transparencia </w:t>
      </w:r>
      <w:r>
        <w:rPr>
          <w:rFonts w:ascii="Palatino Linotype" w:hAnsi="Palatino Linotype" w:cs="Arial"/>
        </w:rPr>
        <w:t>no siguió a cabalidad el procedimiento de acceso a la información previsto en el artículo 162 de la Ley de Transparencia y Acceso a la Información Pública del Estado de México y Municipios, esto dado que omitió turnar a todas las Áreas competentes que pudiesen contar con la información o deban tenerla de acuerdo a sus facultades, competencias y funciones, con el objeto de que realicen una búsqueda exhaustiva y razonable de la información solicitada.</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cs="Arial"/>
        </w:rPr>
      </w:pPr>
      <w:r>
        <w:rPr>
          <w:rFonts w:ascii="Palatino Linotype" w:hAnsi="Palatino Linotype" w:cs="Arial"/>
        </w:rPr>
        <w:t>A efecto de determinar la legalidad de dicha respuesta, es necesario tomar en cuenta las siguientes disposiciones de la Ley de la materia.</w:t>
      </w:r>
    </w:p>
    <w:p w:rsidR="00F97EE5" w:rsidRDefault="00F97EE5">
      <w:pPr>
        <w:ind w:left="851" w:right="901"/>
        <w:jc w:val="both"/>
        <w:rPr>
          <w:rFonts w:ascii="Palatino Linotype" w:hAnsi="Palatino Linotype"/>
          <w:i/>
          <w:sz w:val="22"/>
          <w:szCs w:val="22"/>
        </w:rPr>
      </w:pP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Artículo 50.</w:t>
      </w:r>
      <w:r>
        <w:rPr>
          <w:rFonts w:ascii="Palatino Linotype" w:hAnsi="Palatino Linotype"/>
          <w:i/>
          <w:sz w:val="22"/>
          <w:szCs w:val="22"/>
        </w:rPr>
        <w:t xml:space="preserve"> Los sujetos obligados contarán con un área responsable para la atención de las solicitudes de </w:t>
      </w:r>
      <w:r>
        <w:rPr>
          <w:rFonts w:ascii="Palatino Linotype" w:hAnsi="Palatino Linotype" w:cs="Arial"/>
          <w:i/>
          <w:sz w:val="22"/>
          <w:szCs w:val="22"/>
          <w:lang w:eastAsia="es-MX"/>
        </w:rPr>
        <w:t>información</w:t>
      </w:r>
      <w:r>
        <w:rPr>
          <w:rFonts w:ascii="Palatino Linotype" w:hAnsi="Palatino Linotype"/>
          <w:i/>
          <w:sz w:val="22"/>
          <w:szCs w:val="22"/>
        </w:rPr>
        <w:t>, a la que se le denominará Unidad de Transparencia.</w:t>
      </w:r>
    </w:p>
    <w:p w:rsidR="00F97EE5" w:rsidRDefault="00F97EE5">
      <w:pPr>
        <w:ind w:left="567" w:right="618"/>
        <w:contextualSpacing/>
        <w:jc w:val="both"/>
        <w:rPr>
          <w:rFonts w:ascii="Palatino Linotype" w:hAnsi="Palatino Linotype"/>
          <w:i/>
          <w:sz w:val="22"/>
          <w:szCs w:val="22"/>
        </w:rPr>
      </w:pPr>
    </w:p>
    <w:p w:rsidR="00F97EE5" w:rsidRDefault="00A25A46">
      <w:pPr>
        <w:ind w:left="851" w:right="901"/>
        <w:jc w:val="both"/>
        <w:rPr>
          <w:rFonts w:ascii="Palatino Linotype" w:hAnsi="Palatino Linotype"/>
          <w:i/>
          <w:sz w:val="22"/>
          <w:szCs w:val="22"/>
        </w:rPr>
      </w:pPr>
      <w:r>
        <w:rPr>
          <w:rFonts w:ascii="Palatino Linotype" w:hAnsi="Palatino Linotype"/>
          <w:b/>
          <w:i/>
          <w:sz w:val="22"/>
          <w:szCs w:val="22"/>
        </w:rPr>
        <w:lastRenderedPageBreak/>
        <w:t>Artículo 51</w:t>
      </w:r>
      <w:r>
        <w:rPr>
          <w:rFonts w:ascii="Palatino Linotype" w:hAnsi="Palatino Linotype"/>
          <w:i/>
          <w:sz w:val="22"/>
          <w:szCs w:val="22"/>
        </w:rPr>
        <w:t xml:space="preserve">. Los sujetos obligados designaran a un responsable para atender la Unidad de Transparencia, quien fungirá como enlace entre éstos y los solicitantes. Dicha Unidad será la encargada de tramitar </w:t>
      </w:r>
      <w:r>
        <w:rPr>
          <w:rFonts w:ascii="Palatino Linotype" w:hAnsi="Palatino Linotype" w:cs="Arial"/>
          <w:i/>
          <w:sz w:val="22"/>
          <w:szCs w:val="22"/>
          <w:lang w:eastAsia="es-MX"/>
        </w:rPr>
        <w:t>internamente</w:t>
      </w:r>
      <w:r>
        <w:rPr>
          <w:rFonts w:ascii="Palatino Linotype" w:hAnsi="Palatino Linotype"/>
          <w:i/>
          <w:sz w:val="22"/>
          <w:szCs w:val="22"/>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F97EE5" w:rsidRDefault="00F97EE5">
      <w:pPr>
        <w:ind w:left="567" w:right="618"/>
        <w:contextualSpacing/>
        <w:jc w:val="both"/>
        <w:rPr>
          <w:rFonts w:ascii="Palatino Linotype" w:hAnsi="Palatino Linotype"/>
          <w:i/>
          <w:sz w:val="22"/>
          <w:szCs w:val="22"/>
        </w:rPr>
      </w:pPr>
    </w:p>
    <w:p w:rsidR="00F97EE5" w:rsidRDefault="00A25A46">
      <w:pPr>
        <w:ind w:left="851" w:right="901"/>
        <w:jc w:val="both"/>
        <w:rPr>
          <w:rFonts w:ascii="Palatino Linotype" w:hAnsi="Palatino Linotype"/>
          <w:i/>
          <w:sz w:val="22"/>
          <w:szCs w:val="22"/>
        </w:rPr>
      </w:pPr>
      <w:r>
        <w:rPr>
          <w:rFonts w:ascii="Palatino Linotype" w:hAnsi="Palatino Linotype"/>
          <w:b/>
          <w:i/>
          <w:sz w:val="22"/>
          <w:szCs w:val="22"/>
        </w:rPr>
        <w:t>Artículo 53</w:t>
      </w:r>
      <w:r>
        <w:rPr>
          <w:rFonts w:ascii="Palatino Linotype" w:hAnsi="Palatino Linotype"/>
          <w:i/>
          <w:sz w:val="22"/>
          <w:szCs w:val="22"/>
        </w:rPr>
        <w:t xml:space="preserve">. Las Unidades de </w:t>
      </w:r>
      <w:r>
        <w:rPr>
          <w:rFonts w:ascii="Palatino Linotype" w:hAnsi="Palatino Linotype" w:cs="Arial"/>
          <w:i/>
          <w:sz w:val="22"/>
          <w:szCs w:val="22"/>
          <w:lang w:eastAsia="es-MX"/>
        </w:rPr>
        <w:t>Transparencia</w:t>
      </w:r>
      <w:r>
        <w:rPr>
          <w:rFonts w:ascii="Palatino Linotype" w:hAnsi="Palatino Linotype"/>
          <w:i/>
          <w:sz w:val="22"/>
          <w:szCs w:val="22"/>
        </w:rPr>
        <w:t xml:space="preserve"> tendrán las siguientes funciones:</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 xml:space="preserve">I. Recabar, difundir y actualizar la información relativa a las obligaciones de transparencia comunes y específicas a la </w:t>
      </w:r>
      <w:r>
        <w:rPr>
          <w:rFonts w:ascii="Palatino Linotype" w:hAnsi="Palatino Linotype" w:cs="Arial"/>
          <w:i/>
          <w:sz w:val="22"/>
          <w:szCs w:val="22"/>
          <w:lang w:eastAsia="es-MX"/>
        </w:rPr>
        <w:t>que</w:t>
      </w:r>
      <w:r>
        <w:rPr>
          <w:rFonts w:ascii="Palatino Linotype" w:hAnsi="Palatino Linotype"/>
          <w:i/>
          <w:sz w:val="22"/>
          <w:szCs w:val="22"/>
        </w:rPr>
        <w:t xml:space="preserve"> se refiere la Ley General, esta Ley, la que determine el Instituto y las demás disposiciones de la materia, así como propiciar que las áreas la actualicen periódicamente conforme a la normatividad aplicable;</w:t>
      </w:r>
    </w:p>
    <w:p w:rsidR="00F97EE5" w:rsidRDefault="00A25A46">
      <w:pPr>
        <w:ind w:left="851" w:right="901"/>
        <w:jc w:val="both"/>
        <w:rPr>
          <w:rFonts w:ascii="Palatino Linotype" w:hAnsi="Palatino Linotype"/>
          <w:b/>
          <w:i/>
          <w:sz w:val="22"/>
          <w:szCs w:val="22"/>
        </w:rPr>
      </w:pPr>
      <w:r>
        <w:rPr>
          <w:rFonts w:ascii="Palatino Linotype" w:hAnsi="Palatino Linotype"/>
          <w:b/>
          <w:i/>
          <w:sz w:val="22"/>
          <w:szCs w:val="22"/>
        </w:rPr>
        <w:t xml:space="preserve">II. Recibir, </w:t>
      </w:r>
      <w:r>
        <w:rPr>
          <w:rFonts w:ascii="Palatino Linotype" w:hAnsi="Palatino Linotype"/>
          <w:b/>
          <w:i/>
          <w:sz w:val="22"/>
          <w:szCs w:val="22"/>
          <w:u w:val="single"/>
        </w:rPr>
        <w:t>tramitar</w:t>
      </w:r>
      <w:r>
        <w:rPr>
          <w:rFonts w:ascii="Palatino Linotype" w:hAnsi="Palatino Linotype"/>
          <w:b/>
          <w:i/>
          <w:sz w:val="22"/>
          <w:szCs w:val="22"/>
        </w:rPr>
        <w:t xml:space="preserve"> y dar respuesta a las solicitudes de acceso a la información;</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 xml:space="preserve">III. Auxiliar a los particulares en la elaboración de solicitudes de acceso a la información y, en su caso, orientarlos sobre los sujetos </w:t>
      </w:r>
      <w:r>
        <w:rPr>
          <w:rFonts w:ascii="Palatino Linotype" w:hAnsi="Palatino Linotype" w:cs="Arial"/>
          <w:i/>
          <w:sz w:val="22"/>
          <w:szCs w:val="22"/>
          <w:lang w:eastAsia="es-MX"/>
        </w:rPr>
        <w:t>obligados</w:t>
      </w:r>
      <w:r>
        <w:rPr>
          <w:rFonts w:ascii="Palatino Linotype" w:hAnsi="Palatino Linotype"/>
          <w:i/>
          <w:sz w:val="22"/>
          <w:szCs w:val="22"/>
        </w:rPr>
        <w:t xml:space="preserve"> competentes conforme a la normatividad aplicable;</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IV. Realizar, con efectividad, los trámites internos necesarios para la atención de las solicitudes de acceso a la información;</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V. Entregar, en su caso, a los particulares la información solicitada;</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VI. Efectuar las notificaciones a los solicitantes;</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VII. Proponer al Comité de Transparencia, los procedimientos internos que aseguren la mayor eficiencia en la gestión de las solicitudes de acceso a la información, conforme a la normatividad aplicable;</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VIII. Proponer a quien preside el Comité de Transparencia, personal habilitado que sea necesario para recibir y dar trámite a las solicitudes de acceso a la información;</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IX. Llevar un registro de las solicitudes de acceso a la información, sus respuestas, resultados, costos de reproducción y envío, resolución a los recursos de revisión que se hayan emitido en contra de sus respuestas y del cumplimiento de las mismas;</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X. Presentar ante el Comité, el proyecto de clasificación de información;</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XI. Promover e implementar políticas de transparencia proactiva procurando su accesibilidad;</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XII. Fomentar la transparencia y accesibilidad al interior del sujeto obligado;</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XIII. Hacer del conocimiento de la instancia competente la probable responsabilidad por el incumplimiento de las obligaciones previstas en la presente Ley; y</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XIV. Las demás que resulten necesarias para facilitar el acceso a la información y aquellas que se desprenden de la presente Ley y demás disposiciones jurídicas aplicables.</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lastRenderedPageBreak/>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F97EE5" w:rsidRDefault="00F97EE5">
      <w:pPr>
        <w:ind w:left="567" w:right="618"/>
        <w:contextualSpacing/>
        <w:jc w:val="both"/>
        <w:rPr>
          <w:rFonts w:ascii="Palatino Linotype" w:hAnsi="Palatino Linotype"/>
          <w:i/>
          <w:sz w:val="22"/>
          <w:szCs w:val="22"/>
        </w:rPr>
      </w:pPr>
    </w:p>
    <w:p w:rsidR="00F97EE5" w:rsidRDefault="00A25A46">
      <w:pPr>
        <w:ind w:left="851" w:right="901"/>
        <w:jc w:val="both"/>
        <w:rPr>
          <w:rFonts w:ascii="Palatino Linotype" w:hAnsi="Palatino Linotype"/>
          <w:i/>
          <w:sz w:val="22"/>
          <w:szCs w:val="22"/>
        </w:rPr>
      </w:pPr>
      <w:r>
        <w:rPr>
          <w:rFonts w:ascii="Palatino Linotype" w:hAnsi="Palatino Linotype"/>
          <w:b/>
          <w:i/>
          <w:sz w:val="22"/>
          <w:szCs w:val="22"/>
        </w:rPr>
        <w:t>Artículo 59</w:t>
      </w:r>
      <w:r>
        <w:rPr>
          <w:rFonts w:ascii="Palatino Linotype" w:hAnsi="Palatino Linotype"/>
          <w:i/>
          <w:sz w:val="22"/>
          <w:szCs w:val="22"/>
        </w:rPr>
        <w:t>. Los servidores públicos habilitados tendrán las funciones siguientes:</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I. Localizar la información que le solicite la Unidad de Transparencia;</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II. Proporcionar la información que obre en los archivos y que le sea solicitada por la Unidad de Transparencia;</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III. Apoyar a la Unidad de Transparencia en lo que esta le solicite para el cumplimiento de sus funciones;</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IV. Proporcionar a la Unidad de Transparencia, las modificaciones a la información pública de oficio que obre en su poder;</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V. Integrar y presentar al responsable de la Unidad de Transparencia la propuesta de clasificación de información, la cual tendrá los fundamentos y argumentos en que se basa dicha propuesta;</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VI. Verificar, una vez analizado el contenido de la información, que no se encuentre en los supuestos de información clasificada; y</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VII. Dar cuenta a la Unidad de Transparencia del vencimiento de los plazos de reserva.</w:t>
      </w:r>
    </w:p>
    <w:p w:rsidR="00F97EE5" w:rsidRDefault="00F97EE5">
      <w:pPr>
        <w:ind w:left="567" w:right="618"/>
        <w:contextualSpacing/>
        <w:jc w:val="both"/>
        <w:rPr>
          <w:rFonts w:ascii="Palatino Linotype" w:hAnsi="Palatino Linotype"/>
          <w:i/>
          <w:sz w:val="22"/>
          <w:szCs w:val="22"/>
        </w:rPr>
      </w:pPr>
    </w:p>
    <w:p w:rsidR="00F97EE5" w:rsidRDefault="00A25A46">
      <w:pPr>
        <w:ind w:left="851" w:right="901"/>
        <w:jc w:val="both"/>
        <w:rPr>
          <w:rFonts w:ascii="Palatino Linotype" w:hAnsi="Palatino Linotype"/>
          <w:i/>
          <w:sz w:val="22"/>
          <w:szCs w:val="22"/>
        </w:rPr>
      </w:pPr>
      <w:r>
        <w:rPr>
          <w:rFonts w:ascii="Palatino Linotype" w:hAnsi="Palatino Linotype"/>
          <w:b/>
          <w:i/>
          <w:sz w:val="22"/>
          <w:szCs w:val="22"/>
        </w:rPr>
        <w:t>Artículo 162</w:t>
      </w:r>
      <w:r>
        <w:rPr>
          <w:rFonts w:ascii="Palatino Linotype" w:hAnsi="Palatino Linotype"/>
          <w:i/>
          <w:sz w:val="22"/>
          <w:szCs w:val="22"/>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F97EE5" w:rsidRDefault="00A25A46">
      <w:pPr>
        <w:ind w:left="851" w:right="901"/>
        <w:jc w:val="both"/>
        <w:rPr>
          <w:rFonts w:ascii="Palatino Linotype" w:hAnsi="Palatino Linotype"/>
          <w:i/>
          <w:sz w:val="22"/>
          <w:szCs w:val="22"/>
        </w:rPr>
      </w:pPr>
      <w:r>
        <w:rPr>
          <w:rFonts w:ascii="Palatino Linotype" w:hAnsi="Palatino Linotype"/>
          <w:i/>
          <w:sz w:val="22"/>
          <w:szCs w:val="22"/>
        </w:rPr>
        <w:t>(Énfasis añadido)</w:t>
      </w:r>
    </w:p>
    <w:p w:rsidR="00F97EE5" w:rsidRDefault="00F97EE5">
      <w:pPr>
        <w:jc w:val="both"/>
        <w:rPr>
          <w:rFonts w:ascii="Palatino Linotype" w:hAnsi="Palatino Linotype" w:cs="Arial"/>
        </w:rPr>
      </w:pPr>
    </w:p>
    <w:p w:rsidR="00F97EE5" w:rsidRDefault="00A25A46">
      <w:pPr>
        <w:spacing w:line="360" w:lineRule="auto"/>
        <w:jc w:val="both"/>
        <w:rPr>
          <w:rFonts w:ascii="Palatino Linotype" w:eastAsia="Calibri" w:hAnsi="Palatino Linotype"/>
        </w:rPr>
      </w:pPr>
      <w:r>
        <w:rPr>
          <w:rFonts w:ascii="Palatino Linotype" w:eastAsia="Calibri" w:hAnsi="Palatino Linotype"/>
        </w:rPr>
        <w:t xml:space="preserve">De la normatividad en cita, se desprende que las Unidades de Transparencia, se erigen como el área responsable en cada Sujeto Obligado que tiene a su cargo la atención de </w:t>
      </w:r>
      <w:r>
        <w:rPr>
          <w:rFonts w:ascii="Palatino Linotype" w:eastAsia="Calibri" w:hAnsi="Palatino Linotype"/>
        </w:rPr>
        <w:lastRenderedPageBreak/>
        <w:t xml:space="preserve">las solicitudes de información que se realicen al amparo de la Ley. El responsable de dicha área funge como enlace entre </w:t>
      </w:r>
      <w:r>
        <w:rPr>
          <w:rFonts w:ascii="Palatino Linotype" w:eastAsia="Calibri" w:hAnsi="Palatino Linotype"/>
          <w:b/>
        </w:rPr>
        <w:t>EL SUJETO OBLIGADO</w:t>
      </w:r>
      <w:r>
        <w:rPr>
          <w:rFonts w:ascii="Palatino Linotype" w:eastAsia="Calibri" w:hAnsi="Palatino Linotype"/>
        </w:rPr>
        <w:t xml:space="preserve"> y los solicitantes, y tiene bajo su responsabilidad el tramitar internamente la solicitud de información.</w:t>
      </w:r>
    </w:p>
    <w:p w:rsidR="00F97EE5" w:rsidRDefault="00F97EE5">
      <w:pPr>
        <w:spacing w:line="360" w:lineRule="auto"/>
        <w:ind w:left="426"/>
        <w:jc w:val="both"/>
        <w:rPr>
          <w:rFonts w:ascii="Palatino Linotype" w:eastAsia="Calibri" w:hAnsi="Palatino Linotype"/>
        </w:rPr>
      </w:pPr>
    </w:p>
    <w:p w:rsidR="00F97EE5" w:rsidRDefault="00A25A46">
      <w:pPr>
        <w:spacing w:line="360" w:lineRule="auto"/>
        <w:jc w:val="both"/>
        <w:rPr>
          <w:rFonts w:ascii="Palatino Linotype" w:eastAsia="Calibri" w:hAnsi="Palatino Linotype"/>
        </w:rPr>
      </w:pPr>
      <w:r>
        <w:rPr>
          <w:rFonts w:ascii="Palatino Linotype" w:eastAsia="Calibri" w:hAnsi="Palatino Linotype"/>
        </w:rPr>
        <w:t xml:space="preserve">De tal manera que, si bien, el Titular de la Unidad de Transparencia no tiene bajo su resguardo el archivo que contiene la documentación en donde consta la información solicitada, sino que pudiera obrar en las distintas áreas que conforman la estructura del </w:t>
      </w:r>
      <w:r>
        <w:rPr>
          <w:rFonts w:ascii="Palatino Linotype" w:eastAsia="Calibri" w:hAnsi="Palatino Linotype"/>
          <w:b/>
        </w:rPr>
        <w:t xml:space="preserve">SUJETO OBLIGADO; </w:t>
      </w:r>
      <w:r>
        <w:rPr>
          <w:rFonts w:ascii="Palatino Linotype" w:eastAsia="Calibri" w:hAnsi="Palatino Linotype"/>
        </w:rPr>
        <w:t xml:space="preserve">es por ello que, debe turnar la solicitud a </w:t>
      </w:r>
      <w:r>
        <w:rPr>
          <w:rFonts w:ascii="Palatino Linotype" w:hAnsi="Palatino Linotype" w:cs="Arial"/>
        </w:rPr>
        <w:t xml:space="preserve">todas las áreas que </w:t>
      </w:r>
      <w:r>
        <w:rPr>
          <w:rFonts w:ascii="Palatino Linotype" w:eastAsia="Calibri" w:hAnsi="Palatino Linotype"/>
        </w:rPr>
        <w:t>pudieran generar, administrar o poseer la información requerida por la particular; pues tienen como función, buscar, localizar y poseer la información, así como entregarla.</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eastAsia="Calibri" w:hAnsi="Palatino Linotype"/>
        </w:rPr>
      </w:pPr>
      <w:r>
        <w:rPr>
          <w:rFonts w:ascii="Palatino Linotype" w:eastAsia="Calibri" w:hAnsi="Palatino Linotype"/>
        </w:rPr>
        <w:t xml:space="preserve">Es así que, le corresponde al Titular de la Unidad de Transparencia el garantizar que las solicitudes se turnen a las áreas competentes que puedan contar con la información, con el objeto de que se realice una búsqueda exhaustiva y razonable de la misma. </w:t>
      </w:r>
    </w:p>
    <w:p w:rsidR="00F97EE5" w:rsidRDefault="00F97EE5">
      <w:pPr>
        <w:spacing w:line="360" w:lineRule="auto"/>
        <w:rPr>
          <w:rFonts w:ascii="Palatino Linotype" w:hAnsi="Palatino Linotype"/>
        </w:rPr>
      </w:pPr>
    </w:p>
    <w:p w:rsidR="00F97EE5" w:rsidRDefault="00A25A46">
      <w:pPr>
        <w:spacing w:line="360" w:lineRule="auto"/>
        <w:jc w:val="both"/>
        <w:rPr>
          <w:rFonts w:ascii="Palatino Linotype" w:hAnsi="Palatino Linotype" w:cs="Arial"/>
        </w:rPr>
      </w:pPr>
      <w:r>
        <w:rPr>
          <w:rFonts w:ascii="Palatino Linotype" w:eastAsia="Calibri" w:hAnsi="Palatino Linotype"/>
          <w:lang w:val="es-ES"/>
        </w:rPr>
        <w:t xml:space="preserve">Por lo anterior, </w:t>
      </w:r>
      <w:r>
        <w:rPr>
          <w:rFonts w:ascii="Palatino Linotype" w:hAnsi="Palatino Linotype" w:cs="Arial"/>
          <w:lang w:eastAsia="es-MX"/>
        </w:rPr>
        <w:t>e</w:t>
      </w:r>
      <w:r>
        <w:rPr>
          <w:rFonts w:ascii="Palatino Linotype" w:hAnsi="Palatino Linotype" w:cs="Arial"/>
        </w:rPr>
        <w:t>s de destacar que de las documentales que integran el expediente electrónico no se advierte que el Titular de la Unidad de Transparencia haya turnado la solicitud de manera enunciativa más no limitativa a la Unidad de Enseñanza, Investigación y Calidad, la cual conforme al Manual General de Organización del Instituto de Salud del Estado de México</w:t>
      </w:r>
      <w:r>
        <w:rPr>
          <w:rStyle w:val="Ancladenotaalpie"/>
          <w:rFonts w:ascii="Palatino Linotype" w:hAnsi="Palatino Linotype" w:cs="Arial"/>
        </w:rPr>
        <w:footnoteReference w:id="1"/>
      </w:r>
      <w:r>
        <w:rPr>
          <w:rFonts w:ascii="Palatino Linotype" w:hAnsi="Palatino Linotype" w:cs="Arial"/>
        </w:rPr>
        <w:t xml:space="preserve">, la cual tiene como objetivo diseñar y establecer procesos de enseñanza, capacitación y desarrollo del personal, de formación de recursos humanos para la salud, de gestión de la calidad en los servicios de salud, </w:t>
      </w:r>
      <w:r>
        <w:rPr>
          <w:rFonts w:ascii="Palatino Linotype" w:hAnsi="Palatino Linotype" w:cs="Arial"/>
        </w:rPr>
        <w:lastRenderedPageBreak/>
        <w:t>fomentando la investigación y difusión del conocimiento en la materia; asimismo, tiene entre sus funciones el adecuar y vigilar el cumplimiento de la normatividad en materia de capacitación, desarrollo y formación de recursos humanos para la salud.</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En consecuencia, este Órgano Garante determina ordenar al </w:t>
      </w:r>
      <w:r>
        <w:rPr>
          <w:rFonts w:ascii="Palatino Linotype" w:hAnsi="Palatino Linotype"/>
          <w:b/>
          <w:color w:val="222222"/>
          <w:lang w:eastAsia="es-MX"/>
        </w:rPr>
        <w:t xml:space="preserve">SUJETO OBLIGADO </w:t>
      </w:r>
      <w:r>
        <w:rPr>
          <w:rFonts w:ascii="Palatino Linotype" w:hAnsi="Palatino Linotype"/>
          <w:color w:val="222222"/>
          <w:lang w:eastAsia="es-MX"/>
        </w:rPr>
        <w:t>previa</w:t>
      </w:r>
      <w:r>
        <w:rPr>
          <w:rFonts w:ascii="Palatino Linotype" w:hAnsi="Palatino Linotype"/>
          <w:b/>
          <w:color w:val="222222"/>
          <w:lang w:eastAsia="es-MX"/>
        </w:rPr>
        <w:t xml:space="preserve"> </w:t>
      </w:r>
      <w:r>
        <w:rPr>
          <w:rFonts w:ascii="Palatino Linotype" w:hAnsi="Palatino Linotype"/>
          <w:color w:val="222222"/>
          <w:lang w:eastAsia="es-MX"/>
        </w:rPr>
        <w:t xml:space="preserve">búsqueda exhaustiva y razonable haga entrega de ser procedente en </w:t>
      </w:r>
      <w:r>
        <w:rPr>
          <w:rFonts w:ascii="Palatino Linotype" w:hAnsi="Palatino Linotype"/>
          <w:b/>
          <w:color w:val="222222"/>
          <w:lang w:eastAsia="es-MX"/>
        </w:rPr>
        <w:t xml:space="preserve">versión pública </w:t>
      </w:r>
      <w:r>
        <w:rPr>
          <w:rFonts w:ascii="Palatino Linotype" w:hAnsi="Palatino Linotype"/>
          <w:color w:val="222222"/>
          <w:lang w:eastAsia="es-MX"/>
        </w:rPr>
        <w:t xml:space="preserve">el o los documentos donde se adviertan las fotografías o evidencias </w:t>
      </w:r>
      <w:r>
        <w:rPr>
          <w:rFonts w:ascii="Palatino Linotype" w:hAnsi="Palatino Linotype"/>
          <w:color w:val="222222"/>
          <w:lang w:val="es-ES" w:eastAsia="es-MX"/>
        </w:rPr>
        <w:t xml:space="preserve">de las convenciones, cursos y demás reuniones de trabajo, realizadas del uno de enero de dos mil diecisiete al diez de febrero de dos mil veinte, fecha en que fue presentada la solicitud. </w:t>
      </w:r>
    </w:p>
    <w:p w:rsidR="00F97EE5" w:rsidRDefault="00F97EE5">
      <w:pPr>
        <w:spacing w:line="360" w:lineRule="auto"/>
        <w:jc w:val="both"/>
        <w:rPr>
          <w:rFonts w:ascii="Palatino Linotype" w:hAnsi="Palatino Linotype"/>
          <w:color w:val="222222"/>
          <w:lang w:eastAsia="es-MX"/>
        </w:rPr>
      </w:pPr>
    </w:p>
    <w:p w:rsidR="00F97EE5" w:rsidRDefault="00A25A46">
      <w:pPr>
        <w:spacing w:line="360" w:lineRule="auto"/>
        <w:jc w:val="both"/>
        <w:rPr>
          <w:rFonts w:ascii="Palatino Linotype" w:eastAsia="Calibri" w:hAnsi="Palatino Linotype" w:cs="Arial"/>
          <w:lang w:val="es-ES"/>
        </w:rPr>
      </w:pPr>
      <w:r>
        <w:rPr>
          <w:rFonts w:ascii="Palatino Linotype" w:hAnsi="Palatino Linotype"/>
          <w:color w:val="222222"/>
          <w:lang w:eastAsia="es-MX"/>
        </w:rPr>
        <w:t xml:space="preserve">Derivado de lo anterior, </w:t>
      </w:r>
      <w:r>
        <w:rPr>
          <w:rFonts w:ascii="Palatino Linotype" w:hAnsi="Palatino Linotype" w:cs="Arial"/>
          <w:lang w:val="es-ES"/>
        </w:rPr>
        <w:t xml:space="preserve">es importante traer a contexto, lo estipulado en los numerales 86 y 147 de la </w:t>
      </w:r>
      <w:r>
        <w:rPr>
          <w:rFonts w:ascii="Palatino Linotype" w:eastAsia="Calibri" w:hAnsi="Palatino Linotype" w:cs="Arial"/>
          <w:lang w:val="es-ES"/>
        </w:rPr>
        <w:t xml:space="preserve">Ley de Transparencia y Acceso a la Información Pública del Estado de México y Municipios; y numeral 68 </w:t>
      </w:r>
      <w:r>
        <w:rPr>
          <w:rFonts w:ascii="Palatino Linotype" w:hAnsi="Palatino Linotype" w:cs="Arial"/>
          <w:lang w:val="es-ES"/>
        </w:rPr>
        <w:t>de la Ley General de Transparencia y Acceso a la Información Pública</w:t>
      </w:r>
      <w:r>
        <w:rPr>
          <w:rFonts w:ascii="Palatino Linotype" w:eastAsia="Calibri" w:hAnsi="Palatino Linotype" w:cs="Arial"/>
          <w:lang w:val="es-ES"/>
        </w:rPr>
        <w:t>:</w:t>
      </w:r>
    </w:p>
    <w:p w:rsidR="00F97EE5" w:rsidRDefault="00F97EE5">
      <w:pPr>
        <w:jc w:val="both"/>
        <w:rPr>
          <w:rFonts w:ascii="Palatino Linotype" w:eastAsia="Calibri" w:hAnsi="Palatino Linotype" w:cs="Arial"/>
          <w:lang w:val="es-ES"/>
        </w:rPr>
      </w:pPr>
    </w:p>
    <w:p w:rsidR="00F97EE5" w:rsidRDefault="00A25A46">
      <w:pPr>
        <w:ind w:left="851" w:right="902"/>
        <w:jc w:val="center"/>
        <w:rPr>
          <w:rFonts w:ascii="Palatino Linotype" w:hAnsi="Palatino Linotype" w:cs="Arial"/>
          <w:b/>
          <w:bCs/>
          <w:i/>
          <w:sz w:val="22"/>
          <w:szCs w:val="22"/>
          <w:lang w:val="es-ES"/>
        </w:rPr>
      </w:pPr>
      <w:r>
        <w:rPr>
          <w:rFonts w:ascii="Palatino Linotype" w:hAnsi="Palatino Linotype" w:cs="Arial"/>
          <w:b/>
          <w:bCs/>
          <w:i/>
          <w:lang w:val="es-ES"/>
        </w:rPr>
        <w:t>“</w:t>
      </w:r>
      <w:r>
        <w:rPr>
          <w:rFonts w:ascii="Palatino Linotype" w:hAnsi="Palatino Linotype" w:cs="Arial"/>
          <w:b/>
          <w:bCs/>
          <w:i/>
          <w:sz w:val="22"/>
          <w:szCs w:val="22"/>
          <w:lang w:val="es-ES"/>
        </w:rPr>
        <w:t>Ley de Transparencia y Acceso a la Información Pública del Estado de México y Municipios</w:t>
      </w:r>
    </w:p>
    <w:p w:rsidR="00F97EE5" w:rsidRDefault="00A25A46">
      <w:pPr>
        <w:ind w:left="851" w:right="902"/>
        <w:jc w:val="both"/>
        <w:rPr>
          <w:rFonts w:ascii="Palatino Linotype" w:hAnsi="Palatino Linotype" w:cs="Arial"/>
          <w:i/>
          <w:sz w:val="22"/>
          <w:szCs w:val="22"/>
          <w:lang w:val="es-ES"/>
        </w:rPr>
      </w:pPr>
      <w:r>
        <w:rPr>
          <w:rFonts w:ascii="Palatino Linotype" w:hAnsi="Palatino Linotype" w:cs="Arial"/>
          <w:b/>
          <w:i/>
          <w:sz w:val="22"/>
          <w:szCs w:val="22"/>
          <w:lang w:val="es-ES"/>
        </w:rPr>
        <w:t xml:space="preserve">Artículo 86. </w:t>
      </w:r>
      <w:r>
        <w:rPr>
          <w:rFonts w:ascii="Palatino Linotype" w:hAnsi="Palatino Linotype" w:cs="Arial"/>
          <w:i/>
          <w:sz w:val="22"/>
          <w:szCs w:val="22"/>
          <w:lang w:val="es-ES"/>
        </w:rPr>
        <w:t>Los sujetos obligados serán responsables de los datos personales en su posesión.</w:t>
      </w:r>
    </w:p>
    <w:p w:rsidR="00F97EE5" w:rsidRDefault="00A25A46">
      <w:pPr>
        <w:ind w:left="851" w:right="902"/>
        <w:jc w:val="both"/>
        <w:rPr>
          <w:rFonts w:ascii="Palatino Linotype" w:hAnsi="Palatino Linotype" w:cs="Arial"/>
          <w:i/>
          <w:sz w:val="22"/>
          <w:szCs w:val="22"/>
          <w:lang w:val="es-ES"/>
        </w:rPr>
      </w:pPr>
      <w:r>
        <w:rPr>
          <w:rFonts w:ascii="Palatino Linotype" w:hAnsi="Palatino Linotype" w:cs="Arial"/>
          <w:b/>
          <w:i/>
          <w:sz w:val="22"/>
          <w:szCs w:val="22"/>
          <w:u w:val="single"/>
          <w:lang w:val="es-ES"/>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w:t>
      </w:r>
      <w:r>
        <w:rPr>
          <w:rFonts w:ascii="Palatino Linotype" w:hAnsi="Palatino Linotype" w:cs="Arial"/>
          <w:i/>
          <w:sz w:val="22"/>
          <w:szCs w:val="22"/>
          <w:lang w:val="es-ES"/>
        </w:rPr>
        <w:t xml:space="preserve"> Lo anterior, sin perjuicio a lo establecido por esta Ley en los casos de interés público.</w:t>
      </w:r>
    </w:p>
    <w:p w:rsidR="00F97EE5" w:rsidRDefault="00A25A46">
      <w:pPr>
        <w:ind w:left="851" w:right="902"/>
        <w:jc w:val="both"/>
        <w:rPr>
          <w:rFonts w:ascii="Palatino Linotype" w:hAnsi="Palatino Linotype" w:cs="Arial"/>
          <w:b/>
          <w:i/>
          <w:sz w:val="22"/>
          <w:szCs w:val="22"/>
          <w:u w:val="single"/>
          <w:lang w:val="es-ES"/>
        </w:rPr>
      </w:pPr>
      <w:r>
        <w:rPr>
          <w:rFonts w:ascii="Palatino Linotype" w:hAnsi="Palatino Linotype" w:cs="Arial"/>
          <w:b/>
          <w:i/>
          <w:sz w:val="22"/>
          <w:szCs w:val="22"/>
          <w:lang w:val="es-ES"/>
        </w:rPr>
        <w:lastRenderedPageBreak/>
        <w:t>Artículo 147</w:t>
      </w:r>
      <w:r>
        <w:rPr>
          <w:rFonts w:ascii="Palatino Linotype" w:hAnsi="Palatino Linotype" w:cs="Arial"/>
          <w:i/>
          <w:sz w:val="22"/>
          <w:szCs w:val="22"/>
          <w:lang w:val="es-ES"/>
        </w:rPr>
        <w:t xml:space="preserve">. Para que los </w:t>
      </w:r>
      <w:r>
        <w:rPr>
          <w:rFonts w:ascii="Palatino Linotype" w:hAnsi="Palatino Linotype" w:cs="Arial"/>
          <w:b/>
          <w:i/>
          <w:sz w:val="22"/>
          <w:szCs w:val="22"/>
          <w:u w:val="single"/>
          <w:lang w:val="es-ES"/>
        </w:rPr>
        <w:t>sujetos obligados puedan permitir el acceso a información confidencial requieren obtener el consentimiento de los particulares titulares de la información.</w:t>
      </w:r>
    </w:p>
    <w:p w:rsidR="00F97EE5" w:rsidRDefault="00F97EE5">
      <w:pPr>
        <w:ind w:left="851" w:right="902"/>
        <w:jc w:val="both"/>
        <w:rPr>
          <w:rFonts w:ascii="Palatino Linotype" w:hAnsi="Palatino Linotype" w:cs="Arial"/>
          <w:b/>
          <w:bCs/>
          <w:i/>
          <w:sz w:val="22"/>
          <w:szCs w:val="22"/>
          <w:lang w:val="es-ES"/>
        </w:rPr>
      </w:pPr>
    </w:p>
    <w:p w:rsidR="00F97EE5" w:rsidRDefault="00A25A46">
      <w:pPr>
        <w:ind w:left="851" w:right="902"/>
        <w:jc w:val="center"/>
        <w:rPr>
          <w:rFonts w:ascii="Palatino Linotype" w:hAnsi="Palatino Linotype" w:cs="Arial"/>
          <w:b/>
          <w:bCs/>
          <w:i/>
          <w:sz w:val="22"/>
          <w:szCs w:val="22"/>
          <w:lang w:val="es-ES"/>
        </w:rPr>
      </w:pPr>
      <w:r>
        <w:rPr>
          <w:rFonts w:ascii="Palatino Linotype" w:hAnsi="Palatino Linotype" w:cs="Arial"/>
          <w:b/>
          <w:bCs/>
          <w:i/>
          <w:sz w:val="22"/>
          <w:szCs w:val="22"/>
          <w:lang w:val="es-ES"/>
        </w:rPr>
        <w:t>Ley General de Transparencia y Acceso a la Información Pública</w:t>
      </w:r>
    </w:p>
    <w:p w:rsidR="00F97EE5" w:rsidRDefault="00A25A46">
      <w:pPr>
        <w:ind w:left="851" w:right="902"/>
        <w:jc w:val="both"/>
        <w:rPr>
          <w:rFonts w:ascii="Palatino Linotype" w:hAnsi="Palatino Linotype"/>
          <w:i/>
          <w:sz w:val="22"/>
          <w:szCs w:val="22"/>
          <w:lang w:val="es-ES"/>
        </w:rPr>
      </w:pPr>
      <w:r>
        <w:rPr>
          <w:rFonts w:ascii="Palatino Linotype" w:hAnsi="Palatino Linotype"/>
          <w:b/>
          <w:i/>
          <w:sz w:val="22"/>
          <w:szCs w:val="22"/>
          <w:lang w:val="es-ES"/>
        </w:rPr>
        <w:t>Artículo 68</w:t>
      </w:r>
      <w:r>
        <w:rPr>
          <w:rFonts w:ascii="Palatino Linotype" w:hAnsi="Palatino Linotype"/>
          <w:i/>
          <w:sz w:val="22"/>
          <w:szCs w:val="22"/>
          <w:lang w:val="es-ES"/>
        </w:rPr>
        <w:t>. Los sujetos obligados serán responsables de los datos personales en su posesión y, en relación con éstos, deberán:</w:t>
      </w:r>
    </w:p>
    <w:p w:rsidR="00F97EE5" w:rsidRDefault="00A25A46">
      <w:pPr>
        <w:numPr>
          <w:ilvl w:val="0"/>
          <w:numId w:val="3"/>
        </w:numPr>
        <w:ind w:right="902"/>
        <w:contextualSpacing/>
        <w:jc w:val="both"/>
        <w:rPr>
          <w:rFonts w:ascii="Palatino Linotype" w:hAnsi="Palatino Linotype"/>
          <w:i/>
          <w:sz w:val="22"/>
          <w:szCs w:val="22"/>
          <w:lang w:val="es-ES"/>
        </w:rPr>
      </w:pPr>
      <w:r>
        <w:rPr>
          <w:rFonts w:ascii="Palatino Linotype" w:hAnsi="Palatino Linotype"/>
          <w:i/>
          <w:sz w:val="22"/>
          <w:szCs w:val="22"/>
          <w:lang w:val="es-ES"/>
        </w:rPr>
        <w:t>Adoptar los procedimientos adecuados para recibir y responder las solicitudes de acceso, rectificación, corrección y oposición al tratamiento de datos, en los casos que sea procedente, así como capacitar a los Servidores Públicos y dar a conocer información sobre sus políticas en relación con la protección de tales datos, de conformidad con la normatividad aplicable;</w:t>
      </w:r>
    </w:p>
    <w:p w:rsidR="00F97EE5" w:rsidRDefault="00A25A46">
      <w:pPr>
        <w:numPr>
          <w:ilvl w:val="0"/>
          <w:numId w:val="3"/>
        </w:numPr>
        <w:ind w:right="902"/>
        <w:contextualSpacing/>
        <w:jc w:val="both"/>
        <w:rPr>
          <w:rFonts w:ascii="Palatino Linotype" w:hAnsi="Palatino Linotype"/>
          <w:i/>
          <w:sz w:val="22"/>
          <w:szCs w:val="22"/>
          <w:lang w:val="es-ES"/>
        </w:rPr>
      </w:pPr>
      <w:r>
        <w:rPr>
          <w:rFonts w:ascii="Palatino Linotype" w:hAnsi="Palatino Linotype"/>
          <w:i/>
          <w:sz w:val="22"/>
          <w:szCs w:val="22"/>
          <w:lang w:val="es-ES"/>
        </w:rPr>
        <w:t>Tratar datos personales sólo cuando éstos sean adecuados, pertinentes y no excesivos en relación con los propósitos para los cuales se hayan obtenido o dicho tratamiento se haga en ejercicio de las atribuciones conferidas por ley;</w:t>
      </w:r>
    </w:p>
    <w:p w:rsidR="00F97EE5" w:rsidRDefault="00A25A46">
      <w:pPr>
        <w:numPr>
          <w:ilvl w:val="0"/>
          <w:numId w:val="3"/>
        </w:numPr>
        <w:ind w:right="902"/>
        <w:contextualSpacing/>
        <w:jc w:val="both"/>
        <w:rPr>
          <w:rFonts w:ascii="Palatino Linotype" w:hAnsi="Palatino Linotype"/>
          <w:i/>
          <w:sz w:val="22"/>
          <w:szCs w:val="22"/>
          <w:lang w:val="es-ES"/>
        </w:rPr>
      </w:pPr>
      <w:r>
        <w:rPr>
          <w:rFonts w:ascii="Palatino Linotype" w:hAnsi="Palatino Linotype"/>
          <w:i/>
          <w:sz w:val="22"/>
          <w:szCs w:val="22"/>
          <w:lang w:val="es-ES"/>
        </w:rPr>
        <w:t>Poner a disposición de los individuos, a partir del momento en el cual se recaben datos personales, el documento en el que se establezcan los propósitos para su tratamiento, en términos de la normatividad aplicable, excepto en casos en que el tratamiento de los datos se haga en ejercicio de las atribuciones conferidas por ley;</w:t>
      </w:r>
    </w:p>
    <w:p w:rsidR="00F97EE5" w:rsidRDefault="00A25A46">
      <w:pPr>
        <w:numPr>
          <w:ilvl w:val="0"/>
          <w:numId w:val="3"/>
        </w:numPr>
        <w:ind w:right="902"/>
        <w:contextualSpacing/>
        <w:jc w:val="both"/>
        <w:rPr>
          <w:rFonts w:ascii="Palatino Linotype" w:hAnsi="Palatino Linotype"/>
          <w:i/>
          <w:sz w:val="22"/>
          <w:szCs w:val="22"/>
          <w:lang w:val="es-ES"/>
        </w:rPr>
      </w:pPr>
      <w:r>
        <w:rPr>
          <w:rFonts w:ascii="Palatino Linotype" w:hAnsi="Palatino Linotype"/>
          <w:i/>
          <w:sz w:val="22"/>
          <w:szCs w:val="22"/>
          <w:lang w:val="es-ES"/>
        </w:rPr>
        <w:t>Procurar que los datos personales sean exactos y actualizados;</w:t>
      </w:r>
    </w:p>
    <w:p w:rsidR="00F97EE5" w:rsidRDefault="00A25A46">
      <w:pPr>
        <w:numPr>
          <w:ilvl w:val="0"/>
          <w:numId w:val="3"/>
        </w:numPr>
        <w:ind w:right="902"/>
        <w:contextualSpacing/>
        <w:jc w:val="both"/>
        <w:rPr>
          <w:rFonts w:ascii="Palatino Linotype" w:hAnsi="Palatino Linotype"/>
          <w:i/>
          <w:sz w:val="22"/>
          <w:szCs w:val="22"/>
          <w:lang w:val="es-ES"/>
        </w:rPr>
      </w:pPr>
      <w:r>
        <w:rPr>
          <w:rFonts w:ascii="Palatino Linotype" w:hAnsi="Palatino Linotype"/>
          <w:i/>
          <w:sz w:val="22"/>
          <w:szCs w:val="22"/>
          <w:lang w:val="es-ES"/>
        </w:rPr>
        <w:t>Sustituir, rectificar o completar, de oficio, los datos personales que fueren inexactos, ya sea total o parcialmente, o incompletos, en el momento en que tengan conocimiento de esta situación, y</w:t>
      </w:r>
    </w:p>
    <w:p w:rsidR="00F97EE5" w:rsidRDefault="00A25A46">
      <w:pPr>
        <w:numPr>
          <w:ilvl w:val="0"/>
          <w:numId w:val="3"/>
        </w:numPr>
        <w:ind w:right="902"/>
        <w:contextualSpacing/>
        <w:jc w:val="both"/>
        <w:rPr>
          <w:rFonts w:ascii="Palatino Linotype" w:hAnsi="Palatino Linotype"/>
          <w:i/>
          <w:sz w:val="22"/>
          <w:szCs w:val="22"/>
          <w:lang w:val="es-ES"/>
        </w:rPr>
      </w:pPr>
      <w:r>
        <w:rPr>
          <w:rFonts w:ascii="Palatino Linotype" w:hAnsi="Palatino Linotype"/>
          <w:i/>
          <w:sz w:val="22"/>
          <w:szCs w:val="22"/>
          <w:lang w:val="es-ES"/>
        </w:rPr>
        <w:t>Adoptar las medidas necesarias que garanticen la seguridad de los datos personales y eviten su alteración, pérdida, transmisión y acceso no autorizado.</w:t>
      </w:r>
    </w:p>
    <w:p w:rsidR="00F97EE5" w:rsidRDefault="00A25A46">
      <w:pPr>
        <w:numPr>
          <w:ilvl w:val="0"/>
          <w:numId w:val="3"/>
        </w:numPr>
        <w:ind w:right="902"/>
        <w:contextualSpacing/>
        <w:jc w:val="both"/>
        <w:rPr>
          <w:rFonts w:ascii="Palatino Linotype" w:hAnsi="Palatino Linotype"/>
          <w:i/>
          <w:sz w:val="22"/>
          <w:szCs w:val="22"/>
          <w:lang w:val="es-ES"/>
        </w:rPr>
      </w:pPr>
      <w:r>
        <w:rPr>
          <w:rFonts w:ascii="Palatino Linotype" w:hAnsi="Palatino Linotype"/>
          <w:b/>
          <w:i/>
          <w:sz w:val="22"/>
          <w:szCs w:val="22"/>
          <w:u w:val="single"/>
          <w:lang w:val="es-ES"/>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los individuos a que haga referencia la información de acuerdo a la normatividad aplicable. Lo anterior, sin perjuicio a lo establecido por el artículo 120 de esta Le</w:t>
      </w:r>
      <w:r>
        <w:rPr>
          <w:rFonts w:ascii="Palatino Linotype" w:hAnsi="Palatino Linotype"/>
          <w:b/>
          <w:i/>
          <w:sz w:val="22"/>
          <w:szCs w:val="22"/>
          <w:lang w:val="es-ES"/>
        </w:rPr>
        <w:t>y</w:t>
      </w:r>
      <w:r>
        <w:rPr>
          <w:rFonts w:ascii="Palatino Linotype" w:hAnsi="Palatino Linotype"/>
          <w:i/>
          <w:sz w:val="22"/>
          <w:szCs w:val="22"/>
          <w:lang w:val="es-ES"/>
        </w:rPr>
        <w:t>.” (sic)</w:t>
      </w:r>
    </w:p>
    <w:p w:rsidR="00F97EE5" w:rsidRDefault="00F97EE5">
      <w:pPr>
        <w:ind w:right="902"/>
        <w:jc w:val="both"/>
        <w:rPr>
          <w:rFonts w:ascii="Palatino Linotype" w:hAnsi="Palatino Linotype"/>
          <w:i/>
          <w:sz w:val="22"/>
          <w:szCs w:val="22"/>
          <w:lang w:val="es-ES"/>
        </w:rPr>
      </w:pPr>
    </w:p>
    <w:p w:rsidR="00F97EE5" w:rsidRDefault="00A25A46">
      <w:pPr>
        <w:spacing w:line="360" w:lineRule="auto"/>
        <w:ind w:right="49"/>
        <w:jc w:val="both"/>
        <w:rPr>
          <w:rFonts w:ascii="Palatino Linotype" w:hAnsi="Palatino Linotype" w:cs="Arial"/>
          <w:lang w:val="es-ES"/>
        </w:rPr>
      </w:pPr>
      <w:r>
        <w:rPr>
          <w:rFonts w:ascii="Palatino Linotype" w:hAnsi="Palatino Linotype" w:cs="Arial"/>
          <w:lang w:val="es-ES"/>
        </w:rPr>
        <w:t xml:space="preserve">De lo expuesto, se obtiene que los Sujetos Obligados por Ley están impedidos para difundir, distribuir o comercializar los datos personales contenidos en los sistemas de </w:t>
      </w:r>
      <w:r>
        <w:rPr>
          <w:rFonts w:ascii="Palatino Linotype" w:hAnsi="Palatino Linotype" w:cs="Arial"/>
          <w:lang w:val="es-ES"/>
        </w:rPr>
        <w:lastRenderedPageBreak/>
        <w:t>información, desarrollados en el ejercicio de sus funciones, salvo que haya mediado el consentimiento expreso, por escrito o por un medio de autenticación similar, de los individuos a que haga referencia la información de acuerdo a la normatividad aplicable.</w:t>
      </w:r>
    </w:p>
    <w:p w:rsidR="00F97EE5" w:rsidRDefault="00F97EE5">
      <w:pPr>
        <w:spacing w:line="360" w:lineRule="auto"/>
        <w:ind w:right="49"/>
        <w:jc w:val="both"/>
        <w:rPr>
          <w:rFonts w:ascii="Palatino Linotype" w:hAnsi="Palatino Linotype" w:cs="Arial"/>
          <w:lang w:val="es-ES"/>
        </w:rPr>
      </w:pPr>
    </w:p>
    <w:p w:rsidR="00F97EE5" w:rsidRDefault="00A25A46">
      <w:pPr>
        <w:spacing w:line="360" w:lineRule="auto"/>
        <w:ind w:right="49"/>
        <w:jc w:val="both"/>
        <w:rPr>
          <w:rFonts w:ascii="Palatino Linotype" w:hAnsi="Palatino Linotype" w:cs="Arial"/>
          <w:lang w:val="es-ES"/>
        </w:rPr>
      </w:pPr>
      <w:r>
        <w:rPr>
          <w:rFonts w:ascii="Palatino Linotype" w:hAnsi="Palatino Linotype" w:cs="Arial"/>
          <w:lang w:val="es-ES"/>
        </w:rPr>
        <w:t>En ese mismo tenor, resulta factible citar el contenido de lo establecido en la Ley de Protección de Datos Personales en Posesión de Sujetos Obligados del Estado de México y Municipios, en relación al consentimiento, y que se insertan a continuación:</w:t>
      </w:r>
    </w:p>
    <w:p w:rsidR="00F97EE5" w:rsidRDefault="00F97EE5">
      <w:pPr>
        <w:ind w:right="49"/>
        <w:jc w:val="both"/>
        <w:rPr>
          <w:rFonts w:ascii="Palatino Linotype" w:hAnsi="Palatino Linotype" w:cs="Arial"/>
          <w:lang w:val="es-ES"/>
        </w:rPr>
      </w:pPr>
    </w:p>
    <w:p w:rsidR="00F97EE5" w:rsidRDefault="00A25A46">
      <w:pPr>
        <w:ind w:left="851" w:right="902"/>
        <w:jc w:val="both"/>
        <w:rPr>
          <w:rFonts w:ascii="Palatino Linotype" w:hAnsi="Palatino Linotype"/>
          <w:i/>
          <w:sz w:val="22"/>
          <w:szCs w:val="22"/>
          <w:lang w:val="es-ES"/>
        </w:rPr>
      </w:pPr>
      <w:r>
        <w:rPr>
          <w:rFonts w:ascii="Palatino Linotype" w:hAnsi="Palatino Linotype"/>
          <w:i/>
          <w:sz w:val="22"/>
          <w:szCs w:val="22"/>
          <w:lang w:val="es-ES"/>
        </w:rPr>
        <w:t>“</w:t>
      </w:r>
      <w:r>
        <w:rPr>
          <w:rFonts w:ascii="Palatino Linotype" w:hAnsi="Palatino Linotype"/>
          <w:b/>
          <w:i/>
          <w:sz w:val="22"/>
          <w:szCs w:val="22"/>
          <w:lang w:val="es-ES"/>
        </w:rPr>
        <w:t xml:space="preserve">Artículo 4. </w:t>
      </w:r>
      <w:r>
        <w:rPr>
          <w:rFonts w:ascii="Palatino Linotype" w:hAnsi="Palatino Linotype"/>
          <w:i/>
          <w:sz w:val="22"/>
          <w:szCs w:val="22"/>
          <w:lang w:val="es-ES"/>
        </w:rPr>
        <w:t xml:space="preserve">Para los efectos de esta Ley se entenderá por: </w:t>
      </w:r>
    </w:p>
    <w:p w:rsidR="00F97EE5" w:rsidRDefault="00A25A46">
      <w:pPr>
        <w:ind w:left="851" w:right="902"/>
        <w:jc w:val="both"/>
        <w:rPr>
          <w:rFonts w:ascii="Palatino Linotype" w:hAnsi="Palatino Linotype" w:cs="Arial"/>
          <w:i/>
          <w:sz w:val="22"/>
          <w:szCs w:val="22"/>
          <w:lang w:val="es-ES"/>
        </w:rPr>
      </w:pPr>
      <w:r>
        <w:rPr>
          <w:rFonts w:ascii="Palatino Linotype" w:hAnsi="Palatino Linotype" w:cs="Arial"/>
          <w:i/>
          <w:sz w:val="22"/>
          <w:szCs w:val="22"/>
          <w:lang w:val="es-ES"/>
        </w:rPr>
        <w:t>…</w:t>
      </w:r>
    </w:p>
    <w:p w:rsidR="00F97EE5" w:rsidRDefault="00A25A46">
      <w:pPr>
        <w:ind w:left="851" w:right="902"/>
        <w:jc w:val="both"/>
        <w:rPr>
          <w:rFonts w:ascii="Palatino Linotype" w:hAnsi="Palatino Linotype" w:cs="Arial"/>
          <w:b/>
          <w:i/>
          <w:sz w:val="22"/>
          <w:szCs w:val="22"/>
          <w:u w:val="single"/>
          <w:lang w:val="es-ES"/>
        </w:rPr>
      </w:pPr>
      <w:r>
        <w:rPr>
          <w:rFonts w:ascii="Palatino Linotype" w:hAnsi="Palatino Linotype" w:cs="Arial"/>
          <w:i/>
          <w:sz w:val="22"/>
          <w:szCs w:val="22"/>
          <w:lang w:val="es-ES"/>
        </w:rPr>
        <w:t>X.</w:t>
      </w:r>
      <w:r>
        <w:rPr>
          <w:rFonts w:ascii="Palatino Linotype" w:hAnsi="Palatino Linotype" w:cs="Arial"/>
          <w:i/>
          <w:sz w:val="22"/>
          <w:szCs w:val="22"/>
          <w:lang w:val="es-ES"/>
        </w:rPr>
        <w:tab/>
      </w:r>
      <w:r>
        <w:rPr>
          <w:rFonts w:ascii="Palatino Linotype" w:hAnsi="Palatino Linotype" w:cs="Arial"/>
          <w:b/>
          <w:i/>
          <w:sz w:val="22"/>
          <w:szCs w:val="22"/>
          <w:u w:val="single"/>
          <w:lang w:val="es-ES"/>
        </w:rPr>
        <w:t xml:space="preserve">Consentimiento: a la manifestación de la voluntad libre, específica, informada e inequívoca de la o el titular de los datos personales para aceptar el tratamiento de su información. </w:t>
      </w:r>
    </w:p>
    <w:p w:rsidR="00F97EE5" w:rsidRDefault="00A25A46">
      <w:pPr>
        <w:ind w:left="851" w:right="902"/>
        <w:jc w:val="both"/>
        <w:rPr>
          <w:rFonts w:ascii="Palatino Linotype" w:hAnsi="Palatino Linotype"/>
          <w:i/>
          <w:sz w:val="22"/>
          <w:szCs w:val="22"/>
          <w:lang w:val="es-ES"/>
        </w:rPr>
      </w:pPr>
      <w:r>
        <w:rPr>
          <w:rFonts w:ascii="Palatino Linotype" w:hAnsi="Palatino Linotype"/>
          <w:b/>
          <w:i/>
          <w:sz w:val="22"/>
          <w:szCs w:val="22"/>
          <w:lang w:val="es-ES"/>
        </w:rPr>
        <w:t>Artículo 18.</w:t>
      </w:r>
      <w:r>
        <w:rPr>
          <w:rFonts w:ascii="Palatino Linotype" w:hAnsi="Palatino Linotype"/>
          <w:i/>
          <w:sz w:val="22"/>
          <w:szCs w:val="22"/>
          <w:lang w:val="es-ES"/>
        </w:rPr>
        <w:t xml:space="preserve"> El </w:t>
      </w:r>
      <w:r>
        <w:rPr>
          <w:rFonts w:ascii="Palatino Linotype" w:hAnsi="Palatino Linotype"/>
          <w:b/>
          <w:i/>
          <w:sz w:val="22"/>
          <w:szCs w:val="22"/>
          <w:u w:val="single"/>
          <w:lang w:val="es-ES"/>
        </w:rPr>
        <w:t>tratamiento de datos personales en posesión de los sujetos obligados contará con el consentimiento de su titular previo al tratamiento</w:t>
      </w:r>
      <w:r>
        <w:rPr>
          <w:rFonts w:ascii="Palatino Linotype" w:hAnsi="Palatino Linotype"/>
          <w:i/>
          <w:sz w:val="22"/>
          <w:szCs w:val="22"/>
          <w:lang w:val="es-ES"/>
        </w:rPr>
        <w:t xml:space="preserve">, salvo los supuestos de excepción previstos en la presente Ley y demás disposiciones legales aplicables. </w:t>
      </w:r>
    </w:p>
    <w:p w:rsidR="00F97EE5" w:rsidRDefault="00A25A46">
      <w:pPr>
        <w:ind w:left="851" w:right="902"/>
        <w:jc w:val="both"/>
        <w:rPr>
          <w:rFonts w:ascii="Palatino Linotype" w:hAnsi="Palatino Linotype"/>
          <w:i/>
          <w:sz w:val="22"/>
          <w:szCs w:val="22"/>
          <w:lang w:val="es-ES"/>
        </w:rPr>
      </w:pPr>
      <w:r>
        <w:rPr>
          <w:rFonts w:ascii="Palatino Linotype" w:hAnsi="Palatino Linotype"/>
          <w:i/>
          <w:sz w:val="22"/>
          <w:szCs w:val="22"/>
          <w:lang w:val="es-ES"/>
        </w:rPr>
        <w:t xml:space="preserve">El responsable demostrará que la o el titular consintió el tratamiento de sus datos personales. </w:t>
      </w:r>
    </w:p>
    <w:p w:rsidR="00F97EE5" w:rsidRDefault="00A25A46">
      <w:pPr>
        <w:ind w:left="851" w:right="899"/>
        <w:jc w:val="both"/>
        <w:rPr>
          <w:rFonts w:ascii="Palatino Linotype" w:hAnsi="Palatino Linotype"/>
          <w:i/>
          <w:sz w:val="22"/>
          <w:szCs w:val="22"/>
          <w:lang w:val="es-ES"/>
        </w:rPr>
      </w:pPr>
      <w:r>
        <w:rPr>
          <w:rFonts w:ascii="Palatino Linotype" w:hAnsi="Palatino Linotype"/>
          <w:i/>
          <w:sz w:val="22"/>
          <w:szCs w:val="22"/>
          <w:lang w:val="es-ES"/>
        </w:rPr>
        <w:t xml:space="preserve">El consentimiento será revocado en cualquier momento sin que se le atribuyan efectos retroactivos, en los términos previstos en la Ley. Para revocar el consentimiento, el responsable deberá realizar la indicación respectiva en el aviso de privacidad. </w:t>
      </w:r>
    </w:p>
    <w:p w:rsidR="00F97EE5" w:rsidRDefault="00A25A46">
      <w:pPr>
        <w:ind w:left="851" w:right="902"/>
        <w:jc w:val="both"/>
        <w:rPr>
          <w:rFonts w:ascii="Palatino Linotype" w:hAnsi="Palatino Linotype"/>
          <w:i/>
          <w:sz w:val="22"/>
          <w:szCs w:val="22"/>
          <w:lang w:val="es-ES"/>
        </w:rPr>
      </w:pPr>
      <w:r>
        <w:rPr>
          <w:rFonts w:ascii="Palatino Linotype" w:hAnsi="Palatino Linotype"/>
          <w:i/>
          <w:sz w:val="22"/>
          <w:szCs w:val="22"/>
          <w:lang w:val="es-ES"/>
        </w:rPr>
        <w:t xml:space="preserve">Elementos del consentimiento </w:t>
      </w:r>
    </w:p>
    <w:p w:rsidR="00F97EE5" w:rsidRDefault="00A25A46">
      <w:pPr>
        <w:ind w:left="851" w:right="902"/>
        <w:jc w:val="both"/>
        <w:rPr>
          <w:rFonts w:ascii="Palatino Linotype" w:hAnsi="Palatino Linotype"/>
          <w:i/>
          <w:sz w:val="22"/>
          <w:szCs w:val="22"/>
          <w:lang w:val="es-ES"/>
        </w:rPr>
      </w:pPr>
      <w:r>
        <w:rPr>
          <w:rFonts w:ascii="Palatino Linotype" w:hAnsi="Palatino Linotype"/>
          <w:b/>
          <w:i/>
          <w:sz w:val="22"/>
          <w:szCs w:val="22"/>
          <w:lang w:val="es-ES"/>
        </w:rPr>
        <w:t>Artículo 19.</w:t>
      </w:r>
      <w:r>
        <w:rPr>
          <w:rFonts w:ascii="Palatino Linotype" w:hAnsi="Palatino Linotype"/>
          <w:i/>
          <w:sz w:val="22"/>
          <w:szCs w:val="22"/>
          <w:lang w:val="es-ES"/>
        </w:rPr>
        <w:t xml:space="preserve"> El consentimiento de la o el titular para el tratamiento de sus datos personales se otorgará de forma: </w:t>
      </w:r>
    </w:p>
    <w:p w:rsidR="00F97EE5" w:rsidRDefault="00A25A46">
      <w:pPr>
        <w:numPr>
          <w:ilvl w:val="0"/>
          <w:numId w:val="4"/>
        </w:numPr>
        <w:ind w:right="902"/>
        <w:contextualSpacing/>
        <w:jc w:val="both"/>
        <w:rPr>
          <w:rFonts w:ascii="Palatino Linotype" w:hAnsi="Palatino Linotype"/>
          <w:i/>
          <w:sz w:val="22"/>
          <w:szCs w:val="22"/>
          <w:lang w:val="es-ES"/>
        </w:rPr>
      </w:pPr>
      <w:r>
        <w:rPr>
          <w:rFonts w:ascii="Palatino Linotype" w:hAnsi="Palatino Linotype"/>
          <w:b/>
          <w:i/>
          <w:sz w:val="22"/>
          <w:szCs w:val="22"/>
          <w:lang w:val="es-ES"/>
        </w:rPr>
        <w:t>Libre:</w:t>
      </w:r>
      <w:r>
        <w:rPr>
          <w:rFonts w:ascii="Palatino Linotype" w:hAnsi="Palatino Linotype"/>
          <w:i/>
          <w:sz w:val="22"/>
          <w:szCs w:val="22"/>
          <w:lang w:val="es-ES"/>
        </w:rPr>
        <w:t xml:space="preserve"> sin que medie error, mala fe, violencia o dolo que puedan afectar la manifestación de voluntad del titular, </w:t>
      </w:r>
    </w:p>
    <w:p w:rsidR="00F97EE5" w:rsidRDefault="00A25A46">
      <w:pPr>
        <w:numPr>
          <w:ilvl w:val="0"/>
          <w:numId w:val="4"/>
        </w:numPr>
        <w:ind w:right="902"/>
        <w:contextualSpacing/>
        <w:jc w:val="both"/>
        <w:rPr>
          <w:rFonts w:ascii="Palatino Linotype" w:hAnsi="Palatino Linotype"/>
          <w:i/>
          <w:sz w:val="22"/>
          <w:szCs w:val="22"/>
          <w:lang w:val="es-ES"/>
        </w:rPr>
      </w:pPr>
      <w:r>
        <w:rPr>
          <w:rFonts w:ascii="Palatino Linotype" w:hAnsi="Palatino Linotype"/>
          <w:b/>
          <w:i/>
          <w:sz w:val="22"/>
          <w:szCs w:val="22"/>
          <w:lang w:val="es-ES"/>
        </w:rPr>
        <w:t>Específica:</w:t>
      </w:r>
      <w:r>
        <w:rPr>
          <w:rFonts w:ascii="Palatino Linotype" w:hAnsi="Palatino Linotype"/>
          <w:i/>
          <w:sz w:val="22"/>
          <w:szCs w:val="22"/>
          <w:lang w:val="es-ES"/>
        </w:rPr>
        <w:t xml:space="preserve"> refiere la finalidad concreta, lícita, explícita y legítima que justifique el tratamiento. </w:t>
      </w:r>
    </w:p>
    <w:p w:rsidR="00F97EE5" w:rsidRDefault="00A25A46">
      <w:pPr>
        <w:numPr>
          <w:ilvl w:val="0"/>
          <w:numId w:val="4"/>
        </w:numPr>
        <w:ind w:right="902"/>
        <w:contextualSpacing/>
        <w:jc w:val="both"/>
        <w:rPr>
          <w:rFonts w:ascii="Palatino Linotype" w:hAnsi="Palatino Linotype"/>
          <w:i/>
          <w:sz w:val="22"/>
          <w:szCs w:val="22"/>
          <w:lang w:val="es-ES"/>
        </w:rPr>
      </w:pPr>
      <w:r>
        <w:rPr>
          <w:rFonts w:ascii="Palatino Linotype" w:hAnsi="Palatino Linotype"/>
          <w:b/>
          <w:i/>
          <w:sz w:val="22"/>
          <w:szCs w:val="22"/>
          <w:lang w:val="es-ES"/>
        </w:rPr>
        <w:t>Informada:</w:t>
      </w:r>
      <w:r>
        <w:rPr>
          <w:rFonts w:ascii="Palatino Linotype" w:hAnsi="Palatino Linotype"/>
          <w:i/>
          <w:sz w:val="22"/>
          <w:szCs w:val="22"/>
          <w:lang w:val="es-ES"/>
        </w:rPr>
        <w:t xml:space="preserve"> la o el titular tendrá conocimiento del aviso de privacidad previo al tratamiento a que serán sometidos sus datos personales. </w:t>
      </w:r>
    </w:p>
    <w:p w:rsidR="00F97EE5" w:rsidRDefault="00A25A46">
      <w:pPr>
        <w:numPr>
          <w:ilvl w:val="0"/>
          <w:numId w:val="4"/>
        </w:numPr>
        <w:ind w:right="902"/>
        <w:contextualSpacing/>
        <w:jc w:val="both"/>
        <w:rPr>
          <w:rFonts w:ascii="Palatino Linotype" w:hAnsi="Palatino Linotype"/>
          <w:i/>
          <w:sz w:val="22"/>
          <w:szCs w:val="22"/>
          <w:lang w:val="es-ES"/>
        </w:rPr>
      </w:pPr>
      <w:r>
        <w:rPr>
          <w:rFonts w:ascii="Palatino Linotype" w:hAnsi="Palatino Linotype"/>
          <w:b/>
          <w:i/>
          <w:sz w:val="22"/>
          <w:szCs w:val="22"/>
          <w:lang w:val="es-ES"/>
        </w:rPr>
        <w:t>Inequívoca:</w:t>
      </w:r>
      <w:r>
        <w:rPr>
          <w:rFonts w:ascii="Palatino Linotype" w:hAnsi="Palatino Linotype"/>
          <w:i/>
          <w:sz w:val="22"/>
          <w:szCs w:val="22"/>
          <w:lang w:val="es-ES"/>
        </w:rPr>
        <w:t xml:space="preserve"> no admite duda o equivocación. </w:t>
      </w:r>
    </w:p>
    <w:p w:rsidR="00F97EE5" w:rsidRDefault="00A25A46">
      <w:pPr>
        <w:ind w:left="851" w:right="902"/>
        <w:jc w:val="both"/>
        <w:rPr>
          <w:rFonts w:ascii="Palatino Linotype" w:hAnsi="Palatino Linotype"/>
          <w:i/>
          <w:sz w:val="22"/>
          <w:szCs w:val="22"/>
          <w:lang w:val="es-ES"/>
        </w:rPr>
      </w:pPr>
      <w:r>
        <w:rPr>
          <w:rFonts w:ascii="Palatino Linotype" w:hAnsi="Palatino Linotype"/>
          <w:i/>
          <w:sz w:val="22"/>
          <w:szCs w:val="22"/>
          <w:lang w:val="es-ES"/>
        </w:rPr>
        <w:lastRenderedPageBreak/>
        <w:t xml:space="preserve"> En la obtención del consentimiento de menores de edad o de personas que se encuentren en estado de interdicción o incapacidad declarada conforme a Ley, se estará a lo dispuesto por el Código Civil del Estado de México. </w:t>
      </w:r>
    </w:p>
    <w:p w:rsidR="00F97EE5" w:rsidRDefault="00A25A46">
      <w:pPr>
        <w:ind w:left="851" w:right="899"/>
        <w:jc w:val="both"/>
        <w:rPr>
          <w:rFonts w:ascii="Palatino Linotype" w:hAnsi="Palatino Linotype"/>
          <w:i/>
          <w:sz w:val="22"/>
          <w:szCs w:val="22"/>
          <w:lang w:val="es-ES"/>
        </w:rPr>
      </w:pPr>
      <w:r>
        <w:rPr>
          <w:rFonts w:ascii="Palatino Linotype" w:hAnsi="Palatino Linotype"/>
          <w:b/>
          <w:i/>
          <w:sz w:val="22"/>
          <w:szCs w:val="22"/>
          <w:lang w:val="es-ES"/>
        </w:rPr>
        <w:t xml:space="preserve"> </w:t>
      </w:r>
      <w:r>
        <w:rPr>
          <w:rFonts w:ascii="Palatino Linotype" w:hAnsi="Palatino Linotype"/>
          <w:i/>
          <w:sz w:val="22"/>
          <w:szCs w:val="22"/>
          <w:lang w:val="es-ES"/>
        </w:rPr>
        <w:t xml:space="preserve">Tipos de consentimiento </w:t>
      </w:r>
    </w:p>
    <w:p w:rsidR="00F97EE5" w:rsidRDefault="00A25A46">
      <w:pPr>
        <w:ind w:left="851" w:right="902"/>
        <w:jc w:val="both"/>
        <w:rPr>
          <w:rFonts w:ascii="Palatino Linotype" w:hAnsi="Palatino Linotype"/>
          <w:i/>
          <w:sz w:val="22"/>
          <w:szCs w:val="22"/>
          <w:lang w:val="es-ES"/>
        </w:rPr>
      </w:pPr>
      <w:r>
        <w:rPr>
          <w:rFonts w:ascii="Palatino Linotype" w:hAnsi="Palatino Linotype"/>
          <w:b/>
          <w:i/>
          <w:sz w:val="22"/>
          <w:szCs w:val="22"/>
          <w:lang w:val="es-ES"/>
        </w:rPr>
        <w:t>Artículo 20.</w:t>
      </w:r>
      <w:r>
        <w:rPr>
          <w:rFonts w:ascii="Palatino Linotype" w:hAnsi="Palatino Linotype"/>
          <w:i/>
          <w:sz w:val="22"/>
          <w:szCs w:val="22"/>
          <w:lang w:val="es-ES"/>
        </w:rPr>
        <w:t xml:space="preserve"> El consentimiento podrá manifestarse de forma expresa o tácita.  </w:t>
      </w:r>
    </w:p>
    <w:p w:rsidR="00F97EE5" w:rsidRDefault="00A25A46">
      <w:pPr>
        <w:ind w:left="851" w:right="899"/>
        <w:jc w:val="both"/>
        <w:rPr>
          <w:rFonts w:ascii="Palatino Linotype" w:hAnsi="Palatino Linotype"/>
          <w:b/>
          <w:i/>
          <w:sz w:val="22"/>
          <w:szCs w:val="22"/>
          <w:u w:val="single"/>
          <w:lang w:val="es-ES"/>
        </w:rPr>
      </w:pPr>
      <w:r>
        <w:rPr>
          <w:rFonts w:ascii="Palatino Linotype" w:hAnsi="Palatino Linotype"/>
          <w:i/>
          <w:sz w:val="22"/>
          <w:szCs w:val="22"/>
          <w:lang w:val="es-ES"/>
        </w:rPr>
        <w:t xml:space="preserve"> </w:t>
      </w:r>
      <w:r>
        <w:rPr>
          <w:rFonts w:ascii="Palatino Linotype" w:hAnsi="Palatino Linotype"/>
          <w:b/>
          <w:i/>
          <w:sz w:val="22"/>
          <w:szCs w:val="22"/>
          <w:u w:val="single"/>
          <w:lang w:val="es-ES"/>
        </w:rPr>
        <w:t xml:space="preserve">El consentimiento será tácito cuando habiéndose puesto a disposición de la o el titular el aviso de privacidad, éste no manifieste su voluntad en sentido contrario. </w:t>
      </w:r>
    </w:p>
    <w:p w:rsidR="00F97EE5" w:rsidRDefault="00A25A46">
      <w:pPr>
        <w:ind w:left="851" w:right="902"/>
        <w:jc w:val="both"/>
        <w:rPr>
          <w:rFonts w:ascii="Palatino Linotype" w:hAnsi="Palatino Linotype"/>
          <w:i/>
          <w:sz w:val="22"/>
          <w:szCs w:val="22"/>
          <w:lang w:val="es-ES"/>
        </w:rPr>
      </w:pPr>
      <w:r>
        <w:rPr>
          <w:rFonts w:ascii="Palatino Linotype" w:hAnsi="Palatino Linotype"/>
          <w:i/>
          <w:sz w:val="22"/>
          <w:szCs w:val="22"/>
          <w:lang w:val="es-ES"/>
        </w:rPr>
        <w:t xml:space="preserve">Por regla general será válido el consentimiento tácito, salvo que la Ley o las disposiciones legales aplicables exijan que la voluntad del titular se manifieste expresamente. </w:t>
      </w:r>
    </w:p>
    <w:p w:rsidR="00F97EE5" w:rsidRDefault="00A25A46">
      <w:pPr>
        <w:ind w:left="851" w:right="902"/>
        <w:jc w:val="both"/>
        <w:rPr>
          <w:rFonts w:ascii="Palatino Linotype" w:hAnsi="Palatino Linotype"/>
          <w:i/>
          <w:sz w:val="22"/>
          <w:szCs w:val="22"/>
          <w:lang w:val="es-ES"/>
        </w:rPr>
      </w:pPr>
      <w:r>
        <w:rPr>
          <w:rFonts w:ascii="Palatino Linotype" w:hAnsi="Palatino Linotype"/>
          <w:i/>
          <w:sz w:val="22"/>
          <w:szCs w:val="22"/>
          <w:lang w:val="es-ES"/>
        </w:rPr>
        <w:t xml:space="preserve">El consentimiento será expreso cuando la voluntad de la o el titular 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rsidR="00F97EE5" w:rsidRDefault="00A25A46">
      <w:pPr>
        <w:ind w:left="851" w:right="902"/>
        <w:jc w:val="both"/>
        <w:rPr>
          <w:rFonts w:ascii="Palatino Linotype" w:hAnsi="Palatino Linotype"/>
          <w:i/>
          <w:sz w:val="22"/>
          <w:szCs w:val="22"/>
          <w:lang w:val="es-ES"/>
        </w:rPr>
      </w:pPr>
      <w:r>
        <w:rPr>
          <w:rFonts w:ascii="Palatino Linotype" w:hAnsi="Palatino Linotype"/>
          <w:i/>
          <w:sz w:val="22"/>
          <w:szCs w:val="22"/>
          <w:lang w:val="es-ES"/>
        </w:rPr>
        <w:t>El responsable obtendrá el consentimiento expreso y por escrito de la o el titular para su tratamiento, a través de su firma autógrafa, firma electrónica, o cualquier mecanismo de autenticación que al efecto se establezca, salvo en los casos previstos en esta Ley.”</w:t>
      </w:r>
    </w:p>
    <w:p w:rsidR="00F97EE5" w:rsidRDefault="00F97EE5">
      <w:pPr>
        <w:ind w:left="851" w:right="902"/>
        <w:jc w:val="both"/>
        <w:rPr>
          <w:rFonts w:ascii="Palatino Linotype" w:hAnsi="Palatino Linotype"/>
          <w:i/>
          <w:sz w:val="22"/>
          <w:szCs w:val="22"/>
          <w:lang w:val="es-ES"/>
        </w:rPr>
      </w:pPr>
    </w:p>
    <w:p w:rsidR="00F97EE5" w:rsidRDefault="00A25A46">
      <w:pPr>
        <w:spacing w:line="360" w:lineRule="auto"/>
        <w:ind w:right="51"/>
        <w:jc w:val="both"/>
        <w:rPr>
          <w:rFonts w:ascii="Palatino Linotype" w:hAnsi="Palatino Linotype" w:cs="Arial"/>
          <w:lang w:val="es-ES"/>
        </w:rPr>
      </w:pPr>
      <w:r>
        <w:rPr>
          <w:rFonts w:ascii="Palatino Linotype" w:hAnsi="Palatino Linotype" w:cs="Arial"/>
          <w:lang w:val="es-ES"/>
        </w:rPr>
        <w:t xml:space="preserve">De lo transcrito se obtiene que consentimiento es la manifestación de la voluntad libre, específica, informada e inequívoca de la o el titular de los datos personales para aceptar el tratamiento de su información, y que el tratamiento de datos personales en posesión de los sujetos obligados contará con el consentimiento de su titular previo al tratamiento, salvo los supuestos de excepción previstos en la presente Ley y demás disposiciones legales aplicables, aunado a que le impone a los Sujeto Obligados demostrar que la o el titular consintió el tratamiento de sus datos personales, y que éste podrá manifestarse de forma expresa o tácita; que será tácito cuando habiéndose puesto a disposición de la o el titular el aviso de privacidad, éste no manifieste su voluntad en sentido contrario, y que será expreso cuando la voluntad de la o el titular </w:t>
      </w:r>
      <w:r>
        <w:rPr>
          <w:rFonts w:ascii="Palatino Linotype" w:hAnsi="Palatino Linotype" w:cs="Arial"/>
          <w:lang w:val="es-ES"/>
        </w:rPr>
        <w:lastRenderedPageBreak/>
        <w:t xml:space="preserve">se manifieste verbalmente, por escrito, por medios electrónicos, ópticos, signos inequívocos o por cualquier otra tecnología, de acuerdo con la naturaleza del tratamiento, cuando así lo requiera una ley o los datos sean tratados para finalidades distintas. Cuando el tratamiento sea de datos personales sensibles, el consentimiento será expreso y por escrito. </w:t>
      </w:r>
    </w:p>
    <w:p w:rsidR="00F97EE5" w:rsidRDefault="00F97EE5">
      <w:pPr>
        <w:spacing w:line="360" w:lineRule="auto"/>
        <w:ind w:right="51"/>
        <w:jc w:val="both"/>
        <w:rPr>
          <w:rFonts w:ascii="Palatino Linotype" w:hAnsi="Palatino Linotype" w:cs="Arial"/>
          <w:lang w:val="es-ES"/>
        </w:rPr>
      </w:pPr>
    </w:p>
    <w:p w:rsidR="00F97EE5" w:rsidRDefault="00A25A46">
      <w:pPr>
        <w:spacing w:line="360" w:lineRule="auto"/>
        <w:ind w:right="51"/>
        <w:jc w:val="both"/>
        <w:rPr>
          <w:rFonts w:ascii="Palatino Linotype" w:hAnsi="Palatino Linotype" w:cs="Arial"/>
          <w:lang w:val="es-ES"/>
        </w:rPr>
      </w:pPr>
      <w:r>
        <w:rPr>
          <w:rFonts w:ascii="Palatino Linotype" w:hAnsi="Palatino Linotype" w:cs="Arial"/>
          <w:lang w:val="es-ES"/>
        </w:rPr>
        <w:t>El responsable obtendrá el consentimiento expreso y por escrito del particular para su tratamiento, a través de su firma autógrafa, firma electrónica, o cualquier mecanismo de autenticación que al efecto se establezca, salvo en los casos previstos en esta Ley.</w:t>
      </w:r>
    </w:p>
    <w:p w:rsidR="00F97EE5" w:rsidRDefault="00F97EE5">
      <w:pPr>
        <w:spacing w:line="360" w:lineRule="auto"/>
        <w:ind w:right="51"/>
        <w:jc w:val="both"/>
        <w:rPr>
          <w:rFonts w:ascii="Palatino Linotype" w:hAnsi="Palatino Linotype" w:cs="Arial"/>
          <w:lang w:val="es-ES"/>
        </w:rPr>
      </w:pPr>
    </w:p>
    <w:p w:rsidR="00F97EE5" w:rsidRDefault="00A25A46">
      <w:pPr>
        <w:spacing w:line="360" w:lineRule="auto"/>
        <w:jc w:val="both"/>
        <w:rPr>
          <w:rFonts w:ascii="Palatino Linotype" w:eastAsia="Arial Unicode MS" w:hAnsi="Palatino Linotype" w:cs="Arial"/>
          <w:lang w:val="es-ES"/>
        </w:rPr>
      </w:pPr>
      <w:r>
        <w:rPr>
          <w:rFonts w:ascii="Palatino Linotype" w:hAnsi="Palatino Linotype" w:cs="Arial"/>
          <w:lang w:val="es-ES"/>
        </w:rPr>
        <w:t xml:space="preserve">De lo que se concluye, que </w:t>
      </w:r>
      <w:r>
        <w:rPr>
          <w:rFonts w:ascii="Palatino Linotype" w:hAnsi="Palatino Linotype" w:cs="Arial"/>
          <w:b/>
          <w:lang w:val="es-ES"/>
        </w:rPr>
        <w:t xml:space="preserve">EL SUJETO OBLIGADO </w:t>
      </w:r>
      <w:r>
        <w:rPr>
          <w:rFonts w:ascii="Palatino Linotype" w:hAnsi="Palatino Linotype" w:cs="Arial"/>
          <w:lang w:val="es-ES"/>
        </w:rPr>
        <w:t xml:space="preserve">por disposición de la Ley de Protección de Datos Personales en Posesión de Sujetos Obligados del Estado de México y Municipios, debe de contar con el consentimiento de su titular previo a su tratamiento, aunado a que de conformidad con el artículo 23 de la cita norma, en el que se consagra el principio de información, en el que se refiere que el responsable tendrá la obligación de informar a través del aviso de privacidad de modo expreso, preciso e inequívoco a las y los titulares, la información que se recaba de ellos y con qué fines, la existencia y características principales del tratamiento al que serán sometidos sus datos personales, a fin de que puedan tomar decisiones informadas al respecto; y que cuando resulte imposible dar a conocer a la o el titular el aviso de privacidad, de manera directa o ello exija esfuerzos desproporcionados, el responsable instrumentará medidas compensatorias de comunicación masiva de acuerdo con los criterios que para tal efecto emita el Sistema Nacional, y en el caso en estudio la fotografía constituye </w:t>
      </w:r>
      <w:r>
        <w:rPr>
          <w:rFonts w:ascii="Palatino Linotype" w:eastAsia="Arial Unicode MS" w:hAnsi="Palatino Linotype" w:cs="Arial"/>
          <w:lang w:val="es-ES"/>
        </w:rPr>
        <w:t xml:space="preserve">un dato personal confidencial, en términos de lo dispuesto en el artículo 143, fracción I de la </w:t>
      </w:r>
      <w:r>
        <w:rPr>
          <w:rFonts w:ascii="Palatino Linotype" w:eastAsia="Arial Unicode MS" w:hAnsi="Palatino Linotype" w:cs="Arial"/>
          <w:lang w:val="es-ES"/>
        </w:rPr>
        <w:lastRenderedPageBreak/>
        <w:t xml:space="preserve">Ley de Transparencia y Acceso a la Información Pública del Estado de México y Municipios, así como en el artículo 4, fracciones XI y XII de la Ley de Protección de Datos Personales en Posesión de Sujetos Obligados del Estado de México y Municipios. </w:t>
      </w:r>
    </w:p>
    <w:p w:rsidR="00F97EE5" w:rsidRDefault="00F97EE5">
      <w:pPr>
        <w:jc w:val="both"/>
        <w:rPr>
          <w:rFonts w:ascii="Palatino Linotype" w:eastAsia="Arial Unicode MS" w:hAnsi="Palatino Linotype" w:cs="Arial"/>
          <w:lang w:val="es-ES"/>
        </w:rPr>
      </w:pPr>
    </w:p>
    <w:p w:rsidR="00F97EE5" w:rsidRDefault="00A25A46">
      <w:pPr>
        <w:ind w:left="851" w:right="902"/>
        <w:jc w:val="both"/>
        <w:rPr>
          <w:rFonts w:ascii="Palatino Linotype" w:eastAsia="Arial Unicode MS" w:hAnsi="Palatino Linotype" w:cs="Arial"/>
          <w:i/>
          <w:sz w:val="22"/>
          <w:szCs w:val="22"/>
          <w:lang w:val="es-ES"/>
        </w:rPr>
      </w:pPr>
      <w:r>
        <w:rPr>
          <w:rFonts w:ascii="Palatino Linotype" w:eastAsia="Arial Unicode MS" w:hAnsi="Palatino Linotype" w:cs="Arial"/>
          <w:b/>
          <w:i/>
          <w:sz w:val="22"/>
          <w:szCs w:val="22"/>
          <w:lang w:val="es-ES"/>
        </w:rPr>
        <w:t>“Artículo 143</w:t>
      </w:r>
      <w:r>
        <w:rPr>
          <w:rFonts w:ascii="Palatino Linotype" w:eastAsia="Arial Unicode MS" w:hAnsi="Palatino Linotype" w:cs="Arial"/>
          <w:i/>
          <w:sz w:val="22"/>
          <w:szCs w:val="22"/>
          <w:lang w:val="es-ES"/>
        </w:rPr>
        <w:t>. Para los efectos de esta Ley se considera información confidencial, la clasificada como tal, de manera permanente, por su naturaleza, cuando:</w:t>
      </w:r>
    </w:p>
    <w:p w:rsidR="00F97EE5" w:rsidRDefault="00F97EE5">
      <w:pPr>
        <w:ind w:left="709" w:right="757"/>
        <w:jc w:val="both"/>
        <w:rPr>
          <w:rFonts w:ascii="Palatino Linotype" w:eastAsia="Arial Unicode MS" w:hAnsi="Palatino Linotype" w:cs="Arial"/>
          <w:i/>
          <w:sz w:val="22"/>
          <w:szCs w:val="22"/>
          <w:lang w:val="es-ES"/>
        </w:rPr>
      </w:pPr>
    </w:p>
    <w:p w:rsidR="00F97EE5" w:rsidRDefault="00A25A46">
      <w:pPr>
        <w:ind w:left="851" w:right="902"/>
        <w:jc w:val="both"/>
        <w:rPr>
          <w:rFonts w:ascii="Palatino Linotype" w:eastAsia="Arial Unicode MS" w:hAnsi="Palatino Linotype" w:cs="Arial"/>
          <w:i/>
          <w:sz w:val="22"/>
          <w:szCs w:val="22"/>
          <w:lang w:val="es-ES"/>
        </w:rPr>
      </w:pPr>
      <w:r>
        <w:rPr>
          <w:rFonts w:ascii="Palatino Linotype" w:eastAsia="Arial Unicode MS" w:hAnsi="Palatino Linotype" w:cs="Arial"/>
          <w:i/>
          <w:sz w:val="22"/>
          <w:szCs w:val="22"/>
          <w:lang w:val="es-ES"/>
        </w:rPr>
        <w:t>I. Se refiera a la información privada y los datos personales concernientes a una persona física o jurídico colectiva identificada o identificable;</w:t>
      </w:r>
    </w:p>
    <w:p w:rsidR="00F97EE5" w:rsidRDefault="00A25A46">
      <w:pPr>
        <w:ind w:left="851" w:right="902"/>
        <w:jc w:val="both"/>
        <w:rPr>
          <w:rFonts w:ascii="Palatino Linotype" w:eastAsia="Arial Unicode MS" w:hAnsi="Palatino Linotype" w:cs="Arial"/>
          <w:i/>
          <w:sz w:val="22"/>
          <w:szCs w:val="22"/>
          <w:lang w:val="es-ES"/>
        </w:rPr>
      </w:pPr>
      <w:r>
        <w:rPr>
          <w:rFonts w:ascii="Palatino Linotype" w:eastAsia="Arial Unicode MS" w:hAnsi="Palatino Linotype" w:cs="Arial"/>
          <w:i/>
          <w:sz w:val="22"/>
          <w:szCs w:val="22"/>
          <w:lang w:val="es-ES"/>
        </w:rPr>
        <w:t>…</w:t>
      </w:r>
    </w:p>
    <w:p w:rsidR="00F97EE5" w:rsidRDefault="00F97EE5">
      <w:pPr>
        <w:ind w:left="709" w:right="757"/>
        <w:jc w:val="both"/>
        <w:rPr>
          <w:rFonts w:ascii="Palatino Linotype" w:eastAsia="Arial Unicode MS" w:hAnsi="Palatino Linotype" w:cs="Arial"/>
          <w:i/>
          <w:sz w:val="22"/>
          <w:szCs w:val="22"/>
          <w:lang w:val="es-ES"/>
        </w:rPr>
      </w:pPr>
    </w:p>
    <w:p w:rsidR="00F97EE5" w:rsidRDefault="00A25A46">
      <w:pPr>
        <w:ind w:left="851" w:right="902"/>
        <w:jc w:val="both"/>
        <w:rPr>
          <w:rFonts w:ascii="Palatino Linotype" w:eastAsia="Arial Unicode MS" w:hAnsi="Palatino Linotype" w:cs="Arial"/>
          <w:i/>
          <w:sz w:val="22"/>
          <w:szCs w:val="22"/>
          <w:lang w:val="es-ES"/>
        </w:rPr>
      </w:pPr>
      <w:r>
        <w:rPr>
          <w:rFonts w:ascii="Palatino Linotype" w:eastAsia="Arial Unicode MS" w:hAnsi="Palatino Linotype" w:cs="Arial"/>
          <w:b/>
          <w:i/>
          <w:sz w:val="22"/>
          <w:szCs w:val="22"/>
          <w:lang w:val="es-ES"/>
        </w:rPr>
        <w:t xml:space="preserve">Artículo 4. </w:t>
      </w:r>
      <w:r>
        <w:rPr>
          <w:rFonts w:ascii="Palatino Linotype" w:eastAsia="Arial Unicode MS" w:hAnsi="Palatino Linotype" w:cs="Arial"/>
          <w:i/>
          <w:sz w:val="22"/>
          <w:szCs w:val="22"/>
          <w:lang w:val="es-ES"/>
        </w:rPr>
        <w:t xml:space="preserve">Para los efectos de esta Ley se entenderá por:  </w:t>
      </w:r>
    </w:p>
    <w:p w:rsidR="00F97EE5" w:rsidRDefault="00A25A46">
      <w:pPr>
        <w:ind w:left="851" w:right="902"/>
        <w:jc w:val="both"/>
        <w:rPr>
          <w:rFonts w:ascii="Palatino Linotype" w:eastAsia="Arial Unicode MS" w:hAnsi="Palatino Linotype" w:cs="Arial"/>
          <w:i/>
          <w:sz w:val="22"/>
          <w:szCs w:val="22"/>
          <w:lang w:val="es-ES"/>
        </w:rPr>
      </w:pPr>
      <w:r>
        <w:rPr>
          <w:rFonts w:ascii="Palatino Linotype" w:eastAsia="Arial Unicode MS" w:hAnsi="Palatino Linotype" w:cs="Arial"/>
          <w:i/>
          <w:sz w:val="22"/>
          <w:szCs w:val="22"/>
          <w:lang w:val="es-ES"/>
        </w:rPr>
        <w:t>…</w:t>
      </w:r>
    </w:p>
    <w:p w:rsidR="00F97EE5" w:rsidRDefault="00F97EE5">
      <w:pPr>
        <w:ind w:left="851" w:right="902"/>
        <w:jc w:val="both"/>
        <w:rPr>
          <w:rFonts w:ascii="Palatino Linotype" w:eastAsia="Arial Unicode MS" w:hAnsi="Palatino Linotype" w:cs="Arial"/>
          <w:i/>
          <w:sz w:val="22"/>
          <w:szCs w:val="22"/>
          <w:lang w:val="es-ES"/>
        </w:rPr>
      </w:pPr>
    </w:p>
    <w:p w:rsidR="00F97EE5" w:rsidRDefault="00A25A46">
      <w:pPr>
        <w:ind w:left="851" w:right="902"/>
        <w:jc w:val="both"/>
        <w:rPr>
          <w:rFonts w:ascii="Palatino Linotype" w:eastAsia="Arial Unicode MS" w:hAnsi="Palatino Linotype" w:cs="Arial"/>
          <w:i/>
          <w:sz w:val="22"/>
          <w:lang w:val="es-ES"/>
        </w:rPr>
      </w:pPr>
      <w:r>
        <w:rPr>
          <w:rFonts w:ascii="Palatino Linotype" w:eastAsia="Arial Unicode MS" w:hAnsi="Palatino Linotype" w:cs="Arial"/>
          <w:b/>
          <w:i/>
          <w:sz w:val="22"/>
          <w:szCs w:val="22"/>
          <w:lang w:val="es-ES"/>
        </w:rPr>
        <w:t>XI. Datos personales:</w:t>
      </w:r>
      <w:r>
        <w:rPr>
          <w:rFonts w:ascii="Palatino Linotype" w:eastAsia="Arial Unicode MS" w:hAnsi="Palatino Linotype" w:cs="Arial"/>
          <w:i/>
          <w:sz w:val="22"/>
          <w:szCs w:val="22"/>
          <w:lang w:val="es-ES"/>
        </w:rPr>
        <w:t xml:space="preserve"> a la información concerniente a una persona física o jurídica colectiva identificada o identificable, establecida en cualquier formato o modalidad, y que esté almacenada en los sistemas y bases de datos, se considerará que una persona es</w:t>
      </w:r>
      <w:r>
        <w:rPr>
          <w:rFonts w:ascii="Palatino Linotype" w:eastAsia="Arial Unicode MS" w:hAnsi="Palatino Linotype" w:cs="Arial"/>
          <w:i/>
          <w:sz w:val="22"/>
          <w:lang w:val="es-ES"/>
        </w:rPr>
        <w:t xml:space="preserve"> identificable cuando su identidad pueda determinarse directa o indirectamente a través de cualquier documento informativo físico o electrónico. </w:t>
      </w:r>
    </w:p>
    <w:p w:rsidR="00F97EE5" w:rsidRDefault="00F97EE5">
      <w:pPr>
        <w:ind w:left="709" w:right="757"/>
        <w:jc w:val="both"/>
        <w:rPr>
          <w:rFonts w:ascii="Palatino Linotype" w:eastAsia="Arial Unicode MS" w:hAnsi="Palatino Linotype" w:cs="Arial"/>
          <w:i/>
          <w:sz w:val="22"/>
          <w:lang w:val="es-ES"/>
        </w:rPr>
      </w:pPr>
    </w:p>
    <w:p w:rsidR="00F97EE5" w:rsidRDefault="00A25A46">
      <w:pPr>
        <w:ind w:left="851" w:right="902"/>
        <w:jc w:val="both"/>
        <w:rPr>
          <w:rFonts w:ascii="Palatino Linotype" w:eastAsia="Arial Unicode MS" w:hAnsi="Palatino Linotype" w:cs="Arial"/>
          <w:i/>
          <w:sz w:val="22"/>
          <w:lang w:val="es-ES"/>
        </w:rPr>
      </w:pPr>
      <w:r>
        <w:rPr>
          <w:rFonts w:ascii="Palatino Linotype" w:eastAsia="Arial Unicode MS" w:hAnsi="Palatino Linotype" w:cs="Arial"/>
          <w:b/>
          <w:i/>
          <w:sz w:val="22"/>
          <w:lang w:val="es-ES"/>
        </w:rPr>
        <w:t>XII. Datos personales sensibles:</w:t>
      </w:r>
      <w:r>
        <w:rPr>
          <w:rFonts w:ascii="Palatino Linotype" w:eastAsia="Arial Unicode MS" w:hAnsi="Palatino Linotype" w:cs="Arial"/>
          <w:i/>
          <w:sz w:val="22"/>
          <w:lang w:val="es-ES"/>
        </w:rPr>
        <w:t xml:space="preserve"> a las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w:t>
      </w:r>
    </w:p>
    <w:p w:rsidR="00F97EE5" w:rsidRDefault="00F97EE5">
      <w:pPr>
        <w:jc w:val="both"/>
        <w:rPr>
          <w:rFonts w:ascii="Palatino Linotype" w:eastAsia="Arial Unicode MS" w:hAnsi="Palatino Linotype" w:cs="Arial"/>
          <w:lang w:val="es-ES"/>
        </w:rPr>
      </w:pPr>
    </w:p>
    <w:p w:rsidR="00F97EE5" w:rsidRDefault="00A25A46">
      <w:pPr>
        <w:spacing w:line="360" w:lineRule="auto"/>
        <w:jc w:val="both"/>
        <w:rPr>
          <w:rFonts w:ascii="Palatino Linotype" w:hAnsi="Palatino Linotype" w:cs="Arial"/>
          <w:lang w:val="es-ES"/>
        </w:rPr>
      </w:pPr>
      <w:r>
        <w:rPr>
          <w:rFonts w:ascii="Palatino Linotype" w:hAnsi="Palatino Linotype" w:cs="Arial"/>
          <w:lang w:val="es-ES"/>
        </w:rPr>
        <w:t xml:space="preserve">Atento a lo anterior, es de señalar que de haberse generado y por lo tanto administrado las </w:t>
      </w:r>
      <w:r>
        <w:rPr>
          <w:rFonts w:ascii="Palatino Linotype" w:hAnsi="Palatino Linotype"/>
          <w:lang w:val="es-ES"/>
        </w:rPr>
        <w:t>fotografías</w:t>
      </w:r>
      <w:r>
        <w:rPr>
          <w:rFonts w:ascii="Palatino Linotype" w:eastAsia="Calibri" w:hAnsi="Palatino Linotype" w:cs="Arial"/>
          <w:lang w:val="es-ES"/>
        </w:rPr>
        <w:t xml:space="preserve"> de una persona en un momento determinado, constituyen la reproducción fiel de las características físicas, por lo que representan un instrumento de identificación, proyección exterior y factor imprescindible para su propio reconocimiento como sujeto individual; asimismo, los Lineamientos sobre medidas de Seguridad aplicables a los Sistemas de Datos Personales que se encuentran en posesión </w:t>
      </w:r>
      <w:r>
        <w:rPr>
          <w:rFonts w:ascii="Palatino Linotype" w:eastAsia="Calibri" w:hAnsi="Palatino Linotype" w:cs="Arial"/>
          <w:lang w:val="es-ES"/>
        </w:rPr>
        <w:lastRenderedPageBreak/>
        <w:t>de los Sujetos Obligados de la Ley de Protección de datos Personales del Estado de México, en el artículo 1, fracción I señala a la fotografía como un dato de identificación, y en la fracción VIII, se establece como datos biométricos, estéticos, la información relativa a rasgos característicos y distintivos de partes físicas o biológicas de la persona que la diferencian de las demás y/o que pueden atribuirse a una persona en particular pues la identifican; en consecuencia, las fotografías constituyen datos personales que requieren el consentimiento de los titulares para su difusión</w:t>
      </w:r>
      <w:r>
        <w:rPr>
          <w:rFonts w:ascii="Palatino Linotype" w:hAnsi="Palatino Linotype" w:cs="Arial"/>
          <w:lang w:val="es-ES"/>
        </w:rPr>
        <w:t xml:space="preserve"> , conforme a los artículos 4, fracción X y 7 de la </w:t>
      </w:r>
      <w:r>
        <w:rPr>
          <w:rFonts w:ascii="Palatino Linotype" w:hAnsi="Palatino Linotype"/>
          <w:lang w:val="es-ES"/>
        </w:rPr>
        <w:t>Ley de Protección de Datos Personales en Posesión de Sujetos Obligados del Estado de México y Municipios</w:t>
      </w:r>
      <w:r>
        <w:rPr>
          <w:rFonts w:ascii="Palatino Linotype" w:hAnsi="Palatino Linotype" w:cs="Arial"/>
          <w:lang w:val="es-ES"/>
        </w:rPr>
        <w:t>.</w:t>
      </w:r>
    </w:p>
    <w:p w:rsidR="00F97EE5" w:rsidRDefault="00F97EE5">
      <w:pPr>
        <w:spacing w:line="360" w:lineRule="auto"/>
        <w:jc w:val="both"/>
        <w:rPr>
          <w:rFonts w:ascii="Palatino Linotype" w:hAnsi="Palatino Linotype" w:cs="Arial"/>
          <w:lang w:val="es-ES"/>
        </w:rPr>
      </w:pPr>
    </w:p>
    <w:p w:rsidR="00F97EE5" w:rsidRDefault="00A25A46">
      <w:pPr>
        <w:spacing w:line="360" w:lineRule="auto"/>
        <w:jc w:val="both"/>
        <w:rPr>
          <w:rFonts w:ascii="Palatino Linotype" w:hAnsi="Palatino Linotype" w:cs="Arial"/>
          <w:lang w:eastAsia="en-US"/>
        </w:rPr>
      </w:pPr>
      <w:r>
        <w:rPr>
          <w:rFonts w:ascii="Palatino Linotype" w:hAnsi="Palatino Linotype" w:cs="Arial"/>
          <w:lang w:val="es-ES"/>
        </w:rPr>
        <w:t>En otros términos, es de destacar que la fotografía consiste en una imagen duradera de un rostro –en el caso de una persona-, por lo que, sin duda refleja y hacen públicos los rasgos físicos de su titular; de ahí que constituya un dato personal</w:t>
      </w:r>
      <w:r>
        <w:rPr>
          <w:rFonts w:ascii="Palatino Linotype" w:hAnsi="Palatino Linotype" w:cs="Arial"/>
          <w:lang w:eastAsia="en-US"/>
        </w:rPr>
        <w:t>.</w:t>
      </w:r>
    </w:p>
    <w:p w:rsidR="00F97EE5" w:rsidRDefault="00F97EE5">
      <w:pPr>
        <w:spacing w:line="360" w:lineRule="auto"/>
        <w:jc w:val="both"/>
        <w:rPr>
          <w:rFonts w:ascii="Palatino Linotype" w:hAnsi="Palatino Linotype" w:cs="Arial"/>
          <w:lang w:eastAsia="en-US"/>
        </w:rPr>
      </w:pPr>
    </w:p>
    <w:p w:rsidR="00F97EE5" w:rsidRDefault="00A25A46">
      <w:pPr>
        <w:spacing w:line="360" w:lineRule="auto"/>
        <w:jc w:val="both"/>
        <w:rPr>
          <w:rFonts w:ascii="Palatino Linotype" w:hAnsi="Palatino Linotype"/>
          <w:lang w:val="es-ES"/>
        </w:rPr>
      </w:pPr>
      <w:r>
        <w:rPr>
          <w:rFonts w:ascii="Palatino Linotype" w:hAnsi="Palatino Linotype" w:cs="Arial"/>
          <w:lang w:eastAsia="en-US"/>
        </w:rPr>
        <w:t xml:space="preserve">Atento a ello, </w:t>
      </w:r>
      <w:r>
        <w:rPr>
          <w:rFonts w:ascii="Palatino Linotype" w:hAnsi="Palatino Linotype" w:cs="Arial"/>
          <w:b/>
          <w:lang w:eastAsia="en-US"/>
        </w:rPr>
        <w:t xml:space="preserve">EL SUJETO OBLIGADO </w:t>
      </w:r>
      <w:r>
        <w:rPr>
          <w:rFonts w:ascii="Palatino Linotype" w:hAnsi="Palatino Linotype" w:cs="Arial"/>
          <w:lang w:eastAsia="en-US"/>
        </w:rPr>
        <w:t xml:space="preserve">deberá hacer entrega de las evidencias fotográficas solicitadas, siempre y cuando cuente con el consentimiento para su divulgación de los titulares; caso contrario, deberá hacer entrega de la información en </w:t>
      </w:r>
      <w:r>
        <w:rPr>
          <w:rFonts w:ascii="Palatino Linotype" w:hAnsi="Palatino Linotype" w:cs="Arial"/>
          <w:b/>
          <w:lang w:eastAsia="en-US"/>
        </w:rPr>
        <w:t>versión pública</w:t>
      </w:r>
      <w:r>
        <w:rPr>
          <w:rFonts w:ascii="Palatino Linotype" w:hAnsi="Palatino Linotype" w:cs="Arial"/>
        </w:rPr>
        <w:t>; pues, el</w:t>
      </w:r>
      <w:r>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w:t>
      </w:r>
      <w:r>
        <w:rPr>
          <w:rFonts w:ascii="Palatino Linotype" w:hAnsi="Palatino Linotype" w:cs="Arial"/>
          <w:bCs/>
        </w:rPr>
        <w:lastRenderedPageBreak/>
        <w:t>versiones públicas en las que se suprima aquella información relacionada con la vida privada de los particulares.</w:t>
      </w:r>
    </w:p>
    <w:p w:rsidR="00F97EE5" w:rsidRDefault="00F97EE5">
      <w:pPr>
        <w:spacing w:line="360" w:lineRule="auto"/>
        <w:jc w:val="both"/>
        <w:rPr>
          <w:rFonts w:ascii="Palatino Linotype" w:eastAsia="Calibri" w:hAnsi="Palatino Linotype" w:cs="Arial"/>
          <w:bCs/>
          <w:lang w:eastAsia="en-US"/>
        </w:rPr>
      </w:pPr>
    </w:p>
    <w:p w:rsidR="00F97EE5" w:rsidRDefault="00A25A46">
      <w:pPr>
        <w:spacing w:line="360" w:lineRule="auto"/>
        <w:jc w:val="both"/>
        <w:rPr>
          <w:rFonts w:ascii="Palatino Linotype" w:hAnsi="Palatino Linotype" w:cs="Arial"/>
          <w:bCs/>
        </w:rPr>
      </w:pPr>
      <w:r>
        <w:rPr>
          <w:rFonts w:ascii="Palatino Linotype" w:hAnsi="Palatino Linotype" w:cs="Arial"/>
          <w:bCs/>
        </w:rPr>
        <w:t>A este respecto, los artículos 3, fracciones IX, XX, XXI y XLV; 51 y 52 de la Ley de Transparencia y Acceso a la Información Pública del Estado de México y Municipios establecen:</w:t>
      </w:r>
    </w:p>
    <w:p w:rsidR="00F97EE5" w:rsidRDefault="00F97EE5">
      <w:pPr>
        <w:ind w:right="899"/>
        <w:jc w:val="both"/>
        <w:rPr>
          <w:rFonts w:ascii="Palatino Linotype" w:hAnsi="Palatino Linotype" w:cs="Arial"/>
        </w:rPr>
      </w:pPr>
    </w:p>
    <w:p w:rsidR="00F97EE5" w:rsidRDefault="00A25A46">
      <w:pPr>
        <w:ind w:left="851" w:right="901"/>
        <w:jc w:val="both"/>
        <w:rPr>
          <w:rFonts w:ascii="Palatino Linotype" w:hAnsi="Palatino Linotype"/>
          <w:i/>
          <w:sz w:val="22"/>
          <w:szCs w:val="22"/>
        </w:rPr>
      </w:pPr>
      <w:r>
        <w:rPr>
          <w:rFonts w:ascii="Palatino Linotype" w:hAnsi="Palatino Linotype" w:cs="Arial"/>
          <w:b/>
          <w:bCs/>
          <w:i/>
          <w:sz w:val="22"/>
          <w:szCs w:val="22"/>
        </w:rPr>
        <w:t xml:space="preserve">“Artículo 3. </w:t>
      </w:r>
      <w:r>
        <w:rPr>
          <w:rFonts w:ascii="Palatino Linotype" w:hAnsi="Palatino Linotype"/>
          <w:i/>
          <w:sz w:val="22"/>
          <w:szCs w:val="22"/>
        </w:rPr>
        <w:t xml:space="preserve">Para los efectos de la presente Ley se entenderá por: </w:t>
      </w:r>
    </w:p>
    <w:p w:rsidR="00F97EE5" w:rsidRDefault="00A25A46">
      <w:pPr>
        <w:ind w:left="851" w:right="899"/>
        <w:jc w:val="both"/>
        <w:rPr>
          <w:rFonts w:ascii="Palatino Linotype" w:hAnsi="Palatino Linotype" w:cs="Arial"/>
          <w:i/>
          <w:sz w:val="22"/>
          <w:szCs w:val="22"/>
        </w:rPr>
      </w:pPr>
      <w:r>
        <w:rPr>
          <w:rFonts w:ascii="Palatino Linotype" w:hAnsi="Palatino Linotype" w:cs="Arial"/>
          <w:b/>
          <w:i/>
          <w:sz w:val="22"/>
          <w:szCs w:val="22"/>
        </w:rPr>
        <w:t>IX.</w:t>
      </w:r>
      <w:r>
        <w:rPr>
          <w:rFonts w:ascii="Palatino Linotype" w:hAnsi="Palatino Linotype" w:cs="Arial"/>
          <w:i/>
          <w:sz w:val="22"/>
          <w:szCs w:val="22"/>
        </w:rPr>
        <w:t xml:space="preserve"> </w:t>
      </w:r>
      <w:r>
        <w:rPr>
          <w:rFonts w:ascii="Palatino Linotype" w:hAnsi="Palatino Linotype" w:cs="Arial"/>
          <w:b/>
          <w:i/>
          <w:sz w:val="22"/>
          <w:szCs w:val="22"/>
        </w:rPr>
        <w:t xml:space="preserve">Datos personales: </w:t>
      </w:r>
      <w:r>
        <w:rPr>
          <w:rFonts w:ascii="Palatino Linotype" w:hAnsi="Palatino Linotype" w:cs="Arial"/>
          <w:i/>
          <w:sz w:val="22"/>
          <w:szCs w:val="22"/>
        </w:rPr>
        <w:t xml:space="preserve">La información concerniente a una persona, identificada o identificable según lo dispuesto por la Ley de </w:t>
      </w:r>
      <w:r>
        <w:rPr>
          <w:rFonts w:ascii="Palatino Linotype" w:hAnsi="Palatino Linotype"/>
          <w:i/>
          <w:sz w:val="22"/>
          <w:szCs w:val="22"/>
        </w:rPr>
        <w:t>Protección</w:t>
      </w:r>
      <w:r>
        <w:rPr>
          <w:rFonts w:ascii="Palatino Linotype" w:hAnsi="Palatino Linotype" w:cs="Arial"/>
          <w:i/>
          <w:sz w:val="22"/>
          <w:szCs w:val="22"/>
        </w:rPr>
        <w:t xml:space="preserve"> de Datos Personales del Estado de México; </w:t>
      </w:r>
    </w:p>
    <w:p w:rsidR="00F97EE5" w:rsidRDefault="00A25A46">
      <w:pPr>
        <w:ind w:left="851" w:right="899"/>
        <w:jc w:val="both"/>
        <w:rPr>
          <w:rFonts w:ascii="Palatino Linotype" w:hAnsi="Palatino Linotype" w:cs="Arial"/>
          <w:i/>
          <w:sz w:val="22"/>
          <w:szCs w:val="22"/>
        </w:rPr>
      </w:pPr>
      <w:r>
        <w:rPr>
          <w:rFonts w:ascii="Palatino Linotype" w:hAnsi="Palatino Linotype" w:cs="Arial"/>
          <w:b/>
          <w:i/>
          <w:sz w:val="22"/>
          <w:szCs w:val="22"/>
        </w:rPr>
        <w:t>XX.</w:t>
      </w:r>
      <w:r>
        <w:rPr>
          <w:rFonts w:ascii="Palatino Linotype" w:hAnsi="Palatino Linotype" w:cs="Arial"/>
          <w:i/>
          <w:sz w:val="22"/>
          <w:szCs w:val="22"/>
        </w:rPr>
        <w:t xml:space="preserve"> </w:t>
      </w:r>
      <w:r>
        <w:rPr>
          <w:rFonts w:ascii="Palatino Linotype" w:hAnsi="Palatino Linotype" w:cs="Arial"/>
          <w:b/>
          <w:i/>
          <w:sz w:val="22"/>
          <w:szCs w:val="22"/>
        </w:rPr>
        <w:t>Información clasificada:</w:t>
      </w:r>
      <w:r>
        <w:rPr>
          <w:rFonts w:ascii="Palatino Linotype" w:hAnsi="Palatino Linotype" w:cs="Arial"/>
          <w:i/>
          <w:sz w:val="22"/>
          <w:szCs w:val="22"/>
        </w:rPr>
        <w:t xml:space="preserve"> Aquella considerada por la presente Ley como reservada o confidencial; </w:t>
      </w:r>
    </w:p>
    <w:p w:rsidR="00F97EE5" w:rsidRDefault="00A25A46">
      <w:pPr>
        <w:ind w:left="851" w:right="899"/>
        <w:jc w:val="both"/>
        <w:rPr>
          <w:rFonts w:ascii="Palatino Linotype" w:hAnsi="Palatino Linotype" w:cs="Arial"/>
          <w:i/>
          <w:sz w:val="22"/>
          <w:szCs w:val="22"/>
        </w:rPr>
      </w:pPr>
      <w:r>
        <w:rPr>
          <w:rFonts w:ascii="Palatino Linotype" w:hAnsi="Palatino Linotype" w:cs="Arial"/>
          <w:b/>
          <w:i/>
          <w:sz w:val="22"/>
          <w:szCs w:val="22"/>
        </w:rPr>
        <w:t>XXI.</w:t>
      </w:r>
      <w:r>
        <w:rPr>
          <w:rFonts w:ascii="Palatino Linotype" w:hAnsi="Palatino Linotype" w:cs="Arial"/>
          <w:i/>
          <w:sz w:val="22"/>
          <w:szCs w:val="22"/>
        </w:rPr>
        <w:t xml:space="preserve"> </w:t>
      </w:r>
      <w:r>
        <w:rPr>
          <w:rFonts w:ascii="Palatino Linotype" w:hAnsi="Palatino Linotype" w:cs="Arial"/>
          <w:b/>
          <w:i/>
          <w:sz w:val="22"/>
          <w:szCs w:val="22"/>
        </w:rPr>
        <w:t>Información confidencial</w:t>
      </w:r>
      <w:r>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rsidR="00F97EE5" w:rsidRDefault="00A25A46">
      <w:pPr>
        <w:ind w:left="851" w:right="899"/>
        <w:jc w:val="both"/>
        <w:rPr>
          <w:rFonts w:ascii="Palatino Linotype" w:hAnsi="Palatino Linotype" w:cs="Arial"/>
          <w:i/>
          <w:sz w:val="22"/>
          <w:szCs w:val="22"/>
        </w:rPr>
      </w:pPr>
      <w:r>
        <w:rPr>
          <w:rFonts w:ascii="Palatino Linotype" w:hAnsi="Palatino Linotype" w:cs="Arial"/>
          <w:b/>
          <w:i/>
          <w:sz w:val="22"/>
          <w:szCs w:val="22"/>
        </w:rPr>
        <w:t>XLV. Versión pública:</w:t>
      </w:r>
      <w:r>
        <w:rPr>
          <w:rFonts w:ascii="Palatino Linotype" w:hAnsi="Palatino Linotype" w:cs="Arial"/>
          <w:i/>
          <w:sz w:val="22"/>
          <w:szCs w:val="22"/>
        </w:rPr>
        <w:t xml:space="preserve"> Documento en el que se elimine, suprime o borra la información clasificada como reservada o confidencial para permitir su acceso. </w:t>
      </w:r>
    </w:p>
    <w:p w:rsidR="00F97EE5" w:rsidRDefault="00A25A46">
      <w:pPr>
        <w:ind w:left="851" w:right="899"/>
        <w:jc w:val="both"/>
        <w:rPr>
          <w:rFonts w:ascii="Palatino Linotype" w:hAnsi="Palatino Linotype" w:cs="Arial"/>
          <w:i/>
          <w:sz w:val="22"/>
          <w:szCs w:val="22"/>
        </w:rPr>
      </w:pPr>
      <w:r>
        <w:rPr>
          <w:rFonts w:ascii="Palatino Linotype" w:hAnsi="Palatino Linotype" w:cs="Arial"/>
          <w:b/>
          <w:i/>
          <w:sz w:val="22"/>
          <w:szCs w:val="22"/>
        </w:rPr>
        <w:t>Artículo 51.</w:t>
      </w:r>
      <w:r>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Pr>
          <w:rFonts w:ascii="Palatino Linotype" w:hAnsi="Palatino Linotype" w:cs="Arial"/>
          <w:b/>
          <w:i/>
          <w:sz w:val="22"/>
          <w:szCs w:val="22"/>
        </w:rPr>
        <w:t xml:space="preserve">y tendrá la responsabilidad de verificar en cada caso que la misma no sea confidencial o reservada. </w:t>
      </w:r>
      <w:r>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rsidR="00F97EE5" w:rsidRDefault="00A25A46">
      <w:pPr>
        <w:ind w:left="851" w:right="899"/>
        <w:jc w:val="both"/>
        <w:rPr>
          <w:rFonts w:ascii="Palatino Linotype" w:hAnsi="Palatino Linotype" w:cs="Arial"/>
          <w:i/>
          <w:sz w:val="22"/>
          <w:szCs w:val="22"/>
        </w:rPr>
      </w:pPr>
      <w:r>
        <w:rPr>
          <w:rFonts w:ascii="Palatino Linotype" w:hAnsi="Palatino Linotype" w:cs="Arial"/>
          <w:b/>
          <w:i/>
          <w:sz w:val="22"/>
          <w:szCs w:val="22"/>
        </w:rPr>
        <w:t>Artículo 52.</w:t>
      </w:r>
      <w:r>
        <w:rPr>
          <w:rFonts w:ascii="Palatino Linotype" w:hAnsi="Palatino Linotype" w:cs="Arial"/>
          <w:i/>
          <w:sz w:val="22"/>
          <w:szCs w:val="22"/>
        </w:rPr>
        <w:t xml:space="preserve"> Las solicitudes de acceso a la información y las respuestas que se les dé, incluyendo, en su caso, </w:t>
      </w:r>
      <w:r>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Pr>
          <w:rFonts w:ascii="Palatino Linotype" w:hAnsi="Palatino Linotype" w:cs="Arial"/>
          <w:i/>
          <w:sz w:val="22"/>
          <w:szCs w:val="22"/>
        </w:rPr>
        <w:t>, siempre y cuando la resolución de referencia se someta a un proceso de disociación, es decir, no haga identificable al titular de tales datos personales.</w:t>
      </w:r>
      <w:r>
        <w:rPr>
          <w:rFonts w:ascii="Palatino Linotype" w:hAnsi="Palatino Linotype" w:cs="Arial"/>
          <w:bCs/>
          <w:i/>
          <w:sz w:val="22"/>
          <w:szCs w:val="22"/>
        </w:rPr>
        <w:t>”</w:t>
      </w:r>
    </w:p>
    <w:p w:rsidR="00F97EE5" w:rsidRDefault="00A25A46">
      <w:pPr>
        <w:ind w:right="899" w:firstLine="708"/>
        <w:jc w:val="both"/>
        <w:rPr>
          <w:rFonts w:ascii="Palatino Linotype" w:hAnsi="Palatino Linotype" w:cs="Arial"/>
          <w:sz w:val="22"/>
          <w:szCs w:val="22"/>
        </w:rPr>
      </w:pPr>
      <w:r>
        <w:rPr>
          <w:rFonts w:ascii="Palatino Linotype" w:hAnsi="Palatino Linotype" w:cs="Arial"/>
          <w:sz w:val="22"/>
          <w:szCs w:val="22"/>
        </w:rPr>
        <w:t>(Énfasis añadido)</w:t>
      </w:r>
    </w:p>
    <w:p w:rsidR="00F97EE5" w:rsidRDefault="00F97EE5">
      <w:pPr>
        <w:ind w:right="899" w:firstLine="708"/>
        <w:jc w:val="both"/>
        <w:rPr>
          <w:rFonts w:ascii="Palatino Linotype" w:hAnsi="Palatino Linotype" w:cs="Arial"/>
        </w:rPr>
      </w:pPr>
    </w:p>
    <w:p w:rsidR="00F97EE5" w:rsidRDefault="00A25A46">
      <w:pPr>
        <w:spacing w:line="360" w:lineRule="auto"/>
        <w:jc w:val="both"/>
        <w:rPr>
          <w:rFonts w:ascii="Palatino Linotype" w:hAnsi="Palatino Linotype" w:cs="Arial"/>
        </w:rPr>
      </w:pPr>
      <w:r>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rsidR="00F97EE5" w:rsidRDefault="00F97EE5">
      <w:pPr>
        <w:jc w:val="both"/>
        <w:rPr>
          <w:rFonts w:ascii="Palatino Linotype" w:hAnsi="Palatino Linotype" w:cs="Arial"/>
        </w:rPr>
      </w:pPr>
    </w:p>
    <w:p w:rsidR="00F97EE5" w:rsidRDefault="00A25A46">
      <w:pPr>
        <w:ind w:left="851" w:right="902"/>
        <w:jc w:val="both"/>
        <w:rPr>
          <w:rFonts w:ascii="Palatino Linotype" w:eastAsia="Arial Unicode MS" w:hAnsi="Palatino Linotype" w:cs="Arial"/>
          <w:i/>
          <w:sz w:val="22"/>
          <w:szCs w:val="22"/>
        </w:rPr>
      </w:pPr>
      <w:r>
        <w:rPr>
          <w:rFonts w:ascii="Palatino Linotype" w:eastAsia="Arial Unicode MS" w:hAnsi="Palatino Linotype" w:cs="Arial"/>
          <w:b/>
          <w:i/>
          <w:sz w:val="22"/>
          <w:szCs w:val="22"/>
        </w:rPr>
        <w:t>“Artículo 22.</w:t>
      </w:r>
      <w:r>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rsidR="00F97EE5" w:rsidRDefault="00A25A46">
      <w:pPr>
        <w:ind w:left="851" w:right="902"/>
        <w:jc w:val="both"/>
        <w:rPr>
          <w:rFonts w:ascii="Palatino Linotype" w:eastAsia="Arial Unicode MS" w:hAnsi="Palatino Linotype" w:cs="Arial"/>
          <w:i/>
          <w:sz w:val="22"/>
          <w:szCs w:val="22"/>
        </w:rPr>
      </w:pPr>
      <w:r>
        <w:rPr>
          <w:rFonts w:ascii="Palatino Linotype" w:eastAsia="Arial Unicode MS" w:hAnsi="Palatino Linotype" w:cs="Arial"/>
          <w:b/>
          <w:i/>
          <w:sz w:val="22"/>
          <w:szCs w:val="22"/>
        </w:rPr>
        <w:t>Artículo 38.</w:t>
      </w:r>
      <w:r>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Pr>
          <w:rFonts w:ascii="Palatino Linotype" w:eastAsia="Arial Unicode MS" w:hAnsi="Palatino Linotype" w:cs="Arial"/>
          <w:b/>
          <w:i/>
          <w:sz w:val="22"/>
          <w:szCs w:val="22"/>
        </w:rPr>
        <w:t>”</w:t>
      </w:r>
      <w:r>
        <w:rPr>
          <w:rFonts w:ascii="Palatino Linotype" w:eastAsia="Arial Unicode MS" w:hAnsi="Palatino Linotype" w:cs="Arial"/>
          <w:i/>
          <w:sz w:val="22"/>
          <w:szCs w:val="22"/>
        </w:rPr>
        <w:t xml:space="preserve"> </w:t>
      </w:r>
    </w:p>
    <w:p w:rsidR="00F97EE5" w:rsidRDefault="00F97EE5">
      <w:pPr>
        <w:ind w:left="851" w:right="850"/>
        <w:jc w:val="both"/>
        <w:rPr>
          <w:rFonts w:ascii="Palatino Linotype" w:eastAsia="Arial Unicode MS" w:hAnsi="Palatino Linotype" w:cs="Arial"/>
          <w:i/>
          <w:sz w:val="22"/>
          <w:szCs w:val="22"/>
        </w:rPr>
      </w:pPr>
    </w:p>
    <w:p w:rsidR="00F97EE5" w:rsidRDefault="00A25A46">
      <w:pPr>
        <w:spacing w:line="360" w:lineRule="auto"/>
        <w:jc w:val="both"/>
        <w:rPr>
          <w:rFonts w:ascii="Palatino Linotype" w:hAnsi="Palatino Linotype" w:cs="Arial"/>
        </w:rPr>
      </w:pPr>
      <w:r>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cs="Arial"/>
        </w:rPr>
      </w:pPr>
      <w:r>
        <w:rPr>
          <w:rFonts w:ascii="Palatino Linotype" w:hAnsi="Palatino Linotype" w:cs="Arial"/>
        </w:rPr>
        <w:t xml:space="preserve">Lo anterior es así, en virtud de que toda la información relativa a una persona física o jurídico colectiva que le pueda hacer identificada o identificable constituye un dato </w:t>
      </w:r>
      <w:r>
        <w:rPr>
          <w:rFonts w:ascii="Palatino Linotype" w:hAnsi="Palatino Linotype" w:cs="Arial"/>
        </w:rPr>
        <w:lastRenderedPageBreak/>
        <w:t>personal en términos del artículo 4, fracción XI de la Ley de Protección de Datos Personales en Posesión de Sujetos Obligados del Estado de México y Municipios; por consiguiente, se trata de información confidencial</w:t>
      </w:r>
      <w:r>
        <w:rPr>
          <w:rFonts w:ascii="Palatino Linotype" w:eastAsia="Arial Unicode MS" w:hAnsi="Palatino Linotype" w:cs="Arial"/>
        </w:rPr>
        <w:t xml:space="preserve"> que debe ser protegida por </w:t>
      </w:r>
      <w:r>
        <w:rPr>
          <w:rFonts w:ascii="Palatino Linotype" w:eastAsia="Arial Unicode MS" w:hAnsi="Palatino Linotype" w:cs="Arial"/>
          <w:b/>
        </w:rPr>
        <w:t>EL SUJETO OBLIGADO,</w:t>
      </w:r>
      <w:r>
        <w:rPr>
          <w:rFonts w:ascii="Palatino Linotype" w:eastAsia="Arial Unicode MS" w:hAnsi="Palatino Linotype" w:cs="Arial"/>
        </w:rPr>
        <w:t xml:space="preserve"> por lo </w:t>
      </w:r>
      <w:r>
        <w:rPr>
          <w:rFonts w:ascii="Palatino Linotype" w:hAnsi="Palatino Linotype" w:cs="Arial"/>
        </w:rPr>
        <w:t>que, todo dato personal susceptible de clasificación debe ser protegido.</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cs="Arial"/>
        </w:rPr>
      </w:pPr>
      <w:r>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cs="Arial"/>
        </w:rPr>
      </w:pPr>
      <w:r>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F97EE5" w:rsidRDefault="00F97EE5">
      <w:pPr>
        <w:jc w:val="both"/>
        <w:rPr>
          <w:rFonts w:ascii="Palatino Linotype" w:hAnsi="Palatino Linotype" w:cs="Arial"/>
        </w:rPr>
      </w:pP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 xml:space="preserve">“Artículo 49. </w:t>
      </w:r>
      <w:r>
        <w:rPr>
          <w:rFonts w:ascii="Palatino Linotype" w:hAnsi="Palatino Linotype" w:cs="Arial"/>
          <w:i/>
          <w:sz w:val="22"/>
          <w:szCs w:val="22"/>
        </w:rPr>
        <w:t>Los Comités de Transparencia tendrán las siguientes atribuciones:</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VIII.</w:t>
      </w:r>
      <w:r>
        <w:rPr>
          <w:rFonts w:ascii="Palatino Linotype" w:hAnsi="Palatino Linotype" w:cs="Arial"/>
          <w:i/>
          <w:sz w:val="22"/>
          <w:szCs w:val="22"/>
        </w:rPr>
        <w:t xml:space="preserve"> Aprobar, modificar o revocar la clasificación de la información;</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Artículo 132.</w:t>
      </w:r>
      <w:r>
        <w:rPr>
          <w:rFonts w:ascii="Palatino Linotype" w:hAnsi="Palatino Linotype" w:cs="Arial"/>
          <w:i/>
          <w:sz w:val="22"/>
          <w:szCs w:val="22"/>
        </w:rPr>
        <w:t xml:space="preserve"> La clasificación de la información se llevará a cabo en el momento en que:</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lastRenderedPageBreak/>
        <w:t>II.</w:t>
      </w:r>
      <w:r>
        <w:rPr>
          <w:rFonts w:ascii="Palatino Linotype" w:hAnsi="Palatino Linotype" w:cs="Arial"/>
          <w:i/>
          <w:sz w:val="22"/>
          <w:szCs w:val="22"/>
        </w:rPr>
        <w:t xml:space="preserve"> Se determine mediante resolución de autoridad competente; o</w:t>
      </w:r>
    </w:p>
    <w:p w:rsidR="00F97EE5" w:rsidRDefault="00A25A46">
      <w:pPr>
        <w:ind w:left="851" w:right="902"/>
        <w:jc w:val="both"/>
        <w:rPr>
          <w:rFonts w:ascii="Palatino Linotype" w:hAnsi="Palatino Linotype" w:cs="Arial"/>
          <w:b/>
          <w:i/>
          <w:sz w:val="22"/>
          <w:szCs w:val="22"/>
        </w:rPr>
      </w:pPr>
      <w:r>
        <w:rPr>
          <w:rFonts w:ascii="Palatino Linotype" w:hAnsi="Palatino Linotype" w:cs="Arial"/>
          <w:i/>
          <w:sz w:val="22"/>
          <w:szCs w:val="22"/>
        </w:rPr>
        <w:t>III. Se generen versiones públicas para dar cumplimiento a las obligaciones de transparencia previstas en esta Ley.</w:t>
      </w:r>
      <w:r>
        <w:rPr>
          <w:rFonts w:ascii="Palatino Linotype" w:hAnsi="Palatino Linotype" w:cs="Arial"/>
          <w:b/>
          <w:i/>
          <w:sz w:val="22"/>
          <w:szCs w:val="22"/>
        </w:rPr>
        <w:t>”</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“Segundo.-</w:t>
      </w:r>
      <w:r>
        <w:rPr>
          <w:rFonts w:ascii="Palatino Linotype" w:hAnsi="Palatino Linotype" w:cs="Arial"/>
          <w:i/>
          <w:sz w:val="22"/>
          <w:szCs w:val="22"/>
        </w:rPr>
        <w:t xml:space="preserve"> Para efectos de los presentes Lineamientos Generales, se entenderá por:</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XVIII.</w:t>
      </w:r>
      <w:r>
        <w:rPr>
          <w:rFonts w:ascii="Palatino Linotype" w:hAnsi="Palatino Linotype" w:cs="Arial"/>
          <w:i/>
          <w:sz w:val="22"/>
          <w:szCs w:val="22"/>
        </w:rPr>
        <w:t xml:space="preserve">  </w:t>
      </w:r>
      <w:r>
        <w:rPr>
          <w:rFonts w:ascii="Palatino Linotype" w:hAnsi="Palatino Linotype" w:cs="Arial"/>
          <w:b/>
          <w:i/>
          <w:sz w:val="22"/>
          <w:szCs w:val="22"/>
        </w:rPr>
        <w:t>Versión pública:</w:t>
      </w:r>
      <w:r>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Cuarto.</w:t>
      </w:r>
      <w:r>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F97EE5" w:rsidRDefault="00A25A46">
      <w:pPr>
        <w:ind w:left="851" w:right="902"/>
        <w:jc w:val="both"/>
        <w:rPr>
          <w:rFonts w:ascii="Palatino Linotype" w:hAnsi="Palatino Linotype" w:cs="Arial"/>
          <w:i/>
          <w:sz w:val="22"/>
          <w:szCs w:val="22"/>
        </w:rPr>
      </w:pPr>
      <w:r>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Quinto.</w:t>
      </w:r>
      <w:r>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Sexto.</w:t>
      </w:r>
      <w:r>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rsidR="00F97EE5" w:rsidRDefault="00A25A46">
      <w:pPr>
        <w:ind w:left="851" w:right="902"/>
        <w:jc w:val="both"/>
        <w:rPr>
          <w:rFonts w:ascii="Palatino Linotype" w:hAnsi="Palatino Linotype" w:cs="Arial"/>
          <w:i/>
          <w:sz w:val="22"/>
          <w:szCs w:val="22"/>
        </w:rPr>
      </w:pPr>
      <w:r>
        <w:rPr>
          <w:rFonts w:ascii="Palatino Linotype" w:hAnsi="Palatino Linotype" w:cs="Arial"/>
          <w:i/>
          <w:sz w:val="22"/>
          <w:szCs w:val="22"/>
        </w:rPr>
        <w:t>La clasificación de información se realizará conforme a un análisis caso por caso, mediante la aplicación de la prueba de daño y de interés público.</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Séptimo.</w:t>
      </w:r>
      <w:r>
        <w:rPr>
          <w:rFonts w:ascii="Palatino Linotype" w:hAnsi="Palatino Linotype" w:cs="Arial"/>
          <w:i/>
          <w:sz w:val="22"/>
          <w:szCs w:val="22"/>
        </w:rPr>
        <w:t xml:space="preserve"> La clasificación de la información se llevará a cabo en el momento en que:</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i/>
          <w:sz w:val="22"/>
          <w:szCs w:val="22"/>
        </w:rPr>
        <w:t xml:space="preserve">        Se reciba una solicitud de acceso a la información;</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II.</w:t>
      </w:r>
      <w:r>
        <w:rPr>
          <w:rFonts w:ascii="Palatino Linotype" w:hAnsi="Palatino Linotype" w:cs="Arial"/>
          <w:i/>
          <w:sz w:val="22"/>
          <w:szCs w:val="22"/>
        </w:rPr>
        <w:t xml:space="preserve">       Se determine mediante resolución de autoridad competente, o</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III.</w:t>
      </w:r>
      <w:r>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rsidR="00F97EE5" w:rsidRDefault="00A25A46">
      <w:pPr>
        <w:ind w:left="851" w:right="902"/>
        <w:jc w:val="both"/>
        <w:rPr>
          <w:rFonts w:ascii="Palatino Linotype" w:hAnsi="Palatino Linotype" w:cs="Arial"/>
          <w:i/>
          <w:sz w:val="22"/>
          <w:szCs w:val="22"/>
        </w:rPr>
      </w:pPr>
      <w:r>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lastRenderedPageBreak/>
        <w:t>Octavo.</w:t>
      </w:r>
      <w:r>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F97EE5" w:rsidRDefault="00A25A46">
      <w:pPr>
        <w:ind w:left="851" w:right="902"/>
        <w:jc w:val="both"/>
        <w:rPr>
          <w:rFonts w:ascii="Palatino Linotype" w:hAnsi="Palatino Linotype" w:cs="Arial"/>
          <w:i/>
          <w:sz w:val="22"/>
          <w:szCs w:val="22"/>
        </w:rPr>
      </w:pPr>
      <w:r>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rsidR="00F97EE5" w:rsidRDefault="00A25A46">
      <w:pPr>
        <w:ind w:left="851" w:right="902"/>
        <w:jc w:val="both"/>
        <w:rPr>
          <w:rFonts w:ascii="Palatino Linotype" w:hAnsi="Palatino Linotype" w:cs="Arial"/>
          <w:i/>
          <w:sz w:val="22"/>
          <w:szCs w:val="22"/>
        </w:rPr>
      </w:pPr>
      <w:r>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rsidR="00F97EE5" w:rsidRDefault="00A25A46">
      <w:pPr>
        <w:ind w:left="851" w:right="902"/>
        <w:jc w:val="both"/>
        <w:rPr>
          <w:rFonts w:ascii="Palatino Linotype" w:hAnsi="Palatino Linotype" w:cs="Arial"/>
          <w:i/>
          <w:sz w:val="22"/>
          <w:szCs w:val="22"/>
        </w:rPr>
      </w:pPr>
      <w:r>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F97EE5" w:rsidRDefault="00A25A46">
      <w:pPr>
        <w:ind w:left="851" w:right="902"/>
        <w:jc w:val="both"/>
        <w:rPr>
          <w:rFonts w:ascii="Palatino Linotype" w:hAnsi="Palatino Linotype" w:cs="Arial"/>
          <w:i/>
          <w:sz w:val="22"/>
          <w:szCs w:val="22"/>
        </w:rPr>
      </w:pPr>
      <w:r>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Noveno.</w:t>
      </w:r>
      <w:r>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F97EE5" w:rsidRDefault="00A25A46">
      <w:pPr>
        <w:ind w:left="851" w:right="902"/>
        <w:jc w:val="both"/>
        <w:rPr>
          <w:rFonts w:ascii="Palatino Linotype" w:hAnsi="Palatino Linotype" w:cs="Arial"/>
          <w:i/>
          <w:sz w:val="22"/>
          <w:szCs w:val="22"/>
        </w:rPr>
      </w:pPr>
      <w:r>
        <w:rPr>
          <w:rFonts w:ascii="Palatino Linotype" w:hAnsi="Palatino Linotype" w:cs="Arial"/>
          <w:b/>
          <w:i/>
          <w:sz w:val="22"/>
          <w:szCs w:val="22"/>
        </w:rPr>
        <w:t>Décimo.</w:t>
      </w:r>
      <w:r>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F97EE5" w:rsidRDefault="00A25A46">
      <w:pPr>
        <w:ind w:left="851" w:right="902"/>
        <w:jc w:val="both"/>
        <w:rPr>
          <w:rFonts w:ascii="Palatino Linotype" w:hAnsi="Palatino Linotype" w:cs="Arial"/>
          <w:i/>
          <w:sz w:val="22"/>
          <w:szCs w:val="22"/>
        </w:rPr>
      </w:pPr>
      <w:r>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rsidR="00F97EE5" w:rsidRDefault="00A25A46">
      <w:pPr>
        <w:ind w:left="851" w:right="899"/>
        <w:jc w:val="both"/>
        <w:rPr>
          <w:rFonts w:ascii="Palatino Linotype" w:hAnsi="Palatino Linotype" w:cs="Arial"/>
          <w:b/>
          <w:i/>
          <w:sz w:val="22"/>
          <w:szCs w:val="22"/>
        </w:rPr>
      </w:pPr>
      <w:r>
        <w:rPr>
          <w:rFonts w:ascii="Palatino Linotype" w:hAnsi="Palatino Linotype" w:cs="Arial"/>
          <w:b/>
          <w:i/>
          <w:sz w:val="22"/>
          <w:szCs w:val="22"/>
        </w:rPr>
        <w:t>Décimo primero.</w:t>
      </w:r>
      <w:r>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Pr>
          <w:rFonts w:ascii="Palatino Linotype" w:hAnsi="Palatino Linotype" w:cs="Arial"/>
          <w:b/>
          <w:i/>
          <w:sz w:val="22"/>
          <w:szCs w:val="22"/>
        </w:rPr>
        <w:t>”</w:t>
      </w:r>
    </w:p>
    <w:p w:rsidR="00F97EE5" w:rsidRDefault="00F97EE5">
      <w:pPr>
        <w:ind w:left="851" w:right="899"/>
        <w:jc w:val="both"/>
        <w:rPr>
          <w:rFonts w:ascii="Palatino Linotype" w:hAnsi="Palatino Linotype" w:cs="Arial"/>
          <w:b/>
          <w:bCs/>
          <w:i/>
        </w:rPr>
      </w:pPr>
    </w:p>
    <w:p w:rsidR="00F97EE5" w:rsidRDefault="00A25A46">
      <w:pPr>
        <w:spacing w:line="360" w:lineRule="auto"/>
        <w:jc w:val="both"/>
        <w:rPr>
          <w:rFonts w:ascii="Palatino Linotype" w:hAnsi="Palatino Linotype" w:cs="Arial"/>
        </w:rPr>
      </w:pPr>
      <w:r>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rsidR="00F97EE5" w:rsidRDefault="00F97EE5">
      <w:pPr>
        <w:spacing w:line="360" w:lineRule="auto"/>
        <w:ind w:right="-93"/>
        <w:jc w:val="both"/>
        <w:rPr>
          <w:rFonts w:ascii="Palatino Linotype" w:hAnsi="Palatino Linotype" w:cs="Arial"/>
          <w:lang w:eastAsia="es-MX"/>
        </w:rPr>
      </w:pPr>
    </w:p>
    <w:p w:rsidR="00F97EE5" w:rsidRDefault="00A25A46">
      <w:pPr>
        <w:spacing w:line="360" w:lineRule="auto"/>
        <w:ind w:right="-91"/>
        <w:jc w:val="both"/>
        <w:rPr>
          <w:rFonts w:ascii="Palatino Linotype" w:hAnsi="Palatino Linotype" w:cs="Arial"/>
          <w:lang w:eastAsia="es-CO"/>
        </w:rPr>
      </w:pPr>
      <w:r>
        <w:rPr>
          <w:rFonts w:ascii="Palatino Linotype" w:hAnsi="Palatino Linotype" w:cs="Arial"/>
        </w:rPr>
        <w:t xml:space="preserve">Consecuentemente, se destaca que la versión pública que elabore </w:t>
      </w:r>
      <w:r>
        <w:rPr>
          <w:rFonts w:ascii="Palatino Linotype" w:hAnsi="Palatino Linotype" w:cs="Arial"/>
          <w:b/>
        </w:rPr>
        <w:t>EL SUJETO OBLIGADO</w:t>
      </w:r>
      <w:r>
        <w:rPr>
          <w:rFonts w:ascii="Palatino Linotype" w:hAnsi="Palatino Linotype" w:cs="Arial"/>
        </w:rPr>
        <w:t xml:space="preserve"> debe cumplir con las formalidades exigidas en la Ley, por lo que para tal efecto emitirá el </w:t>
      </w:r>
      <w:r>
        <w:rPr>
          <w:rFonts w:ascii="Palatino Linotype" w:hAnsi="Palatino Linotype" w:cs="Arial"/>
          <w:b/>
        </w:rPr>
        <w:t>Acuerdo del Comité de Transparencia</w:t>
      </w:r>
      <w:r>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F97EE5" w:rsidRDefault="00F97EE5">
      <w:pPr>
        <w:spacing w:line="360" w:lineRule="auto"/>
        <w:jc w:val="both"/>
        <w:rPr>
          <w:rFonts w:ascii="Palatino Linotype" w:hAnsi="Palatino Linotype"/>
          <w:color w:val="222222"/>
          <w:lang w:eastAsia="es-MX"/>
        </w:rPr>
      </w:pPr>
    </w:p>
    <w:p w:rsidR="00F97EE5" w:rsidRDefault="00A25A46">
      <w:pPr>
        <w:spacing w:line="360" w:lineRule="auto"/>
        <w:jc w:val="both"/>
        <w:rPr>
          <w:rFonts w:ascii="Palatino Linotype" w:hAnsi="Palatino Linotype" w:cs="Arial"/>
        </w:rPr>
      </w:pPr>
      <w:r>
        <w:rPr>
          <w:rFonts w:ascii="Palatino Linotype" w:hAnsi="Palatino Linotype"/>
          <w:color w:val="222222"/>
          <w:lang w:eastAsia="es-MX"/>
        </w:rPr>
        <w:t>Por otro lado, respecto al requerimiento identificado con el numeral 3, relacionado con las facturas derivadas de los contratos relacionadas con convenciones, cursos, y demás reuniones de trabajo; al respecto, el Servidor Público Habilitado de la Dirección de Finanzas refirió no haber encontrado la información al respecto; s</w:t>
      </w:r>
      <w:r>
        <w:rPr>
          <w:rFonts w:ascii="Palatino Linotype" w:hAnsi="Palatino Linotype" w:cs="Arial"/>
        </w:rPr>
        <w:t xml:space="preserve">in embargo, dicha respuesta carece de certeza jurídica, ello en razón de que al existir evidencias de que llevaron a cabo procedimientos adquisitivos en la modalidad de adjudicación directa, los cuales a manera de ejemplo se insertan a continuación: </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cs="Arial"/>
        </w:rPr>
      </w:pPr>
      <w:r>
        <w:rPr>
          <w:noProof/>
          <w:lang w:eastAsia="es-MX"/>
        </w:rPr>
        <w:lastRenderedPageBreak/>
        <w:drawing>
          <wp:inline distT="0" distB="0" distL="0" distR="0">
            <wp:extent cx="5539740" cy="144780"/>
            <wp:effectExtent l="0" t="0" r="0" b="0"/>
            <wp:docPr id="9"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2"/>
                    <pic:cNvPicPr>
                      <a:picLocks noChangeAspect="1" noChangeArrowheads="1"/>
                    </pic:cNvPicPr>
                  </pic:nvPicPr>
                  <pic:blipFill>
                    <a:blip r:embed="rId18"/>
                    <a:stretch>
                      <a:fillRect/>
                    </a:stretch>
                  </pic:blipFill>
                  <pic:spPr bwMode="auto">
                    <a:xfrm>
                      <a:off x="0" y="0"/>
                      <a:ext cx="5539740" cy="144780"/>
                    </a:xfrm>
                    <a:prstGeom prst="rect">
                      <a:avLst/>
                    </a:prstGeom>
                  </pic:spPr>
                </pic:pic>
              </a:graphicData>
            </a:graphic>
          </wp:inline>
        </w:drawing>
      </w:r>
      <w:r>
        <w:rPr>
          <w:noProof/>
          <w:lang w:eastAsia="es-MX"/>
        </w:rPr>
        <w:drawing>
          <wp:inline distT="0" distB="0" distL="0" distR="0">
            <wp:extent cx="5547360" cy="518160"/>
            <wp:effectExtent l="0" t="0" r="0" b="0"/>
            <wp:docPr id="10"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3"/>
                    <pic:cNvPicPr>
                      <a:picLocks noChangeAspect="1" noChangeArrowheads="1"/>
                    </pic:cNvPicPr>
                  </pic:nvPicPr>
                  <pic:blipFill>
                    <a:blip r:embed="rId19"/>
                    <a:stretch>
                      <a:fillRect/>
                    </a:stretch>
                  </pic:blipFill>
                  <pic:spPr bwMode="auto">
                    <a:xfrm>
                      <a:off x="0" y="0"/>
                      <a:ext cx="5547360" cy="518160"/>
                    </a:xfrm>
                    <a:prstGeom prst="rect">
                      <a:avLst/>
                    </a:prstGeom>
                  </pic:spPr>
                </pic:pic>
              </a:graphicData>
            </a:graphic>
          </wp:inline>
        </w:drawing>
      </w:r>
      <w:r>
        <w:rPr>
          <w:noProof/>
          <w:lang w:eastAsia="es-MX"/>
        </w:rPr>
        <w:drawing>
          <wp:inline distT="0" distB="0" distL="0" distR="0">
            <wp:extent cx="5570220" cy="175260"/>
            <wp:effectExtent l="0" t="0" r="0" b="0"/>
            <wp:docPr id="11"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4"/>
                    <pic:cNvPicPr>
                      <a:picLocks noChangeAspect="1" noChangeArrowheads="1"/>
                    </pic:cNvPicPr>
                  </pic:nvPicPr>
                  <pic:blipFill>
                    <a:blip r:embed="rId20"/>
                    <a:stretch>
                      <a:fillRect/>
                    </a:stretch>
                  </pic:blipFill>
                  <pic:spPr bwMode="auto">
                    <a:xfrm>
                      <a:off x="0" y="0"/>
                      <a:ext cx="5570220" cy="175260"/>
                    </a:xfrm>
                    <a:prstGeom prst="rect">
                      <a:avLst/>
                    </a:prstGeom>
                  </pic:spPr>
                </pic:pic>
              </a:graphicData>
            </a:graphic>
          </wp:inline>
        </w:drawing>
      </w:r>
      <w:r>
        <w:rPr>
          <w:noProof/>
          <w:lang w:eastAsia="es-MX"/>
        </w:rPr>
        <w:drawing>
          <wp:inline distT="0" distB="0" distL="0" distR="0">
            <wp:extent cx="5570220" cy="1463040"/>
            <wp:effectExtent l="0" t="0" r="0" b="0"/>
            <wp:docPr id="12"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n 17"/>
                    <pic:cNvPicPr>
                      <a:picLocks noChangeAspect="1" noChangeArrowheads="1"/>
                    </pic:cNvPicPr>
                  </pic:nvPicPr>
                  <pic:blipFill>
                    <a:blip r:embed="rId21"/>
                    <a:stretch>
                      <a:fillRect/>
                    </a:stretch>
                  </pic:blipFill>
                  <pic:spPr bwMode="auto">
                    <a:xfrm>
                      <a:off x="0" y="0"/>
                      <a:ext cx="5570220" cy="1463040"/>
                    </a:xfrm>
                    <a:prstGeom prst="rect">
                      <a:avLst/>
                    </a:prstGeom>
                  </pic:spPr>
                </pic:pic>
              </a:graphicData>
            </a:graphic>
          </wp:inline>
        </w:drawing>
      </w:r>
      <w:r>
        <w:rPr>
          <w:noProof/>
          <w:lang w:eastAsia="es-MX"/>
        </w:rPr>
        <w:drawing>
          <wp:inline distT="0" distB="0" distL="0" distR="0">
            <wp:extent cx="5585460" cy="655320"/>
            <wp:effectExtent l="0" t="0" r="0" b="0"/>
            <wp:docPr id="13"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19"/>
                    <pic:cNvPicPr>
                      <a:picLocks noChangeAspect="1" noChangeArrowheads="1"/>
                    </pic:cNvPicPr>
                  </pic:nvPicPr>
                  <pic:blipFill>
                    <a:blip r:embed="rId22"/>
                    <a:stretch>
                      <a:fillRect/>
                    </a:stretch>
                  </pic:blipFill>
                  <pic:spPr bwMode="auto">
                    <a:xfrm>
                      <a:off x="0" y="0"/>
                      <a:ext cx="5585460" cy="655320"/>
                    </a:xfrm>
                    <a:prstGeom prst="rect">
                      <a:avLst/>
                    </a:prstGeom>
                  </pic:spPr>
                </pic:pic>
              </a:graphicData>
            </a:graphic>
          </wp:inline>
        </w:drawing>
      </w:r>
      <w:r>
        <w:rPr>
          <w:rFonts w:ascii="Palatino Linotype" w:hAnsi="Palatino Linotype" w:cs="Arial"/>
        </w:rPr>
        <w:t xml:space="preserve"> </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cs="Arial"/>
        </w:rPr>
      </w:pPr>
      <w:r>
        <w:rPr>
          <w:rFonts w:ascii="Palatino Linotype" w:hAnsi="Palatino Linotype" w:cs="Arial"/>
        </w:rPr>
        <w:t>Derivado de lo anterior, es importante traer a contesto el artículo 19 de la Ley de la materia que a la letra dice:</w:t>
      </w:r>
    </w:p>
    <w:p w:rsidR="00F97EE5" w:rsidRDefault="00F97EE5">
      <w:pPr>
        <w:ind w:right="992"/>
        <w:jc w:val="both"/>
        <w:rPr>
          <w:rFonts w:ascii="Palatino Linotype" w:hAnsi="Palatino Linotype" w:cs="Arial"/>
        </w:rPr>
      </w:pPr>
    </w:p>
    <w:p w:rsidR="00F97EE5" w:rsidRDefault="00A25A46">
      <w:pPr>
        <w:tabs>
          <w:tab w:val="left" w:pos="8222"/>
        </w:tabs>
        <w:ind w:left="851" w:right="992"/>
        <w:jc w:val="both"/>
        <w:rPr>
          <w:rFonts w:ascii="Palatino Linotype" w:hAnsi="Palatino Linotype" w:cs="Arial"/>
          <w:i/>
          <w:sz w:val="22"/>
        </w:rPr>
      </w:pPr>
      <w:r>
        <w:rPr>
          <w:rFonts w:ascii="Palatino Linotype" w:hAnsi="Palatino Linotype" w:cs="Arial"/>
          <w:b/>
          <w:i/>
          <w:sz w:val="22"/>
        </w:rPr>
        <w:t>Artículo 19.</w:t>
      </w:r>
      <w:r>
        <w:rPr>
          <w:rFonts w:ascii="Palatino Linotype" w:hAnsi="Palatino Linotype" w:cs="Arial"/>
          <w:i/>
          <w:sz w:val="22"/>
        </w:rPr>
        <w:t xml:space="preserve"> Se presume que la información debe existir si se refiere a las facultades, competencias y funciones que los ordenamientos jurídicos aplicables otorgan a los sujetos obligados.</w:t>
      </w:r>
    </w:p>
    <w:p w:rsidR="00F97EE5" w:rsidRDefault="00A25A46">
      <w:pPr>
        <w:tabs>
          <w:tab w:val="left" w:pos="8222"/>
        </w:tabs>
        <w:ind w:left="851" w:right="992"/>
        <w:jc w:val="both"/>
        <w:rPr>
          <w:rFonts w:ascii="Palatino Linotype" w:hAnsi="Palatino Linotype" w:cs="Arial"/>
          <w:i/>
          <w:sz w:val="22"/>
        </w:rPr>
      </w:pPr>
      <w:r>
        <w:rPr>
          <w:rFonts w:ascii="Palatino Linotype" w:hAnsi="Palatino Linotype" w:cs="Arial"/>
          <w:i/>
          <w:sz w:val="22"/>
        </w:rPr>
        <w:t>En los casos en que ciertas facultades, competencias o funciones no se hayan ejercido, se debe motivar la respuesta en función de las causas que motiven tal circunstancia.</w:t>
      </w:r>
    </w:p>
    <w:p w:rsidR="00F97EE5" w:rsidRDefault="00A25A46">
      <w:pPr>
        <w:tabs>
          <w:tab w:val="left" w:pos="8222"/>
        </w:tabs>
        <w:ind w:left="851" w:right="992"/>
        <w:jc w:val="both"/>
        <w:rPr>
          <w:rFonts w:ascii="Palatino Linotype" w:hAnsi="Palatino Linotype" w:cs="Arial"/>
          <w:i/>
          <w:sz w:val="22"/>
        </w:rPr>
      </w:pPr>
      <w:r>
        <w:rPr>
          <w:rFonts w:ascii="Palatino Linotype" w:hAnsi="Palatino Linotype" w:cs="Arial"/>
          <w:b/>
          <w:i/>
          <w:sz w:val="22"/>
        </w:rPr>
        <w:t>Si el sujeto obligado, en el ejercicio de sus atribuciones, debía generar, poseer o administrar la información, pero ésta no se encuentra,</w:t>
      </w:r>
      <w:r>
        <w:rPr>
          <w:rFonts w:ascii="Palatino Linotype" w:hAnsi="Palatino Linotype" w:cs="Arial"/>
          <w:i/>
          <w:sz w:val="22"/>
          <w:u w:val="single"/>
        </w:rPr>
        <w:t xml:space="preserve"> </w:t>
      </w:r>
      <w:r>
        <w:rPr>
          <w:rFonts w:ascii="Palatino Linotype" w:hAnsi="Palatino Linotype" w:cs="Arial"/>
          <w:i/>
          <w:sz w:val="22"/>
        </w:rPr>
        <w:t>el Comité de transparencia deberá emitir un acuerdo de inexistencia, debidamente fundado y motivado, en el que detalle las razones del por qué no obra en sus archivos.</w:t>
      </w:r>
    </w:p>
    <w:p w:rsidR="00F97EE5" w:rsidRDefault="00F97EE5">
      <w:pPr>
        <w:tabs>
          <w:tab w:val="left" w:pos="8222"/>
        </w:tabs>
        <w:ind w:left="851" w:right="992"/>
        <w:jc w:val="both"/>
        <w:rPr>
          <w:rFonts w:ascii="Palatino Linotype" w:hAnsi="Palatino Linotype" w:cs="Arial"/>
          <w:i/>
          <w:sz w:val="22"/>
        </w:rPr>
      </w:pPr>
    </w:p>
    <w:p w:rsidR="00F97EE5" w:rsidRDefault="00A25A46">
      <w:pPr>
        <w:spacing w:line="360" w:lineRule="auto"/>
        <w:jc w:val="both"/>
        <w:rPr>
          <w:rFonts w:ascii="Palatino Linotype" w:eastAsia="Arial Unicode MS" w:hAnsi="Palatino Linotype" w:cs="Arial"/>
          <w:color w:val="000000" w:themeColor="text1"/>
        </w:rPr>
      </w:pPr>
      <w:r>
        <w:rPr>
          <w:rFonts w:ascii="Palatino Linotype" w:hAnsi="Palatino Linotype" w:cs="Arial"/>
        </w:rPr>
        <w:t xml:space="preserve">De lo anterior, se advierte que en los casos de que la información debía obrar en los archivos del </w:t>
      </w:r>
      <w:r>
        <w:rPr>
          <w:rFonts w:ascii="Palatino Linotype" w:hAnsi="Palatino Linotype" w:cs="Arial"/>
          <w:b/>
        </w:rPr>
        <w:t xml:space="preserve">SUJETO OBLIGADO </w:t>
      </w:r>
      <w:r>
        <w:rPr>
          <w:rFonts w:ascii="Palatino Linotype" w:hAnsi="Palatino Linotype" w:cs="Arial"/>
        </w:rPr>
        <w:t>y éste no la localice, se</w:t>
      </w:r>
      <w:r>
        <w:rPr>
          <w:rFonts w:ascii="Palatino Linotype" w:hAnsi="Palatino Linotype" w:cs="Arial"/>
          <w:lang w:val="es-ES_tradnl"/>
        </w:rPr>
        <w:t xml:space="preserve"> deberá emitir el Acuerdo de </w:t>
      </w:r>
      <w:r>
        <w:rPr>
          <w:rFonts w:ascii="Palatino Linotype" w:hAnsi="Palatino Linotype" w:cs="Arial"/>
          <w:lang w:val="es-ES_tradnl"/>
        </w:rPr>
        <w:lastRenderedPageBreak/>
        <w:t xml:space="preserve">Inexistencia, en términos de </w:t>
      </w:r>
      <w:r>
        <w:rPr>
          <w:rFonts w:ascii="Palatino Linotype" w:eastAsia="Arial Unicode MS" w:hAnsi="Palatino Linotype" w:cs="Arial"/>
          <w:color w:val="000000" w:themeColor="text1"/>
        </w:rPr>
        <w:t>los artículos 49 fracciones I y II, 169, fracción II y 170 de la ley de la materia que establece lo siguiente:</w:t>
      </w:r>
    </w:p>
    <w:p w:rsidR="00F97EE5" w:rsidRDefault="00F97EE5">
      <w:pPr>
        <w:ind w:right="992"/>
        <w:contextualSpacing/>
        <w:jc w:val="both"/>
        <w:rPr>
          <w:rFonts w:ascii="Palatino Linotype" w:eastAsia="Arial Unicode MS" w:hAnsi="Palatino Linotype" w:cs="Arial"/>
          <w:color w:val="000000" w:themeColor="text1"/>
        </w:rPr>
      </w:pPr>
    </w:p>
    <w:p w:rsidR="00F97EE5" w:rsidRDefault="00A25A46">
      <w:pPr>
        <w:ind w:left="851" w:right="992"/>
        <w:jc w:val="both"/>
        <w:rPr>
          <w:rFonts w:ascii="Palatino Linotype" w:hAnsi="Palatino Linotype"/>
          <w:i/>
          <w:color w:val="000000"/>
          <w:sz w:val="22"/>
          <w:szCs w:val="22"/>
        </w:rPr>
      </w:pPr>
      <w:r>
        <w:rPr>
          <w:rFonts w:ascii="Palatino Linotype" w:hAnsi="Palatino Linotype"/>
          <w:b/>
          <w:i/>
          <w:color w:val="000000"/>
          <w:sz w:val="22"/>
          <w:szCs w:val="22"/>
        </w:rPr>
        <w:t>Artículo 49</w:t>
      </w:r>
      <w:r>
        <w:rPr>
          <w:rFonts w:ascii="Palatino Linotype" w:hAnsi="Palatino Linotype"/>
          <w:i/>
          <w:color w:val="000000"/>
          <w:sz w:val="22"/>
          <w:szCs w:val="22"/>
        </w:rPr>
        <w:t>. Los Comités de Transparencia tendrán las siguientes atribuciones:</w:t>
      </w:r>
    </w:p>
    <w:p w:rsidR="00F97EE5" w:rsidRDefault="00A25A46">
      <w:pPr>
        <w:ind w:left="851" w:right="992"/>
        <w:jc w:val="both"/>
        <w:rPr>
          <w:rFonts w:ascii="Palatino Linotype" w:hAnsi="Palatino Linotype"/>
          <w:i/>
          <w:color w:val="000000"/>
          <w:sz w:val="22"/>
          <w:szCs w:val="22"/>
        </w:rPr>
      </w:pPr>
      <w:r>
        <w:rPr>
          <w:rFonts w:ascii="Palatino Linotype" w:hAnsi="Palatino Linotype"/>
          <w:i/>
          <w:color w:val="000000"/>
          <w:sz w:val="22"/>
          <w:szCs w:val="22"/>
        </w:rPr>
        <w:t>I. Instituir, coordinar y supervisar en términos de las disposiciones aplicables, las acciones, medidas y procedimientos que coadyuven a asegurar una mayor eficacia en la gestión y atención de las solicitudes en materia de acceso a la información;</w:t>
      </w:r>
    </w:p>
    <w:p w:rsidR="00F97EE5" w:rsidRDefault="00A25A46">
      <w:pPr>
        <w:ind w:left="851" w:right="992"/>
        <w:jc w:val="both"/>
        <w:rPr>
          <w:rFonts w:ascii="Palatino Linotype" w:hAnsi="Palatino Linotype"/>
          <w:i/>
          <w:color w:val="000000"/>
          <w:sz w:val="22"/>
          <w:szCs w:val="22"/>
        </w:rPr>
      </w:pPr>
      <w:r>
        <w:rPr>
          <w:rFonts w:ascii="Palatino Linotype" w:hAnsi="Palatino Linotype"/>
          <w:i/>
          <w:color w:val="000000"/>
          <w:sz w:val="22"/>
          <w:szCs w:val="22"/>
        </w:rPr>
        <w:t xml:space="preserve">II. Confirmar, modificar o revocar las determinaciones que en materia de ampliación del plazo de respuesta, clasificación de la información y </w:t>
      </w:r>
      <w:r>
        <w:rPr>
          <w:rFonts w:ascii="Palatino Linotype" w:hAnsi="Palatino Linotype"/>
          <w:i/>
          <w:sz w:val="22"/>
          <w:u w:val="single"/>
        </w:rPr>
        <w:t>declaración de inexistencia</w:t>
      </w:r>
      <w:r>
        <w:rPr>
          <w:rFonts w:ascii="Palatino Linotype" w:hAnsi="Palatino Linotype"/>
          <w:i/>
          <w:color w:val="000000"/>
          <w:szCs w:val="22"/>
        </w:rPr>
        <w:t xml:space="preserve"> </w:t>
      </w:r>
      <w:r>
        <w:rPr>
          <w:rFonts w:ascii="Palatino Linotype" w:hAnsi="Palatino Linotype"/>
          <w:i/>
          <w:color w:val="000000"/>
          <w:sz w:val="22"/>
          <w:szCs w:val="22"/>
        </w:rPr>
        <w:t>o de incompetencia realicen los titulares de las áreas de los sujetos obligados;</w:t>
      </w:r>
    </w:p>
    <w:p w:rsidR="00F97EE5" w:rsidRDefault="00A25A46">
      <w:pPr>
        <w:ind w:left="851" w:right="992"/>
        <w:jc w:val="both"/>
        <w:rPr>
          <w:rFonts w:ascii="Palatino Linotype" w:hAnsi="Palatino Linotype"/>
          <w:i/>
          <w:color w:val="000000"/>
          <w:sz w:val="22"/>
          <w:szCs w:val="22"/>
        </w:rPr>
      </w:pPr>
      <w:r>
        <w:rPr>
          <w:rFonts w:ascii="Palatino Linotype" w:hAnsi="Palatino Linotype"/>
          <w:i/>
          <w:color w:val="000000"/>
          <w:sz w:val="22"/>
          <w:szCs w:val="22"/>
        </w:rPr>
        <w:t>(…)</w:t>
      </w:r>
    </w:p>
    <w:p w:rsidR="00F97EE5" w:rsidRDefault="00F97EE5">
      <w:pPr>
        <w:ind w:right="992"/>
        <w:contextualSpacing/>
        <w:jc w:val="both"/>
        <w:rPr>
          <w:rFonts w:ascii="Palatino Linotype" w:eastAsia="Arial Unicode MS" w:hAnsi="Palatino Linotype" w:cs="Arial"/>
          <w:color w:val="000000" w:themeColor="text1"/>
        </w:rPr>
      </w:pPr>
    </w:p>
    <w:p w:rsidR="00F97EE5" w:rsidRDefault="00A25A46">
      <w:pPr>
        <w:ind w:left="851" w:right="992"/>
        <w:jc w:val="both"/>
        <w:rPr>
          <w:rFonts w:ascii="Palatino Linotype" w:hAnsi="Palatino Linotype" w:cs="Arial"/>
          <w:i/>
          <w:sz w:val="22"/>
          <w:szCs w:val="22"/>
          <w:u w:val="single"/>
        </w:rPr>
      </w:pPr>
      <w:r>
        <w:rPr>
          <w:rFonts w:ascii="Palatino Linotype" w:hAnsi="Palatino Linotype" w:cs="Arial"/>
          <w:b/>
          <w:i/>
          <w:sz w:val="22"/>
          <w:szCs w:val="22"/>
        </w:rPr>
        <w:t>Artículo 169.</w:t>
      </w:r>
      <w:r>
        <w:rPr>
          <w:rFonts w:ascii="Palatino Linotype" w:hAnsi="Palatino Linotype" w:cs="Arial"/>
          <w:i/>
          <w:sz w:val="22"/>
          <w:szCs w:val="22"/>
        </w:rPr>
        <w:t xml:space="preserve"> </w:t>
      </w:r>
      <w:r>
        <w:rPr>
          <w:rFonts w:ascii="Palatino Linotype" w:hAnsi="Palatino Linotype" w:cs="Arial"/>
          <w:i/>
          <w:sz w:val="22"/>
          <w:szCs w:val="22"/>
          <w:u w:val="single"/>
        </w:rPr>
        <w:t>Cuando la información no se encuentre en los archivos del sujeto obligado, el Comité de Transparencia:</w:t>
      </w:r>
    </w:p>
    <w:p w:rsidR="00F97EE5" w:rsidRDefault="00A25A46">
      <w:pPr>
        <w:ind w:left="851" w:right="992"/>
        <w:jc w:val="both"/>
        <w:rPr>
          <w:rFonts w:ascii="Palatino Linotype" w:hAnsi="Palatino Linotype" w:cs="Arial"/>
          <w:i/>
          <w:sz w:val="22"/>
          <w:szCs w:val="22"/>
          <w:u w:val="single"/>
        </w:rPr>
      </w:pPr>
      <w:r>
        <w:rPr>
          <w:rFonts w:ascii="Palatino Linotype" w:hAnsi="Palatino Linotype" w:cs="Arial"/>
          <w:b/>
          <w:i/>
          <w:sz w:val="22"/>
          <w:szCs w:val="22"/>
        </w:rPr>
        <w:t>…</w:t>
      </w:r>
    </w:p>
    <w:p w:rsidR="00F97EE5" w:rsidRDefault="00A25A46">
      <w:pPr>
        <w:ind w:left="851" w:right="992"/>
        <w:jc w:val="both"/>
        <w:rPr>
          <w:rFonts w:ascii="Palatino Linotype" w:hAnsi="Palatino Linotype" w:cs="Arial"/>
          <w:i/>
          <w:sz w:val="22"/>
          <w:szCs w:val="22"/>
          <w:u w:val="single"/>
        </w:rPr>
      </w:pPr>
      <w:r>
        <w:rPr>
          <w:rFonts w:ascii="Palatino Linotype" w:hAnsi="Palatino Linotype" w:cs="Arial"/>
          <w:b/>
          <w:i/>
          <w:sz w:val="22"/>
          <w:szCs w:val="22"/>
        </w:rPr>
        <w:t>II.</w:t>
      </w:r>
      <w:r>
        <w:rPr>
          <w:rFonts w:ascii="Palatino Linotype" w:hAnsi="Palatino Linotype" w:cs="Arial"/>
          <w:i/>
          <w:sz w:val="22"/>
          <w:szCs w:val="22"/>
        </w:rPr>
        <w:t xml:space="preserve"> </w:t>
      </w:r>
      <w:r>
        <w:rPr>
          <w:rFonts w:ascii="Palatino Linotype" w:hAnsi="Palatino Linotype" w:cs="Arial"/>
          <w:i/>
          <w:sz w:val="22"/>
          <w:szCs w:val="22"/>
          <w:u w:val="single"/>
        </w:rPr>
        <w:t>Expedirá una resolución que confirme la inexistencia del documento;</w:t>
      </w:r>
    </w:p>
    <w:p w:rsidR="00F97EE5" w:rsidRDefault="00A25A46">
      <w:pPr>
        <w:ind w:left="851" w:right="992"/>
        <w:jc w:val="both"/>
        <w:rPr>
          <w:rFonts w:ascii="Palatino Linotype" w:hAnsi="Palatino Linotype" w:cs="Arial"/>
          <w:i/>
          <w:sz w:val="22"/>
          <w:szCs w:val="22"/>
        </w:rPr>
      </w:pPr>
      <w:r>
        <w:rPr>
          <w:rFonts w:ascii="Palatino Linotype" w:hAnsi="Palatino Linotype" w:cs="Arial"/>
          <w:i/>
          <w:sz w:val="22"/>
          <w:szCs w:val="22"/>
        </w:rPr>
        <w:t>…</w:t>
      </w:r>
    </w:p>
    <w:p w:rsidR="00F97EE5" w:rsidRDefault="00A25A46">
      <w:pPr>
        <w:ind w:left="851" w:right="992"/>
        <w:jc w:val="both"/>
        <w:rPr>
          <w:rFonts w:ascii="Palatino Linotype" w:hAnsi="Palatino Linotype" w:cs="Arial"/>
          <w:i/>
          <w:sz w:val="22"/>
          <w:szCs w:val="22"/>
          <w:u w:val="single"/>
        </w:rPr>
      </w:pPr>
      <w:r>
        <w:rPr>
          <w:rFonts w:ascii="Palatino Linotype" w:hAnsi="Palatino Linotype" w:cs="Arial"/>
          <w:b/>
          <w:i/>
          <w:sz w:val="22"/>
          <w:szCs w:val="22"/>
        </w:rPr>
        <w:t>Artículo 170.</w:t>
      </w:r>
      <w:r>
        <w:rPr>
          <w:rFonts w:ascii="Palatino Linotype" w:hAnsi="Palatino Linotype" w:cs="Arial"/>
          <w:i/>
          <w:sz w:val="22"/>
          <w:szCs w:val="22"/>
        </w:rPr>
        <w:t xml:space="preserve"> </w:t>
      </w:r>
      <w:r>
        <w:rPr>
          <w:rFonts w:ascii="Palatino Linotype" w:hAnsi="Palatino Linotype" w:cs="Arial"/>
          <w:i/>
          <w:sz w:val="22"/>
          <w:szCs w:val="22"/>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F97EE5" w:rsidRDefault="00F97EE5">
      <w:pPr>
        <w:ind w:right="992"/>
        <w:contextualSpacing/>
        <w:jc w:val="both"/>
        <w:rPr>
          <w:rFonts w:ascii="Palatino Linotype" w:eastAsia="Arial Unicode MS" w:hAnsi="Palatino Linotype" w:cs="Arial"/>
          <w:color w:val="000000" w:themeColor="text1"/>
        </w:rPr>
      </w:pPr>
    </w:p>
    <w:p w:rsidR="00F97EE5" w:rsidRDefault="00A25A46">
      <w:pPr>
        <w:spacing w:line="360" w:lineRule="auto"/>
        <w:ind w:right="51"/>
        <w:contextualSpacing/>
        <w:jc w:val="both"/>
        <w:rPr>
          <w:rFonts w:ascii="Palatino Linotype" w:hAnsi="Palatino Linotype" w:cs="Arial"/>
          <w:color w:val="000000" w:themeColor="text1"/>
        </w:rPr>
      </w:pPr>
      <w:r>
        <w:rPr>
          <w:rFonts w:ascii="Palatino Linotype" w:eastAsia="Arial Unicode MS" w:hAnsi="Palatino Linotype" w:cs="Arial"/>
          <w:color w:val="000000" w:themeColor="text1"/>
        </w:rPr>
        <w:t xml:space="preserve">Es decir, en el supuesto de que la información no obre en los archivos del </w:t>
      </w:r>
      <w:r>
        <w:rPr>
          <w:rFonts w:ascii="Palatino Linotype" w:eastAsia="Arial Unicode MS" w:hAnsi="Palatino Linotype" w:cs="Arial"/>
          <w:b/>
          <w:color w:val="000000" w:themeColor="text1"/>
        </w:rPr>
        <w:t>SUJETO OBLIGADO</w:t>
      </w:r>
      <w:r>
        <w:rPr>
          <w:rFonts w:ascii="Palatino Linotype" w:eastAsia="Arial Unicode MS" w:hAnsi="Palatino Linotype" w:cs="Arial"/>
          <w:color w:val="000000" w:themeColor="text1"/>
        </w:rPr>
        <w:t xml:space="preserve">, deberá proceder a decretar la inexistencia de la información, es decir, </w:t>
      </w:r>
      <w:r>
        <w:rPr>
          <w:rFonts w:ascii="Palatino Linotype" w:hAnsi="Palatino Linotype"/>
          <w:color w:val="000000" w:themeColor="text1"/>
          <w:lang w:eastAsia="en-US"/>
        </w:rPr>
        <w:t>deberá emitir el Acuerdo de Inexistencia respectivo, en el entendido, que el acto de autoridad debe estar debidamente fundado y motivado. Señalando el lugar y fecha de la resolución, el nombre del solicitante, la información solicitada, el fundamento y motivo por el cual se determina que la información solicitada no obra en sus archivos, los nombres y firmas autógrafas de los integrantes del Comité de Información.</w:t>
      </w:r>
    </w:p>
    <w:p w:rsidR="00F97EE5" w:rsidRDefault="00F97EE5">
      <w:pPr>
        <w:spacing w:line="360" w:lineRule="auto"/>
        <w:contextualSpacing/>
        <w:jc w:val="both"/>
        <w:rPr>
          <w:rFonts w:ascii="Palatino Linotype" w:hAnsi="Palatino Linotype"/>
          <w:color w:val="000000" w:themeColor="text1"/>
          <w:lang w:eastAsia="en-US"/>
        </w:rPr>
      </w:pPr>
    </w:p>
    <w:p w:rsidR="00F97EE5" w:rsidRDefault="00A25A46">
      <w:pPr>
        <w:spacing w:line="360" w:lineRule="auto"/>
        <w:contextualSpacing/>
        <w:jc w:val="both"/>
        <w:rPr>
          <w:rFonts w:ascii="Palatino Linotype" w:hAnsi="Palatino Linotype"/>
          <w:color w:val="000000" w:themeColor="text1"/>
          <w:lang w:eastAsia="en-US"/>
        </w:rPr>
      </w:pPr>
      <w:r>
        <w:rPr>
          <w:rFonts w:ascii="Palatino Linotype" w:hAnsi="Palatino Linotype"/>
          <w:color w:val="000000" w:themeColor="text1"/>
          <w:lang w:eastAsia="en-US"/>
        </w:rPr>
        <w:lastRenderedPageBreak/>
        <w:t xml:space="preserve">Sirven de sustento los criterios 0003-11 y 0004-11 aprobados por el Pleno de este Organismo Garante que demuestra qué circunstancias debe emitirse el </w:t>
      </w:r>
      <w:r>
        <w:rPr>
          <w:rFonts w:ascii="Palatino Linotype" w:hAnsi="Palatino Linotype"/>
          <w:b/>
          <w:color w:val="000000" w:themeColor="text1"/>
          <w:lang w:eastAsia="en-US"/>
        </w:rPr>
        <w:t xml:space="preserve">Acuerdo  de inexistencia </w:t>
      </w:r>
      <w:r>
        <w:rPr>
          <w:rFonts w:ascii="Palatino Linotype" w:hAnsi="Palatino Linotype"/>
          <w:color w:val="000000" w:themeColor="text1"/>
          <w:lang w:eastAsia="en-US"/>
        </w:rPr>
        <w:t>respectiva:</w:t>
      </w:r>
    </w:p>
    <w:p w:rsidR="00F97EE5" w:rsidRDefault="00F97EE5">
      <w:pPr>
        <w:ind w:right="992"/>
        <w:contextualSpacing/>
        <w:jc w:val="both"/>
        <w:rPr>
          <w:rFonts w:ascii="Palatino Linotype" w:hAnsi="Palatino Linotype" w:cs="Arial"/>
          <w:b/>
          <w:color w:val="000000" w:themeColor="text1"/>
        </w:rPr>
      </w:pPr>
    </w:p>
    <w:p w:rsidR="00F97EE5" w:rsidRDefault="00A25A46">
      <w:pPr>
        <w:ind w:left="851" w:right="899"/>
        <w:jc w:val="center"/>
        <w:rPr>
          <w:rFonts w:ascii="Palatino Linotype" w:hAnsi="Palatino Linotype"/>
          <w:b/>
          <w:i/>
          <w:color w:val="000000" w:themeColor="text1"/>
          <w:sz w:val="22"/>
          <w:szCs w:val="22"/>
          <w:lang w:eastAsia="en-US"/>
        </w:rPr>
      </w:pPr>
      <w:r>
        <w:rPr>
          <w:rFonts w:ascii="Palatino Linotype" w:hAnsi="Palatino Linotype"/>
          <w:b/>
          <w:i/>
          <w:color w:val="000000" w:themeColor="text1"/>
          <w:sz w:val="22"/>
          <w:szCs w:val="22"/>
          <w:lang w:eastAsia="en-US"/>
        </w:rPr>
        <w:t>“CRITERIO 0003-11</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b/>
          <w:i/>
          <w:color w:val="000000" w:themeColor="text1"/>
          <w:sz w:val="22"/>
          <w:szCs w:val="22"/>
          <w:lang w:eastAsia="en-US"/>
        </w:rPr>
        <w:t>INEXISTENCIA, CONCEPTO DE, EN MATERIA DE TRANSPARENCIA</w:t>
      </w:r>
      <w:r>
        <w:rPr>
          <w:rFonts w:ascii="Palatino Linotype" w:hAnsi="Palatino Linotype"/>
          <w:i/>
          <w:color w:val="000000" w:themeColor="text1"/>
          <w:sz w:val="22"/>
          <w:szCs w:val="22"/>
          <w:lang w:eastAsia="en-US"/>
        </w:rPr>
        <w:t xml:space="preserve">. La interpretación </w:t>
      </w:r>
      <w:r>
        <w:rPr>
          <w:rFonts w:ascii="Palatino Linotype" w:hAnsi="Palatino Linotype"/>
          <w:b/>
          <w:i/>
          <w:color w:val="000000" w:themeColor="text1"/>
          <w:sz w:val="22"/>
          <w:szCs w:val="22"/>
          <w:lang w:eastAsia="en-US"/>
        </w:rPr>
        <w:t>sistemática</w:t>
      </w:r>
      <w:r>
        <w:rPr>
          <w:rFonts w:ascii="Palatino Linotype" w:hAnsi="Palatino Linotype"/>
          <w:i/>
          <w:color w:val="000000" w:themeColor="text1"/>
          <w:sz w:val="22"/>
          <w:szCs w:val="22"/>
          <w:lang w:eastAsia="en-US"/>
        </w:rPr>
        <w:t xml:space="preserve">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 xml:space="preserve">a) La existencia previa de la documentación y la falta posterior de la misma en los archivos del Sujeto Obligado, esto es, la información se generó, poseyó o </w:t>
      </w:r>
      <w:r>
        <w:rPr>
          <w:rFonts w:ascii="Palatino Linotype" w:hAnsi="Palatino Linotype"/>
          <w:b/>
          <w:i/>
          <w:color w:val="000000" w:themeColor="text1"/>
          <w:sz w:val="22"/>
          <w:szCs w:val="22"/>
          <w:lang w:eastAsia="en-US"/>
        </w:rPr>
        <w:t>administró</w:t>
      </w:r>
      <w:r>
        <w:rPr>
          <w:rFonts w:ascii="Palatino Linotype" w:hAnsi="Palatino Linotype"/>
          <w:i/>
          <w:color w:val="000000" w:themeColor="text1"/>
          <w:sz w:val="22"/>
          <w:szCs w:val="22"/>
          <w:lang w:eastAsia="en-US"/>
        </w:rPr>
        <w:t xml:space="preserve"> –cuestión de hecho– en el marco de las atribuciones conferidas al Sujeto Obligado, pero no la conserva por diversas razones (destrucción física, desaparición física¸ sustracción ilícita, baja documental, etcétera).</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b) En los casos en que por las atribuciones conferidas al Sujeto Obligado éste debió generar, administrar o poseer la información, pero en incumplimiento a la normatividad respectiva no llevó a cabo ninguna de esas acciones.</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Precedentes:</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01287/INFOEM/IP/RR/2010. Ayuntamiento de  Huixquilucan. Sesión 20 de octubre de 2010. Por Unanimidad. Comisionado Rosendoevgueni Monterrey Chepov.</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01379/INFOEM/IP/RR/A/2010. Ayuntamiento de Toluca. Sesión del 01 de diciembre de 201.0. Por Unanimidad. Comisionada Miroslava Carrillo Martínez.</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01679/INFOEM/IP/RR/A/2010. Ayuntamiento de Ecatepec de Morelos. Sesión 3 de febrero de 2011. Por Unanimidad. Comisionado Federico Guzmán Tamayo.</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01073/INFOEM/IP/RR/2011. Ayuntamiento de Huixquilucan. Sesión 12 de mayo de 2011. Por Unanimidad. Comisionada Myrna Araceli García Morón.</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01135/INFOEM/IP/RR/2011. Ayuntamiento de Nezahualcóyotl Sesión 24 de mayo de 2011. Por Unanimidad. Comisionado Arcadio A. Sánchez Henkel Gómeztagle.</w:t>
      </w:r>
    </w:p>
    <w:p w:rsidR="00F97EE5" w:rsidRDefault="00F97EE5">
      <w:pPr>
        <w:ind w:left="851" w:right="899"/>
        <w:jc w:val="both"/>
        <w:rPr>
          <w:rFonts w:ascii="Palatino Linotype" w:hAnsi="Palatino Linotype"/>
          <w:i/>
          <w:color w:val="000000" w:themeColor="text1"/>
          <w:sz w:val="22"/>
          <w:szCs w:val="22"/>
          <w:lang w:eastAsia="en-US"/>
        </w:rPr>
      </w:pPr>
    </w:p>
    <w:p w:rsidR="00F97EE5" w:rsidRDefault="00A25A46">
      <w:pPr>
        <w:ind w:left="851" w:right="899"/>
        <w:jc w:val="center"/>
        <w:rPr>
          <w:rFonts w:ascii="Palatino Linotype" w:hAnsi="Palatino Linotype"/>
          <w:b/>
          <w:i/>
          <w:color w:val="000000" w:themeColor="text1"/>
          <w:sz w:val="22"/>
          <w:szCs w:val="22"/>
          <w:lang w:eastAsia="en-US"/>
        </w:rPr>
      </w:pPr>
      <w:r>
        <w:rPr>
          <w:rFonts w:ascii="Palatino Linotype" w:hAnsi="Palatino Linotype"/>
          <w:b/>
          <w:i/>
          <w:color w:val="000000" w:themeColor="text1"/>
          <w:sz w:val="22"/>
          <w:szCs w:val="22"/>
          <w:lang w:eastAsia="en-US"/>
        </w:rPr>
        <w:t>CRITERIO 0004-11</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b/>
          <w:i/>
          <w:color w:val="000000" w:themeColor="text1"/>
          <w:sz w:val="22"/>
          <w:szCs w:val="22"/>
          <w:lang w:eastAsia="en-US"/>
        </w:rPr>
        <w:lastRenderedPageBreak/>
        <w:t>INEXISTENCIA. DECLARATORIA DE LA. ALCANCES Y PROCEDIMIENTOS</w:t>
      </w:r>
      <w:r>
        <w:rPr>
          <w:rFonts w:ascii="Palatino Linotype" w:hAnsi="Palatino Linotype"/>
          <w:i/>
          <w:color w:val="000000" w:themeColor="text1"/>
          <w:sz w:val="22"/>
          <w:szCs w:val="22"/>
          <w:lang w:eastAsia="en-US"/>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Bajo el entendido de que dicha búsqueda exhaustiva permitirá dos determinaciones:</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1ª) Que se localice la documentación que contenga la información solicitada y de ser así la información pueda entregarse al solicitante en la forma en que se encuentra disponible, o</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2ª) Que no se haya encontrado documento alguno que contenga la información requerida, por lo que agotadas las medidas necesarias de búsqueda de la información y de no encontrarla, el Comité de Información deba emitir el dictamen de declaratoria de inexistencia y notificarlo al interesado.</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F97EE5" w:rsidRPr="00B34D2C" w:rsidRDefault="00A25A46">
      <w:pPr>
        <w:ind w:left="851" w:right="899"/>
        <w:jc w:val="both"/>
        <w:rPr>
          <w:rFonts w:ascii="Palatino Linotype" w:hAnsi="Palatino Linotype"/>
          <w:i/>
          <w:color w:val="000000" w:themeColor="text1"/>
          <w:sz w:val="22"/>
          <w:szCs w:val="22"/>
          <w:lang w:val="pt-BR" w:eastAsia="en-US"/>
        </w:rPr>
      </w:pPr>
      <w:r w:rsidRPr="00B34D2C">
        <w:rPr>
          <w:rFonts w:ascii="Palatino Linotype" w:hAnsi="Palatino Linotype"/>
          <w:i/>
          <w:color w:val="000000" w:themeColor="text1"/>
          <w:sz w:val="22"/>
          <w:szCs w:val="22"/>
          <w:lang w:val="pt-BR" w:eastAsia="en-US"/>
        </w:rPr>
        <w:t>Precedentes:</w:t>
      </w:r>
    </w:p>
    <w:p w:rsidR="00F97EE5" w:rsidRDefault="00A25A46">
      <w:pPr>
        <w:ind w:left="851" w:right="899"/>
        <w:jc w:val="both"/>
        <w:rPr>
          <w:rFonts w:ascii="Palatino Linotype" w:hAnsi="Palatino Linotype"/>
          <w:i/>
          <w:color w:val="000000" w:themeColor="text1"/>
          <w:sz w:val="22"/>
          <w:szCs w:val="22"/>
          <w:lang w:eastAsia="en-US"/>
        </w:rPr>
      </w:pPr>
      <w:r w:rsidRPr="00B34D2C">
        <w:rPr>
          <w:rFonts w:ascii="Palatino Linotype" w:hAnsi="Palatino Linotype"/>
          <w:i/>
          <w:color w:val="000000" w:themeColor="text1"/>
          <w:sz w:val="22"/>
          <w:szCs w:val="22"/>
          <w:lang w:val="pt-BR" w:eastAsia="en-US"/>
        </w:rPr>
        <w:t xml:space="preserve">00360/INFOEM/IP/RR/A/2010. </w:t>
      </w:r>
      <w:r>
        <w:rPr>
          <w:rFonts w:ascii="Palatino Linotype" w:hAnsi="Palatino Linotype"/>
          <w:i/>
          <w:color w:val="000000" w:themeColor="text1"/>
          <w:sz w:val="22"/>
          <w:szCs w:val="22"/>
          <w:lang w:eastAsia="en-US"/>
        </w:rPr>
        <w:t>Ayuntamiento de Texcoco. Sesión 14 de abril de 2010. Por Unanimidad. Comisionado Federico Guzmán Tamayo.</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00807/INFOEM/IP/RR/A/2010. Poder Legislativo. Sesión 16 de agosto de 2010. Por Unanimidad. Comisionado Rosendoevgueni Monterrey Chepov.</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lastRenderedPageBreak/>
        <w:t>01410/INFOEM/IP/RR/2010, Ayuntamiento de La Paz. Sesión 1º de diciembre de 2010. Por Unanimidad. Comisionado Federico Guzmán.</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i/>
          <w:color w:val="000000" w:themeColor="text1"/>
          <w:sz w:val="22"/>
          <w:szCs w:val="22"/>
          <w:lang w:eastAsia="en-US"/>
        </w:rPr>
        <w:t>01010/INFOEM/IP/RR/2011, Junta de Caminos del Estado de México. Sesión 28 de abril de 2011. Por Unanimidad. Comisionado Arcadio A. Sánchez Henkel Gómeztagle.</w:t>
      </w:r>
    </w:p>
    <w:p w:rsidR="00F97EE5" w:rsidRDefault="00A25A46">
      <w:pPr>
        <w:ind w:left="851" w:right="899"/>
        <w:jc w:val="both"/>
        <w:rPr>
          <w:rFonts w:ascii="Palatino Linotype" w:hAnsi="Palatino Linotype"/>
          <w:b/>
          <w:i/>
          <w:color w:val="000000" w:themeColor="text1"/>
          <w:sz w:val="22"/>
          <w:szCs w:val="22"/>
          <w:lang w:eastAsia="en-US"/>
        </w:rPr>
      </w:pPr>
      <w:r>
        <w:rPr>
          <w:rFonts w:ascii="Palatino Linotype" w:hAnsi="Palatino Linotype"/>
          <w:i/>
          <w:color w:val="000000" w:themeColor="text1"/>
          <w:sz w:val="22"/>
          <w:szCs w:val="22"/>
          <w:lang w:eastAsia="en-US"/>
        </w:rPr>
        <w:t>01148/INFOEM/IP/RR/201. Ayuntamiento de Huixquilucan. Sesión 24 de mayo 2011. Por Unanimidad. Comisionado Myrna Araceli García Morón.</w:t>
      </w:r>
      <w:r>
        <w:rPr>
          <w:rFonts w:ascii="Palatino Linotype" w:hAnsi="Palatino Linotype"/>
          <w:b/>
          <w:i/>
          <w:color w:val="000000" w:themeColor="text1"/>
          <w:sz w:val="22"/>
          <w:szCs w:val="22"/>
          <w:lang w:eastAsia="en-US"/>
        </w:rPr>
        <w:t>”</w:t>
      </w:r>
    </w:p>
    <w:p w:rsidR="00F97EE5" w:rsidRDefault="00F97EE5">
      <w:pPr>
        <w:ind w:right="992"/>
        <w:contextualSpacing/>
        <w:jc w:val="both"/>
        <w:rPr>
          <w:rFonts w:ascii="Palatino Linotype" w:hAnsi="Palatino Linotype"/>
          <w:color w:val="000000" w:themeColor="text1"/>
          <w:lang w:eastAsia="en-US"/>
        </w:rPr>
      </w:pPr>
    </w:p>
    <w:p w:rsidR="00F97EE5" w:rsidRDefault="00A25A46">
      <w:pPr>
        <w:spacing w:line="360" w:lineRule="auto"/>
        <w:ind w:right="51"/>
        <w:contextualSpacing/>
        <w:jc w:val="both"/>
        <w:rPr>
          <w:rFonts w:ascii="Palatino Linotype" w:hAnsi="Palatino Linotype"/>
          <w:color w:val="000000" w:themeColor="text1"/>
          <w:lang w:eastAsia="en-US"/>
        </w:rPr>
      </w:pPr>
      <w:r>
        <w:rPr>
          <w:rFonts w:ascii="Palatino Linotype" w:hAnsi="Palatino Linotype"/>
          <w:color w:val="000000" w:themeColor="text1"/>
          <w:lang w:eastAsia="en-US"/>
        </w:rPr>
        <w:t xml:space="preserve">Por ello, como se prevé en los criterios anteriores, es necesario que los </w:t>
      </w:r>
      <w:r>
        <w:rPr>
          <w:rFonts w:ascii="Palatino Linotype" w:hAnsi="Palatino Linotype"/>
          <w:b/>
          <w:color w:val="000000" w:themeColor="text1"/>
          <w:lang w:eastAsia="en-US"/>
        </w:rPr>
        <w:t>SUJETOS OBLIGADOS</w:t>
      </w:r>
      <w:r>
        <w:rPr>
          <w:rFonts w:ascii="Palatino Linotype" w:hAnsi="Palatino Linotype"/>
          <w:color w:val="000000" w:themeColor="text1"/>
          <w:lang w:eastAsia="en-US"/>
        </w:rPr>
        <w:t>, realicen previo a una declaratoria de inexistencia, una búsqueda exhaustiva y razonable, con la cual se busca garantizar y hacer fehaciente el hecho de que la información ahora requerida por el solicitante fue buscada minuciosamente dentro del ámbito de sus competencias y, de ser el caso de no localizarse, se emitirá el Acuerdo del Comité en el que se establecerá de manera fundada y motivada la declaratoria de inexistencia.</w:t>
      </w:r>
    </w:p>
    <w:p w:rsidR="00F97EE5" w:rsidRDefault="00F97EE5">
      <w:pPr>
        <w:spacing w:line="360" w:lineRule="auto"/>
        <w:ind w:right="51"/>
        <w:contextualSpacing/>
        <w:jc w:val="both"/>
        <w:rPr>
          <w:rFonts w:ascii="Palatino Linotype" w:hAnsi="Palatino Linotype"/>
          <w:color w:val="000000" w:themeColor="text1"/>
          <w:lang w:eastAsia="en-US"/>
        </w:rPr>
      </w:pPr>
    </w:p>
    <w:p w:rsidR="00F97EE5" w:rsidRDefault="00A25A46">
      <w:pPr>
        <w:spacing w:line="360" w:lineRule="auto"/>
        <w:ind w:right="51"/>
        <w:contextualSpacing/>
        <w:jc w:val="both"/>
        <w:rPr>
          <w:rFonts w:ascii="Palatino Linotype" w:hAnsi="Palatino Linotype"/>
          <w:color w:val="000000" w:themeColor="text1"/>
          <w:lang w:eastAsia="en-US"/>
        </w:rPr>
      </w:pPr>
      <w:r>
        <w:rPr>
          <w:rFonts w:ascii="Palatino Linotype" w:hAnsi="Palatino Linotype"/>
          <w:color w:val="000000" w:themeColor="text1"/>
          <w:lang w:eastAsia="en-US"/>
        </w:rPr>
        <w:t xml:space="preserve">Adicionalmente, es aplicable por analogía el Criterio 17/17 del </w:t>
      </w:r>
      <w:r>
        <w:rPr>
          <w:rFonts w:ascii="Palatino Linotype" w:hAnsi="Palatino Linotype" w:cs="Arial"/>
          <w:b/>
          <w:bCs/>
          <w:color w:val="000000" w:themeColor="text1"/>
          <w:lang w:eastAsia="en-US"/>
        </w:rPr>
        <w:t xml:space="preserve">Instituto Nacional de Transparencia, Acceso a la Información y Protección de Datos Personales, </w:t>
      </w:r>
      <w:r>
        <w:rPr>
          <w:rFonts w:ascii="Palatino Linotype" w:hAnsi="Palatino Linotype"/>
          <w:color w:val="000000" w:themeColor="text1"/>
          <w:lang w:eastAsia="en-US"/>
        </w:rPr>
        <w:t>que a la letra dice:</w:t>
      </w:r>
    </w:p>
    <w:p w:rsidR="00F97EE5" w:rsidRDefault="00F97EE5">
      <w:pPr>
        <w:ind w:right="992"/>
        <w:contextualSpacing/>
        <w:jc w:val="both"/>
        <w:rPr>
          <w:rFonts w:ascii="Palatino Linotype" w:hAnsi="Palatino Linotype"/>
          <w:color w:val="000000" w:themeColor="text1"/>
          <w:lang w:eastAsia="en-US"/>
        </w:rPr>
      </w:pP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b/>
          <w:i/>
          <w:color w:val="000000" w:themeColor="text1"/>
          <w:sz w:val="22"/>
          <w:szCs w:val="22"/>
          <w:lang w:eastAsia="en-US"/>
        </w:rPr>
        <w:t>“Inexistencia.</w:t>
      </w:r>
      <w:r>
        <w:rPr>
          <w:rFonts w:ascii="Palatino Linotype" w:hAnsi="Palatino Linotype"/>
          <w:i/>
          <w:color w:val="000000" w:themeColor="text1"/>
          <w:sz w:val="22"/>
          <w:szCs w:val="22"/>
          <w:lang w:eastAsia="en-US"/>
        </w:rPr>
        <w:t xml:space="preserve"> La inexistencia es una cuestión de hecho que se atribuye a la información solicitada e implica que ésta no se encuentra en los archivos del sujeto obligado, no obstante que cuenta con facultades para poseerla.</w:t>
      </w:r>
    </w:p>
    <w:p w:rsidR="00F97EE5" w:rsidRDefault="00A25A46">
      <w:pPr>
        <w:ind w:left="851" w:right="899"/>
        <w:jc w:val="both"/>
        <w:rPr>
          <w:rFonts w:ascii="Palatino Linotype" w:hAnsi="Palatino Linotype"/>
          <w:b/>
          <w:i/>
          <w:color w:val="000000" w:themeColor="text1"/>
          <w:sz w:val="22"/>
          <w:szCs w:val="22"/>
          <w:lang w:eastAsia="en-US"/>
        </w:rPr>
      </w:pPr>
      <w:r>
        <w:rPr>
          <w:rFonts w:ascii="Palatino Linotype" w:hAnsi="Palatino Linotype"/>
          <w:b/>
          <w:i/>
          <w:color w:val="000000" w:themeColor="text1"/>
          <w:sz w:val="22"/>
          <w:szCs w:val="22"/>
          <w:lang w:eastAsia="en-US"/>
        </w:rPr>
        <w:t xml:space="preserve">Resoluciones: </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b/>
          <w:i/>
          <w:color w:val="000000" w:themeColor="text1"/>
          <w:sz w:val="22"/>
          <w:szCs w:val="22"/>
          <w:lang w:eastAsia="en-US"/>
        </w:rPr>
        <w:t>RRA 4669/16.</w:t>
      </w:r>
      <w:r>
        <w:rPr>
          <w:rFonts w:ascii="Palatino Linotype" w:hAnsi="Palatino Linotype"/>
          <w:i/>
          <w:color w:val="000000" w:themeColor="text1"/>
          <w:sz w:val="22"/>
          <w:szCs w:val="22"/>
          <w:lang w:eastAsia="en-US"/>
        </w:rPr>
        <w:t xml:space="preserve"> Instituto Nacional Electoral. 18 de enero de 2017. Por unanimidad. Comisionado Ponente Joel Salas Suárez. </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b/>
          <w:i/>
          <w:color w:val="000000" w:themeColor="text1"/>
          <w:sz w:val="22"/>
          <w:szCs w:val="22"/>
          <w:lang w:eastAsia="en-US"/>
        </w:rPr>
        <w:t>RRA 0183/17.</w:t>
      </w:r>
      <w:r>
        <w:rPr>
          <w:rFonts w:ascii="Palatino Linotype" w:hAnsi="Palatino Linotype"/>
          <w:i/>
          <w:color w:val="000000" w:themeColor="text1"/>
          <w:sz w:val="22"/>
          <w:szCs w:val="22"/>
          <w:lang w:eastAsia="en-US"/>
        </w:rPr>
        <w:t xml:space="preserve"> Nueva Alianza. 01 de febrero de 2017. Por unanimidad. Comisionado Ponente Francisco Javier Acuña Llamas. </w:t>
      </w:r>
    </w:p>
    <w:p w:rsidR="00F97EE5" w:rsidRDefault="00A25A46">
      <w:pPr>
        <w:ind w:left="851" w:right="899"/>
        <w:jc w:val="both"/>
        <w:rPr>
          <w:rFonts w:ascii="Palatino Linotype" w:hAnsi="Palatino Linotype"/>
          <w:i/>
          <w:color w:val="000000" w:themeColor="text1"/>
          <w:sz w:val="22"/>
          <w:szCs w:val="22"/>
          <w:lang w:eastAsia="en-US"/>
        </w:rPr>
      </w:pPr>
      <w:r>
        <w:rPr>
          <w:rFonts w:ascii="Palatino Linotype" w:hAnsi="Palatino Linotype"/>
          <w:b/>
          <w:i/>
          <w:color w:val="000000" w:themeColor="text1"/>
          <w:sz w:val="22"/>
          <w:szCs w:val="22"/>
          <w:lang w:eastAsia="en-US"/>
        </w:rPr>
        <w:t>RRA 4484/16.</w:t>
      </w:r>
      <w:r>
        <w:rPr>
          <w:rFonts w:ascii="Palatino Linotype" w:hAnsi="Palatino Linotype"/>
          <w:i/>
          <w:color w:val="000000" w:themeColor="text1"/>
          <w:sz w:val="22"/>
          <w:szCs w:val="22"/>
          <w:lang w:eastAsia="en-US"/>
        </w:rPr>
        <w:t xml:space="preserve"> Instituto Nacional de Migración. 16 de febrero de 2017. Por mayoría de seis votos a favor y uno en contra de la Comisionada Areli Cano Guadiana. Comisionada Ponente María Patricia Kurczyn Villalobos.”</w:t>
      </w:r>
    </w:p>
    <w:p w:rsidR="00F97EE5" w:rsidRDefault="00F97EE5">
      <w:pPr>
        <w:ind w:left="1287" w:right="992"/>
        <w:contextualSpacing/>
        <w:jc w:val="both"/>
        <w:rPr>
          <w:rFonts w:ascii="Palatino Linotype" w:hAnsi="Palatino Linotype"/>
          <w:i/>
          <w:color w:val="000000" w:themeColor="text1"/>
          <w:sz w:val="22"/>
          <w:szCs w:val="22"/>
          <w:lang w:eastAsia="en-US"/>
        </w:rPr>
      </w:pPr>
    </w:p>
    <w:p w:rsidR="00F97EE5" w:rsidRDefault="00A25A46">
      <w:pPr>
        <w:spacing w:line="360" w:lineRule="auto"/>
        <w:ind w:right="-91"/>
        <w:contextualSpacing/>
        <w:jc w:val="both"/>
        <w:rPr>
          <w:rFonts w:ascii="Palatino Linotype" w:hAnsi="Palatino Linotype"/>
          <w:color w:val="000000" w:themeColor="text1"/>
          <w:lang w:eastAsia="en-US"/>
        </w:rPr>
      </w:pPr>
      <w:r>
        <w:rPr>
          <w:rFonts w:ascii="Palatino Linotype" w:hAnsi="Palatino Linotype"/>
          <w:color w:val="000000" w:themeColor="text1"/>
          <w:lang w:eastAsia="en-US"/>
        </w:rPr>
        <w:lastRenderedPageBreak/>
        <w:t xml:space="preserve">En consecuencia, este Órgano Garante determina ordenar al </w:t>
      </w:r>
      <w:r>
        <w:rPr>
          <w:rFonts w:ascii="Palatino Linotype" w:hAnsi="Palatino Linotype"/>
          <w:b/>
          <w:color w:val="000000" w:themeColor="text1"/>
          <w:lang w:eastAsia="en-US"/>
        </w:rPr>
        <w:t xml:space="preserve">SUJETO OBLIGADO </w:t>
      </w:r>
      <w:r>
        <w:rPr>
          <w:rFonts w:ascii="Palatino Linotype" w:hAnsi="Palatino Linotype"/>
          <w:color w:val="000000" w:themeColor="text1"/>
          <w:lang w:eastAsia="en-US"/>
        </w:rPr>
        <w:t xml:space="preserve">haga entrega previa búsqueda exhaustiva y razonable en </w:t>
      </w:r>
      <w:r>
        <w:rPr>
          <w:rFonts w:ascii="Palatino Linotype" w:hAnsi="Palatino Linotype"/>
          <w:b/>
          <w:color w:val="000000" w:themeColor="text1"/>
          <w:lang w:eastAsia="en-US"/>
        </w:rPr>
        <w:t xml:space="preserve">versión pública </w:t>
      </w:r>
      <w:r>
        <w:rPr>
          <w:rFonts w:ascii="Palatino Linotype" w:hAnsi="Palatino Linotype"/>
          <w:color w:val="000000" w:themeColor="text1"/>
          <w:lang w:eastAsia="en-US"/>
        </w:rPr>
        <w:t>las facturas derivadas de los de los contratos relacionadas con convenciones, cursos, y demás reuniones de trabajo, adjudicadas del uno de enero de dos mil diecisiete al diez de febrero de dos mil veinte</w:t>
      </w:r>
      <w:r>
        <w:rPr>
          <w:rFonts w:ascii="Palatino Linotype" w:hAnsi="Palatino Linotype" w:cs="Arial"/>
        </w:rPr>
        <w:t xml:space="preserve">; sin embargo para el caso de que la información si haya sido generada pero no sea localizada, </w:t>
      </w:r>
      <w:r>
        <w:rPr>
          <w:rFonts w:ascii="Palatino Linotype" w:hAnsi="Palatino Linotype" w:cs="Arial"/>
          <w:b/>
        </w:rPr>
        <w:t xml:space="preserve">EL SUJETO OBLIGADO </w:t>
      </w:r>
      <w:r>
        <w:rPr>
          <w:rFonts w:ascii="Palatino Linotype" w:hAnsi="Palatino Linotype" w:cs="Arial"/>
        </w:rPr>
        <w:t>deberá a través de su Comité de Transparencia a emitir el Acuerdo de Inexistencia</w:t>
      </w:r>
      <w:r>
        <w:rPr>
          <w:rFonts w:ascii="Palatino Linotype" w:eastAsia="Calibri" w:hAnsi="Palatino Linotype" w:cs="Arial"/>
        </w:rPr>
        <w:t xml:space="preserve">, cumpliendo con las formalidades precisadas anteriormente. </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cs="Arial"/>
        </w:rPr>
      </w:pPr>
      <w:r>
        <w:rPr>
          <w:rFonts w:ascii="Palatino Linotype" w:hAnsi="Palatino Linotype" w:cs="Arial"/>
        </w:rPr>
        <w:t>Por lo anterior, es de importancia señalar que cuando los documentos contengan información considerada como confidencial, la Unidad de Transparencia para efectos de atender una solicitud de información, el artículo 137 de la Ley de Transparencia y Acceso a la Información Pública del Estado de México y Municipios, permite la elaboración de versiones públicas.</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hAnsi="Palatino Linotype"/>
        </w:rPr>
      </w:pPr>
      <w:r>
        <w:rPr>
          <w:rFonts w:ascii="Palatino Linotype" w:hAnsi="Palatino Linotype" w:cs="Arial"/>
          <w:lang w:eastAsia="es-MX"/>
        </w:rPr>
        <w:t xml:space="preserve">En virtud de lo preceptuado, y en razón de que </w:t>
      </w:r>
      <w:r>
        <w:rPr>
          <w:rFonts w:ascii="Palatino Linotype" w:hAnsi="Palatino Linotype" w:cs="Arial"/>
          <w:b/>
          <w:lang w:eastAsia="es-MX"/>
        </w:rPr>
        <w:t xml:space="preserve">EL SUJETO OBLIGADO </w:t>
      </w:r>
      <w:r>
        <w:rPr>
          <w:rFonts w:ascii="Palatino Linotype" w:hAnsi="Palatino Linotype" w:cs="Arial"/>
          <w:lang w:eastAsia="es-MX"/>
        </w:rPr>
        <w:t xml:space="preserve">genera, posee y administra la información solicitada por </w:t>
      </w:r>
      <w:r>
        <w:rPr>
          <w:rFonts w:ascii="Palatino Linotype" w:hAnsi="Palatino Linotype" w:cs="Arial"/>
          <w:b/>
          <w:lang w:eastAsia="es-MX"/>
        </w:rPr>
        <w:t xml:space="preserve">EL RECURRENTE, </w:t>
      </w:r>
      <w:r>
        <w:rPr>
          <w:rFonts w:ascii="Palatino Linotype" w:hAnsi="Palatino Linotype" w:cs="Arial"/>
          <w:lang w:eastAsia="es-MX"/>
        </w:rPr>
        <w:t xml:space="preserve">es </w:t>
      </w:r>
      <w:r>
        <w:rPr>
          <w:rFonts w:ascii="Palatino Linotype" w:hAnsi="Palatino Linotype" w:cs="Arial"/>
          <w:bCs/>
          <w:lang w:eastAsia="es-MX"/>
        </w:rPr>
        <w:t>dable</w:t>
      </w:r>
      <w:r>
        <w:rPr>
          <w:rFonts w:ascii="Palatino Linotype" w:hAnsi="Palatino Linotype" w:cs="Arial"/>
          <w:lang w:eastAsia="es-MX"/>
        </w:rPr>
        <w:t xml:space="preserve"> ordenar al </w:t>
      </w:r>
      <w:r>
        <w:rPr>
          <w:rFonts w:ascii="Palatino Linotype" w:hAnsi="Palatino Linotype" w:cs="Arial"/>
          <w:b/>
          <w:lang w:eastAsia="es-MX"/>
        </w:rPr>
        <w:t xml:space="preserve">SUJETO OBLIGADO </w:t>
      </w:r>
      <w:r>
        <w:rPr>
          <w:rFonts w:ascii="Palatino Linotype" w:hAnsi="Palatino Linotype" w:cs="Arial"/>
          <w:lang w:eastAsia="es-MX"/>
        </w:rPr>
        <w:t xml:space="preserve">la entrega en </w:t>
      </w:r>
      <w:r>
        <w:rPr>
          <w:rFonts w:ascii="Palatino Linotype" w:hAnsi="Palatino Linotype" w:cs="Arial"/>
          <w:b/>
          <w:lang w:eastAsia="es-MX"/>
        </w:rPr>
        <w:t>versión pública</w:t>
      </w:r>
      <w:r>
        <w:rPr>
          <w:rFonts w:ascii="Palatino Linotype" w:hAnsi="Palatino Linotype" w:cs="Arial"/>
          <w:lang w:eastAsia="es-MX"/>
        </w:rPr>
        <w:t xml:space="preserve">, </w:t>
      </w:r>
      <w:r>
        <w:rPr>
          <w:rFonts w:ascii="Palatino Linotype" w:eastAsia="Arial Unicode MS" w:hAnsi="Palatino Linotype" w:cs="Arial"/>
        </w:rPr>
        <w:t>esto es, que omitirá, eliminará o suprimirá la información considerada como</w:t>
      </w:r>
      <w:r>
        <w:rPr>
          <w:rFonts w:ascii="Palatino Linotype" w:hAnsi="Palatino Linotype"/>
        </w:rPr>
        <w:t xml:space="preserve"> confidencial, cuyo acceso debe ser restringido, los cuales </w:t>
      </w:r>
      <w:r>
        <w:rPr>
          <w:rFonts w:ascii="Palatino Linotype" w:hAnsi="Palatino Linotype" w:cs="Arial"/>
        </w:rPr>
        <w:t>deben testarse al momento de la elaboración de versiones públicas, como es el caso de manera enunciativa más no limitativa del número de cuenta bancaria</w:t>
      </w:r>
      <w:r>
        <w:rPr>
          <w:rFonts w:ascii="Palatino Linotype" w:hAnsi="Palatino Linotype"/>
        </w:rPr>
        <w:t xml:space="preserve"> de las personas físicas, pues es información que sólo su titular o personas autorizadas poseen para el acceso o consulta de información patrimonial, o para la realización de operaciones bancarias de diversa naturaleza, por lo que la </w:t>
      </w:r>
      <w:r>
        <w:rPr>
          <w:rFonts w:ascii="Palatino Linotype" w:hAnsi="Palatino Linotype"/>
        </w:rPr>
        <w:lastRenderedPageBreak/>
        <w:t>difusión pública del mismo facilitaría la afectación al patrimonio del titular de la cuenta.</w:t>
      </w:r>
    </w:p>
    <w:p w:rsidR="00F97EE5" w:rsidRDefault="00F97EE5">
      <w:pPr>
        <w:spacing w:line="360" w:lineRule="auto"/>
        <w:jc w:val="both"/>
        <w:rPr>
          <w:rFonts w:ascii="Palatino Linotype" w:hAnsi="Palatino Linotype"/>
        </w:rPr>
      </w:pPr>
    </w:p>
    <w:p w:rsidR="00F97EE5" w:rsidRDefault="00A25A46">
      <w:pPr>
        <w:spacing w:line="360" w:lineRule="auto"/>
        <w:ind w:right="50"/>
        <w:jc w:val="both"/>
        <w:rPr>
          <w:rFonts w:ascii="Palatino Linotype" w:hAnsi="Palatino Linotype"/>
        </w:rPr>
      </w:pPr>
      <w:r>
        <w:rPr>
          <w:rFonts w:ascii="Palatino Linotype" w:hAnsi="Palatino Linotype"/>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rsidR="00F97EE5" w:rsidRDefault="00F97EE5">
      <w:pPr>
        <w:spacing w:line="360" w:lineRule="auto"/>
        <w:ind w:right="50"/>
        <w:jc w:val="both"/>
        <w:rPr>
          <w:rFonts w:ascii="Palatino Linotype" w:hAnsi="Palatino Linotype"/>
        </w:rPr>
      </w:pPr>
    </w:p>
    <w:p w:rsidR="00F97EE5" w:rsidRDefault="00A25A46">
      <w:pPr>
        <w:spacing w:line="360" w:lineRule="auto"/>
        <w:ind w:right="51"/>
        <w:jc w:val="both"/>
        <w:rPr>
          <w:rFonts w:ascii="Palatino Linotype" w:hAnsi="Palatino Linotype"/>
        </w:rPr>
      </w:pPr>
      <w:r>
        <w:rPr>
          <w:rFonts w:ascii="Palatino Linotype" w:hAnsi="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F97EE5" w:rsidRDefault="00F97EE5">
      <w:pPr>
        <w:spacing w:line="360" w:lineRule="auto"/>
        <w:ind w:right="51"/>
        <w:jc w:val="both"/>
        <w:rPr>
          <w:rFonts w:ascii="Palatino Linotype" w:hAnsi="Palatino Linotype"/>
        </w:rPr>
      </w:pPr>
    </w:p>
    <w:p w:rsidR="00F97EE5" w:rsidRDefault="00A25A46">
      <w:pPr>
        <w:spacing w:line="360" w:lineRule="auto"/>
        <w:ind w:right="50"/>
        <w:jc w:val="both"/>
        <w:rPr>
          <w:rFonts w:ascii="Palatino Linotype" w:hAnsi="Palatino Linotype"/>
        </w:rPr>
      </w:pPr>
      <w:r>
        <w:rPr>
          <w:rFonts w:ascii="Palatino Linotype" w:hAnsi="Palatino Linotype"/>
        </w:rPr>
        <w:t>Lo anterior encuentra sustento en el criterio 10/17 emitido por el Instituto Nacional de Transparencia y Acceso a la Información Pública del Estado de México y Municipios, que a la letra dicen:</w:t>
      </w:r>
    </w:p>
    <w:p w:rsidR="00F97EE5" w:rsidRDefault="00F97EE5">
      <w:pPr>
        <w:ind w:right="50"/>
        <w:jc w:val="both"/>
        <w:rPr>
          <w:rFonts w:ascii="Palatino Linotype" w:hAnsi="Palatino Linotype"/>
        </w:rPr>
      </w:pPr>
    </w:p>
    <w:p w:rsidR="00F97EE5" w:rsidRDefault="00A25A46">
      <w:pPr>
        <w:ind w:left="851" w:right="899"/>
        <w:jc w:val="both"/>
        <w:rPr>
          <w:rFonts w:ascii="Palatino Linotype" w:hAnsi="Palatino Linotype"/>
          <w:i/>
          <w:sz w:val="22"/>
          <w:szCs w:val="22"/>
        </w:rPr>
      </w:pPr>
      <w:r>
        <w:rPr>
          <w:rFonts w:ascii="Palatino Linotype" w:hAnsi="Palatino Linotype"/>
          <w:b/>
          <w:i/>
          <w:sz w:val="22"/>
          <w:szCs w:val="22"/>
        </w:rPr>
        <w:t>“Cuentas bancarias y/o CLABE interbancaria de personas físicas y morales privadas.</w:t>
      </w:r>
      <w:r>
        <w:rPr>
          <w:rFonts w:ascii="Palatino Linotype" w:hAnsi="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w:t>
      </w:r>
      <w:r>
        <w:rPr>
          <w:rFonts w:ascii="Palatino Linotype" w:hAnsi="Palatino Linotype"/>
          <w:i/>
          <w:sz w:val="22"/>
          <w:szCs w:val="22"/>
        </w:rPr>
        <w:lastRenderedPageBreak/>
        <w:t>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F97EE5" w:rsidRDefault="00F97EE5">
      <w:pPr>
        <w:ind w:left="851" w:right="899"/>
        <w:jc w:val="center"/>
        <w:rPr>
          <w:rFonts w:ascii="Palatino Linotype" w:hAnsi="Palatino Linotype"/>
          <w:b/>
          <w:i/>
          <w:sz w:val="22"/>
          <w:szCs w:val="22"/>
        </w:rPr>
      </w:pPr>
    </w:p>
    <w:p w:rsidR="00F97EE5" w:rsidRDefault="00A25A46">
      <w:pPr>
        <w:ind w:left="851" w:right="899"/>
        <w:jc w:val="both"/>
        <w:rPr>
          <w:rFonts w:ascii="Palatino Linotype" w:hAnsi="Palatino Linotype"/>
          <w:b/>
          <w:i/>
          <w:sz w:val="22"/>
          <w:szCs w:val="22"/>
        </w:rPr>
      </w:pPr>
      <w:r>
        <w:rPr>
          <w:rFonts w:ascii="Palatino Linotype" w:hAnsi="Palatino Linotype"/>
          <w:b/>
          <w:i/>
          <w:sz w:val="22"/>
          <w:szCs w:val="22"/>
        </w:rPr>
        <w:t xml:space="preserve"> Resoluciones: </w:t>
      </w:r>
    </w:p>
    <w:p w:rsidR="00F97EE5" w:rsidRDefault="00A25A46">
      <w:pPr>
        <w:numPr>
          <w:ilvl w:val="0"/>
          <w:numId w:val="5"/>
        </w:numPr>
        <w:ind w:left="1276" w:right="899" w:hanging="283"/>
        <w:contextualSpacing/>
        <w:jc w:val="both"/>
        <w:rPr>
          <w:rFonts w:ascii="Palatino Linotype" w:hAnsi="Palatino Linotype"/>
          <w:i/>
          <w:sz w:val="22"/>
          <w:szCs w:val="22"/>
        </w:rPr>
      </w:pPr>
      <w:r>
        <w:rPr>
          <w:rFonts w:ascii="Palatino Linotype" w:hAnsi="Palatino Linotype"/>
          <w:b/>
          <w:i/>
          <w:sz w:val="22"/>
          <w:szCs w:val="22"/>
        </w:rPr>
        <w:t>RRA 1276/16</w:t>
      </w:r>
      <w:r>
        <w:rPr>
          <w:rFonts w:ascii="Palatino Linotype" w:hAnsi="Palatino Linotype"/>
          <w:i/>
          <w:sz w:val="22"/>
          <w:szCs w:val="22"/>
        </w:rPr>
        <w:t xml:space="preserve"> Grupo Aeroportuario de la Ciudad de México. S.A. de C.V. 01 de noviembre de 2016. Por unanimidad. Comisionada Ponente Areli Cano Guadiana. </w:t>
      </w:r>
    </w:p>
    <w:p w:rsidR="00F97EE5" w:rsidRDefault="00A25A46">
      <w:pPr>
        <w:numPr>
          <w:ilvl w:val="0"/>
          <w:numId w:val="5"/>
        </w:numPr>
        <w:ind w:left="1276" w:right="899" w:hanging="283"/>
        <w:contextualSpacing/>
        <w:jc w:val="both"/>
        <w:rPr>
          <w:rFonts w:ascii="Palatino Linotype" w:hAnsi="Palatino Linotype"/>
          <w:i/>
          <w:sz w:val="22"/>
          <w:szCs w:val="22"/>
        </w:rPr>
      </w:pPr>
      <w:r>
        <w:rPr>
          <w:rFonts w:ascii="Palatino Linotype" w:hAnsi="Palatino Linotype"/>
          <w:b/>
          <w:i/>
          <w:sz w:val="22"/>
          <w:szCs w:val="22"/>
        </w:rPr>
        <w:t>RRA 3527/16</w:t>
      </w:r>
      <w:r>
        <w:rPr>
          <w:rFonts w:ascii="Palatino Linotype" w:hAnsi="Palatino Linotype"/>
          <w:i/>
          <w:sz w:val="22"/>
          <w:szCs w:val="22"/>
        </w:rPr>
        <w:t xml:space="preserve"> Servicio de Administración Tributaria. 07 de diciembre de 2016. Por unanimidad. Comisionada Ponente Ximena Puente de la Mora. </w:t>
      </w:r>
    </w:p>
    <w:p w:rsidR="00F97EE5" w:rsidRDefault="00A25A46">
      <w:pPr>
        <w:numPr>
          <w:ilvl w:val="0"/>
          <w:numId w:val="5"/>
        </w:numPr>
        <w:ind w:left="1276" w:right="899" w:hanging="283"/>
        <w:contextualSpacing/>
        <w:jc w:val="both"/>
        <w:rPr>
          <w:rFonts w:ascii="Palatino Linotype" w:hAnsi="Palatino Linotype"/>
          <w:i/>
          <w:sz w:val="22"/>
          <w:szCs w:val="22"/>
        </w:rPr>
      </w:pPr>
      <w:r>
        <w:rPr>
          <w:rFonts w:ascii="Palatino Linotype" w:hAnsi="Palatino Linotype"/>
          <w:b/>
          <w:i/>
          <w:sz w:val="22"/>
          <w:szCs w:val="22"/>
        </w:rPr>
        <w:t>RRA 4404/16</w:t>
      </w:r>
      <w:r>
        <w:rPr>
          <w:rFonts w:ascii="Palatino Linotype" w:hAnsi="Palatino Linotype"/>
          <w:i/>
          <w:sz w:val="22"/>
          <w:szCs w:val="22"/>
        </w:rPr>
        <w:t xml:space="preserve"> Partido del Trabajo. 01 de febrero de 2017. Por unanimidad. Comisionado Ponente Francisco Acuña Llamas.”</w:t>
      </w:r>
    </w:p>
    <w:p w:rsidR="00F97EE5" w:rsidRDefault="00F97EE5">
      <w:pPr>
        <w:ind w:left="851" w:right="899"/>
        <w:jc w:val="center"/>
        <w:rPr>
          <w:rFonts w:ascii="Palatino Linotype" w:hAnsi="Palatino Linotype"/>
          <w:b/>
          <w:i/>
          <w:sz w:val="22"/>
          <w:szCs w:val="22"/>
        </w:rPr>
      </w:pPr>
    </w:p>
    <w:p w:rsidR="00F97EE5" w:rsidRDefault="00A25A46">
      <w:pPr>
        <w:spacing w:line="360" w:lineRule="auto"/>
        <w:ind w:right="50"/>
        <w:jc w:val="both"/>
        <w:rPr>
          <w:rFonts w:ascii="Palatino Linotype" w:hAnsi="Palatino Linotype"/>
        </w:rPr>
      </w:pPr>
      <w:r>
        <w:rPr>
          <w:rFonts w:ascii="Palatino Linotype" w:hAnsi="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rsidR="00F97EE5" w:rsidRDefault="00F97EE5">
      <w:pPr>
        <w:ind w:right="50"/>
        <w:jc w:val="both"/>
        <w:rPr>
          <w:rFonts w:ascii="Palatino Linotype" w:hAnsi="Palatino Linotype"/>
        </w:rPr>
      </w:pPr>
    </w:p>
    <w:p w:rsidR="00F97EE5" w:rsidRDefault="00A25A46">
      <w:pPr>
        <w:ind w:left="851" w:right="899"/>
        <w:jc w:val="both"/>
        <w:rPr>
          <w:rFonts w:ascii="Palatino Linotype" w:hAnsi="Palatino Linotype"/>
          <w:i/>
          <w:sz w:val="22"/>
          <w:szCs w:val="22"/>
        </w:rPr>
      </w:pPr>
      <w:r>
        <w:rPr>
          <w:rFonts w:ascii="Palatino Linotype" w:hAnsi="Palatino Linotype"/>
          <w:i/>
          <w:sz w:val="22"/>
          <w:szCs w:val="22"/>
        </w:rPr>
        <w:t>“</w:t>
      </w:r>
      <w:r>
        <w:rPr>
          <w:rFonts w:ascii="Palatino Linotype" w:hAnsi="Palatino Linotype"/>
          <w:b/>
          <w:i/>
          <w:sz w:val="22"/>
          <w:szCs w:val="22"/>
        </w:rPr>
        <w:t>Cuentas bancarias y/o CLABE interbancaria de sujetos obligados que reciben y/o transfieren recursos públicos, son información pública.</w:t>
      </w:r>
      <w:r>
        <w:rPr>
          <w:rFonts w:ascii="Palatino Linotype" w:hAnsi="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rsidR="00F97EE5" w:rsidRDefault="00F97EE5">
      <w:pPr>
        <w:ind w:left="851" w:right="899"/>
        <w:jc w:val="both"/>
        <w:rPr>
          <w:rFonts w:ascii="Palatino Linotype" w:hAnsi="Palatino Linotype"/>
          <w:i/>
          <w:sz w:val="22"/>
          <w:szCs w:val="22"/>
        </w:rPr>
      </w:pPr>
    </w:p>
    <w:p w:rsidR="00F97EE5" w:rsidRDefault="00A25A46">
      <w:pPr>
        <w:ind w:left="851" w:right="899"/>
        <w:jc w:val="both"/>
        <w:rPr>
          <w:rFonts w:ascii="Palatino Linotype" w:hAnsi="Palatino Linotype"/>
          <w:b/>
          <w:i/>
          <w:sz w:val="22"/>
          <w:szCs w:val="22"/>
        </w:rPr>
      </w:pPr>
      <w:r>
        <w:rPr>
          <w:rFonts w:ascii="Palatino Linotype" w:hAnsi="Palatino Linotype"/>
          <w:b/>
          <w:i/>
          <w:sz w:val="22"/>
          <w:szCs w:val="22"/>
        </w:rPr>
        <w:t xml:space="preserve"> Resoluciones: </w:t>
      </w:r>
    </w:p>
    <w:p w:rsidR="00F97EE5" w:rsidRDefault="00A25A46">
      <w:pPr>
        <w:numPr>
          <w:ilvl w:val="0"/>
          <w:numId w:val="5"/>
        </w:numPr>
        <w:ind w:left="1276" w:right="899" w:hanging="283"/>
        <w:contextualSpacing/>
        <w:jc w:val="both"/>
        <w:rPr>
          <w:rFonts w:ascii="Palatino Linotype" w:hAnsi="Palatino Linotype"/>
          <w:i/>
          <w:sz w:val="22"/>
          <w:szCs w:val="22"/>
        </w:rPr>
      </w:pPr>
      <w:r>
        <w:rPr>
          <w:rFonts w:ascii="Palatino Linotype" w:hAnsi="Palatino Linotype"/>
          <w:b/>
          <w:i/>
          <w:sz w:val="22"/>
          <w:szCs w:val="22"/>
        </w:rPr>
        <w:t>RRA 0448/16.</w:t>
      </w:r>
      <w:r>
        <w:rPr>
          <w:rFonts w:ascii="Palatino Linotype" w:hAnsi="Palatino Linotype"/>
          <w:i/>
          <w:sz w:val="22"/>
          <w:szCs w:val="22"/>
        </w:rPr>
        <w:t xml:space="preserve"> NOTIMEX, Agencia de Noticias del Estado Mexicano. 24 de agosto de 2016. Por unanimidad. Comisionado Ponente Joel Salas Suárez. </w:t>
      </w:r>
    </w:p>
    <w:p w:rsidR="00F97EE5" w:rsidRDefault="00A25A46">
      <w:pPr>
        <w:numPr>
          <w:ilvl w:val="0"/>
          <w:numId w:val="5"/>
        </w:numPr>
        <w:ind w:left="1276" w:right="899" w:hanging="283"/>
        <w:contextualSpacing/>
        <w:jc w:val="both"/>
        <w:rPr>
          <w:rFonts w:ascii="Palatino Linotype" w:hAnsi="Palatino Linotype"/>
          <w:i/>
          <w:sz w:val="22"/>
          <w:szCs w:val="22"/>
        </w:rPr>
      </w:pPr>
      <w:r>
        <w:rPr>
          <w:rFonts w:ascii="Palatino Linotype" w:hAnsi="Palatino Linotype"/>
          <w:b/>
          <w:i/>
          <w:sz w:val="22"/>
          <w:szCs w:val="22"/>
        </w:rPr>
        <w:t>RRA 2787/16.</w:t>
      </w:r>
      <w:r>
        <w:rPr>
          <w:rFonts w:ascii="Palatino Linotype" w:hAnsi="Palatino Linotype"/>
          <w:i/>
          <w:sz w:val="22"/>
          <w:szCs w:val="22"/>
        </w:rPr>
        <w:t xml:space="preserve"> Colegio de Postgraduados. 01 de noviembre de 2016. Por unanimidad. Comisionado Ponente Francisco Javier Acuña Llamas. </w:t>
      </w:r>
    </w:p>
    <w:p w:rsidR="00F97EE5" w:rsidRDefault="00A25A46">
      <w:pPr>
        <w:numPr>
          <w:ilvl w:val="0"/>
          <w:numId w:val="5"/>
        </w:numPr>
        <w:ind w:left="1276" w:right="899" w:hanging="283"/>
        <w:contextualSpacing/>
        <w:jc w:val="both"/>
        <w:rPr>
          <w:rFonts w:ascii="Palatino Linotype" w:hAnsi="Palatino Linotype"/>
          <w:i/>
          <w:sz w:val="22"/>
          <w:szCs w:val="22"/>
        </w:rPr>
      </w:pPr>
      <w:r>
        <w:rPr>
          <w:rFonts w:ascii="Palatino Linotype" w:hAnsi="Palatino Linotype"/>
          <w:b/>
          <w:i/>
          <w:sz w:val="22"/>
          <w:szCs w:val="22"/>
        </w:rPr>
        <w:t>RRA 4756/16.</w:t>
      </w:r>
      <w:r>
        <w:rPr>
          <w:rFonts w:ascii="Palatino Linotype" w:hAnsi="Palatino Linotype"/>
          <w:i/>
          <w:sz w:val="22"/>
          <w:szCs w:val="22"/>
        </w:rPr>
        <w:t xml:space="preserve"> Instituto Mexicano del Seguro Social. 08 de febrero de 2017. Por unanimidad. Comisionado Ponente Oscar Mauricio Guerra Ford. “</w:t>
      </w:r>
    </w:p>
    <w:p w:rsidR="00F97EE5" w:rsidRDefault="00F97EE5">
      <w:pPr>
        <w:jc w:val="both"/>
        <w:rPr>
          <w:rFonts w:ascii="Palatino Linotype" w:hAnsi="Palatino Linotype" w:cs="Arial"/>
        </w:rPr>
      </w:pPr>
    </w:p>
    <w:p w:rsidR="00F97EE5" w:rsidRDefault="00A25A46">
      <w:pPr>
        <w:spacing w:line="360" w:lineRule="auto"/>
        <w:jc w:val="both"/>
        <w:rPr>
          <w:rFonts w:ascii="Palatino Linotype" w:hAnsi="Palatino Linotype" w:cs="Arial"/>
          <w:lang w:val="es-ES_tradnl"/>
        </w:rPr>
      </w:pPr>
      <w:r>
        <w:rPr>
          <w:rFonts w:ascii="Palatino Linotype" w:hAnsi="Palatino Linotype" w:cs="Arial"/>
          <w:lang w:val="es-ES_tradnl"/>
        </w:rPr>
        <w:t xml:space="preserve">Por ende, en el presente caso, </w:t>
      </w:r>
      <w:r>
        <w:rPr>
          <w:rFonts w:ascii="Palatino Linotype" w:hAnsi="Palatino Linotype" w:cs="Arial"/>
          <w:b/>
          <w:lang w:val="es-ES_tradnl"/>
        </w:rPr>
        <w:t>EL SUJETO OBLIGADO</w:t>
      </w:r>
      <w:r>
        <w:rPr>
          <w:rFonts w:ascii="Palatino Linotype" w:hAnsi="Palatino Linotype" w:cs="Arial"/>
          <w:lang w:val="es-ES_tradnl"/>
        </w:rPr>
        <w:t xml:space="preserve"> debe testar el número de cuenta bancaria de personas físicas y morales privadas, sin pasar por alto que la clasificación respectiva tiene que cumplirse con la forma y formalidades precisadas anteriormente. </w:t>
      </w:r>
    </w:p>
    <w:p w:rsidR="00F97EE5" w:rsidRDefault="00F97EE5">
      <w:pPr>
        <w:spacing w:line="360" w:lineRule="auto"/>
        <w:jc w:val="both"/>
        <w:rPr>
          <w:rFonts w:ascii="Palatino Linotype" w:hAnsi="Palatino Linotype" w:cs="Arial"/>
        </w:rPr>
      </w:pPr>
    </w:p>
    <w:p w:rsidR="00F97EE5" w:rsidRDefault="00A25A46">
      <w:pPr>
        <w:spacing w:line="360" w:lineRule="auto"/>
        <w:jc w:val="both"/>
        <w:rPr>
          <w:rFonts w:ascii="Palatino Linotype" w:eastAsiaTheme="minorEastAsia" w:hAnsi="Palatino Linotype" w:cstheme="minorBidi"/>
          <w:lang w:val="es-ES_tradnl"/>
        </w:rPr>
      </w:pPr>
      <w:r>
        <w:rPr>
          <w:rFonts w:ascii="Palatino Linotype" w:eastAsiaTheme="minorEastAsia" w:hAnsi="Palatino Linotype" w:cstheme="minorBidi"/>
          <w:lang w:val="es-ES_tradnl"/>
        </w:rPr>
        <w:t xml:space="preserve">Finalmente, no se omite comentar que respecto a las documentales remitidas por </w:t>
      </w:r>
      <w:r>
        <w:rPr>
          <w:rFonts w:ascii="Palatino Linotype" w:eastAsiaTheme="minorEastAsia" w:hAnsi="Palatino Linotype" w:cstheme="minorBidi"/>
          <w:b/>
          <w:lang w:val="es-ES_tradnl"/>
        </w:rPr>
        <w:t>EL SUJETO OBLIGADO</w:t>
      </w:r>
      <w:r>
        <w:rPr>
          <w:rFonts w:ascii="Palatino Linotype" w:eastAsiaTheme="minorEastAsia" w:hAnsi="Palatino Linotype" w:cstheme="minorBidi"/>
          <w:lang w:val="es-ES_tradnl"/>
        </w:rPr>
        <w:t>, a fin de dar respuesta a la solicitud planteada, este Instituto no 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rsidR="00F97EE5" w:rsidRDefault="00F97EE5">
      <w:pPr>
        <w:spacing w:line="360" w:lineRule="auto"/>
        <w:jc w:val="both"/>
        <w:rPr>
          <w:rFonts w:ascii="Palatino Linotype" w:eastAsiaTheme="minorEastAsia" w:hAnsi="Palatino Linotype" w:cs="Arial"/>
          <w:sz w:val="20"/>
          <w:szCs w:val="20"/>
          <w:lang w:val="es-ES_tradnl"/>
        </w:rPr>
      </w:pPr>
    </w:p>
    <w:p w:rsidR="00F97EE5" w:rsidRDefault="00A25A46">
      <w:pPr>
        <w:spacing w:line="360" w:lineRule="auto"/>
        <w:jc w:val="both"/>
        <w:rPr>
          <w:rFonts w:ascii="Palatino Linotype" w:eastAsiaTheme="minorEastAsia" w:hAnsi="Palatino Linotype" w:cs="Arial"/>
          <w:lang w:val="es-ES_tradnl"/>
        </w:rPr>
      </w:pPr>
      <w:r>
        <w:rPr>
          <w:rFonts w:ascii="Palatino Linotype" w:eastAsiaTheme="minorEastAsia" w:hAnsi="Palatino Linotype" w:cs="Arial"/>
          <w:lang w:val="es-ES_tradnl"/>
        </w:rPr>
        <w:t xml:space="preserve">Sirve de sustento a lo anterior, el criterio 31/10 emitido por el entonces Instituto Federal de Acceso a la Información y Protección de Datos, ahora Instituto Nacional de Acceso a la Información y Protección de Datos,  el cual refiere: </w:t>
      </w:r>
    </w:p>
    <w:p w:rsidR="00F97EE5" w:rsidRDefault="00F97EE5">
      <w:pPr>
        <w:jc w:val="both"/>
        <w:rPr>
          <w:rFonts w:ascii="Palatino Linotype" w:eastAsiaTheme="minorEastAsia" w:hAnsi="Palatino Linotype" w:cs="Arial"/>
          <w:sz w:val="20"/>
          <w:szCs w:val="20"/>
          <w:lang w:val="es-ES_tradnl"/>
        </w:rPr>
      </w:pPr>
    </w:p>
    <w:p w:rsidR="00F97EE5" w:rsidRDefault="00A25A46">
      <w:pPr>
        <w:ind w:left="709" w:right="899"/>
        <w:jc w:val="both"/>
        <w:rPr>
          <w:rFonts w:ascii="Palatino Linotype" w:eastAsiaTheme="minorEastAsia" w:hAnsi="Palatino Linotype" w:cs="Arial"/>
          <w:i/>
          <w:sz w:val="22"/>
          <w:szCs w:val="20"/>
          <w:lang w:val="es-ES_tradnl"/>
        </w:rPr>
      </w:pPr>
      <w:r>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Pr>
          <w:rFonts w:ascii="Palatino Linotype" w:eastAsiaTheme="minorEastAsia" w:hAnsi="Palatino Linotype" w:cs="Arial"/>
          <w:i/>
          <w:sz w:val="22"/>
          <w:szCs w:val="20"/>
          <w:lang w:val="es-ES_tradnl"/>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w:t>
      </w:r>
      <w:r>
        <w:rPr>
          <w:rFonts w:ascii="Palatino Linotype" w:eastAsiaTheme="minorEastAsia" w:hAnsi="Palatino Linotype" w:cs="Arial"/>
          <w:i/>
          <w:sz w:val="22"/>
          <w:szCs w:val="20"/>
          <w:lang w:val="es-ES_tradnl"/>
        </w:rPr>
        <w:lastRenderedPageBreak/>
        <w:t xml:space="preserve">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rsidR="00F97EE5" w:rsidRDefault="00A25A46">
      <w:pPr>
        <w:ind w:left="709" w:right="757"/>
        <w:jc w:val="both"/>
        <w:rPr>
          <w:rFonts w:ascii="Palatino Linotype" w:eastAsiaTheme="minorEastAsia" w:hAnsi="Palatino Linotype" w:cs="Arial"/>
          <w:b/>
          <w:i/>
          <w:sz w:val="22"/>
          <w:szCs w:val="20"/>
          <w:lang w:val="es-ES_tradnl"/>
        </w:rPr>
      </w:pPr>
      <w:r>
        <w:rPr>
          <w:rFonts w:ascii="Palatino Linotype" w:eastAsiaTheme="minorEastAsia" w:hAnsi="Palatino Linotype" w:cs="Arial"/>
          <w:i/>
          <w:sz w:val="22"/>
          <w:szCs w:val="20"/>
          <w:lang w:val="es-ES_tradnl"/>
        </w:rPr>
        <w:t>Criterio 31/10</w:t>
      </w:r>
      <w:r>
        <w:rPr>
          <w:rFonts w:ascii="Palatino Linotype" w:eastAsiaTheme="minorEastAsia" w:hAnsi="Palatino Linotype" w:cs="Arial"/>
          <w:b/>
          <w:i/>
          <w:sz w:val="22"/>
          <w:szCs w:val="20"/>
          <w:lang w:val="es-ES_tradnl"/>
        </w:rPr>
        <w:t>”</w:t>
      </w:r>
      <w:r>
        <w:rPr>
          <w:rFonts w:ascii="Palatino Linotype" w:eastAsiaTheme="minorEastAsia" w:hAnsi="Palatino Linotype" w:cs="Arial"/>
          <w:i/>
          <w:sz w:val="22"/>
          <w:szCs w:val="20"/>
          <w:lang w:val="es-ES_tradnl"/>
        </w:rPr>
        <w:t xml:space="preserve"> (sic)</w:t>
      </w:r>
    </w:p>
    <w:p w:rsidR="00F97EE5" w:rsidRDefault="00F97EE5">
      <w:pPr>
        <w:jc w:val="both"/>
        <w:rPr>
          <w:rFonts w:ascii="Palatino Linotype" w:hAnsi="Palatino Linotype" w:cs="Bookman Old Style"/>
          <w:bCs/>
        </w:rPr>
      </w:pPr>
    </w:p>
    <w:p w:rsidR="00F97EE5" w:rsidRDefault="00A25A46">
      <w:pPr>
        <w:widowControl w:val="0"/>
        <w:tabs>
          <w:tab w:val="left" w:pos="1701"/>
          <w:tab w:val="left" w:pos="1843"/>
        </w:tabs>
        <w:spacing w:line="360" w:lineRule="auto"/>
        <w:jc w:val="both"/>
        <w:rPr>
          <w:rFonts w:ascii="Palatino Linotype" w:hAnsi="Palatino Linotype" w:cs="Arial"/>
        </w:rPr>
      </w:pPr>
      <w:r>
        <w:rPr>
          <w:rFonts w:ascii="Palatino Linotype" w:hAnsi="Palatino Linotype" w:cs="Arial"/>
        </w:rPr>
        <w:t xml:space="preserve">En razón de lo anteriormente expuesto, este Instituto estima que las razones o motivos de inconformidad hechos valer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parcialmente fundadas</w:t>
      </w:r>
      <w:r>
        <w:rPr>
          <w:rFonts w:ascii="Palatino Linotype" w:hAnsi="Palatino Linotype" w:cs="Arial"/>
        </w:rPr>
        <w:t xml:space="preserve"> y suficientes para </w:t>
      </w:r>
      <w:r>
        <w:rPr>
          <w:rFonts w:ascii="Palatino Linotype" w:hAnsi="Palatino Linotype" w:cs="Arial"/>
          <w:b/>
        </w:rPr>
        <w:t>MODIFICAR</w:t>
      </w:r>
      <w:r>
        <w:rPr>
          <w:rFonts w:ascii="Palatino Linotype" w:hAnsi="Palatino Linotype" w:cs="Arial"/>
        </w:rPr>
        <w:t xml:space="preserve"> la respuesta del </w:t>
      </w:r>
      <w:r>
        <w:rPr>
          <w:rFonts w:ascii="Palatino Linotype" w:hAnsi="Palatino Linotype" w:cs="Arial"/>
          <w:b/>
        </w:rPr>
        <w:t>SUJETO OBLIGADO</w:t>
      </w:r>
      <w:r>
        <w:rPr>
          <w:rFonts w:ascii="Palatino Linotype" w:hAnsi="Palatino Linotype" w:cs="Arial"/>
        </w:rPr>
        <w:t xml:space="preserve"> y ordenarle haga entrega de la información descrita en el presente Considerando.</w:t>
      </w:r>
    </w:p>
    <w:p w:rsidR="00F97EE5" w:rsidRDefault="00F97EE5">
      <w:pPr>
        <w:spacing w:line="360" w:lineRule="auto"/>
        <w:ind w:right="51"/>
        <w:jc w:val="both"/>
        <w:rPr>
          <w:rFonts w:ascii="Palatino Linotype" w:hAnsi="Palatino Linotype"/>
          <w:color w:val="000000"/>
        </w:rPr>
      </w:pPr>
    </w:p>
    <w:p w:rsidR="00F97EE5" w:rsidRDefault="00A25A46">
      <w:pPr>
        <w:widowControl w:val="0"/>
        <w:spacing w:line="360" w:lineRule="auto"/>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párrafos </w:t>
      </w:r>
      <w:r>
        <w:rPr>
          <w:rFonts w:ascii="Palatino Linotype" w:hAnsi="Palatino Linotype"/>
        </w:rPr>
        <w:t xml:space="preserve">vigésimo </w:t>
      </w:r>
      <w:r>
        <w:rPr>
          <w:rFonts w:ascii="Palatino Linotype" w:hAnsi="Palatino Linotype" w:cs="Arial"/>
        </w:rPr>
        <w:t>segundo,</w:t>
      </w:r>
      <w:r>
        <w:rPr>
          <w:rFonts w:ascii="Palatino Linotype" w:hAnsi="Palatino Linotype"/>
        </w:rPr>
        <w:t xml:space="preserve"> vigésimo tercero y vigésimo cuarto</w:t>
      </w:r>
      <w:r>
        <w:rPr>
          <w:rFonts w:ascii="Palatino Linotype" w:hAnsi="Palatino Linotype" w:cs="Arial"/>
        </w:rPr>
        <w:t>,</w:t>
      </w:r>
      <w:r>
        <w:rPr>
          <w:rFonts w:ascii="Palatino Linotype" w:hAnsi="Palatino Linotype"/>
        </w:rPr>
        <w:t xml:space="preserve"> fracciones IV y V,</w:t>
      </w:r>
      <w:r>
        <w:rPr>
          <w:rFonts w:ascii="Palatino Linotype" w:eastAsia="Calibri" w:hAnsi="Palatino Linotype" w:cs="Arial"/>
        </w:rPr>
        <w:t xml:space="preserve"> de la Constitución Política del Estado Libre y Soberano de </w:t>
      </w:r>
      <w:r>
        <w:rPr>
          <w:rFonts w:ascii="Palatino Linotype" w:hAnsi="Palatino Linotype" w:cs="Arial"/>
          <w:lang w:val="es-ES_tradnl"/>
        </w:rPr>
        <w:t>México</w:t>
      </w:r>
      <w:r>
        <w:rPr>
          <w:rFonts w:ascii="Palatino Linotype" w:eastAsia="Calibri" w:hAnsi="Palatino Linotype" w:cs="Arial"/>
        </w:rPr>
        <w:t xml:space="preserve">,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rsidR="00F97EE5" w:rsidRDefault="00F97EE5">
      <w:pPr>
        <w:jc w:val="center"/>
        <w:rPr>
          <w:rFonts w:ascii="Palatino Linotype" w:hAnsi="Palatino Linotype"/>
          <w:b/>
          <w:bCs/>
          <w:spacing w:val="40"/>
          <w:sz w:val="28"/>
        </w:rPr>
      </w:pPr>
    </w:p>
    <w:p w:rsidR="00F97EE5" w:rsidRDefault="00A25A46">
      <w:pPr>
        <w:jc w:val="center"/>
        <w:rPr>
          <w:rFonts w:ascii="Palatino Linotype" w:hAnsi="Palatino Linotype"/>
          <w:b/>
          <w:bCs/>
          <w:spacing w:val="40"/>
          <w:sz w:val="28"/>
        </w:rPr>
      </w:pPr>
      <w:r>
        <w:rPr>
          <w:rFonts w:ascii="Palatino Linotype" w:hAnsi="Palatino Linotype"/>
          <w:b/>
          <w:bCs/>
          <w:spacing w:val="40"/>
          <w:sz w:val="28"/>
        </w:rPr>
        <w:t>RESUELVE</w:t>
      </w:r>
    </w:p>
    <w:p w:rsidR="00F97EE5" w:rsidRDefault="00F97EE5">
      <w:pPr>
        <w:jc w:val="center"/>
        <w:rPr>
          <w:rFonts w:ascii="Palatino Linotype" w:hAnsi="Palatino Linotype"/>
          <w:b/>
          <w:bCs/>
          <w:spacing w:val="40"/>
          <w:sz w:val="28"/>
        </w:rPr>
      </w:pPr>
    </w:p>
    <w:p w:rsidR="00F97EE5" w:rsidRDefault="00A25A46">
      <w:pPr>
        <w:spacing w:line="360" w:lineRule="auto"/>
        <w:jc w:val="both"/>
        <w:rPr>
          <w:rFonts w:ascii="Palatino Linotype" w:hAnsi="Palatino Linotype" w:cs="Arial"/>
          <w:lang w:val="es-ES"/>
        </w:rPr>
      </w:pPr>
      <w:r>
        <w:rPr>
          <w:rFonts w:ascii="Palatino Linotype" w:hAnsi="Palatino Linotype" w:cs="Arial"/>
          <w:b/>
          <w:sz w:val="28"/>
          <w:szCs w:val="28"/>
          <w:lang w:val="es-ES"/>
        </w:rPr>
        <w:t>PRIMERO</w:t>
      </w:r>
      <w:r>
        <w:rPr>
          <w:rFonts w:ascii="Palatino Linotype" w:hAnsi="Palatino Linotype" w:cs="Arial"/>
          <w:sz w:val="28"/>
          <w:szCs w:val="28"/>
          <w:lang w:val="es-ES"/>
        </w:rPr>
        <w:t>.</w:t>
      </w:r>
      <w:r>
        <w:rPr>
          <w:rFonts w:ascii="Palatino Linotype" w:hAnsi="Palatino Linotype" w:cs="Arial"/>
          <w:lang w:val="es-ES"/>
        </w:rPr>
        <w:t xml:space="preserve"> Resultan </w:t>
      </w:r>
      <w:r>
        <w:rPr>
          <w:rFonts w:ascii="Palatino Linotype" w:hAnsi="Palatino Linotype" w:cs="Arial"/>
          <w:b/>
          <w:lang w:val="es-ES"/>
        </w:rPr>
        <w:t>parcialmente fundadas</w:t>
      </w:r>
      <w:r>
        <w:rPr>
          <w:rFonts w:ascii="Palatino Linotype" w:hAnsi="Palatino Linotype" w:cs="Arial"/>
          <w:lang w:val="es-ES"/>
        </w:rPr>
        <w:t xml:space="preserve"> las razones o motivos de inconformidad planteadas por </w:t>
      </w:r>
      <w:r>
        <w:rPr>
          <w:rFonts w:ascii="Palatino Linotype" w:hAnsi="Palatino Linotype" w:cs="Arial"/>
          <w:b/>
          <w:lang w:val="es-ES"/>
        </w:rPr>
        <w:t>EL RECURRENTE</w:t>
      </w:r>
      <w:r>
        <w:rPr>
          <w:rFonts w:ascii="Palatino Linotype" w:hAnsi="Palatino Linotype" w:cs="Arial"/>
          <w:lang w:val="es-ES"/>
        </w:rPr>
        <w:t xml:space="preserve">, en términos del Considerando </w:t>
      </w:r>
      <w:r>
        <w:rPr>
          <w:rFonts w:ascii="Palatino Linotype" w:hAnsi="Palatino Linotype" w:cs="Arial"/>
          <w:b/>
          <w:lang w:val="es-ES"/>
        </w:rPr>
        <w:t>QUINTO</w:t>
      </w:r>
      <w:r>
        <w:rPr>
          <w:rFonts w:ascii="Palatino Linotype" w:hAnsi="Palatino Linotype" w:cs="Arial"/>
          <w:lang w:val="es-ES"/>
        </w:rPr>
        <w:t xml:space="preserve"> de la presente resolución.</w:t>
      </w:r>
    </w:p>
    <w:p w:rsidR="00F97EE5" w:rsidRDefault="00F97EE5">
      <w:pPr>
        <w:spacing w:line="360" w:lineRule="auto"/>
        <w:jc w:val="both"/>
        <w:rPr>
          <w:rFonts w:ascii="Palatino Linotype" w:hAnsi="Palatino Linotype" w:cs="Arial"/>
          <w:lang w:val="es-ES"/>
        </w:rPr>
      </w:pPr>
    </w:p>
    <w:p w:rsidR="00F97EE5" w:rsidRDefault="00A25A46">
      <w:pPr>
        <w:spacing w:line="360" w:lineRule="auto"/>
        <w:jc w:val="both"/>
        <w:rPr>
          <w:rFonts w:ascii="Palatino Linotype" w:hAnsi="Palatino Linotype" w:cs="Arial"/>
          <w:lang w:val="es-ES"/>
        </w:rPr>
      </w:pPr>
      <w:r>
        <w:rPr>
          <w:rFonts w:ascii="Palatino Linotype" w:hAnsi="Palatino Linotype" w:cs="Arial"/>
          <w:b/>
          <w:sz w:val="28"/>
          <w:szCs w:val="28"/>
          <w:lang w:val="es-ES"/>
        </w:rPr>
        <w:t>SEGUNDO</w:t>
      </w:r>
      <w:r>
        <w:rPr>
          <w:rFonts w:ascii="Palatino Linotype" w:hAnsi="Palatino Linotype" w:cs="Arial"/>
          <w:sz w:val="28"/>
          <w:szCs w:val="28"/>
          <w:lang w:val="es-ES"/>
        </w:rPr>
        <w:t>.</w:t>
      </w:r>
      <w:r>
        <w:rPr>
          <w:rFonts w:ascii="Palatino Linotype" w:hAnsi="Palatino Linotype" w:cs="Arial"/>
          <w:lang w:val="es-ES"/>
        </w:rPr>
        <w:t xml:space="preserve"> </w:t>
      </w:r>
      <w:r>
        <w:rPr>
          <w:rFonts w:ascii="Palatino Linotype" w:eastAsia="Calibri" w:hAnsi="Palatino Linotype" w:cs="Arial"/>
        </w:rPr>
        <w:t xml:space="preserve">Se </w:t>
      </w:r>
      <w:r>
        <w:rPr>
          <w:rFonts w:ascii="Palatino Linotype" w:eastAsia="Calibri" w:hAnsi="Palatino Linotype" w:cs="Arial"/>
          <w:b/>
        </w:rPr>
        <w:t xml:space="preserve">MODIFICA </w:t>
      </w:r>
      <w:r>
        <w:rPr>
          <w:rFonts w:ascii="Palatino Linotype" w:eastAsia="Calibri" w:hAnsi="Palatino Linotype" w:cs="Arial"/>
        </w:rPr>
        <w:t xml:space="preserve">la respuesta proporcionada por </w:t>
      </w:r>
      <w:r>
        <w:rPr>
          <w:rFonts w:ascii="Palatino Linotype" w:eastAsia="Calibri" w:hAnsi="Palatino Linotype" w:cs="Arial"/>
          <w:b/>
        </w:rPr>
        <w:t xml:space="preserve">EL SUJETO OBLIGADO </w:t>
      </w:r>
      <w:r>
        <w:rPr>
          <w:rFonts w:ascii="Palatino Linotype" w:eastAsia="Calibri" w:hAnsi="Palatino Linotype" w:cs="Arial"/>
        </w:rPr>
        <w:t xml:space="preserve">y se </w:t>
      </w:r>
      <w:r>
        <w:rPr>
          <w:rFonts w:ascii="Palatino Linotype" w:eastAsia="Calibri" w:hAnsi="Palatino Linotype" w:cs="Arial"/>
          <w:b/>
        </w:rPr>
        <w:t xml:space="preserve">ordena </w:t>
      </w:r>
      <w:r>
        <w:rPr>
          <w:rFonts w:ascii="Palatino Linotype" w:eastAsia="Calibri" w:hAnsi="Palatino Linotype" w:cs="Arial"/>
        </w:rPr>
        <w:t xml:space="preserve">atienda la solicitud de información </w:t>
      </w:r>
      <w:r>
        <w:rPr>
          <w:rFonts w:ascii="Palatino Linotype" w:hAnsi="Palatino Linotype" w:cs="Arial"/>
          <w:b/>
        </w:rPr>
        <w:t>00103/ISEM/IP/2020</w:t>
      </w:r>
      <w:r>
        <w:rPr>
          <w:rFonts w:ascii="Palatino Linotype" w:hAnsi="Palatino Linotype" w:cs="Arial"/>
        </w:rPr>
        <w:t xml:space="preserve">, en </w:t>
      </w:r>
      <w:r>
        <w:rPr>
          <w:rFonts w:ascii="Palatino Linotype" w:hAnsi="Palatino Linotype" w:cs="Arial"/>
        </w:rPr>
        <w:lastRenderedPageBreak/>
        <w:t xml:space="preserve">términos del Considerando </w:t>
      </w:r>
      <w:r>
        <w:rPr>
          <w:rFonts w:ascii="Palatino Linotype" w:hAnsi="Palatino Linotype" w:cs="Arial"/>
          <w:b/>
        </w:rPr>
        <w:t>QUINTO</w:t>
      </w:r>
      <w:r>
        <w:rPr>
          <w:rFonts w:ascii="Palatino Linotype" w:hAnsi="Palatino Linotype" w:cs="Arial"/>
        </w:rPr>
        <w:t xml:space="preserve"> </w:t>
      </w:r>
      <w:r>
        <w:rPr>
          <w:rFonts w:ascii="Palatino Linotype" w:hAnsi="Palatino Linotype" w:cs="Arial"/>
          <w:lang w:val="es-ES"/>
        </w:rPr>
        <w:t xml:space="preserve">de la presente resolución, y haga entrega al </w:t>
      </w:r>
      <w:r>
        <w:rPr>
          <w:rFonts w:ascii="Palatino Linotype" w:hAnsi="Palatino Linotype" w:cs="Arial"/>
          <w:b/>
          <w:lang w:val="es-ES"/>
        </w:rPr>
        <w:t>RECURRENTE</w:t>
      </w:r>
      <w:r>
        <w:rPr>
          <w:rFonts w:ascii="Palatino Linotype" w:hAnsi="Palatino Linotype" w:cs="Arial"/>
          <w:lang w:val="es-ES"/>
        </w:rPr>
        <w:t xml:space="preserve">, vía </w:t>
      </w:r>
      <w:r>
        <w:rPr>
          <w:rFonts w:ascii="Palatino Linotype" w:hAnsi="Palatino Linotype" w:cs="Arial"/>
          <w:b/>
          <w:lang w:val="es-ES"/>
        </w:rPr>
        <w:t>SAIMEX</w:t>
      </w:r>
      <w:r>
        <w:rPr>
          <w:rFonts w:ascii="Palatino Linotype" w:hAnsi="Palatino Linotype" w:cs="Arial"/>
          <w:lang w:val="es-ES"/>
        </w:rPr>
        <w:t xml:space="preserve">, previa </w:t>
      </w:r>
      <w:r>
        <w:rPr>
          <w:rFonts w:ascii="Palatino Linotype" w:hAnsi="Palatino Linotype" w:cs="Arial"/>
          <w:b/>
          <w:lang w:val="es-ES"/>
        </w:rPr>
        <w:t xml:space="preserve">búsqueda exhaustiva y razonable, </w:t>
      </w:r>
      <w:r>
        <w:rPr>
          <w:rFonts w:ascii="Palatino Linotype" w:hAnsi="Palatino Linotype" w:cs="Arial"/>
          <w:lang w:val="es-ES"/>
        </w:rPr>
        <w:t xml:space="preserve">de ser procedente en </w:t>
      </w:r>
      <w:r>
        <w:rPr>
          <w:rFonts w:ascii="Palatino Linotype" w:hAnsi="Palatino Linotype" w:cs="Arial"/>
          <w:b/>
          <w:lang w:val="es-ES"/>
        </w:rPr>
        <w:t xml:space="preserve">versión pública, </w:t>
      </w:r>
      <w:r>
        <w:rPr>
          <w:rFonts w:ascii="Palatino Linotype" w:hAnsi="Palatino Linotype" w:cs="Arial"/>
          <w:lang w:val="es-ES"/>
        </w:rPr>
        <w:t>de lo siguiente:</w:t>
      </w:r>
    </w:p>
    <w:p w:rsidR="00F97EE5" w:rsidRDefault="00F97EE5">
      <w:pPr>
        <w:spacing w:line="276" w:lineRule="auto"/>
        <w:jc w:val="both"/>
        <w:rPr>
          <w:rFonts w:ascii="Palatino Linotype" w:eastAsiaTheme="minorEastAsia" w:hAnsi="Palatino Linotype" w:cs="Arial"/>
          <w:sz w:val="22"/>
          <w:szCs w:val="22"/>
          <w:lang w:val="es-ES_tradnl"/>
        </w:rPr>
      </w:pPr>
    </w:p>
    <w:p w:rsidR="00F97EE5" w:rsidRDefault="00A25A46">
      <w:pPr>
        <w:spacing w:line="276" w:lineRule="auto"/>
        <w:ind w:left="851" w:right="899" w:hanging="142"/>
        <w:jc w:val="both"/>
        <w:rPr>
          <w:rFonts w:ascii="Palatino Linotype" w:hAnsi="Palatino Linotype" w:cs="Bookman Old Style"/>
          <w:bCs/>
          <w:i/>
          <w:sz w:val="22"/>
          <w:szCs w:val="22"/>
        </w:rPr>
      </w:pPr>
      <w:r>
        <w:rPr>
          <w:rFonts w:ascii="Palatino Linotype" w:hAnsi="Palatino Linotype" w:cs="Bookman Old Style"/>
          <w:bCs/>
          <w:i/>
          <w:sz w:val="22"/>
          <w:szCs w:val="22"/>
        </w:rPr>
        <w:t xml:space="preserve">“a) Las fotografías o evidencias de las convenciones, cursos y demás reuniones de trabajo, adjudicadas por el COPRISEM del 1 de enero de 2017 al 10 de febrero de 2020, referidas en respuesta. </w:t>
      </w:r>
    </w:p>
    <w:p w:rsidR="00F97EE5" w:rsidRDefault="00F97EE5">
      <w:pPr>
        <w:spacing w:line="276" w:lineRule="auto"/>
        <w:ind w:left="851" w:right="899" w:hanging="142"/>
        <w:jc w:val="both"/>
        <w:rPr>
          <w:rFonts w:ascii="Palatino Linotype" w:hAnsi="Palatino Linotype" w:cs="Bookman Old Style"/>
          <w:bCs/>
          <w:i/>
          <w:sz w:val="22"/>
          <w:szCs w:val="22"/>
        </w:rPr>
      </w:pPr>
    </w:p>
    <w:p w:rsidR="00F97EE5" w:rsidRDefault="00A25A46">
      <w:pPr>
        <w:pStyle w:val="Prrafodelista"/>
        <w:spacing w:line="276" w:lineRule="auto"/>
        <w:ind w:left="851" w:right="899"/>
        <w:jc w:val="both"/>
        <w:rPr>
          <w:rFonts w:ascii="Palatino Linotype" w:hAnsi="Palatino Linotype" w:cs="Bookman Old Style"/>
          <w:bCs/>
          <w:i/>
          <w:sz w:val="22"/>
          <w:szCs w:val="22"/>
        </w:rPr>
      </w:pPr>
      <w:r>
        <w:rPr>
          <w:rFonts w:ascii="Palatino Linotype" w:hAnsi="Palatino Linotype" w:cs="Bookman Old Style"/>
          <w:bCs/>
          <w:i/>
          <w:sz w:val="22"/>
          <w:szCs w:val="22"/>
        </w:rPr>
        <w:t xml:space="preserve">b) Las </w:t>
      </w:r>
      <w:r>
        <w:rPr>
          <w:rFonts w:ascii="Palatino Linotype" w:eastAsia="Arial Unicode MS" w:hAnsi="Palatino Linotype" w:cs="Arial"/>
          <w:i/>
        </w:rPr>
        <w:t>facturas</w:t>
      </w:r>
      <w:r>
        <w:rPr>
          <w:rFonts w:ascii="Palatino Linotype" w:hAnsi="Palatino Linotype" w:cs="Bookman Old Style"/>
          <w:bCs/>
          <w:i/>
          <w:sz w:val="22"/>
          <w:szCs w:val="22"/>
        </w:rPr>
        <w:t xml:space="preserve"> derivadas de las adjudicaciones realizados por el COPRISEM del 1 de enero de 2017 al 10 de febrero de 2020, relacionadas con convenciones, cursos, y demás reuniones de trabajo, referidas en respuesta. </w:t>
      </w:r>
    </w:p>
    <w:p w:rsidR="00F97EE5" w:rsidRDefault="00F97EE5">
      <w:pPr>
        <w:spacing w:line="276" w:lineRule="auto"/>
        <w:ind w:left="851" w:right="899" w:hanging="142"/>
        <w:jc w:val="both"/>
        <w:rPr>
          <w:rFonts w:ascii="Palatino Linotype" w:hAnsi="Palatino Linotype" w:cs="Bookman Old Style"/>
          <w:bCs/>
          <w:i/>
          <w:sz w:val="22"/>
          <w:szCs w:val="22"/>
        </w:rPr>
      </w:pPr>
    </w:p>
    <w:p w:rsidR="00F97EE5" w:rsidRDefault="00A25A46">
      <w:pPr>
        <w:pStyle w:val="Prrafodelista"/>
        <w:spacing w:line="276" w:lineRule="auto"/>
        <w:ind w:left="851" w:right="899"/>
        <w:jc w:val="both"/>
        <w:rPr>
          <w:rFonts w:ascii="Palatino Linotype" w:eastAsia="Arial Unicode MS" w:hAnsi="Palatino Linotype" w:cs="Arial"/>
          <w:i/>
        </w:rPr>
      </w:pPr>
      <w:r>
        <w:rPr>
          <w:rFonts w:ascii="Palatino Linotype" w:eastAsia="Arial Unicode MS" w:hAnsi="Palatino Linotype" w:cs="Arial"/>
          <w:i/>
        </w:rPr>
        <w:t xml:space="preserve">Debiendo notificar al </w:t>
      </w:r>
      <w:r>
        <w:rPr>
          <w:rFonts w:ascii="Palatino Linotype" w:eastAsia="Arial Unicode MS" w:hAnsi="Palatino Linotype" w:cs="Arial"/>
          <w:b/>
          <w:i/>
        </w:rPr>
        <w:t>RECURRENTE</w:t>
      </w:r>
      <w:r>
        <w:rPr>
          <w:rFonts w:ascii="Palatino Linotype" w:eastAsia="Arial Unicode MS" w:hAnsi="Palatino Linotype" w:cs="Arial"/>
          <w:i/>
        </w:rPr>
        <w:t xml:space="preserve"> el Acuerdo de Clasificación de la información que apruebe su Comité de Transparencia con motivo de la versión pública.</w:t>
      </w:r>
    </w:p>
    <w:p w:rsidR="00F97EE5" w:rsidRDefault="00F97EE5">
      <w:pPr>
        <w:pStyle w:val="Prrafodelista"/>
        <w:spacing w:line="276" w:lineRule="auto"/>
        <w:ind w:left="851" w:right="899"/>
        <w:jc w:val="both"/>
        <w:rPr>
          <w:rFonts w:ascii="Palatino Linotype" w:eastAsia="Arial Unicode MS" w:hAnsi="Palatino Linotype" w:cs="Arial"/>
          <w:i/>
        </w:rPr>
      </w:pPr>
    </w:p>
    <w:p w:rsidR="00F97EE5" w:rsidRDefault="00A25A46">
      <w:pPr>
        <w:pStyle w:val="Prrafodelista"/>
        <w:spacing w:line="276" w:lineRule="auto"/>
        <w:ind w:left="851" w:right="899"/>
        <w:jc w:val="both"/>
        <w:rPr>
          <w:rFonts w:ascii="Palatino Linotype" w:eastAsia="Arial Unicode MS" w:hAnsi="Palatino Linotype" w:cs="Arial"/>
          <w:i/>
        </w:rPr>
      </w:pPr>
      <w:r>
        <w:rPr>
          <w:rFonts w:ascii="Palatino Linotype" w:eastAsia="Arial Unicode MS" w:hAnsi="Palatino Linotype" w:cs="Arial"/>
          <w:i/>
        </w:rPr>
        <w:t xml:space="preserve">Para el caso de que la información de la que se ordena su entrega en el inciso b), no obre en sus archivos, </w:t>
      </w:r>
      <w:r>
        <w:rPr>
          <w:rFonts w:ascii="Palatino Linotype" w:eastAsia="Arial Unicode MS" w:hAnsi="Palatino Linotype" w:cs="Arial"/>
          <w:b/>
          <w:i/>
        </w:rPr>
        <w:t>EL SUJETO OBLIGADO</w:t>
      </w:r>
      <w:r>
        <w:rPr>
          <w:rFonts w:ascii="Palatino Linotype" w:eastAsia="Arial Unicode MS" w:hAnsi="Palatino Linotype" w:cs="Arial"/>
          <w:i/>
        </w:rPr>
        <w:t xml:space="preserve"> deberá emitir el Acuerdo de Inexistencia en términos de los artículos 49, fracciones II y XIII, 169 y 170 de la Ley de Transparencia y Acceso a la Información Pública del Estado de México y Municipios.”</w:t>
      </w:r>
    </w:p>
    <w:p w:rsidR="00F97EE5" w:rsidRDefault="00F97EE5">
      <w:pPr>
        <w:spacing w:line="276" w:lineRule="auto"/>
        <w:ind w:left="851" w:right="899" w:hanging="142"/>
        <w:jc w:val="both"/>
        <w:rPr>
          <w:rFonts w:ascii="Palatino Linotype" w:eastAsia="Calibri" w:hAnsi="Palatino Linotype" w:cs="Arial"/>
        </w:rPr>
      </w:pPr>
    </w:p>
    <w:p w:rsidR="00F97EE5" w:rsidRDefault="00A25A46">
      <w:pPr>
        <w:spacing w:line="360" w:lineRule="auto"/>
        <w:jc w:val="both"/>
        <w:rPr>
          <w:rFonts w:ascii="Palatino Linotype" w:hAnsi="Palatino Linotype"/>
          <w:color w:val="222222"/>
          <w:highlight w:val="white"/>
        </w:rPr>
      </w:pPr>
      <w:r>
        <w:rPr>
          <w:rFonts w:ascii="Palatino Linotype" w:hAnsi="Palatino Linotype"/>
          <w:b/>
          <w:color w:val="222222"/>
          <w:sz w:val="28"/>
          <w:szCs w:val="28"/>
          <w:shd w:val="clear" w:color="auto" w:fill="FFFFFF"/>
        </w:rPr>
        <w:t>TERCERO.</w:t>
      </w:r>
      <w:r>
        <w:rPr>
          <w:rFonts w:ascii="Palatino Linotype" w:hAnsi="Palatino Linotype"/>
          <w:b/>
          <w:color w:val="222222"/>
          <w:shd w:val="clear" w:color="auto" w:fill="FFFFFF"/>
        </w:rPr>
        <w:t> </w:t>
      </w:r>
      <w:r>
        <w:rPr>
          <w:rFonts w:ascii="Palatino Linotype" w:hAnsi="Palatino Linotype"/>
          <w:b/>
          <w:color w:val="222222"/>
          <w:lang w:eastAsia="es-ES_tradnl"/>
        </w:rPr>
        <w:t>Notifíquese</w:t>
      </w:r>
      <w:r>
        <w:rPr>
          <w:rFonts w:ascii="Palatino Linotype" w:hAnsi="Palatino Linotype"/>
          <w:color w:val="222222"/>
          <w:lang w:eastAsia="es-ES_tradnl"/>
        </w:rPr>
        <w:t xml:space="preserve"> </w:t>
      </w:r>
      <w:r>
        <w:rPr>
          <w:rFonts w:ascii="Palatino Linotype" w:hAnsi="Palatino Linotype"/>
          <w:color w:val="222222"/>
          <w:shd w:val="clear" w:color="auto" w:fill="FFFFFF"/>
        </w:rPr>
        <w:t>al Titular de la Unidad de Transparencia del</w:t>
      </w:r>
      <w:r>
        <w:rPr>
          <w:rFonts w:ascii="Palatino Linotype" w:hAnsi="Palatino Linotype"/>
          <w:b/>
          <w:color w:val="222222"/>
          <w:shd w:val="clear" w:color="auto" w:fill="FFFFFF"/>
        </w:rPr>
        <w:t> SUJETO OBLIGADO</w:t>
      </w:r>
      <w:r>
        <w:rPr>
          <w:rFonts w:ascii="Palatino Linotype" w:hAnsi="Palatino Linotype"/>
          <w:color w:val="222222"/>
          <w:shd w:val="clear" w:color="auto" w:fill="FFFFFF"/>
        </w:rPr>
        <w:t xml:space="preserve">, para que conforme a los artículos 186, último párrafo y 189, párrafo segundo de la Ley de </w:t>
      </w:r>
      <w:r>
        <w:rPr>
          <w:rFonts w:ascii="Palatino Linotype" w:hAnsi="Palatino Linotype" w:cs="Arial"/>
        </w:rPr>
        <w:t>Transparencia</w:t>
      </w:r>
      <w:r>
        <w:rPr>
          <w:rFonts w:ascii="Palatino Linotype" w:hAnsi="Palatino Linotype"/>
          <w:color w:val="222222"/>
          <w:shd w:val="clear" w:color="auto" w:fill="FFFFFF"/>
        </w:rPr>
        <w:t xml:space="preserve"> y Acceso a la Información Pública del Estado de México y Municipios, dé </w:t>
      </w:r>
      <w:r>
        <w:rPr>
          <w:rFonts w:ascii="Palatino Linotype" w:hAnsi="Palatino Linotype" w:cs="Arial"/>
        </w:rPr>
        <w:t>cumplimiento</w:t>
      </w:r>
      <w:r>
        <w:rPr>
          <w:rFonts w:ascii="Palatino Linotype" w:hAnsi="Palatino Linotype"/>
          <w:color w:val="222222"/>
          <w:shd w:val="clear" w:color="auto" w:fill="FFFFFF"/>
        </w:rPr>
        <w:t xml:space="preserve"> a lo ordenado dentro del plazo de diez días hábiles, debiendo </w:t>
      </w:r>
      <w:r>
        <w:rPr>
          <w:rFonts w:ascii="Palatino Linotype" w:hAnsi="Palatino Linotype" w:cs="Arial"/>
        </w:rPr>
        <w:t>informar</w:t>
      </w:r>
      <w:r>
        <w:rPr>
          <w:rFonts w:ascii="Palatino Linotype" w:hAnsi="Palatino Linotype"/>
          <w:color w:val="222222"/>
          <w:shd w:val="clear" w:color="auto" w:fill="FFFFFF"/>
        </w:rPr>
        <w:t xml:space="preserve"> a este Instituto en un plazo </w:t>
      </w:r>
      <w:r>
        <w:rPr>
          <w:rFonts w:ascii="Palatino Linotype" w:hAnsi="Palatino Linotype"/>
          <w:color w:val="222222"/>
          <w:lang w:eastAsia="es-ES_tradnl"/>
        </w:rPr>
        <w:t>de</w:t>
      </w:r>
      <w:r>
        <w:rPr>
          <w:rFonts w:ascii="Palatino Linotype" w:hAnsi="Palatino Linotype"/>
          <w:color w:val="222222"/>
          <w:shd w:val="clear" w:color="auto" w:fill="FFFFFF"/>
        </w:rPr>
        <w:t xml:space="preserve"> tres días hábiles siguientes sobre el cumplimiento dado a la presente resolución.</w:t>
      </w:r>
    </w:p>
    <w:p w:rsidR="00F97EE5" w:rsidRDefault="00F97EE5">
      <w:pPr>
        <w:spacing w:line="360" w:lineRule="auto"/>
        <w:ind w:right="49"/>
        <w:jc w:val="both"/>
        <w:rPr>
          <w:rFonts w:ascii="Palatino Linotype" w:hAnsi="Palatino Linotype"/>
          <w:b/>
          <w:color w:val="222222"/>
          <w:highlight w:val="white"/>
        </w:rPr>
      </w:pPr>
    </w:p>
    <w:p w:rsidR="00F97EE5" w:rsidRDefault="00A25A46">
      <w:pPr>
        <w:spacing w:line="360" w:lineRule="auto"/>
        <w:ind w:right="49"/>
        <w:jc w:val="both"/>
        <w:rPr>
          <w:rFonts w:ascii="Palatino Linotype" w:hAnsi="Palatino Linotype"/>
          <w:highlight w:val="white"/>
          <w:lang w:eastAsia="es-MX"/>
        </w:rPr>
      </w:pPr>
      <w:r>
        <w:rPr>
          <w:rFonts w:ascii="Palatino Linotype" w:hAnsi="Palatino Linotype" w:cs="Arial"/>
          <w:b/>
          <w:bCs/>
          <w:color w:val="222222"/>
          <w:sz w:val="28"/>
          <w:lang w:eastAsia="es-MX"/>
        </w:rPr>
        <w:lastRenderedPageBreak/>
        <w:t xml:space="preserve">CUARTO. </w:t>
      </w:r>
      <w:r>
        <w:rPr>
          <w:rFonts w:ascii="Palatino Linotype" w:hAnsi="Palatino Linotype"/>
          <w:shd w:val="clear" w:color="auto" w:fill="FFFFFF"/>
          <w:lang w:eastAsia="es-MX"/>
        </w:rPr>
        <w:t xml:space="preserve">Con fundamento en el artículo 198 de la Ley de Transparencia y Acceso a la Información Pública del Estado de México y Municipios, se apercibe al </w:t>
      </w:r>
      <w:r>
        <w:rPr>
          <w:rFonts w:ascii="Palatino Linotype" w:hAnsi="Palatino Linotype"/>
          <w:b/>
          <w:shd w:val="clear" w:color="auto" w:fill="FFFFFF"/>
          <w:lang w:eastAsia="es-MX"/>
        </w:rPr>
        <w:t>SUJETO OBLIGADO</w:t>
      </w:r>
      <w:r>
        <w:rPr>
          <w:rFonts w:ascii="Palatino Linotype" w:hAnsi="Palatino Linotype"/>
          <w:shd w:val="clear" w:color="auto" w:fill="FFFFFF"/>
          <w:lang w:eastAsia="es-MX"/>
        </w:rPr>
        <w:t xml:space="preserve"> que, en caso de negarse a cumplir la presente resolución o hacerlo de manera parcial se actuará de conformidad con lo previsto en los artículos 213, 214, 216 y 217 de dicha Ley.</w:t>
      </w:r>
    </w:p>
    <w:p w:rsidR="00F97EE5" w:rsidRDefault="00F97EE5">
      <w:pPr>
        <w:spacing w:line="360" w:lineRule="auto"/>
        <w:ind w:right="49"/>
        <w:jc w:val="both"/>
        <w:rPr>
          <w:rFonts w:ascii="Palatino Linotype" w:hAnsi="Palatino Linotype"/>
          <w:highlight w:val="white"/>
          <w:lang w:eastAsia="es-MX"/>
        </w:rPr>
      </w:pPr>
    </w:p>
    <w:p w:rsidR="00F97EE5" w:rsidRDefault="00A25A46">
      <w:pPr>
        <w:spacing w:line="360" w:lineRule="auto"/>
        <w:ind w:right="49"/>
        <w:jc w:val="both"/>
        <w:rPr>
          <w:rFonts w:ascii="Palatino Linotype" w:hAnsi="Palatino Linotype"/>
          <w:b/>
          <w:color w:val="222222"/>
          <w:szCs w:val="17"/>
          <w:lang w:eastAsia="es-ES_tradnl"/>
        </w:rPr>
      </w:pPr>
      <w:r>
        <w:rPr>
          <w:rFonts w:ascii="Palatino Linotype" w:hAnsi="Palatino Linotype" w:cs="Arial"/>
          <w:b/>
          <w:bCs/>
          <w:color w:val="222222"/>
          <w:sz w:val="28"/>
          <w:lang w:eastAsia="es-MX"/>
        </w:rPr>
        <w:t>QUINTO.</w:t>
      </w:r>
      <w:r>
        <w:rPr>
          <w:rFonts w:ascii="Palatino Linotype" w:hAnsi="Palatino Linotype"/>
          <w:color w:val="222222"/>
          <w:szCs w:val="17"/>
          <w:lang w:eastAsia="es-ES_tradnl"/>
        </w:rPr>
        <w:t xml:space="preserve"> </w:t>
      </w:r>
      <w:r>
        <w:rPr>
          <w:rFonts w:ascii="Palatino Linotype" w:hAnsi="Palatino Linotype"/>
          <w:b/>
          <w:color w:val="222222"/>
          <w:szCs w:val="17"/>
          <w:lang w:eastAsia="es-ES_tradnl"/>
        </w:rPr>
        <w:t>Notifíquese</w:t>
      </w:r>
      <w:r>
        <w:rPr>
          <w:rFonts w:ascii="Palatino Linotype" w:hAnsi="Palatino Linotype"/>
          <w:color w:val="222222"/>
          <w:szCs w:val="17"/>
          <w:lang w:eastAsia="es-ES_tradnl"/>
        </w:rPr>
        <w:t xml:space="preserve"> al </w:t>
      </w:r>
      <w:r>
        <w:rPr>
          <w:rFonts w:ascii="Palatino Linotype" w:hAnsi="Palatino Linotype"/>
          <w:b/>
          <w:color w:val="222222"/>
          <w:szCs w:val="17"/>
          <w:lang w:eastAsia="es-ES_tradnl"/>
        </w:rPr>
        <w:t>RECURRENTE</w:t>
      </w:r>
      <w:r>
        <w:rPr>
          <w:rFonts w:ascii="Palatino Linotype" w:hAnsi="Palatino Linotype"/>
          <w:color w:val="222222"/>
          <w:szCs w:val="17"/>
          <w:lang w:eastAsia="es-ES_tradnl"/>
        </w:rPr>
        <w:t xml:space="preserve"> la presente resolución</w:t>
      </w:r>
      <w:r>
        <w:rPr>
          <w:rFonts w:ascii="Palatino Linotype" w:hAnsi="Palatino Linotype" w:cs="Arial"/>
        </w:rPr>
        <w:t>.</w:t>
      </w:r>
    </w:p>
    <w:p w:rsidR="00F97EE5" w:rsidRDefault="00F97EE5">
      <w:pPr>
        <w:widowControl w:val="0"/>
        <w:spacing w:line="360" w:lineRule="auto"/>
        <w:jc w:val="both"/>
        <w:rPr>
          <w:rFonts w:ascii="Palatino Linotype" w:eastAsiaTheme="minorEastAsia" w:hAnsi="Palatino Linotype"/>
          <w:color w:val="222222"/>
          <w:szCs w:val="17"/>
          <w:lang w:eastAsia="es-ES_tradnl"/>
        </w:rPr>
      </w:pPr>
    </w:p>
    <w:p w:rsidR="00F97EE5" w:rsidRDefault="00A25A46">
      <w:pPr>
        <w:spacing w:line="360" w:lineRule="auto"/>
        <w:ind w:right="49"/>
        <w:jc w:val="both"/>
        <w:rPr>
          <w:rFonts w:ascii="Palatino Linotype" w:hAnsi="Palatino Linotype"/>
          <w:color w:val="222222"/>
          <w:szCs w:val="17"/>
          <w:lang w:eastAsia="es-ES_tradnl"/>
        </w:rPr>
      </w:pPr>
      <w:r>
        <w:rPr>
          <w:rFonts w:ascii="Palatino Linotype" w:hAnsi="Palatino Linotype" w:cs="Arial"/>
          <w:b/>
          <w:bCs/>
          <w:color w:val="222222"/>
          <w:sz w:val="28"/>
          <w:lang w:eastAsia="es-MX"/>
        </w:rPr>
        <w:t>SEXTO.</w:t>
      </w:r>
      <w:r>
        <w:rPr>
          <w:rFonts w:ascii="Palatino Linotype" w:hAnsi="Palatino Linotype"/>
          <w:color w:val="222222"/>
          <w:szCs w:val="17"/>
          <w:lang w:eastAsia="es-ES_tradnl"/>
        </w:rPr>
        <w:t xml:space="preserve"> </w:t>
      </w:r>
      <w:r>
        <w:rPr>
          <w:rFonts w:ascii="Palatino Linotype" w:hAnsi="Palatino Linotype"/>
          <w:b/>
          <w:color w:val="222222"/>
          <w:szCs w:val="17"/>
          <w:lang w:eastAsia="es-ES_tradnl"/>
        </w:rPr>
        <w:t>Hágase del conocimiento</w:t>
      </w:r>
      <w:r>
        <w:rPr>
          <w:rFonts w:ascii="Palatino Linotype" w:hAnsi="Palatino Linotype"/>
          <w:color w:val="222222"/>
          <w:szCs w:val="17"/>
          <w:lang w:eastAsia="es-ES_tradnl"/>
        </w:rPr>
        <w:t xml:space="preserve"> al </w:t>
      </w:r>
      <w:r>
        <w:rPr>
          <w:rFonts w:ascii="Palatino Linotype" w:hAnsi="Palatino Linotype"/>
          <w:b/>
          <w:color w:val="222222"/>
          <w:szCs w:val="17"/>
          <w:lang w:eastAsia="es-ES_tradnl"/>
        </w:rPr>
        <w:t>RECURRENTE</w:t>
      </w:r>
      <w:r>
        <w:rPr>
          <w:rFonts w:ascii="Palatino Linotype"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F97EE5" w:rsidRDefault="00F97EE5">
      <w:pPr>
        <w:spacing w:line="360" w:lineRule="auto"/>
        <w:jc w:val="both"/>
        <w:rPr>
          <w:rFonts w:ascii="Palatino Linotype" w:hAnsi="Palatino Linotype"/>
          <w:color w:val="222222"/>
          <w:lang w:eastAsia="es-ES_tradnl"/>
        </w:rPr>
      </w:pPr>
    </w:p>
    <w:p w:rsidR="00F97EE5" w:rsidRDefault="00A25A46">
      <w:pPr>
        <w:spacing w:line="360" w:lineRule="auto"/>
        <w:jc w:val="both"/>
        <w:rPr>
          <w:rFonts w:ascii="Palatino Linotype" w:hAnsi="Palatino Linotype" w:cs="Arial"/>
          <w:lang w:val="es-ES"/>
        </w:rPr>
      </w:pPr>
      <w:r>
        <w:rPr>
          <w:rFonts w:ascii="Palatino Linotype" w:hAnsi="Palatino Linotype" w:cs="Arial"/>
          <w:lang w:val="es-ES"/>
        </w:rPr>
        <w:t>ASÍ LO RESUELVE, POR UNANIMIDAD DE VOTOS EL PLENO DEL</w:t>
      </w:r>
      <w:r>
        <w:rPr>
          <w:rFonts w:ascii="Palatino Linotype" w:eastAsia="Arial Unicode MS" w:hAnsi="Palatino Linotype" w:cs="Arial"/>
          <w:lang w:val="es-ES"/>
        </w:rPr>
        <w:t xml:space="preserve"> INSTITUTO DE </w:t>
      </w:r>
      <w:r>
        <w:rPr>
          <w:rFonts w:ascii="Palatino Linotype" w:hAnsi="Palatino Linotype"/>
          <w:lang w:val="es-ES" w:eastAsia="en-US"/>
        </w:rPr>
        <w:t>TRANSPARENCIA</w:t>
      </w:r>
      <w:r>
        <w:rPr>
          <w:rFonts w:ascii="Palatino Linotype" w:eastAsia="Arial Unicode MS" w:hAnsi="Palatino Linotype" w:cs="Arial"/>
          <w:lang w:val="es-ES"/>
        </w:rPr>
        <w:t>, ACCESO A LA INFORMACIÓN PÚBLICA Y PROTECCIÓN DE DATOS PERSONALES DEL ESTADO DE MÉXICO Y MUNICIPIOS</w:t>
      </w:r>
      <w:r>
        <w:rPr>
          <w:rFonts w:ascii="Palatino Linotype" w:hAnsi="Palatino Linotype" w:cs="Arial"/>
          <w:lang w:val="es-ES"/>
        </w:rPr>
        <w:t xml:space="preserve">, CONFORMADO POR LOS COMISIONADOS ZULEMA MARTÍNEZ SÁNCHEZ; EVA ABAID YAPUR; JOSÉ GUADALUPE LUNA HERNÁNDEZ, JAVIER MARTÍNEZ CRUZ Y LUIS GUSTAVO PARRA NORIEGA; EN LA DÉCIMA CUARTA  SESIÓN ORDINARIA CELEBRADA EL DIECINUEVE DE AGOSTO DE DOS MIL VEINTE, ANTE EL SECRETARIO TÉCNICO DEL PLENO, </w:t>
      </w:r>
      <w:r>
        <w:rPr>
          <w:rFonts w:ascii="Palatino Linotype" w:eastAsia="Arial Unicode MS" w:hAnsi="Palatino Linotype" w:cs="Arial"/>
          <w:lang w:val="es-ES"/>
        </w:rPr>
        <w:t>ALEXIS</w:t>
      </w:r>
      <w:r>
        <w:rPr>
          <w:rFonts w:ascii="Palatino Linotype" w:hAnsi="Palatino Linotype" w:cs="Arial"/>
          <w:lang w:val="es-ES"/>
        </w:rPr>
        <w:t xml:space="preserve"> TAPIA RAMÍREZ.</w:t>
      </w:r>
    </w:p>
    <w:p w:rsidR="00B34D2C" w:rsidRDefault="00B34D2C">
      <w:pPr>
        <w:spacing w:line="360" w:lineRule="auto"/>
        <w:jc w:val="both"/>
        <w:rPr>
          <w:rFonts w:ascii="Palatino Linotype" w:hAnsi="Palatino Linotype" w:cs="Arial"/>
          <w:lang w:val="es-ES"/>
        </w:rPr>
      </w:pPr>
    </w:p>
    <w:p w:rsidR="00B34D2C" w:rsidRDefault="00B34D2C">
      <w:pPr>
        <w:spacing w:line="360" w:lineRule="auto"/>
        <w:jc w:val="both"/>
        <w:rPr>
          <w:rFonts w:ascii="Palatino Linotype" w:hAnsi="Palatino Linotype" w:cs="Arial"/>
          <w:lang w:val="es-ES"/>
        </w:rPr>
      </w:pPr>
    </w:p>
    <w:tbl>
      <w:tblPr>
        <w:tblW w:w="10368" w:type="dxa"/>
        <w:jc w:val="center"/>
        <w:tblLook w:val="04A0" w:firstRow="1" w:lastRow="0" w:firstColumn="1" w:lastColumn="0" w:noHBand="0" w:noVBand="1"/>
      </w:tblPr>
      <w:tblGrid>
        <w:gridCol w:w="10581"/>
      </w:tblGrid>
      <w:tr w:rsidR="00F97EE5">
        <w:trPr>
          <w:jc w:val="center"/>
        </w:trPr>
        <w:tc>
          <w:tcPr>
            <w:tcW w:w="10368" w:type="dxa"/>
          </w:tcPr>
          <w:p w:rsidR="00F97EE5" w:rsidRDefault="00F97EE5">
            <w:pPr>
              <w:jc w:val="center"/>
              <w:rPr>
                <w:rFonts w:ascii="Palatino Linotype" w:eastAsiaTheme="minorEastAsia" w:hAnsi="Palatino Linotype" w:cs="Arial"/>
                <w:b/>
                <w:lang w:val="es-ES_tradnl"/>
              </w:rPr>
            </w:pPr>
          </w:p>
          <w:p w:rsidR="00C668A5" w:rsidRDefault="00C668A5">
            <w:pPr>
              <w:jc w:val="center"/>
              <w:rPr>
                <w:rFonts w:ascii="Palatino Linotype" w:eastAsiaTheme="minorEastAsia" w:hAnsi="Palatino Linotype" w:cs="Arial"/>
                <w:b/>
                <w:lang w:val="es-ES_tradnl"/>
              </w:rPr>
            </w:pPr>
          </w:p>
          <w:p w:rsidR="00F97EE5" w:rsidRDefault="00F97EE5">
            <w:pPr>
              <w:jc w:val="center"/>
              <w:rPr>
                <w:rFonts w:ascii="Palatino Linotype" w:eastAsiaTheme="minorEastAsia" w:hAnsi="Palatino Linotype" w:cs="Arial"/>
                <w:b/>
                <w:lang w:val="es-ES_tradnl"/>
              </w:rPr>
            </w:pPr>
          </w:p>
          <w:p w:rsidR="00F97EE5" w:rsidRDefault="00F97EE5">
            <w:pPr>
              <w:jc w:val="center"/>
              <w:rPr>
                <w:rFonts w:ascii="Palatino Linotype" w:eastAsiaTheme="minorEastAsia" w:hAnsi="Palatino Linotype" w:cs="Arial"/>
                <w:b/>
                <w:lang w:val="es-ES_tradnl"/>
              </w:rPr>
            </w:pPr>
          </w:p>
          <w:tbl>
            <w:tblPr>
              <w:tblW w:w="10365" w:type="dxa"/>
              <w:jc w:val="center"/>
              <w:tblLook w:val="04A0" w:firstRow="1" w:lastRow="0" w:firstColumn="1" w:lastColumn="0" w:noHBand="0" w:noVBand="1"/>
            </w:tblPr>
            <w:tblGrid>
              <w:gridCol w:w="5182"/>
              <w:gridCol w:w="5183"/>
            </w:tblGrid>
            <w:tr w:rsidR="00F97EE5">
              <w:trPr>
                <w:jc w:val="center"/>
              </w:trPr>
              <w:tc>
                <w:tcPr>
                  <w:tcW w:w="10364" w:type="dxa"/>
                  <w:gridSpan w:val="2"/>
                  <w:shd w:val="clear" w:color="auto" w:fill="auto"/>
                </w:tcPr>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Zulema Martínez Sánchez</w:t>
                  </w: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Comisionada Presidenta</w:t>
                  </w: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 xml:space="preserve">(RÚBRICA) </w:t>
                  </w:r>
                </w:p>
              </w:tc>
            </w:tr>
            <w:tr w:rsidR="00F97EE5">
              <w:trPr>
                <w:jc w:val="center"/>
              </w:trPr>
              <w:tc>
                <w:tcPr>
                  <w:tcW w:w="5182" w:type="dxa"/>
                  <w:shd w:val="clear" w:color="auto" w:fill="auto"/>
                </w:tcPr>
                <w:p w:rsidR="00F97EE5" w:rsidRDefault="00F97EE5">
                  <w:pPr>
                    <w:jc w:val="center"/>
                    <w:rPr>
                      <w:rFonts w:ascii="Palatino Linotype" w:eastAsiaTheme="minorEastAsia" w:hAnsi="Palatino Linotype" w:cs="Arial"/>
                      <w:b/>
                      <w:lang w:val="es-ES_tradnl"/>
                    </w:rPr>
                  </w:pPr>
                </w:p>
                <w:p w:rsidR="00F97EE5" w:rsidRDefault="00F97EE5">
                  <w:pPr>
                    <w:jc w:val="center"/>
                    <w:rPr>
                      <w:rFonts w:ascii="Palatino Linotype" w:eastAsiaTheme="minorEastAsia" w:hAnsi="Palatino Linotype" w:cs="Arial"/>
                      <w:b/>
                      <w:lang w:val="es-ES_tradnl"/>
                    </w:rPr>
                  </w:pPr>
                </w:p>
                <w:p w:rsidR="00C668A5" w:rsidRDefault="00C668A5">
                  <w:pPr>
                    <w:jc w:val="center"/>
                    <w:rPr>
                      <w:rFonts w:ascii="Palatino Linotype" w:eastAsiaTheme="minorEastAsia" w:hAnsi="Palatino Linotype" w:cs="Arial"/>
                      <w:b/>
                      <w:lang w:val="es-ES_tradnl"/>
                    </w:rPr>
                  </w:pPr>
                </w:p>
                <w:p w:rsidR="00F97EE5" w:rsidRDefault="00F97EE5">
                  <w:pPr>
                    <w:jc w:val="center"/>
                    <w:rPr>
                      <w:rFonts w:ascii="Palatino Linotype" w:eastAsiaTheme="minorEastAsia" w:hAnsi="Palatino Linotype" w:cs="Arial"/>
                      <w:b/>
                      <w:lang w:val="es-ES_tradnl"/>
                    </w:rPr>
                  </w:pP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Eva Abaid Yapur</w:t>
                  </w: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Comisionada</w:t>
                  </w: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c>
                <w:tcPr>
                  <w:tcW w:w="5182" w:type="dxa"/>
                  <w:shd w:val="clear" w:color="auto" w:fill="auto"/>
                </w:tcPr>
                <w:p w:rsidR="00F97EE5" w:rsidRDefault="00F97EE5">
                  <w:pPr>
                    <w:jc w:val="center"/>
                    <w:rPr>
                      <w:rFonts w:ascii="Palatino Linotype" w:eastAsiaTheme="minorEastAsia" w:hAnsi="Palatino Linotype" w:cs="Arial"/>
                      <w:b/>
                      <w:lang w:val="es-ES_tradnl"/>
                    </w:rPr>
                  </w:pPr>
                </w:p>
                <w:p w:rsidR="00F97EE5" w:rsidRDefault="00F97EE5">
                  <w:pPr>
                    <w:jc w:val="center"/>
                    <w:rPr>
                      <w:rFonts w:ascii="Palatino Linotype" w:eastAsiaTheme="minorEastAsia" w:hAnsi="Palatino Linotype" w:cs="Arial"/>
                      <w:b/>
                      <w:lang w:val="es-ES_tradnl"/>
                    </w:rPr>
                  </w:pPr>
                </w:p>
                <w:p w:rsidR="00C668A5" w:rsidRDefault="00C668A5">
                  <w:pPr>
                    <w:jc w:val="center"/>
                    <w:rPr>
                      <w:rFonts w:ascii="Palatino Linotype" w:eastAsiaTheme="minorEastAsia" w:hAnsi="Palatino Linotype" w:cs="Arial"/>
                      <w:b/>
                      <w:lang w:val="es-ES_tradnl"/>
                    </w:rPr>
                  </w:pPr>
                </w:p>
                <w:p w:rsidR="00F97EE5" w:rsidRDefault="00F97EE5">
                  <w:pPr>
                    <w:jc w:val="center"/>
                    <w:rPr>
                      <w:rFonts w:ascii="Palatino Linotype" w:eastAsiaTheme="minorEastAsia" w:hAnsi="Palatino Linotype" w:cs="Arial"/>
                      <w:b/>
                      <w:lang w:val="es-ES_tradnl"/>
                    </w:rPr>
                  </w:pP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José Guadalupe Luna Hernández</w:t>
                  </w: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Comisionado</w:t>
                  </w: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r>
            <w:tr w:rsidR="00F97EE5">
              <w:trPr>
                <w:jc w:val="center"/>
              </w:trPr>
              <w:tc>
                <w:tcPr>
                  <w:tcW w:w="5182" w:type="dxa"/>
                  <w:shd w:val="clear" w:color="auto" w:fill="auto"/>
                </w:tcPr>
                <w:p w:rsidR="00F97EE5" w:rsidRDefault="00F97EE5">
                  <w:pPr>
                    <w:jc w:val="center"/>
                    <w:rPr>
                      <w:rFonts w:ascii="Palatino Linotype" w:eastAsiaTheme="minorEastAsia" w:hAnsi="Palatino Linotype" w:cs="Arial"/>
                      <w:b/>
                      <w:lang w:val="es-ES_tradnl"/>
                    </w:rPr>
                  </w:pPr>
                </w:p>
                <w:p w:rsidR="00B34D2C" w:rsidRDefault="00B34D2C">
                  <w:pPr>
                    <w:jc w:val="center"/>
                    <w:rPr>
                      <w:rFonts w:ascii="Palatino Linotype" w:eastAsiaTheme="minorEastAsia" w:hAnsi="Palatino Linotype" w:cs="Arial"/>
                      <w:b/>
                      <w:lang w:val="es-ES_tradnl"/>
                    </w:rPr>
                  </w:pPr>
                </w:p>
                <w:p w:rsidR="00F97EE5" w:rsidRDefault="00F97EE5">
                  <w:pPr>
                    <w:jc w:val="center"/>
                    <w:rPr>
                      <w:rFonts w:ascii="Palatino Linotype" w:eastAsiaTheme="minorEastAsia" w:hAnsi="Palatino Linotype" w:cs="Arial"/>
                      <w:b/>
                      <w:lang w:val="es-ES_tradnl"/>
                    </w:rPr>
                  </w:pPr>
                </w:p>
                <w:p w:rsidR="00F97EE5" w:rsidRDefault="00F97EE5">
                  <w:pPr>
                    <w:jc w:val="center"/>
                    <w:rPr>
                      <w:rFonts w:ascii="Palatino Linotype" w:eastAsiaTheme="minorEastAsia" w:hAnsi="Palatino Linotype" w:cs="Arial"/>
                      <w:b/>
                      <w:lang w:val="es-ES_tradnl"/>
                    </w:rPr>
                  </w:pP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Javier Martínez Cruz</w:t>
                  </w: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Comisionado</w:t>
                  </w: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c>
                <w:tcPr>
                  <w:tcW w:w="5182" w:type="dxa"/>
                  <w:shd w:val="clear" w:color="auto" w:fill="auto"/>
                </w:tcPr>
                <w:p w:rsidR="00F97EE5" w:rsidRDefault="00F97EE5">
                  <w:pPr>
                    <w:jc w:val="center"/>
                    <w:rPr>
                      <w:rFonts w:ascii="Palatino Linotype" w:eastAsiaTheme="minorEastAsia" w:hAnsi="Palatino Linotype" w:cs="Arial"/>
                      <w:b/>
                      <w:lang w:val="es-ES_tradnl"/>
                    </w:rPr>
                  </w:pPr>
                </w:p>
                <w:p w:rsidR="00F97EE5" w:rsidRDefault="00F97EE5">
                  <w:pPr>
                    <w:jc w:val="center"/>
                    <w:rPr>
                      <w:rFonts w:ascii="Palatino Linotype" w:eastAsiaTheme="minorEastAsia" w:hAnsi="Palatino Linotype" w:cs="Arial"/>
                      <w:b/>
                      <w:lang w:val="es-ES_tradnl"/>
                    </w:rPr>
                  </w:pPr>
                </w:p>
                <w:p w:rsidR="00B34D2C" w:rsidRDefault="00B34D2C">
                  <w:pPr>
                    <w:jc w:val="center"/>
                    <w:rPr>
                      <w:rFonts w:ascii="Palatino Linotype" w:eastAsiaTheme="minorEastAsia" w:hAnsi="Palatino Linotype" w:cs="Arial"/>
                      <w:b/>
                      <w:lang w:val="es-ES_tradnl"/>
                    </w:rPr>
                  </w:pPr>
                </w:p>
                <w:p w:rsidR="00F97EE5" w:rsidRDefault="00F97EE5">
                  <w:pPr>
                    <w:jc w:val="center"/>
                    <w:rPr>
                      <w:rFonts w:ascii="Palatino Linotype" w:eastAsiaTheme="minorEastAsia" w:hAnsi="Palatino Linotype" w:cs="Arial"/>
                      <w:b/>
                      <w:lang w:val="es-ES_tradnl"/>
                    </w:rPr>
                  </w:pP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Luis Gustavo Parra Noriega</w:t>
                  </w: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Comisionado</w:t>
                  </w: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r>
            <w:tr w:rsidR="00F97EE5">
              <w:trPr>
                <w:jc w:val="center"/>
              </w:trPr>
              <w:tc>
                <w:tcPr>
                  <w:tcW w:w="10364" w:type="dxa"/>
                  <w:gridSpan w:val="2"/>
                  <w:shd w:val="clear" w:color="auto" w:fill="auto"/>
                </w:tcPr>
                <w:p w:rsidR="00F97EE5" w:rsidRDefault="00F97EE5">
                  <w:pPr>
                    <w:jc w:val="center"/>
                    <w:rPr>
                      <w:rFonts w:ascii="Palatino Linotype" w:eastAsiaTheme="minorEastAsia" w:hAnsi="Palatino Linotype" w:cs="Arial"/>
                      <w:b/>
                      <w:lang w:val="es-ES_tradnl"/>
                    </w:rPr>
                  </w:pPr>
                </w:p>
                <w:p w:rsidR="00F97EE5" w:rsidRDefault="00F97EE5">
                  <w:pPr>
                    <w:jc w:val="center"/>
                    <w:rPr>
                      <w:rFonts w:ascii="Palatino Linotype" w:eastAsiaTheme="minorEastAsia" w:hAnsi="Palatino Linotype" w:cs="Arial"/>
                      <w:b/>
                      <w:lang w:val="es-ES_tradnl"/>
                    </w:rPr>
                  </w:pPr>
                </w:p>
                <w:p w:rsidR="00F97EE5" w:rsidRDefault="00F97EE5">
                  <w:pPr>
                    <w:jc w:val="center"/>
                    <w:rPr>
                      <w:rFonts w:ascii="Palatino Linotype" w:eastAsiaTheme="minorEastAsia" w:hAnsi="Palatino Linotype" w:cs="Arial"/>
                      <w:b/>
                      <w:lang w:val="es-ES_tradnl"/>
                    </w:rPr>
                  </w:pPr>
                </w:p>
                <w:p w:rsidR="00B34D2C" w:rsidRDefault="00B34D2C">
                  <w:pPr>
                    <w:jc w:val="center"/>
                    <w:rPr>
                      <w:rFonts w:ascii="Palatino Linotype" w:eastAsiaTheme="minorEastAsia" w:hAnsi="Palatino Linotype" w:cs="Arial"/>
                      <w:b/>
                      <w:lang w:val="es-ES_tradnl"/>
                    </w:rPr>
                  </w:pPr>
                </w:p>
                <w:p w:rsidR="00B34D2C" w:rsidRDefault="00B34D2C">
                  <w:pPr>
                    <w:jc w:val="center"/>
                    <w:rPr>
                      <w:rFonts w:ascii="Palatino Linotype" w:eastAsiaTheme="minorEastAsia" w:hAnsi="Palatino Linotype" w:cs="Arial"/>
                      <w:b/>
                      <w:lang w:val="es-ES_tradnl"/>
                    </w:rPr>
                  </w:pPr>
                </w:p>
                <w:p w:rsidR="00B34D2C" w:rsidRDefault="00B34D2C">
                  <w:pPr>
                    <w:jc w:val="center"/>
                    <w:rPr>
                      <w:rFonts w:ascii="Palatino Linotype" w:eastAsiaTheme="minorEastAsia" w:hAnsi="Palatino Linotype" w:cs="Arial"/>
                      <w:b/>
                      <w:lang w:val="es-ES_tradnl"/>
                    </w:rPr>
                  </w:pP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Alexis Tapia Ramírez</w:t>
                  </w:r>
                </w:p>
                <w:p w:rsidR="00F97EE5" w:rsidRDefault="00A25A46">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Secretario Técnico del Pleno</w:t>
                  </w:r>
                </w:p>
                <w:p w:rsidR="00F97EE5" w:rsidRDefault="00A25A46" w:rsidP="00B34D2C">
                  <w:pPr>
                    <w:jc w:val="center"/>
                    <w:rPr>
                      <w:rFonts w:ascii="Palatino Linotype" w:eastAsiaTheme="minorEastAsia" w:hAnsi="Palatino Linotype" w:cs="Arial"/>
                      <w:b/>
                      <w:lang w:val="es-ES_tradnl"/>
                    </w:rPr>
                  </w:pPr>
                  <w:r>
                    <w:rPr>
                      <w:rFonts w:ascii="Palatino Linotype" w:eastAsiaTheme="minorEastAsia" w:hAnsi="Palatino Linotype" w:cs="Arial"/>
                      <w:b/>
                      <w:lang w:val="es-ES_tradnl"/>
                    </w:rPr>
                    <w:t>(RÚBRICA)</w:t>
                  </w:r>
                </w:p>
              </w:tc>
            </w:tr>
          </w:tbl>
          <w:p w:rsidR="00F97EE5" w:rsidRDefault="00F97EE5">
            <w:pPr>
              <w:jc w:val="center"/>
              <w:rPr>
                <w:rFonts w:ascii="Palatino Linotype" w:eastAsiaTheme="minorEastAsia" w:hAnsi="Palatino Linotype" w:cs="Arial"/>
                <w:b/>
                <w:lang w:val="es-ES_tradnl"/>
              </w:rPr>
            </w:pPr>
          </w:p>
        </w:tc>
      </w:tr>
    </w:tbl>
    <w:p w:rsidR="00B34D2C" w:rsidRDefault="00B34D2C">
      <w:pPr>
        <w:jc w:val="both"/>
        <w:rPr>
          <w:rFonts w:ascii="Palatino Linotype" w:eastAsiaTheme="minorEastAsia" w:hAnsi="Palatino Linotype" w:cs="Arial"/>
          <w:sz w:val="20"/>
          <w:szCs w:val="20"/>
          <w:lang w:val="es-ES_tradnl"/>
        </w:rPr>
      </w:pPr>
    </w:p>
    <w:p w:rsidR="00B34D2C" w:rsidRDefault="00B34D2C">
      <w:pPr>
        <w:jc w:val="both"/>
        <w:rPr>
          <w:rFonts w:ascii="Palatino Linotype" w:eastAsiaTheme="minorEastAsia" w:hAnsi="Palatino Linotype" w:cs="Arial"/>
          <w:sz w:val="20"/>
          <w:szCs w:val="20"/>
          <w:lang w:val="es-ES_tradnl"/>
        </w:rPr>
      </w:pPr>
    </w:p>
    <w:p w:rsidR="00F97EE5" w:rsidRDefault="00A25A46">
      <w:pPr>
        <w:jc w:val="both"/>
        <w:rPr>
          <w:rFonts w:ascii="Palatino Linotype" w:eastAsiaTheme="minorEastAsia" w:hAnsi="Palatino Linotype" w:cs="Arial"/>
          <w:sz w:val="20"/>
          <w:szCs w:val="20"/>
          <w:lang w:val="es-ES_tradnl"/>
        </w:rPr>
      </w:pPr>
      <w:r>
        <w:rPr>
          <w:rFonts w:ascii="Palatino Linotype" w:eastAsiaTheme="minorEastAsia" w:hAnsi="Palatino Linotype" w:cs="Arial"/>
          <w:sz w:val="20"/>
          <w:szCs w:val="20"/>
          <w:lang w:val="es-ES_tradnl"/>
        </w:rPr>
        <w:t>Esta hoja corresponde a la resolución de diecinueve de agosto de dos mil veinte, emitida en el recurso de revisión número 01387/INFOEM/IP/RR/2020.</w:t>
      </w:r>
    </w:p>
    <w:p w:rsidR="00F97EE5" w:rsidRDefault="00A25A46">
      <w:pPr>
        <w:spacing w:beforeAutospacing="1" w:afterAutospacing="1" w:line="360" w:lineRule="auto"/>
        <w:jc w:val="both"/>
        <w:rPr>
          <w:rFonts w:ascii="Palatino Linotype" w:hAnsi="Palatino Linotype" w:cs="Arial"/>
          <w:sz w:val="18"/>
        </w:rPr>
      </w:pPr>
      <w:r>
        <w:rPr>
          <w:rFonts w:ascii="Palatino Linotype" w:eastAsiaTheme="minorEastAsia" w:hAnsi="Palatino Linotype" w:cs="Arial"/>
          <w:sz w:val="20"/>
          <w:szCs w:val="20"/>
          <w:lang w:val="es-ES_tradnl"/>
        </w:rPr>
        <w:t xml:space="preserve">YSM/RPG </w:t>
      </w:r>
    </w:p>
    <w:sectPr w:rsidR="00F97EE5">
      <w:headerReference w:type="default" r:id="rId23"/>
      <w:footerReference w:type="default" r:id="rId24"/>
      <w:headerReference w:type="first" r:id="rId25"/>
      <w:footerReference w:type="first" r:id="rId26"/>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5A46" w:rsidRDefault="00A25A46">
      <w:r>
        <w:separator/>
      </w:r>
    </w:p>
  </w:endnote>
  <w:endnote w:type="continuationSeparator" w:id="0">
    <w:p w:rsidR="00A25A46" w:rsidRDefault="00A25A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Bookman Old Style">
    <w:panose1 w:val="020506040505050202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E5" w:rsidRDefault="00A25A46">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244191">
      <w:rPr>
        <w:rFonts w:ascii="Palatino Linotype" w:hAnsi="Palatino Linotype" w:cs="Arial"/>
        <w:bCs/>
        <w:noProof/>
        <w:sz w:val="22"/>
        <w:szCs w:val="22"/>
      </w:rPr>
      <w:t>17</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244191">
      <w:rPr>
        <w:rFonts w:ascii="Palatino Linotype" w:hAnsi="Palatino Linotype" w:cs="Arial"/>
        <w:bCs/>
        <w:noProof/>
        <w:sz w:val="22"/>
        <w:szCs w:val="22"/>
      </w:rPr>
      <w:t>48</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E5" w:rsidRDefault="00A25A46">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244191">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244191">
      <w:rPr>
        <w:rFonts w:ascii="Palatino Linotype" w:hAnsi="Palatino Linotype" w:cs="Arial"/>
        <w:bCs/>
        <w:noProof/>
        <w:sz w:val="22"/>
        <w:szCs w:val="22"/>
      </w:rPr>
      <w:t>48</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5A46" w:rsidRDefault="00A25A46">
      <w:pPr>
        <w:rPr>
          <w:sz w:val="12"/>
        </w:rPr>
      </w:pPr>
      <w:r>
        <w:separator/>
      </w:r>
    </w:p>
  </w:footnote>
  <w:footnote w:type="continuationSeparator" w:id="0">
    <w:p w:rsidR="00A25A46" w:rsidRDefault="00A25A46">
      <w:pPr>
        <w:rPr>
          <w:sz w:val="12"/>
        </w:rPr>
      </w:pPr>
      <w:r>
        <w:continuationSeparator/>
      </w:r>
    </w:p>
  </w:footnote>
  <w:footnote w:id="1">
    <w:p w:rsidR="00F97EE5" w:rsidRDefault="00A25A46">
      <w:pPr>
        <w:pStyle w:val="Textonotapie"/>
        <w:rPr>
          <w:rFonts w:ascii="Palatino Linotype" w:hAnsi="Palatino Linotype"/>
          <w:i/>
        </w:rPr>
      </w:pPr>
      <w:r>
        <w:rPr>
          <w:rStyle w:val="Caracteresdenotaalpie"/>
        </w:rPr>
        <w:footnoteRef/>
      </w:r>
      <w:r>
        <w:t xml:space="preserve"> </w:t>
      </w:r>
      <w:hyperlink r:id="rId1">
        <w:r>
          <w:rPr>
            <w:rStyle w:val="EnlacedeInternet"/>
            <w:rFonts w:ascii="Palatino Linotype" w:hAnsi="Palatino Linotype"/>
            <w:i/>
            <w:color w:val="auto"/>
          </w:rPr>
          <w:t>http://legislacion.edomex.gob.mx/sites/legislacion.edomex.gob.mx/files/files/vigentes/dic185.PDF</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E5" w:rsidRDefault="00A25A46">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90" behindDoc="1" locked="0" layoutInCell="1" allowOverlap="1">
          <wp:simplePos x="0" y="0"/>
          <wp:positionH relativeFrom="column">
            <wp:align>center</wp:align>
          </wp:positionH>
          <wp:positionV relativeFrom="margin">
            <wp:align>center</wp:align>
          </wp:positionV>
          <wp:extent cx="6858635" cy="9144635"/>
          <wp:effectExtent l="0" t="0" r="0" b="0"/>
          <wp:wrapNone/>
          <wp:docPr id="14"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5"/>
      <w:gridCol w:w="2555"/>
      <w:gridCol w:w="3724"/>
    </w:tblGrid>
    <w:tr w:rsidR="00F97EE5">
      <w:tc>
        <w:tcPr>
          <w:tcW w:w="3255" w:type="dxa"/>
          <w:vMerge w:val="restart"/>
        </w:tcPr>
        <w:p w:rsidR="00F97EE5" w:rsidRDefault="00A25A46">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5" w:type="dxa"/>
          <w:shd w:val="clear" w:color="auto" w:fill="auto"/>
        </w:tcPr>
        <w:p w:rsidR="00F97EE5" w:rsidRDefault="00A25A4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rsidR="00F97EE5" w:rsidRDefault="00A25A46">
          <w:pPr>
            <w:jc w:val="both"/>
            <w:rPr>
              <w:rFonts w:ascii="Palatino Linotype" w:hAnsi="Palatino Linotype"/>
              <w:b/>
              <w:sz w:val="22"/>
              <w:szCs w:val="22"/>
              <w:lang w:val="es-ES_tradnl"/>
            </w:rPr>
          </w:pPr>
          <w:r>
            <w:rPr>
              <w:rFonts w:ascii="Palatino Linotype" w:hAnsi="Palatino Linotype"/>
              <w:b/>
              <w:sz w:val="22"/>
              <w:szCs w:val="22"/>
              <w:lang w:val="es-ES_tradnl"/>
            </w:rPr>
            <w:t>01387INFOEM/IP/RR/2020</w:t>
          </w:r>
        </w:p>
      </w:tc>
    </w:tr>
    <w:tr w:rsidR="00F97EE5">
      <w:tc>
        <w:tcPr>
          <w:tcW w:w="3255" w:type="dxa"/>
          <w:vMerge/>
        </w:tcPr>
        <w:p w:rsidR="00F97EE5" w:rsidRDefault="00F97EE5">
          <w:pPr>
            <w:rPr>
              <w:rFonts w:ascii="Palatino Linotype" w:hAnsi="Palatino Linotype"/>
              <w:b/>
              <w:sz w:val="22"/>
              <w:szCs w:val="22"/>
              <w:lang w:val="es-ES_tradnl"/>
            </w:rPr>
          </w:pPr>
        </w:p>
      </w:tc>
      <w:tc>
        <w:tcPr>
          <w:tcW w:w="2555" w:type="dxa"/>
          <w:shd w:val="clear" w:color="auto" w:fill="auto"/>
        </w:tcPr>
        <w:p w:rsidR="00F97EE5" w:rsidRDefault="00A25A4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rsidR="00F97EE5" w:rsidRDefault="00A25A46">
          <w:pPr>
            <w:jc w:val="both"/>
            <w:rPr>
              <w:rFonts w:ascii="Palatino Linotype" w:hAnsi="Palatino Linotype"/>
              <w:b/>
              <w:sz w:val="22"/>
              <w:szCs w:val="22"/>
            </w:rPr>
          </w:pPr>
          <w:r>
            <w:rPr>
              <w:rFonts w:ascii="Palatino Linotype" w:hAnsi="Palatino Linotype"/>
              <w:b/>
              <w:sz w:val="22"/>
              <w:szCs w:val="22"/>
            </w:rPr>
            <w:t>Instituto de Salud del Estado de México</w:t>
          </w:r>
        </w:p>
      </w:tc>
    </w:tr>
    <w:tr w:rsidR="00F97EE5">
      <w:trPr>
        <w:trHeight w:val="228"/>
      </w:trPr>
      <w:tc>
        <w:tcPr>
          <w:tcW w:w="3255" w:type="dxa"/>
          <w:vMerge/>
        </w:tcPr>
        <w:p w:rsidR="00F97EE5" w:rsidRDefault="00F97EE5">
          <w:pPr>
            <w:rPr>
              <w:rFonts w:ascii="Palatino Linotype" w:hAnsi="Palatino Linotype"/>
              <w:b/>
              <w:sz w:val="22"/>
              <w:szCs w:val="22"/>
              <w:lang w:val="es-ES_tradnl"/>
            </w:rPr>
          </w:pPr>
        </w:p>
      </w:tc>
      <w:tc>
        <w:tcPr>
          <w:tcW w:w="2555" w:type="dxa"/>
          <w:shd w:val="clear" w:color="auto" w:fill="auto"/>
        </w:tcPr>
        <w:p w:rsidR="00F97EE5" w:rsidRDefault="00A25A4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rsidR="00F97EE5" w:rsidRDefault="00A25A4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F97EE5" w:rsidRDefault="00F97EE5">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97EE5" w:rsidRDefault="00A25A46">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91" behindDoc="1" locked="0" layoutInCell="1" allowOverlap="1">
          <wp:simplePos x="0" y="0"/>
          <wp:positionH relativeFrom="column">
            <wp:align>center</wp:align>
          </wp:positionH>
          <wp:positionV relativeFrom="margin">
            <wp:align>center</wp:align>
          </wp:positionV>
          <wp:extent cx="6858635" cy="9144635"/>
          <wp:effectExtent l="0" t="0" r="0" b="0"/>
          <wp:wrapNone/>
          <wp:docPr id="16"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0"/>
      <w:gridCol w:w="2549"/>
      <w:gridCol w:w="3691"/>
    </w:tblGrid>
    <w:tr w:rsidR="00F97EE5">
      <w:tc>
        <w:tcPr>
          <w:tcW w:w="4250" w:type="dxa"/>
          <w:vMerge w:val="restart"/>
          <w:shd w:val="clear" w:color="auto" w:fill="auto"/>
        </w:tcPr>
        <w:p w:rsidR="00F97EE5" w:rsidRDefault="00A25A46">
          <w:pPr>
            <w:rPr>
              <w:rFonts w:ascii="Palatino Linotype" w:hAnsi="Palatino Linotype"/>
              <w:b/>
              <w:sz w:val="22"/>
              <w:szCs w:val="22"/>
              <w:lang w:val="es-ES_tradnl"/>
            </w:rPr>
          </w:pPr>
          <w:r>
            <w:rPr>
              <w:noProof/>
              <w:lang w:eastAsia="es-MX"/>
            </w:rPr>
            <w:drawing>
              <wp:inline distT="0" distB="0" distL="0" distR="0">
                <wp:extent cx="1663700" cy="838200"/>
                <wp:effectExtent l="0" t="0" r="0" b="0"/>
                <wp:docPr id="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49" w:type="dxa"/>
          <w:shd w:val="clear" w:color="auto" w:fill="auto"/>
        </w:tcPr>
        <w:p w:rsidR="00F97EE5" w:rsidRDefault="00A25A46">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91" w:type="dxa"/>
          <w:shd w:val="clear" w:color="auto" w:fill="auto"/>
          <w:vAlign w:val="center"/>
        </w:tcPr>
        <w:p w:rsidR="00F97EE5" w:rsidRDefault="00A25A46">
          <w:pPr>
            <w:jc w:val="both"/>
            <w:rPr>
              <w:rFonts w:ascii="Palatino Linotype" w:hAnsi="Palatino Linotype"/>
              <w:b/>
              <w:sz w:val="22"/>
              <w:szCs w:val="22"/>
              <w:lang w:val="es-ES_tradnl"/>
            </w:rPr>
          </w:pPr>
          <w:r>
            <w:rPr>
              <w:rFonts w:ascii="Palatino Linotype" w:hAnsi="Palatino Linotype"/>
              <w:b/>
              <w:sz w:val="22"/>
              <w:szCs w:val="22"/>
              <w:lang w:val="es-ES_tradnl"/>
            </w:rPr>
            <w:t>01387/INFOEM/IP/RR/2020</w:t>
          </w:r>
        </w:p>
      </w:tc>
    </w:tr>
    <w:tr w:rsidR="00F97EE5">
      <w:tc>
        <w:tcPr>
          <w:tcW w:w="4250" w:type="dxa"/>
          <w:vMerge/>
          <w:shd w:val="clear" w:color="auto" w:fill="auto"/>
        </w:tcPr>
        <w:p w:rsidR="00F97EE5" w:rsidRDefault="00F97EE5">
          <w:pPr>
            <w:rPr>
              <w:rFonts w:ascii="Palatino Linotype" w:hAnsi="Palatino Linotype"/>
              <w:b/>
              <w:sz w:val="22"/>
              <w:szCs w:val="22"/>
              <w:lang w:val="es-ES_tradnl"/>
            </w:rPr>
          </w:pPr>
        </w:p>
      </w:tc>
      <w:tc>
        <w:tcPr>
          <w:tcW w:w="2549" w:type="dxa"/>
          <w:shd w:val="clear" w:color="auto" w:fill="auto"/>
        </w:tcPr>
        <w:p w:rsidR="00F97EE5" w:rsidRDefault="00A25A46">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91" w:type="dxa"/>
          <w:shd w:val="clear" w:color="auto" w:fill="auto"/>
          <w:vAlign w:val="center"/>
        </w:tcPr>
        <w:p w:rsidR="00F97EE5" w:rsidRDefault="00244191" w:rsidP="00244191">
          <w:pPr>
            <w:jc w:val="both"/>
            <w:rPr>
              <w:rFonts w:ascii="Palatino Linotype" w:hAnsi="Palatino Linotype"/>
              <w:b/>
              <w:sz w:val="22"/>
              <w:szCs w:val="22"/>
              <w:lang w:val="es-ES_tradnl"/>
            </w:rPr>
          </w:pPr>
          <w:r>
            <w:rPr>
              <w:rFonts w:ascii="Palatino Linotype" w:hAnsi="Palatino Linotype"/>
              <w:b/>
              <w:sz w:val="22"/>
              <w:szCs w:val="22"/>
            </w:rPr>
            <w:t>Xxxxxxx</w:t>
          </w:r>
          <w:r w:rsidR="00A25A46">
            <w:rPr>
              <w:rFonts w:ascii="Palatino Linotype" w:hAnsi="Palatino Linotype"/>
              <w:b/>
              <w:sz w:val="22"/>
              <w:szCs w:val="22"/>
            </w:rPr>
            <w:t xml:space="preserve"> </w:t>
          </w:r>
          <w:r>
            <w:rPr>
              <w:rFonts w:ascii="Palatino Linotype" w:hAnsi="Palatino Linotype"/>
              <w:b/>
              <w:sz w:val="22"/>
              <w:szCs w:val="22"/>
            </w:rPr>
            <w:t>xxxxxxx</w:t>
          </w:r>
          <w:r w:rsidR="00A25A46">
            <w:rPr>
              <w:rFonts w:ascii="Palatino Linotype" w:hAnsi="Palatino Linotype"/>
              <w:b/>
              <w:sz w:val="22"/>
              <w:szCs w:val="22"/>
            </w:rPr>
            <w:t xml:space="preserve"> </w:t>
          </w:r>
          <w:r>
            <w:rPr>
              <w:rFonts w:ascii="Palatino Linotype" w:hAnsi="Palatino Linotype"/>
              <w:b/>
              <w:sz w:val="22"/>
              <w:szCs w:val="22"/>
            </w:rPr>
            <w:t>xxxxxx</w:t>
          </w:r>
          <w:r w:rsidR="00A25A46">
            <w:rPr>
              <w:rFonts w:ascii="Palatino Linotype" w:hAnsi="Palatino Linotype"/>
              <w:b/>
              <w:sz w:val="22"/>
              <w:szCs w:val="22"/>
            </w:rPr>
            <w:t xml:space="preserve"> </w:t>
          </w:r>
        </w:p>
      </w:tc>
    </w:tr>
    <w:tr w:rsidR="00F97EE5">
      <w:trPr>
        <w:trHeight w:val="228"/>
      </w:trPr>
      <w:tc>
        <w:tcPr>
          <w:tcW w:w="4250" w:type="dxa"/>
          <w:vMerge/>
          <w:shd w:val="clear" w:color="auto" w:fill="auto"/>
        </w:tcPr>
        <w:p w:rsidR="00F97EE5" w:rsidRDefault="00F97EE5">
          <w:pPr>
            <w:rPr>
              <w:rFonts w:ascii="Palatino Linotype" w:hAnsi="Palatino Linotype"/>
              <w:b/>
              <w:sz w:val="22"/>
              <w:szCs w:val="22"/>
              <w:lang w:val="es-ES_tradnl"/>
            </w:rPr>
          </w:pPr>
        </w:p>
      </w:tc>
      <w:tc>
        <w:tcPr>
          <w:tcW w:w="2549" w:type="dxa"/>
          <w:shd w:val="clear" w:color="auto" w:fill="auto"/>
        </w:tcPr>
        <w:p w:rsidR="00F97EE5" w:rsidRDefault="00A25A46">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91" w:type="dxa"/>
          <w:shd w:val="clear" w:color="auto" w:fill="auto"/>
          <w:vAlign w:val="center"/>
        </w:tcPr>
        <w:p w:rsidR="00F97EE5" w:rsidRDefault="00A25A46">
          <w:pPr>
            <w:jc w:val="both"/>
            <w:rPr>
              <w:rFonts w:ascii="Palatino Linotype" w:hAnsi="Palatino Linotype"/>
              <w:b/>
              <w:sz w:val="22"/>
              <w:szCs w:val="22"/>
            </w:rPr>
          </w:pPr>
          <w:r>
            <w:rPr>
              <w:rFonts w:ascii="Palatino Linotype" w:hAnsi="Palatino Linotype"/>
              <w:b/>
              <w:sz w:val="22"/>
              <w:szCs w:val="22"/>
            </w:rPr>
            <w:t>Instituto de Salud del Estado de México</w:t>
          </w:r>
        </w:p>
      </w:tc>
    </w:tr>
    <w:tr w:rsidR="00F97EE5">
      <w:tc>
        <w:tcPr>
          <w:tcW w:w="4250" w:type="dxa"/>
          <w:vMerge/>
          <w:shd w:val="clear" w:color="auto" w:fill="auto"/>
        </w:tcPr>
        <w:p w:rsidR="00F97EE5" w:rsidRDefault="00F97EE5">
          <w:pPr>
            <w:rPr>
              <w:rFonts w:ascii="Palatino Linotype" w:hAnsi="Palatino Linotype"/>
              <w:b/>
              <w:sz w:val="22"/>
              <w:szCs w:val="22"/>
              <w:lang w:val="es-ES_tradnl"/>
            </w:rPr>
          </w:pPr>
        </w:p>
      </w:tc>
      <w:tc>
        <w:tcPr>
          <w:tcW w:w="2549" w:type="dxa"/>
          <w:shd w:val="clear" w:color="auto" w:fill="auto"/>
        </w:tcPr>
        <w:p w:rsidR="00F97EE5" w:rsidRDefault="00A25A46">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91" w:type="dxa"/>
          <w:shd w:val="clear" w:color="auto" w:fill="auto"/>
        </w:tcPr>
        <w:p w:rsidR="00F97EE5" w:rsidRDefault="00A25A46">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rsidR="00F97EE5" w:rsidRDefault="00F97EE5">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15DAD"/>
    <w:multiLevelType w:val="multilevel"/>
    <w:tmpl w:val="EBDE327E"/>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nsid w:val="2E551C80"/>
    <w:multiLevelType w:val="multilevel"/>
    <w:tmpl w:val="1C5A1B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10A0B7A"/>
    <w:multiLevelType w:val="multilevel"/>
    <w:tmpl w:val="0D9A40B4"/>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nsid w:val="34A60832"/>
    <w:multiLevelType w:val="multilevel"/>
    <w:tmpl w:val="1D4EB0D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50E6441F"/>
    <w:multiLevelType w:val="multilevel"/>
    <w:tmpl w:val="4E128E7E"/>
    <w:lvl w:ilvl="0">
      <w:start w:val="1"/>
      <w:numFmt w:val="bullet"/>
      <w:lvlText w:val=""/>
      <w:lvlJc w:val="left"/>
      <w:pPr>
        <w:ind w:left="720" w:hanging="360"/>
      </w:pPr>
      <w:rPr>
        <w:rFonts w:ascii="Wingdings" w:hAnsi="Wingdings" w:cs="Wingdings" w:hint="default"/>
        <w:sz w:val="5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58190ACC"/>
    <w:multiLevelType w:val="multilevel"/>
    <w:tmpl w:val="BAB8BF82"/>
    <w:lvl w:ilvl="0">
      <w:start w:val="1"/>
      <w:numFmt w:val="bullet"/>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num w:numId="1">
    <w:abstractNumId w:val="1"/>
  </w:num>
  <w:num w:numId="2">
    <w:abstractNumId w:val="4"/>
  </w:num>
  <w:num w:numId="3">
    <w:abstractNumId w:val="0"/>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EE5"/>
    <w:rsid w:val="00244191"/>
    <w:rsid w:val="00A25A46"/>
    <w:rsid w:val="00B34D2C"/>
    <w:rsid w:val="00C668A5"/>
    <w:rsid w:val="00F97EE5"/>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A2A7D14-BD9D-4E27-8782-F8E051372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qFormat/>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qFormat/>
    <w:locked/>
    <w:rsid w:val="00B93B76"/>
    <w:rPr>
      <w:rFonts w:ascii="Times New Roman" w:eastAsia="Times New Roman" w:hAnsi="Times New Roman" w:cs="Times New Roman"/>
      <w:szCs w:val="20"/>
      <w:lang w:val="en-US" w:eastAsia="en-US"/>
    </w:rPr>
  </w:style>
  <w:style w:type="character" w:customStyle="1" w:styleId="Caracteresdenotaalpie">
    <w:name w:val="Caracteres de nota al pie"/>
    <w:qFormat/>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customStyle="1" w:styleId="Ttulo">
    <w:name w:val="Título"/>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
    <w:name w:val="Tabla con cuadrícula1"/>
    <w:basedOn w:val="Tablanormal"/>
    <w:uiPriority w:val="59"/>
    <w:rsid w:val="00555C12"/>
    <w:rPr>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uiPriority w:val="39"/>
    <w:rsid w:val="00177F5F"/>
    <w:rPr>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18" Type="http://schemas.openxmlformats.org/officeDocument/2006/relationships/image" Target="media/image7.jpeg"/><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image" Target="media/image10.jpeg"/><Relationship Id="rId7" Type="http://schemas.openxmlformats.org/officeDocument/2006/relationships/endnotes" Target="endnotes.xml"/><Relationship Id="rId12" Type="http://schemas.openxmlformats.org/officeDocument/2006/relationships/hyperlink" Target="https://www.saimex.org.mx/saimex/solicitud/downloadAttach/896703.page" TargetMode="External"/><Relationship Id="rId17" Type="http://schemas.openxmlformats.org/officeDocument/2006/relationships/image" Target="media/image6.jpeg"/><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aimex.org.mx/saimex/solicitud/downloadAttach/896702.page"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https://www.saimex.org.mx/saimex/solicitud/downloadAttach/890260.page"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s://www.saimex.org.mx/saimex/solicitud/downloadAttach/885785.page" TargetMode="External"/><Relationship Id="rId14" Type="http://schemas.openxmlformats.org/officeDocument/2006/relationships/image" Target="media/image3.jpeg"/><Relationship Id="rId22" Type="http://schemas.openxmlformats.org/officeDocument/2006/relationships/image" Target="media/image11.jpeg"/><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legislacion.edomex.gob.mx/sites/legislacion.edomex.gob.mx/files/files/vigentes/dic185.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_rels/header2.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EAAFB-306C-4996-BE10-895B12037E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900</TotalTime>
  <Pages>48</Pages>
  <Words>12304</Words>
  <Characters>67677</Characters>
  <Application>Microsoft Office Word</Application>
  <DocSecurity>0</DocSecurity>
  <Lines>563</Lines>
  <Paragraphs>159</Paragraphs>
  <ScaleCrop>false</ScaleCrop>
  <Company>INFOEM</Company>
  <LinksUpToDate>false</LinksUpToDate>
  <CharactersWithSpaces>79822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Rocío Popoca</cp:lastModifiedBy>
  <cp:revision>28</cp:revision>
  <cp:lastPrinted>2020-01-22T19:55:00Z</cp:lastPrinted>
  <dcterms:created xsi:type="dcterms:W3CDTF">2020-03-20T16:10:00Z</dcterms:created>
  <dcterms:modified xsi:type="dcterms:W3CDTF">2020-09-24T14:26:00Z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