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1A1243"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1A1243">
        <w:rPr>
          <w:rFonts w:ascii="Palatino Linotype" w:hAnsi="Palatino Linotype"/>
          <w:b/>
        </w:rPr>
        <w:t>LÍNEAS ARGUMENTATIVAS.</w:t>
      </w:r>
    </w:p>
    <w:p w14:paraId="2EF5EAC7" w14:textId="77777777" w:rsidR="00943B9C" w:rsidRPr="001A1243" w:rsidRDefault="00943B9C" w:rsidP="00943B9C">
      <w:pPr>
        <w:spacing w:before="240" w:after="360" w:line="360" w:lineRule="auto"/>
        <w:contextualSpacing/>
        <w:jc w:val="both"/>
        <w:rPr>
          <w:rFonts w:ascii="Palatino Linotype" w:eastAsia="Times New Roman" w:hAnsi="Palatino Linotype"/>
        </w:rPr>
      </w:pPr>
      <w:r w:rsidRPr="001A1243">
        <w:rPr>
          <w:rFonts w:ascii="Palatino Linotype" w:eastAsia="Times New Roman" w:hAnsi="Palatino Linotype"/>
          <w:b/>
        </w:rPr>
        <w:t>DEBERES DE LAS AUTORIDADES.</w:t>
      </w:r>
      <w:r w:rsidRPr="001A124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1A1243"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1A1243" w:rsidRDefault="00943B9C" w:rsidP="00943B9C">
      <w:pPr>
        <w:spacing w:line="360" w:lineRule="auto"/>
        <w:jc w:val="both"/>
        <w:rPr>
          <w:rFonts w:ascii="Palatino Linotype" w:eastAsia="Calibri" w:hAnsi="Palatino Linotype" w:cs="Times New Roman"/>
        </w:rPr>
      </w:pPr>
      <w:r w:rsidRPr="001A1243">
        <w:rPr>
          <w:rFonts w:ascii="Palatino Linotype" w:eastAsia="Calibri" w:hAnsi="Palatino Linotype" w:cs="Times New Roman"/>
          <w:b/>
        </w:rPr>
        <w:t>DE LA GARANTÍA DE PROPORCIONAR LA INFORMACIÓN PÚBLICA GUBERNAMENTAL.</w:t>
      </w:r>
      <w:r w:rsidRPr="001A124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1A1243"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1A1243" w:rsidRDefault="00B0144D" w:rsidP="00B0144D">
      <w:pPr>
        <w:spacing w:line="360" w:lineRule="auto"/>
        <w:jc w:val="both"/>
        <w:rPr>
          <w:rFonts w:ascii="Palatino Linotype" w:hAnsi="Palatino Linotype" w:cs="Arial"/>
        </w:rPr>
      </w:pPr>
    </w:p>
    <w:p w14:paraId="42C21874" w14:textId="77777777" w:rsidR="00AC22B5" w:rsidRPr="001A1243" w:rsidRDefault="00AC22B5" w:rsidP="00B0144D">
      <w:pPr>
        <w:spacing w:line="360" w:lineRule="auto"/>
        <w:jc w:val="both"/>
        <w:rPr>
          <w:rFonts w:ascii="Palatino Linotype" w:hAnsi="Palatino Linotype" w:cs="Arial"/>
        </w:rPr>
      </w:pPr>
    </w:p>
    <w:p w14:paraId="2B30FCD3" w14:textId="77777777" w:rsidR="00AC22B5" w:rsidRPr="001A1243" w:rsidRDefault="00AC22B5" w:rsidP="00B0144D">
      <w:pPr>
        <w:spacing w:line="360" w:lineRule="auto"/>
        <w:jc w:val="both"/>
        <w:rPr>
          <w:rFonts w:ascii="Palatino Linotype" w:hAnsi="Palatino Linotype" w:cs="Arial"/>
        </w:rPr>
      </w:pPr>
    </w:p>
    <w:p w14:paraId="115FE699" w14:textId="77777777" w:rsidR="00AC22B5" w:rsidRPr="001A1243" w:rsidRDefault="00AC22B5" w:rsidP="00B0144D">
      <w:pPr>
        <w:spacing w:line="360" w:lineRule="auto"/>
        <w:jc w:val="both"/>
        <w:rPr>
          <w:rFonts w:ascii="Palatino Linotype" w:hAnsi="Palatino Linotype" w:cs="Arial"/>
        </w:rPr>
      </w:pPr>
    </w:p>
    <w:p w14:paraId="271E3B0C" w14:textId="77777777" w:rsidR="00AC22B5" w:rsidRPr="001A1243" w:rsidRDefault="00AC22B5" w:rsidP="00B0144D">
      <w:pPr>
        <w:spacing w:line="360" w:lineRule="auto"/>
        <w:jc w:val="both"/>
        <w:rPr>
          <w:rFonts w:ascii="Palatino Linotype" w:hAnsi="Palatino Linotype" w:cs="Arial"/>
        </w:rPr>
      </w:pPr>
    </w:p>
    <w:p w14:paraId="0023DA9A" w14:textId="13E06EBD" w:rsidR="002F7480" w:rsidRPr="001A1243" w:rsidRDefault="002F7480" w:rsidP="00943B9C">
      <w:pPr>
        <w:spacing w:before="240" w:after="240" w:line="360" w:lineRule="auto"/>
        <w:jc w:val="both"/>
        <w:rPr>
          <w:rFonts w:ascii="Palatino Linotype" w:eastAsia="Times New Roman" w:hAnsi="Palatino Linotype" w:cs="Times New Roman"/>
          <w:b/>
          <w:u w:val="single"/>
        </w:rPr>
      </w:pPr>
      <w:r w:rsidRPr="001A1243">
        <w:rPr>
          <w:rFonts w:ascii="Palatino Linotype" w:hAnsi="Palatino Linotype"/>
        </w:rPr>
        <w:t xml:space="preserve">  </w:t>
      </w:r>
      <w:r w:rsidR="008632C8" w:rsidRPr="001A1243">
        <w:rPr>
          <w:rFonts w:ascii="Palatino Linotype" w:eastAsia="MS Mincho" w:hAnsi="Palatino Linotype" w:cs="Arial"/>
        </w:rPr>
        <w:t xml:space="preserve"> </w:t>
      </w:r>
    </w:p>
    <w:p w14:paraId="65652C33" w14:textId="77777777" w:rsidR="00BB03D0" w:rsidRPr="001A1243"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1A1243" w:rsidRDefault="00A20B1F" w:rsidP="001E74A5">
      <w:pPr>
        <w:spacing w:line="360" w:lineRule="auto"/>
        <w:jc w:val="center"/>
        <w:rPr>
          <w:rFonts w:ascii="Palatino Linotype" w:eastAsia="Times New Roman" w:hAnsi="Palatino Linotype" w:cs="Times New Roman"/>
          <w:b/>
          <w:u w:val="single"/>
        </w:rPr>
      </w:pPr>
      <w:r w:rsidRPr="001A1243">
        <w:rPr>
          <w:rFonts w:ascii="Palatino Linotype" w:eastAsia="Times New Roman" w:hAnsi="Palatino Linotype" w:cs="Times New Roman"/>
          <w:b/>
          <w:u w:val="single"/>
        </w:rPr>
        <w:t>ÍNDICE</w:t>
      </w:r>
    </w:p>
    <w:p w14:paraId="38EF8098" w14:textId="77777777" w:rsidR="000B51D7" w:rsidRPr="001A1243" w:rsidRDefault="000B51D7"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1E6700B6" w14:textId="77777777" w:rsidR="000B51D7" w:rsidRPr="001A1243" w:rsidRDefault="00DA7E2F" w:rsidP="000B51D7">
          <w:pPr>
            <w:pStyle w:val="TDC1"/>
            <w:ind w:left="0"/>
            <w:rPr>
              <w:rFonts w:ascii="Palatino Linotype" w:hAnsi="Palatino Linotype"/>
              <w:noProof/>
              <w:sz w:val="22"/>
              <w:szCs w:val="22"/>
              <w:lang w:val="es-MX" w:eastAsia="es-MX"/>
            </w:rPr>
          </w:pPr>
          <w:r w:rsidRPr="001A1243">
            <w:rPr>
              <w:rFonts w:ascii="Palatino Linotype" w:eastAsiaTheme="majorEastAsia" w:hAnsi="Palatino Linotype" w:cstheme="majorBidi"/>
              <w:b/>
              <w:lang w:val="es-MX" w:eastAsia="es-MX"/>
            </w:rPr>
            <w:fldChar w:fldCharType="begin"/>
          </w:r>
          <w:r w:rsidRPr="001A1243">
            <w:rPr>
              <w:rFonts w:ascii="Palatino Linotype" w:hAnsi="Palatino Linotype"/>
              <w:b/>
            </w:rPr>
            <w:instrText xml:space="preserve"> TOC \o "1-3" \h \z \u </w:instrText>
          </w:r>
          <w:r w:rsidRPr="001A1243">
            <w:rPr>
              <w:rFonts w:ascii="Palatino Linotype" w:eastAsiaTheme="majorEastAsia" w:hAnsi="Palatino Linotype" w:cstheme="majorBidi"/>
              <w:b/>
              <w:lang w:val="es-MX" w:eastAsia="es-MX"/>
            </w:rPr>
            <w:fldChar w:fldCharType="separate"/>
          </w:r>
          <w:hyperlink w:anchor="_Toc54138945" w:history="1">
            <w:r w:rsidR="000B51D7" w:rsidRPr="001A1243">
              <w:rPr>
                <w:rStyle w:val="Hipervnculo"/>
                <w:rFonts w:ascii="Palatino Linotype" w:hAnsi="Palatino Linotype"/>
                <w:b/>
                <w:noProof/>
              </w:rPr>
              <w:t>ANTECEDENTES</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_Toc54138945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3</w:t>
            </w:r>
            <w:r w:rsidR="000B51D7" w:rsidRPr="001A1243">
              <w:rPr>
                <w:rFonts w:ascii="Palatino Linotype" w:hAnsi="Palatino Linotype"/>
                <w:noProof/>
                <w:webHidden/>
              </w:rPr>
              <w:fldChar w:fldCharType="end"/>
            </w:r>
          </w:hyperlink>
        </w:p>
        <w:p w14:paraId="59EFECF8" w14:textId="77777777" w:rsidR="000B51D7" w:rsidRPr="001A1243" w:rsidRDefault="00083BDA" w:rsidP="000B51D7">
          <w:pPr>
            <w:pStyle w:val="TDC1"/>
            <w:ind w:left="0"/>
            <w:rPr>
              <w:rFonts w:ascii="Palatino Linotype" w:hAnsi="Palatino Linotype"/>
              <w:noProof/>
              <w:sz w:val="22"/>
              <w:szCs w:val="22"/>
              <w:lang w:val="es-MX" w:eastAsia="es-MX"/>
            </w:rPr>
          </w:pPr>
          <w:hyperlink w:anchor="_Toc54138948" w:history="1">
            <w:r w:rsidR="000B51D7" w:rsidRPr="001A1243">
              <w:rPr>
                <w:rStyle w:val="Hipervnculo"/>
                <w:rFonts w:ascii="Palatino Linotype" w:hAnsi="Palatino Linotype"/>
                <w:b/>
                <w:noProof/>
              </w:rPr>
              <w:t>CONSIDERANDO</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_Toc54138948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10</w:t>
            </w:r>
            <w:r w:rsidR="000B51D7" w:rsidRPr="001A1243">
              <w:rPr>
                <w:rFonts w:ascii="Palatino Linotype" w:hAnsi="Palatino Linotype"/>
                <w:noProof/>
                <w:webHidden/>
              </w:rPr>
              <w:fldChar w:fldCharType="end"/>
            </w:r>
          </w:hyperlink>
        </w:p>
        <w:p w14:paraId="6462C600" w14:textId="77777777" w:rsidR="000B51D7" w:rsidRPr="001A1243" w:rsidRDefault="00083BDA" w:rsidP="000B51D7">
          <w:pPr>
            <w:pStyle w:val="TDC2"/>
            <w:rPr>
              <w:rFonts w:ascii="Palatino Linotype" w:hAnsi="Palatino Linotype"/>
              <w:noProof/>
              <w:sz w:val="22"/>
              <w:szCs w:val="22"/>
              <w:lang w:val="es-MX" w:eastAsia="es-MX"/>
            </w:rPr>
          </w:pPr>
          <w:hyperlink w:anchor="_Toc54138949" w:history="1">
            <w:r w:rsidR="000B51D7" w:rsidRPr="001A1243">
              <w:rPr>
                <w:rStyle w:val="Hipervnculo"/>
                <w:rFonts w:ascii="Palatino Linotype" w:hAnsi="Palatino Linotype"/>
                <w:b/>
                <w:noProof/>
              </w:rPr>
              <w:t>PRIMERO. De la competencia</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_Toc54138949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11</w:t>
            </w:r>
            <w:r w:rsidR="000B51D7" w:rsidRPr="001A1243">
              <w:rPr>
                <w:rFonts w:ascii="Palatino Linotype" w:hAnsi="Palatino Linotype"/>
                <w:noProof/>
                <w:webHidden/>
              </w:rPr>
              <w:fldChar w:fldCharType="end"/>
            </w:r>
          </w:hyperlink>
        </w:p>
        <w:p w14:paraId="3C52DB05" w14:textId="77777777" w:rsidR="000B51D7" w:rsidRPr="001A1243" w:rsidRDefault="00083BDA" w:rsidP="000B51D7">
          <w:pPr>
            <w:pStyle w:val="TDC2"/>
            <w:rPr>
              <w:rFonts w:ascii="Palatino Linotype" w:hAnsi="Palatino Linotype"/>
              <w:noProof/>
              <w:sz w:val="22"/>
              <w:szCs w:val="22"/>
              <w:lang w:val="es-MX" w:eastAsia="es-MX"/>
            </w:rPr>
          </w:pPr>
          <w:hyperlink w:anchor="_Toc54138950" w:history="1">
            <w:r w:rsidR="000B51D7" w:rsidRPr="001A1243">
              <w:rPr>
                <w:rStyle w:val="Hipervnculo"/>
                <w:rFonts w:ascii="Palatino Linotype" w:hAnsi="Palatino Linotype"/>
                <w:b/>
                <w:noProof/>
              </w:rPr>
              <w:t>SEGUNDO. De la oportunidad y procedencia.</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_Toc54138950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11</w:t>
            </w:r>
            <w:r w:rsidR="000B51D7" w:rsidRPr="001A1243">
              <w:rPr>
                <w:rFonts w:ascii="Palatino Linotype" w:hAnsi="Palatino Linotype"/>
                <w:noProof/>
                <w:webHidden/>
              </w:rPr>
              <w:fldChar w:fldCharType="end"/>
            </w:r>
          </w:hyperlink>
        </w:p>
        <w:p w14:paraId="51A933AB" w14:textId="77777777" w:rsidR="000B51D7" w:rsidRPr="001A1243" w:rsidRDefault="00083BDA" w:rsidP="000B51D7">
          <w:pPr>
            <w:pStyle w:val="TDC1"/>
            <w:rPr>
              <w:rFonts w:ascii="Palatino Linotype" w:hAnsi="Palatino Linotype"/>
              <w:noProof/>
              <w:sz w:val="22"/>
              <w:szCs w:val="22"/>
              <w:lang w:val="es-MX" w:eastAsia="es-MX"/>
            </w:rPr>
          </w:pPr>
          <w:hyperlink w:anchor="_Toc54138951" w:history="1">
            <w:r w:rsidR="000B51D7" w:rsidRPr="001A1243">
              <w:rPr>
                <w:rStyle w:val="Hipervnculo"/>
                <w:rFonts w:ascii="Palatino Linotype" w:hAnsi="Palatino Linotype"/>
                <w:b/>
                <w:noProof/>
              </w:rPr>
              <w:t xml:space="preserve">TERCERO. Del planteamiento de la </w:t>
            </w:r>
            <w:r w:rsidR="000B51D7" w:rsidRPr="001A1243">
              <w:rPr>
                <w:rStyle w:val="Hipervnculo"/>
                <w:rFonts w:ascii="Palatino Linotype" w:hAnsi="Palatino Linotype"/>
                <w:b/>
                <w:i/>
                <w:noProof/>
              </w:rPr>
              <w:t>Litis</w:t>
            </w:r>
            <w:r w:rsidR="000B51D7" w:rsidRPr="001A1243">
              <w:rPr>
                <w:rStyle w:val="Hipervnculo"/>
                <w:rFonts w:ascii="Palatino Linotype" w:hAnsi="Palatino Linotype"/>
                <w:b/>
                <w:noProof/>
              </w:rPr>
              <w:t>.</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_Toc54138951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15</w:t>
            </w:r>
            <w:r w:rsidR="000B51D7" w:rsidRPr="001A1243">
              <w:rPr>
                <w:rFonts w:ascii="Palatino Linotype" w:hAnsi="Palatino Linotype"/>
                <w:noProof/>
                <w:webHidden/>
              </w:rPr>
              <w:fldChar w:fldCharType="end"/>
            </w:r>
          </w:hyperlink>
        </w:p>
        <w:p w14:paraId="633013B1" w14:textId="77777777" w:rsidR="000B51D7" w:rsidRPr="001A1243" w:rsidRDefault="00083BDA" w:rsidP="000B51D7">
          <w:pPr>
            <w:pStyle w:val="TDC2"/>
            <w:rPr>
              <w:rFonts w:ascii="Palatino Linotype" w:hAnsi="Palatino Linotype"/>
              <w:noProof/>
              <w:sz w:val="22"/>
              <w:szCs w:val="22"/>
              <w:lang w:val="es-MX" w:eastAsia="es-MX"/>
            </w:rPr>
          </w:pPr>
          <w:hyperlink w:anchor="_Toc54138952" w:history="1">
            <w:r w:rsidR="000B51D7" w:rsidRPr="001A1243">
              <w:rPr>
                <w:rStyle w:val="Hipervnculo"/>
                <w:rFonts w:ascii="Palatino Linotype" w:hAnsi="Palatino Linotype"/>
                <w:b/>
                <w:noProof/>
              </w:rPr>
              <w:t>CUARTO. Del estudio y resolución del asunto.</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_Toc54138952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16</w:t>
            </w:r>
            <w:r w:rsidR="000B51D7" w:rsidRPr="001A1243">
              <w:rPr>
                <w:rFonts w:ascii="Palatino Linotype" w:hAnsi="Palatino Linotype"/>
                <w:noProof/>
                <w:webHidden/>
              </w:rPr>
              <w:fldChar w:fldCharType="end"/>
            </w:r>
          </w:hyperlink>
        </w:p>
        <w:p w14:paraId="46704EB5" w14:textId="77777777" w:rsidR="000B51D7" w:rsidRPr="001A1243" w:rsidRDefault="00083BDA" w:rsidP="000B51D7">
          <w:pPr>
            <w:pStyle w:val="TDC2"/>
            <w:rPr>
              <w:rFonts w:ascii="Palatino Linotype" w:hAnsi="Palatino Linotype"/>
              <w:noProof/>
              <w:sz w:val="22"/>
              <w:szCs w:val="22"/>
              <w:lang w:val="es-MX" w:eastAsia="es-MX"/>
            </w:rPr>
          </w:pPr>
          <w:hyperlink w:anchor="_Toc54138953" w:history="1">
            <w:r w:rsidR="000B51D7" w:rsidRPr="001A1243">
              <w:rPr>
                <w:rStyle w:val="Hipervnculo"/>
                <w:rFonts w:ascii="Palatino Linotype" w:hAnsi="Palatino Linotype"/>
                <w:b/>
                <w:noProof/>
              </w:rPr>
              <w:t>QUINTO. De la versión pública</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_Toc54138953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40</w:t>
            </w:r>
            <w:r w:rsidR="000B51D7" w:rsidRPr="001A1243">
              <w:rPr>
                <w:rFonts w:ascii="Palatino Linotype" w:hAnsi="Palatino Linotype"/>
                <w:noProof/>
                <w:webHidden/>
              </w:rPr>
              <w:fldChar w:fldCharType="end"/>
            </w:r>
          </w:hyperlink>
        </w:p>
        <w:p w14:paraId="165CA6E3" w14:textId="77777777" w:rsidR="000B51D7" w:rsidRPr="001A1243" w:rsidRDefault="00083BDA" w:rsidP="000B51D7">
          <w:pPr>
            <w:pStyle w:val="TDC1"/>
            <w:ind w:left="0"/>
            <w:rPr>
              <w:rFonts w:ascii="Palatino Linotype" w:hAnsi="Palatino Linotype"/>
              <w:noProof/>
              <w:sz w:val="22"/>
              <w:szCs w:val="22"/>
              <w:lang w:val="es-MX" w:eastAsia="es-MX"/>
            </w:rPr>
          </w:pPr>
          <w:hyperlink w:anchor="_Toc54138958" w:history="1">
            <w:r w:rsidR="000B51D7" w:rsidRPr="001A1243">
              <w:rPr>
                <w:rStyle w:val="Hipervnculo"/>
                <w:rFonts w:ascii="Palatino Linotype" w:eastAsia="Calibri" w:hAnsi="Palatino Linotype"/>
                <w:b/>
                <w:noProof/>
                <w:lang w:val="es-ES"/>
              </w:rPr>
              <w:t>R E S O L U T I V O S</w:t>
            </w:r>
            <w:r w:rsidR="000B51D7" w:rsidRPr="001A1243">
              <w:rPr>
                <w:rFonts w:ascii="Palatino Linotype" w:hAnsi="Palatino Linotype"/>
                <w:noProof/>
                <w:webHidden/>
              </w:rPr>
              <w:tab/>
            </w:r>
            <w:r w:rsidR="000B51D7" w:rsidRPr="001A1243">
              <w:rPr>
                <w:rFonts w:ascii="Palatino Linotype" w:hAnsi="Palatino Linotype"/>
                <w:noProof/>
                <w:webHidden/>
              </w:rPr>
              <w:fldChar w:fldCharType="begin"/>
            </w:r>
            <w:r w:rsidR="000B51D7" w:rsidRPr="001A1243">
              <w:rPr>
                <w:rFonts w:ascii="Palatino Linotype" w:hAnsi="Palatino Linotype"/>
                <w:noProof/>
                <w:webHidden/>
              </w:rPr>
              <w:instrText xml:space="preserve"> PAGEREF _Toc54138958 \h </w:instrText>
            </w:r>
            <w:r w:rsidR="000B51D7" w:rsidRPr="001A1243">
              <w:rPr>
                <w:rFonts w:ascii="Palatino Linotype" w:hAnsi="Palatino Linotype"/>
                <w:noProof/>
                <w:webHidden/>
              </w:rPr>
            </w:r>
            <w:r w:rsidR="000B51D7" w:rsidRPr="001A1243">
              <w:rPr>
                <w:rFonts w:ascii="Palatino Linotype" w:hAnsi="Palatino Linotype"/>
                <w:noProof/>
                <w:webHidden/>
              </w:rPr>
              <w:fldChar w:fldCharType="separate"/>
            </w:r>
            <w:r w:rsidR="00CD0E9C" w:rsidRPr="001A1243">
              <w:rPr>
                <w:rFonts w:ascii="Palatino Linotype" w:hAnsi="Palatino Linotype"/>
                <w:noProof/>
                <w:webHidden/>
              </w:rPr>
              <w:t>52</w:t>
            </w:r>
            <w:r w:rsidR="000B51D7" w:rsidRPr="001A1243">
              <w:rPr>
                <w:rFonts w:ascii="Palatino Linotype" w:hAnsi="Palatino Linotype"/>
                <w:noProof/>
                <w:webHidden/>
              </w:rPr>
              <w:fldChar w:fldCharType="end"/>
            </w:r>
          </w:hyperlink>
        </w:p>
        <w:p w14:paraId="2416AEAB" w14:textId="51426476" w:rsidR="00100B8B" w:rsidRPr="001A1243" w:rsidRDefault="00DA7E2F" w:rsidP="000B51D7">
          <w:pPr>
            <w:tabs>
              <w:tab w:val="right" w:leader="dot" w:pos="8647"/>
            </w:tabs>
            <w:spacing w:line="480" w:lineRule="auto"/>
            <w:rPr>
              <w:rFonts w:ascii="Palatino Linotype" w:hAnsi="Palatino Linotype"/>
            </w:rPr>
          </w:pPr>
          <w:r w:rsidRPr="001A1243">
            <w:rPr>
              <w:rFonts w:ascii="Palatino Linotype" w:hAnsi="Palatino Linotype"/>
              <w:b/>
              <w:bCs/>
              <w:lang w:val="es-ES"/>
            </w:rPr>
            <w:fldChar w:fldCharType="end"/>
          </w:r>
        </w:p>
      </w:sdtContent>
    </w:sdt>
    <w:p w14:paraId="18E6F21E" w14:textId="77777777" w:rsidR="00A206F7" w:rsidRPr="001A1243"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1A1243"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1A1243" w:rsidRDefault="00AC22B5" w:rsidP="00440800">
      <w:pPr>
        <w:tabs>
          <w:tab w:val="left" w:pos="3465"/>
        </w:tabs>
        <w:spacing w:before="240" w:after="360" w:line="360" w:lineRule="auto"/>
        <w:jc w:val="both"/>
        <w:rPr>
          <w:rFonts w:ascii="Palatino Linotype" w:hAnsi="Palatino Linotype"/>
        </w:rPr>
      </w:pPr>
    </w:p>
    <w:p w14:paraId="73F7F940" w14:textId="7197308C" w:rsidR="00662C69" w:rsidRPr="001A1243" w:rsidRDefault="009B11D6" w:rsidP="00440800">
      <w:pPr>
        <w:tabs>
          <w:tab w:val="left" w:pos="3465"/>
        </w:tabs>
        <w:spacing w:before="240" w:after="360" w:line="360" w:lineRule="auto"/>
        <w:jc w:val="both"/>
        <w:rPr>
          <w:rFonts w:ascii="Palatino Linotype" w:hAnsi="Palatino Linotype"/>
        </w:rPr>
      </w:pPr>
      <w:r w:rsidRPr="001A1243">
        <w:rPr>
          <w:rFonts w:ascii="Palatino Linotype" w:hAnsi="Palatino Linotype"/>
        </w:rPr>
        <w:lastRenderedPageBreak/>
        <w:t>R</w:t>
      </w:r>
      <w:r w:rsidR="00662C69" w:rsidRPr="001A1243">
        <w:rPr>
          <w:rFonts w:ascii="Palatino Linotype" w:hAnsi="Palatino Linotype"/>
        </w:rPr>
        <w:t>esolución del Pleno del Instituto de Transparencia, Acceso a la Información Pública y Protección de Datos Personales del Estado de México y Mun</w:t>
      </w:r>
      <w:r w:rsidR="000D5A1D" w:rsidRPr="001A1243">
        <w:rPr>
          <w:rFonts w:ascii="Palatino Linotype" w:hAnsi="Palatino Linotype"/>
        </w:rPr>
        <w:t>icipios, con</w:t>
      </w:r>
      <w:r w:rsidR="00662C69" w:rsidRPr="001A1243">
        <w:rPr>
          <w:rFonts w:ascii="Palatino Linotype" w:hAnsi="Palatino Linotype"/>
        </w:rPr>
        <w:t xml:space="preserve"> </w:t>
      </w:r>
      <w:r w:rsidR="00485DB6" w:rsidRPr="001A1243">
        <w:rPr>
          <w:rFonts w:ascii="Palatino Linotype" w:hAnsi="Palatino Linotype"/>
        </w:rPr>
        <w:t xml:space="preserve">domicilio </w:t>
      </w:r>
      <w:r w:rsidR="00662C69" w:rsidRPr="001A1243">
        <w:rPr>
          <w:rFonts w:ascii="Palatino Linotype" w:hAnsi="Palatino Linotype"/>
        </w:rPr>
        <w:t xml:space="preserve">en </w:t>
      </w:r>
      <w:r w:rsidR="00AC22B5" w:rsidRPr="001A1243">
        <w:rPr>
          <w:rFonts w:ascii="Palatino Linotype" w:hAnsi="Palatino Linotype"/>
        </w:rPr>
        <w:t>Metepec</w:t>
      </w:r>
      <w:r w:rsidR="00662C69" w:rsidRPr="001A1243">
        <w:rPr>
          <w:rFonts w:ascii="Palatino Linotype" w:hAnsi="Palatino Linotype"/>
        </w:rPr>
        <w:t xml:space="preserve">, Estado de México; de </w:t>
      </w:r>
      <w:r w:rsidR="000D5A1D" w:rsidRPr="001A1243">
        <w:rPr>
          <w:rFonts w:ascii="Palatino Linotype" w:hAnsi="Palatino Linotype"/>
        </w:rPr>
        <w:t xml:space="preserve">fecha </w:t>
      </w:r>
      <w:r w:rsidR="000B51D7" w:rsidRPr="001A1243">
        <w:rPr>
          <w:rFonts w:ascii="Palatino Linotype" w:hAnsi="Palatino Linotype"/>
        </w:rPr>
        <w:t>veintiocho</w:t>
      </w:r>
      <w:r w:rsidR="00100B8B" w:rsidRPr="001A1243">
        <w:rPr>
          <w:rFonts w:ascii="Palatino Linotype" w:hAnsi="Palatino Linotype"/>
        </w:rPr>
        <w:t xml:space="preserve"> </w:t>
      </w:r>
      <w:r w:rsidR="00662C69" w:rsidRPr="001A1243">
        <w:rPr>
          <w:rFonts w:ascii="Palatino Linotype" w:hAnsi="Palatino Linotype"/>
        </w:rPr>
        <w:t>(</w:t>
      </w:r>
      <w:r w:rsidR="007B4040" w:rsidRPr="001A1243">
        <w:rPr>
          <w:rFonts w:ascii="Palatino Linotype" w:hAnsi="Palatino Linotype"/>
        </w:rPr>
        <w:t>2</w:t>
      </w:r>
      <w:r w:rsidR="000B51D7" w:rsidRPr="001A1243">
        <w:rPr>
          <w:rFonts w:ascii="Palatino Linotype" w:hAnsi="Palatino Linotype"/>
        </w:rPr>
        <w:t>8</w:t>
      </w:r>
      <w:r w:rsidR="00662C69" w:rsidRPr="001A1243">
        <w:rPr>
          <w:rFonts w:ascii="Palatino Linotype" w:hAnsi="Palatino Linotype"/>
        </w:rPr>
        <w:t xml:space="preserve">) de </w:t>
      </w:r>
      <w:r w:rsidR="0077409A" w:rsidRPr="001A1243">
        <w:rPr>
          <w:rFonts w:ascii="Palatino Linotype" w:hAnsi="Palatino Linotype"/>
        </w:rPr>
        <w:t>octubre</w:t>
      </w:r>
      <w:r w:rsidR="001E74A5" w:rsidRPr="001A1243">
        <w:rPr>
          <w:rFonts w:ascii="Palatino Linotype" w:hAnsi="Palatino Linotype"/>
        </w:rPr>
        <w:t xml:space="preserve"> </w:t>
      </w:r>
      <w:r w:rsidR="00662C69" w:rsidRPr="001A1243">
        <w:rPr>
          <w:rFonts w:ascii="Palatino Linotype" w:hAnsi="Palatino Linotype"/>
        </w:rPr>
        <w:t xml:space="preserve">de dos mil </w:t>
      </w:r>
      <w:r w:rsidR="00222AAA" w:rsidRPr="001A1243">
        <w:rPr>
          <w:rFonts w:ascii="Palatino Linotype" w:hAnsi="Palatino Linotype"/>
        </w:rPr>
        <w:t>veinte</w:t>
      </w:r>
      <w:r w:rsidR="00662C69" w:rsidRPr="001A1243">
        <w:rPr>
          <w:rFonts w:ascii="Palatino Linotype" w:hAnsi="Palatino Linotype"/>
        </w:rPr>
        <w:t>.</w:t>
      </w:r>
    </w:p>
    <w:p w14:paraId="02C1324E" w14:textId="68A2B99F" w:rsidR="00662C69" w:rsidRPr="001A1243" w:rsidRDefault="00662C69" w:rsidP="001E74A5">
      <w:pPr>
        <w:spacing w:before="240" w:after="360" w:line="360" w:lineRule="auto"/>
        <w:jc w:val="both"/>
        <w:rPr>
          <w:rFonts w:ascii="Palatino Linotype" w:hAnsi="Palatino Linotype"/>
          <w:b/>
        </w:rPr>
      </w:pPr>
      <w:r w:rsidRPr="001A1243">
        <w:rPr>
          <w:rFonts w:ascii="Palatino Linotype" w:hAnsi="Palatino Linotype"/>
          <w:b/>
        </w:rPr>
        <w:t>VISTO</w:t>
      </w:r>
      <w:r w:rsidRPr="001A1243">
        <w:rPr>
          <w:rFonts w:ascii="Palatino Linotype" w:hAnsi="Palatino Linotype"/>
        </w:rPr>
        <w:t xml:space="preserve"> el expediente electrónico for</w:t>
      </w:r>
      <w:r w:rsidR="00D37494" w:rsidRPr="001A1243">
        <w:rPr>
          <w:rFonts w:ascii="Palatino Linotype" w:hAnsi="Palatino Linotype"/>
        </w:rPr>
        <w:t>mado con motivo del</w:t>
      </w:r>
      <w:r w:rsidRPr="001A1243">
        <w:rPr>
          <w:rFonts w:ascii="Palatino Linotype" w:hAnsi="Palatino Linotype"/>
        </w:rPr>
        <w:t xml:space="preserve"> recurso de revisión </w:t>
      </w:r>
      <w:r w:rsidR="007B4040" w:rsidRPr="001A1243">
        <w:rPr>
          <w:rFonts w:ascii="Palatino Linotype" w:hAnsi="Palatino Linotype"/>
          <w:b/>
        </w:rPr>
        <w:t>03503/INFOEM/IP/RR/2020</w:t>
      </w:r>
      <w:r w:rsidR="004F3DEB" w:rsidRPr="001A1243">
        <w:rPr>
          <w:rFonts w:ascii="Palatino Linotype" w:hAnsi="Palatino Linotype"/>
          <w:b/>
        </w:rPr>
        <w:t>,</w:t>
      </w:r>
      <w:r w:rsidR="00335BFE" w:rsidRPr="001A1243">
        <w:rPr>
          <w:rFonts w:ascii="Palatino Linotype" w:hAnsi="Palatino Linotype" w:cs="Arial"/>
          <w:b/>
          <w:bCs/>
        </w:rPr>
        <w:t xml:space="preserve"> </w:t>
      </w:r>
      <w:r w:rsidRPr="001A1243">
        <w:rPr>
          <w:rFonts w:ascii="Palatino Linotype" w:hAnsi="Palatino Linotype"/>
        </w:rPr>
        <w:t>promovido por</w:t>
      </w:r>
      <w:r w:rsidR="00311C3D" w:rsidRPr="001A1243">
        <w:rPr>
          <w:rFonts w:ascii="Palatino Linotype" w:hAnsi="Palatino Linotype"/>
        </w:rPr>
        <w:t xml:space="preserve"> </w:t>
      </w:r>
      <w:r w:rsidR="00B2084F" w:rsidRPr="00B2084F">
        <w:rPr>
          <w:rFonts w:ascii="Palatino Linotype" w:hAnsi="Palatino Linotype"/>
          <w:b/>
          <w:highlight w:val="black"/>
        </w:rPr>
        <w:t>-------------------------------------------</w:t>
      </w:r>
      <w:r w:rsidR="004512AB" w:rsidRPr="001A1243">
        <w:rPr>
          <w:rFonts w:ascii="Palatino Linotype" w:hAnsi="Palatino Linotype"/>
        </w:rPr>
        <w:t xml:space="preserve"> </w:t>
      </w:r>
      <w:r w:rsidR="007D1A30" w:rsidRPr="001A1243">
        <w:rPr>
          <w:rFonts w:ascii="Palatino Linotype" w:hAnsi="Palatino Linotype"/>
        </w:rPr>
        <w:t xml:space="preserve">a través </w:t>
      </w:r>
      <w:r w:rsidR="001E7E27" w:rsidRPr="001A1243">
        <w:rPr>
          <w:rFonts w:ascii="Palatino Linotype" w:hAnsi="Palatino Linotype"/>
        </w:rPr>
        <w:t>de</w:t>
      </w:r>
      <w:r w:rsidR="0071630B" w:rsidRPr="001A1243">
        <w:rPr>
          <w:rFonts w:ascii="Palatino Linotype" w:hAnsi="Palatino Linotype"/>
        </w:rPr>
        <w:t xml:space="preserve"> </w:t>
      </w:r>
      <w:r w:rsidR="001E7E27" w:rsidRPr="001A1243">
        <w:rPr>
          <w:rFonts w:ascii="Palatino Linotype" w:hAnsi="Palatino Linotype"/>
        </w:rPr>
        <w:t>l</w:t>
      </w:r>
      <w:r w:rsidR="0071630B" w:rsidRPr="001A1243">
        <w:rPr>
          <w:rFonts w:ascii="Palatino Linotype" w:hAnsi="Palatino Linotype"/>
        </w:rPr>
        <w:t>a</w:t>
      </w:r>
      <w:r w:rsidR="001E7E27" w:rsidRPr="001A1243">
        <w:rPr>
          <w:rFonts w:ascii="Palatino Linotype" w:hAnsi="Palatino Linotype"/>
        </w:rPr>
        <w:t xml:space="preserve"> </w:t>
      </w:r>
      <w:r w:rsidR="0071630B" w:rsidRPr="001A1243">
        <w:rPr>
          <w:rFonts w:ascii="Palatino Linotype" w:hAnsi="Palatino Linotype"/>
        </w:rPr>
        <w:t>Plataforma Nacional de Transparencia</w:t>
      </w:r>
      <w:r w:rsidR="001E7E27" w:rsidRPr="001A1243">
        <w:rPr>
          <w:rFonts w:ascii="Palatino Linotype" w:hAnsi="Palatino Linotype"/>
        </w:rPr>
        <w:t xml:space="preserve"> </w:t>
      </w:r>
      <w:r w:rsidR="001E7E27" w:rsidRPr="001A1243">
        <w:rPr>
          <w:rFonts w:ascii="Palatino Linotype" w:hAnsi="Palatino Linotype"/>
          <w:b/>
        </w:rPr>
        <w:t>(</w:t>
      </w:r>
      <w:r w:rsidR="0071630B" w:rsidRPr="001A1243">
        <w:rPr>
          <w:rFonts w:ascii="Palatino Linotype" w:hAnsi="Palatino Linotype"/>
          <w:b/>
        </w:rPr>
        <w:t>PNT</w:t>
      </w:r>
      <w:r w:rsidR="001E7E27" w:rsidRPr="001A1243">
        <w:rPr>
          <w:rFonts w:ascii="Palatino Linotype" w:hAnsi="Palatino Linotype"/>
          <w:b/>
        </w:rPr>
        <w:t>)</w:t>
      </w:r>
      <w:r w:rsidR="007521DE" w:rsidRPr="001A1243">
        <w:rPr>
          <w:rFonts w:ascii="Palatino Linotype" w:hAnsi="Palatino Linotype"/>
        </w:rPr>
        <w:t xml:space="preserve">, </w:t>
      </w:r>
      <w:r w:rsidR="0064508B" w:rsidRPr="001A1243">
        <w:rPr>
          <w:rFonts w:ascii="Palatino Linotype" w:hAnsi="Palatino Linotype"/>
        </w:rPr>
        <w:t xml:space="preserve">a quien </w:t>
      </w:r>
      <w:r w:rsidR="00A05D06" w:rsidRPr="001A1243">
        <w:rPr>
          <w:rFonts w:ascii="Palatino Linotype" w:hAnsi="Palatino Linotype"/>
        </w:rPr>
        <w:t xml:space="preserve">en </w:t>
      </w:r>
      <w:r w:rsidR="00E64EAF" w:rsidRPr="001A1243">
        <w:rPr>
          <w:rFonts w:ascii="Palatino Linotype" w:hAnsi="Palatino Linotype"/>
        </w:rPr>
        <w:t>lo sucesivo</w:t>
      </w:r>
      <w:r w:rsidR="00A05D06" w:rsidRPr="001A1243">
        <w:rPr>
          <w:rFonts w:ascii="Palatino Linotype" w:hAnsi="Palatino Linotype"/>
        </w:rPr>
        <w:t xml:space="preserve"> se </w:t>
      </w:r>
      <w:r w:rsidR="007521DE" w:rsidRPr="001A1243">
        <w:rPr>
          <w:rFonts w:ascii="Palatino Linotype" w:hAnsi="Palatino Linotype"/>
        </w:rPr>
        <w:t xml:space="preserve">le </w:t>
      </w:r>
      <w:r w:rsidR="00A05D06" w:rsidRPr="001A1243">
        <w:rPr>
          <w:rFonts w:ascii="Palatino Linotype" w:hAnsi="Palatino Linotype"/>
        </w:rPr>
        <w:t>identificará como</w:t>
      </w:r>
      <w:r w:rsidR="00FF0139" w:rsidRPr="001A1243">
        <w:rPr>
          <w:rFonts w:ascii="Palatino Linotype" w:hAnsi="Palatino Linotype"/>
        </w:rPr>
        <w:t xml:space="preserve"> </w:t>
      </w:r>
      <w:r w:rsidR="001620FB" w:rsidRPr="001A1243">
        <w:rPr>
          <w:rFonts w:ascii="Palatino Linotype" w:hAnsi="Palatino Linotype"/>
        </w:rPr>
        <w:t>e</w:t>
      </w:r>
      <w:r w:rsidR="0064508B" w:rsidRPr="001A1243">
        <w:rPr>
          <w:rFonts w:ascii="Palatino Linotype" w:hAnsi="Palatino Linotype"/>
        </w:rPr>
        <w:t>l</w:t>
      </w:r>
      <w:r w:rsidR="0004427A" w:rsidRPr="001A1243">
        <w:rPr>
          <w:rFonts w:ascii="Palatino Linotype" w:hAnsi="Palatino Linotype"/>
          <w:b/>
        </w:rPr>
        <w:t xml:space="preserve"> </w:t>
      </w:r>
      <w:r w:rsidRPr="001A1243">
        <w:rPr>
          <w:rFonts w:ascii="Palatino Linotype" w:hAnsi="Palatino Linotype" w:cs="Arial"/>
          <w:b/>
        </w:rPr>
        <w:t>RECURRENTE</w:t>
      </w:r>
      <w:r w:rsidRPr="001A1243">
        <w:rPr>
          <w:rFonts w:ascii="Palatino Linotype" w:hAnsi="Palatino Linotype" w:cs="Arial"/>
        </w:rPr>
        <w:t xml:space="preserve">, en contra </w:t>
      </w:r>
      <w:r w:rsidR="000D5A1D" w:rsidRPr="001A1243">
        <w:rPr>
          <w:rFonts w:ascii="Palatino Linotype" w:hAnsi="Palatino Linotype" w:cs="Arial"/>
        </w:rPr>
        <w:t xml:space="preserve">de </w:t>
      </w:r>
      <w:r w:rsidR="00843908" w:rsidRPr="001A1243">
        <w:rPr>
          <w:rFonts w:ascii="Palatino Linotype" w:hAnsi="Palatino Linotype" w:cs="Arial"/>
        </w:rPr>
        <w:t>la respuesta de</w:t>
      </w:r>
      <w:r w:rsidR="0071630B" w:rsidRPr="001A1243">
        <w:rPr>
          <w:rFonts w:ascii="Palatino Linotype" w:hAnsi="Palatino Linotype" w:cs="Arial"/>
        </w:rPr>
        <w:t>l</w:t>
      </w:r>
      <w:r w:rsidR="00F378CB" w:rsidRPr="001A1243">
        <w:rPr>
          <w:rFonts w:ascii="Palatino Linotype" w:hAnsi="Palatino Linotype" w:cs="Arial"/>
        </w:rPr>
        <w:t xml:space="preserve"> </w:t>
      </w:r>
      <w:r w:rsidR="001620FB" w:rsidRPr="001A1243">
        <w:rPr>
          <w:rFonts w:ascii="Palatino Linotype" w:hAnsi="Palatino Linotype" w:cs="Arial"/>
          <w:b/>
        </w:rPr>
        <w:t>Partido de la Revolución Democrática</w:t>
      </w:r>
      <w:r w:rsidR="004F3DEB" w:rsidRPr="001A1243">
        <w:rPr>
          <w:rFonts w:ascii="Palatino Linotype" w:hAnsi="Palatino Linotype" w:cs="Arial"/>
          <w:b/>
        </w:rPr>
        <w:t>,</w:t>
      </w:r>
      <w:r w:rsidR="0036073F" w:rsidRPr="001A1243">
        <w:rPr>
          <w:rFonts w:ascii="Palatino Linotype" w:hAnsi="Palatino Linotype"/>
          <w:b/>
        </w:rPr>
        <w:t xml:space="preserve"> </w:t>
      </w:r>
      <w:r w:rsidR="00F378CB" w:rsidRPr="001A1243">
        <w:rPr>
          <w:rFonts w:ascii="Palatino Linotype" w:hAnsi="Palatino Linotype"/>
        </w:rPr>
        <w:t xml:space="preserve">en lo sucesivo </w:t>
      </w:r>
      <w:r w:rsidR="0081425E" w:rsidRPr="001A1243">
        <w:rPr>
          <w:rFonts w:ascii="Palatino Linotype" w:hAnsi="Palatino Linotype"/>
        </w:rPr>
        <w:t>e</w:t>
      </w:r>
      <w:r w:rsidRPr="001A1243">
        <w:rPr>
          <w:rFonts w:ascii="Palatino Linotype" w:hAnsi="Palatino Linotype"/>
        </w:rPr>
        <w:t>l</w:t>
      </w:r>
      <w:r w:rsidRPr="001A1243">
        <w:rPr>
          <w:rFonts w:ascii="Palatino Linotype" w:hAnsi="Palatino Linotype"/>
          <w:b/>
        </w:rPr>
        <w:t xml:space="preserve"> SUJETO OBLIGADO</w:t>
      </w:r>
      <w:r w:rsidRPr="001A1243">
        <w:rPr>
          <w:rFonts w:ascii="Palatino Linotype" w:hAnsi="Palatino Linotype"/>
        </w:rPr>
        <w:t>, se procede a dictar la presente resolución, con base en los siguientes:</w:t>
      </w:r>
    </w:p>
    <w:p w14:paraId="769E1410" w14:textId="5740327F" w:rsidR="00587366" w:rsidRPr="001A1243" w:rsidRDefault="00662C69" w:rsidP="001E74A5">
      <w:pPr>
        <w:pStyle w:val="Ttulo1"/>
        <w:spacing w:line="360" w:lineRule="auto"/>
        <w:jc w:val="center"/>
        <w:rPr>
          <w:b/>
          <w:szCs w:val="24"/>
        </w:rPr>
      </w:pPr>
      <w:bookmarkStart w:id="0" w:name="_Toc461555884"/>
      <w:bookmarkStart w:id="1" w:name="_Toc466371847"/>
      <w:bookmarkStart w:id="2" w:name="_Toc54138945"/>
      <w:r w:rsidRPr="001A1243">
        <w:rPr>
          <w:b/>
          <w:szCs w:val="24"/>
        </w:rPr>
        <w:t>ANTECEDENTES</w:t>
      </w:r>
      <w:bookmarkEnd w:id="0"/>
      <w:bookmarkEnd w:id="1"/>
      <w:bookmarkEnd w:id="2"/>
    </w:p>
    <w:p w14:paraId="402A4C0A" w14:textId="1A0C5B85" w:rsidR="00D9392E" w:rsidRPr="001A1243"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A1243">
        <w:rPr>
          <w:rFonts w:ascii="Palatino Linotype" w:eastAsia="Calibri" w:hAnsi="Palatino Linotype" w:cs="Arial"/>
          <w:lang w:val="es-ES"/>
        </w:rPr>
        <w:t xml:space="preserve">El día </w:t>
      </w:r>
      <w:r w:rsidR="0071630B" w:rsidRPr="001A1243">
        <w:rPr>
          <w:rFonts w:ascii="Palatino Linotype" w:eastAsia="Calibri" w:hAnsi="Palatino Linotype" w:cs="Arial"/>
          <w:lang w:val="es-ES"/>
        </w:rPr>
        <w:t>seis</w:t>
      </w:r>
      <w:r w:rsidRPr="001A1243">
        <w:rPr>
          <w:rFonts w:ascii="Palatino Linotype" w:eastAsia="Calibri" w:hAnsi="Palatino Linotype" w:cs="Arial"/>
          <w:lang w:val="es-ES"/>
        </w:rPr>
        <w:t xml:space="preserve"> (</w:t>
      </w:r>
      <w:r w:rsidR="0071630B" w:rsidRPr="001A1243">
        <w:rPr>
          <w:rFonts w:ascii="Palatino Linotype" w:eastAsia="Calibri" w:hAnsi="Palatino Linotype" w:cs="Arial"/>
          <w:lang w:val="es-ES"/>
        </w:rPr>
        <w:t>06</w:t>
      </w:r>
      <w:r w:rsidR="001620FB" w:rsidRPr="001A1243">
        <w:rPr>
          <w:rFonts w:ascii="Palatino Linotype" w:eastAsia="Calibri" w:hAnsi="Palatino Linotype" w:cs="Arial"/>
          <w:lang w:val="es-ES"/>
        </w:rPr>
        <w:t>) de agost</w:t>
      </w:r>
      <w:r w:rsidR="00DA3F4B" w:rsidRPr="001A1243">
        <w:rPr>
          <w:rFonts w:ascii="Palatino Linotype" w:eastAsia="Calibri" w:hAnsi="Palatino Linotype" w:cs="Arial"/>
          <w:lang w:val="es-ES"/>
        </w:rPr>
        <w:t>o de dos mil veinte</w:t>
      </w:r>
      <w:r w:rsidRPr="001A1243">
        <w:rPr>
          <w:rFonts w:ascii="Palatino Linotype" w:hAnsi="Palatino Linotype"/>
          <w:b/>
        </w:rPr>
        <w:t xml:space="preserve">, </w:t>
      </w:r>
      <w:r w:rsidRPr="001A1243">
        <w:rPr>
          <w:rFonts w:ascii="Palatino Linotype" w:eastAsia="Calibri" w:hAnsi="Palatino Linotype" w:cs="Arial"/>
          <w:lang w:val="es-ES"/>
        </w:rPr>
        <w:t>se presentó</w:t>
      </w:r>
      <w:r w:rsidR="00223D1A" w:rsidRPr="001A1243">
        <w:rPr>
          <w:rFonts w:ascii="Palatino Linotype" w:eastAsia="Calibri" w:hAnsi="Palatino Linotype" w:cs="Arial"/>
          <w:lang w:val="es-ES"/>
        </w:rPr>
        <w:t xml:space="preserve"> ante </w:t>
      </w:r>
      <w:r w:rsidR="0081425E" w:rsidRPr="001A1243">
        <w:rPr>
          <w:rFonts w:ascii="Palatino Linotype" w:eastAsia="Calibri" w:hAnsi="Palatino Linotype" w:cs="Arial"/>
          <w:lang w:val="es-ES"/>
        </w:rPr>
        <w:t>e</w:t>
      </w:r>
      <w:r w:rsidRPr="001A1243">
        <w:rPr>
          <w:rFonts w:ascii="Palatino Linotype" w:eastAsia="Calibri" w:hAnsi="Palatino Linotype" w:cs="Arial"/>
          <w:lang w:val="es-ES"/>
        </w:rPr>
        <w:t xml:space="preserve">l </w:t>
      </w:r>
      <w:r w:rsidRPr="001A1243">
        <w:rPr>
          <w:rFonts w:ascii="Palatino Linotype" w:eastAsia="Calibri" w:hAnsi="Palatino Linotype" w:cs="Arial"/>
          <w:b/>
          <w:lang w:val="es-ES"/>
        </w:rPr>
        <w:t>SUJETO OBLIGADO</w:t>
      </w:r>
      <w:r w:rsidRPr="001A1243">
        <w:rPr>
          <w:rFonts w:ascii="Palatino Linotype" w:eastAsia="Calibri" w:hAnsi="Palatino Linotype" w:cs="Arial"/>
        </w:rPr>
        <w:t xml:space="preserve"> vía </w:t>
      </w:r>
      <w:r w:rsidR="0071630B" w:rsidRPr="001A1243">
        <w:rPr>
          <w:rFonts w:ascii="Palatino Linotype" w:eastAsia="Calibri" w:hAnsi="Palatino Linotype" w:cs="Arial"/>
          <w:lang w:val="es-ES"/>
        </w:rPr>
        <w:t>PNT</w:t>
      </w:r>
      <w:r w:rsidRPr="001A1243">
        <w:rPr>
          <w:rFonts w:ascii="Palatino Linotype" w:eastAsia="Calibri" w:hAnsi="Palatino Linotype" w:cs="Arial"/>
          <w:lang w:val="es-ES"/>
        </w:rPr>
        <w:t>, la solicitud de información pública registrad</w:t>
      </w:r>
      <w:r w:rsidR="0081425E" w:rsidRPr="001A1243">
        <w:rPr>
          <w:rFonts w:ascii="Palatino Linotype" w:eastAsia="Calibri" w:hAnsi="Palatino Linotype" w:cs="Arial"/>
          <w:lang w:val="es-ES"/>
        </w:rPr>
        <w:t>a</w:t>
      </w:r>
      <w:r w:rsidRPr="001A1243">
        <w:rPr>
          <w:rFonts w:ascii="Palatino Linotype" w:eastAsia="Calibri" w:hAnsi="Palatino Linotype" w:cs="Arial"/>
          <w:lang w:val="es-ES"/>
        </w:rPr>
        <w:t xml:space="preserve"> con </w:t>
      </w:r>
      <w:r w:rsidR="0081425E" w:rsidRPr="001A1243">
        <w:rPr>
          <w:rFonts w:ascii="Palatino Linotype" w:eastAsia="Calibri" w:hAnsi="Palatino Linotype" w:cs="Arial"/>
          <w:lang w:val="es-ES"/>
        </w:rPr>
        <w:t>e</w:t>
      </w:r>
      <w:r w:rsidRPr="001A1243">
        <w:rPr>
          <w:rFonts w:ascii="Palatino Linotype" w:eastAsia="Calibri" w:hAnsi="Palatino Linotype" w:cs="Arial"/>
          <w:lang w:val="es-ES"/>
        </w:rPr>
        <w:t>l</w:t>
      </w:r>
      <w:r w:rsidR="0081425E" w:rsidRPr="001A1243">
        <w:rPr>
          <w:rFonts w:ascii="Palatino Linotype" w:eastAsia="Calibri" w:hAnsi="Palatino Linotype" w:cs="Arial"/>
          <w:lang w:val="es-ES"/>
        </w:rPr>
        <w:t xml:space="preserve"> número</w:t>
      </w:r>
      <w:r w:rsidR="004D71C0" w:rsidRPr="001A1243">
        <w:rPr>
          <w:rFonts w:ascii="Palatino Linotype" w:hAnsi="Palatino Linotype"/>
          <w:b/>
          <w:bCs/>
          <w:color w:val="000000" w:themeColor="text1"/>
        </w:rPr>
        <w:t xml:space="preserve"> </w:t>
      </w:r>
      <w:r w:rsidR="001620FB" w:rsidRPr="001A1243">
        <w:rPr>
          <w:rFonts w:ascii="Palatino Linotype" w:hAnsi="Palatino Linotype"/>
          <w:b/>
          <w:bCs/>
          <w:color w:val="000000" w:themeColor="text1"/>
        </w:rPr>
        <w:t>00010/PRD/IP/2020</w:t>
      </w:r>
      <w:r w:rsidRPr="001A1243">
        <w:rPr>
          <w:rFonts w:ascii="Palatino Linotype" w:eastAsia="Calibri" w:hAnsi="Palatino Linotype" w:cs="Arial"/>
          <w:lang w:val="es-ES"/>
        </w:rPr>
        <w:t xml:space="preserve"> mediante la cual </w:t>
      </w:r>
      <w:r w:rsidR="00A133FA" w:rsidRPr="001A1243">
        <w:rPr>
          <w:rFonts w:ascii="Palatino Linotype" w:eastAsia="Calibri" w:hAnsi="Palatino Linotype" w:cs="Arial"/>
          <w:lang w:val="es-ES"/>
        </w:rPr>
        <w:t xml:space="preserve">se </w:t>
      </w:r>
      <w:r w:rsidRPr="001A1243">
        <w:rPr>
          <w:rFonts w:ascii="Palatino Linotype" w:eastAsia="Calibri" w:hAnsi="Palatino Linotype" w:cs="Arial"/>
          <w:lang w:val="es-ES"/>
        </w:rPr>
        <w:t>solicitó</w:t>
      </w:r>
      <w:r w:rsidR="00A16B32" w:rsidRPr="001A1243">
        <w:rPr>
          <w:rFonts w:ascii="Palatino Linotype" w:eastAsia="Calibri" w:hAnsi="Palatino Linotype" w:cs="Arial"/>
          <w:lang w:val="es-ES"/>
        </w:rPr>
        <w:t xml:space="preserve"> </w:t>
      </w:r>
      <w:r w:rsidR="00646BEE" w:rsidRPr="001A1243">
        <w:rPr>
          <w:rFonts w:ascii="Palatino Linotype" w:eastAsia="Calibri" w:hAnsi="Palatino Linotype" w:cs="Arial"/>
          <w:lang w:val="es-ES"/>
        </w:rPr>
        <w:t>la</w:t>
      </w:r>
      <w:r w:rsidR="00A16B32" w:rsidRPr="001A1243">
        <w:rPr>
          <w:rFonts w:ascii="Palatino Linotype" w:eastAsia="Calibri" w:hAnsi="Palatino Linotype" w:cs="Arial"/>
          <w:lang w:val="es-ES"/>
        </w:rPr>
        <w:t xml:space="preserve"> siguiente</w:t>
      </w:r>
      <w:r w:rsidR="00646BEE" w:rsidRPr="001A1243">
        <w:rPr>
          <w:rFonts w:ascii="Palatino Linotype" w:eastAsia="Calibri" w:hAnsi="Palatino Linotype" w:cs="Arial"/>
          <w:lang w:val="es-ES"/>
        </w:rPr>
        <w:t xml:space="preserve"> información</w:t>
      </w:r>
      <w:r w:rsidRPr="001A1243">
        <w:rPr>
          <w:rFonts w:ascii="Palatino Linotype" w:eastAsia="Calibri" w:hAnsi="Palatino Linotype" w:cs="Arial"/>
          <w:lang w:val="es-ES"/>
        </w:rPr>
        <w:t>:</w:t>
      </w:r>
    </w:p>
    <w:p w14:paraId="056CC9CF" w14:textId="77777777" w:rsidR="004512AB" w:rsidRPr="001A1243" w:rsidRDefault="004512AB" w:rsidP="004512AB">
      <w:pPr>
        <w:pStyle w:val="Prrafodelista"/>
        <w:spacing w:before="240" w:after="240" w:line="360" w:lineRule="auto"/>
        <w:ind w:left="0"/>
        <w:jc w:val="both"/>
        <w:rPr>
          <w:rFonts w:ascii="Palatino Linotype" w:eastAsia="Calibri" w:hAnsi="Palatino Linotype" w:cs="Arial"/>
          <w:lang w:val="es-ES"/>
        </w:rPr>
      </w:pPr>
    </w:p>
    <w:p w14:paraId="6DD810E1" w14:textId="77777777" w:rsidR="003D5B78" w:rsidRPr="001A1243" w:rsidRDefault="004512AB" w:rsidP="003D5B78">
      <w:pPr>
        <w:pStyle w:val="Prrafodelista"/>
        <w:spacing w:before="240" w:after="240" w:line="360" w:lineRule="auto"/>
        <w:ind w:left="426" w:right="474"/>
        <w:jc w:val="both"/>
        <w:rPr>
          <w:rFonts w:ascii="Palatino Linotype" w:eastAsia="Calibri" w:hAnsi="Palatino Linotype" w:cs="Arial"/>
          <w:i/>
          <w:lang w:val="es-ES"/>
        </w:rPr>
      </w:pPr>
      <w:r w:rsidRPr="001A1243">
        <w:rPr>
          <w:rFonts w:ascii="Palatino Linotype" w:eastAsia="Calibri" w:hAnsi="Palatino Linotype" w:cs="Arial"/>
          <w:i/>
          <w:lang w:val="es-ES"/>
        </w:rPr>
        <w:t>“</w:t>
      </w:r>
      <w:r w:rsidR="003D5B78" w:rsidRPr="001A1243">
        <w:rPr>
          <w:rFonts w:ascii="Palatino Linotype" w:eastAsia="Calibri" w:hAnsi="Palatino Linotype" w:cs="Arial"/>
          <w:i/>
          <w:lang w:val="es-ES"/>
        </w:rPr>
        <w:t>A quien corresponda:</w:t>
      </w:r>
    </w:p>
    <w:p w14:paraId="45FA75B9" w14:textId="59B7F27D" w:rsidR="003D5B78" w:rsidRPr="001A1243" w:rsidRDefault="003D5B78" w:rsidP="003D5B78">
      <w:pPr>
        <w:pStyle w:val="Prrafodelista"/>
        <w:spacing w:before="240" w:after="240" w:line="360" w:lineRule="auto"/>
        <w:ind w:left="426" w:right="474"/>
        <w:jc w:val="both"/>
        <w:rPr>
          <w:rFonts w:ascii="Palatino Linotype" w:eastAsia="Calibri" w:hAnsi="Palatino Linotype" w:cs="Arial"/>
          <w:i/>
          <w:lang w:val="es-ES"/>
        </w:rPr>
      </w:pPr>
      <w:r w:rsidRPr="001A1243">
        <w:rPr>
          <w:rFonts w:ascii="Palatino Linotype" w:eastAsia="Calibri" w:hAnsi="Palatino Linotype" w:cs="Arial"/>
          <w:i/>
          <w:lang w:val="es-ES"/>
        </w:rPr>
        <w:t xml:space="preserve">Por medio de la presente se solicita de manera desglosada cargo, descripción de funciones, descripción de estudios realizados –si cuentan- , duración dentro del cargo, y sanciones –si existen- de las siguientes personas entre los años 2016 a la fecha de presentación de la presente (Agosto de 2020) que hayan laborado de manera </w:t>
      </w:r>
      <w:r w:rsidRPr="001A1243">
        <w:rPr>
          <w:rFonts w:ascii="Palatino Linotype" w:eastAsia="Calibri" w:hAnsi="Palatino Linotype" w:cs="Arial"/>
          <w:i/>
          <w:lang w:val="es-ES"/>
        </w:rPr>
        <w:lastRenderedPageBreak/>
        <w:t>directa, prestación de servicios, correduría o figuras similares, dentro de su institución.</w:t>
      </w:r>
    </w:p>
    <w:p w14:paraId="34832462" w14:textId="77777777" w:rsidR="003D5B78" w:rsidRPr="001A1243" w:rsidRDefault="003D5B78" w:rsidP="003D5B78">
      <w:pPr>
        <w:pStyle w:val="Prrafodelista"/>
        <w:spacing w:before="240" w:after="240" w:line="360" w:lineRule="auto"/>
        <w:ind w:left="426" w:right="474"/>
        <w:jc w:val="both"/>
        <w:rPr>
          <w:rFonts w:ascii="Palatino Linotype" w:eastAsia="Calibri" w:hAnsi="Palatino Linotype" w:cs="Arial"/>
          <w:i/>
          <w:lang w:val="es-ES"/>
        </w:rPr>
      </w:pPr>
      <w:r w:rsidRPr="001A1243">
        <w:rPr>
          <w:rFonts w:ascii="Palatino Linotype" w:eastAsia="Calibri" w:hAnsi="Palatino Linotype" w:cs="Arial"/>
          <w:i/>
          <w:lang w:val="es-ES"/>
        </w:rPr>
        <w:t>Los nombres y/o homónimos son los siguientes:</w:t>
      </w:r>
    </w:p>
    <w:p w14:paraId="261785D7" w14:textId="11ACCC7E" w:rsidR="003D5B78" w:rsidRPr="001A1243" w:rsidRDefault="00433DA5" w:rsidP="003D5B78">
      <w:pPr>
        <w:pStyle w:val="Prrafodelista"/>
        <w:spacing w:before="240" w:after="240" w:line="360" w:lineRule="auto"/>
        <w:ind w:left="426" w:right="474"/>
        <w:jc w:val="both"/>
        <w:rPr>
          <w:rFonts w:ascii="Palatino Linotype" w:eastAsia="Calibri" w:hAnsi="Palatino Linotype" w:cs="Arial"/>
          <w:i/>
          <w:lang w:val="es-ES"/>
        </w:rPr>
      </w:pPr>
      <w:r w:rsidRPr="00433DA5">
        <w:rPr>
          <w:rFonts w:ascii="Palatino Linotype" w:eastAsia="Calibri" w:hAnsi="Palatino Linotype" w:cs="Arial"/>
          <w:i/>
          <w:highlight w:val="black"/>
          <w:lang w:val="es-ES"/>
        </w:rPr>
        <w:t>--------------------</w:t>
      </w:r>
    </w:p>
    <w:p w14:paraId="6F765275" w14:textId="426A9FB0" w:rsidR="003D5B78" w:rsidRPr="001A1243" w:rsidRDefault="00433DA5" w:rsidP="003D5B78">
      <w:pPr>
        <w:pStyle w:val="Prrafodelista"/>
        <w:spacing w:before="240" w:after="240" w:line="360" w:lineRule="auto"/>
        <w:ind w:left="426" w:right="474"/>
        <w:jc w:val="both"/>
        <w:rPr>
          <w:rFonts w:ascii="Palatino Linotype" w:eastAsia="Calibri" w:hAnsi="Palatino Linotype" w:cs="Arial"/>
          <w:i/>
          <w:lang w:val="es-ES"/>
        </w:rPr>
      </w:pPr>
      <w:r w:rsidRPr="00433DA5">
        <w:rPr>
          <w:rFonts w:ascii="Palatino Linotype" w:eastAsia="Calibri" w:hAnsi="Palatino Linotype" w:cs="Arial"/>
          <w:i/>
          <w:highlight w:val="black"/>
          <w:lang w:val="es-ES"/>
        </w:rPr>
        <w:t>---------------------</w:t>
      </w:r>
    </w:p>
    <w:p w14:paraId="27CCF7BC" w14:textId="19ED18E2" w:rsidR="004512AB" w:rsidRPr="001A1243" w:rsidRDefault="00433DA5" w:rsidP="003D5B78">
      <w:pPr>
        <w:pStyle w:val="Prrafodelista"/>
        <w:spacing w:before="240" w:after="240" w:line="360" w:lineRule="auto"/>
        <w:ind w:left="426" w:right="474"/>
        <w:jc w:val="both"/>
        <w:rPr>
          <w:rFonts w:ascii="Palatino Linotype" w:eastAsia="Calibri" w:hAnsi="Palatino Linotype" w:cs="Arial"/>
          <w:i/>
          <w:lang w:val="es-ES"/>
        </w:rPr>
      </w:pPr>
      <w:r w:rsidRPr="00433DA5">
        <w:rPr>
          <w:rFonts w:ascii="Palatino Linotype" w:eastAsia="Calibri" w:hAnsi="Palatino Linotype" w:cs="Arial"/>
          <w:i/>
          <w:highlight w:val="black"/>
          <w:lang w:val="es-ES"/>
        </w:rPr>
        <w:t>-----------------------------</w:t>
      </w:r>
      <w:r w:rsidR="0071630B" w:rsidRPr="001A1243">
        <w:rPr>
          <w:rFonts w:ascii="Palatino Linotype" w:eastAsia="Calibri" w:hAnsi="Palatino Linotype" w:cs="Arial"/>
          <w:i/>
          <w:lang w:val="es-ES"/>
        </w:rPr>
        <w:t>”</w:t>
      </w:r>
    </w:p>
    <w:p w14:paraId="3986AF97" w14:textId="77777777" w:rsidR="004512AB" w:rsidRPr="001A1243" w:rsidRDefault="004512AB" w:rsidP="004512AB">
      <w:pPr>
        <w:pStyle w:val="Prrafodelista"/>
        <w:spacing w:line="360" w:lineRule="auto"/>
        <w:ind w:left="851" w:right="34"/>
        <w:jc w:val="both"/>
        <w:rPr>
          <w:rFonts w:ascii="Palatino Linotype" w:hAnsi="Palatino Linotype"/>
        </w:rPr>
      </w:pPr>
    </w:p>
    <w:p w14:paraId="50BB2322" w14:textId="300E224E" w:rsidR="00BC2CF8" w:rsidRPr="001A1243" w:rsidRDefault="00BC2CF8" w:rsidP="003D5B78">
      <w:pPr>
        <w:pStyle w:val="Prrafodelista"/>
        <w:numPr>
          <w:ilvl w:val="0"/>
          <w:numId w:val="4"/>
        </w:numPr>
        <w:spacing w:line="360" w:lineRule="auto"/>
        <w:ind w:left="709" w:right="34"/>
        <w:jc w:val="both"/>
        <w:rPr>
          <w:rFonts w:ascii="Palatino Linotype" w:hAnsi="Palatino Linotype"/>
        </w:rPr>
      </w:pPr>
      <w:r w:rsidRPr="001A1243">
        <w:rPr>
          <w:rFonts w:ascii="Palatino Linotype" w:eastAsia="Times New Roman" w:hAnsi="Palatino Linotype" w:cs="Arial"/>
          <w:lang w:val="es-ES"/>
        </w:rPr>
        <w:t>Se eligió como modalidad de entrega de la información</w:t>
      </w:r>
      <w:r w:rsidRPr="001A1243">
        <w:rPr>
          <w:rFonts w:ascii="Palatino Linotype" w:hAnsi="Palatino Linotype"/>
        </w:rPr>
        <w:t xml:space="preserve">: </w:t>
      </w:r>
      <w:r w:rsidR="00DA3F4B" w:rsidRPr="001A1243">
        <w:rPr>
          <w:rFonts w:ascii="Palatino Linotype" w:hAnsi="Palatino Linotype"/>
        </w:rPr>
        <w:t>A través del SAIMEX</w:t>
      </w:r>
      <w:r w:rsidR="003D5B78" w:rsidRPr="001A1243">
        <w:rPr>
          <w:rFonts w:ascii="Palatino Linotype" w:hAnsi="Palatino Linotype"/>
        </w:rPr>
        <w:t xml:space="preserve"> y correo electrónico.</w:t>
      </w:r>
    </w:p>
    <w:p w14:paraId="62DC6BA6" w14:textId="77777777" w:rsidR="007F76E9" w:rsidRPr="001A1243" w:rsidRDefault="007F76E9" w:rsidP="007F76E9">
      <w:pPr>
        <w:pStyle w:val="Prrafodelista"/>
        <w:spacing w:line="360" w:lineRule="auto"/>
        <w:ind w:left="851" w:right="34"/>
        <w:jc w:val="both"/>
        <w:rPr>
          <w:rFonts w:ascii="Palatino Linotype" w:hAnsi="Palatino Linotype"/>
        </w:rPr>
      </w:pPr>
    </w:p>
    <w:p w14:paraId="2B3F3C3F" w14:textId="43D4598B" w:rsidR="00C90ADB" w:rsidRPr="001A1243" w:rsidRDefault="003D5B7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1A1243">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447BF2DA" wp14:editId="06EE82A4">
                <wp:simplePos x="0" y="0"/>
                <wp:positionH relativeFrom="column">
                  <wp:posOffset>12065</wp:posOffset>
                </wp:positionH>
                <wp:positionV relativeFrom="paragraph">
                  <wp:posOffset>767715</wp:posOffset>
                </wp:positionV>
                <wp:extent cx="5600700" cy="2628900"/>
                <wp:effectExtent l="38100" t="38100" r="57150" b="95250"/>
                <wp:wrapNone/>
                <wp:docPr id="6" name="6 Conector recto"/>
                <wp:cNvGraphicFramePr/>
                <a:graphic xmlns:a="http://schemas.openxmlformats.org/drawingml/2006/main">
                  <a:graphicData uri="http://schemas.microsoft.com/office/word/2010/wordprocessingShape">
                    <wps:wsp>
                      <wps:cNvCnPr/>
                      <wps:spPr>
                        <a:xfrm>
                          <a:off x="0" y="0"/>
                          <a:ext cx="5600700" cy="2628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AF97A" id="6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60.45pt" to="441.95pt,2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" strokecolor="black [3200]" strokeweight="2pt">
                <v:shadow on="t" color="black" opacity="24903f" origin=",.5" offset="0,.55556mm"/>
              </v:line>
            </w:pict>
          </mc:Fallback>
        </mc:AlternateContent>
      </w:r>
      <w:r w:rsidR="004512AB" w:rsidRPr="001A1243">
        <w:rPr>
          <w:rFonts w:ascii="Palatino Linotype" w:hAnsi="Palatino Linotype" w:cs="Arial"/>
          <w:color w:val="000000" w:themeColor="text1"/>
        </w:rPr>
        <w:t>El día</w:t>
      </w:r>
      <w:r w:rsidR="007F76E9" w:rsidRPr="001A1243">
        <w:rPr>
          <w:rFonts w:ascii="Palatino Linotype" w:hAnsi="Palatino Linotype" w:cs="Arial"/>
          <w:color w:val="000000" w:themeColor="text1"/>
        </w:rPr>
        <w:t xml:space="preserve"> </w:t>
      </w:r>
      <w:r w:rsidR="001620FB" w:rsidRPr="001A1243">
        <w:rPr>
          <w:rFonts w:ascii="Palatino Linotype" w:hAnsi="Palatino Linotype" w:cs="Arial"/>
          <w:color w:val="000000" w:themeColor="text1"/>
        </w:rPr>
        <w:t>veintiocho</w:t>
      </w:r>
      <w:r w:rsidR="007F76E9" w:rsidRPr="001A1243">
        <w:rPr>
          <w:rFonts w:ascii="Palatino Linotype" w:hAnsi="Palatino Linotype" w:cs="Arial"/>
          <w:color w:val="000000" w:themeColor="text1"/>
        </w:rPr>
        <w:t xml:space="preserve"> (</w:t>
      </w:r>
      <w:r w:rsidR="00E86BA5" w:rsidRPr="001A1243">
        <w:rPr>
          <w:rFonts w:ascii="Palatino Linotype" w:hAnsi="Palatino Linotype" w:cs="Arial"/>
          <w:color w:val="000000" w:themeColor="text1"/>
        </w:rPr>
        <w:t>2</w:t>
      </w:r>
      <w:r w:rsidR="001620FB" w:rsidRPr="001A1243">
        <w:rPr>
          <w:rFonts w:ascii="Palatino Linotype" w:hAnsi="Palatino Linotype" w:cs="Arial"/>
          <w:color w:val="000000" w:themeColor="text1"/>
        </w:rPr>
        <w:t>8</w:t>
      </w:r>
      <w:r w:rsidR="007F76E9" w:rsidRPr="001A1243">
        <w:rPr>
          <w:rFonts w:ascii="Palatino Linotype" w:hAnsi="Palatino Linotype" w:cs="Arial"/>
          <w:color w:val="000000" w:themeColor="text1"/>
        </w:rPr>
        <w:t xml:space="preserve">) </w:t>
      </w:r>
      <w:r w:rsidR="00C90ADB" w:rsidRPr="001A1243">
        <w:rPr>
          <w:rFonts w:ascii="Palatino Linotype" w:hAnsi="Palatino Linotype" w:cs="Arial"/>
          <w:color w:val="000000" w:themeColor="text1"/>
        </w:rPr>
        <w:t xml:space="preserve">de </w:t>
      </w:r>
      <w:r w:rsidR="0071630B" w:rsidRPr="001A1243">
        <w:rPr>
          <w:rFonts w:ascii="Palatino Linotype" w:hAnsi="Palatino Linotype" w:cs="Arial"/>
          <w:color w:val="000000" w:themeColor="text1"/>
        </w:rPr>
        <w:t>agost</w:t>
      </w:r>
      <w:r w:rsidR="00C90ADB" w:rsidRPr="001A1243">
        <w:rPr>
          <w:rFonts w:ascii="Palatino Linotype" w:hAnsi="Palatino Linotype" w:cs="Arial"/>
          <w:color w:val="000000" w:themeColor="text1"/>
        </w:rPr>
        <w:t xml:space="preserve">o de dos mil veinte, el </w:t>
      </w:r>
      <w:r w:rsidR="00C90ADB" w:rsidRPr="001A1243">
        <w:rPr>
          <w:rFonts w:ascii="Palatino Linotype" w:hAnsi="Palatino Linotype" w:cs="Arial"/>
          <w:b/>
          <w:color w:val="000000" w:themeColor="text1"/>
        </w:rPr>
        <w:t>SUJETO OBLIGADO,</w:t>
      </w:r>
      <w:r w:rsidR="00C90ADB" w:rsidRPr="001A1243">
        <w:rPr>
          <w:rFonts w:ascii="Palatino Linotype" w:hAnsi="Palatino Linotype" w:cs="Arial"/>
          <w:color w:val="000000" w:themeColor="text1"/>
        </w:rPr>
        <w:t xml:space="preserve"> dio respuesta a </w:t>
      </w:r>
      <w:r w:rsidR="007F76E9" w:rsidRPr="001A1243">
        <w:rPr>
          <w:rFonts w:ascii="Palatino Linotype" w:hAnsi="Palatino Linotype" w:cs="Arial"/>
          <w:color w:val="000000" w:themeColor="text1"/>
        </w:rPr>
        <w:t>la</w:t>
      </w:r>
      <w:r w:rsidR="004512AB" w:rsidRPr="001A1243">
        <w:rPr>
          <w:rFonts w:ascii="Palatino Linotype" w:hAnsi="Palatino Linotype" w:cs="Arial"/>
          <w:color w:val="000000" w:themeColor="text1"/>
        </w:rPr>
        <w:t xml:space="preserve"> solicitud</w:t>
      </w:r>
      <w:r w:rsidR="007F76E9" w:rsidRPr="001A1243">
        <w:rPr>
          <w:rFonts w:ascii="Palatino Linotype" w:hAnsi="Palatino Linotype" w:cs="Arial"/>
          <w:color w:val="000000" w:themeColor="text1"/>
        </w:rPr>
        <w:t xml:space="preserve"> de información, a </w:t>
      </w:r>
      <w:r w:rsidR="00C90ADB" w:rsidRPr="001A1243">
        <w:rPr>
          <w:rFonts w:ascii="Palatino Linotype" w:hAnsi="Palatino Linotype" w:cs="Arial"/>
          <w:color w:val="000000" w:themeColor="text1"/>
        </w:rPr>
        <w:t xml:space="preserve">través </w:t>
      </w:r>
      <w:r w:rsidR="007F76E9" w:rsidRPr="001A1243">
        <w:rPr>
          <w:rFonts w:ascii="Palatino Linotype" w:hAnsi="Palatino Linotype" w:cs="Arial"/>
          <w:color w:val="000000" w:themeColor="text1"/>
        </w:rPr>
        <w:t>de</w:t>
      </w:r>
      <w:r w:rsidR="004512AB" w:rsidRPr="001A1243">
        <w:rPr>
          <w:rFonts w:ascii="Palatino Linotype" w:hAnsi="Palatino Linotype" w:cs="Arial"/>
          <w:color w:val="000000" w:themeColor="text1"/>
        </w:rPr>
        <w:t>l</w:t>
      </w:r>
      <w:r w:rsidR="00EB5D81" w:rsidRPr="001A1243">
        <w:rPr>
          <w:rFonts w:ascii="Palatino Linotype" w:hAnsi="Palatino Linotype" w:cs="Arial"/>
          <w:color w:val="000000" w:themeColor="text1"/>
        </w:rPr>
        <w:t xml:space="preserve"> </w:t>
      </w:r>
      <w:r w:rsidR="004512AB" w:rsidRPr="001A1243">
        <w:rPr>
          <w:rFonts w:ascii="Palatino Linotype" w:hAnsi="Palatino Linotype" w:cs="Arial"/>
          <w:color w:val="000000" w:themeColor="text1"/>
        </w:rPr>
        <w:t xml:space="preserve">siguiente </w:t>
      </w:r>
      <w:r w:rsidR="00EB5D81" w:rsidRPr="001A1243">
        <w:rPr>
          <w:rFonts w:ascii="Palatino Linotype" w:hAnsi="Palatino Linotype" w:cs="Arial"/>
          <w:color w:val="000000" w:themeColor="text1"/>
        </w:rPr>
        <w:t>escrito</w:t>
      </w:r>
      <w:r w:rsidR="00C90ADB" w:rsidRPr="001A1243">
        <w:rPr>
          <w:rFonts w:ascii="Palatino Linotype" w:hAnsi="Palatino Linotype" w:cs="Arial"/>
          <w:color w:val="000000" w:themeColor="text1"/>
        </w:rPr>
        <w:t>:</w:t>
      </w:r>
    </w:p>
    <w:p w14:paraId="6AACD0F3" w14:textId="318B398D" w:rsidR="00EB5D81" w:rsidRPr="001A1243" w:rsidRDefault="00433DA5" w:rsidP="00EB5D81">
      <w:pPr>
        <w:pStyle w:val="Prrafodelista"/>
        <w:tabs>
          <w:tab w:val="left" w:pos="0"/>
        </w:tabs>
        <w:spacing w:line="360" w:lineRule="auto"/>
        <w:ind w:left="0" w:right="49"/>
        <w:jc w:val="center"/>
        <w:rPr>
          <w:rFonts w:ascii="Palatino Linotype" w:hAnsi="Palatino Linotype" w:cs="Arial"/>
          <w:i/>
          <w:color w:val="000000" w:themeColor="text1"/>
        </w:rPr>
      </w:pPr>
      <w:r w:rsidRPr="00433DA5">
        <w:rPr>
          <w:rFonts w:ascii="Palatino Linotype" w:hAnsi="Palatino Linotype" w:cs="Arial"/>
          <w:i/>
          <w:noProof/>
          <w:color w:val="000000" w:themeColor="text1"/>
          <w:lang w:val="es-MX" w:eastAsia="es-MX"/>
        </w:rPr>
        <w:lastRenderedPageBreak/>
        <w:drawing>
          <wp:inline distT="0" distB="0" distL="0" distR="0" wp14:anchorId="2F899A62" wp14:editId="247439CF">
            <wp:extent cx="5612130" cy="3310756"/>
            <wp:effectExtent l="19050" t="19050" r="26670" b="234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310756"/>
                    </a:xfrm>
                    <a:prstGeom prst="rect">
                      <a:avLst/>
                    </a:prstGeom>
                    <a:noFill/>
                    <a:ln>
                      <a:solidFill>
                        <a:schemeClr val="tx1"/>
                      </a:solidFill>
                    </a:ln>
                  </pic:spPr>
                </pic:pic>
              </a:graphicData>
            </a:graphic>
          </wp:inline>
        </w:drawing>
      </w:r>
    </w:p>
    <w:p w14:paraId="6737AA64" w14:textId="77777777" w:rsidR="00E86BA5" w:rsidRPr="001A1243" w:rsidRDefault="00E86BA5" w:rsidP="00E86BA5">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3C6F86EF" w:rsidR="00CB3448" w:rsidRPr="001A1243"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1A1243">
        <w:rPr>
          <w:rFonts w:ascii="Palatino Linotype" w:eastAsia="Times New Roman" w:hAnsi="Palatino Linotype" w:cs="Arial"/>
          <w:color w:val="000000" w:themeColor="text1"/>
          <w:lang w:val="es-ES"/>
        </w:rPr>
        <w:t xml:space="preserve">En fecha </w:t>
      </w:r>
      <w:r w:rsidR="00EB5D81" w:rsidRPr="001A1243">
        <w:rPr>
          <w:rFonts w:ascii="Palatino Linotype" w:eastAsia="Times New Roman" w:hAnsi="Palatino Linotype" w:cs="Arial"/>
          <w:color w:val="000000" w:themeColor="text1"/>
          <w:lang w:val="es-ES"/>
        </w:rPr>
        <w:t>veinticinco</w:t>
      </w:r>
      <w:r w:rsidR="00715488" w:rsidRPr="001A1243">
        <w:rPr>
          <w:rFonts w:ascii="Palatino Linotype" w:eastAsia="Times New Roman" w:hAnsi="Palatino Linotype" w:cs="Arial"/>
          <w:color w:val="000000" w:themeColor="text1"/>
          <w:lang w:val="es-ES"/>
        </w:rPr>
        <w:t xml:space="preserve"> </w:t>
      </w:r>
      <w:r w:rsidRPr="001A1243">
        <w:rPr>
          <w:rFonts w:ascii="Palatino Linotype" w:eastAsia="Times New Roman" w:hAnsi="Palatino Linotype" w:cs="Arial"/>
          <w:color w:val="000000" w:themeColor="text1"/>
          <w:lang w:val="es-ES"/>
        </w:rPr>
        <w:t>(</w:t>
      </w:r>
      <w:r w:rsidR="00E86BA5" w:rsidRPr="001A1243">
        <w:rPr>
          <w:rFonts w:ascii="Palatino Linotype" w:eastAsia="Times New Roman" w:hAnsi="Palatino Linotype" w:cs="Arial"/>
          <w:color w:val="000000" w:themeColor="text1"/>
          <w:lang w:val="es-ES"/>
        </w:rPr>
        <w:t>2</w:t>
      </w:r>
      <w:r w:rsidR="00EB5D81" w:rsidRPr="001A1243">
        <w:rPr>
          <w:rFonts w:ascii="Palatino Linotype" w:eastAsia="Times New Roman" w:hAnsi="Palatino Linotype" w:cs="Arial"/>
          <w:color w:val="000000" w:themeColor="text1"/>
          <w:lang w:val="es-ES"/>
        </w:rPr>
        <w:t>5</w:t>
      </w:r>
      <w:r w:rsidR="00DA3F4B" w:rsidRPr="001A1243">
        <w:rPr>
          <w:rFonts w:ascii="Palatino Linotype" w:eastAsia="Times New Roman" w:hAnsi="Palatino Linotype" w:cs="Arial"/>
          <w:color w:val="000000" w:themeColor="text1"/>
          <w:lang w:val="es-ES"/>
        </w:rPr>
        <w:t xml:space="preserve">) de </w:t>
      </w:r>
      <w:r w:rsidR="00121480" w:rsidRPr="001A1243">
        <w:rPr>
          <w:rFonts w:ascii="Palatino Linotype" w:eastAsia="Times New Roman" w:hAnsi="Palatino Linotype" w:cs="Arial"/>
          <w:color w:val="000000" w:themeColor="text1"/>
          <w:lang w:val="es-ES"/>
        </w:rPr>
        <w:t>agost</w:t>
      </w:r>
      <w:r w:rsidR="00372AE1" w:rsidRPr="001A1243">
        <w:rPr>
          <w:rFonts w:ascii="Palatino Linotype" w:eastAsia="Times New Roman" w:hAnsi="Palatino Linotype" w:cs="Arial"/>
          <w:color w:val="000000" w:themeColor="text1"/>
          <w:lang w:val="es-ES"/>
        </w:rPr>
        <w:t>o</w:t>
      </w:r>
      <w:r w:rsidRPr="001A1243">
        <w:rPr>
          <w:rFonts w:ascii="Palatino Linotype" w:eastAsia="Times New Roman" w:hAnsi="Palatino Linotype" w:cs="Arial"/>
          <w:color w:val="000000" w:themeColor="text1"/>
          <w:lang w:val="es-ES"/>
        </w:rPr>
        <w:t xml:space="preserve"> de</w:t>
      </w:r>
      <w:r w:rsidR="00C965D0" w:rsidRPr="001A1243">
        <w:rPr>
          <w:rFonts w:ascii="Palatino Linotype" w:eastAsia="Times New Roman" w:hAnsi="Palatino Linotype" w:cs="Arial"/>
          <w:color w:val="000000" w:themeColor="text1"/>
          <w:lang w:val="es-ES"/>
        </w:rPr>
        <w:t xml:space="preserve"> dos mil ve</w:t>
      </w:r>
      <w:r w:rsidR="00372AE1" w:rsidRPr="001A1243">
        <w:rPr>
          <w:rFonts w:ascii="Palatino Linotype" w:eastAsia="Times New Roman" w:hAnsi="Palatino Linotype" w:cs="Arial"/>
          <w:color w:val="000000" w:themeColor="text1"/>
          <w:lang w:val="es-ES"/>
        </w:rPr>
        <w:t>inte</w:t>
      </w:r>
      <w:r w:rsidRPr="001A1243">
        <w:rPr>
          <w:rFonts w:ascii="Palatino Linotype" w:eastAsia="Times New Roman" w:hAnsi="Palatino Linotype" w:cs="Arial"/>
          <w:color w:val="000000" w:themeColor="text1"/>
          <w:lang w:val="es-ES"/>
        </w:rPr>
        <w:t>, el particular interpuso el recurso de revisión en contra de la</w:t>
      </w:r>
      <w:r w:rsidR="00372AE1" w:rsidRPr="001A1243">
        <w:rPr>
          <w:rFonts w:ascii="Palatino Linotype" w:eastAsia="Times New Roman" w:hAnsi="Palatino Linotype" w:cs="Arial"/>
          <w:color w:val="000000" w:themeColor="text1"/>
          <w:lang w:val="es-ES"/>
        </w:rPr>
        <w:t xml:space="preserve"> </w:t>
      </w:r>
      <w:r w:rsidRPr="001A1243">
        <w:rPr>
          <w:rFonts w:ascii="Palatino Linotype" w:eastAsia="Times New Roman" w:hAnsi="Palatino Linotype" w:cs="Arial"/>
          <w:color w:val="000000" w:themeColor="text1"/>
          <w:lang w:val="es-ES"/>
        </w:rPr>
        <w:t>respuesta</w:t>
      </w:r>
      <w:r w:rsidR="00CD6BD3" w:rsidRPr="001A1243">
        <w:rPr>
          <w:rFonts w:ascii="Palatino Linotype" w:eastAsia="Times New Roman" w:hAnsi="Palatino Linotype" w:cs="Arial"/>
          <w:color w:val="000000" w:themeColor="text1"/>
          <w:lang w:val="es-ES"/>
        </w:rPr>
        <w:t xml:space="preserve">, </w:t>
      </w:r>
      <w:r w:rsidR="00646C7D" w:rsidRPr="001A1243">
        <w:rPr>
          <w:rFonts w:ascii="Palatino Linotype" w:eastAsia="Times New Roman" w:hAnsi="Palatino Linotype" w:cs="Arial"/>
          <w:color w:val="000000" w:themeColor="text1"/>
          <w:lang w:val="es-ES"/>
        </w:rPr>
        <w:t>señalando como</w:t>
      </w:r>
      <w:r w:rsidRPr="001A1243">
        <w:rPr>
          <w:rFonts w:ascii="Palatino Linotype" w:eastAsia="Times New Roman" w:hAnsi="Palatino Linotype" w:cs="Arial"/>
          <w:color w:val="000000" w:themeColor="text1"/>
          <w:lang w:val="es-ES"/>
        </w:rPr>
        <w:t>:</w:t>
      </w:r>
    </w:p>
    <w:p w14:paraId="1744C6A0" w14:textId="017C7CC4" w:rsidR="00CB3448" w:rsidRPr="001A1243" w:rsidRDefault="00CB3448" w:rsidP="00CB3448">
      <w:pPr>
        <w:spacing w:line="360" w:lineRule="auto"/>
        <w:ind w:right="34"/>
        <w:jc w:val="both"/>
        <w:rPr>
          <w:rFonts w:ascii="Palatino Linotype" w:hAnsi="Palatino Linotype"/>
          <w:b/>
        </w:rPr>
      </w:pPr>
    </w:p>
    <w:p w14:paraId="41517A7C" w14:textId="2875BA05" w:rsidR="00585F00" w:rsidRPr="001A1243" w:rsidRDefault="00585F00" w:rsidP="00EB5D81">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54138946"/>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1A1243">
        <w:rPr>
          <w:rStyle w:val="Ttulo2Car"/>
          <w:rFonts w:ascii="Palatino Linotype" w:hAnsi="Palatino Linotype"/>
          <w:b/>
          <w:color w:val="auto"/>
          <w:sz w:val="24"/>
          <w:szCs w:val="24"/>
        </w:rPr>
        <w:t>Acto impugnado</w:t>
      </w:r>
      <w:bookmarkEnd w:id="3"/>
      <w:r w:rsidR="00F95F7E" w:rsidRPr="001A1243">
        <w:rPr>
          <w:rStyle w:val="Ttulo2Car"/>
          <w:rFonts w:ascii="Palatino Linotype" w:hAnsi="Palatino Linotype"/>
          <w:b/>
          <w:color w:val="000000" w:themeColor="text1"/>
          <w:sz w:val="24"/>
          <w:szCs w:val="24"/>
        </w:rPr>
        <w:t xml:space="preserve">: </w:t>
      </w:r>
      <w:r w:rsidR="00F95F7E" w:rsidRPr="001A1243">
        <w:rPr>
          <w:rStyle w:val="Ttulo2Car"/>
          <w:rFonts w:ascii="Palatino Linotype" w:hAnsi="Palatino Linotype"/>
          <w:i/>
          <w:color w:val="000000" w:themeColor="text1"/>
          <w:sz w:val="24"/>
          <w:szCs w:val="24"/>
        </w:rPr>
        <w:t>“</w:t>
      </w:r>
      <w:r w:rsidR="00EB5D81" w:rsidRPr="001A1243">
        <w:rPr>
          <w:rStyle w:val="Ttulo2Car"/>
          <w:rFonts w:ascii="Palatino Linotype" w:hAnsi="Palatino Linotype"/>
          <w:i/>
          <w:color w:val="000000" w:themeColor="text1"/>
          <w:sz w:val="24"/>
          <w:szCs w:val="24"/>
        </w:rPr>
        <w:t>Respuesta del folio: 00010/PRD/IP/2020 por parte de la autoridad</w:t>
      </w:r>
      <w:r w:rsidRPr="001A1243">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r w:rsidRPr="001A1243">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6919E8E" w14:textId="1C7E2521" w:rsidR="00EB5D81" w:rsidRPr="001A1243" w:rsidRDefault="003D5B78" w:rsidP="00EB5D81">
      <w:pPr>
        <w:rPr>
          <w:lang w:val="es-MX" w:eastAsia="en-US"/>
        </w:rPr>
      </w:pPr>
      <w:r w:rsidRPr="001A1243">
        <w:rPr>
          <w:noProof/>
          <w:lang w:val="es-MX" w:eastAsia="es-MX"/>
        </w:rPr>
        <mc:AlternateContent>
          <mc:Choice Requires="wps">
            <w:drawing>
              <wp:anchor distT="0" distB="0" distL="114300" distR="114300" simplePos="0" relativeHeight="251660288" behindDoc="0" locked="0" layoutInCell="1" allowOverlap="1" wp14:anchorId="2E632E98" wp14:editId="65F26BAA">
                <wp:simplePos x="0" y="0"/>
                <wp:positionH relativeFrom="column">
                  <wp:posOffset>12065</wp:posOffset>
                </wp:positionH>
                <wp:positionV relativeFrom="paragraph">
                  <wp:posOffset>139700</wp:posOffset>
                </wp:positionV>
                <wp:extent cx="5575300" cy="977900"/>
                <wp:effectExtent l="38100" t="38100" r="63500" b="88900"/>
                <wp:wrapNone/>
                <wp:docPr id="9" name="9 Conector recto"/>
                <wp:cNvGraphicFramePr/>
                <a:graphic xmlns:a="http://schemas.openxmlformats.org/drawingml/2006/main">
                  <a:graphicData uri="http://schemas.microsoft.com/office/word/2010/wordprocessingShape">
                    <wps:wsp>
                      <wps:cNvCnPr/>
                      <wps:spPr>
                        <a:xfrm>
                          <a:off x="0" y="0"/>
                          <a:ext cx="5575300" cy="977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DBE451" id="9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1pt" to="439.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" strokecolor="black [3200]" strokeweight="2pt">
                <v:shadow on="t" color="black" opacity="24903f" origin=",.5" offset="0,.55556mm"/>
              </v:line>
            </w:pict>
          </mc:Fallback>
        </mc:AlternateContent>
      </w:r>
    </w:p>
    <w:p w14:paraId="16C1CD16" w14:textId="2CA9AC3D" w:rsidR="00585F00" w:rsidRPr="001A1243" w:rsidRDefault="00585F00" w:rsidP="00EB5D81">
      <w:pPr>
        <w:pStyle w:val="Ttulo2"/>
        <w:numPr>
          <w:ilvl w:val="0"/>
          <w:numId w:val="3"/>
        </w:numPr>
        <w:spacing w:line="360" w:lineRule="auto"/>
        <w:jc w:val="both"/>
        <w:rPr>
          <w:rFonts w:ascii="Palatino Linotype" w:hAnsi="Palatino Linotype"/>
          <w:i/>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35535692"/>
      <w:bookmarkStart w:id="74" w:name="_Toc52971950"/>
      <w:bookmarkStart w:id="75" w:name="_Toc52996699"/>
      <w:bookmarkStart w:id="76" w:name="_Toc54138947"/>
      <w:bookmarkStart w:id="77" w:name="_Toc471908127"/>
      <w:bookmarkStart w:id="78" w:name="_Toc491791301"/>
      <w:bookmarkStart w:id="79" w:name="_Toc496726171"/>
      <w:bookmarkStart w:id="80" w:name="_Toc497242135"/>
      <w:bookmarkStart w:id="81" w:name="_Toc497292518"/>
      <w:bookmarkStart w:id="82" w:name="_Toc498503717"/>
      <w:bookmarkStart w:id="83" w:name="_Toc499568661"/>
      <w:bookmarkStart w:id="84" w:name="_Toc499568694"/>
      <w:bookmarkStart w:id="85" w:name="_Toc499665453"/>
      <w:bookmarkStart w:id="86" w:name="_Toc499729820"/>
      <w:bookmarkStart w:id="87" w:name="_Toc499835025"/>
      <w:bookmarkStart w:id="88" w:name="_Toc499835836"/>
      <w:bookmarkStart w:id="89" w:name="_Toc499835859"/>
      <w:bookmarkStart w:id="90" w:name="_Toc500264538"/>
      <w:bookmarkStart w:id="91" w:name="_Toc503290276"/>
      <w:bookmarkStart w:id="92" w:name="_Toc524009638"/>
      <w:bookmarkStart w:id="93" w:name="_Toc524009673"/>
      <w:bookmarkStart w:id="94" w:name="_Toc524602721"/>
      <w:bookmarkStart w:id="95" w:name="_Toc526365280"/>
      <w:bookmarkStart w:id="96" w:name="_Toc526365338"/>
      <w:bookmarkStart w:id="97" w:name="_Toc530067665"/>
      <w:bookmarkStart w:id="98" w:name="_Toc530067693"/>
      <w:bookmarkStart w:id="99" w:name="_Toc530067940"/>
      <w:bookmarkStart w:id="100" w:name="_Toc530590421"/>
      <w:bookmarkStart w:id="101" w:name="_Toc530593952"/>
      <w:bookmarkStart w:id="102" w:name="_Toc531190249"/>
      <w:bookmarkStart w:id="103" w:name="_Toc531190296"/>
      <w:bookmarkStart w:id="104" w:name="_Toc534908209"/>
      <w:bookmarkStart w:id="105" w:name="_Toc534909345"/>
      <w:bookmarkStart w:id="106" w:name="_Toc535353306"/>
      <w:bookmarkStart w:id="107" w:name="_Toc535353792"/>
      <w:bookmarkStart w:id="108" w:name="_Toc18436352"/>
      <w:bookmarkStart w:id="109" w:name="_Toc18436386"/>
      <w:bookmarkStart w:id="110" w:name="_Toc18513478"/>
      <w:bookmarkStart w:id="111" w:name="_Toc18513504"/>
      <w:bookmarkStart w:id="112" w:name="_Toc18606802"/>
      <w:bookmarkStart w:id="113" w:name="_Toc19723537"/>
      <w:bookmarkStart w:id="114" w:name="_Toc20322796"/>
      <w:bookmarkStart w:id="115" w:name="_Toc20323053"/>
      <w:bookmarkStart w:id="116" w:name="_Toc20323182"/>
      <w:bookmarkStart w:id="117" w:name="_Toc20420592"/>
      <w:bookmarkStart w:id="118" w:name="_Toc20421580"/>
      <w:bookmarkStart w:id="119" w:name="_Toc21027317"/>
      <w:bookmarkStart w:id="120" w:name="_Toc22660653"/>
      <w:bookmarkStart w:id="121" w:name="_Toc22811624"/>
      <w:bookmarkStart w:id="122" w:name="_Toc26436016"/>
      <w:r w:rsidRPr="001A1243">
        <w:rPr>
          <w:rStyle w:val="Ttulo2Car"/>
          <w:rFonts w:ascii="Palatino Linotype" w:hAnsi="Palatino Linotype"/>
          <w:b/>
          <w:color w:val="000000" w:themeColor="text1"/>
          <w:sz w:val="24"/>
          <w:szCs w:val="24"/>
        </w:rPr>
        <w:lastRenderedPageBreak/>
        <w:t>Razones o Motivos de inconformidad:</w:t>
      </w:r>
      <w:bookmarkEnd w:id="63"/>
      <w:r w:rsidRPr="001A1243">
        <w:rPr>
          <w:rFonts w:ascii="Palatino Linotype" w:hAnsi="Palatino Linotype"/>
          <w:b/>
          <w:color w:val="000000" w:themeColor="text1"/>
          <w:sz w:val="24"/>
          <w:szCs w:val="24"/>
        </w:rPr>
        <w:t xml:space="preserve"> </w:t>
      </w:r>
      <w:r w:rsidRPr="001A1243">
        <w:rPr>
          <w:rFonts w:ascii="Palatino Linotype" w:hAnsi="Palatino Linotype"/>
          <w:i/>
          <w:color w:val="000000" w:themeColor="text1"/>
          <w:sz w:val="24"/>
          <w:szCs w:val="24"/>
        </w:rPr>
        <w:t>“</w:t>
      </w:r>
      <w:r w:rsidR="00EB5D81" w:rsidRPr="001A1243">
        <w:rPr>
          <w:rFonts w:ascii="Palatino Linotype" w:hAnsi="Palatino Linotype"/>
          <w:i/>
          <w:color w:val="000000" w:themeColor="text1"/>
          <w:sz w:val="24"/>
          <w:szCs w:val="24"/>
        </w:rPr>
        <w:t xml:space="preserve">La autoridad respondió que respecto los nombres u homónimos solicitados la autoridad -se cita- fundamentó en lo siguiente su respuesta: "De acuerdo al artículo 53, fracciones II, IV y V de la Ley de Transparencia y Acceso, a la Información Pública del Estado de México y Municipios, además de lo que prevé el Artículo 12 párrafo II que a letra dice los sujetos obligados solo proporcionaran la información pública que se les requiera y que obre en sus archivos y en el estado en que esta se encuentre. La obligación de proporcionar información no comprende el procedimiento de la misma, ni el presentarla conforme al interés del solicitante; no estarán obligados a generarla, resumirla, efectuar cálculos o practicar investigaciones." sic Ahora bien subsecuentemente en el mismo escrito donde responde la solicitud de información la autoridad respondió lo siguiente: "Al respecto, informamos a usted una vez que, se realizó la búsqueda correspondiente en los archivos que obran en la Coordinación de Patrimonio y Recursos Financieros del PRD, en el Estado de México. No se encontraron los nombres mencionados en su petición número:00010/PRD/IP/2020, de acuerdo a los listados del personal que colabora en el Partido de la Revolución Democrática (específicamente en los correspondientes del mes de enero a agosto de 2020)" sic En ese orden de ideas si bien la autoridad comenta que no está obligada en principio a dar la información como se solicita, no menos cierto es que al responder lo solicitado por el requirente de información la autoridad respondió de manera incompleta y dolosa al solo informar el periodo 2020 y omitir informar del resto de periodos, -específicamente del 2016 al 2020- , de las personas por las cuales se solicita la información. Por ende la respuesta </w:t>
      </w:r>
      <w:r w:rsidR="00EB5D81" w:rsidRPr="001A1243">
        <w:rPr>
          <w:rFonts w:ascii="Palatino Linotype" w:hAnsi="Palatino Linotype"/>
          <w:i/>
          <w:color w:val="000000" w:themeColor="text1"/>
          <w:sz w:val="24"/>
          <w:szCs w:val="24"/>
        </w:rPr>
        <w:lastRenderedPageBreak/>
        <w:t xml:space="preserve">de la autoridad al requerimiento de información viola los principios de congruencia y exhaustividad garantistas del derecho a la información, de manera consecuente, se hace constatar que el motivo de la solicitud de información versa sobre una Carpeta de Investigación donde las personas por las cuales se requiere información se ostentan como miembros del PRD dedicándose al despojo de bienes raíces; por ende existe la presunción de que la respuesta de la autoridad a no estar obligado a dar la información ni hacer investigaciones, pero al mismo tiempo responder respecto a un solo periodo de todos los que se pide; versa la presunción de encubrimiento por parte de la autoridad de brindar la información completa, congruente y sobre todo que su respuesta verdaderamente haya sido exhaustiva, sírvase los precedentes siguientes: 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Resoluciones: </w:t>
      </w:r>
      <w:r w:rsidR="00EB5D81" w:rsidRPr="001A1243">
        <w:rPr>
          <w:rFonts w:ascii="Palatino Linotype" w:hAnsi="Palatino Linotype"/>
          <w:i/>
          <w:color w:val="000000" w:themeColor="text1"/>
          <w:sz w:val="24"/>
          <w:szCs w:val="24"/>
        </w:rPr>
        <w:lastRenderedPageBreak/>
        <w:t xml:space="preserve">• RRA 0003/16. Comisión Nacional de las Zonas Áridas. 29 de junio de 2016. Por unanimidad. Comisionado Ponente Oscar Mauricio Guerra Ford. • RRA 0100/16. Sindicato Nacional de Trabajadores de la Educación. 13 de julio de 2016. Por unanimidad. Comisionada Ponente. Areli Cano Guadiana. • RRA 1419/16. Secretaría de Educación Pública. 14 de septiembre de 2016. Por unanimidad. Comisionado Ponente </w:t>
      </w:r>
      <w:proofErr w:type="spellStart"/>
      <w:r w:rsidR="00EB5D81" w:rsidRPr="001A1243">
        <w:rPr>
          <w:rFonts w:ascii="Palatino Linotype" w:hAnsi="Palatino Linotype"/>
          <w:i/>
          <w:color w:val="000000" w:themeColor="text1"/>
          <w:sz w:val="24"/>
          <w:szCs w:val="24"/>
        </w:rPr>
        <w:t>Rosendoevgueni</w:t>
      </w:r>
      <w:proofErr w:type="spellEnd"/>
      <w:r w:rsidR="00EB5D81" w:rsidRPr="001A1243">
        <w:rPr>
          <w:rFonts w:ascii="Palatino Linotype" w:hAnsi="Palatino Linotype"/>
          <w:i/>
          <w:color w:val="000000" w:themeColor="text1"/>
          <w:sz w:val="24"/>
          <w:szCs w:val="24"/>
        </w:rPr>
        <w:t xml:space="preserve"> Monterrey </w:t>
      </w:r>
      <w:proofErr w:type="spellStart"/>
      <w:r w:rsidR="00EB5D81" w:rsidRPr="001A1243">
        <w:rPr>
          <w:rFonts w:ascii="Palatino Linotype" w:hAnsi="Palatino Linotype"/>
          <w:i/>
          <w:color w:val="000000" w:themeColor="text1"/>
          <w:sz w:val="24"/>
          <w:szCs w:val="24"/>
        </w:rPr>
        <w:t>Chepov</w:t>
      </w:r>
      <w:proofErr w:type="spellEnd"/>
      <w:r w:rsidR="00EB5D81" w:rsidRPr="001A1243">
        <w:rPr>
          <w:rFonts w:ascii="Palatino Linotype" w:hAnsi="Palatino Linotype"/>
          <w:i/>
          <w:color w:val="000000" w:themeColor="text1"/>
          <w:sz w:val="24"/>
          <w:szCs w:val="24"/>
        </w:rPr>
        <w:t xml:space="preserve">. 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Resoluciones: • RRA 0774/16. Secretaría de Salud. 31 de agosto de 2016. Por unanimidad. Comisionada Ponente María Patricia </w:t>
      </w:r>
      <w:proofErr w:type="spellStart"/>
      <w:r w:rsidR="00EB5D81" w:rsidRPr="001A1243">
        <w:rPr>
          <w:rFonts w:ascii="Palatino Linotype" w:hAnsi="Palatino Linotype"/>
          <w:i/>
          <w:color w:val="000000" w:themeColor="text1"/>
          <w:sz w:val="24"/>
          <w:szCs w:val="24"/>
        </w:rPr>
        <w:t>Kurczyn</w:t>
      </w:r>
      <w:proofErr w:type="spellEnd"/>
      <w:r w:rsidR="00EB5D81" w:rsidRPr="001A1243">
        <w:rPr>
          <w:rFonts w:ascii="Palatino Linotype" w:hAnsi="Palatino Linotype"/>
          <w:i/>
          <w:color w:val="000000" w:themeColor="text1"/>
          <w:sz w:val="24"/>
          <w:szCs w:val="24"/>
        </w:rPr>
        <w:t xml:space="preserve"> Villalobos. • RRA 0143/17. Universidad Autónoma Agraria Antonio Narro. 22 de febrero de 2017. Por unanimidad. Comisionado Ponente Oscar Mauricio Guerra Ford. • RRA 0540/17. Secretaría de Economía. 08 de marzo del 2017. Por unanimidad. Comisionado Ponente Francisco Javier Acuña Llamas. Lo anterior para los efectos legales a los que haya lugar, anexándose la respuesta de la autoridad a la solicitud de información como ANEXO I. PROTESTO LO NECESARIO </w:t>
      </w:r>
      <w:r w:rsidR="00B2084F" w:rsidRPr="00B2084F">
        <w:rPr>
          <w:rFonts w:ascii="Palatino Linotype" w:hAnsi="Palatino Linotype"/>
          <w:i/>
          <w:color w:val="000000" w:themeColor="text1"/>
          <w:sz w:val="24"/>
          <w:szCs w:val="24"/>
          <w:highlight w:val="black"/>
        </w:rPr>
        <w:t>--------------------</w:t>
      </w:r>
      <w:r w:rsidRPr="001A1243">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75"/>
      <w:bookmarkEnd w:id="76"/>
      <w:r w:rsidRPr="001A1243">
        <w:rPr>
          <w:rFonts w:ascii="Palatino Linotype" w:hAnsi="Palatino Linotype"/>
          <w:i/>
          <w:color w:val="000000" w:themeColor="text1"/>
          <w:sz w:val="24"/>
          <w:szCs w:val="24"/>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96CE205" w14:textId="77777777" w:rsidR="00EB781A" w:rsidRPr="001A1243" w:rsidRDefault="00EB781A" w:rsidP="00EB781A">
      <w:pPr>
        <w:rPr>
          <w:rFonts w:ascii="Palatino Linotype" w:hAnsi="Palatino Linotype"/>
          <w:lang w:val="es-MX" w:eastAsia="en-US"/>
        </w:rPr>
      </w:pPr>
    </w:p>
    <w:p w14:paraId="2A36D9BD" w14:textId="0C105CDC" w:rsidR="00034A1F" w:rsidRPr="001A1243"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1A1243">
        <w:rPr>
          <w:rFonts w:ascii="Palatino Linotype" w:eastAsia="Calibri" w:hAnsi="Palatino Linotype" w:cs="Arial"/>
          <w:lang w:val="es-ES"/>
        </w:rPr>
        <w:t>El Comisionado Ponente con fundamento en lo dispuesto por el artículo 185 fracción II de la</w:t>
      </w:r>
      <w:r w:rsidR="003364ED" w:rsidRPr="001A1243">
        <w:rPr>
          <w:rFonts w:ascii="Palatino Linotype" w:eastAsia="Calibri" w:hAnsi="Palatino Linotype" w:cs="Arial"/>
          <w:lang w:val="es-ES"/>
        </w:rPr>
        <w:t xml:space="preserve"> ley de la materia, a través de</w:t>
      </w:r>
      <w:r w:rsidRPr="001A1243">
        <w:rPr>
          <w:rFonts w:ascii="Palatino Linotype" w:eastAsia="Calibri" w:hAnsi="Palatino Linotype" w:cs="Arial"/>
          <w:lang w:val="es-ES"/>
        </w:rPr>
        <w:t xml:space="preserve">l acuerdo de admisión de fecha </w:t>
      </w:r>
      <w:r w:rsidR="00121480" w:rsidRPr="001A1243">
        <w:rPr>
          <w:rFonts w:ascii="Palatino Linotype" w:eastAsia="Calibri" w:hAnsi="Palatino Linotype" w:cs="Arial"/>
          <w:lang w:val="es-ES"/>
        </w:rPr>
        <w:t xml:space="preserve">tres </w:t>
      </w:r>
      <w:r w:rsidR="007B002D" w:rsidRPr="001A1243">
        <w:rPr>
          <w:rFonts w:ascii="Palatino Linotype" w:eastAsia="Calibri" w:hAnsi="Palatino Linotype" w:cs="Arial"/>
          <w:lang w:val="es-ES"/>
        </w:rPr>
        <w:t>(</w:t>
      </w:r>
      <w:r w:rsidR="00B51D0F" w:rsidRPr="001A1243">
        <w:rPr>
          <w:rFonts w:ascii="Palatino Linotype" w:eastAsia="Calibri" w:hAnsi="Palatino Linotype" w:cs="Arial"/>
          <w:lang w:val="es-ES"/>
        </w:rPr>
        <w:t>0</w:t>
      </w:r>
      <w:r w:rsidR="00121480" w:rsidRPr="001A1243">
        <w:rPr>
          <w:rFonts w:ascii="Palatino Linotype" w:eastAsia="Calibri" w:hAnsi="Palatino Linotype" w:cs="Arial"/>
          <w:lang w:val="es-ES"/>
        </w:rPr>
        <w:t>3</w:t>
      </w:r>
      <w:r w:rsidR="0002415E" w:rsidRPr="001A1243">
        <w:rPr>
          <w:rFonts w:ascii="Palatino Linotype" w:eastAsia="Calibri" w:hAnsi="Palatino Linotype" w:cs="Arial"/>
          <w:lang w:val="es-ES"/>
        </w:rPr>
        <w:t xml:space="preserve">) </w:t>
      </w:r>
      <w:r w:rsidRPr="001A1243">
        <w:rPr>
          <w:rFonts w:ascii="Palatino Linotype" w:eastAsia="Calibri" w:hAnsi="Palatino Linotype" w:cs="Arial"/>
          <w:lang w:val="es-ES"/>
        </w:rPr>
        <w:lastRenderedPageBreak/>
        <w:t xml:space="preserve">de </w:t>
      </w:r>
      <w:r w:rsidR="00121480" w:rsidRPr="001A1243">
        <w:rPr>
          <w:rFonts w:ascii="Palatino Linotype" w:eastAsia="Calibri" w:hAnsi="Palatino Linotype" w:cs="Arial"/>
          <w:lang w:val="es-ES"/>
        </w:rPr>
        <w:t>septiembre</w:t>
      </w:r>
      <w:r w:rsidRPr="001A1243">
        <w:rPr>
          <w:rFonts w:ascii="Palatino Linotype" w:eastAsia="Calibri" w:hAnsi="Palatino Linotype" w:cs="Arial"/>
          <w:lang w:val="es-ES"/>
        </w:rPr>
        <w:t xml:space="preserve"> del año en curso, puso a disposición de las partes </w:t>
      </w:r>
      <w:r w:rsidR="00C93405" w:rsidRPr="001A1243">
        <w:rPr>
          <w:rFonts w:ascii="Palatino Linotype" w:eastAsia="Calibri" w:hAnsi="Palatino Linotype" w:cs="Arial"/>
          <w:lang w:val="es-ES"/>
        </w:rPr>
        <w:t>e</w:t>
      </w:r>
      <w:r w:rsidRPr="001A1243">
        <w:rPr>
          <w:rFonts w:ascii="Palatino Linotype" w:eastAsia="Calibri" w:hAnsi="Palatino Linotype" w:cs="Arial"/>
          <w:lang w:val="es-ES"/>
        </w:rPr>
        <w:t xml:space="preserve">l expediente electrónico </w:t>
      </w:r>
      <w:r w:rsidRPr="001A1243">
        <w:rPr>
          <w:rFonts w:ascii="Palatino Linotype" w:eastAsia="Calibri" w:hAnsi="Palatino Linotype" w:cs="Arial"/>
        </w:rPr>
        <w:t xml:space="preserve">vía </w:t>
      </w:r>
      <w:r w:rsidRPr="001A1243">
        <w:rPr>
          <w:rFonts w:ascii="Palatino Linotype" w:eastAsia="Calibri" w:hAnsi="Palatino Linotype" w:cs="Arial"/>
          <w:b/>
          <w:lang w:val="es-ES"/>
        </w:rPr>
        <w:t xml:space="preserve">SAIMEX </w:t>
      </w:r>
      <w:r w:rsidRPr="001A1243">
        <w:rPr>
          <w:rFonts w:ascii="Palatino Linotype" w:eastAsia="Calibri" w:hAnsi="Palatino Linotype" w:cs="Arial"/>
          <w:lang w:val="es-ES"/>
        </w:rPr>
        <w:t>a efecto de que en un plazo máximo de siete días manifestaran</w:t>
      </w:r>
      <w:r w:rsidR="005E77E6" w:rsidRPr="001A1243">
        <w:rPr>
          <w:rFonts w:ascii="Palatino Linotype" w:eastAsia="Calibri" w:hAnsi="Palatino Linotype" w:cs="Arial"/>
          <w:lang w:val="es-ES"/>
        </w:rPr>
        <w:t xml:space="preserve"> lo que a su derecho conviniera</w:t>
      </w:r>
      <w:r w:rsidRPr="001A1243">
        <w:rPr>
          <w:rFonts w:ascii="Palatino Linotype" w:eastAsia="Calibri" w:hAnsi="Palatino Linotype" w:cs="Arial"/>
          <w:lang w:val="es-ES"/>
        </w:rPr>
        <w:t xml:space="preserve">, ofrecieran pruebas y alegatos según corresponda a los casos concretos, </w:t>
      </w:r>
      <w:r w:rsidR="00FA448D" w:rsidRPr="001A1243">
        <w:rPr>
          <w:rFonts w:ascii="Palatino Linotype" w:eastAsia="Calibri" w:hAnsi="Palatino Linotype" w:cs="Arial"/>
          <w:lang w:val="es-ES"/>
        </w:rPr>
        <w:t>y</w:t>
      </w:r>
      <w:r w:rsidRPr="001A1243">
        <w:rPr>
          <w:rFonts w:ascii="Palatino Linotype" w:eastAsia="Calibri" w:hAnsi="Palatino Linotype" w:cs="Arial"/>
          <w:lang w:val="es-ES"/>
        </w:rPr>
        <w:t xml:space="preserve"> el </w:t>
      </w:r>
      <w:r w:rsidRPr="001A1243">
        <w:rPr>
          <w:rFonts w:ascii="Palatino Linotype" w:eastAsia="Calibri" w:hAnsi="Palatino Linotype" w:cs="Arial"/>
          <w:b/>
          <w:lang w:val="es-ES"/>
        </w:rPr>
        <w:t>SUJETO OBLIGADO</w:t>
      </w:r>
      <w:r w:rsidRPr="001A1243">
        <w:rPr>
          <w:rFonts w:ascii="Palatino Linotype" w:eastAsia="Calibri" w:hAnsi="Palatino Linotype" w:cs="Arial"/>
          <w:lang w:val="es-ES"/>
        </w:rPr>
        <w:t xml:space="preserve"> presentará el Informe Justificado procedente.</w:t>
      </w:r>
    </w:p>
    <w:p w14:paraId="4938CAD3" w14:textId="77777777" w:rsidR="00E02679" w:rsidRPr="001A1243" w:rsidRDefault="00E02679" w:rsidP="00E02679">
      <w:pPr>
        <w:pStyle w:val="Prrafodelista"/>
        <w:spacing w:before="240" w:after="240" w:line="360" w:lineRule="auto"/>
        <w:ind w:left="0"/>
        <w:jc w:val="both"/>
        <w:rPr>
          <w:rFonts w:ascii="Palatino Linotype" w:hAnsi="Palatino Linotype"/>
          <w:i/>
        </w:rPr>
      </w:pPr>
    </w:p>
    <w:p w14:paraId="54C63665" w14:textId="7F48D757" w:rsidR="003A0AA2" w:rsidRPr="001A1243"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1A1243">
        <w:rPr>
          <w:rFonts w:ascii="Palatino Linotype" w:hAnsi="Palatino Linotype"/>
          <w:color w:val="000000"/>
        </w:rPr>
        <w:t>El día</w:t>
      </w:r>
      <w:r w:rsidR="00A81D2B" w:rsidRPr="001A1243">
        <w:rPr>
          <w:rFonts w:ascii="Palatino Linotype" w:hAnsi="Palatino Linotype"/>
          <w:color w:val="000000"/>
        </w:rPr>
        <w:t xml:space="preserve"> </w:t>
      </w:r>
      <w:r w:rsidR="00EB5D81" w:rsidRPr="001A1243">
        <w:rPr>
          <w:rFonts w:ascii="Palatino Linotype" w:hAnsi="Palatino Linotype"/>
          <w:color w:val="000000"/>
        </w:rPr>
        <w:t>veintidós</w:t>
      </w:r>
      <w:r w:rsidR="00101FA5" w:rsidRPr="001A1243">
        <w:rPr>
          <w:rFonts w:ascii="Palatino Linotype" w:hAnsi="Palatino Linotype"/>
          <w:color w:val="000000"/>
        </w:rPr>
        <w:t xml:space="preserve"> (</w:t>
      </w:r>
      <w:r w:rsidR="00EB5D81" w:rsidRPr="001A1243">
        <w:rPr>
          <w:rFonts w:ascii="Palatino Linotype" w:hAnsi="Palatino Linotype"/>
          <w:color w:val="000000"/>
        </w:rPr>
        <w:t>22</w:t>
      </w:r>
      <w:r w:rsidR="0002415E" w:rsidRPr="001A1243">
        <w:rPr>
          <w:rFonts w:ascii="Palatino Linotype" w:hAnsi="Palatino Linotype"/>
          <w:color w:val="000000"/>
        </w:rPr>
        <w:t xml:space="preserve">) </w:t>
      </w:r>
      <w:r w:rsidR="00A81D2B" w:rsidRPr="001A1243">
        <w:rPr>
          <w:rFonts w:ascii="Palatino Linotype" w:hAnsi="Palatino Linotype"/>
          <w:color w:val="000000"/>
        </w:rPr>
        <w:t xml:space="preserve">de </w:t>
      </w:r>
      <w:r w:rsidR="00121480" w:rsidRPr="001A1243">
        <w:rPr>
          <w:rFonts w:ascii="Palatino Linotype" w:hAnsi="Palatino Linotype"/>
          <w:color w:val="000000"/>
        </w:rPr>
        <w:t>septiembre</w:t>
      </w:r>
      <w:r w:rsidR="00101FA5" w:rsidRPr="001A1243">
        <w:rPr>
          <w:rFonts w:ascii="Palatino Linotype" w:hAnsi="Palatino Linotype"/>
          <w:color w:val="000000"/>
        </w:rPr>
        <w:t xml:space="preserve"> de dos m</w:t>
      </w:r>
      <w:r w:rsidR="0002415E" w:rsidRPr="001A1243">
        <w:rPr>
          <w:rFonts w:ascii="Palatino Linotype" w:hAnsi="Palatino Linotype"/>
          <w:color w:val="000000"/>
        </w:rPr>
        <w:t>il veinte</w:t>
      </w:r>
      <w:r w:rsidR="00121480" w:rsidRPr="001A1243">
        <w:rPr>
          <w:rFonts w:ascii="Palatino Linotype" w:hAnsi="Palatino Linotype"/>
          <w:color w:val="000000"/>
        </w:rPr>
        <w:t xml:space="preserve">, el </w:t>
      </w:r>
      <w:r w:rsidR="00121480" w:rsidRPr="001A1243">
        <w:rPr>
          <w:rFonts w:ascii="Palatino Linotype" w:hAnsi="Palatino Linotype"/>
          <w:b/>
          <w:color w:val="000000"/>
        </w:rPr>
        <w:t>SUJETO OBLIGADO</w:t>
      </w:r>
      <w:r w:rsidR="0002415E" w:rsidRPr="001A1243">
        <w:rPr>
          <w:rFonts w:ascii="Palatino Linotype" w:hAnsi="Palatino Linotype"/>
          <w:color w:val="000000"/>
        </w:rPr>
        <w:t xml:space="preserve"> rindió </w:t>
      </w:r>
      <w:r w:rsidR="00121480" w:rsidRPr="001A1243">
        <w:rPr>
          <w:rFonts w:ascii="Palatino Linotype" w:hAnsi="Palatino Linotype"/>
          <w:color w:val="000000"/>
        </w:rPr>
        <w:t>el</w:t>
      </w:r>
      <w:r w:rsidR="00101FA5" w:rsidRPr="001A1243">
        <w:rPr>
          <w:rFonts w:ascii="Palatino Linotype" w:hAnsi="Palatino Linotype"/>
          <w:color w:val="000000"/>
        </w:rPr>
        <w:t xml:space="preserve"> informe ju</w:t>
      </w:r>
      <w:r w:rsidR="00FA448D" w:rsidRPr="001A1243">
        <w:rPr>
          <w:rFonts w:ascii="Palatino Linotype" w:hAnsi="Palatino Linotype"/>
          <w:color w:val="000000"/>
        </w:rPr>
        <w:t>stificado respectivo, mismo que</w:t>
      </w:r>
      <w:r w:rsidR="00121480" w:rsidRPr="001A1243">
        <w:rPr>
          <w:rFonts w:ascii="Palatino Linotype" w:hAnsi="Palatino Linotype"/>
          <w:color w:val="000000"/>
        </w:rPr>
        <w:t xml:space="preserve"> </w:t>
      </w:r>
      <w:r w:rsidR="00101FA5" w:rsidRPr="001A1243">
        <w:rPr>
          <w:rFonts w:ascii="Palatino Linotype" w:hAnsi="Palatino Linotype"/>
          <w:color w:val="000000"/>
        </w:rPr>
        <w:t>fue puest</w:t>
      </w:r>
      <w:r w:rsidR="00A81D2B" w:rsidRPr="001A1243">
        <w:rPr>
          <w:rFonts w:ascii="Palatino Linotype" w:hAnsi="Palatino Linotype"/>
          <w:color w:val="000000"/>
        </w:rPr>
        <w:t>o a la vista del hoy recurrente</w:t>
      </w:r>
      <w:r w:rsidR="00FA448D" w:rsidRPr="001A1243">
        <w:rPr>
          <w:rFonts w:ascii="Palatino Linotype" w:hAnsi="Palatino Linotype"/>
          <w:color w:val="000000"/>
        </w:rPr>
        <w:t xml:space="preserve"> </w:t>
      </w:r>
      <w:r w:rsidR="00121480" w:rsidRPr="001A1243">
        <w:rPr>
          <w:rFonts w:ascii="Palatino Linotype" w:hAnsi="Palatino Linotype"/>
          <w:color w:val="000000"/>
        </w:rPr>
        <w:t>por modificar la respuesta inicial</w:t>
      </w:r>
      <w:r w:rsidR="00EB5D81" w:rsidRPr="001A1243">
        <w:rPr>
          <w:rFonts w:ascii="Palatino Linotype" w:hAnsi="Palatino Linotype"/>
          <w:color w:val="000000"/>
        </w:rPr>
        <w:t xml:space="preserve"> mediante acuerdo de fecha doce (12) de octubre de dos mil veinte</w:t>
      </w:r>
      <w:r w:rsidR="00121480" w:rsidRPr="001A1243">
        <w:rPr>
          <w:rFonts w:ascii="Palatino Linotype" w:hAnsi="Palatino Linotype"/>
          <w:color w:val="000000"/>
        </w:rPr>
        <w:t xml:space="preserve">. Por su parte </w:t>
      </w:r>
      <w:r w:rsidR="00121480" w:rsidRPr="001A1243">
        <w:rPr>
          <w:rFonts w:ascii="Palatino Linotype" w:hAnsi="Palatino Linotype"/>
          <w:b/>
          <w:color w:val="000000"/>
        </w:rPr>
        <w:t xml:space="preserve">EL RECURRENTE </w:t>
      </w:r>
      <w:r w:rsidR="00EB5D81" w:rsidRPr="001A1243">
        <w:rPr>
          <w:rFonts w:ascii="Palatino Linotype" w:hAnsi="Palatino Linotype"/>
          <w:color w:val="000000"/>
        </w:rPr>
        <w:t>realizo</w:t>
      </w:r>
      <w:r w:rsidR="00121480" w:rsidRPr="001A1243">
        <w:rPr>
          <w:rFonts w:ascii="Palatino Linotype" w:hAnsi="Palatino Linotype"/>
          <w:color w:val="000000"/>
        </w:rPr>
        <w:t xml:space="preserve"> manifesta</w:t>
      </w:r>
      <w:r w:rsidR="00EB5D81" w:rsidRPr="001A1243">
        <w:rPr>
          <w:rFonts w:ascii="Palatino Linotype" w:hAnsi="Palatino Linotype"/>
          <w:color w:val="000000"/>
        </w:rPr>
        <w:t>ciones</w:t>
      </w:r>
      <w:r w:rsidR="00121480" w:rsidRPr="001A1243">
        <w:rPr>
          <w:rFonts w:ascii="Palatino Linotype" w:hAnsi="Palatino Linotype"/>
          <w:color w:val="000000"/>
        </w:rPr>
        <w:t xml:space="preserve"> </w:t>
      </w:r>
      <w:r w:rsidR="00EB5D81" w:rsidRPr="001A1243">
        <w:rPr>
          <w:rFonts w:ascii="Palatino Linotype" w:hAnsi="Palatino Linotype"/>
          <w:color w:val="000000"/>
        </w:rPr>
        <w:t>que a su derecho convinieron</w:t>
      </w:r>
      <w:r w:rsidR="00FA448D" w:rsidRPr="001A1243">
        <w:rPr>
          <w:rFonts w:ascii="Palatino Linotype" w:hAnsi="Palatino Linotype"/>
          <w:color w:val="000000"/>
        </w:rPr>
        <w:t xml:space="preserve"> y asistier</w:t>
      </w:r>
      <w:r w:rsidR="00EB5D81" w:rsidRPr="001A1243">
        <w:rPr>
          <w:rFonts w:ascii="Palatino Linotype" w:hAnsi="Palatino Linotype"/>
          <w:color w:val="000000"/>
        </w:rPr>
        <w:t xml:space="preserve">on en fechas catorce (14) de septiembre y diecinueve (19) de octubre del año en curso, </w:t>
      </w:r>
      <w:r w:rsidR="00121480" w:rsidRPr="001A1243">
        <w:rPr>
          <w:rFonts w:ascii="Palatino Linotype" w:hAnsi="Palatino Linotype"/>
          <w:color w:val="000000"/>
        </w:rPr>
        <w:t xml:space="preserve"> </w:t>
      </w:r>
      <w:r w:rsidR="009B7C93" w:rsidRPr="001A1243">
        <w:rPr>
          <w:rFonts w:ascii="Palatino Linotype" w:hAnsi="Palatino Linotype"/>
          <w:color w:val="000000"/>
        </w:rPr>
        <w:t>mismas que serán analizadas para la resolución del asunto de mérito.</w:t>
      </w:r>
    </w:p>
    <w:p w14:paraId="31135FE3" w14:textId="77777777" w:rsidR="003D6B4D" w:rsidRPr="001A1243" w:rsidRDefault="003D6B4D" w:rsidP="003D6B4D">
      <w:pPr>
        <w:pStyle w:val="Prrafodelista"/>
        <w:rPr>
          <w:rFonts w:ascii="Palatino Linotype" w:hAnsi="Palatino Linotype"/>
        </w:rPr>
      </w:pPr>
    </w:p>
    <w:p w14:paraId="33E9F2C6" w14:textId="53E7A65A" w:rsidR="003D6B4D" w:rsidRPr="001A1243" w:rsidRDefault="003D6B4D" w:rsidP="009B4D4E">
      <w:pPr>
        <w:pStyle w:val="Prrafodelista"/>
        <w:numPr>
          <w:ilvl w:val="0"/>
          <w:numId w:val="2"/>
        </w:numPr>
        <w:spacing w:before="240" w:after="240" w:line="360" w:lineRule="auto"/>
        <w:ind w:left="0" w:firstLine="0"/>
        <w:jc w:val="both"/>
        <w:rPr>
          <w:rFonts w:ascii="Palatino Linotype" w:hAnsi="Palatino Linotype"/>
        </w:rPr>
      </w:pPr>
      <w:r w:rsidRPr="001A1243">
        <w:rPr>
          <w:rFonts w:ascii="Palatino Linotype" w:hAnsi="Palatino Linotype"/>
        </w:rPr>
        <w:t xml:space="preserve">Posterior a que fue puesto a la vista del particular el informe de referencia, el </w:t>
      </w:r>
      <w:r w:rsidRPr="001A1243">
        <w:rPr>
          <w:rFonts w:ascii="Palatino Linotype" w:hAnsi="Palatino Linotype"/>
          <w:b/>
        </w:rPr>
        <w:t>SUJETO OBLIGADO</w:t>
      </w:r>
      <w:r w:rsidRPr="001A1243">
        <w:rPr>
          <w:rFonts w:ascii="Palatino Linotype" w:hAnsi="Palatino Linotype"/>
        </w:rPr>
        <w:t xml:space="preserve"> adjunto un nuevo documento que no fue puesto a disposición del particular por no abonar a la respuesta emitida; sin embargo a efecto que no exista opacidad en las actuaciones del expediente en que se actúa, se transcribe en este apartado:</w:t>
      </w:r>
    </w:p>
    <w:p w14:paraId="53FD8506" w14:textId="60203F87" w:rsidR="00121480" w:rsidRPr="001A1243" w:rsidRDefault="003D6B4D" w:rsidP="003D6B4D">
      <w:pPr>
        <w:pStyle w:val="Prrafodelista"/>
        <w:spacing w:before="240" w:after="240" w:line="360" w:lineRule="auto"/>
        <w:ind w:left="0"/>
        <w:jc w:val="center"/>
        <w:rPr>
          <w:rFonts w:ascii="Palatino Linotype" w:hAnsi="Palatino Linotype"/>
          <w:b/>
        </w:rPr>
      </w:pPr>
      <w:r w:rsidRPr="001A1243">
        <w:rPr>
          <w:rFonts w:ascii="Palatino Linotype" w:hAnsi="Palatino Linotype"/>
          <w:b/>
          <w:noProof/>
          <w:lang w:val="es-MX" w:eastAsia="es-MX"/>
        </w:rPr>
        <w:lastRenderedPageBreak/>
        <w:drawing>
          <wp:inline distT="0" distB="0" distL="0" distR="0" wp14:anchorId="471FB80D" wp14:editId="66E3C47B">
            <wp:extent cx="5511800" cy="4801002"/>
            <wp:effectExtent l="19050" t="19050" r="1270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1800" cy="4801002"/>
                    </a:xfrm>
                    <a:prstGeom prst="rect">
                      <a:avLst/>
                    </a:prstGeom>
                    <a:noFill/>
                    <a:ln>
                      <a:solidFill>
                        <a:schemeClr val="tx1"/>
                      </a:solidFill>
                    </a:ln>
                  </pic:spPr>
                </pic:pic>
              </a:graphicData>
            </a:graphic>
          </wp:inline>
        </w:drawing>
      </w:r>
    </w:p>
    <w:p w14:paraId="4AF582AB" w14:textId="77777777" w:rsidR="003D6B4D" w:rsidRPr="001A1243" w:rsidRDefault="003D6B4D" w:rsidP="003D6B4D">
      <w:pPr>
        <w:pStyle w:val="Prrafodelista"/>
        <w:spacing w:before="240" w:after="240" w:line="360" w:lineRule="auto"/>
        <w:ind w:left="0"/>
        <w:jc w:val="center"/>
        <w:rPr>
          <w:rFonts w:ascii="Palatino Linotype" w:hAnsi="Palatino Linotype"/>
          <w:b/>
        </w:rPr>
      </w:pPr>
    </w:p>
    <w:p w14:paraId="66F0290E" w14:textId="64711467" w:rsidR="00643903" w:rsidRPr="001A1243"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1A1243">
        <w:rPr>
          <w:rFonts w:ascii="Palatino Linotype" w:hAnsi="Palatino Linotype"/>
        </w:rPr>
        <w:t xml:space="preserve">El Comisionado Ponente </w:t>
      </w:r>
      <w:r w:rsidR="00CE2991" w:rsidRPr="001A1243">
        <w:rPr>
          <w:rFonts w:ascii="Palatino Linotype" w:hAnsi="Palatino Linotype"/>
        </w:rPr>
        <w:t xml:space="preserve">decreto el cierre de instrucción mediante acuerdo de fecha </w:t>
      </w:r>
      <w:r w:rsidR="009B7C93" w:rsidRPr="001A1243">
        <w:rPr>
          <w:rFonts w:ascii="Palatino Linotype" w:hAnsi="Palatino Linotype"/>
        </w:rPr>
        <w:t>diecinueve</w:t>
      </w:r>
      <w:r w:rsidR="003A0AA2" w:rsidRPr="001A1243">
        <w:rPr>
          <w:rFonts w:ascii="Palatino Linotype" w:hAnsi="Palatino Linotype"/>
        </w:rPr>
        <w:t xml:space="preserve"> </w:t>
      </w:r>
      <w:r w:rsidR="00CE2991" w:rsidRPr="001A1243">
        <w:rPr>
          <w:rFonts w:ascii="Palatino Linotype" w:hAnsi="Palatino Linotype"/>
        </w:rPr>
        <w:t>(</w:t>
      </w:r>
      <w:r w:rsidR="009B7C93" w:rsidRPr="001A1243">
        <w:rPr>
          <w:rFonts w:ascii="Palatino Linotype" w:hAnsi="Palatino Linotype"/>
        </w:rPr>
        <w:t>19</w:t>
      </w:r>
      <w:r w:rsidR="00CE2991" w:rsidRPr="001A1243">
        <w:rPr>
          <w:rFonts w:ascii="Palatino Linotype" w:hAnsi="Palatino Linotype"/>
        </w:rPr>
        <w:t xml:space="preserve">) de </w:t>
      </w:r>
      <w:r w:rsidR="009B7C93" w:rsidRPr="001A1243">
        <w:rPr>
          <w:rFonts w:ascii="Palatino Linotype" w:hAnsi="Palatino Linotype"/>
        </w:rPr>
        <w:t>octu</w:t>
      </w:r>
      <w:r w:rsidR="00B94A1A" w:rsidRPr="001A1243">
        <w:rPr>
          <w:rFonts w:ascii="Palatino Linotype" w:hAnsi="Palatino Linotype"/>
        </w:rPr>
        <w:t>bre</w:t>
      </w:r>
      <w:r w:rsidR="00CE2991" w:rsidRPr="001A1243">
        <w:rPr>
          <w:rFonts w:ascii="Palatino Linotype" w:hAnsi="Palatino Linotype"/>
        </w:rPr>
        <w:t xml:space="preserve"> de dos mil </w:t>
      </w:r>
      <w:r w:rsidR="00772B6F" w:rsidRPr="001A1243">
        <w:rPr>
          <w:rFonts w:ascii="Palatino Linotype" w:hAnsi="Palatino Linotype"/>
        </w:rPr>
        <w:t>veinte</w:t>
      </w:r>
      <w:r w:rsidR="00CE2991" w:rsidRPr="001A1243">
        <w:rPr>
          <w:rFonts w:ascii="Palatino Linotype" w:hAnsi="Palatino Linotype"/>
        </w:rPr>
        <w:t xml:space="preserve">; </w:t>
      </w:r>
      <w:r w:rsidR="006A3E8C" w:rsidRPr="001A1243">
        <w:rPr>
          <w:rFonts w:ascii="Palatino Linotype" w:hAnsi="Palatino Linotype"/>
        </w:rPr>
        <w:t>por lo que</w:t>
      </w:r>
      <w:r w:rsidR="00CF3F0A" w:rsidRPr="001A1243">
        <w:rPr>
          <w:rFonts w:ascii="Palatino Linotype" w:hAnsi="Palatino Linotype"/>
        </w:rPr>
        <w:t xml:space="preserve"> </w:t>
      </w:r>
      <w:r w:rsidRPr="001A1243">
        <w:rPr>
          <w:rFonts w:ascii="Palatino Linotype" w:hAnsi="Palatino Linotype"/>
        </w:rPr>
        <w:t>se</w:t>
      </w:r>
      <w:r w:rsidR="00585F00" w:rsidRPr="001A1243">
        <w:rPr>
          <w:rFonts w:ascii="Palatino Linotype" w:hAnsi="Palatino Linotype" w:cs="Arial"/>
        </w:rPr>
        <w:t xml:space="preserve"> ordenó tur</w:t>
      </w:r>
      <w:r w:rsidR="00434B23" w:rsidRPr="001A1243">
        <w:rPr>
          <w:rFonts w:ascii="Palatino Linotype" w:hAnsi="Palatino Linotype" w:cs="Arial"/>
        </w:rPr>
        <w:t xml:space="preserve">nar el expediente a resolución, </w:t>
      </w:r>
      <w:r w:rsidR="00274F7F" w:rsidRPr="001A1243">
        <w:rPr>
          <w:rFonts w:ascii="Palatino Linotype" w:hAnsi="Palatino Linotype" w:cs="Arial"/>
        </w:rPr>
        <w:t xml:space="preserve">por lo que no habiendo más que hacer constar, </w:t>
      </w:r>
      <w:r w:rsidR="00B94A1A" w:rsidRPr="001A1243">
        <w:rPr>
          <w:rFonts w:ascii="Palatino Linotype" w:hAnsi="Palatino Linotype" w:cs="Arial"/>
        </w:rPr>
        <w:t xml:space="preserve">y </w:t>
      </w:r>
    </w:p>
    <w:p w14:paraId="51E91971" w14:textId="4A8939B2" w:rsidR="00585F00" w:rsidRPr="001A1243" w:rsidRDefault="00585F00" w:rsidP="00585F00">
      <w:pPr>
        <w:pStyle w:val="Ttulo1"/>
        <w:jc w:val="center"/>
        <w:rPr>
          <w:b/>
          <w:szCs w:val="24"/>
        </w:rPr>
      </w:pPr>
      <w:bookmarkStart w:id="123" w:name="_Toc491791302"/>
      <w:bookmarkStart w:id="124" w:name="_Toc54138948"/>
      <w:r w:rsidRPr="001A1243">
        <w:rPr>
          <w:b/>
          <w:szCs w:val="24"/>
        </w:rPr>
        <w:t>CONSIDERANDO</w:t>
      </w:r>
      <w:bookmarkEnd w:id="123"/>
      <w:bookmarkEnd w:id="124"/>
    </w:p>
    <w:p w14:paraId="7681ED66" w14:textId="77777777" w:rsidR="00585F00" w:rsidRPr="001A1243" w:rsidRDefault="00585F00" w:rsidP="00585F00">
      <w:pPr>
        <w:rPr>
          <w:rFonts w:ascii="Palatino Linotype" w:hAnsi="Palatino Linotype"/>
          <w:lang w:val="es-MX" w:eastAsia="en-US"/>
        </w:rPr>
      </w:pPr>
    </w:p>
    <w:p w14:paraId="717D4ABA" w14:textId="77777777" w:rsidR="00585F00" w:rsidRPr="001A1243" w:rsidRDefault="00585F00" w:rsidP="00585F00">
      <w:pPr>
        <w:pStyle w:val="Ttulo2"/>
        <w:rPr>
          <w:rFonts w:ascii="Palatino Linotype" w:hAnsi="Palatino Linotype"/>
          <w:b/>
          <w:color w:val="auto"/>
          <w:sz w:val="24"/>
          <w:szCs w:val="24"/>
        </w:rPr>
      </w:pPr>
      <w:bookmarkStart w:id="125" w:name="_Toc491791303"/>
      <w:bookmarkStart w:id="126" w:name="_Toc54138949"/>
      <w:r w:rsidRPr="001A1243">
        <w:rPr>
          <w:rFonts w:ascii="Palatino Linotype" w:hAnsi="Palatino Linotype"/>
          <w:b/>
          <w:color w:val="auto"/>
          <w:sz w:val="24"/>
          <w:szCs w:val="24"/>
        </w:rPr>
        <w:lastRenderedPageBreak/>
        <w:t>PRIMERO. De la competencia</w:t>
      </w:r>
      <w:bookmarkEnd w:id="125"/>
      <w:bookmarkEnd w:id="126"/>
    </w:p>
    <w:p w14:paraId="6EA8B854" w14:textId="77777777" w:rsidR="00585F00" w:rsidRPr="001A1243" w:rsidRDefault="00585F00" w:rsidP="00585F00">
      <w:pPr>
        <w:rPr>
          <w:rFonts w:ascii="Palatino Linotype" w:hAnsi="Palatino Linotype"/>
          <w:lang w:val="es-MX" w:eastAsia="en-US"/>
        </w:rPr>
      </w:pPr>
    </w:p>
    <w:p w14:paraId="59B46AF8" w14:textId="77777777" w:rsidR="00585F00" w:rsidRPr="001A1243"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1A124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1243">
        <w:rPr>
          <w:rFonts w:ascii="Palatino Linotype" w:eastAsia="Calibri" w:hAnsi="Palatino Linotype" w:cs="Times New Roman"/>
          <w:b/>
          <w:lang w:val="es-ES"/>
        </w:rPr>
        <w:t>Constitución Política de los Estados Unidos Mexicanos</w:t>
      </w:r>
      <w:r w:rsidRPr="001A1243">
        <w:rPr>
          <w:rFonts w:ascii="Palatino Linotype" w:eastAsia="Calibri" w:hAnsi="Palatino Linotype" w:cs="Times New Roman"/>
          <w:lang w:val="es-ES"/>
        </w:rPr>
        <w:t xml:space="preserve">; 5, párrafos vigésimo, vigésimo primero y vigésimo segundo fracciones IV y V de la </w:t>
      </w:r>
      <w:r w:rsidRPr="001A1243">
        <w:rPr>
          <w:rFonts w:ascii="Palatino Linotype" w:eastAsia="Calibri" w:hAnsi="Palatino Linotype" w:cs="Times New Roman"/>
          <w:b/>
          <w:lang w:val="es-ES"/>
        </w:rPr>
        <w:t>Constitución Política del Estado Libre y Soberano de México</w:t>
      </w:r>
      <w:r w:rsidRPr="001A1243">
        <w:rPr>
          <w:rFonts w:ascii="Palatino Linotype" w:eastAsia="Calibri" w:hAnsi="Palatino Linotype" w:cs="Times New Roman"/>
          <w:lang w:val="es-ES"/>
        </w:rPr>
        <w:t xml:space="preserve">; artículos 1, 2 fracción II, 13, 29, 36 fracciones I y II, 176, 178, 179, 181 párrafo tercero y 185 </w:t>
      </w:r>
      <w:r w:rsidRPr="001A1243">
        <w:rPr>
          <w:rFonts w:ascii="Palatino Linotype" w:eastAsia="Calibri" w:hAnsi="Palatino Linotype" w:cs="Arial"/>
          <w:lang w:val="es-ES"/>
        </w:rPr>
        <w:t xml:space="preserve">de la </w:t>
      </w:r>
      <w:r w:rsidRPr="001A1243">
        <w:rPr>
          <w:rFonts w:ascii="Palatino Linotype" w:eastAsia="Calibri" w:hAnsi="Palatino Linotype" w:cs="Arial"/>
          <w:b/>
          <w:lang w:val="es-ES"/>
        </w:rPr>
        <w:t>Ley de Transparencia y Acceso a la Información Pública del Estado de México y Municipios</w:t>
      </w:r>
      <w:r w:rsidRPr="001A1243">
        <w:rPr>
          <w:rFonts w:ascii="Palatino Linotype" w:eastAsia="Calibri" w:hAnsi="Palatino Linotype" w:cs="Arial"/>
          <w:lang w:val="es-ES"/>
        </w:rPr>
        <w:t xml:space="preserve">; ; y 10, 7, 9 fracciones I y XXIV, y 11 del </w:t>
      </w:r>
      <w:r w:rsidRPr="001A124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0107916" w14:textId="77777777" w:rsidR="00B94A1A" w:rsidRPr="001A1243" w:rsidRDefault="00B94A1A" w:rsidP="00B94A1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1A1243" w:rsidRDefault="00585F00" w:rsidP="00585F00">
      <w:pPr>
        <w:pStyle w:val="Ttulo2"/>
        <w:rPr>
          <w:rFonts w:ascii="Palatino Linotype" w:hAnsi="Palatino Linotype"/>
          <w:b/>
          <w:color w:val="auto"/>
          <w:sz w:val="24"/>
          <w:szCs w:val="24"/>
        </w:rPr>
      </w:pPr>
      <w:bookmarkStart w:id="127" w:name="_Toc491791304"/>
      <w:bookmarkStart w:id="128" w:name="_Toc54138950"/>
      <w:r w:rsidRPr="001A1243">
        <w:rPr>
          <w:rFonts w:ascii="Palatino Linotype" w:hAnsi="Palatino Linotype"/>
          <w:b/>
          <w:color w:val="auto"/>
          <w:sz w:val="24"/>
          <w:szCs w:val="24"/>
        </w:rPr>
        <w:t>SEGUNDO. De la oportunidad y procedencia.</w:t>
      </w:r>
      <w:bookmarkEnd w:id="127"/>
      <w:bookmarkEnd w:id="128"/>
    </w:p>
    <w:p w14:paraId="7CBA5E3B" w14:textId="77777777" w:rsidR="00CE2991" w:rsidRPr="001A1243" w:rsidRDefault="00CE2991" w:rsidP="00CE2991">
      <w:pPr>
        <w:rPr>
          <w:rFonts w:ascii="Palatino Linotype" w:hAnsi="Palatino Linotype"/>
          <w:lang w:val="es-MX" w:eastAsia="en-US"/>
        </w:rPr>
      </w:pPr>
    </w:p>
    <w:p w14:paraId="1285F5A3" w14:textId="460A2B1E" w:rsidR="00262E4F" w:rsidRPr="001A1243" w:rsidRDefault="00262E4F" w:rsidP="00262E4F">
      <w:pPr>
        <w:pStyle w:val="Prrafodelista"/>
        <w:numPr>
          <w:ilvl w:val="0"/>
          <w:numId w:val="2"/>
        </w:numPr>
        <w:spacing w:line="360" w:lineRule="auto"/>
        <w:ind w:left="0" w:firstLine="0"/>
        <w:jc w:val="both"/>
        <w:rPr>
          <w:rFonts w:ascii="Palatino Linotype" w:hAnsi="Palatino Linotype"/>
        </w:rPr>
      </w:pPr>
      <w:bookmarkStart w:id="129" w:name="_Toc521431830"/>
      <w:bookmarkStart w:id="130" w:name="_Toc27653760"/>
      <w:r w:rsidRPr="001A1243">
        <w:rPr>
          <w:rFonts w:ascii="Palatino Linotype" w:eastAsia="Calibri" w:hAnsi="Palatino Linotype" w:cs="Arial"/>
        </w:rPr>
        <w:t xml:space="preserve">El medio de impugnación fue presentado a través del </w:t>
      </w:r>
      <w:r w:rsidRPr="001A1243">
        <w:rPr>
          <w:rFonts w:ascii="Palatino Linotype" w:eastAsia="Calibri" w:hAnsi="Palatino Linotype" w:cs="Arial"/>
          <w:b/>
        </w:rPr>
        <w:t>SAIMEX,</w:t>
      </w:r>
      <w:r w:rsidRPr="001A124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A1243">
        <w:rPr>
          <w:rFonts w:ascii="Palatino Linotype" w:eastAsia="Calibri" w:hAnsi="Palatino Linotype" w:cs="Arial"/>
          <w:b/>
        </w:rPr>
        <w:t>SUJETO OBLIGADO</w:t>
      </w:r>
      <w:r w:rsidRPr="001A1243">
        <w:rPr>
          <w:rFonts w:ascii="Palatino Linotype" w:eastAsia="Calibri" w:hAnsi="Palatino Linotype" w:cs="Arial"/>
        </w:rPr>
        <w:t xml:space="preserve"> en</w:t>
      </w:r>
      <w:r w:rsidR="0002415E" w:rsidRPr="001A1243">
        <w:rPr>
          <w:rFonts w:ascii="Palatino Linotype" w:eastAsia="Calibri" w:hAnsi="Palatino Linotype" w:cs="Arial"/>
        </w:rPr>
        <w:t xml:space="preserve">trego su respuesta </w:t>
      </w:r>
      <w:r w:rsidR="00B51D0F" w:rsidRPr="001A1243">
        <w:rPr>
          <w:rFonts w:ascii="Palatino Linotype" w:eastAsia="Calibri" w:hAnsi="Palatino Linotype" w:cs="Arial"/>
        </w:rPr>
        <w:t>e</w:t>
      </w:r>
      <w:r w:rsidR="00FA448D" w:rsidRPr="001A1243">
        <w:rPr>
          <w:rFonts w:ascii="Palatino Linotype" w:eastAsia="Calibri" w:hAnsi="Palatino Linotype" w:cs="Arial"/>
        </w:rPr>
        <w:t xml:space="preserve">l día </w:t>
      </w:r>
      <w:r w:rsidR="006F2127" w:rsidRPr="001A1243">
        <w:rPr>
          <w:rFonts w:ascii="Palatino Linotype" w:eastAsia="Calibri" w:hAnsi="Palatino Linotype" w:cs="Arial"/>
        </w:rPr>
        <w:t>veinti</w:t>
      </w:r>
      <w:r w:rsidR="009B7C93" w:rsidRPr="001A1243">
        <w:rPr>
          <w:rFonts w:ascii="Palatino Linotype" w:eastAsia="Calibri" w:hAnsi="Palatino Linotype" w:cs="Arial"/>
        </w:rPr>
        <w:t>ocho</w:t>
      </w:r>
      <w:r w:rsidR="00B94A1A" w:rsidRPr="001A1243">
        <w:rPr>
          <w:rFonts w:ascii="Palatino Linotype" w:eastAsia="Calibri" w:hAnsi="Palatino Linotype" w:cs="Arial"/>
        </w:rPr>
        <w:t xml:space="preserve"> </w:t>
      </w:r>
      <w:r w:rsidR="0002415E" w:rsidRPr="001A1243">
        <w:rPr>
          <w:rFonts w:ascii="Palatino Linotype" w:eastAsia="Calibri" w:hAnsi="Palatino Linotype" w:cs="Arial"/>
        </w:rPr>
        <w:t>(</w:t>
      </w:r>
      <w:r w:rsidR="00E86BA5" w:rsidRPr="001A1243">
        <w:rPr>
          <w:rFonts w:ascii="Palatino Linotype" w:eastAsia="Calibri" w:hAnsi="Palatino Linotype" w:cs="Arial"/>
        </w:rPr>
        <w:t>2</w:t>
      </w:r>
      <w:r w:rsidR="009B7C93" w:rsidRPr="001A1243">
        <w:rPr>
          <w:rFonts w:ascii="Palatino Linotype" w:eastAsia="Calibri" w:hAnsi="Palatino Linotype" w:cs="Arial"/>
        </w:rPr>
        <w:t>8</w:t>
      </w:r>
      <w:r w:rsidR="0002415E" w:rsidRPr="001A1243">
        <w:rPr>
          <w:rFonts w:ascii="Palatino Linotype" w:eastAsia="Calibri" w:hAnsi="Palatino Linotype" w:cs="Arial"/>
        </w:rPr>
        <w:t>)</w:t>
      </w:r>
      <w:r w:rsidRPr="001A1243">
        <w:rPr>
          <w:rFonts w:ascii="Palatino Linotype" w:eastAsia="Calibri" w:hAnsi="Palatino Linotype" w:cs="Arial"/>
        </w:rPr>
        <w:t xml:space="preserve"> de </w:t>
      </w:r>
      <w:r w:rsidR="00B94A1A" w:rsidRPr="001A1243">
        <w:rPr>
          <w:rFonts w:ascii="Palatino Linotype" w:eastAsia="Calibri" w:hAnsi="Palatino Linotype" w:cs="Arial"/>
        </w:rPr>
        <w:t>agost</w:t>
      </w:r>
      <w:r w:rsidR="00292C6A" w:rsidRPr="001A1243">
        <w:rPr>
          <w:rFonts w:ascii="Palatino Linotype" w:eastAsia="Calibri" w:hAnsi="Palatino Linotype" w:cs="Arial"/>
        </w:rPr>
        <w:t>o</w:t>
      </w:r>
      <w:r w:rsidRPr="001A1243">
        <w:rPr>
          <w:rFonts w:ascii="Palatino Linotype" w:eastAsia="Calibri" w:hAnsi="Palatino Linotype" w:cs="Arial"/>
        </w:rPr>
        <w:t xml:space="preserve"> de dos mil </w:t>
      </w:r>
      <w:r w:rsidR="00B51D0F" w:rsidRPr="001A1243">
        <w:rPr>
          <w:rFonts w:ascii="Palatino Linotype" w:eastAsia="Calibri" w:hAnsi="Palatino Linotype" w:cs="Arial"/>
        </w:rPr>
        <w:t>veinte</w:t>
      </w:r>
      <w:r w:rsidRPr="001A1243">
        <w:rPr>
          <w:rFonts w:ascii="Palatino Linotype" w:eastAsia="Calibri" w:hAnsi="Palatino Linotype" w:cs="Arial"/>
        </w:rPr>
        <w:t xml:space="preserve">, </w:t>
      </w:r>
      <w:r w:rsidRPr="001A1243">
        <w:rPr>
          <w:rFonts w:ascii="Palatino Linotype" w:hAnsi="Palatino Linotype" w:cs="Arial"/>
        </w:rPr>
        <w:t xml:space="preserve">de tal forma que el plazo para interponer el </w:t>
      </w:r>
      <w:r w:rsidR="00292C6A" w:rsidRPr="001A1243">
        <w:rPr>
          <w:rFonts w:ascii="Palatino Linotype" w:hAnsi="Palatino Linotype" w:cs="Arial"/>
        </w:rPr>
        <w:t xml:space="preserve">recurso transcurrió del día </w:t>
      </w:r>
      <w:r w:rsidR="003D5B78" w:rsidRPr="001A1243">
        <w:rPr>
          <w:rFonts w:ascii="Palatino Linotype" w:hAnsi="Palatino Linotype" w:cs="Arial"/>
        </w:rPr>
        <w:t>treinta y uno</w:t>
      </w:r>
      <w:r w:rsidRPr="001A1243">
        <w:rPr>
          <w:rFonts w:ascii="Palatino Linotype" w:hAnsi="Palatino Linotype" w:cs="Arial"/>
        </w:rPr>
        <w:t xml:space="preserve"> (</w:t>
      </w:r>
      <w:r w:rsidR="003D5B78" w:rsidRPr="001A1243">
        <w:rPr>
          <w:rFonts w:ascii="Palatino Linotype" w:hAnsi="Palatino Linotype" w:cs="Arial"/>
        </w:rPr>
        <w:t>31</w:t>
      </w:r>
      <w:r w:rsidR="00292C6A" w:rsidRPr="001A1243">
        <w:rPr>
          <w:rFonts w:ascii="Palatino Linotype" w:hAnsi="Palatino Linotype" w:cs="Arial"/>
        </w:rPr>
        <w:t xml:space="preserve">) </w:t>
      </w:r>
      <w:r w:rsidR="00B94A1A" w:rsidRPr="001A1243">
        <w:rPr>
          <w:rFonts w:ascii="Palatino Linotype" w:hAnsi="Palatino Linotype" w:cs="Arial"/>
        </w:rPr>
        <w:t xml:space="preserve">de agosto </w:t>
      </w:r>
      <w:r w:rsidR="00595601" w:rsidRPr="001A1243">
        <w:rPr>
          <w:rFonts w:ascii="Palatino Linotype" w:hAnsi="Palatino Linotype" w:cs="Arial"/>
        </w:rPr>
        <w:t xml:space="preserve">al </w:t>
      </w:r>
      <w:r w:rsidR="003D5B78" w:rsidRPr="001A1243">
        <w:rPr>
          <w:rFonts w:ascii="Palatino Linotype" w:hAnsi="Palatino Linotype" w:cs="Arial"/>
        </w:rPr>
        <w:t>veintiuno</w:t>
      </w:r>
      <w:r w:rsidR="00E02679" w:rsidRPr="001A1243">
        <w:rPr>
          <w:rFonts w:ascii="Palatino Linotype" w:hAnsi="Palatino Linotype" w:cs="Arial"/>
        </w:rPr>
        <w:t xml:space="preserve"> (</w:t>
      </w:r>
      <w:r w:rsidR="003D5B78" w:rsidRPr="001A1243">
        <w:rPr>
          <w:rFonts w:ascii="Palatino Linotype" w:hAnsi="Palatino Linotype" w:cs="Arial"/>
        </w:rPr>
        <w:t>2</w:t>
      </w:r>
      <w:r w:rsidR="00B94A1A" w:rsidRPr="001A1243">
        <w:rPr>
          <w:rFonts w:ascii="Palatino Linotype" w:hAnsi="Palatino Linotype" w:cs="Arial"/>
        </w:rPr>
        <w:t>1</w:t>
      </w:r>
      <w:r w:rsidR="00E02679" w:rsidRPr="001A1243">
        <w:rPr>
          <w:rFonts w:ascii="Palatino Linotype" w:hAnsi="Palatino Linotype" w:cs="Arial"/>
        </w:rPr>
        <w:t xml:space="preserve">) </w:t>
      </w:r>
      <w:r w:rsidRPr="001A1243">
        <w:rPr>
          <w:rFonts w:ascii="Palatino Linotype" w:hAnsi="Palatino Linotype" w:cs="Arial"/>
        </w:rPr>
        <w:t xml:space="preserve">de </w:t>
      </w:r>
      <w:r w:rsidR="00B94A1A" w:rsidRPr="001A1243">
        <w:rPr>
          <w:rFonts w:ascii="Palatino Linotype" w:hAnsi="Palatino Linotype" w:cs="Arial"/>
        </w:rPr>
        <w:t>septiembre</w:t>
      </w:r>
      <w:r w:rsidRPr="001A1243">
        <w:rPr>
          <w:rFonts w:ascii="Palatino Linotype" w:hAnsi="Palatino Linotype" w:cs="Arial"/>
        </w:rPr>
        <w:t xml:space="preserve"> de dos mil veinte; en consecuencia, el ahora </w:t>
      </w:r>
      <w:r w:rsidRPr="001A1243">
        <w:rPr>
          <w:rFonts w:ascii="Palatino Linotype" w:hAnsi="Palatino Linotype" w:cs="Arial"/>
        </w:rPr>
        <w:lastRenderedPageBreak/>
        <w:t>recurrente pres</w:t>
      </w:r>
      <w:r w:rsidR="00292C6A" w:rsidRPr="001A1243">
        <w:rPr>
          <w:rFonts w:ascii="Palatino Linotype" w:hAnsi="Palatino Linotype" w:cs="Arial"/>
        </w:rPr>
        <w:t>entó su inconformidad</w:t>
      </w:r>
      <w:r w:rsidR="0002415E" w:rsidRPr="001A1243">
        <w:rPr>
          <w:rFonts w:ascii="Palatino Linotype" w:hAnsi="Palatino Linotype" w:cs="Arial"/>
        </w:rPr>
        <w:t xml:space="preserve"> </w:t>
      </w:r>
      <w:r w:rsidR="00B51D0F" w:rsidRPr="001A1243">
        <w:rPr>
          <w:rFonts w:ascii="Palatino Linotype" w:hAnsi="Palatino Linotype" w:cs="Arial"/>
        </w:rPr>
        <w:t>e</w:t>
      </w:r>
      <w:r w:rsidR="00292C6A" w:rsidRPr="001A1243">
        <w:rPr>
          <w:rFonts w:ascii="Palatino Linotype" w:hAnsi="Palatino Linotype" w:cs="Arial"/>
        </w:rPr>
        <w:t xml:space="preserve">l día </w:t>
      </w:r>
      <w:r w:rsidR="006F2127" w:rsidRPr="001A1243">
        <w:rPr>
          <w:rFonts w:ascii="Palatino Linotype" w:hAnsi="Palatino Linotype" w:cs="Arial"/>
        </w:rPr>
        <w:t>veinti</w:t>
      </w:r>
      <w:r w:rsidR="00B94A1A" w:rsidRPr="001A1243">
        <w:rPr>
          <w:rFonts w:ascii="Palatino Linotype" w:hAnsi="Palatino Linotype" w:cs="Arial"/>
        </w:rPr>
        <w:t>ocho</w:t>
      </w:r>
      <w:r w:rsidR="0002415E" w:rsidRPr="001A1243">
        <w:rPr>
          <w:rFonts w:ascii="Palatino Linotype" w:hAnsi="Palatino Linotype" w:cs="Arial"/>
        </w:rPr>
        <w:t xml:space="preserve"> (</w:t>
      </w:r>
      <w:r w:rsidR="006F2127" w:rsidRPr="001A1243">
        <w:rPr>
          <w:rFonts w:ascii="Palatino Linotype" w:hAnsi="Palatino Linotype" w:cs="Arial"/>
        </w:rPr>
        <w:t>2</w:t>
      </w:r>
      <w:r w:rsidR="00B94A1A" w:rsidRPr="001A1243">
        <w:rPr>
          <w:rFonts w:ascii="Palatino Linotype" w:hAnsi="Palatino Linotype" w:cs="Arial"/>
        </w:rPr>
        <w:t>8</w:t>
      </w:r>
      <w:r w:rsidR="0002415E" w:rsidRPr="001A1243">
        <w:rPr>
          <w:rFonts w:ascii="Palatino Linotype" w:hAnsi="Palatino Linotype" w:cs="Arial"/>
        </w:rPr>
        <w:t xml:space="preserve">) </w:t>
      </w:r>
      <w:r w:rsidRPr="001A1243">
        <w:rPr>
          <w:rFonts w:ascii="Palatino Linotype" w:hAnsi="Palatino Linotype" w:cs="Arial"/>
        </w:rPr>
        <w:t xml:space="preserve">de </w:t>
      </w:r>
      <w:r w:rsidR="00B94A1A" w:rsidRPr="001A1243">
        <w:rPr>
          <w:rFonts w:ascii="Palatino Linotype" w:hAnsi="Palatino Linotype" w:cs="Arial"/>
        </w:rPr>
        <w:t>agost</w:t>
      </w:r>
      <w:r w:rsidRPr="001A1243">
        <w:rPr>
          <w:rFonts w:ascii="Palatino Linotype" w:hAnsi="Palatino Linotype" w:cs="Arial"/>
        </w:rPr>
        <w:t xml:space="preserve">o </w:t>
      </w:r>
      <w:r w:rsidR="0002415E" w:rsidRPr="001A1243">
        <w:rPr>
          <w:rFonts w:ascii="Palatino Linotype" w:hAnsi="Palatino Linotype" w:cs="Arial"/>
        </w:rPr>
        <w:t xml:space="preserve">de dos mil veinte; </w:t>
      </w:r>
      <w:r w:rsidR="003D5B78" w:rsidRPr="001A1243">
        <w:rPr>
          <w:rFonts w:ascii="Palatino Linotype" w:hAnsi="Palatino Linotype" w:cs="Arial"/>
        </w:rPr>
        <w:t xml:space="preserve">es decir, antes de que iniciara el </w:t>
      </w:r>
      <w:r w:rsidRPr="001A1243">
        <w:rPr>
          <w:rFonts w:ascii="Palatino Linotype" w:hAnsi="Palatino Linotype" w:cs="Arial"/>
        </w:rPr>
        <w:t>lapso legalmen</w:t>
      </w:r>
      <w:r w:rsidR="003D6B4D" w:rsidRPr="001A1243">
        <w:rPr>
          <w:rFonts w:ascii="Palatino Linotype" w:hAnsi="Palatino Linotype" w:cs="Arial"/>
        </w:rPr>
        <w:t>te establecido para tal efecto.</w:t>
      </w:r>
    </w:p>
    <w:p w14:paraId="0F250AD9" w14:textId="77777777" w:rsidR="003D6B4D" w:rsidRPr="001A1243" w:rsidRDefault="003D6B4D" w:rsidP="003D6B4D">
      <w:pPr>
        <w:pStyle w:val="Prrafodelista"/>
        <w:spacing w:line="360" w:lineRule="auto"/>
        <w:ind w:left="0"/>
        <w:jc w:val="both"/>
        <w:rPr>
          <w:rFonts w:ascii="Palatino Linotype" w:hAnsi="Palatino Linotype"/>
        </w:rPr>
      </w:pPr>
    </w:p>
    <w:p w14:paraId="5F4C9388" w14:textId="77777777" w:rsidR="003D5B78" w:rsidRPr="001A1243" w:rsidRDefault="003D5B78" w:rsidP="003D5B78">
      <w:pPr>
        <w:pStyle w:val="Prrafodelista"/>
        <w:numPr>
          <w:ilvl w:val="0"/>
          <w:numId w:val="2"/>
        </w:numPr>
        <w:spacing w:line="360" w:lineRule="auto"/>
        <w:ind w:left="0" w:firstLine="0"/>
        <w:jc w:val="both"/>
        <w:rPr>
          <w:rFonts w:ascii="Palatino Linotype" w:eastAsia="Times New Roman" w:hAnsi="Palatino Linotype" w:cs="Arial"/>
          <w:bCs/>
          <w:color w:val="555555"/>
          <w:lang w:val="es-MX" w:eastAsia="es-MX"/>
        </w:rPr>
      </w:pPr>
      <w:r w:rsidRPr="001A1243">
        <w:rPr>
          <w:rFonts w:ascii="Palatino Linotype" w:eastAsia="Times New Roman" w:hAnsi="Palatino Linotype" w:cs="Arial"/>
          <w:bCs/>
          <w:color w:val="000000"/>
          <w:lang w:eastAsia="es-MX"/>
        </w:rPr>
        <w:t xml:space="preserve">Al respecto, es necesario precisar que cuando el medio de impugnación, se haya </w:t>
      </w:r>
      <w:r w:rsidRPr="001A1243">
        <w:rPr>
          <w:rFonts w:ascii="Palatino Linotype" w:hAnsi="Palatino Linotype" w:cs="Arial"/>
        </w:rPr>
        <w:t>interpuesto</w:t>
      </w:r>
      <w:r w:rsidRPr="001A1243">
        <w:rPr>
          <w:rFonts w:ascii="Palatino Linotype" w:eastAsia="Times New Roman" w:hAnsi="Palatino Linotype" w:cs="Arial"/>
          <w:bCs/>
          <w:color w:val="000000"/>
          <w:lang w:eastAsia="es-MX"/>
        </w:rPr>
        <w:t xml:space="preserve">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7C4B9ED" w14:textId="77777777" w:rsidR="003D5B78" w:rsidRPr="001A1243" w:rsidRDefault="003D5B78" w:rsidP="003D5B78">
      <w:pPr>
        <w:pStyle w:val="Prrafodelista"/>
        <w:rPr>
          <w:rFonts w:ascii="Palatino Linotype" w:eastAsia="Times New Roman" w:hAnsi="Palatino Linotype" w:cs="Arial"/>
          <w:bCs/>
          <w:color w:val="555555"/>
          <w:lang w:val="es-MX" w:eastAsia="es-MX"/>
        </w:rPr>
      </w:pPr>
    </w:p>
    <w:p w14:paraId="711D73B0" w14:textId="77777777" w:rsidR="003D5B78" w:rsidRPr="001A1243" w:rsidRDefault="003D5B78" w:rsidP="003D5B78">
      <w:pPr>
        <w:pStyle w:val="Prrafodelista"/>
        <w:numPr>
          <w:ilvl w:val="0"/>
          <w:numId w:val="2"/>
        </w:numPr>
        <w:spacing w:line="360" w:lineRule="auto"/>
        <w:ind w:left="0" w:firstLine="0"/>
        <w:jc w:val="both"/>
        <w:rPr>
          <w:rFonts w:ascii="Palatino Linotype" w:eastAsia="Times New Roman" w:hAnsi="Palatino Linotype" w:cs="Arial"/>
        </w:rPr>
      </w:pPr>
      <w:r w:rsidRPr="001A1243">
        <w:rPr>
          <w:rFonts w:ascii="Palatino Linotype" w:eastAsia="Times New Roman" w:hAnsi="Palatino Linotype" w:cs="Arial"/>
        </w:rPr>
        <w:t xml:space="preserve">Lo anterior se robustece con la jurisprudencia número 1a./J. 41/2015 (10a.), </w:t>
      </w:r>
      <w:r w:rsidRPr="001A1243">
        <w:rPr>
          <w:rFonts w:ascii="Palatino Linotype" w:eastAsia="Times New Roman" w:hAnsi="Palatino Linotype" w:cs="Arial"/>
          <w:bCs/>
          <w:color w:val="000000"/>
          <w:lang w:eastAsia="es-MX"/>
        </w:rPr>
        <w:t>Décima</w:t>
      </w:r>
      <w:r w:rsidRPr="001A1243">
        <w:rPr>
          <w:rFonts w:ascii="Palatino Linotype" w:eastAsia="Times New Roman" w:hAnsi="Palatino Linotype" w:cs="Arial"/>
        </w:rPr>
        <w:t xml:space="preserve"> época, sustentada por la Primera Sala de la Suprema Corte de Justicia de la Nación, visible en la página 569, libro 19, tomo I, de la Gaceta del Semanario Judicial de la Federación, del diecinueve de junio de 2015, cuyo rubro y texto disponen: </w:t>
      </w:r>
    </w:p>
    <w:p w14:paraId="11EC28CB"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r w:rsidRPr="001A1243">
        <w:rPr>
          <w:rFonts w:ascii="Palatino Linotype" w:eastAsia="Times New Roman" w:hAnsi="Palatino Linotype" w:cs="Arial"/>
          <w:i/>
          <w:sz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w:t>
      </w:r>
      <w:r w:rsidRPr="001A1243">
        <w:rPr>
          <w:rFonts w:ascii="Palatino Linotype" w:eastAsia="Times New Roman" w:hAnsi="Palatino Linotype" w:cs="Arial"/>
          <w:i/>
          <w:sz w:val="22"/>
        </w:rPr>
        <w:lastRenderedPageBreak/>
        <w:t>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BE59EFB"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r w:rsidRPr="001A1243">
        <w:rPr>
          <w:rFonts w:ascii="Palatino Linotype" w:eastAsia="Times New Roman" w:hAnsi="Palatino Linotype" w:cs="Arial"/>
          <w:i/>
          <w:sz w:val="22"/>
        </w:rPr>
        <w:t xml:space="preserve"> 1a</w:t>
      </w:r>
      <w:proofErr w:type="gramStart"/>
      <w:r w:rsidRPr="001A1243">
        <w:rPr>
          <w:rFonts w:ascii="Palatino Linotype" w:eastAsia="Times New Roman" w:hAnsi="Palatino Linotype" w:cs="Arial"/>
          <w:i/>
          <w:sz w:val="22"/>
        </w:rPr>
        <w:t>./</w:t>
      </w:r>
      <w:proofErr w:type="gramEnd"/>
      <w:r w:rsidRPr="001A1243">
        <w:rPr>
          <w:rFonts w:ascii="Palatino Linotype" w:eastAsia="Times New Roman" w:hAnsi="Palatino Linotype" w:cs="Arial"/>
          <w:i/>
          <w:sz w:val="22"/>
        </w:rPr>
        <w:t xml:space="preserve">J. 41/2015 (10a.) </w:t>
      </w:r>
    </w:p>
    <w:p w14:paraId="2310D59B"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r w:rsidRPr="001A1243">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57DF6DA7"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p>
    <w:p w14:paraId="317E9169"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r w:rsidRPr="001A1243">
        <w:rPr>
          <w:rFonts w:ascii="Palatino Linotype" w:eastAsia="Times New Roman"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F9D38A4"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p>
    <w:p w14:paraId="2D92E111"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r w:rsidRPr="001A1243">
        <w:rPr>
          <w:rFonts w:ascii="Palatino Linotype" w:eastAsia="Times New Roman"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1A1243">
        <w:rPr>
          <w:rFonts w:ascii="Palatino Linotype" w:eastAsia="Times New Roman" w:hAnsi="Palatino Linotype" w:cs="Arial"/>
          <w:i/>
          <w:sz w:val="22"/>
        </w:rPr>
        <w:t>Arboleya</w:t>
      </w:r>
      <w:proofErr w:type="spellEnd"/>
      <w:r w:rsidRPr="001A1243">
        <w:rPr>
          <w:rFonts w:ascii="Palatino Linotype" w:eastAsia="Times New Roman" w:hAnsi="Palatino Linotype" w:cs="Arial"/>
          <w:i/>
          <w:sz w:val="22"/>
        </w:rPr>
        <w:t xml:space="preserve">. </w:t>
      </w:r>
    </w:p>
    <w:p w14:paraId="4F252E8A"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r w:rsidRPr="001A1243">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w:t>
      </w:r>
      <w:r w:rsidRPr="001A1243">
        <w:rPr>
          <w:rFonts w:ascii="Palatino Linotype" w:eastAsia="Times New Roman" w:hAnsi="Palatino Linotype" w:cs="Arial"/>
          <w:i/>
          <w:sz w:val="22"/>
        </w:rPr>
        <w:lastRenderedPageBreak/>
        <w:t xml:space="preserve">Alfredo Gutiérrez Ortiz Mena. Ponente: José Ramón Cossío Díaz. Secretaria: Lorena </w:t>
      </w:r>
      <w:proofErr w:type="spellStart"/>
      <w:r w:rsidRPr="001A1243">
        <w:rPr>
          <w:rFonts w:ascii="Palatino Linotype" w:eastAsia="Times New Roman" w:hAnsi="Palatino Linotype" w:cs="Arial"/>
          <w:i/>
          <w:sz w:val="22"/>
        </w:rPr>
        <w:t>Goslinga</w:t>
      </w:r>
      <w:proofErr w:type="spellEnd"/>
      <w:r w:rsidRPr="001A1243">
        <w:rPr>
          <w:rFonts w:ascii="Palatino Linotype" w:eastAsia="Times New Roman" w:hAnsi="Palatino Linotype" w:cs="Arial"/>
          <w:i/>
          <w:sz w:val="22"/>
        </w:rPr>
        <w:t xml:space="preserve"> </w:t>
      </w:r>
      <w:proofErr w:type="spellStart"/>
      <w:r w:rsidRPr="001A1243">
        <w:rPr>
          <w:rFonts w:ascii="Palatino Linotype" w:eastAsia="Times New Roman" w:hAnsi="Palatino Linotype" w:cs="Arial"/>
          <w:i/>
          <w:sz w:val="22"/>
        </w:rPr>
        <w:t>Remírez</w:t>
      </w:r>
      <w:proofErr w:type="spellEnd"/>
      <w:r w:rsidRPr="001A1243">
        <w:rPr>
          <w:rFonts w:ascii="Palatino Linotype" w:eastAsia="Times New Roman" w:hAnsi="Palatino Linotype" w:cs="Arial"/>
          <w:i/>
          <w:sz w:val="22"/>
        </w:rPr>
        <w:t xml:space="preserve">. </w:t>
      </w:r>
    </w:p>
    <w:p w14:paraId="607749A9"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p>
    <w:p w14:paraId="5B51B6F4"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Arial"/>
          <w:i/>
          <w:sz w:val="22"/>
        </w:rPr>
      </w:pPr>
      <w:r w:rsidRPr="001A1243">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68E49152" w14:textId="77777777" w:rsidR="003D5B78" w:rsidRPr="001A1243" w:rsidRDefault="003D5B78" w:rsidP="003D5B78">
      <w:pPr>
        <w:spacing w:before="240" w:after="240" w:line="360" w:lineRule="auto"/>
        <w:ind w:left="851" w:right="616"/>
        <w:contextualSpacing/>
        <w:jc w:val="both"/>
        <w:rPr>
          <w:rFonts w:ascii="Palatino Linotype" w:eastAsia="Times New Roman" w:hAnsi="Palatino Linotype" w:cs="Times New Roman"/>
          <w:i/>
          <w:sz w:val="22"/>
        </w:rPr>
      </w:pPr>
      <w:r w:rsidRPr="001A1243">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23A7D919" w14:textId="77777777" w:rsidR="003D5B78" w:rsidRPr="001A1243" w:rsidRDefault="003D5B78" w:rsidP="003D5B78">
      <w:pPr>
        <w:pStyle w:val="Prrafodelista"/>
        <w:numPr>
          <w:ilvl w:val="0"/>
          <w:numId w:val="2"/>
        </w:numPr>
        <w:spacing w:line="360" w:lineRule="auto"/>
        <w:ind w:left="0" w:firstLine="0"/>
        <w:jc w:val="both"/>
        <w:rPr>
          <w:rFonts w:ascii="Palatino Linotype" w:hAnsi="Palatino Linotype" w:cs="Arial"/>
          <w:i/>
          <w:sz w:val="22"/>
          <w:szCs w:val="20"/>
        </w:rPr>
      </w:pPr>
      <w:r w:rsidRPr="001A1243">
        <w:rPr>
          <w:rFonts w:ascii="Palatino Linotype" w:hAnsi="Palatino Linotype"/>
          <w:lang w:val="es-MX"/>
        </w:rPr>
        <w:t xml:space="preserve">Esto es así porque en primer lugar es necesario que el recurrente conozca el acto </w:t>
      </w:r>
      <w:r w:rsidRPr="001A1243">
        <w:rPr>
          <w:rFonts w:ascii="Palatino Linotype" w:eastAsia="Times New Roman" w:hAnsi="Palatino Linotype" w:cs="Arial"/>
        </w:rPr>
        <w:t>que</w:t>
      </w:r>
      <w:r w:rsidRPr="001A1243">
        <w:rPr>
          <w:rFonts w:ascii="Palatino Linotype" w:hAnsi="Palatino Linotype"/>
          <w:lang w:val="es-MX"/>
        </w:rPr>
        <w:t xml:space="preserv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940538B" w14:textId="77777777" w:rsidR="003D5B78" w:rsidRPr="001A1243" w:rsidRDefault="003D5B78" w:rsidP="003D5B78">
      <w:pPr>
        <w:pStyle w:val="Prrafodelista"/>
        <w:spacing w:before="240" w:after="240" w:line="360" w:lineRule="auto"/>
        <w:ind w:left="0" w:right="49"/>
        <w:jc w:val="both"/>
        <w:rPr>
          <w:rFonts w:ascii="Palatino Linotype" w:hAnsi="Palatino Linotype" w:cs="Arial"/>
          <w:i/>
          <w:sz w:val="22"/>
          <w:szCs w:val="20"/>
        </w:rPr>
      </w:pPr>
    </w:p>
    <w:p w14:paraId="33D1F5EE" w14:textId="77777777" w:rsidR="003D5B78" w:rsidRPr="001A1243" w:rsidRDefault="003D5B78" w:rsidP="003D5B78">
      <w:pPr>
        <w:pStyle w:val="Prrafodelista"/>
        <w:numPr>
          <w:ilvl w:val="0"/>
          <w:numId w:val="2"/>
        </w:numPr>
        <w:spacing w:line="360" w:lineRule="auto"/>
        <w:ind w:left="0" w:firstLine="0"/>
        <w:jc w:val="both"/>
        <w:rPr>
          <w:rFonts w:ascii="Palatino Linotype" w:hAnsi="Palatino Linotype" w:cs="Arial"/>
          <w:i/>
          <w:sz w:val="22"/>
          <w:szCs w:val="20"/>
        </w:rPr>
      </w:pPr>
      <w:r w:rsidRPr="001A1243">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3E81363" w14:textId="77777777" w:rsidR="003D6B4D" w:rsidRPr="001A1243" w:rsidRDefault="003D6B4D" w:rsidP="003D6B4D">
      <w:pPr>
        <w:rPr>
          <w:rFonts w:ascii="Palatino Linotype" w:hAnsi="Palatino Linotype" w:cs="Arial"/>
          <w:sz w:val="22"/>
          <w:szCs w:val="20"/>
        </w:rPr>
      </w:pPr>
    </w:p>
    <w:p w14:paraId="2AEB3994" w14:textId="77777777" w:rsidR="003D5B78" w:rsidRPr="001A1243" w:rsidRDefault="003D5B78" w:rsidP="003D5B78">
      <w:pPr>
        <w:pStyle w:val="Prrafodelista"/>
        <w:numPr>
          <w:ilvl w:val="0"/>
          <w:numId w:val="2"/>
        </w:numPr>
        <w:spacing w:line="360" w:lineRule="auto"/>
        <w:ind w:left="0" w:firstLine="0"/>
        <w:jc w:val="both"/>
        <w:rPr>
          <w:rFonts w:ascii="Palatino Linotype" w:hAnsi="Palatino Linotype" w:cs="Arial"/>
          <w:i/>
          <w:sz w:val="22"/>
          <w:szCs w:val="20"/>
        </w:rPr>
      </w:pPr>
      <w:r w:rsidRPr="001A1243">
        <w:rPr>
          <w:rFonts w:ascii="Palatino Linotype" w:hAnsi="Palatino Linotype"/>
          <w:lang w:val="es-MX"/>
        </w:rPr>
        <w:lastRenderedPageBreak/>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1A1243">
        <w:rPr>
          <w:rFonts w:ascii="Palatino Linotype" w:hAnsi="Palatino Linotype"/>
          <w:b/>
          <w:lang w:val="es-MX"/>
        </w:rPr>
        <w:t>SUJETO OBLIGADO</w:t>
      </w:r>
      <w:r w:rsidRPr="001A1243">
        <w:rPr>
          <w:rFonts w:ascii="Palatino Linotype" w:hAnsi="Palatino Linotype"/>
          <w:lang w:val="es-MX"/>
        </w:rPr>
        <w:t>.</w:t>
      </w:r>
    </w:p>
    <w:p w14:paraId="1D0CB244" w14:textId="77777777" w:rsidR="003D5B78" w:rsidRPr="001A1243" w:rsidRDefault="003D5B78" w:rsidP="003D5B78">
      <w:pPr>
        <w:pStyle w:val="Prrafodelista"/>
        <w:spacing w:line="360" w:lineRule="auto"/>
        <w:ind w:left="0"/>
        <w:jc w:val="both"/>
        <w:rPr>
          <w:rFonts w:ascii="Palatino Linotype" w:hAnsi="Palatino Linotype"/>
        </w:rPr>
      </w:pPr>
    </w:p>
    <w:p w14:paraId="38975C46" w14:textId="05AD9B9B" w:rsidR="00262E4F" w:rsidRPr="001A1243" w:rsidRDefault="003D5B78" w:rsidP="00262E4F">
      <w:pPr>
        <w:pStyle w:val="Prrafodelista"/>
        <w:numPr>
          <w:ilvl w:val="0"/>
          <w:numId w:val="2"/>
        </w:numPr>
        <w:spacing w:line="360" w:lineRule="auto"/>
        <w:ind w:left="0" w:firstLine="0"/>
        <w:jc w:val="both"/>
        <w:rPr>
          <w:rFonts w:ascii="Palatino Linotype" w:hAnsi="Palatino Linotype"/>
        </w:rPr>
      </w:pPr>
      <w:r w:rsidRPr="001A1243">
        <w:rPr>
          <w:rFonts w:ascii="Palatino Linotype" w:eastAsia="Calibri" w:hAnsi="Palatino Linotype" w:cs="Arial"/>
        </w:rPr>
        <w:t>Por otro lado</w:t>
      </w:r>
      <w:r w:rsidR="00262E4F" w:rsidRPr="001A1243">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1A1243" w:rsidRDefault="00262E4F" w:rsidP="00262E4F">
      <w:pPr>
        <w:pStyle w:val="Prrafodelista"/>
        <w:rPr>
          <w:rFonts w:ascii="Palatino Linotype" w:hAnsi="Palatino Linotype" w:cs="Arial"/>
          <w:szCs w:val="23"/>
        </w:rPr>
      </w:pPr>
    </w:p>
    <w:p w14:paraId="383402C9" w14:textId="77777777" w:rsidR="00262E4F" w:rsidRPr="001A1243" w:rsidRDefault="00262E4F" w:rsidP="00262E4F">
      <w:pPr>
        <w:pStyle w:val="Ttulo1"/>
        <w:spacing w:line="360" w:lineRule="auto"/>
        <w:rPr>
          <w:b/>
          <w:color w:val="000000" w:themeColor="text1"/>
          <w:szCs w:val="24"/>
        </w:rPr>
      </w:pPr>
      <w:bookmarkStart w:id="131" w:name="_Toc34246179"/>
      <w:bookmarkStart w:id="132" w:name="_Toc54138951"/>
      <w:r w:rsidRPr="001A1243">
        <w:rPr>
          <w:b/>
          <w:color w:val="000000" w:themeColor="text1"/>
          <w:szCs w:val="24"/>
        </w:rPr>
        <w:t xml:space="preserve">TERCERO. </w:t>
      </w:r>
      <w:bookmarkStart w:id="133" w:name="_Toc501021589"/>
      <w:bookmarkEnd w:id="129"/>
      <w:r w:rsidRPr="001A1243">
        <w:rPr>
          <w:b/>
          <w:color w:val="000000" w:themeColor="text1"/>
          <w:szCs w:val="24"/>
        </w:rPr>
        <w:t xml:space="preserve">Del planteamiento de la </w:t>
      </w:r>
      <w:r w:rsidRPr="001A1243">
        <w:rPr>
          <w:b/>
          <w:i/>
          <w:color w:val="000000" w:themeColor="text1"/>
          <w:szCs w:val="24"/>
        </w:rPr>
        <w:t>Litis</w:t>
      </w:r>
      <w:r w:rsidRPr="001A1243">
        <w:rPr>
          <w:b/>
          <w:color w:val="000000" w:themeColor="text1"/>
          <w:szCs w:val="24"/>
        </w:rPr>
        <w:t>.</w:t>
      </w:r>
      <w:bookmarkEnd w:id="130"/>
      <w:bookmarkEnd w:id="131"/>
      <w:bookmarkEnd w:id="132"/>
      <w:bookmarkEnd w:id="133"/>
    </w:p>
    <w:p w14:paraId="3E5BB6AE" w14:textId="77777777" w:rsidR="00262E4F" w:rsidRPr="001A1243" w:rsidRDefault="00262E4F" w:rsidP="00262E4F">
      <w:pPr>
        <w:rPr>
          <w:lang w:val="es-MX" w:eastAsia="en-US"/>
        </w:rPr>
      </w:pPr>
    </w:p>
    <w:p w14:paraId="1F4310CE" w14:textId="39E667FC" w:rsidR="003D5B78" w:rsidRPr="001A1243" w:rsidRDefault="00E02679" w:rsidP="00E55F10">
      <w:pPr>
        <w:numPr>
          <w:ilvl w:val="0"/>
          <w:numId w:val="2"/>
        </w:numPr>
        <w:spacing w:line="360" w:lineRule="auto"/>
        <w:ind w:left="0" w:firstLine="0"/>
        <w:contextualSpacing/>
        <w:jc w:val="both"/>
        <w:rPr>
          <w:rFonts w:ascii="Palatino Linotype" w:hAnsi="Palatino Linotype" w:cs="Arial"/>
        </w:rPr>
      </w:pPr>
      <w:r w:rsidRPr="001A1243">
        <w:rPr>
          <w:rFonts w:ascii="Palatino Linotype" w:hAnsi="Palatino Linotype" w:cs="Arial"/>
        </w:rPr>
        <w:t xml:space="preserve">Se </w:t>
      </w:r>
      <w:r w:rsidR="006F2127" w:rsidRPr="001A1243">
        <w:rPr>
          <w:rFonts w:ascii="Palatino Linotype" w:hAnsi="Palatino Linotype" w:cs="Arial"/>
        </w:rPr>
        <w:t>solicitó</w:t>
      </w:r>
      <w:r w:rsidR="00AE32F9" w:rsidRPr="001A1243">
        <w:rPr>
          <w:rFonts w:ascii="Palatino Linotype" w:hAnsi="Palatino Linotype" w:cs="Arial"/>
        </w:rPr>
        <w:t xml:space="preserve"> </w:t>
      </w:r>
      <w:r w:rsidR="00B94A1A" w:rsidRPr="001A1243">
        <w:rPr>
          <w:rFonts w:ascii="Palatino Linotype" w:hAnsi="Palatino Linotype" w:cs="Arial"/>
        </w:rPr>
        <w:t>conocer</w:t>
      </w:r>
      <w:r w:rsidR="003D5B78" w:rsidRPr="001A1243">
        <w:rPr>
          <w:rFonts w:ascii="Palatino Linotype" w:hAnsi="Palatino Linotype" w:cs="Arial"/>
        </w:rPr>
        <w:t xml:space="preserve"> el cargo, funciones, estudios, duración </w:t>
      </w:r>
      <w:r w:rsidR="00E55F10" w:rsidRPr="001A1243">
        <w:rPr>
          <w:rFonts w:ascii="Palatino Linotype" w:hAnsi="Palatino Linotype" w:cs="Arial"/>
        </w:rPr>
        <w:t>del cargo, y sanciones, del año 2016 a</w:t>
      </w:r>
      <w:r w:rsidR="003D5B78" w:rsidRPr="001A1243">
        <w:rPr>
          <w:rFonts w:ascii="Palatino Linotype" w:hAnsi="Palatino Linotype" w:cs="Arial"/>
        </w:rPr>
        <w:t xml:space="preserve">l </w:t>
      </w:r>
      <w:r w:rsidR="00E55F10" w:rsidRPr="001A1243">
        <w:rPr>
          <w:rFonts w:ascii="Palatino Linotype" w:hAnsi="Palatino Linotype" w:cs="Arial"/>
        </w:rPr>
        <w:t>6 de agosto de 2020</w:t>
      </w:r>
      <w:r w:rsidR="003D5B78" w:rsidRPr="001A1243">
        <w:rPr>
          <w:rFonts w:ascii="Palatino Linotype" w:hAnsi="Palatino Linotype" w:cs="Arial"/>
        </w:rPr>
        <w:t xml:space="preserve"> </w:t>
      </w:r>
      <w:r w:rsidR="00E55F10" w:rsidRPr="001A1243">
        <w:rPr>
          <w:rFonts w:ascii="Palatino Linotype" w:hAnsi="Palatino Linotype" w:cs="Arial"/>
        </w:rPr>
        <w:t>de las siguientes personas:</w:t>
      </w:r>
    </w:p>
    <w:p w14:paraId="70C86074" w14:textId="763007B6" w:rsidR="003D5B78" w:rsidRPr="001A1243" w:rsidRDefault="002006A2" w:rsidP="00E55F10">
      <w:pPr>
        <w:pStyle w:val="Prrafodelista"/>
        <w:numPr>
          <w:ilvl w:val="0"/>
          <w:numId w:val="4"/>
        </w:numPr>
        <w:spacing w:line="360" w:lineRule="auto"/>
        <w:jc w:val="both"/>
        <w:rPr>
          <w:rFonts w:ascii="Palatino Linotype" w:hAnsi="Palatino Linotype" w:cs="Arial"/>
        </w:rPr>
      </w:pPr>
      <w:r w:rsidRPr="002006A2">
        <w:rPr>
          <w:rFonts w:ascii="Palatino Linotype" w:hAnsi="Palatino Linotype" w:cs="Arial"/>
          <w:highlight w:val="black"/>
        </w:rPr>
        <w:t>----------------------</w:t>
      </w:r>
      <w:r w:rsidR="00E55F10" w:rsidRPr="001A1243">
        <w:rPr>
          <w:rFonts w:ascii="Palatino Linotype" w:hAnsi="Palatino Linotype" w:cs="Arial"/>
        </w:rPr>
        <w:t>;</w:t>
      </w:r>
    </w:p>
    <w:p w14:paraId="522946D6" w14:textId="7934978B" w:rsidR="003D5B78" w:rsidRPr="001A1243" w:rsidRDefault="002006A2" w:rsidP="00E55F10">
      <w:pPr>
        <w:pStyle w:val="Prrafodelista"/>
        <w:numPr>
          <w:ilvl w:val="0"/>
          <w:numId w:val="4"/>
        </w:numPr>
        <w:spacing w:line="360" w:lineRule="auto"/>
        <w:jc w:val="both"/>
        <w:rPr>
          <w:rFonts w:ascii="Palatino Linotype" w:hAnsi="Palatino Linotype" w:cs="Arial"/>
        </w:rPr>
      </w:pPr>
      <w:r w:rsidRPr="002006A2">
        <w:rPr>
          <w:rFonts w:ascii="Palatino Linotype" w:hAnsi="Palatino Linotype" w:cs="Arial"/>
          <w:highlight w:val="black"/>
        </w:rPr>
        <w:t>------------------------</w:t>
      </w:r>
      <w:r w:rsidR="00E55F10" w:rsidRPr="001A1243">
        <w:rPr>
          <w:rFonts w:ascii="Palatino Linotype" w:hAnsi="Palatino Linotype" w:cs="Arial"/>
        </w:rPr>
        <w:t>; y</w:t>
      </w:r>
    </w:p>
    <w:p w14:paraId="5ECE3719" w14:textId="7FC8C3DC" w:rsidR="006F2127" w:rsidRPr="001A1243" w:rsidRDefault="002006A2" w:rsidP="00E55F10">
      <w:pPr>
        <w:pStyle w:val="Prrafodelista"/>
        <w:numPr>
          <w:ilvl w:val="0"/>
          <w:numId w:val="4"/>
        </w:numPr>
        <w:spacing w:line="360" w:lineRule="auto"/>
        <w:jc w:val="both"/>
        <w:rPr>
          <w:rFonts w:ascii="Palatino Linotype" w:hAnsi="Palatino Linotype" w:cs="Arial"/>
        </w:rPr>
      </w:pPr>
      <w:r w:rsidRPr="002006A2">
        <w:rPr>
          <w:rFonts w:ascii="Palatino Linotype" w:hAnsi="Palatino Linotype" w:cs="Arial"/>
          <w:highlight w:val="black"/>
        </w:rPr>
        <w:t>-----------------------------</w:t>
      </w:r>
      <w:r w:rsidR="00E55F10" w:rsidRPr="001A1243">
        <w:rPr>
          <w:rFonts w:ascii="Palatino Linotype" w:hAnsi="Palatino Linotype" w:cs="Arial"/>
        </w:rPr>
        <w:t>.</w:t>
      </w:r>
    </w:p>
    <w:p w14:paraId="7E6C17AE" w14:textId="77777777" w:rsidR="00F617D3" w:rsidRPr="001A1243" w:rsidRDefault="00F617D3" w:rsidP="00F617D3">
      <w:pPr>
        <w:pStyle w:val="Prrafodelista"/>
        <w:spacing w:line="360" w:lineRule="auto"/>
        <w:ind w:left="1004"/>
        <w:jc w:val="both"/>
        <w:rPr>
          <w:rFonts w:ascii="Palatino Linotype" w:hAnsi="Palatino Linotype" w:cs="Arial"/>
        </w:rPr>
      </w:pPr>
    </w:p>
    <w:p w14:paraId="646ABAD6" w14:textId="409ABAD6" w:rsidR="00F15D5F" w:rsidRPr="001A1243" w:rsidRDefault="00AB76E8" w:rsidP="00E55F10">
      <w:pPr>
        <w:numPr>
          <w:ilvl w:val="0"/>
          <w:numId w:val="2"/>
        </w:numPr>
        <w:spacing w:line="360" w:lineRule="auto"/>
        <w:ind w:left="0" w:firstLine="0"/>
        <w:contextualSpacing/>
        <w:jc w:val="both"/>
        <w:rPr>
          <w:rFonts w:ascii="Palatino Linotype" w:hAnsi="Palatino Linotype" w:cs="Arial"/>
        </w:rPr>
      </w:pPr>
      <w:r w:rsidRPr="001A1243">
        <w:rPr>
          <w:rFonts w:ascii="Palatino Linotype" w:hAnsi="Palatino Linotype" w:cs="Arial"/>
        </w:rPr>
        <w:t xml:space="preserve">En respuesta </w:t>
      </w:r>
      <w:r w:rsidR="00B94A1A" w:rsidRPr="001A1243">
        <w:rPr>
          <w:rFonts w:ascii="Palatino Linotype" w:hAnsi="Palatino Linotype" w:cs="Arial"/>
        </w:rPr>
        <w:t xml:space="preserve">el </w:t>
      </w:r>
      <w:r w:rsidR="00B94A1A" w:rsidRPr="001A1243">
        <w:rPr>
          <w:rFonts w:ascii="Palatino Linotype" w:hAnsi="Palatino Linotype" w:cs="Arial"/>
          <w:b/>
        </w:rPr>
        <w:t>SUJETO OBLIGADO,</w:t>
      </w:r>
      <w:r w:rsidRPr="001A1243">
        <w:rPr>
          <w:rFonts w:ascii="Palatino Linotype" w:hAnsi="Palatino Linotype" w:cs="Arial"/>
        </w:rPr>
        <w:t xml:space="preserve"> hizo entrega de un escrito</w:t>
      </w:r>
      <w:r w:rsidR="00E55F10" w:rsidRPr="001A1243">
        <w:rPr>
          <w:rFonts w:ascii="Palatino Linotype" w:hAnsi="Palatino Linotype" w:cs="Arial"/>
        </w:rPr>
        <w:t xml:space="preserve">, antes transcrito, en el que </w:t>
      </w:r>
      <w:r w:rsidR="00E55F10" w:rsidRPr="001A1243">
        <w:rPr>
          <w:rFonts w:ascii="Palatino Linotype" w:hAnsi="Palatino Linotype" w:cs="Arial"/>
          <w:i/>
        </w:rPr>
        <w:t>grosso modo</w:t>
      </w:r>
      <w:r w:rsidR="00E55F10" w:rsidRPr="001A1243">
        <w:rPr>
          <w:rFonts w:ascii="Palatino Linotype" w:hAnsi="Palatino Linotype" w:cs="Arial"/>
        </w:rPr>
        <w:t xml:space="preserve"> se expuso que no se encontraron los nombres mencionados en la solicitud de información 00010/PRD/IP/2020, de acuerdo a los </w:t>
      </w:r>
      <w:r w:rsidR="00E55F10" w:rsidRPr="001A1243">
        <w:rPr>
          <w:rFonts w:ascii="Palatino Linotype" w:hAnsi="Palatino Linotype" w:cs="Arial"/>
        </w:rPr>
        <w:lastRenderedPageBreak/>
        <w:t>listados del personal que colabora en el Partido de la Revolución Democrática, en el lapso temporal del mes de enero a agosto de 2020.</w:t>
      </w:r>
    </w:p>
    <w:p w14:paraId="5E495BD3" w14:textId="77777777" w:rsidR="00E55F10" w:rsidRPr="001A1243" w:rsidRDefault="00E55F10" w:rsidP="00E55F10">
      <w:pPr>
        <w:spacing w:line="360" w:lineRule="auto"/>
        <w:contextualSpacing/>
        <w:jc w:val="both"/>
        <w:rPr>
          <w:rFonts w:ascii="Palatino Linotype" w:hAnsi="Palatino Linotype" w:cs="Arial"/>
        </w:rPr>
      </w:pPr>
    </w:p>
    <w:p w14:paraId="50E21C39" w14:textId="21E5C3AB" w:rsidR="00AB76E8" w:rsidRPr="001A1243" w:rsidRDefault="00F15D5F" w:rsidP="00AB76E8">
      <w:pPr>
        <w:numPr>
          <w:ilvl w:val="0"/>
          <w:numId w:val="2"/>
        </w:numPr>
        <w:spacing w:line="360" w:lineRule="auto"/>
        <w:ind w:left="0" w:firstLine="0"/>
        <w:contextualSpacing/>
        <w:jc w:val="both"/>
        <w:rPr>
          <w:rFonts w:ascii="Palatino Linotype" w:hAnsi="Palatino Linotype" w:cs="Arial"/>
        </w:rPr>
      </w:pPr>
      <w:r w:rsidRPr="001A1243">
        <w:rPr>
          <w:rFonts w:ascii="Palatino Linotype" w:hAnsi="Palatino Linotype" w:cs="Arial"/>
        </w:rPr>
        <w:t xml:space="preserve">El </w:t>
      </w:r>
      <w:r w:rsidR="00AB76E8" w:rsidRPr="001A1243">
        <w:rPr>
          <w:rFonts w:ascii="Palatino Linotype" w:hAnsi="Palatino Linotype" w:cs="Arial"/>
        </w:rPr>
        <w:t>particular</w:t>
      </w:r>
      <w:r w:rsidRPr="001A1243">
        <w:rPr>
          <w:rFonts w:ascii="Palatino Linotype" w:hAnsi="Palatino Linotype" w:cs="Arial"/>
          <w:b/>
        </w:rPr>
        <w:t xml:space="preserve"> </w:t>
      </w:r>
      <w:r w:rsidRPr="001A1243">
        <w:rPr>
          <w:rFonts w:ascii="Palatino Linotype" w:hAnsi="Palatino Linotype" w:cs="Arial"/>
        </w:rPr>
        <w:t xml:space="preserve">inconforme con la respuesta, </w:t>
      </w:r>
      <w:r w:rsidR="00B13977" w:rsidRPr="001A1243">
        <w:rPr>
          <w:rFonts w:ascii="Palatino Linotype" w:hAnsi="Palatino Linotype" w:cs="Arial"/>
        </w:rPr>
        <w:t xml:space="preserve">expuso que </w:t>
      </w:r>
      <w:r w:rsidR="00B94A1A" w:rsidRPr="001A1243">
        <w:rPr>
          <w:rFonts w:ascii="Palatino Linotype" w:hAnsi="Palatino Linotype" w:cs="Arial"/>
        </w:rPr>
        <w:t xml:space="preserve">no se </w:t>
      </w:r>
      <w:r w:rsidR="00E55F10" w:rsidRPr="001A1243">
        <w:rPr>
          <w:rFonts w:ascii="Palatino Linotype" w:hAnsi="Palatino Linotype" w:cs="Arial"/>
        </w:rPr>
        <w:t>realizó una búsqueda exhaustiva de la información y que la respuesta es incompleta.</w:t>
      </w:r>
    </w:p>
    <w:p w14:paraId="6C6F553C" w14:textId="77777777" w:rsidR="00B94A1A" w:rsidRPr="001A1243" w:rsidRDefault="00B94A1A" w:rsidP="00B94A1A">
      <w:pPr>
        <w:pStyle w:val="Prrafodelista"/>
        <w:rPr>
          <w:rFonts w:ascii="Palatino Linotype" w:hAnsi="Palatino Linotype" w:cs="Arial"/>
        </w:rPr>
      </w:pPr>
    </w:p>
    <w:p w14:paraId="5F7C0CFF" w14:textId="57CD5BA1" w:rsidR="00262E4F" w:rsidRPr="001A1243" w:rsidRDefault="00F15D5F" w:rsidP="00AB76E8">
      <w:pPr>
        <w:numPr>
          <w:ilvl w:val="0"/>
          <w:numId w:val="2"/>
        </w:numPr>
        <w:spacing w:line="360" w:lineRule="auto"/>
        <w:ind w:left="0" w:firstLine="0"/>
        <w:contextualSpacing/>
        <w:jc w:val="both"/>
        <w:rPr>
          <w:rFonts w:ascii="Palatino Linotype" w:eastAsia="MS Mincho" w:hAnsi="Palatino Linotype" w:cs="Arial"/>
        </w:rPr>
      </w:pPr>
      <w:r w:rsidRPr="001A1243">
        <w:rPr>
          <w:rFonts w:ascii="Palatino Linotype" w:eastAsia="MS Mincho" w:hAnsi="Palatino Linotype" w:cs="Arial"/>
        </w:rPr>
        <w:t xml:space="preserve">En </w:t>
      </w:r>
      <w:r w:rsidRPr="001A1243">
        <w:rPr>
          <w:rFonts w:ascii="Palatino Linotype" w:hAnsi="Palatino Linotype" w:cs="Arial"/>
          <w:lang w:eastAsia="es-MX"/>
        </w:rPr>
        <w:t>dichas</w:t>
      </w:r>
      <w:r w:rsidRPr="001A1243">
        <w:rPr>
          <w:rFonts w:ascii="Palatino Linotype" w:eastAsia="Times New Roman" w:hAnsi="Palatino Linotype" w:cs="Arial"/>
        </w:rPr>
        <w:t xml:space="preserve"> condiciones, la </w:t>
      </w:r>
      <w:r w:rsidR="00BD39BA" w:rsidRPr="001A1243">
        <w:rPr>
          <w:rFonts w:ascii="Palatino Linotype" w:eastAsia="Times New Roman" w:hAnsi="Palatino Linotype" w:cs="Arial"/>
          <w:i/>
        </w:rPr>
        <w:t>Litis</w:t>
      </w:r>
      <w:r w:rsidRPr="001A1243">
        <w:rPr>
          <w:rFonts w:ascii="Palatino Linotype" w:eastAsia="Times New Roman" w:hAnsi="Palatino Linotype" w:cs="Arial"/>
        </w:rPr>
        <w:t xml:space="preserve"> a resolver en este recurso se circunscribe a determinar si </w:t>
      </w:r>
      <w:r w:rsidRPr="001A1243">
        <w:rPr>
          <w:rFonts w:ascii="Palatino Linotype" w:eastAsia="MS Mincho" w:hAnsi="Palatino Linotype" w:cs="Arial"/>
        </w:rPr>
        <w:t>se actualizan la causal de procedencia prevista en el artículo 179, fracción V</w:t>
      </w:r>
      <w:r w:rsidR="00BD39BA" w:rsidRPr="001A1243">
        <w:rPr>
          <w:rFonts w:ascii="Palatino Linotype" w:eastAsia="MS Mincho" w:hAnsi="Palatino Linotype" w:cs="Arial"/>
        </w:rPr>
        <w:t xml:space="preserve"> </w:t>
      </w:r>
      <w:r w:rsidRPr="001A1243">
        <w:rPr>
          <w:rFonts w:ascii="Palatino Linotype" w:eastAsia="MS Mincho" w:hAnsi="Palatino Linotype" w:cs="Arial"/>
        </w:rPr>
        <w:t xml:space="preserve">de la </w:t>
      </w:r>
      <w:r w:rsidRPr="001A1243">
        <w:rPr>
          <w:rFonts w:ascii="Palatino Linotype" w:eastAsia="MS Mincho" w:hAnsi="Palatino Linotype" w:cs="Arial"/>
          <w:b/>
        </w:rPr>
        <w:t>Ley de Transparencia y Acceso a la Información Pública del Estado de México y Municipios</w:t>
      </w:r>
      <w:r w:rsidRPr="001A1243">
        <w:rPr>
          <w:rFonts w:ascii="Palatino Linotype" w:eastAsia="MS Mincho" w:hAnsi="Palatino Linotype" w:cs="Arial"/>
        </w:rPr>
        <w:t xml:space="preserve">; </w:t>
      </w:r>
      <w:r w:rsidRPr="001A1243">
        <w:rPr>
          <w:rFonts w:ascii="Palatino Linotype" w:eastAsia="Times New Roman" w:hAnsi="Palatino Linotype" w:cs="Arial"/>
          <w:color w:val="000000" w:themeColor="text1"/>
          <w:lang w:val="es-ES" w:eastAsia="es-MX"/>
        </w:rPr>
        <w:t>fracción que determina</w:t>
      </w:r>
      <w:r w:rsidR="00B13977" w:rsidRPr="001A1243">
        <w:rPr>
          <w:rFonts w:ascii="Palatino Linotype" w:eastAsia="Times New Roman" w:hAnsi="Palatino Linotype" w:cs="Arial"/>
          <w:color w:val="000000" w:themeColor="text1"/>
          <w:lang w:val="es-ES" w:eastAsia="es-MX"/>
        </w:rPr>
        <w:t xml:space="preserve"> la hipótesis jurídica relativa</w:t>
      </w:r>
      <w:r w:rsidRPr="001A1243">
        <w:rPr>
          <w:rFonts w:ascii="Palatino Linotype" w:eastAsia="Times New Roman" w:hAnsi="Palatino Linotype" w:cs="Arial"/>
          <w:color w:val="000000" w:themeColor="text1"/>
          <w:lang w:val="es-ES" w:eastAsia="es-MX"/>
        </w:rPr>
        <w:t xml:space="preserve"> a la </w:t>
      </w:r>
      <w:r w:rsidR="00AB76E8" w:rsidRPr="001A1243">
        <w:rPr>
          <w:rFonts w:ascii="Palatino Linotype" w:eastAsia="Times New Roman" w:hAnsi="Palatino Linotype" w:cs="Arial"/>
          <w:color w:val="000000" w:themeColor="text1"/>
          <w:lang w:val="es-ES" w:eastAsia="es-MX"/>
        </w:rPr>
        <w:t xml:space="preserve">entrega de información </w:t>
      </w:r>
      <w:r w:rsidR="00B538F7" w:rsidRPr="001A1243">
        <w:rPr>
          <w:rFonts w:ascii="Palatino Linotype" w:eastAsia="Times New Roman" w:hAnsi="Palatino Linotype" w:cs="Arial"/>
          <w:color w:val="000000" w:themeColor="text1"/>
          <w:lang w:val="es-ES" w:eastAsia="es-MX"/>
        </w:rPr>
        <w:t>incompleta</w:t>
      </w:r>
      <w:r w:rsidRPr="001A1243">
        <w:rPr>
          <w:rFonts w:ascii="Palatino Linotype" w:eastAsia="Times New Roman" w:hAnsi="Palatino Linotype" w:cs="Arial"/>
          <w:color w:val="000000" w:themeColor="text1"/>
          <w:lang w:val="es-ES" w:eastAsia="es-MX"/>
        </w:rPr>
        <w:t xml:space="preserve">; </w:t>
      </w:r>
      <w:r w:rsidRPr="001A1243">
        <w:rPr>
          <w:rFonts w:ascii="Palatino Linotype" w:eastAsia="MS Mincho" w:hAnsi="Palatino Linotype" w:cs="Arial"/>
        </w:rPr>
        <w:t xml:space="preserve">contexto del cual se dolió el </w:t>
      </w:r>
      <w:r w:rsidRPr="001A1243">
        <w:rPr>
          <w:rFonts w:ascii="Palatino Linotype" w:eastAsia="MS Mincho" w:hAnsi="Palatino Linotype" w:cs="Arial"/>
          <w:b/>
        </w:rPr>
        <w:t>RECURRENTE</w:t>
      </w:r>
      <w:r w:rsidRPr="001A1243">
        <w:rPr>
          <w:rFonts w:ascii="Palatino Linotype" w:eastAsia="MS Mincho" w:hAnsi="Palatino Linotype" w:cs="Arial"/>
        </w:rPr>
        <w:t xml:space="preserve"> al momento de interponer los</w:t>
      </w:r>
      <w:r w:rsidR="00BD39BA" w:rsidRPr="001A1243">
        <w:rPr>
          <w:rFonts w:ascii="Palatino Linotype" w:eastAsia="MS Mincho" w:hAnsi="Palatino Linotype" w:cs="Arial"/>
        </w:rPr>
        <w:t xml:space="preserve"> recursos de revisión de mérito</w:t>
      </w:r>
      <w:r w:rsidR="00262E4F" w:rsidRPr="001A1243">
        <w:rPr>
          <w:rFonts w:ascii="Palatino Linotype" w:eastAsia="Times New Roman" w:hAnsi="Palatino Linotype" w:cs="Arial"/>
          <w:color w:val="000000" w:themeColor="text1"/>
          <w:lang w:val="es-ES" w:eastAsia="es-MX"/>
        </w:rPr>
        <w:t xml:space="preserve">, de modo tal </w:t>
      </w:r>
      <w:r w:rsidR="00262E4F" w:rsidRPr="001A1243">
        <w:rPr>
          <w:rFonts w:ascii="Palatino Linotype" w:hAnsi="Palatino Linotype" w:cs="Arial"/>
          <w:color w:val="000000" w:themeColor="text1"/>
          <w:szCs w:val="23"/>
        </w:rPr>
        <w:t xml:space="preserve">que el presente recurso de revisión se circunscribirá en determinar si el </w:t>
      </w:r>
      <w:r w:rsidR="00262E4F" w:rsidRPr="001A1243">
        <w:rPr>
          <w:rFonts w:ascii="Palatino Linotype" w:hAnsi="Palatino Linotype" w:cs="Arial"/>
          <w:b/>
          <w:color w:val="000000" w:themeColor="text1"/>
          <w:szCs w:val="23"/>
        </w:rPr>
        <w:t>SUJETO</w:t>
      </w:r>
      <w:r w:rsidR="00262E4F" w:rsidRPr="001A1243">
        <w:rPr>
          <w:rFonts w:ascii="Palatino Linotype" w:hAnsi="Palatino Linotype" w:cs="Arial"/>
          <w:color w:val="000000" w:themeColor="text1"/>
          <w:szCs w:val="23"/>
        </w:rPr>
        <w:t xml:space="preserve"> </w:t>
      </w:r>
      <w:r w:rsidR="00262E4F" w:rsidRPr="001A1243">
        <w:rPr>
          <w:rFonts w:ascii="Palatino Linotype" w:hAnsi="Palatino Linotype" w:cs="Arial"/>
          <w:b/>
          <w:color w:val="000000" w:themeColor="text1"/>
          <w:szCs w:val="23"/>
        </w:rPr>
        <w:t>OBLIGADO</w:t>
      </w:r>
      <w:r w:rsidR="00262E4F" w:rsidRPr="001A1243">
        <w:rPr>
          <w:rFonts w:ascii="Palatino Linotype" w:hAnsi="Palatino Linotype" w:cs="Arial"/>
          <w:color w:val="000000" w:themeColor="text1"/>
          <w:szCs w:val="23"/>
        </w:rPr>
        <w:t xml:space="preserve"> con su respuesta ciertamente </w:t>
      </w:r>
      <w:r w:rsidR="00262E4F" w:rsidRPr="001A1243">
        <w:rPr>
          <w:rFonts w:ascii="Palatino Linotype" w:eastAsia="Times New Roman" w:hAnsi="Palatino Linotype"/>
          <w:color w:val="000000" w:themeColor="text1"/>
        </w:rPr>
        <w:t>actualiza la causa de procedencia</w:t>
      </w:r>
      <w:r w:rsidR="00262E4F" w:rsidRPr="001A1243">
        <w:rPr>
          <w:rFonts w:ascii="Palatino Linotype" w:eastAsia="Times New Roman" w:hAnsi="Palatino Linotype"/>
          <w:b/>
          <w:color w:val="000000" w:themeColor="text1"/>
        </w:rPr>
        <w:t xml:space="preserve"> </w:t>
      </w:r>
      <w:r w:rsidR="00262E4F" w:rsidRPr="001A1243">
        <w:rPr>
          <w:rFonts w:ascii="Palatino Linotype" w:eastAsia="Times New Roman" w:hAnsi="Palatino Linotype" w:cs="Arial"/>
          <w:color w:val="000000" w:themeColor="text1"/>
          <w:lang w:eastAsia="es-MX"/>
        </w:rPr>
        <w:t>de</w:t>
      </w:r>
      <w:r w:rsidR="00BD39BA" w:rsidRPr="001A1243">
        <w:rPr>
          <w:rFonts w:ascii="Palatino Linotype" w:eastAsia="Times New Roman" w:hAnsi="Palatino Linotype" w:cs="Arial"/>
          <w:color w:val="000000" w:themeColor="text1"/>
          <w:lang w:eastAsia="es-MX"/>
        </w:rPr>
        <w:t xml:space="preserve"> </w:t>
      </w:r>
      <w:r w:rsidR="00262E4F" w:rsidRPr="001A1243">
        <w:rPr>
          <w:rFonts w:ascii="Palatino Linotype" w:eastAsia="Times New Roman" w:hAnsi="Palatino Linotype" w:cs="Arial"/>
          <w:color w:val="000000" w:themeColor="text1"/>
          <w:lang w:eastAsia="es-MX"/>
        </w:rPr>
        <w:t>l</w:t>
      </w:r>
      <w:r w:rsidR="00BD39BA" w:rsidRPr="001A1243">
        <w:rPr>
          <w:rFonts w:ascii="Palatino Linotype" w:eastAsia="Times New Roman" w:hAnsi="Palatino Linotype" w:cs="Arial"/>
          <w:color w:val="000000" w:themeColor="text1"/>
          <w:lang w:eastAsia="es-MX"/>
        </w:rPr>
        <w:t>os</w:t>
      </w:r>
      <w:r w:rsidR="00262E4F" w:rsidRPr="001A1243">
        <w:rPr>
          <w:rFonts w:ascii="Palatino Linotype" w:eastAsia="Times New Roman" w:hAnsi="Palatino Linotype" w:cs="Arial"/>
          <w:color w:val="000000" w:themeColor="text1"/>
          <w:lang w:eastAsia="es-MX"/>
        </w:rPr>
        <w:t xml:space="preserve"> dispositivo</w:t>
      </w:r>
      <w:r w:rsidR="00BD39BA" w:rsidRPr="001A1243">
        <w:rPr>
          <w:rFonts w:ascii="Palatino Linotype" w:eastAsia="Times New Roman" w:hAnsi="Palatino Linotype" w:cs="Arial"/>
          <w:color w:val="000000" w:themeColor="text1"/>
          <w:lang w:eastAsia="es-MX"/>
        </w:rPr>
        <w:t>s</w:t>
      </w:r>
      <w:r w:rsidR="00262E4F" w:rsidRPr="001A1243">
        <w:rPr>
          <w:rFonts w:ascii="Palatino Linotype" w:eastAsia="Times New Roman" w:hAnsi="Palatino Linotype" w:cs="Arial"/>
          <w:color w:val="000000" w:themeColor="text1"/>
          <w:lang w:eastAsia="es-MX"/>
        </w:rPr>
        <w:t xml:space="preserve"> jurídico</w:t>
      </w:r>
      <w:r w:rsidR="00BD39BA" w:rsidRPr="001A1243">
        <w:rPr>
          <w:rFonts w:ascii="Palatino Linotype" w:eastAsia="Times New Roman" w:hAnsi="Palatino Linotype" w:cs="Arial"/>
          <w:color w:val="000000" w:themeColor="text1"/>
          <w:lang w:eastAsia="es-MX"/>
        </w:rPr>
        <w:t>s</w:t>
      </w:r>
      <w:r w:rsidR="00262E4F" w:rsidRPr="001A1243">
        <w:rPr>
          <w:rFonts w:ascii="Palatino Linotype" w:eastAsia="Times New Roman" w:hAnsi="Palatino Linotype" w:cs="Arial"/>
          <w:color w:val="000000" w:themeColor="text1"/>
          <w:lang w:eastAsia="es-MX"/>
        </w:rPr>
        <w:t xml:space="preserve"> en comento.</w:t>
      </w:r>
    </w:p>
    <w:p w14:paraId="287B4A8F" w14:textId="77777777" w:rsidR="00A87674" w:rsidRPr="001A1243"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59E60836" w14:textId="77777777" w:rsidR="00231FF8" w:rsidRPr="001A1243" w:rsidRDefault="00231FF8" w:rsidP="00231FF8">
      <w:pPr>
        <w:pStyle w:val="Ttulo2"/>
        <w:rPr>
          <w:rFonts w:ascii="Palatino Linotype" w:hAnsi="Palatino Linotype"/>
          <w:b/>
          <w:color w:val="000000" w:themeColor="text1"/>
          <w:sz w:val="24"/>
          <w:szCs w:val="24"/>
        </w:rPr>
      </w:pPr>
      <w:bookmarkStart w:id="134" w:name="_Toc495427545"/>
      <w:bookmarkStart w:id="135" w:name="_Toc23414596"/>
      <w:bookmarkStart w:id="136" w:name="_Toc34819433"/>
      <w:bookmarkStart w:id="137" w:name="_Toc51259589"/>
      <w:bookmarkStart w:id="138" w:name="_Toc52472142"/>
      <w:bookmarkStart w:id="139" w:name="_Toc54138952"/>
      <w:r w:rsidRPr="001A1243">
        <w:rPr>
          <w:rFonts w:ascii="Palatino Linotype" w:hAnsi="Palatino Linotype"/>
          <w:b/>
          <w:color w:val="000000" w:themeColor="text1"/>
          <w:sz w:val="24"/>
          <w:szCs w:val="24"/>
        </w:rPr>
        <w:t>CUARTO. Del estudio y resolución del asunto.</w:t>
      </w:r>
      <w:bookmarkEnd w:id="134"/>
      <w:bookmarkEnd w:id="135"/>
      <w:bookmarkEnd w:id="136"/>
      <w:bookmarkEnd w:id="137"/>
      <w:bookmarkEnd w:id="138"/>
      <w:bookmarkEnd w:id="139"/>
    </w:p>
    <w:p w14:paraId="68D5D482" w14:textId="77777777" w:rsidR="00231FF8" w:rsidRPr="001A1243" w:rsidRDefault="00231FF8" w:rsidP="00231FF8">
      <w:pPr>
        <w:spacing w:line="360" w:lineRule="auto"/>
        <w:rPr>
          <w:rFonts w:ascii="Palatino Linotype" w:hAnsi="Palatino Linotype"/>
          <w:lang w:val="es-MX" w:eastAsia="en-US"/>
        </w:rPr>
      </w:pPr>
    </w:p>
    <w:p w14:paraId="6E4677B5" w14:textId="77777777" w:rsidR="00231FF8" w:rsidRPr="001A1243" w:rsidRDefault="00231FF8" w:rsidP="00231FF8">
      <w:pPr>
        <w:pStyle w:val="Prrafodelista"/>
        <w:numPr>
          <w:ilvl w:val="0"/>
          <w:numId w:val="2"/>
        </w:numPr>
        <w:spacing w:line="360" w:lineRule="auto"/>
        <w:ind w:left="0" w:firstLine="0"/>
        <w:jc w:val="both"/>
        <w:rPr>
          <w:rFonts w:ascii="Palatino Linotype" w:hAnsi="Palatino Linotype" w:cs="Arial"/>
          <w:i/>
          <w:lang w:val="es-MX"/>
        </w:rPr>
      </w:pPr>
      <w:r w:rsidRPr="001A1243">
        <w:rPr>
          <w:rFonts w:ascii="Palatino Linotype" w:eastAsia="Calibri" w:hAnsi="Palatino Linotype" w:cs="Arial"/>
        </w:rPr>
        <w:t>Derivado</w:t>
      </w:r>
      <w:r w:rsidRPr="001A1243">
        <w:rPr>
          <w:rFonts w:ascii="Palatino Linotype" w:hAnsi="Palatino Linotype" w:cs="Arial"/>
          <w:szCs w:val="23"/>
        </w:rPr>
        <w:t xml:space="preserve"> del planteamiento de la </w:t>
      </w:r>
      <w:r w:rsidRPr="001A1243">
        <w:rPr>
          <w:rFonts w:ascii="Palatino Linotype" w:hAnsi="Palatino Linotype" w:cs="Arial"/>
          <w:i/>
          <w:szCs w:val="23"/>
        </w:rPr>
        <w:t>Litis</w:t>
      </w:r>
      <w:r w:rsidRPr="001A1243">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w:t>
      </w:r>
      <w:r w:rsidRPr="001A1243">
        <w:rPr>
          <w:rFonts w:ascii="Palatino Linotype" w:hAnsi="Palatino Linotype" w:cs="Arial"/>
          <w:szCs w:val="23"/>
        </w:rPr>
        <w:lastRenderedPageBreak/>
        <w:t xml:space="preserve">artículo 8 de la </w:t>
      </w:r>
      <w:r w:rsidRPr="001A1243">
        <w:rPr>
          <w:rFonts w:ascii="Palatino Linotype" w:eastAsia="Calibri" w:hAnsi="Palatino Linotype" w:cs="Arial"/>
          <w:b/>
          <w:lang w:val="es-ES"/>
        </w:rPr>
        <w:t>Ley de Transparencia y Acceso a la Información Pública del Estado de México y Municipios</w:t>
      </w:r>
      <w:r w:rsidRPr="001A1243">
        <w:rPr>
          <w:rFonts w:ascii="Palatino Linotype" w:eastAsia="Times New Roman" w:hAnsi="Palatino Linotype" w:cs="Arial"/>
          <w:lang w:val="es-ES" w:eastAsia="es-MX"/>
        </w:rPr>
        <w:t>.</w:t>
      </w:r>
    </w:p>
    <w:p w14:paraId="206B5DF5" w14:textId="77777777" w:rsidR="00231FF8" w:rsidRPr="001A1243" w:rsidRDefault="00231FF8" w:rsidP="00231FF8">
      <w:pPr>
        <w:pStyle w:val="Prrafodelista"/>
        <w:spacing w:line="360" w:lineRule="auto"/>
        <w:ind w:left="0"/>
        <w:jc w:val="both"/>
        <w:rPr>
          <w:rFonts w:ascii="Palatino Linotype" w:hAnsi="Palatino Linotype" w:cs="Arial"/>
          <w:i/>
          <w:lang w:val="es-MX"/>
        </w:rPr>
      </w:pPr>
    </w:p>
    <w:p w14:paraId="52003594" w14:textId="77777777" w:rsidR="00231FF8" w:rsidRPr="001A1243"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1A1243">
        <w:rPr>
          <w:rFonts w:ascii="Palatino Linotype" w:eastAsia="Calibri" w:hAnsi="Palatino Linotype" w:cs="Arial"/>
        </w:rPr>
        <w:t>Es</w:t>
      </w:r>
      <w:r w:rsidRPr="001A1243">
        <w:rPr>
          <w:rFonts w:ascii="Palatino Linotype" w:hAnsi="Palatino Linotype"/>
        </w:rPr>
        <w:t xml:space="preserve"> menester precisar que este </w:t>
      </w:r>
      <w:r w:rsidRPr="001A1243">
        <w:rPr>
          <w:rFonts w:ascii="Palatino Linotype" w:eastAsia="MS Mincho" w:hAnsi="Palatino Linotype" w:cs="Times New Roman"/>
          <w:color w:val="000000"/>
        </w:rPr>
        <w:t xml:space="preserve">Órgano Garante parte de que </w:t>
      </w:r>
      <w:r w:rsidRPr="001A124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A1243">
        <w:rPr>
          <w:rFonts w:ascii="Palatino Linotype" w:eastAsia="Times New Roman" w:hAnsi="Palatino Linotype" w:cs="Arial"/>
          <w:color w:val="000000"/>
        </w:rPr>
        <w:t xml:space="preserve"> </w:t>
      </w:r>
      <w:r w:rsidRPr="001A1243">
        <w:rPr>
          <w:rFonts w:ascii="Palatino Linotype" w:eastAsia="Times New Roman" w:hAnsi="Palatino Linotype" w:cs="Arial"/>
          <w:b/>
          <w:color w:val="000000"/>
        </w:rPr>
        <w:t>SUJETO OBLIGADO</w:t>
      </w:r>
      <w:r w:rsidRPr="001A124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A1243">
        <w:rPr>
          <w:rFonts w:ascii="Palatino Linotype" w:eastAsia="Times New Roman" w:hAnsi="Palatino Linotype" w:cs="Arial"/>
          <w:b/>
          <w:color w:val="000000"/>
        </w:rPr>
        <w:t xml:space="preserve">Constitución Política de los Estados Unidos Mexicanos </w:t>
      </w:r>
      <w:r w:rsidRPr="001A1243">
        <w:rPr>
          <w:rFonts w:ascii="Palatino Linotype" w:eastAsia="Times New Roman" w:hAnsi="Palatino Linotype" w:cs="Arial"/>
          <w:color w:val="000000"/>
        </w:rPr>
        <w:t xml:space="preserve">al señalar la obligación de “promover, </w:t>
      </w:r>
      <w:r w:rsidRPr="001A1243">
        <w:rPr>
          <w:rFonts w:ascii="Palatino Linotype" w:eastAsia="Times New Roman" w:hAnsi="Palatino Linotype" w:cs="Arial"/>
          <w:b/>
          <w:color w:val="000000"/>
        </w:rPr>
        <w:t>respetar</w:t>
      </w:r>
      <w:r w:rsidRPr="001A1243">
        <w:rPr>
          <w:rFonts w:ascii="Palatino Linotype" w:eastAsia="Times New Roman" w:hAnsi="Palatino Linotype" w:cs="Arial"/>
          <w:color w:val="000000"/>
        </w:rPr>
        <w:t xml:space="preserve">, proteger y </w:t>
      </w:r>
      <w:r w:rsidRPr="001A1243">
        <w:rPr>
          <w:rFonts w:ascii="Palatino Linotype" w:eastAsia="Times New Roman" w:hAnsi="Palatino Linotype" w:cs="Arial"/>
          <w:b/>
          <w:color w:val="000000"/>
        </w:rPr>
        <w:t>garantizar</w:t>
      </w:r>
      <w:r w:rsidRPr="001A1243">
        <w:rPr>
          <w:rFonts w:ascii="Palatino Linotype" w:eastAsia="Times New Roman" w:hAnsi="Palatino Linotype" w:cs="Arial"/>
          <w:color w:val="000000"/>
        </w:rPr>
        <w:t xml:space="preserve"> los derechos humanos”, entre los cuales se encuentra dicho derecho. </w:t>
      </w:r>
    </w:p>
    <w:p w14:paraId="6D1443BB" w14:textId="77777777" w:rsidR="00231FF8" w:rsidRPr="001A1243" w:rsidRDefault="00231FF8" w:rsidP="00231FF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D775C63" w14:textId="77777777" w:rsidR="00231FF8" w:rsidRPr="001A1243" w:rsidRDefault="00231FF8" w:rsidP="00231FF8">
      <w:pPr>
        <w:pStyle w:val="Prrafodelista"/>
        <w:numPr>
          <w:ilvl w:val="0"/>
          <w:numId w:val="2"/>
        </w:numPr>
        <w:spacing w:line="360" w:lineRule="auto"/>
        <w:ind w:left="0" w:firstLine="0"/>
        <w:jc w:val="both"/>
        <w:rPr>
          <w:rFonts w:ascii="Palatino Linotype" w:eastAsia="Times New Roman" w:hAnsi="Palatino Linotype"/>
        </w:rPr>
      </w:pPr>
      <w:r w:rsidRPr="001A1243">
        <w:rPr>
          <w:rFonts w:ascii="Palatino Linotype" w:eastAsia="Calibri" w:hAnsi="Palatino Linotype" w:cs="Arial"/>
        </w:rPr>
        <w:t>Por</w:t>
      </w:r>
      <w:r w:rsidRPr="001A124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7201AC2" w14:textId="77777777" w:rsidR="00231FF8" w:rsidRPr="001A1243" w:rsidRDefault="00231FF8" w:rsidP="00231FF8">
      <w:pPr>
        <w:pStyle w:val="Prrafodelista"/>
        <w:rPr>
          <w:rFonts w:ascii="Palatino Linotype" w:eastAsia="Times New Roman" w:hAnsi="Palatino Linotype"/>
        </w:rPr>
      </w:pPr>
    </w:p>
    <w:p w14:paraId="15AF4152" w14:textId="77777777" w:rsidR="00231FF8" w:rsidRPr="001A1243"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1A1243">
        <w:rPr>
          <w:rFonts w:ascii="Palatino Linotype" w:eastAsia="Calibri" w:hAnsi="Palatino Linotype" w:cs="Arial"/>
        </w:rPr>
        <w:t>Además</w:t>
      </w:r>
      <w:r w:rsidRPr="001A1243">
        <w:rPr>
          <w:rFonts w:ascii="Palatino Linotype" w:eastAsia="MS Mincho" w:hAnsi="Palatino Linotype" w:cs="Times New Roman"/>
          <w:color w:val="000000"/>
        </w:rPr>
        <w:t xml:space="preserve"> de la obligación de promover, </w:t>
      </w:r>
      <w:r w:rsidRPr="001A1243">
        <w:rPr>
          <w:rFonts w:ascii="Palatino Linotype" w:eastAsia="MS Mincho" w:hAnsi="Palatino Linotype" w:cs="Times New Roman"/>
          <w:b/>
          <w:color w:val="000000"/>
          <w:u w:val="single"/>
        </w:rPr>
        <w:t>respetar, proteger</w:t>
      </w:r>
      <w:r w:rsidRPr="001A1243">
        <w:rPr>
          <w:rFonts w:ascii="Palatino Linotype" w:eastAsia="MS Mincho" w:hAnsi="Palatino Linotype" w:cs="Times New Roman"/>
          <w:color w:val="000000"/>
        </w:rPr>
        <w:t xml:space="preserve"> y garantizar el derecho de acceso a la información, la </w:t>
      </w:r>
      <w:r w:rsidRPr="001A1243">
        <w:rPr>
          <w:rFonts w:ascii="Palatino Linotype" w:eastAsia="MS Mincho" w:hAnsi="Palatino Linotype" w:cs="Times New Roman"/>
          <w:b/>
          <w:color w:val="000000"/>
        </w:rPr>
        <w:t xml:space="preserve">Ley General de Trasparencia y Acceso a la </w:t>
      </w:r>
      <w:r w:rsidRPr="001A1243">
        <w:rPr>
          <w:rFonts w:ascii="Palatino Linotype" w:eastAsia="MS Mincho" w:hAnsi="Palatino Linotype" w:cs="Times New Roman"/>
          <w:b/>
          <w:color w:val="000000"/>
        </w:rPr>
        <w:lastRenderedPageBreak/>
        <w:t xml:space="preserve">Información Pública del Estado de México y Municipios </w:t>
      </w:r>
      <w:r w:rsidRPr="001A124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A1243">
        <w:rPr>
          <w:rFonts w:ascii="Palatino Linotype" w:eastAsia="MS Mincho" w:hAnsi="Palatino Linotype" w:cs="Times New Roman"/>
          <w:b/>
          <w:color w:val="000000"/>
        </w:rPr>
        <w:t>simplicidad y rapidez</w:t>
      </w:r>
      <w:r w:rsidRPr="001A1243">
        <w:rPr>
          <w:rFonts w:ascii="Palatino Linotype" w:eastAsia="MS Mincho" w:hAnsi="Palatino Linotype" w:cs="Times New Roman"/>
          <w:color w:val="000000"/>
        </w:rPr>
        <w:t xml:space="preserve">. </w:t>
      </w:r>
    </w:p>
    <w:p w14:paraId="7F69AD25" w14:textId="77777777" w:rsidR="00231FF8" w:rsidRPr="001A1243" w:rsidRDefault="00231FF8" w:rsidP="00231FF8">
      <w:pPr>
        <w:pStyle w:val="Prrafodelista"/>
        <w:spacing w:line="360" w:lineRule="auto"/>
        <w:ind w:left="0"/>
        <w:jc w:val="both"/>
        <w:rPr>
          <w:rFonts w:ascii="Palatino Linotype" w:hAnsi="Palatino Linotype" w:cs="Arial"/>
        </w:rPr>
      </w:pPr>
    </w:p>
    <w:p w14:paraId="142453CA" w14:textId="77777777" w:rsidR="00231FF8" w:rsidRPr="001A1243" w:rsidRDefault="00231FF8" w:rsidP="00231FF8">
      <w:pPr>
        <w:pStyle w:val="Prrafodelista"/>
        <w:numPr>
          <w:ilvl w:val="0"/>
          <w:numId w:val="2"/>
        </w:numPr>
        <w:spacing w:line="360" w:lineRule="auto"/>
        <w:ind w:left="0" w:firstLine="0"/>
        <w:jc w:val="both"/>
        <w:rPr>
          <w:rFonts w:ascii="Palatino Linotype" w:hAnsi="Palatino Linotype" w:cs="Arial"/>
        </w:rPr>
      </w:pPr>
      <w:r w:rsidRPr="001A1243">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1A1243">
        <w:rPr>
          <w:rFonts w:ascii="Palatino Linotype" w:eastAsia="Calibri" w:hAnsi="Palatino Linotype" w:cs="Arial"/>
        </w:rPr>
        <w:t>Transparencia, Acceso a la Información Pública del Estado de México y Municipios</w:t>
      </w:r>
      <w:r w:rsidRPr="001A1243">
        <w:rPr>
          <w:rFonts w:ascii="Palatino Linotype" w:hAnsi="Palatino Linotype" w:cs="Arial"/>
        </w:rPr>
        <w:t xml:space="preserve">, y determinar la confirmación; revocación o modificación; </w:t>
      </w:r>
      <w:proofErr w:type="spellStart"/>
      <w:r w:rsidRPr="001A1243">
        <w:rPr>
          <w:rFonts w:ascii="Palatino Linotype" w:hAnsi="Palatino Linotype" w:cs="Arial"/>
        </w:rPr>
        <w:t>desechamiento</w:t>
      </w:r>
      <w:proofErr w:type="spellEnd"/>
      <w:r w:rsidRPr="001A1243">
        <w:rPr>
          <w:rFonts w:ascii="Palatino Linotype" w:hAnsi="Palatino Linotype" w:cs="Arial"/>
        </w:rPr>
        <w:t xml:space="preserve"> o sobreseimiento; y en su caso ordenar la entrega de la información con respecto a la respuesta emitida por el </w:t>
      </w:r>
      <w:r w:rsidRPr="001A1243">
        <w:rPr>
          <w:rFonts w:ascii="Palatino Linotype" w:hAnsi="Palatino Linotype" w:cs="Arial"/>
          <w:b/>
        </w:rPr>
        <w:t>SUJETO</w:t>
      </w:r>
      <w:r w:rsidRPr="001A1243">
        <w:rPr>
          <w:rFonts w:ascii="Palatino Linotype" w:hAnsi="Palatino Linotype" w:cs="Arial"/>
        </w:rPr>
        <w:t xml:space="preserve"> </w:t>
      </w:r>
      <w:r w:rsidRPr="001A1243">
        <w:rPr>
          <w:rFonts w:ascii="Palatino Linotype" w:hAnsi="Palatino Linotype" w:cs="Arial"/>
          <w:b/>
        </w:rPr>
        <w:t>OBLIGADO</w:t>
      </w:r>
      <w:r w:rsidRPr="001A1243">
        <w:rPr>
          <w:rFonts w:ascii="Palatino Linotype" w:hAnsi="Palatino Linotype" w:cs="Arial"/>
        </w:rPr>
        <w:t>.</w:t>
      </w:r>
    </w:p>
    <w:p w14:paraId="50AF1CDC" w14:textId="77777777" w:rsidR="00231FF8" w:rsidRPr="001A1243" w:rsidRDefault="00231FF8" w:rsidP="00231FF8">
      <w:pPr>
        <w:pStyle w:val="Prrafodelista"/>
        <w:spacing w:line="360" w:lineRule="auto"/>
        <w:ind w:left="0"/>
        <w:jc w:val="both"/>
        <w:rPr>
          <w:rFonts w:ascii="Palatino Linotype" w:hAnsi="Palatino Linotype" w:cs="Arial"/>
        </w:rPr>
      </w:pPr>
    </w:p>
    <w:p w14:paraId="68F311C4" w14:textId="4F816E84" w:rsidR="00231FF8" w:rsidRPr="001A1243" w:rsidRDefault="00231FF8" w:rsidP="00231FF8">
      <w:pPr>
        <w:pStyle w:val="Prrafodelista"/>
        <w:numPr>
          <w:ilvl w:val="0"/>
          <w:numId w:val="2"/>
        </w:numPr>
        <w:spacing w:line="360" w:lineRule="auto"/>
        <w:ind w:left="0" w:firstLine="0"/>
        <w:jc w:val="both"/>
        <w:rPr>
          <w:rFonts w:ascii="Palatino Linotype" w:hAnsi="Palatino Linotype"/>
          <w:b/>
          <w:sz w:val="22"/>
          <w:szCs w:val="22"/>
        </w:rPr>
      </w:pPr>
      <w:r w:rsidRPr="001A1243">
        <w:rPr>
          <w:rFonts w:ascii="Palatino Linotype" w:eastAsia="Calibri" w:hAnsi="Palatino Linotype" w:cs="Arial"/>
          <w:color w:val="000000" w:themeColor="text1"/>
          <w:lang w:val="es-MX" w:eastAsia="en-US"/>
        </w:rPr>
        <w:t>Ahora bien, del caso concreto y derivado del análisis a las constancias que obran en el expediente electrónico al rubr</w:t>
      </w:r>
      <w:r w:rsidR="003679EC" w:rsidRPr="001A1243">
        <w:rPr>
          <w:rFonts w:ascii="Palatino Linotype" w:eastAsia="Calibri" w:hAnsi="Palatino Linotype" w:cs="Arial"/>
          <w:color w:val="000000" w:themeColor="text1"/>
          <w:lang w:val="es-MX" w:eastAsia="en-US"/>
        </w:rPr>
        <w:t>o indicado; es de señalar que el</w:t>
      </w:r>
      <w:r w:rsidRPr="001A1243">
        <w:rPr>
          <w:rFonts w:ascii="Palatino Linotype" w:eastAsia="Calibri" w:hAnsi="Palatino Linotype" w:cs="Arial"/>
          <w:color w:val="000000" w:themeColor="text1"/>
          <w:lang w:val="es-MX" w:eastAsia="en-US"/>
        </w:rPr>
        <w:t xml:space="preserve"> </w:t>
      </w:r>
      <w:r w:rsidRPr="001A1243">
        <w:rPr>
          <w:rFonts w:ascii="Palatino Linotype" w:hAnsi="Palatino Linotype" w:cs="Arial"/>
          <w:color w:val="000000" w:themeColor="text1"/>
        </w:rPr>
        <w:t>ahora recurrente, solicitó conocer lo ya transcrito en el anterior párrafo 1.</w:t>
      </w:r>
    </w:p>
    <w:p w14:paraId="4FFD70FB" w14:textId="77777777" w:rsidR="00231FF8" w:rsidRPr="001A1243" w:rsidRDefault="00231FF8" w:rsidP="00BE7335">
      <w:pPr>
        <w:rPr>
          <w:rFonts w:ascii="Palatino Linotype" w:hAnsi="Palatino Linotype"/>
          <w:b/>
          <w:sz w:val="22"/>
          <w:szCs w:val="22"/>
        </w:rPr>
      </w:pPr>
    </w:p>
    <w:p w14:paraId="33799578" w14:textId="08B38F2C" w:rsidR="003679EC" w:rsidRPr="001A1243" w:rsidRDefault="00FE0EE7" w:rsidP="00330DB6">
      <w:pPr>
        <w:pStyle w:val="Prrafodelista"/>
        <w:numPr>
          <w:ilvl w:val="0"/>
          <w:numId w:val="2"/>
        </w:numPr>
        <w:spacing w:line="360" w:lineRule="auto"/>
        <w:ind w:left="0" w:firstLine="0"/>
        <w:jc w:val="both"/>
        <w:rPr>
          <w:rFonts w:cs="Times New Roman"/>
          <w:b/>
          <w:color w:val="000000" w:themeColor="text1"/>
          <w:lang w:eastAsia="es-ES_tradnl"/>
        </w:rPr>
      </w:pPr>
      <w:bookmarkStart w:id="140" w:name="_Toc521949107"/>
      <w:bookmarkStart w:id="141" w:name="_Toc522209067"/>
      <w:bookmarkStart w:id="142" w:name="_Toc523908140"/>
      <w:bookmarkStart w:id="143" w:name="_Toc31221176"/>
      <w:bookmarkStart w:id="144" w:name="_Toc23440737"/>
      <w:bookmarkStart w:id="145" w:name="_Toc21026228"/>
      <w:bookmarkStart w:id="146" w:name="_Toc20412820"/>
      <w:bookmarkStart w:id="147" w:name="_Toc20392593"/>
      <w:bookmarkStart w:id="148" w:name="_Toc11834466"/>
      <w:bookmarkStart w:id="149" w:name="_Toc12448142"/>
      <w:bookmarkStart w:id="150" w:name="_Toc17043969"/>
      <w:bookmarkStart w:id="151" w:name="_Toc17390946"/>
      <w:r w:rsidRPr="001A1243">
        <w:rPr>
          <w:rFonts w:ascii="Palatino Linotype" w:eastAsia="MS Mincho" w:hAnsi="Palatino Linotype" w:cs="Times New Roman"/>
        </w:rPr>
        <w:t xml:space="preserve">De la respuesta de referencia se aprecia que el </w:t>
      </w:r>
      <w:r w:rsidR="00330DB6" w:rsidRPr="001A1243">
        <w:rPr>
          <w:rFonts w:ascii="Palatino Linotype" w:eastAsia="MS Mincho" w:hAnsi="Palatino Linotype" w:cs="Times New Roman"/>
          <w:b/>
        </w:rPr>
        <w:t>SUJETO OBLIGADO</w:t>
      </w:r>
      <w:r w:rsidR="00330DB6" w:rsidRPr="001A1243">
        <w:rPr>
          <w:rFonts w:ascii="Palatino Linotype" w:eastAsia="MS Mincho" w:hAnsi="Palatino Linotype" w:cs="Times New Roman"/>
        </w:rPr>
        <w:t xml:space="preserve"> únicamente menciono que: “</w:t>
      </w:r>
      <w:r w:rsidR="00330DB6" w:rsidRPr="001A1243">
        <w:rPr>
          <w:rFonts w:ascii="Palatino Linotype" w:eastAsia="MS Mincho" w:hAnsi="Palatino Linotype" w:cs="Times New Roman"/>
          <w:i/>
        </w:rPr>
        <w:t>…una vez que, se realizó la búsqueda correspondiente en los archivos que obran en la Coordinación de Patrimonio y Recursos Financieros del PRD, en el Estado de México. No se encontraron los nombres mencionados en su petición número</w:t>
      </w:r>
      <w:proofErr w:type="gramStart"/>
      <w:r w:rsidR="00330DB6" w:rsidRPr="001A1243">
        <w:rPr>
          <w:rFonts w:ascii="Palatino Linotype" w:eastAsia="MS Mincho" w:hAnsi="Palatino Linotype" w:cs="Times New Roman"/>
          <w:i/>
        </w:rPr>
        <w:t>:00010</w:t>
      </w:r>
      <w:proofErr w:type="gramEnd"/>
      <w:r w:rsidR="00330DB6" w:rsidRPr="001A1243">
        <w:rPr>
          <w:rFonts w:ascii="Palatino Linotype" w:eastAsia="MS Mincho" w:hAnsi="Palatino Linotype" w:cs="Times New Roman"/>
          <w:i/>
        </w:rPr>
        <w:t>/PRD/IP/2020, de acuerdo a los listados del personal que colabora en el Partido de la Revolución Democrática (específicamente en los correspondientes del mes de enero a agosto de 2020)…</w:t>
      </w:r>
      <w:r w:rsidR="00330DB6" w:rsidRPr="001A1243">
        <w:rPr>
          <w:rFonts w:ascii="Palatino Linotype" w:eastAsia="MS Mincho" w:hAnsi="Palatino Linotype" w:cs="Times New Roman"/>
        </w:rPr>
        <w:t>”</w:t>
      </w:r>
    </w:p>
    <w:p w14:paraId="63F45EF3" w14:textId="77777777" w:rsidR="003D6B4D" w:rsidRPr="001A1243" w:rsidRDefault="003D6B4D" w:rsidP="003D6B4D">
      <w:pPr>
        <w:pStyle w:val="Prrafodelista"/>
        <w:rPr>
          <w:rFonts w:cs="Times New Roman"/>
          <w:b/>
          <w:color w:val="000000" w:themeColor="text1"/>
          <w:lang w:eastAsia="es-ES_tradnl"/>
        </w:rPr>
      </w:pPr>
    </w:p>
    <w:p w14:paraId="4CE9AF5C" w14:textId="5A5C14ED" w:rsidR="003679EC" w:rsidRPr="001A1243" w:rsidRDefault="0069793A" w:rsidP="00FE0EE7">
      <w:pPr>
        <w:pStyle w:val="Prrafodelista"/>
        <w:numPr>
          <w:ilvl w:val="0"/>
          <w:numId w:val="2"/>
        </w:numPr>
        <w:spacing w:line="360" w:lineRule="auto"/>
        <w:ind w:left="0" w:firstLine="0"/>
        <w:jc w:val="both"/>
        <w:rPr>
          <w:rFonts w:ascii="Palatino Linotype" w:hAnsi="Palatino Linotype" w:cs="Times New Roman"/>
          <w:color w:val="000000" w:themeColor="text1"/>
          <w:lang w:eastAsia="es-ES_tradnl"/>
        </w:rPr>
      </w:pPr>
      <w:r w:rsidRPr="001A1243">
        <w:rPr>
          <w:rFonts w:ascii="Palatino Linotype" w:hAnsi="Palatino Linotype" w:cs="Times New Roman"/>
          <w:color w:val="000000" w:themeColor="text1"/>
          <w:lang w:eastAsia="es-ES_tradnl"/>
        </w:rPr>
        <w:t>De l</w:t>
      </w:r>
      <w:r w:rsidR="00330DB6" w:rsidRPr="001A1243">
        <w:rPr>
          <w:rFonts w:ascii="Palatino Linotype" w:hAnsi="Palatino Linotype" w:cs="Times New Roman"/>
          <w:color w:val="000000" w:themeColor="text1"/>
          <w:lang w:eastAsia="es-ES_tradnl"/>
        </w:rPr>
        <w:t xml:space="preserve">a respuesta de referencia se desprende </w:t>
      </w:r>
      <w:r w:rsidRPr="001A1243">
        <w:rPr>
          <w:rFonts w:ascii="Palatino Linotype" w:hAnsi="Palatino Linotype" w:cs="Times New Roman"/>
          <w:color w:val="000000" w:themeColor="text1"/>
          <w:lang w:eastAsia="es-ES_tradnl"/>
        </w:rPr>
        <w:t>que no colma a cabalidad las pretensiones del particular; en virtud que primeramente no abarca el lapso temporal establecido, que fue del ejercicio fiscal 2016 a la fecha en que se interpuso la solicitud de información.</w:t>
      </w:r>
    </w:p>
    <w:p w14:paraId="3BF9380F" w14:textId="77777777" w:rsidR="003679EC" w:rsidRPr="001A1243" w:rsidRDefault="003679EC" w:rsidP="003679EC">
      <w:pPr>
        <w:pStyle w:val="Prrafodelista"/>
        <w:rPr>
          <w:rFonts w:ascii="Palatino Linotype" w:eastAsia="MS Mincho" w:hAnsi="Palatino Linotype" w:cs="Times New Roman"/>
        </w:rPr>
      </w:pPr>
    </w:p>
    <w:p w14:paraId="2200C87F" w14:textId="0D988CB2" w:rsidR="003679EC" w:rsidRPr="001A1243" w:rsidRDefault="00BA6373" w:rsidP="008F59B5">
      <w:pPr>
        <w:pStyle w:val="Prrafodelista"/>
        <w:numPr>
          <w:ilvl w:val="0"/>
          <w:numId w:val="2"/>
        </w:numPr>
        <w:spacing w:line="360" w:lineRule="auto"/>
        <w:ind w:left="0" w:firstLine="0"/>
        <w:jc w:val="both"/>
        <w:rPr>
          <w:rFonts w:ascii="Palatino Linotype" w:hAnsi="Palatino Linotype" w:cs="Times New Roman"/>
          <w:color w:val="000000" w:themeColor="text1"/>
          <w:lang w:eastAsia="es-ES_tradnl"/>
        </w:rPr>
      </w:pPr>
      <w:r w:rsidRPr="001A1243">
        <w:rPr>
          <w:rFonts w:ascii="Palatino Linotype" w:hAnsi="Palatino Linotype" w:cs="Times New Roman"/>
          <w:color w:val="000000" w:themeColor="text1"/>
          <w:lang w:eastAsia="es-ES_tradnl"/>
        </w:rPr>
        <w:t>E</w:t>
      </w:r>
      <w:r w:rsidR="003D6B4D" w:rsidRPr="001A1243">
        <w:rPr>
          <w:rFonts w:ascii="Palatino Linotype" w:hAnsi="Palatino Linotype" w:cs="Times New Roman"/>
          <w:color w:val="000000" w:themeColor="text1"/>
          <w:lang w:eastAsia="es-ES_tradnl"/>
        </w:rPr>
        <w:t>n un hecho posterior como lo es el informe justificado</w:t>
      </w:r>
      <w:r w:rsidRPr="001A1243">
        <w:rPr>
          <w:rFonts w:ascii="Palatino Linotype" w:hAnsi="Palatino Linotype" w:cs="Times New Roman"/>
          <w:color w:val="000000" w:themeColor="text1"/>
          <w:lang w:eastAsia="es-ES_tradnl"/>
        </w:rPr>
        <w:t xml:space="preserve">, </w:t>
      </w:r>
      <w:r w:rsidRPr="001A1243">
        <w:rPr>
          <w:rFonts w:ascii="Palatino Linotype" w:hAnsi="Palatino Linotype" w:cs="Times New Roman"/>
          <w:b/>
          <w:color w:val="000000" w:themeColor="text1"/>
          <w:lang w:eastAsia="es-ES_tradnl"/>
        </w:rPr>
        <w:t xml:space="preserve">EL SUJETO OBLIGADO </w:t>
      </w:r>
      <w:r w:rsidRPr="001A1243">
        <w:rPr>
          <w:rFonts w:ascii="Palatino Linotype" w:hAnsi="Palatino Linotype" w:cs="Times New Roman"/>
          <w:color w:val="000000" w:themeColor="text1"/>
          <w:lang w:eastAsia="es-ES_tradnl"/>
        </w:rPr>
        <w:t xml:space="preserve">a través de sus servidores públicos habilitados, amplio su respuesta señalando que </w:t>
      </w:r>
      <w:r w:rsidR="008F59B5" w:rsidRPr="001A1243">
        <w:rPr>
          <w:rFonts w:ascii="Palatino Linotype" w:hAnsi="Palatino Linotype" w:cs="Times New Roman"/>
          <w:color w:val="000000" w:themeColor="text1"/>
          <w:lang w:eastAsia="es-ES_tradnl"/>
        </w:rPr>
        <w:t>las personas señaladas en la solicitud de información no han colaborado en ese Instituto Político de ninguna manera directa o indirecta y bajo ninguna modalidad, por lo cual no se tiene registro acerca de cargos, estudios, o sanciones.</w:t>
      </w:r>
    </w:p>
    <w:p w14:paraId="133A664D" w14:textId="77777777" w:rsidR="008F59B5" w:rsidRPr="001A1243" w:rsidRDefault="008F59B5" w:rsidP="008F59B5">
      <w:pPr>
        <w:pStyle w:val="Prrafodelista"/>
        <w:rPr>
          <w:rFonts w:ascii="Palatino Linotype" w:hAnsi="Palatino Linotype" w:cs="Times New Roman"/>
          <w:color w:val="000000" w:themeColor="text1"/>
          <w:lang w:eastAsia="es-ES_tradnl"/>
        </w:rPr>
      </w:pPr>
    </w:p>
    <w:p w14:paraId="4BD89851" w14:textId="3D2A55DD" w:rsidR="008F59B5" w:rsidRPr="001A1243" w:rsidRDefault="008F59B5" w:rsidP="008F59B5">
      <w:pPr>
        <w:numPr>
          <w:ilvl w:val="0"/>
          <w:numId w:val="2"/>
        </w:numPr>
        <w:spacing w:line="360" w:lineRule="auto"/>
        <w:ind w:left="0" w:firstLine="0"/>
        <w:contextualSpacing/>
        <w:jc w:val="both"/>
        <w:rPr>
          <w:rFonts w:ascii="Palatino Linotype" w:hAnsi="Palatino Linotype"/>
        </w:rPr>
      </w:pPr>
      <w:r w:rsidRPr="001A1243">
        <w:rPr>
          <w:rFonts w:ascii="Palatino Linotype" w:eastAsia="Times New Roman" w:hAnsi="Palatino Linotype" w:cs="Arial"/>
          <w:lang w:val="es-ES"/>
        </w:rPr>
        <w:t>En ese sentido</w:t>
      </w:r>
      <w:r w:rsidRPr="001A1243">
        <w:rPr>
          <w:rFonts w:ascii="Palatino Linotype" w:eastAsia="Times New Roman" w:hAnsi="Palatino Linotype"/>
        </w:rPr>
        <w:t xml:space="preserve">, </w:t>
      </w:r>
      <w:r w:rsidRPr="001A1243">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1A1243">
        <w:rPr>
          <w:rFonts w:ascii="Palatino Linotype" w:hAnsi="Palatino Linotype" w:cs="Arial"/>
          <w:b/>
          <w:color w:val="000000" w:themeColor="text1"/>
        </w:rPr>
        <w:t>dudar de la veracidad</w:t>
      </w:r>
      <w:r w:rsidRPr="001A1243">
        <w:rPr>
          <w:rFonts w:ascii="Palatino Linotype" w:hAnsi="Palatino Linotype" w:cs="Arial"/>
          <w:color w:val="000000" w:themeColor="text1"/>
        </w:rPr>
        <w:t xml:space="preserve"> </w:t>
      </w:r>
      <w:r w:rsidRPr="001A1243">
        <w:rPr>
          <w:rFonts w:ascii="Palatino Linotype" w:hAnsi="Palatino Linotype" w:cs="Bookman Old Style"/>
          <w:lang w:val="es-ES"/>
        </w:rPr>
        <w:t>de las respuestas emitidas por los sujetos obligados</w:t>
      </w:r>
      <w:r w:rsidRPr="001A1243">
        <w:rPr>
          <w:rFonts w:ascii="Palatino Linotype" w:hAnsi="Palatino Linotype" w:cs="Arial"/>
        </w:rPr>
        <w:t xml:space="preserve"> ni de la que ponen a disposición de los solicitantes; situación que se aleja de las atribuciones de este Instituto </w:t>
      </w:r>
      <w:r w:rsidRPr="001A1243">
        <w:rPr>
          <w:rFonts w:ascii="Palatino Linotype" w:hAnsi="Palatino Linotype"/>
          <w:color w:val="000000"/>
        </w:rPr>
        <w:t>máxime que al momento que ponen a disposición ésta, la misma tiene el carácter oficial y se presume veraz, tan es así que la misma queda registrada en el SAIMEX.</w:t>
      </w:r>
    </w:p>
    <w:p w14:paraId="4F5836EA" w14:textId="77777777" w:rsidR="008F59B5" w:rsidRPr="001A1243" w:rsidRDefault="008F59B5" w:rsidP="008F59B5">
      <w:pPr>
        <w:pStyle w:val="Prrafodelista"/>
        <w:spacing w:line="360" w:lineRule="auto"/>
        <w:ind w:left="0"/>
        <w:jc w:val="both"/>
        <w:rPr>
          <w:rFonts w:ascii="Palatino Linotype" w:hAnsi="Palatino Linotype"/>
        </w:rPr>
      </w:pPr>
    </w:p>
    <w:p w14:paraId="063F8089" w14:textId="77777777" w:rsidR="008F59B5" w:rsidRPr="001A1243" w:rsidRDefault="008F59B5" w:rsidP="008F59B5">
      <w:pPr>
        <w:numPr>
          <w:ilvl w:val="0"/>
          <w:numId w:val="2"/>
        </w:numPr>
        <w:spacing w:line="360" w:lineRule="auto"/>
        <w:ind w:left="0" w:firstLine="0"/>
        <w:contextualSpacing/>
        <w:jc w:val="both"/>
        <w:rPr>
          <w:rFonts w:ascii="Palatino Linotype" w:hAnsi="Palatino Linotype"/>
        </w:rPr>
      </w:pPr>
      <w:r w:rsidRPr="001A1243">
        <w:rPr>
          <w:rFonts w:ascii="Palatino Linotype" w:eastAsia="Times New Roman" w:hAnsi="Palatino Linotype"/>
        </w:rPr>
        <w:lastRenderedPageBreak/>
        <w:t>Sirviendo</w:t>
      </w:r>
      <w:r w:rsidRPr="001A1243">
        <w:rPr>
          <w:rFonts w:ascii="Palatino Linotype" w:hAnsi="Palatino Linotype"/>
        </w:rPr>
        <w:t xml:space="preserve"> de apoyo a lo anterior por analogía, el criterio 31-10 emitido por el ahora </w:t>
      </w:r>
      <w:r w:rsidRPr="001A1243">
        <w:rPr>
          <w:rFonts w:ascii="Palatino Linotype" w:hAnsi="Palatino Linotype" w:cs="Arial"/>
        </w:rPr>
        <w:t>Instituto</w:t>
      </w:r>
      <w:r w:rsidRPr="001A1243">
        <w:rPr>
          <w:rFonts w:ascii="Palatino Linotype" w:hAnsi="Palatino Linotype"/>
        </w:rPr>
        <w:t xml:space="preserve"> Nacional de Transparencia, Acceso a la Información y Protección de Datos Personales, que a la letra dice:</w:t>
      </w:r>
    </w:p>
    <w:p w14:paraId="4D32ACDC" w14:textId="77777777" w:rsidR="008F59B5" w:rsidRPr="001A1243" w:rsidRDefault="008F59B5" w:rsidP="008F59B5">
      <w:pPr>
        <w:pStyle w:val="Default"/>
        <w:spacing w:before="240" w:after="360" w:line="360" w:lineRule="auto"/>
        <w:ind w:left="851" w:right="850"/>
        <w:jc w:val="both"/>
        <w:rPr>
          <w:rFonts w:ascii="Palatino Linotype" w:hAnsi="Palatino Linotype"/>
          <w:i/>
        </w:rPr>
      </w:pPr>
      <w:r w:rsidRPr="001A1243">
        <w:rPr>
          <w:rFonts w:ascii="Palatino Linotype" w:hAnsi="Palatino Linotype"/>
          <w:i/>
        </w:rPr>
        <w:t xml:space="preserve">El Instituto Federal de Acceso a la Información y Protección de Datos </w:t>
      </w:r>
      <w:r w:rsidRPr="001A1243">
        <w:rPr>
          <w:rFonts w:ascii="Palatino Linotype" w:hAnsi="Palatino Linotype"/>
          <w:b/>
          <w:i/>
        </w:rPr>
        <w:t>no cuenta con facultades para pronunciarse respecto de la veracidad de los documentos proporcionados por los sujetos obligados.</w:t>
      </w:r>
      <w:r w:rsidRPr="001A124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C1E4A64" w14:textId="0FF9B6B6" w:rsidR="008F59B5" w:rsidRPr="001A1243" w:rsidRDefault="00C968AC" w:rsidP="008F59B5">
      <w:pPr>
        <w:numPr>
          <w:ilvl w:val="0"/>
          <w:numId w:val="2"/>
        </w:numPr>
        <w:spacing w:line="360" w:lineRule="auto"/>
        <w:ind w:left="0" w:firstLine="0"/>
        <w:contextualSpacing/>
        <w:jc w:val="both"/>
        <w:rPr>
          <w:rFonts w:ascii="Palatino Linotype" w:hAnsi="Palatino Linotype"/>
          <w:i/>
        </w:rPr>
      </w:pPr>
      <w:r w:rsidRPr="001A1243">
        <w:rPr>
          <w:rFonts w:ascii="Palatino Linotype" w:eastAsia="Times New Roman" w:hAnsi="Palatino Linotype"/>
        </w:rPr>
        <w:t>Así como</w:t>
      </w:r>
      <w:r w:rsidR="008F59B5" w:rsidRPr="001A1243">
        <w:rPr>
          <w:rFonts w:ascii="Palatino Linotype" w:hAnsi="Palatino Linotype"/>
        </w:rPr>
        <w:t xml:space="preserve"> la </w:t>
      </w:r>
      <w:r w:rsidR="008F59B5" w:rsidRPr="001A1243">
        <w:rPr>
          <w:rFonts w:ascii="Palatino Linotype" w:hAnsi="Palatino Linotype"/>
          <w:b/>
        </w:rPr>
        <w:t xml:space="preserve">Ley de Transparencia y Acceso a la Información Pública del </w:t>
      </w:r>
      <w:r w:rsidR="008F59B5" w:rsidRPr="001A1243">
        <w:rPr>
          <w:rFonts w:ascii="Palatino Linotype" w:hAnsi="Palatino Linotype"/>
        </w:rPr>
        <w:t>Estado</w:t>
      </w:r>
      <w:r w:rsidR="008F59B5" w:rsidRPr="001A1243">
        <w:rPr>
          <w:rFonts w:ascii="Palatino Linotype" w:hAnsi="Palatino Linotype"/>
          <w:b/>
        </w:rPr>
        <w:t xml:space="preserve"> de México y Municipios</w:t>
      </w:r>
      <w:r w:rsidR="008F59B5" w:rsidRPr="001A1243">
        <w:rPr>
          <w:rFonts w:ascii="Palatino Linotype" w:hAnsi="Palatino Linotype"/>
        </w:rPr>
        <w:t xml:space="preserve">, que establece que la información pública generada, </w:t>
      </w:r>
      <w:r w:rsidR="008F59B5" w:rsidRPr="001A1243">
        <w:rPr>
          <w:rFonts w:ascii="Palatino Linotype" w:hAnsi="Palatino Linotype"/>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118A955" w14:textId="77777777" w:rsidR="008F59B5" w:rsidRPr="001A1243" w:rsidRDefault="008F59B5" w:rsidP="008F59B5">
      <w:pPr>
        <w:pStyle w:val="Prrafodelista"/>
        <w:spacing w:line="360" w:lineRule="auto"/>
        <w:ind w:left="0"/>
        <w:jc w:val="both"/>
        <w:rPr>
          <w:rFonts w:ascii="Palatino Linotype" w:hAnsi="Palatino Linotype"/>
          <w:i/>
        </w:rPr>
      </w:pPr>
    </w:p>
    <w:p w14:paraId="4A24F4E6" w14:textId="77777777" w:rsidR="008F59B5" w:rsidRPr="001A1243" w:rsidRDefault="008F59B5" w:rsidP="008F59B5">
      <w:pPr>
        <w:pStyle w:val="Prrafodelista"/>
        <w:spacing w:line="360" w:lineRule="auto"/>
        <w:ind w:left="709" w:right="758"/>
        <w:jc w:val="both"/>
        <w:rPr>
          <w:rFonts w:ascii="Palatino Linotype" w:hAnsi="Palatino Linotype" w:cs="Arial"/>
        </w:rPr>
      </w:pPr>
      <w:r w:rsidRPr="001A124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A1243">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1A1243">
        <w:rPr>
          <w:rFonts w:ascii="Palatino Linotype" w:hAnsi="Palatino Linotype" w:cs="Arial"/>
        </w:rPr>
        <w:t>Énfasis añadido</w:t>
      </w:r>
    </w:p>
    <w:p w14:paraId="06D3FF4A" w14:textId="77777777" w:rsidR="008F59B5" w:rsidRPr="001A1243" w:rsidRDefault="008F59B5" w:rsidP="008F59B5">
      <w:pPr>
        <w:pStyle w:val="Prrafodelista"/>
        <w:spacing w:line="360" w:lineRule="auto"/>
        <w:ind w:left="709" w:right="758"/>
        <w:jc w:val="both"/>
        <w:rPr>
          <w:rFonts w:ascii="Palatino Linotype" w:hAnsi="Palatino Linotype" w:cs="Arial"/>
          <w:b/>
        </w:rPr>
      </w:pPr>
    </w:p>
    <w:p w14:paraId="0DF5644C" w14:textId="77777777" w:rsidR="008F59B5" w:rsidRPr="001A1243" w:rsidRDefault="008F59B5" w:rsidP="008F59B5">
      <w:pPr>
        <w:numPr>
          <w:ilvl w:val="0"/>
          <w:numId w:val="2"/>
        </w:numPr>
        <w:spacing w:line="360" w:lineRule="auto"/>
        <w:ind w:left="0" w:firstLine="0"/>
        <w:contextualSpacing/>
        <w:jc w:val="both"/>
        <w:rPr>
          <w:rFonts w:ascii="Palatino Linotype" w:hAnsi="Palatino Linotype" w:cs="Arial"/>
          <w:noProof/>
          <w:lang w:eastAsia="es-MX"/>
        </w:rPr>
      </w:pPr>
      <w:r w:rsidRPr="001A1243">
        <w:rPr>
          <w:rFonts w:ascii="Palatino Linotype" w:eastAsia="Times New Roman" w:hAnsi="Palatino Linotype"/>
        </w:rPr>
        <w:t>Numerales</w:t>
      </w:r>
      <w:r w:rsidRPr="001A1243">
        <w:rPr>
          <w:rFonts w:ascii="Palatino Linotype" w:hAnsi="Palatino Linotype" w:cs="Arial"/>
          <w:noProof/>
          <w:lang w:eastAsia="es-MX"/>
        </w:rPr>
        <w:t xml:space="preserve"> que compelen al </w:t>
      </w:r>
      <w:r w:rsidRPr="001A1243">
        <w:rPr>
          <w:rFonts w:ascii="Palatino Linotype" w:hAnsi="Palatino Linotype" w:cs="Arial"/>
          <w:b/>
          <w:noProof/>
          <w:lang w:eastAsia="es-MX"/>
        </w:rPr>
        <w:t>SUJETO OBLIGADO</w:t>
      </w:r>
      <w:r w:rsidRPr="001A1243">
        <w:rPr>
          <w:rFonts w:ascii="Palatino Linotype" w:hAnsi="Palatino Linotype" w:cs="Arial"/>
          <w:noProof/>
          <w:lang w:eastAsia="es-MX"/>
        </w:rPr>
        <w:t xml:space="preserve"> apegarse en todo </w:t>
      </w:r>
      <w:r w:rsidRPr="001A1243">
        <w:rPr>
          <w:rFonts w:ascii="Palatino Linotype" w:hAnsi="Palatino Linotype"/>
        </w:rPr>
        <w:t>momento</w:t>
      </w:r>
      <w:r w:rsidRPr="001A1243">
        <w:rPr>
          <w:rFonts w:ascii="Palatino Linotype" w:hAnsi="Palatino Linotype" w:cs="Arial"/>
          <w:noProof/>
          <w:lang w:eastAsia="es-MX"/>
        </w:rPr>
        <w:t xml:space="preserve"> a los criterios ya expuestos, imipidiendo a este Órgano Colegiado cuestionar la veracidad de la información.</w:t>
      </w:r>
    </w:p>
    <w:p w14:paraId="1C2CCF29" w14:textId="77777777" w:rsidR="008F59B5" w:rsidRPr="001A1243" w:rsidRDefault="008F59B5" w:rsidP="008F59B5">
      <w:pPr>
        <w:spacing w:line="360" w:lineRule="auto"/>
        <w:contextualSpacing/>
        <w:jc w:val="both"/>
        <w:rPr>
          <w:rFonts w:ascii="Palatino Linotype" w:hAnsi="Palatino Linotype" w:cs="Arial"/>
          <w:noProof/>
          <w:lang w:eastAsia="es-MX"/>
        </w:rPr>
      </w:pPr>
    </w:p>
    <w:p w14:paraId="305A4CA0" w14:textId="40CC27AB" w:rsidR="008F59B5" w:rsidRPr="001A1243" w:rsidRDefault="008F59B5" w:rsidP="008F59B5">
      <w:pPr>
        <w:pStyle w:val="Prrafodelista"/>
        <w:numPr>
          <w:ilvl w:val="0"/>
          <w:numId w:val="2"/>
        </w:numPr>
        <w:spacing w:line="360" w:lineRule="auto"/>
        <w:ind w:left="0" w:firstLine="0"/>
        <w:jc w:val="both"/>
        <w:rPr>
          <w:rFonts w:ascii="Palatino Linotype" w:hAnsi="Palatino Linotype" w:cs="Times New Roman"/>
          <w:color w:val="000000" w:themeColor="text1"/>
          <w:lang w:eastAsia="es-ES_tradnl"/>
        </w:rPr>
      </w:pPr>
      <w:r w:rsidRPr="001A1243">
        <w:rPr>
          <w:rFonts w:ascii="Palatino Linotype" w:hAnsi="Palatino Linotype" w:cs="Times New Roman"/>
          <w:color w:val="000000" w:themeColor="text1"/>
          <w:lang w:eastAsia="es-ES_tradnl"/>
        </w:rPr>
        <w:t xml:space="preserve">No obstante lo anterior, la contestación continua siendo ambigua; toda vez </w:t>
      </w:r>
      <w:r w:rsidR="00304244" w:rsidRPr="001A1243">
        <w:rPr>
          <w:rFonts w:ascii="Palatino Linotype" w:hAnsi="Palatino Linotype" w:cs="Times New Roman"/>
          <w:color w:val="000000" w:themeColor="text1"/>
          <w:lang w:eastAsia="es-ES_tradnl"/>
        </w:rPr>
        <w:t>no se observa ningún pronunciamiento relativo a la temporalidad de la búsqueda de la información</w:t>
      </w:r>
      <w:r w:rsidR="00C968AC" w:rsidRPr="001A1243">
        <w:rPr>
          <w:rFonts w:ascii="Palatino Linotype" w:hAnsi="Palatino Linotype" w:cs="Times New Roman"/>
          <w:color w:val="000000" w:themeColor="text1"/>
          <w:lang w:eastAsia="es-ES_tradnl"/>
        </w:rPr>
        <w:t xml:space="preserve"> que dé certeza que la búsqueda corresponde al lapso temporal establecido por el particular desde su solicitud de información </w:t>
      </w:r>
      <w:r w:rsidR="00185A7A" w:rsidRPr="001A1243">
        <w:rPr>
          <w:rFonts w:ascii="Palatino Linotype" w:hAnsi="Palatino Linotype" w:cs="Times New Roman"/>
          <w:color w:val="000000" w:themeColor="text1"/>
          <w:lang w:eastAsia="es-ES_tradnl"/>
        </w:rPr>
        <w:t>inicial</w:t>
      </w:r>
      <w:r w:rsidR="00C968AC" w:rsidRPr="001A1243">
        <w:rPr>
          <w:rFonts w:ascii="Palatino Linotype" w:hAnsi="Palatino Linotype" w:cs="Times New Roman"/>
          <w:color w:val="000000" w:themeColor="text1"/>
          <w:lang w:eastAsia="es-ES_tradnl"/>
        </w:rPr>
        <w:t>;</w:t>
      </w:r>
      <w:r w:rsidR="00304244" w:rsidRPr="001A1243">
        <w:rPr>
          <w:rFonts w:ascii="Palatino Linotype" w:hAnsi="Palatino Linotype" w:cs="Times New Roman"/>
          <w:color w:val="000000" w:themeColor="text1"/>
          <w:lang w:eastAsia="es-ES_tradnl"/>
        </w:rPr>
        <w:t xml:space="preserve"> sumado a que </w:t>
      </w:r>
      <w:r w:rsidR="00304244" w:rsidRPr="001A1243">
        <w:rPr>
          <w:rFonts w:ascii="Palatino Linotype" w:hAnsi="Palatino Linotype" w:cs="Times New Roman"/>
          <w:color w:val="000000" w:themeColor="text1"/>
          <w:lang w:eastAsia="es-ES_tradnl"/>
        </w:rPr>
        <w:lastRenderedPageBreak/>
        <w:t xml:space="preserve">no se </w:t>
      </w:r>
      <w:r w:rsidR="00C968AC" w:rsidRPr="001A1243">
        <w:rPr>
          <w:rFonts w:ascii="Palatino Linotype" w:hAnsi="Palatino Linotype" w:cs="Times New Roman"/>
          <w:color w:val="000000" w:themeColor="text1"/>
          <w:lang w:eastAsia="es-ES_tradnl"/>
        </w:rPr>
        <w:t>desprenden</w:t>
      </w:r>
      <w:r w:rsidR="00304244" w:rsidRPr="001A1243">
        <w:rPr>
          <w:rFonts w:ascii="Palatino Linotype" w:hAnsi="Palatino Linotype" w:cs="Times New Roman"/>
          <w:color w:val="000000" w:themeColor="text1"/>
          <w:lang w:eastAsia="es-ES_tradnl"/>
        </w:rPr>
        <w:t xml:space="preserve"> las acciones emprendidas </w:t>
      </w:r>
      <w:r w:rsidR="00C968AC" w:rsidRPr="001A1243">
        <w:rPr>
          <w:rFonts w:ascii="Palatino Linotype" w:hAnsi="Palatino Linotype" w:cs="Times New Roman"/>
          <w:color w:val="000000" w:themeColor="text1"/>
          <w:lang w:eastAsia="es-ES_tradnl"/>
        </w:rPr>
        <w:t>que acrediten la pretendida búsqueda exhaustiva y razonable de la información que se aduce.</w:t>
      </w:r>
    </w:p>
    <w:p w14:paraId="1629BD0A" w14:textId="77777777" w:rsidR="00C968AC" w:rsidRPr="001A1243" w:rsidRDefault="00C968AC" w:rsidP="00C968AC">
      <w:pPr>
        <w:pStyle w:val="Prrafodelista"/>
        <w:rPr>
          <w:rFonts w:ascii="Palatino Linotype" w:hAnsi="Palatino Linotype" w:cs="Times New Roman"/>
          <w:color w:val="000000" w:themeColor="text1"/>
          <w:lang w:eastAsia="es-ES_tradnl"/>
        </w:rPr>
      </w:pPr>
    </w:p>
    <w:p w14:paraId="5A283BE9" w14:textId="2D254DEB" w:rsidR="00C968AC" w:rsidRPr="001A1243" w:rsidRDefault="00185A7A" w:rsidP="00185A7A">
      <w:pPr>
        <w:pStyle w:val="Prrafodelista"/>
        <w:numPr>
          <w:ilvl w:val="0"/>
          <w:numId w:val="2"/>
        </w:numPr>
        <w:spacing w:line="360" w:lineRule="auto"/>
        <w:ind w:left="0" w:firstLine="0"/>
        <w:jc w:val="both"/>
        <w:rPr>
          <w:rFonts w:ascii="Palatino Linotype" w:hAnsi="Palatino Linotype" w:cs="Times New Roman"/>
          <w:color w:val="000000" w:themeColor="text1"/>
          <w:lang w:eastAsia="es-ES_tradnl"/>
        </w:rPr>
      </w:pPr>
      <w:r w:rsidRPr="001A1243">
        <w:rPr>
          <w:rFonts w:ascii="Palatino Linotype" w:hAnsi="Palatino Linotype" w:cs="Times New Roman"/>
          <w:color w:val="000000" w:themeColor="text1"/>
          <w:lang w:eastAsia="es-ES_tradnl"/>
        </w:rPr>
        <w:t xml:space="preserve">Atento a lo anterior, es que devienen operantes los motivos de inconformidad relativos a </w:t>
      </w:r>
      <w:r w:rsidRPr="001A1243">
        <w:rPr>
          <w:rFonts w:ascii="Palatino Linotype" w:hAnsi="Palatino Linotype" w:cs="Times New Roman"/>
          <w:i/>
          <w:color w:val="000000" w:themeColor="text1"/>
          <w:lang w:eastAsia="es-ES_tradnl"/>
        </w:rPr>
        <w:t>“...la respuesta por parte de la autoridad motivo del presente recurso es insuficiente ya que solo mencionó el año 2020 y no así responder a toda la solicitud de información de manera completa…”</w:t>
      </w:r>
      <w:r w:rsidRPr="001A1243">
        <w:rPr>
          <w:rFonts w:ascii="Palatino Linotype" w:hAnsi="Palatino Linotype" w:cs="Times New Roman"/>
          <w:color w:val="000000" w:themeColor="text1"/>
          <w:lang w:eastAsia="es-ES_tradnl"/>
        </w:rPr>
        <w:t>; y</w:t>
      </w:r>
      <w:r w:rsidRPr="001A1243">
        <w:rPr>
          <w:rFonts w:ascii="Palatino Linotype" w:hAnsi="Palatino Linotype" w:cs="Times New Roman"/>
          <w:i/>
          <w:color w:val="000000" w:themeColor="text1"/>
          <w:lang w:eastAsia="es-ES_tradnl"/>
        </w:rPr>
        <w:t xml:space="preserve"> "...como se desprende del informe justificado de la autoridad responsable, la supuesta búsqueda que realizaron en ningún momento especifica circunstancia de tiempo, modo y lugar ya que de la solicitud de información..."</w:t>
      </w:r>
    </w:p>
    <w:p w14:paraId="0CE5EEC9" w14:textId="77777777" w:rsidR="00185A7A" w:rsidRPr="001A1243" w:rsidRDefault="00185A7A" w:rsidP="00185A7A">
      <w:pPr>
        <w:pStyle w:val="Prrafodelista"/>
        <w:rPr>
          <w:rFonts w:ascii="Palatino Linotype" w:hAnsi="Palatino Linotype" w:cs="Times New Roman"/>
          <w:color w:val="000000" w:themeColor="text1"/>
          <w:lang w:eastAsia="es-ES_tradnl"/>
        </w:rPr>
      </w:pPr>
    </w:p>
    <w:p w14:paraId="1E4136D8" w14:textId="75674082" w:rsidR="00231FF8" w:rsidRPr="001A1243" w:rsidRDefault="00231FF8" w:rsidP="00231FF8">
      <w:pPr>
        <w:pStyle w:val="Prrafodelista"/>
        <w:numPr>
          <w:ilvl w:val="0"/>
          <w:numId w:val="2"/>
        </w:numPr>
        <w:spacing w:line="360" w:lineRule="auto"/>
        <w:ind w:left="0" w:firstLine="0"/>
        <w:jc w:val="both"/>
        <w:rPr>
          <w:rFonts w:ascii="Palatino Linotype" w:eastAsia="MS Mincho" w:hAnsi="Palatino Linotype" w:cs="Arial"/>
        </w:rPr>
      </w:pPr>
      <w:r w:rsidRPr="001A1243">
        <w:rPr>
          <w:rFonts w:ascii="Palatino Linotype" w:hAnsi="Palatino Linotype" w:cs="Arial"/>
        </w:rPr>
        <w:t xml:space="preserve">En ese sentido, el </w:t>
      </w:r>
      <w:r w:rsidRPr="001A1243">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1A1243">
        <w:rPr>
          <w:rFonts w:ascii="Palatino Linotype" w:eastAsia="MS Mincho" w:hAnsi="Palatino Linotype" w:cs="Arial"/>
          <w:i/>
        </w:rPr>
        <w:t xml:space="preserve">a todas las áreas competentes que cuenten con la información o deban tenerla de acuerdo a sus facultades, competencias y funciones, </w:t>
      </w:r>
      <w:r w:rsidRPr="001A1243">
        <w:rPr>
          <w:rFonts w:ascii="Palatino Linotype" w:eastAsia="MS Mincho" w:hAnsi="Palatino Linotype" w:cs="Arial"/>
          <w:b/>
          <w:i/>
          <w:u w:val="single"/>
        </w:rPr>
        <w:t>con el objeto de que realicen una búsqueda exhaustiva y razonable de la información solicitada</w:t>
      </w:r>
      <w:r w:rsidRPr="001A1243">
        <w:rPr>
          <w:rFonts w:ascii="Palatino Linotype" w:eastAsia="MS Mincho" w:hAnsi="Palatino Linotype" w:cs="Arial"/>
          <w:i/>
        </w:rPr>
        <w:t>,</w:t>
      </w:r>
      <w:r w:rsidRPr="001A1243">
        <w:rPr>
          <w:rFonts w:ascii="Palatino Linotype" w:eastAsia="MS Mincho" w:hAnsi="Palatino Linotype" w:cs="Arial"/>
        </w:rPr>
        <w:t xml:space="preserve"> según se asienta en el artículo 162 de la ley citada. </w:t>
      </w:r>
    </w:p>
    <w:p w14:paraId="5B66F13E" w14:textId="77777777" w:rsidR="00231FF8" w:rsidRPr="001A1243" w:rsidRDefault="00231FF8" w:rsidP="00231FF8">
      <w:pPr>
        <w:pStyle w:val="Prrafodelista"/>
        <w:numPr>
          <w:ilvl w:val="0"/>
          <w:numId w:val="2"/>
        </w:numPr>
        <w:spacing w:line="360" w:lineRule="auto"/>
        <w:ind w:left="0" w:firstLine="0"/>
        <w:jc w:val="both"/>
        <w:rPr>
          <w:rFonts w:ascii="Palatino Linotype" w:eastAsia="MS Mincho" w:hAnsi="Palatino Linotype" w:cs="Arial"/>
        </w:rPr>
      </w:pPr>
      <w:r w:rsidRPr="001A1243">
        <w:rPr>
          <w:rFonts w:ascii="Palatino Linotype" w:eastAsia="MS Mincho" w:hAnsi="Palatino Linotype" w:cs="Arial"/>
        </w:rPr>
        <w:t>Por lo que el identificar la unidad administrativa que resguarda el documento al que una persona pretende acceder, es practicar una adecuada gestión documental que nos permite localizar el documento, como bien señala el artículo 159 de la Ley de Transparencia.</w:t>
      </w:r>
    </w:p>
    <w:p w14:paraId="6643C11D" w14:textId="77777777" w:rsidR="00185A7A" w:rsidRPr="001A1243" w:rsidRDefault="00185A7A" w:rsidP="00185A7A">
      <w:pPr>
        <w:pStyle w:val="Prrafodelista"/>
        <w:spacing w:line="360" w:lineRule="auto"/>
        <w:ind w:left="0"/>
        <w:jc w:val="both"/>
        <w:rPr>
          <w:rFonts w:ascii="Palatino Linotype" w:eastAsia="MS Mincho" w:hAnsi="Palatino Linotype" w:cs="Arial"/>
        </w:rPr>
      </w:pPr>
    </w:p>
    <w:p w14:paraId="4E46AE12" w14:textId="77777777" w:rsidR="00231FF8" w:rsidRPr="001A1243" w:rsidRDefault="00231FF8" w:rsidP="00231FF8">
      <w:pPr>
        <w:pStyle w:val="Prrafodelista"/>
        <w:numPr>
          <w:ilvl w:val="0"/>
          <w:numId w:val="2"/>
        </w:numPr>
        <w:spacing w:line="360" w:lineRule="auto"/>
        <w:ind w:left="0" w:firstLine="0"/>
        <w:jc w:val="both"/>
        <w:rPr>
          <w:rFonts w:ascii="Palatino Linotype" w:hAnsi="Palatino Linotype"/>
        </w:rPr>
      </w:pPr>
      <w:r w:rsidRPr="001A1243">
        <w:rPr>
          <w:rFonts w:ascii="Palatino Linotype" w:hAnsi="Palatino Linotype"/>
        </w:rPr>
        <w:lastRenderedPageBreak/>
        <w:t xml:space="preserve">El </w:t>
      </w:r>
      <w:r w:rsidRPr="001A1243">
        <w:rPr>
          <w:rFonts w:ascii="Palatino Linotype" w:eastAsia="MS Mincho" w:hAnsi="Palatino Linotype" w:cs="Arial"/>
        </w:rPr>
        <w:t>Titular</w:t>
      </w:r>
      <w:r w:rsidRPr="001A1243">
        <w:rPr>
          <w:rFonts w:ascii="Palatino Linotype" w:hAnsi="Palatino Linotype"/>
        </w:rPr>
        <w:t xml:space="preserve"> de la Unidad de Transparencia tiene la obligación de cumplir con lo que dispone la normatividad aplicable que, en primera instancia implica que solicite a todas las áreas que pudieron haber generado o administrado la información requerida, la búsqueda de la misma. </w:t>
      </w:r>
    </w:p>
    <w:p w14:paraId="0890B592" w14:textId="77777777" w:rsidR="00231FF8" w:rsidRPr="001A1243" w:rsidRDefault="00231FF8" w:rsidP="00231FF8">
      <w:pPr>
        <w:pStyle w:val="Prrafodelista"/>
        <w:rPr>
          <w:rFonts w:ascii="Palatino Linotype" w:hAnsi="Palatino Linotype"/>
        </w:rPr>
      </w:pPr>
    </w:p>
    <w:p w14:paraId="32924B07" w14:textId="77777777" w:rsidR="00231FF8" w:rsidRPr="001A1243" w:rsidRDefault="00231FF8" w:rsidP="00231FF8">
      <w:pPr>
        <w:pStyle w:val="Prrafodelista"/>
        <w:numPr>
          <w:ilvl w:val="0"/>
          <w:numId w:val="2"/>
        </w:numPr>
        <w:spacing w:line="360" w:lineRule="auto"/>
        <w:ind w:left="0" w:firstLine="0"/>
        <w:jc w:val="both"/>
        <w:rPr>
          <w:rFonts w:ascii="Palatino Linotype" w:hAnsi="Palatino Linotype"/>
        </w:rPr>
      </w:pPr>
      <w:r w:rsidRPr="001A1243">
        <w:rPr>
          <w:rFonts w:ascii="Palatino Linotype" w:hAnsi="Palatino Linotype"/>
        </w:rPr>
        <w:t xml:space="preserve">Luego entonces, deben existir requerimientos a los servidores públicos habilitados que eventualmente pudieran poseer o administrar la información, con la finalidad de buscar la información en sus archivos y proporcionarla al titular de la unidad para que éste, a su vez, la </w:t>
      </w:r>
      <w:r w:rsidRPr="001A1243">
        <w:rPr>
          <w:rFonts w:ascii="Palatino Linotype" w:hAnsi="Palatino Linotype"/>
          <w:b/>
          <w:u w:val="single"/>
        </w:rPr>
        <w:t>ponga a disposición del particular en el SAIMEX</w:t>
      </w:r>
      <w:r w:rsidRPr="001A1243">
        <w:rPr>
          <w:rFonts w:ascii="Palatino Linotype" w:hAnsi="Palatino Linotype"/>
        </w:rPr>
        <w:t xml:space="preserve"> y así respetar el derecho del particular para acceder a la información pública, y los artículos 51 y 53 de la ley de la materia que señalan:</w:t>
      </w:r>
    </w:p>
    <w:p w14:paraId="712C94BE" w14:textId="77777777" w:rsidR="007E5E2C" w:rsidRPr="001A1243" w:rsidRDefault="007E5E2C" w:rsidP="007E5E2C">
      <w:pPr>
        <w:pStyle w:val="Prrafodelista"/>
        <w:rPr>
          <w:rFonts w:ascii="Palatino Linotype" w:hAnsi="Palatino Linotype"/>
        </w:rPr>
      </w:pPr>
    </w:p>
    <w:p w14:paraId="31550CBB"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t xml:space="preserve">Artículo 51. Los sujetos obligados designarán a un responsable para atender la Unidad de Transparencia, quien fungirá como enlace entre éstos y los solicitantes. </w:t>
      </w:r>
      <w:r w:rsidRPr="001A1243">
        <w:rPr>
          <w:rFonts w:ascii="Palatino Linotype" w:hAnsi="Palatino Linotype"/>
          <w:b/>
          <w:i/>
          <w:u w:val="single"/>
        </w:rPr>
        <w:t>Dicha Unidad será la encargada de tramitar internamente la solicitud de información</w:t>
      </w:r>
      <w:r w:rsidRPr="001A1243">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6D63CD3"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t>…</w:t>
      </w:r>
    </w:p>
    <w:p w14:paraId="03E82ACC" w14:textId="77777777" w:rsidR="00231FF8" w:rsidRPr="001A1243" w:rsidRDefault="00231FF8" w:rsidP="00231FF8">
      <w:pPr>
        <w:spacing w:line="360" w:lineRule="auto"/>
        <w:ind w:left="851" w:right="616"/>
        <w:jc w:val="both"/>
        <w:rPr>
          <w:rFonts w:ascii="Palatino Linotype" w:hAnsi="Palatino Linotype"/>
          <w:i/>
        </w:rPr>
      </w:pPr>
    </w:p>
    <w:p w14:paraId="7CBE73CD"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t>Artículo 53. Las Unidades de Transparencia tendrán las siguientes funciones:</w:t>
      </w:r>
    </w:p>
    <w:p w14:paraId="316D794F"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t>…</w:t>
      </w:r>
    </w:p>
    <w:p w14:paraId="4FD38CA9"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lastRenderedPageBreak/>
        <w:t xml:space="preserve">II. Recibir, </w:t>
      </w:r>
      <w:r w:rsidRPr="001A1243">
        <w:rPr>
          <w:rFonts w:ascii="Palatino Linotype" w:hAnsi="Palatino Linotype"/>
          <w:b/>
          <w:i/>
          <w:u w:val="single"/>
        </w:rPr>
        <w:t>tramitar</w:t>
      </w:r>
      <w:r w:rsidRPr="001A1243">
        <w:rPr>
          <w:rFonts w:ascii="Palatino Linotype" w:hAnsi="Palatino Linotype"/>
          <w:i/>
        </w:rPr>
        <w:t xml:space="preserve"> y dar respuesta a las solicitudes de acceso a la información;</w:t>
      </w:r>
    </w:p>
    <w:p w14:paraId="01C81BBF"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t>…</w:t>
      </w:r>
    </w:p>
    <w:p w14:paraId="74DD1486" w14:textId="77777777" w:rsidR="00231FF8" w:rsidRPr="001A1243" w:rsidRDefault="00231FF8" w:rsidP="00231FF8">
      <w:pPr>
        <w:spacing w:line="360" w:lineRule="auto"/>
        <w:ind w:left="851" w:right="616"/>
        <w:jc w:val="both"/>
        <w:rPr>
          <w:rFonts w:ascii="Palatino Linotype" w:hAnsi="Palatino Linotype"/>
          <w:b/>
          <w:i/>
          <w:u w:val="single"/>
        </w:rPr>
      </w:pPr>
      <w:r w:rsidRPr="001A1243">
        <w:rPr>
          <w:rFonts w:ascii="Palatino Linotype" w:hAnsi="Palatino Linotype"/>
          <w:i/>
        </w:rPr>
        <w:t>IV.</w:t>
      </w:r>
      <w:r w:rsidRPr="001A1243">
        <w:rPr>
          <w:rFonts w:ascii="Palatino Linotype" w:hAnsi="Palatino Linotype"/>
          <w:i/>
          <w:u w:val="single"/>
        </w:rPr>
        <w:t xml:space="preserve"> </w:t>
      </w:r>
      <w:r w:rsidRPr="001A1243">
        <w:rPr>
          <w:rFonts w:ascii="Palatino Linotype" w:hAnsi="Palatino Linotype"/>
          <w:b/>
          <w:i/>
          <w:u w:val="single"/>
        </w:rPr>
        <w:t>Realizar, con efectividad, los trámites internos necesarios para la atención de las solicitudes de acceso a la información;</w:t>
      </w:r>
    </w:p>
    <w:p w14:paraId="606943FA"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t>…</w:t>
      </w:r>
    </w:p>
    <w:p w14:paraId="4161C2EF" w14:textId="77777777" w:rsidR="00231FF8" w:rsidRPr="001A1243" w:rsidRDefault="00231FF8" w:rsidP="00231FF8">
      <w:pPr>
        <w:spacing w:line="360" w:lineRule="auto"/>
        <w:ind w:left="851" w:right="616"/>
        <w:jc w:val="both"/>
        <w:rPr>
          <w:rFonts w:ascii="Palatino Linotype" w:hAnsi="Palatino Linotype"/>
          <w:i/>
        </w:rPr>
      </w:pPr>
      <w:r w:rsidRPr="001A1243">
        <w:rPr>
          <w:rFonts w:ascii="Palatino Linotype" w:hAnsi="Palatino Linotype"/>
          <w:i/>
        </w:rPr>
        <w:t>XII. Fomentar la transparencia y accesibilidad al interior del sujeto obligado;</w:t>
      </w:r>
    </w:p>
    <w:p w14:paraId="5591377C" w14:textId="77777777" w:rsidR="007E5E2C" w:rsidRPr="001A1243" w:rsidRDefault="007E5E2C" w:rsidP="007E5E2C">
      <w:pPr>
        <w:pStyle w:val="Prrafodelista"/>
        <w:spacing w:line="360" w:lineRule="auto"/>
        <w:ind w:left="567" w:right="474"/>
        <w:jc w:val="both"/>
        <w:rPr>
          <w:rFonts w:ascii="Palatino Linotype" w:hAnsi="Palatino Linotype" w:cs="Times New Roman"/>
          <w:color w:val="000000" w:themeColor="text1"/>
          <w:lang w:eastAsia="es-ES_tradnl"/>
        </w:rPr>
      </w:pPr>
      <w:r w:rsidRPr="001A1243">
        <w:rPr>
          <w:rFonts w:ascii="Palatino Linotype" w:hAnsi="Palatino Linotype" w:cs="Times New Roman"/>
          <w:color w:val="000000" w:themeColor="text1"/>
          <w:lang w:eastAsia="es-ES_tradnl"/>
        </w:rPr>
        <w:t>Énfasis añadido</w:t>
      </w:r>
    </w:p>
    <w:p w14:paraId="5E8020FD" w14:textId="77777777" w:rsidR="00231FF8" w:rsidRPr="001A1243" w:rsidRDefault="00231FF8" w:rsidP="00231FF8">
      <w:pPr>
        <w:spacing w:line="360" w:lineRule="auto"/>
        <w:ind w:left="851" w:right="616"/>
        <w:jc w:val="both"/>
        <w:rPr>
          <w:rFonts w:ascii="Palatino Linotype" w:hAnsi="Palatino Linotype"/>
          <w:i/>
        </w:rPr>
      </w:pPr>
    </w:p>
    <w:p w14:paraId="3F0A6970" w14:textId="617B31A1" w:rsidR="007E5E2C" w:rsidRPr="001A1243" w:rsidRDefault="00231FF8" w:rsidP="00661B40">
      <w:pPr>
        <w:numPr>
          <w:ilvl w:val="0"/>
          <w:numId w:val="2"/>
        </w:numPr>
        <w:spacing w:line="360" w:lineRule="auto"/>
        <w:ind w:left="0" w:right="49" w:firstLine="0"/>
        <w:contextualSpacing/>
        <w:jc w:val="both"/>
        <w:rPr>
          <w:rFonts w:ascii="Palatino Linotype" w:hAnsi="Palatino Linotype" w:cs="Times New Roman"/>
          <w:i/>
          <w:color w:val="000000" w:themeColor="text1"/>
          <w:lang w:eastAsia="es-ES_tradnl"/>
        </w:rPr>
      </w:pPr>
      <w:r w:rsidRPr="001A1243">
        <w:rPr>
          <w:rFonts w:ascii="Palatino Linotype" w:hAnsi="Palatino Linotype" w:cs="Times New Roman"/>
          <w:color w:val="000000" w:themeColor="text1"/>
          <w:lang w:eastAsia="es-ES_tradnl"/>
        </w:rPr>
        <w:t>Contexto que en el present</w:t>
      </w:r>
      <w:r w:rsidR="007E5E2C" w:rsidRPr="001A1243">
        <w:rPr>
          <w:rFonts w:ascii="Palatino Linotype" w:hAnsi="Palatino Linotype" w:cs="Times New Roman"/>
          <w:color w:val="000000" w:themeColor="text1"/>
          <w:lang w:eastAsia="es-ES_tradnl"/>
        </w:rPr>
        <w:t xml:space="preserve">e caso se advierte, no ocurrió, pues solo se </w:t>
      </w:r>
      <w:r w:rsidR="00661B40" w:rsidRPr="001A1243">
        <w:rPr>
          <w:rFonts w:ascii="Palatino Linotype" w:hAnsi="Palatino Linotype" w:cs="Times New Roman"/>
          <w:color w:val="000000" w:themeColor="text1"/>
          <w:lang w:eastAsia="es-ES_tradnl"/>
        </w:rPr>
        <w:t>advierten meros pronunciamientos.</w:t>
      </w:r>
    </w:p>
    <w:p w14:paraId="225CE99F" w14:textId="77777777" w:rsidR="00661B40" w:rsidRPr="001A1243" w:rsidRDefault="00661B40" w:rsidP="00661B40">
      <w:pPr>
        <w:spacing w:line="360" w:lineRule="auto"/>
        <w:ind w:right="49"/>
        <w:contextualSpacing/>
        <w:jc w:val="both"/>
        <w:rPr>
          <w:rFonts w:ascii="Palatino Linotype" w:hAnsi="Palatino Linotype" w:cs="Times New Roman"/>
          <w:i/>
          <w:color w:val="000000" w:themeColor="text1"/>
          <w:lang w:eastAsia="es-ES_tradnl"/>
        </w:rPr>
      </w:pPr>
    </w:p>
    <w:p w14:paraId="50545B36" w14:textId="38626E6D" w:rsidR="00185A7A" w:rsidRPr="001A1243" w:rsidRDefault="00185A7A" w:rsidP="00185A7A">
      <w:pPr>
        <w:numPr>
          <w:ilvl w:val="0"/>
          <w:numId w:val="2"/>
        </w:numPr>
        <w:spacing w:line="360" w:lineRule="auto"/>
        <w:ind w:left="0" w:right="49" w:firstLine="0"/>
        <w:contextualSpacing/>
        <w:jc w:val="both"/>
        <w:rPr>
          <w:rFonts w:ascii="Palatino Linotype" w:hAnsi="Palatino Linotype"/>
        </w:rPr>
      </w:pPr>
      <w:r w:rsidRPr="001A1243">
        <w:rPr>
          <w:rFonts w:ascii="Palatino Linotype" w:hAnsi="Palatino Linotype" w:cs="Times New Roman"/>
          <w:color w:val="000000" w:themeColor="text1"/>
          <w:lang w:eastAsia="es-ES_tradnl"/>
        </w:rPr>
        <w:t>Por otro lado, al momento de rendir alegatos la parte recurrente amplio el nombre de una de las personas</w:t>
      </w:r>
      <w:r w:rsidRPr="001A1243">
        <w:t xml:space="preserve"> </w:t>
      </w:r>
      <w:r w:rsidRPr="001A1243">
        <w:rPr>
          <w:rFonts w:ascii="Palatino Linotype" w:hAnsi="Palatino Linotype" w:cs="Times New Roman"/>
          <w:color w:val="000000" w:themeColor="text1"/>
          <w:lang w:eastAsia="es-ES_tradnl"/>
        </w:rPr>
        <w:t xml:space="preserve">de </w:t>
      </w:r>
      <w:r w:rsidR="00A60135" w:rsidRPr="00A60135">
        <w:rPr>
          <w:rFonts w:ascii="Palatino Linotype" w:hAnsi="Palatino Linotype" w:cs="Times New Roman"/>
          <w:color w:val="000000" w:themeColor="text1"/>
          <w:highlight w:val="black"/>
          <w:lang w:eastAsia="es-ES_tradnl"/>
        </w:rPr>
        <w:t>------------------------------</w:t>
      </w:r>
      <w:r w:rsidRPr="001A1243">
        <w:rPr>
          <w:rFonts w:ascii="Palatino Linotype" w:hAnsi="Palatino Linotype" w:cs="Times New Roman"/>
          <w:color w:val="000000" w:themeColor="text1"/>
          <w:lang w:eastAsia="es-ES_tradnl"/>
        </w:rPr>
        <w:t xml:space="preserve"> a </w:t>
      </w:r>
      <w:r w:rsidR="00A60135" w:rsidRPr="00A60135">
        <w:rPr>
          <w:rFonts w:ascii="Palatino Linotype" w:hAnsi="Palatino Linotype" w:cs="Times New Roman"/>
          <w:color w:val="000000" w:themeColor="text1"/>
          <w:highlight w:val="black"/>
          <w:lang w:eastAsia="es-ES_tradnl"/>
        </w:rPr>
        <w:t>-----------------------------</w:t>
      </w:r>
      <w:r w:rsidRPr="00A60135">
        <w:rPr>
          <w:rFonts w:ascii="Palatino Linotype" w:hAnsi="Palatino Linotype" w:cs="Times New Roman"/>
          <w:color w:val="000000" w:themeColor="text1"/>
          <w:highlight w:val="black"/>
          <w:lang w:eastAsia="es-ES_tradnl"/>
        </w:rPr>
        <w:t xml:space="preserve"> </w:t>
      </w:r>
      <w:r w:rsidR="00A60135" w:rsidRPr="00A60135">
        <w:rPr>
          <w:rFonts w:ascii="Palatino Linotype" w:hAnsi="Palatino Linotype" w:cs="Times New Roman"/>
          <w:color w:val="000000" w:themeColor="text1"/>
          <w:highlight w:val="black"/>
          <w:lang w:eastAsia="es-ES_tradnl"/>
        </w:rPr>
        <w:t>------------------</w:t>
      </w:r>
      <w:r w:rsidRPr="001A1243">
        <w:rPr>
          <w:rFonts w:ascii="Palatino Linotype" w:hAnsi="Palatino Linotype" w:cs="Times New Roman"/>
          <w:color w:val="000000" w:themeColor="text1"/>
          <w:lang w:eastAsia="es-ES_tradnl"/>
        </w:rPr>
        <w:t xml:space="preserve"> y abono datos de un cargo junto con los CC. </w:t>
      </w:r>
      <w:r w:rsidR="00A60135" w:rsidRPr="00A60135">
        <w:rPr>
          <w:rFonts w:ascii="Palatino Linotype" w:hAnsi="Palatino Linotype" w:cs="Times New Roman"/>
          <w:color w:val="000000" w:themeColor="text1"/>
          <w:highlight w:val="black"/>
          <w:lang w:eastAsia="es-ES_tradnl"/>
        </w:rPr>
        <w:t>---------------------</w:t>
      </w:r>
      <w:r w:rsidRPr="001A1243">
        <w:rPr>
          <w:rFonts w:ascii="Palatino Linotype" w:hAnsi="Palatino Linotype" w:cs="Times New Roman"/>
          <w:color w:val="000000" w:themeColor="text1"/>
          <w:lang w:eastAsia="es-ES_tradnl"/>
        </w:rPr>
        <w:t xml:space="preserve"> y </w:t>
      </w:r>
      <w:r w:rsidR="00A60135" w:rsidRPr="00A60135">
        <w:rPr>
          <w:rFonts w:ascii="Palatino Linotype" w:hAnsi="Palatino Linotype" w:cs="Times New Roman"/>
          <w:color w:val="000000" w:themeColor="text1"/>
          <w:highlight w:val="black"/>
          <w:lang w:eastAsia="es-ES_tradnl"/>
        </w:rPr>
        <w:t>----------------------------------------</w:t>
      </w:r>
      <w:r w:rsidR="008870F7" w:rsidRPr="001A1243">
        <w:rPr>
          <w:rFonts w:ascii="Palatino Linotype" w:hAnsi="Palatino Linotype" w:cs="Times New Roman"/>
          <w:color w:val="000000" w:themeColor="text1"/>
          <w:lang w:eastAsia="es-ES_tradnl"/>
        </w:rPr>
        <w:t>.</w:t>
      </w:r>
    </w:p>
    <w:p w14:paraId="7D06EFE7" w14:textId="77777777" w:rsidR="008870F7" w:rsidRPr="001A1243" w:rsidRDefault="008870F7" w:rsidP="008870F7">
      <w:pPr>
        <w:spacing w:line="360" w:lineRule="auto"/>
        <w:ind w:right="49"/>
        <w:contextualSpacing/>
        <w:jc w:val="both"/>
        <w:rPr>
          <w:rFonts w:ascii="Palatino Linotype" w:hAnsi="Palatino Linotype"/>
        </w:rPr>
      </w:pPr>
    </w:p>
    <w:p w14:paraId="3A2EF868" w14:textId="6091F13F" w:rsidR="008870F7" w:rsidRPr="001A1243" w:rsidRDefault="008870F7" w:rsidP="008870F7">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1A1243">
        <w:rPr>
          <w:rFonts w:ascii="Palatino Linotype" w:hAnsi="Palatino Linotype"/>
        </w:rPr>
        <w:t xml:space="preserve">Lo anterior no puede entenderse como una </w:t>
      </w:r>
      <w:r w:rsidRPr="001A1243">
        <w:rPr>
          <w:rFonts w:ascii="Palatino Linotype" w:hAnsi="Palatino Linotype"/>
          <w:i/>
        </w:rPr>
        <w:t xml:space="preserve">Plus </w:t>
      </w:r>
      <w:proofErr w:type="spellStart"/>
      <w:r w:rsidRPr="001A1243">
        <w:rPr>
          <w:rFonts w:ascii="Palatino Linotype" w:hAnsi="Palatino Linotype"/>
          <w:i/>
        </w:rPr>
        <w:t>petitio</w:t>
      </w:r>
      <w:proofErr w:type="spellEnd"/>
      <w:r w:rsidRPr="001A1243">
        <w:rPr>
          <w:rFonts w:ascii="Palatino Linotype" w:hAnsi="Palatino Linotype"/>
          <w:i/>
        </w:rPr>
        <w:t xml:space="preserve"> </w:t>
      </w:r>
      <w:r w:rsidRPr="001A1243">
        <w:rPr>
          <w:rFonts w:ascii="Palatino Linotype" w:hAnsi="Palatino Linotype"/>
        </w:rPr>
        <w:t xml:space="preserve">a su solicitud  inicial; toda vez que </w:t>
      </w:r>
      <w:r w:rsidRPr="001A1243">
        <w:rPr>
          <w:rFonts w:ascii="Palatino Linotype" w:eastAsia="Times New Roman" w:hAnsi="Palatino Linotype" w:cs="Arial"/>
          <w:color w:val="000000" w:themeColor="text1"/>
          <w:lang w:val="es-ES"/>
        </w:rPr>
        <w:t>la tesis aislada número I.8o.A.136 A, de la Novena Época, publicada en el Semanario Oficial de la Federación y su Gaceta Tomo XXIX, Marzo de 2009, página 2887, con número de registro 167607, señala que la misma se configura en el siguiente contexto:</w:t>
      </w:r>
    </w:p>
    <w:p w14:paraId="36FC8692" w14:textId="77777777" w:rsidR="008870F7" w:rsidRPr="001A1243" w:rsidRDefault="008870F7" w:rsidP="008870F7">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1A1243">
        <w:rPr>
          <w:rFonts w:ascii="Palatino Linotype" w:eastAsia="Times New Roman" w:hAnsi="Palatino Linotype" w:cs="Arial"/>
          <w:b/>
          <w:bCs/>
          <w:i/>
          <w:iCs/>
          <w:color w:val="000000" w:themeColor="text1"/>
          <w:sz w:val="22"/>
          <w:szCs w:val="22"/>
          <w:lang w:val="es-ES"/>
        </w:rPr>
        <w:lastRenderedPageBreak/>
        <w:t>TRANSPARENCIA Y ACCESO A LA INFORMACIÓN PÚBLICA GUBERNAME</w:t>
      </w:r>
      <w:bookmarkStart w:id="152" w:name="_GoBack"/>
      <w:bookmarkEnd w:id="152"/>
      <w:r w:rsidRPr="001A1243">
        <w:rPr>
          <w:rFonts w:ascii="Palatino Linotype" w:eastAsia="Times New Roman" w:hAnsi="Palatino Linotype" w:cs="Arial"/>
          <w:b/>
          <w:bCs/>
          <w:i/>
          <w:iCs/>
          <w:color w:val="000000" w:themeColor="text1"/>
          <w:sz w:val="22"/>
          <w:szCs w:val="22"/>
          <w:lang w:val="es-ES"/>
        </w:rPr>
        <w:t>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10C3723F" w14:textId="77777777" w:rsidR="008870F7" w:rsidRPr="001A1243" w:rsidRDefault="008870F7" w:rsidP="008870F7">
      <w:pPr>
        <w:pStyle w:val="Prrafodelista"/>
        <w:shd w:val="clear" w:color="auto" w:fill="FFFFFF"/>
        <w:spacing w:line="360" w:lineRule="auto"/>
        <w:ind w:left="709" w:right="567"/>
        <w:jc w:val="both"/>
        <w:rPr>
          <w:rFonts w:ascii="Palatino Linotype" w:eastAsia="Times New Roman" w:hAnsi="Palatino Linotype" w:cs="Arial"/>
          <w:i/>
          <w:iCs/>
          <w:color w:val="000000" w:themeColor="text1"/>
          <w:sz w:val="22"/>
          <w:szCs w:val="22"/>
          <w:lang w:val="es-ES"/>
        </w:rPr>
      </w:pPr>
      <w:r w:rsidRPr="001A1243">
        <w:rPr>
          <w:rFonts w:ascii="Palatino Linotype" w:eastAsia="Times New Roman" w:hAnsi="Palatino Linotype" w:cs="Arial"/>
          <w:i/>
          <w:iCs/>
          <w:color w:val="000000" w:themeColor="text1"/>
          <w:sz w:val="22"/>
          <w:szCs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502A13F" w14:textId="77777777" w:rsidR="008870F7" w:rsidRPr="001A1243" w:rsidRDefault="008870F7" w:rsidP="008870F7">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40F0B6DE" w14:textId="54639D09" w:rsidR="008870F7" w:rsidRPr="001A1243" w:rsidRDefault="008870F7" w:rsidP="008870F7">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1A1243">
        <w:rPr>
          <w:rFonts w:ascii="Palatino Linotype" w:hAnsi="Palatino Linotype" w:cs="Arial"/>
        </w:rPr>
        <w:t>Asimismo</w:t>
      </w:r>
      <w:r w:rsidRPr="001A1243">
        <w:rPr>
          <w:rFonts w:ascii="Palatino Linotype" w:eastAsia="Times New Roman" w:hAnsi="Palatino Linotype" w:cs="Arial"/>
          <w:color w:val="000000" w:themeColor="text1"/>
          <w:lang w:val="es-ES"/>
        </w:rPr>
        <w:t xml:space="preserve">, de acuerdo al criterio del Instituto Nacional de Transparencia, Acceso a la Información y Protección de Datos Personales </w:t>
      </w:r>
      <w:r w:rsidRPr="001A1243">
        <w:rPr>
          <w:rFonts w:ascii="Palatino Linotype" w:eastAsia="Times New Roman" w:hAnsi="Palatino Linotype" w:cs="Arial"/>
          <w:b/>
          <w:color w:val="000000" w:themeColor="text1"/>
          <w:lang w:val="es-ES"/>
        </w:rPr>
        <w:t>número</w:t>
      </w:r>
      <w:r w:rsidRPr="001A1243">
        <w:rPr>
          <w:rFonts w:ascii="Palatino Linotype" w:eastAsia="Times New Roman" w:hAnsi="Palatino Linotype" w:cs="Arial"/>
          <w:color w:val="000000" w:themeColor="text1"/>
          <w:lang w:val="es-ES"/>
        </w:rPr>
        <w:t xml:space="preserve"> </w:t>
      </w:r>
      <w:r w:rsidRPr="001A1243">
        <w:rPr>
          <w:rFonts w:ascii="Palatino Linotype" w:eastAsia="Times New Roman" w:hAnsi="Palatino Linotype" w:cs="Arial"/>
          <w:b/>
          <w:color w:val="000000" w:themeColor="text1"/>
          <w:lang w:val="es-ES"/>
        </w:rPr>
        <w:t xml:space="preserve">01/17, </w:t>
      </w:r>
      <w:r w:rsidRPr="001A1243">
        <w:rPr>
          <w:rFonts w:ascii="Palatino Linotype" w:eastAsia="Times New Roman" w:hAnsi="Palatino Linotype" w:cs="Arial"/>
          <w:color w:val="000000" w:themeColor="text1"/>
          <w:lang w:val="es-ES"/>
        </w:rPr>
        <w:t>corresponde a lo siguiente:</w:t>
      </w:r>
    </w:p>
    <w:p w14:paraId="6DA43957" w14:textId="77777777" w:rsidR="008870F7" w:rsidRPr="001A1243" w:rsidRDefault="008870F7" w:rsidP="008870F7">
      <w:pPr>
        <w:spacing w:line="360" w:lineRule="auto"/>
        <w:ind w:left="567" w:right="567"/>
        <w:jc w:val="both"/>
        <w:rPr>
          <w:rFonts w:ascii="Palatino Linotype" w:hAnsi="Palatino Linotype" w:cs="Arial"/>
          <w:b/>
          <w:i/>
        </w:rPr>
      </w:pPr>
      <w:r w:rsidRPr="001A1243">
        <w:rPr>
          <w:rFonts w:ascii="Palatino Linotype" w:hAnsi="Palatino Linotype" w:cs="Arial"/>
          <w:b/>
          <w:i/>
        </w:rPr>
        <w:t xml:space="preserve">Es improcedente ampliar las solicitudes de acceso a información, a través de la interposición del recurso de revisión. </w:t>
      </w:r>
      <w:r w:rsidRPr="001A1243">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0389E83" w14:textId="77777777" w:rsidR="008870F7" w:rsidRPr="001A1243" w:rsidRDefault="008870F7" w:rsidP="008870F7">
      <w:pPr>
        <w:ind w:left="993" w:right="567"/>
        <w:jc w:val="both"/>
        <w:rPr>
          <w:rFonts w:ascii="Palatino Linotype" w:hAnsi="Palatino Linotype" w:cs="Arial"/>
          <w:b/>
          <w:i/>
        </w:rPr>
      </w:pPr>
    </w:p>
    <w:p w14:paraId="2725F49D" w14:textId="77777777" w:rsidR="008870F7" w:rsidRPr="001A1243" w:rsidRDefault="008870F7" w:rsidP="008870F7">
      <w:pPr>
        <w:ind w:left="993" w:right="567"/>
        <w:jc w:val="both"/>
        <w:rPr>
          <w:rFonts w:ascii="Palatino Linotype" w:hAnsi="Palatino Linotype" w:cs="Arial"/>
          <w:b/>
          <w:i/>
          <w:sz w:val="20"/>
        </w:rPr>
      </w:pPr>
      <w:r w:rsidRPr="001A1243">
        <w:rPr>
          <w:rFonts w:ascii="Palatino Linotype" w:hAnsi="Palatino Linotype" w:cs="Arial"/>
          <w:b/>
          <w:i/>
          <w:sz w:val="20"/>
        </w:rPr>
        <w:t>Resoluciones:</w:t>
      </w:r>
    </w:p>
    <w:p w14:paraId="7625E986" w14:textId="77777777" w:rsidR="008870F7" w:rsidRPr="001A1243" w:rsidRDefault="008870F7" w:rsidP="008870F7">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1A1243">
        <w:rPr>
          <w:rFonts w:ascii="Palatino Linotype" w:hAnsi="Palatino Linotype" w:cs="Arial"/>
          <w:b/>
          <w:i/>
          <w:sz w:val="20"/>
        </w:rPr>
        <w:t>RRA 0196/16.</w:t>
      </w:r>
      <w:r w:rsidRPr="001A1243">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277CA641" w14:textId="77777777" w:rsidR="008870F7" w:rsidRPr="001A1243" w:rsidRDefault="008870F7" w:rsidP="008870F7">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1A1243">
        <w:rPr>
          <w:rFonts w:ascii="Palatino Linotype" w:hAnsi="Palatino Linotype" w:cs="Arial"/>
          <w:b/>
          <w:i/>
          <w:sz w:val="20"/>
        </w:rPr>
        <w:t xml:space="preserve">RRA 0130/16. </w:t>
      </w:r>
      <w:r w:rsidRPr="001A1243">
        <w:rPr>
          <w:rFonts w:ascii="Palatino Linotype" w:hAnsi="Palatino Linotype" w:cs="Arial"/>
          <w:i/>
          <w:sz w:val="20"/>
        </w:rPr>
        <w:t xml:space="preserve">Comisión Nacional del Agua. 09 de agosto de 2016. Por unanimidad. Comisionado Ponente </w:t>
      </w:r>
      <w:r w:rsidRPr="001A1243">
        <w:rPr>
          <w:rFonts w:ascii="Palatino Linotype" w:hAnsi="Palatino Linotype"/>
          <w:i/>
          <w:color w:val="000000"/>
          <w:sz w:val="20"/>
        </w:rPr>
        <w:t xml:space="preserve">María Patricia </w:t>
      </w:r>
      <w:proofErr w:type="spellStart"/>
      <w:r w:rsidRPr="001A1243">
        <w:rPr>
          <w:rFonts w:ascii="Palatino Linotype" w:hAnsi="Palatino Linotype"/>
          <w:i/>
          <w:color w:val="000000"/>
          <w:sz w:val="20"/>
        </w:rPr>
        <w:t>Kurczyn</w:t>
      </w:r>
      <w:proofErr w:type="spellEnd"/>
      <w:r w:rsidRPr="001A1243">
        <w:rPr>
          <w:rFonts w:ascii="Palatino Linotype" w:hAnsi="Palatino Linotype"/>
          <w:i/>
          <w:color w:val="000000"/>
          <w:sz w:val="20"/>
        </w:rPr>
        <w:t xml:space="preserve"> Villalobos.</w:t>
      </w:r>
    </w:p>
    <w:p w14:paraId="7402C6BB" w14:textId="77777777" w:rsidR="008870F7" w:rsidRPr="001A1243" w:rsidRDefault="008870F7" w:rsidP="008870F7">
      <w:pPr>
        <w:pStyle w:val="Prrafodelista"/>
        <w:shd w:val="clear" w:color="auto" w:fill="FFFFFF"/>
        <w:spacing w:before="240" w:after="240" w:line="360" w:lineRule="auto"/>
        <w:ind w:left="993" w:right="567"/>
        <w:jc w:val="both"/>
        <w:rPr>
          <w:rFonts w:ascii="Palatino Linotype" w:hAnsi="Palatino Linotype" w:cs="Arial"/>
          <w:i/>
          <w:sz w:val="20"/>
        </w:rPr>
      </w:pPr>
      <w:r w:rsidRPr="001A1243">
        <w:rPr>
          <w:rFonts w:ascii="Palatino Linotype" w:hAnsi="Palatino Linotype" w:cs="Arial"/>
          <w:b/>
          <w:i/>
          <w:sz w:val="20"/>
        </w:rPr>
        <w:t>RRA 0342/16.</w:t>
      </w:r>
      <w:r w:rsidRPr="001A1243">
        <w:rPr>
          <w:rFonts w:ascii="Palatino Linotype" w:hAnsi="Palatino Linotype" w:cs="Arial"/>
          <w:i/>
          <w:sz w:val="20"/>
        </w:rPr>
        <w:t xml:space="preserve"> Colegio de Bachilleres. 24 de agosto de 2016. Por unanimidad. Comisionada Ponente Ximena Puente de la Mora.</w:t>
      </w:r>
    </w:p>
    <w:p w14:paraId="4EB619F9" w14:textId="3F4FD2B2" w:rsidR="00185A7A" w:rsidRPr="001A1243" w:rsidRDefault="008870F7" w:rsidP="008F2F8E">
      <w:pPr>
        <w:numPr>
          <w:ilvl w:val="0"/>
          <w:numId w:val="2"/>
        </w:numPr>
        <w:spacing w:line="360" w:lineRule="auto"/>
        <w:ind w:left="0" w:right="49" w:firstLine="0"/>
        <w:contextualSpacing/>
        <w:jc w:val="both"/>
        <w:rPr>
          <w:rFonts w:ascii="Palatino Linotype" w:hAnsi="Palatino Linotype"/>
        </w:rPr>
      </w:pPr>
      <w:r w:rsidRPr="001A1243">
        <w:rPr>
          <w:rFonts w:ascii="Palatino Linotype" w:hAnsi="Palatino Linotype"/>
        </w:rPr>
        <w:lastRenderedPageBreak/>
        <w:t>Luego entonces, se colige que no corresponde a una ampliación de solicitud de información; sino que se abonaron elementos para la búsqueda y localización de la información sin cambiar los hechos expuestos de manera inicial.</w:t>
      </w:r>
    </w:p>
    <w:p w14:paraId="24C00FED" w14:textId="77777777" w:rsidR="007C01BB" w:rsidRPr="001A1243" w:rsidRDefault="007C01BB" w:rsidP="007C01BB">
      <w:pPr>
        <w:spacing w:line="360" w:lineRule="auto"/>
        <w:ind w:right="49"/>
        <w:contextualSpacing/>
        <w:jc w:val="both"/>
        <w:rPr>
          <w:rFonts w:ascii="Palatino Linotype" w:hAnsi="Palatino Linotype"/>
        </w:rPr>
      </w:pPr>
    </w:p>
    <w:p w14:paraId="0B144C4E" w14:textId="1F9F60EA" w:rsidR="007C01BB" w:rsidRPr="001A1243" w:rsidRDefault="007C01BB" w:rsidP="007C01BB">
      <w:pPr>
        <w:numPr>
          <w:ilvl w:val="0"/>
          <w:numId w:val="2"/>
        </w:numPr>
        <w:spacing w:line="360" w:lineRule="auto"/>
        <w:ind w:left="0" w:right="49" w:firstLine="0"/>
        <w:contextualSpacing/>
        <w:jc w:val="both"/>
        <w:rPr>
          <w:rFonts w:ascii="Palatino Linotype" w:hAnsi="Palatino Linotype"/>
        </w:rPr>
      </w:pPr>
      <w:r w:rsidRPr="001A1243">
        <w:rPr>
          <w:rFonts w:ascii="Palatino Linotype" w:hAnsi="Palatino Linotype"/>
        </w:rPr>
        <w:t>Sirve de criterio orientador lo establecido en el párrafo cuarto del artículo de la Ley de Transparencia y Acceso a la Información Pública del Estado de México y Municipios, a saber:</w:t>
      </w:r>
    </w:p>
    <w:p w14:paraId="3D857BC8" w14:textId="77777777" w:rsidR="007C01BB" w:rsidRPr="001A1243" w:rsidRDefault="007C01BB" w:rsidP="007C01BB">
      <w:pPr>
        <w:spacing w:line="360" w:lineRule="auto"/>
        <w:ind w:right="49"/>
        <w:contextualSpacing/>
        <w:jc w:val="both"/>
        <w:rPr>
          <w:rFonts w:ascii="Palatino Linotype" w:hAnsi="Palatino Linotype"/>
        </w:rPr>
      </w:pPr>
    </w:p>
    <w:p w14:paraId="43D0E222" w14:textId="4EEDF784" w:rsidR="007C01BB" w:rsidRPr="001A1243" w:rsidRDefault="007C01BB" w:rsidP="007C01BB">
      <w:pPr>
        <w:spacing w:line="360" w:lineRule="auto"/>
        <w:ind w:left="567" w:right="474"/>
        <w:contextualSpacing/>
        <w:jc w:val="both"/>
        <w:rPr>
          <w:rFonts w:ascii="Palatino Linotype" w:hAnsi="Palatino Linotype"/>
          <w:sz w:val="22"/>
        </w:rPr>
      </w:pPr>
      <w:r w:rsidRPr="001A1243">
        <w:rPr>
          <w:rFonts w:ascii="Palatino Linotype" w:hAnsi="Palatino Linotype"/>
          <w:sz w:val="22"/>
        </w:rPr>
        <w:t>“Artículo 181. ...</w:t>
      </w:r>
    </w:p>
    <w:p w14:paraId="30E74860" w14:textId="77777777" w:rsidR="007C01BB" w:rsidRPr="001A1243" w:rsidRDefault="007C01BB" w:rsidP="007C01BB">
      <w:pPr>
        <w:spacing w:line="360" w:lineRule="auto"/>
        <w:ind w:left="567" w:right="474"/>
        <w:contextualSpacing/>
        <w:jc w:val="both"/>
        <w:rPr>
          <w:rFonts w:ascii="Palatino Linotype" w:hAnsi="Palatino Linotype"/>
          <w:sz w:val="22"/>
        </w:rPr>
      </w:pPr>
      <w:r w:rsidRPr="001A1243">
        <w:rPr>
          <w:rFonts w:ascii="Palatino Linotype" w:hAnsi="Palatino Linotype"/>
          <w:sz w:val="22"/>
        </w:rPr>
        <w:t>Durante el procedimiento deberá aplicarse la suplencia de la queja a favor del recurrente, sin cambiar los hechos expuestos, asegurándose de que las partes puedan presentar, de manera oral o escrita, los argumentos que funden y motiven sus pretensiones.</w:t>
      </w:r>
    </w:p>
    <w:p w14:paraId="4205B514" w14:textId="77EDEBC8" w:rsidR="00824C2C" w:rsidRPr="001A1243" w:rsidRDefault="007C01BB" w:rsidP="007C01BB">
      <w:pPr>
        <w:spacing w:line="360" w:lineRule="auto"/>
        <w:ind w:left="567" w:right="474"/>
        <w:contextualSpacing/>
        <w:jc w:val="both"/>
        <w:rPr>
          <w:rFonts w:ascii="Palatino Linotype" w:hAnsi="Palatino Linotype"/>
          <w:sz w:val="22"/>
        </w:rPr>
      </w:pPr>
      <w:r w:rsidRPr="001A1243">
        <w:rPr>
          <w:rFonts w:ascii="Palatino Linotype" w:hAnsi="Palatino Linotype"/>
          <w:sz w:val="22"/>
        </w:rPr>
        <w:t>...”</w:t>
      </w:r>
    </w:p>
    <w:p w14:paraId="26211189" w14:textId="2D2EEC25" w:rsidR="00824C2C" w:rsidRPr="001A1243" w:rsidRDefault="00824C2C" w:rsidP="00824C2C">
      <w:pPr>
        <w:numPr>
          <w:ilvl w:val="0"/>
          <w:numId w:val="2"/>
        </w:numPr>
        <w:spacing w:line="360" w:lineRule="auto"/>
        <w:ind w:left="0" w:right="34" w:firstLine="0"/>
        <w:contextualSpacing/>
        <w:jc w:val="both"/>
        <w:rPr>
          <w:rFonts w:ascii="Palatino Linotype" w:eastAsia="Calibri" w:hAnsi="Palatino Linotype" w:cs="Times New Roman"/>
        </w:rPr>
      </w:pPr>
      <w:r w:rsidRPr="001A1243">
        <w:rPr>
          <w:rFonts w:ascii="Palatino Linotype" w:hAnsi="Palatino Linotype"/>
        </w:rPr>
        <w:t xml:space="preserve">Lo anterior, entonces, se pude considerar </w:t>
      </w:r>
      <w:r w:rsidR="005C3853" w:rsidRPr="001A1243">
        <w:rPr>
          <w:rFonts w:ascii="Palatino Linotype" w:hAnsi="Palatino Linotype"/>
        </w:rPr>
        <w:t>complemente</w:t>
      </w:r>
      <w:r w:rsidRPr="001A1243">
        <w:rPr>
          <w:rFonts w:ascii="Palatino Linotype" w:hAnsi="Palatino Linotype"/>
        </w:rPr>
        <w:t xml:space="preserve"> la expresión documental de la que se desea tener acceso</w:t>
      </w:r>
      <w:r w:rsidR="008E19F3" w:rsidRPr="001A1243">
        <w:rPr>
          <w:rFonts w:ascii="Palatino Linotype" w:hAnsi="Palatino Linotype"/>
        </w:rPr>
        <w:t>,</w:t>
      </w:r>
      <w:r w:rsidR="005C3853" w:rsidRPr="001A1243">
        <w:rPr>
          <w:rFonts w:ascii="Palatino Linotype" w:hAnsi="Palatino Linotype"/>
        </w:rPr>
        <w:t xml:space="preserve"> y</w:t>
      </w:r>
      <w:r w:rsidR="008E19F3" w:rsidRPr="001A1243">
        <w:rPr>
          <w:rFonts w:ascii="Palatino Linotype" w:hAnsi="Palatino Linotype"/>
        </w:rPr>
        <w:t xml:space="preserve"> que fue establecida en un inicio</w:t>
      </w:r>
      <w:r w:rsidRPr="001A1243">
        <w:rPr>
          <w:rFonts w:ascii="Palatino Linotype" w:hAnsi="Palatino Linotype"/>
        </w:rPr>
        <w:t xml:space="preserve">. </w:t>
      </w:r>
      <w:r w:rsidRPr="001A1243">
        <w:rPr>
          <w:rFonts w:ascii="Palatino Linotype" w:eastAsia="Calibri" w:hAnsi="Palatino Linotype" w:cs="Times New Roman"/>
        </w:rPr>
        <w:t xml:space="preserve">Sirve de apoyo a lo anterior el </w:t>
      </w:r>
      <w:r w:rsidRPr="001A1243">
        <w:rPr>
          <w:rFonts w:ascii="Palatino Linotype" w:eastAsia="Calibri" w:hAnsi="Palatino Linotype" w:cs="Times New Roman"/>
          <w:b/>
        </w:rPr>
        <w:t>Criterio 16/17</w:t>
      </w:r>
      <w:r w:rsidRPr="001A1243">
        <w:rPr>
          <w:rFonts w:ascii="Palatino Linotype" w:eastAsia="Calibri" w:hAnsi="Palatino Linotype" w:cs="Times New Roman"/>
        </w:rPr>
        <w:t xml:space="preserve"> emitido por el Instituto Nacional de Transparencia, Acceso a la Información y Protección de Datos Personales y que es del tenor literal siguiente:</w:t>
      </w:r>
    </w:p>
    <w:p w14:paraId="5DAA6B3E" w14:textId="77777777" w:rsidR="00824C2C" w:rsidRPr="001A1243" w:rsidRDefault="00824C2C" w:rsidP="00824C2C">
      <w:pPr>
        <w:spacing w:before="240" w:after="240" w:line="360" w:lineRule="auto"/>
        <w:ind w:left="567" w:right="616"/>
        <w:jc w:val="both"/>
        <w:rPr>
          <w:rFonts w:ascii="Palatino Linotype" w:hAnsi="Palatino Linotype" w:cs="Arial"/>
          <w:i/>
        </w:rPr>
      </w:pPr>
      <w:r w:rsidRPr="001A1243">
        <w:rPr>
          <w:rFonts w:ascii="Palatino Linotype" w:hAnsi="Palatino Linotype" w:cs="Arial"/>
          <w:b/>
          <w:bCs/>
          <w:i/>
        </w:rPr>
        <w:t xml:space="preserve">Expresión documental. </w:t>
      </w:r>
      <w:r w:rsidRPr="001A1243">
        <w:rPr>
          <w:rFonts w:ascii="Palatino Linotype" w:hAnsi="Palatino Linotype" w:cs="Arial"/>
          <w:bCs/>
          <w:i/>
        </w:rPr>
        <w:t>Cuando</w:t>
      </w:r>
      <w:r w:rsidRPr="001A1243">
        <w:rPr>
          <w:rFonts w:ascii="Palatino Linotype" w:hAnsi="Palatino Linotype" w:cs="Arial"/>
          <w:i/>
          <w:color w:val="000000" w:themeColor="text1"/>
          <w:lang w:val="es-ES"/>
        </w:rPr>
        <w:t xml:space="preserve"> los particulares presenten solicitudes de acceso a la información sin identificar de forma precisa la documentación que pudiera contener la información de su interés, </w:t>
      </w:r>
      <w:r w:rsidRPr="001A1243">
        <w:rPr>
          <w:rFonts w:ascii="Palatino Linotype" w:hAnsi="Palatino Linotype" w:cs="Arial"/>
          <w:i/>
        </w:rPr>
        <w:t xml:space="preserve">o bien, la solicitud constituya una </w:t>
      </w:r>
      <w:r w:rsidRPr="001A1243">
        <w:rPr>
          <w:rFonts w:ascii="Palatino Linotype" w:hAnsi="Palatino Linotype" w:cs="Arial"/>
          <w:i/>
        </w:rPr>
        <w:lastRenderedPageBreak/>
        <w:t>consulta,</w:t>
      </w:r>
      <w:r w:rsidRPr="001A1243">
        <w:rPr>
          <w:rFonts w:ascii="Palatino Linotype" w:hAnsi="Palatino Linotype" w:cs="Arial"/>
          <w:i/>
          <w:color w:val="000000" w:themeColor="text1"/>
          <w:lang w:val="es-ES"/>
        </w:rPr>
        <w:t xml:space="preserve"> pero la respuesta pudiera obrar en algún documento en poder de los sujetos obligados, éstos deben dar a dichas solicitudes una interpretación que les otorgue una expresión documental. </w:t>
      </w:r>
    </w:p>
    <w:p w14:paraId="6DE10562" w14:textId="77777777" w:rsidR="00824C2C" w:rsidRPr="001A1243" w:rsidRDefault="00824C2C" w:rsidP="00824C2C">
      <w:pPr>
        <w:ind w:left="567" w:right="616"/>
        <w:jc w:val="both"/>
        <w:rPr>
          <w:rFonts w:ascii="Palatino Linotype" w:hAnsi="Palatino Linotype" w:cs="Arial"/>
          <w:b/>
          <w:i/>
        </w:rPr>
      </w:pPr>
      <w:r w:rsidRPr="001A1243">
        <w:rPr>
          <w:rFonts w:ascii="Palatino Linotype" w:hAnsi="Palatino Linotype" w:cs="Arial"/>
          <w:b/>
          <w:i/>
        </w:rPr>
        <w:t>Resoluciones:</w:t>
      </w:r>
    </w:p>
    <w:p w14:paraId="6C9874F6" w14:textId="77777777" w:rsidR="00824C2C" w:rsidRPr="001A1243" w:rsidRDefault="00824C2C" w:rsidP="00824C2C">
      <w:pPr>
        <w:pStyle w:val="Prrafodelista"/>
        <w:numPr>
          <w:ilvl w:val="0"/>
          <w:numId w:val="36"/>
        </w:numPr>
        <w:pBdr>
          <w:bottom w:val="single" w:sz="12" w:space="1" w:color="auto"/>
        </w:pBdr>
        <w:tabs>
          <w:tab w:val="left" w:pos="7830"/>
        </w:tabs>
        <w:autoSpaceDE w:val="0"/>
        <w:autoSpaceDN w:val="0"/>
        <w:adjustRightInd w:val="0"/>
        <w:spacing w:before="120" w:after="120" w:line="360" w:lineRule="auto"/>
        <w:ind w:left="567" w:right="616" w:hanging="284"/>
        <w:contextualSpacing w:val="0"/>
        <w:jc w:val="both"/>
        <w:rPr>
          <w:rFonts w:ascii="Palatino Linotype" w:hAnsi="Palatino Linotype" w:cs="Arial"/>
          <w:b/>
          <w:i/>
        </w:rPr>
      </w:pPr>
      <w:r w:rsidRPr="001A1243">
        <w:rPr>
          <w:rFonts w:ascii="Palatino Linotype" w:hAnsi="Palatino Linotype" w:cs="Arial"/>
          <w:b/>
          <w:i/>
        </w:rPr>
        <w:t xml:space="preserve">RRA 0774/16. </w:t>
      </w:r>
      <w:r w:rsidRPr="001A1243">
        <w:rPr>
          <w:rFonts w:ascii="Palatino Linotype" w:hAnsi="Palatino Linotype" w:cs="Arial"/>
          <w:i/>
        </w:rPr>
        <w:t xml:space="preserve">Secretaría de Salud. 31 de agosto de 2016. Por unanimidad. Comisionada Ponente María Patricia </w:t>
      </w:r>
      <w:proofErr w:type="spellStart"/>
      <w:r w:rsidRPr="001A1243">
        <w:rPr>
          <w:rFonts w:ascii="Palatino Linotype" w:hAnsi="Palatino Linotype" w:cs="Arial"/>
          <w:i/>
        </w:rPr>
        <w:t>Kurczyn</w:t>
      </w:r>
      <w:proofErr w:type="spellEnd"/>
      <w:r w:rsidRPr="001A1243">
        <w:rPr>
          <w:rFonts w:ascii="Palatino Linotype" w:hAnsi="Palatino Linotype" w:cs="Arial"/>
          <w:i/>
        </w:rPr>
        <w:t xml:space="preserve"> Villalobos.</w:t>
      </w:r>
    </w:p>
    <w:p w14:paraId="2FCC0504" w14:textId="77777777" w:rsidR="00824C2C" w:rsidRPr="001A1243" w:rsidRDefault="00824C2C" w:rsidP="00824C2C">
      <w:pPr>
        <w:pStyle w:val="Prrafodelista"/>
        <w:numPr>
          <w:ilvl w:val="0"/>
          <w:numId w:val="36"/>
        </w:numPr>
        <w:pBdr>
          <w:bottom w:val="single" w:sz="12" w:space="1" w:color="auto"/>
        </w:pBdr>
        <w:tabs>
          <w:tab w:val="left" w:pos="7830"/>
        </w:tabs>
        <w:autoSpaceDE w:val="0"/>
        <w:autoSpaceDN w:val="0"/>
        <w:adjustRightInd w:val="0"/>
        <w:spacing w:before="120" w:after="120" w:line="360" w:lineRule="auto"/>
        <w:ind w:left="567" w:right="616" w:hanging="284"/>
        <w:contextualSpacing w:val="0"/>
        <w:jc w:val="both"/>
        <w:rPr>
          <w:rFonts w:ascii="Palatino Linotype" w:hAnsi="Palatino Linotype" w:cs="Arial"/>
          <w:i/>
        </w:rPr>
      </w:pPr>
      <w:r w:rsidRPr="001A1243">
        <w:rPr>
          <w:rFonts w:ascii="Palatino Linotype" w:hAnsi="Palatino Linotype" w:cs="Arial"/>
          <w:b/>
          <w:i/>
        </w:rPr>
        <w:t xml:space="preserve">RRA 0143/17. </w:t>
      </w:r>
      <w:r w:rsidRPr="001A1243">
        <w:rPr>
          <w:rFonts w:ascii="Palatino Linotype" w:hAnsi="Palatino Linotype" w:cs="Arial"/>
          <w:i/>
        </w:rPr>
        <w:t xml:space="preserve">Universidad Autónoma Agraria Antonio Narro. 22 de febrero de 2017. Por unanimidad. Comisionado Ponente Oscar Mauricio Guerra Ford. </w:t>
      </w:r>
    </w:p>
    <w:p w14:paraId="40E949D6" w14:textId="77777777" w:rsidR="00824C2C" w:rsidRPr="001A1243" w:rsidRDefault="00824C2C" w:rsidP="00824C2C">
      <w:pPr>
        <w:pStyle w:val="Prrafodelista"/>
        <w:numPr>
          <w:ilvl w:val="0"/>
          <w:numId w:val="36"/>
        </w:numPr>
        <w:pBdr>
          <w:bottom w:val="single" w:sz="12" w:space="1" w:color="auto"/>
        </w:pBdr>
        <w:tabs>
          <w:tab w:val="left" w:pos="7830"/>
        </w:tabs>
        <w:autoSpaceDE w:val="0"/>
        <w:autoSpaceDN w:val="0"/>
        <w:adjustRightInd w:val="0"/>
        <w:spacing w:before="120" w:after="120" w:line="360" w:lineRule="auto"/>
        <w:ind w:left="567" w:right="616" w:hanging="284"/>
        <w:contextualSpacing w:val="0"/>
        <w:jc w:val="both"/>
        <w:rPr>
          <w:rFonts w:ascii="Palatino Linotype" w:hAnsi="Palatino Linotype" w:cs="Arial"/>
          <w:i/>
        </w:rPr>
      </w:pPr>
      <w:r w:rsidRPr="001A1243">
        <w:rPr>
          <w:rFonts w:ascii="Palatino Linotype" w:hAnsi="Palatino Linotype" w:cs="Arial"/>
          <w:b/>
          <w:i/>
        </w:rPr>
        <w:t xml:space="preserve">RRA 0540/17. </w:t>
      </w:r>
      <w:r w:rsidRPr="001A1243">
        <w:rPr>
          <w:rFonts w:ascii="Palatino Linotype" w:hAnsi="Palatino Linotype" w:cs="Arial"/>
          <w:i/>
        </w:rPr>
        <w:t xml:space="preserve">Secretaría de Economía. 08 de marzo del 2017. Por unanimidad. Comisionado Ponente Francisco Javier Acuña Llamas. </w:t>
      </w:r>
    </w:p>
    <w:p w14:paraId="50C27959" w14:textId="77777777" w:rsidR="00824C2C" w:rsidRPr="001A1243" w:rsidRDefault="00824C2C" w:rsidP="00824C2C">
      <w:pPr>
        <w:tabs>
          <w:tab w:val="left" w:pos="7830"/>
        </w:tabs>
        <w:spacing w:before="120" w:after="120" w:line="360" w:lineRule="auto"/>
        <w:ind w:left="567" w:right="616"/>
        <w:rPr>
          <w:rFonts w:ascii="Palatino Linotype" w:hAnsi="Palatino Linotype"/>
          <w:i/>
        </w:rPr>
      </w:pPr>
      <w:r w:rsidRPr="001A1243">
        <w:rPr>
          <w:rFonts w:ascii="Palatino Linotype" w:hAnsi="Palatino Linotype" w:cs="Arial"/>
          <w:b/>
          <w:i/>
        </w:rPr>
        <w:t>Segunda Época                                                                           Criterio 16/17</w:t>
      </w:r>
    </w:p>
    <w:p w14:paraId="35582C06" w14:textId="77777777" w:rsidR="008870F7" w:rsidRPr="001A1243" w:rsidRDefault="008870F7" w:rsidP="008870F7">
      <w:pPr>
        <w:spacing w:line="360" w:lineRule="auto"/>
        <w:ind w:right="49"/>
        <w:contextualSpacing/>
        <w:jc w:val="both"/>
        <w:rPr>
          <w:rFonts w:ascii="Palatino Linotype" w:hAnsi="Palatino Linotype"/>
        </w:rPr>
      </w:pPr>
    </w:p>
    <w:p w14:paraId="14DEE495" w14:textId="2155405F" w:rsidR="00FC7B03" w:rsidRPr="001A1243" w:rsidRDefault="008E19F3" w:rsidP="00FC7B03">
      <w:pPr>
        <w:numPr>
          <w:ilvl w:val="0"/>
          <w:numId w:val="2"/>
        </w:numPr>
        <w:spacing w:line="360" w:lineRule="auto"/>
        <w:ind w:left="0" w:firstLine="0"/>
        <w:contextualSpacing/>
        <w:jc w:val="both"/>
        <w:rPr>
          <w:rFonts w:ascii="Palatino Linotype" w:eastAsia="Times New Roman" w:hAnsi="Palatino Linotype"/>
        </w:rPr>
      </w:pPr>
      <w:r w:rsidRPr="001A1243">
        <w:rPr>
          <w:rFonts w:ascii="Palatino Linotype" w:hAnsi="Palatino Linotype"/>
        </w:rPr>
        <w:t>Por otro lado</w:t>
      </w:r>
      <w:r w:rsidR="008870F7" w:rsidRPr="001A1243">
        <w:rPr>
          <w:rFonts w:ascii="Palatino Linotype" w:hAnsi="Palatino Linotype"/>
        </w:rPr>
        <w:t xml:space="preserve">, devienen </w:t>
      </w:r>
      <w:r w:rsidR="008870F7" w:rsidRPr="001A1243">
        <w:rPr>
          <w:rFonts w:ascii="Palatino Linotype" w:hAnsi="Palatino Linotype"/>
          <w:b/>
        </w:rPr>
        <w:t>INOPERANTES</w:t>
      </w:r>
      <w:r w:rsidR="008870F7" w:rsidRPr="001A1243">
        <w:rPr>
          <w:rFonts w:ascii="Palatino Linotype" w:hAnsi="Palatino Linotype"/>
        </w:rPr>
        <w:t xml:space="preserve"> las pretendidas pruebas ofrecidas como anexos I, II y III</w:t>
      </w:r>
      <w:r w:rsidR="00FC7B03" w:rsidRPr="001A1243">
        <w:rPr>
          <w:rFonts w:ascii="Palatino Linotype" w:hAnsi="Palatino Linotype"/>
        </w:rPr>
        <w:t>; toda vez que de su lectura no se aprecia conexidad de las personas enlistadas en la solicitud de información</w:t>
      </w:r>
      <w:r w:rsidRPr="001A1243">
        <w:rPr>
          <w:rFonts w:ascii="Palatino Linotype" w:hAnsi="Palatino Linotype"/>
        </w:rPr>
        <w:t xml:space="preserve"> inicial</w:t>
      </w:r>
      <w:r w:rsidR="00FC7B03" w:rsidRPr="001A1243">
        <w:rPr>
          <w:rFonts w:ascii="Palatino Linotype" w:hAnsi="Palatino Linotype"/>
        </w:rPr>
        <w:t xml:space="preserve">, </w:t>
      </w:r>
      <w:r w:rsidRPr="001A1243">
        <w:rPr>
          <w:rFonts w:ascii="Palatino Linotype" w:hAnsi="Palatino Linotype"/>
        </w:rPr>
        <w:t>y</w:t>
      </w:r>
      <w:r w:rsidR="00FC7B03" w:rsidRPr="001A1243">
        <w:rPr>
          <w:rFonts w:ascii="Palatino Linotype" w:hAnsi="Palatino Linotype"/>
        </w:rPr>
        <w:t xml:space="preserve"> que pretenden ser ofrecidas como hechos notorios. Lo anterior </w:t>
      </w:r>
      <w:r w:rsidR="00DA48A3" w:rsidRPr="001A1243">
        <w:rPr>
          <w:rFonts w:ascii="Palatino Linotype" w:hAnsi="Palatino Linotype"/>
        </w:rPr>
        <w:t xml:space="preserve">es </w:t>
      </w:r>
      <w:r w:rsidRPr="001A1243">
        <w:rPr>
          <w:rFonts w:ascii="Palatino Linotype" w:hAnsi="Palatino Linotype"/>
        </w:rPr>
        <w:t>así</w:t>
      </w:r>
      <w:r w:rsidR="00FC7B03" w:rsidRPr="001A1243">
        <w:rPr>
          <w:rFonts w:ascii="Palatino Linotype" w:hAnsi="Palatino Linotype"/>
        </w:rPr>
        <w:t xml:space="preserve">, en virtud que un hecho notorio </w:t>
      </w:r>
      <w:r w:rsidR="00FC7B03" w:rsidRPr="001A1243">
        <w:rPr>
          <w:rFonts w:ascii="Palatino Linotype" w:eastAsia="Times New Roman" w:hAnsi="Palatino Linotype"/>
        </w:rPr>
        <w:t>de acuerdo a las Tesis P./J. 74/2006 y I.3o.C.102 K, emitidas por el más alto tribunal</w:t>
      </w:r>
      <w:r w:rsidR="005C3853" w:rsidRPr="001A1243">
        <w:rPr>
          <w:rFonts w:ascii="Palatino Linotype" w:eastAsia="Times New Roman" w:hAnsi="Palatino Linotype"/>
        </w:rPr>
        <w:t xml:space="preserve"> del País</w:t>
      </w:r>
      <w:r w:rsidRPr="001A1243">
        <w:rPr>
          <w:rFonts w:ascii="Palatino Linotype" w:eastAsia="Times New Roman" w:hAnsi="Palatino Linotype"/>
        </w:rPr>
        <w:t>,</w:t>
      </w:r>
      <w:r w:rsidR="00FC7B03" w:rsidRPr="001A1243">
        <w:rPr>
          <w:rFonts w:ascii="Palatino Linotype" w:eastAsia="Times New Roman" w:hAnsi="Palatino Linotype"/>
        </w:rPr>
        <w:t xml:space="preserve"> corresponden a lo siguiente:</w:t>
      </w:r>
    </w:p>
    <w:p w14:paraId="45F3F621" w14:textId="77777777" w:rsidR="00FC7B03" w:rsidRPr="001A1243" w:rsidRDefault="00FC7B03" w:rsidP="00FC7B03">
      <w:pPr>
        <w:pStyle w:val="Prrafodelista"/>
        <w:rPr>
          <w:rFonts w:ascii="Palatino Linotype" w:eastAsia="Times New Roman" w:hAnsi="Palatino Linotype"/>
        </w:rPr>
      </w:pPr>
    </w:p>
    <w:p w14:paraId="3B362D33" w14:textId="77777777" w:rsidR="00FC7B03" w:rsidRPr="001A1243" w:rsidRDefault="00FC7B03" w:rsidP="00FC7B03">
      <w:pPr>
        <w:ind w:left="426" w:right="474"/>
        <w:jc w:val="both"/>
        <w:rPr>
          <w:rFonts w:ascii="Palatino Linotype" w:eastAsia="Times New Roman" w:hAnsi="Palatino Linotype" w:cs="Calibri"/>
          <w:b/>
          <w:bCs/>
          <w:color w:val="000000" w:themeColor="text1"/>
          <w:lang w:eastAsia="es-MX"/>
        </w:rPr>
      </w:pPr>
      <w:r w:rsidRPr="001A1243">
        <w:rPr>
          <w:rFonts w:ascii="Palatino Linotype" w:eastAsia="Times New Roman" w:hAnsi="Palatino Linotype" w:cs="Calibri"/>
          <w:b/>
          <w:bCs/>
          <w:color w:val="000000" w:themeColor="text1"/>
          <w:lang w:eastAsia="es-MX"/>
        </w:rPr>
        <w:t>HECHOS NOTORIOS. CONCEPTOS GENERAL Y JURÍDICO.</w:t>
      </w:r>
    </w:p>
    <w:p w14:paraId="2870D5DF" w14:textId="50972CC3" w:rsidR="00FC7B03" w:rsidRPr="001A1243" w:rsidRDefault="00FC7B03" w:rsidP="00FC7B03">
      <w:pPr>
        <w:ind w:left="426" w:right="474"/>
        <w:jc w:val="both"/>
        <w:rPr>
          <w:rFonts w:ascii="Palatino Linotype" w:eastAsia="Times New Roman" w:hAnsi="Palatino Linotype" w:cs="Calibri"/>
          <w:color w:val="000000" w:themeColor="text1"/>
          <w:lang w:eastAsia="es-MX"/>
        </w:rPr>
      </w:pPr>
      <w:r w:rsidRPr="001A1243">
        <w:rPr>
          <w:rFonts w:ascii="Palatino Linotype" w:eastAsia="Times New Roman" w:hAnsi="Palatino Linotype" w:cs="Calibri"/>
          <w:color w:val="000000" w:themeColor="text1"/>
          <w:lang w:eastAsia="es-MX"/>
        </w:rPr>
        <w:t>Conforme al artículo </w:t>
      </w:r>
      <w:hyperlink r:id="rId10" w:history="1">
        <w:r w:rsidRPr="001A1243">
          <w:rPr>
            <w:rFonts w:ascii="Palatino Linotype" w:eastAsia="Times New Roman" w:hAnsi="Palatino Linotype" w:cs="Calibri"/>
            <w:color w:val="000000" w:themeColor="text1"/>
            <w:u w:val="single"/>
            <w:lang w:eastAsia="es-MX"/>
          </w:rPr>
          <w:t>88 del Código Federal de Procedimientos Civiles</w:t>
        </w:r>
      </w:hyperlink>
      <w:r w:rsidRPr="001A1243">
        <w:rPr>
          <w:rFonts w:ascii="Palatino Linotype" w:eastAsia="Times New Roman" w:hAnsi="Palatino Linotype" w:cs="Calibri"/>
          <w:color w:val="000000" w:themeColor="text1"/>
          <w:lang w:eastAsia="es-MX"/>
        </w:rPr>
        <w:t xml:space="preserve"> los tribunales pueden invocar hechos notorios aunque no hayan sido alegados </w:t>
      </w:r>
      <w:r w:rsidRPr="001A1243">
        <w:rPr>
          <w:rFonts w:ascii="Palatino Linotype" w:eastAsia="Times New Roman" w:hAnsi="Palatino Linotype" w:cs="Calibri"/>
          <w:color w:val="000000" w:themeColor="text1"/>
          <w:lang w:eastAsia="es-MX"/>
        </w:rPr>
        <w:lastRenderedPageBreak/>
        <w:t>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0BC98569" w14:textId="77777777" w:rsidR="00FC7B03" w:rsidRPr="001A1243" w:rsidRDefault="00FC7B03" w:rsidP="00FC7B03">
      <w:pPr>
        <w:ind w:left="426" w:right="474"/>
        <w:jc w:val="both"/>
        <w:rPr>
          <w:rFonts w:ascii="Palatino Linotype" w:eastAsia="Times New Roman" w:hAnsi="Palatino Linotype" w:cs="Calibri"/>
          <w:color w:val="000000" w:themeColor="text1"/>
          <w:sz w:val="22"/>
          <w:lang w:eastAsia="es-MX"/>
        </w:rPr>
      </w:pPr>
      <w:r w:rsidRPr="001A1243">
        <w:rPr>
          <w:rFonts w:ascii="Palatino Linotype" w:eastAsia="Times New Roman" w:hAnsi="Palatino Linotype" w:cs="Calibri"/>
          <w:color w:val="000000" w:themeColor="text1"/>
          <w:lang w:eastAsia="es-MX"/>
        </w:rPr>
        <w:br/>
      </w:r>
      <w:r w:rsidRPr="001A1243">
        <w:rPr>
          <w:rFonts w:ascii="Palatino Linotype" w:eastAsia="Times New Roman" w:hAnsi="Palatino Linotype" w:cs="Calibri"/>
          <w:color w:val="000000" w:themeColor="text1"/>
          <w:sz w:val="22"/>
          <w:lang w:eastAsia="es-MX"/>
        </w:rPr>
        <w:t>Controversia constitucional 24/2005. Cámara de Diputados del Congreso de la Unión. 9 de marzo de 2006. Once votos. Ponente: José Ramón Cossío Díaz. Secretarios: Raúl Manuel Mejía Garza y Laura Patricia Rojas Zamudio.</w:t>
      </w:r>
    </w:p>
    <w:p w14:paraId="4D0FC5DD" w14:textId="77777777" w:rsidR="00FC7B03" w:rsidRPr="001A1243" w:rsidRDefault="00FC7B03" w:rsidP="00FC7B03">
      <w:pPr>
        <w:ind w:left="426" w:right="474"/>
        <w:jc w:val="both"/>
        <w:rPr>
          <w:rFonts w:ascii="Palatino Linotype" w:eastAsia="Times New Roman" w:hAnsi="Palatino Linotype" w:cs="Calibri"/>
          <w:color w:val="000000" w:themeColor="text1"/>
          <w:sz w:val="22"/>
          <w:lang w:eastAsia="es-MX"/>
        </w:rPr>
      </w:pPr>
      <w:r w:rsidRPr="001A1243">
        <w:rPr>
          <w:rFonts w:ascii="Palatino Linotype" w:eastAsia="Times New Roman" w:hAnsi="Palatino Linotype" w:cs="Calibri"/>
          <w:color w:val="000000" w:themeColor="text1"/>
          <w:sz w:val="22"/>
          <w:lang w:eastAsia="es-MX"/>
        </w:rPr>
        <w:t>El Tribunal Pleno, el dieciséis de mayo en curso, aprobó, con el número 74/2006, la tesis jurisprudencial que antecede. México, Distrito Federal, a dieciséis de mayo de dos mil seis.</w:t>
      </w:r>
    </w:p>
    <w:p w14:paraId="71269C61" w14:textId="77777777" w:rsidR="00FC7B03" w:rsidRPr="001A1243" w:rsidRDefault="00FC7B03" w:rsidP="00FC7B03">
      <w:pPr>
        <w:ind w:left="426" w:right="474"/>
        <w:jc w:val="both"/>
        <w:rPr>
          <w:rFonts w:ascii="Palatino Linotype" w:eastAsia="Times New Roman" w:hAnsi="Palatino Linotype" w:cs="Calibri"/>
          <w:color w:val="000000" w:themeColor="text1"/>
          <w:sz w:val="22"/>
          <w:lang w:eastAsia="es-MX"/>
        </w:rPr>
      </w:pPr>
      <w:r w:rsidRPr="001A1243">
        <w:rPr>
          <w:rFonts w:ascii="Palatino Linotype" w:eastAsia="Times New Roman" w:hAnsi="Palatino Linotype" w:cs="Calibri"/>
          <w:color w:val="000000" w:themeColor="text1"/>
          <w:sz w:val="22"/>
          <w:lang w:eastAsia="es-MX"/>
        </w:rPr>
        <w:t>Nota: Esta tesis fue objeto de la denuncia relativa a la contradicción de tesis 91/2014, desechada por notoriamente improcedente, mediante acuerdo de 24 de marzo de 2014.</w:t>
      </w:r>
    </w:p>
    <w:p w14:paraId="714A210F" w14:textId="77777777" w:rsidR="00FC7B03" w:rsidRPr="001A1243" w:rsidRDefault="00FC7B03" w:rsidP="00FC7B03">
      <w:pPr>
        <w:ind w:left="426" w:right="474"/>
        <w:jc w:val="both"/>
        <w:rPr>
          <w:rFonts w:ascii="Palatino Linotype" w:eastAsia="Times New Roman" w:hAnsi="Palatino Linotype" w:cs="Calibri"/>
          <w:color w:val="000000" w:themeColor="text1"/>
          <w:sz w:val="22"/>
          <w:lang w:eastAsia="es-MX"/>
        </w:rPr>
      </w:pPr>
    </w:p>
    <w:p w14:paraId="43E324F9" w14:textId="77777777" w:rsidR="00FC7B03" w:rsidRPr="001A1243" w:rsidRDefault="00FC7B03" w:rsidP="00FC7B03">
      <w:pPr>
        <w:ind w:left="426" w:right="474"/>
        <w:jc w:val="both"/>
        <w:rPr>
          <w:rFonts w:ascii="Palatino Linotype" w:eastAsia="Times New Roman" w:hAnsi="Palatino Linotype" w:cs="Calibri"/>
          <w:color w:val="000000" w:themeColor="text1"/>
          <w:sz w:val="22"/>
          <w:lang w:eastAsia="es-MX"/>
        </w:rPr>
      </w:pPr>
    </w:p>
    <w:p w14:paraId="7C0E4D47" w14:textId="77777777" w:rsidR="00FC7B03" w:rsidRPr="001A1243" w:rsidRDefault="00FC7B03" w:rsidP="00FC7B03">
      <w:pPr>
        <w:ind w:left="426" w:right="474"/>
        <w:jc w:val="both"/>
        <w:rPr>
          <w:rFonts w:ascii="Palatino Linotype" w:eastAsia="Times New Roman" w:hAnsi="Palatino Linotype" w:cs="Calibri"/>
          <w:b/>
          <w:bCs/>
          <w:color w:val="000000" w:themeColor="text1"/>
          <w:szCs w:val="26"/>
          <w:lang w:eastAsia="es-MX"/>
        </w:rPr>
      </w:pPr>
      <w:r w:rsidRPr="001A1243">
        <w:rPr>
          <w:rFonts w:ascii="Palatino Linotype" w:eastAsia="Times New Roman" w:hAnsi="Palatino Linotype" w:cs="Calibri"/>
          <w:b/>
          <w:bCs/>
          <w:color w:val="000000" w:themeColor="text1"/>
          <w:szCs w:val="26"/>
          <w:lang w:eastAsia="es-MX"/>
        </w:rPr>
        <w:t>HECHO NOTORIO. SU INVOCACIÓN NO ES UN DERECHO DE LAS PARTES EN EL PROCEDIMIENTO DEL JUICIO DE AMPARO SINO UNA FACULTAD JURISDICCIONAL CONFERIDA AL JUEZ DE DISTRITO QUE NO DEBE APLICAR FRENTE A LA CARGA PROBATORIA QUE DERIVA DEL ARTÍCULO 78 DE LA LEY DE AMPARO.</w:t>
      </w:r>
    </w:p>
    <w:p w14:paraId="4BB7A16A" w14:textId="553A0B3A" w:rsidR="00FC7B03" w:rsidRPr="001A1243" w:rsidRDefault="00FC7B03" w:rsidP="00FC7B03">
      <w:pPr>
        <w:ind w:left="426" w:right="333"/>
        <w:jc w:val="both"/>
        <w:rPr>
          <w:rFonts w:ascii="Palatino Linotype" w:eastAsia="Times New Roman" w:hAnsi="Palatino Linotype" w:cs="Calibri"/>
          <w:color w:val="000000" w:themeColor="text1"/>
          <w:szCs w:val="26"/>
          <w:lang w:eastAsia="es-MX"/>
        </w:rPr>
      </w:pPr>
      <w:r w:rsidRPr="001A1243">
        <w:rPr>
          <w:rFonts w:ascii="Palatino Linotype" w:eastAsia="Times New Roman" w:hAnsi="Palatino Linotype" w:cs="Calibri"/>
          <w:color w:val="000000" w:themeColor="text1"/>
          <w:szCs w:val="26"/>
          <w:lang w:eastAsia="es-MX"/>
        </w:rPr>
        <w:t>Conforme a lo establecido por la Suprema Corte de Justicia de la Nación, en relación a lo dispuesto en el artículo </w:t>
      </w:r>
      <w:hyperlink r:id="rId11" w:history="1">
        <w:r w:rsidRPr="001A1243">
          <w:rPr>
            <w:rFonts w:ascii="Palatino Linotype" w:eastAsia="Times New Roman" w:hAnsi="Palatino Linotype" w:cs="Calibri"/>
            <w:color w:val="000000" w:themeColor="text1"/>
            <w:szCs w:val="26"/>
            <w:lang w:eastAsia="es-MX"/>
          </w:rPr>
          <w:t>88 del Código Federal de Procedimientos Civiles</w:t>
        </w:r>
      </w:hyperlink>
      <w:r w:rsidRPr="001A1243">
        <w:rPr>
          <w:rFonts w:ascii="Palatino Linotype" w:eastAsia="Times New Roman" w:hAnsi="Palatino Linotype" w:cs="Calibri"/>
          <w:color w:val="000000" w:themeColor="text1"/>
          <w:szCs w:val="26"/>
          <w:lang w:eastAsia="es-MX"/>
        </w:rPr>
        <w:t xml:space="preserve">, de aplicación supletoria a la Ley de Amparo, los tribunales pueden invocar hechos notorios aunque no hayan sido alegados o probados por las </w:t>
      </w:r>
      <w:r w:rsidRPr="001A1243">
        <w:rPr>
          <w:rFonts w:ascii="Palatino Linotype" w:eastAsia="Times New Roman" w:hAnsi="Palatino Linotype" w:cs="Calibri"/>
          <w:color w:val="000000" w:themeColor="text1"/>
          <w:szCs w:val="26"/>
          <w:lang w:eastAsia="es-MX"/>
        </w:rPr>
        <w:lastRenderedPageBreak/>
        <w:t>partes. Tal es el caso de las sentencias que emite la autoridad judicial federal en los juicios de amparo que se tramitan ante ella, de las que tiene conocimiento por razón de su actividad y, por ello, al ser notorio, la ley exime de su prueba; sin embargo, su invocación no constituye un derecho de las partes, sino una facultad del órgano jurisdiccional federal que no debe aplicar cuando se actualiza la obligación establecida en el artículo </w:t>
      </w:r>
      <w:hyperlink r:id="rId12" w:history="1">
        <w:r w:rsidRPr="001A1243">
          <w:rPr>
            <w:rFonts w:ascii="Palatino Linotype" w:eastAsia="Times New Roman" w:hAnsi="Palatino Linotype" w:cs="Calibri"/>
            <w:color w:val="000000" w:themeColor="text1"/>
            <w:szCs w:val="26"/>
            <w:lang w:eastAsia="es-MX"/>
          </w:rPr>
          <w:t>78 de la Ley de Amparo</w:t>
        </w:r>
      </w:hyperlink>
      <w:r w:rsidRPr="001A1243">
        <w:rPr>
          <w:rFonts w:ascii="Palatino Linotype" w:eastAsia="Times New Roman" w:hAnsi="Palatino Linotype" w:cs="Calibri"/>
          <w:color w:val="000000" w:themeColor="text1"/>
          <w:szCs w:val="26"/>
          <w:lang w:eastAsia="es-MX"/>
        </w:rPr>
        <w:t xml:space="preserve">, que consiste en analizar el acto reclamado tal como aparezca probado ante la autoridad responsable, cuando la quejosa intervino como parte y estuvo en aptitud legal de ofrecer todos aquellos medios de prueba que a su interés conviniera en el juicio de origen y el hecho notorio respecto del cual se alegue, ya sea en el juicio de amparo </w:t>
      </w:r>
      <w:proofErr w:type="spellStart"/>
      <w:r w:rsidRPr="001A1243">
        <w:rPr>
          <w:rFonts w:ascii="Palatino Linotype" w:eastAsia="Times New Roman" w:hAnsi="Palatino Linotype" w:cs="Calibri"/>
          <w:color w:val="000000" w:themeColor="text1"/>
          <w:szCs w:val="26"/>
          <w:lang w:eastAsia="es-MX"/>
        </w:rPr>
        <w:t>biinstancial</w:t>
      </w:r>
      <w:proofErr w:type="spellEnd"/>
      <w:r w:rsidRPr="001A1243">
        <w:rPr>
          <w:rFonts w:ascii="Palatino Linotype" w:eastAsia="Times New Roman" w:hAnsi="Palatino Linotype" w:cs="Calibri"/>
          <w:color w:val="000000" w:themeColor="text1"/>
          <w:szCs w:val="26"/>
          <w:lang w:eastAsia="es-MX"/>
        </w:rPr>
        <w:t xml:space="preserve"> o en la revisión de la sentencia ahí dictada que en su caso se recurra, que debió ser invocado por el Juez de Distrito, tiene por objeto probar la legalidad de la referida sentencia o aspectos que debieron formar parte de la </w:t>
      </w:r>
      <w:proofErr w:type="spellStart"/>
      <w:r w:rsidRPr="001A1243">
        <w:rPr>
          <w:rFonts w:ascii="Palatino Linotype" w:eastAsia="Times New Roman" w:hAnsi="Palatino Linotype" w:cs="Calibri"/>
          <w:color w:val="000000" w:themeColor="text1"/>
          <w:szCs w:val="26"/>
          <w:lang w:eastAsia="es-MX"/>
        </w:rPr>
        <w:t>litis</w:t>
      </w:r>
      <w:proofErr w:type="spellEnd"/>
      <w:r w:rsidRPr="001A1243">
        <w:rPr>
          <w:rFonts w:ascii="Palatino Linotype" w:eastAsia="Times New Roman" w:hAnsi="Palatino Linotype" w:cs="Calibri"/>
          <w:color w:val="000000" w:themeColor="text1"/>
          <w:szCs w:val="26"/>
          <w:lang w:eastAsia="es-MX"/>
        </w:rPr>
        <w:t xml:space="preserve"> del juicio natural y probarse en esa oportunidad con las actuaciones y sentencias que se hayan dictado en los diversos juicios de amparo relacionados con el juicio principal en el que se emitió la resolución reclamada. La controversia de origen quedaría alterada si bajo el supuesto del hecho notorio, el Juez de amparo tuviera que analizar la legalidad del acto con el contenido de diversas ejecutorias dictadas en los juicios de garantías que se afirma, se tramitaron ante el mismo juzgador. Además, no debe pasar por alto que el hecho notorio del que dicha autoridad tiene conocimiento por razón de su actividad jurisdiccional, no constituye un derecho de las partes dentro del procedimiento del juicio de amparo, porque es claro lo que señala el citado numeral 78 de la ley de la materia, concerniente a que el acto reclamado debe apreciarse tal como fue probado ante la autoridad responsable y, por ende, no pueden admitirse ni tomarse en consideración en el juicio de garantías o en la revisión pruebas que no se hubieren rendido ante dicha autoridad para comprobar los hechos que motivaron o fueron objeto de la resolución reclamada, ni aquellas que no sean de las consideradas necesarias para la resolución del juicio de amparo, menos </w:t>
      </w:r>
      <w:proofErr w:type="spellStart"/>
      <w:r w:rsidRPr="001A1243">
        <w:rPr>
          <w:rFonts w:ascii="Palatino Linotype" w:eastAsia="Times New Roman" w:hAnsi="Palatino Linotype" w:cs="Calibri"/>
          <w:color w:val="000000" w:themeColor="text1"/>
          <w:szCs w:val="26"/>
          <w:lang w:eastAsia="es-MX"/>
        </w:rPr>
        <w:t>aún</w:t>
      </w:r>
      <w:proofErr w:type="spellEnd"/>
      <w:r w:rsidRPr="001A1243">
        <w:rPr>
          <w:rFonts w:ascii="Palatino Linotype" w:eastAsia="Times New Roman" w:hAnsi="Palatino Linotype" w:cs="Calibri"/>
          <w:color w:val="000000" w:themeColor="text1"/>
          <w:szCs w:val="26"/>
          <w:lang w:eastAsia="es-MX"/>
        </w:rPr>
        <w:t xml:space="preserve"> cuando las pruebas de que se trate el recurrente las exhiba hasta la revisión sin haberlas ofrecido en la audiencia constitucional.</w:t>
      </w:r>
      <w:r w:rsidRPr="001A1243">
        <w:rPr>
          <w:rFonts w:ascii="Palatino Linotype" w:eastAsia="Times New Roman" w:hAnsi="Palatino Linotype" w:cs="Calibri"/>
          <w:color w:val="000000" w:themeColor="text1"/>
          <w:szCs w:val="26"/>
          <w:lang w:eastAsia="es-MX"/>
        </w:rPr>
        <w:br/>
      </w:r>
      <w:r w:rsidRPr="001A1243">
        <w:rPr>
          <w:rFonts w:ascii="Palatino Linotype" w:eastAsia="Times New Roman" w:hAnsi="Palatino Linotype" w:cs="Calibri"/>
          <w:color w:val="000000" w:themeColor="text1"/>
          <w:szCs w:val="26"/>
          <w:lang w:eastAsia="es-MX"/>
        </w:rPr>
        <w:lastRenderedPageBreak/>
        <w:br/>
        <w:t>TERCER TRIBUNAL COLEGIADO EN MATERIA CIVIL DEL PRIMER CIRCUITO.</w:t>
      </w:r>
    </w:p>
    <w:p w14:paraId="5EB84CD4" w14:textId="77777777" w:rsidR="00FC7B03" w:rsidRPr="001A1243" w:rsidRDefault="00FC7B03" w:rsidP="00FC7B03">
      <w:pPr>
        <w:ind w:left="426" w:right="333"/>
        <w:jc w:val="both"/>
        <w:rPr>
          <w:rFonts w:ascii="Palatino Linotype" w:eastAsia="Times New Roman" w:hAnsi="Palatino Linotype" w:cs="Calibri"/>
          <w:color w:val="000000" w:themeColor="text1"/>
          <w:sz w:val="22"/>
          <w:szCs w:val="26"/>
          <w:lang w:eastAsia="es-MX"/>
        </w:rPr>
      </w:pPr>
      <w:r w:rsidRPr="001A1243">
        <w:rPr>
          <w:rFonts w:ascii="Palatino Linotype" w:eastAsia="Times New Roman" w:hAnsi="Palatino Linotype" w:cs="Calibri"/>
          <w:color w:val="000000" w:themeColor="text1"/>
          <w:szCs w:val="26"/>
          <w:lang w:eastAsia="es-MX"/>
        </w:rPr>
        <w:br/>
      </w:r>
      <w:r w:rsidRPr="001A1243">
        <w:rPr>
          <w:rFonts w:ascii="Palatino Linotype" w:eastAsia="Times New Roman" w:hAnsi="Palatino Linotype" w:cs="Calibri"/>
          <w:color w:val="000000" w:themeColor="text1"/>
          <w:sz w:val="22"/>
          <w:szCs w:val="26"/>
          <w:lang w:eastAsia="es-MX"/>
        </w:rPr>
        <w:t xml:space="preserve">Amparo en revisión 114/2010. SUMMA Compañía Automotriz, S.A. de C.V. y otros. 17 de junio de 2010. Unanimidad de votos. Ponente: Neófito López Ramos. Secretaria: María Guadalupe Gutiérrez </w:t>
      </w:r>
      <w:proofErr w:type="spellStart"/>
      <w:r w:rsidRPr="001A1243">
        <w:rPr>
          <w:rFonts w:ascii="Palatino Linotype" w:eastAsia="Times New Roman" w:hAnsi="Palatino Linotype" w:cs="Calibri"/>
          <w:color w:val="000000" w:themeColor="text1"/>
          <w:sz w:val="22"/>
          <w:szCs w:val="26"/>
          <w:lang w:eastAsia="es-MX"/>
        </w:rPr>
        <w:t>Pessina</w:t>
      </w:r>
      <w:proofErr w:type="spellEnd"/>
      <w:r w:rsidRPr="001A1243">
        <w:rPr>
          <w:rFonts w:ascii="Palatino Linotype" w:eastAsia="Times New Roman" w:hAnsi="Palatino Linotype" w:cs="Calibri"/>
          <w:color w:val="000000" w:themeColor="text1"/>
          <w:sz w:val="22"/>
          <w:szCs w:val="26"/>
          <w:lang w:eastAsia="es-MX"/>
        </w:rPr>
        <w:t>.</w:t>
      </w:r>
    </w:p>
    <w:p w14:paraId="5F683B61" w14:textId="77777777" w:rsidR="00FC7B03" w:rsidRPr="001A1243" w:rsidRDefault="00FC7B03" w:rsidP="00FC7B03">
      <w:pPr>
        <w:ind w:left="426" w:right="333"/>
        <w:jc w:val="both"/>
        <w:rPr>
          <w:rFonts w:ascii="Palatino Linotype" w:eastAsia="Times New Roman" w:hAnsi="Palatino Linotype" w:cs="Calibri"/>
          <w:color w:val="000000" w:themeColor="text1"/>
          <w:sz w:val="22"/>
          <w:szCs w:val="26"/>
          <w:lang w:eastAsia="es-MX"/>
        </w:rPr>
      </w:pPr>
      <w:r w:rsidRPr="001A1243">
        <w:rPr>
          <w:rFonts w:ascii="Palatino Linotype" w:eastAsia="Times New Roman" w:hAnsi="Palatino Linotype" w:cs="Calibri"/>
          <w:color w:val="000000" w:themeColor="text1"/>
          <w:sz w:val="22"/>
          <w:szCs w:val="26"/>
          <w:lang w:eastAsia="es-MX"/>
        </w:rPr>
        <w:t>Nota: Por ejecutoria del 27 de marzo de 2019, la Primera Sala declaró inexistente la contradicción de tesis 379/2018 derivada de la denuncia de la que fue objeto el criterio contenido en esta tesis, al estimarse que no son discrepantes los criterios materia de la denuncia respectiva.</w:t>
      </w:r>
    </w:p>
    <w:p w14:paraId="3CBAD453" w14:textId="77777777" w:rsidR="00FC7B03" w:rsidRPr="001A1243" w:rsidRDefault="00FC7B03" w:rsidP="00FC7B03">
      <w:pPr>
        <w:jc w:val="both"/>
        <w:rPr>
          <w:rFonts w:ascii="Palatino Linotype" w:hAnsi="Palatino Linotype"/>
          <w:color w:val="000000" w:themeColor="text1"/>
          <w:sz w:val="22"/>
        </w:rPr>
      </w:pPr>
    </w:p>
    <w:p w14:paraId="4055C11B" w14:textId="77777777" w:rsidR="007C01BB" w:rsidRPr="001A1243" w:rsidRDefault="007C01BB" w:rsidP="007C01BB">
      <w:pPr>
        <w:spacing w:line="360" w:lineRule="auto"/>
        <w:ind w:right="49"/>
        <w:contextualSpacing/>
        <w:jc w:val="both"/>
        <w:rPr>
          <w:rFonts w:ascii="Palatino Linotype" w:hAnsi="Palatino Linotype"/>
        </w:rPr>
      </w:pPr>
    </w:p>
    <w:p w14:paraId="2C3884F3" w14:textId="3AB24F0B" w:rsidR="007C01BB" w:rsidRPr="001A1243" w:rsidRDefault="00865505" w:rsidP="007C01BB">
      <w:pPr>
        <w:numPr>
          <w:ilvl w:val="0"/>
          <w:numId w:val="2"/>
        </w:numPr>
        <w:spacing w:line="360" w:lineRule="auto"/>
        <w:ind w:left="0" w:right="49" w:firstLine="0"/>
        <w:contextualSpacing/>
        <w:jc w:val="both"/>
        <w:rPr>
          <w:rFonts w:ascii="Palatino Linotype" w:hAnsi="Palatino Linotype"/>
        </w:rPr>
      </w:pPr>
      <w:r w:rsidRPr="001A1243">
        <w:rPr>
          <w:rFonts w:ascii="Palatino Linotype" w:hAnsi="Palatino Linotype"/>
        </w:rPr>
        <w:t>Asimismo</w:t>
      </w:r>
      <w:r w:rsidR="007C01BB" w:rsidRPr="001A1243">
        <w:rPr>
          <w:rFonts w:ascii="Palatino Linotype" w:hAnsi="Palatino Linotype"/>
        </w:rPr>
        <w:t>, no se puede determinar el valor y alcance probatorio de las mismas para efectos del expediente en que se actúa, sirve de manera orientadora, el criterio</w:t>
      </w:r>
      <w:r w:rsidR="007C01BB" w:rsidRPr="001A1243">
        <w:rPr>
          <w:rFonts w:ascii="Palatino Linotype" w:hAnsi="Palatino Linotype"/>
          <w:b/>
        </w:rPr>
        <w:t xml:space="preserve"> I.3o.C.671 C</w:t>
      </w:r>
      <w:r w:rsidR="007C01BB" w:rsidRPr="001A1243">
        <w:rPr>
          <w:rFonts w:ascii="Palatino Linotype" w:hAnsi="Palatino Linotype"/>
        </w:rPr>
        <w:t>, que es del tenor literal siguiente:</w:t>
      </w:r>
    </w:p>
    <w:p w14:paraId="107A6A5D" w14:textId="77777777" w:rsidR="007C01BB" w:rsidRPr="001A1243" w:rsidRDefault="007C01BB" w:rsidP="007C01BB">
      <w:pPr>
        <w:spacing w:line="360" w:lineRule="auto"/>
        <w:ind w:left="426" w:right="474"/>
        <w:contextualSpacing/>
        <w:jc w:val="both"/>
        <w:rPr>
          <w:rFonts w:ascii="Palatino Linotype" w:hAnsi="Palatino Linotype"/>
          <w:b/>
          <w:sz w:val="22"/>
          <w:lang w:val="es-MX"/>
        </w:rPr>
      </w:pPr>
      <w:r w:rsidRPr="001A1243">
        <w:rPr>
          <w:rFonts w:ascii="Palatino Linotype" w:hAnsi="Palatino Linotype"/>
          <w:b/>
          <w:sz w:val="22"/>
          <w:lang w:val="es-MX"/>
        </w:rPr>
        <w:t>PRUEBAS. PARA DETERMINAR SU IDONEIDAD HAY QUE ATENDER A LA MANERA EN QUE REFLEJAN LOS HECHOS A DEMOSTRAR.</w:t>
      </w:r>
    </w:p>
    <w:p w14:paraId="4DA31508" w14:textId="77777777" w:rsidR="007C01BB" w:rsidRPr="001A1243" w:rsidRDefault="007C01BB" w:rsidP="007C01BB">
      <w:pPr>
        <w:spacing w:line="360" w:lineRule="auto"/>
        <w:ind w:left="426" w:right="474"/>
        <w:contextualSpacing/>
        <w:jc w:val="both"/>
        <w:rPr>
          <w:rFonts w:ascii="Palatino Linotype" w:hAnsi="Palatino Linotype"/>
          <w:sz w:val="22"/>
          <w:lang w:val="es-MX"/>
        </w:rPr>
      </w:pPr>
    </w:p>
    <w:p w14:paraId="046AA043" w14:textId="77777777" w:rsidR="007C01BB" w:rsidRPr="001A1243" w:rsidRDefault="007C01BB" w:rsidP="00865505">
      <w:pPr>
        <w:ind w:left="425" w:right="476"/>
        <w:contextualSpacing/>
        <w:jc w:val="both"/>
        <w:rPr>
          <w:rFonts w:ascii="Palatino Linotype" w:hAnsi="Palatino Linotype"/>
          <w:sz w:val="22"/>
          <w:lang w:val="es-MX"/>
        </w:rPr>
      </w:pPr>
      <w:r w:rsidRPr="001A1243">
        <w:rPr>
          <w:rFonts w:ascii="Palatino Linotype" w:hAnsi="Palatino Linotype"/>
          <w:sz w:val="22"/>
          <w:lang w:val="es-MX"/>
        </w:rPr>
        <w:t xml:space="preserve">La doctrina establece que son hechos jurídicos: 1. Todo lo que represente una actividad humana; 2. Los fenómenos de la naturaleza; 3. Cualquier cosa u objeto material (haya o no intervenido el hombre en su creación); 4. Los seres vivos y 5. Los estados psíquicos o somáticos del hombre; circunstancias que, al dejar huella de su existencia en el mundo material, son susceptibles de demostrarse. Por su parte, las pruebas son los instrumentos a través de los cuales las partes en un proceso pretenden evidenciar la existencia de los hechos que constituyen el fundamento de sus acciones o excepciones según sea el caso. En este orden, la idoneidad de un medio probatorio no se determina en relación con sus aspectos formales o de constitución, sino en la manera en que refleja los hechos que pretenden demostrarse en el juicio. Considerar lo opuesto llevaría al extremo de que por el solo hecho que a una probanza le asistiera pleno valor probatorio, ello relevara al juzgador del análisis de su contenido para determinar si la misma tiene </w:t>
      </w:r>
      <w:r w:rsidRPr="001A1243">
        <w:rPr>
          <w:rFonts w:ascii="Palatino Linotype" w:hAnsi="Palatino Linotype"/>
          <w:sz w:val="22"/>
          <w:lang w:val="es-MX"/>
        </w:rPr>
        <w:lastRenderedPageBreak/>
        <w:t>relación con los hechos respectivos, situación que sería contraria a la naturaleza y finalidad procesal de las pruebas.</w:t>
      </w:r>
    </w:p>
    <w:p w14:paraId="0992E157" w14:textId="77777777" w:rsidR="007C01BB" w:rsidRPr="001A1243" w:rsidRDefault="007C01BB" w:rsidP="00865505">
      <w:pPr>
        <w:ind w:left="425" w:right="476"/>
        <w:contextualSpacing/>
        <w:jc w:val="both"/>
        <w:rPr>
          <w:rFonts w:ascii="Palatino Linotype" w:hAnsi="Palatino Linotype"/>
          <w:sz w:val="22"/>
          <w:lang w:val="es-MX"/>
        </w:rPr>
      </w:pPr>
    </w:p>
    <w:p w14:paraId="62DB8684" w14:textId="77777777" w:rsidR="007C01BB" w:rsidRPr="001A1243" w:rsidRDefault="007C01BB" w:rsidP="00865505">
      <w:pPr>
        <w:ind w:left="425" w:right="476"/>
        <w:contextualSpacing/>
        <w:jc w:val="both"/>
        <w:rPr>
          <w:rFonts w:ascii="Palatino Linotype" w:hAnsi="Palatino Linotype"/>
          <w:sz w:val="22"/>
          <w:lang w:val="es-MX"/>
        </w:rPr>
      </w:pPr>
      <w:r w:rsidRPr="001A1243">
        <w:rPr>
          <w:rFonts w:ascii="Palatino Linotype" w:hAnsi="Palatino Linotype"/>
          <w:sz w:val="22"/>
          <w:lang w:val="es-MX"/>
        </w:rPr>
        <w:t>TERCER TRIBUNAL COLEGIADO EN MATERIA CIVIL DEL PRIMER CIRCUITO.</w:t>
      </w:r>
    </w:p>
    <w:p w14:paraId="51CE88BB" w14:textId="77777777" w:rsidR="007C01BB" w:rsidRPr="001A1243" w:rsidRDefault="007C01BB" w:rsidP="00865505">
      <w:pPr>
        <w:ind w:left="425" w:right="476"/>
        <w:contextualSpacing/>
        <w:jc w:val="both"/>
        <w:rPr>
          <w:rFonts w:ascii="Palatino Linotype" w:hAnsi="Palatino Linotype"/>
          <w:sz w:val="20"/>
          <w:lang w:val="es-MX"/>
        </w:rPr>
      </w:pPr>
      <w:r w:rsidRPr="001A1243">
        <w:rPr>
          <w:rFonts w:ascii="Palatino Linotype" w:hAnsi="Palatino Linotype"/>
          <w:sz w:val="20"/>
          <w:lang w:val="es-MX"/>
        </w:rPr>
        <w:t>Amparo directo 166/2007. Televisa, S.A. de C.V y otras. 6 de julio de 2007. Unanimidad de votos, con salvedad en cuanto a las consideraciones referidas a la prueba pericial, por parte del Magistrado Neófito López Ramos. Ponente: Víctor Francisco Mota Cienfuegos. Secretario: Salvador Andrés González Bárcena.</w:t>
      </w:r>
    </w:p>
    <w:p w14:paraId="4F976E6C" w14:textId="77777777" w:rsidR="00865505" w:rsidRPr="001A1243" w:rsidRDefault="00865505" w:rsidP="00865505">
      <w:pPr>
        <w:ind w:left="425" w:right="476"/>
        <w:contextualSpacing/>
        <w:jc w:val="both"/>
        <w:rPr>
          <w:rFonts w:ascii="Palatino Linotype" w:hAnsi="Palatino Linotype"/>
          <w:sz w:val="20"/>
          <w:lang w:val="es-MX"/>
        </w:rPr>
      </w:pPr>
    </w:p>
    <w:p w14:paraId="3B0F4883" w14:textId="293CCFBA" w:rsidR="00185A7A" w:rsidRPr="001A1243" w:rsidRDefault="007C01BB" w:rsidP="008F2F8E">
      <w:pPr>
        <w:numPr>
          <w:ilvl w:val="0"/>
          <w:numId w:val="2"/>
        </w:numPr>
        <w:spacing w:line="360" w:lineRule="auto"/>
        <w:ind w:left="0" w:right="49" w:firstLine="0"/>
        <w:contextualSpacing/>
        <w:jc w:val="both"/>
        <w:rPr>
          <w:rFonts w:ascii="Palatino Linotype" w:hAnsi="Palatino Linotype"/>
        </w:rPr>
      </w:pPr>
      <w:r w:rsidRPr="001A1243">
        <w:rPr>
          <w:rFonts w:ascii="Palatino Linotype" w:hAnsi="Palatino Linotype"/>
        </w:rPr>
        <w:t>N</w:t>
      </w:r>
      <w:r w:rsidR="00FC7B03" w:rsidRPr="001A1243">
        <w:rPr>
          <w:rFonts w:ascii="Palatino Linotype" w:hAnsi="Palatino Linotype"/>
        </w:rPr>
        <w:t>o obstante –</w:t>
      </w:r>
      <w:r w:rsidR="005C3853" w:rsidRPr="001A1243">
        <w:rPr>
          <w:rFonts w:ascii="Palatino Linotype" w:hAnsi="Palatino Linotype"/>
        </w:rPr>
        <w:t>se insiste–</w:t>
      </w:r>
      <w:r w:rsidR="00FC7B03" w:rsidRPr="001A1243">
        <w:rPr>
          <w:rFonts w:ascii="Palatino Linotype" w:hAnsi="Palatino Linotype"/>
        </w:rPr>
        <w:t xml:space="preserve"> al no existir un pronunciamiento</w:t>
      </w:r>
      <w:r w:rsidR="00865505" w:rsidRPr="001A1243">
        <w:rPr>
          <w:rFonts w:ascii="Palatino Linotype" w:hAnsi="Palatino Linotype"/>
        </w:rPr>
        <w:t xml:space="preserve"> y consecuentemente, tener certeza del</w:t>
      </w:r>
      <w:r w:rsidR="00FC7B03" w:rsidRPr="001A1243">
        <w:rPr>
          <w:rFonts w:ascii="Palatino Linotype" w:hAnsi="Palatino Linotype"/>
        </w:rPr>
        <w:t xml:space="preserve"> lapso temporal de búsqueda</w:t>
      </w:r>
      <w:r w:rsidR="00865505" w:rsidRPr="001A1243">
        <w:rPr>
          <w:rFonts w:ascii="Palatino Linotype" w:hAnsi="Palatino Linotype"/>
        </w:rPr>
        <w:t>,</w:t>
      </w:r>
      <w:r w:rsidR="00FC7B03" w:rsidRPr="001A1243">
        <w:rPr>
          <w:rFonts w:ascii="Palatino Linotype" w:hAnsi="Palatino Linotype"/>
        </w:rPr>
        <w:t xml:space="preserve"> resulta dable ordenar una nueva búsqueda exhaustiva y razonable de la información a efecto de que sea entregada al particular</w:t>
      </w:r>
      <w:r w:rsidR="000E4089" w:rsidRPr="001A1243">
        <w:rPr>
          <w:rFonts w:ascii="Palatino Linotype" w:hAnsi="Palatino Linotype"/>
        </w:rPr>
        <w:t>.</w:t>
      </w:r>
    </w:p>
    <w:p w14:paraId="4ACD8578" w14:textId="55FE1A7B"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1A1243">
        <w:rPr>
          <w:rFonts w:ascii="Palatino Linotype" w:hAnsi="Palatino Linotype" w:cs="Arial"/>
          <w:color w:val="000000" w:themeColor="text1"/>
        </w:rPr>
        <w:t xml:space="preserve">Ahora bien, si luego de la </w:t>
      </w:r>
      <w:r w:rsidR="000E4089" w:rsidRPr="001A1243">
        <w:rPr>
          <w:rFonts w:ascii="Palatino Linotype" w:hAnsi="Palatino Linotype" w:cs="Arial"/>
          <w:color w:val="000000" w:themeColor="text1"/>
        </w:rPr>
        <w:t xml:space="preserve">nueva </w:t>
      </w:r>
      <w:r w:rsidRPr="001A1243">
        <w:rPr>
          <w:rFonts w:ascii="Palatino Linotype" w:hAnsi="Palatino Linotype" w:cs="Arial"/>
          <w:color w:val="000000" w:themeColor="text1"/>
        </w:rPr>
        <w:t xml:space="preserve">búsqueda exhaustiva y razonable de la información, continuare prevaleciendo el supuesto de la </w:t>
      </w:r>
      <w:r w:rsidRPr="001A1243">
        <w:rPr>
          <w:rFonts w:ascii="Palatino Linotype" w:eastAsia="Calibri" w:hAnsi="Palatino Linotype" w:cs="Times New Roman"/>
          <w:u w:val="single"/>
          <w:lang w:val="es-ES"/>
        </w:rPr>
        <w:t>no localización en sus archivos</w:t>
      </w:r>
      <w:r w:rsidRPr="001A1243">
        <w:rPr>
          <w:rFonts w:ascii="Palatino Linotype" w:eastAsia="Calibri" w:hAnsi="Palatino Linotype" w:cs="Times New Roman"/>
          <w:lang w:val="es-ES"/>
        </w:rPr>
        <w:t xml:space="preserve"> de la </w:t>
      </w:r>
      <w:r w:rsidR="000E4089" w:rsidRPr="001A1243">
        <w:rPr>
          <w:rFonts w:ascii="Palatino Linotype" w:eastAsia="Calibri" w:hAnsi="Palatino Linotype" w:cs="Times New Roman"/>
          <w:lang w:val="es-ES"/>
        </w:rPr>
        <w:t>información</w:t>
      </w:r>
      <w:r w:rsidRPr="001A1243">
        <w:rPr>
          <w:rFonts w:ascii="Palatino Linotype" w:eastAsia="Calibri" w:hAnsi="Palatino Linotype" w:cs="Times New Roman"/>
          <w:lang w:val="es-ES"/>
        </w:rPr>
        <w:t xml:space="preserve">, el </w:t>
      </w:r>
      <w:r w:rsidRPr="001A1243">
        <w:rPr>
          <w:rFonts w:ascii="Palatino Linotype" w:eastAsia="Calibri" w:hAnsi="Palatino Linotype" w:cs="Times New Roman"/>
          <w:b/>
          <w:lang w:val="es-ES"/>
        </w:rPr>
        <w:t>SUJETO OBLIGADO</w:t>
      </w:r>
      <w:r w:rsidRPr="001A1243">
        <w:rPr>
          <w:rFonts w:ascii="Palatino Linotype" w:eastAsia="Calibri" w:hAnsi="Palatino Linotype" w:cs="Times New Roman"/>
          <w:lang w:val="es-ES"/>
        </w:rPr>
        <w:t xml:space="preserve"> deberá atender las formalidades que establece el fundamento jurídico plasmado en el </w:t>
      </w:r>
      <w:r w:rsidRPr="001A1243">
        <w:rPr>
          <w:rFonts w:ascii="Palatino Linotype" w:eastAsia="Calibri" w:hAnsi="Palatino Linotype" w:cs="Times New Roman"/>
          <w:b/>
          <w:lang w:val="es-ES"/>
        </w:rPr>
        <w:t>artículo 19</w:t>
      </w:r>
      <w:r w:rsidRPr="001A1243">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49863040" w14:textId="77777777" w:rsidR="00FC7B03" w:rsidRPr="001A1243" w:rsidRDefault="00FC7B03" w:rsidP="00FC7B03">
      <w:pPr>
        <w:spacing w:line="360" w:lineRule="auto"/>
        <w:ind w:left="567" w:right="425"/>
        <w:contextualSpacing/>
        <w:jc w:val="both"/>
        <w:rPr>
          <w:rFonts w:ascii="Palatino Linotype" w:eastAsia="Calibri" w:hAnsi="Palatino Linotype" w:cs="Times New Roman"/>
          <w:i/>
          <w:lang w:val="es-ES"/>
        </w:rPr>
      </w:pPr>
      <w:r w:rsidRPr="001A1243">
        <w:rPr>
          <w:rFonts w:ascii="Palatino Linotype" w:eastAsia="Calibri" w:hAnsi="Palatino Linotype" w:cs="Times New Roman"/>
          <w:b/>
          <w:i/>
          <w:lang w:val="es-ES"/>
        </w:rPr>
        <w:t>Artículo 19.</w:t>
      </w:r>
      <w:r w:rsidRPr="001A1243">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3BF5D10E" w14:textId="77777777" w:rsidR="00FC7B03" w:rsidRPr="001A1243" w:rsidRDefault="00FC7B03" w:rsidP="00FC7B03">
      <w:pPr>
        <w:spacing w:line="360" w:lineRule="auto"/>
        <w:ind w:left="567" w:right="425"/>
        <w:contextualSpacing/>
        <w:jc w:val="both"/>
        <w:rPr>
          <w:rFonts w:ascii="Palatino Linotype" w:eastAsia="Calibri" w:hAnsi="Palatino Linotype" w:cs="Times New Roman"/>
          <w:b/>
          <w:i/>
          <w:lang w:val="es-ES"/>
        </w:rPr>
      </w:pPr>
      <w:r w:rsidRPr="001A1243">
        <w:rPr>
          <w:rFonts w:ascii="Palatino Linotype" w:eastAsia="Calibri" w:hAnsi="Palatino Linotype" w:cs="Times New Roman"/>
          <w:b/>
          <w:i/>
          <w:lang w:val="es-ES"/>
        </w:rPr>
        <w:lastRenderedPageBreak/>
        <w:t>En los casos en que ciertas facultades, competencias o funciones no se hayan ejercido, se debe motivar la respuesta en función de las causas que motiven tal circunstancia.</w:t>
      </w:r>
    </w:p>
    <w:p w14:paraId="6061DCB4" w14:textId="77777777" w:rsidR="00FC7B03" w:rsidRPr="001A1243" w:rsidRDefault="00FC7B03" w:rsidP="00FC7B03">
      <w:pPr>
        <w:spacing w:line="360" w:lineRule="auto"/>
        <w:ind w:left="567" w:right="425"/>
        <w:contextualSpacing/>
        <w:jc w:val="both"/>
        <w:rPr>
          <w:rFonts w:ascii="Palatino Linotype" w:eastAsia="Calibri" w:hAnsi="Palatino Linotype" w:cs="Times New Roman"/>
          <w:b/>
          <w:i/>
          <w:lang w:val="es-ES"/>
        </w:rPr>
      </w:pPr>
    </w:p>
    <w:p w14:paraId="255CBE55" w14:textId="77777777" w:rsidR="00FC7B03" w:rsidRPr="001A1243" w:rsidRDefault="00FC7B03" w:rsidP="00FC7B03">
      <w:pPr>
        <w:spacing w:line="360" w:lineRule="auto"/>
        <w:ind w:left="567" w:right="425"/>
        <w:contextualSpacing/>
        <w:jc w:val="both"/>
        <w:rPr>
          <w:rFonts w:ascii="Palatino Linotype" w:eastAsia="Calibri" w:hAnsi="Palatino Linotype" w:cs="Times New Roman"/>
          <w:i/>
          <w:lang w:val="es-ES"/>
        </w:rPr>
      </w:pPr>
      <w:r w:rsidRPr="001A1243">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1FE8DA8" w14:textId="77777777" w:rsidR="00FC7B03" w:rsidRPr="001A1243" w:rsidRDefault="00FC7B03" w:rsidP="00FC7B03">
      <w:pPr>
        <w:spacing w:line="360" w:lineRule="auto"/>
        <w:ind w:left="567" w:right="425"/>
        <w:contextualSpacing/>
        <w:jc w:val="both"/>
        <w:rPr>
          <w:rFonts w:ascii="Palatino Linotype" w:eastAsia="Calibri" w:hAnsi="Palatino Linotype" w:cs="Times New Roman"/>
          <w:lang w:val="es-ES"/>
        </w:rPr>
      </w:pPr>
      <w:r w:rsidRPr="001A1243">
        <w:rPr>
          <w:rFonts w:ascii="Palatino Linotype" w:eastAsia="Calibri" w:hAnsi="Palatino Linotype" w:cs="Times New Roman"/>
          <w:lang w:val="es-ES"/>
        </w:rPr>
        <w:t>(Énfasis añadido)</w:t>
      </w:r>
    </w:p>
    <w:p w14:paraId="4D8D4A82"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1A1243">
        <w:rPr>
          <w:rFonts w:ascii="Palatino Linotype" w:eastAsia="Calibri" w:hAnsi="Palatino Linotype" w:cs="Times New Roman"/>
          <w:lang w:val="es-ES"/>
        </w:rPr>
        <w:t xml:space="preserve"> Artículo que </w:t>
      </w:r>
      <w:r w:rsidRPr="001A1243">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FBC37C4" w14:textId="77777777" w:rsidR="005C3853" w:rsidRPr="001A1243" w:rsidRDefault="005C3853" w:rsidP="005C3853">
      <w:pPr>
        <w:pStyle w:val="Prrafodelista"/>
        <w:spacing w:before="240" w:after="240" w:line="360" w:lineRule="auto"/>
        <w:ind w:left="0"/>
        <w:jc w:val="both"/>
        <w:rPr>
          <w:rFonts w:ascii="Palatino Linotype" w:eastAsia="Calibri" w:hAnsi="Palatino Linotype" w:cs="Times New Roman"/>
          <w:lang w:val="es-ES"/>
        </w:rPr>
      </w:pPr>
    </w:p>
    <w:p w14:paraId="40704D65"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1A1243">
        <w:rPr>
          <w:rFonts w:ascii="Palatino Linotype" w:eastAsia="Calibri" w:hAnsi="Palatino Linotype" w:cs="Arial"/>
        </w:rPr>
        <w:lastRenderedPageBreak/>
        <w:t xml:space="preserve">Por lo que de ser el caso que dicha información no se encuentre en los archivos  del </w:t>
      </w:r>
      <w:r w:rsidRPr="001A1243">
        <w:rPr>
          <w:rFonts w:ascii="Palatino Linotype" w:eastAsia="Calibri" w:hAnsi="Palatino Linotype" w:cs="Arial"/>
          <w:b/>
        </w:rPr>
        <w:t xml:space="preserve">SUJETO OBLIGADO </w:t>
      </w:r>
      <w:r w:rsidRPr="001A1243">
        <w:rPr>
          <w:rFonts w:ascii="Palatino Linotype" w:eastAsia="Calibri" w:hAnsi="Palatino Linotype" w:cs="Arial"/>
        </w:rPr>
        <w:t>deberá de manifestar, de manera precisa y clara, las razones que expliquen las causas por las que no se posee la información requerida.</w:t>
      </w:r>
    </w:p>
    <w:p w14:paraId="0CCC1038" w14:textId="77777777" w:rsidR="005C3853" w:rsidRPr="001A1243" w:rsidRDefault="005C3853" w:rsidP="005C3853">
      <w:pPr>
        <w:pStyle w:val="Prrafodelista"/>
        <w:rPr>
          <w:rFonts w:ascii="Palatino Linotype" w:hAnsi="Palatino Linotype" w:cs="Arial"/>
          <w:noProof/>
          <w:lang w:eastAsia="es-MX"/>
        </w:rPr>
      </w:pPr>
    </w:p>
    <w:p w14:paraId="0F3D99A4" w14:textId="10BD4402" w:rsidR="00FC7B03" w:rsidRPr="001A1243" w:rsidRDefault="000E4089" w:rsidP="00FC7B03">
      <w:pPr>
        <w:numPr>
          <w:ilvl w:val="0"/>
          <w:numId w:val="2"/>
        </w:numPr>
        <w:spacing w:line="360" w:lineRule="auto"/>
        <w:ind w:left="0" w:right="34" w:firstLine="0"/>
        <w:contextualSpacing/>
        <w:jc w:val="both"/>
        <w:rPr>
          <w:rFonts w:ascii="Palatino Linotype" w:hAnsi="Palatino Linotype"/>
          <w:color w:val="000000"/>
        </w:rPr>
      </w:pPr>
      <w:r w:rsidRPr="001A1243">
        <w:rPr>
          <w:rFonts w:ascii="Palatino Linotype" w:eastAsia="Times New Roman" w:hAnsi="Palatino Linotype" w:cs="Arial"/>
          <w:color w:val="000000"/>
          <w:lang w:eastAsia="es-MX"/>
        </w:rPr>
        <w:t>Todo lo anterior</w:t>
      </w:r>
      <w:r w:rsidR="00FC7B03" w:rsidRPr="001A1243">
        <w:rPr>
          <w:rFonts w:ascii="Palatino Linotype" w:eastAsia="Times New Roman" w:hAnsi="Palatino Linotype" w:cs="Arial"/>
          <w:color w:val="000000"/>
          <w:lang w:eastAsia="es-MX"/>
        </w:rPr>
        <w:t xml:space="preserve"> en virtud, de que </w:t>
      </w:r>
      <w:r w:rsidR="00FC7B03" w:rsidRPr="001A1243">
        <w:rPr>
          <w:rFonts w:ascii="Palatino Linotype" w:hAnsi="Palatino Linotype"/>
          <w:color w:val="000000"/>
        </w:rPr>
        <w:t xml:space="preserve">el Derecho que tutela este Órgano Garante corresponde a la </w:t>
      </w:r>
      <w:r w:rsidR="00FC7B03" w:rsidRPr="001A1243">
        <w:rPr>
          <w:rFonts w:ascii="Palatino Linotype" w:eastAsia="Times New Roman" w:hAnsi="Palatino Linotype" w:cs="Arial"/>
          <w:color w:val="000000" w:themeColor="text1"/>
          <w:lang w:eastAsia="es-MX"/>
        </w:rPr>
        <w:t xml:space="preserve"> </w:t>
      </w:r>
      <w:r w:rsidR="00FC7B03" w:rsidRPr="001A1243">
        <w:rPr>
          <w:rFonts w:ascii="Palatino Linotype" w:eastAsia="MS Mincho" w:hAnsi="Palatino Linotype" w:cs="Times New Roman"/>
          <w:i/>
        </w:rPr>
        <w:t>igualdad de oportunidades para recibir, buscar e impartir información</w:t>
      </w:r>
      <w:r w:rsidR="00FC7B03" w:rsidRPr="001A1243">
        <w:rPr>
          <w:rStyle w:val="Refdenotaalpie"/>
          <w:rFonts w:ascii="Palatino Linotype" w:eastAsia="MS Mincho" w:hAnsi="Palatino Linotype" w:cs="Times New Roman"/>
          <w:i/>
        </w:rPr>
        <w:footnoteReference w:id="1"/>
      </w:r>
      <w:r w:rsidR="00FC7B03" w:rsidRPr="001A124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FC7B03" w:rsidRPr="001A1243">
        <w:rPr>
          <w:rStyle w:val="Refdenotaalpie"/>
          <w:rFonts w:ascii="Palatino Linotype" w:eastAsia="MS Mincho" w:hAnsi="Palatino Linotype" w:cs="Times New Roman"/>
        </w:rPr>
        <w:footnoteReference w:id="2"/>
      </w:r>
      <w:r w:rsidR="00FC7B03" w:rsidRPr="001A1243">
        <w:rPr>
          <w:rFonts w:ascii="Palatino Linotype" w:eastAsia="MS Mincho" w:hAnsi="Palatino Linotype" w:cs="Times New Roman"/>
          <w:i/>
        </w:rPr>
        <w:t xml:space="preserve"> </w:t>
      </w:r>
      <w:r w:rsidR="00FC7B03" w:rsidRPr="001A1243">
        <w:rPr>
          <w:rFonts w:ascii="Palatino Linotype" w:eastAsia="MS Mincho" w:hAnsi="Palatino Linotype" w:cs="Times New Roman"/>
        </w:rPr>
        <w:t xml:space="preserve">que se constituye como una herramienta fundamental para </w:t>
      </w:r>
      <w:r w:rsidR="00FC7B03" w:rsidRPr="001A124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FC7B03" w:rsidRPr="001A1243">
        <w:rPr>
          <w:rStyle w:val="Refdenotaalpie"/>
          <w:rFonts w:ascii="Palatino Linotype" w:eastAsia="MS Mincho" w:hAnsi="Palatino Linotype" w:cs="Times New Roman"/>
          <w:i/>
        </w:rPr>
        <w:footnoteReference w:id="3"/>
      </w:r>
      <w:r w:rsidR="00FC7B03" w:rsidRPr="001A1243">
        <w:rPr>
          <w:rFonts w:ascii="Palatino Linotype" w:eastAsia="MS Mincho" w:hAnsi="Palatino Linotype" w:cs="Times New Roman"/>
        </w:rPr>
        <w:t>fomentando</w:t>
      </w:r>
      <w:r w:rsidR="00FC7B03" w:rsidRPr="001A1243">
        <w:rPr>
          <w:rFonts w:ascii="Palatino Linotype" w:eastAsia="MS Mincho" w:hAnsi="Palatino Linotype" w:cs="Times New Roman"/>
          <w:i/>
        </w:rPr>
        <w:t xml:space="preserve"> la transparencia de las actividades estatales y</w:t>
      </w:r>
      <w:r w:rsidR="00FC7B03" w:rsidRPr="001A1243">
        <w:rPr>
          <w:rFonts w:ascii="Palatino Linotype" w:eastAsia="MS Mincho" w:hAnsi="Palatino Linotype" w:cs="Times New Roman"/>
        </w:rPr>
        <w:t xml:space="preserve"> promoviendo</w:t>
      </w:r>
      <w:r w:rsidR="00FC7B03" w:rsidRPr="001A1243">
        <w:rPr>
          <w:rFonts w:ascii="Palatino Linotype" w:eastAsia="MS Mincho" w:hAnsi="Palatino Linotype" w:cs="Times New Roman"/>
          <w:i/>
        </w:rPr>
        <w:t xml:space="preserve"> la responsabilidad de los funcionarios sobre su gestión pública</w:t>
      </w:r>
      <w:r w:rsidR="00FC7B03" w:rsidRPr="001A1243">
        <w:rPr>
          <w:rStyle w:val="Refdenotaalpie"/>
          <w:rFonts w:ascii="Palatino Linotype" w:eastAsia="MS Mincho" w:hAnsi="Palatino Linotype" w:cs="Times New Roman"/>
          <w:i/>
        </w:rPr>
        <w:footnoteReference w:id="4"/>
      </w:r>
      <w:r w:rsidR="00FC7B03" w:rsidRPr="001A1243">
        <w:rPr>
          <w:rFonts w:ascii="Palatino Linotype" w:eastAsia="MS Mincho" w:hAnsi="Palatino Linotype" w:cs="Times New Roman"/>
          <w:i/>
        </w:rPr>
        <w:t xml:space="preserve"> </w:t>
      </w:r>
      <w:r w:rsidR="00FC7B03" w:rsidRPr="001A1243">
        <w:rPr>
          <w:rFonts w:ascii="Palatino Linotype" w:eastAsia="MS Mincho" w:hAnsi="Palatino Linotype" w:cs="Times New Roman"/>
        </w:rPr>
        <w:t>que permite</w:t>
      </w:r>
      <w:r w:rsidR="00FC7B03" w:rsidRPr="001A124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FC7B03" w:rsidRPr="001A1243">
        <w:rPr>
          <w:rStyle w:val="Refdenotaalpie"/>
          <w:rFonts w:ascii="Palatino Linotype" w:eastAsia="MS Mincho" w:hAnsi="Palatino Linotype" w:cs="Times New Roman"/>
          <w:i/>
        </w:rPr>
        <w:footnoteReference w:id="5"/>
      </w:r>
      <w:r w:rsidR="00FC7B03" w:rsidRPr="001A1243">
        <w:rPr>
          <w:rFonts w:ascii="Palatino Linotype" w:eastAsia="MS Mincho" w:hAnsi="Palatino Linotype" w:cs="Times New Roman"/>
        </w:rPr>
        <w:t xml:space="preserve"> ” </w:t>
      </w:r>
    </w:p>
    <w:p w14:paraId="493BF35B" w14:textId="77777777" w:rsidR="00FC7B03" w:rsidRPr="001A1243" w:rsidRDefault="00FC7B03" w:rsidP="00FC7B0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1A1243">
        <w:rPr>
          <w:rFonts w:ascii="Palatino Linotype" w:hAnsi="Palatino Linotype" w:cs="Arial"/>
        </w:rPr>
        <w:lastRenderedPageBreak/>
        <w:t xml:space="preserve">Para entender los alcances de la información pública se considera importante citar el criterio </w:t>
      </w:r>
      <w:r w:rsidRPr="001A124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A1243">
        <w:rPr>
          <w:rFonts w:ascii="Palatino Linotype" w:hAnsi="Palatino Linotype" w:cs="Arial"/>
        </w:rPr>
        <w:t>cuyo rubro y texto dispone:</w:t>
      </w:r>
    </w:p>
    <w:p w14:paraId="1BF3CE8A"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Arial"/>
          <w:b/>
          <w:i/>
          <w:lang w:eastAsia="es-MX"/>
        </w:rPr>
      </w:pPr>
      <w:r w:rsidRPr="001A1243">
        <w:rPr>
          <w:rFonts w:ascii="Palatino Linotype" w:hAnsi="Palatino Linotype" w:cs="Arial"/>
          <w:b/>
          <w:i/>
          <w:lang w:eastAsia="es-MX"/>
        </w:rPr>
        <w:t>“CRITERIO 0002-11</w:t>
      </w:r>
    </w:p>
    <w:p w14:paraId="73474DDC"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Arial"/>
          <w:i/>
          <w:lang w:eastAsia="es-MX"/>
        </w:rPr>
      </w:pPr>
      <w:r w:rsidRPr="001A1243">
        <w:rPr>
          <w:rFonts w:ascii="Palatino Linotype" w:hAnsi="Palatino Linotype" w:cs="Arial"/>
          <w:b/>
          <w:i/>
          <w:lang w:eastAsia="es-MX"/>
        </w:rPr>
        <w:t xml:space="preserve">INFORMACIÓN PÚBLICA, CONCEPTO DE, EN MATERIA DE TRANSPARENCIA. INTERPRETACIÓN TEMÁTICA DE LOS ARTÍCULOS 2, FRACCIÓN </w:t>
      </w:r>
      <w:r w:rsidRPr="001A1243">
        <w:rPr>
          <w:rFonts w:ascii="Palatino Linotype" w:hAnsi="Palatino Linotype" w:cs="Arial"/>
          <w:b/>
          <w:bCs/>
          <w:i/>
          <w:lang w:eastAsia="es-MX"/>
        </w:rPr>
        <w:t xml:space="preserve">V, XV, Y XVI, </w:t>
      </w:r>
      <w:r w:rsidRPr="001A1243">
        <w:rPr>
          <w:rFonts w:ascii="Palatino Linotype" w:hAnsi="Palatino Linotype" w:cs="Arial"/>
          <w:b/>
          <w:i/>
          <w:lang w:eastAsia="es-MX"/>
        </w:rPr>
        <w:t>3, 4,11 Y 41.</w:t>
      </w:r>
      <w:r w:rsidRPr="001A124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82E6F0"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Arial"/>
          <w:i/>
          <w:lang w:eastAsia="es-MX"/>
        </w:rPr>
      </w:pPr>
      <w:r w:rsidRPr="001A1243">
        <w:rPr>
          <w:rFonts w:ascii="Palatino Linotype" w:hAnsi="Palatino Linotype" w:cs="Arial"/>
          <w:i/>
          <w:lang w:eastAsia="es-MX"/>
        </w:rPr>
        <w:t>En consecuencia el acceso a la información se refiere a que se cumplan cualquiera de los siguientes tres supuestos:</w:t>
      </w:r>
    </w:p>
    <w:p w14:paraId="65E23BF5"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Arial"/>
          <w:i/>
          <w:lang w:eastAsia="es-MX"/>
        </w:rPr>
      </w:pPr>
      <w:r w:rsidRPr="001A1243">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33231DBE"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Arial"/>
          <w:i/>
          <w:lang w:eastAsia="es-MX"/>
        </w:rPr>
      </w:pPr>
      <w:r w:rsidRPr="001A1243">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14:paraId="6538BF8A" w14:textId="77777777" w:rsidR="00FC7B03" w:rsidRPr="001A1243" w:rsidRDefault="00FC7B03" w:rsidP="00FC7B03">
      <w:pPr>
        <w:spacing w:line="360" w:lineRule="auto"/>
        <w:ind w:left="567" w:right="567"/>
        <w:jc w:val="both"/>
        <w:rPr>
          <w:rFonts w:ascii="Palatino Linotype" w:hAnsi="Palatino Linotype" w:cs="Arial"/>
          <w:i/>
          <w:color w:val="000000" w:themeColor="text1"/>
        </w:rPr>
      </w:pPr>
      <w:r w:rsidRPr="001A1243">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4D18EFD7" w14:textId="77777777" w:rsidR="00FC7B03" w:rsidRPr="001A1243" w:rsidRDefault="00FC7B03" w:rsidP="00FC7B03">
      <w:pPr>
        <w:pStyle w:val="Prrafodelista"/>
        <w:tabs>
          <w:tab w:val="left" w:pos="851"/>
        </w:tabs>
        <w:spacing w:line="360" w:lineRule="auto"/>
        <w:ind w:left="0" w:right="49"/>
        <w:jc w:val="both"/>
        <w:rPr>
          <w:rFonts w:ascii="Palatino Linotype" w:hAnsi="Palatino Linotype"/>
          <w:lang w:val="es-ES"/>
        </w:rPr>
      </w:pPr>
    </w:p>
    <w:p w14:paraId="50B5FBB9" w14:textId="77777777" w:rsidR="00FC7B03" w:rsidRPr="001A1243" w:rsidRDefault="00FC7B03" w:rsidP="00FC7B03">
      <w:pPr>
        <w:pStyle w:val="Prrafodelista"/>
        <w:numPr>
          <w:ilvl w:val="0"/>
          <w:numId w:val="2"/>
        </w:numPr>
        <w:spacing w:before="240" w:after="360" w:line="360" w:lineRule="auto"/>
        <w:ind w:left="0" w:firstLine="0"/>
        <w:jc w:val="both"/>
        <w:rPr>
          <w:rFonts w:ascii="Palatino Linotype" w:hAnsi="Palatino Linotype" w:cs="Arial"/>
          <w:lang w:val="es-ES"/>
        </w:rPr>
      </w:pPr>
      <w:r w:rsidRPr="001A124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086C245"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i/>
          <w:lang w:val="es-ES"/>
        </w:rPr>
      </w:pPr>
      <w:r w:rsidRPr="001A1243">
        <w:rPr>
          <w:rFonts w:ascii="Palatino Linotype" w:hAnsi="Palatino Linotype" w:cs="Bookman Old Style,Bold"/>
          <w:b/>
          <w:bCs/>
          <w:i/>
        </w:rPr>
        <w:t xml:space="preserve">XI. Documento: </w:t>
      </w:r>
      <w:r w:rsidRPr="001A1243">
        <w:rPr>
          <w:rFonts w:ascii="Palatino Linotype" w:hAnsi="Palatino Linotype" w:cs="Bookman Old Style"/>
          <w:i/>
        </w:rPr>
        <w:t xml:space="preserve">Los expedientes, reportes, estudios, actas, resoluciones, oficios, correspondencia, acuerdos, directivas, directrices, circulares, contratos, convenios, instructivos, notas, memorandos, estadísticas o bien, </w:t>
      </w:r>
      <w:r w:rsidRPr="001A1243">
        <w:rPr>
          <w:rFonts w:ascii="Palatino Linotype" w:hAnsi="Palatino Linotype" w:cs="Bookman Old Style"/>
          <w:b/>
          <w:i/>
        </w:rPr>
        <w:t>cualquier otro registro</w:t>
      </w:r>
      <w:r w:rsidRPr="001A1243">
        <w:rPr>
          <w:rFonts w:ascii="Palatino Linotype" w:hAnsi="Palatino Linotype" w:cs="Bookman Old Styl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D7B7A4" w14:textId="77777777" w:rsidR="00FC7B03" w:rsidRPr="001A1243" w:rsidRDefault="00FC7B03" w:rsidP="00FC7B03">
      <w:pPr>
        <w:pStyle w:val="Prrafodelista"/>
        <w:numPr>
          <w:ilvl w:val="0"/>
          <w:numId w:val="2"/>
        </w:numPr>
        <w:spacing w:before="240" w:after="360" w:line="360" w:lineRule="auto"/>
        <w:ind w:left="0" w:firstLine="0"/>
        <w:jc w:val="both"/>
        <w:rPr>
          <w:rFonts w:ascii="Palatino Linotype" w:hAnsi="Palatino Linotype"/>
          <w:lang w:val="es-ES"/>
        </w:rPr>
      </w:pPr>
      <w:r w:rsidRPr="001A124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AAD020A" w14:textId="77777777" w:rsidR="00FC7B03" w:rsidRPr="001A1243" w:rsidRDefault="00FC7B03" w:rsidP="00FC7B03">
      <w:pPr>
        <w:pStyle w:val="Prrafodelista"/>
        <w:numPr>
          <w:ilvl w:val="0"/>
          <w:numId w:val="2"/>
        </w:numPr>
        <w:spacing w:before="240" w:after="360" w:line="360" w:lineRule="auto"/>
        <w:ind w:left="0" w:firstLine="0"/>
        <w:jc w:val="both"/>
        <w:rPr>
          <w:rFonts w:ascii="Palatino Linotype" w:eastAsia="Calibri" w:hAnsi="Palatino Linotype" w:cs="Arial"/>
        </w:rPr>
      </w:pPr>
      <w:r w:rsidRPr="001A1243">
        <w:rPr>
          <w:rFonts w:ascii="Palatino Linotype" w:eastAsia="Times New Roman" w:hAnsi="Palatino Linotype" w:cs="Arial"/>
          <w:color w:val="000000"/>
        </w:rPr>
        <w:lastRenderedPageBreak/>
        <w:t>Además, debemos tomar en cuenta los artículos 4 y 12 (antes transcrito), de la Ley de Transparencia y Acceso a la Información Pública del Estado de México y Municipios, los cuales establecen lo siguiente:</w:t>
      </w:r>
    </w:p>
    <w:p w14:paraId="5A343663"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Bookman Old Style"/>
          <w:i/>
        </w:rPr>
      </w:pPr>
      <w:r w:rsidRPr="001A1243">
        <w:rPr>
          <w:rFonts w:ascii="Palatino Linotype" w:hAnsi="Palatino Linotype" w:cs="Bookman Old Style,Bold"/>
          <w:b/>
          <w:bCs/>
          <w:i/>
        </w:rPr>
        <w:t xml:space="preserve">Artículo 4. </w:t>
      </w:r>
      <w:r w:rsidRPr="001A1243">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20175E71"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Bookman Old Style"/>
          <w:i/>
        </w:rPr>
      </w:pPr>
      <w:r w:rsidRPr="001A1243">
        <w:rPr>
          <w:rFonts w:ascii="Palatino Linotype" w:hAnsi="Palatino Linotype" w:cs="Bookman Old Style"/>
          <w:b/>
          <w:i/>
        </w:rPr>
        <w:t>Toda la información</w:t>
      </w:r>
      <w:r w:rsidRPr="001A1243">
        <w:rPr>
          <w:rFonts w:ascii="Palatino Linotype" w:hAnsi="Palatino Linotype" w:cs="Bookman Old Style"/>
          <w:i/>
        </w:rPr>
        <w:t xml:space="preserve"> generada, obtenida, adquirida, transformada, administrada o </w:t>
      </w:r>
      <w:r w:rsidRPr="001A1243">
        <w:rPr>
          <w:rFonts w:ascii="Palatino Linotype" w:hAnsi="Palatino Linotype" w:cs="Bookman Old Style"/>
          <w:b/>
          <w:i/>
        </w:rPr>
        <w:t>en posesión de los sujetos obligados es pública</w:t>
      </w:r>
      <w:r w:rsidRPr="001A1243">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8ECCCC" w14:textId="77777777" w:rsidR="00FC7B03" w:rsidRPr="001A1243" w:rsidRDefault="00FC7B03" w:rsidP="00FC7B03">
      <w:pPr>
        <w:autoSpaceDE w:val="0"/>
        <w:autoSpaceDN w:val="0"/>
        <w:adjustRightInd w:val="0"/>
        <w:spacing w:line="360" w:lineRule="auto"/>
        <w:ind w:left="567" w:right="567"/>
        <w:jc w:val="both"/>
        <w:rPr>
          <w:rFonts w:ascii="Palatino Linotype" w:hAnsi="Palatino Linotype" w:cs="Bookman Old Style"/>
          <w:i/>
        </w:rPr>
      </w:pPr>
      <w:r w:rsidRPr="001A1243">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0538D57" w14:textId="77777777" w:rsidR="00FC7B03" w:rsidRPr="001A1243" w:rsidRDefault="00FC7B03" w:rsidP="00FC7B03">
      <w:pPr>
        <w:pStyle w:val="Textonotapie"/>
      </w:pPr>
    </w:p>
    <w:p w14:paraId="50623DA3" w14:textId="77777777" w:rsidR="00FC7B03" w:rsidRPr="001A1243" w:rsidRDefault="00FC7B03" w:rsidP="00FC7B03">
      <w:pPr>
        <w:pStyle w:val="Prrafodelista"/>
        <w:numPr>
          <w:ilvl w:val="0"/>
          <w:numId w:val="2"/>
        </w:numPr>
        <w:spacing w:before="240" w:after="360" w:line="360" w:lineRule="auto"/>
        <w:ind w:left="0" w:firstLine="0"/>
        <w:jc w:val="both"/>
        <w:rPr>
          <w:rFonts w:ascii="Palatino Linotype" w:hAnsi="Palatino Linotype"/>
          <w:lang w:val="es-ES"/>
        </w:rPr>
      </w:pPr>
      <w:r w:rsidRPr="001A1243">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1A1243">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1A1243">
        <w:rPr>
          <w:rStyle w:val="Refdenotaalpie"/>
          <w:rFonts w:ascii="Palatino Linotype" w:hAnsi="Palatino Linotype"/>
          <w:lang w:val="es-ES"/>
        </w:rPr>
        <w:footnoteReference w:id="6"/>
      </w:r>
      <w:r w:rsidRPr="001A124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3E379F1" w14:textId="77777777" w:rsidR="00FC7B03" w:rsidRPr="001A1243" w:rsidRDefault="00FC7B03" w:rsidP="00FC7B03">
      <w:pPr>
        <w:pStyle w:val="Prrafodelista"/>
        <w:tabs>
          <w:tab w:val="left" w:pos="851"/>
        </w:tabs>
        <w:spacing w:line="360" w:lineRule="auto"/>
        <w:ind w:left="0" w:right="49"/>
        <w:jc w:val="both"/>
        <w:rPr>
          <w:rFonts w:ascii="Palatino Linotype" w:hAnsi="Palatino Linotype"/>
          <w:lang w:val="es-ES"/>
        </w:rPr>
      </w:pPr>
    </w:p>
    <w:p w14:paraId="28CA09B0" w14:textId="77777777" w:rsidR="00FC7B03" w:rsidRPr="001A1243" w:rsidRDefault="00FC7B03" w:rsidP="00FC7B03">
      <w:pPr>
        <w:pStyle w:val="Prrafodelista"/>
        <w:numPr>
          <w:ilvl w:val="0"/>
          <w:numId w:val="2"/>
        </w:numPr>
        <w:spacing w:before="240" w:after="360" w:line="360" w:lineRule="auto"/>
        <w:ind w:left="0" w:firstLine="0"/>
        <w:jc w:val="both"/>
        <w:rPr>
          <w:rFonts w:ascii="Palatino Linotype" w:hAnsi="Palatino Linotype"/>
          <w:lang w:val="es-ES"/>
        </w:rPr>
      </w:pPr>
      <w:r w:rsidRPr="001A124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9E2776E" w14:textId="77777777" w:rsidR="00FC7B03" w:rsidRPr="001A1243" w:rsidRDefault="00FC7B03" w:rsidP="00FC7B03">
      <w:pPr>
        <w:pStyle w:val="Prrafodelista"/>
        <w:spacing w:line="360" w:lineRule="auto"/>
        <w:jc w:val="both"/>
        <w:rPr>
          <w:rFonts w:ascii="Palatino Linotype" w:hAnsi="Palatino Linotype"/>
          <w:lang w:val="es-ES"/>
        </w:rPr>
      </w:pPr>
    </w:p>
    <w:p w14:paraId="300CB6A4" w14:textId="77777777" w:rsidR="00FC7B03" w:rsidRPr="001A1243" w:rsidRDefault="00FC7B03" w:rsidP="00FC7B03">
      <w:pPr>
        <w:pStyle w:val="Prrafodelista"/>
        <w:tabs>
          <w:tab w:val="left" w:pos="851"/>
        </w:tabs>
        <w:spacing w:line="360" w:lineRule="auto"/>
        <w:ind w:left="567" w:right="567"/>
        <w:jc w:val="both"/>
        <w:rPr>
          <w:rFonts w:ascii="Palatino Linotype" w:hAnsi="Palatino Linotype"/>
          <w:i/>
        </w:rPr>
      </w:pPr>
      <w:r w:rsidRPr="001A1243">
        <w:rPr>
          <w:rFonts w:ascii="Palatino Linotype" w:hAnsi="Palatino Linotype"/>
          <w:b/>
          <w:i/>
        </w:rPr>
        <w:t>ACCESO A LA INFORMACIÓN. IMPLICACIÓN DEL PRINCIPIO DE MÁXIMA PUBLICIDAD EN EL DERECHO FUNDAMENTAL RELATIVO.</w:t>
      </w:r>
      <w:r w:rsidRPr="001A124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w:t>
      </w:r>
      <w:r w:rsidRPr="001A1243">
        <w:rPr>
          <w:rFonts w:ascii="Palatino Linotype" w:hAnsi="Palatino Linotype"/>
          <w:i/>
        </w:rPr>
        <w:lastRenderedPageBreak/>
        <w:t xml:space="preserve">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2C778D5" w14:textId="77777777" w:rsidR="00FC7B03" w:rsidRPr="001A1243" w:rsidRDefault="00FC7B03" w:rsidP="00FC7B03">
      <w:pPr>
        <w:pStyle w:val="Prrafodelista"/>
        <w:tabs>
          <w:tab w:val="left" w:pos="851"/>
        </w:tabs>
        <w:spacing w:line="360" w:lineRule="auto"/>
        <w:ind w:left="567" w:right="567"/>
        <w:jc w:val="both"/>
        <w:rPr>
          <w:rFonts w:ascii="Palatino Linotype" w:hAnsi="Palatino Linotype"/>
          <w:i/>
        </w:rPr>
      </w:pPr>
    </w:p>
    <w:p w14:paraId="6973799D" w14:textId="77777777" w:rsidR="00FC7B03" w:rsidRPr="001A1243" w:rsidRDefault="00FC7B03" w:rsidP="00FC7B03">
      <w:pPr>
        <w:pStyle w:val="Prrafodelista"/>
        <w:tabs>
          <w:tab w:val="left" w:pos="851"/>
        </w:tabs>
        <w:spacing w:line="360" w:lineRule="auto"/>
        <w:ind w:left="567" w:right="567"/>
        <w:jc w:val="both"/>
        <w:rPr>
          <w:rFonts w:ascii="Palatino Linotype" w:hAnsi="Palatino Linotype"/>
          <w:i/>
        </w:rPr>
      </w:pPr>
      <w:r w:rsidRPr="001A1243">
        <w:rPr>
          <w:rFonts w:ascii="Palatino Linotype" w:hAnsi="Palatino Linotype"/>
          <w:i/>
        </w:rPr>
        <w:t xml:space="preserve">CUARTO TRIBUNAL COLEGIADO EN MATERIA ADMINISTRATIVA DEL PRIMER CIRCUITO. </w:t>
      </w:r>
    </w:p>
    <w:p w14:paraId="0E0D6E28" w14:textId="77777777" w:rsidR="00FC7B03" w:rsidRPr="001A1243" w:rsidRDefault="00FC7B03" w:rsidP="00FC7B03">
      <w:pPr>
        <w:pStyle w:val="Prrafodelista"/>
        <w:tabs>
          <w:tab w:val="left" w:pos="851"/>
        </w:tabs>
        <w:spacing w:line="360" w:lineRule="auto"/>
        <w:ind w:left="567" w:right="567"/>
        <w:jc w:val="both"/>
        <w:rPr>
          <w:rFonts w:ascii="Palatino Linotype" w:hAnsi="Palatino Linotype"/>
          <w:i/>
        </w:rPr>
      </w:pPr>
    </w:p>
    <w:p w14:paraId="34479A25" w14:textId="77777777" w:rsidR="00FC7B03" w:rsidRPr="001A1243" w:rsidRDefault="00FC7B03" w:rsidP="00FC7B03">
      <w:pPr>
        <w:pStyle w:val="Prrafodelista"/>
        <w:tabs>
          <w:tab w:val="left" w:pos="851"/>
        </w:tabs>
        <w:spacing w:line="360" w:lineRule="auto"/>
        <w:ind w:left="567" w:right="567"/>
        <w:jc w:val="both"/>
        <w:rPr>
          <w:rFonts w:ascii="Palatino Linotype" w:hAnsi="Palatino Linotype"/>
          <w:i/>
        </w:rPr>
      </w:pPr>
      <w:r w:rsidRPr="001A1243">
        <w:rPr>
          <w:rFonts w:ascii="Palatino Linotype" w:hAnsi="Palatino Linotype"/>
          <w:i/>
        </w:rPr>
        <w:t xml:space="preserve">Amparo en revisión 257/2012. Ruth Corona Muñoz. 6 de diciembre de 2012. Unanimidad de votos. Ponente: Jean Claude </w:t>
      </w:r>
      <w:proofErr w:type="spellStart"/>
      <w:r w:rsidRPr="001A1243">
        <w:rPr>
          <w:rFonts w:ascii="Palatino Linotype" w:hAnsi="Palatino Linotype"/>
          <w:i/>
        </w:rPr>
        <w:t>Tron</w:t>
      </w:r>
      <w:proofErr w:type="spellEnd"/>
      <w:r w:rsidRPr="001A1243">
        <w:rPr>
          <w:rFonts w:ascii="Palatino Linotype" w:hAnsi="Palatino Linotype"/>
          <w:i/>
        </w:rPr>
        <w:t xml:space="preserve"> </w:t>
      </w:r>
      <w:proofErr w:type="spellStart"/>
      <w:r w:rsidRPr="001A1243">
        <w:rPr>
          <w:rFonts w:ascii="Palatino Linotype" w:hAnsi="Palatino Linotype"/>
          <w:i/>
        </w:rPr>
        <w:t>Petit</w:t>
      </w:r>
      <w:proofErr w:type="spellEnd"/>
      <w:r w:rsidRPr="001A1243">
        <w:rPr>
          <w:rFonts w:ascii="Palatino Linotype" w:hAnsi="Palatino Linotype"/>
          <w:i/>
        </w:rPr>
        <w:t>. Secretaria: Mayra Susana Martínez López.</w:t>
      </w:r>
    </w:p>
    <w:p w14:paraId="39F15E53" w14:textId="77777777" w:rsidR="00FC7B03" w:rsidRPr="001A1243" w:rsidRDefault="00FC7B03" w:rsidP="00FC7B03">
      <w:pPr>
        <w:pStyle w:val="Prrafodelista"/>
        <w:rPr>
          <w:rFonts w:ascii="Palatino Linotype" w:hAnsi="Palatino Linotype" w:cs="Arial"/>
          <w:noProof/>
          <w:lang w:eastAsia="es-MX"/>
        </w:rPr>
      </w:pPr>
    </w:p>
    <w:p w14:paraId="7BBC6AAB" w14:textId="77777777" w:rsidR="00FC7B03" w:rsidRPr="001A1243" w:rsidRDefault="00FC7B03" w:rsidP="00FC7B03">
      <w:pPr>
        <w:pStyle w:val="Prrafodelista"/>
        <w:rPr>
          <w:rFonts w:ascii="Palatino Linotype" w:hAnsi="Palatino Linotype" w:cs="Arial"/>
          <w:noProof/>
          <w:lang w:eastAsia="es-MX"/>
        </w:rPr>
      </w:pPr>
    </w:p>
    <w:p w14:paraId="06551E22" w14:textId="77777777" w:rsidR="00FC7B03" w:rsidRPr="001A1243" w:rsidRDefault="00FC7B03" w:rsidP="00FC7B03">
      <w:pPr>
        <w:pStyle w:val="Ttulo2"/>
        <w:rPr>
          <w:rFonts w:ascii="Palatino Linotype" w:hAnsi="Palatino Linotype"/>
          <w:b/>
          <w:color w:val="auto"/>
          <w:sz w:val="24"/>
        </w:rPr>
      </w:pPr>
      <w:bookmarkStart w:id="153" w:name="_Toc531859120"/>
      <w:bookmarkStart w:id="154" w:name="_Toc2871952"/>
      <w:bookmarkStart w:id="155" w:name="_Toc20246253"/>
      <w:bookmarkStart w:id="156" w:name="_Toc24023250"/>
      <w:bookmarkStart w:id="157" w:name="_Toc26461369"/>
      <w:bookmarkStart w:id="158" w:name="_Toc32517190"/>
      <w:bookmarkStart w:id="159" w:name="_Toc34932769"/>
      <w:bookmarkStart w:id="160" w:name="_Toc49985086"/>
      <w:bookmarkStart w:id="161" w:name="_Toc54138953"/>
      <w:bookmarkStart w:id="162" w:name="_Toc473799824"/>
      <w:bookmarkStart w:id="163" w:name="_Toc487025370"/>
      <w:bookmarkStart w:id="164" w:name="_Toc493790438"/>
      <w:bookmarkStart w:id="165" w:name="_Toc495606558"/>
      <w:bookmarkStart w:id="166" w:name="_Toc497297048"/>
      <w:bookmarkStart w:id="167" w:name="_Toc498503756"/>
      <w:bookmarkStart w:id="168" w:name="_Toc499201876"/>
      <w:bookmarkStart w:id="169" w:name="_Toc524000321"/>
      <w:r w:rsidRPr="001A1243">
        <w:rPr>
          <w:rFonts w:ascii="Palatino Linotype" w:hAnsi="Palatino Linotype"/>
          <w:b/>
          <w:color w:val="auto"/>
          <w:sz w:val="24"/>
        </w:rPr>
        <w:t xml:space="preserve">QUINTO. De la </w:t>
      </w:r>
      <w:bookmarkEnd w:id="153"/>
      <w:bookmarkEnd w:id="154"/>
      <w:r w:rsidRPr="001A1243">
        <w:rPr>
          <w:rFonts w:ascii="Palatino Linotype" w:hAnsi="Palatino Linotype"/>
          <w:b/>
          <w:color w:val="auto"/>
          <w:sz w:val="24"/>
        </w:rPr>
        <w:t>versión pública</w:t>
      </w:r>
      <w:bookmarkEnd w:id="155"/>
      <w:bookmarkEnd w:id="156"/>
      <w:bookmarkEnd w:id="157"/>
      <w:bookmarkEnd w:id="158"/>
      <w:bookmarkEnd w:id="159"/>
      <w:bookmarkEnd w:id="160"/>
      <w:bookmarkEnd w:id="161"/>
    </w:p>
    <w:p w14:paraId="0A71A325" w14:textId="77777777" w:rsidR="00FC7B03" w:rsidRPr="001A1243" w:rsidRDefault="00FC7B03" w:rsidP="00FC7B03">
      <w:pPr>
        <w:rPr>
          <w:lang w:val="es-MX" w:eastAsia="en-US"/>
        </w:rPr>
      </w:pPr>
    </w:p>
    <w:bookmarkEnd w:id="162"/>
    <w:bookmarkEnd w:id="163"/>
    <w:bookmarkEnd w:id="164"/>
    <w:bookmarkEnd w:id="165"/>
    <w:bookmarkEnd w:id="166"/>
    <w:bookmarkEnd w:id="167"/>
    <w:bookmarkEnd w:id="168"/>
    <w:bookmarkEnd w:id="169"/>
    <w:p w14:paraId="448C7D09" w14:textId="782345FE" w:rsidR="00FC7B03" w:rsidRPr="001A1243" w:rsidRDefault="00FC7B03"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1A1243">
        <w:rPr>
          <w:rFonts w:ascii="Palatino Linotype" w:hAnsi="Palatino Linotype" w:cs="Arial"/>
          <w:noProof/>
          <w:lang w:eastAsia="es-MX"/>
        </w:rPr>
        <w:t xml:space="preserve">Por ultimo, </w:t>
      </w:r>
      <w:r w:rsidR="000E4089" w:rsidRPr="001A1243">
        <w:rPr>
          <w:rFonts w:ascii="Palatino Linotype" w:hAnsi="Palatino Linotype" w:cs="Arial"/>
          <w:noProof/>
          <w:lang w:eastAsia="es-MX"/>
        </w:rPr>
        <w:t>dada la propia y especial naturaleza del soporte documental que se ordena</w:t>
      </w:r>
      <w:r w:rsidRPr="001A1243">
        <w:rPr>
          <w:rFonts w:ascii="Palatino Linotype" w:hAnsi="Palatino Linotype" w:cs="Arial"/>
          <w:noProof/>
          <w:lang w:eastAsia="es-MX"/>
        </w:rPr>
        <w:t>, llegaran a obrar datos personales suceptibles de ser protegidos, debera eleborarse el Acuerdo de Clasificación que sustente las versiones publicas que se pudieran generar y se ponga a disposicion del particular en terminos del presente Considerando.</w:t>
      </w:r>
    </w:p>
    <w:p w14:paraId="5CA59DC1" w14:textId="77777777" w:rsidR="00FC7B03" w:rsidRPr="001A1243" w:rsidRDefault="00FC7B03" w:rsidP="00FC7B03">
      <w:pPr>
        <w:pStyle w:val="Prrafodelista"/>
        <w:spacing w:before="240" w:after="240" w:line="360" w:lineRule="auto"/>
        <w:ind w:left="0"/>
        <w:jc w:val="both"/>
        <w:rPr>
          <w:rFonts w:ascii="Palatino Linotype" w:hAnsi="Palatino Linotype" w:cs="Bookman Old Style"/>
        </w:rPr>
      </w:pPr>
    </w:p>
    <w:p w14:paraId="58A1ECFF" w14:textId="77777777" w:rsidR="00FC7B03" w:rsidRPr="001A1243" w:rsidRDefault="00FC7B03" w:rsidP="00FC7B03">
      <w:pPr>
        <w:pStyle w:val="Ttulo3"/>
        <w:numPr>
          <w:ilvl w:val="0"/>
          <w:numId w:val="7"/>
        </w:numPr>
        <w:spacing w:line="360" w:lineRule="auto"/>
        <w:rPr>
          <w:rFonts w:ascii="Palatino Linotype" w:eastAsia="Calibri" w:hAnsi="Palatino Linotype"/>
          <w:b/>
          <w:color w:val="auto"/>
        </w:rPr>
      </w:pPr>
      <w:bookmarkStart w:id="170" w:name="_Toc531859121"/>
      <w:bookmarkStart w:id="171" w:name="_Toc532385645"/>
      <w:bookmarkStart w:id="172" w:name="_Toc954273"/>
      <w:bookmarkStart w:id="173" w:name="_Toc16107112"/>
      <w:bookmarkStart w:id="174" w:name="_Toc20246254"/>
      <w:bookmarkStart w:id="175" w:name="_Toc22660660"/>
      <w:bookmarkStart w:id="176" w:name="_Toc22811631"/>
      <w:bookmarkStart w:id="177" w:name="_Toc23930218"/>
      <w:bookmarkStart w:id="178" w:name="_Toc24023251"/>
      <w:bookmarkStart w:id="179" w:name="_Toc26461370"/>
      <w:bookmarkStart w:id="180" w:name="_Toc29481475"/>
      <w:bookmarkStart w:id="181" w:name="_Toc32516346"/>
      <w:bookmarkStart w:id="182" w:name="_Toc32517191"/>
      <w:bookmarkStart w:id="183" w:name="_Toc34932770"/>
      <w:bookmarkStart w:id="184" w:name="_Toc49985087"/>
      <w:bookmarkStart w:id="185" w:name="_Toc54138954"/>
      <w:r w:rsidRPr="001A1243">
        <w:rPr>
          <w:rFonts w:ascii="Palatino Linotype" w:hAnsi="Palatino Linotype"/>
          <w:b/>
          <w:color w:val="auto"/>
        </w:rPr>
        <w:t>Requisitos previos.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70DE474" w14:textId="77777777" w:rsidR="00FC7B03" w:rsidRPr="001A1243"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020C9C"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 xml:space="preserve">El </w:t>
      </w:r>
      <w:r w:rsidRPr="001A1243">
        <w:rPr>
          <w:rFonts w:ascii="Palatino Linotype" w:eastAsia="Calibri" w:hAnsi="Palatino Linotype" w:cs="Arial"/>
          <w:color w:val="000000"/>
          <w:lang w:val="es-ES" w:eastAsia="es-MX"/>
        </w:rPr>
        <w:t>artículo</w:t>
      </w:r>
      <w:r w:rsidRPr="001A1243">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8AA87AD" w14:textId="77777777" w:rsidR="00FC7B03" w:rsidRPr="001A1243"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123CADF"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52A8A61" w14:textId="77777777" w:rsidR="00FC7B03" w:rsidRPr="001A1243" w:rsidRDefault="00FC7B03" w:rsidP="00FC7B03">
      <w:pPr>
        <w:pStyle w:val="Prrafodelista"/>
        <w:rPr>
          <w:rFonts w:ascii="Palatino Linotype" w:eastAsia="Calibri" w:hAnsi="Palatino Linotype" w:cs="Arial"/>
          <w:szCs w:val="22"/>
          <w:lang w:val="es-ES" w:eastAsia="es-MX"/>
        </w:rPr>
      </w:pPr>
    </w:p>
    <w:p w14:paraId="0C0B7C04"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A15196" w14:textId="77777777" w:rsidR="00FC7B03" w:rsidRPr="001A1243" w:rsidRDefault="00FC7B03" w:rsidP="00FC7B03">
      <w:pPr>
        <w:pStyle w:val="Prrafodelista"/>
        <w:rPr>
          <w:rFonts w:ascii="Palatino Linotype" w:eastAsia="Calibri" w:hAnsi="Palatino Linotype" w:cs="Arial"/>
          <w:szCs w:val="22"/>
          <w:lang w:val="es-ES" w:eastAsia="es-MX"/>
        </w:rPr>
      </w:pPr>
    </w:p>
    <w:p w14:paraId="5AC3C0CE" w14:textId="77777777" w:rsidR="00FC7B03" w:rsidRPr="001A1243" w:rsidRDefault="00FC7B03" w:rsidP="00FC7B03">
      <w:pPr>
        <w:pStyle w:val="Ttulo3"/>
        <w:numPr>
          <w:ilvl w:val="0"/>
          <w:numId w:val="7"/>
        </w:numPr>
        <w:spacing w:line="360" w:lineRule="auto"/>
        <w:rPr>
          <w:rFonts w:ascii="Palatino Linotype" w:hAnsi="Palatino Linotype"/>
          <w:b/>
          <w:color w:val="auto"/>
        </w:rPr>
      </w:pPr>
      <w:bookmarkStart w:id="186" w:name="_Toc531859122"/>
      <w:bookmarkStart w:id="187" w:name="_Toc532385646"/>
      <w:bookmarkStart w:id="188" w:name="_Toc954274"/>
      <w:bookmarkStart w:id="189" w:name="_Toc16107113"/>
      <w:bookmarkStart w:id="190" w:name="_Toc20246255"/>
      <w:bookmarkStart w:id="191" w:name="_Toc22660661"/>
      <w:bookmarkStart w:id="192" w:name="_Toc22811632"/>
      <w:bookmarkStart w:id="193" w:name="_Toc23930219"/>
      <w:bookmarkStart w:id="194" w:name="_Toc24023252"/>
      <w:bookmarkStart w:id="195" w:name="_Toc26461371"/>
      <w:bookmarkStart w:id="196" w:name="_Toc29481476"/>
      <w:bookmarkStart w:id="197" w:name="_Toc32516347"/>
      <w:bookmarkStart w:id="198" w:name="_Toc32517192"/>
      <w:bookmarkStart w:id="199" w:name="_Toc34932771"/>
      <w:bookmarkStart w:id="200" w:name="_Toc49985088"/>
      <w:bookmarkStart w:id="201" w:name="_Toc54138955"/>
      <w:r w:rsidRPr="001A1243">
        <w:rPr>
          <w:rFonts w:ascii="Palatino Linotype" w:hAnsi="Palatino Linotype"/>
          <w:b/>
          <w:color w:val="auto"/>
        </w:rPr>
        <w:t>Supuesto de clasificación.</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2C88C75" w14:textId="77777777" w:rsidR="00FC7B03" w:rsidRPr="001A1243"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C13462"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Cuando</w:t>
      </w:r>
      <w:r w:rsidRPr="001A1243">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90338D7" w14:textId="77777777" w:rsidR="00FC7B03" w:rsidRPr="001A1243" w:rsidRDefault="00FC7B03" w:rsidP="00FC7B03">
      <w:pPr>
        <w:autoSpaceDE w:val="0"/>
        <w:autoSpaceDN w:val="0"/>
        <w:adjustRightInd w:val="0"/>
        <w:spacing w:after="160" w:line="360" w:lineRule="auto"/>
        <w:ind w:left="567" w:right="567"/>
        <w:jc w:val="both"/>
        <w:rPr>
          <w:rFonts w:ascii="Palatino Linotype" w:hAnsi="Palatino Linotype" w:cs="Arial"/>
          <w:i/>
          <w:sz w:val="22"/>
          <w:lang w:val="es-MX"/>
        </w:rPr>
      </w:pPr>
      <w:r w:rsidRPr="001A1243">
        <w:rPr>
          <w:rFonts w:ascii="Palatino Linotype" w:hAnsi="Palatino Linotype" w:cs="Arial"/>
          <w:b/>
          <w:bCs/>
          <w:i/>
          <w:sz w:val="22"/>
          <w:lang w:val="es-MX"/>
        </w:rPr>
        <w:t xml:space="preserve">Artículo 3. </w:t>
      </w:r>
      <w:r w:rsidRPr="001A1243">
        <w:rPr>
          <w:rFonts w:ascii="Palatino Linotype" w:hAnsi="Palatino Linotype" w:cs="Arial"/>
          <w:i/>
          <w:sz w:val="22"/>
          <w:lang w:val="es-MX"/>
        </w:rPr>
        <w:t>Para los efectos de la presente Ley se entenderá por:</w:t>
      </w:r>
    </w:p>
    <w:p w14:paraId="1BA87484"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lastRenderedPageBreak/>
        <w:t xml:space="preserve"> (…)</w:t>
      </w:r>
    </w:p>
    <w:p w14:paraId="288A9F5B"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91030C3"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w:t>
      </w:r>
    </w:p>
    <w:p w14:paraId="2D2B865A"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XX. Información clasificada: Aquella considerada por la presente Ley como reservada o confidencial;</w:t>
      </w:r>
    </w:p>
    <w:p w14:paraId="79CDF88B"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C4E222"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w:t>
      </w:r>
    </w:p>
    <w:p w14:paraId="35241316"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3FCF9A6"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w:t>
      </w:r>
    </w:p>
    <w:p w14:paraId="5B023A28"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F7DFD19"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w:t>
      </w:r>
    </w:p>
    <w:p w14:paraId="1F63AFDB"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1A1243">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4E5E1D21"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w:t>
      </w:r>
    </w:p>
    <w:p w14:paraId="0B905A27"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BDF3182"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1A1243">
        <w:rPr>
          <w:rFonts w:ascii="Palatino Linotype" w:eastAsia="Calibri" w:hAnsi="Palatino Linotype" w:cs="Arial"/>
          <w:i/>
          <w:sz w:val="22"/>
          <w:szCs w:val="22"/>
          <w:lang w:val="es-ES" w:eastAsia="es-MX"/>
        </w:rPr>
        <w:t>jurídico</w:t>
      </w:r>
      <w:proofErr w:type="gramEnd"/>
      <w:r w:rsidRPr="001A1243">
        <w:rPr>
          <w:rFonts w:ascii="Palatino Linotype" w:eastAsia="Calibri" w:hAnsi="Palatino Linotype" w:cs="Arial"/>
          <w:i/>
          <w:sz w:val="22"/>
          <w:szCs w:val="22"/>
          <w:lang w:val="es-ES" w:eastAsia="es-MX"/>
        </w:rPr>
        <w:t xml:space="preserve"> colectiva identificada o identificable;</w:t>
      </w:r>
    </w:p>
    <w:p w14:paraId="7C7B0990"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72AC224" w14:textId="77777777" w:rsidR="00FC7B03" w:rsidRPr="001A124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A124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E66970C"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061D4C" w14:textId="77777777" w:rsidR="00E85531" w:rsidRPr="001A1243" w:rsidRDefault="00E85531" w:rsidP="00E85531">
      <w:pPr>
        <w:pStyle w:val="Prrafodelista"/>
        <w:spacing w:before="240" w:after="240" w:line="360" w:lineRule="auto"/>
        <w:ind w:left="0"/>
        <w:jc w:val="both"/>
        <w:rPr>
          <w:rFonts w:ascii="Palatino Linotype" w:eastAsia="Calibri" w:hAnsi="Palatino Linotype" w:cs="Arial"/>
          <w:szCs w:val="22"/>
          <w:lang w:val="es-ES" w:eastAsia="es-MX"/>
        </w:rPr>
      </w:pPr>
    </w:p>
    <w:p w14:paraId="250345CF"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lastRenderedPageBreak/>
        <w:t>Como consecuencia de lo anterior, el sujeto obligado debe identificar claramente el tipo de información y hacer un juicio de subsunción o encaje</w:t>
      </w:r>
      <w:r w:rsidRPr="001A1243">
        <w:rPr>
          <w:rStyle w:val="Refdenotaalpie"/>
          <w:rFonts w:ascii="Palatino Linotype" w:hAnsi="Palatino Linotype" w:cs="Arial"/>
        </w:rPr>
        <w:footnoteReference w:id="7"/>
      </w:r>
      <w:r w:rsidRPr="001A124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999D48B" w14:textId="77777777" w:rsidR="00FC7B03" w:rsidRPr="001A1243" w:rsidRDefault="00FC7B03" w:rsidP="00FC7B03">
      <w:pPr>
        <w:pStyle w:val="Prrafodelista"/>
        <w:rPr>
          <w:rFonts w:ascii="Palatino Linotype" w:eastAsia="Calibri" w:hAnsi="Palatino Linotype" w:cs="Arial"/>
          <w:szCs w:val="22"/>
          <w:lang w:val="es-ES" w:eastAsia="es-MX"/>
        </w:rPr>
      </w:pPr>
    </w:p>
    <w:p w14:paraId="6D7B90C4"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77711C7" w14:textId="77777777" w:rsidR="00865505" w:rsidRPr="001A1243" w:rsidRDefault="00865505" w:rsidP="00865505">
      <w:pPr>
        <w:pStyle w:val="Prrafodelista"/>
        <w:rPr>
          <w:rFonts w:ascii="Palatino Linotype" w:eastAsia="Calibri" w:hAnsi="Palatino Linotype" w:cs="Arial"/>
          <w:szCs w:val="22"/>
          <w:lang w:val="es-ES" w:eastAsia="es-MX"/>
        </w:rPr>
      </w:pPr>
    </w:p>
    <w:p w14:paraId="386D98DA" w14:textId="77777777" w:rsidR="00FC7B03" w:rsidRPr="001A1243" w:rsidRDefault="00FC7B03" w:rsidP="00FC7B03">
      <w:pPr>
        <w:pStyle w:val="Ttulo3"/>
        <w:numPr>
          <w:ilvl w:val="0"/>
          <w:numId w:val="7"/>
        </w:numPr>
        <w:spacing w:line="360" w:lineRule="auto"/>
        <w:rPr>
          <w:rFonts w:ascii="Palatino Linotype" w:hAnsi="Palatino Linotype"/>
          <w:b/>
          <w:color w:val="auto"/>
        </w:rPr>
      </w:pPr>
      <w:bookmarkStart w:id="202" w:name="_Toc531859123"/>
      <w:bookmarkStart w:id="203" w:name="_Toc532385647"/>
      <w:bookmarkStart w:id="204" w:name="_Toc954275"/>
      <w:bookmarkStart w:id="205" w:name="_Toc16107114"/>
      <w:bookmarkStart w:id="206" w:name="_Toc20246256"/>
      <w:bookmarkStart w:id="207" w:name="_Toc22660662"/>
      <w:bookmarkStart w:id="208" w:name="_Toc22811633"/>
      <w:bookmarkStart w:id="209" w:name="_Toc23930220"/>
      <w:bookmarkStart w:id="210" w:name="_Toc24023253"/>
      <w:bookmarkStart w:id="211" w:name="_Toc26461372"/>
      <w:bookmarkStart w:id="212" w:name="_Toc29481477"/>
      <w:bookmarkStart w:id="213" w:name="_Toc32516348"/>
      <w:bookmarkStart w:id="214" w:name="_Toc32517193"/>
      <w:bookmarkStart w:id="215" w:name="_Toc34932772"/>
      <w:bookmarkStart w:id="216" w:name="_Toc49985089"/>
      <w:bookmarkStart w:id="217" w:name="_Toc54138956"/>
      <w:r w:rsidRPr="001A1243">
        <w:rPr>
          <w:rFonts w:ascii="Palatino Linotype" w:hAnsi="Palatino Linotype"/>
          <w:b/>
          <w:color w:val="auto"/>
        </w:rPr>
        <w:t>La intervención del Comité de Transparencia.</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5F8DC187" w14:textId="77777777" w:rsidR="00FC7B03" w:rsidRPr="001A1243" w:rsidRDefault="00FC7B03" w:rsidP="00FC7B03">
      <w:pPr>
        <w:pStyle w:val="Ttulo4"/>
        <w:numPr>
          <w:ilvl w:val="1"/>
          <w:numId w:val="40"/>
        </w:numPr>
        <w:spacing w:line="360" w:lineRule="auto"/>
        <w:ind w:left="1800" w:hanging="720"/>
        <w:rPr>
          <w:rFonts w:ascii="Palatino Linotype" w:hAnsi="Palatino Linotype"/>
          <w:b/>
          <w:i w:val="0"/>
          <w:color w:val="auto"/>
        </w:rPr>
      </w:pPr>
      <w:r w:rsidRPr="001A1243">
        <w:rPr>
          <w:rFonts w:ascii="Palatino Linotype" w:hAnsi="Palatino Linotype"/>
          <w:b/>
          <w:i w:val="0"/>
          <w:color w:val="auto"/>
        </w:rPr>
        <w:t>Formalidades para emitir el acuerdo de clasificación.</w:t>
      </w:r>
    </w:p>
    <w:p w14:paraId="5C464C2E"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 xml:space="preserve">El Comité de Transparencia, según lo dispuesto en los artículos 128 y 103 de la Ley Estatal y de la Ley General, respectivamente, y </w:t>
      </w:r>
      <w:r w:rsidRPr="001A1243">
        <w:rPr>
          <w:rFonts w:ascii="Palatino Linotype" w:hAnsi="Palatino Linotype"/>
        </w:rPr>
        <w:t xml:space="preserve">la fracción III del numeral </w:t>
      </w:r>
      <w:r w:rsidRPr="001A1243">
        <w:rPr>
          <w:rFonts w:ascii="Palatino Linotype" w:hAnsi="Palatino Linotype"/>
        </w:rPr>
        <w:lastRenderedPageBreak/>
        <w:t xml:space="preserve">Segundo de los </w:t>
      </w:r>
      <w:r w:rsidRPr="001A124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A1243">
        <w:rPr>
          <w:rFonts w:ascii="Palatino Linotype" w:hAnsi="Palatino Linotype"/>
        </w:rPr>
        <w:t xml:space="preserve"> </w:t>
      </w:r>
      <w:r w:rsidRPr="001A124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FE56F62" w14:textId="77777777" w:rsidR="00FC7B03" w:rsidRPr="001A1243"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FEEC0F0"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6CBC30" w14:textId="77777777" w:rsidR="00FC7B03" w:rsidRPr="001A1243" w:rsidRDefault="00FC7B03" w:rsidP="00FC7B03">
      <w:pPr>
        <w:pStyle w:val="Prrafodelista"/>
        <w:rPr>
          <w:rFonts w:ascii="Palatino Linotype" w:eastAsia="Calibri" w:hAnsi="Palatino Linotype" w:cs="Arial"/>
          <w:szCs w:val="22"/>
          <w:lang w:val="es-ES" w:eastAsia="es-MX"/>
        </w:rPr>
      </w:pPr>
    </w:p>
    <w:p w14:paraId="277C40CD"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La</w:t>
      </w:r>
      <w:r w:rsidRPr="001A1243">
        <w:rPr>
          <w:rFonts w:ascii="Palatino Linotype" w:hAnsi="Palatino Linotype"/>
        </w:rPr>
        <w:t xml:space="preserve"> decisión de confirmar, modificar o revocar la clasificación deberá de asentarse en un documento que registre la determinación a la que se llegue después </w:t>
      </w:r>
      <w:r w:rsidRPr="001A1243">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38440B" w14:textId="77777777" w:rsidR="00E85531" w:rsidRPr="001A1243" w:rsidRDefault="00E85531" w:rsidP="00E85531">
      <w:pPr>
        <w:pStyle w:val="Prrafodelista"/>
        <w:rPr>
          <w:rFonts w:ascii="Palatino Linotype" w:eastAsia="Calibri" w:hAnsi="Palatino Linotype" w:cs="Arial"/>
          <w:szCs w:val="22"/>
          <w:lang w:val="es-ES" w:eastAsia="es-MX"/>
        </w:rPr>
      </w:pPr>
    </w:p>
    <w:p w14:paraId="64CEB743" w14:textId="77777777" w:rsidR="00FC7B03" w:rsidRPr="001A1243" w:rsidRDefault="00FC7B03" w:rsidP="00FC7B03">
      <w:pPr>
        <w:pStyle w:val="Ttulo4"/>
        <w:numPr>
          <w:ilvl w:val="0"/>
          <w:numId w:val="8"/>
        </w:numPr>
        <w:spacing w:line="360" w:lineRule="auto"/>
        <w:rPr>
          <w:rFonts w:ascii="Palatino Linotype" w:hAnsi="Palatino Linotype"/>
          <w:b/>
          <w:i w:val="0"/>
          <w:sz w:val="22"/>
        </w:rPr>
      </w:pPr>
      <w:r w:rsidRPr="001A1243">
        <w:rPr>
          <w:rFonts w:ascii="Palatino Linotype" w:hAnsi="Palatino Linotype"/>
          <w:b/>
          <w:i w:val="0"/>
          <w:color w:val="auto"/>
        </w:rPr>
        <w:t>Requisitos de fondo del acuerdo de clasificación</w:t>
      </w:r>
    </w:p>
    <w:p w14:paraId="6959676B" w14:textId="77777777" w:rsidR="00FC7B03" w:rsidRPr="001A1243" w:rsidRDefault="00FC7B03" w:rsidP="00FC7B03">
      <w:pPr>
        <w:pStyle w:val="Prrafodelista"/>
        <w:spacing w:line="360" w:lineRule="auto"/>
        <w:rPr>
          <w:rFonts w:ascii="Palatino Linotype" w:eastAsia="Calibri" w:hAnsi="Palatino Linotype" w:cs="Arial"/>
          <w:szCs w:val="22"/>
          <w:lang w:val="es-ES" w:eastAsia="es-MX"/>
        </w:rPr>
      </w:pPr>
    </w:p>
    <w:p w14:paraId="25E16B29"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3D8BDF7" w14:textId="77777777" w:rsidR="00FC7B03" w:rsidRPr="001A1243"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CFC7DCE"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hAnsi="Palatino Linotype" w:cs="Arial"/>
        </w:rPr>
        <w:t>De</w:t>
      </w:r>
      <w:r w:rsidRPr="001A1243">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1A1243">
        <w:rPr>
          <w:rFonts w:ascii="Palatino Linotype" w:hAnsi="Palatino Linotype"/>
        </w:rPr>
        <w:lastRenderedPageBreak/>
        <w:t>fundamentos legales que le dieron origen y las razones por las que se deben aplicar al caso concreto.</w:t>
      </w:r>
    </w:p>
    <w:p w14:paraId="3D730FD8" w14:textId="77777777" w:rsidR="00FC7B03" w:rsidRPr="001A1243" w:rsidRDefault="00FC7B03" w:rsidP="00FC7B03">
      <w:pPr>
        <w:pStyle w:val="Prrafodelista"/>
        <w:spacing w:line="360" w:lineRule="auto"/>
        <w:rPr>
          <w:rFonts w:ascii="Palatino Linotype" w:eastAsia="Calibri" w:hAnsi="Palatino Linotype" w:cs="Arial"/>
          <w:szCs w:val="22"/>
          <w:lang w:val="es-ES" w:eastAsia="es-MX"/>
        </w:rPr>
      </w:pPr>
    </w:p>
    <w:p w14:paraId="02339A4E"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A1243">
        <w:rPr>
          <w:rStyle w:val="Refdenotaalpie"/>
          <w:rFonts w:ascii="Palatino Linotype" w:eastAsia="Times New Roman" w:hAnsi="Palatino Linotype" w:cs="Arial"/>
          <w:lang w:eastAsia="es-MX"/>
        </w:rPr>
        <w:footnoteReference w:id="8"/>
      </w:r>
    </w:p>
    <w:p w14:paraId="10B344BB" w14:textId="77777777" w:rsidR="00FC7B03" w:rsidRPr="001A1243" w:rsidRDefault="00FC7B03" w:rsidP="00FC7B03">
      <w:pPr>
        <w:pStyle w:val="Prrafodelista"/>
        <w:rPr>
          <w:rFonts w:ascii="Palatino Linotype" w:eastAsia="Calibri" w:hAnsi="Palatino Linotype" w:cs="Arial"/>
          <w:szCs w:val="22"/>
          <w:lang w:val="es-ES" w:eastAsia="es-MX"/>
        </w:rPr>
      </w:pPr>
    </w:p>
    <w:p w14:paraId="48607BB9"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1A124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877451E" w14:textId="77777777" w:rsidR="00FC7B03" w:rsidRPr="001A1243" w:rsidRDefault="00FC7B03" w:rsidP="00FC7B03">
      <w:pPr>
        <w:pStyle w:val="Prrafodelista"/>
        <w:spacing w:line="360" w:lineRule="auto"/>
        <w:rPr>
          <w:rFonts w:ascii="Palatino Linotype" w:eastAsia="Calibri" w:hAnsi="Palatino Linotype" w:cs="Arial"/>
          <w:szCs w:val="22"/>
          <w:lang w:val="es-ES" w:eastAsia="es-MX"/>
        </w:rPr>
      </w:pPr>
    </w:p>
    <w:p w14:paraId="52A372BA" w14:textId="77777777" w:rsidR="00FC7B03" w:rsidRPr="001A1243" w:rsidRDefault="00FC7B03" w:rsidP="00FC7B03">
      <w:pPr>
        <w:spacing w:line="360" w:lineRule="auto"/>
        <w:ind w:left="567" w:right="567"/>
        <w:contextualSpacing/>
        <w:jc w:val="both"/>
        <w:rPr>
          <w:rFonts w:ascii="Palatino Linotype" w:hAnsi="Palatino Linotype" w:cs="Arial"/>
          <w:i/>
          <w:sz w:val="22"/>
        </w:rPr>
      </w:pPr>
      <w:r w:rsidRPr="001A1243">
        <w:rPr>
          <w:rFonts w:ascii="Palatino Linotype" w:hAnsi="Palatino Linotype" w:cs="Arial"/>
          <w:b/>
          <w:i/>
          <w:sz w:val="22"/>
        </w:rPr>
        <w:lastRenderedPageBreak/>
        <w:t>FUNDAMENTACIÓN Y MOTIVACIÓN.</w:t>
      </w:r>
      <w:r w:rsidRPr="001A1243">
        <w:rPr>
          <w:rFonts w:ascii="Palatino Linotype" w:hAnsi="Palatino Linotype" w:cs="Arial"/>
          <w:i/>
          <w:sz w:val="22"/>
        </w:rPr>
        <w:t xml:space="preserve"> La </w:t>
      </w:r>
      <w:r w:rsidRPr="001A124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A1243">
        <w:rPr>
          <w:rFonts w:ascii="Palatino Linotype" w:hAnsi="Palatino Linotype" w:cs="Arial"/>
          <w:i/>
          <w:sz w:val="22"/>
        </w:rPr>
        <w:t>.</w:t>
      </w:r>
    </w:p>
    <w:p w14:paraId="637539D0" w14:textId="77777777" w:rsidR="00FC7B03" w:rsidRPr="001A1243" w:rsidRDefault="00FC7B03" w:rsidP="00FC7B03">
      <w:pPr>
        <w:spacing w:line="360" w:lineRule="auto"/>
        <w:ind w:left="567" w:right="567"/>
        <w:contextualSpacing/>
        <w:jc w:val="both"/>
        <w:rPr>
          <w:rFonts w:ascii="Palatino Linotype" w:hAnsi="Palatino Linotype" w:cs="Arial"/>
          <w:i/>
          <w:sz w:val="22"/>
        </w:rPr>
      </w:pPr>
      <w:r w:rsidRPr="001A1243">
        <w:rPr>
          <w:rFonts w:ascii="Palatino Linotype" w:hAnsi="Palatino Linotype" w:cs="Arial"/>
          <w:i/>
          <w:sz w:val="22"/>
        </w:rPr>
        <w:t>SEGUNDO TRIBUNAL COLEGIADO DEL SEXTO CIRCUITO.</w:t>
      </w:r>
    </w:p>
    <w:p w14:paraId="2337BE26" w14:textId="77777777" w:rsidR="00FC7B03" w:rsidRPr="001A1243" w:rsidRDefault="00FC7B03" w:rsidP="00FC7B03">
      <w:pPr>
        <w:spacing w:line="360" w:lineRule="auto"/>
        <w:ind w:left="567" w:right="567"/>
        <w:contextualSpacing/>
        <w:jc w:val="both"/>
        <w:rPr>
          <w:rFonts w:ascii="Palatino Linotype" w:hAnsi="Palatino Linotype" w:cs="Arial"/>
          <w:i/>
          <w:sz w:val="22"/>
        </w:rPr>
      </w:pPr>
      <w:r w:rsidRPr="001A1243">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868CA0" w14:textId="77777777" w:rsidR="00FC7B03" w:rsidRPr="001A1243" w:rsidRDefault="00FC7B03" w:rsidP="00FC7B03">
      <w:pPr>
        <w:spacing w:line="360" w:lineRule="auto"/>
        <w:ind w:left="567" w:right="567"/>
        <w:contextualSpacing/>
        <w:jc w:val="both"/>
        <w:rPr>
          <w:rFonts w:ascii="Palatino Linotype" w:hAnsi="Palatino Linotype" w:cs="Arial"/>
          <w:i/>
          <w:sz w:val="22"/>
        </w:rPr>
      </w:pPr>
      <w:r w:rsidRPr="001A1243">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1A1243">
        <w:rPr>
          <w:rFonts w:ascii="Palatino Linotype" w:hAnsi="Palatino Linotype" w:cs="Arial"/>
          <w:i/>
          <w:sz w:val="22"/>
        </w:rPr>
        <w:t>Esponda</w:t>
      </w:r>
      <w:proofErr w:type="spellEnd"/>
      <w:r w:rsidRPr="001A1243">
        <w:rPr>
          <w:rFonts w:ascii="Palatino Linotype" w:hAnsi="Palatino Linotype" w:cs="Arial"/>
          <w:i/>
          <w:sz w:val="22"/>
        </w:rPr>
        <w:t xml:space="preserve"> Rincón.</w:t>
      </w:r>
    </w:p>
    <w:p w14:paraId="40CDA147" w14:textId="77777777" w:rsidR="00FC7B03" w:rsidRPr="001A1243" w:rsidRDefault="00FC7B03" w:rsidP="00FC7B03">
      <w:pPr>
        <w:spacing w:line="360" w:lineRule="auto"/>
        <w:ind w:left="567" w:right="567"/>
        <w:contextualSpacing/>
        <w:jc w:val="both"/>
        <w:rPr>
          <w:rFonts w:ascii="Palatino Linotype" w:hAnsi="Palatino Linotype" w:cs="Arial"/>
          <w:i/>
          <w:sz w:val="22"/>
        </w:rPr>
      </w:pPr>
      <w:r w:rsidRPr="001A1243">
        <w:rPr>
          <w:rFonts w:ascii="Palatino Linotype" w:hAnsi="Palatino Linotype" w:cs="Arial"/>
          <w:i/>
          <w:sz w:val="22"/>
        </w:rPr>
        <w:t xml:space="preserve">Amparo en revisión 333/88. </w:t>
      </w:r>
      <w:proofErr w:type="spellStart"/>
      <w:r w:rsidRPr="001A1243">
        <w:rPr>
          <w:rFonts w:ascii="Palatino Linotype" w:hAnsi="Palatino Linotype" w:cs="Arial"/>
          <w:i/>
          <w:sz w:val="22"/>
        </w:rPr>
        <w:t>Adilia</w:t>
      </w:r>
      <w:proofErr w:type="spellEnd"/>
      <w:r w:rsidRPr="001A1243">
        <w:rPr>
          <w:rFonts w:ascii="Palatino Linotype" w:hAnsi="Palatino Linotype" w:cs="Arial"/>
          <w:i/>
          <w:sz w:val="22"/>
        </w:rPr>
        <w:t xml:space="preserve"> Romero. 26 de octubre de 1988. Unanimidad de votos. Ponente: Arnoldo Nájera Virgen. Secretario: Enrique Crispín Campos Ramírez.</w:t>
      </w:r>
    </w:p>
    <w:p w14:paraId="2BB101C0" w14:textId="77777777" w:rsidR="00FC7B03" w:rsidRPr="001A1243" w:rsidRDefault="00FC7B03" w:rsidP="00FC7B03">
      <w:pPr>
        <w:spacing w:line="360" w:lineRule="auto"/>
        <w:ind w:left="567" w:right="567"/>
        <w:contextualSpacing/>
        <w:jc w:val="both"/>
        <w:rPr>
          <w:rFonts w:ascii="Palatino Linotype" w:hAnsi="Palatino Linotype" w:cs="Arial"/>
          <w:i/>
          <w:sz w:val="22"/>
        </w:rPr>
      </w:pPr>
      <w:r w:rsidRPr="001A1243">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1A1243">
        <w:rPr>
          <w:rFonts w:ascii="Palatino Linotype" w:hAnsi="Palatino Linotype" w:cs="Arial"/>
          <w:i/>
          <w:sz w:val="22"/>
        </w:rPr>
        <w:t>Goyzueta</w:t>
      </w:r>
      <w:proofErr w:type="spellEnd"/>
      <w:r w:rsidRPr="001A1243">
        <w:rPr>
          <w:rFonts w:ascii="Palatino Linotype" w:hAnsi="Palatino Linotype" w:cs="Arial"/>
          <w:i/>
          <w:sz w:val="22"/>
        </w:rPr>
        <w:t>. Secretario: Gonzalo Carrera Molina.</w:t>
      </w:r>
    </w:p>
    <w:p w14:paraId="409CFE3D" w14:textId="77777777" w:rsidR="00FC7B03" w:rsidRPr="001A1243" w:rsidRDefault="00FC7B03" w:rsidP="00FC7B03">
      <w:pPr>
        <w:spacing w:line="360" w:lineRule="auto"/>
        <w:ind w:left="567" w:right="567"/>
        <w:contextualSpacing/>
        <w:jc w:val="both"/>
        <w:rPr>
          <w:rFonts w:ascii="Palatino Linotype" w:hAnsi="Palatino Linotype" w:cs="Arial"/>
          <w:i/>
          <w:sz w:val="22"/>
        </w:rPr>
      </w:pPr>
      <w:r w:rsidRPr="001A1243">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1A1243">
        <w:rPr>
          <w:rFonts w:ascii="Palatino Linotype" w:hAnsi="Palatino Linotype" w:cs="Arial"/>
          <w:i/>
          <w:sz w:val="22"/>
        </w:rPr>
        <w:t>Baigts</w:t>
      </w:r>
      <w:proofErr w:type="spellEnd"/>
      <w:r w:rsidRPr="001A1243">
        <w:rPr>
          <w:rFonts w:ascii="Palatino Linotype" w:hAnsi="Palatino Linotype" w:cs="Arial"/>
          <w:i/>
          <w:sz w:val="22"/>
        </w:rPr>
        <w:t xml:space="preserve"> Muñoz.</w:t>
      </w:r>
    </w:p>
    <w:p w14:paraId="61D23BAE"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1A1243">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w:t>
      </w:r>
      <w:r w:rsidRPr="001A1243">
        <w:rPr>
          <w:rFonts w:ascii="Palatino Linotype" w:eastAsia="Times New Roman" w:hAnsi="Palatino Linotype" w:cs="Arial"/>
          <w:lang w:eastAsia="es-MX"/>
        </w:rPr>
        <w:lastRenderedPageBreak/>
        <w:t>expresan las razones, motivos o circunstancias que tomó en cuenta la autoridad para adecuar el hecho a los fundamentos de derecho.</w:t>
      </w:r>
    </w:p>
    <w:p w14:paraId="59487407" w14:textId="77777777" w:rsidR="00FC7B03" w:rsidRPr="001A1243" w:rsidRDefault="00FC7B03" w:rsidP="00FC7B03">
      <w:pPr>
        <w:pStyle w:val="Prrafodelista"/>
        <w:shd w:val="clear" w:color="auto" w:fill="FFFFFF"/>
        <w:spacing w:line="360" w:lineRule="auto"/>
        <w:ind w:left="360"/>
        <w:jc w:val="both"/>
        <w:rPr>
          <w:rFonts w:ascii="Palatino Linotype" w:eastAsia="Times New Roman" w:hAnsi="Palatino Linotype" w:cs="Arial"/>
          <w:lang w:eastAsia="es-MX"/>
        </w:rPr>
      </w:pPr>
    </w:p>
    <w:p w14:paraId="4B980703" w14:textId="694CDC7F" w:rsidR="00FC7B03" w:rsidRPr="001A124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1A124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w:t>
      </w:r>
      <w:r w:rsidR="00824C2C" w:rsidRPr="001A1243">
        <w:rPr>
          <w:rFonts w:ascii="Palatino Linotype" w:eastAsia="Times New Roman" w:hAnsi="Palatino Linotype" w:cs="Arial"/>
          <w:lang w:eastAsia="es-MX"/>
        </w:rPr>
        <w:t xml:space="preserve"> </w:t>
      </w:r>
      <w:r w:rsidRPr="001A1243">
        <w:rPr>
          <w:rFonts w:ascii="Palatino Linotype" w:eastAsia="Times New Roman" w:hAnsi="Palatino Linotype" w:cs="Arial"/>
          <w:lang w:eastAsia="es-MX"/>
        </w:rPr>
        <w:t xml:space="preserve"> auténtica defensa.</w:t>
      </w:r>
    </w:p>
    <w:p w14:paraId="2251C918" w14:textId="77777777" w:rsidR="00FC7B03" w:rsidRPr="001A1243" w:rsidRDefault="00FC7B03" w:rsidP="00FC7B03">
      <w:pPr>
        <w:pStyle w:val="Prrafodelista"/>
        <w:spacing w:before="240" w:after="240" w:line="360" w:lineRule="auto"/>
        <w:ind w:left="0"/>
        <w:jc w:val="both"/>
        <w:rPr>
          <w:rFonts w:ascii="Palatino Linotype" w:eastAsia="Times New Roman" w:hAnsi="Palatino Linotype" w:cs="Arial"/>
          <w:lang w:eastAsia="es-MX"/>
        </w:rPr>
      </w:pPr>
    </w:p>
    <w:p w14:paraId="369C70BD"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1A124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069C5B1B"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1A124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A1243">
        <w:rPr>
          <w:rFonts w:ascii="Palatino Linotype" w:hAnsi="Palatino Linotype"/>
        </w:rPr>
        <w:t xml:space="preserve"> </w:t>
      </w:r>
      <w:r w:rsidRPr="001A1243">
        <w:rPr>
          <w:rFonts w:ascii="Palatino Linotype" w:eastAsia="Times New Roman" w:hAnsi="Palatino Linotype" w:cs="Arial"/>
          <w:lang w:eastAsia="es-MX"/>
        </w:rPr>
        <w:t>datos personales</w:t>
      </w:r>
      <w:r w:rsidRPr="001A1243">
        <w:rPr>
          <w:rStyle w:val="Refdenotaalpie"/>
          <w:rFonts w:ascii="Palatino Linotype" w:eastAsia="Times New Roman" w:hAnsi="Palatino Linotype" w:cs="Arial"/>
          <w:lang w:eastAsia="es-MX"/>
        </w:rPr>
        <w:footnoteReference w:id="9"/>
      </w:r>
      <w:r w:rsidRPr="001A124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A1243">
        <w:rPr>
          <w:rFonts w:ascii="Palatino Linotype" w:eastAsia="Calibri" w:hAnsi="Palatino Linotype" w:cs="Arial"/>
          <w:lang w:val="es-ES" w:eastAsia="es-MX"/>
        </w:rPr>
        <w:t xml:space="preserve">Clave Única de Registro de Población (CURP), </w:t>
      </w:r>
      <w:r w:rsidRPr="001A1243">
        <w:rPr>
          <w:rFonts w:ascii="Palatino Linotype" w:eastAsia="Calibri" w:hAnsi="Palatino Linotype" w:cs="Arial"/>
          <w:lang w:val="es-ES" w:eastAsia="es-MX"/>
        </w:rPr>
        <w:lastRenderedPageBreak/>
        <w:t xml:space="preserve">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75FC6F1" w14:textId="77777777" w:rsidR="00FC7B03" w:rsidRPr="001A1243" w:rsidRDefault="00FC7B03" w:rsidP="00FC7B03">
      <w:pPr>
        <w:pStyle w:val="Prrafodelista"/>
        <w:rPr>
          <w:rFonts w:ascii="Palatino Linotype" w:eastAsia="Times New Roman" w:hAnsi="Palatino Linotype" w:cs="Arial"/>
          <w:lang w:eastAsia="es-MX"/>
        </w:rPr>
      </w:pPr>
    </w:p>
    <w:p w14:paraId="705FE4DD"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1A124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9DBDFE8" w14:textId="77777777" w:rsidR="00FC7B03" w:rsidRPr="001A1243" w:rsidRDefault="00FC7B03" w:rsidP="00FC7B03">
      <w:pPr>
        <w:pStyle w:val="Prrafodelista"/>
        <w:rPr>
          <w:rFonts w:ascii="Palatino Linotype" w:eastAsia="Times New Roman" w:hAnsi="Palatino Linotype" w:cs="Arial"/>
          <w:lang w:eastAsia="es-MX"/>
        </w:rPr>
      </w:pPr>
    </w:p>
    <w:p w14:paraId="7329973A" w14:textId="77777777" w:rsidR="00FC7B03" w:rsidRPr="001A1243" w:rsidRDefault="00FC7B03" w:rsidP="00FC7B03">
      <w:pPr>
        <w:pStyle w:val="Prrafodelista"/>
        <w:numPr>
          <w:ilvl w:val="0"/>
          <w:numId w:val="2"/>
        </w:numPr>
        <w:spacing w:before="240" w:after="240" w:line="360" w:lineRule="auto"/>
        <w:ind w:left="0" w:firstLine="0"/>
        <w:jc w:val="both"/>
        <w:rPr>
          <w:rFonts w:ascii="Palatino Linotype" w:hAnsi="Palatino Linotype"/>
        </w:rPr>
      </w:pPr>
      <w:r w:rsidRPr="001A124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D9B8502" w14:textId="77777777" w:rsidR="00FC7B03" w:rsidRPr="001A1243" w:rsidRDefault="00FC7B03" w:rsidP="00FC7B03">
      <w:pPr>
        <w:pStyle w:val="Prrafodelista"/>
        <w:spacing w:before="240" w:after="240" w:line="360" w:lineRule="auto"/>
        <w:ind w:left="0"/>
        <w:jc w:val="both"/>
        <w:rPr>
          <w:rFonts w:ascii="Palatino Linotype" w:hAnsi="Palatino Linotype" w:cs="Arial"/>
          <w:noProof/>
          <w:lang w:eastAsia="es-MX"/>
        </w:rPr>
      </w:pPr>
    </w:p>
    <w:p w14:paraId="724A57CB" w14:textId="77777777" w:rsidR="00FC7B03" w:rsidRPr="001A1243" w:rsidRDefault="00FC7B03" w:rsidP="00FC7B03">
      <w:pPr>
        <w:pStyle w:val="Prrafodelista"/>
        <w:numPr>
          <w:ilvl w:val="0"/>
          <w:numId w:val="2"/>
        </w:numPr>
        <w:spacing w:line="360" w:lineRule="auto"/>
        <w:ind w:left="0" w:right="34" w:firstLine="0"/>
        <w:jc w:val="both"/>
        <w:rPr>
          <w:rFonts w:ascii="Palatino Linotype" w:hAnsi="Palatino Linotype"/>
          <w:color w:val="000000" w:themeColor="text1"/>
        </w:rPr>
      </w:pPr>
      <w:r w:rsidRPr="001A1243">
        <w:rPr>
          <w:rFonts w:ascii="Palatino Linotype" w:hAnsi="Palatino Linotype"/>
        </w:rPr>
        <w:t>Por</w:t>
      </w:r>
      <w:r w:rsidRPr="001A1243">
        <w:rPr>
          <w:rFonts w:ascii="Palatino Linotype" w:hAnsi="Palatino Linotype"/>
          <w:color w:val="000000" w:themeColor="text1"/>
          <w:lang w:val="es-ES" w:eastAsia="es-MX"/>
        </w:rPr>
        <w:t xml:space="preserve"> lo anteriormente expuesto y fundado, este </w:t>
      </w:r>
      <w:r w:rsidRPr="001A1243">
        <w:rPr>
          <w:rFonts w:ascii="Palatino Linotype" w:hAnsi="Palatino Linotype"/>
          <w:b/>
          <w:bCs/>
          <w:color w:val="000000" w:themeColor="text1"/>
          <w:lang w:val="es-ES" w:eastAsia="es-MX"/>
        </w:rPr>
        <w:t>ÓRGANO GARANTE</w:t>
      </w:r>
      <w:r w:rsidRPr="001A1243">
        <w:rPr>
          <w:rFonts w:ascii="Palatino Linotype" w:hAnsi="Palatino Linotype"/>
          <w:color w:val="000000" w:themeColor="text1"/>
          <w:lang w:val="es-ES" w:eastAsia="es-MX"/>
        </w:rPr>
        <w:t xml:space="preserve"> emite los siguientes:</w:t>
      </w:r>
    </w:p>
    <w:p w14:paraId="550BDCC4" w14:textId="0651D078" w:rsidR="000B51D7" w:rsidRPr="001A1243" w:rsidRDefault="000B51D7" w:rsidP="00231FF8">
      <w:pPr>
        <w:pStyle w:val="Ttulo1"/>
        <w:spacing w:before="0" w:line="360" w:lineRule="auto"/>
        <w:jc w:val="center"/>
        <w:rPr>
          <w:rFonts w:eastAsia="Calibri"/>
          <w:b/>
          <w:szCs w:val="24"/>
          <w:lang w:val="es-ES" w:eastAsia="es-ES"/>
        </w:rPr>
      </w:pPr>
      <w:bookmarkStart w:id="218" w:name="_Toc504500693"/>
      <w:bookmarkStart w:id="219" w:name="_Toc534742545"/>
      <w:bookmarkStart w:id="220" w:name="_Toc2248738"/>
      <w:bookmarkStart w:id="221" w:name="_Toc34819440"/>
      <w:bookmarkStart w:id="222" w:name="_Toc51259595"/>
      <w:bookmarkStart w:id="223" w:name="_Toc52472147"/>
      <w:bookmarkEnd w:id="140"/>
      <w:bookmarkEnd w:id="141"/>
      <w:bookmarkEnd w:id="142"/>
      <w:bookmarkEnd w:id="143"/>
      <w:bookmarkEnd w:id="144"/>
      <w:bookmarkEnd w:id="145"/>
      <w:bookmarkEnd w:id="146"/>
      <w:bookmarkEnd w:id="147"/>
      <w:bookmarkEnd w:id="148"/>
      <w:bookmarkEnd w:id="149"/>
      <w:bookmarkEnd w:id="150"/>
      <w:bookmarkEnd w:id="151"/>
    </w:p>
    <w:p w14:paraId="6A829E10" w14:textId="77777777" w:rsidR="000B51D7" w:rsidRPr="001A1243" w:rsidRDefault="000B51D7" w:rsidP="000B51D7">
      <w:pPr>
        <w:pStyle w:val="Textonotapie"/>
      </w:pPr>
    </w:p>
    <w:p w14:paraId="705ECEE2" w14:textId="77777777" w:rsidR="00E85531" w:rsidRPr="001A1243" w:rsidRDefault="00E85531" w:rsidP="000B51D7">
      <w:pPr>
        <w:pStyle w:val="Textonotapie"/>
      </w:pPr>
    </w:p>
    <w:p w14:paraId="0033A59F" w14:textId="77777777" w:rsidR="00E85531" w:rsidRPr="001A1243" w:rsidRDefault="00E85531" w:rsidP="000B51D7">
      <w:pPr>
        <w:pStyle w:val="Textonotapie"/>
      </w:pPr>
    </w:p>
    <w:p w14:paraId="58657F6E" w14:textId="77777777" w:rsidR="00E85531" w:rsidRPr="001A1243" w:rsidRDefault="00E85531" w:rsidP="000B51D7">
      <w:pPr>
        <w:pStyle w:val="Textonotapie"/>
      </w:pPr>
    </w:p>
    <w:p w14:paraId="48D6816B" w14:textId="77777777" w:rsidR="00E85531" w:rsidRPr="001A1243" w:rsidRDefault="00E85531" w:rsidP="000B51D7">
      <w:pPr>
        <w:pStyle w:val="Textonotapie"/>
      </w:pPr>
    </w:p>
    <w:p w14:paraId="7573B524" w14:textId="4D63BCE1" w:rsidR="00231FF8" w:rsidRPr="001A1243" w:rsidRDefault="00231FF8" w:rsidP="00DE3CD4">
      <w:pPr>
        <w:pStyle w:val="Ttulo1"/>
        <w:spacing w:before="0" w:line="360" w:lineRule="auto"/>
        <w:jc w:val="center"/>
        <w:rPr>
          <w:rFonts w:eastAsia="Calibri"/>
          <w:b/>
          <w:szCs w:val="24"/>
          <w:lang w:val="es-ES" w:eastAsia="es-ES"/>
        </w:rPr>
      </w:pPr>
      <w:bookmarkStart w:id="224" w:name="_Toc54138958"/>
      <w:r w:rsidRPr="001A1243">
        <w:rPr>
          <w:rFonts w:eastAsia="Calibri"/>
          <w:b/>
          <w:szCs w:val="24"/>
          <w:lang w:val="es-ES" w:eastAsia="es-ES"/>
        </w:rPr>
        <w:t>R E S O L U T I V O S</w:t>
      </w:r>
      <w:bookmarkEnd w:id="218"/>
      <w:bookmarkEnd w:id="219"/>
      <w:bookmarkEnd w:id="220"/>
      <w:bookmarkEnd w:id="221"/>
      <w:bookmarkEnd w:id="222"/>
      <w:bookmarkEnd w:id="223"/>
      <w:bookmarkEnd w:id="224"/>
    </w:p>
    <w:p w14:paraId="72F91665" w14:textId="7C410E4A" w:rsidR="00231FF8" w:rsidRPr="001A1243" w:rsidRDefault="00231FF8" w:rsidP="00231FF8">
      <w:pPr>
        <w:spacing w:before="240" w:after="360" w:line="360" w:lineRule="auto"/>
        <w:jc w:val="both"/>
        <w:rPr>
          <w:rFonts w:ascii="Palatino Linotype" w:eastAsia="Times New Roman" w:hAnsi="Palatino Linotype" w:cs="Arial"/>
          <w:lang w:val="es-ES"/>
        </w:rPr>
      </w:pPr>
      <w:r w:rsidRPr="001A1243">
        <w:rPr>
          <w:rFonts w:ascii="Palatino Linotype" w:eastAsia="Times New Roman" w:hAnsi="Palatino Linotype" w:cs="Arial"/>
          <w:b/>
        </w:rPr>
        <w:t>PRIMERO</w:t>
      </w:r>
      <w:r w:rsidRPr="001A1243">
        <w:rPr>
          <w:rFonts w:ascii="Palatino Linotype" w:eastAsia="Times New Roman" w:hAnsi="Palatino Linotype" w:cs="Arial"/>
          <w:lang w:val="es-ES"/>
        </w:rPr>
        <w:t xml:space="preserve">. Resultan </w:t>
      </w:r>
      <w:r w:rsidR="000E4089" w:rsidRPr="001A1243">
        <w:rPr>
          <w:rFonts w:ascii="Palatino Linotype" w:eastAsia="Times New Roman" w:hAnsi="Palatino Linotype" w:cs="Arial"/>
          <w:lang w:val="es-ES"/>
        </w:rPr>
        <w:t xml:space="preserve">parcialmente </w:t>
      </w:r>
      <w:r w:rsidRPr="001A1243">
        <w:rPr>
          <w:rFonts w:ascii="Palatino Linotype" w:eastAsia="Times New Roman" w:hAnsi="Palatino Linotype" w:cs="Arial"/>
          <w:lang w:val="es-ES"/>
        </w:rPr>
        <w:t xml:space="preserve">fundadas las razones o motivos de inconformidad hechos valer en el recurso de revisión </w:t>
      </w:r>
      <w:r w:rsidR="007B4040" w:rsidRPr="001A1243">
        <w:rPr>
          <w:rFonts w:ascii="Palatino Linotype" w:eastAsia="Times New Roman" w:hAnsi="Palatino Linotype" w:cs="Arial"/>
          <w:b/>
          <w:lang w:val="es-ES"/>
        </w:rPr>
        <w:t>03503/INFOEM/IP/RR/2020</w:t>
      </w:r>
      <w:r w:rsidRPr="001A1243">
        <w:rPr>
          <w:rFonts w:ascii="Palatino Linotype" w:eastAsia="Times New Roman" w:hAnsi="Palatino Linotype" w:cs="Arial"/>
          <w:b/>
          <w:lang w:val="es-ES"/>
        </w:rPr>
        <w:t xml:space="preserve"> </w:t>
      </w:r>
      <w:r w:rsidRPr="001A1243">
        <w:rPr>
          <w:rFonts w:ascii="Palatino Linotype" w:eastAsia="Times New Roman" w:hAnsi="Palatino Linotype" w:cs="Arial"/>
          <w:lang w:val="es-ES"/>
        </w:rPr>
        <w:t xml:space="preserve">en términos de los Considerandos </w:t>
      </w:r>
      <w:r w:rsidRPr="001A1243">
        <w:rPr>
          <w:rFonts w:ascii="Palatino Linotype" w:eastAsia="Times New Roman" w:hAnsi="Palatino Linotype" w:cs="Arial"/>
          <w:b/>
          <w:lang w:val="es-ES"/>
        </w:rPr>
        <w:t xml:space="preserve">CUARTO y QUINTO </w:t>
      </w:r>
      <w:r w:rsidRPr="001A1243">
        <w:rPr>
          <w:rFonts w:ascii="Palatino Linotype" w:eastAsia="Times New Roman" w:hAnsi="Palatino Linotype" w:cs="Arial"/>
          <w:lang w:val="es-ES"/>
        </w:rPr>
        <w:t xml:space="preserve">de la presente resolución. </w:t>
      </w:r>
    </w:p>
    <w:p w14:paraId="3A741479" w14:textId="3DF37AD4" w:rsidR="00D90769" w:rsidRPr="001A1243" w:rsidRDefault="00231FF8" w:rsidP="00D90769">
      <w:pPr>
        <w:spacing w:before="240" w:after="360" w:line="360" w:lineRule="auto"/>
        <w:jc w:val="both"/>
        <w:rPr>
          <w:rFonts w:ascii="Palatino Linotype" w:eastAsia="MS Mincho" w:hAnsi="Palatino Linotype" w:cs="Times New Roman"/>
          <w:color w:val="000000" w:themeColor="text1"/>
        </w:rPr>
      </w:pPr>
      <w:r w:rsidRPr="001A1243">
        <w:rPr>
          <w:rFonts w:ascii="Palatino Linotype" w:eastAsia="Times New Roman" w:hAnsi="Palatino Linotype" w:cs="Arial"/>
          <w:lang w:val="es-ES"/>
        </w:rPr>
        <w:t xml:space="preserve"> </w:t>
      </w:r>
      <w:bookmarkStart w:id="225" w:name="_Toc503891607"/>
      <w:bookmarkStart w:id="226" w:name="_Toc511647757"/>
      <w:bookmarkStart w:id="227" w:name="_Toc511647818"/>
      <w:bookmarkStart w:id="228" w:name="_Toc477891768"/>
      <w:bookmarkStart w:id="229" w:name="_Toc477891858"/>
      <w:bookmarkStart w:id="230" w:name="_Toc481576259"/>
      <w:bookmarkStart w:id="231" w:name="_Toc492590391"/>
      <w:bookmarkStart w:id="232" w:name="_Toc462653937"/>
      <w:bookmarkStart w:id="233" w:name="_Toc453696502"/>
      <w:bookmarkStart w:id="234" w:name="_Toc454301155"/>
      <w:r w:rsidRPr="001A1243">
        <w:rPr>
          <w:rFonts w:ascii="Palatino Linotype" w:eastAsia="Times New Roman" w:hAnsi="Palatino Linotype" w:cs="Times New Roman"/>
          <w:b/>
        </w:rPr>
        <w:t>SEGUNDO.</w:t>
      </w:r>
      <w:bookmarkEnd w:id="225"/>
      <w:bookmarkEnd w:id="226"/>
      <w:bookmarkEnd w:id="227"/>
      <w:r w:rsidRPr="001A1243">
        <w:rPr>
          <w:rFonts w:ascii="Palatino Linotype" w:eastAsia="Times New Roman" w:hAnsi="Palatino Linotype" w:cs="Times New Roman"/>
          <w:b/>
        </w:rPr>
        <w:t xml:space="preserve"> </w:t>
      </w:r>
      <w:bookmarkEnd w:id="228"/>
      <w:bookmarkEnd w:id="229"/>
      <w:bookmarkEnd w:id="230"/>
      <w:bookmarkEnd w:id="231"/>
      <w:bookmarkEnd w:id="232"/>
      <w:bookmarkEnd w:id="233"/>
      <w:bookmarkEnd w:id="234"/>
      <w:r w:rsidRPr="001A1243">
        <w:rPr>
          <w:rFonts w:ascii="Palatino Linotype" w:eastAsia="MS Mincho" w:hAnsi="Palatino Linotype" w:cs="Times New Roman"/>
          <w:color w:val="000000" w:themeColor="text1"/>
        </w:rPr>
        <w:t xml:space="preserve">Se </w:t>
      </w:r>
      <w:r w:rsidR="00D90769" w:rsidRPr="001A1243">
        <w:rPr>
          <w:rFonts w:ascii="Palatino Linotype" w:eastAsia="MS Mincho" w:hAnsi="Palatino Linotype" w:cs="Times New Roman"/>
          <w:b/>
          <w:color w:val="000000" w:themeColor="text1"/>
        </w:rPr>
        <w:t>MODIFI</w:t>
      </w:r>
      <w:r w:rsidRPr="001A1243">
        <w:rPr>
          <w:rFonts w:ascii="Palatino Linotype" w:eastAsia="MS Mincho" w:hAnsi="Palatino Linotype" w:cs="Times New Roman"/>
          <w:b/>
          <w:color w:val="000000" w:themeColor="text1"/>
        </w:rPr>
        <w:t xml:space="preserve">CA </w:t>
      </w:r>
      <w:r w:rsidRPr="001A1243">
        <w:rPr>
          <w:rFonts w:ascii="Palatino Linotype" w:eastAsia="MS Mincho" w:hAnsi="Palatino Linotype" w:cs="Times New Roman"/>
          <w:color w:val="000000" w:themeColor="text1"/>
        </w:rPr>
        <w:t xml:space="preserve">la respuesta emitida por el </w:t>
      </w:r>
      <w:r w:rsidR="001620FB" w:rsidRPr="001A1243">
        <w:rPr>
          <w:rFonts w:ascii="Palatino Linotype" w:hAnsi="Palatino Linotype"/>
          <w:b/>
          <w:bCs/>
          <w:color w:val="000000"/>
        </w:rPr>
        <w:t>Partido de la Revolución Democrática</w:t>
      </w:r>
      <w:r w:rsidRPr="001A1243">
        <w:rPr>
          <w:rFonts w:ascii="Palatino Linotype" w:eastAsia="MS Mincho" w:hAnsi="Palatino Linotype" w:cs="Times New Roman"/>
          <w:b/>
          <w:color w:val="000000" w:themeColor="text1"/>
        </w:rPr>
        <w:t xml:space="preserve"> </w:t>
      </w:r>
      <w:r w:rsidRPr="001A1243">
        <w:rPr>
          <w:rFonts w:ascii="Palatino Linotype" w:eastAsia="MS Mincho" w:hAnsi="Palatino Linotype" w:cs="Times New Roman"/>
          <w:color w:val="000000" w:themeColor="text1"/>
        </w:rPr>
        <w:t xml:space="preserve">y se </w:t>
      </w:r>
      <w:r w:rsidRPr="001A1243">
        <w:rPr>
          <w:rFonts w:ascii="Palatino Linotype" w:eastAsia="MS Mincho" w:hAnsi="Palatino Linotype" w:cs="Times New Roman"/>
          <w:b/>
          <w:color w:val="000000" w:themeColor="text1"/>
        </w:rPr>
        <w:t>ORDENA</w:t>
      </w:r>
      <w:r w:rsidRPr="001A1243">
        <w:rPr>
          <w:rFonts w:ascii="Palatino Linotype" w:eastAsia="MS Mincho" w:hAnsi="Palatino Linotype" w:cs="Times New Roman"/>
          <w:color w:val="000000" w:themeColor="text1"/>
        </w:rPr>
        <w:t xml:space="preserve"> entregar </w:t>
      </w:r>
      <w:r w:rsidR="00D90769" w:rsidRPr="001A1243">
        <w:rPr>
          <w:rFonts w:ascii="Palatino Linotype" w:eastAsia="MS Mincho" w:hAnsi="Palatino Linotype" w:cs="Times New Roman"/>
          <w:color w:val="000000" w:themeColor="text1"/>
        </w:rPr>
        <w:t xml:space="preserve">vía Sistema de Acceso a la Información Mexiquense </w:t>
      </w:r>
      <w:r w:rsidR="00D90769" w:rsidRPr="001A1243">
        <w:rPr>
          <w:rFonts w:ascii="Palatino Linotype" w:eastAsia="MS Mincho" w:hAnsi="Palatino Linotype" w:cs="Times New Roman"/>
          <w:b/>
          <w:color w:val="000000" w:themeColor="text1"/>
        </w:rPr>
        <w:t>(SAIMEX)</w:t>
      </w:r>
      <w:r w:rsidR="00DA48A3" w:rsidRPr="001A1243">
        <w:rPr>
          <w:rFonts w:ascii="Palatino Linotype" w:eastAsia="MS Mincho" w:hAnsi="Palatino Linotype" w:cs="Times New Roman"/>
          <w:b/>
          <w:color w:val="000000" w:themeColor="text1"/>
        </w:rPr>
        <w:t xml:space="preserve"> </w:t>
      </w:r>
      <w:r w:rsidR="00DA48A3" w:rsidRPr="001A1243">
        <w:rPr>
          <w:rFonts w:ascii="Palatino Linotype" w:eastAsia="MS Mincho" w:hAnsi="Palatino Linotype" w:cs="Times New Roman"/>
          <w:color w:val="000000" w:themeColor="text1"/>
        </w:rPr>
        <w:t>y</w:t>
      </w:r>
      <w:r w:rsidR="00DA48A3" w:rsidRPr="001A1243">
        <w:rPr>
          <w:rFonts w:ascii="Palatino Linotype" w:eastAsia="MS Mincho" w:hAnsi="Palatino Linotype" w:cs="Times New Roman"/>
          <w:b/>
          <w:color w:val="000000" w:themeColor="text1"/>
        </w:rPr>
        <w:t xml:space="preserve"> correo electrónico</w:t>
      </w:r>
      <w:r w:rsidR="00D90769" w:rsidRPr="001A1243">
        <w:rPr>
          <w:rFonts w:ascii="Palatino Linotype" w:eastAsia="MS Mincho" w:hAnsi="Palatino Linotype" w:cs="Times New Roman"/>
          <w:color w:val="000000" w:themeColor="text1"/>
        </w:rPr>
        <w:t xml:space="preserve">, previa búsqueda exhaustiva y razonable, de ser el caso en versión pública, la siguiente información:   </w:t>
      </w:r>
    </w:p>
    <w:p w14:paraId="33E5151D" w14:textId="357A7C89" w:rsidR="00DA48A3" w:rsidRPr="001A1243" w:rsidRDefault="00DA48A3" w:rsidP="00824C2C">
      <w:pPr>
        <w:pStyle w:val="Prrafodelista"/>
        <w:numPr>
          <w:ilvl w:val="0"/>
          <w:numId w:val="41"/>
        </w:numPr>
        <w:spacing w:line="360" w:lineRule="auto"/>
        <w:ind w:left="567"/>
        <w:jc w:val="both"/>
        <w:rPr>
          <w:rFonts w:ascii="Palatino Linotype" w:eastAsia="Calibri" w:hAnsi="Palatino Linotype" w:cs="Arial"/>
          <w:b/>
        </w:rPr>
      </w:pPr>
      <w:bookmarkStart w:id="235" w:name="_Toc503891610"/>
      <w:bookmarkStart w:id="236" w:name="_Toc453696503"/>
      <w:bookmarkStart w:id="237" w:name="_Toc454301156"/>
      <w:bookmarkStart w:id="238" w:name="_Toc462653938"/>
      <w:bookmarkStart w:id="239" w:name="_Toc477891769"/>
      <w:bookmarkStart w:id="240" w:name="_Toc477891859"/>
      <w:bookmarkStart w:id="241" w:name="_Toc481576260"/>
      <w:bookmarkStart w:id="242" w:name="_Toc492590392"/>
      <w:r w:rsidRPr="001A1243">
        <w:rPr>
          <w:rFonts w:ascii="Palatino Linotype" w:hAnsi="Palatino Linotype" w:cs="Arial"/>
          <w:b/>
        </w:rPr>
        <w:t xml:space="preserve">De </w:t>
      </w:r>
      <w:r w:rsidR="00865505" w:rsidRPr="001A1243">
        <w:rPr>
          <w:rFonts w:ascii="Palatino Linotype" w:hAnsi="Palatino Linotype" w:cs="Arial"/>
          <w:b/>
        </w:rPr>
        <w:t>las personas</w:t>
      </w:r>
      <w:r w:rsidR="00824C2C" w:rsidRPr="001A1243">
        <w:rPr>
          <w:rFonts w:ascii="Palatino Linotype" w:hAnsi="Palatino Linotype" w:cs="Arial"/>
          <w:b/>
        </w:rPr>
        <w:t xml:space="preserve"> indicad</w:t>
      </w:r>
      <w:r w:rsidR="00865505" w:rsidRPr="001A1243">
        <w:rPr>
          <w:rFonts w:ascii="Palatino Linotype" w:hAnsi="Palatino Linotype" w:cs="Arial"/>
          <w:b/>
        </w:rPr>
        <w:t>a</w:t>
      </w:r>
      <w:r w:rsidR="00824C2C" w:rsidRPr="001A1243">
        <w:rPr>
          <w:rFonts w:ascii="Palatino Linotype" w:hAnsi="Palatino Linotype" w:cs="Arial"/>
          <w:b/>
        </w:rPr>
        <w:t>s en la solicitud de información 00010/PRD/IP/2020</w:t>
      </w:r>
      <w:r w:rsidRPr="001A1243">
        <w:rPr>
          <w:rFonts w:ascii="Palatino Linotype" w:hAnsi="Palatino Linotype" w:cs="Arial"/>
          <w:b/>
        </w:rPr>
        <w:t>: cargo, duración del cargo, funciones, estudios y sanciones, del 1 de enero de 2016 al 6 de agosto de 2020.</w:t>
      </w:r>
    </w:p>
    <w:p w14:paraId="3893117B" w14:textId="77777777" w:rsidR="00DA48A3" w:rsidRPr="001A1243" w:rsidRDefault="00DA48A3" w:rsidP="00DA48A3">
      <w:pPr>
        <w:spacing w:line="360" w:lineRule="auto"/>
        <w:jc w:val="both"/>
        <w:rPr>
          <w:rFonts w:ascii="Palatino Linotype" w:eastAsia="Calibri" w:hAnsi="Palatino Linotype" w:cs="Arial"/>
        </w:rPr>
      </w:pPr>
    </w:p>
    <w:p w14:paraId="5B6219C8" w14:textId="7667CA74" w:rsidR="00231FF8" w:rsidRPr="001A1243" w:rsidRDefault="00231FF8" w:rsidP="00DA48A3">
      <w:pPr>
        <w:spacing w:line="360" w:lineRule="auto"/>
        <w:jc w:val="both"/>
        <w:rPr>
          <w:rFonts w:ascii="Palatino Linotype" w:eastAsia="Calibri" w:hAnsi="Palatino Linotype" w:cs="Arial"/>
          <w:b/>
        </w:rPr>
      </w:pPr>
      <w:r w:rsidRPr="001A124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A1243">
        <w:rPr>
          <w:rFonts w:ascii="Palatino Linotype" w:eastAsia="Calibri" w:hAnsi="Palatino Linotype" w:cs="Arial"/>
          <w:b/>
        </w:rPr>
        <w:t>RECURRENTE.</w:t>
      </w:r>
    </w:p>
    <w:p w14:paraId="100B5FE6" w14:textId="10D367A0" w:rsidR="000E4089" w:rsidRPr="001A1243" w:rsidRDefault="000E4089" w:rsidP="000E4089">
      <w:pPr>
        <w:spacing w:before="240" w:after="240" w:line="360" w:lineRule="auto"/>
        <w:jc w:val="both"/>
        <w:rPr>
          <w:rFonts w:ascii="Palatino Linotype" w:eastAsia="Calibri" w:hAnsi="Palatino Linotype" w:cs="Arial"/>
          <w:color w:val="000000" w:themeColor="text1"/>
        </w:rPr>
      </w:pPr>
      <w:r w:rsidRPr="001A1243">
        <w:rPr>
          <w:rFonts w:ascii="Palatino Linotype" w:hAnsi="Palatino Linotype"/>
        </w:rPr>
        <w:lastRenderedPageBreak/>
        <w:t xml:space="preserve">Para el caso que la información que se ordena en los </w:t>
      </w:r>
      <w:r w:rsidRPr="001A1243">
        <w:rPr>
          <w:rFonts w:ascii="Palatino Linotype" w:hAnsi="Palatino Linotype"/>
          <w:b/>
        </w:rPr>
        <w:t xml:space="preserve">incisos a) </w:t>
      </w:r>
      <w:r w:rsidRPr="001A1243">
        <w:rPr>
          <w:rFonts w:ascii="Palatino Linotype" w:eastAsia="Calibri" w:hAnsi="Palatino Linotype" w:cs="Arial"/>
          <w:color w:val="000000" w:themeColor="text1"/>
        </w:rPr>
        <w:t xml:space="preserve">no haya sido generada, poseída o administrada, el </w:t>
      </w:r>
      <w:r w:rsidRPr="001A1243">
        <w:rPr>
          <w:rFonts w:ascii="Palatino Linotype" w:eastAsia="Calibri" w:hAnsi="Palatino Linotype" w:cs="Arial"/>
          <w:b/>
          <w:color w:val="000000" w:themeColor="text1"/>
        </w:rPr>
        <w:t>SUJETO OBLIGADO</w:t>
      </w:r>
      <w:r w:rsidRPr="001A1243">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284F0512" w14:textId="77777777" w:rsidR="00231FF8" w:rsidRPr="001A1243" w:rsidRDefault="00231FF8" w:rsidP="00231FF8">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43" w:name="_Toc511647758"/>
      <w:bookmarkStart w:id="244" w:name="_Toc511647819"/>
      <w:r w:rsidRPr="001A1243">
        <w:rPr>
          <w:rFonts w:ascii="Palatino Linotype" w:eastAsia="Times New Roman" w:hAnsi="Palatino Linotype" w:cs="Times New Roman"/>
          <w:b/>
        </w:rPr>
        <w:t>TERCERO.</w:t>
      </w:r>
      <w:bookmarkEnd w:id="235"/>
      <w:bookmarkEnd w:id="243"/>
      <w:bookmarkEnd w:id="244"/>
      <w:r w:rsidRPr="001A1243">
        <w:rPr>
          <w:rFonts w:ascii="Palatino Linotype" w:eastAsia="Times New Roman" w:hAnsi="Palatino Linotype" w:cs="Times New Roman"/>
          <w:b/>
        </w:rPr>
        <w:t xml:space="preserve"> </w:t>
      </w:r>
      <w:bookmarkEnd w:id="236"/>
      <w:bookmarkEnd w:id="237"/>
      <w:bookmarkEnd w:id="238"/>
      <w:bookmarkEnd w:id="239"/>
      <w:bookmarkEnd w:id="240"/>
      <w:bookmarkEnd w:id="241"/>
      <w:bookmarkEnd w:id="242"/>
      <w:r w:rsidRPr="001A1243">
        <w:rPr>
          <w:rFonts w:ascii="Palatino Linotype" w:eastAsia="Palatino Linotype" w:hAnsi="Palatino Linotype" w:cs="Palatino Linotype"/>
          <w:b/>
        </w:rPr>
        <w:t xml:space="preserve">Notifíquese </w:t>
      </w:r>
      <w:r w:rsidRPr="001A1243">
        <w:rPr>
          <w:rFonts w:ascii="Palatino Linotype" w:eastAsia="Palatino Linotype" w:hAnsi="Palatino Linotype" w:cs="Palatino Linotype"/>
        </w:rPr>
        <w:t xml:space="preserve">al Titular de la Unidad de Transparencia del </w:t>
      </w:r>
      <w:r w:rsidRPr="001A1243">
        <w:rPr>
          <w:rFonts w:ascii="Palatino Linotype" w:eastAsia="Palatino Linotype" w:hAnsi="Palatino Linotype" w:cs="Palatino Linotype"/>
          <w:b/>
        </w:rPr>
        <w:t>SUJETO OBLIGADO</w:t>
      </w:r>
      <w:r w:rsidRPr="001A124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A1243">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A823ECE" w14:textId="59E862FC" w:rsidR="00231FF8" w:rsidRPr="001A1243" w:rsidRDefault="00231FF8" w:rsidP="00231FF8">
      <w:pPr>
        <w:tabs>
          <w:tab w:val="left" w:pos="8080"/>
        </w:tabs>
        <w:spacing w:before="240" w:line="360" w:lineRule="auto"/>
        <w:ind w:right="49"/>
        <w:jc w:val="both"/>
        <w:rPr>
          <w:rFonts w:ascii="Palatino Linotype" w:eastAsia="Times New Roman" w:hAnsi="Palatino Linotype" w:cs="Arial"/>
          <w:b/>
          <w:lang w:val="es-ES"/>
        </w:rPr>
      </w:pPr>
      <w:bookmarkStart w:id="245" w:name="_Toc492590393"/>
      <w:bookmarkStart w:id="246" w:name="_Toc503891611"/>
      <w:bookmarkStart w:id="247" w:name="_Toc511647759"/>
      <w:bookmarkStart w:id="248" w:name="_Toc511647820"/>
      <w:r w:rsidRPr="001A1243">
        <w:rPr>
          <w:rFonts w:ascii="Palatino Linotype" w:eastAsia="Times New Roman" w:hAnsi="Palatino Linotype" w:cs="Times New Roman"/>
          <w:b/>
        </w:rPr>
        <w:t xml:space="preserve">CUARTO. </w:t>
      </w:r>
      <w:r w:rsidRPr="001A1243">
        <w:rPr>
          <w:rFonts w:ascii="Palatino Linotype" w:eastAsia="Times New Roman" w:hAnsi="Palatino Linotype" w:cs="Times New Roman"/>
        </w:rPr>
        <w:t>Notifíquese</w:t>
      </w:r>
      <w:bookmarkEnd w:id="245"/>
      <w:bookmarkEnd w:id="246"/>
      <w:bookmarkEnd w:id="247"/>
      <w:bookmarkEnd w:id="248"/>
      <w:r w:rsidRPr="001A1243">
        <w:rPr>
          <w:rFonts w:ascii="Palatino Linotype" w:eastAsia="Times New Roman" w:hAnsi="Palatino Linotype" w:cs="Times New Roman"/>
        </w:rPr>
        <w:t xml:space="preserve"> al </w:t>
      </w:r>
      <w:r w:rsidRPr="001A1243">
        <w:rPr>
          <w:rFonts w:ascii="Palatino Linotype" w:eastAsia="Calibri" w:hAnsi="Palatino Linotype" w:cs="Arial"/>
          <w:b/>
        </w:rPr>
        <w:t>RECURRENTE</w:t>
      </w:r>
      <w:r w:rsidRPr="001A1243">
        <w:rPr>
          <w:rFonts w:ascii="Palatino Linotype" w:eastAsia="Times New Roman" w:hAnsi="Palatino Linotype" w:cs="Times New Roman"/>
        </w:rPr>
        <w:t xml:space="preserve"> la presente</w:t>
      </w:r>
      <w:r w:rsidRPr="001A1243">
        <w:rPr>
          <w:rFonts w:ascii="Palatino Linotype" w:eastAsia="Times New Roman" w:hAnsi="Palatino Linotype" w:cs="Times New Roman"/>
          <w:lang w:val="es-ES" w:eastAsia="es-MX"/>
        </w:rPr>
        <w:t xml:space="preserve"> resolución</w:t>
      </w:r>
      <w:r w:rsidR="000E4089" w:rsidRPr="001A1243">
        <w:rPr>
          <w:rFonts w:ascii="Palatino Linotype" w:eastAsia="Times New Roman" w:hAnsi="Palatino Linotype" w:cs="Times New Roman"/>
          <w:lang w:val="es-ES" w:eastAsia="es-MX"/>
        </w:rPr>
        <w:t>.</w:t>
      </w:r>
    </w:p>
    <w:p w14:paraId="71B058AC" w14:textId="77777777" w:rsidR="00231FF8" w:rsidRPr="001A1243" w:rsidRDefault="00231FF8" w:rsidP="00231FF8">
      <w:pPr>
        <w:shd w:val="clear" w:color="auto" w:fill="FFFFFF"/>
        <w:spacing w:before="240" w:after="360" w:line="360" w:lineRule="auto"/>
        <w:jc w:val="both"/>
        <w:rPr>
          <w:rFonts w:ascii="Palatino Linotype" w:eastAsia="Times New Roman" w:hAnsi="Palatino Linotype" w:cs="Times New Roman"/>
          <w:lang w:val="es-ES" w:eastAsia="es-MX"/>
        </w:rPr>
      </w:pPr>
      <w:r w:rsidRPr="001A1243">
        <w:rPr>
          <w:rFonts w:ascii="Palatino Linotype" w:eastAsia="Calibri" w:hAnsi="Palatino Linotype" w:cs="Times New Roman"/>
          <w:b/>
          <w:lang w:val="es-MX" w:eastAsia="en-US"/>
        </w:rPr>
        <w:t>QUINTO.</w:t>
      </w:r>
      <w:r w:rsidRPr="001A1243">
        <w:rPr>
          <w:rFonts w:ascii="Palatino Linotype" w:eastAsia="Calibri" w:hAnsi="Palatino Linotype" w:cs="Times New Roman"/>
          <w:lang w:val="es-MX" w:eastAsia="en-US"/>
        </w:rPr>
        <w:t xml:space="preserve"> </w:t>
      </w:r>
      <w:r w:rsidRPr="001A1243">
        <w:rPr>
          <w:rFonts w:ascii="Palatino Linotype" w:eastAsia="Times New Roman" w:hAnsi="Palatino Linotype" w:cs="Times New Roman"/>
          <w:lang w:val="es-ES" w:eastAsia="es-MX"/>
        </w:rPr>
        <w:t>Se hace del conocimiento de la</w:t>
      </w:r>
      <w:r w:rsidRPr="001A1243">
        <w:rPr>
          <w:rFonts w:ascii="Palatino Linotype" w:eastAsia="Calibri" w:hAnsi="Palatino Linotype" w:cs="Arial"/>
          <w:b/>
        </w:rPr>
        <w:t xml:space="preserve"> RECURRENTE</w:t>
      </w:r>
      <w:r w:rsidRPr="001A1243">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A1243">
        <w:rPr>
          <w:rFonts w:ascii="Palatino Linotype" w:eastAsia="Times New Roman" w:hAnsi="Palatino Linotype" w:cs="Times New Roman"/>
          <w:bCs/>
          <w:lang w:val="es-ES" w:eastAsia="es-MX"/>
        </w:rPr>
        <w:t>vía juicio de amparo</w:t>
      </w:r>
      <w:r w:rsidRPr="001A1243">
        <w:rPr>
          <w:rFonts w:ascii="Palatino Linotype" w:eastAsia="Times New Roman" w:hAnsi="Palatino Linotype" w:cs="Times New Roman"/>
          <w:lang w:val="es-ES" w:eastAsia="es-MX"/>
        </w:rPr>
        <w:t> en los términos de las leyes aplicables.</w:t>
      </w:r>
    </w:p>
    <w:p w14:paraId="1546B7CC" w14:textId="77777777" w:rsidR="00231FF8" w:rsidRDefault="00231FF8" w:rsidP="00231FF8">
      <w:pPr>
        <w:spacing w:line="360" w:lineRule="auto"/>
        <w:jc w:val="both"/>
        <w:rPr>
          <w:rFonts w:ascii="Palatino Linotype" w:hAnsi="Palatino Linotype"/>
          <w:color w:val="000000"/>
          <w:shd w:val="clear" w:color="auto" w:fill="FFFFFF"/>
        </w:rPr>
      </w:pPr>
      <w:r w:rsidRPr="001A1243">
        <w:rPr>
          <w:rFonts w:ascii="Palatino Linotype" w:eastAsia="Calibri" w:hAnsi="Palatino Linotype" w:cs="Times New Roman"/>
          <w:b/>
          <w:lang w:val="es-MX" w:eastAsia="en-US"/>
        </w:rPr>
        <w:t>SEXTO.</w:t>
      </w:r>
      <w:r w:rsidRPr="001A1243">
        <w:rPr>
          <w:rFonts w:ascii="Palatino Linotype" w:eastAsia="MS Mincho" w:hAnsi="Palatino Linotype" w:cs="Times New Roman"/>
        </w:rPr>
        <w:t xml:space="preserve"> </w:t>
      </w:r>
      <w:r w:rsidRPr="001A1243">
        <w:rPr>
          <w:rFonts w:ascii="Palatino Linotype" w:hAnsi="Palatino Linotype"/>
          <w:shd w:val="clear" w:color="auto" w:fill="FFFFFF"/>
        </w:rPr>
        <w:t>Con fundamento en el artículo 198 de la Ley de Transparencia y Acceso a la Información Pública del Estado de México y Municipios, se apercibe al </w:t>
      </w:r>
      <w:r w:rsidRPr="001A1243">
        <w:rPr>
          <w:rFonts w:ascii="Palatino Linotype" w:hAnsi="Palatino Linotype"/>
          <w:b/>
          <w:bCs/>
          <w:shd w:val="clear" w:color="auto" w:fill="FFFFFF"/>
        </w:rPr>
        <w:t>SUJETO OBLIGADO</w:t>
      </w:r>
      <w:r w:rsidRPr="001A1243">
        <w:rPr>
          <w:rFonts w:ascii="Palatino Linotype" w:hAnsi="Palatino Linotype"/>
          <w:shd w:val="clear" w:color="auto" w:fill="FFFFFF"/>
        </w:rPr>
        <w:t> de que</w:t>
      </w:r>
      <w:r w:rsidRPr="001A1243">
        <w:rPr>
          <w:rFonts w:ascii="Palatino Linotype" w:hAnsi="Palatino Linotype"/>
          <w:color w:val="000000"/>
          <w:shd w:val="clear" w:color="auto" w:fill="FFFFFF"/>
        </w:rPr>
        <w:t xml:space="preserve">, en caso de incumplimiento total o parcial de la presente </w:t>
      </w:r>
      <w:r w:rsidRPr="001A1243">
        <w:rPr>
          <w:rFonts w:ascii="Palatino Linotype" w:hAnsi="Palatino Linotype"/>
          <w:color w:val="000000"/>
          <w:shd w:val="clear" w:color="auto" w:fill="FFFFFF"/>
        </w:rPr>
        <w:lastRenderedPageBreak/>
        <w:t>resolución, se actuará de conformidad con lo dispuesto en los artículos 213, 214, 215, 216 y 217 de la ley en cita.</w:t>
      </w:r>
    </w:p>
    <w:p w14:paraId="1DB4CB1E" w14:textId="77777777" w:rsidR="001A1243" w:rsidRPr="001A1243" w:rsidRDefault="001A1243" w:rsidP="00231FF8">
      <w:pPr>
        <w:spacing w:line="360" w:lineRule="auto"/>
        <w:jc w:val="both"/>
        <w:rPr>
          <w:rFonts w:ascii="Palatino Linotype" w:hAnsi="Palatino Linotype"/>
          <w:color w:val="000000"/>
          <w:shd w:val="clear" w:color="auto" w:fill="FFFFFF"/>
        </w:rPr>
      </w:pPr>
    </w:p>
    <w:p w14:paraId="60B8C84A" w14:textId="41398ECB" w:rsidR="001A1243" w:rsidRDefault="001A1243" w:rsidP="001A1243">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p w14:paraId="2BE8B50C" w14:textId="77777777" w:rsidR="001A1243" w:rsidRDefault="001A1243" w:rsidP="001A1243">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A1243" w14:paraId="4EEDD07A" w14:textId="77777777" w:rsidTr="001A1243">
        <w:trPr>
          <w:trHeight w:val="1807"/>
        </w:trPr>
        <w:tc>
          <w:tcPr>
            <w:tcW w:w="9073" w:type="dxa"/>
            <w:gridSpan w:val="3"/>
            <w:vAlign w:val="center"/>
          </w:tcPr>
          <w:p w14:paraId="197651FF" w14:textId="77777777" w:rsidR="001A1243" w:rsidRDefault="001A1243">
            <w:pPr>
              <w:pStyle w:val="Prrafodelista"/>
              <w:spacing w:line="276" w:lineRule="auto"/>
              <w:ind w:left="0"/>
              <w:rPr>
                <w:rFonts w:ascii="Palatino Linotype" w:hAnsi="Palatino Linotype" w:cs="Arial"/>
                <w:color w:val="000000" w:themeColor="text1"/>
              </w:rPr>
            </w:pPr>
          </w:p>
          <w:p w14:paraId="5827EB65" w14:textId="77777777" w:rsidR="001A1243" w:rsidRDefault="001A1243">
            <w:pPr>
              <w:pStyle w:val="Prrafodelista"/>
              <w:spacing w:line="276" w:lineRule="auto"/>
              <w:ind w:left="0"/>
              <w:rPr>
                <w:rFonts w:ascii="Palatino Linotype" w:hAnsi="Palatino Linotype" w:cs="Arial"/>
                <w:color w:val="000000" w:themeColor="text1"/>
              </w:rPr>
            </w:pPr>
          </w:p>
          <w:p w14:paraId="6B3465CC" w14:textId="77777777" w:rsidR="001A1243" w:rsidRDefault="001A1243">
            <w:pPr>
              <w:pStyle w:val="Prrafodelista"/>
              <w:spacing w:line="276" w:lineRule="auto"/>
              <w:ind w:left="0"/>
              <w:jc w:val="center"/>
              <w:rPr>
                <w:rFonts w:ascii="Palatino Linotype" w:hAnsi="Palatino Linotype" w:cs="Arial"/>
                <w:color w:val="000000" w:themeColor="text1"/>
              </w:rPr>
            </w:pPr>
          </w:p>
          <w:p w14:paraId="54322BDC" w14:textId="77777777" w:rsidR="001A1243" w:rsidRDefault="001A12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3C96E5E" w14:textId="77777777" w:rsidR="001A1243" w:rsidRDefault="001A1243">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019BBEA7" w14:textId="77777777" w:rsidR="001A1243" w:rsidRDefault="001A1243">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1A1243" w14:paraId="0BDCFB9B" w14:textId="77777777" w:rsidTr="001A1243">
        <w:trPr>
          <w:trHeight w:val="2156"/>
        </w:trPr>
        <w:tc>
          <w:tcPr>
            <w:tcW w:w="4253" w:type="dxa"/>
            <w:vAlign w:val="center"/>
          </w:tcPr>
          <w:p w14:paraId="1463C0ED" w14:textId="77777777" w:rsidR="001A1243" w:rsidRDefault="001A1243">
            <w:pPr>
              <w:spacing w:line="276" w:lineRule="auto"/>
              <w:jc w:val="center"/>
              <w:rPr>
                <w:rFonts w:ascii="Palatino Linotype" w:hAnsi="Palatino Linotype" w:cs="Times New Roman"/>
                <w:b/>
                <w:color w:val="000000" w:themeColor="text1"/>
              </w:rPr>
            </w:pPr>
          </w:p>
          <w:p w14:paraId="51ECF28D" w14:textId="77777777" w:rsidR="001A1243" w:rsidRDefault="001A1243">
            <w:pPr>
              <w:spacing w:line="276" w:lineRule="auto"/>
              <w:jc w:val="center"/>
              <w:rPr>
                <w:rFonts w:ascii="Palatino Linotype" w:hAnsi="Palatino Linotype" w:cs="Times New Roman"/>
                <w:b/>
                <w:color w:val="000000" w:themeColor="text1"/>
              </w:rPr>
            </w:pPr>
          </w:p>
          <w:p w14:paraId="6F09D050" w14:textId="77777777" w:rsidR="001A1243" w:rsidRDefault="001A1243">
            <w:pPr>
              <w:spacing w:line="276" w:lineRule="auto"/>
              <w:jc w:val="center"/>
              <w:rPr>
                <w:rFonts w:ascii="Palatino Linotype" w:hAnsi="Palatino Linotype" w:cs="Times New Roman"/>
                <w:b/>
                <w:color w:val="000000" w:themeColor="text1"/>
              </w:rPr>
            </w:pPr>
          </w:p>
          <w:p w14:paraId="0A21FCBE" w14:textId="77777777" w:rsidR="001A1243" w:rsidRDefault="001A12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54E9BF9E"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2668EBE3"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222E34FD" w14:textId="77777777" w:rsidR="001A1243" w:rsidRDefault="001A1243">
            <w:pPr>
              <w:spacing w:line="276" w:lineRule="auto"/>
              <w:jc w:val="center"/>
              <w:rPr>
                <w:rFonts w:ascii="Palatino Linotype" w:hAnsi="Palatino Linotype" w:cs="Times New Roman"/>
                <w:b/>
                <w:color w:val="000000" w:themeColor="text1"/>
              </w:rPr>
            </w:pPr>
          </w:p>
          <w:p w14:paraId="0E7E5FE1" w14:textId="77777777" w:rsidR="001A1243" w:rsidRDefault="001A1243">
            <w:pPr>
              <w:spacing w:line="276" w:lineRule="auto"/>
              <w:jc w:val="center"/>
              <w:rPr>
                <w:rFonts w:ascii="Palatino Linotype" w:hAnsi="Palatino Linotype" w:cs="Times New Roman"/>
                <w:b/>
                <w:color w:val="000000" w:themeColor="text1"/>
              </w:rPr>
            </w:pPr>
          </w:p>
          <w:p w14:paraId="66897104" w14:textId="77777777" w:rsidR="001A1243" w:rsidRDefault="001A1243">
            <w:pPr>
              <w:spacing w:line="276" w:lineRule="auto"/>
              <w:jc w:val="center"/>
              <w:rPr>
                <w:rFonts w:ascii="Palatino Linotype" w:hAnsi="Palatino Linotype" w:cs="Times New Roman"/>
                <w:b/>
                <w:color w:val="000000" w:themeColor="text1"/>
              </w:rPr>
            </w:pPr>
          </w:p>
          <w:p w14:paraId="420F5B41" w14:textId="77777777" w:rsidR="001A1243" w:rsidRDefault="001A12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622C979D"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3C15B6B"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1A1243" w14:paraId="4DF6FA1B" w14:textId="77777777" w:rsidTr="001A1243">
        <w:trPr>
          <w:trHeight w:val="2244"/>
        </w:trPr>
        <w:tc>
          <w:tcPr>
            <w:tcW w:w="4536" w:type="dxa"/>
            <w:gridSpan w:val="2"/>
            <w:vAlign w:val="center"/>
          </w:tcPr>
          <w:p w14:paraId="37AD13B8" w14:textId="77777777" w:rsidR="001A1243" w:rsidRDefault="001A1243">
            <w:pPr>
              <w:spacing w:line="276" w:lineRule="auto"/>
              <w:jc w:val="center"/>
              <w:rPr>
                <w:rFonts w:ascii="Palatino Linotype" w:hAnsi="Palatino Linotype" w:cs="Times New Roman"/>
                <w:b/>
                <w:color w:val="000000" w:themeColor="text1"/>
              </w:rPr>
            </w:pPr>
          </w:p>
          <w:p w14:paraId="41C18C48" w14:textId="77777777" w:rsidR="001A1243" w:rsidRDefault="001A1243">
            <w:pPr>
              <w:spacing w:line="276" w:lineRule="auto"/>
              <w:jc w:val="center"/>
              <w:rPr>
                <w:rFonts w:ascii="Palatino Linotype" w:hAnsi="Palatino Linotype" w:cs="Times New Roman"/>
                <w:b/>
                <w:color w:val="000000" w:themeColor="text1"/>
              </w:rPr>
            </w:pPr>
          </w:p>
          <w:p w14:paraId="1CB27583" w14:textId="77777777" w:rsidR="001A1243" w:rsidRDefault="001A1243">
            <w:pPr>
              <w:spacing w:line="276" w:lineRule="auto"/>
              <w:jc w:val="center"/>
              <w:rPr>
                <w:rFonts w:ascii="Palatino Linotype" w:hAnsi="Palatino Linotype" w:cs="Times New Roman"/>
                <w:b/>
                <w:color w:val="000000" w:themeColor="text1"/>
              </w:rPr>
            </w:pPr>
          </w:p>
          <w:p w14:paraId="05DA4C58" w14:textId="77777777" w:rsidR="001A1243" w:rsidRDefault="001A1243">
            <w:pPr>
              <w:spacing w:line="276" w:lineRule="auto"/>
              <w:jc w:val="center"/>
              <w:rPr>
                <w:rFonts w:ascii="Palatino Linotype" w:hAnsi="Palatino Linotype" w:cs="Times New Roman"/>
                <w:b/>
                <w:color w:val="000000" w:themeColor="text1"/>
              </w:rPr>
            </w:pPr>
          </w:p>
          <w:p w14:paraId="22AF7EEC"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41A4EAFE"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ED7E225" w14:textId="77777777" w:rsidR="001A1243" w:rsidRDefault="001A1243">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6B0B9768" w14:textId="77777777" w:rsidR="001A1243" w:rsidRDefault="001A1243">
            <w:pPr>
              <w:spacing w:line="276" w:lineRule="auto"/>
              <w:jc w:val="center"/>
              <w:rPr>
                <w:rFonts w:ascii="Palatino Linotype" w:hAnsi="Palatino Linotype" w:cs="Times New Roman"/>
                <w:color w:val="000000" w:themeColor="text1"/>
              </w:rPr>
            </w:pPr>
          </w:p>
          <w:p w14:paraId="36BC5543" w14:textId="77777777" w:rsidR="001A1243" w:rsidRDefault="001A1243">
            <w:pPr>
              <w:spacing w:line="276" w:lineRule="auto"/>
              <w:jc w:val="center"/>
              <w:rPr>
                <w:rFonts w:ascii="Palatino Linotype" w:hAnsi="Palatino Linotype" w:cs="Times New Roman"/>
                <w:color w:val="000000" w:themeColor="text1"/>
              </w:rPr>
            </w:pPr>
          </w:p>
          <w:p w14:paraId="392F7A3A" w14:textId="77777777" w:rsidR="001A1243" w:rsidRDefault="001A1243">
            <w:pPr>
              <w:spacing w:line="276" w:lineRule="auto"/>
              <w:jc w:val="center"/>
              <w:rPr>
                <w:rFonts w:ascii="Palatino Linotype" w:hAnsi="Palatino Linotype" w:cs="Times New Roman"/>
                <w:color w:val="000000" w:themeColor="text1"/>
              </w:rPr>
            </w:pPr>
          </w:p>
          <w:p w14:paraId="6D70D544" w14:textId="77777777" w:rsidR="001A1243" w:rsidRDefault="001A1243">
            <w:pPr>
              <w:spacing w:line="276" w:lineRule="auto"/>
              <w:jc w:val="center"/>
              <w:rPr>
                <w:rFonts w:ascii="Palatino Linotype" w:hAnsi="Palatino Linotype" w:cs="Times New Roman"/>
                <w:color w:val="000000" w:themeColor="text1"/>
              </w:rPr>
            </w:pPr>
          </w:p>
          <w:p w14:paraId="721FB524"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4575230F"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9CECF64"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1A1243" w14:paraId="6471FE66" w14:textId="77777777" w:rsidTr="001A1243">
        <w:trPr>
          <w:trHeight w:val="1953"/>
        </w:trPr>
        <w:tc>
          <w:tcPr>
            <w:tcW w:w="9073" w:type="dxa"/>
            <w:gridSpan w:val="3"/>
            <w:vAlign w:val="center"/>
          </w:tcPr>
          <w:p w14:paraId="16E5C24A" w14:textId="77777777" w:rsidR="001A1243" w:rsidRDefault="001A1243">
            <w:pPr>
              <w:pStyle w:val="Prrafodelista"/>
              <w:spacing w:line="276" w:lineRule="auto"/>
              <w:ind w:left="0"/>
              <w:jc w:val="center"/>
              <w:rPr>
                <w:rFonts w:ascii="Palatino Linotype" w:hAnsi="Palatino Linotype"/>
                <w:color w:val="000000" w:themeColor="text1"/>
              </w:rPr>
            </w:pPr>
          </w:p>
          <w:p w14:paraId="0552D3F9" w14:textId="77777777" w:rsidR="001A1243" w:rsidRDefault="001A1243">
            <w:pPr>
              <w:pStyle w:val="Prrafodelista"/>
              <w:spacing w:line="276" w:lineRule="auto"/>
              <w:ind w:left="0"/>
              <w:jc w:val="center"/>
              <w:rPr>
                <w:rFonts w:ascii="Palatino Linotype" w:hAnsi="Palatino Linotype"/>
                <w:color w:val="000000" w:themeColor="text1"/>
              </w:rPr>
            </w:pPr>
          </w:p>
          <w:p w14:paraId="559A9F78" w14:textId="77777777" w:rsidR="001A1243" w:rsidRDefault="001A1243">
            <w:pPr>
              <w:pStyle w:val="Prrafodelista"/>
              <w:spacing w:line="276" w:lineRule="auto"/>
              <w:ind w:left="0"/>
              <w:jc w:val="center"/>
              <w:rPr>
                <w:rFonts w:ascii="Palatino Linotype" w:hAnsi="Palatino Linotype"/>
                <w:color w:val="000000" w:themeColor="text1"/>
              </w:rPr>
            </w:pPr>
          </w:p>
          <w:p w14:paraId="075B5A9E" w14:textId="77777777" w:rsidR="001A1243" w:rsidRDefault="001A1243">
            <w:pPr>
              <w:pStyle w:val="Prrafodelista"/>
              <w:spacing w:line="276" w:lineRule="auto"/>
              <w:ind w:left="0"/>
              <w:jc w:val="center"/>
              <w:rPr>
                <w:rFonts w:ascii="Palatino Linotype" w:hAnsi="Palatino Linotype"/>
                <w:color w:val="000000" w:themeColor="text1"/>
              </w:rPr>
            </w:pPr>
          </w:p>
          <w:p w14:paraId="56B008AF" w14:textId="77777777" w:rsidR="001A1243" w:rsidRDefault="001A1243">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A49FEA3"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43BA7D9E" w14:textId="77777777" w:rsidR="001A1243" w:rsidRDefault="001A1243">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4396D65" w14:textId="77777777" w:rsidR="001A1243" w:rsidRDefault="001A1243" w:rsidP="001A1243">
      <w:pPr>
        <w:spacing w:before="240" w:after="240" w:line="360" w:lineRule="auto"/>
        <w:ind w:right="49"/>
        <w:jc w:val="both"/>
        <w:rPr>
          <w:rFonts w:ascii="Palatino Linotype" w:hAnsi="Palatino Linotype" w:cs="Arial"/>
          <w:color w:val="000000" w:themeColor="text1"/>
        </w:rPr>
      </w:pPr>
    </w:p>
    <w:p w14:paraId="2A26631B" w14:textId="07B2EC42" w:rsidR="001A1243" w:rsidRDefault="001A1243" w:rsidP="001A1243">
      <w:pPr>
        <w:spacing w:before="240" w:after="240" w:line="360" w:lineRule="auto"/>
        <w:ind w:right="49"/>
        <w:jc w:val="both"/>
      </w:pPr>
      <w:r>
        <w:rPr>
          <w:rFonts w:ascii="Palatino Linotype" w:hAnsi="Palatino Linotype" w:cs="Arial"/>
          <w:color w:val="000000" w:themeColor="text1"/>
        </w:rPr>
        <w:t xml:space="preserve">Esta hoja corresponde a la resolución de veintiocho (28) de octubre de dos mil veinte, emitida en el recurso de revisión </w:t>
      </w:r>
      <w:r>
        <w:rPr>
          <w:rFonts w:ascii="Palatino Linotype" w:hAnsi="Palatino Linotype" w:cs="Arial"/>
          <w:b/>
          <w:bCs/>
          <w:color w:val="000000" w:themeColor="text1"/>
          <w:lang w:eastAsia="es-MX"/>
        </w:rPr>
        <w:t>03503/INFOEM/IP/RR/2020</w:t>
      </w:r>
      <w:r>
        <w:rPr>
          <w:rFonts w:ascii="Palatino Linotype" w:hAnsi="Palatino Linotype" w:cs="Arial"/>
          <w:color w:val="000000" w:themeColor="text1"/>
        </w:rPr>
        <w:t>.</w:t>
      </w:r>
    </w:p>
    <w:p w14:paraId="7E9CADFB" w14:textId="77777777" w:rsidR="00231FF8" w:rsidRPr="002D58F8" w:rsidRDefault="00231FF8" w:rsidP="00231FF8">
      <w:pPr>
        <w:rPr>
          <w:rFonts w:ascii="Palatino Linotype" w:hAnsi="Palatino Linotype"/>
          <w:lang w:eastAsia="en-US"/>
        </w:rPr>
      </w:pPr>
    </w:p>
    <w:p w14:paraId="087372FD" w14:textId="77777777" w:rsidR="00FC6D86" w:rsidRPr="00231FF8" w:rsidRDefault="00FC6D86" w:rsidP="00FC6D86">
      <w:pPr>
        <w:rPr>
          <w:rFonts w:ascii="Palatino Linotype" w:hAnsi="Palatino Linotype"/>
          <w:lang w:eastAsia="en-US"/>
        </w:rPr>
      </w:pPr>
    </w:p>
    <w:p w14:paraId="62913B35" w14:textId="77777777" w:rsidR="005A1478" w:rsidRPr="00D54A3B" w:rsidRDefault="005A1478" w:rsidP="00FC6D86">
      <w:pPr>
        <w:rPr>
          <w:rFonts w:ascii="Palatino Linotype" w:hAnsi="Palatino Linotype"/>
          <w:lang w:eastAsia="en-US"/>
        </w:rPr>
      </w:pPr>
    </w:p>
    <w:sectPr w:rsidR="005A1478" w:rsidRPr="00D54A3B" w:rsidSect="00943B9C">
      <w:headerReference w:type="even" r:id="rId13"/>
      <w:headerReference w:type="default" r:id="rId14"/>
      <w:footerReference w:type="default" r:id="rId15"/>
      <w:headerReference w:type="first" r:id="rId16"/>
      <w:footerReference w:type="first" r:id="rId17"/>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95A7" w14:textId="77777777" w:rsidR="000D19B4" w:rsidRDefault="000D19B4" w:rsidP="00587366">
      <w:r>
        <w:separator/>
      </w:r>
    </w:p>
  </w:endnote>
  <w:endnote w:type="continuationSeparator" w:id="0">
    <w:p w14:paraId="207C01E6" w14:textId="77777777" w:rsidR="000D19B4" w:rsidRDefault="000D19B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FC7B03" w:rsidRPr="00883450" w:rsidRDefault="00FC7B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83BDA">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83BDA">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77777777" w:rsidR="00FC7B03" w:rsidRDefault="00FC7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C7B03" w:rsidRPr="00883450" w:rsidRDefault="00FC7B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83BDA">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83BDA" w:rsidRPr="00083BDA">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FC7B03" w:rsidRPr="00883450" w:rsidRDefault="00FC7B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B2D60" w14:textId="77777777" w:rsidR="000D19B4" w:rsidRDefault="000D19B4" w:rsidP="00587366">
      <w:r>
        <w:separator/>
      </w:r>
    </w:p>
  </w:footnote>
  <w:footnote w:type="continuationSeparator" w:id="0">
    <w:p w14:paraId="38C1FBA9" w14:textId="77777777" w:rsidR="000D19B4" w:rsidRDefault="000D19B4" w:rsidP="00587366">
      <w:r>
        <w:continuationSeparator/>
      </w:r>
    </w:p>
  </w:footnote>
  <w:footnote w:id="1">
    <w:p w14:paraId="2916FE2F" w14:textId="77777777" w:rsidR="00FC7B03" w:rsidRDefault="00FC7B03" w:rsidP="00FC7B03">
      <w:pPr>
        <w:pStyle w:val="Textonotapie"/>
      </w:pPr>
      <w:r>
        <w:rPr>
          <w:rStyle w:val="Refdenotaalpie"/>
        </w:rPr>
        <w:footnoteRef/>
      </w:r>
      <w:r>
        <w:t xml:space="preserve"> Convención Americana sobre Derechos Humanos. Artículo 13.</w:t>
      </w:r>
    </w:p>
  </w:footnote>
  <w:footnote w:id="2">
    <w:p w14:paraId="7222193A" w14:textId="77777777" w:rsidR="00FC7B03" w:rsidRDefault="00FC7B03" w:rsidP="00FC7B03">
      <w:pPr>
        <w:pStyle w:val="Textonotapie"/>
      </w:pPr>
      <w:r>
        <w:rPr>
          <w:rStyle w:val="Refdenotaalpie"/>
        </w:rPr>
        <w:footnoteRef/>
      </w:r>
      <w:r>
        <w:t xml:space="preserve"> Constitución Política de los Estados Unidos Mexicanos. Artículo sexto, sección A, Fracción I.</w:t>
      </w:r>
    </w:p>
  </w:footnote>
  <w:footnote w:id="3">
    <w:p w14:paraId="212EC334" w14:textId="77777777" w:rsidR="00FC7B03" w:rsidRPr="00F411B8" w:rsidRDefault="00FC7B03" w:rsidP="00FC7B03">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A03628E" w14:textId="77777777" w:rsidR="00FC7B03" w:rsidRPr="00F411B8" w:rsidRDefault="00FC7B03" w:rsidP="00FC7B03">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0EE8B210" w14:textId="77777777" w:rsidR="00FC7B03" w:rsidRDefault="00FC7B03" w:rsidP="00FC7B03">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1003C670" w14:textId="77777777" w:rsidR="00FC7B03" w:rsidRDefault="00FC7B03" w:rsidP="00FC7B03">
      <w:pPr>
        <w:pStyle w:val="Textonotapie"/>
      </w:pPr>
      <w:r>
        <w:rPr>
          <w:rStyle w:val="Refdenotaalpie"/>
        </w:rPr>
        <w:footnoteRef/>
      </w:r>
      <w:r>
        <w:t xml:space="preserve"> Ley de Transparencia y Acceso a la Información Pública del Estado de México y Municipios. Artículo 9. …</w:t>
      </w:r>
    </w:p>
    <w:p w14:paraId="7BE07A1F" w14:textId="77777777" w:rsidR="00FC7B03" w:rsidRDefault="00FC7B03" w:rsidP="00FC7B03">
      <w:pPr>
        <w:pStyle w:val="Textonotapie"/>
      </w:pPr>
      <w:r>
        <w:t>II. Eficacia: Obligación del Instituto para tutelar, de manera efectiva, el derecho de acceso a la información;</w:t>
      </w:r>
    </w:p>
    <w:p w14:paraId="6DB9E361" w14:textId="77777777" w:rsidR="00FC7B03" w:rsidRDefault="00FC7B03" w:rsidP="00FC7B03">
      <w:pPr>
        <w:pStyle w:val="Textonotapie"/>
      </w:pPr>
      <w:r>
        <w:t xml:space="preserve">… </w:t>
      </w:r>
    </w:p>
  </w:footnote>
  <w:footnote w:id="7">
    <w:p w14:paraId="0F5504A4" w14:textId="77777777" w:rsidR="00FC7B03" w:rsidRDefault="00FC7B03" w:rsidP="00FC7B0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9FB98E" w14:textId="77777777" w:rsidR="00FC7B03" w:rsidRDefault="00FC7B03" w:rsidP="00FC7B0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9E5C58" w14:textId="77777777" w:rsidR="00FC7B03" w:rsidRPr="001E1F95" w:rsidRDefault="00FC7B03" w:rsidP="00FC7B0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5B497B0D" w14:textId="77777777" w:rsidR="00FC7B03" w:rsidRPr="0037004E" w:rsidRDefault="00FC7B03" w:rsidP="00FC7B0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9">
    <w:p w14:paraId="2D028ED2" w14:textId="77777777" w:rsidR="00FC7B03" w:rsidRDefault="00FC7B03" w:rsidP="00FC7B03">
      <w:pPr>
        <w:pStyle w:val="Textonotapie"/>
        <w:jc w:val="both"/>
      </w:pPr>
      <w:r>
        <w:rPr>
          <w:rStyle w:val="Refdenotaalpie"/>
        </w:rPr>
        <w:footnoteRef/>
      </w:r>
      <w:r>
        <w:t xml:space="preserve"> Artículo 3. Para los efectos de la presente Ley se entenderá por:</w:t>
      </w:r>
    </w:p>
    <w:p w14:paraId="562DD3BF" w14:textId="77777777" w:rsidR="00FC7B03" w:rsidRDefault="00FC7B03" w:rsidP="00FC7B03">
      <w:pPr>
        <w:pStyle w:val="Textonotapie"/>
        <w:jc w:val="both"/>
      </w:pPr>
      <w:r>
        <w:t xml:space="preserve"> (…)</w:t>
      </w:r>
    </w:p>
    <w:p w14:paraId="37212ED6" w14:textId="77777777" w:rsidR="00FC7B03" w:rsidRDefault="00FC7B03" w:rsidP="00FC7B0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46241" w14:textId="627C0EC5" w:rsidR="001A1243" w:rsidRDefault="00083BDA">
    <w:pPr>
      <w:pStyle w:val="Encabezado"/>
    </w:pPr>
    <w:r>
      <w:rPr>
        <w:noProof/>
        <w:lang w:val="es-MX" w:eastAsia="es-MX"/>
      </w:rPr>
      <w:pict w14:anchorId="4C4F8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452547"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0FB9593" w:rsidR="00FC7B03" w:rsidRDefault="00083BDA" w:rsidP="001C6012">
    <w:pPr>
      <w:pStyle w:val="Encabezado"/>
      <w:tabs>
        <w:tab w:val="clear" w:pos="4252"/>
        <w:tab w:val="clear" w:pos="8504"/>
        <w:tab w:val="left" w:pos="8460"/>
      </w:tabs>
    </w:pPr>
    <w:r>
      <w:rPr>
        <w:noProof/>
        <w:lang w:val="es-MX" w:eastAsia="es-MX"/>
      </w:rPr>
      <w:pict w14:anchorId="6EA5E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452548" o:spid="_x0000_s2054"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FC7B03">
      <w:tab/>
    </w:r>
  </w:p>
  <w:p w14:paraId="64F5F23E" w14:textId="390690E5" w:rsidR="00FC7B03" w:rsidRDefault="00FC7B03">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FC7B03" w:rsidRPr="00674A46" w14:paraId="07F2896E" w14:textId="77777777" w:rsidTr="0081485A">
      <w:trPr>
        <w:trHeight w:val="138"/>
        <w:jc w:val="right"/>
      </w:trPr>
      <w:tc>
        <w:tcPr>
          <w:tcW w:w="4253" w:type="dxa"/>
          <w:vAlign w:val="center"/>
        </w:tcPr>
        <w:p w14:paraId="4A5B1974" w14:textId="3B2AB4E0" w:rsidR="00FC7B03" w:rsidRPr="00674A46" w:rsidRDefault="00FC7B0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E3EE4A6" w:rsidR="00FC7B03" w:rsidRPr="00674A46" w:rsidRDefault="00FC7B03" w:rsidP="007B4040">
          <w:pPr>
            <w:pStyle w:val="Encabezado"/>
            <w:rPr>
              <w:rFonts w:ascii="Palatino Linotype" w:hAnsi="Palatino Linotype"/>
              <w:b/>
              <w:sz w:val="22"/>
              <w:szCs w:val="22"/>
            </w:rPr>
          </w:pPr>
          <w:r>
            <w:rPr>
              <w:rFonts w:ascii="Palatino Linotype" w:hAnsi="Palatino Linotype" w:cs="Arial"/>
              <w:b/>
              <w:bCs/>
              <w:sz w:val="22"/>
              <w:szCs w:val="22"/>
              <w:lang w:eastAsia="es-MX"/>
            </w:rPr>
            <w:t>03503/INFOEM/IP/RR/2020</w:t>
          </w:r>
        </w:p>
      </w:tc>
    </w:tr>
    <w:tr w:rsidR="00FC7B03" w:rsidRPr="00674A46" w14:paraId="1B5D8690" w14:textId="77777777" w:rsidTr="0081485A">
      <w:trPr>
        <w:trHeight w:val="233"/>
        <w:jc w:val="right"/>
      </w:trPr>
      <w:tc>
        <w:tcPr>
          <w:tcW w:w="4253" w:type="dxa"/>
          <w:vAlign w:val="center"/>
        </w:tcPr>
        <w:p w14:paraId="3903F2C6" w14:textId="22D569F8" w:rsidR="00FC7B03" w:rsidRPr="00674A46" w:rsidRDefault="00FC7B0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E66A707" w:rsidR="00FC7B03" w:rsidRPr="00B75F20" w:rsidRDefault="00FC7B03" w:rsidP="00926F75">
          <w:pPr>
            <w:pStyle w:val="Encabezado"/>
            <w:jc w:val="both"/>
            <w:rPr>
              <w:rFonts w:ascii="Palatino Linotype" w:hAnsi="Palatino Linotype"/>
              <w:b/>
              <w:sz w:val="22"/>
              <w:szCs w:val="22"/>
            </w:rPr>
          </w:pPr>
          <w:r w:rsidRPr="007B4040">
            <w:rPr>
              <w:rFonts w:ascii="Palatino Linotype" w:hAnsi="Palatino Linotype"/>
              <w:b/>
              <w:bCs/>
              <w:color w:val="000000"/>
              <w:sz w:val="22"/>
              <w:szCs w:val="22"/>
            </w:rPr>
            <w:t>Partido de la Revolución Democrática</w:t>
          </w:r>
        </w:p>
      </w:tc>
    </w:tr>
    <w:tr w:rsidR="00FC7B03" w:rsidRPr="00674A46" w14:paraId="095EB01B" w14:textId="77777777" w:rsidTr="0081485A">
      <w:trPr>
        <w:trHeight w:val="321"/>
        <w:jc w:val="right"/>
      </w:trPr>
      <w:tc>
        <w:tcPr>
          <w:tcW w:w="4253" w:type="dxa"/>
          <w:vAlign w:val="center"/>
        </w:tcPr>
        <w:p w14:paraId="6E000A51" w14:textId="25DCC1C7" w:rsidR="00FC7B03" w:rsidRPr="00674A46" w:rsidRDefault="00FC7B0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C7B03" w:rsidRPr="00674A46" w:rsidRDefault="00FC7B0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C7B03" w:rsidRDefault="00FC7B0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FD747CC" w:rsidR="00FC7B03" w:rsidRDefault="00083BDA" w:rsidP="00472C41">
    <w:pPr>
      <w:pStyle w:val="Encabezado"/>
      <w:tabs>
        <w:tab w:val="clear" w:pos="4252"/>
        <w:tab w:val="clear" w:pos="8504"/>
        <w:tab w:val="left" w:pos="3103"/>
      </w:tabs>
    </w:pPr>
    <w:r>
      <w:rPr>
        <w:noProof/>
        <w:lang w:val="es-MX" w:eastAsia="es-MX"/>
      </w:rPr>
      <w:pict w14:anchorId="70EA2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452546"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C7B0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C7B03" w:rsidRPr="00674A46" w14:paraId="0A3256F2" w14:textId="77777777" w:rsidTr="006E6B65">
      <w:trPr>
        <w:trHeight w:val="138"/>
        <w:jc w:val="right"/>
      </w:trPr>
      <w:tc>
        <w:tcPr>
          <w:tcW w:w="3261" w:type="dxa"/>
          <w:vAlign w:val="center"/>
        </w:tcPr>
        <w:p w14:paraId="3D80769D" w14:textId="316F11F8" w:rsidR="00FC7B03" w:rsidRPr="00674A46" w:rsidRDefault="00FC7B0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543D1DE" w:rsidR="00FC7B03" w:rsidRPr="00674A46" w:rsidRDefault="00FC7B03" w:rsidP="007B4040">
          <w:pPr>
            <w:pStyle w:val="Encabezado"/>
            <w:rPr>
              <w:rFonts w:ascii="Palatino Linotype" w:hAnsi="Palatino Linotype"/>
              <w:b/>
              <w:sz w:val="22"/>
              <w:szCs w:val="22"/>
            </w:rPr>
          </w:pPr>
          <w:r>
            <w:rPr>
              <w:rFonts w:ascii="Palatino Linotype" w:hAnsi="Palatino Linotype" w:cs="Arial"/>
              <w:b/>
              <w:bCs/>
              <w:sz w:val="22"/>
              <w:szCs w:val="22"/>
              <w:lang w:eastAsia="es-MX"/>
            </w:rPr>
            <w:t>03503/INFOEM/IP/RR/2020</w:t>
          </w:r>
        </w:p>
      </w:tc>
    </w:tr>
    <w:tr w:rsidR="00FC7B03" w:rsidRPr="00B75F20" w14:paraId="128C8B3C" w14:textId="77777777" w:rsidTr="006E6B65">
      <w:trPr>
        <w:trHeight w:val="233"/>
        <w:jc w:val="right"/>
      </w:trPr>
      <w:tc>
        <w:tcPr>
          <w:tcW w:w="3261" w:type="dxa"/>
          <w:vAlign w:val="center"/>
        </w:tcPr>
        <w:p w14:paraId="483E3371" w14:textId="66B1BC74" w:rsidR="00FC7B03" w:rsidRPr="00674A46" w:rsidRDefault="00FC7B0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1E1D5C2" w:rsidR="00FC7B03" w:rsidRPr="00B75F20" w:rsidRDefault="00B2084F" w:rsidP="009B42A1">
          <w:pPr>
            <w:pStyle w:val="Encabezado"/>
            <w:tabs>
              <w:tab w:val="clear" w:pos="4252"/>
              <w:tab w:val="clear" w:pos="8504"/>
              <w:tab w:val="left" w:pos="521"/>
            </w:tabs>
            <w:rPr>
              <w:rFonts w:ascii="Palatino Linotype" w:hAnsi="Palatino Linotype"/>
              <w:b/>
              <w:sz w:val="22"/>
              <w:szCs w:val="22"/>
            </w:rPr>
          </w:pPr>
          <w:r w:rsidRPr="00B2084F">
            <w:rPr>
              <w:rFonts w:ascii="Palatino Linotype" w:hAnsi="Palatino Linotype"/>
              <w:b/>
              <w:sz w:val="22"/>
              <w:szCs w:val="22"/>
              <w:highlight w:val="black"/>
            </w:rPr>
            <w:t>------------------------------------------</w:t>
          </w:r>
        </w:p>
      </w:tc>
    </w:tr>
    <w:tr w:rsidR="00FC7B03" w:rsidRPr="00674A46" w14:paraId="41BE0704" w14:textId="77777777" w:rsidTr="006E6B65">
      <w:trPr>
        <w:trHeight w:val="321"/>
        <w:jc w:val="right"/>
      </w:trPr>
      <w:tc>
        <w:tcPr>
          <w:tcW w:w="3261" w:type="dxa"/>
          <w:vAlign w:val="center"/>
        </w:tcPr>
        <w:p w14:paraId="34C64148" w14:textId="10C6C8A9" w:rsidR="00FC7B03" w:rsidRPr="00674A46" w:rsidRDefault="00FC7B0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88C42E2" w:rsidR="00FC7B03" w:rsidRPr="00674A46" w:rsidRDefault="00FC7B03" w:rsidP="005C3414">
          <w:pPr>
            <w:pStyle w:val="Encabezado"/>
            <w:jc w:val="both"/>
            <w:rPr>
              <w:rFonts w:ascii="Palatino Linotype" w:hAnsi="Palatino Linotype"/>
              <w:b/>
              <w:sz w:val="22"/>
              <w:szCs w:val="22"/>
            </w:rPr>
          </w:pPr>
          <w:r w:rsidRPr="007B4040">
            <w:rPr>
              <w:rFonts w:ascii="Palatino Linotype" w:hAnsi="Palatino Linotype"/>
              <w:b/>
              <w:bCs/>
              <w:color w:val="000000"/>
              <w:sz w:val="22"/>
              <w:szCs w:val="22"/>
            </w:rPr>
            <w:t>Partido de la Revolución Democrática</w:t>
          </w:r>
        </w:p>
      </w:tc>
    </w:tr>
    <w:tr w:rsidR="00FC7B03" w:rsidRPr="00674A46" w14:paraId="0C8B6193" w14:textId="77777777" w:rsidTr="006E6B65">
      <w:trPr>
        <w:trHeight w:val="321"/>
        <w:jc w:val="right"/>
      </w:trPr>
      <w:tc>
        <w:tcPr>
          <w:tcW w:w="3261" w:type="dxa"/>
          <w:vAlign w:val="center"/>
        </w:tcPr>
        <w:p w14:paraId="321FFAFF" w14:textId="40E5A678" w:rsidR="00FC7B03" w:rsidRPr="00674A46" w:rsidRDefault="00FC7B0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C7B03" w:rsidRPr="00674A46" w:rsidRDefault="00FC7B0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C7B03" w:rsidRDefault="00FC7B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15:restartNumberingAfterBreak="0">
    <w:nsid w:val="79050BAF"/>
    <w:multiLevelType w:val="hybridMultilevel"/>
    <w:tmpl w:val="F0E8BD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BAF3DB4"/>
    <w:multiLevelType w:val="hybridMultilevel"/>
    <w:tmpl w:val="AE5ECD5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30"/>
  </w:num>
  <w:num w:numId="4">
    <w:abstractNumId w:val="37"/>
  </w:num>
  <w:num w:numId="5">
    <w:abstractNumId w:val="18"/>
  </w:num>
  <w:num w:numId="6">
    <w:abstractNumId w:val="31"/>
  </w:num>
  <w:num w:numId="7">
    <w:abstractNumId w:val="3"/>
  </w:num>
  <w:num w:numId="8">
    <w:abstractNumId w:val="14"/>
  </w:num>
  <w:num w:numId="9">
    <w:abstractNumId w:val="11"/>
  </w:num>
  <w:num w:numId="10">
    <w:abstractNumId w:val="8"/>
  </w:num>
  <w:num w:numId="11">
    <w:abstractNumId w:val="20"/>
  </w:num>
  <w:num w:numId="12">
    <w:abstractNumId w:val="25"/>
  </w:num>
  <w:num w:numId="13">
    <w:abstractNumId w:val="2"/>
  </w:num>
  <w:num w:numId="14">
    <w:abstractNumId w:val="1"/>
  </w:num>
  <w:num w:numId="15">
    <w:abstractNumId w:val="12"/>
  </w:num>
  <w:num w:numId="16">
    <w:abstractNumId w:val="35"/>
  </w:num>
  <w:num w:numId="17">
    <w:abstractNumId w:val="32"/>
  </w:num>
  <w:num w:numId="18">
    <w:abstractNumId w:val="24"/>
  </w:num>
  <w:num w:numId="19">
    <w:abstractNumId w:val="28"/>
  </w:num>
  <w:num w:numId="20">
    <w:abstractNumId w:val="19"/>
  </w:num>
  <w:num w:numId="21">
    <w:abstractNumId w:val="33"/>
  </w:num>
  <w:num w:numId="22">
    <w:abstractNumId w:val="38"/>
  </w:num>
  <w:num w:numId="23">
    <w:abstractNumId w:val="21"/>
  </w:num>
  <w:num w:numId="24">
    <w:abstractNumId w:val="6"/>
  </w:num>
  <w:num w:numId="25">
    <w:abstractNumId w:val="13"/>
  </w:num>
  <w:num w:numId="26">
    <w:abstractNumId w:val="34"/>
  </w:num>
  <w:num w:numId="27">
    <w:abstractNumId w:val="26"/>
  </w:num>
  <w:num w:numId="28">
    <w:abstractNumId w:val="5"/>
  </w:num>
  <w:num w:numId="29">
    <w:abstractNumId w:val="7"/>
  </w:num>
  <w:num w:numId="30">
    <w:abstractNumId w:val="22"/>
  </w:num>
  <w:num w:numId="31">
    <w:abstractNumId w:val="15"/>
  </w:num>
  <w:num w:numId="32">
    <w:abstractNumId w:val="3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7"/>
  </w:num>
  <w:num w:numId="37">
    <w:abstractNumId w:val="29"/>
  </w:num>
  <w:num w:numId="38">
    <w:abstractNumId w:val="9"/>
  </w:num>
  <w:num w:numId="39">
    <w:abstractNumId w:val="23"/>
  </w:num>
  <w:num w:numId="40">
    <w:abstractNumId w:val="10"/>
  </w:num>
  <w:num w:numId="41">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BDA"/>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1D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9B4"/>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0FB"/>
    <w:rsid w:val="00163780"/>
    <w:rsid w:val="00163B1F"/>
    <w:rsid w:val="001648EE"/>
    <w:rsid w:val="00164B65"/>
    <w:rsid w:val="00166794"/>
    <w:rsid w:val="00166BFB"/>
    <w:rsid w:val="00167D10"/>
    <w:rsid w:val="00170D28"/>
    <w:rsid w:val="00171E0A"/>
    <w:rsid w:val="001729DF"/>
    <w:rsid w:val="00173226"/>
    <w:rsid w:val="00173DDB"/>
    <w:rsid w:val="00173F22"/>
    <w:rsid w:val="00175DB6"/>
    <w:rsid w:val="0017653A"/>
    <w:rsid w:val="001770B7"/>
    <w:rsid w:val="001775DF"/>
    <w:rsid w:val="0018435D"/>
    <w:rsid w:val="001854E7"/>
    <w:rsid w:val="00185A7A"/>
    <w:rsid w:val="001863AF"/>
    <w:rsid w:val="00190999"/>
    <w:rsid w:val="0019160F"/>
    <w:rsid w:val="00192B71"/>
    <w:rsid w:val="00192D8E"/>
    <w:rsid w:val="00192E4B"/>
    <w:rsid w:val="00193EC9"/>
    <w:rsid w:val="00195C4D"/>
    <w:rsid w:val="001972CC"/>
    <w:rsid w:val="001A1188"/>
    <w:rsid w:val="001A1243"/>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06A2"/>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B78"/>
    <w:rsid w:val="003D5E95"/>
    <w:rsid w:val="003D6B4D"/>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DA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625"/>
    <w:rsid w:val="00542797"/>
    <w:rsid w:val="00542B3A"/>
    <w:rsid w:val="005434E0"/>
    <w:rsid w:val="00543FF4"/>
    <w:rsid w:val="00544AB9"/>
    <w:rsid w:val="00544EC9"/>
    <w:rsid w:val="0054616B"/>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5505"/>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9F3"/>
    <w:rsid w:val="008E1B8F"/>
    <w:rsid w:val="008E1BD5"/>
    <w:rsid w:val="008E388E"/>
    <w:rsid w:val="008E4CDB"/>
    <w:rsid w:val="008E549B"/>
    <w:rsid w:val="008E5797"/>
    <w:rsid w:val="008E5E89"/>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610"/>
    <w:rsid w:val="00995C9F"/>
    <w:rsid w:val="00996436"/>
    <w:rsid w:val="0099752D"/>
    <w:rsid w:val="009A0461"/>
    <w:rsid w:val="009A12A7"/>
    <w:rsid w:val="009A28A2"/>
    <w:rsid w:val="009A5191"/>
    <w:rsid w:val="009A6119"/>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0135"/>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084F"/>
    <w:rsid w:val="00B24E55"/>
    <w:rsid w:val="00B26BC4"/>
    <w:rsid w:val="00B312C7"/>
    <w:rsid w:val="00B315D9"/>
    <w:rsid w:val="00B316B9"/>
    <w:rsid w:val="00B32E58"/>
    <w:rsid w:val="00B335A2"/>
    <w:rsid w:val="00B34371"/>
    <w:rsid w:val="00B37104"/>
    <w:rsid w:val="00B3748A"/>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48A3"/>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3CD4"/>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5D81"/>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0544"/>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95C9CE98-B588-44E7-B7F1-9D12E7B8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2004170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96E5D-62E2-43E5-A257-7479865E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54</Pages>
  <Words>10700</Words>
  <Characters>58853</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2019-01-16T02:59:00Z</cp:lastPrinted>
  <dcterms:created xsi:type="dcterms:W3CDTF">2020-10-22T18:55:00Z</dcterms:created>
  <dcterms:modified xsi:type="dcterms:W3CDTF">2020-11-24T02:41:00Z</dcterms:modified>
</cp:coreProperties>
</file>