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DC2A65" w:rsidRDefault="001E4363" w:rsidP="00744368">
      <w:pPr>
        <w:spacing w:before="240" w:after="240" w:line="360" w:lineRule="auto"/>
        <w:jc w:val="center"/>
        <w:rPr>
          <w:rFonts w:ascii="Palatino Linotype" w:hAnsi="Palatino Linotype"/>
          <w:b/>
          <w:lang w:val="es-ES_tradnl"/>
        </w:rPr>
      </w:pPr>
      <w:r w:rsidRPr="00DC2A65">
        <w:rPr>
          <w:rFonts w:ascii="Palatino Linotype" w:hAnsi="Palatino Linotype"/>
          <w:b/>
          <w:lang w:val="es-ES_tradnl"/>
        </w:rPr>
        <w:t>RESUMEN DE LA RESOLUCIÓN</w:t>
      </w:r>
    </w:p>
    <w:p w:rsidR="00252343" w:rsidRPr="00DC2A65" w:rsidRDefault="00252343" w:rsidP="008E1E4F">
      <w:pPr>
        <w:spacing w:before="240" w:after="240" w:line="360" w:lineRule="auto"/>
        <w:jc w:val="both"/>
        <w:rPr>
          <w:rFonts w:ascii="Palatino Linotype" w:hAnsi="Palatino Linotype"/>
          <w:lang w:val="es-ES_tradnl"/>
        </w:rPr>
      </w:pPr>
      <w:bookmarkStart w:id="0" w:name="_Toc476570283"/>
      <w:r w:rsidRPr="00DC2A65">
        <w:rPr>
          <w:rFonts w:ascii="Palatino Linotype" w:hAnsi="Palatino Linotype"/>
          <w:lang w:val="es-ES_tradnl"/>
        </w:rPr>
        <w:t>El artículo 160 de la Ley General Transparencia y Acceso a la Información P</w:t>
      </w:r>
      <w:r w:rsidR="006647AF" w:rsidRPr="00DC2A65">
        <w:rPr>
          <w:rFonts w:ascii="Palatino Linotype" w:hAnsi="Palatino Linotype"/>
          <w:lang w:val="es-ES_tradnl"/>
        </w:rPr>
        <w:t>ública, delimita de manera categórica</w:t>
      </w:r>
      <w:r w:rsidRPr="00DC2A65">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DC2A65" w:rsidRDefault="00252343" w:rsidP="008E1E4F">
      <w:pPr>
        <w:spacing w:before="240" w:after="240" w:line="360" w:lineRule="auto"/>
        <w:jc w:val="both"/>
        <w:rPr>
          <w:rFonts w:ascii="Palatino Linotype" w:hAnsi="Palatino Linotype"/>
          <w:lang w:val="es-ES_tradnl"/>
        </w:rPr>
      </w:pPr>
      <w:r w:rsidRPr="00DC2A65">
        <w:rPr>
          <w:rFonts w:ascii="Palatino Linotype" w:hAnsi="Palatino Linotype"/>
          <w:lang w:val="es-ES_tradnl"/>
        </w:rPr>
        <w:t xml:space="preserve">Resulta evidente, incuestionable e </w:t>
      </w:r>
      <w:r w:rsidR="006647AF" w:rsidRPr="00DC2A65">
        <w:rPr>
          <w:rFonts w:ascii="Palatino Linotype" w:hAnsi="Palatino Linotype"/>
          <w:lang w:val="es-ES_tradnl"/>
        </w:rPr>
        <w:t>indiscutible</w:t>
      </w:r>
      <w:r w:rsidRPr="00DC2A65">
        <w:rPr>
          <w:rFonts w:ascii="Palatino Linotype" w:hAnsi="Palatino Linotype"/>
          <w:lang w:val="es-ES_tradnl"/>
        </w:rPr>
        <w:t xml:space="preserve"> que la resolución recurrida, dictada por este Órgano Ga</w:t>
      </w:r>
      <w:r w:rsidR="002C3C43" w:rsidRPr="00DC2A65">
        <w:rPr>
          <w:rFonts w:ascii="Palatino Linotype" w:hAnsi="Palatino Linotype"/>
          <w:lang w:val="es-ES_tradnl"/>
        </w:rPr>
        <w:t xml:space="preserve">rante en fecha </w:t>
      </w:r>
      <w:r w:rsidR="00A57FEC" w:rsidRPr="00DC2A65">
        <w:rPr>
          <w:rFonts w:ascii="Palatino Linotype" w:hAnsi="Palatino Linotype"/>
          <w:lang w:val="es-ES_tradnl"/>
        </w:rPr>
        <w:t>siete</w:t>
      </w:r>
      <w:r w:rsidR="00CF0EA2" w:rsidRPr="00DC2A65">
        <w:rPr>
          <w:rFonts w:ascii="Palatino Linotype" w:hAnsi="Palatino Linotype"/>
          <w:lang w:val="es-ES_tradnl"/>
        </w:rPr>
        <w:t xml:space="preserve"> </w:t>
      </w:r>
      <w:r w:rsidR="00744368" w:rsidRPr="00DC2A65">
        <w:rPr>
          <w:rFonts w:ascii="Palatino Linotype" w:hAnsi="Palatino Linotype"/>
          <w:lang w:val="es-ES_tradnl"/>
        </w:rPr>
        <w:t>(</w:t>
      </w:r>
      <w:r w:rsidR="00A57FEC" w:rsidRPr="00DC2A65">
        <w:rPr>
          <w:rFonts w:ascii="Palatino Linotype" w:hAnsi="Palatino Linotype"/>
          <w:lang w:val="es-ES_tradnl"/>
        </w:rPr>
        <w:t>07</w:t>
      </w:r>
      <w:r w:rsidR="00744368" w:rsidRPr="00DC2A65">
        <w:rPr>
          <w:rFonts w:ascii="Palatino Linotype" w:hAnsi="Palatino Linotype"/>
          <w:lang w:val="es-ES_tradnl"/>
        </w:rPr>
        <w:t xml:space="preserve">) de </w:t>
      </w:r>
      <w:r w:rsidR="00A57FEC" w:rsidRPr="00DC2A65">
        <w:rPr>
          <w:rFonts w:ascii="Palatino Linotype" w:hAnsi="Palatino Linotype"/>
          <w:lang w:val="es-ES_tradnl"/>
        </w:rPr>
        <w:t>octu</w:t>
      </w:r>
      <w:r w:rsidR="00744368" w:rsidRPr="00DC2A65">
        <w:rPr>
          <w:rFonts w:ascii="Palatino Linotype" w:hAnsi="Palatino Linotype"/>
          <w:lang w:val="es-ES_tradnl"/>
        </w:rPr>
        <w:t xml:space="preserve">bre de dos mil veinte, </w:t>
      </w:r>
      <w:r w:rsidRPr="00DC2A65">
        <w:rPr>
          <w:rFonts w:ascii="Palatino Linotype" w:hAnsi="Palatino Linotype"/>
          <w:lang w:val="es-ES_tradnl"/>
        </w:rPr>
        <w:t xml:space="preserve">en el recurso de revisión </w:t>
      </w:r>
      <w:r w:rsidR="00335E91" w:rsidRPr="00DC2A65">
        <w:rPr>
          <w:rFonts w:ascii="Palatino Linotype" w:hAnsi="Palatino Linotype"/>
          <w:lang w:val="es-ES_tradnl"/>
        </w:rPr>
        <w:t>03038</w:t>
      </w:r>
      <w:r w:rsidR="00CF0EA2" w:rsidRPr="00DC2A65">
        <w:rPr>
          <w:rFonts w:ascii="Palatino Linotype" w:hAnsi="Palatino Linotype"/>
          <w:lang w:val="es-ES_tradnl"/>
        </w:rPr>
        <w:t>/INFOEM/IP/RR/2020 y acumulados</w:t>
      </w:r>
      <w:r w:rsidRPr="00DC2A65">
        <w:rPr>
          <w:rFonts w:ascii="Palatino Linotype" w:hAnsi="Palatino Linotype"/>
          <w:lang w:val="es-ES_tradnl"/>
        </w:rPr>
        <w:t>, no implica ninguno de los supuestos anteriores, por lo que</w:t>
      </w:r>
      <w:r w:rsidR="006647AF" w:rsidRPr="00DC2A65">
        <w:rPr>
          <w:rFonts w:ascii="Palatino Linotype" w:hAnsi="Palatino Linotype"/>
          <w:lang w:val="es-ES_tradnl"/>
        </w:rPr>
        <w:t xml:space="preserve"> a</w:t>
      </w:r>
      <w:r w:rsidRPr="00DC2A65">
        <w:rPr>
          <w:rFonts w:ascii="Palatino Linotype" w:hAnsi="Palatino Linotype"/>
          <w:lang w:val="es-ES_tradnl"/>
        </w:rPr>
        <w:t xml:space="preserve">l estar evidenciado que no se colmaban los supuestos necesarios para la procedencia, </w:t>
      </w:r>
      <w:r w:rsidR="002E6038" w:rsidRPr="00DC2A65">
        <w:rPr>
          <w:rFonts w:ascii="Palatino Linotype" w:hAnsi="Palatino Linotype"/>
          <w:lang w:val="es-ES_tradnl"/>
        </w:rPr>
        <w:t>puede afectarse</w:t>
      </w:r>
      <w:r w:rsidRPr="00DC2A65">
        <w:rPr>
          <w:rFonts w:ascii="Palatino Linotype" w:hAnsi="Palatino Linotype"/>
          <w:lang w:val="es-ES_tradnl"/>
        </w:rPr>
        <w:t xml:space="preserve"> el principio de legalidad</w:t>
      </w:r>
      <w:r w:rsidR="006647AF" w:rsidRPr="00DC2A65">
        <w:rPr>
          <w:rFonts w:ascii="Palatino Linotype" w:hAnsi="Palatino Linotype"/>
          <w:lang w:val="es-ES_tradnl"/>
        </w:rPr>
        <w:t>;</w:t>
      </w:r>
      <w:r w:rsidRPr="00DC2A65">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2F383D" w:rsidRPr="00DC2A65" w:rsidRDefault="006647AF" w:rsidP="00055959">
      <w:pPr>
        <w:shd w:val="clear" w:color="auto" w:fill="FFFFFF"/>
        <w:tabs>
          <w:tab w:val="left" w:pos="0"/>
        </w:tabs>
        <w:spacing w:before="240" w:after="150" w:line="360" w:lineRule="auto"/>
        <w:ind w:right="49"/>
        <w:jc w:val="both"/>
        <w:rPr>
          <w:rFonts w:ascii="Palatino Linotype" w:hAnsi="Palatino Linotype"/>
          <w:i/>
          <w:lang w:val="es-ES_tradnl"/>
        </w:rPr>
      </w:pPr>
      <w:r w:rsidRPr="00DC2A65">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8F01C9" w:rsidRPr="00DC2A65">
        <w:rPr>
          <w:rFonts w:ascii="Palatino Linotype" w:hAnsi="Palatino Linotype"/>
          <w:lang w:val="es-ES_tradnl"/>
        </w:rPr>
        <w:t>181/20</w:t>
      </w:r>
      <w:r w:rsidRPr="00DC2A65">
        <w:rPr>
          <w:rFonts w:ascii="Palatino Linotype" w:hAnsi="Palatino Linotype"/>
          <w:lang w:val="es-ES_tradnl"/>
        </w:rPr>
        <w:t xml:space="preserve">, </w:t>
      </w:r>
      <w:r w:rsidR="002E6038" w:rsidRPr="00DC2A65">
        <w:rPr>
          <w:rFonts w:ascii="Palatino Linotype" w:hAnsi="Palatino Linotype"/>
          <w:lang w:val="es-ES_tradnl"/>
        </w:rPr>
        <w:t xml:space="preserve">instruye a este Instituto para que emita una nueva resolución </w:t>
      </w:r>
      <w:r w:rsidR="002E6038" w:rsidRPr="00DC2A65">
        <w:rPr>
          <w:rFonts w:ascii="Palatino Linotype" w:hAnsi="Palatino Linotype"/>
          <w:lang w:val="es-ES_tradnl"/>
        </w:rPr>
        <w:lastRenderedPageBreak/>
        <w:t xml:space="preserve">en la que </w:t>
      </w:r>
      <w:r w:rsidR="00252343" w:rsidRPr="00DC2A65">
        <w:rPr>
          <w:rFonts w:ascii="Palatino Linotype" w:hAnsi="Palatino Linotype"/>
          <w:lang w:val="es-ES_tradnl"/>
        </w:rPr>
        <w:t>orden</w:t>
      </w:r>
      <w:r w:rsidR="002E6038" w:rsidRPr="00DC2A65">
        <w:rPr>
          <w:rFonts w:ascii="Palatino Linotype" w:hAnsi="Palatino Linotype"/>
          <w:lang w:val="es-ES_tradnl"/>
        </w:rPr>
        <w:t>e a</w:t>
      </w:r>
      <w:r w:rsidR="00252343" w:rsidRPr="00DC2A65">
        <w:rPr>
          <w:rFonts w:ascii="Palatino Linotype" w:hAnsi="Palatino Linotype"/>
          <w:lang w:val="es-ES_tradnl"/>
        </w:rPr>
        <w:t>l Sujeto Obligado</w:t>
      </w:r>
      <w:r w:rsidR="002E6038" w:rsidRPr="00DC2A65">
        <w:rPr>
          <w:rFonts w:ascii="Palatino Linotype" w:hAnsi="Palatino Linotype"/>
          <w:lang w:val="es-ES_tradnl"/>
        </w:rPr>
        <w:t>,</w:t>
      </w:r>
      <w:r w:rsidR="00252343" w:rsidRPr="00DC2A65">
        <w:rPr>
          <w:rFonts w:ascii="Palatino Linotype" w:hAnsi="Palatino Linotype"/>
          <w:lang w:val="es-ES_tradnl"/>
        </w:rPr>
        <w:t xml:space="preserve"> </w:t>
      </w:r>
      <w:r w:rsidR="00744368" w:rsidRPr="00DC2A65">
        <w:rPr>
          <w:rFonts w:ascii="Palatino Linotype" w:hAnsi="Palatino Linotype"/>
          <w:lang w:val="es-ES_tradnl"/>
        </w:rPr>
        <w:t xml:space="preserve">a realizar la entrega </w:t>
      </w:r>
      <w:r w:rsidR="002F383D" w:rsidRPr="00DC2A65">
        <w:rPr>
          <w:rFonts w:ascii="Palatino Linotype" w:hAnsi="Palatino Linotype"/>
          <w:lang w:val="es-ES_tradnl"/>
        </w:rPr>
        <w:t xml:space="preserve">de </w:t>
      </w:r>
      <w:r w:rsidR="00930475" w:rsidRPr="00DC2A65">
        <w:rPr>
          <w:rFonts w:ascii="Palatino Linotype" w:hAnsi="Palatino Linotype"/>
          <w:lang w:val="es-ES_tradnl"/>
        </w:rPr>
        <w:t>las plantillas de personal que sirvieron de base para formular los presupuestos definitivos de los años 2019 y 2020, debiendo contemplar el último año, todas las plazas de personal presupuestadas, así como el nombre y apellido de los servidores públicos que dicho momento ocupaban las plazas, en la modalidad elegida por la particular, esto es en medios electrónicos, como puede ser correo electrónico, o en su caso, USB y/o disco compacto, con la posibilidad de envío mediante correo certificado previo pago de los costos de reproducción.</w:t>
      </w:r>
    </w:p>
    <w:p w:rsidR="00744368" w:rsidRPr="00DC2A65" w:rsidRDefault="006647AF" w:rsidP="008E1E4F">
      <w:pPr>
        <w:spacing w:before="240" w:after="240" w:line="360" w:lineRule="auto"/>
        <w:jc w:val="both"/>
        <w:rPr>
          <w:rFonts w:ascii="Palatino Linotype" w:eastAsia="MS Mincho" w:hAnsi="Palatino Linotype"/>
          <w:lang w:val="es-ES_tradnl"/>
        </w:rPr>
      </w:pPr>
      <w:r w:rsidRPr="00DC2A65">
        <w:rPr>
          <w:rFonts w:ascii="Palatino Linotype" w:hAnsi="Palatino Linotype" w:cs="Arial"/>
          <w:lang w:val="es-ES_tradnl" w:eastAsia="es-MX"/>
        </w:rPr>
        <w:t>L</w:t>
      </w:r>
      <w:r w:rsidRPr="00DC2A65">
        <w:rPr>
          <w:rFonts w:ascii="Palatino Linotype" w:hAnsi="Palatino Linotype"/>
          <w:lang w:val="es-ES_tradnl"/>
        </w:rPr>
        <w:t xml:space="preserve">o que resulta </w:t>
      </w:r>
      <w:r w:rsidR="002E6038" w:rsidRPr="00DC2A65">
        <w:rPr>
          <w:rFonts w:ascii="Palatino Linotype" w:hAnsi="Palatino Linotype"/>
          <w:lang w:val="es-ES_tradnl"/>
        </w:rPr>
        <w:t>inverso</w:t>
      </w:r>
      <w:r w:rsidRPr="00DC2A65">
        <w:rPr>
          <w:rFonts w:ascii="Palatino Linotype" w:hAnsi="Palatino Linotype"/>
          <w:lang w:val="es-ES_tradnl"/>
        </w:rPr>
        <w:t xml:space="preserve"> a los principios </w:t>
      </w:r>
      <w:r w:rsidRPr="00DC2A65">
        <w:rPr>
          <w:rFonts w:ascii="Palatino Linotype" w:eastAsia="MS Mincho" w:hAnsi="Palatino Linotype"/>
          <w:lang w:val="es-ES_tradnl"/>
        </w:rPr>
        <w:t>de simplicidad y rapidez, bajo los cuales se rige el derecho de acceso a la información, y a</w:t>
      </w:r>
      <w:r w:rsidR="002C3C43" w:rsidRPr="00DC2A65">
        <w:rPr>
          <w:rFonts w:ascii="Palatino Linotype" w:eastAsia="MS Mincho" w:hAnsi="Palatino Linotype"/>
          <w:lang w:val="es-ES_tradnl"/>
        </w:rPr>
        <w:t xml:space="preserve"> </w:t>
      </w:r>
      <w:r w:rsidRPr="00DC2A65">
        <w:rPr>
          <w:rFonts w:ascii="Palatino Linotype" w:eastAsia="MS Mincho" w:hAnsi="Palatino Linotype"/>
          <w:lang w:val="es-ES_tradnl"/>
        </w:rPr>
        <w:t>l</w:t>
      </w:r>
      <w:r w:rsidR="002C3C43" w:rsidRPr="00DC2A65">
        <w:rPr>
          <w:rFonts w:ascii="Palatino Linotype" w:eastAsia="MS Mincho" w:hAnsi="Palatino Linotype"/>
          <w:lang w:val="es-ES_tradnl"/>
        </w:rPr>
        <w:t>os</w:t>
      </w:r>
      <w:r w:rsidRPr="00DC2A65">
        <w:rPr>
          <w:rFonts w:ascii="Palatino Linotype" w:eastAsia="MS Mincho" w:hAnsi="Palatino Linotype"/>
          <w:lang w:val="es-ES_tradnl"/>
        </w:rPr>
        <w:t xml:space="preserve"> cual</w:t>
      </w:r>
      <w:r w:rsidR="002C3C43" w:rsidRPr="00DC2A65">
        <w:rPr>
          <w:rFonts w:ascii="Palatino Linotype" w:eastAsia="MS Mincho" w:hAnsi="Palatino Linotype"/>
          <w:lang w:val="es-ES_tradnl"/>
        </w:rPr>
        <w:t>es</w:t>
      </w:r>
      <w:r w:rsidRPr="00DC2A65">
        <w:rPr>
          <w:rFonts w:ascii="Palatino Linotype" w:eastAsia="MS Mincho" w:hAnsi="Palatino Linotype"/>
          <w:lang w:val="es-ES_tradnl"/>
        </w:rPr>
        <w:t xml:space="preserve"> dio observancia este Instituto al</w:t>
      </w:r>
      <w:r w:rsidR="00300EBF" w:rsidRPr="00DC2A65">
        <w:rPr>
          <w:rFonts w:ascii="Palatino Linotype" w:eastAsia="MS Mincho" w:hAnsi="Palatino Linotype"/>
          <w:lang w:val="es-ES_tradnl"/>
        </w:rPr>
        <w:t xml:space="preserve"> emi</w:t>
      </w:r>
      <w:r w:rsidR="006D12DF" w:rsidRPr="00DC2A65">
        <w:rPr>
          <w:rFonts w:ascii="Palatino Linotype" w:eastAsia="MS Mincho" w:hAnsi="Palatino Linotype"/>
          <w:lang w:val="es-ES_tradnl"/>
        </w:rPr>
        <w:t>tir s</w:t>
      </w:r>
      <w:r w:rsidR="00930475" w:rsidRPr="00DC2A65">
        <w:rPr>
          <w:rFonts w:ascii="Palatino Linotype" w:eastAsia="MS Mincho" w:hAnsi="Palatino Linotype"/>
          <w:lang w:val="es-ES_tradnl"/>
        </w:rPr>
        <w:t>u resolución de fecha siete</w:t>
      </w:r>
      <w:r w:rsidR="00744368" w:rsidRPr="00DC2A65">
        <w:rPr>
          <w:rFonts w:ascii="Palatino Linotype" w:eastAsia="MS Mincho" w:hAnsi="Palatino Linotype"/>
          <w:lang w:val="es-ES_tradnl"/>
        </w:rPr>
        <w:t xml:space="preserve"> (</w:t>
      </w:r>
      <w:r w:rsidR="00930475" w:rsidRPr="00DC2A65">
        <w:rPr>
          <w:rFonts w:ascii="Palatino Linotype" w:eastAsia="MS Mincho" w:hAnsi="Palatino Linotype"/>
          <w:lang w:val="es-ES_tradnl"/>
        </w:rPr>
        <w:t>07</w:t>
      </w:r>
      <w:r w:rsidR="00744368" w:rsidRPr="00DC2A65">
        <w:rPr>
          <w:rFonts w:ascii="Palatino Linotype" w:eastAsia="MS Mincho" w:hAnsi="Palatino Linotype"/>
          <w:lang w:val="es-ES_tradnl"/>
        </w:rPr>
        <w:t xml:space="preserve">) de </w:t>
      </w:r>
      <w:r w:rsidR="00930475" w:rsidRPr="00DC2A65">
        <w:rPr>
          <w:rFonts w:ascii="Palatino Linotype" w:eastAsia="MS Mincho" w:hAnsi="Palatino Linotype"/>
          <w:lang w:val="es-ES_tradnl"/>
        </w:rPr>
        <w:t>octu</w:t>
      </w:r>
      <w:r w:rsidR="006D12DF" w:rsidRPr="00DC2A65">
        <w:rPr>
          <w:rFonts w:ascii="Palatino Linotype" w:eastAsia="MS Mincho" w:hAnsi="Palatino Linotype"/>
          <w:lang w:val="es-ES_tradnl"/>
        </w:rPr>
        <w:t>bre</w:t>
      </w:r>
      <w:r w:rsidR="00744368" w:rsidRPr="00DC2A65">
        <w:rPr>
          <w:rFonts w:ascii="Palatino Linotype" w:eastAsia="MS Mincho" w:hAnsi="Palatino Linotype"/>
          <w:lang w:val="es-ES_tradnl"/>
        </w:rPr>
        <w:t xml:space="preserve"> de dos mil veinte.</w:t>
      </w:r>
    </w:p>
    <w:p w:rsidR="00252343" w:rsidRPr="00DC2A65" w:rsidRDefault="00FC71CA" w:rsidP="008E1E4F">
      <w:pPr>
        <w:spacing w:before="240" w:after="240" w:line="360" w:lineRule="auto"/>
        <w:jc w:val="both"/>
        <w:rPr>
          <w:rFonts w:ascii="Palatino Linotype" w:hAnsi="Palatino Linotype"/>
          <w:lang w:val="es-ES_tradnl"/>
        </w:rPr>
      </w:pPr>
      <w:r w:rsidRPr="00DC2A65">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0C502F9" wp14:editId="710FB2FE">
                <wp:simplePos x="0" y="0"/>
                <wp:positionH relativeFrom="column">
                  <wp:posOffset>5715</wp:posOffset>
                </wp:positionH>
                <wp:positionV relativeFrom="paragraph">
                  <wp:posOffset>48260</wp:posOffset>
                </wp:positionV>
                <wp:extent cx="5486400" cy="2406650"/>
                <wp:effectExtent l="0" t="0" r="19050" b="31750"/>
                <wp:wrapNone/>
                <wp:docPr id="1" name="Conector recto 1"/>
                <wp:cNvGraphicFramePr/>
                <a:graphic xmlns:a="http://schemas.openxmlformats.org/drawingml/2006/main">
                  <a:graphicData uri="http://schemas.microsoft.com/office/word/2010/wordprocessingShape">
                    <wps:wsp>
                      <wps:cNvCnPr/>
                      <wps:spPr>
                        <a:xfrm>
                          <a:off x="0" y="0"/>
                          <a:ext cx="5486400" cy="2406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6B4D2"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3.8pt" to="432.45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" strokecolor="black [3200]" strokeweight=".5pt">
                <v:stroke joinstyle="miter"/>
              </v:line>
            </w:pict>
          </mc:Fallback>
        </mc:AlternateContent>
      </w:r>
    </w:p>
    <w:p w:rsidR="00FC71CA" w:rsidRPr="00DC2A65" w:rsidRDefault="00FC71CA" w:rsidP="008E1E4F">
      <w:pPr>
        <w:spacing w:before="240" w:after="240" w:line="360" w:lineRule="auto"/>
        <w:jc w:val="both"/>
        <w:rPr>
          <w:rFonts w:ascii="Palatino Linotype" w:hAnsi="Palatino Linotype"/>
          <w:lang w:val="es-ES_tradnl"/>
        </w:rPr>
      </w:pPr>
    </w:p>
    <w:p w:rsidR="00FC71CA" w:rsidRPr="00DC2A65" w:rsidRDefault="00FC71CA" w:rsidP="008E1E4F">
      <w:pPr>
        <w:spacing w:before="240" w:after="240" w:line="360" w:lineRule="auto"/>
        <w:jc w:val="both"/>
        <w:rPr>
          <w:rFonts w:ascii="Palatino Linotype" w:hAnsi="Palatino Linotype"/>
          <w:lang w:val="es-ES_tradnl"/>
        </w:rPr>
      </w:pPr>
    </w:p>
    <w:p w:rsidR="00FC71CA" w:rsidRPr="00DC2A65" w:rsidRDefault="00FC71CA" w:rsidP="008E1E4F">
      <w:pPr>
        <w:spacing w:before="240" w:after="240" w:line="360" w:lineRule="auto"/>
        <w:jc w:val="both"/>
        <w:rPr>
          <w:rFonts w:ascii="Palatino Linotype" w:hAnsi="Palatino Linotype"/>
          <w:lang w:val="es-ES_tradnl"/>
        </w:rPr>
      </w:pPr>
    </w:p>
    <w:p w:rsidR="00FC71CA" w:rsidRPr="00DC2A65" w:rsidRDefault="00FC71CA" w:rsidP="008E1E4F">
      <w:pPr>
        <w:spacing w:before="240" w:after="240" w:line="360" w:lineRule="auto"/>
        <w:jc w:val="both"/>
        <w:rPr>
          <w:rFonts w:ascii="Palatino Linotype" w:hAnsi="Palatino Linotype"/>
          <w:lang w:val="es-ES_tradnl"/>
        </w:rPr>
      </w:pPr>
    </w:p>
    <w:p w:rsidR="00930475" w:rsidRPr="00DC2A65" w:rsidRDefault="00930475" w:rsidP="008E1E4F">
      <w:pPr>
        <w:spacing w:before="240" w:after="240" w:line="360" w:lineRule="auto"/>
        <w:jc w:val="both"/>
        <w:rPr>
          <w:rFonts w:ascii="Palatino Linotype" w:hAnsi="Palatino Linotype"/>
          <w:lang w:val="es-ES_tradnl"/>
        </w:rPr>
      </w:pPr>
    </w:p>
    <w:p w:rsidR="00FC71CA" w:rsidRPr="00DC2A65" w:rsidRDefault="00FC71CA" w:rsidP="008E1E4F">
      <w:pPr>
        <w:spacing w:before="240" w:after="240" w:line="360" w:lineRule="auto"/>
        <w:jc w:val="both"/>
        <w:rPr>
          <w:rFonts w:ascii="Palatino Linotype" w:hAnsi="Palatino Linotype"/>
          <w:lang w:val="es-ES_tradnl"/>
        </w:rPr>
      </w:pPr>
    </w:p>
    <w:bookmarkEnd w:id="0"/>
    <w:p w:rsidR="00333841" w:rsidRPr="00DC2A65" w:rsidRDefault="00333841" w:rsidP="00C91589">
      <w:pPr>
        <w:spacing w:before="240" w:after="240" w:line="276" w:lineRule="auto"/>
        <w:jc w:val="center"/>
        <w:rPr>
          <w:rFonts w:ascii="Palatino Linotype" w:hAnsi="Palatino Linotype"/>
          <w:sz w:val="28"/>
          <w:szCs w:val="28"/>
          <w:lang w:val="es-ES_tradnl"/>
        </w:rPr>
      </w:pPr>
      <w:r w:rsidRPr="00DC2A65">
        <w:rPr>
          <w:rFonts w:ascii="Palatino Linotype" w:hAnsi="Palatino Linotype"/>
          <w:b/>
          <w:sz w:val="28"/>
          <w:szCs w:val="28"/>
          <w:lang w:val="es-ES_tradnl"/>
        </w:rPr>
        <w:lastRenderedPageBreak/>
        <w:t>Índice</w:t>
      </w:r>
      <w:r w:rsidRPr="00DC2A65">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DC2A65" w:rsidRDefault="00333841" w:rsidP="00C91589">
          <w:pPr>
            <w:pStyle w:val="TtuloTDC"/>
            <w:spacing w:line="276" w:lineRule="auto"/>
            <w:jc w:val="both"/>
            <w:rPr>
              <w:rFonts w:ascii="Palatino Linotype" w:hAnsi="Palatino Linotype"/>
              <w:color w:val="auto"/>
              <w:sz w:val="28"/>
              <w:szCs w:val="28"/>
              <w:lang w:val="es-ES_tradnl"/>
            </w:rPr>
          </w:pPr>
        </w:p>
        <w:p w:rsidR="005B4E09" w:rsidRPr="00DC2A65" w:rsidRDefault="00333841"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r w:rsidRPr="00DC2A65">
            <w:rPr>
              <w:rFonts w:ascii="Palatino Linotype" w:hAnsi="Palatino Linotype"/>
              <w:lang w:val="es-ES_tradnl"/>
            </w:rPr>
            <w:fldChar w:fldCharType="begin"/>
          </w:r>
          <w:r w:rsidRPr="00DC2A65">
            <w:rPr>
              <w:rFonts w:ascii="Palatino Linotype" w:hAnsi="Palatino Linotype"/>
              <w:lang w:val="es-ES_tradnl"/>
            </w:rPr>
            <w:instrText xml:space="preserve"> TOC \o "1-3" \h \z \u </w:instrText>
          </w:r>
          <w:r w:rsidRPr="00DC2A65">
            <w:rPr>
              <w:rFonts w:ascii="Palatino Linotype" w:hAnsi="Palatino Linotype"/>
              <w:lang w:val="es-ES_tradnl"/>
            </w:rPr>
            <w:fldChar w:fldCharType="separate"/>
          </w:r>
          <w:hyperlink w:anchor="_Toc64442692" w:history="1">
            <w:r w:rsidR="005B4E09" w:rsidRPr="00DC2A65">
              <w:rPr>
                <w:rStyle w:val="Hipervnculo"/>
                <w:rFonts w:ascii="Palatino Linotype" w:eastAsiaTheme="minorEastAsia" w:hAnsi="Palatino Linotype"/>
                <w:b/>
                <w:noProof/>
                <w:lang w:val="es-ES_tradnl"/>
              </w:rPr>
              <w:t>ANTECEDENTES</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_Toc64442692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4</w:t>
            </w:r>
            <w:r w:rsidR="005B4E09" w:rsidRPr="00DC2A65">
              <w:rPr>
                <w:rFonts w:ascii="Palatino Linotype" w:hAnsi="Palatino Linotype"/>
                <w:noProof/>
                <w:webHidden/>
              </w:rPr>
              <w:fldChar w:fldCharType="end"/>
            </w:r>
          </w:hyperlink>
        </w:p>
        <w:p w:rsidR="005B4E09" w:rsidRPr="00DC2A65" w:rsidRDefault="00FE2841"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hyperlink w:anchor="_Toc64442696" w:history="1">
            <w:r w:rsidR="005B4E09" w:rsidRPr="00DC2A65">
              <w:rPr>
                <w:rStyle w:val="Hipervnculo"/>
                <w:rFonts w:ascii="Palatino Linotype" w:eastAsiaTheme="minorEastAsia" w:hAnsi="Palatino Linotype"/>
                <w:b/>
                <w:noProof/>
                <w:lang w:val="es-ES_tradnl"/>
              </w:rPr>
              <w:t>CONSIDERANDO</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_Toc64442696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18</w:t>
            </w:r>
            <w:r w:rsidR="005B4E09" w:rsidRPr="00DC2A65">
              <w:rPr>
                <w:rFonts w:ascii="Palatino Linotype" w:hAnsi="Palatino Linotype"/>
                <w:noProof/>
                <w:webHidden/>
              </w:rPr>
              <w:fldChar w:fldCharType="end"/>
            </w:r>
          </w:hyperlink>
        </w:p>
        <w:p w:rsidR="005B4E09" w:rsidRPr="00DC2A65" w:rsidRDefault="00FE2841" w:rsidP="005B4E09">
          <w:pPr>
            <w:pStyle w:val="TDC2"/>
            <w:spacing w:before="120" w:after="120"/>
            <w:rPr>
              <w:rFonts w:ascii="Palatino Linotype" w:eastAsiaTheme="minorEastAsia" w:hAnsi="Palatino Linotype" w:cstheme="minorBidi"/>
              <w:noProof/>
              <w:sz w:val="22"/>
              <w:szCs w:val="22"/>
              <w:lang w:val="es-MX" w:eastAsia="es-MX"/>
            </w:rPr>
          </w:pPr>
          <w:hyperlink w:anchor="_Toc64442697" w:history="1">
            <w:r w:rsidR="005B4E09" w:rsidRPr="00DC2A65">
              <w:rPr>
                <w:rStyle w:val="Hipervnculo"/>
                <w:rFonts w:ascii="Palatino Linotype" w:eastAsiaTheme="minorEastAsia" w:hAnsi="Palatino Linotype"/>
                <w:b/>
                <w:noProof/>
                <w:lang w:val="es-ES_tradnl"/>
              </w:rPr>
              <w:t>PRIMERO. Atribuciones del INAI</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_Toc64442697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18</w:t>
            </w:r>
            <w:r w:rsidR="005B4E09" w:rsidRPr="00DC2A65">
              <w:rPr>
                <w:rFonts w:ascii="Palatino Linotype" w:hAnsi="Palatino Linotype"/>
                <w:noProof/>
                <w:webHidden/>
              </w:rPr>
              <w:fldChar w:fldCharType="end"/>
            </w:r>
          </w:hyperlink>
        </w:p>
        <w:p w:rsidR="005B4E09" w:rsidRPr="00DC2A65" w:rsidRDefault="00FE2841" w:rsidP="005B4E09">
          <w:pPr>
            <w:pStyle w:val="TDC2"/>
            <w:spacing w:before="120" w:after="120"/>
            <w:rPr>
              <w:rFonts w:ascii="Palatino Linotype" w:eastAsiaTheme="minorEastAsia" w:hAnsi="Palatino Linotype" w:cstheme="minorBidi"/>
              <w:noProof/>
              <w:sz w:val="22"/>
              <w:szCs w:val="22"/>
              <w:lang w:val="es-MX" w:eastAsia="es-MX"/>
            </w:rPr>
          </w:pPr>
          <w:hyperlink w:anchor="_Toc64442698" w:history="1">
            <w:r w:rsidR="005B4E09" w:rsidRPr="00DC2A65">
              <w:rPr>
                <w:rStyle w:val="Hipervnculo"/>
                <w:rFonts w:ascii="Palatino Linotype" w:eastAsiaTheme="minorEastAsia" w:hAnsi="Palatino Linotype"/>
                <w:b/>
                <w:noProof/>
                <w:lang w:val="es-ES_tradnl"/>
              </w:rPr>
              <w:t>SEGUNDO. Resolución y efectos</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_Toc64442698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18</w:t>
            </w:r>
            <w:r w:rsidR="005B4E09" w:rsidRPr="00DC2A65">
              <w:rPr>
                <w:rFonts w:ascii="Palatino Linotype" w:hAnsi="Palatino Linotype"/>
                <w:noProof/>
                <w:webHidden/>
              </w:rPr>
              <w:fldChar w:fldCharType="end"/>
            </w:r>
          </w:hyperlink>
        </w:p>
        <w:p w:rsidR="005B4E09" w:rsidRPr="00DC2A65" w:rsidRDefault="00FE2841" w:rsidP="005B4E09">
          <w:pPr>
            <w:pStyle w:val="TDC1"/>
            <w:spacing w:before="120" w:after="120" w:line="480" w:lineRule="auto"/>
            <w:rPr>
              <w:rFonts w:ascii="Palatino Linotype" w:eastAsiaTheme="minorEastAsia" w:hAnsi="Palatino Linotype" w:cstheme="minorBidi"/>
              <w:noProof/>
              <w:sz w:val="22"/>
              <w:szCs w:val="22"/>
              <w:lang w:val="es-MX" w:eastAsia="es-MX"/>
            </w:rPr>
          </w:pPr>
          <w:hyperlink w:anchor="_Toc64442699" w:history="1">
            <w:r w:rsidR="005B4E09" w:rsidRPr="00DC2A65">
              <w:rPr>
                <w:rStyle w:val="Hipervnculo"/>
                <w:rFonts w:ascii="Palatino Linotype" w:eastAsiaTheme="minorEastAsia" w:hAnsi="Palatino Linotype"/>
                <w:b/>
                <w:noProof/>
                <w:lang w:val="es-ES_tradnl"/>
              </w:rPr>
              <w:t>TERCERO. Consideraciones de especial pronunciamiento</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_Toc64442699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19</w:t>
            </w:r>
            <w:r w:rsidR="005B4E09" w:rsidRPr="00DC2A65">
              <w:rPr>
                <w:rFonts w:ascii="Palatino Linotype" w:hAnsi="Palatino Linotype"/>
                <w:noProof/>
                <w:webHidden/>
              </w:rPr>
              <w:fldChar w:fldCharType="end"/>
            </w:r>
          </w:hyperlink>
        </w:p>
        <w:p w:rsidR="005B4E09" w:rsidRPr="00DC2A65" w:rsidRDefault="00FE2841" w:rsidP="005B4E09">
          <w:pPr>
            <w:pStyle w:val="TDC1"/>
            <w:spacing w:before="120" w:after="120" w:line="480" w:lineRule="auto"/>
            <w:rPr>
              <w:rFonts w:ascii="Palatino Linotype" w:eastAsiaTheme="minorEastAsia" w:hAnsi="Palatino Linotype" w:cstheme="minorBidi"/>
              <w:noProof/>
              <w:sz w:val="22"/>
              <w:szCs w:val="22"/>
              <w:lang w:val="es-MX" w:eastAsia="es-MX"/>
            </w:rPr>
          </w:pPr>
          <w:hyperlink w:anchor="_Toc64442700" w:history="1">
            <w:r w:rsidR="005B4E09" w:rsidRPr="00DC2A65">
              <w:rPr>
                <w:rStyle w:val="Hipervnculo"/>
                <w:rFonts w:ascii="Palatino Linotype" w:eastAsiaTheme="minorEastAsia" w:hAnsi="Palatino Linotype"/>
                <w:b/>
                <w:noProof/>
                <w:shd w:val="clear" w:color="auto" w:fill="FFFFFF"/>
              </w:rPr>
              <w:t xml:space="preserve">CUARTO. Cumplimiento al Recurso de Inconformidad </w:t>
            </w:r>
            <w:r w:rsidR="008F01C9" w:rsidRPr="00DC2A65">
              <w:rPr>
                <w:rStyle w:val="Hipervnculo"/>
                <w:rFonts w:ascii="Palatino Linotype" w:eastAsiaTheme="minorEastAsia" w:hAnsi="Palatino Linotype"/>
                <w:b/>
                <w:noProof/>
                <w:shd w:val="clear" w:color="auto" w:fill="FFFFFF"/>
              </w:rPr>
              <w:t>181/20</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_Toc64442700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81</w:t>
            </w:r>
            <w:r w:rsidR="005B4E09" w:rsidRPr="00DC2A65">
              <w:rPr>
                <w:rFonts w:ascii="Palatino Linotype" w:hAnsi="Palatino Linotype"/>
                <w:noProof/>
                <w:webHidden/>
              </w:rPr>
              <w:fldChar w:fldCharType="end"/>
            </w:r>
          </w:hyperlink>
        </w:p>
        <w:p w:rsidR="005B4E09" w:rsidRPr="00DC2A65" w:rsidRDefault="00FE2841" w:rsidP="005B4E09">
          <w:pPr>
            <w:pStyle w:val="TDC2"/>
            <w:spacing w:before="120" w:after="120"/>
            <w:rPr>
              <w:rFonts w:ascii="Palatino Linotype" w:eastAsiaTheme="minorEastAsia" w:hAnsi="Palatino Linotype" w:cstheme="minorBidi"/>
              <w:noProof/>
              <w:sz w:val="22"/>
              <w:szCs w:val="22"/>
              <w:lang w:val="es-MX" w:eastAsia="es-MX"/>
            </w:rPr>
          </w:pPr>
          <w:hyperlink w:anchor="_Toc64442701" w:history="1">
            <w:r w:rsidR="005B4E09" w:rsidRPr="00DC2A65">
              <w:rPr>
                <w:rStyle w:val="Hipervnculo"/>
                <w:rFonts w:ascii="Palatino Linotype" w:eastAsiaTheme="minorEastAsia" w:hAnsi="Palatino Linotype"/>
                <w:b/>
                <w:noProof/>
              </w:rPr>
              <w:t>QUINTO. De la versión pública.</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_Toc64442701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82</w:t>
            </w:r>
            <w:r w:rsidR="005B4E09" w:rsidRPr="00DC2A65">
              <w:rPr>
                <w:rFonts w:ascii="Palatino Linotype" w:hAnsi="Palatino Linotype"/>
                <w:noProof/>
                <w:webHidden/>
              </w:rPr>
              <w:fldChar w:fldCharType="end"/>
            </w:r>
          </w:hyperlink>
        </w:p>
        <w:p w:rsidR="005B4E09" w:rsidRPr="00DC2A65" w:rsidRDefault="00FE2841"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hyperlink w:anchor="_Toc64442703" w:history="1">
            <w:r w:rsidR="005B4E09" w:rsidRPr="00DC2A65">
              <w:rPr>
                <w:rStyle w:val="Hipervnculo"/>
                <w:rFonts w:ascii="Palatino Linotype" w:eastAsia="Calibri" w:hAnsi="Palatino Linotype"/>
                <w:b/>
                <w:noProof/>
                <w:lang w:val="es-ES_tradnl" w:eastAsia="es-ES"/>
              </w:rPr>
              <w:t>R E S O L U T I V O S</w:t>
            </w:r>
            <w:r w:rsidR="005B4E09" w:rsidRPr="00DC2A65">
              <w:rPr>
                <w:rFonts w:ascii="Palatino Linotype" w:hAnsi="Palatino Linotype"/>
                <w:noProof/>
                <w:webHidden/>
              </w:rPr>
              <w:tab/>
            </w:r>
            <w:r w:rsidR="005B4E09" w:rsidRPr="00DC2A65">
              <w:rPr>
                <w:rFonts w:ascii="Palatino Linotype" w:hAnsi="Palatino Linotype"/>
                <w:noProof/>
                <w:webHidden/>
              </w:rPr>
              <w:fldChar w:fldCharType="begin"/>
            </w:r>
            <w:r w:rsidR="005B4E09" w:rsidRPr="00DC2A65">
              <w:rPr>
                <w:rFonts w:ascii="Palatino Linotype" w:hAnsi="Palatino Linotype"/>
                <w:noProof/>
                <w:webHidden/>
              </w:rPr>
              <w:instrText xml:space="preserve"> PAGEREF _Toc64442703 \h </w:instrText>
            </w:r>
            <w:r w:rsidR="005B4E09" w:rsidRPr="00DC2A65">
              <w:rPr>
                <w:rFonts w:ascii="Palatino Linotype" w:hAnsi="Palatino Linotype"/>
                <w:noProof/>
                <w:webHidden/>
              </w:rPr>
            </w:r>
            <w:r w:rsidR="005B4E09" w:rsidRPr="00DC2A65">
              <w:rPr>
                <w:rFonts w:ascii="Palatino Linotype" w:hAnsi="Palatino Linotype"/>
                <w:noProof/>
                <w:webHidden/>
              </w:rPr>
              <w:fldChar w:fldCharType="separate"/>
            </w:r>
            <w:r w:rsidR="00F06531" w:rsidRPr="00DC2A65">
              <w:rPr>
                <w:rFonts w:ascii="Palatino Linotype" w:hAnsi="Palatino Linotype"/>
                <w:noProof/>
                <w:webHidden/>
              </w:rPr>
              <w:t>92</w:t>
            </w:r>
            <w:r w:rsidR="005B4E09" w:rsidRPr="00DC2A65">
              <w:rPr>
                <w:rFonts w:ascii="Palatino Linotype" w:hAnsi="Palatino Linotype"/>
                <w:noProof/>
                <w:webHidden/>
              </w:rPr>
              <w:fldChar w:fldCharType="end"/>
            </w:r>
          </w:hyperlink>
        </w:p>
        <w:p w:rsidR="007F4FAB" w:rsidRPr="00DC2A65" w:rsidRDefault="00335E91" w:rsidP="005B4E09">
          <w:pPr>
            <w:spacing w:before="120" w:after="120" w:line="480" w:lineRule="auto"/>
            <w:jc w:val="both"/>
            <w:rPr>
              <w:rFonts w:ascii="Palatino Linotype" w:hAnsi="Palatino Linotype"/>
              <w:b/>
              <w:bCs/>
              <w:lang w:val="es-ES_tradnl"/>
            </w:rPr>
          </w:pPr>
          <w:r w:rsidRPr="00DC2A65">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7C0C3229" wp14:editId="7AED3EE9">
                    <wp:simplePos x="0" y="0"/>
                    <wp:positionH relativeFrom="column">
                      <wp:posOffset>17145</wp:posOffset>
                    </wp:positionH>
                    <wp:positionV relativeFrom="paragraph">
                      <wp:posOffset>205765</wp:posOffset>
                    </wp:positionV>
                    <wp:extent cx="5683910" cy="1806855"/>
                    <wp:effectExtent l="0" t="0" r="31115" b="22225"/>
                    <wp:wrapNone/>
                    <wp:docPr id="6" name="Conector recto 6"/>
                    <wp:cNvGraphicFramePr/>
                    <a:graphic xmlns:a="http://schemas.openxmlformats.org/drawingml/2006/main">
                      <a:graphicData uri="http://schemas.microsoft.com/office/word/2010/wordprocessingShape">
                        <wps:wsp>
                          <wps:cNvCnPr/>
                          <wps:spPr>
                            <a:xfrm>
                              <a:off x="0" y="0"/>
                              <a:ext cx="5683910" cy="180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E7C5A"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2pt" to="448.9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" strokecolor="black [3200]" strokeweight=".5pt">
                    <v:stroke joinstyle="miter"/>
                  </v:line>
                </w:pict>
              </mc:Fallback>
            </mc:AlternateContent>
          </w:r>
          <w:r w:rsidR="00333841" w:rsidRPr="00DC2A65">
            <w:rPr>
              <w:rFonts w:ascii="Palatino Linotype" w:hAnsi="Palatino Linotype"/>
              <w:b/>
              <w:bCs/>
              <w:lang w:val="es-ES_tradnl"/>
            </w:rPr>
            <w:fldChar w:fldCharType="end"/>
          </w:r>
        </w:p>
      </w:sdtContent>
    </w:sdt>
    <w:p w:rsidR="00055959" w:rsidRPr="00DC2A65" w:rsidRDefault="00055959" w:rsidP="008E1E4F">
      <w:pPr>
        <w:spacing w:line="360" w:lineRule="auto"/>
        <w:jc w:val="both"/>
        <w:rPr>
          <w:rFonts w:ascii="Palatino Linotype" w:hAnsi="Palatino Linotype"/>
          <w:lang w:val="es-ES_tradnl"/>
        </w:rPr>
      </w:pPr>
    </w:p>
    <w:p w:rsidR="00055959" w:rsidRPr="00DC2A65" w:rsidRDefault="00055959" w:rsidP="008E1E4F">
      <w:pPr>
        <w:spacing w:line="360" w:lineRule="auto"/>
        <w:jc w:val="both"/>
        <w:rPr>
          <w:rFonts w:ascii="Palatino Linotype" w:hAnsi="Palatino Linotype"/>
          <w:lang w:val="es-ES_tradnl"/>
        </w:rPr>
      </w:pPr>
    </w:p>
    <w:p w:rsidR="00055959" w:rsidRPr="00DC2A65" w:rsidRDefault="00055959" w:rsidP="008E1E4F">
      <w:pPr>
        <w:spacing w:line="360" w:lineRule="auto"/>
        <w:jc w:val="both"/>
        <w:rPr>
          <w:rFonts w:ascii="Palatino Linotype" w:hAnsi="Palatino Linotype"/>
          <w:lang w:val="es-ES_tradnl"/>
        </w:rPr>
      </w:pPr>
    </w:p>
    <w:p w:rsidR="00055959" w:rsidRPr="00DC2A65" w:rsidRDefault="00055959" w:rsidP="008E1E4F">
      <w:pPr>
        <w:spacing w:line="360" w:lineRule="auto"/>
        <w:jc w:val="both"/>
        <w:rPr>
          <w:rFonts w:ascii="Palatino Linotype" w:hAnsi="Palatino Linotype"/>
          <w:lang w:val="es-ES_tradnl"/>
        </w:rPr>
      </w:pPr>
    </w:p>
    <w:p w:rsidR="00333841" w:rsidRPr="00DC2A65" w:rsidRDefault="00333841" w:rsidP="008E1E4F">
      <w:pPr>
        <w:spacing w:line="360" w:lineRule="auto"/>
        <w:jc w:val="both"/>
        <w:rPr>
          <w:rFonts w:ascii="Palatino Linotype" w:hAnsi="Palatino Linotype"/>
          <w:lang w:val="es-ES_tradnl"/>
        </w:rPr>
      </w:pPr>
      <w:r w:rsidRPr="00DC2A65">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3029AF" w:rsidRPr="00DC2A65">
        <w:rPr>
          <w:rFonts w:ascii="Palatino Linotype" w:hAnsi="Palatino Linotype"/>
          <w:lang w:val="es-ES_tradnl"/>
        </w:rPr>
        <w:t>veinticuatro</w:t>
      </w:r>
      <w:r w:rsidR="008A6E0E" w:rsidRPr="00DC2A65">
        <w:rPr>
          <w:rFonts w:ascii="Palatino Linotype" w:hAnsi="Palatino Linotype"/>
          <w:lang w:val="es-ES_tradnl"/>
        </w:rPr>
        <w:t xml:space="preserve"> (</w:t>
      </w:r>
      <w:r w:rsidR="003029AF" w:rsidRPr="00DC2A65">
        <w:rPr>
          <w:rFonts w:ascii="Palatino Linotype" w:hAnsi="Palatino Linotype"/>
          <w:lang w:val="es-ES_tradnl"/>
        </w:rPr>
        <w:t>24</w:t>
      </w:r>
      <w:r w:rsidR="00744368" w:rsidRPr="00DC2A65">
        <w:rPr>
          <w:rFonts w:ascii="Palatino Linotype" w:hAnsi="Palatino Linotype"/>
          <w:lang w:val="es-ES_tradnl"/>
        </w:rPr>
        <w:t xml:space="preserve">) de febrero de </w:t>
      </w:r>
      <w:r w:rsidR="00874766" w:rsidRPr="00DC2A65">
        <w:rPr>
          <w:rFonts w:ascii="Palatino Linotype" w:hAnsi="Palatino Linotype"/>
          <w:lang w:val="es-ES_tradnl"/>
        </w:rPr>
        <w:t>dos mil veintiuno.</w:t>
      </w:r>
    </w:p>
    <w:p w:rsidR="00333841" w:rsidRPr="00DC2A65" w:rsidRDefault="001E4363" w:rsidP="008E1E4F">
      <w:pPr>
        <w:spacing w:before="240" w:after="360" w:line="360" w:lineRule="auto"/>
        <w:jc w:val="both"/>
        <w:rPr>
          <w:rFonts w:ascii="Palatino Linotype" w:hAnsi="Palatino Linotype" w:cs="Arial"/>
          <w:b/>
          <w:bCs/>
          <w:lang w:val="es-ES_tradnl"/>
        </w:rPr>
      </w:pPr>
      <w:r w:rsidRPr="00DC2A65">
        <w:rPr>
          <w:rFonts w:ascii="Palatino Linotype" w:hAnsi="Palatino Linotype"/>
          <w:lang w:val="es-ES_tradnl"/>
        </w:rPr>
        <w:t xml:space="preserve">Visto </w:t>
      </w:r>
      <w:r w:rsidR="001E023E" w:rsidRPr="00DC2A65">
        <w:rPr>
          <w:rFonts w:ascii="Palatino Linotype" w:hAnsi="Palatino Linotype"/>
          <w:color w:val="000000" w:themeColor="text1"/>
          <w:lang w:val="es-ES_tradnl"/>
        </w:rPr>
        <w:t xml:space="preserve">el expediente formado con motivo </w:t>
      </w:r>
      <w:r w:rsidR="003029AF" w:rsidRPr="00DC2A65">
        <w:rPr>
          <w:rFonts w:ascii="Palatino Linotype" w:hAnsi="Palatino Linotype"/>
        </w:rPr>
        <w:t xml:space="preserve">de los recursos de revisión acumulados </w:t>
      </w:r>
      <w:r w:rsidR="00930475" w:rsidRPr="00DC2A65">
        <w:rPr>
          <w:rFonts w:ascii="Palatino Linotype" w:hAnsi="Palatino Linotype"/>
          <w:b/>
        </w:rPr>
        <w:t>03038/INFOEM/IP/RR/2020, 03039/INFOEM/IP/RR/2020 y 03040/INFOEM/IP/RR/2020</w:t>
      </w:r>
      <w:r w:rsidR="001E023E" w:rsidRPr="00DC2A65">
        <w:rPr>
          <w:rFonts w:ascii="Palatino Linotype" w:hAnsi="Palatino Linotype"/>
          <w:color w:val="000000" w:themeColor="text1"/>
          <w:lang w:val="es-ES_tradnl"/>
        </w:rPr>
        <w:t>, promovido</w:t>
      </w:r>
      <w:r w:rsidR="003029AF" w:rsidRPr="00DC2A65">
        <w:rPr>
          <w:rFonts w:ascii="Palatino Linotype" w:hAnsi="Palatino Linotype"/>
          <w:color w:val="000000" w:themeColor="text1"/>
          <w:lang w:val="es-ES_tradnl"/>
        </w:rPr>
        <w:t>s</w:t>
      </w:r>
      <w:r w:rsidR="00055959" w:rsidRPr="00DC2A65">
        <w:rPr>
          <w:rFonts w:ascii="Palatino Linotype" w:hAnsi="Palatino Linotype"/>
          <w:color w:val="000000" w:themeColor="text1"/>
          <w:lang w:val="es-ES_tradnl"/>
        </w:rPr>
        <w:t xml:space="preserve"> por</w:t>
      </w:r>
      <w:r w:rsidR="001E023E" w:rsidRPr="00DC2A65">
        <w:rPr>
          <w:rFonts w:ascii="Palatino Linotype" w:hAnsi="Palatino Linotype"/>
          <w:color w:val="000000" w:themeColor="text1"/>
          <w:lang w:val="es-ES_tradnl"/>
        </w:rPr>
        <w:t xml:space="preserve"> </w:t>
      </w:r>
      <w:r w:rsidR="00FE2841" w:rsidRPr="00FE2841">
        <w:rPr>
          <w:rFonts w:ascii="Palatino Linotype" w:hAnsi="Palatino Linotype"/>
          <w:b/>
          <w:highlight w:val="black"/>
        </w:rPr>
        <w:t>----------------</w:t>
      </w:r>
      <w:r w:rsidR="00FE2841">
        <w:rPr>
          <w:rFonts w:ascii="Palatino Linotype" w:hAnsi="Palatino Linotype"/>
          <w:b/>
          <w:highlight w:val="black"/>
        </w:rPr>
        <w:t>--</w:t>
      </w:r>
      <w:bookmarkStart w:id="1" w:name="_GoBack"/>
      <w:bookmarkEnd w:id="1"/>
      <w:r w:rsidR="00FE2841" w:rsidRPr="00FE2841">
        <w:rPr>
          <w:rFonts w:ascii="Palatino Linotype" w:hAnsi="Palatino Linotype"/>
          <w:b/>
          <w:highlight w:val="black"/>
        </w:rPr>
        <w:t>-------------------</w:t>
      </w:r>
      <w:r w:rsidR="001E023E" w:rsidRPr="00DC2A65">
        <w:rPr>
          <w:rFonts w:ascii="Palatino Linotype" w:hAnsi="Palatino Linotype"/>
          <w:color w:val="000000" w:themeColor="text1"/>
          <w:lang w:val="es-ES_tradnl"/>
        </w:rPr>
        <w:t xml:space="preserve">, </w:t>
      </w:r>
      <w:r w:rsidR="001E023E" w:rsidRPr="00DC2A65">
        <w:rPr>
          <w:rFonts w:ascii="Palatino Linotype" w:hAnsi="Palatino Linotype" w:cs="Arial"/>
          <w:color w:val="000000" w:themeColor="text1"/>
          <w:lang w:val="es-ES_tradnl"/>
        </w:rPr>
        <w:t>en lo sucesivo</w:t>
      </w:r>
      <w:r w:rsidR="001E023E" w:rsidRPr="00DC2A65">
        <w:rPr>
          <w:rFonts w:ascii="Palatino Linotype" w:hAnsi="Palatino Linotype" w:cs="Arial"/>
          <w:b/>
          <w:color w:val="000000" w:themeColor="text1"/>
          <w:lang w:val="es-ES_tradnl"/>
        </w:rPr>
        <w:t xml:space="preserve"> LA RECURRENTE,</w:t>
      </w:r>
      <w:r w:rsidR="001E023E" w:rsidRPr="00DC2A65">
        <w:rPr>
          <w:rFonts w:ascii="Palatino Linotype" w:hAnsi="Palatino Linotype"/>
          <w:color w:val="000000" w:themeColor="text1"/>
          <w:lang w:val="es-ES_tradnl"/>
        </w:rPr>
        <w:t xml:space="preserve"> en contra de la</w:t>
      </w:r>
      <w:r w:rsidR="00055959" w:rsidRPr="00DC2A65">
        <w:rPr>
          <w:rFonts w:ascii="Palatino Linotype" w:hAnsi="Palatino Linotype"/>
          <w:color w:val="000000" w:themeColor="text1"/>
          <w:lang w:val="es-ES_tradnl"/>
        </w:rPr>
        <w:t>s</w:t>
      </w:r>
      <w:r w:rsidR="001E023E" w:rsidRPr="00DC2A65">
        <w:rPr>
          <w:rFonts w:ascii="Palatino Linotype" w:hAnsi="Palatino Linotype"/>
          <w:color w:val="000000" w:themeColor="text1"/>
          <w:lang w:val="es-ES_tradnl"/>
        </w:rPr>
        <w:t xml:space="preserve"> respuesta</w:t>
      </w:r>
      <w:r w:rsidR="00055959" w:rsidRPr="00DC2A65">
        <w:rPr>
          <w:rFonts w:ascii="Palatino Linotype" w:hAnsi="Palatino Linotype"/>
          <w:color w:val="000000" w:themeColor="text1"/>
          <w:lang w:val="es-ES_tradnl"/>
        </w:rPr>
        <w:t>s</w:t>
      </w:r>
      <w:r w:rsidR="001E023E" w:rsidRPr="00DC2A65">
        <w:rPr>
          <w:rFonts w:ascii="Palatino Linotype" w:hAnsi="Palatino Linotype"/>
          <w:color w:val="000000" w:themeColor="text1"/>
          <w:lang w:val="es-ES_tradnl"/>
        </w:rPr>
        <w:t xml:space="preserve"> emitida</w:t>
      </w:r>
      <w:r w:rsidR="00055959" w:rsidRPr="00DC2A65">
        <w:rPr>
          <w:rFonts w:ascii="Palatino Linotype" w:hAnsi="Palatino Linotype"/>
          <w:color w:val="000000" w:themeColor="text1"/>
          <w:lang w:val="es-ES_tradnl"/>
        </w:rPr>
        <w:t>s</w:t>
      </w:r>
      <w:r w:rsidR="001E023E" w:rsidRPr="00DC2A65">
        <w:rPr>
          <w:rFonts w:ascii="Palatino Linotype" w:hAnsi="Palatino Linotype"/>
          <w:color w:val="000000" w:themeColor="text1"/>
          <w:lang w:val="es-ES_tradnl"/>
        </w:rPr>
        <w:t xml:space="preserve"> por el </w:t>
      </w:r>
      <w:r w:rsidR="001E023E" w:rsidRPr="00DC2A65">
        <w:rPr>
          <w:rFonts w:ascii="Palatino Linotype" w:hAnsi="Palatino Linotype"/>
          <w:b/>
          <w:color w:val="000000" w:themeColor="text1"/>
          <w:lang w:val="es-ES_tradnl"/>
        </w:rPr>
        <w:t xml:space="preserve">Ayuntamiento de Ixtapan de la Sal, </w:t>
      </w:r>
      <w:r w:rsidR="001E023E" w:rsidRPr="00DC2A65">
        <w:rPr>
          <w:rFonts w:ascii="Palatino Linotype" w:hAnsi="Palatino Linotype"/>
          <w:color w:val="000000" w:themeColor="text1"/>
          <w:lang w:val="es-ES_tradnl"/>
        </w:rPr>
        <w:t xml:space="preserve">en lo sucesivo </w:t>
      </w:r>
      <w:r w:rsidR="001E023E" w:rsidRPr="00DC2A65">
        <w:rPr>
          <w:rFonts w:ascii="Palatino Linotype" w:hAnsi="Palatino Linotype"/>
          <w:b/>
          <w:color w:val="000000" w:themeColor="text1"/>
          <w:lang w:val="es-ES_tradnl"/>
        </w:rPr>
        <w:t>EL SUJETO OBLIGADO</w:t>
      </w:r>
      <w:r w:rsidR="001E023E" w:rsidRPr="00DC2A65">
        <w:rPr>
          <w:rFonts w:ascii="Palatino Linotype" w:hAnsi="Palatino Linotype"/>
          <w:color w:val="000000" w:themeColor="text1"/>
          <w:lang w:val="es-ES_tradnl"/>
        </w:rPr>
        <w:t xml:space="preserve">, se procede a dictar la presente resolución, </w:t>
      </w:r>
      <w:r w:rsidR="001E023E" w:rsidRPr="00DC2A65">
        <w:rPr>
          <w:rStyle w:val="Ninguno"/>
          <w:rFonts w:ascii="Palatino Linotype" w:eastAsia="Palatino Linotype" w:hAnsi="Palatino Linotype" w:cs="Palatino Linotype"/>
        </w:rPr>
        <w:t xml:space="preserve">en cumplimiento al fallo emitido en fecha </w:t>
      </w:r>
      <w:r w:rsidR="0068544A" w:rsidRPr="00DC2A65">
        <w:rPr>
          <w:rStyle w:val="Ninguno"/>
          <w:rFonts w:ascii="Palatino Linotype" w:eastAsia="Palatino Linotype" w:hAnsi="Palatino Linotype" w:cs="Palatino Linotype"/>
        </w:rPr>
        <w:t>veinte</w:t>
      </w:r>
      <w:r w:rsidR="001E023E" w:rsidRPr="00DC2A65">
        <w:rPr>
          <w:rStyle w:val="Ninguno"/>
          <w:rFonts w:ascii="Palatino Linotype" w:eastAsia="Palatino Linotype" w:hAnsi="Palatino Linotype" w:cs="Palatino Linotype"/>
        </w:rPr>
        <w:t xml:space="preserve"> </w:t>
      </w:r>
      <w:r w:rsidR="0068544A" w:rsidRPr="00DC2A65">
        <w:rPr>
          <w:rStyle w:val="Ninguno"/>
          <w:rFonts w:ascii="Palatino Linotype" w:eastAsia="Palatino Linotype" w:hAnsi="Palatino Linotype" w:cs="Palatino Linotype"/>
        </w:rPr>
        <w:t>(20</w:t>
      </w:r>
      <w:r w:rsidR="00055959" w:rsidRPr="00DC2A65">
        <w:rPr>
          <w:rStyle w:val="Ninguno"/>
          <w:rFonts w:ascii="Palatino Linotype" w:eastAsia="Palatino Linotype" w:hAnsi="Palatino Linotype" w:cs="Palatino Linotype"/>
        </w:rPr>
        <w:t xml:space="preserve">) </w:t>
      </w:r>
      <w:r w:rsidR="001E023E" w:rsidRPr="00DC2A65">
        <w:rPr>
          <w:rStyle w:val="Ninguno"/>
          <w:rFonts w:ascii="Palatino Linotype" w:eastAsia="Palatino Linotype" w:hAnsi="Palatino Linotype" w:cs="Palatino Linotype"/>
        </w:rPr>
        <w:t xml:space="preserve">de </w:t>
      </w:r>
      <w:r w:rsidR="00FC71CA" w:rsidRPr="00DC2A65">
        <w:rPr>
          <w:rStyle w:val="Ninguno"/>
          <w:rFonts w:ascii="Palatino Linotype" w:eastAsia="Palatino Linotype" w:hAnsi="Palatino Linotype" w:cs="Palatino Linotype"/>
        </w:rPr>
        <w:t>enero de dos mil veintiuno</w:t>
      </w:r>
      <w:r w:rsidR="001E023E" w:rsidRPr="00DC2A65">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DC2A65">
        <w:rPr>
          <w:rStyle w:val="Ninguno"/>
          <w:rFonts w:ascii="Palatino Linotype" w:eastAsia="Palatino Linotype" w:hAnsi="Palatino Linotype" w:cs="Palatino Linotype"/>
          <w:b/>
        </w:rPr>
        <w:t>Órgano Garante Nacional</w:t>
      </w:r>
      <w:r w:rsidR="001E023E" w:rsidRPr="00DC2A65">
        <w:rPr>
          <w:rStyle w:val="Ninguno"/>
          <w:rFonts w:ascii="Palatino Linotype" w:eastAsia="Palatino Linotype" w:hAnsi="Palatino Linotype" w:cs="Palatino Linotype"/>
        </w:rPr>
        <w:t>, correspondiente a</w:t>
      </w:r>
      <w:r w:rsidR="00BB4836" w:rsidRPr="00DC2A65">
        <w:rPr>
          <w:rStyle w:val="Ninguno"/>
          <w:rFonts w:ascii="Palatino Linotype" w:eastAsia="Palatino Linotype" w:hAnsi="Palatino Linotype" w:cs="Palatino Linotype"/>
        </w:rPr>
        <w:t>l</w:t>
      </w:r>
      <w:r w:rsidR="001E023E" w:rsidRPr="00DC2A65">
        <w:rPr>
          <w:rStyle w:val="Ninguno"/>
          <w:rFonts w:ascii="Palatino Linotype" w:eastAsia="Palatino Linotype" w:hAnsi="Palatino Linotype" w:cs="Palatino Linotype"/>
        </w:rPr>
        <w:t xml:space="preserve">  Recurso de Inconformidad número</w:t>
      </w:r>
      <w:r w:rsidR="00BB4836" w:rsidRPr="00DC2A65">
        <w:rPr>
          <w:rStyle w:val="Ninguno"/>
          <w:rFonts w:ascii="Palatino Linotype" w:eastAsia="Palatino Linotype" w:hAnsi="Palatino Linotype" w:cs="Palatino Linotype"/>
        </w:rPr>
        <w:t xml:space="preserve"> </w:t>
      </w:r>
      <w:r w:rsidR="004950BC" w:rsidRPr="00DC2A65">
        <w:rPr>
          <w:rStyle w:val="Ninguno"/>
          <w:rFonts w:ascii="Palatino Linotype" w:eastAsia="Palatino Linotype" w:hAnsi="Palatino Linotype" w:cs="Palatino Linotype"/>
          <w:b/>
        </w:rPr>
        <w:t>RIA 0</w:t>
      </w:r>
      <w:r w:rsidR="008F01C9" w:rsidRPr="00DC2A65">
        <w:rPr>
          <w:rStyle w:val="Ninguno"/>
          <w:rFonts w:ascii="Palatino Linotype" w:eastAsia="Palatino Linotype" w:hAnsi="Palatino Linotype" w:cs="Palatino Linotype"/>
          <w:b/>
        </w:rPr>
        <w:t>181/20</w:t>
      </w:r>
      <w:r w:rsidR="00333841" w:rsidRPr="00DC2A65">
        <w:rPr>
          <w:rFonts w:ascii="Palatino Linotype" w:hAnsi="Palatino Linotype"/>
          <w:lang w:val="es-ES_tradnl"/>
        </w:rPr>
        <w:t>, con base en los siguientes:</w:t>
      </w:r>
    </w:p>
    <w:p w:rsidR="00333841" w:rsidRPr="00DC2A65" w:rsidRDefault="00333841" w:rsidP="008E1E4F">
      <w:pPr>
        <w:pStyle w:val="Ttulo1"/>
        <w:spacing w:line="360" w:lineRule="auto"/>
        <w:jc w:val="center"/>
        <w:rPr>
          <w:rFonts w:ascii="Palatino Linotype" w:hAnsi="Palatino Linotype"/>
          <w:b/>
          <w:color w:val="auto"/>
          <w:sz w:val="24"/>
          <w:szCs w:val="24"/>
          <w:lang w:val="es-ES_tradnl"/>
        </w:rPr>
      </w:pPr>
      <w:bookmarkStart w:id="2" w:name="_Toc64442692"/>
      <w:r w:rsidRPr="00DC2A65">
        <w:rPr>
          <w:rFonts w:ascii="Palatino Linotype" w:hAnsi="Palatino Linotype"/>
          <w:b/>
          <w:color w:val="auto"/>
          <w:sz w:val="24"/>
          <w:szCs w:val="24"/>
          <w:lang w:val="es-ES_tradnl"/>
        </w:rPr>
        <w:t>ANTECEDENTES</w:t>
      </w:r>
      <w:bookmarkEnd w:id="2"/>
    </w:p>
    <w:p w:rsidR="00874766" w:rsidRPr="00DC2A65" w:rsidRDefault="0068544A"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DC2A65">
        <w:rPr>
          <w:rFonts w:ascii="Palatino Linotype" w:eastAsia="Calibri" w:hAnsi="Palatino Linotype" w:cs="Arial"/>
          <w:lang w:val="es-ES"/>
        </w:rPr>
        <w:t>El día veinticinco (25) de mayo de dos mil veinte</w:t>
      </w:r>
      <w:r w:rsidRPr="00DC2A65">
        <w:rPr>
          <w:rFonts w:ascii="Palatino Linotype" w:hAnsi="Palatino Linotype"/>
          <w:b/>
        </w:rPr>
        <w:t xml:space="preserve">, </w:t>
      </w:r>
      <w:r w:rsidRPr="00DC2A65">
        <w:rPr>
          <w:rFonts w:ascii="Palatino Linotype" w:eastAsia="Calibri" w:hAnsi="Palatino Linotype" w:cs="Arial"/>
          <w:lang w:val="es-ES"/>
        </w:rPr>
        <w:t xml:space="preserve">se presentó ante el </w:t>
      </w:r>
      <w:r w:rsidRPr="00DC2A65">
        <w:rPr>
          <w:rFonts w:ascii="Palatino Linotype" w:eastAsia="Calibri" w:hAnsi="Palatino Linotype" w:cs="Arial"/>
          <w:b/>
          <w:lang w:val="es-ES"/>
        </w:rPr>
        <w:t>SUJETO OBLIGADO</w:t>
      </w:r>
      <w:r w:rsidRPr="00DC2A65">
        <w:rPr>
          <w:rFonts w:ascii="Palatino Linotype" w:eastAsia="Calibri" w:hAnsi="Palatino Linotype" w:cs="Arial"/>
        </w:rPr>
        <w:t xml:space="preserve"> vía </w:t>
      </w:r>
      <w:r w:rsidRPr="00DC2A65">
        <w:rPr>
          <w:rFonts w:ascii="Palatino Linotype" w:eastAsia="Calibri" w:hAnsi="Palatino Linotype" w:cs="Arial"/>
          <w:lang w:val="es-ES"/>
        </w:rPr>
        <w:t>SAIMEX, las solicitudes de información públicas registradas con números</w:t>
      </w:r>
      <w:r w:rsidRPr="00DC2A65">
        <w:rPr>
          <w:rFonts w:ascii="Palatino Linotype" w:hAnsi="Palatino Linotype"/>
          <w:b/>
          <w:bCs/>
          <w:color w:val="000000" w:themeColor="text1"/>
        </w:rPr>
        <w:t xml:space="preserve">  00685/IXTASAL/IP/2020, 00686/IXTASAL/IP/2020 y 00687/IXTASAL/IP/2020 </w:t>
      </w:r>
      <w:r w:rsidRPr="00DC2A65">
        <w:rPr>
          <w:rFonts w:ascii="Palatino Linotype" w:eastAsia="Calibri" w:hAnsi="Palatino Linotype" w:cs="Arial"/>
          <w:lang w:val="es-ES"/>
        </w:rPr>
        <w:t>mediante las cuales se solicitó la siguiente información</w:t>
      </w:r>
      <w:r w:rsidR="00874766" w:rsidRPr="00DC2A65">
        <w:rPr>
          <w:rFonts w:ascii="Palatino Linotype" w:eastAsia="Calibri" w:hAnsi="Palatino Linotype" w:cs="Arial"/>
          <w:lang w:val="es-ES_tradnl"/>
        </w:rPr>
        <w:t>:</w:t>
      </w:r>
    </w:p>
    <w:p w:rsidR="0068544A" w:rsidRPr="00DC2A65" w:rsidRDefault="0068544A" w:rsidP="0068544A">
      <w:pPr>
        <w:pStyle w:val="Prrafodelista"/>
        <w:tabs>
          <w:tab w:val="left" w:pos="426"/>
        </w:tabs>
        <w:spacing w:before="240" w:after="240" w:line="360" w:lineRule="auto"/>
        <w:ind w:left="0"/>
        <w:jc w:val="both"/>
        <w:rPr>
          <w:rFonts w:ascii="Palatino Linotype" w:eastAsia="Calibri" w:hAnsi="Palatino Linotype" w:cs="Arial"/>
          <w:lang w:val="es-ES_tradnl"/>
        </w:rPr>
      </w:pPr>
    </w:p>
    <w:tbl>
      <w:tblPr>
        <w:tblStyle w:val="Tablaconcuadrcula1"/>
        <w:tblW w:w="0" w:type="auto"/>
        <w:tblLayout w:type="fixed"/>
        <w:tblLook w:val="04A0" w:firstRow="1" w:lastRow="0" w:firstColumn="1" w:lastColumn="0" w:noHBand="0" w:noVBand="1"/>
      </w:tblPr>
      <w:tblGrid>
        <w:gridCol w:w="2802"/>
        <w:gridCol w:w="6252"/>
      </w:tblGrid>
      <w:tr w:rsidR="0068544A" w:rsidRPr="00DC2A65" w:rsidTr="00335E91">
        <w:tc>
          <w:tcPr>
            <w:tcW w:w="2802" w:type="dxa"/>
          </w:tcPr>
          <w:p w:rsidR="0068544A" w:rsidRPr="00DC2A65" w:rsidRDefault="0068544A" w:rsidP="00335E91">
            <w:pPr>
              <w:spacing w:line="360" w:lineRule="auto"/>
              <w:ind w:right="333"/>
              <w:jc w:val="center"/>
              <w:rPr>
                <w:rFonts w:ascii="Palatino Linotype" w:hAnsi="Palatino Linotype"/>
                <w:b/>
                <w:color w:val="000000"/>
                <w:lang w:val="es-ES"/>
              </w:rPr>
            </w:pPr>
            <w:r w:rsidRPr="00DC2A65">
              <w:rPr>
                <w:rFonts w:ascii="Palatino Linotype" w:hAnsi="Palatino Linotype"/>
                <w:b/>
                <w:color w:val="000000"/>
                <w:lang w:val="es-ES"/>
              </w:rPr>
              <w:lastRenderedPageBreak/>
              <w:t>Recurso de revisión</w:t>
            </w:r>
          </w:p>
        </w:tc>
        <w:tc>
          <w:tcPr>
            <w:tcW w:w="6252" w:type="dxa"/>
          </w:tcPr>
          <w:p w:rsidR="0068544A" w:rsidRPr="00DC2A65" w:rsidRDefault="0068544A" w:rsidP="00335E91">
            <w:pPr>
              <w:spacing w:line="360" w:lineRule="auto"/>
              <w:ind w:right="333"/>
              <w:jc w:val="center"/>
              <w:rPr>
                <w:rFonts w:ascii="Palatino Linotype" w:hAnsi="Palatino Linotype"/>
                <w:b/>
                <w:color w:val="000000"/>
                <w:lang w:val="es-ES"/>
              </w:rPr>
            </w:pPr>
            <w:r w:rsidRPr="00DC2A65">
              <w:rPr>
                <w:rFonts w:ascii="Palatino Linotype" w:hAnsi="Palatino Linotype"/>
                <w:b/>
                <w:color w:val="000000"/>
                <w:lang w:val="es-ES"/>
              </w:rPr>
              <w:t>Información solicitada</w:t>
            </w:r>
          </w:p>
        </w:tc>
      </w:tr>
      <w:tr w:rsidR="0068544A" w:rsidRPr="00DC2A65" w:rsidTr="00335E91">
        <w:tc>
          <w:tcPr>
            <w:tcW w:w="2802" w:type="dxa"/>
          </w:tcPr>
          <w:p w:rsidR="0068544A" w:rsidRPr="00DC2A65" w:rsidRDefault="0068544A" w:rsidP="0068544A">
            <w:pPr>
              <w:pStyle w:val="Prrafodelista"/>
              <w:numPr>
                <w:ilvl w:val="0"/>
                <w:numId w:val="37"/>
              </w:numPr>
              <w:spacing w:line="360" w:lineRule="auto"/>
              <w:ind w:left="0" w:right="333"/>
              <w:jc w:val="both"/>
              <w:rPr>
                <w:rFonts w:ascii="Palatino Linotype" w:hAnsi="Palatino Linotype"/>
                <w:b/>
                <w:color w:val="000000"/>
                <w:sz w:val="20"/>
                <w:lang w:val="es-ES"/>
              </w:rPr>
            </w:pPr>
            <w:r w:rsidRPr="00DC2A65">
              <w:rPr>
                <w:rFonts w:ascii="Palatino Linotype" w:hAnsi="Palatino Linotype"/>
                <w:b/>
                <w:bCs/>
                <w:color w:val="000000" w:themeColor="text1"/>
                <w:sz w:val="20"/>
              </w:rPr>
              <w:t>00685/IXTASAL/IP/2020</w:t>
            </w:r>
          </w:p>
        </w:tc>
        <w:tc>
          <w:tcPr>
            <w:tcW w:w="6252" w:type="dxa"/>
          </w:tcPr>
          <w:p w:rsidR="0068544A" w:rsidRPr="00DC2A65" w:rsidRDefault="0068544A" w:rsidP="00335E91">
            <w:pPr>
              <w:pStyle w:val="Prrafodelista"/>
              <w:ind w:left="0"/>
              <w:jc w:val="both"/>
              <w:rPr>
                <w:rFonts w:ascii="Palatino Linotype" w:hAnsi="Palatino Linotype"/>
                <w:color w:val="000000"/>
              </w:rPr>
            </w:pPr>
            <w:r w:rsidRPr="00DC2A65">
              <w:rPr>
                <w:rFonts w:ascii="Palatino Linotype" w:hAnsi="Palatino Linotype"/>
                <w:color w:val="000000"/>
              </w:rPr>
              <w:t xml:space="preserve">De la directora de administración, solicito, la plantilla de personal que sirvió de base para formular el presupuesto definitivo del año 2019, por su atención gracias, amiga maricela, cómo lo debes estar disfrutando, recuerdo que lo platicamos, felicidades, no lo puedo creer, que lo podamos platicar directamente y enfrente de ellos y ellas, y la tonta útil síndica </w:t>
            </w:r>
            <w:proofErr w:type="spellStart"/>
            <w:r w:rsidRPr="00DC2A65">
              <w:rPr>
                <w:rFonts w:ascii="Palatino Linotype" w:hAnsi="Palatino Linotype"/>
                <w:color w:val="000000"/>
              </w:rPr>
              <w:t>bety</w:t>
            </w:r>
            <w:proofErr w:type="spellEnd"/>
            <w:r w:rsidRPr="00DC2A65">
              <w:rPr>
                <w:rFonts w:ascii="Palatino Linotype" w:hAnsi="Palatino Linotype"/>
                <w:color w:val="000000"/>
              </w:rPr>
              <w:t xml:space="preserve">, jajaja, le dio vuelta la </w:t>
            </w:r>
            <w:proofErr w:type="spellStart"/>
            <w:r w:rsidRPr="00DC2A65">
              <w:rPr>
                <w:rFonts w:ascii="Palatino Linotype" w:hAnsi="Palatino Linotype"/>
                <w:color w:val="000000"/>
              </w:rPr>
              <w:t>oguri</w:t>
            </w:r>
            <w:proofErr w:type="spellEnd"/>
            <w:r w:rsidRPr="00DC2A65">
              <w:rPr>
                <w:rFonts w:ascii="Palatino Linotype" w:hAnsi="Palatino Linotype"/>
                <w:color w:val="000000"/>
              </w:rPr>
              <w:t xml:space="preserve"> con mancera, claro no podemos olvidar la ayuda de la contadora Chuy en recursos humanos, vamos a recuperar el gobierno municipal y tú has sido pieza clave, alianza 2021 PRI-PRD.</w:t>
            </w:r>
          </w:p>
        </w:tc>
      </w:tr>
      <w:tr w:rsidR="0068544A" w:rsidRPr="00DC2A65" w:rsidTr="00335E91">
        <w:tc>
          <w:tcPr>
            <w:tcW w:w="2802" w:type="dxa"/>
          </w:tcPr>
          <w:p w:rsidR="0068544A" w:rsidRPr="00DC2A65" w:rsidRDefault="0068544A" w:rsidP="0068544A">
            <w:pPr>
              <w:pStyle w:val="Prrafodelista"/>
              <w:numPr>
                <w:ilvl w:val="0"/>
                <w:numId w:val="37"/>
              </w:numPr>
              <w:spacing w:line="360" w:lineRule="auto"/>
              <w:ind w:left="0" w:right="333"/>
              <w:rPr>
                <w:rFonts w:ascii="Palatino Linotype" w:hAnsi="Palatino Linotype"/>
                <w:b/>
                <w:color w:val="000000"/>
                <w:sz w:val="20"/>
                <w:lang w:val="es-ES"/>
              </w:rPr>
            </w:pPr>
            <w:r w:rsidRPr="00DC2A65">
              <w:rPr>
                <w:rFonts w:ascii="Palatino Linotype" w:hAnsi="Palatino Linotype"/>
                <w:b/>
                <w:bCs/>
                <w:color w:val="000000" w:themeColor="text1"/>
                <w:sz w:val="20"/>
              </w:rPr>
              <w:t>00686/IXTASAL/IP/2020</w:t>
            </w:r>
          </w:p>
        </w:tc>
        <w:tc>
          <w:tcPr>
            <w:tcW w:w="6252" w:type="dxa"/>
          </w:tcPr>
          <w:p w:rsidR="0068544A" w:rsidRPr="00DC2A65" w:rsidRDefault="0068544A" w:rsidP="00335E91">
            <w:pPr>
              <w:jc w:val="both"/>
              <w:rPr>
                <w:rFonts w:ascii="Palatino Linotype" w:hAnsi="Palatino Linotype"/>
                <w:color w:val="000000"/>
                <w:lang w:val="es-ES"/>
              </w:rPr>
            </w:pPr>
            <w:r w:rsidRPr="00DC2A65">
              <w:rPr>
                <w:rFonts w:ascii="Palatino Linotype" w:hAnsi="Palatino Linotype"/>
                <w:color w:val="000000"/>
                <w:lang w:val="es-ES"/>
              </w:rPr>
              <w:t xml:space="preserve">De la directora de administración, solicito, la plantilla de personal que sirvió de base para formular el presupuesto definitivo del año 2020 y que contempla todas las plazas de personal presupuestadas, por su atención gracias, amiga maricela, cómo lo debes estar disfrutando, recuerdo que lo platicamos, felicidades, no lo puedo creer, que lo podamos platicar directamente y enfrente de ellos y ellas, y la tonta útil síndica </w:t>
            </w:r>
            <w:proofErr w:type="spellStart"/>
            <w:r w:rsidRPr="00DC2A65">
              <w:rPr>
                <w:rFonts w:ascii="Palatino Linotype" w:hAnsi="Palatino Linotype"/>
                <w:color w:val="000000"/>
                <w:lang w:val="es-ES"/>
              </w:rPr>
              <w:t>bety</w:t>
            </w:r>
            <w:proofErr w:type="spellEnd"/>
            <w:r w:rsidRPr="00DC2A65">
              <w:rPr>
                <w:rFonts w:ascii="Palatino Linotype" w:hAnsi="Palatino Linotype"/>
                <w:color w:val="000000"/>
                <w:lang w:val="es-ES"/>
              </w:rPr>
              <w:t xml:space="preserve">, jajaja, le dio vuelta la </w:t>
            </w:r>
            <w:proofErr w:type="spellStart"/>
            <w:r w:rsidRPr="00DC2A65">
              <w:rPr>
                <w:rFonts w:ascii="Palatino Linotype" w:hAnsi="Palatino Linotype"/>
                <w:color w:val="000000"/>
                <w:lang w:val="es-ES"/>
              </w:rPr>
              <w:t>oguri</w:t>
            </w:r>
            <w:proofErr w:type="spellEnd"/>
            <w:r w:rsidRPr="00DC2A65">
              <w:rPr>
                <w:rFonts w:ascii="Palatino Linotype" w:hAnsi="Palatino Linotype"/>
                <w:color w:val="000000"/>
                <w:lang w:val="es-ES"/>
              </w:rPr>
              <w:t xml:space="preserve"> con mancera, claro no podemos olvidar la ayuda de la contadora Chuy en recursos humanos, vamos a recuperar el gobierno municipal y tú has sido pieza clave, alianza 2021 PRI-PRD.</w:t>
            </w:r>
          </w:p>
        </w:tc>
      </w:tr>
      <w:tr w:rsidR="0068544A" w:rsidRPr="00DC2A65" w:rsidTr="00335E91">
        <w:tc>
          <w:tcPr>
            <w:tcW w:w="2802" w:type="dxa"/>
          </w:tcPr>
          <w:p w:rsidR="0068544A" w:rsidRPr="00DC2A65" w:rsidRDefault="0068544A" w:rsidP="0068544A">
            <w:pPr>
              <w:pStyle w:val="Prrafodelista"/>
              <w:numPr>
                <w:ilvl w:val="0"/>
                <w:numId w:val="37"/>
              </w:numPr>
              <w:spacing w:line="360" w:lineRule="auto"/>
              <w:ind w:left="0" w:right="333"/>
              <w:jc w:val="both"/>
              <w:rPr>
                <w:rFonts w:ascii="Palatino Linotype" w:hAnsi="Palatino Linotype"/>
                <w:b/>
                <w:color w:val="000000"/>
                <w:sz w:val="20"/>
                <w:lang w:val="es-ES"/>
              </w:rPr>
            </w:pPr>
            <w:r w:rsidRPr="00DC2A65">
              <w:rPr>
                <w:rFonts w:ascii="Palatino Linotype" w:hAnsi="Palatino Linotype"/>
                <w:b/>
                <w:bCs/>
                <w:color w:val="000000" w:themeColor="text1"/>
                <w:sz w:val="20"/>
              </w:rPr>
              <w:t>00687/IXTASAL/IP/2020</w:t>
            </w:r>
          </w:p>
        </w:tc>
        <w:tc>
          <w:tcPr>
            <w:tcW w:w="6252" w:type="dxa"/>
          </w:tcPr>
          <w:p w:rsidR="0068544A" w:rsidRPr="00DC2A65" w:rsidRDefault="0068544A" w:rsidP="00335E91">
            <w:pPr>
              <w:jc w:val="both"/>
              <w:rPr>
                <w:rFonts w:ascii="Palatino Linotype" w:hAnsi="Palatino Linotype"/>
                <w:color w:val="000000"/>
                <w:lang w:val="es-ES"/>
              </w:rPr>
            </w:pPr>
            <w:r w:rsidRPr="00DC2A65">
              <w:rPr>
                <w:rFonts w:ascii="Palatino Linotype" w:hAnsi="Palatino Linotype"/>
                <w:color w:val="000000"/>
                <w:lang w:val="es-ES"/>
              </w:rPr>
              <w:t xml:space="preserve">De la directora de administración, solicito, la plantilla de personal que sirvió de base para formular el presupuesto definitivo del año 2020 y que contempla todas las plazas de personal presupuestadas con nombre y apellido de cada trabajador, por su atención gracias, amiga maricela, cómo lo debes estar disfrutando, recuerdo que lo platicamos, felicidades, no lo puedo creer, que lo podamos platicar directamente y enfrente de ellos y ellas, </w:t>
            </w:r>
            <w:r w:rsidRPr="00DC2A65">
              <w:rPr>
                <w:rFonts w:ascii="Palatino Linotype" w:hAnsi="Palatino Linotype"/>
                <w:color w:val="000000"/>
                <w:lang w:val="es-ES"/>
              </w:rPr>
              <w:lastRenderedPageBreak/>
              <w:t xml:space="preserve">y la tonta útil síndica </w:t>
            </w:r>
            <w:proofErr w:type="spellStart"/>
            <w:r w:rsidRPr="00DC2A65">
              <w:rPr>
                <w:rFonts w:ascii="Palatino Linotype" w:hAnsi="Palatino Linotype"/>
                <w:color w:val="000000"/>
                <w:lang w:val="es-ES"/>
              </w:rPr>
              <w:t>bety</w:t>
            </w:r>
            <w:proofErr w:type="spellEnd"/>
            <w:r w:rsidRPr="00DC2A65">
              <w:rPr>
                <w:rFonts w:ascii="Palatino Linotype" w:hAnsi="Palatino Linotype"/>
                <w:color w:val="000000"/>
                <w:lang w:val="es-ES"/>
              </w:rPr>
              <w:t xml:space="preserve">, jajaja, le dio vuelta la </w:t>
            </w:r>
            <w:proofErr w:type="spellStart"/>
            <w:r w:rsidRPr="00DC2A65">
              <w:rPr>
                <w:rFonts w:ascii="Palatino Linotype" w:hAnsi="Palatino Linotype"/>
                <w:color w:val="000000"/>
                <w:lang w:val="es-ES"/>
              </w:rPr>
              <w:t>oguri</w:t>
            </w:r>
            <w:proofErr w:type="spellEnd"/>
            <w:r w:rsidRPr="00DC2A65">
              <w:rPr>
                <w:rFonts w:ascii="Palatino Linotype" w:hAnsi="Palatino Linotype"/>
                <w:color w:val="000000"/>
                <w:lang w:val="es-ES"/>
              </w:rPr>
              <w:t xml:space="preserve"> con mancera, claro no podemos olvidar la ayuda de la contadora Chuy en recursos humanos, vamos a recuperar el gobierno municipal y tú has sido pieza clave.</w:t>
            </w:r>
          </w:p>
        </w:tc>
      </w:tr>
    </w:tbl>
    <w:p w:rsidR="004950BC" w:rsidRPr="00DC2A65" w:rsidRDefault="004950BC" w:rsidP="004950BC">
      <w:pPr>
        <w:pStyle w:val="Prrafodelista"/>
        <w:tabs>
          <w:tab w:val="left" w:pos="426"/>
        </w:tabs>
        <w:spacing w:before="240" w:after="240" w:line="360" w:lineRule="auto"/>
        <w:ind w:left="0"/>
        <w:jc w:val="both"/>
        <w:rPr>
          <w:rFonts w:ascii="Palatino Linotype" w:eastAsia="Calibri" w:hAnsi="Palatino Linotype" w:cs="Arial"/>
          <w:lang w:val="es-ES_tradnl"/>
        </w:rPr>
      </w:pPr>
    </w:p>
    <w:p w:rsidR="00333841" w:rsidRPr="00DC2A65" w:rsidRDefault="00055959" w:rsidP="008E1E4F">
      <w:pPr>
        <w:pStyle w:val="Prrafodelista"/>
        <w:numPr>
          <w:ilvl w:val="0"/>
          <w:numId w:val="3"/>
        </w:numPr>
        <w:spacing w:line="360" w:lineRule="auto"/>
        <w:ind w:right="34"/>
        <w:jc w:val="both"/>
        <w:rPr>
          <w:rFonts w:ascii="Palatino Linotype" w:hAnsi="Palatino Linotype" w:cs="Arial"/>
          <w:b/>
          <w:lang w:val="es-ES_tradnl"/>
        </w:rPr>
      </w:pPr>
      <w:r w:rsidRPr="00DC2A65">
        <w:rPr>
          <w:rFonts w:ascii="Palatino Linotype" w:hAnsi="Palatino Linotype" w:cs="Arial"/>
          <w:b/>
          <w:lang w:val="es-ES_tradnl"/>
        </w:rPr>
        <w:t>LA PARTICULAR</w:t>
      </w:r>
      <w:r w:rsidRPr="00DC2A65">
        <w:rPr>
          <w:rFonts w:ascii="Palatino Linotype" w:hAnsi="Palatino Linotype" w:cs="Arial"/>
          <w:lang w:val="es-ES_tradnl"/>
        </w:rPr>
        <w:t xml:space="preserve"> </w:t>
      </w:r>
      <w:r w:rsidR="00333841" w:rsidRPr="00DC2A65">
        <w:rPr>
          <w:rFonts w:ascii="Palatino Linotype" w:hAnsi="Palatino Linotype" w:cs="Arial"/>
          <w:lang w:val="es-ES_tradnl"/>
        </w:rPr>
        <w:t xml:space="preserve">señaló como modalidad de entrega de la información: a través del </w:t>
      </w:r>
      <w:r w:rsidR="00333841" w:rsidRPr="00DC2A65">
        <w:rPr>
          <w:rFonts w:ascii="Palatino Linotype" w:hAnsi="Palatino Linotype" w:cs="Arial"/>
          <w:b/>
          <w:lang w:val="es-ES_tradnl"/>
        </w:rPr>
        <w:t>SAIMEX.</w:t>
      </w:r>
    </w:p>
    <w:p w:rsidR="00BB4836" w:rsidRPr="00DC2A65" w:rsidRDefault="00BB4836" w:rsidP="00BB4836">
      <w:pPr>
        <w:pStyle w:val="Prrafodelista"/>
        <w:spacing w:line="360" w:lineRule="auto"/>
        <w:ind w:right="34"/>
        <w:jc w:val="both"/>
        <w:rPr>
          <w:rFonts w:ascii="Palatino Linotype" w:hAnsi="Palatino Linotype" w:cs="Arial"/>
          <w:b/>
          <w:lang w:val="es-ES_tradnl"/>
        </w:rPr>
      </w:pPr>
    </w:p>
    <w:p w:rsidR="004950BC" w:rsidRPr="00DC2A65" w:rsidRDefault="00FC71CA" w:rsidP="004950B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C2A65">
        <w:rPr>
          <w:rFonts w:ascii="Palatino Linotype"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3655EBAB" wp14:editId="193ECAF4">
                <wp:simplePos x="0" y="0"/>
                <wp:positionH relativeFrom="column">
                  <wp:posOffset>31775</wp:posOffset>
                </wp:positionH>
                <wp:positionV relativeFrom="paragraph">
                  <wp:posOffset>2027427</wp:posOffset>
                </wp:positionV>
                <wp:extent cx="5427879" cy="2553005"/>
                <wp:effectExtent l="0" t="0" r="20955" b="19050"/>
                <wp:wrapNone/>
                <wp:docPr id="2" name="Conector recto 2"/>
                <wp:cNvGraphicFramePr/>
                <a:graphic xmlns:a="http://schemas.openxmlformats.org/drawingml/2006/main">
                  <a:graphicData uri="http://schemas.microsoft.com/office/word/2010/wordprocessingShape">
                    <wps:wsp>
                      <wps:cNvCnPr/>
                      <wps:spPr>
                        <a:xfrm>
                          <a:off x="0" y="0"/>
                          <a:ext cx="5427879" cy="2553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6962E"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9.65pt" to="429.9pt,3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" strokecolor="black [3200]" strokeweight=".5pt">
                <v:stroke joinstyle="miter"/>
              </v:line>
            </w:pict>
          </mc:Fallback>
        </mc:AlternateContent>
      </w:r>
      <w:r w:rsidR="0068544A" w:rsidRPr="00DC2A65">
        <w:rPr>
          <w:rFonts w:ascii="Palatino Linotype" w:hAnsi="Palatino Linotype" w:cs="Arial"/>
          <w:color w:val="000000" w:themeColor="text1"/>
        </w:rPr>
        <w:t xml:space="preserve">El día tres (03) de julio de dos mil veinte, el </w:t>
      </w:r>
      <w:r w:rsidR="0068544A" w:rsidRPr="00DC2A65">
        <w:rPr>
          <w:rFonts w:ascii="Palatino Linotype" w:hAnsi="Palatino Linotype" w:cs="Arial"/>
          <w:b/>
          <w:color w:val="000000" w:themeColor="text1"/>
        </w:rPr>
        <w:t>SUJETO OBLIGADO,</w:t>
      </w:r>
      <w:r w:rsidR="0068544A" w:rsidRPr="00DC2A65">
        <w:rPr>
          <w:rFonts w:ascii="Palatino Linotype" w:hAnsi="Palatino Linotype" w:cs="Arial"/>
          <w:color w:val="000000" w:themeColor="text1"/>
        </w:rPr>
        <w:t xml:space="preserve"> dio respuesta a cada una de las solicitudes de información, a través del archivo electrónico </w:t>
      </w:r>
      <w:r w:rsidR="0068544A" w:rsidRPr="00DC2A65">
        <w:rPr>
          <w:rFonts w:ascii="Palatino Linotype" w:hAnsi="Palatino Linotype" w:cs="Arial"/>
          <w:b/>
          <w:color w:val="000000" w:themeColor="text1"/>
        </w:rPr>
        <w:t>Acta de la 12va Sesión Extraordinaria.pdf</w:t>
      </w:r>
      <w:r w:rsidR="0068544A" w:rsidRPr="00DC2A65">
        <w:rPr>
          <w:rFonts w:ascii="Palatino Linotype" w:hAnsi="Palatino Linotype" w:cs="Arial"/>
          <w:color w:val="000000" w:themeColor="text1"/>
        </w:rPr>
        <w:t xml:space="preserve"> que corresponde al Acta de la </w:t>
      </w:r>
      <w:r w:rsidR="00335E91" w:rsidRPr="00DC2A65">
        <w:rPr>
          <w:rFonts w:ascii="Palatino Linotype" w:hAnsi="Palatino Linotype" w:cs="Arial"/>
          <w:color w:val="000000" w:themeColor="text1"/>
        </w:rPr>
        <w:t xml:space="preserve">Décimo Segunda Sesión Extraordinaria </w:t>
      </w:r>
      <w:r w:rsidR="0068544A" w:rsidRPr="00DC2A65">
        <w:rPr>
          <w:rFonts w:ascii="Palatino Linotype" w:hAnsi="Palatino Linotype" w:cs="Arial"/>
          <w:color w:val="000000" w:themeColor="text1"/>
        </w:rPr>
        <w:t xml:space="preserve">del Comité de Transparencia de fecha dieciocho (18) de junio del año </w:t>
      </w:r>
      <w:r w:rsidR="00335E91" w:rsidRPr="00DC2A65">
        <w:rPr>
          <w:rFonts w:ascii="Palatino Linotype" w:hAnsi="Palatino Linotype" w:cs="Arial"/>
          <w:color w:val="000000" w:themeColor="text1"/>
        </w:rPr>
        <w:t>dos mil veinte</w:t>
      </w:r>
      <w:r w:rsidR="0068544A" w:rsidRPr="00DC2A65">
        <w:rPr>
          <w:rFonts w:ascii="Palatino Linotype" w:hAnsi="Palatino Linotype" w:cs="Arial"/>
          <w:color w:val="000000" w:themeColor="text1"/>
        </w:rPr>
        <w:t xml:space="preserve">, misma que ya es del conocimiento de las partes; no obstante </w:t>
      </w:r>
      <w:r w:rsidR="0068544A" w:rsidRPr="00DC2A65">
        <w:rPr>
          <w:rFonts w:ascii="Palatino Linotype" w:hAnsi="Palatino Linotype" w:cs="Arial"/>
          <w:i/>
          <w:color w:val="000000" w:themeColor="text1"/>
        </w:rPr>
        <w:t>grosso modo</w:t>
      </w:r>
      <w:r w:rsidR="0068544A" w:rsidRPr="00DC2A65">
        <w:rPr>
          <w:rFonts w:ascii="Palatino Linotype" w:hAnsi="Palatino Linotype" w:cs="Arial"/>
          <w:color w:val="000000" w:themeColor="text1"/>
        </w:rPr>
        <w:t xml:space="preserve"> se ilustra que se acordó lo siguiente</w:t>
      </w:r>
      <w:r w:rsidRPr="00DC2A65">
        <w:rPr>
          <w:rFonts w:ascii="Palatino Linotype" w:hAnsi="Palatino Linotype" w:cs="Arial"/>
          <w:color w:val="000000" w:themeColor="text1"/>
        </w:rPr>
        <w:t>:</w:t>
      </w:r>
    </w:p>
    <w:p w:rsidR="004950BC" w:rsidRPr="00DC2A65" w:rsidRDefault="0068544A" w:rsidP="004950BC">
      <w:pPr>
        <w:tabs>
          <w:tab w:val="left" w:pos="0"/>
        </w:tabs>
        <w:ind w:right="49"/>
        <w:jc w:val="center"/>
        <w:rPr>
          <w:rFonts w:ascii="Palatino Linotype" w:hAnsi="Palatino Linotype" w:cs="Arial"/>
          <w:i/>
          <w:color w:val="000000" w:themeColor="text1"/>
          <w:sz w:val="22"/>
          <w:lang w:val="es-MX"/>
        </w:rPr>
      </w:pPr>
      <w:r w:rsidRPr="00DC2A65">
        <w:rPr>
          <w:rFonts w:ascii="Palatino Linotype" w:hAnsi="Palatino Linotype" w:cs="Arial"/>
          <w:i/>
          <w:noProof/>
          <w:color w:val="000000" w:themeColor="text1"/>
          <w:sz w:val="22"/>
          <w:lang w:val="es-MX" w:eastAsia="es-MX"/>
        </w:rPr>
        <w:lastRenderedPageBreak/>
        <w:drawing>
          <wp:inline distT="0" distB="0" distL="0" distR="0" wp14:anchorId="18FC9F3A" wp14:editId="2E752A78">
            <wp:extent cx="5206621" cy="5979390"/>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54" cy="5991831"/>
                    </a:xfrm>
                    <a:prstGeom prst="rect">
                      <a:avLst/>
                    </a:prstGeom>
                    <a:noFill/>
                    <a:ln>
                      <a:solidFill>
                        <a:schemeClr val="tx1"/>
                      </a:solidFill>
                    </a:ln>
                  </pic:spPr>
                </pic:pic>
              </a:graphicData>
            </a:graphic>
          </wp:inline>
        </w:drawing>
      </w:r>
    </w:p>
    <w:p w:rsidR="00874766" w:rsidRPr="00DC2A65" w:rsidRDefault="00874766" w:rsidP="008E1E4F">
      <w:pPr>
        <w:spacing w:line="360" w:lineRule="auto"/>
        <w:ind w:right="34"/>
        <w:jc w:val="both"/>
        <w:rPr>
          <w:rFonts w:ascii="Palatino Linotype" w:hAnsi="Palatino Linotype"/>
          <w:lang w:val="es-ES_tradnl"/>
        </w:rPr>
      </w:pPr>
    </w:p>
    <w:p w:rsidR="0068544A" w:rsidRPr="00DC2A65" w:rsidRDefault="0068544A" w:rsidP="0068544A">
      <w:pPr>
        <w:spacing w:line="360" w:lineRule="auto"/>
        <w:ind w:right="34"/>
        <w:jc w:val="center"/>
        <w:rPr>
          <w:rFonts w:ascii="Palatino Linotype" w:hAnsi="Palatino Linotype"/>
          <w:lang w:val="es-ES_tradnl"/>
        </w:rPr>
      </w:pPr>
      <w:r w:rsidRPr="00DC2A65">
        <w:rPr>
          <w:rFonts w:ascii="Palatino Linotype" w:hAnsi="Palatino Linotype" w:cs="Arial"/>
          <w:i/>
          <w:noProof/>
          <w:color w:val="000000" w:themeColor="text1"/>
          <w:lang w:val="es-MX" w:eastAsia="es-MX"/>
        </w:rPr>
        <w:lastRenderedPageBreak/>
        <w:drawing>
          <wp:inline distT="0" distB="0" distL="0" distR="0" wp14:anchorId="5FEB127C" wp14:editId="58311788">
            <wp:extent cx="5240741" cy="3634047"/>
            <wp:effectExtent l="19050" t="19050" r="1714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298" cy="3637207"/>
                    </a:xfrm>
                    <a:prstGeom prst="rect">
                      <a:avLst/>
                    </a:prstGeom>
                    <a:noFill/>
                    <a:ln>
                      <a:solidFill>
                        <a:schemeClr val="tx1"/>
                      </a:solidFill>
                    </a:ln>
                  </pic:spPr>
                </pic:pic>
              </a:graphicData>
            </a:graphic>
          </wp:inline>
        </w:drawing>
      </w:r>
    </w:p>
    <w:p w:rsidR="0068544A" w:rsidRPr="00DC2A65" w:rsidRDefault="0068544A" w:rsidP="0068544A">
      <w:pPr>
        <w:spacing w:line="360" w:lineRule="auto"/>
        <w:ind w:right="34"/>
        <w:jc w:val="center"/>
        <w:rPr>
          <w:rFonts w:ascii="Palatino Linotype" w:hAnsi="Palatino Linotype"/>
          <w:lang w:val="es-ES_tradnl"/>
        </w:rPr>
      </w:pPr>
    </w:p>
    <w:p w:rsidR="0068544A" w:rsidRPr="00DC2A65" w:rsidRDefault="0068544A" w:rsidP="0068544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C2A65">
        <w:rPr>
          <w:rFonts w:ascii="Palatino Linotype" w:hAnsi="Palatino Linotype" w:cs="Arial"/>
          <w:color w:val="000000" w:themeColor="text1"/>
          <w:lang w:val="es-ES"/>
        </w:rPr>
        <w:t>En fecha veintiuno (21) de agosto de dos mil veinte, la particular interpuso los recursos de revisión en contra de las respuestas, en todas manifestando</w:t>
      </w:r>
      <w:r w:rsidRPr="00DC2A65">
        <w:rPr>
          <w:rFonts w:ascii="Palatino Linotype" w:hAnsi="Palatino Linotype" w:cs="Arial"/>
          <w:i/>
          <w:color w:val="000000" w:themeColor="text1"/>
          <w:lang w:val="es-ES"/>
        </w:rPr>
        <w:t xml:space="preserve"> </w:t>
      </w:r>
      <w:r w:rsidRPr="00DC2A65">
        <w:rPr>
          <w:rFonts w:ascii="Palatino Linotype" w:hAnsi="Palatino Linotype" w:cs="Arial"/>
          <w:color w:val="000000" w:themeColor="text1"/>
          <w:lang w:val="es-ES"/>
        </w:rPr>
        <w:t>los mismos argumentos, por lo que en obvio de repeticiones innecesarias se transcribe el escrito de recurso de revisión de uno de los recursos objeto de acumulación:</w:t>
      </w:r>
    </w:p>
    <w:p w:rsidR="0068544A" w:rsidRPr="00DC2A65" w:rsidRDefault="0068544A" w:rsidP="0068544A">
      <w:pPr>
        <w:spacing w:line="360" w:lineRule="auto"/>
        <w:ind w:right="34"/>
        <w:jc w:val="both"/>
        <w:rPr>
          <w:rFonts w:ascii="Palatino Linotype" w:hAnsi="Palatino Linotype"/>
          <w:b/>
        </w:rPr>
      </w:pPr>
    </w:p>
    <w:p w:rsidR="0068544A" w:rsidRPr="00DC2A65" w:rsidRDefault="0068544A" w:rsidP="0068544A">
      <w:pPr>
        <w:spacing w:line="360" w:lineRule="auto"/>
        <w:ind w:left="360" w:right="34"/>
        <w:jc w:val="both"/>
        <w:rPr>
          <w:rFonts w:ascii="Palatino Linotype" w:hAnsi="Palatino Linotype"/>
          <w:b/>
        </w:rPr>
      </w:pPr>
      <w:r w:rsidRPr="00DC2A65">
        <w:rPr>
          <w:rFonts w:ascii="Palatino Linotype" w:hAnsi="Palatino Linotype"/>
          <w:b/>
        </w:rPr>
        <w:t>Recurso de revisión: 03040/INFOEM/IP/RR/2020</w:t>
      </w:r>
    </w:p>
    <w:p w:rsidR="0068544A" w:rsidRPr="00DC2A65" w:rsidRDefault="0068544A" w:rsidP="00335E91">
      <w:pPr>
        <w:pStyle w:val="Prrafodelista"/>
        <w:numPr>
          <w:ilvl w:val="0"/>
          <w:numId w:val="38"/>
        </w:numPr>
        <w:spacing w:line="360" w:lineRule="auto"/>
        <w:ind w:right="474"/>
        <w:jc w:val="both"/>
      </w:pPr>
      <w:bookmarkStart w:id="3" w:name="_Toc466982514"/>
      <w:bookmarkStart w:id="4" w:name="_Toc51854302"/>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1262525"/>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DC2A65">
        <w:rPr>
          <w:rStyle w:val="Ttulo2Car"/>
          <w:rFonts w:ascii="Palatino Linotype" w:hAnsi="Palatino Linotype"/>
          <w:b/>
          <w:color w:val="000000" w:themeColor="text1"/>
          <w:sz w:val="24"/>
        </w:rPr>
        <w:t>Acto impugnado</w:t>
      </w:r>
      <w:bookmarkEnd w:id="3"/>
      <w:r w:rsidRPr="00DC2A65">
        <w:rPr>
          <w:rStyle w:val="Ttulo2Car"/>
          <w:rFonts w:ascii="Palatino Linotype" w:hAnsi="Palatino Linotype"/>
          <w:b/>
          <w:color w:val="000000" w:themeColor="text1"/>
          <w:sz w:val="24"/>
        </w:rPr>
        <w:t xml:space="preserve">: </w:t>
      </w:r>
      <w:r w:rsidRPr="00DC2A65">
        <w:rPr>
          <w:rStyle w:val="Ttulo2Car"/>
          <w:rFonts w:ascii="Palatino Linotype" w:hAnsi="Palatino Linotype"/>
          <w:i/>
          <w:color w:val="000000" w:themeColor="text1"/>
        </w:rPr>
        <w:t>“</w:t>
      </w:r>
      <w:bookmarkEnd w:id="4"/>
      <w:r w:rsidRPr="00DC2A65">
        <w:rPr>
          <w:rStyle w:val="Ttulo2Car"/>
          <w:rFonts w:ascii="Palatino Linotype" w:hAnsi="Palatino Linotype"/>
          <w:i/>
          <w:color w:val="000000" w:themeColor="text1"/>
        </w:rPr>
        <w:t>La respuesta del sujeto obligado, a través de una infundada acta del comité de transparencia.</w:t>
      </w:r>
      <w:r w:rsidRPr="00DC2A65">
        <w:t>”</w:t>
      </w:r>
      <w:bookmarkEnd w:id="5"/>
      <w:bookmarkEnd w:id="6"/>
      <w:bookmarkEnd w:id="7"/>
      <w:bookmarkEnd w:id="8"/>
      <w:bookmarkEnd w:id="9"/>
      <w:bookmarkEnd w:id="10"/>
      <w:bookmarkEnd w:id="11"/>
      <w:bookmarkEnd w:id="12"/>
      <w:bookmarkEnd w:id="13"/>
      <w:bookmarkEnd w:id="14"/>
      <w:bookmarkEnd w:id="15"/>
      <w:r w:rsidRPr="00DC2A65">
        <w:t xml:space="preserve"> </w:t>
      </w: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471908127"/>
      <w:bookmarkStart w:id="75" w:name="_Toc491791301"/>
      <w:bookmarkStart w:id="76" w:name="_Toc496726171"/>
      <w:bookmarkStart w:id="77" w:name="_Toc497242135"/>
      <w:bookmarkStart w:id="78" w:name="_Toc497292518"/>
      <w:bookmarkStart w:id="79" w:name="_Toc498503717"/>
      <w:bookmarkStart w:id="80" w:name="_Toc499568661"/>
      <w:bookmarkStart w:id="81" w:name="_Toc499568694"/>
      <w:bookmarkStart w:id="82" w:name="_Toc499665453"/>
      <w:bookmarkStart w:id="83" w:name="_Toc499729820"/>
      <w:bookmarkStart w:id="84" w:name="_Toc499835025"/>
      <w:bookmarkStart w:id="85" w:name="_Toc499835836"/>
      <w:bookmarkStart w:id="86" w:name="_Toc499835859"/>
      <w:bookmarkStart w:id="87" w:name="_Toc500264538"/>
      <w:bookmarkStart w:id="88" w:name="_Toc503290276"/>
      <w:bookmarkStart w:id="89" w:name="_Toc524009638"/>
      <w:bookmarkStart w:id="90" w:name="_Toc524009673"/>
      <w:bookmarkStart w:id="91" w:name="_Toc524602721"/>
      <w:bookmarkStart w:id="92" w:name="_Toc526365280"/>
      <w:bookmarkStart w:id="93" w:name="_Toc526365338"/>
      <w:bookmarkStart w:id="94" w:name="_Toc530067665"/>
      <w:bookmarkStart w:id="95" w:name="_Toc530067693"/>
      <w:bookmarkStart w:id="96" w:name="_Toc530067940"/>
      <w:bookmarkStart w:id="97" w:name="_Toc530590421"/>
      <w:bookmarkStart w:id="98" w:name="_Toc530593952"/>
      <w:bookmarkStart w:id="99" w:name="_Toc531190249"/>
      <w:bookmarkStart w:id="100" w:name="_Toc531190296"/>
      <w:bookmarkStart w:id="101" w:name="_Toc534908209"/>
      <w:bookmarkStart w:id="102" w:name="_Toc534909345"/>
      <w:bookmarkStart w:id="103" w:name="_Toc535353306"/>
      <w:bookmarkStart w:id="104" w:name="_Toc535353792"/>
      <w:bookmarkStart w:id="105" w:name="_Toc18436352"/>
      <w:bookmarkStart w:id="106" w:name="_Toc18436386"/>
      <w:bookmarkStart w:id="107" w:name="_Toc18513478"/>
      <w:bookmarkStart w:id="108" w:name="_Toc18513504"/>
      <w:bookmarkStart w:id="109" w:name="_Toc18606802"/>
      <w:bookmarkStart w:id="110" w:name="_Toc19723537"/>
      <w:bookmarkStart w:id="111" w:name="_Toc20322796"/>
      <w:bookmarkStart w:id="112" w:name="_Toc20323053"/>
      <w:bookmarkStart w:id="113" w:name="_Toc20323182"/>
      <w:bookmarkStart w:id="114" w:name="_Toc20420592"/>
      <w:bookmarkStart w:id="115" w:name="_Toc20421580"/>
      <w:bookmarkStart w:id="116" w:name="_Toc21027317"/>
      <w:bookmarkStart w:id="117" w:name="_Toc22660653"/>
      <w:bookmarkStart w:id="118" w:name="_Toc22811624"/>
      <w:bookmarkStart w:id="119" w:name="_Toc2643601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68544A" w:rsidRPr="00DC2A65" w:rsidRDefault="0068544A" w:rsidP="00335E91">
      <w:pPr>
        <w:pStyle w:val="Ttulo2"/>
        <w:numPr>
          <w:ilvl w:val="0"/>
          <w:numId w:val="38"/>
        </w:numPr>
        <w:spacing w:line="360" w:lineRule="auto"/>
        <w:ind w:right="333"/>
        <w:jc w:val="both"/>
        <w:rPr>
          <w:rFonts w:ascii="Palatino Linotype" w:hAnsi="Palatino Linotype"/>
          <w:i/>
          <w:color w:val="000000" w:themeColor="text1"/>
          <w:sz w:val="24"/>
          <w:szCs w:val="24"/>
        </w:rPr>
      </w:pPr>
      <w:bookmarkStart w:id="120" w:name="_Toc51854303"/>
      <w:r w:rsidRPr="00DC2A65">
        <w:rPr>
          <w:rStyle w:val="Ttulo2Car"/>
          <w:rFonts w:ascii="Palatino Linotype" w:hAnsi="Palatino Linotype"/>
          <w:b/>
          <w:color w:val="000000" w:themeColor="text1"/>
          <w:sz w:val="24"/>
          <w:szCs w:val="24"/>
        </w:rPr>
        <w:lastRenderedPageBreak/>
        <w:t>Razones o Motivos de inconformidad:</w:t>
      </w:r>
      <w:bookmarkEnd w:id="62"/>
      <w:r w:rsidRPr="00DC2A65">
        <w:rPr>
          <w:rFonts w:ascii="Palatino Linotype" w:hAnsi="Palatino Linotype"/>
          <w:b/>
          <w:color w:val="000000" w:themeColor="text1"/>
          <w:sz w:val="24"/>
          <w:szCs w:val="24"/>
        </w:rPr>
        <w:t xml:space="preserve"> </w:t>
      </w:r>
      <w:r w:rsidRPr="00DC2A65">
        <w:rPr>
          <w:rFonts w:ascii="Palatino Linotype" w:hAnsi="Palatino Linotype"/>
          <w:i/>
          <w:color w:val="000000" w:themeColor="text1"/>
          <w:sz w:val="24"/>
          <w:szCs w:val="24"/>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w:t>
      </w:r>
      <w:r w:rsidRPr="00DC2A65">
        <w:rPr>
          <w:rFonts w:ascii="Palatino Linotype" w:hAnsi="Palatino Linotype"/>
          <w:i/>
          <w:color w:val="000000" w:themeColor="text1"/>
          <w:sz w:val="24"/>
          <w:szCs w:val="24"/>
        </w:rPr>
        <w:lastRenderedPageBreak/>
        <w:t xml:space="preserve">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DC2A65">
        <w:rPr>
          <w:rFonts w:ascii="Palatino Linotype" w:hAnsi="Palatino Linotype"/>
          <w:i/>
          <w:color w:val="000000" w:themeColor="text1"/>
          <w:sz w:val="24"/>
          <w:szCs w:val="24"/>
        </w:rPr>
        <w:t>infoem</w:t>
      </w:r>
      <w:proofErr w:type="spellEnd"/>
      <w:r w:rsidRPr="00DC2A65">
        <w:rPr>
          <w:rFonts w:ascii="Palatino Linotype" w:hAnsi="Palatino Linotype"/>
          <w:i/>
          <w:color w:val="000000" w:themeColor="text1"/>
          <w:sz w:val="24"/>
          <w:szCs w:val="24"/>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DC2A65">
        <w:rPr>
          <w:rFonts w:ascii="Palatino Linotype" w:hAnsi="Palatino Linotype"/>
          <w:i/>
          <w:color w:val="000000" w:themeColor="text1"/>
          <w:sz w:val="24"/>
          <w:szCs w:val="24"/>
        </w:rPr>
        <w:t>covid</w:t>
      </w:r>
      <w:proofErr w:type="spellEnd"/>
      <w:r w:rsidRPr="00DC2A65">
        <w:rPr>
          <w:rFonts w:ascii="Palatino Linotype" w:hAnsi="Palatino Linotype"/>
          <w:i/>
          <w:color w:val="000000" w:themeColor="text1"/>
          <w:sz w:val="24"/>
          <w:szCs w:val="24"/>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DC2A65">
        <w:rPr>
          <w:rFonts w:ascii="Palatino Linotype" w:hAnsi="Palatino Linotype"/>
          <w:i/>
          <w:color w:val="000000" w:themeColor="text1"/>
          <w:sz w:val="24"/>
          <w:szCs w:val="24"/>
        </w:rPr>
        <w:t>checador</w:t>
      </w:r>
      <w:proofErr w:type="spellEnd"/>
      <w:r w:rsidRPr="00DC2A65">
        <w:rPr>
          <w:rFonts w:ascii="Palatino Linotype" w:hAnsi="Palatino Linotype"/>
          <w:i/>
          <w:color w:val="000000" w:themeColor="text1"/>
          <w:sz w:val="24"/>
          <w:szCs w:val="24"/>
        </w:rPr>
        <w:t xml:space="preserve"> del registro de asistencia de los servidores públicos municipales, por lo que lejos de afectarle, la pandemia le ha permitido ampliar significativamente los plazos al no haber </w:t>
      </w:r>
      <w:r w:rsidRPr="00DC2A65">
        <w:rPr>
          <w:rFonts w:ascii="Palatino Linotype" w:hAnsi="Palatino Linotype"/>
          <w:i/>
          <w:color w:val="000000" w:themeColor="text1"/>
          <w:sz w:val="24"/>
          <w:szCs w:val="24"/>
        </w:rPr>
        <w:lastRenderedPageBreak/>
        <w:t xml:space="preserve">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Pr="00DC2A65">
        <w:rPr>
          <w:rFonts w:ascii="Palatino Linotype" w:hAnsi="Palatino Linotype"/>
          <w:i/>
          <w:color w:val="000000" w:themeColor="text1"/>
          <w:sz w:val="24"/>
          <w:szCs w:val="24"/>
        </w:rPr>
        <w:t>saimex</w:t>
      </w:r>
      <w:proofErr w:type="spellEnd"/>
      <w:r w:rsidRPr="00DC2A65">
        <w:rPr>
          <w:rFonts w:ascii="Palatino Linotype" w:hAnsi="Palatino Linotype"/>
          <w:i/>
          <w:color w:val="000000" w:themeColor="text1"/>
          <w:sz w:val="24"/>
          <w:szCs w:val="24"/>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DC2A65">
        <w:rPr>
          <w:rFonts w:ascii="Palatino Linotype" w:hAnsi="Palatino Linotype"/>
          <w:i/>
          <w:color w:val="000000" w:themeColor="text1"/>
          <w:sz w:val="24"/>
          <w:szCs w:val="24"/>
        </w:rPr>
        <w:t>saimex</w:t>
      </w:r>
      <w:proofErr w:type="spellEnd"/>
      <w:r w:rsidRPr="00DC2A65">
        <w:rPr>
          <w:rFonts w:ascii="Palatino Linotype" w:hAnsi="Palatino Linotype"/>
          <w:i/>
          <w:color w:val="000000" w:themeColor="text1"/>
          <w:sz w:val="24"/>
          <w:szCs w:val="24"/>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w:t>
      </w:r>
      <w:r w:rsidRPr="00DC2A65">
        <w:rPr>
          <w:rFonts w:ascii="Palatino Linotype" w:hAnsi="Palatino Linotype"/>
          <w:i/>
          <w:color w:val="000000" w:themeColor="text1"/>
          <w:sz w:val="24"/>
          <w:szCs w:val="24"/>
        </w:rPr>
        <w:lastRenderedPageBreak/>
        <w:t xml:space="preserve">prueba el video correspondiente a la sexagésima séptima sesión ordinaria de cabildo, donde en el punto de asuntos generales, a cuestionamiento de la segunda regidora, el presidente municipal, expresa que “ahí </w:t>
      </w:r>
      <w:proofErr w:type="spellStart"/>
      <w:r w:rsidRPr="00DC2A65">
        <w:rPr>
          <w:rFonts w:ascii="Palatino Linotype" w:hAnsi="Palatino Linotype"/>
          <w:i/>
          <w:color w:val="000000" w:themeColor="text1"/>
          <w:sz w:val="24"/>
          <w:szCs w:val="24"/>
        </w:rPr>
        <w:t>esta</w:t>
      </w:r>
      <w:proofErr w:type="spellEnd"/>
      <w:r w:rsidRPr="00DC2A65">
        <w:rPr>
          <w:rFonts w:ascii="Palatino Linotype" w:hAnsi="Palatino Linotype"/>
          <w:i/>
          <w:color w:val="000000" w:themeColor="text1"/>
          <w:sz w:val="24"/>
          <w:szCs w:val="24"/>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bookmarkEnd w:id="63"/>
      <w:bookmarkEnd w:id="64"/>
      <w:bookmarkEnd w:id="65"/>
      <w:bookmarkEnd w:id="66"/>
      <w:bookmarkEnd w:id="67"/>
      <w:bookmarkEnd w:id="68"/>
      <w:bookmarkEnd w:id="69"/>
      <w:bookmarkEnd w:id="70"/>
      <w:bookmarkEnd w:id="71"/>
      <w:bookmarkEnd w:id="72"/>
      <w:bookmarkEnd w:id="73"/>
      <w:bookmarkEnd w:id="120"/>
      <w:r w:rsidRPr="00DC2A65">
        <w:rPr>
          <w:rFonts w:ascii="Palatino Linotype" w:hAnsi="Palatino Linotype"/>
          <w:i/>
          <w:color w:val="000000" w:themeColor="text1"/>
          <w:sz w:val="24"/>
          <w:szCs w:val="24"/>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68544A" w:rsidRPr="00DC2A65" w:rsidRDefault="0068544A" w:rsidP="0068544A">
      <w:pPr>
        <w:rPr>
          <w:rFonts w:ascii="Palatino Linotype" w:hAnsi="Palatino Linotype"/>
          <w:lang w:val="es-MX" w:eastAsia="en-US"/>
        </w:rPr>
      </w:pPr>
    </w:p>
    <w:p w:rsidR="0068544A" w:rsidRPr="00DC2A65" w:rsidRDefault="0068544A" w:rsidP="0068544A">
      <w:pPr>
        <w:pStyle w:val="Prrafodelista"/>
        <w:numPr>
          <w:ilvl w:val="0"/>
          <w:numId w:val="1"/>
        </w:numPr>
        <w:tabs>
          <w:tab w:val="left" w:pos="0"/>
        </w:tabs>
        <w:spacing w:line="360" w:lineRule="auto"/>
        <w:ind w:left="0" w:right="49" w:firstLine="0"/>
        <w:jc w:val="both"/>
        <w:rPr>
          <w:rFonts w:ascii="Palatino Linotype" w:hAnsi="Palatino Linotype"/>
        </w:rPr>
      </w:pPr>
      <w:r w:rsidRPr="00DC2A65">
        <w:rPr>
          <w:rFonts w:ascii="Palatino Linotype" w:hAnsi="Palatino Linotype"/>
        </w:rPr>
        <w:t>Consecutivamente</w:t>
      </w:r>
      <w:r w:rsidRPr="00DC2A65">
        <w:rPr>
          <w:rFonts w:ascii="Palatino Linotype" w:hAnsi="Palatino Linotype"/>
          <w:i/>
        </w:rPr>
        <w:t xml:space="preserve">, </w:t>
      </w:r>
      <w:r w:rsidRPr="00DC2A65">
        <w:rPr>
          <w:rFonts w:ascii="Palatino Linotype" w:hAnsi="Palatino Linotype"/>
        </w:rPr>
        <w:t xml:space="preserve">con fundamento en lo dispuesto por el artículo 185 fracción I de la Ley de Transparencia y Acceso a la Información Pública del Estado de </w:t>
      </w:r>
      <w:r w:rsidRPr="00DC2A65">
        <w:rPr>
          <w:rFonts w:ascii="Palatino Linotype" w:hAnsi="Palatino Linotype"/>
          <w:lang w:val="es-ES"/>
        </w:rPr>
        <w:t xml:space="preserve">México y Municipios, </w:t>
      </w:r>
      <w:r w:rsidRPr="00DC2A65">
        <w:rPr>
          <w:rFonts w:ascii="Palatino Linotype" w:hAnsi="Palatino Linotype"/>
        </w:rPr>
        <w:t>los recursos de referencia, fueron turnados</w:t>
      </w:r>
      <w:r w:rsidRPr="00DC2A65">
        <w:rPr>
          <w:rFonts w:ascii="Palatino Linotype" w:hAnsi="Palatino Linotype"/>
          <w:b/>
          <w:lang w:val="es-ES"/>
        </w:rPr>
        <w:t xml:space="preserve"> </w:t>
      </w:r>
      <w:r w:rsidRPr="00DC2A65">
        <w:rPr>
          <w:rFonts w:ascii="Palatino Linotype" w:hAnsi="Palatino Linotype"/>
          <w:lang w:val="es-ES"/>
        </w:rPr>
        <w:t xml:space="preserve">al </w:t>
      </w:r>
      <w:r w:rsidRPr="00DC2A65">
        <w:rPr>
          <w:rFonts w:ascii="Palatino Linotype" w:hAnsi="Palatino Linotype"/>
          <w:b/>
          <w:lang w:val="es-ES"/>
        </w:rPr>
        <w:t xml:space="preserve">Comisionado José Guadalupe Luna Hernández </w:t>
      </w:r>
      <w:r w:rsidRPr="00DC2A65">
        <w:rPr>
          <w:rFonts w:ascii="Palatino Linotype" w:hAnsi="Palatino Linotype"/>
          <w:lang w:val="es-ES"/>
        </w:rPr>
        <w:t xml:space="preserve">con el objeto de su análisis, </w:t>
      </w:r>
      <w:r w:rsidRPr="00DC2A65">
        <w:rPr>
          <w:rFonts w:ascii="Palatino Linotype" w:hAnsi="Palatino Linotype"/>
        </w:rPr>
        <w:t>por lo que el Pleno de este Órgano Autónomo, en la</w:t>
      </w:r>
      <w:r w:rsidRPr="00DC2A65">
        <w:rPr>
          <w:rFonts w:ascii="Palatino Linotype" w:hAnsi="Palatino Linotype"/>
          <w:b/>
        </w:rPr>
        <w:t xml:space="preserve"> </w:t>
      </w:r>
      <w:r w:rsidRPr="00DC2A65">
        <w:rPr>
          <w:rFonts w:ascii="Palatino Linotype" w:hAnsi="Palatino Linotype"/>
        </w:rPr>
        <w:t>Décimo Séptima Sesión Ordinaria</w:t>
      </w:r>
      <w:r w:rsidRPr="00DC2A65">
        <w:rPr>
          <w:rFonts w:ascii="Palatino Linotype" w:hAnsi="Palatino Linotype"/>
          <w:b/>
        </w:rPr>
        <w:t xml:space="preserve"> </w:t>
      </w:r>
      <w:r w:rsidRPr="00DC2A65">
        <w:rPr>
          <w:rFonts w:ascii="Palatino Linotype" w:hAnsi="Palatino Linotype"/>
        </w:rPr>
        <w:t>de fecha</w:t>
      </w:r>
      <w:r w:rsidRPr="00DC2A65">
        <w:rPr>
          <w:rFonts w:ascii="Palatino Linotype" w:hAnsi="Palatino Linotype"/>
          <w:b/>
        </w:rPr>
        <w:t xml:space="preserve"> </w:t>
      </w:r>
      <w:r w:rsidRPr="00DC2A65">
        <w:rPr>
          <w:rFonts w:ascii="Palatino Linotype" w:hAnsi="Palatino Linotype"/>
        </w:rPr>
        <w:t>nueve (09) de septiembre de</w:t>
      </w:r>
      <w:r w:rsidRPr="00DC2A65">
        <w:rPr>
          <w:rFonts w:ascii="Palatino Linotype" w:hAnsi="Palatino Linotype"/>
          <w:b/>
        </w:rPr>
        <w:t xml:space="preserve"> </w:t>
      </w:r>
      <w:r w:rsidRPr="00DC2A65">
        <w:rPr>
          <w:rFonts w:ascii="Palatino Linotype" w:hAnsi="Palatino Linotype"/>
        </w:rPr>
        <w:t>dos mil veinte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C2A65">
        <w:rPr>
          <w:rFonts w:ascii="Palatino Linotype" w:hAnsi="Palatino Linotype"/>
          <w:i/>
          <w:vertAlign w:val="superscript"/>
        </w:rPr>
        <w:footnoteReference w:id="1"/>
      </w:r>
      <w:r w:rsidRPr="00DC2A65">
        <w:rPr>
          <w:rFonts w:ascii="Palatino Linotype" w:hAnsi="Palatino Linotype"/>
        </w:rPr>
        <w:t>, que señala:</w:t>
      </w:r>
    </w:p>
    <w:p w:rsidR="0068544A" w:rsidRPr="00DC2A65" w:rsidRDefault="0068544A" w:rsidP="0068544A">
      <w:pPr>
        <w:pStyle w:val="Prrafodelista"/>
        <w:tabs>
          <w:tab w:val="left" w:pos="0"/>
        </w:tabs>
        <w:spacing w:line="360" w:lineRule="auto"/>
        <w:ind w:left="0" w:right="49"/>
        <w:jc w:val="both"/>
        <w:rPr>
          <w:rFonts w:ascii="Palatino Linotype" w:hAnsi="Palatino Linotype"/>
        </w:rPr>
      </w:pPr>
    </w:p>
    <w:p w:rsidR="0068544A" w:rsidRPr="00DC2A65" w:rsidRDefault="0068544A" w:rsidP="0068544A">
      <w:pPr>
        <w:pStyle w:val="Prrafodelista"/>
        <w:tabs>
          <w:tab w:val="left" w:pos="426"/>
        </w:tabs>
        <w:spacing w:line="360" w:lineRule="auto"/>
        <w:ind w:left="567" w:right="616"/>
        <w:jc w:val="both"/>
        <w:rPr>
          <w:rFonts w:ascii="Palatino Linotype" w:hAnsi="Palatino Linotype"/>
          <w:i/>
          <w:lang w:val="es-ES"/>
        </w:rPr>
      </w:pPr>
      <w:r w:rsidRPr="00DC2A65">
        <w:rPr>
          <w:rFonts w:ascii="Palatino Linotype" w:hAnsi="Palatino Linotype"/>
          <w:b/>
          <w:i/>
          <w:lang w:val="es-ES"/>
        </w:rPr>
        <w:lastRenderedPageBreak/>
        <w:t>“ONCE.</w:t>
      </w:r>
      <w:r w:rsidRPr="00DC2A65">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68544A" w:rsidRPr="00DC2A65" w:rsidRDefault="0068544A" w:rsidP="0068544A">
      <w:pPr>
        <w:pStyle w:val="Prrafodelista"/>
        <w:tabs>
          <w:tab w:val="left" w:pos="426"/>
        </w:tabs>
        <w:spacing w:line="360" w:lineRule="auto"/>
        <w:ind w:left="567" w:right="616"/>
        <w:jc w:val="both"/>
        <w:rPr>
          <w:rFonts w:ascii="Palatino Linotype" w:hAnsi="Palatino Linotype"/>
          <w:i/>
          <w:lang w:val="es-ES"/>
        </w:rPr>
      </w:pPr>
      <w:r w:rsidRPr="00DC2A65">
        <w:rPr>
          <w:rFonts w:ascii="Palatino Linotype" w:hAnsi="Palatino Linotype"/>
          <w:i/>
          <w:lang w:val="es-ES"/>
        </w:rPr>
        <w:t>…</w:t>
      </w:r>
      <w:r w:rsidRPr="00DC2A65">
        <w:rPr>
          <w:rFonts w:ascii="Palatino Linotype" w:hAnsi="Palatino Linotype"/>
          <w:i/>
          <w:lang w:val="es-ES"/>
        </w:rPr>
        <w:tab/>
      </w:r>
    </w:p>
    <w:p w:rsidR="0068544A" w:rsidRPr="00DC2A65" w:rsidRDefault="0068544A" w:rsidP="0068544A">
      <w:pPr>
        <w:pStyle w:val="Prrafodelista"/>
        <w:tabs>
          <w:tab w:val="left" w:pos="426"/>
        </w:tabs>
        <w:spacing w:line="360" w:lineRule="auto"/>
        <w:ind w:left="567" w:right="616"/>
        <w:jc w:val="both"/>
        <w:rPr>
          <w:rFonts w:ascii="Palatino Linotype" w:hAnsi="Palatino Linotype"/>
          <w:i/>
          <w:lang w:val="es-ES"/>
        </w:rPr>
      </w:pPr>
      <w:r w:rsidRPr="00DC2A65">
        <w:rPr>
          <w:rFonts w:ascii="Palatino Linotype" w:hAnsi="Palatino Linotype"/>
          <w:i/>
          <w:lang w:val="es-ES"/>
        </w:rPr>
        <w:t>b) Las partes o los actos impugnados sean iguales</w:t>
      </w:r>
    </w:p>
    <w:p w:rsidR="0068544A" w:rsidRPr="00DC2A65" w:rsidRDefault="0068544A" w:rsidP="0068544A">
      <w:pPr>
        <w:pStyle w:val="Prrafodelista"/>
        <w:tabs>
          <w:tab w:val="left" w:pos="426"/>
        </w:tabs>
        <w:spacing w:line="360" w:lineRule="auto"/>
        <w:ind w:left="567" w:right="616"/>
        <w:jc w:val="both"/>
        <w:rPr>
          <w:rFonts w:ascii="Palatino Linotype" w:hAnsi="Palatino Linotype"/>
          <w:i/>
          <w:lang w:val="es-ES"/>
        </w:rPr>
      </w:pPr>
      <w:r w:rsidRPr="00DC2A65">
        <w:rPr>
          <w:rFonts w:ascii="Palatino Linotype" w:hAnsi="Palatino Linotype"/>
          <w:i/>
          <w:lang w:val="es-ES"/>
        </w:rPr>
        <w:t>c) Cuando se trate del mismo solicitante, el mismo SUJETO OBLIGADO, aunque se trate de solicitudes diversas;</w:t>
      </w:r>
    </w:p>
    <w:p w:rsidR="0068544A" w:rsidRPr="00DC2A65" w:rsidRDefault="0068544A" w:rsidP="0068544A">
      <w:pPr>
        <w:pStyle w:val="Prrafodelista"/>
        <w:tabs>
          <w:tab w:val="left" w:pos="426"/>
        </w:tabs>
        <w:spacing w:line="360" w:lineRule="auto"/>
        <w:ind w:left="567" w:right="616"/>
        <w:jc w:val="both"/>
        <w:rPr>
          <w:rFonts w:ascii="Palatino Linotype" w:hAnsi="Palatino Linotype"/>
          <w:i/>
          <w:lang w:val="es-ES"/>
        </w:rPr>
      </w:pPr>
      <w:r w:rsidRPr="00DC2A65">
        <w:rPr>
          <w:rFonts w:ascii="Palatino Linotype" w:hAnsi="Palatino Linotype"/>
          <w:i/>
          <w:lang w:val="es-ES"/>
        </w:rPr>
        <w:t>(…)”</w:t>
      </w:r>
    </w:p>
    <w:p w:rsidR="0068544A" w:rsidRPr="00DC2A65" w:rsidRDefault="0068544A" w:rsidP="0068544A">
      <w:pPr>
        <w:pStyle w:val="Prrafodelista"/>
        <w:tabs>
          <w:tab w:val="left" w:pos="426"/>
        </w:tabs>
        <w:spacing w:line="360" w:lineRule="auto"/>
        <w:ind w:left="567" w:right="616"/>
        <w:jc w:val="both"/>
        <w:rPr>
          <w:rFonts w:ascii="Palatino Linotype" w:hAnsi="Palatino Linotype"/>
          <w:lang w:val="es-ES"/>
        </w:rPr>
      </w:pPr>
      <w:r w:rsidRPr="00DC2A65">
        <w:rPr>
          <w:rFonts w:ascii="Palatino Linotype" w:hAnsi="Palatino Linotype"/>
          <w:lang w:val="es-ES"/>
        </w:rPr>
        <w:t>(Énfasis añadido)</w:t>
      </w:r>
    </w:p>
    <w:p w:rsidR="0068544A" w:rsidRPr="00DC2A65" w:rsidRDefault="0068544A" w:rsidP="0068544A">
      <w:pPr>
        <w:pStyle w:val="Prrafodelista"/>
        <w:tabs>
          <w:tab w:val="left" w:pos="426"/>
        </w:tabs>
        <w:spacing w:line="360" w:lineRule="auto"/>
        <w:ind w:left="567" w:right="616"/>
        <w:jc w:val="both"/>
        <w:rPr>
          <w:rFonts w:ascii="Palatino Linotype" w:hAnsi="Palatino Linotype"/>
          <w:lang w:val="es-ES"/>
        </w:rPr>
      </w:pPr>
    </w:p>
    <w:p w:rsidR="0068544A" w:rsidRPr="00DC2A65" w:rsidRDefault="0068544A" w:rsidP="0068544A">
      <w:pPr>
        <w:pStyle w:val="Prrafodelista"/>
        <w:numPr>
          <w:ilvl w:val="0"/>
          <w:numId w:val="1"/>
        </w:numPr>
        <w:tabs>
          <w:tab w:val="left" w:pos="0"/>
        </w:tabs>
        <w:spacing w:line="360" w:lineRule="auto"/>
        <w:ind w:left="0" w:right="49" w:firstLine="0"/>
        <w:jc w:val="both"/>
        <w:rPr>
          <w:rFonts w:ascii="Palatino Linotype" w:hAnsi="Palatino Linotype"/>
        </w:rPr>
      </w:pPr>
      <w:r w:rsidRPr="00DC2A65">
        <w:rPr>
          <w:rFonts w:ascii="Palatino Linotype" w:hAnsi="Palatino Linotype"/>
        </w:rPr>
        <w:t>Es así que,</w:t>
      </w:r>
      <w:r w:rsidRPr="00DC2A65">
        <w:rPr>
          <w:rFonts w:ascii="Palatino Linotype" w:hAnsi="Palatino Linotype"/>
          <w:i/>
        </w:rPr>
        <w:t xml:space="preserve"> </w:t>
      </w:r>
      <w:r w:rsidR="00335E91" w:rsidRPr="00DC2A65">
        <w:rPr>
          <w:rFonts w:ascii="Palatino Linotype" w:hAnsi="Palatino Linotype"/>
        </w:rPr>
        <w:t>resulto</w:t>
      </w:r>
      <w:r w:rsidRPr="00DC2A65">
        <w:rPr>
          <w:rFonts w:ascii="Palatino Linotype" w:hAnsi="Palatino Linotype"/>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8544A" w:rsidRPr="00DC2A65" w:rsidRDefault="0068544A" w:rsidP="0068544A">
      <w:pPr>
        <w:tabs>
          <w:tab w:val="left" w:pos="567"/>
        </w:tabs>
        <w:spacing w:line="360" w:lineRule="auto"/>
        <w:ind w:left="567" w:right="616"/>
        <w:jc w:val="both"/>
        <w:rPr>
          <w:rFonts w:ascii="Palatino Linotype" w:hAnsi="Palatino Linotype"/>
          <w:b/>
          <w:i/>
          <w:sz w:val="14"/>
        </w:rPr>
      </w:pPr>
    </w:p>
    <w:p w:rsidR="0068544A" w:rsidRPr="00DC2A65" w:rsidRDefault="0068544A" w:rsidP="0068544A">
      <w:pPr>
        <w:tabs>
          <w:tab w:val="left" w:pos="567"/>
        </w:tabs>
        <w:spacing w:line="360" w:lineRule="auto"/>
        <w:ind w:left="567" w:right="616"/>
        <w:jc w:val="center"/>
        <w:rPr>
          <w:rFonts w:ascii="Palatino Linotype" w:hAnsi="Palatino Linotype"/>
          <w:b/>
          <w:i/>
        </w:rPr>
      </w:pPr>
      <w:r w:rsidRPr="00DC2A65">
        <w:rPr>
          <w:rFonts w:ascii="Palatino Linotype" w:hAnsi="Palatino Linotype"/>
          <w:b/>
          <w:i/>
        </w:rPr>
        <w:t>Código de Procedimientos Administrativos del Estado de México.</w:t>
      </w:r>
    </w:p>
    <w:p w:rsidR="0068544A" w:rsidRPr="00DC2A65" w:rsidRDefault="0068544A" w:rsidP="0068544A">
      <w:pPr>
        <w:tabs>
          <w:tab w:val="left" w:pos="851"/>
        </w:tabs>
        <w:spacing w:line="276" w:lineRule="auto"/>
        <w:ind w:left="851" w:right="616"/>
        <w:jc w:val="both"/>
        <w:rPr>
          <w:rFonts w:ascii="Palatino Linotype" w:hAnsi="Palatino Linotype"/>
          <w:i/>
        </w:rPr>
      </w:pPr>
      <w:r w:rsidRPr="00DC2A65">
        <w:rPr>
          <w:rFonts w:ascii="Palatino Linotype" w:hAnsi="Palatino Linotype"/>
          <w:b/>
          <w:i/>
        </w:rPr>
        <w:t>“Artículo 18.-</w:t>
      </w:r>
      <w:r w:rsidRPr="00DC2A65">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DC2A65">
        <w:rPr>
          <w:rFonts w:ascii="Palatino Linotype" w:hAnsi="Palatino Linotype"/>
          <w:i/>
        </w:rPr>
        <w:lastRenderedPageBreak/>
        <w:t>resoluciones contradictorias. La misma regla se aplicará, en lo conducente, para la separación de los expedientes.”</w:t>
      </w:r>
    </w:p>
    <w:p w:rsidR="0068544A" w:rsidRPr="00DC2A65" w:rsidRDefault="0068544A" w:rsidP="0068544A">
      <w:pPr>
        <w:tabs>
          <w:tab w:val="left" w:pos="567"/>
        </w:tabs>
        <w:spacing w:line="276" w:lineRule="auto"/>
        <w:ind w:right="616"/>
        <w:jc w:val="both"/>
        <w:rPr>
          <w:rFonts w:ascii="Palatino Linotype" w:hAnsi="Palatino Linotype"/>
          <w:i/>
        </w:rPr>
      </w:pPr>
    </w:p>
    <w:p w:rsidR="0068544A" w:rsidRPr="00DC2A65" w:rsidRDefault="0068544A" w:rsidP="0068544A">
      <w:pPr>
        <w:spacing w:line="360" w:lineRule="auto"/>
        <w:ind w:left="851" w:right="618"/>
        <w:jc w:val="both"/>
        <w:rPr>
          <w:rFonts w:ascii="Palatino Linotype" w:hAnsi="Palatino Linotype"/>
          <w:b/>
          <w:i/>
        </w:rPr>
      </w:pPr>
      <w:r w:rsidRPr="00DC2A65">
        <w:rPr>
          <w:rFonts w:ascii="Palatino Linotype" w:hAnsi="Palatino Linotype"/>
          <w:b/>
          <w:i/>
        </w:rPr>
        <w:t>Ley de Transparencia y Acceso a la Información Pública del Estado de México y Municipios</w:t>
      </w:r>
    </w:p>
    <w:p w:rsidR="0068544A" w:rsidRPr="00DC2A65" w:rsidRDefault="0068544A" w:rsidP="0068544A">
      <w:pPr>
        <w:spacing w:line="360" w:lineRule="auto"/>
        <w:ind w:left="851" w:right="618"/>
        <w:jc w:val="both"/>
        <w:rPr>
          <w:rFonts w:ascii="Palatino Linotype" w:hAnsi="Palatino Linotype"/>
          <w:i/>
        </w:rPr>
      </w:pPr>
      <w:r w:rsidRPr="00DC2A65">
        <w:rPr>
          <w:rFonts w:ascii="Palatino Linotype" w:hAnsi="Palatino Linotype"/>
          <w:b/>
          <w:i/>
        </w:rPr>
        <w:t>“Artículo 195.</w:t>
      </w:r>
      <w:r w:rsidRPr="00DC2A65">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68544A" w:rsidRPr="00DC2A65" w:rsidRDefault="0068544A" w:rsidP="0068544A">
      <w:pPr>
        <w:spacing w:before="240" w:after="240" w:line="360" w:lineRule="auto"/>
        <w:ind w:left="851" w:right="-142"/>
        <w:contextualSpacing/>
        <w:jc w:val="both"/>
        <w:rPr>
          <w:rFonts w:ascii="Palatino Linotype" w:hAnsi="Palatino Linotype"/>
        </w:rPr>
      </w:pPr>
      <w:r w:rsidRPr="00DC2A65">
        <w:rPr>
          <w:rFonts w:ascii="Palatino Linotype" w:hAnsi="Palatino Linotype"/>
        </w:rPr>
        <w:t xml:space="preserve"> (Énfasis añadido)</w:t>
      </w:r>
    </w:p>
    <w:p w:rsidR="00FC71CA" w:rsidRPr="00DC2A65" w:rsidRDefault="00FC71CA" w:rsidP="00FC71CA">
      <w:pPr>
        <w:spacing w:line="276" w:lineRule="auto"/>
        <w:ind w:left="851" w:right="616"/>
        <w:jc w:val="both"/>
        <w:rPr>
          <w:rFonts w:ascii="Palatino Linotype" w:hAnsi="Palatino Linotype"/>
          <w:i/>
        </w:rPr>
      </w:pPr>
    </w:p>
    <w:p w:rsidR="00FC71CA" w:rsidRPr="00DC2A65" w:rsidRDefault="00FC71CA" w:rsidP="00FC71CA">
      <w:pPr>
        <w:pStyle w:val="Prrafodelista"/>
        <w:numPr>
          <w:ilvl w:val="0"/>
          <w:numId w:val="1"/>
        </w:numPr>
        <w:spacing w:before="240" w:after="240" w:line="360" w:lineRule="auto"/>
        <w:ind w:left="0" w:firstLine="0"/>
        <w:jc w:val="both"/>
        <w:rPr>
          <w:rFonts w:ascii="Palatino Linotype" w:hAnsi="Palatino Linotype"/>
          <w:i/>
        </w:rPr>
      </w:pPr>
      <w:r w:rsidRPr="00DC2A65">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veinticuatro (24) de agosto del año </w:t>
      </w:r>
      <w:r w:rsidR="0068544A" w:rsidRPr="00DC2A65">
        <w:rPr>
          <w:rFonts w:ascii="Palatino Linotype" w:eastAsia="Calibri" w:hAnsi="Palatino Linotype" w:cs="Arial"/>
          <w:lang w:val="es-ES"/>
        </w:rPr>
        <w:t>dos mil veinte</w:t>
      </w:r>
      <w:r w:rsidRPr="00DC2A65">
        <w:rPr>
          <w:rFonts w:ascii="Palatino Linotype" w:eastAsia="Calibri" w:hAnsi="Palatino Linotype" w:cs="Arial"/>
          <w:lang w:val="es-ES"/>
        </w:rPr>
        <w:t xml:space="preserve">, puso a disposición de las partes el expediente electrónico </w:t>
      </w:r>
      <w:r w:rsidRPr="00DC2A65">
        <w:rPr>
          <w:rFonts w:ascii="Palatino Linotype" w:eastAsia="Calibri" w:hAnsi="Palatino Linotype" w:cs="Arial"/>
        </w:rPr>
        <w:t xml:space="preserve">vía </w:t>
      </w:r>
      <w:r w:rsidRPr="00DC2A65">
        <w:rPr>
          <w:rFonts w:ascii="Palatino Linotype" w:eastAsia="Calibri" w:hAnsi="Palatino Linotype" w:cs="Arial"/>
          <w:b/>
          <w:lang w:val="es-ES"/>
        </w:rPr>
        <w:t xml:space="preserve">SAIMEX </w:t>
      </w:r>
      <w:r w:rsidRPr="00DC2A6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DC2A65">
        <w:rPr>
          <w:rFonts w:ascii="Palatino Linotype" w:eastAsia="Calibri" w:hAnsi="Palatino Linotype" w:cs="Arial"/>
          <w:b/>
          <w:lang w:val="es-ES"/>
        </w:rPr>
        <w:t>SUJETO OBLIGADO</w:t>
      </w:r>
      <w:r w:rsidRPr="00DC2A65">
        <w:rPr>
          <w:rFonts w:ascii="Palatino Linotype" w:eastAsia="Calibri" w:hAnsi="Palatino Linotype" w:cs="Arial"/>
          <w:lang w:val="es-ES"/>
        </w:rPr>
        <w:t xml:space="preserve"> presentará el Informe Justificado procedente.</w:t>
      </w:r>
    </w:p>
    <w:p w:rsidR="00FC71CA" w:rsidRPr="00DC2A65" w:rsidRDefault="00FC71CA" w:rsidP="00FC71CA">
      <w:pPr>
        <w:pStyle w:val="Prrafodelista"/>
        <w:spacing w:before="240" w:after="240" w:line="360" w:lineRule="auto"/>
        <w:ind w:left="0"/>
        <w:jc w:val="both"/>
        <w:rPr>
          <w:rFonts w:ascii="Palatino Linotype" w:hAnsi="Palatino Linotype"/>
          <w:i/>
        </w:rPr>
      </w:pPr>
    </w:p>
    <w:p w:rsidR="00FC71CA" w:rsidRPr="00DC2A65" w:rsidRDefault="00FC71CA" w:rsidP="00FC71CA">
      <w:pPr>
        <w:pStyle w:val="Prrafodelista"/>
        <w:numPr>
          <w:ilvl w:val="0"/>
          <w:numId w:val="1"/>
        </w:numPr>
        <w:spacing w:before="240" w:after="240" w:line="360" w:lineRule="auto"/>
        <w:ind w:left="0" w:firstLine="0"/>
        <w:jc w:val="both"/>
        <w:rPr>
          <w:rFonts w:ascii="Palatino Linotype" w:hAnsi="Palatino Linotype"/>
        </w:rPr>
      </w:pPr>
      <w:r w:rsidRPr="00DC2A65">
        <w:rPr>
          <w:rFonts w:ascii="Palatino Linotype" w:hAnsi="Palatino Linotype"/>
          <w:color w:val="000000"/>
        </w:rPr>
        <w:t xml:space="preserve">El </w:t>
      </w:r>
      <w:r w:rsidRPr="00DC2A65">
        <w:rPr>
          <w:rFonts w:ascii="Palatino Linotype" w:hAnsi="Palatino Linotype"/>
          <w:b/>
          <w:color w:val="000000"/>
        </w:rPr>
        <w:t>SUJETO OBLIGADO</w:t>
      </w:r>
      <w:r w:rsidRPr="00DC2A65">
        <w:rPr>
          <w:rFonts w:ascii="Palatino Linotype" w:hAnsi="Palatino Linotype"/>
          <w:color w:val="000000"/>
        </w:rPr>
        <w:t xml:space="preserve"> fue omiso en rendir los informes justificados a los recursos de referencia. Por su parte </w:t>
      </w:r>
      <w:r w:rsidRPr="00DC2A65">
        <w:rPr>
          <w:rFonts w:ascii="Palatino Linotype" w:hAnsi="Palatino Linotype"/>
          <w:b/>
          <w:color w:val="000000"/>
        </w:rPr>
        <w:t xml:space="preserve">LA PARTICULAR </w:t>
      </w:r>
      <w:r w:rsidRPr="00DC2A65">
        <w:rPr>
          <w:rFonts w:ascii="Palatino Linotype" w:hAnsi="Palatino Linotype"/>
          <w:color w:val="000000"/>
        </w:rPr>
        <w:t>dejo de realizar manifestaciones que a su derecho conviniera y asistiera.</w:t>
      </w:r>
    </w:p>
    <w:p w:rsidR="00874766" w:rsidRPr="00DC2A65" w:rsidRDefault="00874766" w:rsidP="00FC71CA">
      <w:pPr>
        <w:pStyle w:val="Prrafodelista"/>
        <w:tabs>
          <w:tab w:val="left" w:pos="0"/>
        </w:tabs>
        <w:spacing w:line="360" w:lineRule="auto"/>
        <w:ind w:left="0" w:right="49"/>
        <w:jc w:val="both"/>
        <w:rPr>
          <w:rFonts w:ascii="Palatino Linotype" w:eastAsia="Calibri" w:hAnsi="Palatino Linotype" w:cs="Arial"/>
          <w:lang w:val="es-ES_tradnl"/>
        </w:rPr>
      </w:pPr>
    </w:p>
    <w:p w:rsidR="008E1E4F" w:rsidRPr="00DC2A65" w:rsidRDefault="004950BC" w:rsidP="00AF59DA">
      <w:pPr>
        <w:pStyle w:val="Prrafodelista"/>
        <w:numPr>
          <w:ilvl w:val="0"/>
          <w:numId w:val="1"/>
        </w:numPr>
        <w:spacing w:before="240" w:after="240" w:line="360" w:lineRule="auto"/>
        <w:ind w:left="0" w:right="49" w:firstLine="0"/>
        <w:jc w:val="both"/>
        <w:rPr>
          <w:rFonts w:ascii="Palatino Linotype" w:hAnsi="Palatino Linotype"/>
          <w:b/>
          <w:u w:val="single"/>
          <w:lang w:val="es-ES_tradnl"/>
        </w:rPr>
      </w:pPr>
      <w:r w:rsidRPr="00DC2A65">
        <w:rPr>
          <w:rFonts w:ascii="Palatino Linotype" w:hAnsi="Palatino Linotype"/>
        </w:rPr>
        <w:lastRenderedPageBreak/>
        <w:t xml:space="preserve">El Comisionado Ponente decreto el cierre de instrucción </w:t>
      </w:r>
      <w:r w:rsidR="0068544A" w:rsidRPr="00DC2A65">
        <w:rPr>
          <w:rFonts w:ascii="Palatino Linotype" w:hAnsi="Palatino Linotype"/>
        </w:rPr>
        <w:t>mediante acuerdos de fechas ocho (08) y veinticinco (25) de septiembre de dos mil veinte</w:t>
      </w:r>
      <w:r w:rsidRPr="00DC2A65">
        <w:rPr>
          <w:rFonts w:ascii="Palatino Linotype" w:hAnsi="Palatino Linotype"/>
        </w:rPr>
        <w:t>; ordenando</w:t>
      </w:r>
      <w:r w:rsidRPr="00DC2A65">
        <w:rPr>
          <w:rFonts w:ascii="Palatino Linotype" w:hAnsi="Palatino Linotype" w:cs="Arial"/>
        </w:rPr>
        <w:t xml:space="preserve"> turnar el expediente a resolución.</w:t>
      </w:r>
    </w:p>
    <w:p w:rsidR="00FC71CA" w:rsidRPr="00DC2A65" w:rsidRDefault="00FC71CA" w:rsidP="00FC71CA">
      <w:pPr>
        <w:pStyle w:val="Prrafodelista"/>
        <w:rPr>
          <w:rFonts w:ascii="Palatino Linotype" w:hAnsi="Palatino Linotype"/>
          <w:b/>
          <w:u w:val="single"/>
          <w:lang w:val="es-ES_tradnl"/>
        </w:rPr>
      </w:pPr>
    </w:p>
    <w:p w:rsidR="00E12F6B" w:rsidRPr="00DC2A65" w:rsidRDefault="00A53E26" w:rsidP="009E4CDD">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DC2A65">
        <w:rPr>
          <w:rFonts w:ascii="Palatino Linotype" w:hAnsi="Palatino Linotype"/>
          <w:lang w:val="es-ES_tradnl"/>
        </w:rPr>
        <w:t xml:space="preserve">Así, en fecha </w:t>
      </w:r>
      <w:r w:rsidR="009E4CDD" w:rsidRPr="00DC2A65">
        <w:rPr>
          <w:rFonts w:ascii="Palatino Linotype" w:hAnsi="Palatino Linotype"/>
          <w:lang w:val="es-ES_tradnl"/>
        </w:rPr>
        <w:t>siete</w:t>
      </w:r>
      <w:r w:rsidR="00874766" w:rsidRPr="00DC2A65">
        <w:rPr>
          <w:rFonts w:ascii="Palatino Linotype" w:hAnsi="Palatino Linotype"/>
          <w:lang w:val="es-ES_tradnl"/>
        </w:rPr>
        <w:t xml:space="preserve"> (</w:t>
      </w:r>
      <w:r w:rsidR="009E4CDD" w:rsidRPr="00DC2A65">
        <w:rPr>
          <w:rFonts w:ascii="Palatino Linotype" w:hAnsi="Palatino Linotype"/>
          <w:lang w:val="es-ES_tradnl"/>
        </w:rPr>
        <w:t>07</w:t>
      </w:r>
      <w:r w:rsidR="00874766" w:rsidRPr="00DC2A65">
        <w:rPr>
          <w:rFonts w:ascii="Palatino Linotype" w:hAnsi="Palatino Linotype"/>
          <w:lang w:val="es-ES_tradnl"/>
        </w:rPr>
        <w:t xml:space="preserve">) de </w:t>
      </w:r>
      <w:r w:rsidR="009E4CDD" w:rsidRPr="00DC2A65">
        <w:rPr>
          <w:rFonts w:ascii="Palatino Linotype" w:hAnsi="Palatino Linotype"/>
          <w:lang w:val="es-ES_tradnl"/>
        </w:rPr>
        <w:t>octu</w:t>
      </w:r>
      <w:r w:rsidR="00874766" w:rsidRPr="00DC2A65">
        <w:rPr>
          <w:rFonts w:ascii="Palatino Linotype" w:hAnsi="Palatino Linotype"/>
          <w:lang w:val="es-ES_tradnl"/>
        </w:rPr>
        <w:t xml:space="preserve">bre de dos mil veinte, en la </w:t>
      </w:r>
      <w:r w:rsidR="009E4CDD" w:rsidRPr="00DC2A65">
        <w:rPr>
          <w:rFonts w:ascii="Palatino Linotype" w:hAnsi="Palatino Linotype"/>
          <w:lang w:val="es-ES_tradnl"/>
        </w:rPr>
        <w:t>Vigésima Primera</w:t>
      </w:r>
      <w:r w:rsidR="00874766" w:rsidRPr="00DC2A65">
        <w:rPr>
          <w:rFonts w:ascii="Palatino Linotype" w:hAnsi="Palatino Linotype"/>
          <w:lang w:val="es-ES_tradnl"/>
        </w:rPr>
        <w:t xml:space="preserve"> Ordinaria del Pleno del Instituto de Transparencia, Acceso a la Información Pública y Protección de Datos Personales del Estado de México y Municipios, se aprobó la resolución de referencia, en la que se determinó </w:t>
      </w:r>
      <w:r w:rsidR="00874766" w:rsidRPr="00DC2A65">
        <w:rPr>
          <w:rFonts w:ascii="Palatino Linotype" w:eastAsia="Calibri" w:hAnsi="Palatino Linotype" w:cs="Arial"/>
          <w:b/>
          <w:lang w:val="es-ES_tradnl"/>
        </w:rPr>
        <w:t xml:space="preserve">CONFIRMAR </w:t>
      </w:r>
      <w:r w:rsidR="00874766" w:rsidRPr="00DC2A65">
        <w:rPr>
          <w:rFonts w:ascii="Palatino Linotype" w:eastAsia="Calibri" w:hAnsi="Palatino Linotype" w:cs="Arial"/>
          <w:lang w:val="es-ES_tradnl"/>
        </w:rPr>
        <w:t>la</w:t>
      </w:r>
      <w:r w:rsidR="00D3649F" w:rsidRPr="00DC2A65">
        <w:rPr>
          <w:rFonts w:ascii="Palatino Linotype" w:eastAsia="Calibri" w:hAnsi="Palatino Linotype" w:cs="Arial"/>
          <w:lang w:val="es-ES_tradnl"/>
        </w:rPr>
        <w:t>s</w:t>
      </w:r>
      <w:r w:rsidR="00874766" w:rsidRPr="00DC2A65">
        <w:rPr>
          <w:rFonts w:ascii="Palatino Linotype" w:eastAsia="Calibri" w:hAnsi="Palatino Linotype" w:cs="Arial"/>
          <w:lang w:val="es-ES_tradnl"/>
        </w:rPr>
        <w:t xml:space="preserve"> respuesta</w:t>
      </w:r>
      <w:r w:rsidR="00D3649F" w:rsidRPr="00DC2A65">
        <w:rPr>
          <w:rFonts w:ascii="Palatino Linotype" w:eastAsia="Calibri" w:hAnsi="Palatino Linotype" w:cs="Arial"/>
          <w:lang w:val="es-ES_tradnl"/>
        </w:rPr>
        <w:t>s</w:t>
      </w:r>
      <w:r w:rsidR="00874766" w:rsidRPr="00DC2A65">
        <w:rPr>
          <w:rFonts w:ascii="Palatino Linotype" w:eastAsia="Calibri" w:hAnsi="Palatino Linotype" w:cs="Arial"/>
          <w:lang w:val="es-ES_tradnl"/>
        </w:rPr>
        <w:t xml:space="preserve"> emitida</w:t>
      </w:r>
      <w:r w:rsidR="00D3649F" w:rsidRPr="00DC2A65">
        <w:rPr>
          <w:rFonts w:ascii="Palatino Linotype" w:eastAsia="Calibri" w:hAnsi="Palatino Linotype" w:cs="Arial"/>
          <w:lang w:val="es-ES_tradnl"/>
        </w:rPr>
        <w:t>s</w:t>
      </w:r>
      <w:r w:rsidR="00874766" w:rsidRPr="00DC2A65">
        <w:rPr>
          <w:rFonts w:ascii="Palatino Linotype" w:eastAsia="Calibri" w:hAnsi="Palatino Linotype" w:cs="Arial"/>
          <w:lang w:val="es-ES_tradnl"/>
        </w:rPr>
        <w:t xml:space="preserve"> por el </w:t>
      </w:r>
      <w:r w:rsidR="00874766" w:rsidRPr="00DC2A65">
        <w:rPr>
          <w:rFonts w:ascii="Palatino Linotype" w:hAnsi="Palatino Linotype" w:cs="Arial"/>
          <w:lang w:val="es-ES_tradnl"/>
        </w:rPr>
        <w:t>Ayuntamiento de Ixtapan de la Sal,</w:t>
      </w:r>
      <w:r w:rsidR="00874766" w:rsidRPr="00DC2A65">
        <w:rPr>
          <w:rFonts w:ascii="Palatino Linotype" w:eastAsia="Calibri" w:hAnsi="Palatino Linotype" w:cs="Arial"/>
          <w:lang w:val="es-ES_tradnl"/>
        </w:rPr>
        <w:t xml:space="preserve"> a la</w:t>
      </w:r>
      <w:r w:rsidR="00D3649F" w:rsidRPr="00DC2A65">
        <w:rPr>
          <w:rFonts w:ascii="Palatino Linotype" w:eastAsia="Calibri" w:hAnsi="Palatino Linotype" w:cs="Arial"/>
          <w:lang w:val="es-ES_tradnl"/>
        </w:rPr>
        <w:t>s</w:t>
      </w:r>
      <w:r w:rsidR="00874766" w:rsidRPr="00DC2A65">
        <w:rPr>
          <w:rFonts w:ascii="Palatino Linotype" w:eastAsia="Calibri" w:hAnsi="Palatino Linotype" w:cs="Arial"/>
          <w:lang w:val="es-ES_tradnl"/>
        </w:rPr>
        <w:t xml:space="preserve"> solicitud</w:t>
      </w:r>
      <w:r w:rsidR="00D3649F" w:rsidRPr="00DC2A65">
        <w:rPr>
          <w:rFonts w:ascii="Palatino Linotype" w:eastAsia="Calibri" w:hAnsi="Palatino Linotype" w:cs="Arial"/>
          <w:lang w:val="es-ES_tradnl"/>
        </w:rPr>
        <w:t>es</w:t>
      </w:r>
      <w:r w:rsidR="00874766" w:rsidRPr="00DC2A65">
        <w:rPr>
          <w:rFonts w:ascii="Palatino Linotype" w:eastAsia="Calibri" w:hAnsi="Palatino Linotype" w:cs="Arial"/>
          <w:lang w:val="es-ES_tradnl"/>
        </w:rPr>
        <w:t xml:space="preserve"> de información </w:t>
      </w:r>
      <w:r w:rsidR="009E4CDD" w:rsidRPr="00DC2A65">
        <w:rPr>
          <w:rFonts w:ascii="Palatino Linotype" w:hAnsi="Palatino Linotype"/>
          <w:bCs/>
          <w:lang w:val="es-ES_tradnl"/>
        </w:rPr>
        <w:t>00685/IXTASAL/IP/2020, 00686/IXTASAL/IP/2020 y 00687/IXTASAL/IP/2020</w:t>
      </w:r>
      <w:r w:rsidR="00B60327" w:rsidRPr="00DC2A65">
        <w:rPr>
          <w:rFonts w:ascii="Palatino Linotype" w:hAnsi="Palatino Linotype"/>
          <w:lang w:val="es-ES_tradnl"/>
        </w:rPr>
        <w:t>, cuyos puntos resolutivos son los siguientes:</w:t>
      </w:r>
    </w:p>
    <w:p w:rsidR="00E12F6B" w:rsidRPr="00DC2A65" w:rsidRDefault="00E12F6B" w:rsidP="008E1E4F">
      <w:pPr>
        <w:pStyle w:val="Sinespaciado"/>
        <w:spacing w:line="276" w:lineRule="auto"/>
        <w:jc w:val="both"/>
        <w:rPr>
          <w:rFonts w:ascii="Palatino Linotype" w:hAnsi="Palatino Linotype"/>
          <w:sz w:val="22"/>
          <w:szCs w:val="22"/>
        </w:rPr>
      </w:pPr>
    </w:p>
    <w:p w:rsidR="009E4CDD" w:rsidRPr="00DC2A65" w:rsidRDefault="00E12F6B" w:rsidP="009E4CDD">
      <w:pPr>
        <w:spacing w:line="360" w:lineRule="auto"/>
        <w:ind w:left="567" w:right="616"/>
        <w:jc w:val="both"/>
        <w:rPr>
          <w:rFonts w:ascii="Palatino Linotype" w:hAnsi="Palatino Linotype"/>
          <w:i/>
        </w:rPr>
      </w:pPr>
      <w:r w:rsidRPr="00DC2A65">
        <w:rPr>
          <w:rFonts w:ascii="Palatino Linotype" w:hAnsi="Palatino Linotype" w:cs="Arial"/>
          <w:b/>
          <w:i/>
          <w:lang w:val="es-ES_tradnl"/>
        </w:rPr>
        <w:t>“</w:t>
      </w:r>
      <w:r w:rsidR="009E4CDD" w:rsidRPr="00DC2A65">
        <w:rPr>
          <w:rFonts w:ascii="Palatino Linotype" w:hAnsi="Palatino Linotype" w:cs="Arial"/>
          <w:b/>
          <w:i/>
        </w:rPr>
        <w:t xml:space="preserve">PRIMERO. </w:t>
      </w:r>
      <w:r w:rsidR="009E4CDD" w:rsidRPr="00DC2A65">
        <w:rPr>
          <w:rFonts w:ascii="Palatino Linotype" w:hAnsi="Palatino Linotype" w:cs="Arial"/>
          <w:i/>
        </w:rPr>
        <w:t>Resultan infundadas las</w:t>
      </w:r>
      <w:r w:rsidR="009E4CDD" w:rsidRPr="00DC2A65">
        <w:rPr>
          <w:rFonts w:ascii="Palatino Linotype" w:hAnsi="Palatino Linotype" w:cs="Arial"/>
          <w:b/>
          <w:i/>
        </w:rPr>
        <w:t xml:space="preserve"> </w:t>
      </w:r>
      <w:r w:rsidR="009E4CDD" w:rsidRPr="00DC2A65">
        <w:rPr>
          <w:rFonts w:ascii="Palatino Linotype" w:hAnsi="Palatino Linotype" w:cs="Arial"/>
          <w:i/>
          <w:lang w:val="es-ES"/>
        </w:rPr>
        <w:t xml:space="preserve">razones o motivos de inconformidad hechos valer </w:t>
      </w:r>
      <w:r w:rsidR="009E4CDD" w:rsidRPr="00DC2A65">
        <w:rPr>
          <w:rFonts w:ascii="Palatino Linotype" w:eastAsia="Calibri" w:hAnsi="Palatino Linotype" w:cs="Arial"/>
          <w:i/>
          <w:lang w:val="es-ES"/>
        </w:rPr>
        <w:t xml:space="preserve">en los recursos de revisión </w:t>
      </w:r>
      <w:r w:rsidR="009E4CDD" w:rsidRPr="00DC2A65">
        <w:rPr>
          <w:rFonts w:ascii="Palatino Linotype" w:hAnsi="Palatino Linotype"/>
          <w:b/>
          <w:i/>
        </w:rPr>
        <w:t xml:space="preserve">03038/INFOEM/IP/RR/2020, 03039/INFOEM/IP/RR/2020 </w:t>
      </w:r>
      <w:r w:rsidR="009E4CDD" w:rsidRPr="00DC2A65">
        <w:rPr>
          <w:rFonts w:ascii="Palatino Linotype" w:hAnsi="Palatino Linotype"/>
          <w:i/>
        </w:rPr>
        <w:t>y</w:t>
      </w:r>
      <w:r w:rsidR="009E4CDD" w:rsidRPr="00DC2A65">
        <w:rPr>
          <w:rFonts w:ascii="Palatino Linotype" w:hAnsi="Palatino Linotype"/>
          <w:b/>
          <w:i/>
        </w:rPr>
        <w:t xml:space="preserve"> 03040/INFOEM/IP/RR/2020, </w:t>
      </w:r>
      <w:r w:rsidR="009E4CDD" w:rsidRPr="00DC2A65">
        <w:rPr>
          <w:rFonts w:ascii="Palatino Linotype" w:hAnsi="Palatino Linotype" w:cs="Arial"/>
          <w:bCs/>
          <w:i/>
        </w:rPr>
        <w:t xml:space="preserve">en términos del </w:t>
      </w:r>
      <w:r w:rsidR="009E4CDD" w:rsidRPr="00DC2A65">
        <w:rPr>
          <w:rFonts w:ascii="Palatino Linotype" w:hAnsi="Palatino Linotype" w:cs="Arial"/>
          <w:b/>
          <w:bCs/>
          <w:i/>
        </w:rPr>
        <w:t>Considerando</w:t>
      </w:r>
      <w:r w:rsidR="009E4CDD" w:rsidRPr="00DC2A65">
        <w:rPr>
          <w:rFonts w:ascii="Palatino Linotype" w:hAnsi="Palatino Linotype" w:cs="Arial"/>
          <w:bCs/>
          <w:i/>
        </w:rPr>
        <w:t xml:space="preserve"> </w:t>
      </w:r>
      <w:r w:rsidR="009E4CDD" w:rsidRPr="00DC2A65">
        <w:rPr>
          <w:rFonts w:ascii="Palatino Linotype" w:hAnsi="Palatino Linotype" w:cs="Arial"/>
          <w:b/>
          <w:bCs/>
          <w:i/>
        </w:rPr>
        <w:t>CUARTO</w:t>
      </w:r>
      <w:r w:rsidR="009E4CDD" w:rsidRPr="00DC2A65">
        <w:rPr>
          <w:rFonts w:ascii="Palatino Linotype" w:hAnsi="Palatino Linotype" w:cs="Arial"/>
          <w:bCs/>
          <w:i/>
        </w:rPr>
        <w:t xml:space="preserve"> de la presente resolución.</w:t>
      </w:r>
    </w:p>
    <w:p w:rsidR="009E4CDD" w:rsidRPr="00DC2A65" w:rsidRDefault="009E4CDD" w:rsidP="009E4CDD">
      <w:pPr>
        <w:spacing w:before="240" w:after="240" w:line="360" w:lineRule="auto"/>
        <w:ind w:left="567" w:right="616"/>
        <w:jc w:val="both"/>
        <w:rPr>
          <w:rFonts w:ascii="Palatino Linotype" w:eastAsia="Calibri" w:hAnsi="Palatino Linotype" w:cs="Arial"/>
          <w:i/>
          <w:lang w:val="es-ES"/>
        </w:rPr>
      </w:pPr>
      <w:r w:rsidRPr="00DC2A65">
        <w:rPr>
          <w:rFonts w:ascii="Palatino Linotype" w:hAnsi="Palatino Linotype"/>
          <w:b/>
          <w:i/>
        </w:rPr>
        <w:t>SEGUNDO.</w:t>
      </w:r>
      <w:r w:rsidRPr="00DC2A65">
        <w:rPr>
          <w:rStyle w:val="Ttulo2Car"/>
          <w:rFonts w:ascii="Palatino Linotype" w:hAnsi="Palatino Linotype"/>
          <w:b/>
          <w:i/>
          <w:sz w:val="24"/>
          <w:szCs w:val="24"/>
        </w:rPr>
        <w:t xml:space="preserve"> </w:t>
      </w:r>
      <w:r w:rsidRPr="00DC2A65">
        <w:rPr>
          <w:rFonts w:ascii="Palatino Linotype" w:eastAsia="Calibri" w:hAnsi="Palatino Linotype" w:cs="Arial"/>
          <w:i/>
          <w:lang w:val="es-ES"/>
        </w:rPr>
        <w:t>Se</w:t>
      </w:r>
      <w:r w:rsidRPr="00DC2A65">
        <w:rPr>
          <w:rFonts w:ascii="Palatino Linotype" w:eastAsia="Calibri" w:hAnsi="Palatino Linotype" w:cs="Arial"/>
          <w:b/>
          <w:i/>
          <w:lang w:val="es-ES"/>
        </w:rPr>
        <w:t xml:space="preserve"> CONFIRMA </w:t>
      </w:r>
      <w:r w:rsidRPr="00DC2A65">
        <w:rPr>
          <w:rFonts w:ascii="Palatino Linotype" w:eastAsia="Calibri" w:hAnsi="Palatino Linotype" w:cs="Arial"/>
          <w:i/>
          <w:lang w:val="es-ES"/>
        </w:rPr>
        <w:t xml:space="preserve">la respuesta emitida por el </w:t>
      </w:r>
      <w:r w:rsidRPr="00DC2A65">
        <w:rPr>
          <w:rFonts w:ascii="Palatino Linotype" w:hAnsi="Palatino Linotype" w:cs="Arial"/>
          <w:b/>
          <w:i/>
        </w:rPr>
        <w:t>Ayuntamiento de Ixtapan de la Sal,</w:t>
      </w:r>
      <w:r w:rsidRPr="00DC2A65">
        <w:rPr>
          <w:rFonts w:ascii="Palatino Linotype" w:eastAsia="Calibri" w:hAnsi="Palatino Linotype" w:cs="Arial"/>
          <w:i/>
          <w:lang w:val="es-ES"/>
        </w:rPr>
        <w:t xml:space="preserve"> a las solicitudes de información </w:t>
      </w:r>
      <w:r w:rsidRPr="00DC2A65">
        <w:rPr>
          <w:rFonts w:ascii="Palatino Linotype" w:hAnsi="Palatino Linotype"/>
          <w:b/>
          <w:bCs/>
          <w:i/>
          <w:color w:val="000000" w:themeColor="text1"/>
        </w:rPr>
        <w:t xml:space="preserve">00685/IXTASAL/IP/2020, 00686/IXTASAL/IP/2020 </w:t>
      </w:r>
      <w:r w:rsidRPr="00DC2A65">
        <w:rPr>
          <w:rFonts w:ascii="Palatino Linotype" w:hAnsi="Palatino Linotype"/>
          <w:bCs/>
          <w:i/>
          <w:color w:val="000000" w:themeColor="text1"/>
        </w:rPr>
        <w:t>y</w:t>
      </w:r>
      <w:r w:rsidRPr="00DC2A65">
        <w:rPr>
          <w:rFonts w:ascii="Palatino Linotype" w:hAnsi="Palatino Linotype"/>
          <w:b/>
          <w:bCs/>
          <w:i/>
          <w:color w:val="000000" w:themeColor="text1"/>
        </w:rPr>
        <w:t xml:space="preserve"> 00687/IXTASAL/IP/2020</w:t>
      </w:r>
      <w:r w:rsidRPr="00DC2A65">
        <w:rPr>
          <w:rFonts w:ascii="Palatino Linotype" w:eastAsia="Calibri" w:hAnsi="Palatino Linotype" w:cs="Arial"/>
          <w:b/>
          <w:i/>
          <w:lang w:val="es-ES"/>
        </w:rPr>
        <w:t>.</w:t>
      </w:r>
      <w:r w:rsidRPr="00DC2A65">
        <w:rPr>
          <w:rFonts w:ascii="Palatino Linotype" w:eastAsia="Calibri" w:hAnsi="Palatino Linotype" w:cs="Arial"/>
          <w:i/>
          <w:lang w:val="es-ES"/>
        </w:rPr>
        <w:t xml:space="preserve"> </w:t>
      </w:r>
    </w:p>
    <w:p w:rsidR="009E4CDD" w:rsidRPr="00DC2A65" w:rsidRDefault="009E4CDD" w:rsidP="009E4CDD">
      <w:pPr>
        <w:tabs>
          <w:tab w:val="left" w:pos="8080"/>
        </w:tabs>
        <w:spacing w:line="360" w:lineRule="auto"/>
        <w:ind w:left="567" w:right="616"/>
        <w:contextualSpacing/>
        <w:jc w:val="both"/>
        <w:rPr>
          <w:rFonts w:ascii="Palatino Linotype" w:eastAsia="Palatino Linotype" w:hAnsi="Palatino Linotype" w:cs="Palatino Linotype"/>
          <w:b/>
          <w:i/>
        </w:rPr>
      </w:pPr>
      <w:r w:rsidRPr="00DC2A65">
        <w:rPr>
          <w:rFonts w:ascii="Palatino Linotype" w:eastAsia="Palatino Linotype" w:hAnsi="Palatino Linotype" w:cs="Palatino Linotype"/>
          <w:b/>
          <w:i/>
        </w:rPr>
        <w:t xml:space="preserve">TERCERO. REMÍTASE, </w:t>
      </w:r>
      <w:r w:rsidRPr="00DC2A65">
        <w:rPr>
          <w:rFonts w:ascii="Palatino Linotype" w:eastAsia="Palatino Linotype" w:hAnsi="Palatino Linotype" w:cs="Palatino Linotype"/>
          <w:i/>
        </w:rPr>
        <w:t xml:space="preserve">vía Sistema de Acceso a la Información Mexiquense (SAIMEX), la presente resolución al Titular de la Unidad de Transparencia del </w:t>
      </w:r>
      <w:r w:rsidRPr="00DC2A65">
        <w:rPr>
          <w:rFonts w:ascii="Palatino Linotype" w:eastAsia="Palatino Linotype" w:hAnsi="Palatino Linotype" w:cs="Palatino Linotype"/>
          <w:b/>
          <w:i/>
        </w:rPr>
        <w:t>SUJETO OBLIGADO.</w:t>
      </w:r>
    </w:p>
    <w:p w:rsidR="009E4CDD" w:rsidRPr="00DC2A65" w:rsidRDefault="009E4CDD" w:rsidP="009E4CDD">
      <w:pPr>
        <w:tabs>
          <w:tab w:val="left" w:pos="8080"/>
        </w:tabs>
        <w:spacing w:line="360" w:lineRule="auto"/>
        <w:ind w:left="567" w:right="616"/>
        <w:contextualSpacing/>
        <w:jc w:val="both"/>
        <w:rPr>
          <w:rFonts w:ascii="Palatino Linotype" w:eastAsia="Palatino Linotype" w:hAnsi="Palatino Linotype" w:cs="Palatino Linotype"/>
          <w:b/>
          <w:i/>
        </w:rPr>
      </w:pPr>
    </w:p>
    <w:p w:rsidR="009E4CDD" w:rsidRPr="00DC2A65" w:rsidRDefault="009E4CDD" w:rsidP="009E4CDD">
      <w:pPr>
        <w:shd w:val="clear" w:color="auto" w:fill="FFFFFF"/>
        <w:spacing w:line="360" w:lineRule="auto"/>
        <w:ind w:left="567" w:right="616"/>
        <w:jc w:val="both"/>
        <w:rPr>
          <w:rFonts w:ascii="Palatino Linotype" w:hAnsi="Palatino Linotype"/>
          <w:i/>
        </w:rPr>
      </w:pPr>
      <w:r w:rsidRPr="00DC2A65">
        <w:rPr>
          <w:rFonts w:ascii="Palatino Linotype" w:hAnsi="Palatino Linotype" w:cs="Arial"/>
          <w:b/>
          <w:i/>
        </w:rPr>
        <w:t xml:space="preserve">CUARTO. </w:t>
      </w:r>
      <w:r w:rsidRPr="00DC2A65">
        <w:rPr>
          <w:rFonts w:ascii="Palatino Linotype" w:hAnsi="Palatino Linotype"/>
          <w:b/>
          <w:bCs/>
          <w:i/>
          <w:color w:val="222222"/>
          <w:lang w:val="es-ES"/>
        </w:rPr>
        <w:t xml:space="preserve">Notifíquese </w:t>
      </w:r>
      <w:r w:rsidRPr="00DC2A65">
        <w:rPr>
          <w:rFonts w:ascii="Palatino Linotype" w:hAnsi="Palatino Linotype"/>
          <w:bCs/>
          <w:i/>
          <w:color w:val="222222"/>
          <w:lang w:val="es-ES"/>
        </w:rPr>
        <w:t>a la</w:t>
      </w:r>
      <w:r w:rsidRPr="00DC2A65">
        <w:rPr>
          <w:rFonts w:ascii="Palatino Linotype" w:hAnsi="Palatino Linotype"/>
          <w:i/>
        </w:rPr>
        <w:t xml:space="preserve"> </w:t>
      </w:r>
      <w:r w:rsidRPr="00DC2A65">
        <w:rPr>
          <w:rFonts w:ascii="Palatino Linotype" w:hAnsi="Palatino Linotype"/>
          <w:b/>
          <w:i/>
        </w:rPr>
        <w:t xml:space="preserve">RECURRENTE </w:t>
      </w:r>
      <w:r w:rsidRPr="00DC2A65">
        <w:rPr>
          <w:rFonts w:ascii="Palatino Linotype" w:hAnsi="Palatino Linotype"/>
          <w:i/>
        </w:rPr>
        <w:t>la presente resolución.</w:t>
      </w:r>
    </w:p>
    <w:p w:rsidR="009E4CDD" w:rsidRPr="00DC2A65" w:rsidRDefault="009E4CDD" w:rsidP="009E4CDD">
      <w:pPr>
        <w:shd w:val="clear" w:color="auto" w:fill="FFFFFF"/>
        <w:spacing w:line="360" w:lineRule="auto"/>
        <w:ind w:left="567" w:right="616"/>
        <w:jc w:val="both"/>
        <w:rPr>
          <w:rFonts w:ascii="Palatino Linotype" w:hAnsi="Palatino Linotype"/>
          <w:i/>
        </w:rPr>
      </w:pPr>
    </w:p>
    <w:p w:rsidR="00C91589" w:rsidRPr="00DC2A65" w:rsidRDefault="009E4CDD" w:rsidP="009E4CDD">
      <w:pPr>
        <w:spacing w:line="360" w:lineRule="auto"/>
        <w:ind w:left="567" w:right="616"/>
        <w:jc w:val="both"/>
        <w:rPr>
          <w:rFonts w:ascii="Palatino Linotype" w:eastAsia="MS Mincho" w:hAnsi="Palatino Linotype"/>
          <w:i/>
          <w:lang w:val="es-ES_tradnl"/>
        </w:rPr>
      </w:pPr>
      <w:r w:rsidRPr="00DC2A65">
        <w:rPr>
          <w:rFonts w:ascii="Palatino Linotype" w:eastAsia="MS Mincho" w:hAnsi="Palatino Linotype"/>
          <w:b/>
          <w:i/>
          <w:lang w:val="es-MX"/>
        </w:rPr>
        <w:t>QUINTO.</w:t>
      </w:r>
      <w:r w:rsidRPr="00DC2A65">
        <w:rPr>
          <w:rFonts w:ascii="Palatino Linotype" w:eastAsia="MS Mincho" w:hAnsi="Palatino Linotype"/>
          <w:i/>
          <w:lang w:val="es-MX"/>
        </w:rPr>
        <w:t xml:space="preserve"> </w:t>
      </w:r>
      <w:r w:rsidRPr="00DC2A65">
        <w:rPr>
          <w:rFonts w:ascii="Palatino Linotype" w:eastAsia="MS Mincho" w:hAnsi="Palatino Linotype"/>
          <w:i/>
          <w:lang w:val="es-ES"/>
        </w:rPr>
        <w:t xml:space="preserve">Se hace del conocimiento de la </w:t>
      </w:r>
      <w:r w:rsidRPr="00DC2A65">
        <w:rPr>
          <w:rFonts w:ascii="Palatino Linotype" w:eastAsia="MS Mincho" w:hAnsi="Palatino Linotype"/>
          <w:b/>
          <w:i/>
          <w:lang w:val="es-ES"/>
        </w:rPr>
        <w:t>RECURRENTE</w:t>
      </w:r>
      <w:r w:rsidRPr="00DC2A65">
        <w:rPr>
          <w:rFonts w:ascii="Palatino Linotype" w:hAnsi="Palatino Linotype"/>
          <w:b/>
          <w:i/>
        </w:rPr>
        <w:t xml:space="preserve"> </w:t>
      </w:r>
      <w:r w:rsidRPr="00DC2A65">
        <w:rPr>
          <w:rFonts w:ascii="Palatino Linotype" w:eastAsia="MS Mincho" w:hAnsi="Palatino Linotype"/>
          <w:i/>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C2A65">
        <w:rPr>
          <w:rFonts w:ascii="Palatino Linotype" w:eastAsia="MS Mincho" w:hAnsi="Palatino Linotype"/>
          <w:bCs/>
          <w:i/>
          <w:lang w:val="es-ES"/>
        </w:rPr>
        <w:t>vía juicio de amparo</w:t>
      </w:r>
      <w:r w:rsidRPr="00DC2A65">
        <w:rPr>
          <w:rFonts w:ascii="Palatino Linotype" w:eastAsia="MS Mincho" w:hAnsi="Palatino Linotype"/>
          <w:i/>
          <w:lang w:val="es-ES"/>
        </w:rPr>
        <w:t> en los términos de las leyes aplicables.</w:t>
      </w:r>
      <w:r w:rsidR="00E12F6B" w:rsidRPr="00DC2A65">
        <w:rPr>
          <w:rFonts w:ascii="Palatino Linotype" w:eastAsia="MS Mincho" w:hAnsi="Palatino Linotype"/>
          <w:i/>
          <w:lang w:val="es-ES_tradnl"/>
        </w:rPr>
        <w:t>”</w:t>
      </w:r>
    </w:p>
    <w:p w:rsidR="00D3649F" w:rsidRPr="00DC2A65" w:rsidRDefault="00D3649F" w:rsidP="00D3649F">
      <w:pPr>
        <w:spacing w:line="360" w:lineRule="auto"/>
        <w:ind w:right="758"/>
        <w:jc w:val="both"/>
        <w:rPr>
          <w:rFonts w:ascii="Palatino Linotype" w:eastAsia="MS Mincho" w:hAnsi="Palatino Linotype"/>
          <w:i/>
          <w:sz w:val="22"/>
          <w:szCs w:val="22"/>
          <w:lang w:val="es-ES_tradnl"/>
        </w:rPr>
      </w:pPr>
    </w:p>
    <w:p w:rsidR="00E12F6B" w:rsidRPr="00DC2A65" w:rsidRDefault="00D3649F" w:rsidP="001933D7">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DC2A65">
        <w:rPr>
          <w:rFonts w:ascii="Palatino Linotype" w:hAnsi="Palatino Linotype"/>
          <w:lang w:val="es-ES_tradnl"/>
        </w:rPr>
        <w:t xml:space="preserve">Posteriormente, el </w:t>
      </w:r>
      <w:r w:rsidR="00741BC1" w:rsidRPr="00DC2A65">
        <w:rPr>
          <w:rFonts w:ascii="Palatino Linotype" w:hAnsi="Palatino Linotype"/>
          <w:lang w:val="es-ES_tradnl"/>
        </w:rPr>
        <w:t xml:space="preserve">diecinueve </w:t>
      </w:r>
      <w:r w:rsidRPr="00DC2A65">
        <w:rPr>
          <w:rFonts w:ascii="Palatino Linotype" w:hAnsi="Palatino Linotype"/>
          <w:lang w:val="es-ES_tradnl"/>
        </w:rPr>
        <w:t>(</w:t>
      </w:r>
      <w:r w:rsidR="00741BC1" w:rsidRPr="00DC2A65">
        <w:rPr>
          <w:rFonts w:ascii="Palatino Linotype" w:hAnsi="Palatino Linotype"/>
          <w:lang w:val="es-ES_tradnl"/>
        </w:rPr>
        <w:t>19</w:t>
      </w:r>
      <w:r w:rsidRPr="00DC2A65">
        <w:rPr>
          <w:rFonts w:ascii="Palatino Linotype" w:hAnsi="Palatino Linotype"/>
          <w:lang w:val="es-ES_tradnl"/>
        </w:rPr>
        <w:t xml:space="preserve">) de octubre de dos mil veinte, mediante </w:t>
      </w:r>
      <w:r w:rsidR="001933D7" w:rsidRPr="00DC2A65">
        <w:rPr>
          <w:rFonts w:ascii="Palatino Linotype" w:hAnsi="Palatino Linotype"/>
          <w:lang w:val="es-ES_tradnl"/>
        </w:rPr>
        <w:t>correo electrónico</w:t>
      </w:r>
      <w:r w:rsidRPr="00DC2A65">
        <w:rPr>
          <w:rFonts w:ascii="Palatino Linotype" w:hAnsi="Palatino Linotype"/>
          <w:lang w:val="es-ES_tradnl"/>
        </w:rPr>
        <w:t xml:space="preserve">, la parte recurrente presentó recurso de inconformidad </w:t>
      </w:r>
      <w:r w:rsidR="00012A1A" w:rsidRPr="00DC2A65">
        <w:rPr>
          <w:rFonts w:ascii="Palatino Linotype" w:hAnsi="Palatino Linotype"/>
          <w:lang w:val="es-ES_tradnl"/>
        </w:rPr>
        <w:t xml:space="preserve">en contra </w:t>
      </w:r>
      <w:r w:rsidR="001933D7" w:rsidRPr="00DC2A65">
        <w:rPr>
          <w:rFonts w:ascii="Palatino Linotype" w:hAnsi="Palatino Linotype"/>
          <w:lang w:val="es-ES_tradnl"/>
        </w:rPr>
        <w:t>de la determinación recaída al recurso de revisión 03038/INFOEM/IP/RR/2020 y acumulados, mediante un escrito libre de la misma fecha</w:t>
      </w:r>
      <w:r w:rsidR="00E12F6B" w:rsidRPr="00DC2A65">
        <w:rPr>
          <w:rFonts w:ascii="Palatino Linotype" w:hAnsi="Palatino Linotype"/>
          <w:lang w:val="es-ES_tradnl"/>
        </w:rPr>
        <w:t>.</w:t>
      </w:r>
    </w:p>
    <w:p w:rsidR="00E12F6B" w:rsidRPr="00DC2A65"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DC2A65" w:rsidRDefault="001933D7" w:rsidP="001933D7">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DC2A65">
        <w:rPr>
          <w:rFonts w:ascii="Palatino Linotype" w:hAnsi="Palatino Linotype"/>
          <w:lang w:val="es-ES_tradnl"/>
        </w:rPr>
        <w:t>El veintiséis (26) de octubre de dos mil veinte, se dictó acuerdo por medio del cual se admitió a trámite el recurso de inconformidad RIA 181/20, interpuesto por la parte recurrente, en cumplimiento con lo establecido en los artículos 159, 160, 161 y 162 de la Ley General de Transparencia y Acceso a la Información Pública.</w:t>
      </w:r>
      <w:r w:rsidR="00B60327" w:rsidRPr="00DC2A65">
        <w:rPr>
          <w:rFonts w:ascii="Palatino Linotype" w:hAnsi="Palatino Linotype"/>
          <w:lang w:val="es-ES_tradnl"/>
        </w:rPr>
        <w:t xml:space="preserve"> </w:t>
      </w:r>
      <w:r w:rsidRPr="00DC2A65">
        <w:rPr>
          <w:rFonts w:ascii="Palatino Linotype" w:hAnsi="Palatino Linotype"/>
          <w:lang w:val="es-ES_tradnl"/>
        </w:rPr>
        <w:t xml:space="preserve">Posteriormente el veintiséis (26) de octubre de dos mil veinte, se notificó a </w:t>
      </w:r>
      <w:r w:rsidR="00335E91" w:rsidRPr="00DC2A65">
        <w:rPr>
          <w:rFonts w:ascii="Palatino Linotype" w:hAnsi="Palatino Linotype"/>
          <w:lang w:val="es-ES_tradnl"/>
        </w:rPr>
        <w:t>este Instituto</w:t>
      </w:r>
      <w:r w:rsidRPr="00DC2A65">
        <w:rPr>
          <w:rFonts w:ascii="Palatino Linotype" w:hAnsi="Palatino Linotype"/>
          <w:lang w:val="es-ES_tradnl"/>
        </w:rPr>
        <w:t xml:space="preserve">, la admisión del recurso de inconformidad RIA 181/20 interpuesto en su contra, otorgándole un plazo de diez días hábiles a partir de dicha notificación para que manifestará lo que a su derecho conviniera, dando cumplimiento al segundo </w:t>
      </w:r>
      <w:r w:rsidRPr="00DC2A65">
        <w:rPr>
          <w:rFonts w:ascii="Palatino Linotype" w:hAnsi="Palatino Linotype"/>
          <w:lang w:val="es-ES_tradnl"/>
        </w:rPr>
        <w:lastRenderedPageBreak/>
        <w:t>párrafo del artículo 165 de la Ley General de Transparencia y Acceso a la Información Pública.</w:t>
      </w:r>
    </w:p>
    <w:p w:rsidR="00400279" w:rsidRPr="00DC2A65"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DC2A65" w:rsidRDefault="008B7A7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El </w:t>
      </w:r>
      <w:r w:rsidR="001933D7" w:rsidRPr="00DC2A65">
        <w:rPr>
          <w:rFonts w:ascii="Palatino Linotype" w:hAnsi="Palatino Linotype"/>
          <w:lang w:val="es-ES_tradnl"/>
        </w:rPr>
        <w:t>once</w:t>
      </w:r>
      <w:r w:rsidR="00E12F6B" w:rsidRPr="00DC2A65">
        <w:rPr>
          <w:rFonts w:ascii="Palatino Linotype" w:hAnsi="Palatino Linotype"/>
          <w:lang w:val="es-ES_tradnl"/>
        </w:rPr>
        <w:t xml:space="preserve"> (</w:t>
      </w:r>
      <w:r w:rsidR="00012A1A" w:rsidRPr="00DC2A65">
        <w:rPr>
          <w:rFonts w:ascii="Palatino Linotype" w:hAnsi="Palatino Linotype"/>
          <w:lang w:val="es-ES_tradnl"/>
        </w:rPr>
        <w:t>1</w:t>
      </w:r>
      <w:r w:rsidR="001933D7" w:rsidRPr="00DC2A65">
        <w:rPr>
          <w:rFonts w:ascii="Palatino Linotype" w:hAnsi="Palatino Linotype"/>
          <w:lang w:val="es-ES_tradnl"/>
        </w:rPr>
        <w:t>1</w:t>
      </w:r>
      <w:r w:rsidR="00E12F6B" w:rsidRPr="00DC2A65">
        <w:rPr>
          <w:rFonts w:ascii="Palatino Linotype" w:hAnsi="Palatino Linotype"/>
          <w:lang w:val="es-ES_tradnl"/>
        </w:rPr>
        <w:t>) de noviembre de dos mil veinte</w:t>
      </w:r>
      <w:r w:rsidR="00400279" w:rsidRPr="00DC2A65">
        <w:rPr>
          <w:rFonts w:ascii="Palatino Linotype" w:hAnsi="Palatino Linotype"/>
          <w:lang w:val="es-ES_tradnl"/>
        </w:rPr>
        <w:t>, se tuvo por rendido el informe justificado</w:t>
      </w:r>
      <w:r w:rsidR="00490EB5" w:rsidRPr="00DC2A65">
        <w:rPr>
          <w:rFonts w:ascii="Palatino Linotype" w:hAnsi="Palatino Linotype"/>
          <w:lang w:val="es-ES_tradnl"/>
        </w:rPr>
        <w:t>.</w:t>
      </w:r>
    </w:p>
    <w:p w:rsidR="00012A1A" w:rsidRPr="00DC2A65" w:rsidRDefault="00012A1A" w:rsidP="00012A1A">
      <w:pPr>
        <w:pStyle w:val="Prrafodelista"/>
        <w:rPr>
          <w:rFonts w:ascii="Palatino Linotype" w:hAnsi="Palatino Linotype"/>
          <w:lang w:val="es-ES_tradnl"/>
        </w:rPr>
      </w:pPr>
    </w:p>
    <w:p w:rsidR="001A5313" w:rsidRPr="00DC2A65" w:rsidRDefault="00CA5FC5" w:rsidP="00CA5FC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El dos (02) de diciembre de dos mil veinte, se emitió acuerdo por medio del cual se amplió el periodo para emitir una resolución dentro del recurso de inconformidad RIA 181/20, con fundamento en lo establecido en el artículo 165, párrafo primero, de la Ley General de Transparencia y Acceso a la Información Pública. Dicho proveído fue notificado a las partes en la misma fecha de su emisión.</w:t>
      </w:r>
    </w:p>
    <w:p w:rsidR="00CA5FC5" w:rsidRPr="00DC2A65" w:rsidRDefault="00CA5FC5" w:rsidP="00CA5FC5">
      <w:pPr>
        <w:pStyle w:val="Prrafodelista"/>
        <w:rPr>
          <w:rFonts w:ascii="Palatino Linotype" w:hAnsi="Palatino Linotype"/>
          <w:lang w:val="es-ES_tradnl"/>
        </w:rPr>
      </w:pPr>
    </w:p>
    <w:p w:rsidR="00E12F6B" w:rsidRPr="00DC2A65" w:rsidRDefault="00CA5FC5" w:rsidP="00CA5FC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El quince (15) de enero de dos mil veintiuno, al no existir diligencias pendientes por desahogar, se emitió el acuerdo por medio del cual se declaró cerrada la instrucción, pasando el expediente a resolución, en términos de lo dispuesto en los artículos 168 y 169 de la Ley General de Transparencia y Acceso a la Información Pública, mismo que fue notificado a las partes.</w:t>
      </w:r>
    </w:p>
    <w:p w:rsidR="00490EB5" w:rsidRPr="00DC2A65" w:rsidRDefault="00490EB5" w:rsidP="008E1E4F">
      <w:pPr>
        <w:pStyle w:val="Prrafodelista"/>
        <w:spacing w:line="360" w:lineRule="auto"/>
        <w:jc w:val="both"/>
        <w:rPr>
          <w:rFonts w:ascii="Palatino Linotype" w:hAnsi="Palatino Linotype"/>
          <w:lang w:val="es-ES_tradnl"/>
        </w:rPr>
      </w:pPr>
    </w:p>
    <w:p w:rsidR="00400279" w:rsidRPr="00DC2A65"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En sesión </w:t>
      </w:r>
      <w:r w:rsidR="001A5313" w:rsidRPr="00DC2A65">
        <w:rPr>
          <w:rFonts w:ascii="Palatino Linotype" w:hAnsi="Palatino Linotype"/>
          <w:lang w:val="es-ES_tradnl"/>
        </w:rPr>
        <w:t xml:space="preserve">ordinaria </w:t>
      </w:r>
      <w:r w:rsidRPr="00DC2A65">
        <w:rPr>
          <w:rFonts w:ascii="Palatino Linotype" w:hAnsi="Palatino Linotype"/>
          <w:lang w:val="es-ES_tradnl"/>
        </w:rPr>
        <w:t xml:space="preserve">celebrada el día </w:t>
      </w:r>
      <w:r w:rsidR="00CA5FC5" w:rsidRPr="00DC2A65">
        <w:rPr>
          <w:rFonts w:ascii="Palatino Linotype" w:hAnsi="Palatino Linotype"/>
          <w:lang w:val="es-ES_tradnl"/>
        </w:rPr>
        <w:t>veinte</w:t>
      </w:r>
      <w:r w:rsidR="006F079C" w:rsidRPr="00DC2A65">
        <w:rPr>
          <w:rFonts w:ascii="Palatino Linotype" w:hAnsi="Palatino Linotype"/>
          <w:lang w:val="es-ES_tradnl"/>
        </w:rPr>
        <w:t xml:space="preserve"> </w:t>
      </w:r>
      <w:r w:rsidR="001A5313" w:rsidRPr="00DC2A65">
        <w:rPr>
          <w:rFonts w:ascii="Palatino Linotype" w:hAnsi="Palatino Linotype"/>
          <w:lang w:val="es-ES_tradnl"/>
        </w:rPr>
        <w:t>(</w:t>
      </w:r>
      <w:r w:rsidR="00CA5FC5" w:rsidRPr="00DC2A65">
        <w:rPr>
          <w:rFonts w:ascii="Palatino Linotype" w:hAnsi="Palatino Linotype"/>
          <w:lang w:val="es-ES_tradnl"/>
        </w:rPr>
        <w:t>20</w:t>
      </w:r>
      <w:r w:rsidR="001A5313" w:rsidRPr="00DC2A65">
        <w:rPr>
          <w:rFonts w:ascii="Palatino Linotype" w:hAnsi="Palatino Linotype"/>
          <w:lang w:val="es-ES_tradnl"/>
        </w:rPr>
        <w:t xml:space="preserve">) de </w:t>
      </w:r>
      <w:r w:rsidR="006F079C" w:rsidRPr="00DC2A65">
        <w:rPr>
          <w:rFonts w:ascii="Palatino Linotype" w:hAnsi="Palatino Linotype"/>
          <w:lang w:val="es-ES_tradnl"/>
        </w:rPr>
        <w:t>enero</w:t>
      </w:r>
      <w:r w:rsidR="0032234E" w:rsidRPr="00DC2A65">
        <w:rPr>
          <w:rFonts w:ascii="Palatino Linotype" w:hAnsi="Palatino Linotype"/>
          <w:lang w:val="es-ES_tradnl"/>
        </w:rPr>
        <w:t xml:space="preserve"> de dos mil veintiuno</w:t>
      </w:r>
      <w:r w:rsidR="001A5313" w:rsidRPr="00DC2A65">
        <w:rPr>
          <w:rFonts w:ascii="Palatino Linotype" w:hAnsi="Palatino Linotype"/>
          <w:lang w:val="es-ES_tradnl"/>
        </w:rPr>
        <w:t xml:space="preserve">, el Pleno del INAI, </w:t>
      </w:r>
      <w:r w:rsidRPr="00DC2A65">
        <w:rPr>
          <w:rFonts w:ascii="Palatino Linotype" w:hAnsi="Palatino Linotype"/>
          <w:lang w:val="es-ES_tradnl"/>
        </w:rPr>
        <w:t>aprobó la resolución</w:t>
      </w:r>
      <w:r w:rsidR="001A5313" w:rsidRPr="00DC2A65">
        <w:rPr>
          <w:rFonts w:ascii="Palatino Linotype" w:hAnsi="Palatino Linotype"/>
          <w:lang w:val="es-ES_tradnl"/>
        </w:rPr>
        <w:t xml:space="preserve"> del recurso de </w:t>
      </w:r>
      <w:r w:rsidR="00055959" w:rsidRPr="00DC2A65">
        <w:rPr>
          <w:rFonts w:ascii="Palatino Linotype" w:hAnsi="Palatino Linotype"/>
          <w:lang w:val="es-ES_tradnl"/>
        </w:rPr>
        <w:t>inconformidad</w:t>
      </w:r>
      <w:r w:rsidR="00055959" w:rsidRPr="00DC2A65">
        <w:rPr>
          <w:rFonts w:ascii="Palatino Linotype" w:hAnsi="Palatino Linotype"/>
          <w:lang w:val="es-ES_tradnl"/>
        </w:rPr>
        <w:br/>
      </w:r>
      <w:r w:rsidR="001A5313" w:rsidRPr="00DC2A65">
        <w:rPr>
          <w:rFonts w:ascii="Palatino Linotype" w:hAnsi="Palatino Linotype"/>
          <w:lang w:val="es-ES_tradnl"/>
        </w:rPr>
        <w:t xml:space="preserve">RIA </w:t>
      </w:r>
      <w:r w:rsidR="008F01C9" w:rsidRPr="00DC2A65">
        <w:rPr>
          <w:rFonts w:ascii="Palatino Linotype" w:hAnsi="Palatino Linotype"/>
          <w:lang w:val="es-ES_tradnl"/>
        </w:rPr>
        <w:t>181/20</w:t>
      </w:r>
      <w:r w:rsidR="001A5313" w:rsidRPr="00DC2A65">
        <w:rPr>
          <w:rFonts w:ascii="Palatino Linotype" w:hAnsi="Palatino Linotype"/>
          <w:lang w:val="es-ES_tradnl"/>
        </w:rPr>
        <w:t>20</w:t>
      </w:r>
      <w:r w:rsidRPr="00DC2A65">
        <w:rPr>
          <w:rFonts w:ascii="Palatino Linotype" w:hAnsi="Palatino Linotype"/>
          <w:lang w:val="es-ES_tradnl"/>
        </w:rPr>
        <w:t xml:space="preserve">, posteriormente en fecha </w:t>
      </w:r>
      <w:r w:rsidR="00CA5FC5" w:rsidRPr="00DC2A65">
        <w:rPr>
          <w:rFonts w:ascii="Palatino Linotype" w:hAnsi="Palatino Linotype"/>
          <w:lang w:val="es-ES_tradnl"/>
        </w:rPr>
        <w:t>quince</w:t>
      </w:r>
      <w:r w:rsidR="008A6F85" w:rsidRPr="00DC2A65">
        <w:rPr>
          <w:rFonts w:ascii="Palatino Linotype" w:hAnsi="Palatino Linotype"/>
          <w:lang w:val="es-ES_tradnl"/>
        </w:rPr>
        <w:t xml:space="preserve"> (</w:t>
      </w:r>
      <w:r w:rsidR="00096050" w:rsidRPr="00DC2A65">
        <w:rPr>
          <w:rFonts w:ascii="Palatino Linotype" w:hAnsi="Palatino Linotype"/>
          <w:lang w:val="es-ES_tradnl"/>
        </w:rPr>
        <w:t>1</w:t>
      </w:r>
      <w:r w:rsidR="00CA5FC5" w:rsidRPr="00DC2A65">
        <w:rPr>
          <w:rFonts w:ascii="Palatino Linotype" w:hAnsi="Palatino Linotype"/>
          <w:lang w:val="es-ES_tradnl"/>
        </w:rPr>
        <w:t>5</w:t>
      </w:r>
      <w:r w:rsidR="001A5313" w:rsidRPr="00DC2A65">
        <w:rPr>
          <w:rFonts w:ascii="Palatino Linotype" w:hAnsi="Palatino Linotype"/>
          <w:lang w:val="es-ES_tradnl"/>
        </w:rPr>
        <w:t xml:space="preserve">) de </w:t>
      </w:r>
      <w:r w:rsidR="00096050" w:rsidRPr="00DC2A65">
        <w:rPr>
          <w:rFonts w:ascii="Palatino Linotype" w:hAnsi="Palatino Linotype"/>
          <w:lang w:val="es-ES_tradnl"/>
        </w:rPr>
        <w:t>febre</w:t>
      </w:r>
      <w:r w:rsidR="001A5313" w:rsidRPr="00DC2A65">
        <w:rPr>
          <w:rFonts w:ascii="Palatino Linotype" w:hAnsi="Palatino Linotype"/>
          <w:lang w:val="es-ES_tradnl"/>
        </w:rPr>
        <w:t>ro de</w:t>
      </w:r>
      <w:r w:rsidR="0032234E" w:rsidRPr="00DC2A65">
        <w:rPr>
          <w:rFonts w:ascii="Palatino Linotype" w:hAnsi="Palatino Linotype"/>
          <w:lang w:val="es-ES_tradnl"/>
        </w:rPr>
        <w:t>l mismo año</w:t>
      </w:r>
      <w:r w:rsidRPr="00DC2A65">
        <w:rPr>
          <w:rFonts w:ascii="Palatino Linotype" w:hAnsi="Palatino Linotype"/>
          <w:lang w:val="es-ES_tradnl"/>
        </w:rPr>
        <w:t>, fue notificada a este Órgano Garante</w:t>
      </w:r>
      <w:r w:rsidR="00096050" w:rsidRPr="00DC2A65">
        <w:rPr>
          <w:rFonts w:ascii="Palatino Linotype" w:hAnsi="Palatino Linotype"/>
          <w:lang w:val="es-ES_tradnl"/>
        </w:rPr>
        <w:t xml:space="preserve"> local</w:t>
      </w:r>
      <w:r w:rsidRPr="00DC2A65">
        <w:rPr>
          <w:rFonts w:ascii="Palatino Linotype" w:hAnsi="Palatino Linotype"/>
          <w:lang w:val="es-ES_tradnl"/>
        </w:rPr>
        <w:t xml:space="preserve">. </w:t>
      </w:r>
    </w:p>
    <w:p w:rsidR="00872735" w:rsidRPr="00DC2A65"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DC2A65" w:rsidRDefault="00333841" w:rsidP="008E1E4F">
      <w:pPr>
        <w:pStyle w:val="Ttulo1"/>
        <w:spacing w:line="360" w:lineRule="auto"/>
        <w:jc w:val="center"/>
        <w:rPr>
          <w:rFonts w:ascii="Palatino Linotype" w:hAnsi="Palatino Linotype"/>
          <w:b/>
          <w:color w:val="auto"/>
          <w:sz w:val="24"/>
          <w:szCs w:val="24"/>
          <w:lang w:val="es-ES_tradnl"/>
        </w:rPr>
      </w:pPr>
      <w:bookmarkStart w:id="121" w:name="_Toc64442696"/>
      <w:r w:rsidRPr="00DC2A65">
        <w:rPr>
          <w:rFonts w:ascii="Palatino Linotype" w:hAnsi="Palatino Linotype"/>
          <w:b/>
          <w:color w:val="auto"/>
          <w:sz w:val="24"/>
          <w:szCs w:val="24"/>
          <w:lang w:val="es-ES_tradnl"/>
        </w:rPr>
        <w:lastRenderedPageBreak/>
        <w:t>CONSIDERANDO</w:t>
      </w:r>
      <w:bookmarkEnd w:id="121"/>
    </w:p>
    <w:p w:rsidR="00333841" w:rsidRPr="00DC2A65" w:rsidRDefault="00333841" w:rsidP="008E1E4F">
      <w:pPr>
        <w:spacing w:line="360" w:lineRule="auto"/>
        <w:jc w:val="both"/>
        <w:rPr>
          <w:rFonts w:ascii="Palatino Linotype" w:hAnsi="Palatino Linotype"/>
          <w:lang w:val="es-ES_tradnl" w:eastAsia="en-US"/>
        </w:rPr>
      </w:pPr>
    </w:p>
    <w:p w:rsidR="00333841" w:rsidRPr="00DC2A65" w:rsidRDefault="00333841" w:rsidP="008E1E4F">
      <w:pPr>
        <w:pStyle w:val="Ttulo2"/>
        <w:spacing w:line="360" w:lineRule="auto"/>
        <w:jc w:val="both"/>
        <w:rPr>
          <w:rFonts w:ascii="Palatino Linotype" w:hAnsi="Palatino Linotype"/>
          <w:b/>
          <w:color w:val="auto"/>
          <w:sz w:val="24"/>
          <w:szCs w:val="24"/>
          <w:lang w:val="es-ES_tradnl"/>
        </w:rPr>
      </w:pPr>
      <w:bookmarkStart w:id="122" w:name="_Toc64442697"/>
      <w:r w:rsidRPr="00DC2A65">
        <w:rPr>
          <w:rFonts w:ascii="Palatino Linotype" w:hAnsi="Palatino Linotype"/>
          <w:b/>
          <w:color w:val="auto"/>
          <w:sz w:val="24"/>
          <w:szCs w:val="24"/>
          <w:lang w:val="es-ES_tradnl"/>
        </w:rPr>
        <w:t xml:space="preserve">PRIMERO. </w:t>
      </w:r>
      <w:r w:rsidR="00400279" w:rsidRPr="00DC2A65">
        <w:rPr>
          <w:rFonts w:ascii="Palatino Linotype" w:hAnsi="Palatino Linotype"/>
          <w:b/>
          <w:color w:val="auto"/>
          <w:sz w:val="24"/>
          <w:szCs w:val="24"/>
          <w:lang w:val="es-ES_tradnl"/>
        </w:rPr>
        <w:t>A</w:t>
      </w:r>
      <w:r w:rsidR="0030712E" w:rsidRPr="00DC2A65">
        <w:rPr>
          <w:rFonts w:ascii="Palatino Linotype" w:hAnsi="Palatino Linotype"/>
          <w:b/>
          <w:color w:val="auto"/>
          <w:sz w:val="24"/>
          <w:szCs w:val="24"/>
          <w:lang w:val="es-ES_tradnl"/>
        </w:rPr>
        <w:t>tribuciones del</w:t>
      </w:r>
      <w:r w:rsidR="00400279" w:rsidRPr="00DC2A65">
        <w:rPr>
          <w:rFonts w:ascii="Palatino Linotype" w:hAnsi="Palatino Linotype"/>
          <w:b/>
          <w:color w:val="auto"/>
          <w:sz w:val="24"/>
          <w:szCs w:val="24"/>
          <w:lang w:val="es-ES_tradnl"/>
        </w:rPr>
        <w:t xml:space="preserve"> INAI</w:t>
      </w:r>
      <w:bookmarkEnd w:id="122"/>
    </w:p>
    <w:p w:rsidR="001E4363" w:rsidRPr="00DC2A65" w:rsidRDefault="001E4363" w:rsidP="008E1E4F">
      <w:pPr>
        <w:spacing w:line="360" w:lineRule="auto"/>
        <w:jc w:val="both"/>
        <w:rPr>
          <w:rFonts w:ascii="Palatino Linotype" w:hAnsi="Palatino Linotype"/>
          <w:lang w:val="es-ES_tradnl" w:eastAsia="en-US"/>
        </w:rPr>
      </w:pPr>
    </w:p>
    <w:p w:rsidR="008E1E4F" w:rsidRPr="00DC2A65"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eastAsia="Calibri" w:hAnsi="Palatino Linotype"/>
          <w:lang w:val="es-ES_tradnl"/>
        </w:rPr>
        <w:t>E</w:t>
      </w:r>
      <w:r w:rsidR="00C10C55" w:rsidRPr="00DC2A65">
        <w:rPr>
          <w:rFonts w:ascii="Palatino Linotype" w:eastAsia="Calibri" w:hAnsi="Palatino Linotype"/>
          <w:lang w:val="es-ES_tradnl"/>
        </w:rPr>
        <w:t>l</w:t>
      </w:r>
      <w:r w:rsidR="00C10C55" w:rsidRPr="00DC2A65">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DC2A65"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DC2A65" w:rsidRDefault="008E1E4F" w:rsidP="008E1E4F">
      <w:pPr>
        <w:pStyle w:val="Ttulo2"/>
        <w:spacing w:line="360" w:lineRule="auto"/>
        <w:jc w:val="both"/>
        <w:rPr>
          <w:rFonts w:ascii="Palatino Linotype" w:hAnsi="Palatino Linotype"/>
          <w:b/>
          <w:color w:val="auto"/>
          <w:sz w:val="24"/>
          <w:szCs w:val="24"/>
          <w:lang w:val="es-ES_tradnl"/>
        </w:rPr>
      </w:pPr>
      <w:bookmarkStart w:id="123" w:name="_Toc64442698"/>
      <w:r w:rsidRPr="00DC2A65">
        <w:rPr>
          <w:rFonts w:ascii="Palatino Linotype" w:hAnsi="Palatino Linotype"/>
          <w:b/>
          <w:color w:val="auto"/>
          <w:sz w:val="24"/>
          <w:szCs w:val="24"/>
          <w:lang w:val="es-ES_tradnl"/>
        </w:rPr>
        <w:t>SEGUNDO. Resolución y efectos</w:t>
      </w:r>
      <w:bookmarkEnd w:id="123"/>
    </w:p>
    <w:p w:rsidR="008E1E4F" w:rsidRPr="00DC2A65"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DC2A65" w:rsidRDefault="00ED7D43" w:rsidP="0008342D">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DC2A65">
        <w:rPr>
          <w:rFonts w:ascii="Palatino Linotype" w:eastAsia="Calibri" w:hAnsi="Palatino Linotype"/>
          <w:lang w:val="es-ES_tradnl"/>
        </w:rPr>
        <w:lastRenderedPageBreak/>
        <w:t>En</w:t>
      </w:r>
      <w:r w:rsidRPr="00DC2A65">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DC2A65">
        <w:rPr>
          <w:rFonts w:ascii="Palatino Linotype" w:hAnsi="Palatino Linotype" w:cs="Arial"/>
          <w:lang w:val="es-ES_tradnl"/>
        </w:rPr>
        <w:t xml:space="preserve">: </w:t>
      </w:r>
      <w:r w:rsidRPr="00DC2A65">
        <w:rPr>
          <w:rFonts w:ascii="Palatino Linotype" w:hAnsi="Palatino Linotype"/>
          <w:i/>
          <w:lang w:val="es-ES_tradnl"/>
        </w:rPr>
        <w:t>“…</w:t>
      </w:r>
      <w:r w:rsidR="0008342D" w:rsidRPr="00DC2A65">
        <w:rPr>
          <w:rFonts w:ascii="Palatino Linotype" w:hAnsi="Palatino Linotype"/>
          <w:i/>
          <w:lang w:val="es-ES_tradnl"/>
        </w:rPr>
        <w:t>REVOCAR la resolución del recurso de revisión 03038/INFOEM/IP/RR/2020 y acumulados, emitida el siete de octubre de dos mil veinte por el Instituto de Transparencia, Acceso a la Información Pública y Protección de Datos Personales del Estado de México y Municipios, a efecto de que, en un plazo máximo de quince días, emita una nueva resolución en la que instruya al Ayuntamiento de Ixtapan de la Sal, a proporcionar las plantillas de personal que sirvieron de base para formular los presupuestos definitivos de los años 2019 y 2020, debiendo contemplar el último año, todas las plazas de personal presupuestadas, así como el nombre y apellido de los servidores públicos que dicho momento ocupaban las plazas, en la modalidad elegida por la particular, esto es en medios electrónicos, como puede ser correo electrónico, o en su caso, USB y/o disco compacto, con la posibilidad de envío mediante correo certificado previo pago de los costos de reproducción.</w:t>
      </w:r>
      <w:r w:rsidRPr="00DC2A65">
        <w:rPr>
          <w:rFonts w:ascii="Palatino Linotype" w:hAnsi="Palatino Linotype"/>
          <w:i/>
          <w:lang w:val="es-ES_tradnl"/>
        </w:rPr>
        <w:t>”</w:t>
      </w:r>
    </w:p>
    <w:p w:rsidR="00D601D5" w:rsidRPr="00DC2A65" w:rsidRDefault="00D601D5" w:rsidP="00D601D5">
      <w:pPr>
        <w:tabs>
          <w:tab w:val="left" w:pos="0"/>
        </w:tabs>
        <w:spacing w:line="360" w:lineRule="auto"/>
        <w:ind w:left="142" w:right="49"/>
        <w:jc w:val="both"/>
        <w:rPr>
          <w:rFonts w:ascii="Palatino Linotype" w:hAnsi="Palatino Linotype"/>
          <w:i/>
          <w:lang w:val="es-ES_tradnl"/>
        </w:rPr>
      </w:pPr>
    </w:p>
    <w:p w:rsidR="00ED7D43" w:rsidRPr="00DC2A65" w:rsidRDefault="00ED7D43" w:rsidP="00ED7D43">
      <w:pPr>
        <w:pStyle w:val="Ttulo1"/>
        <w:spacing w:line="360" w:lineRule="auto"/>
        <w:jc w:val="both"/>
        <w:rPr>
          <w:rFonts w:ascii="Palatino Linotype" w:hAnsi="Palatino Linotype"/>
          <w:b/>
          <w:color w:val="auto"/>
          <w:sz w:val="24"/>
          <w:szCs w:val="24"/>
          <w:lang w:val="es-ES_tradnl"/>
        </w:rPr>
      </w:pPr>
      <w:bookmarkStart w:id="124" w:name="_Toc64442699"/>
      <w:r w:rsidRPr="00DC2A65">
        <w:rPr>
          <w:rFonts w:ascii="Palatino Linotype" w:hAnsi="Palatino Linotype"/>
          <w:b/>
          <w:color w:val="auto"/>
          <w:sz w:val="24"/>
          <w:szCs w:val="24"/>
          <w:lang w:val="es-ES_tradnl"/>
        </w:rPr>
        <w:t>TERCERO. Consideraciones de especial pronunciamiento</w:t>
      </w:r>
      <w:bookmarkEnd w:id="124"/>
    </w:p>
    <w:p w:rsidR="00E4540D" w:rsidRPr="00DC2A65" w:rsidRDefault="00E4540D" w:rsidP="00E4540D">
      <w:pPr>
        <w:rPr>
          <w:lang w:val="es-ES_tradnl" w:eastAsia="en-US"/>
        </w:rPr>
      </w:pPr>
    </w:p>
    <w:p w:rsidR="007B50D3" w:rsidRPr="00DC2A65"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DC2A65">
        <w:rPr>
          <w:rFonts w:ascii="Palatino Linotype" w:hAnsi="Palatino Linotype"/>
          <w:b/>
          <w:lang w:val="es-ES_tradnl"/>
        </w:rPr>
        <w:t>Del Principio de Legalidad</w:t>
      </w:r>
    </w:p>
    <w:p w:rsidR="00BC0A9E" w:rsidRPr="00DC2A65" w:rsidRDefault="00BC0A9E" w:rsidP="00BC0A9E">
      <w:pPr>
        <w:pStyle w:val="Prrafodelista"/>
        <w:rPr>
          <w:rFonts w:ascii="Palatino Linotype" w:hAnsi="Palatino Linotype"/>
          <w:lang w:val="es-ES_tradnl"/>
        </w:rPr>
      </w:pPr>
    </w:p>
    <w:p w:rsidR="00BC0A9E" w:rsidRPr="00DC2A65"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Primeramente,</w:t>
      </w:r>
      <w:r w:rsidR="00BC0A9E" w:rsidRPr="00DC2A65">
        <w:rPr>
          <w:rFonts w:ascii="Palatino Linotype" w:hAnsi="Palatino Linotype"/>
          <w:lang w:val="es-ES_tradnl"/>
        </w:rPr>
        <w:t xml:space="preserve"> </w:t>
      </w:r>
      <w:r w:rsidR="00797E64" w:rsidRPr="00DC2A65">
        <w:rPr>
          <w:rFonts w:ascii="Palatino Linotype" w:hAnsi="Palatino Linotype"/>
          <w:lang w:val="es-ES_tradnl"/>
        </w:rPr>
        <w:t xml:space="preserve">el artículo 8 de </w:t>
      </w:r>
      <w:r w:rsidR="00BC0A9E" w:rsidRPr="00DC2A65">
        <w:rPr>
          <w:rFonts w:ascii="Palatino Linotype" w:hAnsi="Palatino Linotype"/>
          <w:lang w:val="es-ES_tradnl"/>
        </w:rPr>
        <w:t>la Ley General de</w:t>
      </w:r>
      <w:r w:rsidR="00797E64" w:rsidRPr="00DC2A65">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DC2A65"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bookmarkStart w:id="125" w:name="Artículo_8"/>
      <w:r w:rsidRPr="00DC2A65">
        <w:rPr>
          <w:rFonts w:ascii="Palatino Linotype" w:hAnsi="Palatino Linotype"/>
          <w:b/>
          <w:i/>
          <w:sz w:val="22"/>
          <w:szCs w:val="22"/>
          <w:lang w:val="es-ES_tradnl"/>
        </w:rPr>
        <w:lastRenderedPageBreak/>
        <w:t>Artículo 8</w:t>
      </w:r>
      <w:bookmarkEnd w:id="125"/>
      <w:r w:rsidRPr="00DC2A65">
        <w:rPr>
          <w:rFonts w:ascii="Palatino Linotype" w:hAnsi="Palatino Linotype"/>
          <w:b/>
          <w:i/>
          <w:sz w:val="22"/>
          <w:szCs w:val="22"/>
          <w:lang w:val="es-ES_tradnl"/>
        </w:rPr>
        <w:t xml:space="preserve">. </w:t>
      </w:r>
      <w:r w:rsidRPr="00DC2A65">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r w:rsidRPr="00DC2A65">
        <w:rPr>
          <w:rFonts w:ascii="Palatino Linotype" w:hAnsi="Palatino Linotype"/>
          <w:b/>
          <w:i/>
          <w:sz w:val="22"/>
          <w:szCs w:val="22"/>
          <w:lang w:val="es-ES_tradnl"/>
        </w:rPr>
        <w:t>I.</w:t>
      </w:r>
      <w:r w:rsidRPr="00DC2A65">
        <w:rPr>
          <w:rFonts w:ascii="Palatino Linotype" w:hAnsi="Palatino Linotype"/>
          <w:b/>
          <w:i/>
          <w:sz w:val="22"/>
          <w:szCs w:val="22"/>
          <w:lang w:val="es-ES_tradnl"/>
        </w:rPr>
        <w:tab/>
        <w:t xml:space="preserve">Certeza: </w:t>
      </w:r>
      <w:r w:rsidRPr="00DC2A65">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II. Eficacia: </w:t>
      </w:r>
      <w:r w:rsidRPr="00DC2A65">
        <w:rPr>
          <w:rFonts w:ascii="Palatino Linotype" w:hAnsi="Palatino Linotype"/>
          <w:i/>
          <w:sz w:val="22"/>
          <w:szCs w:val="22"/>
          <w:lang w:val="es-ES_tradnl"/>
        </w:rPr>
        <w:t>Obligación de los Organismos garantes para tutelar, de manera efectiva, el derecho de acceso a la información;</w:t>
      </w: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III. Imparcialidad: </w:t>
      </w:r>
      <w:r w:rsidRPr="00DC2A65">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IV. Independencia: </w:t>
      </w:r>
      <w:r w:rsidRPr="00DC2A65">
        <w:rPr>
          <w:rFonts w:ascii="Palatino Linotype" w:hAnsi="Palatino Linotype"/>
          <w:i/>
          <w:sz w:val="22"/>
          <w:szCs w:val="22"/>
          <w:lang w:val="es-ES_tradnl"/>
        </w:rPr>
        <w:t>Cualidad que deben tener los Organismos garantes para actuar sin supeditarse a interés, autoridad o persona alguna;</w:t>
      </w: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r w:rsidRPr="00DC2A65">
        <w:rPr>
          <w:rFonts w:ascii="Palatino Linotype" w:hAnsi="Palatino Linotype"/>
          <w:b/>
          <w:i/>
          <w:sz w:val="22"/>
          <w:szCs w:val="22"/>
          <w:lang w:val="es-ES_tradnl"/>
        </w:rPr>
        <w:t>V.</w:t>
      </w:r>
      <w:r w:rsidRPr="00DC2A65">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VI. Máxima Publicidad: </w:t>
      </w:r>
      <w:r w:rsidRPr="00DC2A65">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VII. Objetividad: </w:t>
      </w:r>
      <w:r w:rsidRPr="00DC2A65">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DC2A65" w:rsidRDefault="00797E64" w:rsidP="00797E64">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VIII. Profesionalismo:</w:t>
      </w:r>
      <w:r w:rsidRPr="00DC2A65">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DC2A65"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DC2A65" w:rsidRDefault="00797E64" w:rsidP="00C91589">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lastRenderedPageBreak/>
        <w:t xml:space="preserve">IX. Transparencia: </w:t>
      </w:r>
      <w:r w:rsidRPr="00DC2A65">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2F383D" w:rsidRPr="00DC2A65" w:rsidRDefault="002F383D" w:rsidP="00C91589">
      <w:pPr>
        <w:pStyle w:val="Texto"/>
        <w:spacing w:after="0" w:line="276" w:lineRule="auto"/>
        <w:ind w:left="502" w:firstLine="0"/>
        <w:rPr>
          <w:rFonts w:ascii="Palatino Linotype" w:hAnsi="Palatino Linotype"/>
          <w:i/>
          <w:sz w:val="22"/>
          <w:szCs w:val="22"/>
          <w:lang w:val="es-ES_tradnl"/>
        </w:rPr>
      </w:pPr>
    </w:p>
    <w:p w:rsidR="00797E64" w:rsidRPr="00DC2A65"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Como puede advertirse, la fracción V del citado artículo 8 de</w:t>
      </w:r>
      <w:r w:rsidR="00132A01" w:rsidRPr="00DC2A65">
        <w:rPr>
          <w:rFonts w:ascii="Palatino Linotype" w:hAnsi="Palatino Linotype"/>
          <w:lang w:val="es-ES_tradnl"/>
        </w:rPr>
        <w:t xml:space="preserve"> </w:t>
      </w:r>
      <w:r w:rsidRPr="00DC2A65">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D601D5" w:rsidRPr="00DC2A65" w:rsidRDefault="00D601D5" w:rsidP="00D601D5">
      <w:pPr>
        <w:pStyle w:val="Prrafodelista"/>
        <w:tabs>
          <w:tab w:val="left" w:pos="0"/>
        </w:tabs>
        <w:spacing w:line="360" w:lineRule="auto"/>
        <w:ind w:left="0" w:right="49"/>
        <w:jc w:val="both"/>
        <w:rPr>
          <w:rFonts w:ascii="Palatino Linotype" w:hAnsi="Palatino Linotype"/>
          <w:lang w:val="es-ES_tradnl"/>
        </w:rPr>
      </w:pPr>
    </w:p>
    <w:p w:rsidR="00132A01" w:rsidRPr="00DC2A65"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DC2A65">
        <w:rPr>
          <w:rFonts w:ascii="Palatino Linotype" w:hAnsi="Palatino Linotype"/>
          <w:b/>
          <w:i/>
          <w:lang w:val="es-ES_tradnl"/>
        </w:rPr>
        <w:t>obligación,</w:t>
      </w:r>
      <w:r w:rsidRPr="00DC2A65">
        <w:rPr>
          <w:rFonts w:ascii="Palatino Linotype" w:hAnsi="Palatino Linotype"/>
          <w:lang w:val="es-ES_tradnl"/>
        </w:rPr>
        <w:t xml:space="preserve"> por lo tanto</w:t>
      </w:r>
      <w:r w:rsidR="00E4540D" w:rsidRPr="00DC2A65">
        <w:rPr>
          <w:rFonts w:ascii="Palatino Linotype" w:hAnsi="Palatino Linotype"/>
          <w:lang w:val="es-ES_tradnl"/>
        </w:rPr>
        <w:t>,</w:t>
      </w:r>
      <w:r w:rsidRPr="00DC2A65">
        <w:rPr>
          <w:rFonts w:ascii="Palatino Linotype" w:hAnsi="Palatino Linotype"/>
          <w:lang w:val="es-ES_tradnl"/>
        </w:rPr>
        <w:t xml:space="preserve"> debe entenderse como un deber y no una opción que </w:t>
      </w:r>
      <w:r w:rsidR="00A13561" w:rsidRPr="00DC2A65">
        <w:rPr>
          <w:rFonts w:ascii="Palatino Linotype" w:hAnsi="Palatino Linotype"/>
          <w:lang w:val="es-ES_tradnl"/>
        </w:rPr>
        <w:t>esté</w:t>
      </w:r>
      <w:r w:rsidRPr="00DC2A65">
        <w:rPr>
          <w:rFonts w:ascii="Palatino Linotype" w:hAnsi="Palatino Linotype"/>
          <w:lang w:val="es-ES_tradnl"/>
        </w:rPr>
        <w:t xml:space="preserve"> sujeta a capricho de los órganos garantes; segundo</w:t>
      </w:r>
      <w:r w:rsidR="00E4540D" w:rsidRPr="00DC2A65">
        <w:rPr>
          <w:rFonts w:ascii="Palatino Linotype" w:hAnsi="Palatino Linotype"/>
          <w:lang w:val="es-ES_tradnl"/>
        </w:rPr>
        <w:t>,</w:t>
      </w:r>
      <w:r w:rsidRPr="00DC2A65">
        <w:rPr>
          <w:rFonts w:ascii="Palatino Linotype" w:hAnsi="Palatino Linotype"/>
          <w:lang w:val="es-ES_tradnl"/>
        </w:rPr>
        <w:t xml:space="preserve"> en ambos casos</w:t>
      </w:r>
      <w:r w:rsidR="00E4540D" w:rsidRPr="00DC2A65">
        <w:rPr>
          <w:rFonts w:ascii="Palatino Linotype" w:hAnsi="Palatino Linotype"/>
          <w:lang w:val="es-ES_tradnl"/>
        </w:rPr>
        <w:t xml:space="preserve"> (1) </w:t>
      </w:r>
      <w:r w:rsidR="004423BF" w:rsidRPr="00DC2A65">
        <w:rPr>
          <w:rFonts w:ascii="Palatino Linotype" w:hAnsi="Palatino Linotype"/>
          <w:lang w:val="es-ES_tradnl"/>
        </w:rPr>
        <w:t xml:space="preserve">ajustar sus actuaciones y </w:t>
      </w:r>
      <w:r w:rsidR="00E4540D" w:rsidRPr="00DC2A65">
        <w:rPr>
          <w:rFonts w:ascii="Palatino Linotype" w:hAnsi="Palatino Linotype"/>
          <w:lang w:val="es-ES_tradnl"/>
        </w:rPr>
        <w:t xml:space="preserve">(2) </w:t>
      </w:r>
      <w:r w:rsidR="004423BF" w:rsidRPr="00DC2A65">
        <w:rPr>
          <w:rFonts w:ascii="Palatino Linotype" w:hAnsi="Palatino Linotype"/>
          <w:lang w:val="es-ES_tradnl"/>
        </w:rPr>
        <w:t>fundar y motivar sus resoluciones y actuaciones en las normas aplicables, sin duda constituye una garantía de seguridad y certidumbre jurídica.</w:t>
      </w:r>
    </w:p>
    <w:p w:rsidR="004423BF" w:rsidRPr="00DC2A65"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DC2A65"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DC2A65">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DC2A65">
        <w:rPr>
          <w:rFonts w:ascii="Palatino Linotype" w:hAnsi="Palatino Linotype"/>
          <w:i/>
          <w:lang w:val="es-ES_tradnl"/>
        </w:rPr>
        <w:t xml:space="preserve">Nadie podrá ser privado de la vida, de la libertad o de sus propiedades, posesiones o derechos, sino mediante juicio seguido ante los tribunales previamente establecidos, en el que se cumplan las formalidades esenciales del procedimiento y conforme </w:t>
      </w:r>
      <w:r w:rsidRPr="00DC2A65">
        <w:rPr>
          <w:rFonts w:ascii="Palatino Linotype" w:hAnsi="Palatino Linotype"/>
          <w:i/>
          <w:lang w:val="es-ES_tradnl"/>
        </w:rPr>
        <w:lastRenderedPageBreak/>
        <w:t>a las leyes expedidas con anterioridad al hecho”,</w:t>
      </w:r>
      <w:r w:rsidRPr="00DC2A65">
        <w:rPr>
          <w:rFonts w:ascii="Palatino Linotype" w:hAnsi="Palatino Linotype"/>
          <w:lang w:val="es-ES_tradnl"/>
        </w:rPr>
        <w:t xml:space="preserve"> y del primer párrafo del artículo 16 de Constitucional: “</w:t>
      </w:r>
      <w:r w:rsidRPr="00DC2A65">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DC2A65">
        <w:rPr>
          <w:rFonts w:ascii="Palatino Linotype" w:hAnsi="Palatino Linotype"/>
          <w:i/>
          <w:lang w:val="es-ES_tradnl"/>
        </w:rPr>
        <w:t>.</w:t>
      </w:r>
    </w:p>
    <w:p w:rsidR="00D62F34" w:rsidRPr="00DC2A65" w:rsidRDefault="00D62F34" w:rsidP="00D62F34">
      <w:pPr>
        <w:pStyle w:val="Prrafodelista"/>
        <w:rPr>
          <w:lang w:val="es-ES_tradnl"/>
        </w:rPr>
      </w:pPr>
    </w:p>
    <w:p w:rsidR="00D62F34" w:rsidRPr="00DC2A65"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DC2A65">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DC2A65">
        <w:rPr>
          <w:rFonts w:ascii="Palatino Linotype" w:hAnsi="Palatino Linotype"/>
          <w:lang w:val="es-ES_tradnl"/>
        </w:rPr>
        <w:t>principios</w:t>
      </w:r>
      <w:r w:rsidR="002F383D" w:rsidRPr="00DC2A65">
        <w:rPr>
          <w:rFonts w:ascii="Palatino Linotype" w:hAnsi="Palatino Linotype"/>
          <w:lang w:val="es-ES_tradnl"/>
        </w:rPr>
        <w:t xml:space="preserve"> </w:t>
      </w:r>
      <w:r w:rsidRPr="00DC2A65">
        <w:rPr>
          <w:rFonts w:ascii="Palatino Linotype" w:hAnsi="Palatino Linotype"/>
          <w:lang w:val="es-ES_tradnl"/>
        </w:rPr>
        <w:t xml:space="preserve">surte efectos en diferentes campos del derecho, el primero se </w:t>
      </w:r>
      <w:r w:rsidR="008A6E0E" w:rsidRPr="00DC2A65">
        <w:rPr>
          <w:rFonts w:ascii="Palatino Linotype" w:hAnsi="Palatino Linotype"/>
          <w:lang w:val="es-ES_tradnl"/>
        </w:rPr>
        <w:t>sitúa</w:t>
      </w:r>
      <w:r w:rsidRPr="00DC2A65">
        <w:rPr>
          <w:rFonts w:ascii="Palatino Linotype" w:hAnsi="Palatino Linotype"/>
          <w:lang w:val="es-ES_tradnl"/>
        </w:rPr>
        <w:t xml:space="preserve"> en la esfera aplicativa de éste, mientras que el segundo, implica centrar nuestra atención en su esfera normativa.</w:t>
      </w:r>
    </w:p>
    <w:p w:rsidR="00D62F34" w:rsidRPr="00DC2A65" w:rsidRDefault="00D62F34" w:rsidP="00136BAF">
      <w:pPr>
        <w:pStyle w:val="Prrafodelista"/>
        <w:spacing w:line="360" w:lineRule="auto"/>
        <w:rPr>
          <w:rFonts w:ascii="Palatino Linotype" w:hAnsi="Palatino Linotype"/>
          <w:lang w:val="es-ES_tradnl"/>
        </w:rPr>
      </w:pPr>
    </w:p>
    <w:p w:rsidR="00321071" w:rsidRPr="00DC2A65"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DC2A65">
        <w:rPr>
          <w:rFonts w:ascii="Palatino Linotype" w:hAnsi="Palatino Linotype"/>
          <w:lang w:val="es-ES_tradnl"/>
        </w:rPr>
        <w:t>El principio de legalidad entraña que los órganos del Estado deben ceñir su actuar a lo que disponga la ley</w:t>
      </w:r>
      <w:r w:rsidR="00D62F34" w:rsidRPr="00DC2A65">
        <w:rPr>
          <w:rFonts w:ascii="Palatino Linotype" w:hAnsi="Palatino Linotype"/>
          <w:lang w:val="es-ES_tradnl"/>
        </w:rPr>
        <w:t xml:space="preserve">, lo que implica el respeto </w:t>
      </w:r>
      <w:r w:rsidRPr="00DC2A65">
        <w:rPr>
          <w:rFonts w:ascii="Palatino Linotype" w:hAnsi="Palatino Linotype"/>
          <w:lang w:val="es-ES_tradnl"/>
        </w:rPr>
        <w:t>absoluto en la producción de las normas al orden escalonado exigido por la jerarquía de las fuentes</w:t>
      </w:r>
      <w:r w:rsidR="00E4540D" w:rsidRPr="00DC2A65">
        <w:rPr>
          <w:rFonts w:ascii="Palatino Linotype" w:hAnsi="Palatino Linotype"/>
          <w:lang w:val="es-ES_tradnl"/>
        </w:rPr>
        <w:t xml:space="preserve"> del derecho</w:t>
      </w:r>
      <w:r w:rsidRPr="00DC2A65">
        <w:rPr>
          <w:rFonts w:ascii="Palatino Linotype" w:hAnsi="Palatino Linotype"/>
          <w:lang w:val="es-ES_tradnl"/>
        </w:rPr>
        <w:t>, y finalmente, la sumisión de los actos concretos de una autoridad a las disposiciones de carácter general</w:t>
      </w:r>
      <w:r w:rsidR="00D62F34" w:rsidRPr="00DC2A65">
        <w:rPr>
          <w:rFonts w:ascii="Palatino Linotype" w:hAnsi="Palatino Linotype"/>
          <w:lang w:val="es-ES_tradnl"/>
        </w:rPr>
        <w:t xml:space="preserve">.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w:t>
      </w:r>
      <w:r w:rsidR="00D62F34" w:rsidRPr="00DC2A65">
        <w:rPr>
          <w:rFonts w:ascii="Palatino Linotype" w:hAnsi="Palatino Linotype"/>
          <w:lang w:val="es-ES_tradnl"/>
        </w:rPr>
        <w:lastRenderedPageBreak/>
        <w:t>reservadas al órgano legislativo y el deber de éste de no delegar dicho poder en cualquier ente distinto a él.</w:t>
      </w:r>
    </w:p>
    <w:p w:rsidR="00321071" w:rsidRPr="00DC2A65" w:rsidRDefault="00321071" w:rsidP="00321071">
      <w:pPr>
        <w:pStyle w:val="Prrafodelista"/>
        <w:rPr>
          <w:color w:val="1E1916"/>
          <w:lang w:val="es-ES_tradnl"/>
        </w:rPr>
      </w:pPr>
    </w:p>
    <w:p w:rsidR="00321071" w:rsidRPr="00DC2A65"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color w:val="1E1916"/>
          <w:lang w:val="es-ES_tradnl"/>
        </w:rPr>
        <w:t xml:space="preserve">La sujeción de los órganos públicos a la ley se concreta en el principio de </w:t>
      </w:r>
      <w:r w:rsidRPr="00DC2A65">
        <w:rPr>
          <w:rFonts w:ascii="Palatino Linotype" w:hAnsi="Palatino Linotype"/>
          <w:i/>
          <w:color w:val="1E1916"/>
          <w:lang w:val="es-ES_tradnl"/>
        </w:rPr>
        <w:t>mera legalidad</w:t>
      </w:r>
      <w:r w:rsidRPr="00DC2A65">
        <w:rPr>
          <w:rFonts w:ascii="Palatino Linotype" w:hAnsi="Palatino Linotype"/>
          <w:color w:val="1E1916"/>
          <w:lang w:val="es-ES_tradnl"/>
        </w:rPr>
        <w:t xml:space="preserve">, el cual es distinto al principio de </w:t>
      </w:r>
      <w:r w:rsidRPr="00DC2A65">
        <w:rPr>
          <w:rFonts w:ascii="Palatino Linotype" w:hAnsi="Palatino Linotype"/>
          <w:i/>
          <w:color w:val="1E1916"/>
          <w:lang w:val="es-ES_tradnl"/>
        </w:rPr>
        <w:t xml:space="preserve">estricta legalidad </w:t>
      </w:r>
      <w:r w:rsidRPr="00DC2A65">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DC2A65">
        <w:rPr>
          <w:rStyle w:val="Refdenotaalpie"/>
          <w:rFonts w:ascii="Palatino Linotype" w:hAnsi="Palatino Linotype"/>
          <w:color w:val="1E1916"/>
          <w:lang w:val="es-ES_tradnl"/>
        </w:rPr>
        <w:footnoteReference w:id="2"/>
      </w:r>
    </w:p>
    <w:p w:rsidR="00927E88" w:rsidRPr="00DC2A65" w:rsidRDefault="00927E88" w:rsidP="00927E88">
      <w:pPr>
        <w:pStyle w:val="Prrafodelista"/>
        <w:rPr>
          <w:rFonts w:ascii="Palatino Linotype" w:hAnsi="Palatino Linotype"/>
          <w:lang w:val="es-ES_tradnl"/>
        </w:rPr>
      </w:pPr>
    </w:p>
    <w:p w:rsidR="00927E88" w:rsidRPr="00DC2A65"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DC2A65">
        <w:rPr>
          <w:rFonts w:ascii="Palatino Linotype" w:hAnsi="Palatino Linotype"/>
          <w:lang w:val="es-ES_tradnl"/>
        </w:rPr>
        <w:t xml:space="preserve">contra del </w:t>
      </w:r>
      <w:r w:rsidRPr="00DC2A65">
        <w:rPr>
          <w:rFonts w:ascii="Palatino Linotype" w:hAnsi="Palatino Linotype"/>
          <w:lang w:val="es-ES_tradnl"/>
        </w:rPr>
        <w:t xml:space="preserve">Estado de Derecho en el cual las autoridades </w:t>
      </w:r>
      <w:r w:rsidR="003F1869" w:rsidRPr="00DC2A65">
        <w:rPr>
          <w:rFonts w:ascii="Palatino Linotype" w:hAnsi="Palatino Linotype"/>
          <w:lang w:val="es-ES_tradnl"/>
        </w:rPr>
        <w:t>deben encontrarse sujetas</w:t>
      </w:r>
      <w:r w:rsidRPr="00DC2A65">
        <w:rPr>
          <w:rFonts w:ascii="Palatino Linotype" w:hAnsi="Palatino Linotype"/>
          <w:lang w:val="es-ES_tradnl"/>
        </w:rPr>
        <w:t xml:space="preserve"> a la le</w:t>
      </w:r>
      <w:r w:rsidR="003F1869" w:rsidRPr="00DC2A65">
        <w:rPr>
          <w:rFonts w:ascii="Palatino Linotype" w:hAnsi="Palatino Linotype"/>
          <w:lang w:val="es-ES_tradnl"/>
        </w:rPr>
        <w:t xml:space="preserve">y, es decir debe </w:t>
      </w:r>
      <w:r w:rsidRPr="00DC2A65">
        <w:rPr>
          <w:rFonts w:ascii="Palatino Linotype" w:hAnsi="Palatino Linotype"/>
          <w:lang w:val="es-ES_tradnl"/>
        </w:rPr>
        <w:t>exist</w:t>
      </w:r>
      <w:r w:rsidR="003F1869" w:rsidRPr="00DC2A65">
        <w:rPr>
          <w:rFonts w:ascii="Palatino Linotype" w:hAnsi="Palatino Linotype"/>
          <w:lang w:val="es-ES_tradnl"/>
        </w:rPr>
        <w:t>ir</w:t>
      </w:r>
      <w:r w:rsidRPr="00DC2A65">
        <w:rPr>
          <w:rFonts w:ascii="Palatino Linotype" w:hAnsi="Palatino Linotype"/>
          <w:lang w:val="es-ES_tradnl"/>
        </w:rPr>
        <w:t xml:space="preserve"> sujeción de los poderes públicos al ordenamiento legal</w:t>
      </w:r>
      <w:r w:rsidR="003F1869" w:rsidRPr="00DC2A65">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DC2A65">
        <w:rPr>
          <w:rFonts w:ascii="Palatino Linotype" w:hAnsi="Palatino Linotype"/>
          <w:lang w:val="es-ES_tradnl"/>
        </w:rPr>
        <w:t>,</w:t>
      </w:r>
      <w:r w:rsidR="003F1869" w:rsidRPr="00DC2A65">
        <w:rPr>
          <w:rFonts w:ascii="Palatino Linotype" w:hAnsi="Palatino Linotype"/>
          <w:lang w:val="es-ES_tradnl"/>
        </w:rPr>
        <w:t xml:space="preserve"> sin lugar a dudas</w:t>
      </w:r>
      <w:r w:rsidR="00E4540D" w:rsidRPr="00DC2A65">
        <w:rPr>
          <w:rFonts w:ascii="Palatino Linotype" w:hAnsi="Palatino Linotype"/>
          <w:lang w:val="es-ES_tradnl"/>
        </w:rPr>
        <w:t>,</w:t>
      </w:r>
      <w:r w:rsidR="003F1869" w:rsidRPr="00DC2A65">
        <w:rPr>
          <w:rFonts w:ascii="Palatino Linotype" w:hAnsi="Palatino Linotype"/>
          <w:lang w:val="es-ES_tradnl"/>
        </w:rPr>
        <w:t xml:space="preserve"> </w:t>
      </w:r>
      <w:proofErr w:type="spellStart"/>
      <w:r w:rsidR="003F1869" w:rsidRPr="00DC2A65">
        <w:rPr>
          <w:rFonts w:ascii="Palatino Linotype" w:hAnsi="Palatino Linotype"/>
          <w:lang w:val="es-ES_tradnl"/>
        </w:rPr>
        <w:t>esta</w:t>
      </w:r>
      <w:proofErr w:type="spellEnd"/>
      <w:r w:rsidR="003F1869" w:rsidRPr="00DC2A65">
        <w:rPr>
          <w:rFonts w:ascii="Palatino Linotype" w:hAnsi="Palatino Linotype"/>
          <w:lang w:val="es-ES_tradnl"/>
        </w:rPr>
        <w:t xml:space="preserve"> relacionado con el respeto a la persona humana y a sus derechos fundamentales.</w:t>
      </w:r>
    </w:p>
    <w:p w:rsidR="00927E88" w:rsidRPr="00DC2A65" w:rsidRDefault="00927E88" w:rsidP="00927E88">
      <w:pPr>
        <w:pStyle w:val="Textoindependiente"/>
        <w:spacing w:line="247" w:lineRule="auto"/>
        <w:ind w:left="117" w:right="113"/>
        <w:rPr>
          <w:lang w:val="es-ES_tradnl"/>
        </w:rPr>
      </w:pPr>
    </w:p>
    <w:p w:rsidR="00927E88" w:rsidRPr="00DC2A65" w:rsidRDefault="00927E88" w:rsidP="00927E88">
      <w:pPr>
        <w:spacing w:line="249" w:lineRule="auto"/>
        <w:ind w:left="357" w:right="116"/>
        <w:jc w:val="both"/>
        <w:rPr>
          <w:sz w:val="20"/>
          <w:lang w:val="es-ES_tradnl"/>
        </w:rPr>
      </w:pPr>
    </w:p>
    <w:p w:rsidR="003F1869" w:rsidRPr="00DC2A65"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En consecuencia, los órganos de Estado definen sus alcances bajo la tutela del principio de legalidad consagrado en la Constitución por el cual deben </w:t>
      </w:r>
      <w:r w:rsidRPr="00DC2A65">
        <w:rPr>
          <w:rFonts w:ascii="Palatino Linotype" w:hAnsi="Palatino Linotype"/>
          <w:shd w:val="clear" w:color="auto" w:fill="FFFFFF"/>
          <w:lang w:val="es-ES_tradnl"/>
        </w:rPr>
        <w:t xml:space="preserve">de fundar y </w:t>
      </w:r>
      <w:r w:rsidRPr="00DC2A65">
        <w:rPr>
          <w:rFonts w:ascii="Palatino Linotype" w:hAnsi="Palatino Linotype"/>
          <w:shd w:val="clear" w:color="auto" w:fill="FFFFFF"/>
          <w:lang w:val="es-ES_tradnl"/>
        </w:rPr>
        <w:lastRenderedPageBreak/>
        <w:t>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DC2A65" w:rsidRDefault="00927E88" w:rsidP="00927E88">
      <w:pPr>
        <w:rPr>
          <w:lang w:val="es-ES_tradnl"/>
        </w:rPr>
      </w:pPr>
    </w:p>
    <w:p w:rsidR="00BC0A9E" w:rsidRPr="00DC2A65"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Es por ello, que el</w:t>
      </w:r>
      <w:r w:rsidR="00BC0A9E" w:rsidRPr="00DC2A65">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DC2A65">
        <w:rPr>
          <w:rFonts w:ascii="Palatino Linotype" w:hAnsi="Palatino Linotype"/>
          <w:spacing w:val="-2"/>
          <w:lang w:val="es-ES_tradnl"/>
        </w:rPr>
        <w:t xml:space="preserve">los </w:t>
      </w:r>
      <w:r w:rsidR="00BC0A9E" w:rsidRPr="00DC2A65">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DC2A65">
        <w:rPr>
          <w:rFonts w:ascii="Palatino Linotype" w:hAnsi="Palatino Linotype"/>
          <w:spacing w:val="-5"/>
          <w:lang w:val="es-ES_tradnl"/>
        </w:rPr>
        <w:t xml:space="preserve"> </w:t>
      </w:r>
      <w:r w:rsidR="00BC0A9E" w:rsidRPr="00DC2A65">
        <w:rPr>
          <w:rFonts w:ascii="Palatino Linotype" w:hAnsi="Palatino Linotype"/>
          <w:lang w:val="es-ES_tradnl"/>
        </w:rPr>
        <w:t>normativas.</w:t>
      </w:r>
    </w:p>
    <w:p w:rsidR="00BC0A9E" w:rsidRPr="00DC2A65"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DC2A65"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DC2A65">
        <w:rPr>
          <w:rFonts w:ascii="Palatino Linotype" w:hAnsi="Palatino Linotype"/>
          <w:spacing w:val="-4"/>
          <w:lang w:val="es-ES_tradnl"/>
        </w:rPr>
        <w:t xml:space="preserve"> </w:t>
      </w:r>
      <w:r w:rsidRPr="00DC2A65">
        <w:rPr>
          <w:rFonts w:ascii="Palatino Linotype" w:hAnsi="Palatino Linotype"/>
          <w:lang w:val="es-ES_tradnl"/>
        </w:rPr>
        <w:t>motivación:</w:t>
      </w:r>
    </w:p>
    <w:p w:rsidR="00BC0A9E" w:rsidRPr="00DC2A65" w:rsidRDefault="00BC0A9E" w:rsidP="00BC0A9E">
      <w:pPr>
        <w:pStyle w:val="Prrafodelista"/>
        <w:rPr>
          <w:rFonts w:ascii="Palatino Linotype" w:hAnsi="Palatino Linotype"/>
          <w:lang w:val="es-ES_tradnl"/>
        </w:rPr>
      </w:pPr>
    </w:p>
    <w:p w:rsidR="00BC0A9E" w:rsidRPr="00DC2A65" w:rsidRDefault="00BC0A9E" w:rsidP="00BC0A9E">
      <w:pPr>
        <w:spacing w:line="276" w:lineRule="auto"/>
        <w:ind w:left="908" w:right="1121"/>
        <w:jc w:val="both"/>
        <w:rPr>
          <w:rFonts w:ascii="Palatino Linotype" w:hAnsi="Palatino Linotype"/>
          <w:i/>
          <w:sz w:val="22"/>
          <w:szCs w:val="22"/>
          <w:lang w:val="es-ES_tradnl"/>
        </w:rPr>
      </w:pPr>
      <w:r w:rsidRPr="00DC2A65">
        <w:rPr>
          <w:rFonts w:ascii="Palatino Linotype" w:hAnsi="Palatino Linotype"/>
          <w:b/>
          <w:i/>
          <w:sz w:val="22"/>
          <w:szCs w:val="22"/>
          <w:lang w:val="es-ES_tradnl"/>
        </w:rPr>
        <w:lastRenderedPageBreak/>
        <w:t xml:space="preserve">“FUNDAMENTACION Y MOTIVACION. </w:t>
      </w:r>
      <w:r w:rsidRPr="00DC2A65">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DC2A65">
        <w:rPr>
          <w:rFonts w:ascii="Palatino Linotype" w:hAnsi="Palatino Linotype"/>
          <w:i/>
          <w:spacing w:val="-2"/>
          <w:sz w:val="22"/>
          <w:szCs w:val="22"/>
          <w:lang w:val="es-ES_tradnl"/>
        </w:rPr>
        <w:t xml:space="preserve"> </w:t>
      </w:r>
      <w:r w:rsidRPr="00DC2A65">
        <w:rPr>
          <w:rFonts w:ascii="Palatino Linotype" w:hAnsi="Palatino Linotype"/>
          <w:i/>
          <w:sz w:val="22"/>
          <w:szCs w:val="22"/>
          <w:lang w:val="es-ES_tradnl"/>
        </w:rPr>
        <w:t>normativas.”</w:t>
      </w:r>
      <w:r w:rsidRPr="00DC2A65">
        <w:rPr>
          <w:rStyle w:val="Refdenotaalpie"/>
          <w:rFonts w:ascii="Palatino Linotype" w:hAnsi="Palatino Linotype"/>
          <w:i/>
          <w:sz w:val="22"/>
          <w:szCs w:val="22"/>
          <w:lang w:val="es-ES_tradnl"/>
        </w:rPr>
        <w:footnoteReference w:id="3"/>
      </w:r>
    </w:p>
    <w:p w:rsidR="00103C16" w:rsidRPr="00DC2A65" w:rsidRDefault="00103C16" w:rsidP="00BC0A9E">
      <w:pPr>
        <w:spacing w:line="276" w:lineRule="auto"/>
        <w:ind w:left="908" w:right="1121"/>
        <w:jc w:val="both"/>
        <w:rPr>
          <w:rFonts w:ascii="Palatino Linotype" w:hAnsi="Palatino Linotype"/>
          <w:i/>
          <w:sz w:val="22"/>
          <w:szCs w:val="22"/>
          <w:lang w:val="es-ES_tradnl"/>
        </w:rPr>
      </w:pPr>
    </w:p>
    <w:p w:rsidR="00321071" w:rsidRPr="00DC2A65" w:rsidRDefault="00321071" w:rsidP="00BC0A9E">
      <w:pPr>
        <w:spacing w:line="276" w:lineRule="auto"/>
        <w:ind w:left="908" w:right="1121"/>
        <w:jc w:val="both"/>
        <w:rPr>
          <w:rFonts w:ascii="Palatino Linotype" w:hAnsi="Palatino Linotype"/>
          <w:i/>
          <w:sz w:val="22"/>
          <w:szCs w:val="22"/>
          <w:lang w:val="es-ES_tradnl"/>
        </w:rPr>
      </w:pPr>
    </w:p>
    <w:p w:rsidR="007B50D3" w:rsidRPr="00DC2A65" w:rsidRDefault="00C91589" w:rsidP="00C91589">
      <w:pPr>
        <w:pStyle w:val="Prrafodelista"/>
        <w:spacing w:line="360" w:lineRule="auto"/>
        <w:ind w:left="450" w:right="49"/>
        <w:jc w:val="both"/>
        <w:rPr>
          <w:rFonts w:ascii="Palatino Linotype" w:hAnsi="Palatino Linotype"/>
          <w:b/>
          <w:lang w:val="es-ES_tradnl"/>
        </w:rPr>
      </w:pPr>
      <w:r w:rsidRPr="00DC2A65">
        <w:rPr>
          <w:rFonts w:ascii="Palatino Linotype" w:hAnsi="Palatino Linotype"/>
          <w:b/>
          <w:lang w:val="es-ES_tradnl"/>
        </w:rPr>
        <w:t xml:space="preserve">II. </w:t>
      </w:r>
      <w:r w:rsidR="007B50D3" w:rsidRPr="00DC2A65">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DC2A65" w:rsidRDefault="003F1869" w:rsidP="003F1869">
      <w:pPr>
        <w:pStyle w:val="Prrafodelista"/>
        <w:rPr>
          <w:rFonts w:ascii="Palatino Linotype" w:hAnsi="Palatino Linotype"/>
          <w:lang w:val="es-ES_tradnl"/>
        </w:rPr>
      </w:pPr>
    </w:p>
    <w:p w:rsidR="003F1869" w:rsidRPr="00DC2A65"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DC2A65" w:rsidRDefault="003F1869" w:rsidP="003F1869">
      <w:pPr>
        <w:pStyle w:val="Prrafodelista"/>
        <w:rPr>
          <w:rFonts w:ascii="Palatino Linotype" w:hAnsi="Palatino Linotype"/>
          <w:lang w:val="es-ES_tradnl"/>
        </w:rPr>
      </w:pPr>
    </w:p>
    <w:p w:rsidR="003F1869" w:rsidRPr="00DC2A65" w:rsidRDefault="003F1869" w:rsidP="003F1869">
      <w:pPr>
        <w:spacing w:line="276" w:lineRule="auto"/>
        <w:ind w:left="900"/>
        <w:jc w:val="both"/>
        <w:rPr>
          <w:rFonts w:ascii="Palatino Linotype" w:hAnsi="Palatino Linotype"/>
          <w:i/>
          <w:lang w:val="es-ES_tradnl"/>
        </w:rPr>
      </w:pPr>
      <w:r w:rsidRPr="00DC2A65">
        <w:rPr>
          <w:rFonts w:ascii="Palatino Linotype" w:hAnsi="Palatino Linotype"/>
          <w:b/>
          <w:i/>
          <w:lang w:val="es-ES_tradnl"/>
        </w:rPr>
        <w:t>“Artículo 6o.</w:t>
      </w:r>
      <w:r w:rsidRPr="00DC2A65">
        <w:rPr>
          <w:rFonts w:ascii="Palatino Linotype" w:hAnsi="Palatino Linotype"/>
          <w:i/>
          <w:lang w:val="es-ES_tradnl"/>
        </w:rPr>
        <w:t xml:space="preserve"> (…) </w:t>
      </w:r>
    </w:p>
    <w:p w:rsidR="003F1869" w:rsidRPr="00DC2A65" w:rsidRDefault="003F1869" w:rsidP="003F1869">
      <w:pPr>
        <w:spacing w:line="276" w:lineRule="auto"/>
        <w:ind w:left="900"/>
        <w:jc w:val="both"/>
        <w:rPr>
          <w:rFonts w:ascii="Palatino Linotype" w:hAnsi="Palatino Linotype"/>
          <w:b/>
          <w:i/>
          <w:lang w:val="es-ES_tradnl"/>
        </w:rPr>
      </w:pPr>
      <w:r w:rsidRPr="00DC2A65">
        <w:rPr>
          <w:rFonts w:ascii="Palatino Linotype" w:hAnsi="Palatino Linotype"/>
          <w:b/>
          <w:i/>
          <w:lang w:val="es-ES_tradnl"/>
        </w:rPr>
        <w:t xml:space="preserve">A. (...) </w:t>
      </w:r>
    </w:p>
    <w:p w:rsidR="003F1869" w:rsidRPr="00DC2A65" w:rsidRDefault="003F1869" w:rsidP="003F1869">
      <w:pPr>
        <w:spacing w:line="276" w:lineRule="auto"/>
        <w:ind w:left="900"/>
        <w:jc w:val="both"/>
        <w:rPr>
          <w:rFonts w:ascii="Palatino Linotype" w:hAnsi="Palatino Linotype"/>
          <w:i/>
          <w:lang w:val="es-ES_tradnl"/>
        </w:rPr>
      </w:pPr>
      <w:r w:rsidRPr="00DC2A65">
        <w:rPr>
          <w:rFonts w:ascii="Palatino Linotype" w:hAnsi="Palatino Linotype"/>
          <w:b/>
          <w:i/>
          <w:lang w:val="es-ES_tradnl"/>
        </w:rPr>
        <w:t>VIII.-</w:t>
      </w:r>
      <w:r w:rsidRPr="00DC2A65">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w:t>
      </w:r>
      <w:r w:rsidRPr="00DC2A65">
        <w:rPr>
          <w:rFonts w:ascii="Palatino Linotype" w:hAnsi="Palatino Linotype"/>
          <w:i/>
          <w:lang w:val="es-ES_tradnl"/>
        </w:rPr>
        <w:lastRenderedPageBreak/>
        <w:t xml:space="preserve">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DC2A65">
        <w:rPr>
          <w:rFonts w:ascii="Palatino Linotype" w:hAnsi="Palatino Linotype"/>
          <w:b/>
          <w:i/>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DC2A65">
        <w:rPr>
          <w:rFonts w:ascii="Palatino Linotype" w:hAnsi="Palatino Linotype"/>
          <w:i/>
          <w:lang w:val="es-ES_tradnl"/>
        </w:rPr>
        <w:t xml:space="preserve"> </w:t>
      </w:r>
    </w:p>
    <w:p w:rsidR="003F1869" w:rsidRPr="00DC2A65" w:rsidRDefault="003F1869" w:rsidP="003F1869">
      <w:pPr>
        <w:pStyle w:val="Prrafodelista"/>
        <w:rPr>
          <w:rFonts w:ascii="Palatino Linotype" w:hAnsi="Palatino Linotype"/>
          <w:lang w:val="es-ES_tradnl"/>
        </w:rPr>
      </w:pPr>
    </w:p>
    <w:p w:rsidR="003F1869" w:rsidRPr="00DC2A65"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32234E" w:rsidRPr="00DC2A65" w:rsidRDefault="0032234E" w:rsidP="0032234E">
      <w:pPr>
        <w:pStyle w:val="Prrafodelista"/>
        <w:tabs>
          <w:tab w:val="left" w:pos="0"/>
        </w:tabs>
        <w:spacing w:line="360" w:lineRule="auto"/>
        <w:ind w:left="0" w:right="49"/>
        <w:jc w:val="both"/>
        <w:rPr>
          <w:rFonts w:ascii="Palatino Linotype" w:hAnsi="Palatino Linotype"/>
          <w:lang w:val="es-ES_tradnl"/>
        </w:rPr>
      </w:pPr>
    </w:p>
    <w:p w:rsidR="00BC0A9E" w:rsidRPr="00DC2A65"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w:t>
      </w:r>
      <w:r w:rsidR="00BC0A9E" w:rsidRPr="00DC2A65">
        <w:rPr>
          <w:rFonts w:ascii="Palatino Linotype" w:hAnsi="Palatino Linotype"/>
          <w:lang w:val="es-ES_tradnl"/>
        </w:rPr>
        <w:t>l artículo 160 de</w:t>
      </w:r>
      <w:r w:rsidR="00D92A5E" w:rsidRPr="00DC2A65">
        <w:rPr>
          <w:rFonts w:ascii="Palatino Linotype" w:hAnsi="Palatino Linotype"/>
          <w:lang w:val="es-ES_tradnl"/>
        </w:rPr>
        <w:t xml:space="preserve"> la Ley General de Transparencia y Acceso a la Información establece</w:t>
      </w:r>
      <w:r w:rsidR="00BC0A9E" w:rsidRPr="00DC2A65">
        <w:rPr>
          <w:rFonts w:ascii="Palatino Linotype" w:hAnsi="Palatino Linotype"/>
          <w:lang w:val="es-ES_tradnl"/>
        </w:rPr>
        <w:t>:</w:t>
      </w:r>
    </w:p>
    <w:p w:rsidR="00A20C17" w:rsidRPr="00DC2A65" w:rsidRDefault="00A20C17" w:rsidP="00A20C17">
      <w:pPr>
        <w:pStyle w:val="Prrafodelista"/>
        <w:rPr>
          <w:rFonts w:ascii="Palatino Linotype" w:hAnsi="Palatino Linotype"/>
          <w:lang w:val="es-ES_tradnl"/>
        </w:rPr>
      </w:pPr>
    </w:p>
    <w:p w:rsidR="00BC0A9E" w:rsidRPr="00DC2A65" w:rsidRDefault="00BC0A9E" w:rsidP="00BC0A9E">
      <w:pPr>
        <w:spacing w:line="276" w:lineRule="auto"/>
        <w:ind w:left="810"/>
        <w:jc w:val="both"/>
        <w:rPr>
          <w:rFonts w:ascii="Palatino Linotype" w:hAnsi="Palatino Linotype"/>
          <w:i/>
          <w:lang w:val="es-ES_tradnl"/>
        </w:rPr>
      </w:pPr>
      <w:r w:rsidRPr="00DC2A65">
        <w:rPr>
          <w:rFonts w:ascii="Palatino Linotype" w:hAnsi="Palatino Linotype"/>
          <w:b/>
          <w:i/>
          <w:lang w:val="es-ES_tradnl"/>
        </w:rPr>
        <w:t>Artículo 160.</w:t>
      </w:r>
      <w:r w:rsidRPr="00DC2A65">
        <w:rPr>
          <w:rFonts w:ascii="Palatino Linotype" w:hAnsi="Palatino Linotype"/>
          <w:i/>
          <w:lang w:val="es-ES_tradnl"/>
        </w:rPr>
        <w:t xml:space="preserve"> El recurso de inconformidad procede contra las resoluciones emitidas por los Organismos garantes de las Entidades Federativas que</w:t>
      </w:r>
    </w:p>
    <w:p w:rsidR="00BC0A9E" w:rsidRPr="00DC2A65" w:rsidRDefault="00BC0A9E" w:rsidP="00BC0A9E">
      <w:pPr>
        <w:spacing w:line="276" w:lineRule="auto"/>
        <w:ind w:left="810"/>
        <w:jc w:val="both"/>
        <w:rPr>
          <w:rFonts w:ascii="Palatino Linotype" w:hAnsi="Palatino Linotype"/>
          <w:i/>
          <w:lang w:val="es-ES_tradnl"/>
        </w:rPr>
      </w:pPr>
    </w:p>
    <w:p w:rsidR="00BC0A9E" w:rsidRPr="00DC2A65" w:rsidRDefault="00BC0A9E" w:rsidP="00BC0A9E">
      <w:pPr>
        <w:spacing w:line="276" w:lineRule="auto"/>
        <w:ind w:left="810"/>
        <w:jc w:val="both"/>
        <w:rPr>
          <w:rFonts w:ascii="Palatino Linotype" w:hAnsi="Palatino Linotype"/>
          <w:i/>
          <w:lang w:val="es-ES_tradnl"/>
        </w:rPr>
      </w:pPr>
      <w:r w:rsidRPr="00DC2A65">
        <w:rPr>
          <w:rFonts w:ascii="Palatino Linotype" w:hAnsi="Palatino Linotype"/>
          <w:i/>
          <w:lang w:val="es-ES_tradnl"/>
        </w:rPr>
        <w:t xml:space="preserve">I. Confirmen o modifiquen la clasificación de la información, o </w:t>
      </w:r>
    </w:p>
    <w:p w:rsidR="00BC0A9E" w:rsidRPr="00DC2A65" w:rsidRDefault="00BC0A9E" w:rsidP="00BC0A9E">
      <w:pPr>
        <w:spacing w:line="276" w:lineRule="auto"/>
        <w:ind w:left="810"/>
        <w:jc w:val="both"/>
        <w:rPr>
          <w:rFonts w:ascii="Palatino Linotype" w:hAnsi="Palatino Linotype"/>
          <w:i/>
          <w:lang w:val="es-ES_tradnl"/>
        </w:rPr>
      </w:pPr>
      <w:r w:rsidRPr="00DC2A65">
        <w:rPr>
          <w:rFonts w:ascii="Palatino Linotype" w:hAnsi="Palatino Linotype"/>
          <w:i/>
          <w:lang w:val="es-ES_tradnl"/>
        </w:rPr>
        <w:t xml:space="preserve">II. Confirmen la inexistencia o negativa de información. </w:t>
      </w:r>
    </w:p>
    <w:p w:rsidR="00BC0A9E" w:rsidRPr="00DC2A65" w:rsidRDefault="00BC0A9E" w:rsidP="00BC0A9E">
      <w:pPr>
        <w:spacing w:line="276" w:lineRule="auto"/>
        <w:ind w:left="810"/>
        <w:jc w:val="both"/>
        <w:rPr>
          <w:rFonts w:ascii="Palatino Linotype" w:hAnsi="Palatino Linotype"/>
          <w:i/>
          <w:lang w:val="es-ES_tradnl"/>
        </w:rPr>
      </w:pPr>
    </w:p>
    <w:p w:rsidR="00BC0A9E" w:rsidRPr="00DC2A65" w:rsidRDefault="00BC0A9E" w:rsidP="00BC0A9E">
      <w:pPr>
        <w:spacing w:line="276" w:lineRule="auto"/>
        <w:ind w:left="810"/>
        <w:jc w:val="both"/>
        <w:rPr>
          <w:rFonts w:ascii="Palatino Linotype" w:hAnsi="Palatino Linotype"/>
          <w:i/>
          <w:lang w:val="es-ES_tradnl"/>
        </w:rPr>
      </w:pPr>
      <w:r w:rsidRPr="00DC2A65">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DC2A65"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DC2A65"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r w:rsidR="00103C16" w:rsidRPr="00DC2A65">
        <w:rPr>
          <w:rFonts w:ascii="Palatino Linotype" w:hAnsi="Palatino Linotype"/>
          <w:lang w:val="es-ES_tradnl"/>
        </w:rPr>
        <w:t>artículo</w:t>
      </w:r>
      <w:r w:rsidRPr="00DC2A65">
        <w:rPr>
          <w:rFonts w:ascii="Palatino Linotype" w:hAnsi="Palatino Linotype"/>
          <w:lang w:val="es-ES_tradnl"/>
        </w:rPr>
        <w:t xml:space="preserve"> 160 del ordenamiento legal en cita</w:t>
      </w:r>
      <w:r w:rsidR="00E4540D" w:rsidRPr="00DC2A65">
        <w:rPr>
          <w:rFonts w:ascii="Palatino Linotype" w:hAnsi="Palatino Linotype"/>
          <w:lang w:val="es-ES_tradnl"/>
        </w:rPr>
        <w:t>.</w:t>
      </w:r>
    </w:p>
    <w:p w:rsidR="00D92A5E" w:rsidRPr="00DC2A65"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DC2A65"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DC2A65">
        <w:rPr>
          <w:rFonts w:ascii="Palatino Linotype" w:hAnsi="Palatino Linotype"/>
          <w:b/>
          <w:lang w:val="es-ES_tradnl"/>
        </w:rPr>
        <w:t xml:space="preserve"> Confirmen o modifiquen la clasificación de la información, o </w:t>
      </w:r>
    </w:p>
    <w:p w:rsidR="008C75F6" w:rsidRPr="00DC2A65"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DC2A65"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w:t>
      </w:r>
      <w:r w:rsidR="004D26C3" w:rsidRPr="00DC2A65">
        <w:rPr>
          <w:rFonts w:ascii="Palatino Linotype" w:hAnsi="Palatino Linotype"/>
          <w:lang w:val="es-ES_tradnl"/>
        </w:rPr>
        <w:t xml:space="preserve">l artículo </w:t>
      </w:r>
      <w:r w:rsidR="00E90687" w:rsidRPr="00DC2A65">
        <w:rPr>
          <w:rFonts w:ascii="Palatino Linotype" w:hAnsi="Palatino Linotype"/>
          <w:lang w:val="es-ES_tradnl"/>
        </w:rPr>
        <w:t xml:space="preserve">179 fracción II </w:t>
      </w:r>
      <w:r w:rsidR="004D26C3" w:rsidRPr="00DC2A65">
        <w:rPr>
          <w:rFonts w:ascii="Palatino Linotype" w:hAnsi="Palatino Linotype"/>
          <w:lang w:val="es-ES_tradnl"/>
        </w:rPr>
        <w:t xml:space="preserve">de la Ley de Transparencia y Acceso a la Información del Estado de México y Municipios </w:t>
      </w:r>
      <w:r w:rsidR="00BF1308" w:rsidRPr="00DC2A65">
        <w:rPr>
          <w:rFonts w:ascii="Palatino Linotype" w:hAnsi="Palatino Linotype"/>
          <w:lang w:val="es-ES_tradnl"/>
        </w:rPr>
        <w:t xml:space="preserve">establece que </w:t>
      </w:r>
      <w:r w:rsidRPr="00DC2A65">
        <w:rPr>
          <w:rFonts w:ascii="Palatino Linotype" w:hAnsi="Palatino Linotype"/>
          <w:lang w:val="es-ES_tradnl"/>
        </w:rPr>
        <w:t xml:space="preserve">el recurso de revisión procede en contra de la clasificación de la información, la cual consiste en </w:t>
      </w:r>
      <w:r w:rsidRPr="00DC2A65">
        <w:rPr>
          <w:rFonts w:ascii="Palatino Linotype" w:eastAsiaTheme="minorHAnsi" w:hAnsi="Palatino Linotype"/>
          <w:lang w:val="es-ES_tradnl" w:eastAsia="en-US"/>
        </w:rPr>
        <w:t>la restricción temporal (por</w:t>
      </w:r>
      <w:r w:rsidRPr="00DC2A65">
        <w:rPr>
          <w:rFonts w:ascii="Palatino Linotype" w:hAnsi="Palatino Linotype"/>
          <w:lang w:val="es-ES_tradnl"/>
        </w:rPr>
        <w:t xml:space="preserve"> </w:t>
      </w:r>
      <w:r w:rsidRPr="00DC2A65">
        <w:rPr>
          <w:rFonts w:ascii="Palatino Linotype" w:eastAsiaTheme="minorHAnsi" w:hAnsi="Palatino Linotype"/>
          <w:lang w:val="es-ES_tradnl" w:eastAsia="en-US"/>
        </w:rPr>
        <w:t xml:space="preserve">reserva), o permanente (por confidencialidad), del ejercicio del derecho de acceso a la información, </w:t>
      </w:r>
      <w:r w:rsidRPr="00DC2A65">
        <w:rPr>
          <w:rFonts w:ascii="Palatino Linotype" w:hAnsi="Palatino Linotype"/>
          <w:lang w:val="es-ES_tradnl"/>
        </w:rPr>
        <w:t xml:space="preserve">ya sea </w:t>
      </w:r>
      <w:r w:rsidRPr="00DC2A65">
        <w:rPr>
          <w:rFonts w:ascii="Palatino Linotype" w:eastAsiaTheme="minorHAnsi" w:hAnsi="Palatino Linotype"/>
          <w:lang w:val="es-ES_tradnl" w:eastAsia="en-US"/>
        </w:rPr>
        <w:t xml:space="preserve">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w:t>
      </w:r>
      <w:r w:rsidRPr="00DC2A65">
        <w:rPr>
          <w:rFonts w:ascii="Palatino Linotype" w:eastAsiaTheme="minorHAnsi" w:hAnsi="Palatino Linotype"/>
          <w:lang w:val="es-ES_tradnl" w:eastAsia="en-US"/>
        </w:rPr>
        <w:lastRenderedPageBreak/>
        <w:t>substanciales que justifican el procedimiento, en cuyo caso el recurso de revisión, de encontrar fundada la reclamación, deberá dejar sin efecto el acto y</w:t>
      </w:r>
      <w:r w:rsidRPr="00DC2A65">
        <w:rPr>
          <w:rFonts w:ascii="Palatino Linotype" w:hAnsi="Palatino Linotype"/>
          <w:lang w:val="es-ES_tradnl"/>
        </w:rPr>
        <w:t xml:space="preserve"> </w:t>
      </w:r>
      <w:r w:rsidRPr="00DC2A65">
        <w:rPr>
          <w:rFonts w:ascii="Palatino Linotype" w:eastAsiaTheme="minorHAnsi" w:hAnsi="Palatino Linotype"/>
          <w:lang w:val="es-ES_tradnl" w:eastAsia="en-US"/>
        </w:rPr>
        <w:t>ordenar la entrega de la información, o reponer el acuerdo de clasificación con una</w:t>
      </w:r>
      <w:r w:rsidRPr="00DC2A65">
        <w:rPr>
          <w:rFonts w:ascii="Palatino Linotype" w:hAnsi="Palatino Linotype"/>
          <w:lang w:val="es-ES_tradnl"/>
        </w:rPr>
        <w:t xml:space="preserve"> </w:t>
      </w:r>
      <w:r w:rsidRPr="00DC2A65">
        <w:rPr>
          <w:rFonts w:ascii="Palatino Linotype" w:eastAsiaTheme="minorHAnsi" w:hAnsi="Palatino Linotype"/>
          <w:lang w:val="es-ES_tradnl" w:eastAsia="en-US"/>
        </w:rPr>
        <w:t>justificación adecuada; aunque también en este supuesto podríamos estar frente a</w:t>
      </w:r>
      <w:r w:rsidRPr="00DC2A65">
        <w:rPr>
          <w:rFonts w:ascii="Palatino Linotype" w:hAnsi="Palatino Linotype"/>
          <w:lang w:val="es-ES_tradnl"/>
        </w:rPr>
        <w:t xml:space="preserve"> </w:t>
      </w:r>
      <w:r w:rsidRPr="00DC2A65">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DC2A65">
        <w:rPr>
          <w:rFonts w:ascii="Palatino Linotype" w:hAnsi="Palatino Linotype"/>
          <w:lang w:val="es-ES_tradnl"/>
        </w:rPr>
        <w:t xml:space="preserve"> </w:t>
      </w:r>
      <w:r w:rsidRPr="00DC2A65">
        <w:rPr>
          <w:rFonts w:ascii="Palatino Linotype" w:eastAsiaTheme="minorHAnsi" w:hAnsi="Palatino Linotype"/>
          <w:lang w:val="es-ES_tradnl" w:eastAsia="en-US"/>
        </w:rPr>
        <w:t>la responsabilidad correspondiente a los funcionarios involucrados.</w:t>
      </w:r>
    </w:p>
    <w:p w:rsidR="008C75F6" w:rsidRPr="00DC2A65" w:rsidRDefault="008C75F6" w:rsidP="008C75F6">
      <w:pPr>
        <w:tabs>
          <w:tab w:val="left" w:pos="0"/>
        </w:tabs>
        <w:spacing w:line="360" w:lineRule="auto"/>
        <w:ind w:right="49"/>
        <w:jc w:val="both"/>
        <w:rPr>
          <w:rFonts w:ascii="Palatino Linotype" w:hAnsi="Palatino Linotype"/>
          <w:lang w:val="es-ES_tradnl"/>
        </w:rPr>
      </w:pPr>
    </w:p>
    <w:p w:rsidR="008C75F6" w:rsidRPr="00DC2A65"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En ese tenor, el legislador previó que en los casos en los cuales los órganos garantes confirm</w:t>
      </w:r>
      <w:r w:rsidR="0050539F" w:rsidRPr="00DC2A65">
        <w:rPr>
          <w:rFonts w:ascii="Palatino Linotype" w:hAnsi="Palatino Linotype"/>
          <w:lang w:val="es-ES_tradnl"/>
        </w:rPr>
        <w:t xml:space="preserve">en o modifiquen </w:t>
      </w:r>
      <w:r w:rsidRPr="00DC2A65">
        <w:rPr>
          <w:rFonts w:ascii="Palatino Linotype" w:hAnsi="Palatino Linotype"/>
          <w:lang w:val="es-ES_tradnl"/>
        </w:rPr>
        <w:t>la clasifica</w:t>
      </w:r>
      <w:r w:rsidR="00BF1308" w:rsidRPr="00DC2A65">
        <w:rPr>
          <w:rFonts w:ascii="Palatino Linotype" w:hAnsi="Palatino Linotype"/>
          <w:lang w:val="es-ES_tradnl"/>
        </w:rPr>
        <w:t>ci</w:t>
      </w:r>
      <w:r w:rsidRPr="00DC2A65">
        <w:rPr>
          <w:rFonts w:ascii="Palatino Linotype" w:hAnsi="Palatino Linotype"/>
          <w:lang w:val="es-ES_tradnl"/>
        </w:rPr>
        <w:t xml:space="preserve">ón de la información, </w:t>
      </w:r>
      <w:r w:rsidR="00BF1308" w:rsidRPr="00DC2A65">
        <w:rPr>
          <w:rFonts w:ascii="Palatino Linotype" w:hAnsi="Palatino Linotype"/>
          <w:lang w:val="es-ES_tradnl"/>
        </w:rPr>
        <w:t>proced</w:t>
      </w:r>
      <w:r w:rsidR="0050539F" w:rsidRPr="00DC2A65">
        <w:rPr>
          <w:rFonts w:ascii="Palatino Linotype" w:hAnsi="Palatino Linotype"/>
          <w:lang w:val="es-ES_tradnl"/>
        </w:rPr>
        <w:t xml:space="preserve">e </w:t>
      </w:r>
      <w:r w:rsidR="00BF1308" w:rsidRPr="00DC2A65">
        <w:rPr>
          <w:rFonts w:ascii="Palatino Linotype" w:hAnsi="Palatino Linotype"/>
          <w:lang w:val="es-ES_tradnl"/>
        </w:rPr>
        <w:t>el recurso de inconformidad ante el Instituto Nacional de Transparencia, Acceso a la Información Pública y Protección de Datos Personales.</w:t>
      </w:r>
    </w:p>
    <w:p w:rsidR="008C75F6" w:rsidRPr="00DC2A65" w:rsidRDefault="008C75F6" w:rsidP="008C75F6">
      <w:pPr>
        <w:tabs>
          <w:tab w:val="left" w:pos="0"/>
        </w:tabs>
        <w:spacing w:line="360" w:lineRule="auto"/>
        <w:ind w:right="49"/>
        <w:jc w:val="both"/>
        <w:rPr>
          <w:rFonts w:ascii="Palatino Linotype" w:hAnsi="Palatino Linotype"/>
          <w:lang w:val="es-ES_tradnl"/>
        </w:rPr>
      </w:pPr>
    </w:p>
    <w:p w:rsidR="00514270" w:rsidRPr="00DC2A65"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Ahora bien, e</w:t>
      </w:r>
      <w:r w:rsidR="004D26C3" w:rsidRPr="00DC2A65">
        <w:rPr>
          <w:rFonts w:ascii="Palatino Linotype" w:hAnsi="Palatino Linotype"/>
          <w:lang w:val="es-ES_tradnl"/>
        </w:rPr>
        <w:t>l Diccionario de la Real Academia de la Lengua Española define “confirmar”</w:t>
      </w:r>
      <w:r w:rsidR="00D92A5E" w:rsidRPr="00DC2A65">
        <w:rPr>
          <w:rFonts w:ascii="Palatino Linotype" w:hAnsi="Palatino Linotype"/>
          <w:lang w:val="es-ES_tradnl"/>
        </w:rPr>
        <w:t xml:space="preserve">, </w:t>
      </w:r>
      <w:r w:rsidR="004D26C3" w:rsidRPr="00DC2A65">
        <w:rPr>
          <w:rFonts w:ascii="Palatino Linotype" w:hAnsi="Palatino Linotype"/>
          <w:i/>
          <w:lang w:val="es-ES_tradnl"/>
        </w:rPr>
        <w:t>“</w:t>
      </w:r>
      <w:r w:rsidR="00514270" w:rsidRPr="00DC2A65">
        <w:rPr>
          <w:rFonts w:ascii="Palatino Linotype" w:eastAsia="Arial Unicode MS" w:hAnsi="Palatino Linotype" w:cs="Arial Unicode MS"/>
          <w:i/>
          <w:spacing w:val="4"/>
          <w:lang w:val="es-ES_tradnl"/>
        </w:rPr>
        <w:t>Del</w:t>
      </w:r>
      <w:r w:rsidR="004D26C3" w:rsidRPr="00DC2A65">
        <w:rPr>
          <w:rFonts w:ascii="Palatino Linotype" w:eastAsia="Arial Unicode MS" w:hAnsi="Palatino Linotype" w:cs="Arial Unicode MS"/>
          <w:i/>
          <w:spacing w:val="4"/>
          <w:lang w:val="es-ES_tradnl"/>
        </w:rPr>
        <w:t xml:space="preserve"> l</w:t>
      </w:r>
      <w:r w:rsidR="00514270" w:rsidRPr="00DC2A65">
        <w:rPr>
          <w:rFonts w:ascii="Palatino Linotype" w:eastAsia="Arial Unicode MS" w:hAnsi="Palatino Linotype" w:cs="Arial Unicode MS"/>
          <w:i/>
          <w:spacing w:val="4"/>
          <w:lang w:val="es-ES_tradnl"/>
        </w:rPr>
        <w:t>at.</w:t>
      </w:r>
      <w:r w:rsidR="004D26C3" w:rsidRPr="00DC2A65">
        <w:rPr>
          <w:rFonts w:ascii="Palatino Linotype" w:eastAsia="Arial Unicode MS" w:hAnsi="Palatino Linotype" w:cs="Arial Unicode MS"/>
          <w:i/>
          <w:spacing w:val="4"/>
          <w:lang w:val="es-ES_tradnl"/>
        </w:rPr>
        <w:t xml:space="preserve"> </w:t>
      </w:r>
      <w:proofErr w:type="spellStart"/>
      <w:r w:rsidR="00514270" w:rsidRPr="00DC2A65">
        <w:rPr>
          <w:rFonts w:ascii="Palatino Linotype" w:eastAsia="Arial Unicode MS" w:hAnsi="Palatino Linotype" w:cs="Arial Unicode MS"/>
          <w:i/>
          <w:iCs/>
          <w:spacing w:val="4"/>
          <w:lang w:val="es-ES_tradnl"/>
        </w:rPr>
        <w:t>confirmāre</w:t>
      </w:r>
      <w:proofErr w:type="spellEnd"/>
      <w:r w:rsidR="00514270" w:rsidRPr="00DC2A65">
        <w:rPr>
          <w:rFonts w:ascii="Palatino Linotype" w:eastAsia="Arial Unicode MS" w:hAnsi="Palatino Linotype" w:cs="Arial Unicode MS"/>
          <w:i/>
          <w:iCs/>
          <w:spacing w:val="4"/>
          <w:lang w:val="es-ES_tradnl"/>
        </w:rPr>
        <w:t>.</w:t>
      </w:r>
      <w:r w:rsidR="004D26C3" w:rsidRPr="00DC2A65">
        <w:rPr>
          <w:rFonts w:ascii="Palatino Linotype" w:hAnsi="Palatino Linotype"/>
          <w:i/>
          <w:lang w:val="es-ES_tradnl"/>
        </w:rPr>
        <w:t xml:space="preserve"> </w:t>
      </w:r>
      <w:r w:rsidR="00514270" w:rsidRPr="00DC2A65">
        <w:rPr>
          <w:rFonts w:ascii="Palatino Linotype" w:eastAsia="Arial Unicode MS" w:hAnsi="Palatino Linotype" w:cs="Arial Unicode MS"/>
          <w:b/>
          <w:bCs/>
          <w:i/>
          <w:spacing w:val="4"/>
          <w:lang w:val="es-ES_tradnl"/>
        </w:rPr>
        <w:t>1.</w:t>
      </w:r>
      <w:r w:rsidR="004D26C3" w:rsidRPr="00DC2A65">
        <w:rPr>
          <w:rFonts w:ascii="Palatino Linotype" w:eastAsia="Arial Unicode MS" w:hAnsi="Palatino Linotype" w:cs="Arial Unicode MS"/>
          <w:b/>
          <w:bCs/>
          <w:i/>
          <w:spacing w:val="4"/>
          <w:lang w:val="es-ES_tradnl"/>
        </w:rPr>
        <w:t xml:space="preserve"> </w:t>
      </w:r>
      <w:proofErr w:type="spellStart"/>
      <w:r w:rsidR="00514270" w:rsidRPr="00DC2A65">
        <w:rPr>
          <w:rFonts w:ascii="Palatino Linotype" w:eastAsia="Arial Unicode MS" w:hAnsi="Palatino Linotype" w:cs="Arial Unicode MS"/>
          <w:i/>
          <w:spacing w:val="4"/>
          <w:lang w:val="es-ES_tradnl"/>
        </w:rPr>
        <w:t>tr</w:t>
      </w:r>
      <w:proofErr w:type="spellEnd"/>
      <w:r w:rsidR="00514270" w:rsidRPr="00DC2A65">
        <w:rPr>
          <w:rFonts w:ascii="Palatino Linotype" w:eastAsia="Arial Unicode MS" w:hAnsi="Palatino Linotype" w:cs="Arial Unicode MS"/>
          <w:i/>
          <w:spacing w:val="4"/>
          <w:lang w:val="es-ES_tradnl"/>
        </w:rPr>
        <w:t>.</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Corroborar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la</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verdad,</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certeza</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el</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grado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de</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probabilidad</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de</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algo.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b/>
          <w:bCs/>
          <w:i/>
          <w:spacing w:val="4"/>
          <w:lang w:val="es-ES_tradnl"/>
        </w:rPr>
        <w:t>2.</w:t>
      </w:r>
      <w:r w:rsidR="004D26C3" w:rsidRPr="00DC2A65">
        <w:rPr>
          <w:rFonts w:ascii="Palatino Linotype" w:eastAsia="Arial Unicode MS" w:hAnsi="Palatino Linotype" w:cs="Arial Unicode MS"/>
          <w:b/>
          <w:bCs/>
          <w:i/>
          <w:spacing w:val="4"/>
          <w:lang w:val="es-ES_tradnl"/>
        </w:rPr>
        <w:t xml:space="preserve"> </w:t>
      </w:r>
      <w:proofErr w:type="spellStart"/>
      <w:r w:rsidR="00514270" w:rsidRPr="00DC2A65">
        <w:rPr>
          <w:rFonts w:ascii="Palatino Linotype" w:eastAsia="Arial Unicode MS" w:hAnsi="Palatino Linotype" w:cs="Arial Unicode MS"/>
          <w:i/>
          <w:spacing w:val="4"/>
          <w:lang w:val="es-ES_tradnl"/>
        </w:rPr>
        <w:t>tr</w:t>
      </w:r>
      <w:proofErr w:type="spellEnd"/>
      <w:r w:rsidR="00514270" w:rsidRPr="00DC2A65">
        <w:rPr>
          <w:rFonts w:ascii="Palatino Linotype" w:eastAsia="Arial Unicode MS" w:hAnsi="Palatino Linotype" w:cs="Arial Unicode MS"/>
          <w:i/>
          <w:spacing w:val="4"/>
          <w:lang w:val="es-ES_tradnl"/>
        </w:rPr>
        <w:t>.</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Revalidar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lo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ya</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aprobado.</w:t>
      </w:r>
      <w:r w:rsidR="004D26C3" w:rsidRPr="00DC2A65">
        <w:rPr>
          <w:rFonts w:ascii="Palatino Linotype" w:hAnsi="Palatino Linotype"/>
          <w:i/>
          <w:lang w:val="es-ES_tradnl"/>
        </w:rPr>
        <w:t xml:space="preserve"> </w:t>
      </w:r>
      <w:r w:rsidR="00514270" w:rsidRPr="00DC2A65">
        <w:rPr>
          <w:rFonts w:ascii="Palatino Linotype" w:eastAsia="Arial Unicode MS" w:hAnsi="Palatino Linotype" w:cs="Arial Unicode MS"/>
          <w:b/>
          <w:bCs/>
          <w:i/>
          <w:spacing w:val="4"/>
          <w:lang w:val="es-ES_tradnl"/>
        </w:rPr>
        <w:t>3.</w:t>
      </w:r>
      <w:r w:rsidR="004D26C3" w:rsidRPr="00DC2A65">
        <w:rPr>
          <w:rFonts w:ascii="Palatino Linotype" w:eastAsia="Arial Unicode MS" w:hAnsi="Palatino Linotype" w:cs="Arial Unicode MS"/>
          <w:b/>
          <w:bCs/>
          <w:i/>
          <w:spacing w:val="4"/>
          <w:lang w:val="es-ES_tradnl"/>
        </w:rPr>
        <w:t xml:space="preserve"> </w:t>
      </w:r>
      <w:proofErr w:type="spellStart"/>
      <w:r w:rsidR="00514270" w:rsidRPr="00DC2A65">
        <w:rPr>
          <w:rFonts w:ascii="Palatino Linotype" w:eastAsia="Arial Unicode MS" w:hAnsi="Palatino Linotype" w:cs="Arial Unicode MS"/>
          <w:i/>
          <w:spacing w:val="4"/>
          <w:lang w:val="es-ES_tradnl"/>
        </w:rPr>
        <w:t>tr</w:t>
      </w:r>
      <w:proofErr w:type="spellEnd"/>
      <w:r w:rsidR="00514270" w:rsidRPr="00DC2A65">
        <w:rPr>
          <w:rFonts w:ascii="Palatino Linotype" w:eastAsia="Arial Unicode MS" w:hAnsi="Palatino Linotype" w:cs="Arial Unicode MS"/>
          <w:i/>
          <w:spacing w:val="4"/>
          <w:lang w:val="es-ES_tradnl"/>
        </w:rPr>
        <w:t>.</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Asegurar,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dar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alguien</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algo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mayor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firmeza</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seguridad.</w:t>
      </w:r>
      <w:r w:rsidR="004D26C3" w:rsidRPr="00DC2A65">
        <w:rPr>
          <w:rFonts w:ascii="Palatino Linotype" w:eastAsia="Arial Unicode MS" w:hAnsi="Palatino Linotype" w:cs="Arial Unicode MS"/>
          <w:i/>
          <w:spacing w:val="4"/>
          <w:lang w:val="es-ES_tradnl"/>
        </w:rPr>
        <w:t>”</w:t>
      </w:r>
      <w:r w:rsidR="004D26C3" w:rsidRPr="00DC2A65">
        <w:rPr>
          <w:rFonts w:ascii="Palatino Linotype" w:eastAsia="Arial Unicode MS" w:hAnsi="Palatino Linotype" w:cs="Arial Unicode MS"/>
          <w:spacing w:val="4"/>
          <w:lang w:val="es-ES_tradnl"/>
        </w:rPr>
        <w:t xml:space="preserve"> </w:t>
      </w:r>
      <w:r w:rsidR="004D26C3" w:rsidRPr="00DC2A65">
        <w:rPr>
          <w:rStyle w:val="Refdenotaalpie"/>
          <w:rFonts w:ascii="Palatino Linotype" w:eastAsia="Arial Unicode MS" w:hAnsi="Palatino Linotype" w:cs="Arial Unicode MS"/>
          <w:spacing w:val="4"/>
          <w:lang w:val="es-ES_tradnl"/>
        </w:rPr>
        <w:footnoteReference w:id="4"/>
      </w:r>
      <w:r w:rsidR="008A6E0E" w:rsidRPr="00DC2A65">
        <w:rPr>
          <w:rFonts w:ascii="Palatino Linotype" w:hAnsi="Palatino Linotype"/>
          <w:lang w:val="es-ES_tradnl"/>
        </w:rPr>
        <w:t>Así</w:t>
      </w:r>
      <w:r w:rsidR="004D26C3" w:rsidRPr="00DC2A65">
        <w:rPr>
          <w:rFonts w:ascii="Palatino Linotype" w:hAnsi="Palatino Linotype"/>
          <w:lang w:val="es-ES_tradnl"/>
        </w:rPr>
        <w:t xml:space="preserve"> mismo define “modifica</w:t>
      </w:r>
      <w:r w:rsidRPr="00DC2A65">
        <w:rPr>
          <w:rFonts w:ascii="Palatino Linotype" w:hAnsi="Palatino Linotype"/>
          <w:lang w:val="es-ES_tradnl"/>
        </w:rPr>
        <w:t>r</w:t>
      </w:r>
      <w:r w:rsidR="004D26C3" w:rsidRPr="00DC2A65">
        <w:rPr>
          <w:rFonts w:ascii="Palatino Linotype" w:hAnsi="Palatino Linotype"/>
          <w:lang w:val="es-ES_tradnl"/>
        </w:rPr>
        <w:t xml:space="preserve">”, </w:t>
      </w:r>
      <w:r w:rsidR="004D26C3" w:rsidRPr="00DC2A65">
        <w:rPr>
          <w:rFonts w:ascii="Palatino Linotype" w:hAnsi="Palatino Linotype"/>
          <w:i/>
          <w:lang w:val="es-ES_tradnl"/>
        </w:rPr>
        <w:t>“</w:t>
      </w:r>
      <w:r w:rsidR="00514270" w:rsidRPr="00DC2A65">
        <w:rPr>
          <w:rFonts w:ascii="Palatino Linotype" w:eastAsia="Arial Unicode MS" w:hAnsi="Palatino Linotype" w:cs="Arial Unicode MS"/>
          <w:i/>
          <w:spacing w:val="4"/>
          <w:lang w:val="es-ES_tradnl"/>
        </w:rPr>
        <w:t>Del</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lat.</w:t>
      </w:r>
      <w:r w:rsidR="004D26C3" w:rsidRPr="00DC2A65">
        <w:rPr>
          <w:rFonts w:ascii="Palatino Linotype" w:eastAsia="Arial Unicode MS" w:hAnsi="Palatino Linotype" w:cs="Arial Unicode MS"/>
          <w:i/>
          <w:spacing w:val="4"/>
          <w:lang w:val="es-ES_tradnl"/>
        </w:rPr>
        <w:t xml:space="preserve"> </w:t>
      </w:r>
      <w:proofErr w:type="spellStart"/>
      <w:r w:rsidR="00514270" w:rsidRPr="00DC2A65">
        <w:rPr>
          <w:rFonts w:ascii="Palatino Linotype" w:eastAsia="Arial Unicode MS" w:hAnsi="Palatino Linotype" w:cs="Arial Unicode MS"/>
          <w:i/>
          <w:iCs/>
          <w:spacing w:val="4"/>
          <w:lang w:val="es-ES_tradnl"/>
        </w:rPr>
        <w:t>modificāre</w:t>
      </w:r>
      <w:proofErr w:type="spellEnd"/>
      <w:r w:rsidR="00514270" w:rsidRPr="00DC2A65">
        <w:rPr>
          <w:rFonts w:ascii="Palatino Linotype" w:eastAsia="Arial Unicode MS" w:hAnsi="Palatino Linotype" w:cs="Arial Unicode MS"/>
          <w:i/>
          <w:spacing w:val="4"/>
          <w:lang w:val="es-ES_tradnl"/>
        </w:rPr>
        <w:t> 'regular', 'ordenar', 'moderar'.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b/>
          <w:bCs/>
          <w:i/>
          <w:spacing w:val="4"/>
          <w:lang w:val="es-ES_tradnl"/>
        </w:rPr>
        <w:t>1.</w:t>
      </w:r>
      <w:r w:rsidR="004D26C3" w:rsidRPr="00DC2A65">
        <w:rPr>
          <w:rFonts w:ascii="Palatino Linotype" w:eastAsia="Arial Unicode MS" w:hAnsi="Palatino Linotype" w:cs="Arial Unicode MS"/>
          <w:b/>
          <w:bCs/>
          <w:i/>
          <w:spacing w:val="4"/>
          <w:lang w:val="es-ES_tradnl"/>
        </w:rPr>
        <w:t xml:space="preserve"> </w:t>
      </w:r>
      <w:proofErr w:type="spellStart"/>
      <w:r w:rsidR="00514270" w:rsidRPr="00DC2A65">
        <w:rPr>
          <w:rFonts w:ascii="Palatino Linotype" w:eastAsia="Arial Unicode MS" w:hAnsi="Palatino Linotype" w:cs="Arial Unicode MS"/>
          <w:i/>
          <w:spacing w:val="4"/>
          <w:lang w:val="es-ES_tradnl"/>
        </w:rPr>
        <w:t>tr</w:t>
      </w:r>
      <w:proofErr w:type="spellEnd"/>
      <w:r w:rsidR="00514270" w:rsidRPr="00DC2A65">
        <w:rPr>
          <w:rFonts w:ascii="Palatino Linotype" w:eastAsia="Arial Unicode MS" w:hAnsi="Palatino Linotype" w:cs="Arial Unicode MS"/>
          <w:i/>
          <w:spacing w:val="4"/>
          <w:lang w:val="es-ES_tradnl"/>
        </w:rPr>
        <w:t>.</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Transformar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cambiar</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algo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mudando</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alguna</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de</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sus</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características.</w:t>
      </w:r>
      <w:r w:rsidR="004D26C3" w:rsidRPr="00DC2A65">
        <w:rPr>
          <w:rFonts w:ascii="Palatino Linotype" w:eastAsia="Arial Unicode MS" w:hAnsi="Palatino Linotype" w:cs="Arial Unicode MS"/>
          <w:i/>
          <w:spacing w:val="4"/>
          <w:lang w:val="es-ES_tradnl"/>
        </w:rPr>
        <w:t xml:space="preserve"> </w:t>
      </w:r>
      <w:r w:rsidR="00514270" w:rsidRPr="00DC2A65">
        <w:rPr>
          <w:rFonts w:ascii="Palatino Linotype" w:eastAsia="Arial Unicode MS" w:hAnsi="Palatino Linotype" w:cs="Arial Unicode MS"/>
          <w:i/>
          <w:spacing w:val="4"/>
          <w:lang w:val="es-ES_tradnl"/>
        </w:rPr>
        <w:t xml:space="preserve">U. t. c. </w:t>
      </w:r>
      <w:proofErr w:type="spellStart"/>
      <w:r w:rsidR="00514270" w:rsidRPr="00DC2A65">
        <w:rPr>
          <w:rFonts w:ascii="Palatino Linotype" w:eastAsia="Arial Unicode MS" w:hAnsi="Palatino Linotype" w:cs="Arial Unicode MS"/>
          <w:i/>
          <w:spacing w:val="4"/>
          <w:lang w:val="es-ES_tradnl"/>
        </w:rPr>
        <w:t>prnl</w:t>
      </w:r>
      <w:proofErr w:type="spellEnd"/>
      <w:r w:rsidR="004D26C3" w:rsidRPr="00DC2A65">
        <w:rPr>
          <w:rFonts w:ascii="Palatino Linotype" w:eastAsia="Arial Unicode MS" w:hAnsi="Palatino Linotype" w:cs="Arial Unicode MS"/>
          <w:i/>
          <w:spacing w:val="4"/>
          <w:lang w:val="es-ES_tradnl"/>
        </w:rPr>
        <w:t>...”</w:t>
      </w:r>
      <w:r w:rsidR="004D26C3" w:rsidRPr="00DC2A65">
        <w:rPr>
          <w:rFonts w:ascii="Palatino Linotype" w:eastAsia="Arial Unicode MS" w:hAnsi="Palatino Linotype" w:cs="Arial Unicode MS"/>
          <w:spacing w:val="4"/>
          <w:lang w:val="es-ES_tradnl"/>
        </w:rPr>
        <w:t xml:space="preserve"> </w:t>
      </w:r>
      <w:r w:rsidR="004D26C3" w:rsidRPr="00DC2A65">
        <w:rPr>
          <w:rStyle w:val="Refdenotaalpie"/>
          <w:rFonts w:ascii="Palatino Linotype" w:eastAsia="Arial Unicode MS" w:hAnsi="Palatino Linotype" w:cs="Arial Unicode MS"/>
          <w:spacing w:val="4"/>
          <w:lang w:val="es-ES_tradnl"/>
        </w:rPr>
        <w:footnoteReference w:id="5"/>
      </w:r>
    </w:p>
    <w:p w:rsidR="00BF1308" w:rsidRPr="00DC2A65" w:rsidRDefault="00BF1308" w:rsidP="00BF1308">
      <w:pPr>
        <w:pStyle w:val="Prrafodelista"/>
        <w:rPr>
          <w:rFonts w:ascii="Palatino Linotype" w:hAnsi="Palatino Linotype"/>
          <w:lang w:val="es-ES_tradnl"/>
        </w:rPr>
      </w:pPr>
    </w:p>
    <w:p w:rsidR="00BF1308" w:rsidRPr="00DC2A65"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lastRenderedPageBreak/>
        <w:t xml:space="preserve">De lo anterior, se advierte que la </w:t>
      </w:r>
      <w:r w:rsidR="008A6E0E" w:rsidRPr="00DC2A65">
        <w:rPr>
          <w:rFonts w:ascii="Palatino Linotype" w:hAnsi="Palatino Linotype"/>
          <w:lang w:val="es-ES_tradnl"/>
        </w:rPr>
        <w:t>procedencia</w:t>
      </w:r>
      <w:r w:rsidRPr="00DC2A65">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DC2A65" w:rsidRDefault="00BF1308" w:rsidP="00BF1308">
      <w:pPr>
        <w:pStyle w:val="Prrafodelista"/>
        <w:rPr>
          <w:rFonts w:ascii="Palatino Linotype" w:hAnsi="Palatino Linotype"/>
          <w:lang w:val="es-ES_tradnl"/>
        </w:rPr>
      </w:pPr>
    </w:p>
    <w:p w:rsidR="00BF1308" w:rsidRPr="00DC2A65" w:rsidRDefault="00BF1308" w:rsidP="00BF1308">
      <w:pPr>
        <w:pStyle w:val="Prrafodelista"/>
        <w:tabs>
          <w:tab w:val="left" w:pos="0"/>
        </w:tabs>
        <w:spacing w:line="360" w:lineRule="auto"/>
        <w:ind w:left="630" w:right="49"/>
        <w:jc w:val="both"/>
        <w:rPr>
          <w:rFonts w:ascii="Palatino Linotype" w:hAnsi="Palatino Linotype"/>
          <w:b/>
          <w:lang w:val="es-ES_tradnl"/>
        </w:rPr>
      </w:pPr>
      <w:r w:rsidRPr="00DC2A65">
        <w:rPr>
          <w:rFonts w:ascii="Palatino Linotype" w:hAnsi="Palatino Linotype"/>
          <w:b/>
          <w:lang w:val="es-ES_tradnl"/>
        </w:rPr>
        <w:t>b) Confirmen la inexistencia o negativa de información</w:t>
      </w:r>
    </w:p>
    <w:p w:rsidR="00BF1308" w:rsidRPr="00DC2A65" w:rsidRDefault="00BF1308" w:rsidP="00BF1308">
      <w:pPr>
        <w:pStyle w:val="Prrafodelista"/>
        <w:rPr>
          <w:rFonts w:ascii="Palatino Linotype" w:hAnsi="Palatino Linotype"/>
          <w:lang w:val="es-ES_tradnl"/>
        </w:rPr>
      </w:pPr>
    </w:p>
    <w:p w:rsidR="00E90687" w:rsidRPr="00DC2A65"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El artículo </w:t>
      </w:r>
      <w:r w:rsidR="00E90687" w:rsidRPr="00DC2A65">
        <w:rPr>
          <w:rFonts w:ascii="Palatino Linotype" w:hAnsi="Palatino Linotype"/>
          <w:lang w:val="es-ES_tradnl"/>
        </w:rPr>
        <w:t>179 fracció</w:t>
      </w:r>
      <w:r w:rsidR="0050539F" w:rsidRPr="00DC2A65">
        <w:rPr>
          <w:rFonts w:ascii="Palatino Linotype" w:hAnsi="Palatino Linotype"/>
          <w:lang w:val="es-ES_tradnl"/>
        </w:rPr>
        <w:t>n</w:t>
      </w:r>
      <w:r w:rsidR="00E90687" w:rsidRPr="00DC2A65">
        <w:rPr>
          <w:rFonts w:ascii="Palatino Linotype" w:hAnsi="Palatino Linotype"/>
          <w:lang w:val="es-ES_tradnl"/>
        </w:rPr>
        <w:t xml:space="preserve"> IV</w:t>
      </w:r>
      <w:r w:rsidRPr="00DC2A65">
        <w:rPr>
          <w:rFonts w:ascii="Palatino Linotype" w:hAnsi="Palatino Linotype"/>
          <w:lang w:val="es-ES_tradnl"/>
        </w:rPr>
        <w:t xml:space="preserve"> de la Ley de Transparen</w:t>
      </w:r>
      <w:r w:rsidR="00E4540D" w:rsidRPr="00DC2A65">
        <w:rPr>
          <w:rFonts w:ascii="Palatino Linotype" w:hAnsi="Palatino Linotype"/>
          <w:lang w:val="es-ES_tradnl"/>
        </w:rPr>
        <w:t>c</w:t>
      </w:r>
      <w:r w:rsidRPr="00DC2A65">
        <w:rPr>
          <w:rFonts w:ascii="Palatino Linotype" w:hAnsi="Palatino Linotype"/>
          <w:lang w:val="es-ES_tradnl"/>
        </w:rPr>
        <w:t xml:space="preserve">ia y Acceso a la Información Pública del Estado de México y Municipios prevé que en contra de </w:t>
      </w:r>
      <w:r w:rsidR="00E90687" w:rsidRPr="00DC2A65">
        <w:rPr>
          <w:rFonts w:ascii="Palatino Linotype" w:hAnsi="Palatino Linotype"/>
          <w:lang w:val="es-ES_tradnl"/>
        </w:rPr>
        <w:t xml:space="preserve">la declaración de inexistencia de la información, </w:t>
      </w:r>
      <w:r w:rsidR="00E90687" w:rsidRPr="00DC2A65">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DC2A65">
        <w:rPr>
          <w:rFonts w:ascii="Palatino Linotype" w:eastAsiaTheme="minorHAnsi" w:hAnsi="Palatino Linotype"/>
          <w:lang w:val="es-ES_tradnl" w:eastAsia="en-US"/>
        </w:rPr>
        <w:t>documentó en</w:t>
      </w:r>
      <w:r w:rsidR="00E90687" w:rsidRPr="00DC2A65">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w:t>
      </w:r>
      <w:r w:rsidR="00E90687" w:rsidRPr="00DC2A65">
        <w:rPr>
          <w:rFonts w:ascii="Palatino Linotype" w:eastAsiaTheme="minorHAnsi" w:hAnsi="Palatino Linotype"/>
          <w:lang w:val="es-ES_tradnl" w:eastAsia="en-US"/>
        </w:rPr>
        <w:lastRenderedPageBreak/>
        <w:t xml:space="preserve">pero la información se destruyó sin que se siguiera el procedimiento para la baja documental; y, g) que la facultad, competencia o función se ejerció, se </w:t>
      </w:r>
      <w:r w:rsidR="000E5971" w:rsidRPr="00DC2A65">
        <w:rPr>
          <w:rFonts w:ascii="Palatino Linotype" w:eastAsiaTheme="minorHAnsi" w:hAnsi="Palatino Linotype"/>
          <w:lang w:val="es-ES_tradnl" w:eastAsia="en-US"/>
        </w:rPr>
        <w:t>documentó,</w:t>
      </w:r>
      <w:r w:rsidR="00E90687" w:rsidRPr="00DC2A65">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DC2A65" w:rsidRDefault="0050539F" w:rsidP="0050539F">
      <w:pPr>
        <w:pStyle w:val="Prrafodelista"/>
        <w:rPr>
          <w:rFonts w:ascii="Palatino Linotype" w:hAnsi="Palatino Linotype"/>
          <w:lang w:val="es-ES_tradnl"/>
        </w:rPr>
      </w:pPr>
    </w:p>
    <w:p w:rsidR="0050539F" w:rsidRPr="00DC2A65"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De lo anterior, se advierte que la </w:t>
      </w:r>
      <w:r w:rsidR="008A6E0E" w:rsidRPr="00DC2A65">
        <w:rPr>
          <w:rFonts w:ascii="Palatino Linotype" w:hAnsi="Palatino Linotype"/>
          <w:lang w:val="es-ES_tradnl"/>
        </w:rPr>
        <w:t>procedencia</w:t>
      </w:r>
      <w:r w:rsidRPr="00DC2A65">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DC2A65">
        <w:rPr>
          <w:rFonts w:ascii="Palatino Linotype" w:hAnsi="Palatino Linotype"/>
          <w:lang w:val="es-ES_tradnl"/>
        </w:rPr>
        <w:t>párrafo</w:t>
      </w:r>
      <w:r w:rsidRPr="00DC2A65">
        <w:rPr>
          <w:rFonts w:ascii="Palatino Linotype" w:hAnsi="Palatino Linotype"/>
          <w:lang w:val="es-ES_tradnl"/>
        </w:rPr>
        <w:t xml:space="preserve"> anterior. </w:t>
      </w:r>
    </w:p>
    <w:p w:rsidR="0050539F" w:rsidRPr="00DC2A65"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DC2A65"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Ahora bien, </w:t>
      </w:r>
      <w:r w:rsidR="002E2BCF" w:rsidRPr="00DC2A65">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DC2A65">
        <w:rPr>
          <w:rFonts w:ascii="Palatino Linotype" w:hAnsi="Palatino Linotype"/>
          <w:b/>
          <w:lang w:val="es-ES_tradnl"/>
        </w:rPr>
        <w:t>niega o limita el acceso a información solicitada.</w:t>
      </w:r>
      <w:r w:rsidR="002E2BCF" w:rsidRPr="00DC2A65">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2D35ED" w:rsidRPr="00DC2A65">
        <w:rPr>
          <w:rFonts w:ascii="Palatino Linotype" w:hAnsi="Palatino Linotype"/>
          <w:lang w:val="es-ES_tradnl"/>
        </w:rPr>
        <w:t xml:space="preserve">; si </w:t>
      </w:r>
      <w:r w:rsidR="0035791F" w:rsidRPr="00DC2A65">
        <w:rPr>
          <w:rFonts w:ascii="Palatino Linotype" w:hAnsi="Palatino Linotype"/>
          <w:lang w:val="es-ES_tradnl"/>
        </w:rPr>
        <w:t xml:space="preserve">alguna de estas </w:t>
      </w:r>
      <w:r w:rsidR="002E2BCF" w:rsidRPr="00DC2A65">
        <w:rPr>
          <w:rFonts w:ascii="Palatino Linotype" w:hAnsi="Palatino Linotype"/>
          <w:lang w:val="es-ES_tradnl"/>
        </w:rPr>
        <w:t xml:space="preserve">razones son consideradas como insuficientes por el solicitante </w:t>
      </w:r>
      <w:r w:rsidR="0035791F" w:rsidRPr="00DC2A65">
        <w:rPr>
          <w:rFonts w:ascii="Palatino Linotype" w:hAnsi="Palatino Linotype"/>
          <w:lang w:val="es-ES_tradnl"/>
        </w:rPr>
        <w:t xml:space="preserve">podrá interponer el </w:t>
      </w:r>
      <w:r w:rsidR="002E2BCF" w:rsidRPr="00DC2A65">
        <w:rPr>
          <w:rFonts w:ascii="Palatino Linotype" w:hAnsi="Palatino Linotype"/>
          <w:lang w:val="es-ES_tradnl"/>
        </w:rPr>
        <w:t>recurso de revisión ante el órgano garante.</w:t>
      </w:r>
    </w:p>
    <w:p w:rsidR="0035791F" w:rsidRPr="00DC2A65" w:rsidRDefault="0035791F" w:rsidP="0035791F">
      <w:pPr>
        <w:pStyle w:val="Prrafodelista"/>
        <w:rPr>
          <w:rFonts w:ascii="Palatino Linotype" w:hAnsi="Palatino Linotype"/>
          <w:lang w:val="es-ES_tradnl"/>
        </w:rPr>
      </w:pPr>
    </w:p>
    <w:p w:rsidR="002E2BCF" w:rsidRPr="00DC2A65"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DC2A65">
        <w:rPr>
          <w:rFonts w:ascii="Palatino Linotype" w:hAnsi="Palatino Linotype"/>
          <w:lang w:val="es-ES_tradnl"/>
        </w:rPr>
        <w:lastRenderedPageBreak/>
        <w:t xml:space="preserve">El Diccionario de la Lengua Española de la Real Academia Española, nos proporciona varias definiciones de “negar”: </w:t>
      </w:r>
      <w:r w:rsidRPr="00DC2A65">
        <w:rPr>
          <w:rFonts w:ascii="Palatino Linotype" w:hAnsi="Palatino Linotype"/>
          <w:i/>
          <w:lang w:val="es-ES_tradnl"/>
        </w:rPr>
        <w:t>“</w:t>
      </w:r>
      <w:r w:rsidRPr="00DC2A65">
        <w:rPr>
          <w:rFonts w:ascii="Palatino Linotype" w:eastAsia="Arial Unicode MS" w:hAnsi="Palatino Linotype"/>
          <w:i/>
          <w:lang w:val="es-ES_tradnl"/>
        </w:rPr>
        <w:t>Del</w:t>
      </w:r>
      <w:r w:rsidR="0035791F" w:rsidRPr="00DC2A65">
        <w:rPr>
          <w:rFonts w:ascii="Palatino Linotype" w:eastAsia="Arial Unicode MS" w:hAnsi="Palatino Linotype"/>
          <w:i/>
          <w:lang w:val="es-ES_tradnl"/>
        </w:rPr>
        <w:t xml:space="preserve"> </w:t>
      </w:r>
      <w:proofErr w:type="spellStart"/>
      <w:r w:rsidRPr="00DC2A65">
        <w:rPr>
          <w:rFonts w:ascii="Palatino Linotype" w:eastAsia="Arial Unicode MS" w:hAnsi="Palatino Linotype"/>
          <w:i/>
          <w:lang w:val="es-ES_tradnl"/>
        </w:rPr>
        <w:t>lat.negāre</w:t>
      </w:r>
      <w:proofErr w:type="spellEnd"/>
      <w:r w:rsidRPr="00DC2A65">
        <w:rPr>
          <w:rFonts w:ascii="Palatino Linotype" w:eastAsia="Arial Unicode MS" w:hAnsi="Palatino Linotype"/>
          <w:i/>
          <w:lang w:val="es-ES_tradnl"/>
        </w:rPr>
        <w:t xml:space="preserve">. 1. </w:t>
      </w:r>
      <w:proofErr w:type="spellStart"/>
      <w:r w:rsidRPr="00DC2A65">
        <w:rPr>
          <w:rFonts w:ascii="Palatino Linotype" w:eastAsia="Arial Unicode MS" w:hAnsi="Palatino Linotype"/>
          <w:i/>
          <w:lang w:val="es-ES_tradnl"/>
        </w:rPr>
        <w:t>tr</w:t>
      </w:r>
      <w:proofErr w:type="spellEnd"/>
      <w:r w:rsidRPr="00DC2A65">
        <w:rPr>
          <w:rFonts w:ascii="Palatino Linotype" w:eastAsia="Arial Unicode MS" w:hAnsi="Palatino Linotype"/>
          <w:i/>
          <w:lang w:val="es-ES_tradnl"/>
        </w:rPr>
        <w:t xml:space="preserve">. Decir que algo no existe, no es verdad o no es como alguien </w:t>
      </w:r>
      <w:r w:rsidR="008A6E0E" w:rsidRPr="00DC2A65">
        <w:rPr>
          <w:rFonts w:ascii="Palatino Linotype" w:eastAsia="Arial Unicode MS" w:hAnsi="Palatino Linotype"/>
          <w:i/>
          <w:lang w:val="es-ES_tradnl"/>
        </w:rPr>
        <w:t>creo</w:t>
      </w:r>
      <w:r w:rsidRPr="00DC2A65">
        <w:rPr>
          <w:rFonts w:ascii="Palatino Linotype" w:eastAsia="Arial Unicode MS" w:hAnsi="Palatino Linotype"/>
          <w:i/>
          <w:lang w:val="es-ES_tradnl"/>
        </w:rPr>
        <w:t xml:space="preserve"> afirma</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 xml:space="preserve"> 2. </w:t>
      </w:r>
      <w:proofErr w:type="spellStart"/>
      <w:r w:rsidRPr="00DC2A65">
        <w:rPr>
          <w:rFonts w:ascii="Palatino Linotype" w:eastAsia="Arial Unicode MS" w:hAnsi="Palatino Linotype"/>
          <w:i/>
          <w:lang w:val="es-ES_tradnl"/>
        </w:rPr>
        <w:t>tr</w:t>
      </w:r>
      <w:proofErr w:type="spellEnd"/>
      <w:r w:rsidRPr="00DC2A65">
        <w:rPr>
          <w:rFonts w:ascii="Palatino Linotype" w:eastAsia="Arial Unicode MS" w:hAnsi="Palatino Linotype"/>
          <w:i/>
          <w:lang w:val="es-ES_tradnl"/>
        </w:rPr>
        <w:t xml:space="preserve">. Dejar de reconocer algo, no admitir </w:t>
      </w:r>
      <w:r w:rsidR="008A6E0E" w:rsidRPr="00DC2A65">
        <w:rPr>
          <w:rFonts w:ascii="Palatino Linotype" w:eastAsia="Arial Unicode MS" w:hAnsi="Palatino Linotype"/>
          <w:i/>
          <w:lang w:val="es-ES_tradnl"/>
        </w:rPr>
        <w:t>su existencia</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3.</w:t>
      </w:r>
      <w:r w:rsidR="0035791F" w:rsidRPr="00DC2A65">
        <w:rPr>
          <w:rFonts w:ascii="Palatino Linotype" w:eastAsia="Arial Unicode MS" w:hAnsi="Palatino Linotype"/>
          <w:i/>
          <w:lang w:val="es-ES_tradnl"/>
        </w:rPr>
        <w:t xml:space="preserve"> </w:t>
      </w:r>
      <w:proofErr w:type="spellStart"/>
      <w:r w:rsidR="008A6E0E" w:rsidRPr="00DC2A65">
        <w:rPr>
          <w:rFonts w:ascii="Palatino Linotype" w:eastAsia="Arial Unicode MS" w:hAnsi="Palatino Linotype"/>
          <w:i/>
          <w:lang w:val="es-ES_tradnl"/>
        </w:rPr>
        <w:t>tr</w:t>
      </w:r>
      <w:proofErr w:type="spellEnd"/>
      <w:r w:rsidR="008A6E0E" w:rsidRPr="00DC2A65">
        <w:rPr>
          <w:rFonts w:ascii="Palatino Linotype" w:eastAsia="Arial Unicode MS" w:hAnsi="Palatino Linotype"/>
          <w:i/>
          <w:lang w:val="es-ES_tradnl"/>
        </w:rPr>
        <w:t>. Decir</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que</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no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a</w:t>
      </w:r>
      <w:r w:rsidR="0035791F" w:rsidRPr="00DC2A65">
        <w:rPr>
          <w:rFonts w:ascii="Palatino Linotype" w:eastAsia="Arial Unicode MS" w:hAnsi="Palatino Linotype"/>
          <w:i/>
          <w:lang w:val="es-ES_tradnl"/>
        </w:rPr>
        <w:t xml:space="preserve"> l</w:t>
      </w:r>
      <w:r w:rsidRPr="00DC2A65">
        <w:rPr>
          <w:rFonts w:ascii="Palatino Linotype" w:eastAsia="Arial Unicode MS" w:hAnsi="Palatino Linotype"/>
          <w:i/>
          <w:lang w:val="es-ES_tradnl"/>
        </w:rPr>
        <w:t>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que</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se</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pretende</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se</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pide,</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no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concederlo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4.</w:t>
      </w:r>
      <w:r w:rsidR="0035791F" w:rsidRPr="00DC2A65">
        <w:rPr>
          <w:rFonts w:ascii="Palatino Linotype" w:eastAsia="Arial Unicode MS" w:hAnsi="Palatino Linotype"/>
          <w:i/>
          <w:lang w:val="es-ES_tradnl"/>
        </w:rPr>
        <w:t xml:space="preserve"> </w:t>
      </w:r>
      <w:proofErr w:type="spellStart"/>
      <w:r w:rsidR="0035791F" w:rsidRPr="00DC2A65">
        <w:rPr>
          <w:rFonts w:ascii="Palatino Linotype" w:eastAsia="Arial Unicode MS" w:hAnsi="Palatino Linotype"/>
          <w:i/>
          <w:lang w:val="es-ES_tradnl"/>
        </w:rPr>
        <w:t>t</w:t>
      </w:r>
      <w:r w:rsidRPr="00DC2A65">
        <w:rPr>
          <w:rFonts w:ascii="Palatino Linotype" w:eastAsia="Arial Unicode MS" w:hAnsi="Palatino Linotype"/>
          <w:i/>
          <w:lang w:val="es-ES_tradnl"/>
        </w:rPr>
        <w:t>r</w:t>
      </w:r>
      <w:proofErr w:type="spellEnd"/>
      <w:r w:rsidRPr="00DC2A65">
        <w:rPr>
          <w:rFonts w:ascii="Palatino Linotype" w:eastAsia="Arial Unicode MS" w:hAnsi="Palatino Linotype"/>
          <w:i/>
          <w:lang w:val="es-ES_tradnl"/>
        </w:rPr>
        <w:t>.</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Prohibir</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vedar,</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impedir</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o</w:t>
      </w:r>
      <w:r w:rsidR="0035791F" w:rsidRPr="00DC2A65">
        <w:rPr>
          <w:rFonts w:ascii="Palatino Linotype" w:eastAsia="Arial Unicode MS" w:hAnsi="Palatino Linotype"/>
          <w:i/>
          <w:lang w:val="es-ES_tradnl"/>
        </w:rPr>
        <w:t xml:space="preserve"> </w:t>
      </w:r>
      <w:r w:rsidRPr="00DC2A65">
        <w:rPr>
          <w:rFonts w:ascii="Palatino Linotype" w:eastAsia="Arial Unicode MS" w:hAnsi="Palatino Linotype"/>
          <w:i/>
          <w:lang w:val="es-ES_tradnl"/>
        </w:rPr>
        <w:t>estorbar</w:t>
      </w:r>
      <w:r w:rsidR="0035791F" w:rsidRPr="00DC2A65">
        <w:rPr>
          <w:rFonts w:ascii="Palatino Linotype" w:eastAsia="Arial Unicode MS" w:hAnsi="Palatino Linotype"/>
          <w:i/>
          <w:lang w:val="es-ES_tradnl"/>
        </w:rPr>
        <w:t xml:space="preserve">…” </w:t>
      </w:r>
      <w:r w:rsidR="0035791F" w:rsidRPr="00DC2A65">
        <w:rPr>
          <w:rFonts w:ascii="Palatino Linotype" w:eastAsia="Arial Unicode MS" w:hAnsi="Palatino Linotype"/>
          <w:i/>
          <w:lang w:val="es-ES_tradnl"/>
        </w:rPr>
        <w:footnoteReference w:id="6"/>
      </w:r>
    </w:p>
    <w:p w:rsidR="0035791F" w:rsidRPr="00DC2A65" w:rsidRDefault="0035791F" w:rsidP="0035791F">
      <w:pPr>
        <w:pStyle w:val="Prrafodelista"/>
        <w:rPr>
          <w:rFonts w:ascii="Palatino Linotype" w:eastAsia="Arial Unicode MS" w:hAnsi="Palatino Linotype"/>
          <w:i/>
          <w:lang w:val="es-ES_tradnl"/>
        </w:rPr>
      </w:pPr>
    </w:p>
    <w:p w:rsidR="0035791F" w:rsidRPr="00DC2A65"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DC2A65">
        <w:rPr>
          <w:rFonts w:ascii="Palatino Linotype" w:eastAsia="Arial Unicode MS" w:hAnsi="Palatino Linotype"/>
          <w:lang w:val="es-ES_tradnl"/>
        </w:rPr>
        <w:t xml:space="preserve">De lo anterior podemos concluir que se configura la negativa de la información </w:t>
      </w:r>
      <w:r w:rsidR="008A6E0E" w:rsidRPr="00DC2A65">
        <w:rPr>
          <w:rFonts w:ascii="Palatino Linotype" w:eastAsia="Arial Unicode MS" w:hAnsi="Palatino Linotype"/>
          <w:lang w:val="es-ES_tradnl"/>
        </w:rPr>
        <w:t>solicitada</w:t>
      </w:r>
      <w:r w:rsidRPr="00DC2A65">
        <w:rPr>
          <w:rFonts w:ascii="Palatino Linotype" w:eastAsia="Arial Unicode MS" w:hAnsi="Palatino Linotype"/>
          <w:lang w:val="es-ES_tradnl"/>
        </w:rPr>
        <w:t xml:space="preserve"> cuando el sujeto obligado manifiesta </w:t>
      </w:r>
      <w:r w:rsidR="008A6E0E" w:rsidRPr="00DC2A65">
        <w:rPr>
          <w:rFonts w:ascii="Palatino Linotype" w:eastAsia="Arial Unicode MS" w:hAnsi="Palatino Linotype"/>
          <w:lang w:val="es-ES_tradnl"/>
        </w:rPr>
        <w:t>que</w:t>
      </w:r>
      <w:r w:rsidRPr="00DC2A65">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DC2A65">
        <w:rPr>
          <w:rFonts w:ascii="Palatino Linotype" w:eastAsia="Arial Unicode MS" w:hAnsi="Palatino Linotype"/>
          <w:lang w:val="es-ES_tradnl"/>
        </w:rPr>
        <w:t>acceso</w:t>
      </w:r>
      <w:r w:rsidRPr="00DC2A65">
        <w:rPr>
          <w:rFonts w:ascii="Palatino Linotype" w:eastAsia="Arial Unicode MS" w:hAnsi="Palatino Linotype"/>
          <w:lang w:val="es-ES_tradnl"/>
        </w:rPr>
        <w:t xml:space="preserve"> a la información, vedar o impedir el acceso a la información sin fundamentación y motivación.</w:t>
      </w:r>
    </w:p>
    <w:p w:rsidR="0035791F" w:rsidRPr="00DC2A65" w:rsidRDefault="0035791F" w:rsidP="0035791F">
      <w:pPr>
        <w:pStyle w:val="Prrafodelista"/>
        <w:rPr>
          <w:rFonts w:ascii="Palatino Linotype" w:hAnsi="Palatino Linotype"/>
          <w:lang w:val="es-ES_tradnl"/>
        </w:rPr>
      </w:pPr>
    </w:p>
    <w:p w:rsidR="00FB2B9E" w:rsidRPr="00DC2A65"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DC2A65">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DC2A65">
        <w:rPr>
          <w:rFonts w:ascii="Palatino Linotype" w:hAnsi="Palatino Linotype"/>
          <w:i/>
          <w:lang w:val="es-ES_tradnl"/>
        </w:rPr>
        <w:t>”</w:t>
      </w:r>
    </w:p>
    <w:p w:rsidR="00FB2B9E" w:rsidRPr="00DC2A65" w:rsidRDefault="00FB2B9E" w:rsidP="00FB2B9E">
      <w:pPr>
        <w:pStyle w:val="Prrafodelista"/>
        <w:rPr>
          <w:rFonts w:ascii="Palatino Linotype" w:hAnsi="Palatino Linotype"/>
          <w:lang w:val="es-ES_tradnl"/>
        </w:rPr>
      </w:pPr>
    </w:p>
    <w:p w:rsidR="00FB2B9E" w:rsidRPr="00DC2A65"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De lo anterior se advierte que el legi</w:t>
      </w:r>
      <w:r w:rsidR="00FB2B9E" w:rsidRPr="00DC2A65">
        <w:rPr>
          <w:rFonts w:ascii="Palatino Linotype" w:hAnsi="Palatino Linotype"/>
          <w:lang w:val="es-ES_tradnl"/>
        </w:rPr>
        <w:t>s</w:t>
      </w:r>
      <w:r w:rsidRPr="00DC2A65">
        <w:rPr>
          <w:rFonts w:ascii="Palatino Linotype" w:hAnsi="Palatino Linotype"/>
          <w:lang w:val="es-ES_tradnl"/>
        </w:rPr>
        <w:t>l</w:t>
      </w:r>
      <w:r w:rsidR="00FB2B9E" w:rsidRPr="00DC2A65">
        <w:rPr>
          <w:rFonts w:ascii="Palatino Linotype" w:hAnsi="Palatino Linotype"/>
          <w:lang w:val="es-ES_tradnl"/>
        </w:rPr>
        <w:t>a</w:t>
      </w:r>
      <w:r w:rsidRPr="00DC2A65">
        <w:rPr>
          <w:rFonts w:ascii="Palatino Linotype" w:hAnsi="Palatino Linotype"/>
          <w:lang w:val="es-ES_tradnl"/>
        </w:rPr>
        <w:t xml:space="preserve">dor </w:t>
      </w:r>
      <w:r w:rsidR="00FB2B9E" w:rsidRPr="00DC2A65">
        <w:rPr>
          <w:rFonts w:ascii="Palatino Linotype" w:hAnsi="Palatino Linotype"/>
          <w:lang w:val="es-ES_tradnl"/>
        </w:rPr>
        <w:t xml:space="preserve">estableció que se entenderá como “negativa de la información” para la </w:t>
      </w:r>
      <w:r w:rsidRPr="00DC2A65">
        <w:rPr>
          <w:rFonts w:ascii="Palatino Linotype" w:hAnsi="Palatino Linotype"/>
          <w:lang w:val="es-ES_tradnl"/>
        </w:rPr>
        <w:t>proceden</w:t>
      </w:r>
      <w:r w:rsidR="00E4540D" w:rsidRPr="00DC2A65">
        <w:rPr>
          <w:rFonts w:ascii="Palatino Linotype" w:hAnsi="Palatino Linotype"/>
          <w:lang w:val="es-ES_tradnl"/>
        </w:rPr>
        <w:t>c</w:t>
      </w:r>
      <w:r w:rsidRPr="00DC2A65">
        <w:rPr>
          <w:rFonts w:ascii="Palatino Linotype" w:hAnsi="Palatino Linotype"/>
          <w:lang w:val="es-ES_tradnl"/>
        </w:rPr>
        <w:t xml:space="preserve">ia del recurso de inconformidad </w:t>
      </w:r>
      <w:r w:rsidR="00FB2B9E" w:rsidRPr="00DC2A65">
        <w:rPr>
          <w:rFonts w:ascii="Palatino Linotype" w:hAnsi="Palatino Linotype"/>
          <w:lang w:val="es-ES_tradnl"/>
        </w:rPr>
        <w:t xml:space="preserve">por </w:t>
      </w:r>
      <w:r w:rsidR="00FB2B9E" w:rsidRPr="00DC2A65">
        <w:rPr>
          <w:rFonts w:ascii="Palatino Linotype" w:hAnsi="Palatino Linotype"/>
          <w:lang w:val="es-ES_tradnl"/>
        </w:rPr>
        <w:lastRenderedPageBreak/>
        <w:t xml:space="preserve">lo tanto conforme al principio </w:t>
      </w:r>
      <w:r w:rsidR="008A6E0E" w:rsidRPr="00DC2A65">
        <w:rPr>
          <w:rFonts w:ascii="Palatino Linotype" w:hAnsi="Palatino Linotype"/>
          <w:lang w:val="es-ES_tradnl"/>
        </w:rPr>
        <w:t>general</w:t>
      </w:r>
      <w:r w:rsidR="00FB2B9E" w:rsidRPr="00DC2A65">
        <w:rPr>
          <w:rFonts w:ascii="Palatino Linotype" w:hAnsi="Palatino Linotype"/>
          <w:lang w:val="es-ES_tradnl"/>
        </w:rPr>
        <w:t xml:space="preserve"> de derecho que </w:t>
      </w:r>
      <w:r w:rsidR="008A6E0E" w:rsidRPr="00DC2A65">
        <w:rPr>
          <w:rFonts w:ascii="Palatino Linotype" w:hAnsi="Palatino Linotype"/>
          <w:lang w:val="es-ES_tradnl"/>
        </w:rPr>
        <w:t>establece</w:t>
      </w:r>
      <w:r w:rsidR="00FB2B9E" w:rsidRPr="00DC2A65">
        <w:rPr>
          <w:rFonts w:ascii="Palatino Linotype" w:hAnsi="Palatino Linotype"/>
          <w:lang w:val="es-ES_tradnl"/>
        </w:rPr>
        <w:t xml:space="preserve"> que </w:t>
      </w:r>
      <w:r w:rsidR="00FB2B9E" w:rsidRPr="00DC2A65">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DC2A65">
        <w:rPr>
          <w:rFonts w:ascii="Palatino Linotype" w:hAnsi="Palatino Linotype" w:cs="Arial"/>
          <w:bCs/>
          <w:shd w:val="clear" w:color="auto" w:fill="FFFFFF"/>
          <w:lang w:val="es-ES_tradnl"/>
        </w:rPr>
        <w:t>c</w:t>
      </w:r>
      <w:r w:rsidR="00FB2B9E" w:rsidRPr="00DC2A65">
        <w:rPr>
          <w:rFonts w:ascii="Palatino Linotype" w:hAnsi="Palatino Linotype" w:cs="Arial"/>
          <w:bCs/>
          <w:shd w:val="clear" w:color="auto" w:fill="FFFFFF"/>
          <w:lang w:val="es-ES_tradnl"/>
        </w:rPr>
        <w:t xml:space="preserve">ia </w:t>
      </w:r>
      <w:r w:rsidR="00FB2B9E" w:rsidRPr="00DC2A65">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DC2A65">
        <w:rPr>
          <w:rFonts w:ascii="Palatino Linotype" w:hAnsi="Palatino Linotype"/>
          <w:lang w:val="es-ES_tradnl"/>
        </w:rPr>
        <w:t xml:space="preserve">la negativa de la información </w:t>
      </w:r>
      <w:r w:rsidRPr="00DC2A65">
        <w:rPr>
          <w:rFonts w:ascii="Palatino Linotype" w:hAnsi="Palatino Linotype"/>
          <w:lang w:val="es-ES_tradnl"/>
        </w:rPr>
        <w:t xml:space="preserve">debe entenderse como la falta de resolución de los </w:t>
      </w:r>
      <w:r w:rsidR="008A6E0E" w:rsidRPr="00DC2A65">
        <w:rPr>
          <w:rFonts w:ascii="Palatino Linotype" w:hAnsi="Palatino Linotype"/>
          <w:lang w:val="es-ES_tradnl"/>
        </w:rPr>
        <w:t>organismos</w:t>
      </w:r>
      <w:r w:rsidRPr="00DC2A65">
        <w:rPr>
          <w:rFonts w:ascii="Palatino Linotype" w:hAnsi="Palatino Linotype"/>
          <w:lang w:val="es-ES_tradnl"/>
        </w:rPr>
        <w:t xml:space="preserve"> garantes locales dentro del plazo previsto para ello</w:t>
      </w:r>
      <w:r w:rsidR="00FB2B9E" w:rsidRPr="00DC2A65">
        <w:rPr>
          <w:rFonts w:ascii="Palatino Linotype" w:hAnsi="Palatino Linotype"/>
          <w:lang w:val="es-ES_tradnl"/>
        </w:rPr>
        <w:t>.</w:t>
      </w:r>
    </w:p>
    <w:p w:rsidR="00FB2B9E" w:rsidRPr="00DC2A65" w:rsidRDefault="00FB2B9E" w:rsidP="00FB2B9E">
      <w:pPr>
        <w:pStyle w:val="Prrafodelista"/>
        <w:rPr>
          <w:rFonts w:ascii="Palatino Linotype" w:hAnsi="Palatino Linotype"/>
          <w:lang w:val="es-ES_tradnl"/>
        </w:rPr>
      </w:pPr>
    </w:p>
    <w:p w:rsidR="0035791F" w:rsidRPr="00DC2A65"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 </w:t>
      </w:r>
      <w:r w:rsidR="00FB2B9E" w:rsidRPr="00DC2A65">
        <w:rPr>
          <w:rFonts w:ascii="Palatino Linotype" w:hAnsi="Palatino Linotype"/>
          <w:lang w:val="es-ES_tradnl"/>
        </w:rPr>
        <w:t>P</w:t>
      </w:r>
      <w:r w:rsidRPr="00DC2A65">
        <w:rPr>
          <w:rFonts w:ascii="Palatino Linotype" w:hAnsi="Palatino Linotype"/>
          <w:lang w:val="es-ES_tradnl"/>
        </w:rPr>
        <w:t xml:space="preserve">ara el caso </w:t>
      </w:r>
      <w:r w:rsidR="005B0574" w:rsidRPr="00DC2A65">
        <w:rPr>
          <w:rFonts w:ascii="Palatino Linotype" w:hAnsi="Palatino Linotype"/>
          <w:lang w:val="es-ES_tradnl"/>
        </w:rPr>
        <w:t xml:space="preserve">que nos ocupa el artículo 181, tercer </w:t>
      </w:r>
      <w:r w:rsidR="008A6E0E" w:rsidRPr="00DC2A65">
        <w:rPr>
          <w:rFonts w:ascii="Palatino Linotype" w:hAnsi="Palatino Linotype"/>
          <w:lang w:val="es-ES_tradnl"/>
        </w:rPr>
        <w:t>párrafo</w:t>
      </w:r>
      <w:r w:rsidR="005B0574" w:rsidRPr="00DC2A65">
        <w:rPr>
          <w:rFonts w:ascii="Palatino Linotype" w:hAnsi="Palatino Linotype"/>
          <w:lang w:val="es-ES_tradnl"/>
        </w:rPr>
        <w:t xml:space="preserve"> de </w:t>
      </w:r>
      <w:r w:rsidRPr="00DC2A65">
        <w:rPr>
          <w:rFonts w:ascii="Palatino Linotype" w:hAnsi="Palatino Linotype"/>
          <w:lang w:val="es-ES_tradnl"/>
        </w:rPr>
        <w:t xml:space="preserve">la Ley de Transparencia y Acceso a la Información </w:t>
      </w:r>
      <w:r w:rsidR="005B0574" w:rsidRPr="00DC2A65">
        <w:rPr>
          <w:rFonts w:ascii="Palatino Linotype" w:hAnsi="Palatino Linotype"/>
          <w:lang w:val="es-ES_tradnl"/>
        </w:rPr>
        <w:t xml:space="preserve">del Estado de México y </w:t>
      </w:r>
      <w:r w:rsidR="008A6E0E" w:rsidRPr="00DC2A65">
        <w:rPr>
          <w:rFonts w:ascii="Palatino Linotype" w:hAnsi="Palatino Linotype"/>
          <w:lang w:val="es-ES_tradnl"/>
        </w:rPr>
        <w:t>Municipios</w:t>
      </w:r>
      <w:r w:rsidR="005B0574" w:rsidRPr="00DC2A65">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DC2A65" w:rsidRDefault="005B0574" w:rsidP="005B0574">
      <w:pPr>
        <w:pStyle w:val="Prrafodelista"/>
        <w:rPr>
          <w:rFonts w:ascii="Palatino Linotype" w:hAnsi="Palatino Linotype"/>
          <w:lang w:val="es-ES_tradnl"/>
        </w:rPr>
      </w:pPr>
    </w:p>
    <w:p w:rsidR="002D3DBE" w:rsidRPr="00DC2A65"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Luego entonces, procede el recurso de inconformidad cuando el órgano garante </w:t>
      </w:r>
      <w:r w:rsidR="00FB2B9E" w:rsidRPr="00DC2A65">
        <w:rPr>
          <w:rFonts w:ascii="Palatino Linotype" w:hAnsi="Palatino Linotype"/>
          <w:lang w:val="es-ES_tradnl"/>
        </w:rPr>
        <w:t xml:space="preserve">local </w:t>
      </w:r>
      <w:r w:rsidRPr="00DC2A65">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DC2A65">
        <w:rPr>
          <w:rFonts w:ascii="Palatino Linotype" w:hAnsi="Palatino Linotype"/>
          <w:lang w:val="es-ES_tradnl"/>
        </w:rPr>
        <w:t>.</w:t>
      </w:r>
    </w:p>
    <w:p w:rsidR="002D3DBE" w:rsidRPr="00DC2A65" w:rsidRDefault="002D3DBE" w:rsidP="00CC1170">
      <w:pPr>
        <w:pStyle w:val="Prrafodelista"/>
        <w:spacing w:line="360" w:lineRule="auto"/>
        <w:rPr>
          <w:rFonts w:ascii="Palatino Linotype" w:hAnsi="Palatino Linotype"/>
          <w:lang w:val="es-ES_tradnl"/>
        </w:rPr>
      </w:pPr>
    </w:p>
    <w:p w:rsidR="002D3DBE" w:rsidRPr="00DC2A65"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En materia administrativa, cuando las peticiones o solicitudes hechas por los particulares no son respondidas o bien, los procedimientos </w:t>
      </w:r>
      <w:r w:rsidR="008A6E0E" w:rsidRPr="00DC2A65">
        <w:rPr>
          <w:rFonts w:ascii="Palatino Linotype" w:hAnsi="Palatino Linotype"/>
          <w:lang w:val="es-ES_tradnl"/>
        </w:rPr>
        <w:t>administrativos</w:t>
      </w:r>
      <w:r w:rsidRPr="00DC2A65">
        <w:rPr>
          <w:rFonts w:ascii="Palatino Linotype" w:hAnsi="Palatino Linotype"/>
          <w:lang w:val="es-ES_tradnl"/>
        </w:rPr>
        <w:t xml:space="preserve"> no se </w:t>
      </w:r>
      <w:r w:rsidR="008A6E0E" w:rsidRPr="00DC2A65">
        <w:rPr>
          <w:rFonts w:ascii="Palatino Linotype" w:hAnsi="Palatino Linotype"/>
          <w:lang w:val="es-ES_tradnl"/>
        </w:rPr>
        <w:lastRenderedPageBreak/>
        <w:t>resuelven</w:t>
      </w:r>
      <w:r w:rsidRPr="00DC2A65">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DC2A65">
        <w:rPr>
          <w:rFonts w:ascii="Palatino Linotype" w:hAnsi="Palatino Linotype"/>
          <w:lang w:val="es-ES_tradnl"/>
        </w:rPr>
        <w:t xml:space="preserve">, para dar certidumbre a </w:t>
      </w:r>
      <w:r w:rsidRPr="00DC2A65">
        <w:rPr>
          <w:rFonts w:ascii="Palatino Linotype" w:hAnsi="Palatino Linotype"/>
          <w:lang w:val="es-ES_tradnl"/>
        </w:rPr>
        <w:t>los particulares</w:t>
      </w:r>
      <w:r w:rsidR="00FB2B9E" w:rsidRPr="00DC2A65">
        <w:rPr>
          <w:rFonts w:ascii="Palatino Linotype" w:hAnsi="Palatino Linotype"/>
          <w:lang w:val="es-ES_tradnl"/>
        </w:rPr>
        <w:t xml:space="preserve">, </w:t>
      </w:r>
      <w:r w:rsidR="002D3DBE" w:rsidRPr="00DC2A65">
        <w:rPr>
          <w:rFonts w:ascii="Palatino Linotype" w:hAnsi="Palatino Linotype"/>
          <w:lang w:val="es-ES_tradnl"/>
        </w:rPr>
        <w:t>puede configurarse</w:t>
      </w:r>
      <w:r w:rsidR="00FB2B9E" w:rsidRPr="00DC2A65">
        <w:rPr>
          <w:rFonts w:ascii="Palatino Linotype" w:hAnsi="Palatino Linotype"/>
          <w:lang w:val="es-ES_tradnl"/>
        </w:rPr>
        <w:t xml:space="preserve"> una afirmativa </w:t>
      </w:r>
      <w:hyperlink r:id="rId10" w:tgtFrame="_blank" w:history="1">
        <w:r w:rsidR="00FB2B9E" w:rsidRPr="00DC2A65">
          <w:rPr>
            <w:rStyle w:val="Hipervnculo"/>
            <w:rFonts w:ascii="Palatino Linotype" w:eastAsiaTheme="majorEastAsia" w:hAnsi="Palatino Linotype"/>
            <w:color w:val="auto"/>
            <w:u w:val="none"/>
            <w:lang w:val="es-ES_tradnl"/>
          </w:rPr>
          <w:t>o una negativa ficta</w:t>
        </w:r>
      </w:hyperlink>
      <w:r w:rsidR="00FB2B9E" w:rsidRPr="00DC2A65">
        <w:rPr>
          <w:rFonts w:ascii="Palatino Linotype" w:hAnsi="Palatino Linotype"/>
          <w:lang w:val="es-ES_tradnl"/>
        </w:rPr>
        <w:t>.</w:t>
      </w:r>
      <w:r w:rsidR="002D3DBE" w:rsidRPr="00DC2A65">
        <w:rPr>
          <w:rFonts w:ascii="Palatino Linotype" w:hAnsi="Palatino Linotype"/>
          <w:lang w:val="es-ES_tradnl"/>
        </w:rPr>
        <w:t xml:space="preserve"> Existe </w:t>
      </w:r>
      <w:r w:rsidR="00FB2B9E" w:rsidRPr="00DC2A65">
        <w:rPr>
          <w:rFonts w:ascii="Palatino Linotype" w:hAnsi="Palatino Linotype"/>
          <w:lang w:val="es-ES_tradnl"/>
        </w:rPr>
        <w:t>una afirmativa ficta cuando el silencio de la autoridad da pie a una respuesta afirmativa de la petición; es decir, que la autoridad la concede</w:t>
      </w:r>
      <w:r w:rsidR="002D3DBE" w:rsidRPr="00DC2A65">
        <w:rPr>
          <w:rFonts w:ascii="Palatino Linotype" w:hAnsi="Palatino Linotype" w:cs="Arial"/>
          <w:color w:val="000000"/>
          <w:lang w:val="es-ES_tradnl"/>
        </w:rPr>
        <w:t>; p</w:t>
      </w:r>
      <w:r w:rsidR="00FB2B9E" w:rsidRPr="00DC2A65">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DC2A65">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DC2A65"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DC2A65"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En el caso que nos ocupa, nos encontramos ante una afirmativa ficta, ya que  el silencio de la autoridad confirma el acto impugnado, </w:t>
      </w:r>
      <w:r w:rsidR="00796B61" w:rsidRPr="00DC2A65">
        <w:rPr>
          <w:rFonts w:ascii="Palatino Linotype" w:hAnsi="Palatino Linotype"/>
          <w:lang w:val="es-ES_tradnl"/>
        </w:rPr>
        <w:t xml:space="preserve">ya que al </w:t>
      </w:r>
      <w:r w:rsidR="00E31C7C" w:rsidRPr="00DC2A65">
        <w:rPr>
          <w:rFonts w:ascii="Palatino Linotype" w:hAnsi="Palatino Linotype" w:cs="Calibri"/>
          <w:color w:val="212529"/>
          <w:shd w:val="clear" w:color="auto" w:fill="FFFFFF"/>
          <w:lang w:val="es-ES_tradnl"/>
        </w:rPr>
        <w:t xml:space="preserve">no emitirse </w:t>
      </w:r>
      <w:r w:rsidRPr="00DC2A65">
        <w:rPr>
          <w:rFonts w:ascii="Palatino Linotype" w:hAnsi="Palatino Linotype" w:cs="Calibri"/>
          <w:color w:val="212529"/>
          <w:shd w:val="clear" w:color="auto" w:fill="FFFFFF"/>
          <w:lang w:val="es-ES_tradnl"/>
        </w:rPr>
        <w:t>una</w:t>
      </w:r>
      <w:r w:rsidR="00E31C7C" w:rsidRPr="00DC2A65">
        <w:rPr>
          <w:rFonts w:ascii="Palatino Linotype" w:hAnsi="Palatino Linotype" w:cs="Calibri"/>
          <w:color w:val="212529"/>
          <w:shd w:val="clear" w:color="auto" w:fill="FFFFFF"/>
          <w:lang w:val="es-ES_tradnl"/>
        </w:rPr>
        <w:t xml:space="preserve"> resolución expresa a un recurso de rev</w:t>
      </w:r>
      <w:r w:rsidRPr="00DC2A65">
        <w:rPr>
          <w:rFonts w:ascii="Palatino Linotype" w:hAnsi="Palatino Linotype" w:cs="Calibri"/>
          <w:color w:val="212529"/>
          <w:shd w:val="clear" w:color="auto" w:fill="FFFFFF"/>
          <w:lang w:val="es-ES_tradnl"/>
        </w:rPr>
        <w:t xml:space="preserve">isión por parte de los </w:t>
      </w:r>
      <w:r w:rsidR="008A6E0E" w:rsidRPr="00DC2A65">
        <w:rPr>
          <w:rFonts w:ascii="Palatino Linotype" w:hAnsi="Palatino Linotype" w:cs="Calibri"/>
          <w:color w:val="212529"/>
          <w:shd w:val="clear" w:color="auto" w:fill="FFFFFF"/>
          <w:lang w:val="es-ES_tradnl"/>
        </w:rPr>
        <w:t>órganos</w:t>
      </w:r>
      <w:r w:rsidRPr="00DC2A65">
        <w:rPr>
          <w:rFonts w:ascii="Palatino Linotype" w:hAnsi="Palatino Linotype" w:cs="Calibri"/>
          <w:color w:val="212529"/>
          <w:shd w:val="clear" w:color="auto" w:fill="FFFFFF"/>
          <w:lang w:val="es-ES_tradnl"/>
        </w:rPr>
        <w:t xml:space="preserve"> garantes locales, en el plazo legal establecido</w:t>
      </w:r>
      <w:r w:rsidR="00E31C7C" w:rsidRPr="00DC2A65">
        <w:rPr>
          <w:rFonts w:ascii="Palatino Linotype" w:hAnsi="Palatino Linotype" w:cs="Calibri"/>
          <w:color w:val="212529"/>
          <w:shd w:val="clear" w:color="auto" w:fill="FFFFFF"/>
          <w:lang w:val="es-ES_tradnl"/>
        </w:rPr>
        <w:t>, se entenderá que se confirmó la determinación administrativa impugnada</w:t>
      </w:r>
      <w:r w:rsidR="00796B61" w:rsidRPr="00DC2A65">
        <w:rPr>
          <w:rFonts w:ascii="Palatino Linotype" w:hAnsi="Palatino Linotype" w:cs="Calibri"/>
          <w:color w:val="212529"/>
          <w:shd w:val="clear" w:color="auto" w:fill="FFFFFF"/>
          <w:lang w:val="es-ES_tradnl"/>
        </w:rPr>
        <w:t xml:space="preserve">, es decir </w:t>
      </w:r>
      <w:r w:rsidRPr="00DC2A65">
        <w:rPr>
          <w:rFonts w:ascii="Palatino Linotype" w:hAnsi="Palatino Linotype" w:cs="Calibri"/>
          <w:color w:val="212529"/>
          <w:shd w:val="clear" w:color="auto" w:fill="FFFFFF"/>
          <w:lang w:val="es-ES_tradnl"/>
        </w:rPr>
        <w:t xml:space="preserve"> la negativa de información del sujeto obligado</w:t>
      </w:r>
      <w:r w:rsidR="00796B61" w:rsidRPr="00DC2A65">
        <w:rPr>
          <w:rFonts w:ascii="Palatino Linotype" w:hAnsi="Palatino Linotype" w:cs="Calibri"/>
          <w:color w:val="212529"/>
          <w:shd w:val="clear" w:color="auto" w:fill="FFFFFF"/>
          <w:lang w:val="es-ES_tradnl"/>
        </w:rPr>
        <w:t xml:space="preserve">, por lo que </w:t>
      </w:r>
      <w:r w:rsidR="00E31C7C" w:rsidRPr="00DC2A65">
        <w:rPr>
          <w:rFonts w:ascii="Palatino Linotype" w:hAnsi="Palatino Linotype" w:cs="Calibri"/>
          <w:color w:val="212529"/>
          <w:shd w:val="clear" w:color="auto" w:fill="FFFFFF"/>
          <w:lang w:val="es-ES_tradnl"/>
        </w:rPr>
        <w:t xml:space="preserve">el </w:t>
      </w:r>
      <w:r w:rsidRPr="00DC2A65">
        <w:rPr>
          <w:rFonts w:ascii="Palatino Linotype" w:hAnsi="Palatino Linotype" w:cs="Calibri"/>
          <w:color w:val="212529"/>
          <w:shd w:val="clear" w:color="auto" w:fill="FFFFFF"/>
          <w:lang w:val="es-ES_tradnl"/>
        </w:rPr>
        <w:t>particular</w:t>
      </w:r>
      <w:r w:rsidR="00E31C7C" w:rsidRPr="00DC2A65">
        <w:rPr>
          <w:rFonts w:ascii="Palatino Linotype" w:hAnsi="Palatino Linotype" w:cs="Calibri"/>
          <w:color w:val="212529"/>
          <w:shd w:val="clear" w:color="auto" w:fill="FFFFFF"/>
          <w:lang w:val="es-ES_tradnl"/>
        </w:rPr>
        <w:t xml:space="preserve"> podrá decidir esperar la emisión de la resolución expresa o promover el </w:t>
      </w:r>
      <w:r w:rsidRPr="00DC2A65">
        <w:rPr>
          <w:rFonts w:ascii="Palatino Linotype" w:hAnsi="Palatino Linotype" w:cs="Calibri"/>
          <w:color w:val="212529"/>
          <w:shd w:val="clear" w:color="auto" w:fill="FFFFFF"/>
          <w:lang w:val="es-ES_tradnl"/>
        </w:rPr>
        <w:t xml:space="preserve">recurso de inconformidad </w:t>
      </w:r>
      <w:r w:rsidR="00E31C7C" w:rsidRPr="00DC2A65">
        <w:rPr>
          <w:rFonts w:ascii="Palatino Linotype" w:hAnsi="Palatino Linotype" w:cs="Calibri"/>
          <w:color w:val="212529"/>
          <w:shd w:val="clear" w:color="auto" w:fill="FFFFFF"/>
          <w:lang w:val="es-ES_tradnl"/>
        </w:rPr>
        <w:t>contra la confirmación ficta.</w:t>
      </w:r>
    </w:p>
    <w:p w:rsidR="0067260A" w:rsidRPr="00DC2A65" w:rsidRDefault="0067260A" w:rsidP="0067260A">
      <w:pPr>
        <w:pStyle w:val="Prrafodelista"/>
        <w:rPr>
          <w:rFonts w:ascii="Palatino Linotype" w:hAnsi="Palatino Linotype" w:cs="Calibri"/>
          <w:color w:val="212529"/>
          <w:shd w:val="clear" w:color="auto" w:fill="FFFFFF"/>
          <w:lang w:val="es-ES_tradnl"/>
        </w:rPr>
      </w:pPr>
    </w:p>
    <w:p w:rsidR="0067260A" w:rsidRPr="00DC2A65"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cs="Calibri"/>
          <w:color w:val="212529"/>
          <w:shd w:val="clear" w:color="auto" w:fill="FFFFFF"/>
          <w:lang w:val="es-ES_tradnl"/>
        </w:rPr>
        <w:t>Bajo estas consideraciones</w:t>
      </w:r>
      <w:r w:rsidRPr="00DC2A65">
        <w:rPr>
          <w:rFonts w:ascii="Palatino Linotype" w:hAnsi="Palatino Linotype"/>
          <w:lang w:val="es-ES_tradnl"/>
        </w:rPr>
        <w:t xml:space="preserve">, el recurso de inconformidad nace como un medio de impugnación efectivo, sencillo y rápido, para remediar o impedir prácticas que limitan el ejercicio efectivo del derecho de acceso a la información, las cuales fueron </w:t>
      </w:r>
      <w:r w:rsidRPr="00DC2A65">
        <w:rPr>
          <w:rFonts w:ascii="Palatino Linotype" w:hAnsi="Palatino Linotype"/>
          <w:lang w:val="es-ES_tradnl"/>
        </w:rPr>
        <w:lastRenderedPageBreak/>
        <w:t>acotadas en el texto del artículo 160 de la Ley General de Transparencia y Acceso a la Información Pública, resultando ser las siguientes:</w:t>
      </w:r>
    </w:p>
    <w:p w:rsidR="0067260A" w:rsidRPr="00DC2A65" w:rsidRDefault="0067260A" w:rsidP="0067260A">
      <w:pPr>
        <w:pStyle w:val="Prrafodelista"/>
        <w:rPr>
          <w:rFonts w:ascii="Palatino Linotype" w:hAnsi="Palatino Linotype"/>
          <w:lang w:val="es-ES_tradnl"/>
        </w:rPr>
      </w:pPr>
    </w:p>
    <w:p w:rsidR="0067260A" w:rsidRPr="00DC2A65"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DC2A65">
        <w:rPr>
          <w:rFonts w:ascii="Palatino Linotype" w:hAnsi="Palatino Linotype"/>
          <w:i/>
          <w:sz w:val="22"/>
          <w:szCs w:val="22"/>
          <w:lang w:val="es-ES_tradnl"/>
        </w:rPr>
        <w:t>Cuando se clasifica la información como</w:t>
      </w:r>
      <w:r w:rsidRPr="00DC2A65">
        <w:rPr>
          <w:rFonts w:ascii="Palatino Linotype" w:hAnsi="Palatino Linotype"/>
          <w:i/>
          <w:spacing w:val="-1"/>
          <w:sz w:val="22"/>
          <w:szCs w:val="22"/>
          <w:lang w:val="es-ES_tradnl"/>
        </w:rPr>
        <w:t xml:space="preserve"> </w:t>
      </w:r>
      <w:r w:rsidRPr="00DC2A65">
        <w:rPr>
          <w:rFonts w:ascii="Palatino Linotype" w:hAnsi="Palatino Linotype"/>
          <w:i/>
          <w:sz w:val="22"/>
          <w:szCs w:val="22"/>
          <w:lang w:val="es-ES_tradnl"/>
        </w:rPr>
        <w:t>reservada;</w:t>
      </w:r>
    </w:p>
    <w:p w:rsidR="0067260A" w:rsidRPr="00DC2A65"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DC2A65">
        <w:rPr>
          <w:rFonts w:ascii="Palatino Linotype" w:hAnsi="Palatino Linotype"/>
          <w:i/>
          <w:sz w:val="22"/>
          <w:szCs w:val="22"/>
          <w:lang w:val="es-ES_tradnl"/>
        </w:rPr>
        <w:t>Cuando se clasifica la información como</w:t>
      </w:r>
      <w:r w:rsidRPr="00DC2A65">
        <w:rPr>
          <w:rFonts w:ascii="Palatino Linotype" w:hAnsi="Palatino Linotype"/>
          <w:i/>
          <w:spacing w:val="-15"/>
          <w:sz w:val="22"/>
          <w:szCs w:val="22"/>
          <w:lang w:val="es-ES_tradnl"/>
        </w:rPr>
        <w:t xml:space="preserve"> </w:t>
      </w:r>
      <w:r w:rsidRPr="00DC2A65">
        <w:rPr>
          <w:rFonts w:ascii="Palatino Linotype" w:hAnsi="Palatino Linotype"/>
          <w:i/>
          <w:sz w:val="22"/>
          <w:szCs w:val="22"/>
          <w:lang w:val="es-ES_tradnl"/>
        </w:rPr>
        <w:t>confidencial;</w:t>
      </w:r>
    </w:p>
    <w:p w:rsidR="0067260A" w:rsidRPr="00DC2A65"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DC2A65">
        <w:rPr>
          <w:rFonts w:ascii="Palatino Linotype" w:hAnsi="Palatino Linotype"/>
          <w:i/>
          <w:sz w:val="22"/>
          <w:szCs w:val="22"/>
          <w:lang w:val="es-ES_tradnl"/>
        </w:rPr>
        <w:t>Cuando se declara la inexistencia de la información;</w:t>
      </w:r>
      <w:r w:rsidRPr="00DC2A65">
        <w:rPr>
          <w:rFonts w:ascii="Palatino Linotype" w:hAnsi="Palatino Linotype"/>
          <w:i/>
          <w:spacing w:val="-19"/>
          <w:sz w:val="22"/>
          <w:szCs w:val="22"/>
          <w:lang w:val="es-ES_tradnl"/>
        </w:rPr>
        <w:t xml:space="preserve"> </w:t>
      </w:r>
      <w:r w:rsidRPr="00DC2A65">
        <w:rPr>
          <w:rFonts w:ascii="Palatino Linotype" w:hAnsi="Palatino Linotype"/>
          <w:i/>
          <w:sz w:val="22"/>
          <w:szCs w:val="22"/>
          <w:lang w:val="es-ES_tradnl"/>
        </w:rPr>
        <w:t>y</w:t>
      </w:r>
    </w:p>
    <w:p w:rsidR="0067260A" w:rsidRPr="00DC2A65"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DC2A65">
        <w:rPr>
          <w:rFonts w:ascii="Palatino Linotype" w:hAnsi="Palatino Linotype"/>
          <w:i/>
          <w:sz w:val="22"/>
          <w:szCs w:val="22"/>
          <w:lang w:val="es-ES_tradnl"/>
        </w:rPr>
        <w:t>Cuando existe una negativa de la información, es decir, cuando no existe respuesta por parte de los sujetos obligados o de los organismos</w:t>
      </w:r>
      <w:r w:rsidRPr="00DC2A65">
        <w:rPr>
          <w:rFonts w:ascii="Palatino Linotype" w:hAnsi="Palatino Linotype"/>
          <w:i/>
          <w:spacing w:val="-4"/>
          <w:sz w:val="22"/>
          <w:szCs w:val="22"/>
          <w:lang w:val="es-ES_tradnl"/>
        </w:rPr>
        <w:t xml:space="preserve"> </w:t>
      </w:r>
      <w:r w:rsidRPr="00DC2A65">
        <w:rPr>
          <w:rFonts w:ascii="Palatino Linotype" w:hAnsi="Palatino Linotype"/>
          <w:i/>
          <w:sz w:val="22"/>
          <w:szCs w:val="22"/>
          <w:lang w:val="es-ES_tradnl"/>
        </w:rPr>
        <w:t>garantes.</w:t>
      </w:r>
    </w:p>
    <w:p w:rsidR="0067260A" w:rsidRPr="00DC2A65" w:rsidRDefault="0067260A" w:rsidP="0067260A">
      <w:pPr>
        <w:pStyle w:val="Prrafodelista"/>
        <w:rPr>
          <w:rFonts w:ascii="Palatino Linotype" w:hAnsi="Palatino Linotype"/>
          <w:lang w:val="es-ES_tradnl"/>
        </w:rPr>
      </w:pPr>
    </w:p>
    <w:p w:rsidR="0067260A" w:rsidRPr="00DC2A65" w:rsidRDefault="0067260A" w:rsidP="0067260A">
      <w:pPr>
        <w:pStyle w:val="Prrafodelista"/>
        <w:rPr>
          <w:rFonts w:ascii="Palatino Linotype" w:hAnsi="Palatino Linotype"/>
          <w:lang w:val="es-ES_tradnl"/>
        </w:rPr>
      </w:pPr>
    </w:p>
    <w:p w:rsidR="0067260A" w:rsidRPr="00DC2A65" w:rsidRDefault="002D35ED"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Es por ello que se insiste</w:t>
      </w:r>
      <w:r w:rsidR="0067260A" w:rsidRPr="00DC2A65">
        <w:rPr>
          <w:rFonts w:ascii="Palatino Linotype" w:hAnsi="Palatino Linotype"/>
          <w:lang w:val="es-ES_tradnl"/>
        </w:rPr>
        <w:t xml:space="preserve"> que en el asunto que nos ocupa no estamos en presencia de alguna de las prácticas</w:t>
      </w:r>
      <w:r w:rsidR="0067260A" w:rsidRPr="00DC2A65">
        <w:rPr>
          <w:rFonts w:ascii="Palatino Linotype" w:hAnsi="Palatino Linotype"/>
          <w:spacing w:val="-11"/>
          <w:lang w:val="es-ES_tradnl"/>
        </w:rPr>
        <w:t xml:space="preserve"> </w:t>
      </w:r>
      <w:r w:rsidR="0067260A" w:rsidRPr="00DC2A65">
        <w:rPr>
          <w:rFonts w:ascii="Palatino Linotype" w:hAnsi="Palatino Linotype"/>
          <w:lang w:val="es-ES_tradnl"/>
        </w:rPr>
        <w:t>antes</w:t>
      </w:r>
      <w:r w:rsidR="0067260A" w:rsidRPr="00DC2A65">
        <w:rPr>
          <w:rFonts w:ascii="Palatino Linotype" w:hAnsi="Palatino Linotype"/>
          <w:spacing w:val="-15"/>
          <w:lang w:val="es-ES_tradnl"/>
        </w:rPr>
        <w:t xml:space="preserve"> </w:t>
      </w:r>
      <w:r w:rsidR="0067260A" w:rsidRPr="00DC2A65">
        <w:rPr>
          <w:rFonts w:ascii="Palatino Linotype" w:hAnsi="Palatino Linotype"/>
          <w:lang w:val="es-ES_tradnl"/>
        </w:rPr>
        <w:t>enlistadas,</w:t>
      </w:r>
      <w:r w:rsidR="0067260A" w:rsidRPr="00DC2A65">
        <w:rPr>
          <w:rFonts w:ascii="Palatino Linotype" w:hAnsi="Palatino Linotype"/>
          <w:spacing w:val="-15"/>
          <w:lang w:val="es-ES_tradnl"/>
        </w:rPr>
        <w:t xml:space="preserve"> </w:t>
      </w:r>
      <w:r w:rsidR="0067260A" w:rsidRPr="00DC2A65">
        <w:rPr>
          <w:rFonts w:ascii="Palatino Linotype" w:hAnsi="Palatino Linotype"/>
          <w:lang w:val="es-ES_tradnl"/>
        </w:rPr>
        <w:t>ya</w:t>
      </w:r>
      <w:r w:rsidR="0067260A" w:rsidRPr="00DC2A65">
        <w:rPr>
          <w:rFonts w:ascii="Palatino Linotype" w:hAnsi="Palatino Linotype"/>
          <w:spacing w:val="-12"/>
          <w:lang w:val="es-ES_tradnl"/>
        </w:rPr>
        <w:t xml:space="preserve"> </w:t>
      </w:r>
      <w:r w:rsidR="0067260A" w:rsidRPr="00DC2A65">
        <w:rPr>
          <w:rFonts w:ascii="Palatino Linotype" w:hAnsi="Palatino Linotype"/>
          <w:lang w:val="es-ES_tradnl"/>
        </w:rPr>
        <w:t>que</w:t>
      </w:r>
      <w:r w:rsidR="0067260A" w:rsidRPr="00DC2A65">
        <w:rPr>
          <w:rFonts w:ascii="Palatino Linotype" w:hAnsi="Palatino Linotype"/>
          <w:spacing w:val="-13"/>
          <w:lang w:val="es-ES_tradnl"/>
        </w:rPr>
        <w:t xml:space="preserve"> </w:t>
      </w:r>
      <w:r w:rsidR="0067260A" w:rsidRPr="00DC2A65">
        <w:rPr>
          <w:rFonts w:ascii="Palatino Linotype" w:hAnsi="Palatino Linotype"/>
          <w:lang w:val="es-ES_tradnl"/>
        </w:rPr>
        <w:t>la</w:t>
      </w:r>
      <w:r w:rsidR="0067260A" w:rsidRPr="00DC2A65">
        <w:rPr>
          <w:rFonts w:ascii="Palatino Linotype" w:hAnsi="Palatino Linotype"/>
          <w:spacing w:val="-17"/>
          <w:lang w:val="es-ES_tradnl"/>
        </w:rPr>
        <w:t xml:space="preserve"> </w:t>
      </w:r>
      <w:r w:rsidR="0067260A" w:rsidRPr="00DC2A65">
        <w:rPr>
          <w:rFonts w:ascii="Palatino Linotype" w:hAnsi="Palatino Linotype"/>
          <w:lang w:val="es-ES_tradnl"/>
        </w:rPr>
        <w:t>respuesta</w:t>
      </w:r>
      <w:r w:rsidR="0067260A" w:rsidRPr="00DC2A65">
        <w:rPr>
          <w:rFonts w:ascii="Palatino Linotype" w:hAnsi="Palatino Linotype"/>
          <w:spacing w:val="-17"/>
          <w:lang w:val="es-ES_tradnl"/>
        </w:rPr>
        <w:t xml:space="preserve"> </w:t>
      </w:r>
      <w:r w:rsidR="0067260A" w:rsidRPr="00DC2A65">
        <w:rPr>
          <w:rFonts w:ascii="Palatino Linotype" w:hAnsi="Palatino Linotype"/>
          <w:lang w:val="es-ES_tradnl"/>
        </w:rPr>
        <w:t>del</w:t>
      </w:r>
      <w:r w:rsidR="0067260A" w:rsidRPr="00DC2A65">
        <w:rPr>
          <w:rFonts w:ascii="Palatino Linotype" w:hAnsi="Palatino Linotype"/>
          <w:spacing w:val="-13"/>
          <w:lang w:val="es-ES_tradnl"/>
        </w:rPr>
        <w:t xml:space="preserve"> </w:t>
      </w:r>
      <w:r w:rsidR="0067260A" w:rsidRPr="00DC2A65">
        <w:rPr>
          <w:rFonts w:ascii="Palatino Linotype" w:hAnsi="Palatino Linotype"/>
          <w:lang w:val="es-ES_tradnl"/>
        </w:rPr>
        <w:t>Sujeto</w:t>
      </w:r>
      <w:r w:rsidR="0067260A" w:rsidRPr="00DC2A65">
        <w:rPr>
          <w:rFonts w:ascii="Palatino Linotype" w:hAnsi="Palatino Linotype"/>
          <w:spacing w:val="-12"/>
          <w:lang w:val="es-ES_tradnl"/>
        </w:rPr>
        <w:t xml:space="preserve"> </w:t>
      </w:r>
      <w:r w:rsidR="0067260A" w:rsidRPr="00DC2A65">
        <w:rPr>
          <w:rFonts w:ascii="Palatino Linotype" w:hAnsi="Palatino Linotype"/>
          <w:lang w:val="es-ES_tradnl"/>
        </w:rPr>
        <w:t>Obligado,</w:t>
      </w:r>
      <w:r w:rsidR="0067260A" w:rsidRPr="00DC2A65">
        <w:rPr>
          <w:rFonts w:ascii="Palatino Linotype" w:hAnsi="Palatino Linotype"/>
          <w:spacing w:val="-10"/>
          <w:lang w:val="es-ES_tradnl"/>
        </w:rPr>
        <w:t xml:space="preserve"> </w:t>
      </w:r>
      <w:r w:rsidR="0067260A" w:rsidRPr="00DC2A65">
        <w:rPr>
          <w:rFonts w:ascii="Palatino Linotype" w:hAnsi="Palatino Linotype"/>
          <w:lang w:val="es-ES_tradnl"/>
        </w:rPr>
        <w:t>en</w:t>
      </w:r>
      <w:r w:rsidR="0067260A" w:rsidRPr="00DC2A65">
        <w:rPr>
          <w:rFonts w:ascii="Palatino Linotype" w:hAnsi="Palatino Linotype"/>
          <w:spacing w:val="-12"/>
          <w:lang w:val="es-ES_tradnl"/>
        </w:rPr>
        <w:t xml:space="preserve"> </w:t>
      </w:r>
      <w:r w:rsidR="0067260A" w:rsidRPr="00DC2A65">
        <w:rPr>
          <w:rFonts w:ascii="Palatino Linotype" w:hAnsi="Palatino Linotype"/>
          <w:lang w:val="es-ES_tradnl"/>
        </w:rPr>
        <w:t>ningún</w:t>
      </w:r>
      <w:r w:rsidR="0067260A" w:rsidRPr="00DC2A65">
        <w:rPr>
          <w:rFonts w:ascii="Palatino Linotype" w:hAnsi="Palatino Linotype"/>
          <w:spacing w:val="-13"/>
          <w:lang w:val="es-ES_tradnl"/>
        </w:rPr>
        <w:t xml:space="preserve"> </w:t>
      </w:r>
      <w:r w:rsidR="0067260A" w:rsidRPr="00DC2A65">
        <w:rPr>
          <w:rFonts w:ascii="Palatino Linotype" w:hAnsi="Palatino Linotype"/>
          <w:lang w:val="es-ES_tradnl"/>
        </w:rPr>
        <w:t>momento clasificó</w:t>
      </w:r>
      <w:r w:rsidR="0067260A" w:rsidRPr="00DC2A65">
        <w:rPr>
          <w:rFonts w:ascii="Palatino Linotype" w:hAnsi="Palatino Linotype"/>
          <w:spacing w:val="-7"/>
          <w:lang w:val="es-ES_tradnl"/>
        </w:rPr>
        <w:t xml:space="preserve"> </w:t>
      </w:r>
      <w:r w:rsidR="0067260A" w:rsidRPr="00DC2A65">
        <w:rPr>
          <w:rFonts w:ascii="Palatino Linotype" w:hAnsi="Palatino Linotype"/>
          <w:lang w:val="es-ES_tradnl"/>
        </w:rPr>
        <w:t>la</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información</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como</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reservada</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o</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confidencial,</w:t>
      </w:r>
      <w:r w:rsidR="0067260A" w:rsidRPr="00DC2A65">
        <w:rPr>
          <w:rFonts w:ascii="Palatino Linotype" w:hAnsi="Palatino Linotype"/>
          <w:spacing w:val="-3"/>
          <w:lang w:val="es-ES_tradnl"/>
        </w:rPr>
        <w:t xml:space="preserve"> </w:t>
      </w:r>
      <w:r w:rsidR="0067260A" w:rsidRPr="00DC2A65">
        <w:rPr>
          <w:rFonts w:ascii="Palatino Linotype" w:hAnsi="Palatino Linotype"/>
          <w:lang w:val="es-ES_tradnl"/>
        </w:rPr>
        <w:t>tampoco</w:t>
      </w:r>
      <w:r w:rsidR="0067260A" w:rsidRPr="00DC2A65">
        <w:rPr>
          <w:rFonts w:ascii="Palatino Linotype" w:hAnsi="Palatino Linotype"/>
          <w:spacing w:val="-7"/>
          <w:lang w:val="es-ES_tradnl"/>
        </w:rPr>
        <w:t xml:space="preserve"> </w:t>
      </w:r>
      <w:r w:rsidR="0067260A" w:rsidRPr="00DC2A65">
        <w:rPr>
          <w:rFonts w:ascii="Palatino Linotype" w:hAnsi="Palatino Linotype"/>
          <w:lang w:val="es-ES_tradnl"/>
        </w:rPr>
        <w:t>declaró</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su</w:t>
      </w:r>
      <w:r w:rsidR="0067260A" w:rsidRPr="00DC2A65">
        <w:rPr>
          <w:rFonts w:ascii="Palatino Linotype" w:hAnsi="Palatino Linotype"/>
          <w:spacing w:val="-6"/>
          <w:lang w:val="es-ES_tradnl"/>
        </w:rPr>
        <w:t xml:space="preserve"> </w:t>
      </w:r>
      <w:r w:rsidR="0067260A" w:rsidRPr="00DC2A65">
        <w:rPr>
          <w:rFonts w:ascii="Palatino Linotype" w:hAnsi="Palatino Linotype"/>
          <w:lang w:val="es-ES_tradnl"/>
        </w:rPr>
        <w:t>inexistencia y mucho menos fue omiso en la atención a la solicitud de acceso a la</w:t>
      </w:r>
      <w:r w:rsidR="0067260A" w:rsidRPr="00DC2A65">
        <w:rPr>
          <w:rFonts w:ascii="Palatino Linotype" w:hAnsi="Palatino Linotype"/>
          <w:spacing w:val="-12"/>
          <w:lang w:val="es-ES_tradnl"/>
        </w:rPr>
        <w:t xml:space="preserve"> </w:t>
      </w:r>
      <w:r w:rsidR="0067260A" w:rsidRPr="00DC2A65">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DC2A65" w:rsidRDefault="0067260A" w:rsidP="00796B61">
      <w:pPr>
        <w:pStyle w:val="Prrafodelista"/>
        <w:rPr>
          <w:rFonts w:ascii="Palatino Linotype" w:hAnsi="Palatino Linotype"/>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w:t>
      </w:r>
      <w:r w:rsidRPr="00DC2A65">
        <w:rPr>
          <w:rFonts w:ascii="Palatino Linotype" w:hAnsi="Palatino Linotype"/>
          <w:lang w:val="es-ES_tradnl"/>
        </w:rPr>
        <w:lastRenderedPageBreak/>
        <w:t xml:space="preserve">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DC2A65">
        <w:rPr>
          <w:rFonts w:ascii="Palatino Linotype" w:hAnsi="Palatino Linotype"/>
          <w:lang w:val="es-ES_tradnl"/>
        </w:rPr>
        <w:t>causales</w:t>
      </w:r>
      <w:r w:rsidRPr="00DC2A65">
        <w:rPr>
          <w:rFonts w:ascii="Palatino Linotype" w:hAnsi="Palatino Linotype"/>
          <w:lang w:val="es-ES_tradnl"/>
        </w:rPr>
        <w:t xml:space="preserve"> de improcedencia  establecidas en el artículo 178 de la multicitada ley general. </w:t>
      </w:r>
      <w:r w:rsidRPr="00DC2A65">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DC2A65">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DC2A65">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DC2A65">
        <w:rPr>
          <w:rStyle w:val="Refdenotaalpie"/>
          <w:rFonts w:ascii="Palatino Linotype" w:hAnsi="Palatino Linotype"/>
          <w:i/>
          <w:lang w:val="es-ES_tradnl"/>
        </w:rPr>
        <w:footnoteReference w:id="7"/>
      </w:r>
    </w:p>
    <w:p w:rsidR="0061311C" w:rsidRPr="00DC2A65" w:rsidRDefault="0061311C" w:rsidP="0061311C">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DC2A65">
        <w:rPr>
          <w:rFonts w:ascii="Palatino Linotype" w:hAnsi="Palatino Linotype"/>
          <w:lang w:val="es-ES_tradnl"/>
        </w:rPr>
        <w:t>desechamiento</w:t>
      </w:r>
      <w:proofErr w:type="spellEnd"/>
      <w:r w:rsidRPr="00DC2A65">
        <w:rPr>
          <w:rFonts w:ascii="Palatino Linotype" w:hAnsi="Palatino Linotype"/>
          <w:lang w:val="es-ES_tradnl"/>
        </w:rPr>
        <w:t xml:space="preserve"> por improcedencia del recurso de inconformidad, causales que tendrán como efecto ya sea el </w:t>
      </w:r>
      <w:proofErr w:type="spellStart"/>
      <w:r w:rsidRPr="00DC2A65">
        <w:rPr>
          <w:rFonts w:ascii="Palatino Linotype" w:hAnsi="Palatino Linotype"/>
          <w:lang w:val="es-ES_tradnl"/>
        </w:rPr>
        <w:t>desechamiento</w:t>
      </w:r>
      <w:proofErr w:type="spellEnd"/>
      <w:r w:rsidRPr="00DC2A65">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DC2A65">
        <w:rPr>
          <w:rFonts w:ascii="Palatino Linotype" w:hAnsi="Palatino Linotype"/>
          <w:lang w:val="es-ES_tradnl"/>
        </w:rPr>
        <w:t>desechamiento</w:t>
      </w:r>
      <w:proofErr w:type="spellEnd"/>
      <w:r w:rsidRPr="00DC2A65">
        <w:rPr>
          <w:rFonts w:ascii="Palatino Linotype" w:hAnsi="Palatino Linotype"/>
          <w:lang w:val="es-ES_tradnl"/>
        </w:rPr>
        <w:t xml:space="preserve"> de plano del recurso de inconformidad; si </w:t>
      </w:r>
      <w:r w:rsidRPr="00DC2A65">
        <w:rPr>
          <w:rFonts w:ascii="Palatino Linotype" w:hAnsi="Palatino Linotype"/>
          <w:lang w:val="es-ES_tradnl"/>
        </w:rPr>
        <w:lastRenderedPageBreak/>
        <w:t>lo hacen una vez tramitado el recurso, cuando no hubiere sido manifiesta al momento de admitirlo o cuando sobrevenga durante el procedimiento, el efecto es el sobreseimiento del recurso.</w:t>
      </w:r>
    </w:p>
    <w:p w:rsidR="00796B61" w:rsidRPr="00DC2A65" w:rsidRDefault="00796B61" w:rsidP="00796B61">
      <w:pPr>
        <w:pStyle w:val="Prrafodelista"/>
        <w:rPr>
          <w:rFonts w:ascii="Palatino Linotype" w:hAnsi="Palatino Linotype"/>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w:t>
      </w:r>
      <w:r w:rsidR="0031740D" w:rsidRPr="00DC2A65">
        <w:rPr>
          <w:rFonts w:ascii="Palatino Linotype" w:hAnsi="Palatino Linotype"/>
          <w:lang w:val="es-ES_tradnl"/>
        </w:rPr>
        <w:t>;</w:t>
      </w:r>
      <w:r w:rsidRPr="00DC2A65">
        <w:rPr>
          <w:rFonts w:ascii="Palatino Linotype" w:hAnsi="Palatino Linotype"/>
          <w:lang w:val="es-ES_tradnl"/>
        </w:rPr>
        <w:t xml:space="preserve">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DC2A65">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DC2A65">
        <w:rPr>
          <w:rStyle w:val="Refdenotaalpie"/>
          <w:rFonts w:ascii="Palatino Linotype" w:hAnsi="Palatino Linotype"/>
          <w:b/>
          <w:lang w:val="es-ES_tradnl"/>
        </w:rPr>
        <w:footnoteReference w:id="8"/>
      </w:r>
    </w:p>
    <w:p w:rsidR="00796B61" w:rsidRPr="00DC2A65"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DC2A65">
        <w:rPr>
          <w:rFonts w:ascii="Palatino Linotype" w:hAnsi="Palatino Linotype"/>
          <w:lang w:val="es-ES_tradnl"/>
        </w:rPr>
        <w:lastRenderedPageBreak/>
        <w:t>estudie y decida dicha cuestión, absteniéndose de resolver sobre la constitucionalidad o inconstitucionalidad del acto de autoridad reclamado.</w:t>
      </w:r>
      <w:r w:rsidRPr="00DC2A65">
        <w:rPr>
          <w:rStyle w:val="Refdenotaalpie"/>
          <w:rFonts w:ascii="Palatino Linotype" w:hAnsi="Palatino Linotype"/>
          <w:lang w:val="es-ES_tradnl"/>
        </w:rPr>
        <w:footnoteReference w:id="9"/>
      </w:r>
      <w:r w:rsidRPr="00DC2A65">
        <w:rPr>
          <w:rFonts w:ascii="Palatino Linotype" w:hAnsi="Palatino Linotype"/>
          <w:lang w:val="es-ES_tradnl"/>
        </w:rPr>
        <w:t xml:space="preserve"> </w:t>
      </w:r>
    </w:p>
    <w:p w:rsidR="00796B61" w:rsidRPr="00DC2A65" w:rsidRDefault="00796B61" w:rsidP="00796B61">
      <w:pPr>
        <w:pStyle w:val="Prrafodelista"/>
        <w:rPr>
          <w:rFonts w:ascii="Palatino Linotype" w:hAnsi="Palatino Linotype"/>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DC2A65">
        <w:rPr>
          <w:rStyle w:val="Refdenotaalpie"/>
          <w:rFonts w:ascii="Palatino Linotype" w:hAnsi="Palatino Linotype"/>
          <w:lang w:val="es-ES_tradnl"/>
        </w:rPr>
        <w:footnoteReference w:id="10"/>
      </w:r>
    </w:p>
    <w:p w:rsidR="00796B61" w:rsidRPr="00DC2A65" w:rsidRDefault="00796B61" w:rsidP="00796B61">
      <w:pPr>
        <w:pStyle w:val="Prrafodelista"/>
        <w:rPr>
          <w:rFonts w:ascii="Palatino Linotype" w:hAnsi="Palatino Linotype"/>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DC2A65">
        <w:rPr>
          <w:rFonts w:ascii="Palatino Linotype" w:hAnsi="Palatino Linotype"/>
          <w:lang w:val="es-ES_tradnl"/>
        </w:rPr>
        <w:t>Época,</w:t>
      </w:r>
      <w:r w:rsidRPr="00DC2A65">
        <w:rPr>
          <w:rFonts w:ascii="Palatino Linotype" w:hAnsi="Palatino Linotype"/>
          <w:lang w:val="es-ES_tradnl"/>
        </w:rPr>
        <w:t xml:space="preserve"> Tomo VII, </w:t>
      </w:r>
      <w:r w:rsidR="000E5971" w:rsidRPr="00DC2A65">
        <w:rPr>
          <w:rFonts w:ascii="Palatino Linotype" w:hAnsi="Palatino Linotype"/>
          <w:lang w:val="es-ES_tradnl"/>
        </w:rPr>
        <w:t>noviembre</w:t>
      </w:r>
      <w:r w:rsidRPr="00DC2A65">
        <w:rPr>
          <w:rFonts w:ascii="Palatino Linotype" w:hAnsi="Palatino Linotype"/>
          <w:lang w:val="es-ES_tradnl"/>
        </w:rPr>
        <w:t xml:space="preserve"> de 1991, página 185, que dice:  </w:t>
      </w:r>
    </w:p>
    <w:p w:rsidR="00796B61" w:rsidRPr="00DC2A65" w:rsidRDefault="00796B61" w:rsidP="0032234E">
      <w:pPr>
        <w:spacing w:line="276" w:lineRule="auto"/>
        <w:ind w:left="720" w:right="333"/>
        <w:jc w:val="both"/>
        <w:rPr>
          <w:rFonts w:ascii="Palatino Linotype" w:hAnsi="Palatino Linotype"/>
          <w:b/>
          <w:i/>
          <w:lang w:val="es-ES_tradnl"/>
        </w:rPr>
      </w:pPr>
      <w:r w:rsidRPr="00DC2A65">
        <w:rPr>
          <w:rFonts w:ascii="Palatino Linotype" w:hAnsi="Palatino Linotype"/>
          <w:b/>
          <w:i/>
          <w:lang w:val="es-ES_tradnl"/>
        </w:rPr>
        <w:t xml:space="preserve">CONTENCIOSO ADMINISTRATIVO, IMPROCEDENCIA DEL JUICIO, ANTE EL TRIBUNAL FISCAL. CONCEPTO JURIDICO. </w:t>
      </w:r>
      <w:r w:rsidRPr="00DC2A65">
        <w:rPr>
          <w:rFonts w:ascii="Palatino Linotype" w:hAnsi="Palatino Linotype"/>
          <w:i/>
          <w:lang w:val="es-ES_tradnl"/>
        </w:rPr>
        <w:t xml:space="preserve">Las causas de improcedencia que determina la ley de la materia, ven o se refieren a la procedencia del juicio mismo, esto es, </w:t>
      </w:r>
      <w:r w:rsidRPr="00DC2A65">
        <w:rPr>
          <w:rFonts w:ascii="Palatino Linotype" w:hAnsi="Palatino Linotype"/>
          <w:b/>
          <w:i/>
          <w:u w:val="single"/>
          <w:lang w:val="es-ES_tradnl"/>
        </w:rPr>
        <w:t>los motivos de improcedencia son en cuanto a que la acción en sí misma considerada no procede por las causas específicas consignadas en la ley;</w:t>
      </w:r>
      <w:r w:rsidRPr="00DC2A65">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w:t>
      </w:r>
      <w:r w:rsidRPr="00DC2A65">
        <w:rPr>
          <w:rFonts w:ascii="Palatino Linotype" w:hAnsi="Palatino Linotype"/>
          <w:i/>
          <w:lang w:val="es-ES_tradnl"/>
        </w:rPr>
        <w:lastRenderedPageBreak/>
        <w:t xml:space="preserve">hace que se sobresea en el juicio, mas no significa que la acción en sí misma sea improcedente. </w:t>
      </w:r>
      <w:r w:rsidRPr="00DC2A65">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DC2A65">
        <w:rPr>
          <w:rFonts w:ascii="Palatino Linotype" w:hAnsi="Palatino Linotype"/>
          <w:i/>
          <w:lang w:val="es-ES_tradnl"/>
        </w:rPr>
        <w:t>.</w:t>
      </w:r>
    </w:p>
    <w:p w:rsidR="00796B61" w:rsidRPr="00DC2A65" w:rsidRDefault="00796B61" w:rsidP="0032234E">
      <w:pPr>
        <w:spacing w:line="276" w:lineRule="auto"/>
        <w:ind w:left="720" w:right="333"/>
        <w:jc w:val="both"/>
        <w:rPr>
          <w:rFonts w:ascii="Palatino Linotype" w:hAnsi="Palatino Linotype"/>
          <w:i/>
          <w:lang w:val="es-ES_tradnl"/>
        </w:rPr>
      </w:pPr>
    </w:p>
    <w:p w:rsidR="00796B61" w:rsidRPr="00DC2A65" w:rsidRDefault="00796B61" w:rsidP="0032234E">
      <w:pPr>
        <w:spacing w:line="276" w:lineRule="auto"/>
        <w:ind w:left="720" w:right="333"/>
        <w:jc w:val="both"/>
        <w:rPr>
          <w:rFonts w:ascii="Palatino Linotype" w:hAnsi="Palatino Linotype"/>
          <w:i/>
          <w:lang w:val="es-ES_tradnl"/>
        </w:rPr>
      </w:pPr>
      <w:r w:rsidRPr="00DC2A65">
        <w:rPr>
          <w:rFonts w:ascii="Palatino Linotype" w:hAnsi="Palatino Linotype"/>
          <w:i/>
          <w:lang w:val="es-ES_tradnl"/>
        </w:rPr>
        <w:t>CUARTO TRIBUNAL COLEGIADO EN MATERIA ADMINISTRATIVA DEL PRIMER CIRCUITO.</w:t>
      </w:r>
    </w:p>
    <w:p w:rsidR="00796B61" w:rsidRPr="00DC2A65" w:rsidRDefault="00796B61" w:rsidP="0032234E">
      <w:pPr>
        <w:spacing w:line="276" w:lineRule="auto"/>
        <w:ind w:left="720" w:right="333"/>
        <w:jc w:val="both"/>
        <w:rPr>
          <w:rFonts w:ascii="Palatino Linotype" w:hAnsi="Palatino Linotype"/>
          <w:i/>
          <w:lang w:val="es-ES_tradnl"/>
        </w:rPr>
      </w:pPr>
    </w:p>
    <w:p w:rsidR="00796B61" w:rsidRPr="00DC2A65" w:rsidRDefault="00796B61" w:rsidP="0032234E">
      <w:pPr>
        <w:spacing w:line="276" w:lineRule="auto"/>
        <w:ind w:left="720" w:right="333"/>
        <w:jc w:val="both"/>
        <w:rPr>
          <w:rFonts w:ascii="Palatino Linotype" w:hAnsi="Palatino Linotype"/>
          <w:i/>
          <w:lang w:val="es-ES_tradnl"/>
        </w:rPr>
      </w:pPr>
      <w:r w:rsidRPr="00DC2A65">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DC2A65" w:rsidRDefault="00796B61" w:rsidP="00796B61">
      <w:pPr>
        <w:pStyle w:val="Prrafodelista"/>
        <w:rPr>
          <w:rFonts w:ascii="Palatino Linotype" w:hAnsi="Palatino Linotype"/>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DC2A65">
        <w:rPr>
          <w:rFonts w:ascii="Palatino Linotype" w:hAnsi="Palatino Linotype"/>
          <w:lang w:val="es-ES_tradnl"/>
        </w:rPr>
        <w:t>septiembre</w:t>
      </w:r>
      <w:r w:rsidRPr="00DC2A65">
        <w:rPr>
          <w:rFonts w:ascii="Palatino Linotype" w:hAnsi="Palatino Linotype"/>
          <w:lang w:val="es-ES_tradnl"/>
        </w:rPr>
        <w:t xml:space="preserve"> de 2020 Tomo II, Tesis: III.6o.A.30 A (10a.), página: 982, que dispone lo siguiente:</w:t>
      </w:r>
    </w:p>
    <w:p w:rsidR="00796B61" w:rsidRPr="00DC2A65"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DC2A65" w:rsidRDefault="00796B61" w:rsidP="00796B61">
      <w:pPr>
        <w:spacing w:line="276" w:lineRule="auto"/>
        <w:ind w:left="720" w:hanging="720"/>
        <w:jc w:val="both"/>
        <w:rPr>
          <w:rFonts w:ascii="Palatino Linotype" w:hAnsi="Palatino Linotype"/>
          <w:b/>
          <w:i/>
          <w:u w:val="single"/>
          <w:lang w:val="es-ES_tradnl"/>
        </w:rPr>
      </w:pPr>
      <w:r w:rsidRPr="00DC2A65">
        <w:rPr>
          <w:rFonts w:ascii="Palatino Linotype" w:hAnsi="Palatino Linotype"/>
          <w:b/>
          <w:i/>
          <w:lang w:val="es-ES_tradnl"/>
        </w:rPr>
        <w:lastRenderedPageBreak/>
        <w:tab/>
        <w:t xml:space="preserve">SOBRESEIMIENTO EN EL JUICIO CONTENCIOSO ADMINISTRATIVO FEDERAL. SU NATURALEZA </w:t>
      </w:r>
      <w:r w:rsidR="000E5971" w:rsidRPr="00DC2A65">
        <w:rPr>
          <w:rFonts w:ascii="Palatino Linotype" w:hAnsi="Palatino Linotype"/>
          <w:b/>
          <w:i/>
          <w:lang w:val="es-ES_tradnl"/>
        </w:rPr>
        <w:t>JURÍDICA.</w:t>
      </w:r>
      <w:r w:rsidR="000E5971" w:rsidRPr="00DC2A65">
        <w:rPr>
          <w:rFonts w:ascii="Palatino Linotype" w:hAnsi="Palatino Linotype"/>
          <w:i/>
          <w:lang w:val="es-ES_tradnl"/>
        </w:rPr>
        <w:t xml:space="preserve"> De</w:t>
      </w:r>
      <w:r w:rsidRPr="00DC2A65">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DC2A65">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DC2A65">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DC2A65">
        <w:rPr>
          <w:rFonts w:ascii="Palatino Linotype" w:hAnsi="Palatino Linotype"/>
          <w:i/>
          <w:lang w:val="es-ES_tradnl"/>
        </w:rPr>
        <w:t>supercedere</w:t>
      </w:r>
      <w:proofErr w:type="spellEnd"/>
      <w:r w:rsidRPr="00DC2A65">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DC2A65">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DC2A65">
        <w:rPr>
          <w:rFonts w:ascii="Palatino Linotype" w:hAnsi="Palatino Linotype"/>
          <w:b/>
          <w:i/>
          <w:u w:val="single"/>
          <w:lang w:val="es-ES_tradnl"/>
        </w:rPr>
        <w:lastRenderedPageBreak/>
        <w:t>nulidad</w:t>
      </w:r>
      <w:r w:rsidRPr="00DC2A65">
        <w:rPr>
          <w:rFonts w:ascii="Palatino Linotype" w:hAnsi="Palatino Linotype"/>
          <w:i/>
          <w:lang w:val="es-ES_tradnl"/>
        </w:rPr>
        <w:t xml:space="preserve">; </w:t>
      </w:r>
      <w:r w:rsidRPr="00DC2A65">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32234E" w:rsidRPr="00DC2A65" w:rsidRDefault="0032234E" w:rsidP="00796B61">
      <w:pPr>
        <w:spacing w:line="276" w:lineRule="auto"/>
        <w:ind w:left="720" w:hanging="720"/>
        <w:jc w:val="both"/>
        <w:rPr>
          <w:rFonts w:ascii="Palatino Linotype" w:hAnsi="Palatino Linotype"/>
          <w:b/>
          <w:i/>
          <w:lang w:val="es-ES_tradnl"/>
        </w:rPr>
      </w:pPr>
    </w:p>
    <w:p w:rsidR="00796B61" w:rsidRPr="00DC2A65" w:rsidRDefault="00796B61" w:rsidP="00796B61">
      <w:pPr>
        <w:spacing w:line="276" w:lineRule="auto"/>
        <w:ind w:left="720" w:hanging="720"/>
        <w:jc w:val="both"/>
        <w:rPr>
          <w:rFonts w:ascii="Palatino Linotype" w:hAnsi="Palatino Linotype"/>
          <w:i/>
          <w:lang w:val="es-ES_tradnl"/>
        </w:rPr>
      </w:pPr>
      <w:r w:rsidRPr="00DC2A65">
        <w:rPr>
          <w:rFonts w:ascii="Palatino Linotype" w:hAnsi="Palatino Linotype"/>
          <w:i/>
          <w:lang w:val="es-ES_tradnl"/>
        </w:rPr>
        <w:tab/>
        <w:t>SEXTO TRIBUNAL COLEGIADO EN MATERIA ADMINISTRATIVA DEL TERCER CIRCUITO.</w:t>
      </w:r>
    </w:p>
    <w:p w:rsidR="00796B61" w:rsidRPr="00DC2A65" w:rsidRDefault="00796B61" w:rsidP="00796B61">
      <w:pPr>
        <w:spacing w:line="276" w:lineRule="auto"/>
        <w:ind w:left="720" w:hanging="720"/>
        <w:jc w:val="both"/>
        <w:rPr>
          <w:rFonts w:ascii="Palatino Linotype" w:hAnsi="Palatino Linotype"/>
          <w:i/>
          <w:lang w:val="es-ES_tradnl"/>
        </w:rPr>
      </w:pPr>
      <w:r w:rsidRPr="00DC2A65">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DC2A65" w:rsidRDefault="00796B61" w:rsidP="00796B61">
      <w:pPr>
        <w:spacing w:line="276" w:lineRule="auto"/>
        <w:ind w:left="720" w:hanging="720"/>
        <w:jc w:val="both"/>
        <w:rPr>
          <w:rFonts w:ascii="Palatino Linotype" w:hAnsi="Palatino Linotype"/>
          <w:i/>
          <w:lang w:val="es-ES_tradnl"/>
        </w:rPr>
      </w:pPr>
      <w:r w:rsidRPr="00DC2A65">
        <w:rPr>
          <w:rFonts w:ascii="Palatino Linotype" w:hAnsi="Palatino Linotype"/>
          <w:i/>
          <w:lang w:val="es-ES_tradnl"/>
        </w:rPr>
        <w:tab/>
        <w:t>Esta tesis se publicó el viernes 18 de septiembre de 2020 a las 10:27 horas en el Semanario Judicial de la Federación.</w:t>
      </w:r>
    </w:p>
    <w:p w:rsidR="00796B61" w:rsidRPr="00DC2A65"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DC2A65"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w:t>
      </w:r>
      <w:r w:rsidR="0032234E" w:rsidRPr="00DC2A65">
        <w:rPr>
          <w:rFonts w:ascii="Palatino Linotype" w:hAnsi="Palatino Linotype"/>
          <w:lang w:val="es-ES_tradnl"/>
        </w:rPr>
        <w:t>mplemente no puede configurarse;</w:t>
      </w:r>
      <w:r w:rsidRPr="00DC2A65">
        <w:rPr>
          <w:rFonts w:ascii="Palatino Linotype" w:hAnsi="Palatino Linotype"/>
          <w:lang w:val="es-ES_tradnl"/>
        </w:rPr>
        <w:t xml:space="preserve"> es decir su acción o pretensión es improcedente por no ajustarse a las hipótesis legales establecidas para ello lo que conlleva la inviabilidad de que el Órgano Garante Nacional analice y resuelva el recurso de inconformidad.</w:t>
      </w:r>
    </w:p>
    <w:p w:rsidR="00CC1170" w:rsidRPr="00DC2A65"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DC2A65"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De lo anterior, se reitera </w:t>
      </w:r>
      <w:r w:rsidRPr="00DC2A65">
        <w:rPr>
          <w:rFonts w:ascii="Palatino Linotype" w:hAnsi="Palatino Linotype"/>
          <w:u w:val="single"/>
          <w:lang w:val="es-ES_tradnl"/>
        </w:rPr>
        <w:t>categóricamente</w:t>
      </w:r>
      <w:r w:rsidRPr="00DC2A65">
        <w:rPr>
          <w:rFonts w:ascii="Palatino Linotype" w:hAnsi="Palatino Linotype"/>
          <w:lang w:val="es-ES_tradnl"/>
        </w:rPr>
        <w:t xml:space="preserve"> que el recurso de inconformidad resultaba improcedente por no actualizarse las hipótesis legales para su interposición, es decir, que se carece de acción para interponer dicho medio de impugnación y por ende existe imposibilidad jurídica por parte del INAI para </w:t>
      </w:r>
      <w:r w:rsidRPr="00DC2A65">
        <w:rPr>
          <w:rFonts w:ascii="Palatino Linotype" w:hAnsi="Palatino Linotype"/>
          <w:lang w:val="es-ES_tradnl"/>
        </w:rPr>
        <w:lastRenderedPageBreak/>
        <w:t>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DC2A65"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DC2A65"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shd w:val="clear" w:color="auto" w:fill="FFFFFF"/>
          <w:lang w:val="es-ES_tradnl"/>
        </w:rPr>
        <w:t>En efecto, la </w:t>
      </w:r>
      <w:r w:rsidRPr="00DC2A65">
        <w:rPr>
          <w:rFonts w:ascii="Palatino Linotype" w:hAnsi="Palatino Linotype"/>
          <w:lang w:val="es-ES_tradnl"/>
        </w:rPr>
        <w:t>improcedencia</w:t>
      </w:r>
      <w:r w:rsidRPr="00DC2A65">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DC2A65">
        <w:rPr>
          <w:rFonts w:ascii="Palatino Linotype" w:hAnsi="Palatino Linotype"/>
          <w:shd w:val="clear" w:color="auto" w:fill="FFFFFF"/>
          <w:lang w:val="es-ES_tradnl"/>
        </w:rPr>
        <w:t xml:space="preserve">, en virtud de que </w:t>
      </w:r>
      <w:r w:rsidRPr="00DC2A65">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DC2A65">
        <w:rPr>
          <w:rFonts w:ascii="Palatino Linotype" w:hAnsi="Palatino Linotype"/>
          <w:shd w:val="clear" w:color="auto" w:fill="FFFFFF"/>
          <w:lang w:val="es-ES_tradnl"/>
        </w:rPr>
        <w:t xml:space="preserve"> </w:t>
      </w:r>
      <w:r w:rsidRPr="00DC2A65">
        <w:rPr>
          <w:rFonts w:ascii="Palatino Linotype" w:hAnsi="Palatino Linotype"/>
          <w:shd w:val="clear" w:color="auto" w:fill="FFFFFF"/>
          <w:lang w:val="es-ES_tradnl"/>
        </w:rPr>
        <w:t xml:space="preserve">por lo que ante esta clara </w:t>
      </w:r>
      <w:r w:rsidRPr="00DC2A65">
        <w:rPr>
          <w:rFonts w:ascii="Palatino Linotype" w:hAnsi="Palatino Linotype"/>
          <w:lang w:val="es-ES_tradnl"/>
        </w:rPr>
        <w:t>improcedencia</w:t>
      </w:r>
      <w:r w:rsidRPr="00DC2A65">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DC2A65" w:rsidRDefault="00CC1170" w:rsidP="00CC1170">
      <w:pPr>
        <w:pStyle w:val="Prrafodelista"/>
        <w:rPr>
          <w:rFonts w:ascii="Palatino Linotype" w:hAnsi="Palatino Linotype"/>
          <w:lang w:val="es-ES_tradnl"/>
        </w:rPr>
      </w:pPr>
    </w:p>
    <w:p w:rsidR="00C737F2" w:rsidRPr="00DC2A65"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Bajo dichas consideraciones, la procedencia o improcedencia de lo</w:t>
      </w:r>
      <w:r w:rsidR="0032234E" w:rsidRPr="00DC2A65">
        <w:rPr>
          <w:rFonts w:ascii="Palatino Linotype" w:hAnsi="Palatino Linotype"/>
          <w:lang w:val="es-ES_tradnl"/>
        </w:rPr>
        <w:t>s</w:t>
      </w:r>
      <w:r w:rsidRPr="00DC2A65">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DC2A65">
        <w:rPr>
          <w:rFonts w:ascii="Palatino Linotype" w:hAnsi="Palatino Linotype"/>
          <w:lang w:val="es-ES_tradnl"/>
        </w:rPr>
        <w:lastRenderedPageBreak/>
        <w:t>de la Ley General de Transparencia y Acceso a la Información Pública, no a la voluntad del órgano resolutor.</w:t>
      </w:r>
    </w:p>
    <w:p w:rsidR="00C737F2" w:rsidRPr="00DC2A65" w:rsidRDefault="00C737F2" w:rsidP="00C737F2">
      <w:pPr>
        <w:pStyle w:val="Prrafodelista"/>
        <w:rPr>
          <w:rFonts w:ascii="Palatino Linotype" w:hAnsi="Palatino Linotype"/>
          <w:lang w:val="es-ES_tradnl"/>
        </w:rPr>
      </w:pPr>
    </w:p>
    <w:p w:rsidR="00C737F2" w:rsidRPr="00DC2A65"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DC2A65">
        <w:rPr>
          <w:rFonts w:ascii="Palatino Linotype" w:hAnsi="Palatino Linotype"/>
          <w:b/>
          <w:lang w:val="es-ES_tradnl"/>
        </w:rPr>
        <w:t>Del Juicio de Amparo 1703/2016</w:t>
      </w:r>
    </w:p>
    <w:p w:rsidR="00C737F2" w:rsidRPr="00DC2A65" w:rsidRDefault="00C737F2" w:rsidP="00C737F2">
      <w:pPr>
        <w:pStyle w:val="Prrafodelista"/>
        <w:rPr>
          <w:rFonts w:ascii="Palatino Linotype" w:hAnsi="Palatino Linotype"/>
          <w:lang w:val="es-ES_tradnl"/>
        </w:rPr>
      </w:pPr>
    </w:p>
    <w:p w:rsidR="00334AC9" w:rsidRPr="00DC2A65"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Ahora bien, en el Considerando Segundo de la resolución al recurso de inconformidad que se cumplimenta, el Órgano Garante refiere lo siguiente:</w:t>
      </w:r>
    </w:p>
    <w:p w:rsidR="00334AC9" w:rsidRPr="00DC2A65"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DC2A65" w:rsidRDefault="00334AC9" w:rsidP="00334AC9">
      <w:pPr>
        <w:pStyle w:val="Prrafodelista"/>
        <w:tabs>
          <w:tab w:val="left" w:pos="0"/>
        </w:tabs>
        <w:spacing w:line="276" w:lineRule="auto"/>
        <w:ind w:right="108"/>
        <w:jc w:val="both"/>
        <w:rPr>
          <w:rFonts w:ascii="Palatino Linotype" w:hAnsi="Palatino Linotype"/>
          <w:lang w:val="es-ES_tradnl"/>
        </w:rPr>
      </w:pPr>
      <w:r w:rsidRPr="00DC2A65">
        <w:rPr>
          <w:rFonts w:ascii="Palatino Linotype" w:hAnsi="Palatino Linotype"/>
          <w:i/>
          <w:lang w:val="es-ES_tradnl"/>
        </w:rPr>
        <w:t>“De</w:t>
      </w:r>
      <w:r w:rsidRPr="00DC2A65">
        <w:rPr>
          <w:rFonts w:ascii="Palatino Linotype" w:hAnsi="Palatino Linotype"/>
          <w:i/>
          <w:spacing w:val="-3"/>
          <w:lang w:val="es-ES_tradnl"/>
        </w:rPr>
        <w:t xml:space="preserve"> </w:t>
      </w:r>
      <w:r w:rsidRPr="00DC2A65">
        <w:rPr>
          <w:rFonts w:ascii="Palatino Linotype" w:hAnsi="Palatino Linotype"/>
          <w:i/>
          <w:lang w:val="es-ES_tradnl"/>
        </w:rPr>
        <w:t>lo</w:t>
      </w:r>
      <w:r w:rsidRPr="00DC2A65">
        <w:rPr>
          <w:rFonts w:ascii="Palatino Linotype" w:hAnsi="Palatino Linotype"/>
          <w:i/>
          <w:spacing w:val="-3"/>
          <w:lang w:val="es-ES_tradnl"/>
        </w:rPr>
        <w:t xml:space="preserve"> </w:t>
      </w:r>
      <w:r w:rsidRPr="00DC2A65">
        <w:rPr>
          <w:rFonts w:ascii="Palatino Linotype" w:hAnsi="Palatino Linotype"/>
          <w:i/>
          <w:lang w:val="es-ES_tradnl"/>
        </w:rPr>
        <w:t>anterior,</w:t>
      </w:r>
      <w:r w:rsidRPr="00DC2A65">
        <w:rPr>
          <w:rFonts w:ascii="Palatino Linotype" w:hAnsi="Palatino Linotype"/>
          <w:i/>
          <w:spacing w:val="-2"/>
          <w:lang w:val="es-ES_tradnl"/>
        </w:rPr>
        <w:t xml:space="preserve"> </w:t>
      </w:r>
      <w:r w:rsidRPr="00DC2A65">
        <w:rPr>
          <w:rFonts w:ascii="Palatino Linotype" w:hAnsi="Palatino Linotype"/>
          <w:i/>
          <w:lang w:val="es-ES_tradnl"/>
        </w:rPr>
        <w:t>se</w:t>
      </w:r>
      <w:r w:rsidRPr="00DC2A65">
        <w:rPr>
          <w:rFonts w:ascii="Palatino Linotype" w:hAnsi="Palatino Linotype"/>
          <w:i/>
          <w:spacing w:val="-7"/>
          <w:lang w:val="es-ES_tradnl"/>
        </w:rPr>
        <w:t xml:space="preserve"> </w:t>
      </w:r>
      <w:r w:rsidRPr="00DC2A65">
        <w:rPr>
          <w:rFonts w:ascii="Palatino Linotype" w:hAnsi="Palatino Linotype"/>
          <w:i/>
          <w:lang w:val="es-ES_tradnl"/>
        </w:rPr>
        <w:t>desprende</w:t>
      </w:r>
      <w:r w:rsidRPr="00DC2A65">
        <w:rPr>
          <w:rFonts w:ascii="Palatino Linotype" w:hAnsi="Palatino Linotype"/>
          <w:i/>
          <w:spacing w:val="-6"/>
          <w:lang w:val="es-ES_tradnl"/>
        </w:rPr>
        <w:t xml:space="preserve"> </w:t>
      </w:r>
      <w:r w:rsidRPr="00DC2A65">
        <w:rPr>
          <w:rFonts w:ascii="Palatino Linotype" w:hAnsi="Palatino Linotype"/>
          <w:i/>
          <w:lang w:val="es-ES_tradnl"/>
        </w:rPr>
        <w:t>que</w:t>
      </w:r>
      <w:r w:rsidRPr="00DC2A65">
        <w:rPr>
          <w:rFonts w:ascii="Palatino Linotype" w:hAnsi="Palatino Linotype"/>
          <w:i/>
          <w:spacing w:val="-2"/>
          <w:lang w:val="es-ES_tradnl"/>
        </w:rPr>
        <w:t xml:space="preserve"> </w:t>
      </w:r>
      <w:r w:rsidRPr="00DC2A65">
        <w:rPr>
          <w:rFonts w:ascii="Palatino Linotype" w:hAnsi="Palatino Linotype"/>
          <w:i/>
          <w:lang w:val="es-ES_tradnl"/>
        </w:rPr>
        <w:t>el</w:t>
      </w:r>
      <w:r w:rsidRPr="00DC2A65">
        <w:rPr>
          <w:rFonts w:ascii="Palatino Linotype" w:hAnsi="Palatino Linotype"/>
          <w:i/>
          <w:spacing w:val="-3"/>
          <w:lang w:val="es-ES_tradnl"/>
        </w:rPr>
        <w:t xml:space="preserve"> </w:t>
      </w:r>
      <w:r w:rsidRPr="00DC2A65">
        <w:rPr>
          <w:rFonts w:ascii="Palatino Linotype" w:hAnsi="Palatino Linotype"/>
          <w:i/>
          <w:lang w:val="es-ES_tradnl"/>
        </w:rPr>
        <w:t>recurso</w:t>
      </w:r>
      <w:r w:rsidRPr="00DC2A65">
        <w:rPr>
          <w:rFonts w:ascii="Palatino Linotype" w:hAnsi="Palatino Linotype"/>
          <w:i/>
          <w:spacing w:val="-3"/>
          <w:lang w:val="es-ES_tradnl"/>
        </w:rPr>
        <w:t xml:space="preserve"> </w:t>
      </w:r>
      <w:r w:rsidRPr="00DC2A65">
        <w:rPr>
          <w:rFonts w:ascii="Palatino Linotype" w:hAnsi="Palatino Linotype"/>
          <w:i/>
          <w:lang w:val="es-ES_tradnl"/>
        </w:rPr>
        <w:t>de</w:t>
      </w:r>
      <w:r w:rsidRPr="00DC2A65">
        <w:rPr>
          <w:rFonts w:ascii="Palatino Linotype" w:hAnsi="Palatino Linotype"/>
          <w:i/>
          <w:spacing w:val="-6"/>
          <w:lang w:val="es-ES_tradnl"/>
        </w:rPr>
        <w:t xml:space="preserve"> </w:t>
      </w:r>
      <w:r w:rsidRPr="00DC2A65">
        <w:rPr>
          <w:rFonts w:ascii="Palatino Linotype" w:hAnsi="Palatino Linotype"/>
          <w:i/>
          <w:lang w:val="es-ES_tradnl"/>
        </w:rPr>
        <w:t>inconformidad</w:t>
      </w:r>
      <w:r w:rsidRPr="00DC2A65">
        <w:rPr>
          <w:rFonts w:ascii="Palatino Linotype" w:hAnsi="Palatino Linotype"/>
          <w:i/>
          <w:spacing w:val="-3"/>
          <w:lang w:val="es-ES_tradnl"/>
        </w:rPr>
        <w:t xml:space="preserve"> </w:t>
      </w:r>
      <w:r w:rsidRPr="00DC2A65">
        <w:rPr>
          <w:rFonts w:ascii="Palatino Linotype" w:hAnsi="Palatino Linotype"/>
          <w:i/>
          <w:lang w:val="es-ES_tradnl"/>
        </w:rPr>
        <w:t>procede</w:t>
      </w:r>
      <w:r w:rsidRPr="00DC2A65">
        <w:rPr>
          <w:rFonts w:ascii="Palatino Linotype" w:hAnsi="Palatino Linotype"/>
          <w:i/>
          <w:spacing w:val="-6"/>
          <w:lang w:val="es-ES_tradnl"/>
        </w:rPr>
        <w:t xml:space="preserve"> </w:t>
      </w:r>
      <w:r w:rsidRPr="00DC2A65">
        <w:rPr>
          <w:rFonts w:ascii="Palatino Linotype" w:hAnsi="Palatino Linotype"/>
          <w:i/>
          <w:lang w:val="es-ES_tradnl"/>
        </w:rPr>
        <w:t>en</w:t>
      </w:r>
      <w:r w:rsidRPr="00DC2A65">
        <w:rPr>
          <w:rFonts w:ascii="Palatino Linotype" w:hAnsi="Palatino Linotype"/>
          <w:i/>
          <w:spacing w:val="-6"/>
          <w:lang w:val="es-ES_tradnl"/>
        </w:rPr>
        <w:t xml:space="preserve"> </w:t>
      </w:r>
      <w:r w:rsidRPr="00DC2A65">
        <w:rPr>
          <w:rFonts w:ascii="Palatino Linotype" w:hAnsi="Palatino Linotype"/>
          <w:i/>
          <w:lang w:val="es-ES_tradnl"/>
        </w:rPr>
        <w:t>contra</w:t>
      </w:r>
      <w:r w:rsidRPr="00DC2A65">
        <w:rPr>
          <w:rFonts w:ascii="Palatino Linotype" w:hAnsi="Palatino Linotype"/>
          <w:i/>
          <w:spacing w:val="-3"/>
          <w:lang w:val="es-ES_tradnl"/>
        </w:rPr>
        <w:t xml:space="preserve"> </w:t>
      </w:r>
      <w:r w:rsidRPr="00DC2A65">
        <w:rPr>
          <w:rFonts w:ascii="Palatino Linotype" w:hAnsi="Palatino Linotype"/>
          <w:i/>
          <w:lang w:val="es-ES_tradnl"/>
        </w:rPr>
        <w:t xml:space="preserve">de las resoluciones que tengan por sentido confirmar o modificar la clasificación de la información, o en su caso, </w:t>
      </w:r>
      <w:r w:rsidRPr="00DC2A65">
        <w:rPr>
          <w:rFonts w:ascii="Palatino Linotype" w:hAnsi="Palatino Linotype"/>
          <w:b/>
          <w:i/>
          <w:lang w:val="es-ES_tradnl"/>
        </w:rPr>
        <w:t xml:space="preserve">confirmar la inexistencia </w:t>
      </w:r>
      <w:r w:rsidRPr="00DC2A65">
        <w:rPr>
          <w:rFonts w:ascii="Palatino Linotype" w:hAnsi="Palatino Linotype"/>
          <w:i/>
          <w:lang w:val="es-ES_tradnl"/>
        </w:rPr>
        <w:t xml:space="preserve">o </w:t>
      </w:r>
      <w:r w:rsidRPr="00DC2A65">
        <w:rPr>
          <w:rFonts w:ascii="Palatino Linotype" w:hAnsi="Palatino Linotype"/>
          <w:b/>
          <w:i/>
          <w:lang w:val="es-ES_tradnl"/>
        </w:rPr>
        <w:t>negativa de</w:t>
      </w:r>
      <w:r w:rsidRPr="00DC2A65">
        <w:rPr>
          <w:rFonts w:ascii="Palatino Linotype" w:hAnsi="Palatino Linotype"/>
          <w:b/>
          <w:i/>
          <w:spacing w:val="-31"/>
          <w:lang w:val="es-ES_tradnl"/>
        </w:rPr>
        <w:t xml:space="preserve"> </w:t>
      </w:r>
      <w:r w:rsidRPr="00DC2A65">
        <w:rPr>
          <w:rFonts w:ascii="Palatino Linotype" w:hAnsi="Palatino Linotype"/>
          <w:b/>
          <w:i/>
          <w:lang w:val="es-ES_tradnl"/>
        </w:rPr>
        <w:t>información</w:t>
      </w:r>
      <w:r w:rsidRPr="00DC2A65">
        <w:rPr>
          <w:rFonts w:ascii="Palatino Linotype" w:hAnsi="Palatino Linotype"/>
          <w:i/>
          <w:lang w:val="es-ES_tradnl"/>
        </w:rPr>
        <w:t>.</w:t>
      </w:r>
    </w:p>
    <w:p w:rsidR="00334AC9" w:rsidRPr="00DC2A65"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DC2A65" w:rsidRDefault="00334AC9" w:rsidP="00334AC9">
      <w:pPr>
        <w:spacing w:line="276" w:lineRule="auto"/>
        <w:ind w:left="720" w:right="108" w:hanging="720"/>
        <w:jc w:val="both"/>
        <w:rPr>
          <w:rFonts w:ascii="Palatino Linotype" w:hAnsi="Palatino Linotype"/>
          <w:i/>
          <w:lang w:val="es-ES_tradnl"/>
        </w:rPr>
      </w:pPr>
      <w:r w:rsidRPr="00DC2A65">
        <w:rPr>
          <w:rFonts w:ascii="Palatino Linotype" w:hAnsi="Palatino Linotype"/>
          <w:i/>
          <w:lang w:val="es-ES_tradnl"/>
        </w:rPr>
        <w:tab/>
        <w:t>Al respecto, es menester recordar que el Juzgado Octavo de Distrito en Materia Administrativa</w:t>
      </w:r>
      <w:r w:rsidRPr="00DC2A65">
        <w:rPr>
          <w:rFonts w:ascii="Palatino Linotype" w:hAnsi="Palatino Linotype"/>
          <w:i/>
          <w:spacing w:val="-17"/>
          <w:lang w:val="es-ES_tradnl"/>
        </w:rPr>
        <w:t xml:space="preserve"> </w:t>
      </w:r>
      <w:r w:rsidRPr="00DC2A65">
        <w:rPr>
          <w:rFonts w:ascii="Palatino Linotype" w:hAnsi="Palatino Linotype"/>
          <w:i/>
          <w:lang w:val="es-ES_tradnl"/>
        </w:rPr>
        <w:t>en</w:t>
      </w:r>
      <w:r w:rsidRPr="00DC2A65">
        <w:rPr>
          <w:rFonts w:ascii="Palatino Linotype" w:hAnsi="Palatino Linotype"/>
          <w:i/>
          <w:spacing w:val="-16"/>
          <w:lang w:val="es-ES_tradnl"/>
        </w:rPr>
        <w:t xml:space="preserve"> </w:t>
      </w:r>
      <w:r w:rsidRPr="00DC2A65">
        <w:rPr>
          <w:rFonts w:ascii="Palatino Linotype" w:hAnsi="Palatino Linotype"/>
          <w:i/>
          <w:lang w:val="es-ES_tradnl"/>
        </w:rPr>
        <w:t>la</w:t>
      </w:r>
      <w:r w:rsidRPr="00DC2A65">
        <w:rPr>
          <w:rFonts w:ascii="Palatino Linotype" w:hAnsi="Palatino Linotype"/>
          <w:i/>
          <w:spacing w:val="-16"/>
          <w:lang w:val="es-ES_tradnl"/>
        </w:rPr>
        <w:t xml:space="preserve"> </w:t>
      </w:r>
      <w:r w:rsidRPr="00DC2A65">
        <w:rPr>
          <w:rFonts w:ascii="Palatino Linotype" w:hAnsi="Palatino Linotype"/>
          <w:i/>
          <w:lang w:val="es-ES_tradnl"/>
        </w:rPr>
        <w:t>Ciudad</w:t>
      </w:r>
      <w:r w:rsidRPr="00DC2A65">
        <w:rPr>
          <w:rFonts w:ascii="Palatino Linotype" w:hAnsi="Palatino Linotype"/>
          <w:i/>
          <w:spacing w:val="-15"/>
          <w:lang w:val="es-ES_tradnl"/>
        </w:rPr>
        <w:t xml:space="preserve"> </w:t>
      </w:r>
      <w:r w:rsidRPr="00DC2A65">
        <w:rPr>
          <w:rFonts w:ascii="Palatino Linotype" w:hAnsi="Palatino Linotype"/>
          <w:i/>
          <w:lang w:val="es-ES_tradnl"/>
        </w:rPr>
        <w:t>de</w:t>
      </w:r>
      <w:r w:rsidRPr="00DC2A65">
        <w:rPr>
          <w:rFonts w:ascii="Palatino Linotype" w:hAnsi="Palatino Linotype"/>
          <w:i/>
          <w:spacing w:val="-11"/>
          <w:lang w:val="es-ES_tradnl"/>
        </w:rPr>
        <w:t xml:space="preserve"> </w:t>
      </w:r>
      <w:r w:rsidRPr="00DC2A65">
        <w:rPr>
          <w:rFonts w:ascii="Palatino Linotype" w:hAnsi="Palatino Linotype"/>
          <w:i/>
          <w:lang w:val="es-ES_tradnl"/>
        </w:rPr>
        <w:t>México,</w:t>
      </w:r>
      <w:r w:rsidRPr="00DC2A65">
        <w:rPr>
          <w:rFonts w:ascii="Palatino Linotype" w:hAnsi="Palatino Linotype"/>
          <w:i/>
          <w:spacing w:val="-12"/>
          <w:lang w:val="es-ES_tradnl"/>
        </w:rPr>
        <w:t xml:space="preserve"> </w:t>
      </w:r>
      <w:r w:rsidRPr="00DC2A65">
        <w:rPr>
          <w:rFonts w:ascii="Palatino Linotype" w:hAnsi="Palatino Linotype"/>
          <w:i/>
          <w:lang w:val="es-ES_tradnl"/>
        </w:rPr>
        <w:t>mediante</w:t>
      </w:r>
      <w:r w:rsidRPr="00DC2A65">
        <w:rPr>
          <w:rFonts w:ascii="Palatino Linotype" w:hAnsi="Palatino Linotype"/>
          <w:i/>
          <w:spacing w:val="-11"/>
          <w:lang w:val="es-ES_tradnl"/>
        </w:rPr>
        <w:t xml:space="preserve"> </w:t>
      </w:r>
      <w:r w:rsidRPr="00DC2A65">
        <w:rPr>
          <w:rFonts w:ascii="Palatino Linotype" w:hAnsi="Palatino Linotype"/>
          <w:i/>
          <w:lang w:val="es-ES_tradnl"/>
        </w:rPr>
        <w:t>acuerdo</w:t>
      </w:r>
      <w:r w:rsidRPr="00DC2A65">
        <w:rPr>
          <w:rFonts w:ascii="Palatino Linotype" w:hAnsi="Palatino Linotype"/>
          <w:i/>
          <w:spacing w:val="-15"/>
          <w:lang w:val="es-ES_tradnl"/>
        </w:rPr>
        <w:t xml:space="preserve"> </w:t>
      </w:r>
      <w:r w:rsidRPr="00DC2A65">
        <w:rPr>
          <w:rFonts w:ascii="Palatino Linotype" w:hAnsi="Palatino Linotype"/>
          <w:i/>
          <w:lang w:val="es-ES_tradnl"/>
        </w:rPr>
        <w:t>del</w:t>
      </w:r>
      <w:r w:rsidRPr="00DC2A65">
        <w:rPr>
          <w:rFonts w:ascii="Palatino Linotype" w:hAnsi="Palatino Linotype"/>
          <w:i/>
          <w:spacing w:val="-8"/>
          <w:lang w:val="es-ES_tradnl"/>
        </w:rPr>
        <w:t xml:space="preserve"> </w:t>
      </w:r>
      <w:r w:rsidRPr="00DC2A65">
        <w:rPr>
          <w:rFonts w:ascii="Palatino Linotype" w:hAnsi="Palatino Linotype"/>
          <w:i/>
          <w:lang w:val="es-ES_tradnl"/>
        </w:rPr>
        <w:t>04</w:t>
      </w:r>
      <w:r w:rsidRPr="00DC2A65">
        <w:rPr>
          <w:rFonts w:ascii="Palatino Linotype" w:hAnsi="Palatino Linotype"/>
          <w:i/>
          <w:spacing w:val="-11"/>
          <w:lang w:val="es-ES_tradnl"/>
        </w:rPr>
        <w:t xml:space="preserve"> </w:t>
      </w:r>
      <w:r w:rsidRPr="00DC2A65">
        <w:rPr>
          <w:rFonts w:ascii="Palatino Linotype" w:hAnsi="Palatino Linotype"/>
          <w:i/>
          <w:lang w:val="es-ES_tradnl"/>
        </w:rPr>
        <w:t>de</w:t>
      </w:r>
      <w:r w:rsidRPr="00DC2A65">
        <w:rPr>
          <w:rFonts w:ascii="Palatino Linotype" w:hAnsi="Palatino Linotype"/>
          <w:i/>
          <w:spacing w:val="-16"/>
          <w:lang w:val="es-ES_tradnl"/>
        </w:rPr>
        <w:t xml:space="preserve"> </w:t>
      </w:r>
      <w:r w:rsidRPr="00DC2A65">
        <w:rPr>
          <w:rFonts w:ascii="Palatino Linotype" w:hAnsi="Palatino Linotype"/>
          <w:i/>
          <w:lang w:val="es-ES_tradnl"/>
        </w:rPr>
        <w:t>agosto</w:t>
      </w:r>
      <w:r w:rsidRPr="00DC2A65">
        <w:rPr>
          <w:rFonts w:ascii="Palatino Linotype" w:hAnsi="Palatino Linotype"/>
          <w:i/>
          <w:spacing w:val="-11"/>
          <w:lang w:val="es-ES_tradnl"/>
        </w:rPr>
        <w:t xml:space="preserve"> </w:t>
      </w:r>
      <w:r w:rsidRPr="00DC2A65">
        <w:rPr>
          <w:rFonts w:ascii="Palatino Linotype" w:hAnsi="Palatino Linotype"/>
          <w:i/>
          <w:lang w:val="es-ES_tradnl"/>
        </w:rPr>
        <w:t>de</w:t>
      </w:r>
      <w:r w:rsidRPr="00DC2A65">
        <w:rPr>
          <w:rFonts w:ascii="Palatino Linotype" w:hAnsi="Palatino Linotype"/>
          <w:i/>
          <w:spacing w:val="-16"/>
          <w:lang w:val="es-ES_tradnl"/>
        </w:rPr>
        <w:t xml:space="preserve"> </w:t>
      </w:r>
      <w:r w:rsidRPr="00DC2A65">
        <w:rPr>
          <w:rFonts w:ascii="Palatino Linotype" w:hAnsi="Palatino Linotype"/>
          <w:i/>
          <w:lang w:val="es-ES_tradnl"/>
        </w:rPr>
        <w:t xml:space="preserve">2017, notificado el 08 del mismo </w:t>
      </w:r>
      <w:r w:rsidRPr="00DC2A65">
        <w:rPr>
          <w:rFonts w:ascii="Palatino Linotype" w:hAnsi="Palatino Linotype"/>
          <w:i/>
          <w:spacing w:val="-3"/>
          <w:lang w:val="es-ES_tradnl"/>
        </w:rPr>
        <w:t xml:space="preserve">mes </w:t>
      </w:r>
      <w:r w:rsidRPr="00DC2A65">
        <w:rPr>
          <w:rFonts w:ascii="Palatino Linotype" w:hAnsi="Palatino Linotype"/>
          <w:i/>
          <w:lang w:val="es-ES_tradnl"/>
        </w:rPr>
        <w:t>y año, requirió al Pleno de este Instituto para que dejará sin efectos la resolución del expediente RIA 0020/16 y, de ser el caso, se admitiera</w:t>
      </w:r>
      <w:r w:rsidRPr="00DC2A65">
        <w:rPr>
          <w:rFonts w:ascii="Palatino Linotype" w:hAnsi="Palatino Linotype"/>
          <w:i/>
          <w:spacing w:val="-16"/>
          <w:lang w:val="es-ES_tradnl"/>
        </w:rPr>
        <w:t xml:space="preserve"> </w:t>
      </w:r>
      <w:r w:rsidRPr="00DC2A65">
        <w:rPr>
          <w:rFonts w:ascii="Palatino Linotype" w:hAnsi="Palatino Linotype"/>
          <w:i/>
          <w:lang w:val="es-ES_tradnl"/>
        </w:rPr>
        <w:t>a</w:t>
      </w:r>
      <w:r w:rsidRPr="00DC2A65">
        <w:rPr>
          <w:rFonts w:ascii="Palatino Linotype" w:hAnsi="Palatino Linotype"/>
          <w:i/>
          <w:spacing w:val="-16"/>
          <w:lang w:val="es-ES_tradnl"/>
        </w:rPr>
        <w:t xml:space="preserve"> </w:t>
      </w:r>
      <w:r w:rsidRPr="00DC2A65">
        <w:rPr>
          <w:rFonts w:ascii="Palatino Linotype" w:hAnsi="Palatino Linotype"/>
          <w:i/>
          <w:lang w:val="es-ES_tradnl"/>
        </w:rPr>
        <w:t>trámite</w:t>
      </w:r>
      <w:r w:rsidRPr="00DC2A65">
        <w:rPr>
          <w:rFonts w:ascii="Palatino Linotype" w:hAnsi="Palatino Linotype"/>
          <w:i/>
          <w:spacing w:val="-16"/>
          <w:lang w:val="es-ES_tradnl"/>
        </w:rPr>
        <w:t xml:space="preserve"> </w:t>
      </w:r>
      <w:r w:rsidRPr="00DC2A65">
        <w:rPr>
          <w:rFonts w:ascii="Palatino Linotype" w:hAnsi="Palatino Linotype"/>
          <w:i/>
          <w:lang w:val="es-ES_tradnl"/>
        </w:rPr>
        <w:t>el</w:t>
      </w:r>
      <w:r w:rsidRPr="00DC2A65">
        <w:rPr>
          <w:rFonts w:ascii="Palatino Linotype" w:hAnsi="Palatino Linotype"/>
          <w:i/>
          <w:spacing w:val="-8"/>
          <w:lang w:val="es-ES_tradnl"/>
        </w:rPr>
        <w:t xml:space="preserve"> </w:t>
      </w:r>
      <w:r w:rsidRPr="00DC2A65">
        <w:rPr>
          <w:rFonts w:ascii="Palatino Linotype" w:hAnsi="Palatino Linotype"/>
          <w:i/>
          <w:lang w:val="es-ES_tradnl"/>
        </w:rPr>
        <w:t>recurso</w:t>
      </w:r>
      <w:r w:rsidRPr="00DC2A65">
        <w:rPr>
          <w:rFonts w:ascii="Palatino Linotype" w:hAnsi="Palatino Linotype"/>
          <w:i/>
          <w:spacing w:val="-15"/>
          <w:lang w:val="es-ES_tradnl"/>
        </w:rPr>
        <w:t xml:space="preserve"> </w:t>
      </w:r>
      <w:r w:rsidRPr="00DC2A65">
        <w:rPr>
          <w:rFonts w:ascii="Palatino Linotype" w:hAnsi="Palatino Linotype"/>
          <w:i/>
          <w:lang w:val="es-ES_tradnl"/>
        </w:rPr>
        <w:t>de</w:t>
      </w:r>
      <w:r w:rsidRPr="00DC2A65">
        <w:rPr>
          <w:rFonts w:ascii="Palatino Linotype" w:hAnsi="Palatino Linotype"/>
          <w:i/>
          <w:spacing w:val="-21"/>
          <w:lang w:val="es-ES_tradnl"/>
        </w:rPr>
        <w:t xml:space="preserve"> </w:t>
      </w:r>
      <w:r w:rsidRPr="00DC2A65">
        <w:rPr>
          <w:rFonts w:ascii="Palatino Linotype" w:hAnsi="Palatino Linotype"/>
          <w:i/>
          <w:lang w:val="es-ES_tradnl"/>
        </w:rPr>
        <w:t>inconformidad.</w:t>
      </w:r>
      <w:r w:rsidRPr="00DC2A65">
        <w:rPr>
          <w:rFonts w:ascii="Palatino Linotype" w:hAnsi="Palatino Linotype"/>
          <w:i/>
          <w:spacing w:val="-12"/>
          <w:lang w:val="es-ES_tradnl"/>
        </w:rPr>
        <w:t xml:space="preserve"> </w:t>
      </w:r>
      <w:r w:rsidRPr="00DC2A65">
        <w:rPr>
          <w:rFonts w:ascii="Palatino Linotype" w:hAnsi="Palatino Linotype"/>
          <w:i/>
          <w:lang w:val="es-ES_tradnl"/>
        </w:rPr>
        <w:t>Ello</w:t>
      </w:r>
      <w:r w:rsidRPr="00DC2A65">
        <w:rPr>
          <w:rFonts w:ascii="Palatino Linotype" w:hAnsi="Palatino Linotype"/>
          <w:i/>
          <w:spacing w:val="-11"/>
          <w:lang w:val="es-ES_tradnl"/>
        </w:rPr>
        <w:t xml:space="preserve"> </w:t>
      </w:r>
      <w:r w:rsidRPr="00DC2A65">
        <w:rPr>
          <w:rFonts w:ascii="Palatino Linotype" w:hAnsi="Palatino Linotype"/>
          <w:i/>
          <w:lang w:val="es-ES_tradnl"/>
        </w:rPr>
        <w:t>con</w:t>
      </w:r>
      <w:r w:rsidRPr="00DC2A65">
        <w:rPr>
          <w:rFonts w:ascii="Palatino Linotype" w:hAnsi="Palatino Linotype"/>
          <w:i/>
          <w:spacing w:val="-16"/>
          <w:lang w:val="es-ES_tradnl"/>
        </w:rPr>
        <w:t xml:space="preserve"> </w:t>
      </w:r>
      <w:r w:rsidRPr="00DC2A65">
        <w:rPr>
          <w:rFonts w:ascii="Palatino Linotype" w:hAnsi="Palatino Linotype"/>
          <w:i/>
          <w:lang w:val="es-ES_tradnl"/>
        </w:rPr>
        <w:t>motivo</w:t>
      </w:r>
      <w:r w:rsidRPr="00DC2A65">
        <w:rPr>
          <w:rFonts w:ascii="Palatino Linotype" w:hAnsi="Palatino Linotype"/>
          <w:i/>
          <w:spacing w:val="-17"/>
          <w:lang w:val="es-ES_tradnl"/>
        </w:rPr>
        <w:t xml:space="preserve"> </w:t>
      </w:r>
      <w:r w:rsidRPr="00DC2A65">
        <w:rPr>
          <w:rFonts w:ascii="Palatino Linotype" w:hAnsi="Palatino Linotype"/>
          <w:i/>
          <w:lang w:val="es-ES_tradnl"/>
        </w:rPr>
        <w:t>del</w:t>
      </w:r>
      <w:r w:rsidRPr="00DC2A65">
        <w:rPr>
          <w:rFonts w:ascii="Palatino Linotype" w:hAnsi="Palatino Linotype"/>
          <w:i/>
          <w:spacing w:val="-8"/>
          <w:lang w:val="es-ES_tradnl"/>
        </w:rPr>
        <w:t xml:space="preserve"> </w:t>
      </w:r>
      <w:r w:rsidRPr="00DC2A65">
        <w:rPr>
          <w:rFonts w:ascii="Palatino Linotype" w:hAnsi="Palatino Linotype"/>
          <w:i/>
          <w:lang w:val="es-ES_tradnl"/>
        </w:rPr>
        <w:t>juicio</w:t>
      </w:r>
      <w:r w:rsidRPr="00DC2A65">
        <w:rPr>
          <w:rFonts w:ascii="Palatino Linotype" w:hAnsi="Palatino Linotype"/>
          <w:i/>
          <w:spacing w:val="-16"/>
          <w:lang w:val="es-ES_tradnl"/>
        </w:rPr>
        <w:t xml:space="preserve"> </w:t>
      </w:r>
      <w:r w:rsidRPr="00DC2A65">
        <w:rPr>
          <w:rFonts w:ascii="Palatino Linotype" w:hAnsi="Palatino Linotype"/>
          <w:i/>
          <w:lang w:val="es-ES_tradnl"/>
        </w:rPr>
        <w:t>de</w:t>
      </w:r>
      <w:r w:rsidRPr="00DC2A65">
        <w:rPr>
          <w:rFonts w:ascii="Palatino Linotype" w:hAnsi="Palatino Linotype"/>
          <w:i/>
          <w:spacing w:val="-15"/>
          <w:lang w:val="es-ES_tradnl"/>
        </w:rPr>
        <w:t xml:space="preserve"> </w:t>
      </w:r>
      <w:r w:rsidRPr="00DC2A65">
        <w:rPr>
          <w:rFonts w:ascii="Palatino Linotype" w:hAnsi="Palatino Linotype"/>
          <w:i/>
          <w:lang w:val="es-ES_tradnl"/>
        </w:rPr>
        <w:t>amparo 1703/2016</w:t>
      </w:r>
      <w:r w:rsidRPr="00DC2A65">
        <w:rPr>
          <w:rFonts w:ascii="Palatino Linotype" w:hAnsi="Palatino Linotype"/>
          <w:i/>
          <w:position w:val="8"/>
          <w:lang w:val="es-ES_tradnl"/>
        </w:rPr>
        <w:t>1</w:t>
      </w:r>
      <w:r w:rsidRPr="00DC2A65">
        <w:rPr>
          <w:rFonts w:ascii="Palatino Linotype" w:hAnsi="Palatino Linotype"/>
          <w:i/>
          <w:lang w:val="es-ES_tradnl"/>
        </w:rPr>
        <w:t>,</w:t>
      </w:r>
      <w:r w:rsidRPr="00DC2A65">
        <w:rPr>
          <w:rFonts w:ascii="Palatino Linotype" w:hAnsi="Palatino Linotype"/>
          <w:i/>
          <w:spacing w:val="-8"/>
          <w:lang w:val="es-ES_tradnl"/>
        </w:rPr>
        <w:t xml:space="preserve"> </w:t>
      </w:r>
      <w:r w:rsidRPr="00DC2A65">
        <w:rPr>
          <w:rFonts w:ascii="Palatino Linotype" w:hAnsi="Palatino Linotype"/>
          <w:i/>
          <w:lang w:val="es-ES_tradnl"/>
        </w:rPr>
        <w:t>promovido</w:t>
      </w:r>
      <w:r w:rsidRPr="00DC2A65">
        <w:rPr>
          <w:rFonts w:ascii="Palatino Linotype" w:hAnsi="Palatino Linotype"/>
          <w:i/>
          <w:spacing w:val="-7"/>
          <w:lang w:val="es-ES_tradnl"/>
        </w:rPr>
        <w:t xml:space="preserve"> </w:t>
      </w:r>
      <w:r w:rsidRPr="00DC2A65">
        <w:rPr>
          <w:rFonts w:ascii="Palatino Linotype" w:hAnsi="Palatino Linotype"/>
          <w:i/>
          <w:lang w:val="es-ES_tradnl"/>
        </w:rPr>
        <w:t>por</w:t>
      </w:r>
      <w:r w:rsidRPr="00DC2A65">
        <w:rPr>
          <w:rFonts w:ascii="Palatino Linotype" w:hAnsi="Palatino Linotype"/>
          <w:i/>
          <w:spacing w:val="-11"/>
          <w:lang w:val="es-ES_tradnl"/>
        </w:rPr>
        <w:t xml:space="preserve"> </w:t>
      </w:r>
      <w:r w:rsidRPr="00DC2A65">
        <w:rPr>
          <w:rFonts w:ascii="Palatino Linotype" w:hAnsi="Palatino Linotype"/>
          <w:i/>
          <w:lang w:val="es-ES_tradnl"/>
        </w:rPr>
        <w:t>el</w:t>
      </w:r>
      <w:r w:rsidRPr="00DC2A65">
        <w:rPr>
          <w:rFonts w:ascii="Palatino Linotype" w:hAnsi="Palatino Linotype"/>
          <w:i/>
          <w:spacing w:val="-8"/>
          <w:lang w:val="es-ES_tradnl"/>
        </w:rPr>
        <w:t xml:space="preserve"> </w:t>
      </w:r>
      <w:r w:rsidRPr="00DC2A65">
        <w:rPr>
          <w:rFonts w:ascii="Palatino Linotype" w:hAnsi="Palatino Linotype"/>
          <w:i/>
          <w:lang w:val="es-ES_tradnl"/>
        </w:rPr>
        <w:t>solicitante.</w:t>
      </w:r>
      <w:r w:rsidRPr="00DC2A65">
        <w:rPr>
          <w:rFonts w:ascii="Palatino Linotype" w:hAnsi="Palatino Linotype"/>
          <w:i/>
          <w:spacing w:val="-7"/>
          <w:lang w:val="es-ES_tradnl"/>
        </w:rPr>
        <w:t xml:space="preserve"> </w:t>
      </w:r>
      <w:r w:rsidRPr="00DC2A65">
        <w:rPr>
          <w:rFonts w:ascii="Palatino Linotype" w:hAnsi="Palatino Linotype"/>
          <w:i/>
          <w:lang w:val="es-ES_tradnl"/>
        </w:rPr>
        <w:t>De</w:t>
      </w:r>
      <w:r w:rsidRPr="00DC2A65">
        <w:rPr>
          <w:rFonts w:ascii="Palatino Linotype" w:hAnsi="Palatino Linotype"/>
          <w:i/>
          <w:spacing w:val="-11"/>
          <w:lang w:val="es-ES_tradnl"/>
        </w:rPr>
        <w:t xml:space="preserve"> </w:t>
      </w:r>
      <w:r w:rsidRPr="00DC2A65">
        <w:rPr>
          <w:rFonts w:ascii="Palatino Linotype" w:hAnsi="Palatino Linotype"/>
          <w:i/>
          <w:lang w:val="es-ES_tradnl"/>
        </w:rPr>
        <w:t>tal</w:t>
      </w:r>
      <w:r w:rsidRPr="00DC2A65">
        <w:rPr>
          <w:rFonts w:ascii="Palatino Linotype" w:hAnsi="Palatino Linotype"/>
          <w:i/>
          <w:spacing w:val="-9"/>
          <w:lang w:val="es-ES_tradnl"/>
        </w:rPr>
        <w:t xml:space="preserve"> </w:t>
      </w:r>
      <w:r w:rsidRPr="00DC2A65">
        <w:rPr>
          <w:rFonts w:ascii="Palatino Linotype" w:hAnsi="Palatino Linotype"/>
          <w:i/>
          <w:lang w:val="es-ES_tradnl"/>
        </w:rPr>
        <w:t>forma,</w:t>
      </w:r>
      <w:r w:rsidRPr="00DC2A65">
        <w:rPr>
          <w:rFonts w:ascii="Palatino Linotype" w:hAnsi="Palatino Linotype"/>
          <w:i/>
          <w:spacing w:val="-7"/>
          <w:lang w:val="es-ES_tradnl"/>
        </w:rPr>
        <w:t xml:space="preserve"> </w:t>
      </w:r>
      <w:r w:rsidRPr="00DC2A65">
        <w:rPr>
          <w:rFonts w:ascii="Palatino Linotype" w:hAnsi="Palatino Linotype"/>
          <w:i/>
          <w:lang w:val="es-ES_tradnl"/>
        </w:rPr>
        <w:t>entre</w:t>
      </w:r>
      <w:r w:rsidRPr="00DC2A65">
        <w:rPr>
          <w:rFonts w:ascii="Palatino Linotype" w:hAnsi="Palatino Linotype"/>
          <w:i/>
          <w:spacing w:val="-15"/>
          <w:lang w:val="es-ES_tradnl"/>
        </w:rPr>
        <w:t xml:space="preserve"> </w:t>
      </w:r>
      <w:r w:rsidRPr="00DC2A65">
        <w:rPr>
          <w:rFonts w:ascii="Palatino Linotype" w:hAnsi="Palatino Linotype"/>
          <w:i/>
          <w:lang w:val="es-ES_tradnl"/>
        </w:rPr>
        <w:t>las</w:t>
      </w:r>
      <w:r w:rsidRPr="00DC2A65">
        <w:rPr>
          <w:rFonts w:ascii="Palatino Linotype" w:hAnsi="Palatino Linotype"/>
          <w:i/>
          <w:spacing w:val="-8"/>
          <w:lang w:val="es-ES_tradnl"/>
        </w:rPr>
        <w:t xml:space="preserve"> </w:t>
      </w:r>
      <w:r w:rsidRPr="00DC2A65">
        <w:rPr>
          <w:rFonts w:ascii="Palatino Linotype" w:hAnsi="Palatino Linotype"/>
          <w:i/>
          <w:lang w:val="es-ES_tradnl"/>
        </w:rPr>
        <w:t>consideraciones</w:t>
      </w:r>
      <w:r w:rsidRPr="00DC2A65">
        <w:rPr>
          <w:rFonts w:ascii="Palatino Linotype" w:hAnsi="Palatino Linotype"/>
          <w:i/>
          <w:spacing w:val="-13"/>
          <w:lang w:val="es-ES_tradnl"/>
        </w:rPr>
        <w:t xml:space="preserve"> </w:t>
      </w:r>
      <w:r w:rsidRPr="00DC2A65">
        <w:rPr>
          <w:rFonts w:ascii="Palatino Linotype" w:hAnsi="Palatino Linotype"/>
          <w:i/>
          <w:lang w:val="es-ES_tradnl"/>
        </w:rPr>
        <w:t>de la ejecutoria de amparo, son de destacar las</w:t>
      </w:r>
      <w:r w:rsidRPr="00DC2A65">
        <w:rPr>
          <w:rFonts w:ascii="Palatino Linotype" w:hAnsi="Palatino Linotype"/>
          <w:i/>
          <w:spacing w:val="-3"/>
          <w:lang w:val="es-ES_tradnl"/>
        </w:rPr>
        <w:t xml:space="preserve"> </w:t>
      </w:r>
      <w:r w:rsidRPr="00DC2A65">
        <w:rPr>
          <w:rFonts w:ascii="Palatino Linotype" w:hAnsi="Palatino Linotype"/>
          <w:i/>
          <w:lang w:val="es-ES_tradnl"/>
        </w:rPr>
        <w:t>siguientes:</w:t>
      </w:r>
    </w:p>
    <w:p w:rsidR="00334AC9" w:rsidRPr="00DC2A65"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DC2A65"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DC2A65">
        <w:rPr>
          <w:rFonts w:ascii="Palatino Linotype" w:hAnsi="Palatino Linotype"/>
          <w:b/>
          <w:i/>
          <w:lang w:val="es-ES_tradnl"/>
        </w:rPr>
        <w:t>El recurso de inconformidad es idóneo para reclamar toda clase de negativas</w:t>
      </w:r>
      <w:r w:rsidRPr="00DC2A65">
        <w:rPr>
          <w:rFonts w:ascii="Palatino Linotype" w:hAnsi="Palatino Linotype"/>
          <w:b/>
          <w:i/>
          <w:spacing w:val="-8"/>
          <w:lang w:val="es-ES_tradnl"/>
        </w:rPr>
        <w:t xml:space="preserve"> </w:t>
      </w:r>
      <w:r w:rsidRPr="00DC2A65">
        <w:rPr>
          <w:rFonts w:ascii="Palatino Linotype" w:hAnsi="Palatino Linotype"/>
          <w:b/>
          <w:i/>
          <w:lang w:val="es-ES_tradnl"/>
        </w:rPr>
        <w:t>de</w:t>
      </w:r>
      <w:r w:rsidRPr="00DC2A65">
        <w:rPr>
          <w:rFonts w:ascii="Palatino Linotype" w:hAnsi="Palatino Linotype"/>
          <w:b/>
          <w:i/>
          <w:spacing w:val="-8"/>
          <w:lang w:val="es-ES_tradnl"/>
        </w:rPr>
        <w:t xml:space="preserve"> </w:t>
      </w:r>
      <w:r w:rsidRPr="00DC2A65">
        <w:rPr>
          <w:rFonts w:ascii="Palatino Linotype" w:hAnsi="Palatino Linotype"/>
          <w:b/>
          <w:i/>
          <w:lang w:val="es-ES_tradnl"/>
        </w:rPr>
        <w:t>acceso</w:t>
      </w:r>
      <w:r w:rsidRPr="00DC2A65">
        <w:rPr>
          <w:rFonts w:ascii="Palatino Linotype" w:hAnsi="Palatino Linotype"/>
          <w:b/>
          <w:i/>
          <w:spacing w:val="-7"/>
          <w:lang w:val="es-ES_tradnl"/>
        </w:rPr>
        <w:t xml:space="preserve"> </w:t>
      </w:r>
      <w:r w:rsidRPr="00DC2A65">
        <w:rPr>
          <w:rFonts w:ascii="Palatino Linotype" w:hAnsi="Palatino Linotype"/>
          <w:b/>
          <w:i/>
          <w:lang w:val="es-ES_tradnl"/>
        </w:rPr>
        <w:t>a</w:t>
      </w:r>
      <w:r w:rsidRPr="00DC2A65">
        <w:rPr>
          <w:rFonts w:ascii="Palatino Linotype" w:hAnsi="Palatino Linotype"/>
          <w:b/>
          <w:i/>
          <w:spacing w:val="-12"/>
          <w:lang w:val="es-ES_tradnl"/>
        </w:rPr>
        <w:t xml:space="preserve"> </w:t>
      </w:r>
      <w:r w:rsidRPr="00DC2A65">
        <w:rPr>
          <w:rFonts w:ascii="Palatino Linotype" w:hAnsi="Palatino Linotype"/>
          <w:b/>
          <w:i/>
          <w:lang w:val="es-ES_tradnl"/>
        </w:rPr>
        <w:t>la</w:t>
      </w:r>
      <w:r w:rsidRPr="00DC2A65">
        <w:rPr>
          <w:rFonts w:ascii="Palatino Linotype" w:hAnsi="Palatino Linotype"/>
          <w:b/>
          <w:i/>
          <w:spacing w:val="-12"/>
          <w:lang w:val="es-ES_tradnl"/>
        </w:rPr>
        <w:t xml:space="preserve"> </w:t>
      </w:r>
      <w:r w:rsidRPr="00DC2A65">
        <w:rPr>
          <w:rFonts w:ascii="Palatino Linotype" w:hAnsi="Palatino Linotype"/>
          <w:b/>
          <w:i/>
          <w:lang w:val="es-ES_tradnl"/>
        </w:rPr>
        <w:t>información</w:t>
      </w:r>
      <w:r w:rsidRPr="00DC2A65">
        <w:rPr>
          <w:rFonts w:ascii="Palatino Linotype" w:hAnsi="Palatino Linotype"/>
          <w:b/>
          <w:i/>
          <w:spacing w:val="-15"/>
          <w:lang w:val="es-ES_tradnl"/>
        </w:rPr>
        <w:t xml:space="preserve"> </w:t>
      </w:r>
      <w:r w:rsidRPr="00DC2A65">
        <w:rPr>
          <w:rFonts w:ascii="Palatino Linotype" w:hAnsi="Palatino Linotype"/>
          <w:b/>
          <w:i/>
          <w:lang w:val="es-ES_tradnl"/>
        </w:rPr>
        <w:t>que</w:t>
      </w:r>
      <w:r w:rsidRPr="00DC2A65">
        <w:rPr>
          <w:rFonts w:ascii="Palatino Linotype" w:hAnsi="Palatino Linotype"/>
          <w:b/>
          <w:i/>
          <w:spacing w:val="-8"/>
          <w:lang w:val="es-ES_tradnl"/>
        </w:rPr>
        <w:t xml:space="preserve"> </w:t>
      </w:r>
      <w:r w:rsidRPr="00DC2A65">
        <w:rPr>
          <w:rFonts w:ascii="Palatino Linotype" w:hAnsi="Palatino Linotype"/>
          <w:b/>
          <w:i/>
          <w:lang w:val="es-ES_tradnl"/>
        </w:rPr>
        <w:t>se</w:t>
      </w:r>
      <w:r w:rsidRPr="00DC2A65">
        <w:rPr>
          <w:rFonts w:ascii="Palatino Linotype" w:hAnsi="Palatino Linotype"/>
          <w:b/>
          <w:i/>
          <w:spacing w:val="-7"/>
          <w:lang w:val="es-ES_tradnl"/>
        </w:rPr>
        <w:t xml:space="preserve"> </w:t>
      </w:r>
      <w:r w:rsidRPr="00DC2A65">
        <w:rPr>
          <w:rFonts w:ascii="Palatino Linotype" w:hAnsi="Palatino Linotype"/>
          <w:b/>
          <w:i/>
          <w:lang w:val="es-ES_tradnl"/>
        </w:rPr>
        <w:t>imputen</w:t>
      </w:r>
      <w:r w:rsidRPr="00DC2A65">
        <w:rPr>
          <w:rFonts w:ascii="Palatino Linotype" w:hAnsi="Palatino Linotype"/>
          <w:b/>
          <w:i/>
          <w:spacing w:val="-11"/>
          <w:lang w:val="es-ES_tradnl"/>
        </w:rPr>
        <w:t xml:space="preserve"> </w:t>
      </w:r>
      <w:r w:rsidRPr="00DC2A65">
        <w:rPr>
          <w:rFonts w:ascii="Palatino Linotype" w:hAnsi="Palatino Linotype"/>
          <w:b/>
          <w:i/>
          <w:lang w:val="es-ES_tradnl"/>
        </w:rPr>
        <w:t>a</w:t>
      </w:r>
      <w:r w:rsidRPr="00DC2A65">
        <w:rPr>
          <w:rFonts w:ascii="Palatino Linotype" w:hAnsi="Palatino Linotype"/>
          <w:b/>
          <w:i/>
          <w:spacing w:val="-12"/>
          <w:lang w:val="es-ES_tradnl"/>
        </w:rPr>
        <w:t xml:space="preserve"> </w:t>
      </w:r>
      <w:r w:rsidRPr="00DC2A65">
        <w:rPr>
          <w:rFonts w:ascii="Palatino Linotype" w:hAnsi="Palatino Linotype"/>
          <w:b/>
          <w:i/>
          <w:lang w:val="es-ES_tradnl"/>
        </w:rPr>
        <w:t>órganos</w:t>
      </w:r>
      <w:r w:rsidRPr="00DC2A65">
        <w:rPr>
          <w:rFonts w:ascii="Palatino Linotype" w:hAnsi="Palatino Linotype"/>
          <w:b/>
          <w:i/>
          <w:spacing w:val="-13"/>
          <w:lang w:val="es-ES_tradnl"/>
        </w:rPr>
        <w:t xml:space="preserve"> </w:t>
      </w:r>
      <w:r w:rsidRPr="00DC2A65">
        <w:rPr>
          <w:rFonts w:ascii="Palatino Linotype" w:hAnsi="Palatino Linotype"/>
          <w:b/>
          <w:i/>
          <w:lang w:val="es-ES_tradnl"/>
        </w:rPr>
        <w:t xml:space="preserve">garantes locales. </w:t>
      </w:r>
      <w:r w:rsidRPr="00DC2A65">
        <w:rPr>
          <w:rFonts w:ascii="Palatino Linotype" w:hAnsi="Palatino Linotype"/>
          <w:i/>
          <w:lang w:val="es-ES_tradnl"/>
        </w:rPr>
        <w:t>(página 15 de la</w:t>
      </w:r>
      <w:r w:rsidRPr="00DC2A65">
        <w:rPr>
          <w:rFonts w:ascii="Palatino Linotype" w:hAnsi="Palatino Linotype"/>
          <w:i/>
          <w:spacing w:val="-7"/>
          <w:lang w:val="es-ES_tradnl"/>
        </w:rPr>
        <w:t xml:space="preserve"> </w:t>
      </w:r>
      <w:r w:rsidRPr="00DC2A65">
        <w:rPr>
          <w:rFonts w:ascii="Palatino Linotype" w:hAnsi="Palatino Linotype"/>
          <w:i/>
          <w:lang w:val="es-ES_tradnl"/>
        </w:rPr>
        <w:t>sentencia).</w:t>
      </w:r>
    </w:p>
    <w:p w:rsidR="00334AC9" w:rsidRPr="00DC2A65"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DC2A65"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DC2A65">
        <w:rPr>
          <w:rFonts w:ascii="Palatino Linotype" w:hAnsi="Palatino Linotype"/>
          <w:i/>
          <w:lang w:val="es-ES_tradnl"/>
        </w:rPr>
        <w:t>“</w:t>
      </w:r>
      <w:r w:rsidRPr="00DC2A65">
        <w:rPr>
          <w:rFonts w:ascii="Palatino Linotype" w:hAnsi="Palatino Linotype"/>
          <w:b/>
          <w:i/>
          <w:lang w:val="es-ES_tradnl"/>
        </w:rPr>
        <w:t xml:space="preserve">Interpretación que además se traduce en la más favorable a la protección de los derechos fundamentales del particular y resulta conforme a </w:t>
      </w:r>
      <w:r w:rsidRPr="00DC2A65">
        <w:rPr>
          <w:rFonts w:ascii="Palatino Linotype" w:hAnsi="Palatino Linotype"/>
          <w:b/>
          <w:i/>
          <w:spacing w:val="-3"/>
          <w:lang w:val="es-ES_tradnl"/>
        </w:rPr>
        <w:t xml:space="preserve">lo </w:t>
      </w:r>
      <w:r w:rsidRPr="00DC2A65">
        <w:rPr>
          <w:rFonts w:ascii="Palatino Linotype" w:hAnsi="Palatino Linotype"/>
          <w:b/>
          <w:i/>
          <w:lang w:val="es-ES_tradnl"/>
        </w:rPr>
        <w:t>previsto tanto en el artículo 6 de la Constitución Federal</w:t>
      </w:r>
      <w:r w:rsidRPr="00DC2A65">
        <w:rPr>
          <w:rFonts w:ascii="Palatino Linotype" w:hAnsi="Palatino Linotype"/>
          <w:i/>
          <w:lang w:val="es-ES_tradnl"/>
        </w:rPr>
        <w:t xml:space="preserve">, como en el 25 </w:t>
      </w:r>
      <w:r w:rsidRPr="00DC2A65">
        <w:rPr>
          <w:rFonts w:ascii="Palatino Linotype" w:hAnsi="Palatino Linotype"/>
          <w:i/>
          <w:lang w:val="es-ES_tradnl"/>
        </w:rPr>
        <w:lastRenderedPageBreak/>
        <w:t>de la Convención Americana sobre Derechos Humanos. Pues de arribar a una distinta (como lo hizo el INAI), no sólo se desnaturalizaría la finalidad</w:t>
      </w:r>
      <w:r w:rsidRPr="00DC2A65">
        <w:rPr>
          <w:rFonts w:ascii="Palatino Linotype" w:hAnsi="Palatino Linotype"/>
          <w:i/>
          <w:spacing w:val="-17"/>
          <w:lang w:val="es-ES_tradnl"/>
        </w:rPr>
        <w:t xml:space="preserve"> </w:t>
      </w:r>
      <w:r w:rsidRPr="00DC2A65">
        <w:rPr>
          <w:rFonts w:ascii="Palatino Linotype" w:hAnsi="Palatino Linotype"/>
          <w:i/>
          <w:lang w:val="es-ES_tradnl"/>
        </w:rPr>
        <w:t>constitucional</w:t>
      </w:r>
      <w:r w:rsidRPr="00DC2A65">
        <w:rPr>
          <w:rFonts w:ascii="Palatino Linotype" w:hAnsi="Palatino Linotype"/>
          <w:i/>
          <w:spacing w:val="-12"/>
          <w:lang w:val="es-ES_tradnl"/>
        </w:rPr>
        <w:t xml:space="preserve"> </w:t>
      </w:r>
      <w:r w:rsidRPr="00DC2A65">
        <w:rPr>
          <w:rFonts w:ascii="Palatino Linotype" w:hAnsi="Palatino Linotype"/>
          <w:i/>
          <w:lang w:val="es-ES_tradnl"/>
        </w:rPr>
        <w:t>por</w:t>
      </w:r>
      <w:r w:rsidRPr="00DC2A65">
        <w:rPr>
          <w:rFonts w:ascii="Palatino Linotype" w:hAnsi="Palatino Linotype"/>
          <w:i/>
          <w:spacing w:val="-15"/>
          <w:lang w:val="es-ES_tradnl"/>
        </w:rPr>
        <w:t xml:space="preserve"> </w:t>
      </w:r>
      <w:r w:rsidRPr="00DC2A65">
        <w:rPr>
          <w:rFonts w:ascii="Palatino Linotype" w:hAnsi="Palatino Linotype"/>
          <w:i/>
          <w:lang w:val="es-ES_tradnl"/>
        </w:rPr>
        <w:t>la</w:t>
      </w:r>
      <w:r w:rsidRPr="00DC2A65">
        <w:rPr>
          <w:rFonts w:ascii="Palatino Linotype" w:hAnsi="Palatino Linotype"/>
          <w:i/>
          <w:spacing w:val="-16"/>
          <w:lang w:val="es-ES_tradnl"/>
        </w:rPr>
        <w:t xml:space="preserve"> </w:t>
      </w:r>
      <w:r w:rsidRPr="00DC2A65">
        <w:rPr>
          <w:rFonts w:ascii="Palatino Linotype" w:hAnsi="Palatino Linotype"/>
          <w:i/>
          <w:lang w:val="es-ES_tradnl"/>
        </w:rPr>
        <w:t>cual</w:t>
      </w:r>
      <w:r w:rsidRPr="00DC2A65">
        <w:rPr>
          <w:rFonts w:ascii="Palatino Linotype" w:hAnsi="Palatino Linotype"/>
          <w:i/>
          <w:spacing w:val="-12"/>
          <w:lang w:val="es-ES_tradnl"/>
        </w:rPr>
        <w:t xml:space="preserve"> </w:t>
      </w:r>
      <w:r w:rsidRPr="00DC2A65">
        <w:rPr>
          <w:rFonts w:ascii="Palatino Linotype" w:hAnsi="Palatino Linotype"/>
          <w:i/>
          <w:lang w:val="es-ES_tradnl"/>
        </w:rPr>
        <w:t>fue</w:t>
      </w:r>
      <w:r w:rsidRPr="00DC2A65">
        <w:rPr>
          <w:rFonts w:ascii="Palatino Linotype" w:hAnsi="Palatino Linotype"/>
          <w:i/>
          <w:spacing w:val="-17"/>
          <w:lang w:val="es-ES_tradnl"/>
        </w:rPr>
        <w:t xml:space="preserve"> </w:t>
      </w:r>
      <w:r w:rsidRPr="00DC2A65">
        <w:rPr>
          <w:rFonts w:ascii="Palatino Linotype" w:hAnsi="Palatino Linotype"/>
          <w:i/>
          <w:lang w:val="es-ES_tradnl"/>
        </w:rPr>
        <w:t>creado</w:t>
      </w:r>
      <w:r w:rsidRPr="00DC2A65">
        <w:rPr>
          <w:rFonts w:ascii="Palatino Linotype" w:hAnsi="Palatino Linotype"/>
          <w:i/>
          <w:spacing w:val="-16"/>
          <w:lang w:val="es-ES_tradnl"/>
        </w:rPr>
        <w:t xml:space="preserve"> </w:t>
      </w:r>
      <w:r w:rsidRPr="00DC2A65">
        <w:rPr>
          <w:rFonts w:ascii="Palatino Linotype" w:hAnsi="Palatino Linotype"/>
          <w:i/>
          <w:lang w:val="es-ES_tradnl"/>
        </w:rPr>
        <w:t>el</w:t>
      </w:r>
      <w:r w:rsidRPr="00DC2A65">
        <w:rPr>
          <w:rFonts w:ascii="Palatino Linotype" w:hAnsi="Palatino Linotype"/>
          <w:i/>
          <w:spacing w:val="-12"/>
          <w:lang w:val="es-ES_tradnl"/>
        </w:rPr>
        <w:t xml:space="preserve"> </w:t>
      </w:r>
      <w:r w:rsidRPr="00DC2A65">
        <w:rPr>
          <w:rFonts w:ascii="Palatino Linotype" w:hAnsi="Palatino Linotype"/>
          <w:i/>
          <w:lang w:val="es-ES_tradnl"/>
        </w:rPr>
        <w:t>recurso</w:t>
      </w:r>
      <w:r w:rsidRPr="00DC2A65">
        <w:rPr>
          <w:rFonts w:ascii="Palatino Linotype" w:hAnsi="Palatino Linotype"/>
          <w:i/>
          <w:spacing w:val="-16"/>
          <w:lang w:val="es-ES_tradnl"/>
        </w:rPr>
        <w:t xml:space="preserve"> </w:t>
      </w:r>
      <w:r w:rsidRPr="00DC2A65">
        <w:rPr>
          <w:rFonts w:ascii="Palatino Linotype" w:hAnsi="Palatino Linotype"/>
          <w:i/>
          <w:lang w:val="es-ES_tradnl"/>
        </w:rPr>
        <w:t>de</w:t>
      </w:r>
      <w:r w:rsidRPr="00DC2A65">
        <w:rPr>
          <w:rFonts w:ascii="Palatino Linotype" w:hAnsi="Palatino Linotype"/>
          <w:i/>
          <w:spacing w:val="-16"/>
          <w:lang w:val="es-ES_tradnl"/>
        </w:rPr>
        <w:t xml:space="preserve"> </w:t>
      </w:r>
      <w:r w:rsidRPr="00DC2A65">
        <w:rPr>
          <w:rFonts w:ascii="Palatino Linotype" w:hAnsi="Palatino Linotype"/>
          <w:i/>
          <w:lang w:val="es-ES_tradnl"/>
        </w:rPr>
        <w:t>inconformidad,</w:t>
      </w:r>
      <w:r w:rsidRPr="00DC2A65">
        <w:rPr>
          <w:rFonts w:ascii="Palatino Linotype" w:hAnsi="Palatino Linotype"/>
          <w:i/>
          <w:spacing w:val="-16"/>
          <w:lang w:val="es-ES_tradnl"/>
        </w:rPr>
        <w:t xml:space="preserve"> </w:t>
      </w:r>
      <w:r w:rsidRPr="00DC2A65">
        <w:rPr>
          <w:rFonts w:ascii="Palatino Linotype" w:hAnsi="Palatino Linotype"/>
          <w:i/>
          <w:lang w:val="es-ES_tradnl"/>
        </w:rPr>
        <w:t xml:space="preserve">esto es, garantizar –en una instancia especializada y nacional- </w:t>
      </w:r>
      <w:r w:rsidRPr="00DC2A65">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DC2A65">
        <w:rPr>
          <w:rFonts w:ascii="Palatino Linotype" w:hAnsi="Palatino Linotype"/>
          <w:i/>
          <w:lang w:val="es-ES_tradnl"/>
        </w:rPr>
        <w:t xml:space="preserve">; sino además atentar en contra de </w:t>
      </w:r>
      <w:r w:rsidRPr="00DC2A65">
        <w:rPr>
          <w:rFonts w:ascii="Palatino Linotype" w:hAnsi="Palatino Linotype"/>
          <w:i/>
          <w:spacing w:val="-3"/>
          <w:lang w:val="es-ES_tradnl"/>
        </w:rPr>
        <w:t xml:space="preserve">su </w:t>
      </w:r>
      <w:r w:rsidRPr="00DC2A65">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DC2A65">
        <w:rPr>
          <w:rFonts w:ascii="Palatino Linotype" w:hAnsi="Palatino Linotype"/>
          <w:i/>
          <w:spacing w:val="-10"/>
          <w:lang w:val="es-ES_tradnl"/>
        </w:rPr>
        <w:t xml:space="preserve"> </w:t>
      </w:r>
      <w:r w:rsidRPr="00DC2A65">
        <w:rPr>
          <w:rFonts w:ascii="Palatino Linotype" w:hAnsi="Palatino Linotype"/>
          <w:i/>
          <w:lang w:val="es-ES_tradnl"/>
        </w:rPr>
        <w:t>se</w:t>
      </w:r>
      <w:r w:rsidRPr="00DC2A65">
        <w:rPr>
          <w:rFonts w:ascii="Palatino Linotype" w:hAnsi="Palatino Linotype"/>
          <w:i/>
          <w:spacing w:val="-11"/>
          <w:lang w:val="es-ES_tradnl"/>
        </w:rPr>
        <w:t xml:space="preserve"> </w:t>
      </w:r>
      <w:r w:rsidRPr="00DC2A65">
        <w:rPr>
          <w:rFonts w:ascii="Palatino Linotype" w:hAnsi="Palatino Linotype"/>
          <w:i/>
          <w:lang w:val="es-ES_tradnl"/>
        </w:rPr>
        <w:t>ordene</w:t>
      </w:r>
      <w:r w:rsidRPr="00DC2A65">
        <w:rPr>
          <w:rFonts w:ascii="Palatino Linotype" w:hAnsi="Palatino Linotype"/>
          <w:i/>
          <w:spacing w:val="-10"/>
          <w:lang w:val="es-ES_tradnl"/>
        </w:rPr>
        <w:t xml:space="preserve"> </w:t>
      </w:r>
      <w:r w:rsidRPr="00DC2A65">
        <w:rPr>
          <w:rFonts w:ascii="Palatino Linotype" w:hAnsi="Palatino Linotype"/>
          <w:i/>
          <w:lang w:val="es-ES_tradnl"/>
        </w:rPr>
        <w:t>la</w:t>
      </w:r>
      <w:r w:rsidRPr="00DC2A65">
        <w:rPr>
          <w:rFonts w:ascii="Palatino Linotype" w:hAnsi="Palatino Linotype"/>
          <w:i/>
          <w:spacing w:val="-11"/>
          <w:lang w:val="es-ES_tradnl"/>
        </w:rPr>
        <w:t xml:space="preserve"> </w:t>
      </w:r>
      <w:r w:rsidRPr="00DC2A65">
        <w:rPr>
          <w:rFonts w:ascii="Palatino Linotype" w:hAnsi="Palatino Linotype"/>
          <w:i/>
          <w:lang w:val="es-ES_tradnl"/>
        </w:rPr>
        <w:t>búsqueda</w:t>
      </w:r>
      <w:r w:rsidRPr="00DC2A65">
        <w:rPr>
          <w:rFonts w:ascii="Palatino Linotype" w:hAnsi="Palatino Linotype"/>
          <w:i/>
          <w:spacing w:val="-11"/>
          <w:lang w:val="es-ES_tradnl"/>
        </w:rPr>
        <w:t xml:space="preserve"> </w:t>
      </w:r>
      <w:r w:rsidRPr="00DC2A65">
        <w:rPr>
          <w:rFonts w:ascii="Palatino Linotype" w:hAnsi="Palatino Linotype"/>
          <w:i/>
          <w:lang w:val="es-ES_tradnl"/>
        </w:rPr>
        <w:t>y/o</w:t>
      </w:r>
      <w:r w:rsidRPr="00DC2A65">
        <w:rPr>
          <w:rFonts w:ascii="Palatino Linotype" w:hAnsi="Palatino Linotype"/>
          <w:i/>
          <w:spacing w:val="-9"/>
          <w:lang w:val="es-ES_tradnl"/>
        </w:rPr>
        <w:t xml:space="preserve"> </w:t>
      </w:r>
      <w:r w:rsidRPr="00DC2A65">
        <w:rPr>
          <w:rFonts w:ascii="Palatino Linotype" w:hAnsi="Palatino Linotype"/>
          <w:i/>
          <w:lang w:val="es-ES_tradnl"/>
        </w:rPr>
        <w:t>entrega</w:t>
      </w:r>
      <w:r w:rsidRPr="00DC2A65">
        <w:rPr>
          <w:rFonts w:ascii="Palatino Linotype" w:hAnsi="Palatino Linotype"/>
          <w:i/>
          <w:spacing w:val="-11"/>
          <w:lang w:val="es-ES_tradnl"/>
        </w:rPr>
        <w:t xml:space="preserve"> </w:t>
      </w:r>
      <w:r w:rsidRPr="00DC2A65">
        <w:rPr>
          <w:rFonts w:ascii="Palatino Linotype" w:hAnsi="Palatino Linotype"/>
          <w:i/>
          <w:lang w:val="es-ES_tradnl"/>
        </w:rPr>
        <w:t>de</w:t>
      </w:r>
      <w:r w:rsidRPr="00DC2A65">
        <w:rPr>
          <w:rFonts w:ascii="Palatino Linotype" w:hAnsi="Palatino Linotype"/>
          <w:i/>
          <w:spacing w:val="-16"/>
          <w:lang w:val="es-ES_tradnl"/>
        </w:rPr>
        <w:t xml:space="preserve"> </w:t>
      </w:r>
      <w:r w:rsidRPr="00DC2A65">
        <w:rPr>
          <w:rFonts w:ascii="Palatino Linotype" w:hAnsi="Palatino Linotype"/>
          <w:i/>
          <w:lang w:val="es-ES_tradnl"/>
        </w:rPr>
        <w:t>la</w:t>
      </w:r>
      <w:r w:rsidRPr="00DC2A65">
        <w:rPr>
          <w:rFonts w:ascii="Palatino Linotype" w:hAnsi="Palatino Linotype"/>
          <w:i/>
          <w:spacing w:val="-10"/>
          <w:lang w:val="es-ES_tradnl"/>
        </w:rPr>
        <w:t xml:space="preserve"> </w:t>
      </w:r>
      <w:r w:rsidRPr="00DC2A65">
        <w:rPr>
          <w:rFonts w:ascii="Palatino Linotype" w:hAnsi="Palatino Linotype"/>
          <w:i/>
          <w:lang w:val="es-ES_tradnl"/>
        </w:rPr>
        <w:t>información</w:t>
      </w:r>
      <w:r w:rsidRPr="00DC2A65">
        <w:rPr>
          <w:rFonts w:ascii="Palatino Linotype" w:hAnsi="Palatino Linotype"/>
          <w:i/>
          <w:spacing w:val="-11"/>
          <w:lang w:val="es-ES_tradnl"/>
        </w:rPr>
        <w:t xml:space="preserve"> </w:t>
      </w:r>
      <w:r w:rsidRPr="00DC2A65">
        <w:rPr>
          <w:rFonts w:ascii="Palatino Linotype" w:hAnsi="Palatino Linotype"/>
          <w:i/>
          <w:lang w:val="es-ES_tradnl"/>
        </w:rPr>
        <w:t>pero</w:t>
      </w:r>
      <w:r w:rsidRPr="00DC2A65">
        <w:rPr>
          <w:rFonts w:ascii="Palatino Linotype" w:hAnsi="Palatino Linotype"/>
          <w:i/>
          <w:spacing w:val="-11"/>
          <w:lang w:val="es-ES_tradnl"/>
        </w:rPr>
        <w:t xml:space="preserve"> </w:t>
      </w:r>
      <w:r w:rsidRPr="00DC2A65">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DC2A65">
        <w:rPr>
          <w:rFonts w:ascii="Palatino Linotype" w:hAnsi="Palatino Linotype"/>
          <w:i/>
          <w:spacing w:val="13"/>
          <w:lang w:val="es-ES_tradnl"/>
        </w:rPr>
        <w:t xml:space="preserve"> </w:t>
      </w:r>
      <w:r w:rsidRPr="00DC2A65">
        <w:rPr>
          <w:rFonts w:ascii="Palatino Linotype" w:hAnsi="Palatino Linotype"/>
          <w:i/>
          <w:lang w:val="es-ES_tradnl"/>
        </w:rPr>
        <w:t>protección</w:t>
      </w:r>
      <w:r w:rsidRPr="00DC2A65">
        <w:rPr>
          <w:rFonts w:ascii="Palatino Linotype" w:hAnsi="Palatino Linotype"/>
          <w:i/>
          <w:spacing w:val="14"/>
          <w:lang w:val="es-ES_tradnl"/>
        </w:rPr>
        <w:t xml:space="preserve"> </w:t>
      </w:r>
      <w:r w:rsidRPr="00DC2A65">
        <w:rPr>
          <w:rFonts w:ascii="Palatino Linotype" w:hAnsi="Palatino Linotype"/>
          <w:i/>
          <w:spacing w:val="-3"/>
          <w:lang w:val="es-ES_tradnl"/>
        </w:rPr>
        <w:t>del</w:t>
      </w:r>
      <w:r w:rsidRPr="00DC2A65">
        <w:rPr>
          <w:rFonts w:ascii="Palatino Linotype" w:hAnsi="Palatino Linotype"/>
          <w:i/>
          <w:spacing w:val="17"/>
          <w:lang w:val="es-ES_tradnl"/>
        </w:rPr>
        <w:t xml:space="preserve"> </w:t>
      </w:r>
      <w:r w:rsidRPr="00DC2A65">
        <w:rPr>
          <w:rFonts w:ascii="Palatino Linotype" w:hAnsi="Palatino Linotype"/>
          <w:i/>
          <w:lang w:val="es-ES_tradnl"/>
        </w:rPr>
        <w:t>derecho</w:t>
      </w:r>
      <w:r w:rsidRPr="00DC2A65">
        <w:rPr>
          <w:rFonts w:ascii="Palatino Linotype" w:hAnsi="Palatino Linotype"/>
          <w:i/>
          <w:spacing w:val="14"/>
          <w:lang w:val="es-ES_tradnl"/>
        </w:rPr>
        <w:t xml:space="preserve"> </w:t>
      </w:r>
      <w:r w:rsidRPr="00DC2A65">
        <w:rPr>
          <w:rFonts w:ascii="Palatino Linotype" w:hAnsi="Palatino Linotype"/>
          <w:i/>
          <w:lang w:val="es-ES_tradnl"/>
        </w:rPr>
        <w:t>de</w:t>
      </w:r>
      <w:r w:rsidRPr="00DC2A65">
        <w:rPr>
          <w:rFonts w:ascii="Palatino Linotype" w:hAnsi="Palatino Linotype"/>
          <w:i/>
          <w:spacing w:val="13"/>
          <w:lang w:val="es-ES_tradnl"/>
        </w:rPr>
        <w:t xml:space="preserve"> </w:t>
      </w:r>
      <w:r w:rsidRPr="00DC2A65">
        <w:rPr>
          <w:rFonts w:ascii="Palatino Linotype" w:hAnsi="Palatino Linotype"/>
          <w:i/>
          <w:lang w:val="es-ES_tradnl"/>
        </w:rPr>
        <w:t>acceso</w:t>
      </w:r>
      <w:r w:rsidRPr="00DC2A65">
        <w:rPr>
          <w:rFonts w:ascii="Palatino Linotype" w:hAnsi="Palatino Linotype"/>
          <w:i/>
          <w:spacing w:val="14"/>
          <w:lang w:val="es-ES_tradnl"/>
        </w:rPr>
        <w:t xml:space="preserve"> </w:t>
      </w:r>
      <w:r w:rsidRPr="00DC2A65">
        <w:rPr>
          <w:rFonts w:ascii="Palatino Linotype" w:hAnsi="Palatino Linotype"/>
          <w:i/>
          <w:lang w:val="es-ES_tradnl"/>
        </w:rPr>
        <w:t>a</w:t>
      </w:r>
      <w:r w:rsidRPr="00DC2A65">
        <w:rPr>
          <w:rFonts w:ascii="Palatino Linotype" w:hAnsi="Palatino Linotype"/>
          <w:i/>
          <w:spacing w:val="9"/>
          <w:lang w:val="es-ES_tradnl"/>
        </w:rPr>
        <w:t xml:space="preserve"> </w:t>
      </w:r>
      <w:r w:rsidRPr="00DC2A65">
        <w:rPr>
          <w:rFonts w:ascii="Palatino Linotype" w:hAnsi="Palatino Linotype"/>
          <w:i/>
          <w:lang w:val="es-ES_tradnl"/>
        </w:rPr>
        <w:t>la</w:t>
      </w:r>
      <w:r w:rsidRPr="00DC2A65">
        <w:rPr>
          <w:rFonts w:ascii="Palatino Linotype" w:hAnsi="Palatino Linotype"/>
          <w:i/>
          <w:spacing w:val="9"/>
          <w:lang w:val="es-ES_tradnl"/>
        </w:rPr>
        <w:t xml:space="preserve"> </w:t>
      </w:r>
      <w:r w:rsidRPr="00DC2A65">
        <w:rPr>
          <w:rFonts w:ascii="Palatino Linotype" w:hAnsi="Palatino Linotype"/>
          <w:i/>
          <w:lang w:val="es-ES_tradnl"/>
        </w:rPr>
        <w:t>información;</w:t>
      </w:r>
      <w:r w:rsidRPr="00DC2A65">
        <w:rPr>
          <w:rFonts w:ascii="Palatino Linotype" w:hAnsi="Palatino Linotype"/>
          <w:i/>
          <w:spacing w:val="14"/>
          <w:lang w:val="es-ES_tradnl"/>
        </w:rPr>
        <w:t xml:space="preserve"> </w:t>
      </w:r>
      <w:r w:rsidRPr="00DC2A65">
        <w:rPr>
          <w:rFonts w:ascii="Palatino Linotype" w:hAnsi="Palatino Linotype"/>
          <w:i/>
          <w:lang w:val="es-ES_tradnl"/>
        </w:rPr>
        <w:t>situación</w:t>
      </w:r>
      <w:r w:rsidRPr="00DC2A65">
        <w:rPr>
          <w:rFonts w:ascii="Palatino Linotype" w:hAnsi="Palatino Linotype"/>
          <w:i/>
          <w:spacing w:val="13"/>
          <w:lang w:val="es-ES_tradnl"/>
        </w:rPr>
        <w:t xml:space="preserve"> </w:t>
      </w:r>
      <w:r w:rsidRPr="00DC2A65">
        <w:rPr>
          <w:rFonts w:ascii="Palatino Linotype" w:hAnsi="Palatino Linotype"/>
          <w:i/>
          <w:lang w:val="es-ES_tradnl"/>
        </w:rPr>
        <w:t>por</w:t>
      </w:r>
      <w:r w:rsidRPr="00DC2A65">
        <w:rPr>
          <w:rFonts w:ascii="Palatino Linotype" w:hAnsi="Palatino Linotype"/>
          <w:i/>
          <w:spacing w:val="15"/>
          <w:lang w:val="es-ES_tradnl"/>
        </w:rPr>
        <w:t xml:space="preserve"> </w:t>
      </w:r>
      <w:r w:rsidRPr="00DC2A65">
        <w:rPr>
          <w:rFonts w:ascii="Palatino Linotype" w:hAnsi="Palatino Linotype"/>
          <w:i/>
          <w:lang w:val="es-ES_tradnl"/>
        </w:rPr>
        <w:t>la</w:t>
      </w:r>
      <w:r w:rsidRPr="00DC2A65">
        <w:rPr>
          <w:rFonts w:ascii="Palatino Linotype" w:hAnsi="Palatino Linotype"/>
          <w:i/>
          <w:spacing w:val="14"/>
          <w:lang w:val="es-ES_tradnl"/>
        </w:rPr>
        <w:t xml:space="preserve"> </w:t>
      </w:r>
      <w:r w:rsidRPr="00DC2A65">
        <w:rPr>
          <w:rFonts w:ascii="Palatino Linotype" w:hAnsi="Palatino Linotype"/>
          <w:i/>
          <w:lang w:val="es-ES_tradnl"/>
        </w:rPr>
        <w:t>que</w:t>
      </w:r>
      <w:r w:rsidRPr="00DC2A65">
        <w:rPr>
          <w:rFonts w:ascii="Palatino Linotype" w:hAnsi="Palatino Linotype"/>
          <w:i/>
          <w:spacing w:val="14"/>
          <w:lang w:val="es-ES_tradnl"/>
        </w:rPr>
        <w:t xml:space="preserve"> </w:t>
      </w:r>
      <w:r w:rsidRPr="00DC2A65">
        <w:rPr>
          <w:rFonts w:ascii="Palatino Linotype" w:hAnsi="Palatino Linotype"/>
          <w:i/>
          <w:lang w:val="es-ES_tradnl"/>
        </w:rPr>
        <w:t>el recurso (…) se volvería meramente formal y por tanto ilusorio”. (Páginas 19 y 20 de la sentencia).</w:t>
      </w:r>
    </w:p>
    <w:p w:rsidR="00334AC9" w:rsidRPr="00DC2A65"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DC2A65"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DC2A65">
        <w:rPr>
          <w:rFonts w:ascii="Palatino Linotype" w:hAnsi="Palatino Linotype"/>
          <w:i/>
          <w:lang w:val="es-ES_tradnl"/>
        </w:rPr>
        <w:t xml:space="preserve">Si bien el artículo 160 de la Ley General estableció que para la procedencia del recurso de inconformidad </w:t>
      </w:r>
      <w:r w:rsidRPr="00DC2A65">
        <w:rPr>
          <w:rFonts w:ascii="Palatino Linotype" w:hAnsi="Palatino Linotype"/>
          <w:i/>
          <w:spacing w:val="-3"/>
          <w:lang w:val="es-ES_tradnl"/>
        </w:rPr>
        <w:t xml:space="preserve">se </w:t>
      </w:r>
      <w:r w:rsidRPr="00DC2A65">
        <w:rPr>
          <w:rFonts w:ascii="Palatino Linotype" w:hAnsi="Palatino Linotype"/>
          <w:i/>
          <w:lang w:val="es-ES_tradnl"/>
        </w:rPr>
        <w:t xml:space="preserve">entenderían como negativas de acceso a la información la falta de resolución de los órganos garantes en materia </w:t>
      </w:r>
      <w:r w:rsidRPr="00DC2A65">
        <w:rPr>
          <w:rFonts w:ascii="Palatino Linotype" w:hAnsi="Palatino Linotype"/>
          <w:i/>
          <w:spacing w:val="2"/>
          <w:lang w:val="es-ES_tradnl"/>
        </w:rPr>
        <w:t xml:space="preserve">local, </w:t>
      </w:r>
      <w:r w:rsidRPr="00DC2A65">
        <w:rPr>
          <w:rFonts w:ascii="Palatino Linotype" w:hAnsi="Palatino Linotype"/>
          <w:i/>
          <w:lang w:val="es-ES_tradnl"/>
        </w:rPr>
        <w:t>dicha</w:t>
      </w:r>
      <w:r w:rsidRPr="00DC2A65">
        <w:rPr>
          <w:rFonts w:ascii="Palatino Linotype" w:hAnsi="Palatino Linotype"/>
          <w:i/>
          <w:spacing w:val="-7"/>
          <w:lang w:val="es-ES_tradnl"/>
        </w:rPr>
        <w:t xml:space="preserve"> </w:t>
      </w:r>
      <w:r w:rsidRPr="00DC2A65">
        <w:rPr>
          <w:rFonts w:ascii="Palatino Linotype" w:hAnsi="Palatino Linotype"/>
          <w:i/>
          <w:lang w:val="es-ES_tradnl"/>
        </w:rPr>
        <w:t>cuestión,</w:t>
      </w:r>
      <w:r w:rsidRPr="00DC2A65">
        <w:rPr>
          <w:rFonts w:ascii="Palatino Linotype" w:hAnsi="Palatino Linotype"/>
          <w:i/>
          <w:spacing w:val="-6"/>
          <w:lang w:val="es-ES_tradnl"/>
        </w:rPr>
        <w:t xml:space="preserve"> </w:t>
      </w:r>
      <w:r w:rsidRPr="00DC2A65">
        <w:rPr>
          <w:rFonts w:ascii="Palatino Linotype" w:hAnsi="Palatino Linotype"/>
          <w:i/>
          <w:lang w:val="es-ES_tradnl"/>
        </w:rPr>
        <w:t>en</w:t>
      </w:r>
      <w:r w:rsidRPr="00DC2A65">
        <w:rPr>
          <w:rFonts w:ascii="Palatino Linotype" w:hAnsi="Palatino Linotype"/>
          <w:i/>
          <w:spacing w:val="-6"/>
          <w:lang w:val="es-ES_tradnl"/>
        </w:rPr>
        <w:t xml:space="preserve"> </w:t>
      </w:r>
      <w:r w:rsidRPr="00DC2A65">
        <w:rPr>
          <w:rFonts w:ascii="Palatino Linotype" w:hAnsi="Palatino Linotype"/>
          <w:i/>
          <w:lang w:val="es-ES_tradnl"/>
        </w:rPr>
        <w:t>acatamiento</w:t>
      </w:r>
      <w:r w:rsidRPr="00DC2A65">
        <w:rPr>
          <w:rFonts w:ascii="Palatino Linotype" w:hAnsi="Palatino Linotype"/>
          <w:i/>
          <w:spacing w:val="-6"/>
          <w:lang w:val="es-ES_tradnl"/>
        </w:rPr>
        <w:t xml:space="preserve"> </w:t>
      </w:r>
      <w:r w:rsidRPr="00DC2A65">
        <w:rPr>
          <w:rFonts w:ascii="Palatino Linotype" w:hAnsi="Palatino Linotype"/>
          <w:i/>
          <w:lang w:val="es-ES_tradnl"/>
        </w:rPr>
        <w:t>a</w:t>
      </w:r>
      <w:r w:rsidRPr="00DC2A65">
        <w:rPr>
          <w:rFonts w:ascii="Palatino Linotype" w:hAnsi="Palatino Linotype"/>
          <w:i/>
          <w:spacing w:val="-11"/>
          <w:lang w:val="es-ES_tradnl"/>
        </w:rPr>
        <w:t xml:space="preserve"> </w:t>
      </w:r>
      <w:r w:rsidRPr="00DC2A65">
        <w:rPr>
          <w:rFonts w:ascii="Palatino Linotype" w:hAnsi="Palatino Linotype"/>
          <w:i/>
          <w:lang w:val="es-ES_tradnl"/>
        </w:rPr>
        <w:t>lo</w:t>
      </w:r>
      <w:r w:rsidRPr="00DC2A65">
        <w:rPr>
          <w:rFonts w:ascii="Palatino Linotype" w:hAnsi="Palatino Linotype"/>
          <w:i/>
          <w:spacing w:val="-6"/>
          <w:lang w:val="es-ES_tradnl"/>
        </w:rPr>
        <w:t xml:space="preserve"> </w:t>
      </w:r>
      <w:r w:rsidRPr="00DC2A65">
        <w:rPr>
          <w:rFonts w:ascii="Palatino Linotype" w:hAnsi="Palatino Linotype"/>
          <w:i/>
          <w:lang w:val="es-ES_tradnl"/>
        </w:rPr>
        <w:t>previsto</w:t>
      </w:r>
      <w:r w:rsidRPr="00DC2A65">
        <w:rPr>
          <w:rFonts w:ascii="Palatino Linotype" w:hAnsi="Palatino Linotype"/>
          <w:i/>
          <w:spacing w:val="-6"/>
          <w:lang w:val="es-ES_tradnl"/>
        </w:rPr>
        <w:t xml:space="preserve"> </w:t>
      </w:r>
      <w:r w:rsidRPr="00DC2A65">
        <w:rPr>
          <w:rFonts w:ascii="Palatino Linotype" w:hAnsi="Palatino Linotype"/>
          <w:i/>
          <w:lang w:val="es-ES_tradnl"/>
        </w:rPr>
        <w:t>en</w:t>
      </w:r>
      <w:r w:rsidRPr="00DC2A65">
        <w:rPr>
          <w:rFonts w:ascii="Palatino Linotype" w:hAnsi="Palatino Linotype"/>
          <w:i/>
          <w:spacing w:val="-6"/>
          <w:lang w:val="es-ES_tradnl"/>
        </w:rPr>
        <w:t xml:space="preserve"> </w:t>
      </w:r>
      <w:r w:rsidRPr="00DC2A65">
        <w:rPr>
          <w:rFonts w:ascii="Palatino Linotype" w:hAnsi="Palatino Linotype"/>
          <w:i/>
          <w:lang w:val="es-ES_tradnl"/>
        </w:rPr>
        <w:t>el</w:t>
      </w:r>
      <w:r w:rsidRPr="00DC2A65">
        <w:rPr>
          <w:rFonts w:ascii="Palatino Linotype" w:hAnsi="Palatino Linotype"/>
          <w:i/>
          <w:spacing w:val="-3"/>
          <w:lang w:val="es-ES_tradnl"/>
        </w:rPr>
        <w:t xml:space="preserve"> </w:t>
      </w:r>
      <w:r w:rsidRPr="00DC2A65">
        <w:rPr>
          <w:rFonts w:ascii="Palatino Linotype" w:hAnsi="Palatino Linotype"/>
          <w:i/>
          <w:lang w:val="es-ES_tradnl"/>
        </w:rPr>
        <w:t>artículo</w:t>
      </w:r>
      <w:r w:rsidRPr="00DC2A65">
        <w:rPr>
          <w:rFonts w:ascii="Palatino Linotype" w:hAnsi="Palatino Linotype"/>
          <w:i/>
          <w:spacing w:val="-6"/>
          <w:lang w:val="es-ES_tradnl"/>
        </w:rPr>
        <w:t xml:space="preserve"> </w:t>
      </w:r>
      <w:r w:rsidRPr="00DC2A65">
        <w:rPr>
          <w:rFonts w:ascii="Palatino Linotype" w:hAnsi="Palatino Linotype"/>
          <w:i/>
          <w:lang w:val="es-ES_tradnl"/>
        </w:rPr>
        <w:t>1</w:t>
      </w:r>
      <w:r w:rsidRPr="00DC2A65">
        <w:rPr>
          <w:rFonts w:ascii="Palatino Linotype" w:hAnsi="Palatino Linotype"/>
          <w:i/>
          <w:spacing w:val="-6"/>
          <w:lang w:val="es-ES_tradnl"/>
        </w:rPr>
        <w:t xml:space="preserve"> </w:t>
      </w:r>
      <w:r w:rsidRPr="00DC2A65">
        <w:rPr>
          <w:rFonts w:ascii="Palatino Linotype" w:hAnsi="Palatino Linotype"/>
          <w:i/>
          <w:lang w:val="es-ES_tradnl"/>
        </w:rPr>
        <w:t>Constitucional,</w:t>
      </w:r>
      <w:r w:rsidRPr="00DC2A65">
        <w:rPr>
          <w:rFonts w:ascii="Palatino Linotype" w:hAnsi="Palatino Linotype"/>
          <w:i/>
          <w:spacing w:val="5"/>
          <w:lang w:val="es-ES_tradnl"/>
        </w:rPr>
        <w:t xml:space="preserve"> </w:t>
      </w:r>
      <w:r w:rsidRPr="00DC2A65">
        <w:rPr>
          <w:rFonts w:ascii="Palatino Linotype" w:hAnsi="Palatino Linotype"/>
          <w:b/>
          <w:i/>
          <w:lang w:val="es-ES_tradnl"/>
        </w:rPr>
        <w:t xml:space="preserve">no debe ser entendida de una forma restrictiva </w:t>
      </w:r>
      <w:r w:rsidRPr="00DC2A65">
        <w:rPr>
          <w:rFonts w:ascii="Palatino Linotype" w:hAnsi="Palatino Linotype"/>
          <w:i/>
          <w:lang w:val="es-ES_tradnl"/>
        </w:rPr>
        <w:t>(esto es interpretar como negativas</w:t>
      </w:r>
      <w:r w:rsidRPr="00DC2A65">
        <w:rPr>
          <w:rFonts w:ascii="Palatino Linotype" w:hAnsi="Palatino Linotype"/>
          <w:i/>
          <w:spacing w:val="-7"/>
          <w:lang w:val="es-ES_tradnl"/>
        </w:rPr>
        <w:t xml:space="preserve"> </w:t>
      </w:r>
      <w:r w:rsidRPr="00DC2A65">
        <w:rPr>
          <w:rFonts w:ascii="Palatino Linotype" w:hAnsi="Palatino Linotype"/>
          <w:i/>
          <w:lang w:val="es-ES_tradnl"/>
        </w:rPr>
        <w:t>para</w:t>
      </w:r>
      <w:r w:rsidRPr="00DC2A65">
        <w:rPr>
          <w:rFonts w:ascii="Palatino Linotype" w:hAnsi="Palatino Linotype"/>
          <w:i/>
          <w:spacing w:val="-6"/>
          <w:lang w:val="es-ES_tradnl"/>
        </w:rPr>
        <w:t xml:space="preserve"> </w:t>
      </w:r>
      <w:r w:rsidRPr="00DC2A65">
        <w:rPr>
          <w:rFonts w:ascii="Palatino Linotype" w:hAnsi="Palatino Linotype"/>
          <w:i/>
          <w:lang w:val="es-ES_tradnl"/>
        </w:rPr>
        <w:t>su</w:t>
      </w:r>
      <w:r w:rsidRPr="00DC2A65">
        <w:rPr>
          <w:rFonts w:ascii="Palatino Linotype" w:hAnsi="Palatino Linotype"/>
          <w:i/>
          <w:spacing w:val="-10"/>
          <w:lang w:val="es-ES_tradnl"/>
        </w:rPr>
        <w:t xml:space="preserve"> </w:t>
      </w:r>
      <w:r w:rsidRPr="00DC2A65">
        <w:rPr>
          <w:rFonts w:ascii="Palatino Linotype" w:hAnsi="Palatino Linotype"/>
          <w:i/>
          <w:lang w:val="es-ES_tradnl"/>
        </w:rPr>
        <w:t>procedencia</w:t>
      </w:r>
      <w:r w:rsidRPr="00DC2A65">
        <w:rPr>
          <w:rFonts w:ascii="Palatino Linotype" w:hAnsi="Palatino Linotype"/>
          <w:i/>
          <w:spacing w:val="-10"/>
          <w:lang w:val="es-ES_tradnl"/>
        </w:rPr>
        <w:t xml:space="preserve"> </w:t>
      </w:r>
      <w:r w:rsidRPr="00DC2A65">
        <w:rPr>
          <w:rFonts w:ascii="Palatino Linotype" w:hAnsi="Palatino Linotype"/>
          <w:i/>
          <w:lang w:val="es-ES_tradnl"/>
        </w:rPr>
        <w:t>únicamente</w:t>
      </w:r>
      <w:r w:rsidRPr="00DC2A65">
        <w:rPr>
          <w:rFonts w:ascii="Palatino Linotype" w:hAnsi="Palatino Linotype"/>
          <w:i/>
          <w:spacing w:val="-6"/>
          <w:lang w:val="es-ES_tradnl"/>
        </w:rPr>
        <w:t xml:space="preserve"> </w:t>
      </w:r>
      <w:r w:rsidRPr="00DC2A65">
        <w:rPr>
          <w:rFonts w:ascii="Palatino Linotype" w:hAnsi="Palatino Linotype"/>
          <w:i/>
          <w:lang w:val="es-ES_tradnl"/>
        </w:rPr>
        <w:t>la</w:t>
      </w:r>
      <w:r w:rsidRPr="00DC2A65">
        <w:rPr>
          <w:rFonts w:ascii="Palatino Linotype" w:hAnsi="Palatino Linotype"/>
          <w:i/>
          <w:spacing w:val="-10"/>
          <w:lang w:val="es-ES_tradnl"/>
        </w:rPr>
        <w:t xml:space="preserve"> </w:t>
      </w:r>
      <w:r w:rsidRPr="00DC2A65">
        <w:rPr>
          <w:rFonts w:ascii="Palatino Linotype" w:hAnsi="Palatino Linotype"/>
          <w:i/>
          <w:lang w:val="es-ES_tradnl"/>
        </w:rPr>
        <w:t>falta</w:t>
      </w:r>
      <w:r w:rsidRPr="00DC2A65">
        <w:rPr>
          <w:rFonts w:ascii="Palatino Linotype" w:hAnsi="Palatino Linotype"/>
          <w:i/>
          <w:spacing w:val="-6"/>
          <w:lang w:val="es-ES_tradnl"/>
        </w:rPr>
        <w:t xml:space="preserve"> </w:t>
      </w:r>
      <w:r w:rsidRPr="00DC2A65">
        <w:rPr>
          <w:rFonts w:ascii="Palatino Linotype" w:hAnsi="Palatino Linotype"/>
          <w:i/>
          <w:lang w:val="es-ES_tradnl"/>
        </w:rPr>
        <w:t>de</w:t>
      </w:r>
      <w:r w:rsidRPr="00DC2A65">
        <w:rPr>
          <w:rFonts w:ascii="Palatino Linotype" w:hAnsi="Palatino Linotype"/>
          <w:i/>
          <w:spacing w:val="-10"/>
          <w:lang w:val="es-ES_tradnl"/>
        </w:rPr>
        <w:t xml:space="preserve"> </w:t>
      </w:r>
      <w:r w:rsidRPr="00DC2A65">
        <w:rPr>
          <w:rFonts w:ascii="Palatino Linotype" w:hAnsi="Palatino Linotype"/>
          <w:i/>
          <w:lang w:val="es-ES_tradnl"/>
        </w:rPr>
        <w:t>resolución</w:t>
      </w:r>
      <w:r w:rsidRPr="00DC2A65">
        <w:rPr>
          <w:rFonts w:ascii="Palatino Linotype" w:hAnsi="Palatino Linotype"/>
          <w:i/>
          <w:spacing w:val="-11"/>
          <w:lang w:val="es-ES_tradnl"/>
        </w:rPr>
        <w:t xml:space="preserve"> </w:t>
      </w:r>
      <w:r w:rsidRPr="00DC2A65">
        <w:rPr>
          <w:rFonts w:ascii="Palatino Linotype" w:hAnsi="Palatino Linotype"/>
          <w:i/>
          <w:lang w:val="es-ES_tradnl"/>
        </w:rPr>
        <w:t>de</w:t>
      </w:r>
      <w:r w:rsidRPr="00DC2A65">
        <w:rPr>
          <w:rFonts w:ascii="Palatino Linotype" w:hAnsi="Palatino Linotype"/>
          <w:i/>
          <w:spacing w:val="-5"/>
          <w:lang w:val="es-ES_tradnl"/>
        </w:rPr>
        <w:t xml:space="preserve"> </w:t>
      </w:r>
      <w:r w:rsidRPr="00DC2A65">
        <w:rPr>
          <w:rFonts w:ascii="Palatino Linotype" w:hAnsi="Palatino Linotype"/>
          <w:i/>
          <w:lang w:val="es-ES_tradnl"/>
        </w:rPr>
        <w:t>un</w:t>
      </w:r>
      <w:r w:rsidRPr="00DC2A65">
        <w:rPr>
          <w:rFonts w:ascii="Palatino Linotype" w:hAnsi="Palatino Linotype"/>
          <w:i/>
          <w:spacing w:val="-11"/>
          <w:lang w:val="es-ES_tradnl"/>
        </w:rPr>
        <w:t xml:space="preserve"> </w:t>
      </w:r>
      <w:r w:rsidRPr="00DC2A65">
        <w:rPr>
          <w:rFonts w:ascii="Palatino Linotype" w:hAnsi="Palatino Linotype"/>
          <w:i/>
          <w:lang w:val="es-ES_tradnl"/>
        </w:rPr>
        <w:t xml:space="preserve">órgano garante), sino de una manera amplia y </w:t>
      </w:r>
      <w:r w:rsidRPr="00DC2A65">
        <w:rPr>
          <w:rFonts w:ascii="Palatino Linotype" w:hAnsi="Palatino Linotype"/>
          <w:i/>
          <w:spacing w:val="-3"/>
          <w:lang w:val="es-ES_tradnl"/>
        </w:rPr>
        <w:t xml:space="preserve">como </w:t>
      </w:r>
      <w:r w:rsidRPr="00DC2A65">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DC2A65">
        <w:rPr>
          <w:rFonts w:ascii="Palatino Linotype" w:hAnsi="Palatino Linotype"/>
          <w:b/>
          <w:i/>
          <w:lang w:val="es-ES_tradnl"/>
        </w:rPr>
        <w:t>la propia teleología del recurso de inconformidad se desprende que éste resulta procedente en todos los casos</w:t>
      </w:r>
      <w:r w:rsidRPr="00DC2A65">
        <w:rPr>
          <w:rFonts w:ascii="Palatino Linotype" w:hAnsi="Palatino Linotype"/>
          <w:b/>
          <w:i/>
          <w:spacing w:val="-12"/>
          <w:lang w:val="es-ES_tradnl"/>
        </w:rPr>
        <w:t xml:space="preserve"> </w:t>
      </w:r>
      <w:r w:rsidRPr="00DC2A65">
        <w:rPr>
          <w:rFonts w:ascii="Palatino Linotype" w:hAnsi="Palatino Linotype"/>
          <w:b/>
          <w:i/>
          <w:lang w:val="es-ES_tradnl"/>
        </w:rPr>
        <w:t>en</w:t>
      </w:r>
      <w:r w:rsidRPr="00DC2A65">
        <w:rPr>
          <w:rFonts w:ascii="Palatino Linotype" w:hAnsi="Palatino Linotype"/>
          <w:b/>
          <w:i/>
          <w:spacing w:val="-9"/>
          <w:lang w:val="es-ES_tradnl"/>
        </w:rPr>
        <w:t xml:space="preserve"> </w:t>
      </w:r>
      <w:r w:rsidRPr="00DC2A65">
        <w:rPr>
          <w:rFonts w:ascii="Palatino Linotype" w:hAnsi="Palatino Linotype"/>
          <w:b/>
          <w:i/>
          <w:lang w:val="es-ES_tradnl"/>
        </w:rPr>
        <w:t>que</w:t>
      </w:r>
      <w:r w:rsidRPr="00DC2A65">
        <w:rPr>
          <w:rFonts w:ascii="Palatino Linotype" w:hAnsi="Palatino Linotype"/>
          <w:b/>
          <w:i/>
          <w:spacing w:val="-6"/>
          <w:lang w:val="es-ES_tradnl"/>
        </w:rPr>
        <w:t xml:space="preserve"> </w:t>
      </w:r>
      <w:r w:rsidRPr="00DC2A65">
        <w:rPr>
          <w:rFonts w:ascii="Palatino Linotype" w:hAnsi="Palatino Linotype"/>
          <w:b/>
          <w:i/>
          <w:lang w:val="es-ES_tradnl"/>
        </w:rPr>
        <w:t>el</w:t>
      </w:r>
      <w:r w:rsidRPr="00DC2A65">
        <w:rPr>
          <w:rFonts w:ascii="Palatino Linotype" w:hAnsi="Palatino Linotype"/>
          <w:b/>
          <w:i/>
          <w:spacing w:val="-11"/>
          <w:lang w:val="es-ES_tradnl"/>
        </w:rPr>
        <w:t xml:space="preserve"> </w:t>
      </w:r>
      <w:r w:rsidRPr="00DC2A65">
        <w:rPr>
          <w:rFonts w:ascii="Palatino Linotype" w:hAnsi="Palatino Linotype"/>
          <w:b/>
          <w:i/>
          <w:lang w:val="es-ES_tradnl"/>
        </w:rPr>
        <w:t>particular</w:t>
      </w:r>
      <w:r w:rsidRPr="00DC2A65">
        <w:rPr>
          <w:rFonts w:ascii="Palatino Linotype" w:hAnsi="Palatino Linotype"/>
          <w:b/>
          <w:i/>
          <w:spacing w:val="-9"/>
          <w:lang w:val="es-ES_tradnl"/>
        </w:rPr>
        <w:t xml:space="preserve"> </w:t>
      </w:r>
      <w:r w:rsidRPr="00DC2A65">
        <w:rPr>
          <w:rFonts w:ascii="Palatino Linotype" w:hAnsi="Palatino Linotype"/>
          <w:b/>
          <w:i/>
          <w:lang w:val="es-ES_tradnl"/>
        </w:rPr>
        <w:t>estime</w:t>
      </w:r>
      <w:r w:rsidRPr="00DC2A65">
        <w:rPr>
          <w:rFonts w:ascii="Palatino Linotype" w:hAnsi="Palatino Linotype"/>
          <w:b/>
          <w:i/>
          <w:spacing w:val="-7"/>
          <w:lang w:val="es-ES_tradnl"/>
        </w:rPr>
        <w:t xml:space="preserve"> </w:t>
      </w:r>
      <w:r w:rsidRPr="00DC2A65">
        <w:rPr>
          <w:rFonts w:ascii="Palatino Linotype" w:hAnsi="Palatino Linotype"/>
          <w:b/>
          <w:i/>
          <w:lang w:val="es-ES_tradnl"/>
        </w:rPr>
        <w:t>que</w:t>
      </w:r>
      <w:r w:rsidRPr="00DC2A65">
        <w:rPr>
          <w:rFonts w:ascii="Palatino Linotype" w:hAnsi="Palatino Linotype"/>
          <w:b/>
          <w:i/>
          <w:spacing w:val="-6"/>
          <w:lang w:val="es-ES_tradnl"/>
        </w:rPr>
        <w:t xml:space="preserve"> </w:t>
      </w:r>
      <w:r w:rsidRPr="00DC2A65">
        <w:rPr>
          <w:rFonts w:ascii="Palatino Linotype" w:hAnsi="Palatino Linotype"/>
          <w:b/>
          <w:i/>
          <w:lang w:val="es-ES_tradnl"/>
        </w:rPr>
        <w:t>la</w:t>
      </w:r>
      <w:r w:rsidRPr="00DC2A65">
        <w:rPr>
          <w:rFonts w:ascii="Palatino Linotype" w:hAnsi="Palatino Linotype"/>
          <w:b/>
          <w:i/>
          <w:spacing w:val="-6"/>
          <w:lang w:val="es-ES_tradnl"/>
        </w:rPr>
        <w:t xml:space="preserve"> </w:t>
      </w:r>
      <w:r w:rsidRPr="00DC2A65">
        <w:rPr>
          <w:rFonts w:ascii="Palatino Linotype" w:hAnsi="Palatino Linotype"/>
          <w:b/>
          <w:i/>
          <w:lang w:val="es-ES_tradnl"/>
        </w:rPr>
        <w:t>resolución</w:t>
      </w:r>
      <w:r w:rsidRPr="00DC2A65">
        <w:rPr>
          <w:rFonts w:ascii="Palatino Linotype" w:hAnsi="Palatino Linotype"/>
          <w:b/>
          <w:i/>
          <w:spacing w:val="-9"/>
          <w:lang w:val="es-ES_tradnl"/>
        </w:rPr>
        <w:t xml:space="preserve"> </w:t>
      </w:r>
      <w:r w:rsidRPr="00DC2A65">
        <w:rPr>
          <w:rFonts w:ascii="Palatino Linotype" w:hAnsi="Palatino Linotype"/>
          <w:b/>
          <w:i/>
          <w:lang w:val="es-ES_tradnl"/>
        </w:rPr>
        <w:t>de</w:t>
      </w:r>
      <w:r w:rsidRPr="00DC2A65">
        <w:rPr>
          <w:rFonts w:ascii="Palatino Linotype" w:hAnsi="Palatino Linotype"/>
          <w:b/>
          <w:i/>
          <w:spacing w:val="-11"/>
          <w:lang w:val="es-ES_tradnl"/>
        </w:rPr>
        <w:t xml:space="preserve"> </w:t>
      </w:r>
      <w:r w:rsidRPr="00DC2A65">
        <w:rPr>
          <w:rFonts w:ascii="Palatino Linotype" w:hAnsi="Palatino Linotype"/>
          <w:b/>
          <w:i/>
          <w:lang w:val="es-ES_tradnl"/>
        </w:rPr>
        <w:t>un</w:t>
      </w:r>
      <w:r w:rsidRPr="00DC2A65">
        <w:rPr>
          <w:rFonts w:ascii="Palatino Linotype" w:hAnsi="Palatino Linotype"/>
          <w:b/>
          <w:i/>
          <w:spacing w:val="-10"/>
          <w:lang w:val="es-ES_tradnl"/>
        </w:rPr>
        <w:t xml:space="preserve"> </w:t>
      </w:r>
      <w:r w:rsidRPr="00DC2A65">
        <w:rPr>
          <w:rFonts w:ascii="Palatino Linotype" w:hAnsi="Palatino Linotype"/>
          <w:b/>
          <w:i/>
          <w:lang w:val="es-ES_tradnl"/>
        </w:rPr>
        <w:t>órgano</w:t>
      </w:r>
      <w:r w:rsidRPr="00DC2A65">
        <w:rPr>
          <w:rFonts w:ascii="Palatino Linotype" w:hAnsi="Palatino Linotype"/>
          <w:b/>
          <w:i/>
          <w:spacing w:val="-5"/>
          <w:lang w:val="es-ES_tradnl"/>
        </w:rPr>
        <w:t xml:space="preserve"> </w:t>
      </w:r>
      <w:r w:rsidRPr="00DC2A65">
        <w:rPr>
          <w:rFonts w:ascii="Palatino Linotype" w:hAnsi="Palatino Linotype"/>
          <w:b/>
          <w:i/>
          <w:lang w:val="es-ES_tradnl"/>
        </w:rPr>
        <w:t>garante local</w:t>
      </w:r>
      <w:r w:rsidRPr="00DC2A65">
        <w:rPr>
          <w:rFonts w:ascii="Palatino Linotype" w:hAnsi="Palatino Linotype"/>
          <w:b/>
          <w:i/>
          <w:spacing w:val="-6"/>
          <w:lang w:val="es-ES_tradnl"/>
        </w:rPr>
        <w:t xml:space="preserve"> </w:t>
      </w:r>
      <w:r w:rsidRPr="00DC2A65">
        <w:rPr>
          <w:rFonts w:ascii="Palatino Linotype" w:hAnsi="Palatino Linotype"/>
          <w:b/>
          <w:i/>
          <w:lang w:val="es-ES_tradnl"/>
        </w:rPr>
        <w:t>atente</w:t>
      </w:r>
      <w:r w:rsidRPr="00DC2A65">
        <w:rPr>
          <w:rFonts w:ascii="Palatino Linotype" w:hAnsi="Palatino Linotype"/>
          <w:b/>
          <w:i/>
          <w:spacing w:val="-6"/>
          <w:lang w:val="es-ES_tradnl"/>
        </w:rPr>
        <w:t xml:space="preserve"> </w:t>
      </w:r>
      <w:r w:rsidRPr="00DC2A65">
        <w:rPr>
          <w:rFonts w:ascii="Palatino Linotype" w:hAnsi="Palatino Linotype"/>
          <w:b/>
          <w:i/>
          <w:lang w:val="es-ES_tradnl"/>
        </w:rPr>
        <w:t>en</w:t>
      </w:r>
      <w:r w:rsidRPr="00DC2A65">
        <w:rPr>
          <w:rFonts w:ascii="Palatino Linotype" w:hAnsi="Palatino Linotype"/>
          <w:b/>
          <w:i/>
          <w:spacing w:val="-5"/>
          <w:lang w:val="es-ES_tradnl"/>
        </w:rPr>
        <w:t xml:space="preserve"> </w:t>
      </w:r>
      <w:r w:rsidRPr="00DC2A65">
        <w:rPr>
          <w:rFonts w:ascii="Palatino Linotype" w:hAnsi="Palatino Linotype"/>
          <w:b/>
          <w:i/>
          <w:lang w:val="es-ES_tradnl"/>
        </w:rPr>
        <w:t>contra</w:t>
      </w:r>
      <w:r w:rsidRPr="00DC2A65">
        <w:rPr>
          <w:rFonts w:ascii="Palatino Linotype" w:hAnsi="Palatino Linotype"/>
          <w:b/>
          <w:i/>
          <w:spacing w:val="-2"/>
          <w:lang w:val="es-ES_tradnl"/>
        </w:rPr>
        <w:t xml:space="preserve"> </w:t>
      </w:r>
      <w:r w:rsidRPr="00DC2A65">
        <w:rPr>
          <w:rFonts w:ascii="Palatino Linotype" w:hAnsi="Palatino Linotype"/>
          <w:b/>
          <w:i/>
          <w:lang w:val="es-ES_tradnl"/>
        </w:rPr>
        <w:t>del</w:t>
      </w:r>
      <w:r w:rsidRPr="00DC2A65">
        <w:rPr>
          <w:rFonts w:ascii="Palatino Linotype" w:hAnsi="Palatino Linotype"/>
          <w:b/>
          <w:i/>
          <w:spacing w:val="-2"/>
          <w:lang w:val="es-ES_tradnl"/>
        </w:rPr>
        <w:t xml:space="preserve"> </w:t>
      </w:r>
      <w:r w:rsidRPr="00DC2A65">
        <w:rPr>
          <w:rFonts w:ascii="Palatino Linotype" w:hAnsi="Palatino Linotype"/>
          <w:b/>
          <w:i/>
          <w:lang w:val="es-ES_tradnl"/>
        </w:rPr>
        <w:t>efectivo</w:t>
      </w:r>
      <w:r w:rsidRPr="00DC2A65">
        <w:rPr>
          <w:rFonts w:ascii="Palatino Linotype" w:hAnsi="Palatino Linotype"/>
          <w:b/>
          <w:i/>
          <w:spacing w:val="-4"/>
          <w:lang w:val="es-ES_tradnl"/>
        </w:rPr>
        <w:t xml:space="preserve"> </w:t>
      </w:r>
      <w:r w:rsidRPr="00DC2A65">
        <w:rPr>
          <w:rFonts w:ascii="Palatino Linotype" w:hAnsi="Palatino Linotype"/>
          <w:b/>
          <w:i/>
          <w:lang w:val="es-ES_tradnl"/>
        </w:rPr>
        <w:t>ejercicio</w:t>
      </w:r>
      <w:r w:rsidRPr="00DC2A65">
        <w:rPr>
          <w:rFonts w:ascii="Palatino Linotype" w:hAnsi="Palatino Linotype"/>
          <w:b/>
          <w:i/>
          <w:spacing w:val="-5"/>
          <w:lang w:val="es-ES_tradnl"/>
        </w:rPr>
        <w:t xml:space="preserve"> </w:t>
      </w:r>
      <w:r w:rsidRPr="00DC2A65">
        <w:rPr>
          <w:rFonts w:ascii="Palatino Linotype" w:hAnsi="Palatino Linotype"/>
          <w:b/>
          <w:i/>
          <w:lang w:val="es-ES_tradnl"/>
        </w:rPr>
        <w:t>de</w:t>
      </w:r>
      <w:r w:rsidRPr="00DC2A65">
        <w:rPr>
          <w:rFonts w:ascii="Palatino Linotype" w:hAnsi="Palatino Linotype"/>
          <w:b/>
          <w:i/>
          <w:spacing w:val="-2"/>
          <w:lang w:val="es-ES_tradnl"/>
        </w:rPr>
        <w:t xml:space="preserve"> </w:t>
      </w:r>
      <w:r w:rsidRPr="00DC2A65">
        <w:rPr>
          <w:rFonts w:ascii="Palatino Linotype" w:hAnsi="Palatino Linotype"/>
          <w:b/>
          <w:i/>
          <w:lang w:val="es-ES_tradnl"/>
        </w:rPr>
        <w:t>su</w:t>
      </w:r>
      <w:r w:rsidRPr="00DC2A65">
        <w:rPr>
          <w:rFonts w:ascii="Palatino Linotype" w:hAnsi="Palatino Linotype"/>
          <w:b/>
          <w:i/>
          <w:spacing w:val="-9"/>
          <w:lang w:val="es-ES_tradnl"/>
        </w:rPr>
        <w:t xml:space="preserve"> </w:t>
      </w:r>
      <w:r w:rsidRPr="00DC2A65">
        <w:rPr>
          <w:rFonts w:ascii="Palatino Linotype" w:hAnsi="Palatino Linotype"/>
          <w:b/>
          <w:i/>
          <w:lang w:val="es-ES_tradnl"/>
        </w:rPr>
        <w:t>derecho</w:t>
      </w:r>
      <w:r w:rsidRPr="00DC2A65">
        <w:rPr>
          <w:rFonts w:ascii="Palatino Linotype" w:hAnsi="Palatino Linotype"/>
          <w:b/>
          <w:i/>
          <w:spacing w:val="-5"/>
          <w:lang w:val="es-ES_tradnl"/>
        </w:rPr>
        <w:t xml:space="preserve"> </w:t>
      </w:r>
      <w:r w:rsidRPr="00DC2A65">
        <w:rPr>
          <w:rFonts w:ascii="Palatino Linotype" w:hAnsi="Palatino Linotype"/>
          <w:b/>
          <w:i/>
          <w:lang w:val="es-ES_tradnl"/>
        </w:rPr>
        <w:t>de</w:t>
      </w:r>
      <w:r w:rsidRPr="00DC2A65">
        <w:rPr>
          <w:rFonts w:ascii="Palatino Linotype" w:hAnsi="Palatino Linotype"/>
          <w:b/>
          <w:i/>
          <w:spacing w:val="-2"/>
          <w:lang w:val="es-ES_tradnl"/>
        </w:rPr>
        <w:t xml:space="preserve"> </w:t>
      </w:r>
      <w:r w:rsidRPr="00DC2A65">
        <w:rPr>
          <w:rFonts w:ascii="Palatino Linotype" w:hAnsi="Palatino Linotype"/>
          <w:b/>
          <w:i/>
          <w:lang w:val="es-ES_tradnl"/>
        </w:rPr>
        <w:t>acceso</w:t>
      </w:r>
      <w:r w:rsidRPr="00DC2A65">
        <w:rPr>
          <w:rFonts w:ascii="Palatino Linotype" w:hAnsi="Palatino Linotype"/>
          <w:b/>
          <w:i/>
          <w:spacing w:val="-4"/>
          <w:lang w:val="es-ES_tradnl"/>
        </w:rPr>
        <w:t xml:space="preserve"> </w:t>
      </w:r>
      <w:r w:rsidRPr="00DC2A65">
        <w:rPr>
          <w:rFonts w:ascii="Palatino Linotype" w:hAnsi="Palatino Linotype"/>
          <w:b/>
          <w:i/>
          <w:lang w:val="es-ES_tradnl"/>
        </w:rPr>
        <w:t>a</w:t>
      </w:r>
      <w:r w:rsidRPr="00DC2A65">
        <w:rPr>
          <w:rFonts w:ascii="Palatino Linotype" w:hAnsi="Palatino Linotype"/>
          <w:b/>
          <w:i/>
          <w:spacing w:val="-1"/>
          <w:lang w:val="es-ES_tradnl"/>
        </w:rPr>
        <w:t xml:space="preserve"> </w:t>
      </w:r>
      <w:r w:rsidRPr="00DC2A65">
        <w:rPr>
          <w:rFonts w:ascii="Palatino Linotype" w:hAnsi="Palatino Linotype"/>
          <w:b/>
          <w:i/>
          <w:lang w:val="es-ES_tradnl"/>
        </w:rPr>
        <w:t>la información</w:t>
      </w:r>
      <w:r w:rsidRPr="00DC2A65">
        <w:rPr>
          <w:rFonts w:ascii="Palatino Linotype" w:hAnsi="Palatino Linotype"/>
          <w:i/>
          <w:lang w:val="es-ES_tradnl"/>
        </w:rPr>
        <w:t xml:space="preserve">; cuestión en la que claro está, </w:t>
      </w:r>
      <w:r w:rsidRPr="00DC2A65">
        <w:rPr>
          <w:rFonts w:ascii="Palatino Linotype" w:hAnsi="Palatino Linotype"/>
          <w:i/>
          <w:spacing w:val="-3"/>
          <w:lang w:val="es-ES_tradnl"/>
        </w:rPr>
        <w:t xml:space="preserve">se </w:t>
      </w:r>
      <w:r w:rsidRPr="00DC2A65">
        <w:rPr>
          <w:rFonts w:ascii="Palatino Linotype" w:hAnsi="Palatino Linotype"/>
          <w:i/>
          <w:lang w:val="es-ES_tradnl"/>
        </w:rPr>
        <w:t xml:space="preserve">encuentran incluidas </w:t>
      </w:r>
      <w:r w:rsidRPr="00DC2A65">
        <w:rPr>
          <w:rFonts w:ascii="Palatino Linotype" w:hAnsi="Palatino Linotype"/>
          <w:i/>
          <w:lang w:val="es-ES_tradnl"/>
        </w:rPr>
        <w:lastRenderedPageBreak/>
        <w:t>aquellas determinaciones que pudieran constituir una negativa de acceso a la información en los términos requeridos por el</w:t>
      </w:r>
      <w:r w:rsidRPr="00DC2A65">
        <w:rPr>
          <w:rFonts w:ascii="Palatino Linotype" w:hAnsi="Palatino Linotype"/>
          <w:i/>
          <w:spacing w:val="-17"/>
          <w:lang w:val="es-ES_tradnl"/>
        </w:rPr>
        <w:t xml:space="preserve"> </w:t>
      </w:r>
      <w:r w:rsidRPr="00DC2A65">
        <w:rPr>
          <w:rFonts w:ascii="Palatino Linotype" w:hAnsi="Palatino Linotype"/>
          <w:i/>
          <w:lang w:val="es-ES_tradnl"/>
        </w:rPr>
        <w:t>particular.</w:t>
      </w:r>
    </w:p>
    <w:p w:rsidR="00334AC9" w:rsidRPr="00DC2A65"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DC2A65" w:rsidRDefault="00334AC9" w:rsidP="00334AC9">
      <w:pPr>
        <w:spacing w:line="276" w:lineRule="auto"/>
        <w:ind w:left="720" w:right="108" w:hanging="720"/>
        <w:jc w:val="both"/>
        <w:rPr>
          <w:rFonts w:ascii="Palatino Linotype" w:hAnsi="Palatino Linotype"/>
          <w:i/>
          <w:lang w:val="es-ES_tradnl"/>
        </w:rPr>
      </w:pPr>
      <w:r w:rsidRPr="00DC2A65">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DC2A65">
        <w:rPr>
          <w:rFonts w:ascii="Palatino Linotype" w:hAnsi="Palatino Linotype"/>
          <w:i/>
          <w:spacing w:val="-43"/>
          <w:lang w:val="es-ES_tradnl"/>
        </w:rPr>
        <w:t xml:space="preserve"> </w:t>
      </w:r>
      <w:r w:rsidRPr="00DC2A65">
        <w:rPr>
          <w:rFonts w:ascii="Palatino Linotype" w:hAnsi="Palatino Linotype"/>
          <w:i/>
          <w:lang w:val="es-ES_tradnl"/>
        </w:rPr>
        <w:t xml:space="preserve">y se constituye en el </w:t>
      </w:r>
      <w:r w:rsidRPr="00DC2A65">
        <w:rPr>
          <w:rFonts w:ascii="Palatino Linotype" w:hAnsi="Palatino Linotype"/>
          <w:i/>
          <w:spacing w:val="-2"/>
          <w:lang w:val="es-ES_tradnl"/>
        </w:rPr>
        <w:t xml:space="preserve">primer </w:t>
      </w:r>
      <w:r w:rsidRPr="00DC2A65">
        <w:rPr>
          <w:rFonts w:ascii="Palatino Linotype" w:hAnsi="Palatino Linotype"/>
          <w:b/>
          <w:i/>
          <w:lang w:val="es-ES_tradnl"/>
        </w:rPr>
        <w:t xml:space="preserve">precedente judicial respecto de </w:t>
      </w:r>
      <w:r w:rsidRPr="00DC2A65">
        <w:rPr>
          <w:rFonts w:ascii="Palatino Linotype" w:hAnsi="Palatino Linotype"/>
          <w:b/>
          <w:i/>
          <w:spacing w:val="-3"/>
          <w:lang w:val="es-ES_tradnl"/>
        </w:rPr>
        <w:t xml:space="preserve">la </w:t>
      </w:r>
      <w:r w:rsidRPr="00DC2A65">
        <w:rPr>
          <w:rFonts w:ascii="Palatino Linotype" w:hAnsi="Palatino Linotype"/>
          <w:b/>
          <w:i/>
          <w:lang w:val="es-ES_tradnl"/>
        </w:rPr>
        <w:t>interpretación de las causales de procedencia del recurso de inconformidad</w:t>
      </w:r>
      <w:r w:rsidRPr="00DC2A65">
        <w:rPr>
          <w:rFonts w:ascii="Palatino Linotype" w:hAnsi="Palatino Linotype"/>
          <w:i/>
          <w:lang w:val="es-ES_tradnl"/>
        </w:rPr>
        <w:t>, contenidas en el artículo</w:t>
      </w:r>
      <w:r w:rsidRPr="00DC2A65">
        <w:rPr>
          <w:rFonts w:ascii="Palatino Linotype" w:hAnsi="Palatino Linotype"/>
          <w:i/>
          <w:spacing w:val="-6"/>
          <w:lang w:val="es-ES_tradnl"/>
        </w:rPr>
        <w:t xml:space="preserve"> </w:t>
      </w:r>
      <w:r w:rsidRPr="00DC2A65">
        <w:rPr>
          <w:rFonts w:ascii="Palatino Linotype" w:hAnsi="Palatino Linotype"/>
          <w:i/>
          <w:lang w:val="es-ES_tradnl"/>
        </w:rPr>
        <w:t>160</w:t>
      </w:r>
      <w:r w:rsidRPr="00DC2A65">
        <w:rPr>
          <w:rFonts w:ascii="Palatino Linotype" w:hAnsi="Palatino Linotype"/>
          <w:i/>
          <w:spacing w:val="-5"/>
          <w:lang w:val="es-ES_tradnl"/>
        </w:rPr>
        <w:t xml:space="preserve"> </w:t>
      </w:r>
      <w:r w:rsidRPr="00DC2A65">
        <w:rPr>
          <w:rFonts w:ascii="Palatino Linotype" w:hAnsi="Palatino Linotype"/>
          <w:i/>
          <w:lang w:val="es-ES_tradnl"/>
        </w:rPr>
        <w:t>de</w:t>
      </w:r>
      <w:r w:rsidRPr="00DC2A65">
        <w:rPr>
          <w:rFonts w:ascii="Palatino Linotype" w:hAnsi="Palatino Linotype"/>
          <w:i/>
          <w:spacing w:val="-10"/>
          <w:lang w:val="es-ES_tradnl"/>
        </w:rPr>
        <w:t xml:space="preserve"> </w:t>
      </w:r>
      <w:r w:rsidRPr="00DC2A65">
        <w:rPr>
          <w:rFonts w:ascii="Palatino Linotype" w:hAnsi="Palatino Linotype"/>
          <w:i/>
          <w:lang w:val="es-ES_tradnl"/>
        </w:rPr>
        <w:t>la</w:t>
      </w:r>
      <w:r w:rsidRPr="00DC2A65">
        <w:rPr>
          <w:rFonts w:ascii="Palatino Linotype" w:hAnsi="Palatino Linotype"/>
          <w:i/>
          <w:spacing w:val="-1"/>
          <w:lang w:val="es-ES_tradnl"/>
        </w:rPr>
        <w:t xml:space="preserve"> </w:t>
      </w:r>
      <w:r w:rsidRPr="00DC2A65">
        <w:rPr>
          <w:rFonts w:ascii="Palatino Linotype" w:hAnsi="Palatino Linotype"/>
          <w:i/>
          <w:lang w:val="es-ES_tradnl"/>
        </w:rPr>
        <w:t>Ley</w:t>
      </w:r>
      <w:r w:rsidRPr="00DC2A65">
        <w:rPr>
          <w:rFonts w:ascii="Palatino Linotype" w:hAnsi="Palatino Linotype"/>
          <w:i/>
          <w:spacing w:val="-7"/>
          <w:lang w:val="es-ES_tradnl"/>
        </w:rPr>
        <w:t xml:space="preserve"> </w:t>
      </w:r>
      <w:r w:rsidRPr="00DC2A65">
        <w:rPr>
          <w:rFonts w:ascii="Palatino Linotype" w:hAnsi="Palatino Linotype"/>
          <w:i/>
          <w:lang w:val="es-ES_tradnl"/>
        </w:rPr>
        <w:t>General</w:t>
      </w:r>
      <w:r w:rsidRPr="00DC2A65">
        <w:rPr>
          <w:rFonts w:ascii="Palatino Linotype" w:hAnsi="Palatino Linotype"/>
          <w:i/>
          <w:spacing w:val="-6"/>
          <w:lang w:val="es-ES_tradnl"/>
        </w:rPr>
        <w:t xml:space="preserve"> </w:t>
      </w:r>
      <w:r w:rsidRPr="00DC2A65">
        <w:rPr>
          <w:rFonts w:ascii="Palatino Linotype" w:hAnsi="Palatino Linotype"/>
          <w:i/>
          <w:lang w:val="es-ES_tradnl"/>
        </w:rPr>
        <w:t>de</w:t>
      </w:r>
      <w:r w:rsidRPr="00DC2A65">
        <w:rPr>
          <w:rFonts w:ascii="Palatino Linotype" w:hAnsi="Palatino Linotype"/>
          <w:i/>
          <w:spacing w:val="-10"/>
          <w:lang w:val="es-ES_tradnl"/>
        </w:rPr>
        <w:t xml:space="preserve"> </w:t>
      </w:r>
      <w:r w:rsidRPr="00DC2A65">
        <w:rPr>
          <w:rFonts w:ascii="Palatino Linotype" w:hAnsi="Palatino Linotype"/>
          <w:i/>
          <w:lang w:val="es-ES_tradnl"/>
        </w:rPr>
        <w:t>Transparencia</w:t>
      </w:r>
      <w:r w:rsidRPr="00DC2A65">
        <w:rPr>
          <w:rFonts w:ascii="Palatino Linotype" w:hAnsi="Palatino Linotype"/>
          <w:i/>
          <w:spacing w:val="-5"/>
          <w:lang w:val="es-ES_tradnl"/>
        </w:rPr>
        <w:t xml:space="preserve"> </w:t>
      </w:r>
      <w:r w:rsidRPr="00DC2A65">
        <w:rPr>
          <w:rFonts w:ascii="Palatino Linotype" w:hAnsi="Palatino Linotype"/>
          <w:i/>
          <w:lang w:val="es-ES_tradnl"/>
        </w:rPr>
        <w:t>y</w:t>
      </w:r>
      <w:r w:rsidRPr="00DC2A65">
        <w:rPr>
          <w:rFonts w:ascii="Palatino Linotype" w:hAnsi="Palatino Linotype"/>
          <w:i/>
          <w:spacing w:val="-1"/>
          <w:lang w:val="es-ES_tradnl"/>
        </w:rPr>
        <w:t xml:space="preserve"> </w:t>
      </w:r>
      <w:r w:rsidRPr="00DC2A65">
        <w:rPr>
          <w:rFonts w:ascii="Palatino Linotype" w:hAnsi="Palatino Linotype"/>
          <w:i/>
          <w:lang w:val="es-ES_tradnl"/>
        </w:rPr>
        <w:t>Acceso</w:t>
      </w:r>
      <w:r w:rsidRPr="00DC2A65">
        <w:rPr>
          <w:rFonts w:ascii="Palatino Linotype" w:hAnsi="Palatino Linotype"/>
          <w:i/>
          <w:spacing w:val="-6"/>
          <w:lang w:val="es-ES_tradnl"/>
        </w:rPr>
        <w:t xml:space="preserve"> </w:t>
      </w:r>
      <w:r w:rsidRPr="00DC2A65">
        <w:rPr>
          <w:rFonts w:ascii="Palatino Linotype" w:hAnsi="Palatino Linotype"/>
          <w:i/>
          <w:lang w:val="es-ES_tradnl"/>
        </w:rPr>
        <w:t>a</w:t>
      </w:r>
      <w:r w:rsidRPr="00DC2A65">
        <w:rPr>
          <w:rFonts w:ascii="Palatino Linotype" w:hAnsi="Palatino Linotype"/>
          <w:i/>
          <w:spacing w:val="-5"/>
          <w:lang w:val="es-ES_tradnl"/>
        </w:rPr>
        <w:t xml:space="preserve"> </w:t>
      </w:r>
      <w:r w:rsidRPr="00DC2A65">
        <w:rPr>
          <w:rFonts w:ascii="Palatino Linotype" w:hAnsi="Palatino Linotype"/>
          <w:i/>
          <w:lang w:val="es-ES_tradnl"/>
        </w:rPr>
        <w:t>la</w:t>
      </w:r>
      <w:r w:rsidRPr="00DC2A65">
        <w:rPr>
          <w:rFonts w:ascii="Palatino Linotype" w:hAnsi="Palatino Linotype"/>
          <w:i/>
          <w:spacing w:val="-5"/>
          <w:lang w:val="es-ES_tradnl"/>
        </w:rPr>
        <w:t xml:space="preserve"> </w:t>
      </w:r>
      <w:r w:rsidRPr="00DC2A65">
        <w:rPr>
          <w:rFonts w:ascii="Palatino Linotype" w:hAnsi="Palatino Linotype"/>
          <w:i/>
          <w:lang w:val="es-ES_tradnl"/>
        </w:rPr>
        <w:t>Información</w:t>
      </w:r>
      <w:r w:rsidRPr="00DC2A65">
        <w:rPr>
          <w:rFonts w:ascii="Palatino Linotype" w:hAnsi="Palatino Linotype"/>
          <w:i/>
          <w:spacing w:val="-5"/>
          <w:lang w:val="es-ES_tradnl"/>
        </w:rPr>
        <w:t xml:space="preserve"> </w:t>
      </w:r>
      <w:r w:rsidRPr="00DC2A65">
        <w:rPr>
          <w:rFonts w:ascii="Palatino Linotype" w:hAnsi="Palatino Linotype"/>
          <w:i/>
          <w:lang w:val="es-ES_tradnl"/>
        </w:rPr>
        <w:t>Pública.</w:t>
      </w:r>
    </w:p>
    <w:p w:rsidR="00334AC9" w:rsidRPr="00DC2A65"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DC2A65" w:rsidRDefault="00334AC9" w:rsidP="00334AC9">
      <w:pPr>
        <w:spacing w:line="276" w:lineRule="auto"/>
        <w:ind w:left="720" w:right="108" w:hanging="720"/>
        <w:jc w:val="both"/>
        <w:rPr>
          <w:rFonts w:ascii="Palatino Linotype" w:hAnsi="Palatino Linotype"/>
          <w:i/>
          <w:lang w:val="es-ES_tradnl"/>
        </w:rPr>
      </w:pPr>
      <w:r w:rsidRPr="00DC2A65">
        <w:rPr>
          <w:rFonts w:ascii="Palatino Linotype" w:hAnsi="Palatino Linotype"/>
          <w:i/>
          <w:lang w:val="es-ES_tradnl"/>
        </w:rPr>
        <w:tab/>
        <w:t xml:space="preserve">Por consiguiente, se estima conveniente considerar que </w:t>
      </w:r>
      <w:r w:rsidRPr="00DC2A65">
        <w:rPr>
          <w:rFonts w:ascii="Palatino Linotype" w:hAnsi="Palatino Linotype"/>
          <w:b/>
          <w:i/>
          <w:lang w:val="es-ES_tradnl"/>
        </w:rPr>
        <w:t xml:space="preserve">el recurso de inconformidad es idóneo para reclamar diversas negativas de acceso a la información que se imputen a órganos garantes locales, </w:t>
      </w:r>
      <w:r w:rsidRPr="00DC2A65">
        <w:rPr>
          <w:rFonts w:ascii="Palatino Linotype" w:hAnsi="Palatino Linotype"/>
          <w:i/>
          <w:lang w:val="es-ES_tradnl"/>
        </w:rPr>
        <w:t>sin que debamos limitarnos sólo a la confirmación o modificación de clasificación, confirmación de inexistencia,</w:t>
      </w:r>
      <w:r w:rsidRPr="00DC2A65">
        <w:rPr>
          <w:rFonts w:ascii="Palatino Linotype" w:hAnsi="Palatino Linotype"/>
          <w:i/>
          <w:spacing w:val="-11"/>
          <w:lang w:val="es-ES_tradnl"/>
        </w:rPr>
        <w:t xml:space="preserve"> </w:t>
      </w:r>
      <w:r w:rsidRPr="00DC2A65">
        <w:rPr>
          <w:rFonts w:ascii="Palatino Linotype" w:hAnsi="Palatino Linotype"/>
          <w:i/>
          <w:lang w:val="es-ES_tradnl"/>
        </w:rPr>
        <w:t>o</w:t>
      </w:r>
      <w:r w:rsidRPr="00DC2A65">
        <w:rPr>
          <w:rFonts w:ascii="Palatino Linotype" w:hAnsi="Palatino Linotype"/>
          <w:i/>
          <w:spacing w:val="-15"/>
          <w:lang w:val="es-ES_tradnl"/>
        </w:rPr>
        <w:t xml:space="preserve"> </w:t>
      </w:r>
      <w:r w:rsidRPr="00DC2A65">
        <w:rPr>
          <w:rFonts w:ascii="Palatino Linotype" w:hAnsi="Palatino Linotype"/>
          <w:i/>
          <w:lang w:val="es-ES_tradnl"/>
        </w:rPr>
        <w:t>la</w:t>
      </w:r>
      <w:r w:rsidRPr="00DC2A65">
        <w:rPr>
          <w:rFonts w:ascii="Palatino Linotype" w:hAnsi="Palatino Linotype"/>
          <w:i/>
          <w:spacing w:val="-11"/>
          <w:lang w:val="es-ES_tradnl"/>
        </w:rPr>
        <w:t xml:space="preserve"> </w:t>
      </w:r>
      <w:r w:rsidRPr="00DC2A65">
        <w:rPr>
          <w:rFonts w:ascii="Palatino Linotype" w:hAnsi="Palatino Linotype"/>
          <w:i/>
          <w:lang w:val="es-ES_tradnl"/>
        </w:rPr>
        <w:t>falta</w:t>
      </w:r>
      <w:r w:rsidRPr="00DC2A65">
        <w:rPr>
          <w:rFonts w:ascii="Palatino Linotype" w:hAnsi="Palatino Linotype"/>
          <w:i/>
          <w:spacing w:val="-10"/>
          <w:lang w:val="es-ES_tradnl"/>
        </w:rPr>
        <w:t xml:space="preserve"> </w:t>
      </w:r>
      <w:r w:rsidRPr="00DC2A65">
        <w:rPr>
          <w:rFonts w:ascii="Palatino Linotype" w:hAnsi="Palatino Linotype"/>
          <w:i/>
          <w:lang w:val="es-ES_tradnl"/>
        </w:rPr>
        <w:t>de</w:t>
      </w:r>
      <w:r w:rsidRPr="00DC2A65">
        <w:rPr>
          <w:rFonts w:ascii="Palatino Linotype" w:hAnsi="Palatino Linotype"/>
          <w:i/>
          <w:spacing w:val="-11"/>
          <w:lang w:val="es-ES_tradnl"/>
        </w:rPr>
        <w:t xml:space="preserve"> </w:t>
      </w:r>
      <w:r w:rsidRPr="00DC2A65">
        <w:rPr>
          <w:rFonts w:ascii="Palatino Linotype" w:hAnsi="Palatino Linotype"/>
          <w:i/>
          <w:lang w:val="es-ES_tradnl"/>
        </w:rPr>
        <w:t>una</w:t>
      </w:r>
      <w:r w:rsidRPr="00DC2A65">
        <w:rPr>
          <w:rFonts w:ascii="Palatino Linotype" w:hAnsi="Palatino Linotype"/>
          <w:i/>
          <w:spacing w:val="-10"/>
          <w:lang w:val="es-ES_tradnl"/>
        </w:rPr>
        <w:t xml:space="preserve"> </w:t>
      </w:r>
      <w:r w:rsidRPr="00DC2A65">
        <w:rPr>
          <w:rFonts w:ascii="Palatino Linotype" w:hAnsi="Palatino Linotype"/>
          <w:i/>
          <w:lang w:val="es-ES_tradnl"/>
        </w:rPr>
        <w:t>resolución</w:t>
      </w:r>
      <w:r w:rsidRPr="00DC2A65">
        <w:rPr>
          <w:rFonts w:ascii="Palatino Linotype" w:hAnsi="Palatino Linotype"/>
          <w:i/>
          <w:spacing w:val="-11"/>
          <w:lang w:val="es-ES_tradnl"/>
        </w:rPr>
        <w:t xml:space="preserve"> </w:t>
      </w:r>
      <w:r w:rsidRPr="00DC2A65">
        <w:rPr>
          <w:rFonts w:ascii="Palatino Linotype" w:hAnsi="Palatino Linotype"/>
          <w:i/>
          <w:lang w:val="es-ES_tradnl"/>
        </w:rPr>
        <w:t>dentro</w:t>
      </w:r>
      <w:r w:rsidRPr="00DC2A65">
        <w:rPr>
          <w:rFonts w:ascii="Palatino Linotype" w:hAnsi="Palatino Linotype"/>
          <w:i/>
          <w:spacing w:val="-10"/>
          <w:lang w:val="es-ES_tradnl"/>
        </w:rPr>
        <w:t xml:space="preserve"> </w:t>
      </w:r>
      <w:r w:rsidRPr="00DC2A65">
        <w:rPr>
          <w:rFonts w:ascii="Palatino Linotype" w:hAnsi="Palatino Linotype"/>
          <w:i/>
          <w:lang w:val="es-ES_tradnl"/>
        </w:rPr>
        <w:t>del</w:t>
      </w:r>
      <w:r w:rsidRPr="00DC2A65">
        <w:rPr>
          <w:rFonts w:ascii="Palatino Linotype" w:hAnsi="Palatino Linotype"/>
          <w:i/>
          <w:spacing w:val="-12"/>
          <w:lang w:val="es-ES_tradnl"/>
        </w:rPr>
        <w:t xml:space="preserve"> </w:t>
      </w:r>
      <w:r w:rsidRPr="00DC2A65">
        <w:rPr>
          <w:rFonts w:ascii="Palatino Linotype" w:hAnsi="Palatino Linotype"/>
          <w:i/>
          <w:lang w:val="es-ES_tradnl"/>
        </w:rPr>
        <w:t>plazo</w:t>
      </w:r>
      <w:r w:rsidRPr="00DC2A65">
        <w:rPr>
          <w:rFonts w:ascii="Palatino Linotype" w:hAnsi="Palatino Linotype"/>
          <w:i/>
          <w:spacing w:val="-10"/>
          <w:lang w:val="es-ES_tradnl"/>
        </w:rPr>
        <w:t xml:space="preserve"> </w:t>
      </w:r>
      <w:r w:rsidRPr="00DC2A65">
        <w:rPr>
          <w:rFonts w:ascii="Palatino Linotype" w:hAnsi="Palatino Linotype"/>
          <w:i/>
          <w:lang w:val="es-ES_tradnl"/>
        </w:rPr>
        <w:t>previsto</w:t>
      </w:r>
      <w:r w:rsidRPr="00DC2A65">
        <w:rPr>
          <w:rFonts w:ascii="Palatino Linotype" w:hAnsi="Palatino Linotype"/>
          <w:i/>
          <w:spacing w:val="-10"/>
          <w:lang w:val="es-ES_tradnl"/>
        </w:rPr>
        <w:t xml:space="preserve"> </w:t>
      </w:r>
      <w:r w:rsidRPr="00DC2A65">
        <w:rPr>
          <w:rFonts w:ascii="Palatino Linotype" w:hAnsi="Palatino Linotype"/>
          <w:i/>
          <w:lang w:val="es-ES_tradnl"/>
        </w:rPr>
        <w:t>para</w:t>
      </w:r>
      <w:r w:rsidRPr="00DC2A65">
        <w:rPr>
          <w:rFonts w:ascii="Palatino Linotype" w:hAnsi="Palatino Linotype"/>
          <w:i/>
          <w:spacing w:val="-10"/>
          <w:lang w:val="es-ES_tradnl"/>
        </w:rPr>
        <w:t xml:space="preserve"> </w:t>
      </w:r>
      <w:r w:rsidRPr="00DC2A65">
        <w:rPr>
          <w:rFonts w:ascii="Palatino Linotype" w:hAnsi="Palatino Linotype"/>
          <w:i/>
          <w:lang w:val="es-ES_tradnl"/>
        </w:rPr>
        <w:t>ello,</w:t>
      </w:r>
      <w:r w:rsidRPr="00DC2A65">
        <w:rPr>
          <w:rFonts w:ascii="Palatino Linotype" w:hAnsi="Palatino Linotype"/>
          <w:i/>
          <w:spacing w:val="-11"/>
          <w:lang w:val="es-ES_tradnl"/>
        </w:rPr>
        <w:t xml:space="preserve"> </w:t>
      </w:r>
      <w:r w:rsidRPr="00DC2A65">
        <w:rPr>
          <w:rFonts w:ascii="Palatino Linotype" w:hAnsi="Palatino Linotype"/>
          <w:i/>
          <w:lang w:val="es-ES_tradnl"/>
        </w:rPr>
        <w:t>esto</w:t>
      </w:r>
      <w:r w:rsidRPr="00DC2A65">
        <w:rPr>
          <w:rFonts w:ascii="Palatino Linotype" w:hAnsi="Palatino Linotype"/>
          <w:i/>
          <w:spacing w:val="-9"/>
          <w:lang w:val="es-ES_tradnl"/>
        </w:rPr>
        <w:t xml:space="preserve"> </w:t>
      </w:r>
      <w:r w:rsidRPr="00DC2A65">
        <w:rPr>
          <w:rFonts w:ascii="Palatino Linotype" w:hAnsi="Palatino Linotype"/>
          <w:i/>
          <w:lang w:val="es-ES_tradnl"/>
        </w:rPr>
        <w:t xml:space="preserve">con el fin de </w:t>
      </w:r>
      <w:r w:rsidRPr="00DC2A65">
        <w:rPr>
          <w:rFonts w:ascii="Palatino Linotype" w:hAnsi="Palatino Linotype"/>
          <w:b/>
          <w:i/>
          <w:lang w:val="es-ES_tradnl"/>
        </w:rPr>
        <w:t>favorecer la tutela del derecho de acceso a la información</w:t>
      </w:r>
      <w:r w:rsidRPr="00DC2A65">
        <w:rPr>
          <w:rFonts w:ascii="Palatino Linotype" w:hAnsi="Palatino Linotype"/>
          <w:i/>
          <w:lang w:val="es-ES_tradnl"/>
        </w:rPr>
        <w:t>; por lo anterior es que resulta procedente la admisión al existir una causal de procedencia en el caso que nos</w:t>
      </w:r>
      <w:r w:rsidRPr="00DC2A65">
        <w:rPr>
          <w:rFonts w:ascii="Palatino Linotype" w:hAnsi="Palatino Linotype"/>
          <w:i/>
          <w:spacing w:val="-2"/>
          <w:lang w:val="es-ES_tradnl"/>
        </w:rPr>
        <w:t xml:space="preserve"> </w:t>
      </w:r>
      <w:r w:rsidRPr="00DC2A65">
        <w:rPr>
          <w:rFonts w:ascii="Palatino Linotype" w:hAnsi="Palatino Linotype"/>
          <w:i/>
          <w:lang w:val="es-ES_tradnl"/>
        </w:rPr>
        <w:t>ocupa.”</w:t>
      </w:r>
    </w:p>
    <w:p w:rsidR="00334AC9" w:rsidRPr="00DC2A65"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DC2A65"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DC2A65">
        <w:rPr>
          <w:rFonts w:ascii="Palatino Linotype" w:hAnsi="Palatino Linotype"/>
          <w:spacing w:val="-3"/>
          <w:lang w:val="es-ES_tradnl"/>
        </w:rPr>
        <w:t xml:space="preserve"> </w:t>
      </w:r>
      <w:r w:rsidRPr="00DC2A65">
        <w:rPr>
          <w:rFonts w:ascii="Palatino Linotype" w:hAnsi="Palatino Linotype"/>
          <w:lang w:val="es-ES_tradnl"/>
        </w:rPr>
        <w:t>recurso</w:t>
      </w:r>
      <w:r w:rsidRPr="00DC2A65">
        <w:rPr>
          <w:rFonts w:ascii="Palatino Linotype" w:hAnsi="Palatino Linotype"/>
          <w:spacing w:val="-3"/>
          <w:lang w:val="es-ES_tradnl"/>
        </w:rPr>
        <w:t xml:space="preserve"> </w:t>
      </w:r>
      <w:r w:rsidRPr="00DC2A65">
        <w:rPr>
          <w:rFonts w:ascii="Palatino Linotype" w:hAnsi="Palatino Linotype"/>
          <w:lang w:val="es-ES_tradnl"/>
        </w:rPr>
        <w:t>de</w:t>
      </w:r>
      <w:r w:rsidRPr="00DC2A65">
        <w:rPr>
          <w:rFonts w:ascii="Palatino Linotype" w:hAnsi="Palatino Linotype"/>
          <w:spacing w:val="-6"/>
          <w:lang w:val="es-ES_tradnl"/>
        </w:rPr>
        <w:t xml:space="preserve"> </w:t>
      </w:r>
      <w:r w:rsidRPr="00DC2A65">
        <w:rPr>
          <w:rFonts w:ascii="Palatino Linotype" w:hAnsi="Palatino Linotype"/>
          <w:lang w:val="es-ES_tradnl"/>
        </w:rPr>
        <w:t>inconformidad</w:t>
      </w:r>
      <w:r w:rsidRPr="00DC2A65">
        <w:rPr>
          <w:rFonts w:ascii="Palatino Linotype" w:hAnsi="Palatino Linotype"/>
          <w:spacing w:val="-3"/>
          <w:lang w:val="es-ES_tradnl"/>
        </w:rPr>
        <w:t xml:space="preserve"> </w:t>
      </w:r>
      <w:r w:rsidRPr="00DC2A65">
        <w:rPr>
          <w:rFonts w:ascii="Palatino Linotype" w:hAnsi="Palatino Linotype"/>
          <w:lang w:val="es-ES_tradnl"/>
        </w:rPr>
        <w:t>procede</w:t>
      </w:r>
      <w:r w:rsidRPr="00DC2A65">
        <w:rPr>
          <w:rFonts w:ascii="Palatino Linotype" w:hAnsi="Palatino Linotype"/>
          <w:spacing w:val="-6"/>
          <w:lang w:val="es-ES_tradnl"/>
        </w:rPr>
        <w:t xml:space="preserve"> </w:t>
      </w:r>
      <w:r w:rsidRPr="00DC2A65">
        <w:rPr>
          <w:rFonts w:ascii="Palatino Linotype" w:hAnsi="Palatino Linotype"/>
          <w:lang w:val="es-ES_tradnl"/>
        </w:rPr>
        <w:t>en</w:t>
      </w:r>
      <w:r w:rsidRPr="00DC2A65">
        <w:rPr>
          <w:rFonts w:ascii="Palatino Linotype" w:hAnsi="Palatino Linotype"/>
          <w:spacing w:val="-6"/>
          <w:lang w:val="es-ES_tradnl"/>
        </w:rPr>
        <w:t xml:space="preserve"> </w:t>
      </w:r>
      <w:r w:rsidRPr="00DC2A65">
        <w:rPr>
          <w:rFonts w:ascii="Palatino Linotype" w:hAnsi="Palatino Linotype"/>
          <w:lang w:val="es-ES_tradnl"/>
        </w:rPr>
        <w:t>contra</w:t>
      </w:r>
      <w:r w:rsidRPr="00DC2A65">
        <w:rPr>
          <w:rFonts w:ascii="Palatino Linotype" w:hAnsi="Palatino Linotype"/>
          <w:spacing w:val="-3"/>
          <w:lang w:val="es-ES_tradnl"/>
        </w:rPr>
        <w:t xml:space="preserve"> </w:t>
      </w:r>
      <w:r w:rsidRPr="00DC2A65">
        <w:rPr>
          <w:rFonts w:ascii="Palatino Linotype" w:hAnsi="Palatino Linotype"/>
          <w:lang w:val="es-ES_tradnl"/>
        </w:rPr>
        <w:t>de las resoluciones que tengan por sentido confirmar o modificar la clasificación de la información, o en su caso, confirmar la inexistencia o negativa de</w:t>
      </w:r>
      <w:r w:rsidRPr="00DC2A65">
        <w:rPr>
          <w:rFonts w:ascii="Palatino Linotype" w:hAnsi="Palatino Linotype"/>
          <w:spacing w:val="-31"/>
          <w:lang w:val="es-ES_tradnl"/>
        </w:rPr>
        <w:t xml:space="preserve"> </w:t>
      </w:r>
      <w:r w:rsidRPr="00DC2A65">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DC2A65">
        <w:rPr>
          <w:rFonts w:ascii="Palatino Linotype" w:hAnsi="Palatino Linotype"/>
          <w:lang w:val="es-ES_tradnl"/>
        </w:rPr>
        <w:lastRenderedPageBreak/>
        <w:t>Materia Administrativa</w:t>
      </w:r>
      <w:r w:rsidRPr="00DC2A65">
        <w:rPr>
          <w:rFonts w:ascii="Palatino Linotype" w:hAnsi="Palatino Linotype"/>
          <w:spacing w:val="-17"/>
          <w:lang w:val="es-ES_tradnl"/>
        </w:rPr>
        <w:t xml:space="preserve"> </w:t>
      </w:r>
      <w:r w:rsidRPr="00DC2A65">
        <w:rPr>
          <w:rFonts w:ascii="Palatino Linotype" w:hAnsi="Palatino Linotype"/>
          <w:lang w:val="es-ES_tradnl"/>
        </w:rPr>
        <w:t>en</w:t>
      </w:r>
      <w:r w:rsidRPr="00DC2A65">
        <w:rPr>
          <w:rFonts w:ascii="Palatino Linotype" w:hAnsi="Palatino Linotype"/>
          <w:spacing w:val="-16"/>
          <w:lang w:val="es-ES_tradnl"/>
        </w:rPr>
        <w:t xml:space="preserve"> </w:t>
      </w:r>
      <w:r w:rsidRPr="00DC2A65">
        <w:rPr>
          <w:rFonts w:ascii="Palatino Linotype" w:hAnsi="Palatino Linotype"/>
          <w:lang w:val="es-ES_tradnl"/>
        </w:rPr>
        <w:t>la</w:t>
      </w:r>
      <w:r w:rsidRPr="00DC2A65">
        <w:rPr>
          <w:rFonts w:ascii="Palatino Linotype" w:hAnsi="Palatino Linotype"/>
          <w:spacing w:val="-16"/>
          <w:lang w:val="es-ES_tradnl"/>
        </w:rPr>
        <w:t xml:space="preserve"> </w:t>
      </w:r>
      <w:r w:rsidRPr="00DC2A65">
        <w:rPr>
          <w:rFonts w:ascii="Palatino Linotype" w:hAnsi="Palatino Linotype"/>
          <w:lang w:val="es-ES_tradnl"/>
        </w:rPr>
        <w:t>Ciudad</w:t>
      </w:r>
      <w:r w:rsidRPr="00DC2A65">
        <w:rPr>
          <w:rFonts w:ascii="Palatino Linotype" w:hAnsi="Palatino Linotype"/>
          <w:spacing w:val="-15"/>
          <w:lang w:val="es-ES_tradnl"/>
        </w:rPr>
        <w:t xml:space="preserve"> </w:t>
      </w:r>
      <w:r w:rsidRPr="00DC2A65">
        <w:rPr>
          <w:rFonts w:ascii="Palatino Linotype" w:hAnsi="Palatino Linotype"/>
          <w:lang w:val="es-ES_tradnl"/>
        </w:rPr>
        <w:t>de</w:t>
      </w:r>
      <w:r w:rsidRPr="00DC2A65">
        <w:rPr>
          <w:rFonts w:ascii="Palatino Linotype" w:hAnsi="Palatino Linotype"/>
          <w:spacing w:val="-11"/>
          <w:lang w:val="es-ES_tradnl"/>
        </w:rPr>
        <w:t xml:space="preserve"> </w:t>
      </w:r>
      <w:r w:rsidRPr="00DC2A65">
        <w:rPr>
          <w:rFonts w:ascii="Palatino Linotype" w:hAnsi="Palatino Linotype"/>
          <w:lang w:val="es-ES_tradnl"/>
        </w:rPr>
        <w:t>México,</w:t>
      </w:r>
      <w:r w:rsidRPr="00DC2A65">
        <w:rPr>
          <w:rFonts w:ascii="Palatino Linotype" w:hAnsi="Palatino Linotype"/>
          <w:spacing w:val="-12"/>
          <w:lang w:val="es-ES_tradnl"/>
        </w:rPr>
        <w:t xml:space="preserve"> en el amparo 1703/2016 mediante el cual </w:t>
      </w:r>
      <w:r w:rsidRPr="00DC2A65">
        <w:rPr>
          <w:rFonts w:ascii="Palatino Linotype" w:hAnsi="Palatino Linotype"/>
          <w:lang w:val="es-ES_tradnl"/>
        </w:rPr>
        <w:t>se dejó sin efectos la resolución del expediente RIA 0020/16 y, de ser el caso, se admitiera</w:t>
      </w:r>
      <w:r w:rsidRPr="00DC2A65">
        <w:rPr>
          <w:rFonts w:ascii="Palatino Linotype" w:hAnsi="Palatino Linotype"/>
          <w:spacing w:val="-16"/>
          <w:lang w:val="es-ES_tradnl"/>
        </w:rPr>
        <w:t xml:space="preserve"> </w:t>
      </w:r>
      <w:r w:rsidRPr="00DC2A65">
        <w:rPr>
          <w:rFonts w:ascii="Palatino Linotype" w:hAnsi="Palatino Linotype"/>
          <w:lang w:val="es-ES_tradnl"/>
        </w:rPr>
        <w:t>a</w:t>
      </w:r>
      <w:r w:rsidRPr="00DC2A65">
        <w:rPr>
          <w:rFonts w:ascii="Palatino Linotype" w:hAnsi="Palatino Linotype"/>
          <w:spacing w:val="-16"/>
          <w:lang w:val="es-ES_tradnl"/>
        </w:rPr>
        <w:t xml:space="preserve"> </w:t>
      </w:r>
      <w:r w:rsidRPr="00DC2A65">
        <w:rPr>
          <w:rFonts w:ascii="Palatino Linotype" w:hAnsi="Palatino Linotype"/>
          <w:lang w:val="es-ES_tradnl"/>
        </w:rPr>
        <w:t>trámite</w:t>
      </w:r>
      <w:r w:rsidRPr="00DC2A65">
        <w:rPr>
          <w:rFonts w:ascii="Palatino Linotype" w:hAnsi="Palatino Linotype"/>
          <w:spacing w:val="-16"/>
          <w:lang w:val="es-ES_tradnl"/>
        </w:rPr>
        <w:t xml:space="preserve"> </w:t>
      </w:r>
      <w:r w:rsidRPr="00DC2A65">
        <w:rPr>
          <w:rFonts w:ascii="Palatino Linotype" w:hAnsi="Palatino Linotype"/>
          <w:lang w:val="es-ES_tradnl"/>
        </w:rPr>
        <w:t>el</w:t>
      </w:r>
      <w:r w:rsidRPr="00DC2A65">
        <w:rPr>
          <w:rFonts w:ascii="Palatino Linotype" w:hAnsi="Palatino Linotype"/>
          <w:spacing w:val="-8"/>
          <w:lang w:val="es-ES_tradnl"/>
        </w:rPr>
        <w:t xml:space="preserve"> </w:t>
      </w:r>
      <w:r w:rsidRPr="00DC2A65">
        <w:rPr>
          <w:rFonts w:ascii="Palatino Linotype" w:hAnsi="Palatino Linotype"/>
          <w:lang w:val="es-ES_tradnl"/>
        </w:rPr>
        <w:t>recurso</w:t>
      </w:r>
      <w:r w:rsidRPr="00DC2A65">
        <w:rPr>
          <w:rFonts w:ascii="Palatino Linotype" w:hAnsi="Palatino Linotype"/>
          <w:spacing w:val="-15"/>
          <w:lang w:val="es-ES_tradnl"/>
        </w:rPr>
        <w:t xml:space="preserve"> </w:t>
      </w:r>
      <w:r w:rsidRPr="00DC2A65">
        <w:rPr>
          <w:rFonts w:ascii="Palatino Linotype" w:hAnsi="Palatino Linotype"/>
          <w:lang w:val="es-ES_tradnl"/>
        </w:rPr>
        <w:t>de</w:t>
      </w:r>
      <w:r w:rsidRPr="00DC2A65">
        <w:rPr>
          <w:rFonts w:ascii="Palatino Linotype" w:hAnsi="Palatino Linotype"/>
          <w:spacing w:val="-21"/>
          <w:lang w:val="es-ES_tradnl"/>
        </w:rPr>
        <w:t xml:space="preserve"> </w:t>
      </w:r>
      <w:r w:rsidRPr="00DC2A65">
        <w:rPr>
          <w:rFonts w:ascii="Palatino Linotype" w:hAnsi="Palatino Linotype"/>
          <w:lang w:val="es-ES_tradnl"/>
        </w:rPr>
        <w:t>inconformidad.</w:t>
      </w:r>
    </w:p>
    <w:p w:rsidR="00334AC9" w:rsidRPr="00DC2A65"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DC2A65"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Asimismo, refiere que en la sentencia de amparo el Juzgado de Distrito resolvió que el recurso de inconformidad es idóneo para reclamar toda clase de negativas</w:t>
      </w:r>
      <w:r w:rsidRPr="00DC2A65">
        <w:rPr>
          <w:rFonts w:ascii="Palatino Linotype" w:hAnsi="Palatino Linotype"/>
          <w:spacing w:val="-8"/>
          <w:lang w:val="es-ES_tradnl"/>
        </w:rPr>
        <w:t xml:space="preserve"> </w:t>
      </w:r>
      <w:r w:rsidRPr="00DC2A65">
        <w:rPr>
          <w:rFonts w:ascii="Palatino Linotype" w:hAnsi="Palatino Linotype"/>
          <w:lang w:val="es-ES_tradnl"/>
        </w:rPr>
        <w:t>de</w:t>
      </w:r>
      <w:r w:rsidRPr="00DC2A65">
        <w:rPr>
          <w:rFonts w:ascii="Palatino Linotype" w:hAnsi="Palatino Linotype"/>
          <w:spacing w:val="-8"/>
          <w:lang w:val="es-ES_tradnl"/>
        </w:rPr>
        <w:t xml:space="preserve"> </w:t>
      </w:r>
      <w:r w:rsidRPr="00DC2A65">
        <w:rPr>
          <w:rFonts w:ascii="Palatino Linotype" w:hAnsi="Palatino Linotype"/>
          <w:lang w:val="es-ES_tradnl"/>
        </w:rPr>
        <w:t>acceso</w:t>
      </w:r>
      <w:r w:rsidRPr="00DC2A65">
        <w:rPr>
          <w:rFonts w:ascii="Palatino Linotype" w:hAnsi="Palatino Linotype"/>
          <w:spacing w:val="-7"/>
          <w:lang w:val="es-ES_tradnl"/>
        </w:rPr>
        <w:t xml:space="preserve"> </w:t>
      </w:r>
      <w:r w:rsidRPr="00DC2A65">
        <w:rPr>
          <w:rFonts w:ascii="Palatino Linotype" w:hAnsi="Palatino Linotype"/>
          <w:lang w:val="es-ES_tradnl"/>
        </w:rPr>
        <w:t>a</w:t>
      </w:r>
      <w:r w:rsidRPr="00DC2A65">
        <w:rPr>
          <w:rFonts w:ascii="Palatino Linotype" w:hAnsi="Palatino Linotype"/>
          <w:spacing w:val="-12"/>
          <w:lang w:val="es-ES_tradnl"/>
        </w:rPr>
        <w:t xml:space="preserve"> </w:t>
      </w:r>
      <w:r w:rsidRPr="00DC2A65">
        <w:rPr>
          <w:rFonts w:ascii="Palatino Linotype" w:hAnsi="Palatino Linotype"/>
          <w:lang w:val="es-ES_tradnl"/>
        </w:rPr>
        <w:t>la</w:t>
      </w:r>
      <w:r w:rsidRPr="00DC2A65">
        <w:rPr>
          <w:rFonts w:ascii="Palatino Linotype" w:hAnsi="Palatino Linotype"/>
          <w:spacing w:val="-12"/>
          <w:lang w:val="es-ES_tradnl"/>
        </w:rPr>
        <w:t xml:space="preserve"> </w:t>
      </w:r>
      <w:r w:rsidRPr="00DC2A65">
        <w:rPr>
          <w:rFonts w:ascii="Palatino Linotype" w:hAnsi="Palatino Linotype"/>
          <w:lang w:val="es-ES_tradnl"/>
        </w:rPr>
        <w:t>información</w:t>
      </w:r>
      <w:r w:rsidRPr="00DC2A65">
        <w:rPr>
          <w:rFonts w:ascii="Palatino Linotype" w:hAnsi="Palatino Linotype"/>
          <w:spacing w:val="-15"/>
          <w:lang w:val="es-ES_tradnl"/>
        </w:rPr>
        <w:t xml:space="preserve"> </w:t>
      </w:r>
      <w:r w:rsidRPr="00DC2A65">
        <w:rPr>
          <w:rFonts w:ascii="Palatino Linotype" w:hAnsi="Palatino Linotype"/>
          <w:lang w:val="es-ES_tradnl"/>
        </w:rPr>
        <w:t>que</w:t>
      </w:r>
      <w:r w:rsidRPr="00DC2A65">
        <w:rPr>
          <w:rFonts w:ascii="Palatino Linotype" w:hAnsi="Palatino Linotype"/>
          <w:spacing w:val="-8"/>
          <w:lang w:val="es-ES_tradnl"/>
        </w:rPr>
        <w:t xml:space="preserve"> </w:t>
      </w:r>
      <w:r w:rsidRPr="00DC2A65">
        <w:rPr>
          <w:rFonts w:ascii="Palatino Linotype" w:hAnsi="Palatino Linotype"/>
          <w:lang w:val="es-ES_tradnl"/>
        </w:rPr>
        <w:t>se</w:t>
      </w:r>
      <w:r w:rsidRPr="00DC2A65">
        <w:rPr>
          <w:rFonts w:ascii="Palatino Linotype" w:hAnsi="Palatino Linotype"/>
          <w:spacing w:val="-7"/>
          <w:lang w:val="es-ES_tradnl"/>
        </w:rPr>
        <w:t xml:space="preserve"> </w:t>
      </w:r>
      <w:r w:rsidRPr="00DC2A65">
        <w:rPr>
          <w:rFonts w:ascii="Palatino Linotype" w:hAnsi="Palatino Linotype"/>
          <w:lang w:val="es-ES_tradnl"/>
        </w:rPr>
        <w:t>imputen</w:t>
      </w:r>
      <w:r w:rsidRPr="00DC2A65">
        <w:rPr>
          <w:rFonts w:ascii="Palatino Linotype" w:hAnsi="Palatino Linotype"/>
          <w:spacing w:val="-11"/>
          <w:lang w:val="es-ES_tradnl"/>
        </w:rPr>
        <w:t xml:space="preserve"> </w:t>
      </w:r>
      <w:r w:rsidRPr="00DC2A65">
        <w:rPr>
          <w:rFonts w:ascii="Palatino Linotype" w:hAnsi="Palatino Linotype"/>
          <w:lang w:val="es-ES_tradnl"/>
        </w:rPr>
        <w:t>a</w:t>
      </w:r>
      <w:r w:rsidRPr="00DC2A65">
        <w:rPr>
          <w:rFonts w:ascii="Palatino Linotype" w:hAnsi="Palatino Linotype"/>
          <w:spacing w:val="-12"/>
          <w:lang w:val="es-ES_tradnl"/>
        </w:rPr>
        <w:t xml:space="preserve"> </w:t>
      </w:r>
      <w:r w:rsidRPr="00DC2A65">
        <w:rPr>
          <w:rFonts w:ascii="Palatino Linotype" w:hAnsi="Palatino Linotype"/>
          <w:lang w:val="es-ES_tradnl"/>
        </w:rPr>
        <w:t>órganos</w:t>
      </w:r>
      <w:r w:rsidRPr="00DC2A65">
        <w:rPr>
          <w:rFonts w:ascii="Palatino Linotype" w:hAnsi="Palatino Linotype"/>
          <w:spacing w:val="-13"/>
          <w:lang w:val="es-ES_tradnl"/>
        </w:rPr>
        <w:t xml:space="preserve"> </w:t>
      </w:r>
      <w:r w:rsidRPr="00DC2A65">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DC2A65">
        <w:rPr>
          <w:rFonts w:ascii="Palatino Linotype" w:hAnsi="Palatino Linotype"/>
          <w:spacing w:val="-3"/>
          <w:lang w:val="es-ES_tradnl"/>
        </w:rPr>
        <w:t xml:space="preserve">lo </w:t>
      </w:r>
      <w:r w:rsidRPr="00DC2A65">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DC2A65">
        <w:rPr>
          <w:rFonts w:ascii="Palatino Linotype" w:hAnsi="Palatino Linotype"/>
          <w:spacing w:val="-17"/>
          <w:lang w:val="es-ES_tradnl"/>
        </w:rPr>
        <w:t xml:space="preserve"> </w:t>
      </w:r>
      <w:r w:rsidRPr="00DC2A65">
        <w:rPr>
          <w:rFonts w:ascii="Palatino Linotype" w:hAnsi="Palatino Linotype"/>
          <w:lang w:val="es-ES_tradnl"/>
        </w:rPr>
        <w:t>constitucional</w:t>
      </w:r>
      <w:r w:rsidRPr="00DC2A65">
        <w:rPr>
          <w:rFonts w:ascii="Palatino Linotype" w:hAnsi="Palatino Linotype"/>
          <w:spacing w:val="-12"/>
          <w:lang w:val="es-ES_tradnl"/>
        </w:rPr>
        <w:t xml:space="preserve"> </w:t>
      </w:r>
      <w:r w:rsidRPr="00DC2A65">
        <w:rPr>
          <w:rFonts w:ascii="Palatino Linotype" w:hAnsi="Palatino Linotype"/>
          <w:lang w:val="es-ES_tradnl"/>
        </w:rPr>
        <w:t>por</w:t>
      </w:r>
      <w:r w:rsidRPr="00DC2A65">
        <w:rPr>
          <w:rFonts w:ascii="Palatino Linotype" w:hAnsi="Palatino Linotype"/>
          <w:spacing w:val="-15"/>
          <w:lang w:val="es-ES_tradnl"/>
        </w:rPr>
        <w:t xml:space="preserve"> </w:t>
      </w:r>
      <w:r w:rsidRPr="00DC2A65">
        <w:rPr>
          <w:rFonts w:ascii="Palatino Linotype" w:hAnsi="Palatino Linotype"/>
          <w:lang w:val="es-ES_tradnl"/>
        </w:rPr>
        <w:t>la</w:t>
      </w:r>
      <w:r w:rsidRPr="00DC2A65">
        <w:rPr>
          <w:rFonts w:ascii="Palatino Linotype" w:hAnsi="Palatino Linotype"/>
          <w:spacing w:val="-16"/>
          <w:lang w:val="es-ES_tradnl"/>
        </w:rPr>
        <w:t xml:space="preserve"> </w:t>
      </w:r>
      <w:r w:rsidRPr="00DC2A65">
        <w:rPr>
          <w:rFonts w:ascii="Palatino Linotype" w:hAnsi="Palatino Linotype"/>
          <w:lang w:val="es-ES_tradnl"/>
        </w:rPr>
        <w:t>cual</w:t>
      </w:r>
      <w:r w:rsidRPr="00DC2A65">
        <w:rPr>
          <w:rFonts w:ascii="Palatino Linotype" w:hAnsi="Palatino Linotype"/>
          <w:spacing w:val="-12"/>
          <w:lang w:val="es-ES_tradnl"/>
        </w:rPr>
        <w:t xml:space="preserve"> </w:t>
      </w:r>
      <w:r w:rsidRPr="00DC2A65">
        <w:rPr>
          <w:rFonts w:ascii="Palatino Linotype" w:hAnsi="Palatino Linotype"/>
          <w:lang w:val="es-ES_tradnl"/>
        </w:rPr>
        <w:t>fue</w:t>
      </w:r>
      <w:r w:rsidRPr="00DC2A65">
        <w:rPr>
          <w:rFonts w:ascii="Palatino Linotype" w:hAnsi="Palatino Linotype"/>
          <w:spacing w:val="-17"/>
          <w:lang w:val="es-ES_tradnl"/>
        </w:rPr>
        <w:t xml:space="preserve"> </w:t>
      </w:r>
      <w:r w:rsidRPr="00DC2A65">
        <w:rPr>
          <w:rFonts w:ascii="Palatino Linotype" w:hAnsi="Palatino Linotype"/>
          <w:lang w:val="es-ES_tradnl"/>
        </w:rPr>
        <w:t>creado</w:t>
      </w:r>
      <w:r w:rsidRPr="00DC2A65">
        <w:rPr>
          <w:rFonts w:ascii="Palatino Linotype" w:hAnsi="Palatino Linotype"/>
          <w:spacing w:val="-16"/>
          <w:lang w:val="es-ES_tradnl"/>
        </w:rPr>
        <w:t xml:space="preserve"> </w:t>
      </w:r>
      <w:r w:rsidRPr="00DC2A65">
        <w:rPr>
          <w:rFonts w:ascii="Palatino Linotype" w:hAnsi="Palatino Linotype"/>
          <w:lang w:val="es-ES_tradnl"/>
        </w:rPr>
        <w:t>el</w:t>
      </w:r>
      <w:r w:rsidRPr="00DC2A65">
        <w:rPr>
          <w:rFonts w:ascii="Palatino Linotype" w:hAnsi="Palatino Linotype"/>
          <w:spacing w:val="-12"/>
          <w:lang w:val="es-ES_tradnl"/>
        </w:rPr>
        <w:t xml:space="preserve"> </w:t>
      </w:r>
      <w:r w:rsidRPr="00DC2A65">
        <w:rPr>
          <w:rFonts w:ascii="Palatino Linotype" w:hAnsi="Palatino Linotype"/>
          <w:lang w:val="es-ES_tradnl"/>
        </w:rPr>
        <w:t>recurso</w:t>
      </w:r>
      <w:r w:rsidRPr="00DC2A65">
        <w:rPr>
          <w:rFonts w:ascii="Palatino Linotype" w:hAnsi="Palatino Linotype"/>
          <w:spacing w:val="-16"/>
          <w:lang w:val="es-ES_tradnl"/>
        </w:rPr>
        <w:t xml:space="preserve"> </w:t>
      </w:r>
      <w:r w:rsidRPr="00DC2A65">
        <w:rPr>
          <w:rFonts w:ascii="Palatino Linotype" w:hAnsi="Palatino Linotype"/>
          <w:lang w:val="es-ES_tradnl"/>
        </w:rPr>
        <w:t>de</w:t>
      </w:r>
      <w:r w:rsidRPr="00DC2A65">
        <w:rPr>
          <w:rFonts w:ascii="Palatino Linotype" w:hAnsi="Palatino Linotype"/>
          <w:spacing w:val="-16"/>
          <w:lang w:val="es-ES_tradnl"/>
        </w:rPr>
        <w:t xml:space="preserve"> </w:t>
      </w:r>
      <w:r w:rsidRPr="00DC2A65">
        <w:rPr>
          <w:rFonts w:ascii="Palatino Linotype" w:hAnsi="Palatino Linotype"/>
          <w:lang w:val="es-ES_tradnl"/>
        </w:rPr>
        <w:t>inconformidad,</w:t>
      </w:r>
      <w:r w:rsidRPr="00DC2A65">
        <w:rPr>
          <w:rFonts w:ascii="Palatino Linotype" w:hAnsi="Palatino Linotype"/>
          <w:spacing w:val="-16"/>
          <w:lang w:val="es-ES_tradnl"/>
        </w:rPr>
        <w:t xml:space="preserve"> </w:t>
      </w:r>
      <w:r w:rsidRPr="00DC2A65">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DC2A65">
        <w:rPr>
          <w:rFonts w:ascii="Palatino Linotype" w:hAnsi="Palatino Linotype"/>
          <w:spacing w:val="13"/>
          <w:lang w:val="es-ES_tradnl"/>
        </w:rPr>
        <w:t xml:space="preserve"> </w:t>
      </w:r>
      <w:r w:rsidRPr="00DC2A65">
        <w:rPr>
          <w:rFonts w:ascii="Palatino Linotype" w:hAnsi="Palatino Linotype"/>
          <w:lang w:val="es-ES_tradnl"/>
        </w:rPr>
        <w:t>protección</w:t>
      </w:r>
      <w:r w:rsidRPr="00DC2A65">
        <w:rPr>
          <w:rFonts w:ascii="Palatino Linotype" w:hAnsi="Palatino Linotype"/>
          <w:spacing w:val="14"/>
          <w:lang w:val="es-ES_tradnl"/>
        </w:rPr>
        <w:t xml:space="preserve"> </w:t>
      </w:r>
      <w:r w:rsidRPr="00DC2A65">
        <w:rPr>
          <w:rFonts w:ascii="Palatino Linotype" w:hAnsi="Palatino Linotype"/>
          <w:spacing w:val="-3"/>
          <w:lang w:val="es-ES_tradnl"/>
        </w:rPr>
        <w:t>del</w:t>
      </w:r>
      <w:r w:rsidRPr="00DC2A65">
        <w:rPr>
          <w:rFonts w:ascii="Palatino Linotype" w:hAnsi="Palatino Linotype"/>
          <w:spacing w:val="17"/>
          <w:lang w:val="es-ES_tradnl"/>
        </w:rPr>
        <w:t xml:space="preserve"> </w:t>
      </w:r>
      <w:r w:rsidRPr="00DC2A65">
        <w:rPr>
          <w:rFonts w:ascii="Palatino Linotype" w:hAnsi="Palatino Linotype"/>
          <w:lang w:val="es-ES_tradnl"/>
        </w:rPr>
        <w:t>derecho</w:t>
      </w:r>
      <w:r w:rsidRPr="00DC2A65">
        <w:rPr>
          <w:rFonts w:ascii="Palatino Linotype" w:hAnsi="Palatino Linotype"/>
          <w:spacing w:val="14"/>
          <w:lang w:val="es-ES_tradnl"/>
        </w:rPr>
        <w:t xml:space="preserve"> </w:t>
      </w:r>
      <w:r w:rsidRPr="00DC2A65">
        <w:rPr>
          <w:rFonts w:ascii="Palatino Linotype" w:hAnsi="Palatino Linotype"/>
          <w:lang w:val="es-ES_tradnl"/>
        </w:rPr>
        <w:t>de</w:t>
      </w:r>
      <w:r w:rsidRPr="00DC2A65">
        <w:rPr>
          <w:rFonts w:ascii="Palatino Linotype" w:hAnsi="Palatino Linotype"/>
          <w:spacing w:val="13"/>
          <w:lang w:val="es-ES_tradnl"/>
        </w:rPr>
        <w:t xml:space="preserve"> </w:t>
      </w:r>
      <w:r w:rsidRPr="00DC2A65">
        <w:rPr>
          <w:rFonts w:ascii="Palatino Linotype" w:hAnsi="Palatino Linotype"/>
          <w:lang w:val="es-ES_tradnl"/>
        </w:rPr>
        <w:t>acceso</w:t>
      </w:r>
      <w:r w:rsidRPr="00DC2A65">
        <w:rPr>
          <w:rFonts w:ascii="Palatino Linotype" w:hAnsi="Palatino Linotype"/>
          <w:spacing w:val="14"/>
          <w:lang w:val="es-ES_tradnl"/>
        </w:rPr>
        <w:t xml:space="preserve"> </w:t>
      </w:r>
      <w:r w:rsidRPr="00DC2A65">
        <w:rPr>
          <w:rFonts w:ascii="Palatino Linotype" w:hAnsi="Palatino Linotype"/>
          <w:lang w:val="es-ES_tradnl"/>
        </w:rPr>
        <w:t>a</w:t>
      </w:r>
      <w:r w:rsidRPr="00DC2A65">
        <w:rPr>
          <w:rFonts w:ascii="Palatino Linotype" w:hAnsi="Palatino Linotype"/>
          <w:spacing w:val="9"/>
          <w:lang w:val="es-ES_tradnl"/>
        </w:rPr>
        <w:t xml:space="preserve"> </w:t>
      </w:r>
      <w:r w:rsidRPr="00DC2A65">
        <w:rPr>
          <w:rFonts w:ascii="Palatino Linotype" w:hAnsi="Palatino Linotype"/>
          <w:lang w:val="es-ES_tradnl"/>
        </w:rPr>
        <w:t>la</w:t>
      </w:r>
      <w:r w:rsidRPr="00DC2A65">
        <w:rPr>
          <w:rFonts w:ascii="Palatino Linotype" w:hAnsi="Palatino Linotype"/>
          <w:spacing w:val="9"/>
          <w:lang w:val="es-ES_tradnl"/>
        </w:rPr>
        <w:t xml:space="preserve"> </w:t>
      </w:r>
      <w:r w:rsidRPr="00DC2A65">
        <w:rPr>
          <w:rFonts w:ascii="Palatino Linotype" w:hAnsi="Palatino Linotype"/>
          <w:lang w:val="es-ES_tradnl"/>
        </w:rPr>
        <w:t>información;</w:t>
      </w:r>
      <w:r w:rsidRPr="00DC2A65">
        <w:rPr>
          <w:rFonts w:ascii="Palatino Linotype" w:hAnsi="Palatino Linotype"/>
          <w:spacing w:val="14"/>
          <w:lang w:val="es-ES_tradnl"/>
        </w:rPr>
        <w:t xml:space="preserve"> de lo cual se desprende </w:t>
      </w:r>
      <w:r w:rsidRPr="00DC2A65">
        <w:rPr>
          <w:rFonts w:ascii="Palatino Linotype" w:hAnsi="Palatino Linotype"/>
          <w:lang w:val="es-ES_tradnl"/>
        </w:rPr>
        <w:t>que el recurso de inconformidad resulta procedente en todos los casos</w:t>
      </w:r>
      <w:r w:rsidRPr="00DC2A65">
        <w:rPr>
          <w:rFonts w:ascii="Palatino Linotype" w:hAnsi="Palatino Linotype"/>
          <w:spacing w:val="-12"/>
          <w:lang w:val="es-ES_tradnl"/>
        </w:rPr>
        <w:t xml:space="preserve"> </w:t>
      </w:r>
      <w:r w:rsidRPr="00DC2A65">
        <w:rPr>
          <w:rFonts w:ascii="Palatino Linotype" w:hAnsi="Palatino Linotype"/>
          <w:lang w:val="es-ES_tradnl"/>
        </w:rPr>
        <w:t>en</w:t>
      </w:r>
      <w:r w:rsidRPr="00DC2A65">
        <w:rPr>
          <w:rFonts w:ascii="Palatino Linotype" w:hAnsi="Palatino Linotype"/>
          <w:spacing w:val="-9"/>
          <w:lang w:val="es-ES_tradnl"/>
        </w:rPr>
        <w:t xml:space="preserve"> </w:t>
      </w:r>
      <w:r w:rsidRPr="00DC2A65">
        <w:rPr>
          <w:rFonts w:ascii="Palatino Linotype" w:hAnsi="Palatino Linotype"/>
          <w:lang w:val="es-ES_tradnl"/>
        </w:rPr>
        <w:t>que</w:t>
      </w:r>
      <w:r w:rsidRPr="00DC2A65">
        <w:rPr>
          <w:rFonts w:ascii="Palatino Linotype" w:hAnsi="Palatino Linotype"/>
          <w:spacing w:val="-6"/>
          <w:lang w:val="es-ES_tradnl"/>
        </w:rPr>
        <w:t xml:space="preserve"> </w:t>
      </w:r>
      <w:r w:rsidRPr="00DC2A65">
        <w:rPr>
          <w:rFonts w:ascii="Palatino Linotype" w:hAnsi="Palatino Linotype"/>
          <w:lang w:val="es-ES_tradnl"/>
        </w:rPr>
        <w:t>el</w:t>
      </w:r>
      <w:r w:rsidRPr="00DC2A65">
        <w:rPr>
          <w:rFonts w:ascii="Palatino Linotype" w:hAnsi="Palatino Linotype"/>
          <w:spacing w:val="-11"/>
          <w:lang w:val="es-ES_tradnl"/>
        </w:rPr>
        <w:t xml:space="preserve"> </w:t>
      </w:r>
      <w:r w:rsidRPr="00DC2A65">
        <w:rPr>
          <w:rFonts w:ascii="Palatino Linotype" w:hAnsi="Palatino Linotype"/>
          <w:lang w:val="es-ES_tradnl"/>
        </w:rPr>
        <w:t>particular</w:t>
      </w:r>
      <w:r w:rsidRPr="00DC2A65">
        <w:rPr>
          <w:rFonts w:ascii="Palatino Linotype" w:hAnsi="Palatino Linotype"/>
          <w:spacing w:val="-9"/>
          <w:lang w:val="es-ES_tradnl"/>
        </w:rPr>
        <w:t xml:space="preserve"> </w:t>
      </w:r>
      <w:r w:rsidRPr="00DC2A65">
        <w:rPr>
          <w:rFonts w:ascii="Palatino Linotype" w:hAnsi="Palatino Linotype"/>
          <w:lang w:val="es-ES_tradnl"/>
        </w:rPr>
        <w:t>estime</w:t>
      </w:r>
      <w:r w:rsidRPr="00DC2A65">
        <w:rPr>
          <w:rFonts w:ascii="Palatino Linotype" w:hAnsi="Palatino Linotype"/>
          <w:spacing w:val="-7"/>
          <w:lang w:val="es-ES_tradnl"/>
        </w:rPr>
        <w:t xml:space="preserve"> </w:t>
      </w:r>
      <w:r w:rsidRPr="00DC2A65">
        <w:rPr>
          <w:rFonts w:ascii="Palatino Linotype" w:hAnsi="Palatino Linotype"/>
          <w:lang w:val="es-ES_tradnl"/>
        </w:rPr>
        <w:t>que</w:t>
      </w:r>
      <w:r w:rsidRPr="00DC2A65">
        <w:rPr>
          <w:rFonts w:ascii="Palatino Linotype" w:hAnsi="Palatino Linotype"/>
          <w:spacing w:val="-6"/>
          <w:lang w:val="es-ES_tradnl"/>
        </w:rPr>
        <w:t xml:space="preserve"> </w:t>
      </w:r>
      <w:r w:rsidRPr="00DC2A65">
        <w:rPr>
          <w:rFonts w:ascii="Palatino Linotype" w:hAnsi="Palatino Linotype"/>
          <w:lang w:val="es-ES_tradnl"/>
        </w:rPr>
        <w:t>la</w:t>
      </w:r>
      <w:r w:rsidRPr="00DC2A65">
        <w:rPr>
          <w:rFonts w:ascii="Palatino Linotype" w:hAnsi="Palatino Linotype"/>
          <w:spacing w:val="-6"/>
          <w:lang w:val="es-ES_tradnl"/>
        </w:rPr>
        <w:t xml:space="preserve"> </w:t>
      </w:r>
      <w:r w:rsidRPr="00DC2A65">
        <w:rPr>
          <w:rFonts w:ascii="Palatino Linotype" w:hAnsi="Palatino Linotype"/>
          <w:lang w:val="es-ES_tradnl"/>
        </w:rPr>
        <w:t>resolución</w:t>
      </w:r>
      <w:r w:rsidRPr="00DC2A65">
        <w:rPr>
          <w:rFonts w:ascii="Palatino Linotype" w:hAnsi="Palatino Linotype"/>
          <w:spacing w:val="-9"/>
          <w:lang w:val="es-ES_tradnl"/>
        </w:rPr>
        <w:t xml:space="preserve"> </w:t>
      </w:r>
      <w:r w:rsidRPr="00DC2A65">
        <w:rPr>
          <w:rFonts w:ascii="Palatino Linotype" w:hAnsi="Palatino Linotype"/>
          <w:lang w:val="es-ES_tradnl"/>
        </w:rPr>
        <w:t>de</w:t>
      </w:r>
      <w:r w:rsidRPr="00DC2A65">
        <w:rPr>
          <w:rFonts w:ascii="Palatino Linotype" w:hAnsi="Palatino Linotype"/>
          <w:spacing w:val="-11"/>
          <w:lang w:val="es-ES_tradnl"/>
        </w:rPr>
        <w:t xml:space="preserve"> </w:t>
      </w:r>
      <w:r w:rsidRPr="00DC2A65">
        <w:rPr>
          <w:rFonts w:ascii="Palatino Linotype" w:hAnsi="Palatino Linotype"/>
          <w:lang w:val="es-ES_tradnl"/>
        </w:rPr>
        <w:t>un</w:t>
      </w:r>
      <w:r w:rsidRPr="00DC2A65">
        <w:rPr>
          <w:rFonts w:ascii="Palatino Linotype" w:hAnsi="Palatino Linotype"/>
          <w:spacing w:val="-10"/>
          <w:lang w:val="es-ES_tradnl"/>
        </w:rPr>
        <w:t xml:space="preserve"> </w:t>
      </w:r>
      <w:r w:rsidRPr="00DC2A65">
        <w:rPr>
          <w:rFonts w:ascii="Palatino Linotype" w:hAnsi="Palatino Linotype"/>
          <w:lang w:val="es-ES_tradnl"/>
        </w:rPr>
        <w:t>órgano</w:t>
      </w:r>
      <w:r w:rsidRPr="00DC2A65">
        <w:rPr>
          <w:rFonts w:ascii="Palatino Linotype" w:hAnsi="Palatino Linotype"/>
          <w:spacing w:val="-5"/>
          <w:lang w:val="es-ES_tradnl"/>
        </w:rPr>
        <w:t xml:space="preserve"> </w:t>
      </w:r>
      <w:r w:rsidRPr="00DC2A65">
        <w:rPr>
          <w:rFonts w:ascii="Palatino Linotype" w:hAnsi="Palatino Linotype"/>
          <w:lang w:val="es-ES_tradnl"/>
        </w:rPr>
        <w:t>garante local</w:t>
      </w:r>
      <w:r w:rsidRPr="00DC2A65">
        <w:rPr>
          <w:rFonts w:ascii="Palatino Linotype" w:hAnsi="Palatino Linotype"/>
          <w:spacing w:val="-6"/>
          <w:lang w:val="es-ES_tradnl"/>
        </w:rPr>
        <w:t xml:space="preserve"> </w:t>
      </w:r>
      <w:r w:rsidRPr="00DC2A65">
        <w:rPr>
          <w:rFonts w:ascii="Palatino Linotype" w:hAnsi="Palatino Linotype"/>
          <w:lang w:val="es-ES_tradnl"/>
        </w:rPr>
        <w:t>atente</w:t>
      </w:r>
      <w:r w:rsidRPr="00DC2A65">
        <w:rPr>
          <w:rFonts w:ascii="Palatino Linotype" w:hAnsi="Palatino Linotype"/>
          <w:spacing w:val="-6"/>
          <w:lang w:val="es-ES_tradnl"/>
        </w:rPr>
        <w:t xml:space="preserve"> </w:t>
      </w:r>
      <w:r w:rsidRPr="00DC2A65">
        <w:rPr>
          <w:rFonts w:ascii="Palatino Linotype" w:hAnsi="Palatino Linotype"/>
          <w:lang w:val="es-ES_tradnl"/>
        </w:rPr>
        <w:t>en</w:t>
      </w:r>
      <w:r w:rsidRPr="00DC2A65">
        <w:rPr>
          <w:rFonts w:ascii="Palatino Linotype" w:hAnsi="Palatino Linotype"/>
          <w:spacing w:val="-5"/>
          <w:lang w:val="es-ES_tradnl"/>
        </w:rPr>
        <w:t xml:space="preserve"> </w:t>
      </w:r>
      <w:r w:rsidRPr="00DC2A65">
        <w:rPr>
          <w:rFonts w:ascii="Palatino Linotype" w:hAnsi="Palatino Linotype"/>
          <w:lang w:val="es-ES_tradnl"/>
        </w:rPr>
        <w:t>contra</w:t>
      </w:r>
      <w:r w:rsidRPr="00DC2A65">
        <w:rPr>
          <w:rFonts w:ascii="Palatino Linotype" w:hAnsi="Palatino Linotype"/>
          <w:spacing w:val="-2"/>
          <w:lang w:val="es-ES_tradnl"/>
        </w:rPr>
        <w:t xml:space="preserve"> </w:t>
      </w:r>
      <w:r w:rsidRPr="00DC2A65">
        <w:rPr>
          <w:rFonts w:ascii="Palatino Linotype" w:hAnsi="Palatino Linotype"/>
          <w:lang w:val="es-ES_tradnl"/>
        </w:rPr>
        <w:t>del</w:t>
      </w:r>
      <w:r w:rsidRPr="00DC2A65">
        <w:rPr>
          <w:rFonts w:ascii="Palatino Linotype" w:hAnsi="Palatino Linotype"/>
          <w:spacing w:val="-2"/>
          <w:lang w:val="es-ES_tradnl"/>
        </w:rPr>
        <w:t xml:space="preserve"> </w:t>
      </w:r>
      <w:r w:rsidRPr="00DC2A65">
        <w:rPr>
          <w:rFonts w:ascii="Palatino Linotype" w:hAnsi="Palatino Linotype"/>
          <w:lang w:val="es-ES_tradnl"/>
        </w:rPr>
        <w:t>efectivo</w:t>
      </w:r>
      <w:r w:rsidRPr="00DC2A65">
        <w:rPr>
          <w:rFonts w:ascii="Palatino Linotype" w:hAnsi="Palatino Linotype"/>
          <w:spacing w:val="-4"/>
          <w:lang w:val="es-ES_tradnl"/>
        </w:rPr>
        <w:t xml:space="preserve"> </w:t>
      </w:r>
      <w:r w:rsidRPr="00DC2A65">
        <w:rPr>
          <w:rFonts w:ascii="Palatino Linotype" w:hAnsi="Palatino Linotype"/>
          <w:lang w:val="es-ES_tradnl"/>
        </w:rPr>
        <w:t>ejercicio</w:t>
      </w:r>
      <w:r w:rsidRPr="00DC2A65">
        <w:rPr>
          <w:rFonts w:ascii="Palatino Linotype" w:hAnsi="Palatino Linotype"/>
          <w:spacing w:val="-5"/>
          <w:lang w:val="es-ES_tradnl"/>
        </w:rPr>
        <w:t xml:space="preserve"> </w:t>
      </w:r>
      <w:r w:rsidRPr="00DC2A65">
        <w:rPr>
          <w:rFonts w:ascii="Palatino Linotype" w:hAnsi="Palatino Linotype"/>
          <w:lang w:val="es-ES_tradnl"/>
        </w:rPr>
        <w:t>de</w:t>
      </w:r>
      <w:r w:rsidRPr="00DC2A65">
        <w:rPr>
          <w:rFonts w:ascii="Palatino Linotype" w:hAnsi="Palatino Linotype"/>
          <w:spacing w:val="-2"/>
          <w:lang w:val="es-ES_tradnl"/>
        </w:rPr>
        <w:t xml:space="preserve"> </w:t>
      </w:r>
      <w:r w:rsidRPr="00DC2A65">
        <w:rPr>
          <w:rFonts w:ascii="Palatino Linotype" w:hAnsi="Palatino Linotype"/>
          <w:lang w:val="es-ES_tradnl"/>
        </w:rPr>
        <w:t>su</w:t>
      </w:r>
      <w:r w:rsidRPr="00DC2A65">
        <w:rPr>
          <w:rFonts w:ascii="Palatino Linotype" w:hAnsi="Palatino Linotype"/>
          <w:spacing w:val="-9"/>
          <w:lang w:val="es-ES_tradnl"/>
        </w:rPr>
        <w:t xml:space="preserve"> </w:t>
      </w:r>
      <w:r w:rsidRPr="00DC2A65">
        <w:rPr>
          <w:rFonts w:ascii="Palatino Linotype" w:hAnsi="Palatino Linotype"/>
          <w:lang w:val="es-ES_tradnl"/>
        </w:rPr>
        <w:t>derecho</w:t>
      </w:r>
      <w:r w:rsidRPr="00DC2A65">
        <w:rPr>
          <w:rFonts w:ascii="Palatino Linotype" w:hAnsi="Palatino Linotype"/>
          <w:spacing w:val="-5"/>
          <w:lang w:val="es-ES_tradnl"/>
        </w:rPr>
        <w:t xml:space="preserve"> </w:t>
      </w:r>
      <w:r w:rsidRPr="00DC2A65">
        <w:rPr>
          <w:rFonts w:ascii="Palatino Linotype" w:hAnsi="Palatino Linotype"/>
          <w:lang w:val="es-ES_tradnl"/>
        </w:rPr>
        <w:t>de</w:t>
      </w:r>
      <w:r w:rsidRPr="00DC2A65">
        <w:rPr>
          <w:rFonts w:ascii="Palatino Linotype" w:hAnsi="Palatino Linotype"/>
          <w:spacing w:val="-2"/>
          <w:lang w:val="es-ES_tradnl"/>
        </w:rPr>
        <w:t xml:space="preserve"> </w:t>
      </w:r>
      <w:r w:rsidRPr="00DC2A65">
        <w:rPr>
          <w:rFonts w:ascii="Palatino Linotype" w:hAnsi="Palatino Linotype"/>
          <w:lang w:val="es-ES_tradnl"/>
        </w:rPr>
        <w:t>acceso</w:t>
      </w:r>
      <w:r w:rsidRPr="00DC2A65">
        <w:rPr>
          <w:rFonts w:ascii="Palatino Linotype" w:hAnsi="Palatino Linotype"/>
          <w:spacing w:val="-4"/>
          <w:lang w:val="es-ES_tradnl"/>
        </w:rPr>
        <w:t xml:space="preserve"> </w:t>
      </w:r>
      <w:r w:rsidRPr="00DC2A65">
        <w:rPr>
          <w:rFonts w:ascii="Palatino Linotype" w:hAnsi="Palatino Linotype"/>
          <w:lang w:val="es-ES_tradnl"/>
        </w:rPr>
        <w:t>a</w:t>
      </w:r>
      <w:r w:rsidRPr="00DC2A65">
        <w:rPr>
          <w:rFonts w:ascii="Palatino Linotype" w:hAnsi="Palatino Linotype"/>
          <w:spacing w:val="-1"/>
          <w:lang w:val="es-ES_tradnl"/>
        </w:rPr>
        <w:t xml:space="preserve"> </w:t>
      </w:r>
      <w:r w:rsidRPr="00DC2A65">
        <w:rPr>
          <w:rFonts w:ascii="Palatino Linotype" w:hAnsi="Palatino Linotype"/>
          <w:lang w:val="es-ES_tradnl"/>
        </w:rPr>
        <w:t xml:space="preserve">la información; cuestión en la que claro está, </w:t>
      </w:r>
      <w:r w:rsidRPr="00DC2A65">
        <w:rPr>
          <w:rFonts w:ascii="Palatino Linotype" w:hAnsi="Palatino Linotype"/>
          <w:spacing w:val="-3"/>
          <w:lang w:val="es-ES_tradnl"/>
        </w:rPr>
        <w:t xml:space="preserve">se </w:t>
      </w:r>
      <w:r w:rsidRPr="00DC2A65">
        <w:rPr>
          <w:rFonts w:ascii="Palatino Linotype" w:hAnsi="Palatino Linotype"/>
          <w:lang w:val="es-ES_tradnl"/>
        </w:rPr>
        <w:t>encuentran incluidas aquellas determinaciones que pudieran constituir una negativa de acceso a la información en los términos requeridos por el</w:t>
      </w:r>
      <w:r w:rsidRPr="00DC2A65">
        <w:rPr>
          <w:rFonts w:ascii="Palatino Linotype" w:hAnsi="Palatino Linotype"/>
          <w:spacing w:val="-17"/>
          <w:lang w:val="es-ES_tradnl"/>
        </w:rPr>
        <w:t xml:space="preserve"> </w:t>
      </w:r>
      <w:r w:rsidRPr="00DC2A65">
        <w:rPr>
          <w:rFonts w:ascii="Palatino Linotype" w:hAnsi="Palatino Linotype"/>
          <w:lang w:val="es-ES_tradnl"/>
        </w:rPr>
        <w:t>particular.</w:t>
      </w:r>
    </w:p>
    <w:p w:rsidR="00DF2B2D" w:rsidRPr="00DC2A65"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lastRenderedPageBreak/>
        <w:t>El Órgano Garante Nacional señala que la referida sentencia resulta orientadora</w:t>
      </w:r>
      <w:r w:rsidRPr="00DC2A65">
        <w:rPr>
          <w:rFonts w:ascii="Palatino Linotype" w:hAnsi="Palatino Linotype"/>
          <w:spacing w:val="-43"/>
          <w:lang w:val="es-ES_tradnl"/>
        </w:rPr>
        <w:t xml:space="preserve"> </w:t>
      </w:r>
      <w:r w:rsidRPr="00DC2A65">
        <w:rPr>
          <w:rFonts w:ascii="Palatino Linotype" w:hAnsi="Palatino Linotype"/>
          <w:lang w:val="es-ES_tradnl"/>
        </w:rPr>
        <w:t xml:space="preserve">y se constituye en el </w:t>
      </w:r>
      <w:r w:rsidRPr="00DC2A65">
        <w:rPr>
          <w:rFonts w:ascii="Palatino Linotype" w:hAnsi="Palatino Linotype"/>
          <w:spacing w:val="-2"/>
          <w:lang w:val="es-ES_tradnl"/>
        </w:rPr>
        <w:t xml:space="preserve">primer </w:t>
      </w:r>
      <w:r w:rsidRPr="00DC2A65">
        <w:rPr>
          <w:rFonts w:ascii="Palatino Linotype" w:hAnsi="Palatino Linotype"/>
          <w:lang w:val="es-ES_tradnl"/>
        </w:rPr>
        <w:t xml:space="preserve">precedente judicial respecto de </w:t>
      </w:r>
      <w:r w:rsidRPr="00DC2A65">
        <w:rPr>
          <w:rFonts w:ascii="Palatino Linotype" w:hAnsi="Palatino Linotype"/>
          <w:spacing w:val="-3"/>
          <w:lang w:val="es-ES_tradnl"/>
        </w:rPr>
        <w:t xml:space="preserve">la </w:t>
      </w:r>
      <w:r w:rsidRPr="00DC2A65">
        <w:rPr>
          <w:rFonts w:ascii="Palatino Linotype" w:hAnsi="Palatino Linotype"/>
          <w:lang w:val="es-ES_tradnl"/>
        </w:rPr>
        <w:t>interpretación de las causales de procedencia del recurso de inconformidad, contenidas en el artículo</w:t>
      </w:r>
      <w:r w:rsidRPr="00DC2A65">
        <w:rPr>
          <w:rFonts w:ascii="Palatino Linotype" w:hAnsi="Palatino Linotype"/>
          <w:spacing w:val="-6"/>
          <w:lang w:val="es-ES_tradnl"/>
        </w:rPr>
        <w:t xml:space="preserve"> </w:t>
      </w:r>
      <w:r w:rsidRPr="00DC2A65">
        <w:rPr>
          <w:rFonts w:ascii="Palatino Linotype" w:hAnsi="Palatino Linotype"/>
          <w:lang w:val="es-ES_tradnl"/>
        </w:rPr>
        <w:t>160</w:t>
      </w:r>
      <w:r w:rsidRPr="00DC2A65">
        <w:rPr>
          <w:rFonts w:ascii="Palatino Linotype" w:hAnsi="Palatino Linotype"/>
          <w:spacing w:val="-5"/>
          <w:lang w:val="es-ES_tradnl"/>
        </w:rPr>
        <w:t xml:space="preserve"> </w:t>
      </w:r>
      <w:r w:rsidRPr="00DC2A65">
        <w:rPr>
          <w:rFonts w:ascii="Palatino Linotype" w:hAnsi="Palatino Linotype"/>
          <w:lang w:val="es-ES_tradnl"/>
        </w:rPr>
        <w:t>de</w:t>
      </w:r>
      <w:r w:rsidRPr="00DC2A65">
        <w:rPr>
          <w:rFonts w:ascii="Palatino Linotype" w:hAnsi="Palatino Linotype"/>
          <w:spacing w:val="-10"/>
          <w:lang w:val="es-ES_tradnl"/>
        </w:rPr>
        <w:t xml:space="preserve"> </w:t>
      </w:r>
      <w:r w:rsidRPr="00DC2A65">
        <w:rPr>
          <w:rFonts w:ascii="Palatino Linotype" w:hAnsi="Palatino Linotype"/>
          <w:lang w:val="es-ES_tradnl"/>
        </w:rPr>
        <w:t>la</w:t>
      </w:r>
      <w:r w:rsidRPr="00DC2A65">
        <w:rPr>
          <w:rFonts w:ascii="Palatino Linotype" w:hAnsi="Palatino Linotype"/>
          <w:spacing w:val="-1"/>
          <w:lang w:val="es-ES_tradnl"/>
        </w:rPr>
        <w:t xml:space="preserve"> </w:t>
      </w:r>
      <w:r w:rsidRPr="00DC2A65">
        <w:rPr>
          <w:rFonts w:ascii="Palatino Linotype" w:hAnsi="Palatino Linotype"/>
          <w:lang w:val="es-ES_tradnl"/>
        </w:rPr>
        <w:t>Ley</w:t>
      </w:r>
      <w:r w:rsidRPr="00DC2A65">
        <w:rPr>
          <w:rFonts w:ascii="Palatino Linotype" w:hAnsi="Palatino Linotype"/>
          <w:spacing w:val="-7"/>
          <w:lang w:val="es-ES_tradnl"/>
        </w:rPr>
        <w:t xml:space="preserve"> </w:t>
      </w:r>
      <w:r w:rsidRPr="00DC2A65">
        <w:rPr>
          <w:rFonts w:ascii="Palatino Linotype" w:hAnsi="Palatino Linotype"/>
          <w:lang w:val="es-ES_tradnl"/>
        </w:rPr>
        <w:t>General</w:t>
      </w:r>
      <w:r w:rsidRPr="00DC2A65">
        <w:rPr>
          <w:rFonts w:ascii="Palatino Linotype" w:hAnsi="Palatino Linotype"/>
          <w:spacing w:val="-6"/>
          <w:lang w:val="es-ES_tradnl"/>
        </w:rPr>
        <w:t xml:space="preserve"> </w:t>
      </w:r>
      <w:r w:rsidRPr="00DC2A65">
        <w:rPr>
          <w:rFonts w:ascii="Palatino Linotype" w:hAnsi="Palatino Linotype"/>
          <w:lang w:val="es-ES_tradnl"/>
        </w:rPr>
        <w:t>de</w:t>
      </w:r>
      <w:r w:rsidRPr="00DC2A65">
        <w:rPr>
          <w:rFonts w:ascii="Palatino Linotype" w:hAnsi="Palatino Linotype"/>
          <w:spacing w:val="-10"/>
          <w:lang w:val="es-ES_tradnl"/>
        </w:rPr>
        <w:t xml:space="preserve"> </w:t>
      </w:r>
      <w:r w:rsidRPr="00DC2A65">
        <w:rPr>
          <w:rFonts w:ascii="Palatino Linotype" w:hAnsi="Palatino Linotype"/>
          <w:lang w:val="es-ES_tradnl"/>
        </w:rPr>
        <w:t>Transparencia</w:t>
      </w:r>
      <w:r w:rsidRPr="00DC2A65">
        <w:rPr>
          <w:rFonts w:ascii="Palatino Linotype" w:hAnsi="Palatino Linotype"/>
          <w:spacing w:val="-5"/>
          <w:lang w:val="es-ES_tradnl"/>
        </w:rPr>
        <w:t xml:space="preserve"> </w:t>
      </w:r>
      <w:r w:rsidRPr="00DC2A65">
        <w:rPr>
          <w:rFonts w:ascii="Palatino Linotype" w:hAnsi="Palatino Linotype"/>
          <w:lang w:val="es-ES_tradnl"/>
        </w:rPr>
        <w:t>y</w:t>
      </w:r>
      <w:r w:rsidRPr="00DC2A65">
        <w:rPr>
          <w:rFonts w:ascii="Palatino Linotype" w:hAnsi="Palatino Linotype"/>
          <w:spacing w:val="-1"/>
          <w:lang w:val="es-ES_tradnl"/>
        </w:rPr>
        <w:t xml:space="preserve"> </w:t>
      </w:r>
      <w:r w:rsidRPr="00DC2A65">
        <w:rPr>
          <w:rFonts w:ascii="Palatino Linotype" w:hAnsi="Palatino Linotype"/>
          <w:lang w:val="es-ES_tradnl"/>
        </w:rPr>
        <w:t>Acceso</w:t>
      </w:r>
      <w:r w:rsidRPr="00DC2A65">
        <w:rPr>
          <w:rFonts w:ascii="Palatino Linotype" w:hAnsi="Palatino Linotype"/>
          <w:spacing w:val="-6"/>
          <w:lang w:val="es-ES_tradnl"/>
        </w:rPr>
        <w:t xml:space="preserve"> </w:t>
      </w:r>
      <w:r w:rsidRPr="00DC2A65">
        <w:rPr>
          <w:rFonts w:ascii="Palatino Linotype" w:hAnsi="Palatino Linotype"/>
          <w:lang w:val="es-ES_tradnl"/>
        </w:rPr>
        <w:t>a</w:t>
      </w:r>
      <w:r w:rsidRPr="00DC2A65">
        <w:rPr>
          <w:rFonts w:ascii="Palatino Linotype" w:hAnsi="Palatino Linotype"/>
          <w:spacing w:val="-5"/>
          <w:lang w:val="es-ES_tradnl"/>
        </w:rPr>
        <w:t xml:space="preserve"> </w:t>
      </w:r>
      <w:r w:rsidRPr="00DC2A65">
        <w:rPr>
          <w:rFonts w:ascii="Palatino Linotype" w:hAnsi="Palatino Linotype"/>
          <w:lang w:val="es-ES_tradnl"/>
        </w:rPr>
        <w:t>la</w:t>
      </w:r>
      <w:r w:rsidRPr="00DC2A65">
        <w:rPr>
          <w:rFonts w:ascii="Palatino Linotype" w:hAnsi="Palatino Linotype"/>
          <w:spacing w:val="-5"/>
          <w:lang w:val="es-ES_tradnl"/>
        </w:rPr>
        <w:t xml:space="preserve"> </w:t>
      </w:r>
      <w:r w:rsidRPr="00DC2A65">
        <w:rPr>
          <w:rFonts w:ascii="Palatino Linotype" w:hAnsi="Palatino Linotype"/>
          <w:lang w:val="es-ES_tradnl"/>
        </w:rPr>
        <w:t>Información</w:t>
      </w:r>
      <w:r w:rsidRPr="00DC2A65">
        <w:rPr>
          <w:rFonts w:ascii="Palatino Linotype" w:hAnsi="Palatino Linotype"/>
          <w:spacing w:val="-5"/>
          <w:lang w:val="es-ES_tradnl"/>
        </w:rPr>
        <w:t xml:space="preserve"> </w:t>
      </w:r>
      <w:r w:rsidRPr="00DC2A65">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DC2A65">
        <w:rPr>
          <w:rFonts w:ascii="Palatino Linotype" w:hAnsi="Palatino Linotype"/>
          <w:spacing w:val="-11"/>
          <w:lang w:val="es-ES_tradnl"/>
        </w:rPr>
        <w:t xml:space="preserve"> </w:t>
      </w:r>
      <w:r w:rsidRPr="00DC2A65">
        <w:rPr>
          <w:rFonts w:ascii="Palatino Linotype" w:hAnsi="Palatino Linotype"/>
          <w:lang w:val="es-ES_tradnl"/>
        </w:rPr>
        <w:t>o</w:t>
      </w:r>
      <w:r w:rsidRPr="00DC2A65">
        <w:rPr>
          <w:rFonts w:ascii="Palatino Linotype" w:hAnsi="Palatino Linotype"/>
          <w:spacing w:val="-15"/>
          <w:lang w:val="es-ES_tradnl"/>
        </w:rPr>
        <w:t xml:space="preserve"> </w:t>
      </w:r>
      <w:r w:rsidRPr="00DC2A65">
        <w:rPr>
          <w:rFonts w:ascii="Palatino Linotype" w:hAnsi="Palatino Linotype"/>
          <w:lang w:val="es-ES_tradnl"/>
        </w:rPr>
        <w:t>la</w:t>
      </w:r>
      <w:r w:rsidRPr="00DC2A65">
        <w:rPr>
          <w:rFonts w:ascii="Palatino Linotype" w:hAnsi="Palatino Linotype"/>
          <w:spacing w:val="-11"/>
          <w:lang w:val="es-ES_tradnl"/>
        </w:rPr>
        <w:t xml:space="preserve"> </w:t>
      </w:r>
      <w:r w:rsidRPr="00DC2A65">
        <w:rPr>
          <w:rFonts w:ascii="Palatino Linotype" w:hAnsi="Palatino Linotype"/>
          <w:lang w:val="es-ES_tradnl"/>
        </w:rPr>
        <w:t>falta</w:t>
      </w:r>
      <w:r w:rsidRPr="00DC2A65">
        <w:rPr>
          <w:rFonts w:ascii="Palatino Linotype" w:hAnsi="Palatino Linotype"/>
          <w:spacing w:val="-10"/>
          <w:lang w:val="es-ES_tradnl"/>
        </w:rPr>
        <w:t xml:space="preserve"> </w:t>
      </w:r>
      <w:r w:rsidRPr="00DC2A65">
        <w:rPr>
          <w:rFonts w:ascii="Palatino Linotype" w:hAnsi="Palatino Linotype"/>
          <w:lang w:val="es-ES_tradnl"/>
        </w:rPr>
        <w:t>de</w:t>
      </w:r>
      <w:r w:rsidRPr="00DC2A65">
        <w:rPr>
          <w:rFonts w:ascii="Palatino Linotype" w:hAnsi="Palatino Linotype"/>
          <w:spacing w:val="-11"/>
          <w:lang w:val="es-ES_tradnl"/>
        </w:rPr>
        <w:t xml:space="preserve"> </w:t>
      </w:r>
      <w:r w:rsidRPr="00DC2A65">
        <w:rPr>
          <w:rFonts w:ascii="Palatino Linotype" w:hAnsi="Palatino Linotype"/>
          <w:lang w:val="es-ES_tradnl"/>
        </w:rPr>
        <w:t>una</w:t>
      </w:r>
      <w:r w:rsidRPr="00DC2A65">
        <w:rPr>
          <w:rFonts w:ascii="Palatino Linotype" w:hAnsi="Palatino Linotype"/>
          <w:spacing w:val="-10"/>
          <w:lang w:val="es-ES_tradnl"/>
        </w:rPr>
        <w:t xml:space="preserve"> </w:t>
      </w:r>
      <w:r w:rsidRPr="00DC2A65">
        <w:rPr>
          <w:rFonts w:ascii="Palatino Linotype" w:hAnsi="Palatino Linotype"/>
          <w:lang w:val="es-ES_tradnl"/>
        </w:rPr>
        <w:t>resolución</w:t>
      </w:r>
      <w:r w:rsidRPr="00DC2A65">
        <w:rPr>
          <w:rFonts w:ascii="Palatino Linotype" w:hAnsi="Palatino Linotype"/>
          <w:spacing w:val="-11"/>
          <w:lang w:val="es-ES_tradnl"/>
        </w:rPr>
        <w:t xml:space="preserve"> </w:t>
      </w:r>
      <w:r w:rsidRPr="00DC2A65">
        <w:rPr>
          <w:rFonts w:ascii="Palatino Linotype" w:hAnsi="Palatino Linotype"/>
          <w:lang w:val="es-ES_tradnl"/>
        </w:rPr>
        <w:t>dentro</w:t>
      </w:r>
      <w:r w:rsidRPr="00DC2A65">
        <w:rPr>
          <w:rFonts w:ascii="Palatino Linotype" w:hAnsi="Palatino Linotype"/>
          <w:spacing w:val="-10"/>
          <w:lang w:val="es-ES_tradnl"/>
        </w:rPr>
        <w:t xml:space="preserve"> </w:t>
      </w:r>
      <w:r w:rsidRPr="00DC2A65">
        <w:rPr>
          <w:rFonts w:ascii="Palatino Linotype" w:hAnsi="Palatino Linotype"/>
          <w:lang w:val="es-ES_tradnl"/>
        </w:rPr>
        <w:t>del</w:t>
      </w:r>
      <w:r w:rsidRPr="00DC2A65">
        <w:rPr>
          <w:rFonts w:ascii="Palatino Linotype" w:hAnsi="Palatino Linotype"/>
          <w:spacing w:val="-12"/>
          <w:lang w:val="es-ES_tradnl"/>
        </w:rPr>
        <w:t xml:space="preserve"> </w:t>
      </w:r>
      <w:r w:rsidRPr="00DC2A65">
        <w:rPr>
          <w:rFonts w:ascii="Palatino Linotype" w:hAnsi="Palatino Linotype"/>
          <w:lang w:val="es-ES_tradnl"/>
        </w:rPr>
        <w:t>plazo</w:t>
      </w:r>
      <w:r w:rsidRPr="00DC2A65">
        <w:rPr>
          <w:rFonts w:ascii="Palatino Linotype" w:hAnsi="Palatino Linotype"/>
          <w:spacing w:val="-10"/>
          <w:lang w:val="es-ES_tradnl"/>
        </w:rPr>
        <w:t xml:space="preserve"> </w:t>
      </w:r>
      <w:r w:rsidRPr="00DC2A65">
        <w:rPr>
          <w:rFonts w:ascii="Palatino Linotype" w:hAnsi="Palatino Linotype"/>
          <w:lang w:val="es-ES_tradnl"/>
        </w:rPr>
        <w:t>previsto</w:t>
      </w:r>
      <w:r w:rsidRPr="00DC2A65">
        <w:rPr>
          <w:rFonts w:ascii="Palatino Linotype" w:hAnsi="Palatino Linotype"/>
          <w:spacing w:val="-10"/>
          <w:lang w:val="es-ES_tradnl"/>
        </w:rPr>
        <w:t xml:space="preserve"> </w:t>
      </w:r>
      <w:r w:rsidRPr="00DC2A65">
        <w:rPr>
          <w:rFonts w:ascii="Palatino Linotype" w:hAnsi="Palatino Linotype"/>
          <w:lang w:val="es-ES_tradnl"/>
        </w:rPr>
        <w:t>para</w:t>
      </w:r>
      <w:r w:rsidRPr="00DC2A65">
        <w:rPr>
          <w:rFonts w:ascii="Palatino Linotype" w:hAnsi="Palatino Linotype"/>
          <w:spacing w:val="-10"/>
          <w:lang w:val="es-ES_tradnl"/>
        </w:rPr>
        <w:t xml:space="preserve"> </w:t>
      </w:r>
      <w:r w:rsidRPr="00DC2A65">
        <w:rPr>
          <w:rFonts w:ascii="Palatino Linotype" w:hAnsi="Palatino Linotype"/>
          <w:lang w:val="es-ES_tradnl"/>
        </w:rPr>
        <w:t>ello,</w:t>
      </w:r>
      <w:r w:rsidRPr="00DC2A65">
        <w:rPr>
          <w:rFonts w:ascii="Palatino Linotype" w:hAnsi="Palatino Linotype"/>
          <w:spacing w:val="-11"/>
          <w:lang w:val="es-ES_tradnl"/>
        </w:rPr>
        <w:t xml:space="preserve"> </w:t>
      </w:r>
      <w:r w:rsidRPr="00DC2A65">
        <w:rPr>
          <w:rFonts w:ascii="Palatino Linotype" w:hAnsi="Palatino Linotype"/>
          <w:lang w:val="es-ES_tradnl"/>
        </w:rPr>
        <w:t>esto</w:t>
      </w:r>
      <w:r w:rsidRPr="00DC2A65">
        <w:rPr>
          <w:rFonts w:ascii="Palatino Linotype" w:hAnsi="Palatino Linotype"/>
          <w:spacing w:val="-9"/>
          <w:lang w:val="es-ES_tradnl"/>
        </w:rPr>
        <w:t xml:space="preserve"> </w:t>
      </w:r>
      <w:r w:rsidRPr="00DC2A65">
        <w:rPr>
          <w:rFonts w:ascii="Palatino Linotype" w:hAnsi="Palatino Linotype"/>
          <w:lang w:val="es-ES_tradnl"/>
        </w:rPr>
        <w:t xml:space="preserve">con el fin de favorecer la tutela del derecho de acceso a la información; por </w:t>
      </w:r>
      <w:r w:rsidR="0031740D" w:rsidRPr="00DC2A65">
        <w:rPr>
          <w:rFonts w:ascii="Palatino Linotype" w:hAnsi="Palatino Linotype"/>
          <w:lang w:val="es-ES_tradnl"/>
        </w:rPr>
        <w:t xml:space="preserve">lo </w:t>
      </w:r>
      <w:r w:rsidRPr="00DC2A65">
        <w:rPr>
          <w:rFonts w:ascii="Palatino Linotype" w:hAnsi="Palatino Linotype"/>
          <w:lang w:val="es-ES_tradnl"/>
        </w:rPr>
        <w:t>que resulta procedente la admisión al existir una causal de procedencia en el caso que nos</w:t>
      </w:r>
      <w:r w:rsidRPr="00DC2A65">
        <w:rPr>
          <w:rFonts w:ascii="Palatino Linotype" w:hAnsi="Palatino Linotype"/>
          <w:spacing w:val="-2"/>
          <w:lang w:val="es-ES_tradnl"/>
        </w:rPr>
        <w:t xml:space="preserve"> </w:t>
      </w:r>
      <w:r w:rsidRPr="00DC2A65">
        <w:rPr>
          <w:rFonts w:ascii="Palatino Linotype" w:hAnsi="Palatino Linotype"/>
          <w:lang w:val="es-ES_tradnl"/>
        </w:rPr>
        <w:t>ocupa.</w:t>
      </w:r>
    </w:p>
    <w:p w:rsidR="00DF2B2D" w:rsidRPr="00DC2A65" w:rsidRDefault="00DF2B2D" w:rsidP="00DF2B2D">
      <w:pPr>
        <w:pStyle w:val="Prrafodelista"/>
        <w:rPr>
          <w:rFonts w:ascii="Palatino Linotype" w:hAnsi="Palatino Linotype"/>
          <w:lang w:val="es-ES_tradnl"/>
        </w:rPr>
      </w:pPr>
    </w:p>
    <w:p w:rsidR="00DF2B2D" w:rsidRPr="00DC2A65"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DC2A65">
        <w:rPr>
          <w:rFonts w:ascii="Palatino Linotype" w:hAnsi="Palatino Linotype"/>
          <w:b/>
          <w:lang w:val="es-ES_tradnl"/>
        </w:rPr>
        <w:t>Efectos relativos de las sentencias de amparo</w:t>
      </w:r>
    </w:p>
    <w:p w:rsidR="00DF2B2D" w:rsidRPr="00DC2A65" w:rsidRDefault="00DF2B2D" w:rsidP="00DF2B2D">
      <w:pPr>
        <w:pStyle w:val="Prrafodelista"/>
        <w:rPr>
          <w:rFonts w:ascii="Palatino Linotype" w:hAnsi="Palatino Linotype"/>
          <w:lang w:val="es-ES_tradnl"/>
        </w:rPr>
      </w:pP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derechos humanos o de sus garantías.</w:t>
      </w:r>
    </w:p>
    <w:p w:rsidR="00103C16" w:rsidRPr="00DC2A65" w:rsidRDefault="00103C16" w:rsidP="00103C16">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lastRenderedPageBreak/>
        <w:t xml:space="preserve">Al </w:t>
      </w:r>
      <w:r w:rsidR="000E5971" w:rsidRPr="00DC2A65">
        <w:rPr>
          <w:rFonts w:ascii="Palatino Linotype" w:hAnsi="Palatino Linotype"/>
          <w:lang w:val="es-ES_tradnl"/>
        </w:rPr>
        <w:t>respecto, la</w:t>
      </w:r>
      <w:r w:rsidRPr="00DC2A65">
        <w:rPr>
          <w:rFonts w:ascii="Palatino Linotype" w:hAnsi="Palatino Linotype"/>
          <w:lang w:val="es-ES_tradnl"/>
        </w:rPr>
        <w:t xml:space="preserve"> Segunda Sala de la Suprema Corte de Justicia de la Nación emitió el siguiente criterio:</w:t>
      </w:r>
    </w:p>
    <w:p w:rsidR="00DF2B2D" w:rsidRPr="00DC2A65" w:rsidRDefault="00DF2B2D" w:rsidP="00DF2B2D">
      <w:pPr>
        <w:pStyle w:val="Prrafodelista"/>
        <w:rPr>
          <w:rFonts w:ascii="Palatino Linotype" w:hAnsi="Palatino Linotype"/>
          <w:lang w:val="es-ES_tradnl"/>
        </w:rPr>
      </w:pPr>
    </w:p>
    <w:p w:rsidR="00DF2B2D" w:rsidRPr="00DC2A65" w:rsidRDefault="00DF2B2D" w:rsidP="00DF2B2D">
      <w:pPr>
        <w:spacing w:line="276" w:lineRule="auto"/>
        <w:ind w:left="810"/>
        <w:jc w:val="both"/>
        <w:rPr>
          <w:rFonts w:ascii="Palatino Linotype" w:hAnsi="Palatino Linotype"/>
          <w:b/>
          <w:i/>
          <w:sz w:val="22"/>
          <w:szCs w:val="22"/>
          <w:lang w:val="es-ES_tradnl"/>
        </w:rPr>
      </w:pPr>
      <w:r w:rsidRPr="00DC2A65">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DC2A65">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DC2A65" w:rsidRDefault="00DF2B2D" w:rsidP="00DF2B2D">
      <w:pPr>
        <w:spacing w:line="276" w:lineRule="auto"/>
        <w:ind w:left="810"/>
        <w:jc w:val="both"/>
        <w:rPr>
          <w:rFonts w:ascii="Palatino Linotype" w:hAnsi="Palatino Linotype"/>
          <w:i/>
          <w:sz w:val="22"/>
          <w:szCs w:val="22"/>
          <w:lang w:val="es-ES_tradnl"/>
        </w:rPr>
      </w:pPr>
    </w:p>
    <w:p w:rsidR="00DF2B2D" w:rsidRPr="00DC2A65" w:rsidRDefault="00DF2B2D" w:rsidP="00DF2B2D">
      <w:pPr>
        <w:spacing w:line="276" w:lineRule="auto"/>
        <w:ind w:left="810"/>
        <w:jc w:val="both"/>
        <w:rPr>
          <w:rFonts w:ascii="Palatino Linotype" w:hAnsi="Palatino Linotype"/>
          <w:i/>
          <w:sz w:val="22"/>
          <w:szCs w:val="22"/>
          <w:lang w:val="es-ES_tradnl"/>
        </w:rPr>
      </w:pPr>
      <w:r w:rsidRPr="00DC2A65">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DC2A65" w:rsidRDefault="00DF2B2D" w:rsidP="00DF2B2D">
      <w:pPr>
        <w:spacing w:line="276" w:lineRule="auto"/>
        <w:ind w:left="810"/>
        <w:jc w:val="both"/>
        <w:rPr>
          <w:rFonts w:ascii="Palatino Linotype" w:hAnsi="Palatino Linotype"/>
          <w:i/>
          <w:sz w:val="22"/>
          <w:szCs w:val="22"/>
          <w:lang w:val="es-ES_tradnl"/>
        </w:rPr>
      </w:pPr>
      <w:r w:rsidRPr="00DC2A65">
        <w:rPr>
          <w:rFonts w:ascii="Palatino Linotype" w:hAnsi="Palatino Linotype"/>
          <w:i/>
          <w:sz w:val="22"/>
          <w:szCs w:val="22"/>
          <w:lang w:val="es-ES_tradnl"/>
        </w:rPr>
        <w:lastRenderedPageBreak/>
        <w:t>Esta tesis se publicó el viernes 13 de mayo de 2016 a las 10:13 horas en el Semanario Judicial de la Federación.</w:t>
      </w:r>
      <w:r w:rsidRPr="00DC2A65">
        <w:rPr>
          <w:rStyle w:val="Refdenotaalpie"/>
          <w:rFonts w:ascii="Palatino Linotype" w:hAnsi="Palatino Linotype"/>
          <w:i/>
          <w:sz w:val="22"/>
          <w:szCs w:val="22"/>
          <w:lang w:val="es-ES_tradnl"/>
        </w:rPr>
        <w:footnoteReference w:id="11"/>
      </w:r>
    </w:p>
    <w:p w:rsidR="00DF2B2D" w:rsidRPr="00DC2A65" w:rsidRDefault="00DF2B2D" w:rsidP="00DF2B2D">
      <w:pPr>
        <w:pStyle w:val="Prrafodelista"/>
        <w:rPr>
          <w:rFonts w:ascii="Palatino Linotype" w:hAnsi="Palatino Linotype"/>
          <w:lang w:val="es-ES_tradnl"/>
        </w:rPr>
      </w:pP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r w:rsidR="00103C16" w:rsidRPr="00DC2A65">
        <w:rPr>
          <w:rFonts w:ascii="Palatino Linotype" w:hAnsi="Palatino Linotype"/>
          <w:lang w:val="es-ES_tradnl"/>
        </w:rPr>
        <w:t>la</w:t>
      </w:r>
      <w:r w:rsidRPr="00DC2A65">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DC2A65"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En este mismo sentido, una vez acotado que mediante el juicio de amparo el Poder Judicial de la Federación lleva a cabo el control de constitucionalidad de los </w:t>
      </w:r>
      <w:r w:rsidRPr="00DC2A65">
        <w:rPr>
          <w:rFonts w:ascii="Palatino Linotype" w:hAnsi="Palatino Linotype"/>
          <w:lang w:val="es-ES_tradnl"/>
        </w:rPr>
        <w:lastRenderedPageBreak/>
        <w:t xml:space="preserve">actos o resoluciones del Órgano Garante Nacional respecto de los cuales los particulares se sientan agraviados y soliciten la protección de la justicia constitucional por la vía del juicio de amparo, ello no implica que a la sentencia de amparo tenga efectos </w:t>
      </w:r>
      <w:r w:rsidRPr="00DC2A65">
        <w:rPr>
          <w:rFonts w:ascii="Palatino Linotype" w:hAnsi="Palatino Linotype"/>
          <w:i/>
          <w:lang w:val="es-ES_tradnl"/>
        </w:rPr>
        <w:t>erga omnes</w:t>
      </w:r>
      <w:r w:rsidRPr="00DC2A65">
        <w:rPr>
          <w:rFonts w:ascii="Palatino Linotype" w:hAnsi="Palatino Linotype"/>
          <w:lang w:val="es-ES_tradnl"/>
        </w:rPr>
        <w:t xml:space="preserve"> e implique la inaplicación de la norma controvertida en el amparo por parte del Órgano Garante Nacional o de cualquier otro órgano del Estado.</w:t>
      </w:r>
    </w:p>
    <w:p w:rsidR="00DF2B2D" w:rsidRPr="00DC2A65" w:rsidRDefault="00DF2B2D" w:rsidP="00DF2B2D">
      <w:pPr>
        <w:pStyle w:val="Prrafodelista"/>
        <w:rPr>
          <w:rFonts w:ascii="Palatino Linotype" w:hAnsi="Palatino Linotype"/>
          <w:lang w:val="es-ES_tradnl"/>
        </w:rPr>
      </w:pP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w:t>
      </w:r>
      <w:r w:rsidRPr="00DC2A65">
        <w:rPr>
          <w:rFonts w:ascii="Palatino Linotype" w:hAnsi="Palatino Linotype"/>
          <w:b/>
          <w:u w:val="single"/>
          <w:lang w:val="es-ES_tradnl"/>
        </w:rPr>
        <w:t>esto es que solo protege a quien obtuvo una sentencia a su favor, o sea, lo extrae del común de los casos colocándolo en una situación particular, privilegiada, de tal suerte que esa sentencia relativa en nada beneficiará a la personas ajenas a la queja</w:t>
      </w:r>
      <w:r w:rsidRPr="00DC2A65">
        <w:rPr>
          <w:rFonts w:ascii="Palatino Linotype" w:hAnsi="Palatino Linotype"/>
          <w:u w:val="single"/>
          <w:lang w:val="es-ES_tradnl"/>
        </w:rPr>
        <w:t>.</w:t>
      </w:r>
    </w:p>
    <w:p w:rsidR="00DF2B2D" w:rsidRPr="00DC2A65" w:rsidRDefault="00DF2B2D" w:rsidP="00DF2B2D">
      <w:pPr>
        <w:pStyle w:val="Prrafodelista"/>
        <w:rPr>
          <w:rFonts w:ascii="Palatino Linotype" w:hAnsi="Palatino Linotype"/>
          <w:lang w:val="es-ES_tradnl"/>
        </w:rPr>
      </w:pP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DC2A65">
        <w:rPr>
          <w:rFonts w:ascii="Palatino Linotype" w:hAnsi="Palatino Linotype"/>
          <w:lang w:val="es-ES_tradnl"/>
        </w:rPr>
        <w:t>demás,</w:t>
      </w:r>
      <w:r w:rsidRPr="00DC2A65">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DC2A65"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lastRenderedPageBreak/>
        <w:t xml:space="preserve">Es por ello que a pesar de que en determinada sentencia de amparo se haya declarado la inconstitucionalidad de una ley, </w:t>
      </w:r>
      <w:r w:rsidR="000E5971" w:rsidRPr="00DC2A65">
        <w:rPr>
          <w:rFonts w:ascii="Palatino Linotype" w:hAnsi="Palatino Linotype"/>
          <w:lang w:val="es-ES_tradnl"/>
        </w:rPr>
        <w:t>ésta no desaparece</w:t>
      </w:r>
      <w:r w:rsidRPr="00DC2A65">
        <w:rPr>
          <w:rFonts w:ascii="Palatino Linotype" w:hAnsi="Palatino Linotype"/>
          <w:lang w:val="es-ES_tradnl"/>
        </w:rPr>
        <w:t xml:space="preserve">, el Poder Legislativo no las deroga ni las abroga, no </w:t>
      </w:r>
      <w:r w:rsidR="000E5971" w:rsidRPr="00DC2A65">
        <w:rPr>
          <w:rFonts w:ascii="Palatino Linotype" w:hAnsi="Palatino Linotype"/>
          <w:lang w:val="es-ES_tradnl"/>
        </w:rPr>
        <w:t>obstante,</w:t>
      </w:r>
      <w:r w:rsidRPr="00DC2A65">
        <w:rPr>
          <w:rFonts w:ascii="Palatino Linotype" w:hAnsi="Palatino Linotype"/>
          <w:lang w:val="es-ES_tradnl"/>
        </w:rPr>
        <w:t xml:space="preserve"> se hayan dictado diversas ejecutorias de la Suprema Corte de Justicia o incluso formado jurisprudencia, la ley se </w:t>
      </w:r>
      <w:r w:rsidR="000E5971" w:rsidRPr="00DC2A65">
        <w:rPr>
          <w:rFonts w:ascii="Palatino Linotype" w:hAnsi="Palatino Linotype"/>
          <w:lang w:val="es-ES_tradnl"/>
        </w:rPr>
        <w:t>continúa</w:t>
      </w:r>
      <w:r w:rsidRPr="00DC2A65">
        <w:rPr>
          <w:rFonts w:ascii="Palatino Linotype" w:hAnsi="Palatino Linotype"/>
          <w:lang w:val="es-ES_tradnl"/>
        </w:rPr>
        <w:t xml:space="preserve"> aplicando. Ello es así, pues las sentencias de amparo tienen efectos limitados, pues </w:t>
      </w:r>
      <w:r w:rsidRPr="00DC2A65">
        <w:rPr>
          <w:rFonts w:ascii="Palatino Linotype" w:hAnsi="Palatino Linotype"/>
          <w:b/>
          <w:lang w:val="es-ES_tradnl"/>
        </w:rPr>
        <w:t xml:space="preserve">se circunscriben a </w:t>
      </w:r>
      <w:proofErr w:type="spellStart"/>
      <w:r w:rsidRPr="00DC2A65">
        <w:rPr>
          <w:rFonts w:ascii="Palatino Linotype" w:hAnsi="Palatino Linotype"/>
          <w:b/>
          <w:lang w:val="es-ES_tradnl"/>
        </w:rPr>
        <w:t>protege</w:t>
      </w:r>
      <w:proofErr w:type="spellEnd"/>
      <w:r w:rsidRPr="00DC2A65">
        <w:rPr>
          <w:rFonts w:ascii="Palatino Linotype" w:hAnsi="Palatino Linotype"/>
          <w:b/>
          <w:lang w:val="es-ES_tradnl"/>
        </w:rPr>
        <w:t xml:space="preserve"> al </w:t>
      </w:r>
      <w:proofErr w:type="spellStart"/>
      <w:r w:rsidRPr="00DC2A65">
        <w:rPr>
          <w:rFonts w:ascii="Palatino Linotype" w:hAnsi="Palatino Linotype"/>
          <w:b/>
          <w:lang w:val="es-ES_tradnl"/>
        </w:rPr>
        <w:t>amparista</w:t>
      </w:r>
      <w:proofErr w:type="spellEnd"/>
      <w:r w:rsidRPr="00DC2A65">
        <w:rPr>
          <w:rFonts w:ascii="Palatino Linotype" w:hAnsi="Palatino Linotype"/>
          <w:lang w:val="es-ES_tradnl"/>
        </w:rPr>
        <w:t xml:space="preserve"> en el caso especial sobre el que verse la queja, pues no es jurídicamente viable que se haga una declaración general. </w:t>
      </w:r>
    </w:p>
    <w:p w:rsidR="00DF2B2D" w:rsidRPr="00DC2A65" w:rsidRDefault="00DF2B2D" w:rsidP="00DF2B2D">
      <w:pPr>
        <w:pStyle w:val="Prrafodelista"/>
        <w:rPr>
          <w:rFonts w:ascii="Palatino Linotype" w:hAnsi="Palatino Linotype"/>
          <w:lang w:val="es-ES_tradnl"/>
        </w:rPr>
      </w:pPr>
    </w:p>
    <w:p w:rsidR="00DF2B2D" w:rsidRPr="00DC2A65"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DC2A65">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DC2A65">
        <w:rPr>
          <w:rFonts w:ascii="Palatino Linotype" w:hAnsi="Palatino Linotype"/>
          <w:shd w:val="clear" w:color="auto" w:fill="FFFFFF"/>
          <w:lang w:val="es-ES_tradnl"/>
        </w:rPr>
        <w:t>juzgador</w:t>
      </w:r>
      <w:proofErr w:type="spellEnd"/>
      <w:r w:rsidRPr="00DC2A65">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w:t>
      </w:r>
      <w:r w:rsidRPr="00DC2A65">
        <w:rPr>
          <w:rFonts w:ascii="Palatino Linotype" w:hAnsi="Palatino Linotype"/>
          <w:shd w:val="clear" w:color="auto" w:fill="FFFFFF"/>
          <w:lang w:val="es-ES_tradnl"/>
        </w:rPr>
        <w:lastRenderedPageBreak/>
        <w:t>de amparo, como lo pretende hacer el Órgano Garante Nacional, lo cual resulta violatorio del artículo 16 constitucional.</w:t>
      </w:r>
    </w:p>
    <w:p w:rsidR="00BC0A9E" w:rsidRPr="00DC2A65" w:rsidRDefault="00BC0A9E" w:rsidP="00BC0A9E">
      <w:pPr>
        <w:pStyle w:val="Prrafodelista"/>
        <w:rPr>
          <w:rFonts w:ascii="Palatino Linotype" w:hAnsi="Palatino Linotype"/>
          <w:lang w:val="es-ES_tradnl"/>
        </w:rPr>
      </w:pPr>
    </w:p>
    <w:p w:rsidR="00196336" w:rsidRPr="00DC2A65"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DC2A65">
        <w:rPr>
          <w:rFonts w:ascii="Palatino Linotype" w:hAnsi="Palatino Linotype"/>
          <w:lang w:val="es-ES_tradnl"/>
        </w:rPr>
        <w:t xml:space="preserve">no </w:t>
      </w:r>
      <w:r w:rsidRPr="00DC2A65">
        <w:rPr>
          <w:rFonts w:ascii="Palatino Linotype" w:hAnsi="Palatino Linotype"/>
          <w:lang w:val="es-ES_tradnl"/>
        </w:rPr>
        <w:t>constituye</w:t>
      </w:r>
      <w:r w:rsidR="0091736F" w:rsidRPr="00DC2A65">
        <w:rPr>
          <w:rFonts w:ascii="Palatino Linotype" w:hAnsi="Palatino Linotype"/>
          <w:lang w:val="es-ES_tradnl"/>
        </w:rPr>
        <w:t xml:space="preserve"> </w:t>
      </w:r>
      <w:r w:rsidRPr="00DC2A65">
        <w:rPr>
          <w:rFonts w:ascii="Palatino Linotype" w:hAnsi="Palatino Linotype"/>
          <w:lang w:val="es-ES_tradnl"/>
        </w:rPr>
        <w:t>un precedente</w:t>
      </w:r>
      <w:r w:rsidR="0091736F" w:rsidRPr="00DC2A65">
        <w:rPr>
          <w:rFonts w:ascii="Palatino Linotype" w:hAnsi="Palatino Linotype"/>
          <w:lang w:val="es-ES_tradnl"/>
        </w:rPr>
        <w:t xml:space="preserve">, sino </w:t>
      </w:r>
      <w:r w:rsidRPr="00DC2A65">
        <w:rPr>
          <w:rFonts w:ascii="Palatino Linotype" w:hAnsi="Palatino Linotype"/>
          <w:lang w:val="es-ES_tradnl"/>
        </w:rPr>
        <w:t xml:space="preserve">únicamente un referente, </w:t>
      </w:r>
      <w:r w:rsidRPr="00DC2A65">
        <w:rPr>
          <w:rFonts w:ascii="Palatino Linotype" w:hAnsi="Palatino Linotype"/>
          <w:b/>
          <w:u w:val="single"/>
          <w:lang w:val="es-ES_tradnl"/>
        </w:rPr>
        <w:t>y no los efectos generales que pretende otorgarle y mucho menos el fundamento para establecer nuevas hipótesis de procedencia distintas a las establecidas en la ley</w:t>
      </w:r>
      <w:r w:rsidRPr="00DC2A65">
        <w:rPr>
          <w:rFonts w:ascii="Palatino Linotype" w:hAnsi="Palatino Linotype"/>
          <w:lang w:val="es-ES_tradnl"/>
        </w:rPr>
        <w:t xml:space="preserve"> y con ello justificar la procedencia del recurso de inconformidad.</w:t>
      </w:r>
    </w:p>
    <w:p w:rsidR="005723DC" w:rsidRPr="00DC2A65" w:rsidRDefault="005723DC" w:rsidP="005723DC">
      <w:pPr>
        <w:pStyle w:val="Prrafodelista"/>
        <w:rPr>
          <w:rFonts w:ascii="Palatino Linotype" w:hAnsi="Palatino Linotype" w:cs="Calibri"/>
          <w:color w:val="212529"/>
          <w:shd w:val="clear" w:color="auto" w:fill="FFFFFF"/>
          <w:lang w:val="es-ES_tradnl"/>
        </w:rPr>
      </w:pPr>
    </w:p>
    <w:p w:rsidR="005723DC" w:rsidRPr="00DC2A65"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w:t>
      </w:r>
      <w:r w:rsidRPr="00DC2A65">
        <w:rPr>
          <w:rFonts w:ascii="Palatino Linotype" w:hAnsi="Palatino Linotype"/>
          <w:lang w:val="es-ES_tradnl"/>
        </w:rPr>
        <w:lastRenderedPageBreak/>
        <w:t>con efectos generales si la norma impugnada es o no compatible con la norma fundamental y, en la hipótesis de que no lo fuera, declare la inconstitucionalidad y consiguiente nulidad de dicha norma.</w:t>
      </w:r>
    </w:p>
    <w:p w:rsidR="005723DC" w:rsidRPr="00DC2A65" w:rsidRDefault="005723DC" w:rsidP="005723DC">
      <w:pPr>
        <w:pStyle w:val="Prrafodelista"/>
        <w:rPr>
          <w:rFonts w:ascii="Palatino Linotype" w:hAnsi="Palatino Linotype"/>
          <w:lang w:val="es-ES_tradnl"/>
        </w:rPr>
      </w:pPr>
    </w:p>
    <w:p w:rsidR="005723DC" w:rsidRPr="00DC2A65"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De lo anterior, se advierte </w:t>
      </w:r>
      <w:r w:rsidR="008A6E0E" w:rsidRPr="00DC2A65">
        <w:rPr>
          <w:rFonts w:ascii="Palatino Linotype" w:hAnsi="Palatino Linotype"/>
          <w:lang w:val="es-ES_tradnl"/>
        </w:rPr>
        <w:t>que,</w:t>
      </w:r>
      <w:r w:rsidRPr="00DC2A65">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DC2A65">
        <w:rPr>
          <w:rFonts w:ascii="Palatino Linotype" w:hAnsi="Palatino Linotype"/>
          <w:i/>
          <w:lang w:val="es-ES_tradnl"/>
        </w:rPr>
        <w:t>erga omnes.</w:t>
      </w:r>
    </w:p>
    <w:p w:rsidR="005723DC" w:rsidRPr="00DC2A65" w:rsidRDefault="005723DC" w:rsidP="005723DC">
      <w:pPr>
        <w:pStyle w:val="Prrafodelista"/>
        <w:rPr>
          <w:rFonts w:ascii="Palatino Linotype" w:hAnsi="Palatino Linotype"/>
          <w:lang w:val="es-ES_tradnl"/>
        </w:rPr>
      </w:pPr>
    </w:p>
    <w:p w:rsidR="005723DC" w:rsidRPr="00DC2A65"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Bajo este contexto, el INAI como órgan</w:t>
      </w:r>
      <w:r w:rsidR="003A399E" w:rsidRPr="00DC2A65">
        <w:rPr>
          <w:rFonts w:ascii="Palatino Linotype" w:hAnsi="Palatino Linotype"/>
          <w:lang w:val="es-ES_tradnl"/>
        </w:rPr>
        <w:t>o constitucionalmente autónomo</w:t>
      </w:r>
      <w:r w:rsidRPr="00DC2A65">
        <w:rPr>
          <w:rFonts w:ascii="Palatino Linotype" w:hAnsi="Palatino Linotype"/>
          <w:lang w:val="es-ES_tradnl"/>
        </w:rPr>
        <w:t xml:space="preserve"> de conformidad con el artículo </w:t>
      </w:r>
      <w:r w:rsidRPr="00DC2A65">
        <w:rPr>
          <w:rFonts w:ascii="Palatino Linotype" w:hAnsi="Palatino Linotype" w:cs="Arial"/>
          <w:lang w:val="es-ES_tradnl"/>
        </w:rPr>
        <w:t>105, fracción II, inciso h), de la Constitución Política de los Estados Unidos Mexicanos</w:t>
      </w:r>
      <w:r w:rsidRPr="00DC2A65">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DC2A65" w:rsidRDefault="005723DC" w:rsidP="005723DC">
      <w:pPr>
        <w:pStyle w:val="Prrafodelista"/>
        <w:rPr>
          <w:rFonts w:ascii="Palatino Linotype" w:hAnsi="Palatino Linotype"/>
          <w:lang w:val="es-ES_tradnl"/>
        </w:rPr>
      </w:pPr>
    </w:p>
    <w:p w:rsidR="005723DC" w:rsidRPr="00DC2A65"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En consecuencia, el Órgano Garante Nacional en ejercicio de sus atribuciones en caso de considerar que los artículos 158 y 164  de la Ley de Transparencia y Acceso a la Información Pública del Estado de México y Municipios resultaban  </w:t>
      </w:r>
      <w:r w:rsidRPr="00DC2A65">
        <w:rPr>
          <w:rFonts w:ascii="Palatino Linotype" w:hAnsi="Palatino Linotype"/>
          <w:lang w:val="es-ES_tradnl"/>
        </w:rPr>
        <w:lastRenderedPageBreak/>
        <w:t>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DC2A65" w:rsidRDefault="005723DC" w:rsidP="005723DC">
      <w:pPr>
        <w:pStyle w:val="Prrafodelista"/>
        <w:rPr>
          <w:rFonts w:ascii="Palatino Linotype" w:hAnsi="Palatino Linotype"/>
          <w:lang w:val="es-ES_tradnl"/>
        </w:rPr>
      </w:pPr>
    </w:p>
    <w:p w:rsidR="005723DC" w:rsidRPr="00DC2A65"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C2A65">
        <w:rPr>
          <w:rFonts w:ascii="Palatino Linotype" w:hAnsi="Palatino Linotype"/>
          <w:lang w:val="es-ES_tradnl"/>
        </w:rPr>
        <w:t xml:space="preserve">Por lo tanto, se advierte que </w:t>
      </w:r>
      <w:r w:rsidRPr="00DC2A65">
        <w:rPr>
          <w:rFonts w:ascii="Palatino Linotype" w:hAnsi="Palatino Linotype"/>
          <w:b/>
          <w:u w:val="single"/>
          <w:lang w:val="es-ES_tradnl"/>
        </w:rPr>
        <w:t xml:space="preserve">es la Suprema Corte de Justicia como órgano máximo de constitucionalidad la facultada para declarar la inconstitucionalidad de un precepto constitucional con efectos </w:t>
      </w:r>
      <w:r w:rsidRPr="00DC2A65">
        <w:rPr>
          <w:rFonts w:ascii="Palatino Linotype" w:hAnsi="Palatino Linotype"/>
          <w:b/>
          <w:i/>
          <w:u w:val="single"/>
          <w:lang w:val="es-ES_tradnl"/>
        </w:rPr>
        <w:t>erga omnes</w:t>
      </w:r>
      <w:r w:rsidRPr="00DC2A65">
        <w:rPr>
          <w:rFonts w:ascii="Palatino Linotype" w:hAnsi="Palatino Linotype"/>
          <w:b/>
          <w:u w:val="single"/>
          <w:lang w:val="es-ES_tradnl"/>
        </w:rPr>
        <w:t>, y a los órganos constitucionalmente autónomos aplicar la norma en estricto apego al principio de legalidad</w:t>
      </w:r>
      <w:r w:rsidRPr="00DC2A65">
        <w:rPr>
          <w:rFonts w:ascii="Palatino Linotype" w:hAnsi="Palatino Linotype"/>
          <w:lang w:val="es-ES_tradnl"/>
        </w:rPr>
        <w:t xml:space="preserve">, circunstancia </w:t>
      </w:r>
      <w:r w:rsidR="008A6E0E" w:rsidRPr="00DC2A65">
        <w:rPr>
          <w:rFonts w:ascii="Palatino Linotype" w:hAnsi="Palatino Linotype"/>
          <w:lang w:val="es-ES_tradnl"/>
        </w:rPr>
        <w:t>que,</w:t>
      </w:r>
      <w:r w:rsidRPr="00DC2A65">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DC2A65" w:rsidRDefault="005723DC" w:rsidP="00196336">
      <w:pPr>
        <w:pStyle w:val="Prrafodelista"/>
        <w:rPr>
          <w:rFonts w:ascii="Palatino Linotype" w:hAnsi="Palatino Linotype"/>
          <w:lang w:val="es-ES_tradnl"/>
        </w:rPr>
      </w:pPr>
    </w:p>
    <w:p w:rsidR="005723DC" w:rsidRPr="00DC2A65" w:rsidRDefault="005723DC" w:rsidP="00196336">
      <w:pPr>
        <w:pStyle w:val="Prrafodelista"/>
        <w:rPr>
          <w:rFonts w:ascii="Palatino Linotype" w:hAnsi="Palatino Linotype"/>
          <w:lang w:val="es-ES_tradnl"/>
        </w:rPr>
      </w:pPr>
    </w:p>
    <w:p w:rsidR="00196336" w:rsidRPr="00DC2A65"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DC2A65">
        <w:rPr>
          <w:rFonts w:ascii="Palatino Linotype" w:hAnsi="Palatino Linotype"/>
          <w:b/>
          <w:lang w:val="es-ES_tradnl"/>
        </w:rPr>
        <w:t xml:space="preserve">Sentencias de amparo no constituyen criterios </w:t>
      </w:r>
    </w:p>
    <w:p w:rsidR="00196336" w:rsidRPr="00DC2A65" w:rsidRDefault="00196336" w:rsidP="00196336">
      <w:pPr>
        <w:pStyle w:val="Prrafodelista"/>
        <w:rPr>
          <w:rFonts w:ascii="Palatino Linotype" w:hAnsi="Palatino Linotype"/>
          <w:lang w:val="es-ES_tradnl"/>
        </w:rPr>
      </w:pPr>
    </w:p>
    <w:p w:rsidR="0056788D" w:rsidRPr="00DC2A65"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DC2A65">
        <w:rPr>
          <w:rFonts w:ascii="Palatino Linotype" w:hAnsi="Palatino Linotype"/>
          <w:lang w:val="es-ES_tradnl"/>
        </w:rPr>
        <w:t>.</w:t>
      </w:r>
    </w:p>
    <w:p w:rsidR="0056788D" w:rsidRPr="00DC2A65"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DC2A65"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La SCJN es el órgano por excelencia facultado para la creación de jurisprudencia, de conformidad con el artículo 94 constitucional, en su párrafo </w:t>
      </w:r>
      <w:r w:rsidRPr="00DC2A65">
        <w:rPr>
          <w:rFonts w:ascii="Palatino Linotype" w:hAnsi="Palatino Linotype"/>
          <w:lang w:val="es-ES_tradnl"/>
        </w:rPr>
        <w:lastRenderedPageBreak/>
        <w:t xml:space="preserve">décimo, que dispone que la ley fijará los términos de la obligatoriedad de la jurisprudencia que emitan los tribunales del Poder Judicial de la Federación. </w:t>
      </w:r>
    </w:p>
    <w:p w:rsidR="0056788D" w:rsidRPr="00DC2A65" w:rsidRDefault="0056788D" w:rsidP="0056788D">
      <w:pPr>
        <w:pStyle w:val="Prrafodelista"/>
        <w:rPr>
          <w:rFonts w:ascii="Palatino Linotype" w:hAnsi="Palatino Linotype"/>
          <w:lang w:val="es-ES_tradnl"/>
        </w:rPr>
      </w:pPr>
    </w:p>
    <w:p w:rsidR="00EF61D3" w:rsidRPr="00DC2A65"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En esa virtud, la Ley de Amparo señala los </w:t>
      </w:r>
      <w:r w:rsidR="008A6E0E" w:rsidRPr="00DC2A65">
        <w:rPr>
          <w:rFonts w:ascii="Palatino Linotype" w:hAnsi="Palatino Linotype"/>
          <w:lang w:val="es-ES_tradnl"/>
        </w:rPr>
        <w:t>términos</w:t>
      </w:r>
      <w:r w:rsidRPr="00DC2A65">
        <w:rPr>
          <w:rFonts w:ascii="Palatino Linotype" w:hAnsi="Palatino Linotype"/>
          <w:lang w:val="es-ES_tradnl"/>
        </w:rPr>
        <w:t xml:space="preserve"> de la obligatoriedad de </w:t>
      </w:r>
      <w:r w:rsidR="008A6E0E" w:rsidRPr="00DC2A65">
        <w:rPr>
          <w:rFonts w:ascii="Palatino Linotype" w:hAnsi="Palatino Linotype"/>
          <w:lang w:val="es-ES_tradnl"/>
        </w:rPr>
        <w:t>la jurisprudencia</w:t>
      </w:r>
      <w:r w:rsidRPr="00DC2A65">
        <w:rPr>
          <w:rFonts w:ascii="Palatino Linotype" w:hAnsi="Palatino Linotype"/>
          <w:lang w:val="es-ES_tradnl"/>
        </w:rPr>
        <w:t xml:space="preserve"> en los siguientes términos:</w:t>
      </w:r>
    </w:p>
    <w:p w:rsidR="00EF61D3" w:rsidRPr="00DC2A65" w:rsidRDefault="00EF61D3" w:rsidP="00EF61D3">
      <w:pPr>
        <w:pStyle w:val="Prrafodelista"/>
        <w:rPr>
          <w:rFonts w:ascii="Palatino Linotype" w:hAnsi="Palatino Linotype"/>
          <w:lang w:val="es-ES_tradnl"/>
        </w:rPr>
      </w:pPr>
    </w:p>
    <w:p w:rsidR="00EF61D3" w:rsidRPr="00DC2A65"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C2A65">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DC2A65"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C2A65">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DC2A65"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C2A65">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DC2A65"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C2A65">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w:t>
      </w:r>
      <w:r w:rsidRPr="00DC2A65">
        <w:rPr>
          <w:rFonts w:ascii="Palatino Linotype" w:hAnsi="Palatino Linotype"/>
          <w:lang w:val="es-ES_tradnl"/>
        </w:rPr>
        <w:lastRenderedPageBreak/>
        <w:t xml:space="preserve">y tribunales administrativos y del trabajo, locales o federales que se ubiquen dentro del circuito correspondiente. </w:t>
      </w:r>
    </w:p>
    <w:p w:rsidR="00EF61D3" w:rsidRPr="00DC2A65" w:rsidRDefault="00EF61D3" w:rsidP="00EF61D3">
      <w:pPr>
        <w:pStyle w:val="Prrafodelista"/>
        <w:rPr>
          <w:rFonts w:ascii="Palatino Linotype" w:hAnsi="Palatino Linotype"/>
          <w:lang w:val="es-ES_tradnl"/>
        </w:rPr>
      </w:pPr>
    </w:p>
    <w:p w:rsidR="0056788D" w:rsidRPr="00DC2A65"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Derivado de lo anterior, la jurisprudencia goza del estatus de obligatoriedad para quienes juzgan, por </w:t>
      </w:r>
      <w:r w:rsidR="008A6E0E" w:rsidRPr="00DC2A65">
        <w:rPr>
          <w:rFonts w:ascii="Palatino Linotype" w:hAnsi="Palatino Linotype"/>
          <w:lang w:val="es-ES_tradnl"/>
        </w:rPr>
        <w:t>tanto,</w:t>
      </w:r>
      <w:r w:rsidRPr="00DC2A65">
        <w:rPr>
          <w:rFonts w:ascii="Palatino Linotype" w:hAnsi="Palatino Linotype"/>
          <w:lang w:val="es-ES_tradnl"/>
        </w:rPr>
        <w:t xml:space="preserve"> respecto de las</w:t>
      </w:r>
      <w:r w:rsidR="00196336" w:rsidRPr="00DC2A65">
        <w:rPr>
          <w:rFonts w:ascii="Palatino Linotype" w:hAnsi="Palatino Linotype"/>
          <w:lang w:val="es-ES_tradnl"/>
        </w:rPr>
        <w:t xml:space="preserve"> autoridades administrativas</w:t>
      </w:r>
      <w:r w:rsidRPr="00DC2A65">
        <w:rPr>
          <w:rFonts w:ascii="Palatino Linotype" w:hAnsi="Palatino Linotype"/>
          <w:lang w:val="es-ES_tradnl"/>
        </w:rPr>
        <w:t xml:space="preserve">, éstas </w:t>
      </w:r>
      <w:r w:rsidR="00196336" w:rsidRPr="00DC2A65">
        <w:rPr>
          <w:rFonts w:ascii="Palatino Linotype" w:hAnsi="Palatino Linotype"/>
          <w:lang w:val="es-ES_tradnl"/>
        </w:rPr>
        <w:t xml:space="preserve">no están obligadas a aplicar la jurisprudencia, </w:t>
      </w:r>
      <w:r w:rsidRPr="00DC2A65">
        <w:rPr>
          <w:rFonts w:ascii="Palatino Linotype" w:hAnsi="Palatino Linotype"/>
          <w:lang w:val="es-ES_tradnl"/>
        </w:rPr>
        <w:t xml:space="preserve">sirve de sustento la siguiente jurisprudencia </w:t>
      </w:r>
      <w:r w:rsidR="00EF61D3" w:rsidRPr="00DC2A65">
        <w:rPr>
          <w:rFonts w:ascii="Palatino Linotype" w:hAnsi="Palatino Linotype"/>
          <w:lang w:val="es-ES_tradnl"/>
        </w:rPr>
        <w:t>emitida por la Segunda Sala de la SCJN:</w:t>
      </w:r>
    </w:p>
    <w:p w:rsidR="00EF61D3" w:rsidRPr="00DC2A65"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DC2A65" w:rsidRDefault="00196336" w:rsidP="00D62172">
      <w:pPr>
        <w:ind w:left="720"/>
        <w:jc w:val="both"/>
        <w:rPr>
          <w:rFonts w:ascii="Palatino Linotype" w:hAnsi="Palatino Linotype"/>
          <w:i/>
          <w:lang w:val="es-ES_tradnl"/>
        </w:rPr>
      </w:pPr>
      <w:r w:rsidRPr="00DC2A65">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DC2A65">
        <w:rPr>
          <w:rFonts w:ascii="Palatino Linotype" w:hAnsi="Palatino Linotype"/>
          <w:b/>
          <w:i/>
          <w:lang w:val="es-ES_tradnl"/>
        </w:rPr>
        <w:t>ACTOS.</w:t>
      </w:r>
      <w:r w:rsidRPr="00DC2A65">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196336" w:rsidRPr="00DC2A65" w:rsidRDefault="00196336" w:rsidP="00D62172">
      <w:pPr>
        <w:ind w:left="720"/>
        <w:jc w:val="both"/>
        <w:rPr>
          <w:rFonts w:ascii="Palatino Linotype" w:hAnsi="Palatino Linotype"/>
          <w:i/>
          <w:lang w:val="es-ES_tradnl"/>
        </w:rPr>
      </w:pPr>
      <w:r w:rsidRPr="00DC2A65">
        <w:rPr>
          <w:rFonts w:ascii="Palatino Linotype" w:hAnsi="Palatino Linotype"/>
          <w:i/>
          <w:lang w:val="es-ES_tradnl"/>
        </w:rPr>
        <w:lastRenderedPageBreak/>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DC2A65">
        <w:rPr>
          <w:rStyle w:val="Refdenotaalpie"/>
          <w:rFonts w:ascii="Palatino Linotype" w:hAnsi="Palatino Linotype"/>
          <w:i/>
          <w:lang w:val="es-ES_tradnl"/>
        </w:rPr>
        <w:footnoteReference w:id="12"/>
      </w:r>
    </w:p>
    <w:p w:rsidR="0056788D" w:rsidRPr="00DC2A65" w:rsidRDefault="0056788D" w:rsidP="00BC0A9E">
      <w:pPr>
        <w:spacing w:line="360" w:lineRule="auto"/>
        <w:jc w:val="both"/>
        <w:rPr>
          <w:rFonts w:ascii="Palatino Linotype" w:hAnsi="Palatino Linotype"/>
          <w:shd w:val="clear" w:color="auto" w:fill="FFFFFF"/>
          <w:lang w:val="es-ES_tradnl"/>
        </w:rPr>
      </w:pPr>
    </w:p>
    <w:p w:rsidR="0056788D" w:rsidRPr="00DC2A65"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w:t>
      </w:r>
      <w:r w:rsidR="003A399E" w:rsidRPr="00DC2A65">
        <w:rPr>
          <w:rFonts w:ascii="Palatino Linotype" w:hAnsi="Palatino Linotype"/>
          <w:lang w:val="es-ES_tradnl"/>
        </w:rPr>
        <w:t>za general cuando se trate del P</w:t>
      </w:r>
      <w:r w:rsidRPr="00DC2A65">
        <w:rPr>
          <w:rFonts w:ascii="Palatino Linotype" w:hAnsi="Palatino Linotype"/>
          <w:lang w:val="es-ES_tradnl"/>
        </w:rPr>
        <w:t>leno, y especializados acorde al conocimiento de cada una de las salas.</w:t>
      </w:r>
    </w:p>
    <w:p w:rsidR="00D1664E" w:rsidRPr="00DC2A65"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DC2A65"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t xml:space="preserve">Ahora bien, conviene hacer la distinción entre </w:t>
      </w:r>
      <w:r w:rsidR="00196336" w:rsidRPr="00DC2A65">
        <w:rPr>
          <w:rFonts w:ascii="Palatino Linotype" w:hAnsi="Palatino Linotype"/>
          <w:shd w:val="clear" w:color="auto" w:fill="FFFFFF"/>
          <w:lang w:val="es-ES_tradnl"/>
        </w:rPr>
        <w:t xml:space="preserve">una Tesis aislada </w:t>
      </w:r>
      <w:r w:rsidRPr="00DC2A65">
        <w:rPr>
          <w:rFonts w:ascii="Palatino Linotype" w:hAnsi="Palatino Linotype"/>
          <w:shd w:val="clear" w:color="auto" w:fill="FFFFFF"/>
          <w:lang w:val="es-ES_tradnl"/>
        </w:rPr>
        <w:t xml:space="preserve">y una Tesis de </w:t>
      </w:r>
      <w:r w:rsidR="008A6E0E" w:rsidRPr="00DC2A65">
        <w:rPr>
          <w:rFonts w:ascii="Palatino Linotype" w:hAnsi="Palatino Linotype"/>
          <w:shd w:val="clear" w:color="auto" w:fill="FFFFFF"/>
          <w:lang w:val="es-ES_tradnl"/>
        </w:rPr>
        <w:t>Jurisprudencia</w:t>
      </w:r>
      <w:r w:rsidRPr="00DC2A65">
        <w:rPr>
          <w:rFonts w:ascii="Palatino Linotype" w:hAnsi="Palatino Linotype"/>
          <w:shd w:val="clear" w:color="auto" w:fill="FFFFFF"/>
          <w:lang w:val="es-ES_tradnl"/>
        </w:rPr>
        <w:t xml:space="preserve">, en tanto que la primera constituye </w:t>
      </w:r>
      <w:r w:rsidR="00196336" w:rsidRPr="00DC2A65">
        <w:rPr>
          <w:rFonts w:ascii="Palatino Linotype" w:hAnsi="Palatino Linotype"/>
          <w:shd w:val="clear" w:color="auto" w:fill="FFFFFF"/>
          <w:lang w:val="es-ES_tradnl"/>
        </w:rPr>
        <w:t xml:space="preserve">aquellos criterios emitidos por un Tribunal Colegiado o por la Suprema Corte de Justicia de la Nación actuando en Pleno o en Salas, interpretando algún precepto legal pero que no ha alcanzado </w:t>
      </w:r>
      <w:r w:rsidR="003A399E" w:rsidRPr="00DC2A65">
        <w:rPr>
          <w:rFonts w:ascii="Palatino Linotype" w:hAnsi="Palatino Linotype"/>
          <w:shd w:val="clear" w:color="auto" w:fill="FFFFFF"/>
          <w:lang w:val="es-ES_tradnl"/>
        </w:rPr>
        <w:t xml:space="preserve">a </w:t>
      </w:r>
      <w:r w:rsidR="00196336" w:rsidRPr="00DC2A65">
        <w:rPr>
          <w:rFonts w:ascii="Palatino Linotype" w:hAnsi="Palatino Linotype"/>
          <w:shd w:val="clear" w:color="auto" w:fill="FFFFFF"/>
          <w:lang w:val="es-ES_tradnl"/>
        </w:rPr>
        <w:t>ser obligatoria</w:t>
      </w:r>
      <w:r w:rsidRPr="00DC2A65">
        <w:rPr>
          <w:rFonts w:ascii="Palatino Linotype" w:hAnsi="Palatino Linotype"/>
          <w:shd w:val="clear" w:color="auto" w:fill="FFFFFF"/>
          <w:lang w:val="es-ES_tradnl"/>
        </w:rPr>
        <w:t>; s</w:t>
      </w:r>
      <w:r w:rsidR="00196336" w:rsidRPr="00DC2A65">
        <w:rPr>
          <w:rFonts w:ascii="Palatino Linotype" w:hAnsi="Palatino Linotype"/>
          <w:shd w:val="clear" w:color="auto" w:fill="FFFFFF"/>
          <w:lang w:val="es-ES_tradnl"/>
        </w:rPr>
        <w:t>in embargo, cumple una importante función de orientación para el juzgador</w:t>
      </w:r>
      <w:r w:rsidRPr="00DC2A65">
        <w:rPr>
          <w:rFonts w:ascii="Palatino Linotype" w:hAnsi="Palatino Linotype"/>
          <w:shd w:val="clear" w:color="auto" w:fill="FFFFFF"/>
          <w:lang w:val="es-ES_tradnl"/>
        </w:rPr>
        <w:t xml:space="preserve">; mientras que la Jurisprudencia es la interpretación de la ley, de </w:t>
      </w:r>
      <w:r w:rsidRPr="00DC2A65">
        <w:rPr>
          <w:rFonts w:ascii="Palatino Linotype" w:hAnsi="Palatino Linotype"/>
          <w:shd w:val="clear" w:color="auto" w:fill="FFFFFF"/>
          <w:lang w:val="es-ES_tradnl"/>
        </w:rPr>
        <w:lastRenderedPageBreak/>
        <w:t>observancia obligatoria, que emana de las ejecutorias que pronuncia la Suprema Corte de Justicia de la Nación funcionando en Pleno o en Salas, y por los Tribunales Colegiados de Circuito</w:t>
      </w:r>
      <w:r w:rsidR="00D1664E" w:rsidRPr="00DC2A65">
        <w:rPr>
          <w:rFonts w:ascii="Palatino Linotype" w:hAnsi="Palatino Linotype"/>
          <w:shd w:val="clear" w:color="auto" w:fill="FFFFFF"/>
          <w:lang w:val="es-ES_tradnl"/>
        </w:rPr>
        <w:t xml:space="preserve">. </w:t>
      </w:r>
      <w:r w:rsidR="008A6E0E" w:rsidRPr="00DC2A65">
        <w:rPr>
          <w:rFonts w:ascii="Palatino Linotype" w:hAnsi="Palatino Linotype"/>
          <w:shd w:val="clear" w:color="auto" w:fill="FFFFFF"/>
          <w:lang w:val="es-ES_tradnl"/>
        </w:rPr>
        <w:t>Corrobora</w:t>
      </w:r>
      <w:r w:rsidR="00D1664E" w:rsidRPr="00DC2A65">
        <w:rPr>
          <w:rFonts w:ascii="Palatino Linotype" w:hAnsi="Palatino Linotype"/>
          <w:shd w:val="clear" w:color="auto" w:fill="FFFFFF"/>
          <w:lang w:val="es-ES_tradnl"/>
        </w:rPr>
        <w:t xml:space="preserve"> lo anterior la siguiente Tesis Aislada: </w:t>
      </w:r>
    </w:p>
    <w:p w:rsidR="00D1664E" w:rsidRPr="00DC2A65"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DC2A65"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DC2A65">
        <w:rPr>
          <w:rFonts w:ascii="Palatino Linotype" w:hAnsi="Palatino Linotype"/>
          <w:b/>
          <w:i/>
          <w:lang w:val="es-ES_tradnl"/>
        </w:rPr>
        <w:t>JURISPRUDENCIA. CONCEPTO, CLASES Y FINES.</w:t>
      </w:r>
      <w:r w:rsidRPr="00DC2A65">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DC2A65"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DC2A65"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DC2A65">
        <w:rPr>
          <w:rFonts w:ascii="Palatino Linotype" w:hAnsi="Palatino Linotype"/>
          <w:i/>
          <w:lang w:val="es-ES_tradnl"/>
        </w:rPr>
        <w:t xml:space="preserve">Amparo en revisión 299/2003. Funerales la </w:t>
      </w:r>
      <w:proofErr w:type="spellStart"/>
      <w:r w:rsidRPr="00DC2A65">
        <w:rPr>
          <w:rFonts w:ascii="Palatino Linotype" w:hAnsi="Palatino Linotype"/>
          <w:i/>
          <w:lang w:val="es-ES_tradnl"/>
        </w:rPr>
        <w:t>Ascención</w:t>
      </w:r>
      <w:proofErr w:type="spellEnd"/>
      <w:r w:rsidRPr="00DC2A65">
        <w:rPr>
          <w:rFonts w:ascii="Palatino Linotype" w:hAnsi="Palatino Linotype"/>
          <w:i/>
          <w:lang w:val="es-ES_tradnl"/>
        </w:rPr>
        <w:t>, S.A. de C.V. 3 de julio de 2003. Unanimidad de votos. Ponente: F. Guillermo Baltazar Alvear. Secretario: Esteban Oviedo Rangel.</w:t>
      </w:r>
      <w:r w:rsidRPr="00DC2A65">
        <w:rPr>
          <w:rStyle w:val="Refdenotaalpie"/>
          <w:rFonts w:ascii="Palatino Linotype" w:hAnsi="Palatino Linotype"/>
          <w:i/>
          <w:lang w:val="es-ES_tradnl"/>
        </w:rPr>
        <w:footnoteReference w:id="13"/>
      </w:r>
    </w:p>
    <w:p w:rsidR="00D1664E" w:rsidRPr="00DC2A65"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C2A65">
        <w:rPr>
          <w:rFonts w:ascii="Palatino Linotype" w:hAnsi="Palatino Linotype"/>
          <w:lang w:val="es-ES_tradnl"/>
        </w:rPr>
        <w:lastRenderedPageBreak/>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DC2A65"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DC2A65"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Derivado de lo anterior, se concluye que los órganos garantes no están obligados a aplicar jurisprudencias o </w:t>
      </w:r>
      <w:r w:rsidR="007D4DE0" w:rsidRPr="00DC2A65">
        <w:rPr>
          <w:rFonts w:ascii="Palatino Linotype" w:hAnsi="Palatino Linotype"/>
          <w:lang w:val="es-ES_tradnl"/>
        </w:rPr>
        <w:t>t</w:t>
      </w:r>
      <w:r w:rsidRPr="00DC2A65">
        <w:rPr>
          <w:rFonts w:ascii="Palatino Linotype" w:hAnsi="Palatino Linotype"/>
          <w:lang w:val="es-ES_tradnl"/>
        </w:rPr>
        <w:t xml:space="preserve">esis aisladas, mucho menos a fundamentar sus resoluciones </w:t>
      </w:r>
      <w:r w:rsidR="005723DC" w:rsidRPr="00DC2A65">
        <w:rPr>
          <w:rFonts w:ascii="Palatino Linotype" w:hAnsi="Palatino Linotype"/>
          <w:lang w:val="es-ES_tradnl"/>
        </w:rPr>
        <w:t>en  jurisprudencia</w:t>
      </w:r>
      <w:r w:rsidR="007D4DE0" w:rsidRPr="00DC2A65">
        <w:rPr>
          <w:rFonts w:ascii="Palatino Linotype" w:hAnsi="Palatino Linotype"/>
          <w:lang w:val="es-ES_tradnl"/>
        </w:rPr>
        <w:t xml:space="preserve"> o tesis aisladas</w:t>
      </w:r>
      <w:r w:rsidR="007D3D0B" w:rsidRPr="00DC2A65">
        <w:rPr>
          <w:rFonts w:ascii="Palatino Linotype" w:hAnsi="Palatino Linotype"/>
          <w:lang w:val="es-ES_tradnl"/>
        </w:rPr>
        <w:t>;</w:t>
      </w:r>
      <w:r w:rsidR="005723DC" w:rsidRPr="00DC2A65">
        <w:rPr>
          <w:rFonts w:ascii="Palatino Linotype" w:hAnsi="Palatino Linotype"/>
          <w:lang w:val="es-ES_tradnl"/>
        </w:rPr>
        <w:t xml:space="preserve"> es decir, solo constituye</w:t>
      </w:r>
      <w:r w:rsidR="007D4DE0" w:rsidRPr="00DC2A65">
        <w:rPr>
          <w:rFonts w:ascii="Palatino Linotype" w:hAnsi="Palatino Linotype"/>
          <w:lang w:val="es-ES_tradnl"/>
        </w:rPr>
        <w:t>n</w:t>
      </w:r>
      <w:r w:rsidR="005723DC" w:rsidRPr="00DC2A65">
        <w:rPr>
          <w:rFonts w:ascii="Palatino Linotype" w:hAnsi="Palatino Linotype"/>
          <w:lang w:val="es-ES_tradnl"/>
        </w:rPr>
        <w:t xml:space="preserve">, en todo caso, criterios orientadores para la interpretación de las normas jurídicas; sin embargo, </w:t>
      </w:r>
      <w:r w:rsidRPr="00DC2A65">
        <w:rPr>
          <w:rFonts w:ascii="Palatino Linotype" w:eastAsiaTheme="minorHAnsi" w:hAnsi="Palatino Linotype"/>
          <w:b/>
          <w:lang w:val="es-ES_tradnl" w:eastAsia="en-US"/>
        </w:rPr>
        <w:t>el INAI, trata</w:t>
      </w:r>
      <w:r w:rsidR="005723DC" w:rsidRPr="00DC2A65">
        <w:rPr>
          <w:rFonts w:ascii="Palatino Linotype" w:eastAsiaTheme="minorHAnsi" w:hAnsi="Palatino Linotype"/>
          <w:b/>
          <w:lang w:val="es-ES_tradnl" w:eastAsia="en-US"/>
        </w:rPr>
        <w:t xml:space="preserve"> </w:t>
      </w:r>
      <w:r w:rsidRPr="00DC2A65">
        <w:rPr>
          <w:rFonts w:ascii="Palatino Linotype" w:eastAsiaTheme="minorHAnsi" w:hAnsi="Palatino Linotype"/>
          <w:b/>
          <w:lang w:val="es-ES_tradnl" w:eastAsia="en-US"/>
        </w:rPr>
        <w:t xml:space="preserve">de justificar su </w:t>
      </w:r>
      <w:r w:rsidR="005723DC" w:rsidRPr="00DC2A65">
        <w:rPr>
          <w:rFonts w:ascii="Palatino Linotype" w:eastAsiaTheme="minorHAnsi" w:hAnsi="Palatino Linotype"/>
          <w:b/>
          <w:lang w:val="es-ES_tradnl" w:eastAsia="en-US"/>
        </w:rPr>
        <w:t>interpretación</w:t>
      </w:r>
      <w:r w:rsidRPr="00DC2A65">
        <w:rPr>
          <w:rFonts w:ascii="Palatino Linotype" w:eastAsiaTheme="minorHAnsi" w:hAnsi="Palatino Linotype"/>
          <w:b/>
          <w:lang w:val="es-ES_tradnl" w:eastAsia="en-US"/>
        </w:rPr>
        <w:t xml:space="preserve"> expansiva y probablemente</w:t>
      </w:r>
      <w:r w:rsidR="005723DC" w:rsidRPr="00DC2A65">
        <w:rPr>
          <w:rFonts w:ascii="Palatino Linotype" w:hAnsi="Palatino Linotype"/>
          <w:b/>
          <w:lang w:val="es-ES_tradnl"/>
        </w:rPr>
        <w:t xml:space="preserve"> </w:t>
      </w:r>
      <w:r w:rsidRPr="00DC2A65">
        <w:rPr>
          <w:rFonts w:ascii="Palatino Linotype" w:eastAsiaTheme="minorHAnsi" w:hAnsi="Palatino Linotype"/>
          <w:b/>
          <w:lang w:val="es-ES_tradnl" w:eastAsia="en-US"/>
        </w:rPr>
        <w:t>desproporcionada de la norma</w:t>
      </w:r>
      <w:r w:rsidR="005723DC" w:rsidRPr="00DC2A65">
        <w:rPr>
          <w:rFonts w:ascii="Palatino Linotype" w:eastAsiaTheme="minorHAnsi" w:hAnsi="Palatino Linotype"/>
          <w:b/>
          <w:lang w:val="es-ES_tradnl" w:eastAsia="en-US"/>
        </w:rPr>
        <w:t xml:space="preserve"> en una </w:t>
      </w:r>
      <w:r w:rsidRPr="00DC2A65">
        <w:rPr>
          <w:rFonts w:ascii="Palatino Linotype" w:eastAsiaTheme="minorHAnsi" w:hAnsi="Palatino Linotype"/>
          <w:b/>
          <w:lang w:val="es-ES_tradnl" w:eastAsia="en-US"/>
        </w:rPr>
        <w:t>sentencia de amparo</w:t>
      </w:r>
      <w:r w:rsidR="005723DC" w:rsidRPr="00DC2A65">
        <w:rPr>
          <w:rFonts w:ascii="Palatino Linotype" w:hAnsi="Palatino Linotype"/>
          <w:b/>
          <w:lang w:val="es-ES_tradnl"/>
        </w:rPr>
        <w:t xml:space="preserve"> </w:t>
      </w:r>
      <w:r w:rsidRPr="00DC2A65">
        <w:rPr>
          <w:rFonts w:ascii="Palatino Linotype" w:eastAsiaTheme="minorHAnsi" w:hAnsi="Palatino Linotype"/>
          <w:b/>
          <w:lang w:val="es-ES_tradnl" w:eastAsia="en-US"/>
        </w:rPr>
        <w:t xml:space="preserve">1703/2016 para reclamar </w:t>
      </w:r>
      <w:r w:rsidR="005723DC" w:rsidRPr="00DC2A65">
        <w:rPr>
          <w:rFonts w:ascii="Palatino Linotype" w:eastAsiaTheme="minorHAnsi" w:hAnsi="Palatino Linotype"/>
          <w:b/>
          <w:lang w:val="es-ES_tradnl" w:eastAsia="en-US"/>
        </w:rPr>
        <w:t>jurisdicción</w:t>
      </w:r>
      <w:r w:rsidRPr="00DC2A65">
        <w:rPr>
          <w:rFonts w:ascii="Palatino Linotype" w:eastAsiaTheme="minorHAnsi" w:hAnsi="Palatino Linotype"/>
          <w:b/>
          <w:lang w:val="es-ES_tradnl" w:eastAsia="en-US"/>
        </w:rPr>
        <w:t xml:space="preserve"> sobre cualquier supuesto que pudiera</w:t>
      </w:r>
      <w:r w:rsidR="005723DC" w:rsidRPr="00DC2A65">
        <w:rPr>
          <w:rFonts w:ascii="Palatino Linotype" w:hAnsi="Palatino Linotype"/>
          <w:b/>
          <w:lang w:val="es-ES_tradnl"/>
        </w:rPr>
        <w:t xml:space="preserve"> ser </w:t>
      </w:r>
      <w:r w:rsidR="008A6E0E" w:rsidRPr="00DC2A65">
        <w:rPr>
          <w:rFonts w:ascii="Palatino Linotype" w:hAnsi="Palatino Linotype"/>
          <w:b/>
          <w:lang w:val="es-ES_tradnl"/>
        </w:rPr>
        <w:t>e</w:t>
      </w:r>
      <w:r w:rsidR="008A6E0E" w:rsidRPr="00DC2A65">
        <w:rPr>
          <w:rFonts w:ascii="Palatino Linotype" w:eastAsiaTheme="minorHAnsi" w:hAnsi="Palatino Linotype"/>
          <w:b/>
          <w:lang w:val="es-ES_tradnl" w:eastAsia="en-US"/>
        </w:rPr>
        <w:t>quivalente</w:t>
      </w:r>
      <w:r w:rsidR="005723DC" w:rsidRPr="00DC2A65">
        <w:rPr>
          <w:rFonts w:ascii="Palatino Linotype" w:eastAsiaTheme="minorHAnsi" w:hAnsi="Palatino Linotype"/>
          <w:b/>
          <w:lang w:val="es-ES_tradnl" w:eastAsia="en-US"/>
        </w:rPr>
        <w:t xml:space="preserve"> </w:t>
      </w:r>
      <w:r w:rsidRPr="00DC2A65">
        <w:rPr>
          <w:rFonts w:ascii="Palatino Linotype" w:eastAsiaTheme="minorHAnsi" w:hAnsi="Palatino Linotype"/>
          <w:b/>
          <w:lang w:val="es-ES_tradnl" w:eastAsia="en-US"/>
        </w:rPr>
        <w:t>a una negativa de acceso</w:t>
      </w:r>
      <w:r w:rsidR="005723DC" w:rsidRPr="00DC2A65">
        <w:rPr>
          <w:rFonts w:ascii="Palatino Linotype" w:eastAsiaTheme="minorHAnsi" w:hAnsi="Palatino Linotype"/>
          <w:b/>
          <w:lang w:val="es-ES_tradnl" w:eastAsia="en-US"/>
        </w:rPr>
        <w:t xml:space="preserve"> a la información</w:t>
      </w:r>
      <w:r w:rsidR="005723DC"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 xml:space="preserve"> </w:t>
      </w:r>
    </w:p>
    <w:p w:rsidR="00624CA8" w:rsidRPr="00DC2A65" w:rsidRDefault="00624CA8" w:rsidP="00624CA8">
      <w:pPr>
        <w:pStyle w:val="Prrafodelista"/>
        <w:rPr>
          <w:rFonts w:ascii="Palatino Linotype" w:hAnsi="Palatino Linotype"/>
          <w:shd w:val="clear" w:color="auto" w:fill="FFFFFF"/>
          <w:lang w:val="es-ES_tradnl"/>
        </w:rPr>
      </w:pPr>
    </w:p>
    <w:p w:rsidR="005723DC" w:rsidRPr="00DC2A65"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DC2A65">
        <w:rPr>
          <w:rFonts w:ascii="Palatino Linotype" w:hAnsi="Palatino Linotype"/>
          <w:b/>
          <w:lang w:val="es-ES_tradnl"/>
        </w:rPr>
        <w:t xml:space="preserve">Juicio de Amparo  </w:t>
      </w:r>
      <w:r w:rsidRPr="00DC2A65">
        <w:rPr>
          <w:rFonts w:ascii="Palatino Linotype" w:eastAsiaTheme="minorHAnsi" w:hAnsi="Palatino Linotype"/>
          <w:b/>
          <w:lang w:val="es-ES_tradnl" w:eastAsia="en-US"/>
        </w:rPr>
        <w:t xml:space="preserve">1703/2016 </w:t>
      </w:r>
      <w:r w:rsidRPr="00DC2A65">
        <w:rPr>
          <w:rFonts w:ascii="Palatino Linotype" w:hAnsi="Palatino Linotype"/>
          <w:b/>
          <w:lang w:val="es-ES_tradnl"/>
        </w:rPr>
        <w:t>viciado  de origen</w:t>
      </w:r>
    </w:p>
    <w:p w:rsidR="005723DC" w:rsidRPr="00DC2A65" w:rsidRDefault="005723DC" w:rsidP="005723DC">
      <w:pPr>
        <w:pStyle w:val="Prrafodelista"/>
        <w:rPr>
          <w:rFonts w:ascii="Palatino Linotype" w:hAnsi="Palatino Linotype"/>
          <w:shd w:val="clear" w:color="auto" w:fill="FFFFFF"/>
          <w:lang w:val="es-ES_tradnl"/>
        </w:rPr>
      </w:pPr>
    </w:p>
    <w:p w:rsidR="003431BE" w:rsidRPr="00DC2A65"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7D3D0B" w:rsidRPr="00DC2A65" w:rsidRDefault="007D3D0B" w:rsidP="007D3D0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DC2A65"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lastRenderedPageBreak/>
        <w:t xml:space="preserve">El principio de igualdad de armas que supone que todas las partes del proceso deben tener iguales oportunidades procesales para alegar y probar, cada cual en función de sus intereses y </w:t>
      </w:r>
      <w:r w:rsidR="008A6E0E" w:rsidRPr="00DC2A65">
        <w:rPr>
          <w:rFonts w:ascii="Palatino Linotype" w:hAnsi="Palatino Linotype"/>
          <w:shd w:val="clear" w:color="auto" w:fill="FFFFFF"/>
          <w:lang w:val="es-ES_tradnl"/>
        </w:rPr>
        <w:t>pretensiones</w:t>
      </w:r>
      <w:r w:rsidRPr="00DC2A65">
        <w:rPr>
          <w:rFonts w:ascii="Palatino Linotype" w:hAnsi="Palatino Linotype"/>
          <w:shd w:val="clear" w:color="auto" w:fill="FFFFFF"/>
          <w:lang w:val="es-ES_tradnl"/>
        </w:rPr>
        <w:t xml:space="preserve"> y a </w:t>
      </w:r>
      <w:r w:rsidR="008A6E0E" w:rsidRPr="00DC2A65">
        <w:rPr>
          <w:rFonts w:ascii="Palatino Linotype" w:hAnsi="Palatino Linotype"/>
          <w:shd w:val="clear" w:color="auto" w:fill="FFFFFF"/>
          <w:lang w:val="es-ES_tradnl"/>
        </w:rPr>
        <w:t>partir</w:t>
      </w:r>
      <w:r w:rsidRPr="00DC2A65">
        <w:rPr>
          <w:rFonts w:ascii="Palatino Linotype" w:hAnsi="Palatino Linotype"/>
          <w:shd w:val="clear" w:color="auto" w:fill="FFFFFF"/>
          <w:lang w:val="es-ES_tradnl"/>
        </w:rPr>
        <w:t xml:space="preserve"> de dicha concurrencia de actores involucrados se puede </w:t>
      </w:r>
      <w:r w:rsidR="008A6E0E" w:rsidRPr="00DC2A65">
        <w:rPr>
          <w:rFonts w:ascii="Palatino Linotype" w:hAnsi="Palatino Linotype"/>
          <w:shd w:val="clear" w:color="auto" w:fill="FFFFFF"/>
          <w:lang w:val="es-ES_tradnl"/>
        </w:rPr>
        <w:t>llegar</w:t>
      </w:r>
      <w:r w:rsidRPr="00DC2A65">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DC2A65"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Cabe destacar que toda vez que en el amparo 1703/2016 </w:t>
      </w:r>
      <w:r w:rsidR="00302404" w:rsidRPr="00DC2A65">
        <w:rPr>
          <w:rFonts w:ascii="Palatino Linotype" w:hAnsi="Palatino Linotype"/>
          <w:shd w:val="clear" w:color="auto" w:fill="FFFFFF"/>
          <w:lang w:val="es-ES_tradnl"/>
        </w:rPr>
        <w:t xml:space="preserve">referido por </w:t>
      </w:r>
      <w:r w:rsidRPr="00DC2A65">
        <w:rPr>
          <w:rFonts w:ascii="Palatino Linotype" w:hAnsi="Palatino Linotype"/>
          <w:shd w:val="clear" w:color="auto" w:fill="FFFFFF"/>
          <w:lang w:val="es-ES_tradnl"/>
        </w:rPr>
        <w:t>el Órgano Garante Nacional</w:t>
      </w:r>
      <w:r w:rsidR="003431BE" w:rsidRPr="00DC2A65">
        <w:rPr>
          <w:rFonts w:ascii="Palatino Linotype" w:hAnsi="Palatino Linotype"/>
          <w:shd w:val="clear" w:color="auto" w:fill="FFFFFF"/>
          <w:lang w:val="es-ES_tradnl"/>
        </w:rPr>
        <w:t>,</w:t>
      </w:r>
      <w:r w:rsidR="00302404" w:rsidRPr="00DC2A65">
        <w:rPr>
          <w:rFonts w:ascii="Palatino Linotype" w:hAnsi="Palatino Linotype"/>
          <w:shd w:val="clear" w:color="auto" w:fill="FFFFFF"/>
          <w:lang w:val="es-ES_tradnl"/>
        </w:rPr>
        <w:t xml:space="preserve"> advirtió que el particular se inconformaba por</w:t>
      </w:r>
      <w:r w:rsidR="00C91589" w:rsidRPr="00DC2A65">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DC2A65">
        <w:rPr>
          <w:rFonts w:ascii="Palatino Linotype" w:hAnsi="Palatino Linotype"/>
          <w:shd w:val="clear" w:color="auto" w:fill="FFFFFF"/>
          <w:lang w:val="es-ES_tradnl"/>
        </w:rPr>
        <w:t>s</w:t>
      </w:r>
      <w:r w:rsidR="00C91589" w:rsidRPr="00DC2A65">
        <w:rPr>
          <w:rFonts w:ascii="Palatino Linotype" w:hAnsi="Palatino Linotype"/>
          <w:shd w:val="clear" w:color="auto" w:fill="FFFFFF"/>
          <w:lang w:val="es-ES_tradnl"/>
        </w:rPr>
        <w:t xml:space="preserve"> interesados a juicio a los 32 órganos garantes</w:t>
      </w:r>
      <w:r w:rsidR="00D42643" w:rsidRPr="00DC2A65">
        <w:rPr>
          <w:rFonts w:ascii="Palatino Linotype" w:hAnsi="Palatino Linotype"/>
          <w:shd w:val="clear" w:color="auto" w:fill="FFFFFF"/>
          <w:lang w:val="es-ES_tradnl"/>
        </w:rPr>
        <w:t>.</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Por ello, al no haber sido escuchados los 32 órganos garantes de las Entidades Federativas, la </w:t>
      </w:r>
      <w:r w:rsidR="008A6E0E" w:rsidRPr="00DC2A65">
        <w:rPr>
          <w:rFonts w:ascii="Palatino Linotype" w:hAnsi="Palatino Linotype"/>
          <w:shd w:val="clear" w:color="auto" w:fill="FFFFFF"/>
          <w:lang w:val="es-ES_tradnl"/>
        </w:rPr>
        <w:t>sentencia</w:t>
      </w:r>
      <w:r w:rsidRPr="00DC2A65">
        <w:rPr>
          <w:rFonts w:ascii="Palatino Linotype" w:hAnsi="Palatino Linotype"/>
          <w:shd w:val="clear" w:color="auto" w:fill="FFFFFF"/>
          <w:lang w:val="es-ES_tradnl"/>
        </w:rPr>
        <w:t xml:space="preserve"> de amparo bajo la cual </w:t>
      </w:r>
      <w:r w:rsidR="008A6E0E" w:rsidRPr="00DC2A65">
        <w:rPr>
          <w:rFonts w:ascii="Palatino Linotype" w:hAnsi="Palatino Linotype"/>
          <w:shd w:val="clear" w:color="auto" w:fill="FFFFFF"/>
          <w:lang w:val="es-ES_tradnl"/>
        </w:rPr>
        <w:t>justifica</w:t>
      </w:r>
      <w:r w:rsidRPr="00DC2A65">
        <w:rPr>
          <w:rFonts w:ascii="Palatino Linotype" w:hAnsi="Palatino Linotype"/>
          <w:shd w:val="clear" w:color="auto" w:fill="FFFFFF"/>
          <w:lang w:val="es-ES_tradnl"/>
        </w:rPr>
        <w:t xml:space="preserve"> la </w:t>
      </w:r>
      <w:r w:rsidR="008A6E0E" w:rsidRPr="00DC2A65">
        <w:rPr>
          <w:rFonts w:ascii="Palatino Linotype" w:hAnsi="Palatino Linotype"/>
          <w:shd w:val="clear" w:color="auto" w:fill="FFFFFF"/>
          <w:lang w:val="es-ES_tradnl"/>
        </w:rPr>
        <w:t>emisión</w:t>
      </w:r>
      <w:r w:rsidRPr="00DC2A65">
        <w:rPr>
          <w:rFonts w:ascii="Palatino Linotype" w:hAnsi="Palatino Linotype"/>
          <w:shd w:val="clear" w:color="auto" w:fill="FFFFFF"/>
          <w:lang w:val="es-ES_tradnl"/>
        </w:rPr>
        <w:t xml:space="preserve"> de </w:t>
      </w:r>
      <w:r w:rsidR="008A6E0E" w:rsidRPr="00DC2A65">
        <w:rPr>
          <w:rFonts w:ascii="Palatino Linotype" w:hAnsi="Palatino Linotype"/>
          <w:shd w:val="clear" w:color="auto" w:fill="FFFFFF"/>
          <w:lang w:val="es-ES_tradnl"/>
        </w:rPr>
        <w:t>su resolución</w:t>
      </w:r>
      <w:r w:rsidRPr="00DC2A65">
        <w:rPr>
          <w:rFonts w:ascii="Palatino Linotype" w:hAnsi="Palatino Linotype"/>
          <w:shd w:val="clear" w:color="auto" w:fill="FFFFFF"/>
          <w:lang w:val="es-ES_tradnl"/>
        </w:rPr>
        <w:t xml:space="preserve"> del recurso de inconformidad, se encuentra </w:t>
      </w:r>
      <w:r w:rsidR="008A6E0E" w:rsidRPr="00DC2A65">
        <w:rPr>
          <w:rFonts w:ascii="Palatino Linotype" w:hAnsi="Palatino Linotype"/>
          <w:shd w:val="clear" w:color="auto" w:fill="FFFFFF"/>
          <w:lang w:val="es-ES_tradnl"/>
        </w:rPr>
        <w:t>viciado</w:t>
      </w:r>
      <w:r w:rsidRPr="00DC2A65">
        <w:rPr>
          <w:rFonts w:ascii="Palatino Linotype" w:hAnsi="Palatino Linotype"/>
          <w:shd w:val="clear" w:color="auto" w:fill="FFFFFF"/>
          <w:lang w:val="es-ES_tradnl"/>
        </w:rPr>
        <w:t xml:space="preserve"> de origen</w:t>
      </w:r>
      <w:r w:rsidR="00D42643" w:rsidRPr="00DC2A65">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193907" w:rsidRPr="00DC2A65" w:rsidRDefault="00193907" w:rsidP="00193907">
      <w:pPr>
        <w:pStyle w:val="Prrafodelista"/>
        <w:spacing w:line="360" w:lineRule="auto"/>
        <w:ind w:left="1170" w:right="49"/>
        <w:jc w:val="both"/>
        <w:rPr>
          <w:rFonts w:ascii="Palatino Linotype" w:hAnsi="Palatino Linotype"/>
          <w:b/>
          <w:lang w:val="es-ES_tradnl"/>
        </w:rPr>
      </w:pPr>
    </w:p>
    <w:p w:rsidR="00D42643" w:rsidRPr="00DC2A65" w:rsidRDefault="00D42643" w:rsidP="00D42643">
      <w:pPr>
        <w:pStyle w:val="Prrafodelista"/>
        <w:numPr>
          <w:ilvl w:val="0"/>
          <w:numId w:val="28"/>
        </w:numPr>
        <w:spacing w:line="360" w:lineRule="auto"/>
        <w:ind w:right="49"/>
        <w:jc w:val="both"/>
        <w:rPr>
          <w:rFonts w:ascii="Palatino Linotype" w:hAnsi="Palatino Linotype"/>
          <w:b/>
          <w:lang w:val="es-ES_tradnl"/>
        </w:rPr>
      </w:pPr>
      <w:r w:rsidRPr="00DC2A65">
        <w:rPr>
          <w:rFonts w:ascii="Palatino Linotype" w:hAnsi="Palatino Linotype"/>
          <w:b/>
          <w:lang w:val="es-ES_tradnl"/>
        </w:rPr>
        <w:t>De los Derechos del solicitante de acceso a la información</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lastRenderedPageBreak/>
        <w:t xml:space="preserve">Por un lado, en el </w:t>
      </w:r>
      <w:r w:rsidR="00302404" w:rsidRPr="00DC2A65">
        <w:rPr>
          <w:rFonts w:ascii="Palatino Linotype" w:eastAsiaTheme="minorHAnsi" w:hAnsi="Palatino Linotype"/>
          <w:lang w:val="es-ES_tradnl" w:eastAsia="en-US"/>
        </w:rPr>
        <w:t>artículo</w:t>
      </w:r>
      <w:r w:rsidRPr="00DC2A65">
        <w:rPr>
          <w:rFonts w:ascii="Palatino Linotype" w:eastAsiaTheme="minorHAnsi" w:hAnsi="Palatino Linotype"/>
          <w:lang w:val="es-ES_tradnl" w:eastAsia="en-US"/>
        </w:rPr>
        <w:t xml:space="preserve"> sexto constitucional se reconoce el</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 xml:space="preserve">derecho de las personas de acceder a la </w:t>
      </w:r>
      <w:r w:rsidR="00302404" w:rsidRPr="00DC2A65">
        <w:rPr>
          <w:rFonts w:ascii="Palatino Linotype" w:eastAsiaTheme="minorHAnsi" w:hAnsi="Palatino Linotype"/>
          <w:lang w:val="es-ES_tradnl" w:eastAsia="en-US"/>
        </w:rPr>
        <w:t>información</w:t>
      </w:r>
      <w:r w:rsidRPr="00DC2A65">
        <w:rPr>
          <w:rFonts w:ascii="Palatino Linotype" w:eastAsiaTheme="minorHAnsi" w:hAnsi="Palatino Linotype"/>
          <w:lang w:val="es-ES_tradnl" w:eastAsia="en-US"/>
        </w:rPr>
        <w:t xml:space="preserve"> en </w:t>
      </w:r>
      <w:r w:rsidR="00302404" w:rsidRPr="00DC2A65">
        <w:rPr>
          <w:rFonts w:ascii="Palatino Linotype" w:eastAsiaTheme="minorHAnsi" w:hAnsi="Palatino Linotype"/>
          <w:lang w:val="es-ES_tradnl" w:eastAsia="en-US"/>
        </w:rPr>
        <w:t>posesión</w:t>
      </w:r>
      <w:r w:rsidRPr="00DC2A65">
        <w:rPr>
          <w:rFonts w:ascii="Palatino Linotype" w:eastAsiaTheme="minorHAnsi" w:hAnsi="Palatino Linotype"/>
          <w:lang w:val="es-ES_tradnl" w:eastAsia="en-US"/>
        </w:rPr>
        <w:t xml:space="preserve"> de los sujetos</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 xml:space="preserve">obligados la que, por principio, es </w:t>
      </w:r>
      <w:r w:rsidR="00302404" w:rsidRPr="00DC2A65">
        <w:rPr>
          <w:rFonts w:ascii="Palatino Linotype" w:eastAsiaTheme="minorHAnsi" w:hAnsi="Palatino Linotype"/>
          <w:lang w:val="es-ES_tradnl" w:eastAsia="en-US"/>
        </w:rPr>
        <w:t>pública</w:t>
      </w:r>
      <w:r w:rsidRPr="00DC2A65">
        <w:rPr>
          <w:rFonts w:ascii="Palatino Linotype" w:eastAsiaTheme="minorHAnsi" w:hAnsi="Palatino Linotype"/>
          <w:lang w:val="es-ES_tradnl" w:eastAsia="en-US"/>
        </w:rPr>
        <w:t>, salvo las restricciones que defina la ley;</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as</w:t>
      </w:r>
      <w:r w:rsidR="00302404" w:rsidRPr="00DC2A65">
        <w:rPr>
          <w:rFonts w:ascii="Palatino Linotype" w:eastAsiaTheme="minorHAnsi" w:hAnsi="Palatino Linotype"/>
          <w:lang w:val="es-ES_tradnl" w:eastAsia="en-US"/>
        </w:rPr>
        <w:t xml:space="preserve">í </w:t>
      </w:r>
      <w:r w:rsidRPr="00DC2A65">
        <w:rPr>
          <w:rFonts w:ascii="Palatino Linotype" w:eastAsiaTheme="minorHAnsi" w:hAnsi="Palatino Linotype"/>
          <w:lang w:val="es-ES_tradnl" w:eastAsia="en-US"/>
        </w:rPr>
        <w:t>como el reconocimiento de las garant</w:t>
      </w:r>
      <w:r w:rsidR="00302404" w:rsidRPr="00DC2A65">
        <w:rPr>
          <w:rFonts w:ascii="Palatino Linotype" w:eastAsiaTheme="minorHAnsi" w:hAnsi="Palatino Linotype"/>
          <w:lang w:val="es-ES_tradnl" w:eastAsia="en-US"/>
        </w:rPr>
        <w:t>ía</w:t>
      </w:r>
      <w:r w:rsidRPr="00DC2A65">
        <w:rPr>
          <w:rFonts w:ascii="Palatino Linotype" w:eastAsiaTheme="minorHAnsi" w:hAnsi="Palatino Linotype"/>
          <w:lang w:val="es-ES_tradnl" w:eastAsia="en-US"/>
        </w:rPr>
        <w:t xml:space="preserve">s para su </w:t>
      </w:r>
      <w:r w:rsidR="00302404" w:rsidRPr="00DC2A65">
        <w:rPr>
          <w:rFonts w:ascii="Palatino Linotype" w:eastAsiaTheme="minorHAnsi" w:hAnsi="Palatino Linotype"/>
          <w:lang w:val="es-ES_tradnl" w:eastAsia="en-US"/>
        </w:rPr>
        <w:t>protección</w:t>
      </w:r>
      <w:r w:rsidRPr="00DC2A65">
        <w:rPr>
          <w:rFonts w:ascii="Palatino Linotype" w:eastAsiaTheme="minorHAnsi" w:hAnsi="Palatino Linotype"/>
          <w:lang w:val="es-ES_tradnl" w:eastAsia="en-US"/>
        </w:rPr>
        <w:t>, entre ellas,</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podemos identificar a las primarias como las inmediatamente relacionadas con el</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derecho y, por lo tanto, comunes para todos los sujetos obligados: el deber de</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documentar todo acto que realicen en el ejercicio de sus facultades, competencias</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o funciones; de resguardar los documentos en archivos administrativos</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 xml:space="preserve">actualizados; la de publicar, a </w:t>
      </w:r>
      <w:r w:rsidR="00302404" w:rsidRPr="00DC2A65">
        <w:rPr>
          <w:rFonts w:ascii="Palatino Linotype" w:eastAsiaTheme="minorHAnsi" w:hAnsi="Palatino Linotype"/>
          <w:lang w:val="es-ES_tradnl" w:eastAsia="en-US"/>
        </w:rPr>
        <w:t>través</w:t>
      </w:r>
      <w:r w:rsidRPr="00DC2A65">
        <w:rPr>
          <w:rFonts w:ascii="Palatino Linotype" w:eastAsiaTheme="minorHAnsi" w:hAnsi="Palatino Linotype"/>
          <w:lang w:val="es-ES_tradnl" w:eastAsia="en-US"/>
        </w:rPr>
        <w:t xml:space="preserve"> de los medios </w:t>
      </w:r>
      <w:r w:rsidR="00302404" w:rsidRPr="00DC2A65">
        <w:rPr>
          <w:rFonts w:ascii="Palatino Linotype" w:eastAsiaTheme="minorHAnsi" w:hAnsi="Palatino Linotype"/>
          <w:lang w:val="es-ES_tradnl" w:eastAsia="en-US"/>
        </w:rPr>
        <w:t>electrónicos</w:t>
      </w:r>
      <w:r w:rsidRPr="00DC2A65">
        <w:rPr>
          <w:rFonts w:ascii="Palatino Linotype" w:eastAsiaTheme="minorHAnsi" w:hAnsi="Palatino Linotype"/>
          <w:lang w:val="es-ES_tradnl" w:eastAsia="en-US"/>
        </w:rPr>
        <w:t xml:space="preserve"> disponibles, la</w:t>
      </w:r>
      <w:r w:rsidR="00302404" w:rsidRPr="00DC2A65">
        <w:rPr>
          <w:rFonts w:ascii="Palatino Linotype" w:eastAsiaTheme="minorHAnsi" w:hAnsi="Palatino Linotype"/>
          <w:lang w:val="es-ES_tradnl" w:eastAsia="en-US"/>
        </w:rPr>
        <w:t xml:space="preserve"> información</w:t>
      </w:r>
      <w:r w:rsidRPr="00DC2A65">
        <w:rPr>
          <w:rFonts w:ascii="Palatino Linotype" w:eastAsiaTheme="minorHAnsi" w:hAnsi="Palatino Linotype"/>
          <w:lang w:val="es-ES_tradnl" w:eastAsia="en-US"/>
        </w:rPr>
        <w:t xml:space="preserve"> completa y actualizada, relacionada con el ejercicio de los recursos</w:t>
      </w:r>
      <w:r w:rsidR="00302404" w:rsidRPr="00DC2A65">
        <w:rPr>
          <w:rFonts w:ascii="Palatino Linotype" w:eastAsiaTheme="minorHAnsi" w:hAnsi="Palatino Linotype"/>
          <w:lang w:val="es-ES_tradnl" w:eastAsia="en-US"/>
        </w:rPr>
        <w:t xml:space="preserve"> públicos</w:t>
      </w:r>
      <w:r w:rsidRPr="00DC2A65">
        <w:rPr>
          <w:rFonts w:ascii="Palatino Linotype" w:eastAsiaTheme="minorHAnsi" w:hAnsi="Palatino Linotype"/>
          <w:lang w:val="es-ES_tradnl" w:eastAsia="en-US"/>
        </w:rPr>
        <w:t xml:space="preserve"> y con los indicadores que permitan rendir cuenta del cumplimiento de sus</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objetivos y de los resultados obtenidos; y, finalmente, los procedimientos para</w:t>
      </w:r>
      <w:r w:rsidR="00302404"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 xml:space="preserve">solicitar </w:t>
      </w:r>
      <w:r w:rsidR="00302404" w:rsidRPr="00DC2A65">
        <w:rPr>
          <w:rFonts w:ascii="Palatino Linotype" w:eastAsiaTheme="minorHAnsi" w:hAnsi="Palatino Linotype"/>
          <w:lang w:val="es-ES_tradnl" w:eastAsia="en-US"/>
        </w:rPr>
        <w:t>información</w:t>
      </w:r>
      <w:r w:rsidRPr="00DC2A65">
        <w:rPr>
          <w:rFonts w:ascii="Palatino Linotype" w:eastAsiaTheme="minorHAnsi" w:hAnsi="Palatino Linotype"/>
          <w:lang w:val="es-ES_tradnl" w:eastAsia="en-US"/>
        </w:rPr>
        <w:t>.</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Respecto </w:t>
      </w:r>
      <w:r w:rsidR="00662AE7" w:rsidRPr="00DC2A65">
        <w:rPr>
          <w:rFonts w:ascii="Palatino Linotype" w:hAnsi="Palatino Linotype"/>
          <w:shd w:val="clear" w:color="auto" w:fill="FFFFFF"/>
          <w:lang w:val="es-ES_tradnl"/>
        </w:rPr>
        <w:t>de</w:t>
      </w:r>
      <w:r w:rsidRPr="00DC2A65">
        <w:rPr>
          <w:rFonts w:ascii="Palatino Linotype" w:hAnsi="Palatino Linotype"/>
          <w:shd w:val="clear" w:color="auto" w:fill="FFFFFF"/>
          <w:lang w:val="es-ES_tradnl"/>
        </w:rPr>
        <w:t xml:space="preserve"> los procedimientos para solicitar </w:t>
      </w:r>
      <w:r w:rsidR="008A6E0E" w:rsidRPr="00DC2A65">
        <w:rPr>
          <w:rFonts w:ascii="Palatino Linotype" w:hAnsi="Palatino Linotype"/>
          <w:shd w:val="clear" w:color="auto" w:fill="FFFFFF"/>
          <w:lang w:val="es-ES_tradnl"/>
        </w:rPr>
        <w:t>información</w:t>
      </w:r>
      <w:r w:rsidRPr="00DC2A65">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DC2A65">
        <w:rPr>
          <w:rFonts w:ascii="Palatino Linotype" w:hAnsi="Palatino Linotype"/>
          <w:shd w:val="clear" w:color="auto" w:fill="FFFFFF"/>
          <w:lang w:val="es-ES_tradnl"/>
        </w:rPr>
        <w:t>n</w:t>
      </w:r>
      <w:r w:rsidRPr="00DC2A65">
        <w:rPr>
          <w:rFonts w:ascii="Palatino Linotype" w:hAnsi="Palatino Linotype"/>
          <w:shd w:val="clear" w:color="auto" w:fill="FFFFFF"/>
          <w:lang w:val="es-ES_tradnl"/>
        </w:rPr>
        <w:t xml:space="preserve">a solicitud de información, </w:t>
      </w:r>
      <w:r w:rsidR="002E3B9B" w:rsidRPr="00DC2A65">
        <w:rPr>
          <w:rFonts w:ascii="Palatino Linotype" w:hAnsi="Palatino Linotype"/>
          <w:shd w:val="clear" w:color="auto" w:fill="FFFFFF"/>
          <w:lang w:val="es-ES_tradnl"/>
        </w:rPr>
        <w:t xml:space="preserve">señalando en la </w:t>
      </w:r>
      <w:r w:rsidR="008A6E0E" w:rsidRPr="00DC2A65">
        <w:rPr>
          <w:rFonts w:ascii="Palatino Linotype" w:hAnsi="Palatino Linotype"/>
          <w:shd w:val="clear" w:color="auto" w:fill="FFFFFF"/>
          <w:lang w:val="es-ES_tradnl"/>
        </w:rPr>
        <w:t>fracción</w:t>
      </w:r>
      <w:r w:rsidR="002E3B9B" w:rsidRPr="00DC2A65">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D42643" w:rsidP="00193907">
      <w:pPr>
        <w:pStyle w:val="Texto"/>
        <w:spacing w:after="0" w:line="276" w:lineRule="auto"/>
        <w:ind w:left="502" w:right="474" w:firstLine="0"/>
        <w:rPr>
          <w:rFonts w:ascii="Palatino Linotype" w:hAnsi="Palatino Linotype"/>
          <w:i/>
          <w:sz w:val="22"/>
          <w:szCs w:val="22"/>
          <w:lang w:val="es-ES_tradnl"/>
        </w:rPr>
      </w:pPr>
      <w:bookmarkStart w:id="126" w:name="Artículo_124"/>
      <w:r w:rsidRPr="00DC2A65">
        <w:rPr>
          <w:rFonts w:ascii="Palatino Linotype" w:hAnsi="Palatino Linotype"/>
          <w:b/>
          <w:i/>
          <w:sz w:val="22"/>
          <w:szCs w:val="22"/>
          <w:lang w:val="es-ES_tradnl"/>
        </w:rPr>
        <w:t>Artículo 124</w:t>
      </w:r>
      <w:bookmarkEnd w:id="126"/>
      <w:r w:rsidRPr="00DC2A65">
        <w:rPr>
          <w:rFonts w:ascii="Palatino Linotype" w:hAnsi="Palatino Linotype"/>
          <w:b/>
          <w:i/>
          <w:sz w:val="22"/>
          <w:szCs w:val="22"/>
          <w:lang w:val="es-ES_tradnl"/>
        </w:rPr>
        <w:t xml:space="preserve">. </w:t>
      </w:r>
      <w:r w:rsidRPr="00DC2A65">
        <w:rPr>
          <w:rFonts w:ascii="Palatino Linotype" w:hAnsi="Palatino Linotype"/>
          <w:i/>
          <w:sz w:val="22"/>
          <w:szCs w:val="22"/>
          <w:lang w:val="es-ES_tradnl"/>
        </w:rPr>
        <w:t>Para presentar una solicitud no se podrán exigir mayores requisitos que los siguientes:</w:t>
      </w: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I.</w:t>
      </w:r>
      <w:r w:rsidRPr="00DC2A65">
        <w:rPr>
          <w:rFonts w:ascii="Palatino Linotype" w:hAnsi="Palatino Linotype"/>
          <w:b/>
          <w:i/>
          <w:sz w:val="22"/>
          <w:szCs w:val="22"/>
          <w:lang w:val="es-ES_tradnl"/>
        </w:rPr>
        <w:tab/>
      </w:r>
      <w:r w:rsidRPr="00DC2A65">
        <w:rPr>
          <w:rFonts w:ascii="Palatino Linotype" w:hAnsi="Palatino Linotype"/>
          <w:i/>
          <w:sz w:val="22"/>
          <w:szCs w:val="22"/>
          <w:lang w:val="es-ES_tradnl"/>
        </w:rPr>
        <w:t>Nombre o, en su caso, los datos generales de su representante;</w:t>
      </w: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II. </w:t>
      </w:r>
      <w:r w:rsidRPr="00DC2A65">
        <w:rPr>
          <w:rFonts w:ascii="Palatino Linotype" w:hAnsi="Palatino Linotype"/>
          <w:i/>
          <w:sz w:val="22"/>
          <w:szCs w:val="22"/>
          <w:lang w:val="es-ES_tradnl"/>
        </w:rPr>
        <w:t>Domicilio o medio para recibir notificaciones;</w:t>
      </w: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lastRenderedPageBreak/>
        <w:t xml:space="preserve">III. </w:t>
      </w:r>
      <w:r w:rsidRPr="00DC2A65">
        <w:rPr>
          <w:rFonts w:ascii="Palatino Linotype" w:hAnsi="Palatino Linotype"/>
          <w:i/>
          <w:sz w:val="22"/>
          <w:szCs w:val="22"/>
          <w:lang w:val="es-ES_tradnl"/>
        </w:rPr>
        <w:t>La descripción de la información solicitada;</w:t>
      </w: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r w:rsidRPr="00DC2A65">
        <w:rPr>
          <w:rFonts w:ascii="Palatino Linotype" w:hAnsi="Palatino Linotype"/>
          <w:b/>
          <w:i/>
          <w:sz w:val="22"/>
          <w:szCs w:val="22"/>
          <w:lang w:val="es-ES_tradnl"/>
        </w:rPr>
        <w:t xml:space="preserve">IV. </w:t>
      </w:r>
      <w:r w:rsidRPr="00DC2A65">
        <w:rPr>
          <w:rFonts w:ascii="Palatino Linotype" w:hAnsi="Palatino Linotype"/>
          <w:i/>
          <w:sz w:val="22"/>
          <w:szCs w:val="22"/>
          <w:lang w:val="es-ES_tradnl"/>
        </w:rPr>
        <w:t>Cualquier otro dato que facilite su búsqueda y eventual localización, y</w:t>
      </w: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p>
    <w:p w:rsidR="00D42643" w:rsidRPr="00DC2A65" w:rsidRDefault="00D42643" w:rsidP="00193907">
      <w:pPr>
        <w:pStyle w:val="Texto"/>
        <w:spacing w:after="0" w:line="276" w:lineRule="auto"/>
        <w:ind w:left="502" w:right="333" w:firstLine="0"/>
        <w:rPr>
          <w:rFonts w:ascii="Palatino Linotype" w:hAnsi="Palatino Linotype"/>
          <w:b/>
          <w:i/>
          <w:sz w:val="22"/>
          <w:szCs w:val="22"/>
          <w:lang w:val="es-ES_tradnl"/>
        </w:rPr>
      </w:pPr>
      <w:r w:rsidRPr="00DC2A65">
        <w:rPr>
          <w:rFonts w:ascii="Palatino Linotype" w:hAnsi="Palatino Linotype"/>
          <w:b/>
          <w:i/>
          <w:sz w:val="22"/>
          <w:szCs w:val="22"/>
          <w:lang w:val="es-ES_tradnl"/>
        </w:rPr>
        <w:t>V.</w:t>
      </w:r>
      <w:r w:rsidRPr="00DC2A65">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DC2A65" w:rsidRDefault="00D42643" w:rsidP="00D42643">
      <w:pPr>
        <w:pStyle w:val="Texto"/>
        <w:spacing w:after="0" w:line="276" w:lineRule="auto"/>
        <w:ind w:left="502" w:firstLine="0"/>
        <w:rPr>
          <w:rFonts w:ascii="Palatino Linotype" w:hAnsi="Palatino Linotype"/>
          <w:i/>
          <w:sz w:val="22"/>
          <w:szCs w:val="22"/>
          <w:lang w:val="es-ES_tradnl"/>
        </w:rPr>
      </w:pPr>
    </w:p>
    <w:p w:rsidR="00D42643" w:rsidRPr="00DC2A65" w:rsidRDefault="00D42643" w:rsidP="00193907">
      <w:pPr>
        <w:pStyle w:val="Texto"/>
        <w:spacing w:after="0" w:line="276" w:lineRule="auto"/>
        <w:ind w:left="502" w:right="333" w:firstLine="0"/>
        <w:rPr>
          <w:rFonts w:ascii="Palatino Linotype" w:hAnsi="Palatino Linotype"/>
          <w:i/>
          <w:sz w:val="22"/>
          <w:szCs w:val="22"/>
          <w:lang w:val="es-ES_tradnl"/>
        </w:rPr>
      </w:pPr>
      <w:r w:rsidRPr="00DC2A65">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DC2A65"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DC2A65" w:rsidRDefault="00D42643" w:rsidP="00193907">
      <w:pPr>
        <w:pStyle w:val="Texto"/>
        <w:spacing w:after="0" w:line="276" w:lineRule="auto"/>
        <w:ind w:left="502" w:right="333" w:firstLine="0"/>
        <w:rPr>
          <w:rFonts w:ascii="Palatino Linotype" w:hAnsi="Palatino Linotype"/>
          <w:i/>
          <w:sz w:val="22"/>
          <w:szCs w:val="22"/>
          <w:lang w:val="es-ES_tradnl"/>
        </w:rPr>
      </w:pPr>
      <w:r w:rsidRPr="00DC2A65">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193907" w:rsidRPr="00DC2A65" w:rsidRDefault="00193907" w:rsidP="00193907">
      <w:pPr>
        <w:pStyle w:val="Texto"/>
        <w:spacing w:after="0" w:line="276" w:lineRule="auto"/>
        <w:ind w:left="502" w:right="333" w:firstLine="0"/>
        <w:rPr>
          <w:rFonts w:ascii="Palatino Linotype" w:hAnsi="Palatino Linotype"/>
          <w:i/>
          <w:sz w:val="22"/>
          <w:szCs w:val="22"/>
          <w:lang w:val="es-ES_tradnl"/>
        </w:rPr>
      </w:pP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DC2A65">
        <w:rPr>
          <w:rFonts w:ascii="Palatino Linotype" w:hAnsi="Palatino Linotype"/>
          <w:shd w:val="clear" w:color="auto" w:fill="FFFFFF"/>
          <w:lang w:val="es-ES_tradnl"/>
        </w:rPr>
        <w:t xml:space="preserve">pública </w:t>
      </w:r>
      <w:r w:rsidRPr="00DC2A65">
        <w:rPr>
          <w:rFonts w:ascii="Palatino Linotype" w:hAnsi="Palatino Linotype"/>
          <w:shd w:val="clear" w:color="auto" w:fill="FFFFFF"/>
          <w:lang w:val="es-ES_tradnl"/>
        </w:rPr>
        <w:t>en la modalidad que el particular prefiera l</w:t>
      </w:r>
      <w:r w:rsidRPr="00DC2A65">
        <w:rPr>
          <w:rFonts w:ascii="Palatino Linotype" w:hAnsi="Palatino Linotype"/>
          <w:lang w:val="es-ES_tradnl"/>
        </w:rPr>
        <w:t xml:space="preserve">a cual podrá ser </w:t>
      </w:r>
      <w:r w:rsidRPr="00DC2A65">
        <w:rPr>
          <w:rFonts w:ascii="Palatino Linotype" w:hAnsi="Palatino Linotype"/>
          <w:b/>
          <w:lang w:val="es-ES_tradnl"/>
        </w:rPr>
        <w:t>verbal,</w:t>
      </w:r>
      <w:r w:rsidRPr="00DC2A65">
        <w:rPr>
          <w:rFonts w:ascii="Palatino Linotype" w:hAnsi="Palatino Linotype"/>
          <w:lang w:val="es-ES_tradnl"/>
        </w:rPr>
        <w:t xml:space="preserve"> siempre y cuando sea para fines de orientación, mediante </w:t>
      </w:r>
      <w:r w:rsidRPr="00DC2A65">
        <w:rPr>
          <w:rFonts w:ascii="Palatino Linotype" w:hAnsi="Palatino Linotype"/>
          <w:b/>
          <w:lang w:val="es-ES_tradnl"/>
        </w:rPr>
        <w:t>consulta directa</w:t>
      </w:r>
      <w:r w:rsidRPr="00DC2A65">
        <w:rPr>
          <w:rFonts w:ascii="Palatino Linotype" w:hAnsi="Palatino Linotype"/>
          <w:lang w:val="es-ES_tradnl"/>
        </w:rPr>
        <w:t xml:space="preserve">, mediante la expedición de </w:t>
      </w:r>
      <w:r w:rsidRPr="00DC2A65">
        <w:rPr>
          <w:rFonts w:ascii="Palatino Linotype" w:hAnsi="Palatino Linotype"/>
          <w:b/>
          <w:lang w:val="es-ES_tradnl"/>
        </w:rPr>
        <w:t>copias simples o certificadas</w:t>
      </w:r>
      <w:r w:rsidRPr="00DC2A65">
        <w:rPr>
          <w:rFonts w:ascii="Palatino Linotype" w:hAnsi="Palatino Linotype"/>
          <w:lang w:val="es-ES_tradnl"/>
        </w:rPr>
        <w:t xml:space="preserve"> o la </w:t>
      </w:r>
      <w:r w:rsidRPr="00DC2A65">
        <w:rPr>
          <w:rFonts w:ascii="Palatino Linotype" w:hAnsi="Palatino Linotype"/>
          <w:b/>
          <w:lang w:val="es-ES_tradnl"/>
        </w:rPr>
        <w:t>reproducción en cualquier otro medio, incluidos los electrónicos.</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D42643" w:rsidP="00D42643">
      <w:pPr>
        <w:pStyle w:val="Prrafodelista"/>
        <w:numPr>
          <w:ilvl w:val="0"/>
          <w:numId w:val="29"/>
        </w:numPr>
        <w:spacing w:line="360" w:lineRule="auto"/>
        <w:ind w:right="49"/>
        <w:jc w:val="both"/>
        <w:rPr>
          <w:rFonts w:ascii="Palatino Linotype" w:hAnsi="Palatino Linotype"/>
          <w:b/>
          <w:lang w:val="es-ES_tradnl"/>
        </w:rPr>
      </w:pPr>
      <w:r w:rsidRPr="00DC2A65">
        <w:rPr>
          <w:rFonts w:ascii="Palatino Linotype" w:hAnsi="Palatino Linotype"/>
          <w:b/>
          <w:lang w:val="es-ES_tradnl"/>
        </w:rPr>
        <w:t>De las Restricciones del solicitante del derecho de acceso a la información</w:t>
      </w:r>
    </w:p>
    <w:p w:rsidR="00D42643" w:rsidRPr="00DC2A65"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lastRenderedPageBreak/>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DC2A65">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DC2A65" w:rsidRDefault="00D42643" w:rsidP="00D42643">
      <w:pPr>
        <w:pStyle w:val="Prrafodelista"/>
        <w:rPr>
          <w:rFonts w:ascii="Palatino Linotype" w:eastAsiaTheme="minorHAnsi" w:hAnsi="Palatino Linotype"/>
          <w:lang w:val="es-ES_tradnl" w:eastAsia="en-US"/>
        </w:rPr>
      </w:pPr>
    </w:p>
    <w:p w:rsidR="00D42643" w:rsidRPr="00DC2A65"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t xml:space="preserve">Ahora bien, el hecho de que </w:t>
      </w:r>
      <w:r w:rsidR="0021609A" w:rsidRPr="00DC2A65">
        <w:rPr>
          <w:rFonts w:ascii="Palatino Linotype" w:eastAsiaTheme="minorHAnsi" w:hAnsi="Palatino Linotype"/>
          <w:lang w:val="es-ES_tradnl" w:eastAsia="en-US"/>
        </w:rPr>
        <w:t>el sujeto obligado respond</w:t>
      </w:r>
      <w:r w:rsidRPr="00DC2A65">
        <w:rPr>
          <w:rFonts w:ascii="Palatino Linotype" w:eastAsiaTheme="minorHAnsi" w:hAnsi="Palatino Linotype"/>
          <w:lang w:val="es-ES_tradnl" w:eastAsia="en-US"/>
        </w:rPr>
        <w:t>a</w:t>
      </w:r>
      <w:r w:rsidR="0021609A" w:rsidRPr="00DC2A65">
        <w:rPr>
          <w:rFonts w:ascii="Palatino Linotype" w:eastAsiaTheme="minorHAnsi" w:hAnsi="Palatino Linotype"/>
          <w:lang w:val="es-ES_tradnl" w:eastAsia="en-US"/>
        </w:rPr>
        <w:t xml:space="preserve"> en una modalidad diferente</w:t>
      </w:r>
      <w:r w:rsidRPr="00DC2A65">
        <w:rPr>
          <w:rFonts w:ascii="Palatino Linotype" w:eastAsiaTheme="minorHAnsi" w:hAnsi="Palatino Linotype"/>
          <w:lang w:val="es-ES_tradnl" w:eastAsia="en-US"/>
        </w:rPr>
        <w:t xml:space="preserve"> a la solicitada por el particular</w:t>
      </w:r>
      <w:r w:rsidR="0021609A" w:rsidRPr="00DC2A65">
        <w:rPr>
          <w:rFonts w:ascii="Palatino Linotype" w:eastAsiaTheme="minorHAnsi" w:hAnsi="Palatino Linotype"/>
          <w:lang w:val="es-ES_tradnl" w:eastAsia="en-US"/>
        </w:rPr>
        <w:t>, sin justificar</w:t>
      </w:r>
      <w:r w:rsidR="00036017"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esa </w:t>
      </w:r>
      <w:r w:rsidR="002E3B9B" w:rsidRPr="00DC2A65">
        <w:rPr>
          <w:rFonts w:ascii="Palatino Linotype" w:eastAsiaTheme="minorHAnsi" w:hAnsi="Palatino Linotype"/>
          <w:lang w:val="es-ES_tradnl" w:eastAsia="en-US"/>
        </w:rPr>
        <w:t>decisión</w:t>
      </w:r>
      <w:r w:rsidRPr="00DC2A65">
        <w:rPr>
          <w:rFonts w:ascii="Palatino Linotype" w:eastAsiaTheme="minorHAnsi" w:hAnsi="Palatino Linotype"/>
          <w:lang w:val="es-ES_tradnl" w:eastAsia="en-US"/>
        </w:rPr>
        <w:t xml:space="preserve"> constituye </w:t>
      </w:r>
      <w:r w:rsidR="0021609A" w:rsidRPr="00DC2A65">
        <w:rPr>
          <w:rFonts w:ascii="Palatino Linotype" w:eastAsiaTheme="minorHAnsi" w:hAnsi="Palatino Linotype"/>
          <w:lang w:val="es-ES_tradnl" w:eastAsia="en-US"/>
        </w:rPr>
        <w:t>un acto formal</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emitido por</w:t>
      </w:r>
      <w:r w:rsidR="00036017"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funcionarios legalmente facultados, pero </w:t>
      </w:r>
      <w:r w:rsidR="002E3B9B" w:rsidRPr="00DC2A65">
        <w:rPr>
          <w:rFonts w:ascii="Palatino Linotype" w:eastAsiaTheme="minorHAnsi" w:hAnsi="Palatino Linotype"/>
          <w:lang w:val="es-ES_tradnl" w:eastAsia="en-US"/>
        </w:rPr>
        <w:t>inválido</w:t>
      </w:r>
      <w:r w:rsidR="0021609A" w:rsidRPr="00DC2A65">
        <w:rPr>
          <w:rFonts w:ascii="Palatino Linotype" w:eastAsiaTheme="minorHAnsi" w:hAnsi="Palatino Linotype"/>
          <w:lang w:val="es-ES_tradnl" w:eastAsia="en-US"/>
        </w:rPr>
        <w:t xml:space="preserve"> en tanto que no respeta la</w:t>
      </w:r>
      <w:r w:rsidR="00036017"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prerrogativa legalmente establecida </w:t>
      </w:r>
      <w:r w:rsidRPr="00DC2A65">
        <w:rPr>
          <w:rFonts w:ascii="Palatino Linotype" w:eastAsiaTheme="minorHAnsi" w:hAnsi="Palatino Linotype"/>
          <w:lang w:val="es-ES_tradnl" w:eastAsia="en-US"/>
        </w:rPr>
        <w:t>que</w:t>
      </w:r>
      <w:r w:rsidR="0021609A" w:rsidRPr="00DC2A65">
        <w:rPr>
          <w:rFonts w:ascii="Palatino Linotype" w:eastAsiaTheme="minorHAnsi" w:hAnsi="Palatino Linotype"/>
          <w:lang w:val="es-ES_tradnl" w:eastAsia="en-US"/>
        </w:rPr>
        <w:t xml:space="preserve"> concede al titular del derecho, la oportunidad</w:t>
      </w:r>
      <w:r w:rsidR="00036017"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de escoger la modalidad de entrega de la </w:t>
      </w:r>
      <w:r w:rsidR="002E3B9B" w:rsidRPr="00DC2A65">
        <w:rPr>
          <w:rFonts w:ascii="Palatino Linotype" w:eastAsiaTheme="minorHAnsi" w:hAnsi="Palatino Linotype"/>
          <w:lang w:val="es-ES_tradnl" w:eastAsia="en-US"/>
        </w:rPr>
        <w:t>información</w:t>
      </w:r>
      <w:r w:rsidR="0021609A" w:rsidRPr="00DC2A65">
        <w:rPr>
          <w:rFonts w:ascii="Palatino Linotype" w:eastAsiaTheme="minorHAnsi" w:hAnsi="Palatino Linotype"/>
          <w:lang w:val="es-ES_tradnl" w:eastAsia="en-US"/>
        </w:rPr>
        <w:t>.</w:t>
      </w:r>
    </w:p>
    <w:p w:rsidR="00D42643" w:rsidRPr="00DC2A65" w:rsidRDefault="00D42643" w:rsidP="00D42643">
      <w:pPr>
        <w:pStyle w:val="Prrafodelista"/>
        <w:rPr>
          <w:rFonts w:ascii="Palatino Linotype" w:eastAsiaTheme="minorHAnsi" w:hAnsi="Palatino Linotype"/>
          <w:lang w:val="es-ES_tradnl" w:eastAsia="en-US"/>
        </w:rPr>
      </w:pPr>
    </w:p>
    <w:p w:rsidR="00D42643" w:rsidRPr="00DC2A65"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lastRenderedPageBreak/>
        <w:t>No obstante</w:t>
      </w:r>
      <w:r w:rsidR="005C2C2E" w:rsidRPr="00DC2A65">
        <w:rPr>
          <w:rFonts w:ascii="Palatino Linotype" w:eastAsiaTheme="minorHAnsi" w:hAnsi="Palatino Linotype"/>
          <w:lang w:val="es-ES_tradnl" w:eastAsia="en-US"/>
        </w:rPr>
        <w:t xml:space="preserve"> lo anterior, </w:t>
      </w:r>
      <w:r w:rsidR="0021609A" w:rsidRPr="00DC2A65">
        <w:rPr>
          <w:rFonts w:ascii="Palatino Linotype" w:eastAsiaTheme="minorHAnsi" w:hAnsi="Palatino Linotype"/>
          <w:lang w:val="es-ES_tradnl" w:eastAsia="en-US"/>
        </w:rPr>
        <w:t>no todos los cambios</w:t>
      </w:r>
      <w:r w:rsidR="005C2C2E"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de modalidad en la entrega de la </w:t>
      </w:r>
      <w:r w:rsidR="002E3B9B" w:rsidRPr="00DC2A65">
        <w:rPr>
          <w:rFonts w:ascii="Palatino Linotype" w:eastAsiaTheme="minorHAnsi" w:hAnsi="Palatino Linotype"/>
          <w:lang w:val="es-ES_tradnl" w:eastAsia="en-US"/>
        </w:rPr>
        <w:t>información</w:t>
      </w:r>
      <w:r w:rsidR="0021609A" w:rsidRPr="00DC2A65">
        <w:rPr>
          <w:rFonts w:ascii="Palatino Linotype" w:eastAsiaTheme="minorHAnsi" w:hAnsi="Palatino Linotype"/>
          <w:lang w:val="es-ES_tradnl" w:eastAsia="en-US"/>
        </w:rPr>
        <w:t xml:space="preserve"> puede</w:t>
      </w:r>
      <w:r w:rsidR="005C2C2E" w:rsidRPr="00DC2A65">
        <w:rPr>
          <w:rFonts w:ascii="Palatino Linotype" w:eastAsiaTheme="minorHAnsi" w:hAnsi="Palatino Linotype"/>
          <w:lang w:val="es-ES_tradnl" w:eastAsia="en-US"/>
        </w:rPr>
        <w:t>n</w:t>
      </w:r>
      <w:r w:rsidR="0021609A" w:rsidRPr="00DC2A65">
        <w:rPr>
          <w:rFonts w:ascii="Palatino Linotype" w:eastAsiaTheme="minorHAnsi" w:hAnsi="Palatino Linotype"/>
          <w:lang w:val="es-ES_tradnl" w:eastAsia="en-US"/>
        </w:rPr>
        <w:t xml:space="preserve"> considerarse como </w:t>
      </w:r>
      <w:r w:rsidR="002E3B9B" w:rsidRPr="00DC2A65">
        <w:rPr>
          <w:rFonts w:ascii="Palatino Linotype" w:eastAsiaTheme="minorHAnsi" w:hAnsi="Palatino Linotype"/>
          <w:lang w:val="es-ES_tradnl" w:eastAsia="en-US"/>
        </w:rPr>
        <w:t>inválidos</w:t>
      </w:r>
      <w:r w:rsidR="0021609A" w:rsidRPr="00DC2A65">
        <w:rPr>
          <w:rFonts w:ascii="Palatino Linotype" w:eastAsiaTheme="minorHAnsi" w:hAnsi="Palatino Linotype"/>
          <w:lang w:val="es-ES_tradnl" w:eastAsia="en-US"/>
        </w:rPr>
        <w:t>,</w:t>
      </w:r>
      <w:r w:rsidR="005C2C2E"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ya que </w:t>
      </w:r>
      <w:r w:rsidR="005C2C2E" w:rsidRPr="00DC2A65">
        <w:rPr>
          <w:rFonts w:ascii="Palatino Linotype" w:eastAsiaTheme="minorHAnsi" w:hAnsi="Palatino Linotype"/>
          <w:lang w:val="es-ES_tradnl" w:eastAsia="en-US"/>
        </w:rPr>
        <w:t xml:space="preserve">la Ley </w:t>
      </w:r>
      <w:r w:rsidR="00627D17" w:rsidRPr="00DC2A65">
        <w:rPr>
          <w:rFonts w:ascii="Palatino Linotype" w:eastAsiaTheme="minorHAnsi" w:hAnsi="Palatino Linotype"/>
          <w:lang w:val="es-ES_tradnl" w:eastAsia="en-US"/>
        </w:rPr>
        <w:t xml:space="preserve">General </w:t>
      </w:r>
      <w:r w:rsidR="0021609A" w:rsidRPr="00DC2A65">
        <w:rPr>
          <w:rFonts w:ascii="Palatino Linotype" w:eastAsiaTheme="minorHAnsi" w:hAnsi="Palatino Linotype"/>
          <w:lang w:val="es-ES_tradnl" w:eastAsia="en-US"/>
        </w:rPr>
        <w:t xml:space="preserve">en su </w:t>
      </w:r>
      <w:r w:rsidR="005C2C2E" w:rsidRPr="00DC2A65">
        <w:rPr>
          <w:rFonts w:ascii="Palatino Linotype" w:eastAsiaTheme="minorHAnsi" w:hAnsi="Palatino Linotype"/>
          <w:lang w:val="es-ES_tradnl" w:eastAsia="en-US"/>
        </w:rPr>
        <w:t xml:space="preserve">artículo </w:t>
      </w:r>
      <w:r w:rsidR="0021609A" w:rsidRPr="00DC2A65">
        <w:rPr>
          <w:rFonts w:ascii="Palatino Linotype" w:eastAsiaTheme="minorHAnsi" w:hAnsi="Palatino Linotype"/>
          <w:lang w:val="es-ES_tradnl" w:eastAsia="en-US"/>
        </w:rPr>
        <w:t>127</w:t>
      </w:r>
      <w:r w:rsidR="00627D17" w:rsidRPr="00DC2A65">
        <w:rPr>
          <w:rFonts w:ascii="Palatino Linotype" w:eastAsiaTheme="minorHAnsi" w:hAnsi="Palatino Linotype"/>
          <w:lang w:val="es-ES_tradnl" w:eastAsia="en-US"/>
        </w:rPr>
        <w:t xml:space="preserve"> señala que de </w:t>
      </w:r>
      <w:r w:rsidR="0021609A" w:rsidRPr="00DC2A65">
        <w:rPr>
          <w:rFonts w:ascii="Palatino Linotype" w:eastAsiaTheme="minorHAnsi" w:hAnsi="Palatino Linotype"/>
          <w:lang w:val="es-ES_tradnl" w:eastAsia="en-US"/>
        </w:rPr>
        <w:t xml:space="preserve"> manera excepcional, … de forma fundada y motivada, as</w:t>
      </w:r>
      <w:r w:rsidR="00627D17" w:rsidRPr="00DC2A65">
        <w:rPr>
          <w:rFonts w:ascii="Palatino Linotype" w:eastAsiaTheme="minorHAnsi" w:hAnsi="Palatino Linotype"/>
          <w:lang w:val="es-ES_tradnl" w:eastAsia="en-US"/>
        </w:rPr>
        <w:t xml:space="preserve">í </w:t>
      </w:r>
      <w:r w:rsidR="0021609A" w:rsidRPr="00DC2A65">
        <w:rPr>
          <w:rFonts w:ascii="Palatino Linotype" w:eastAsiaTheme="minorHAnsi" w:hAnsi="Palatino Linotype"/>
          <w:lang w:val="es-ES_tradnl" w:eastAsia="en-US"/>
        </w:rPr>
        <w:t>lo</w:t>
      </w:r>
      <w:r w:rsidR="00627D17"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determine el sujeto obligado, en aquellos casos en que la </w:t>
      </w:r>
      <w:r w:rsidR="00A97E10" w:rsidRPr="00DC2A65">
        <w:rPr>
          <w:rFonts w:ascii="Palatino Linotype" w:eastAsiaTheme="minorHAnsi" w:hAnsi="Palatino Linotype"/>
          <w:lang w:val="es-ES_tradnl" w:eastAsia="en-US"/>
        </w:rPr>
        <w:t>información</w:t>
      </w:r>
      <w:r w:rsidR="0021609A" w:rsidRPr="00DC2A65">
        <w:rPr>
          <w:rFonts w:ascii="Palatino Linotype" w:eastAsiaTheme="minorHAnsi" w:hAnsi="Palatino Linotype"/>
          <w:lang w:val="es-ES_tradnl" w:eastAsia="en-US"/>
        </w:rPr>
        <w:t xml:space="preserve"> solicitada que</w:t>
      </w:r>
      <w:r w:rsidR="00A97E10"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ya se encuentre en su </w:t>
      </w:r>
      <w:r w:rsidR="00A97E10" w:rsidRPr="00DC2A65">
        <w:rPr>
          <w:rFonts w:ascii="Palatino Linotype" w:eastAsiaTheme="minorHAnsi" w:hAnsi="Palatino Linotype"/>
          <w:lang w:val="es-ES_tradnl" w:eastAsia="en-US"/>
        </w:rPr>
        <w:t>posesión</w:t>
      </w:r>
      <w:r w:rsidR="0021609A" w:rsidRPr="00DC2A65">
        <w:rPr>
          <w:rFonts w:ascii="Palatino Linotype" w:eastAsiaTheme="minorHAnsi" w:hAnsi="Palatino Linotype"/>
          <w:lang w:val="es-ES_tradnl" w:eastAsia="en-US"/>
        </w:rPr>
        <w:t xml:space="preserve"> implique </w:t>
      </w:r>
      <w:r w:rsidR="00A97E10" w:rsidRPr="00DC2A65">
        <w:rPr>
          <w:rFonts w:ascii="Palatino Linotype" w:eastAsiaTheme="minorHAnsi" w:hAnsi="Palatino Linotype"/>
          <w:lang w:val="es-ES_tradnl" w:eastAsia="en-US"/>
        </w:rPr>
        <w:t>análisis</w:t>
      </w:r>
      <w:r w:rsidR="0021609A" w:rsidRPr="00DC2A65">
        <w:rPr>
          <w:rFonts w:ascii="Palatino Linotype" w:eastAsiaTheme="minorHAnsi" w:hAnsi="Palatino Linotype"/>
          <w:lang w:val="es-ES_tradnl" w:eastAsia="en-US"/>
        </w:rPr>
        <w:t>, estudio o procesamiento de</w:t>
      </w:r>
      <w:r w:rsidR="00A97E10" w:rsidRPr="00DC2A65">
        <w:rPr>
          <w:rFonts w:ascii="Palatino Linotype" w:eastAsiaTheme="minorHAnsi" w:hAnsi="Palatino Linotype"/>
          <w:lang w:val="es-ES_tradnl" w:eastAsia="en-US"/>
        </w:rPr>
        <w:t xml:space="preserve"> d</w:t>
      </w:r>
      <w:r w:rsidR="0021609A" w:rsidRPr="00DC2A65">
        <w:rPr>
          <w:rFonts w:ascii="Palatino Linotype" w:eastAsiaTheme="minorHAnsi" w:hAnsi="Palatino Linotype"/>
          <w:lang w:val="es-ES_tradnl" w:eastAsia="en-US"/>
        </w:rPr>
        <w:t xml:space="preserve">ocumentos cuya entrega o </w:t>
      </w:r>
      <w:r w:rsidR="00A97E10" w:rsidRPr="00DC2A65">
        <w:rPr>
          <w:rFonts w:ascii="Palatino Linotype" w:eastAsiaTheme="minorHAnsi" w:hAnsi="Palatino Linotype"/>
          <w:lang w:val="es-ES_tradnl" w:eastAsia="en-US"/>
        </w:rPr>
        <w:t>reproducción</w:t>
      </w:r>
      <w:r w:rsidR="0021609A" w:rsidRPr="00DC2A65">
        <w:rPr>
          <w:rFonts w:ascii="Palatino Linotype" w:eastAsiaTheme="minorHAnsi" w:hAnsi="Palatino Linotype"/>
          <w:lang w:val="es-ES_tradnl" w:eastAsia="en-US"/>
        </w:rPr>
        <w:t xml:space="preserve"> sobrepase las capacidades </w:t>
      </w:r>
      <w:r w:rsidR="00A97E10" w:rsidRPr="00DC2A65">
        <w:rPr>
          <w:rFonts w:ascii="Palatino Linotype" w:eastAsiaTheme="minorHAnsi" w:hAnsi="Palatino Linotype"/>
          <w:lang w:val="es-ES_tradnl" w:eastAsia="en-US"/>
        </w:rPr>
        <w:t>técnicas</w:t>
      </w:r>
      <w:r w:rsidR="0021609A" w:rsidRPr="00DC2A65">
        <w:rPr>
          <w:rFonts w:ascii="Palatino Linotype" w:eastAsiaTheme="minorHAnsi" w:hAnsi="Palatino Linotype"/>
          <w:lang w:val="es-ES_tradnl" w:eastAsia="en-US"/>
        </w:rPr>
        <w:t xml:space="preserve"> del</w:t>
      </w:r>
      <w:r w:rsidR="00A97E10"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sujeto obligado para cumplir con la solicitud, en los plazos establecidos para dichos</w:t>
      </w:r>
      <w:r w:rsidR="00A97E10"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efectos, se </w:t>
      </w:r>
      <w:r w:rsidR="00A97E10" w:rsidRPr="00DC2A65">
        <w:rPr>
          <w:rFonts w:ascii="Palatino Linotype" w:eastAsiaTheme="minorHAnsi" w:hAnsi="Palatino Linotype"/>
          <w:lang w:val="es-ES_tradnl" w:eastAsia="en-US"/>
        </w:rPr>
        <w:t>podrán</w:t>
      </w:r>
      <w:r w:rsidR="0021609A" w:rsidRPr="00DC2A65">
        <w:rPr>
          <w:rFonts w:ascii="Palatino Linotype" w:eastAsiaTheme="minorHAnsi" w:hAnsi="Palatino Linotype"/>
          <w:lang w:val="es-ES_tradnl" w:eastAsia="en-US"/>
        </w:rPr>
        <w:t xml:space="preserve"> poner a </w:t>
      </w:r>
      <w:r w:rsidR="00A97E10" w:rsidRPr="00DC2A65">
        <w:rPr>
          <w:rFonts w:ascii="Palatino Linotype" w:eastAsiaTheme="minorHAnsi" w:hAnsi="Palatino Linotype"/>
          <w:lang w:val="es-ES_tradnl" w:eastAsia="en-US"/>
        </w:rPr>
        <w:t>disposición</w:t>
      </w:r>
      <w:r w:rsidR="0021609A" w:rsidRPr="00DC2A65">
        <w:rPr>
          <w:rFonts w:ascii="Palatino Linotype" w:eastAsiaTheme="minorHAnsi" w:hAnsi="Palatino Linotype"/>
          <w:lang w:val="es-ES_tradnl" w:eastAsia="en-US"/>
        </w:rPr>
        <w:t xml:space="preserve"> del solicitante los </w:t>
      </w:r>
      <w:r w:rsidR="00A97E10" w:rsidRPr="00DC2A65">
        <w:rPr>
          <w:rFonts w:ascii="Palatino Linotype" w:eastAsiaTheme="minorHAnsi" w:hAnsi="Palatino Linotype"/>
          <w:lang w:val="es-ES_tradnl" w:eastAsia="en-US"/>
        </w:rPr>
        <w:t>d</w:t>
      </w:r>
      <w:r w:rsidR="0021609A" w:rsidRPr="00DC2A65">
        <w:rPr>
          <w:rFonts w:ascii="Palatino Linotype" w:eastAsiaTheme="minorHAnsi" w:hAnsi="Palatino Linotype"/>
          <w:lang w:val="es-ES_tradnl" w:eastAsia="en-US"/>
        </w:rPr>
        <w:t>ocumentos en consulta</w:t>
      </w:r>
      <w:r w:rsidR="00A97E10"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directa, salvo la </w:t>
      </w:r>
      <w:r w:rsidR="00A97E10" w:rsidRPr="00DC2A65">
        <w:rPr>
          <w:rFonts w:ascii="Palatino Linotype" w:eastAsiaTheme="minorHAnsi" w:hAnsi="Palatino Linotype"/>
          <w:lang w:val="es-ES_tradnl" w:eastAsia="en-US"/>
        </w:rPr>
        <w:t>información</w:t>
      </w:r>
      <w:r w:rsidR="0021609A" w:rsidRPr="00DC2A65">
        <w:rPr>
          <w:rFonts w:ascii="Palatino Linotype" w:eastAsiaTheme="minorHAnsi" w:hAnsi="Palatino Linotype"/>
          <w:lang w:val="es-ES_tradnl" w:eastAsia="en-US"/>
        </w:rPr>
        <w:t xml:space="preserve"> clasificada</w:t>
      </w:r>
      <w:r w:rsidR="00A97E10" w:rsidRPr="00DC2A65">
        <w:rPr>
          <w:rFonts w:ascii="Palatino Linotype" w:eastAsiaTheme="minorHAnsi" w:hAnsi="Palatino Linotype"/>
          <w:lang w:val="es-ES_tradnl" w:eastAsia="en-US"/>
        </w:rPr>
        <w:t>.</w:t>
      </w:r>
    </w:p>
    <w:p w:rsidR="00D42643" w:rsidRPr="00DC2A65" w:rsidRDefault="00D42643" w:rsidP="00D42643">
      <w:pPr>
        <w:pStyle w:val="Prrafodelista"/>
        <w:rPr>
          <w:rFonts w:ascii="Palatino Linotype" w:eastAsiaTheme="minorHAnsi" w:hAnsi="Palatino Linotype"/>
          <w:lang w:val="es-ES_tradnl" w:eastAsia="en-US"/>
        </w:rPr>
      </w:pPr>
    </w:p>
    <w:p w:rsidR="00D42643" w:rsidRPr="00DC2A65"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DC2A65" w:rsidRDefault="00D42643" w:rsidP="00D42643">
      <w:pPr>
        <w:pStyle w:val="Prrafodelista"/>
        <w:rPr>
          <w:rFonts w:ascii="Palatino Linotype" w:eastAsiaTheme="minorHAnsi" w:hAnsi="Palatino Linotype"/>
          <w:lang w:val="es-ES_tradnl" w:eastAsia="en-US"/>
        </w:rPr>
      </w:pPr>
    </w:p>
    <w:p w:rsidR="00D42643" w:rsidRPr="00DC2A65"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Theme="minorHAnsi" w:hAnsi="Palatino Linotype"/>
          <w:lang w:val="es-ES_tradnl" w:eastAsia="en-US"/>
        </w:rPr>
        <w:t>En concordancia con la Ley General</w:t>
      </w:r>
      <w:r w:rsidR="0021609A" w:rsidRPr="00DC2A65">
        <w:rPr>
          <w:rFonts w:ascii="Palatino Linotype" w:eastAsiaTheme="minorHAnsi" w:hAnsi="Palatino Linotype"/>
          <w:lang w:val="es-ES_tradnl" w:eastAsia="en-US"/>
        </w:rPr>
        <w:t xml:space="preserve">, la </w:t>
      </w:r>
      <w:r w:rsidRPr="00DC2A65">
        <w:rPr>
          <w:rFonts w:ascii="Palatino Linotype" w:eastAsiaTheme="minorHAnsi" w:hAnsi="Palatino Linotype"/>
          <w:lang w:val="es-ES_tradnl" w:eastAsia="en-US"/>
        </w:rPr>
        <w:t>legislación</w:t>
      </w:r>
      <w:r w:rsidR="0021609A" w:rsidRPr="00DC2A65">
        <w:rPr>
          <w:rFonts w:ascii="Palatino Linotype" w:eastAsiaTheme="minorHAnsi" w:hAnsi="Palatino Linotype"/>
          <w:lang w:val="es-ES_tradnl" w:eastAsia="en-US"/>
        </w:rPr>
        <w:t xml:space="preserve"> </w:t>
      </w:r>
      <w:r w:rsidRPr="00DC2A65">
        <w:rPr>
          <w:rFonts w:ascii="Palatino Linotype" w:eastAsiaTheme="minorHAnsi" w:hAnsi="Palatino Linotype"/>
          <w:lang w:val="es-ES_tradnl" w:eastAsia="en-US"/>
        </w:rPr>
        <w:t>del Estado de México establece lo siguiente:</w:t>
      </w:r>
    </w:p>
    <w:p w:rsidR="00D42643" w:rsidRPr="00DC2A65"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DC2A65" w:rsidTr="008A6E0E">
        <w:tc>
          <w:tcPr>
            <w:tcW w:w="4414" w:type="dxa"/>
          </w:tcPr>
          <w:p w:rsidR="00D42643" w:rsidRPr="00DC2A65" w:rsidRDefault="00D42643" w:rsidP="008A6E0E">
            <w:pPr>
              <w:pStyle w:val="Prrafodelista"/>
              <w:ind w:left="0"/>
              <w:rPr>
                <w:rFonts w:ascii="Palatino Linotype" w:hAnsi="Palatino Linotype"/>
                <w:b/>
                <w:sz w:val="22"/>
                <w:szCs w:val="22"/>
                <w:shd w:val="clear" w:color="auto" w:fill="FFFFFF"/>
                <w:lang w:val="es-ES_tradnl"/>
              </w:rPr>
            </w:pPr>
            <w:r w:rsidRPr="00DC2A65">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DC2A65" w:rsidRDefault="00D42643" w:rsidP="008A6E0E">
            <w:pPr>
              <w:pStyle w:val="Prrafodelista"/>
              <w:ind w:left="0"/>
              <w:rPr>
                <w:rFonts w:ascii="Palatino Linotype" w:hAnsi="Palatino Linotype"/>
                <w:b/>
                <w:sz w:val="22"/>
                <w:szCs w:val="22"/>
                <w:shd w:val="clear" w:color="auto" w:fill="FFFFFF"/>
                <w:lang w:val="es-ES_tradnl"/>
              </w:rPr>
            </w:pPr>
            <w:r w:rsidRPr="00DC2A65">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DC2A65" w:rsidTr="008A6E0E">
        <w:tc>
          <w:tcPr>
            <w:tcW w:w="4414" w:type="dxa"/>
          </w:tcPr>
          <w:p w:rsidR="00D42643" w:rsidRPr="00DC2A65" w:rsidRDefault="00D42643" w:rsidP="008A6E0E">
            <w:pPr>
              <w:pStyle w:val="Texto"/>
              <w:spacing w:after="0" w:line="240" w:lineRule="auto"/>
              <w:rPr>
                <w:rFonts w:ascii="Palatino Linotype" w:hAnsi="Palatino Linotype"/>
                <w:sz w:val="22"/>
                <w:szCs w:val="22"/>
                <w:lang w:val="es-ES_tradnl"/>
              </w:rPr>
            </w:pPr>
            <w:bookmarkStart w:id="127" w:name="Artículo_127"/>
            <w:r w:rsidRPr="00DC2A65">
              <w:rPr>
                <w:rFonts w:ascii="Palatino Linotype" w:hAnsi="Palatino Linotype"/>
                <w:b/>
                <w:sz w:val="22"/>
                <w:szCs w:val="22"/>
                <w:lang w:val="es-ES_tradnl"/>
              </w:rPr>
              <w:t>Artículo 127</w:t>
            </w:r>
            <w:bookmarkEnd w:id="127"/>
            <w:r w:rsidRPr="00DC2A65">
              <w:rPr>
                <w:rFonts w:ascii="Palatino Linotype" w:hAnsi="Palatino Linotype"/>
                <w:b/>
                <w:sz w:val="22"/>
                <w:szCs w:val="22"/>
                <w:lang w:val="es-ES_tradnl"/>
              </w:rPr>
              <w:t xml:space="preserve">. De manera excepcional, cuando, de forma </w:t>
            </w:r>
            <w:r w:rsidRPr="00DC2A65">
              <w:rPr>
                <w:rFonts w:ascii="Palatino Linotype" w:hAnsi="Palatino Linotype"/>
                <w:b/>
                <w:sz w:val="22"/>
                <w:szCs w:val="22"/>
                <w:lang w:val="es-ES_tradnl"/>
              </w:rPr>
              <w:lastRenderedPageBreak/>
              <w:t xml:space="preserve">fundada y motivada, así lo determine el sujeto obligado, </w:t>
            </w:r>
            <w:r w:rsidRPr="00DC2A65">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DC2A65">
              <w:rPr>
                <w:rFonts w:ascii="Palatino Linotype" w:hAnsi="Palatino Linotype"/>
                <w:b/>
                <w:sz w:val="22"/>
                <w:szCs w:val="22"/>
                <w:lang w:val="es-ES_tradnl"/>
              </w:rPr>
              <w:t xml:space="preserve">cuya entrega o reproducción sobrepase </w:t>
            </w:r>
            <w:r w:rsidRPr="00DC2A65">
              <w:rPr>
                <w:rFonts w:ascii="Palatino Linotype" w:hAnsi="Palatino Linotype"/>
                <w:b/>
                <w:sz w:val="22"/>
                <w:szCs w:val="22"/>
                <w:u w:val="single"/>
                <w:lang w:val="es-ES_tradnl"/>
              </w:rPr>
              <w:t xml:space="preserve">las capacidades técnicas </w:t>
            </w:r>
            <w:r w:rsidRPr="00DC2A65">
              <w:rPr>
                <w:rFonts w:ascii="Palatino Linotype" w:hAnsi="Palatino Linotype"/>
                <w:b/>
                <w:sz w:val="22"/>
                <w:szCs w:val="22"/>
                <w:lang w:val="es-ES_tradnl"/>
              </w:rPr>
              <w:t xml:space="preserve">del sujeto obligado </w:t>
            </w:r>
            <w:r w:rsidRPr="00DC2A65">
              <w:rPr>
                <w:rFonts w:ascii="Palatino Linotype" w:hAnsi="Palatino Linotype"/>
                <w:sz w:val="22"/>
                <w:szCs w:val="22"/>
                <w:lang w:val="es-ES_tradnl"/>
              </w:rPr>
              <w:t xml:space="preserve">para cumplir con la solicitud, en los plazos establecidos para dichos efectos, se podrán poner a disposición del </w:t>
            </w:r>
            <w:r w:rsidRPr="00DC2A65">
              <w:rPr>
                <w:rFonts w:ascii="Palatino Linotype" w:hAnsi="Palatino Linotype"/>
                <w:b/>
                <w:sz w:val="22"/>
                <w:szCs w:val="22"/>
                <w:lang w:val="es-ES_tradnl"/>
              </w:rPr>
              <w:t xml:space="preserve">solicitante los Documentos en consulta directa, </w:t>
            </w:r>
            <w:r w:rsidRPr="00DC2A65">
              <w:rPr>
                <w:rFonts w:ascii="Palatino Linotype" w:hAnsi="Palatino Linotype"/>
                <w:sz w:val="22"/>
                <w:szCs w:val="22"/>
                <w:lang w:val="es-ES_tradnl"/>
              </w:rPr>
              <w:t>salvo la información clasificada.</w:t>
            </w:r>
          </w:p>
          <w:p w:rsidR="00D42643" w:rsidRPr="00DC2A65" w:rsidRDefault="00D42643" w:rsidP="008A6E0E">
            <w:pPr>
              <w:pStyle w:val="Texto"/>
              <w:spacing w:after="0" w:line="240" w:lineRule="auto"/>
              <w:rPr>
                <w:rFonts w:ascii="Palatino Linotype" w:hAnsi="Palatino Linotype"/>
                <w:sz w:val="22"/>
                <w:szCs w:val="22"/>
                <w:lang w:val="es-ES_tradnl"/>
              </w:rPr>
            </w:pPr>
          </w:p>
          <w:p w:rsidR="00D42643" w:rsidRPr="00DC2A65" w:rsidRDefault="00D42643" w:rsidP="008A6E0E">
            <w:pPr>
              <w:pStyle w:val="Texto"/>
              <w:spacing w:after="0" w:line="240" w:lineRule="auto"/>
              <w:rPr>
                <w:rFonts w:ascii="Palatino Linotype" w:hAnsi="Palatino Linotype"/>
                <w:sz w:val="22"/>
                <w:szCs w:val="22"/>
                <w:lang w:val="es-ES_tradnl"/>
              </w:rPr>
            </w:pPr>
            <w:r w:rsidRPr="00DC2A65">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DC2A65"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DC2A65" w:rsidRDefault="00D42643" w:rsidP="008A6E0E">
            <w:pPr>
              <w:ind w:right="3"/>
              <w:jc w:val="both"/>
              <w:rPr>
                <w:rFonts w:ascii="Palatino Linotype" w:hAnsi="Palatino Linotype"/>
                <w:sz w:val="22"/>
                <w:szCs w:val="22"/>
                <w:lang w:val="es-ES_tradnl"/>
              </w:rPr>
            </w:pPr>
            <w:r w:rsidRPr="00DC2A65">
              <w:rPr>
                <w:rFonts w:ascii="Palatino Linotype" w:hAnsi="Palatino Linotype"/>
                <w:b/>
                <w:bCs/>
                <w:sz w:val="22"/>
                <w:szCs w:val="22"/>
                <w:lang w:val="es-ES_tradnl"/>
              </w:rPr>
              <w:lastRenderedPageBreak/>
              <w:t>Artículo 158.</w:t>
            </w:r>
            <w:r w:rsidRPr="00DC2A65">
              <w:rPr>
                <w:rFonts w:ascii="Palatino Linotype" w:hAnsi="Palatino Linotype"/>
                <w:sz w:val="22"/>
                <w:szCs w:val="22"/>
                <w:lang w:val="es-ES_tradnl"/>
              </w:rPr>
              <w:t xml:space="preserve"> </w:t>
            </w:r>
            <w:r w:rsidRPr="00DC2A65">
              <w:rPr>
                <w:rFonts w:ascii="Palatino Linotype" w:hAnsi="Palatino Linotype"/>
                <w:b/>
                <w:bCs/>
                <w:sz w:val="22"/>
                <w:szCs w:val="22"/>
                <w:lang w:val="es-ES_tradnl"/>
              </w:rPr>
              <w:t xml:space="preserve">De manera excepcional, cuando </w:t>
            </w:r>
            <w:r w:rsidRPr="00DC2A65">
              <w:rPr>
                <w:rFonts w:ascii="Palatino Linotype" w:hAnsi="Palatino Linotype"/>
                <w:b/>
                <w:bCs/>
                <w:sz w:val="22"/>
                <w:szCs w:val="22"/>
                <w:u w:val="single"/>
                <w:lang w:val="es-ES_tradnl"/>
              </w:rPr>
              <w:t>de forma fundada y motivada</w:t>
            </w:r>
            <w:r w:rsidRPr="00DC2A65">
              <w:rPr>
                <w:rFonts w:ascii="Palatino Linotype" w:hAnsi="Palatino Linotype"/>
                <w:b/>
                <w:bCs/>
                <w:sz w:val="22"/>
                <w:szCs w:val="22"/>
                <w:lang w:val="es-ES_tradnl"/>
              </w:rPr>
              <w:t xml:space="preserve"> </w:t>
            </w:r>
            <w:r w:rsidRPr="00DC2A65">
              <w:rPr>
                <w:rFonts w:ascii="Palatino Linotype" w:hAnsi="Palatino Linotype"/>
                <w:b/>
                <w:bCs/>
                <w:sz w:val="22"/>
                <w:szCs w:val="22"/>
                <w:lang w:val="es-ES_tradnl"/>
              </w:rPr>
              <w:lastRenderedPageBreak/>
              <w:t>así lo determine el sujeto obligado</w:t>
            </w:r>
            <w:r w:rsidRPr="00DC2A65">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DC2A65">
              <w:rPr>
                <w:rFonts w:ascii="Palatino Linotype" w:hAnsi="Palatino Linotype"/>
                <w:b/>
                <w:bCs/>
                <w:sz w:val="22"/>
                <w:szCs w:val="22"/>
                <w:lang w:val="es-ES_tradnl"/>
              </w:rPr>
              <w:t xml:space="preserve">cuya entrega o reproducción sobrepase </w:t>
            </w:r>
            <w:r w:rsidRPr="00DC2A65">
              <w:rPr>
                <w:rFonts w:ascii="Palatino Linotype" w:hAnsi="Palatino Linotype"/>
                <w:b/>
                <w:bCs/>
                <w:sz w:val="22"/>
                <w:szCs w:val="22"/>
                <w:u w:val="single"/>
                <w:lang w:val="es-ES_tradnl"/>
              </w:rPr>
              <w:t>las capacidades técnicas administrativas y humanas</w:t>
            </w:r>
            <w:r w:rsidRPr="00DC2A65">
              <w:rPr>
                <w:rFonts w:ascii="Palatino Linotype" w:hAnsi="Palatino Linotype"/>
                <w:b/>
                <w:bCs/>
                <w:sz w:val="22"/>
                <w:szCs w:val="22"/>
                <w:lang w:val="es-ES_tradnl"/>
              </w:rPr>
              <w:t xml:space="preserve"> del sujeto obligado</w:t>
            </w:r>
            <w:r w:rsidRPr="00DC2A65">
              <w:rPr>
                <w:rFonts w:ascii="Palatino Linotype" w:hAnsi="Palatino Linotype"/>
                <w:sz w:val="22"/>
                <w:szCs w:val="22"/>
                <w:lang w:val="es-ES_tradnl"/>
              </w:rPr>
              <w:t xml:space="preserve"> para cumplir con la solicitud, en los plazos establecidos para dichos efectos,</w:t>
            </w:r>
            <w:r w:rsidRPr="00DC2A65">
              <w:rPr>
                <w:rFonts w:ascii="Palatino Linotype" w:hAnsi="Palatino Linotype"/>
                <w:b/>
                <w:bCs/>
                <w:sz w:val="22"/>
                <w:szCs w:val="22"/>
                <w:lang w:val="es-ES_tradnl"/>
              </w:rPr>
              <w:t xml:space="preserve"> se podrá poner a disposición del solicitante los documentos en consulta directa</w:t>
            </w:r>
            <w:r w:rsidRPr="00DC2A65">
              <w:rPr>
                <w:rFonts w:ascii="Palatino Linotype" w:hAnsi="Palatino Linotype"/>
                <w:sz w:val="22"/>
                <w:szCs w:val="22"/>
                <w:lang w:val="es-ES_tradnl"/>
              </w:rPr>
              <w:t>, salvo la información clasificada”.</w:t>
            </w:r>
          </w:p>
          <w:p w:rsidR="00D42643" w:rsidRPr="00DC2A65" w:rsidRDefault="00D42643" w:rsidP="008A6E0E">
            <w:pPr>
              <w:pStyle w:val="Prrafodelista"/>
              <w:ind w:left="0"/>
              <w:rPr>
                <w:rFonts w:ascii="Palatino Linotype" w:hAnsi="Palatino Linotype"/>
                <w:b/>
                <w:sz w:val="22"/>
                <w:szCs w:val="22"/>
                <w:shd w:val="clear" w:color="auto" w:fill="FFFFFF"/>
                <w:lang w:val="es-ES_tradnl"/>
              </w:rPr>
            </w:pPr>
          </w:p>
          <w:p w:rsidR="00D42643" w:rsidRPr="00DC2A65" w:rsidRDefault="00D42643" w:rsidP="008A6E0E">
            <w:pPr>
              <w:pStyle w:val="Prrafodelista"/>
              <w:ind w:left="0"/>
              <w:rPr>
                <w:rFonts w:ascii="Palatino Linotype" w:hAnsi="Palatino Linotype"/>
                <w:sz w:val="22"/>
                <w:szCs w:val="22"/>
                <w:shd w:val="clear" w:color="auto" w:fill="FFFFFF"/>
                <w:lang w:val="es-ES_tradnl"/>
              </w:rPr>
            </w:pPr>
            <w:r w:rsidRPr="00DC2A65">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DC2A65" w:rsidTr="008A6E0E">
        <w:tc>
          <w:tcPr>
            <w:tcW w:w="4414" w:type="dxa"/>
          </w:tcPr>
          <w:p w:rsidR="00D42643" w:rsidRPr="00DC2A65" w:rsidRDefault="00D42643" w:rsidP="008A6E0E">
            <w:pPr>
              <w:pStyle w:val="Texto"/>
              <w:spacing w:after="0" w:line="240" w:lineRule="auto"/>
              <w:rPr>
                <w:rFonts w:ascii="Palatino Linotype" w:hAnsi="Palatino Linotype"/>
                <w:sz w:val="22"/>
                <w:szCs w:val="22"/>
                <w:lang w:val="es-ES_tradnl"/>
              </w:rPr>
            </w:pPr>
            <w:bookmarkStart w:id="128" w:name="Artículo_133"/>
            <w:r w:rsidRPr="00DC2A65">
              <w:rPr>
                <w:rFonts w:ascii="Palatino Linotype" w:hAnsi="Palatino Linotype"/>
                <w:b/>
                <w:sz w:val="22"/>
                <w:szCs w:val="22"/>
                <w:lang w:val="es-ES_tradnl"/>
              </w:rPr>
              <w:lastRenderedPageBreak/>
              <w:t>Artículo 133</w:t>
            </w:r>
            <w:bookmarkEnd w:id="128"/>
            <w:r w:rsidRPr="00DC2A65">
              <w:rPr>
                <w:rFonts w:ascii="Palatino Linotype" w:hAnsi="Palatino Linotype"/>
                <w:b/>
                <w:sz w:val="22"/>
                <w:szCs w:val="22"/>
                <w:lang w:val="es-ES_tradnl"/>
              </w:rPr>
              <w:t xml:space="preserve">. </w:t>
            </w:r>
            <w:r w:rsidRPr="00DC2A65">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DC2A65" w:rsidRDefault="00D42643" w:rsidP="008A6E0E">
            <w:pPr>
              <w:pStyle w:val="Texto"/>
              <w:spacing w:after="0" w:line="240" w:lineRule="auto"/>
              <w:rPr>
                <w:rFonts w:ascii="Palatino Linotype" w:hAnsi="Palatino Linotype"/>
                <w:b/>
                <w:sz w:val="22"/>
                <w:szCs w:val="22"/>
                <w:u w:val="single"/>
                <w:lang w:val="es-ES_tradnl"/>
              </w:rPr>
            </w:pPr>
            <w:r w:rsidRPr="00DC2A65">
              <w:rPr>
                <w:rFonts w:ascii="Palatino Linotype" w:hAnsi="Palatino Linotype"/>
                <w:b/>
                <w:sz w:val="22"/>
                <w:szCs w:val="22"/>
                <w:u w:val="single"/>
                <w:lang w:val="es-ES_tradnl"/>
              </w:rPr>
              <w:t>En cualquier caso, se deberá fundar y motivar la necesidad de ofrecer otras modalidades.</w:t>
            </w:r>
          </w:p>
          <w:p w:rsidR="00D42643" w:rsidRPr="00DC2A65"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DC2A65" w:rsidRDefault="00D42643" w:rsidP="008A6E0E">
            <w:pPr>
              <w:pStyle w:val="Prrafodelista"/>
              <w:ind w:left="0"/>
              <w:jc w:val="both"/>
              <w:rPr>
                <w:rFonts w:ascii="Palatino Linotype" w:hAnsi="Palatino Linotype"/>
                <w:sz w:val="22"/>
                <w:szCs w:val="22"/>
                <w:shd w:val="clear" w:color="auto" w:fill="FFFFFF"/>
                <w:lang w:val="es-ES_tradnl"/>
              </w:rPr>
            </w:pPr>
            <w:r w:rsidRPr="00DC2A65">
              <w:rPr>
                <w:rFonts w:ascii="Palatino Linotype" w:hAnsi="Palatino Linotype"/>
                <w:b/>
                <w:sz w:val="22"/>
                <w:szCs w:val="22"/>
                <w:shd w:val="clear" w:color="auto" w:fill="FFFFFF"/>
                <w:lang w:val="es-ES_tradnl"/>
              </w:rPr>
              <w:t xml:space="preserve">Artículo 164. </w:t>
            </w:r>
            <w:r w:rsidRPr="00DC2A65">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D42643" w:rsidRPr="00DC2A65"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DC2A65" w:rsidRDefault="00D42643" w:rsidP="008A6E0E">
            <w:pPr>
              <w:pStyle w:val="Prrafodelista"/>
              <w:ind w:left="0"/>
              <w:jc w:val="both"/>
              <w:rPr>
                <w:rFonts w:ascii="Palatino Linotype" w:hAnsi="Palatino Linotype"/>
                <w:b/>
                <w:sz w:val="22"/>
                <w:szCs w:val="22"/>
                <w:u w:val="single"/>
                <w:shd w:val="clear" w:color="auto" w:fill="FFFFFF"/>
                <w:lang w:val="es-ES_tradnl"/>
              </w:rPr>
            </w:pPr>
            <w:r w:rsidRPr="00DC2A65">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lastRenderedPageBreak/>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DC2A65">
        <w:rPr>
          <w:rFonts w:ascii="Palatino Linotype" w:hAnsi="Palatino Linotype"/>
          <w:shd w:val="clear" w:color="auto" w:fill="FFFFFF"/>
          <w:lang w:val="es-ES_tradnl"/>
        </w:rPr>
        <w:t>excepcional</w:t>
      </w:r>
      <w:r w:rsidRPr="00DC2A65">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DC2A65">
        <w:rPr>
          <w:rFonts w:ascii="Palatino Linotype" w:hAnsi="Palatino Linotype"/>
          <w:shd w:val="clear" w:color="auto" w:fill="FFFFFF"/>
          <w:lang w:val="es-ES_tradnl"/>
        </w:rPr>
        <w:t>discrecionalidad</w:t>
      </w:r>
      <w:r w:rsidRPr="00DC2A65">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DC2A65">
        <w:rPr>
          <w:rFonts w:ascii="Palatino Linotype" w:hAnsi="Palatino Linotype"/>
          <w:shd w:val="clear" w:color="auto" w:fill="FFFFFF"/>
          <w:lang w:val="es-ES_tradnl"/>
        </w:rPr>
        <w:t>entendiéndose</w:t>
      </w:r>
      <w:r w:rsidRPr="00DC2A65">
        <w:rPr>
          <w:rFonts w:ascii="Palatino Linotype" w:hAnsi="Palatino Linotype"/>
          <w:shd w:val="clear" w:color="auto" w:fill="FFFFFF"/>
          <w:lang w:val="es-ES_tradnl"/>
        </w:rPr>
        <w:t xml:space="preserve"> que por </w:t>
      </w:r>
      <w:r w:rsidR="008A6E0E" w:rsidRPr="00DC2A65">
        <w:rPr>
          <w:rFonts w:ascii="Palatino Linotype" w:hAnsi="Palatino Linotype"/>
          <w:shd w:val="clear" w:color="auto" w:fill="FFFFFF"/>
          <w:lang w:val="es-ES_tradnl"/>
        </w:rPr>
        <w:t>fundamentación</w:t>
      </w:r>
      <w:r w:rsidRPr="00DC2A65">
        <w:rPr>
          <w:rFonts w:ascii="Palatino Linotype" w:hAnsi="Palatino Linotype"/>
          <w:shd w:val="clear" w:color="auto" w:fill="FFFFFF"/>
          <w:lang w:val="es-ES_tradnl"/>
        </w:rPr>
        <w:t xml:space="preserve"> el precepto legal que les faculte para ello</w:t>
      </w:r>
      <w:r w:rsidR="009678D6" w:rsidRPr="00DC2A65">
        <w:rPr>
          <w:rFonts w:ascii="Palatino Linotype" w:hAnsi="Palatino Linotype"/>
          <w:shd w:val="clear" w:color="auto" w:fill="FFFFFF"/>
          <w:lang w:val="es-ES_tradnl"/>
        </w:rPr>
        <w:t xml:space="preserve"> y el motivo de dicho cambio de modalidad que la propia norma </w:t>
      </w:r>
      <w:r w:rsidR="009678D6" w:rsidRPr="00DC2A65">
        <w:rPr>
          <w:rFonts w:ascii="Palatino Linotype" w:hAnsi="Palatino Linotype"/>
          <w:shd w:val="clear" w:color="auto" w:fill="FFFFFF"/>
          <w:lang w:val="es-ES_tradnl"/>
        </w:rPr>
        <w:lastRenderedPageBreak/>
        <w:t>establece, es decir que sobrepase las capacidades técnicas, administrativas y humanas.</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DC2A65">
        <w:rPr>
          <w:rFonts w:ascii="Palatino Linotype" w:eastAsiaTheme="minorHAnsi" w:hAnsi="Palatino Linotype"/>
          <w:lang w:val="es-ES_tradnl" w:eastAsia="en-US"/>
        </w:rPr>
        <w:t xml:space="preserve">por ejemplo, el volumen de la </w:t>
      </w:r>
      <w:r w:rsidRPr="00DC2A65">
        <w:rPr>
          <w:rFonts w:ascii="Palatino Linotype" w:eastAsiaTheme="minorHAnsi" w:hAnsi="Palatino Linotype"/>
          <w:lang w:val="es-ES_tradnl" w:eastAsia="en-US"/>
        </w:rPr>
        <w:t>información</w:t>
      </w:r>
      <w:r w:rsidR="0021609A" w:rsidRPr="00DC2A65">
        <w:rPr>
          <w:rFonts w:ascii="Palatino Linotype" w:eastAsiaTheme="minorHAnsi" w:hAnsi="Palatino Linotype"/>
          <w:lang w:val="es-ES_tradnl" w:eastAsia="en-US"/>
        </w:rPr>
        <w:t xml:space="preserve"> requerida</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por una misma persona, mediante numerosas solicitudes de acceso a la </w:t>
      </w:r>
      <w:r w:rsidRPr="00DC2A65">
        <w:rPr>
          <w:rFonts w:ascii="Palatino Linotype" w:eastAsiaTheme="minorHAnsi" w:hAnsi="Palatino Linotype"/>
          <w:lang w:val="es-ES_tradnl" w:eastAsia="en-US"/>
        </w:rPr>
        <w:t xml:space="preserve">información </w:t>
      </w:r>
      <w:r w:rsidR="0021609A" w:rsidRPr="00DC2A65">
        <w:rPr>
          <w:rFonts w:ascii="Palatino Linotype" w:eastAsiaTheme="minorHAnsi" w:hAnsi="Palatino Linotype"/>
          <w:lang w:val="es-ES_tradnl" w:eastAsia="en-US"/>
        </w:rPr>
        <w:t>presentadas en un mismo d</w:t>
      </w:r>
      <w:r w:rsidRPr="00DC2A65">
        <w:rPr>
          <w:rFonts w:ascii="Palatino Linotype" w:eastAsiaTheme="minorHAnsi" w:hAnsi="Palatino Linotype"/>
          <w:lang w:val="es-ES_tradnl" w:eastAsia="en-US"/>
        </w:rPr>
        <w:t>ía</w:t>
      </w:r>
      <w:r w:rsidR="0021609A" w:rsidRPr="00DC2A65">
        <w:rPr>
          <w:rFonts w:ascii="Palatino Linotype" w:eastAsiaTheme="minorHAnsi" w:hAnsi="Palatino Linotype"/>
          <w:lang w:val="es-ES_tradnl" w:eastAsia="en-US"/>
        </w:rPr>
        <w:t xml:space="preserve"> y que deber</w:t>
      </w:r>
      <w:r w:rsidRPr="00DC2A65">
        <w:rPr>
          <w:rFonts w:ascii="Palatino Linotype" w:eastAsiaTheme="minorHAnsi" w:hAnsi="Palatino Linotype"/>
          <w:lang w:val="es-ES_tradnl" w:eastAsia="en-US"/>
        </w:rPr>
        <w:t xml:space="preserve">án </w:t>
      </w:r>
      <w:r w:rsidR="0021609A" w:rsidRPr="00DC2A65">
        <w:rPr>
          <w:rFonts w:ascii="Palatino Linotype" w:eastAsiaTheme="minorHAnsi" w:hAnsi="Palatino Linotype"/>
          <w:lang w:val="es-ES_tradnl" w:eastAsia="en-US"/>
        </w:rPr>
        <w:t>de tramitarse simult</w:t>
      </w:r>
      <w:r w:rsidRPr="00DC2A65">
        <w:rPr>
          <w:rFonts w:ascii="Palatino Linotype" w:eastAsiaTheme="minorHAnsi" w:hAnsi="Palatino Linotype"/>
          <w:lang w:val="es-ES_tradnl" w:eastAsia="en-US"/>
        </w:rPr>
        <w:t>á</w:t>
      </w:r>
      <w:r w:rsidR="0021609A" w:rsidRPr="00DC2A65">
        <w:rPr>
          <w:rFonts w:ascii="Palatino Linotype" w:eastAsiaTheme="minorHAnsi" w:hAnsi="Palatino Linotype"/>
          <w:lang w:val="es-ES_tradnl" w:eastAsia="en-US"/>
        </w:rPr>
        <w:t>neamente en los</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plazos definidos por la ley podr</w:t>
      </w:r>
      <w:r w:rsidRPr="00DC2A65">
        <w:rPr>
          <w:rFonts w:ascii="Palatino Linotype" w:eastAsiaTheme="minorHAnsi" w:hAnsi="Palatino Linotype"/>
          <w:lang w:val="es-ES_tradnl" w:eastAsia="en-US"/>
        </w:rPr>
        <w:t>án</w:t>
      </w:r>
      <w:r w:rsidR="0021609A" w:rsidRPr="00DC2A65">
        <w:rPr>
          <w:rFonts w:ascii="Palatino Linotype" w:eastAsiaTheme="minorHAnsi" w:hAnsi="Palatino Linotype"/>
          <w:lang w:val="es-ES_tradnl" w:eastAsia="en-US"/>
        </w:rPr>
        <w:t xml:space="preserve"> sobrepasar las capacidades administrativas, al</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tener que retirar a funcionarios </w:t>
      </w:r>
      <w:r w:rsidRPr="00DC2A65">
        <w:rPr>
          <w:rFonts w:ascii="Palatino Linotype" w:eastAsiaTheme="minorHAnsi" w:hAnsi="Palatino Linotype"/>
          <w:lang w:val="es-ES_tradnl" w:eastAsia="en-US"/>
        </w:rPr>
        <w:t>públicos</w:t>
      </w:r>
      <w:r w:rsidR="0021609A" w:rsidRPr="00DC2A65">
        <w:rPr>
          <w:rFonts w:ascii="Palatino Linotype" w:eastAsiaTheme="minorHAnsi" w:hAnsi="Palatino Linotype"/>
          <w:lang w:val="es-ES_tradnl" w:eastAsia="en-US"/>
        </w:rPr>
        <w:t xml:space="preserve"> del </w:t>
      </w:r>
      <w:r w:rsidRPr="00DC2A65">
        <w:rPr>
          <w:rFonts w:ascii="Palatino Linotype" w:eastAsiaTheme="minorHAnsi" w:hAnsi="Palatino Linotype"/>
          <w:lang w:val="es-ES_tradnl" w:eastAsia="en-US"/>
        </w:rPr>
        <w:t>desempeño</w:t>
      </w:r>
      <w:r w:rsidR="0021609A" w:rsidRPr="00DC2A65">
        <w:rPr>
          <w:rFonts w:ascii="Palatino Linotype" w:eastAsiaTheme="minorHAnsi" w:hAnsi="Palatino Linotype"/>
          <w:lang w:val="es-ES_tradnl" w:eastAsia="en-US"/>
        </w:rPr>
        <w:t xml:space="preserve"> de sus funciones ordinarias</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 xml:space="preserve">para dedicarse al procesamiento de la </w:t>
      </w:r>
      <w:r w:rsidRPr="00DC2A65">
        <w:rPr>
          <w:rFonts w:ascii="Palatino Linotype" w:eastAsiaTheme="minorHAnsi" w:hAnsi="Palatino Linotype"/>
          <w:lang w:val="es-ES_tradnl" w:eastAsia="en-US"/>
        </w:rPr>
        <w:t>información</w:t>
      </w:r>
      <w:r w:rsidR="0021609A" w:rsidRPr="00DC2A65">
        <w:rPr>
          <w:rFonts w:ascii="Palatino Linotype" w:eastAsiaTheme="minorHAnsi" w:hAnsi="Palatino Linotype"/>
          <w:lang w:val="es-ES_tradnl" w:eastAsia="en-US"/>
        </w:rPr>
        <w:t>; y, capacidades humanas,</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cuando el volumen es tal que sobrepasa las condiciones, especialmente de sujetos</w:t>
      </w:r>
      <w:r w:rsidRPr="00DC2A65">
        <w:rPr>
          <w:rFonts w:ascii="Palatino Linotype" w:eastAsiaTheme="minorHAnsi" w:hAnsi="Palatino Linotype"/>
          <w:lang w:val="es-ES_tradnl" w:eastAsia="en-US"/>
        </w:rPr>
        <w:t xml:space="preserve"> </w:t>
      </w:r>
      <w:r w:rsidR="0021609A" w:rsidRPr="00DC2A65">
        <w:rPr>
          <w:rFonts w:ascii="Palatino Linotype" w:eastAsiaTheme="minorHAnsi" w:hAnsi="Palatino Linotype"/>
          <w:lang w:val="es-ES_tradnl" w:eastAsia="en-US"/>
        </w:rPr>
        <w:t>obligados con limitadas capacidades de recursos humanos</w:t>
      </w:r>
      <w:r w:rsidRPr="00DC2A65">
        <w:rPr>
          <w:rFonts w:ascii="Palatino Linotype" w:eastAsiaTheme="minorHAnsi" w:hAnsi="Palatino Linotype"/>
          <w:lang w:val="es-ES_tradnl" w:eastAsia="en-US"/>
        </w:rPr>
        <w:t>.</w:t>
      </w:r>
    </w:p>
    <w:p w:rsidR="00AE7A5D" w:rsidRPr="00DC2A65" w:rsidRDefault="00AE7A5D" w:rsidP="00AE7A5D">
      <w:pPr>
        <w:pStyle w:val="Prrafodelista"/>
        <w:rPr>
          <w:rFonts w:ascii="Palatino Linotype" w:hAnsi="Palatino Linotype"/>
          <w:shd w:val="clear" w:color="auto" w:fill="FFFFFF"/>
          <w:lang w:val="es-ES_tradnl"/>
        </w:rPr>
      </w:pPr>
    </w:p>
    <w:p w:rsidR="00AE7A5D" w:rsidRPr="00DC2A65" w:rsidRDefault="00AE7A5D" w:rsidP="00AE7A5D">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D42643" w:rsidP="00D42643">
      <w:pPr>
        <w:pStyle w:val="Prrafodelista"/>
        <w:numPr>
          <w:ilvl w:val="0"/>
          <w:numId w:val="30"/>
        </w:numPr>
        <w:spacing w:line="360" w:lineRule="auto"/>
        <w:ind w:right="49"/>
        <w:jc w:val="both"/>
        <w:rPr>
          <w:rFonts w:ascii="Palatino Linotype" w:hAnsi="Palatino Linotype"/>
          <w:b/>
          <w:lang w:val="es-ES_tradnl"/>
        </w:rPr>
      </w:pPr>
      <w:r w:rsidRPr="00DC2A65">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lastRenderedPageBreak/>
        <w:t xml:space="preserve">Como ya se abordado en la presente resolución, </w:t>
      </w:r>
      <w:r w:rsidR="005723DC" w:rsidRPr="00DC2A65">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DC2A65">
        <w:rPr>
          <w:rFonts w:ascii="Palatino Linotype" w:hAnsi="Palatino Linotype"/>
          <w:spacing w:val="-2"/>
          <w:lang w:val="es-ES_tradnl"/>
        </w:rPr>
        <w:t xml:space="preserve">los </w:t>
      </w:r>
      <w:r w:rsidR="005723DC" w:rsidRPr="00DC2A65">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DC2A65">
        <w:rPr>
          <w:rFonts w:ascii="Palatino Linotype" w:hAnsi="Palatino Linotype"/>
          <w:spacing w:val="-5"/>
          <w:lang w:val="es-ES_tradnl"/>
        </w:rPr>
        <w:t xml:space="preserve"> </w:t>
      </w:r>
      <w:r w:rsidR="005723DC" w:rsidRPr="00DC2A65">
        <w:rPr>
          <w:rFonts w:ascii="Palatino Linotype" w:hAnsi="Palatino Linotype"/>
          <w:lang w:val="es-ES_tradnl"/>
        </w:rPr>
        <w:t>normativas.</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DC2A65">
        <w:rPr>
          <w:rFonts w:ascii="Palatino Linotype" w:hAnsi="Palatino Linotype"/>
          <w:spacing w:val="-4"/>
          <w:lang w:val="es-ES_tradnl"/>
        </w:rPr>
        <w:t xml:space="preserve"> </w:t>
      </w:r>
      <w:r w:rsidRPr="00DC2A65">
        <w:rPr>
          <w:rFonts w:ascii="Palatino Linotype" w:hAnsi="Palatino Linotype"/>
          <w:lang w:val="es-ES_tradnl"/>
        </w:rPr>
        <w:t>motivación:</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D42643" w:rsidP="00D42643">
      <w:pPr>
        <w:spacing w:line="276" w:lineRule="auto"/>
        <w:ind w:left="908" w:right="1121"/>
        <w:jc w:val="both"/>
        <w:rPr>
          <w:rFonts w:ascii="Palatino Linotype" w:hAnsi="Palatino Linotype"/>
          <w:i/>
          <w:sz w:val="22"/>
          <w:szCs w:val="22"/>
          <w:lang w:val="es-ES_tradnl"/>
        </w:rPr>
      </w:pPr>
      <w:r w:rsidRPr="00DC2A65">
        <w:rPr>
          <w:rFonts w:ascii="Palatino Linotype" w:hAnsi="Palatino Linotype"/>
          <w:b/>
          <w:i/>
          <w:sz w:val="22"/>
          <w:szCs w:val="22"/>
          <w:lang w:val="es-ES_tradnl"/>
        </w:rPr>
        <w:t xml:space="preserve">“FUNDAMENTACION Y MOTIVACION. </w:t>
      </w:r>
      <w:r w:rsidRPr="00DC2A65">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DC2A65">
        <w:rPr>
          <w:rFonts w:ascii="Palatino Linotype" w:hAnsi="Palatino Linotype"/>
          <w:i/>
          <w:sz w:val="22"/>
          <w:szCs w:val="22"/>
          <w:lang w:val="es-ES_tradnl"/>
        </w:rPr>
        <w:lastRenderedPageBreak/>
        <w:t>los motivos aducidos y las normas aplicables, es decir, que en el caso concreto se configuren las hipótesis</w:t>
      </w:r>
      <w:r w:rsidRPr="00DC2A65">
        <w:rPr>
          <w:rFonts w:ascii="Palatino Linotype" w:hAnsi="Palatino Linotype"/>
          <w:i/>
          <w:spacing w:val="-2"/>
          <w:sz w:val="22"/>
          <w:szCs w:val="22"/>
          <w:lang w:val="es-ES_tradnl"/>
        </w:rPr>
        <w:t xml:space="preserve"> </w:t>
      </w:r>
      <w:r w:rsidRPr="00DC2A65">
        <w:rPr>
          <w:rFonts w:ascii="Palatino Linotype" w:hAnsi="Palatino Linotype"/>
          <w:i/>
          <w:sz w:val="22"/>
          <w:szCs w:val="22"/>
          <w:lang w:val="es-ES_tradnl"/>
        </w:rPr>
        <w:t>normativas.”</w:t>
      </w:r>
      <w:r w:rsidRPr="00DC2A65">
        <w:rPr>
          <w:rStyle w:val="Refdenotaalpie"/>
          <w:rFonts w:ascii="Palatino Linotype" w:hAnsi="Palatino Linotype"/>
          <w:i/>
          <w:sz w:val="22"/>
          <w:szCs w:val="22"/>
          <w:lang w:val="es-ES_tradnl"/>
        </w:rPr>
        <w:footnoteReference w:id="14"/>
      </w:r>
    </w:p>
    <w:p w:rsidR="00D42643" w:rsidRPr="00DC2A65" w:rsidRDefault="00D42643" w:rsidP="00D42643">
      <w:pPr>
        <w:pStyle w:val="Prrafodelista"/>
        <w:rPr>
          <w:rFonts w:ascii="Palatino Linotype" w:hAnsi="Palatino Linotype"/>
          <w:lang w:val="es-ES_tradnl"/>
        </w:rPr>
      </w:pPr>
    </w:p>
    <w:p w:rsidR="00D42643" w:rsidRPr="00DC2A65"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DC2A65"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DC2A65" w:rsidRDefault="00D42643" w:rsidP="00D42643">
      <w:pPr>
        <w:pStyle w:val="Prrafodelista"/>
        <w:spacing w:line="276" w:lineRule="auto"/>
        <w:ind w:left="502"/>
        <w:jc w:val="both"/>
        <w:rPr>
          <w:rFonts w:ascii="Palatino Linotype" w:hAnsi="Palatino Linotype"/>
          <w:i/>
          <w:sz w:val="22"/>
          <w:szCs w:val="22"/>
          <w:lang w:val="es-ES_tradnl"/>
        </w:rPr>
      </w:pPr>
      <w:r w:rsidRPr="00DC2A65">
        <w:rPr>
          <w:rFonts w:ascii="Palatino Linotype" w:hAnsi="Palatino Linotype"/>
          <w:b/>
          <w:i/>
          <w:sz w:val="22"/>
          <w:szCs w:val="22"/>
          <w:lang w:val="es-ES_tradnl"/>
        </w:rPr>
        <w:t>“SENTENCIAS DE AMPARO, PRINCIPIOS DE CONGRUENCIA Y EXHAUSTIVIDAD EN LAS.</w:t>
      </w:r>
      <w:r w:rsidRPr="00DC2A65">
        <w:rPr>
          <w:rFonts w:ascii="Palatino Linotype" w:hAnsi="Palatino Linotype"/>
          <w:i/>
          <w:sz w:val="22"/>
          <w:szCs w:val="22"/>
          <w:lang w:val="es-ES_tradnl"/>
        </w:rPr>
        <w:t xml:space="preserve"> De los artículos 77 y 78 de la Ley de Amparo se desprende que </w:t>
      </w:r>
      <w:r w:rsidRPr="00DC2A65">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DC2A65">
        <w:rPr>
          <w:rFonts w:ascii="Palatino Linotype" w:hAnsi="Palatino Linotype"/>
          <w:b/>
          <w:i/>
          <w:sz w:val="22"/>
          <w:szCs w:val="22"/>
          <w:u w:val="single"/>
          <w:lang w:val="es-ES_tradnl"/>
        </w:rPr>
        <w:t>Litis</w:t>
      </w:r>
      <w:r w:rsidRPr="00DC2A65">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DC2A65">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DC2A65" w:rsidRDefault="00D42643" w:rsidP="00D42643">
      <w:pPr>
        <w:pStyle w:val="Prrafodelista"/>
        <w:spacing w:line="276" w:lineRule="auto"/>
        <w:ind w:left="502"/>
        <w:jc w:val="both"/>
        <w:rPr>
          <w:rFonts w:ascii="Palatino Linotype" w:hAnsi="Palatino Linotype"/>
          <w:i/>
          <w:sz w:val="22"/>
          <w:szCs w:val="22"/>
          <w:lang w:val="es-ES_tradnl"/>
        </w:rPr>
      </w:pPr>
    </w:p>
    <w:p w:rsidR="00D42643" w:rsidRPr="00DC2A65" w:rsidRDefault="00D42643" w:rsidP="00D42643">
      <w:pPr>
        <w:pStyle w:val="Prrafodelista"/>
        <w:spacing w:line="276" w:lineRule="auto"/>
        <w:ind w:left="502"/>
        <w:jc w:val="both"/>
        <w:rPr>
          <w:rFonts w:ascii="Palatino Linotype" w:hAnsi="Palatino Linotype"/>
          <w:i/>
          <w:sz w:val="22"/>
          <w:szCs w:val="22"/>
          <w:lang w:val="es-ES_tradnl"/>
        </w:rPr>
      </w:pPr>
      <w:r w:rsidRPr="00DC2A65">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DC2A65" w:rsidRDefault="00D42643" w:rsidP="00D42643">
      <w:pPr>
        <w:pStyle w:val="Prrafodelista"/>
        <w:spacing w:line="276" w:lineRule="auto"/>
        <w:ind w:left="502"/>
        <w:jc w:val="both"/>
        <w:rPr>
          <w:rFonts w:ascii="Palatino Linotype" w:hAnsi="Palatino Linotype"/>
          <w:i/>
          <w:sz w:val="22"/>
          <w:szCs w:val="22"/>
          <w:lang w:val="es-ES_tradnl"/>
        </w:rPr>
      </w:pPr>
    </w:p>
    <w:p w:rsidR="00D42643" w:rsidRPr="00DC2A65" w:rsidRDefault="00D42643" w:rsidP="00D42643">
      <w:pPr>
        <w:pStyle w:val="Prrafodelista"/>
        <w:spacing w:line="276" w:lineRule="auto"/>
        <w:ind w:left="502"/>
        <w:jc w:val="both"/>
        <w:rPr>
          <w:rFonts w:ascii="Palatino Linotype" w:hAnsi="Palatino Linotype"/>
          <w:i/>
          <w:sz w:val="22"/>
          <w:szCs w:val="22"/>
          <w:lang w:val="es-ES_tradnl"/>
        </w:rPr>
      </w:pPr>
      <w:r w:rsidRPr="00DC2A65">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w:t>
      </w:r>
      <w:r w:rsidRPr="00DC2A65">
        <w:rPr>
          <w:rFonts w:ascii="Palatino Linotype" w:hAnsi="Palatino Linotype"/>
          <w:i/>
          <w:sz w:val="22"/>
          <w:szCs w:val="22"/>
          <w:lang w:val="es-ES_tradnl"/>
        </w:rPr>
        <w:lastRenderedPageBreak/>
        <w:t>rubro: "CONGRUENCIA Y EXHAUSTIVIDAD EN SENTENCIAS DICTADAS EN AMPARO CONTRA LEYES. ALCANCE DE ESTOS PRINCIPIOS."</w:t>
      </w:r>
      <w:r w:rsidRPr="00DC2A65">
        <w:rPr>
          <w:rStyle w:val="Refdenotaalpie"/>
          <w:rFonts w:ascii="Palatino Linotype" w:hAnsi="Palatino Linotype"/>
          <w:i/>
          <w:sz w:val="22"/>
          <w:szCs w:val="22"/>
          <w:lang w:val="es-ES_tradnl"/>
        </w:rPr>
        <w:footnoteReference w:id="15"/>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Por</w:t>
      </w:r>
      <w:r w:rsidRPr="00DC2A65">
        <w:rPr>
          <w:rFonts w:ascii="Palatino Linotype" w:hAnsi="Palatino Linotype"/>
          <w:spacing w:val="-1"/>
          <w:lang w:val="es-ES_tradnl"/>
        </w:rPr>
        <w:t xml:space="preserve"> </w:t>
      </w:r>
      <w:r w:rsidRPr="00DC2A65">
        <w:rPr>
          <w:rFonts w:ascii="Palatino Linotype" w:hAnsi="Palatino Linotype"/>
          <w:lang w:val="es-ES_tradnl"/>
        </w:rPr>
        <w:t>lo</w:t>
      </w:r>
      <w:r w:rsidRPr="00DC2A65">
        <w:rPr>
          <w:rFonts w:ascii="Palatino Linotype" w:hAnsi="Palatino Linotype"/>
          <w:spacing w:val="-6"/>
          <w:lang w:val="es-ES_tradnl"/>
        </w:rPr>
        <w:t xml:space="preserve"> </w:t>
      </w:r>
      <w:r w:rsidRPr="00DC2A65">
        <w:rPr>
          <w:rFonts w:ascii="Palatino Linotype" w:hAnsi="Palatino Linotype"/>
          <w:lang w:val="es-ES_tradnl"/>
        </w:rPr>
        <w:t>tanto,</w:t>
      </w:r>
      <w:r w:rsidRPr="00DC2A65">
        <w:rPr>
          <w:rFonts w:ascii="Palatino Linotype" w:hAnsi="Palatino Linotype"/>
          <w:spacing w:val="-3"/>
          <w:lang w:val="es-ES_tradnl"/>
        </w:rPr>
        <w:t xml:space="preserve"> </w:t>
      </w:r>
      <w:r w:rsidRPr="00DC2A65">
        <w:rPr>
          <w:rFonts w:ascii="Palatino Linotype" w:hAnsi="Palatino Linotype"/>
          <w:lang w:val="es-ES_tradnl"/>
        </w:rPr>
        <w:t xml:space="preserve">si bien la particular hizo uso legítimo de su derecho de acceso a la información, este Órgano Garante Local en todo momento y en aras de </w:t>
      </w:r>
      <w:r w:rsidRPr="00DC2A65">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DC2A65">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DC2A65" w:rsidRDefault="00D42643" w:rsidP="00D42643">
      <w:pPr>
        <w:spacing w:line="276" w:lineRule="auto"/>
        <w:ind w:left="567" w:right="567"/>
        <w:jc w:val="both"/>
        <w:rPr>
          <w:rFonts w:ascii="Palatino Linotype" w:hAnsi="Palatino Linotype"/>
          <w:i/>
          <w:sz w:val="22"/>
          <w:szCs w:val="22"/>
          <w:lang w:val="es-ES_tradnl"/>
        </w:rPr>
      </w:pPr>
      <w:r w:rsidRPr="00DC2A65">
        <w:rPr>
          <w:rFonts w:ascii="Palatino Linotype" w:hAnsi="Palatino Linotype"/>
          <w:i/>
          <w:sz w:val="22"/>
          <w:szCs w:val="22"/>
          <w:lang w:val="es-ES_tradnl"/>
        </w:rPr>
        <w:t>“</w:t>
      </w:r>
      <w:r w:rsidRPr="00DC2A65">
        <w:rPr>
          <w:rFonts w:ascii="Palatino Linotype" w:hAnsi="Palatino Linotype"/>
          <w:b/>
          <w:bCs/>
          <w:i/>
          <w:sz w:val="22"/>
          <w:szCs w:val="22"/>
          <w:lang w:val="es-ES_tradnl"/>
        </w:rPr>
        <w:t>Artículo 158.</w:t>
      </w:r>
      <w:r w:rsidRPr="00DC2A65">
        <w:rPr>
          <w:rFonts w:ascii="Palatino Linotype" w:hAnsi="Palatino Linotype"/>
          <w:i/>
          <w:sz w:val="22"/>
          <w:szCs w:val="22"/>
          <w:lang w:val="es-ES_tradnl"/>
        </w:rPr>
        <w:t xml:space="preserve"> </w:t>
      </w:r>
      <w:r w:rsidRPr="00DC2A65">
        <w:rPr>
          <w:rFonts w:ascii="Palatino Linotype" w:hAnsi="Palatino Linotype"/>
          <w:b/>
          <w:bCs/>
          <w:i/>
          <w:sz w:val="22"/>
          <w:szCs w:val="22"/>
          <w:lang w:val="es-ES_tradnl"/>
        </w:rPr>
        <w:t>De manera excepcional, cuando de forma fundada y motivada así lo determine el sujeto obligado</w:t>
      </w:r>
      <w:r w:rsidRPr="00DC2A65">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DC2A65">
        <w:rPr>
          <w:rFonts w:ascii="Palatino Linotype" w:hAnsi="Palatino Linotype"/>
          <w:b/>
          <w:bCs/>
          <w:i/>
          <w:sz w:val="22"/>
          <w:szCs w:val="22"/>
          <w:lang w:val="es-ES_tradnl"/>
        </w:rPr>
        <w:t>cuya entrega o reproducción sobrepase las capacidades técnicas administrativas y humanas del sujeto obligado</w:t>
      </w:r>
      <w:r w:rsidRPr="00DC2A65">
        <w:rPr>
          <w:rFonts w:ascii="Palatino Linotype" w:hAnsi="Palatino Linotype"/>
          <w:i/>
          <w:sz w:val="22"/>
          <w:szCs w:val="22"/>
          <w:lang w:val="es-ES_tradnl"/>
        </w:rPr>
        <w:t xml:space="preserve"> para cumplir con la solicitud, en los plazos establecidos para dichos efectos,</w:t>
      </w:r>
      <w:r w:rsidRPr="00DC2A65">
        <w:rPr>
          <w:rFonts w:ascii="Palatino Linotype" w:hAnsi="Palatino Linotype"/>
          <w:b/>
          <w:bCs/>
          <w:i/>
          <w:sz w:val="22"/>
          <w:szCs w:val="22"/>
          <w:lang w:val="es-ES_tradnl"/>
        </w:rPr>
        <w:t xml:space="preserve"> se podrá poner a disposición del solicitante los documentos en consulta directa</w:t>
      </w:r>
      <w:r w:rsidRPr="00DC2A65">
        <w:rPr>
          <w:rFonts w:ascii="Palatino Linotype" w:hAnsi="Palatino Linotype"/>
          <w:i/>
          <w:sz w:val="22"/>
          <w:szCs w:val="22"/>
          <w:lang w:val="es-ES_tradnl"/>
        </w:rPr>
        <w:t>, salvo la información clasificada”.</w:t>
      </w:r>
    </w:p>
    <w:p w:rsidR="00D42643" w:rsidRPr="00DC2A65" w:rsidRDefault="00D42643" w:rsidP="00D42643">
      <w:pPr>
        <w:spacing w:line="276" w:lineRule="auto"/>
        <w:ind w:right="567"/>
        <w:jc w:val="both"/>
        <w:rPr>
          <w:rFonts w:ascii="Palatino Linotype" w:hAnsi="Palatino Linotype"/>
          <w:i/>
          <w:sz w:val="22"/>
          <w:szCs w:val="22"/>
          <w:lang w:val="es-ES_tradnl"/>
        </w:rPr>
      </w:pPr>
    </w:p>
    <w:p w:rsidR="00D42643" w:rsidRPr="00DC2A65" w:rsidRDefault="00D42643" w:rsidP="00D42643">
      <w:pPr>
        <w:spacing w:line="276" w:lineRule="auto"/>
        <w:ind w:left="567" w:right="567"/>
        <w:jc w:val="both"/>
        <w:rPr>
          <w:rFonts w:ascii="Palatino Linotype" w:hAnsi="Palatino Linotype"/>
          <w:b/>
          <w:bCs/>
          <w:i/>
          <w:sz w:val="22"/>
          <w:szCs w:val="22"/>
          <w:lang w:val="es-ES_tradnl"/>
        </w:rPr>
      </w:pPr>
      <w:r w:rsidRPr="00DC2A65">
        <w:rPr>
          <w:rFonts w:ascii="Palatino Linotype" w:hAnsi="Palatino Linotype"/>
          <w:i/>
          <w:sz w:val="22"/>
          <w:szCs w:val="22"/>
          <w:lang w:val="es-ES_tradnl"/>
        </w:rPr>
        <w:t>“</w:t>
      </w:r>
      <w:r w:rsidRPr="00DC2A65">
        <w:rPr>
          <w:rFonts w:ascii="Palatino Linotype" w:hAnsi="Palatino Linotype"/>
          <w:b/>
          <w:bCs/>
          <w:i/>
          <w:sz w:val="22"/>
          <w:szCs w:val="22"/>
          <w:lang w:val="es-ES_tradnl"/>
        </w:rPr>
        <w:t>Artículo 164.</w:t>
      </w:r>
      <w:r w:rsidRPr="00DC2A65">
        <w:rPr>
          <w:rFonts w:ascii="Palatino Linotype" w:hAnsi="Palatino Linotype"/>
          <w:i/>
          <w:sz w:val="22"/>
          <w:szCs w:val="22"/>
          <w:lang w:val="es-ES_tradnl"/>
        </w:rPr>
        <w:t xml:space="preserve"> </w:t>
      </w:r>
      <w:r w:rsidRPr="00DC2A65">
        <w:rPr>
          <w:rFonts w:ascii="Palatino Linotype" w:hAnsi="Palatino Linotype"/>
          <w:b/>
          <w:bCs/>
          <w:i/>
          <w:sz w:val="22"/>
          <w:szCs w:val="22"/>
          <w:lang w:val="es-ES_tradnl"/>
        </w:rPr>
        <w:t>El acceso se dará en la modalidad de entrega</w:t>
      </w:r>
      <w:r w:rsidRPr="00DC2A65">
        <w:rPr>
          <w:rFonts w:ascii="Palatino Linotype" w:hAnsi="Palatino Linotype"/>
          <w:i/>
          <w:sz w:val="22"/>
          <w:szCs w:val="22"/>
          <w:lang w:val="es-ES_tradnl"/>
        </w:rPr>
        <w:t xml:space="preserve"> y, en su caso, de envío elegidos por el solicitante</w:t>
      </w:r>
      <w:r w:rsidRPr="00DC2A65">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DC2A65" w:rsidRDefault="00D42643" w:rsidP="00D42643">
      <w:pPr>
        <w:spacing w:line="276" w:lineRule="auto"/>
        <w:ind w:left="567" w:right="567"/>
        <w:jc w:val="both"/>
        <w:rPr>
          <w:rFonts w:ascii="Palatino Linotype" w:hAnsi="Palatino Linotype"/>
          <w:i/>
          <w:sz w:val="22"/>
          <w:szCs w:val="22"/>
          <w:lang w:val="es-ES_tradnl"/>
        </w:rPr>
      </w:pPr>
    </w:p>
    <w:p w:rsidR="00D42643" w:rsidRPr="00DC2A65" w:rsidRDefault="00D42643" w:rsidP="00D42643">
      <w:pPr>
        <w:spacing w:line="276" w:lineRule="auto"/>
        <w:ind w:left="567" w:right="567"/>
        <w:jc w:val="both"/>
        <w:rPr>
          <w:rFonts w:ascii="Palatino Linotype" w:hAnsi="Palatino Linotype"/>
          <w:i/>
          <w:sz w:val="22"/>
          <w:szCs w:val="22"/>
          <w:lang w:val="es-ES_tradnl"/>
        </w:rPr>
      </w:pPr>
      <w:r w:rsidRPr="00DC2A65">
        <w:rPr>
          <w:rFonts w:ascii="Palatino Linotype" w:hAnsi="Palatino Linotype"/>
          <w:b/>
          <w:bCs/>
          <w:i/>
          <w:sz w:val="22"/>
          <w:szCs w:val="22"/>
          <w:lang w:val="es-ES_tradnl"/>
        </w:rPr>
        <w:lastRenderedPageBreak/>
        <w:t>En cualquier caso, se deberá fundar y motivar la necesidad de ofrecer otras modalidades</w:t>
      </w:r>
      <w:r w:rsidRPr="00DC2A65">
        <w:rPr>
          <w:rFonts w:ascii="Palatino Linotype" w:hAnsi="Palatino Linotype"/>
          <w:i/>
          <w:sz w:val="22"/>
          <w:szCs w:val="22"/>
          <w:lang w:val="es-ES_tradnl"/>
        </w:rPr>
        <w:t>”.</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w:t>
      </w:r>
      <w:r w:rsidR="007D3D0B" w:rsidRPr="00DC2A65">
        <w:rPr>
          <w:rFonts w:ascii="Palatino Linotype" w:hAnsi="Palatino Linotype"/>
          <w:lang w:val="es-ES_tradnl"/>
        </w:rPr>
        <w:t>ser verbal, siempre y cuando se</w:t>
      </w:r>
      <w:r w:rsidRPr="00DC2A65">
        <w:rPr>
          <w:rFonts w:ascii="Palatino Linotype" w:hAnsi="Palatino Linotype"/>
          <w:lang w:val="es-ES_tradnl"/>
        </w:rPr>
        <w:t>a para fines de orientación, mediante consulta directa, mediante expedición de copias simples o certificadas o la reproducción en cualquier otro medio, incluidos lo electrónicos.</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DC2A65">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DC2A65">
        <w:rPr>
          <w:rFonts w:ascii="Palatino Linotype" w:hAnsi="Palatino Linotype"/>
          <w:bCs/>
          <w:lang w:val="es-ES_tradnl"/>
        </w:rPr>
        <w:t xml:space="preserve"> manera excepcional, cuando de forma fundada y motivada así lo determine, </w:t>
      </w:r>
      <w:r w:rsidRPr="00DC2A65">
        <w:rPr>
          <w:rFonts w:ascii="Palatino Linotype" w:hAnsi="Palatino Linotype"/>
          <w:lang w:val="es-ES_tradnl"/>
        </w:rPr>
        <w:t xml:space="preserve">en aquellos casos en que la información solicitada que ya se encuentre en su posesión implique análisis, estudio o procesamiento de documentos </w:t>
      </w:r>
      <w:r w:rsidRPr="00DC2A65">
        <w:rPr>
          <w:rFonts w:ascii="Palatino Linotype" w:hAnsi="Palatino Linotype"/>
          <w:bCs/>
          <w:lang w:val="es-ES_tradnl"/>
        </w:rPr>
        <w:t xml:space="preserve">cuya entrega o reproducción sobrepase las </w:t>
      </w:r>
      <w:r w:rsidRPr="00DC2A65">
        <w:rPr>
          <w:rFonts w:ascii="Palatino Linotype" w:hAnsi="Palatino Linotype"/>
          <w:bCs/>
          <w:lang w:val="es-ES_tradnl"/>
        </w:rPr>
        <w:lastRenderedPageBreak/>
        <w:t>capacidades técnicas administrativas y humanas del sujeto obligado</w:t>
      </w:r>
      <w:r w:rsidRPr="00DC2A65">
        <w:rPr>
          <w:rFonts w:ascii="Palatino Linotype" w:hAnsi="Palatino Linotype"/>
          <w:lang w:val="es-ES_tradnl"/>
        </w:rPr>
        <w:t xml:space="preserve"> para cumplir con la solicitud, en los plazos establecidos para dichos efectos,</w:t>
      </w:r>
      <w:r w:rsidRPr="00DC2A65">
        <w:rPr>
          <w:rFonts w:ascii="Palatino Linotype" w:hAnsi="Palatino Linotype"/>
          <w:bCs/>
          <w:lang w:val="es-ES_tradnl"/>
        </w:rPr>
        <w:t xml:space="preserve"> se podrá poner a disposición del solicitante los documentos en consulta directa</w:t>
      </w:r>
      <w:r w:rsidRPr="00DC2A65">
        <w:rPr>
          <w:rFonts w:ascii="Palatino Linotype" w:hAnsi="Palatino Linotype"/>
          <w:lang w:val="es-ES_tradnl"/>
        </w:rPr>
        <w:t>, salvo la información clasificada.</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MS Mincho" w:hAnsi="Palatino Linotype"/>
          <w:lang w:val="es-ES_tradnl"/>
        </w:rPr>
        <w:t xml:space="preserve">En razón de ello, el </w:t>
      </w:r>
      <w:r w:rsidR="004C04FE" w:rsidRPr="00DC2A65">
        <w:rPr>
          <w:rFonts w:ascii="Palatino Linotype" w:eastAsia="MS Mincho" w:hAnsi="Palatino Linotype"/>
          <w:lang w:val="es-ES_tradnl"/>
        </w:rPr>
        <w:t xml:space="preserve">Sujeto Obligado </w:t>
      </w:r>
      <w:r w:rsidRPr="00DC2A65">
        <w:rPr>
          <w:rFonts w:ascii="Palatino Linotype" w:eastAsia="MS Mincho" w:hAnsi="Palatino Linotype"/>
          <w:lang w:val="es-ES_tradnl"/>
        </w:rPr>
        <w:t xml:space="preserve">no negó el acceso a la información </w:t>
      </w:r>
      <w:r w:rsidR="008A6281" w:rsidRPr="00DC2A65">
        <w:rPr>
          <w:rFonts w:ascii="Palatino Linotype" w:eastAsia="MS Mincho" w:hAnsi="Palatino Linotype"/>
          <w:lang w:val="es-ES_tradnl"/>
        </w:rPr>
        <w:t>solicitada</w:t>
      </w:r>
      <w:r w:rsidRPr="00DC2A65">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DC2A65">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4C04FE" w:rsidRPr="00DC2A65" w:rsidRDefault="004C04FE" w:rsidP="004C04FE">
      <w:pPr>
        <w:pStyle w:val="Prrafodelista"/>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eastAsia="MS Mincho" w:hAnsi="Palatino Linotype"/>
          <w:lang w:val="es-ES_tradnl"/>
        </w:rPr>
        <w:t xml:space="preserve">No </w:t>
      </w:r>
      <w:r w:rsidR="008A6E0E" w:rsidRPr="00DC2A65">
        <w:rPr>
          <w:rFonts w:ascii="Palatino Linotype" w:eastAsia="MS Mincho" w:hAnsi="Palatino Linotype"/>
          <w:lang w:val="es-ES_tradnl"/>
        </w:rPr>
        <w:t>obstante</w:t>
      </w:r>
      <w:r w:rsidRPr="00DC2A65">
        <w:rPr>
          <w:rFonts w:ascii="Palatino Linotype" w:eastAsia="MS Mincho" w:hAnsi="Palatino Linotype"/>
          <w:lang w:val="es-ES_tradnl"/>
        </w:rPr>
        <w:t xml:space="preserve"> lo anterior, el </w:t>
      </w:r>
      <w:r w:rsidR="004C04FE" w:rsidRPr="00DC2A65">
        <w:rPr>
          <w:rFonts w:ascii="Palatino Linotype" w:eastAsia="MS Mincho" w:hAnsi="Palatino Linotype"/>
          <w:lang w:val="es-ES_tradnl"/>
        </w:rPr>
        <w:t xml:space="preserve">Sujeto Obligado </w:t>
      </w:r>
      <w:r w:rsidRPr="00DC2A65">
        <w:rPr>
          <w:rFonts w:ascii="Palatino Linotype" w:eastAsia="MS Mincho" w:hAnsi="Palatino Linotype"/>
          <w:lang w:val="es-ES_tradnl"/>
        </w:rPr>
        <w:t>ofreció otra modalidad de entrega de la información solicitada mediante la consulta directa de la misma, por ende, no</w:t>
      </w:r>
      <w:r w:rsidR="008A6281" w:rsidRPr="00DC2A65">
        <w:rPr>
          <w:rFonts w:ascii="Palatino Linotype" w:eastAsia="MS Mincho" w:hAnsi="Palatino Linotype"/>
          <w:lang w:val="es-ES_tradnl"/>
        </w:rPr>
        <w:t xml:space="preserve"> </w:t>
      </w:r>
      <w:r w:rsidRPr="00DC2A65">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DC2A65" w:rsidRDefault="00D42643" w:rsidP="00D42643">
      <w:pPr>
        <w:pStyle w:val="Prrafodelista"/>
        <w:rPr>
          <w:rFonts w:ascii="Palatino Linotype" w:hAnsi="Palatino Linotype"/>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lastRenderedPageBreak/>
        <w:t xml:space="preserve">Lo anterior, es así ya que de conformidad con lo dispuesto en el artículo 164 del ordenamiento legal referido señala que el </w:t>
      </w:r>
      <w:r w:rsidRPr="00DC2A65">
        <w:rPr>
          <w:rFonts w:ascii="Palatino Linotype" w:hAnsi="Palatino Linotype"/>
          <w:bCs/>
          <w:lang w:val="es-ES_tradnl"/>
        </w:rPr>
        <w:t>acceso se dará en la modalidad de entrega</w:t>
      </w:r>
      <w:r w:rsidRPr="00DC2A65">
        <w:rPr>
          <w:rFonts w:ascii="Palatino Linotype" w:hAnsi="Palatino Linotype"/>
          <w:lang w:val="es-ES_tradnl"/>
        </w:rPr>
        <w:t xml:space="preserve"> y, en su caso, de envío elegidos por el solicitante</w:t>
      </w:r>
      <w:r w:rsidRPr="00DC2A65">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DC2A65" w:rsidRDefault="00D42643" w:rsidP="00D42643">
      <w:pPr>
        <w:pStyle w:val="Prrafodelista"/>
        <w:rPr>
          <w:rFonts w:ascii="Palatino Linotype" w:hAnsi="Palatino Linotype"/>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DC2A65">
        <w:rPr>
          <w:rFonts w:ascii="Palatino Linotype" w:hAnsi="Palatino Linotype"/>
          <w:lang w:val="es-ES_tradnl"/>
        </w:rPr>
        <w:t>alejándose</w:t>
      </w:r>
      <w:r w:rsidRPr="00DC2A65">
        <w:rPr>
          <w:rFonts w:ascii="Palatino Linotype" w:hAnsi="Palatino Linotype"/>
          <w:lang w:val="es-ES_tradnl"/>
        </w:rPr>
        <w:t xml:space="preserve"> del principio de legalidad pretende interpretar la norma general en el sentido de establecer una nueva causal de </w:t>
      </w:r>
      <w:r w:rsidR="008A6E0E" w:rsidRPr="00DC2A65">
        <w:rPr>
          <w:rFonts w:ascii="Palatino Linotype" w:hAnsi="Palatino Linotype"/>
          <w:lang w:val="es-ES_tradnl"/>
        </w:rPr>
        <w:t>procedencia</w:t>
      </w:r>
      <w:r w:rsidRPr="00DC2A65">
        <w:rPr>
          <w:rFonts w:ascii="Palatino Linotype" w:hAnsi="Palatino Linotype"/>
          <w:lang w:val="es-ES_tradnl"/>
        </w:rPr>
        <w:t xml:space="preserve"> de dicho medio de </w:t>
      </w:r>
      <w:r w:rsidR="008A6E0E" w:rsidRPr="00DC2A65">
        <w:rPr>
          <w:rFonts w:ascii="Palatino Linotype" w:hAnsi="Palatino Linotype"/>
          <w:lang w:val="es-ES_tradnl"/>
        </w:rPr>
        <w:t>impugnación</w:t>
      </w:r>
      <w:r w:rsidRPr="00DC2A65">
        <w:rPr>
          <w:rFonts w:ascii="Palatino Linotype" w:hAnsi="Palatino Linotype"/>
          <w:lang w:val="es-ES_tradnl"/>
        </w:rPr>
        <w:t xml:space="preserve"> como el idóneo para reclamar toda clase de negativas de </w:t>
      </w:r>
      <w:r w:rsidR="008A6E0E" w:rsidRPr="00DC2A65">
        <w:rPr>
          <w:rFonts w:ascii="Palatino Linotype" w:hAnsi="Palatino Linotype"/>
          <w:lang w:val="es-ES_tradnl"/>
        </w:rPr>
        <w:t>acceso</w:t>
      </w:r>
      <w:r w:rsidRPr="00DC2A65">
        <w:rPr>
          <w:rFonts w:ascii="Palatino Linotype" w:hAnsi="Palatino Linotype"/>
          <w:lang w:val="es-ES_tradnl"/>
        </w:rPr>
        <w:t xml:space="preserve"> s al información que se imputen a los órganos garantes locales.</w:t>
      </w:r>
    </w:p>
    <w:p w:rsidR="00193907" w:rsidRPr="00DC2A65" w:rsidRDefault="00193907" w:rsidP="00193907">
      <w:pPr>
        <w:pStyle w:val="Prrafodelista"/>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En este orden de ideas, el Órgano Garante Nacional refiere en su resolución lo siguiente:</w:t>
      </w:r>
    </w:p>
    <w:p w:rsidR="00D42643" w:rsidRPr="00DC2A65" w:rsidRDefault="00D42643" w:rsidP="00D42643">
      <w:pPr>
        <w:pStyle w:val="Prrafodelista"/>
        <w:ind w:left="502"/>
        <w:rPr>
          <w:rFonts w:ascii="Palatino Linotype" w:hAnsi="Palatino Linotype"/>
          <w:lang w:val="es-ES_tradnl"/>
        </w:rPr>
      </w:pPr>
    </w:p>
    <w:p w:rsidR="00D42643" w:rsidRPr="00DC2A65"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DC2A65">
        <w:rPr>
          <w:rFonts w:ascii="Palatino Linotype" w:hAnsi="Palatino Linotype"/>
          <w:i/>
          <w:sz w:val="22"/>
          <w:szCs w:val="22"/>
          <w:lang w:val="es-ES_tradnl"/>
        </w:rPr>
        <w:t>“…</w:t>
      </w:r>
      <w:r w:rsidRPr="00DC2A65">
        <w:rPr>
          <w:rFonts w:ascii="Palatino Linotype" w:hAnsi="Palatino Linotype"/>
          <w:b/>
          <w:i/>
          <w:sz w:val="22"/>
          <w:szCs w:val="22"/>
          <w:lang w:val="es-ES_tradnl"/>
        </w:rPr>
        <w:t xml:space="preserve">debe existir un obstáculo infranqueable o de difícil superación </w:t>
      </w:r>
      <w:r w:rsidRPr="00DC2A65">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DC2A65"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DC2A65" w:rsidRDefault="00D42643" w:rsidP="00D42643">
      <w:pPr>
        <w:pStyle w:val="Prrafodelista"/>
        <w:spacing w:line="276" w:lineRule="auto"/>
        <w:ind w:left="502" w:right="18"/>
        <w:jc w:val="both"/>
        <w:rPr>
          <w:rFonts w:ascii="Palatino Linotype" w:hAnsi="Palatino Linotype"/>
          <w:i/>
          <w:sz w:val="22"/>
          <w:szCs w:val="22"/>
          <w:lang w:val="es-ES_tradnl"/>
        </w:rPr>
      </w:pPr>
      <w:r w:rsidRPr="00DC2A65">
        <w:rPr>
          <w:rFonts w:ascii="Palatino Linotype" w:hAnsi="Palatino Linotype"/>
          <w:i/>
          <w:sz w:val="22"/>
          <w:szCs w:val="22"/>
          <w:lang w:val="es-ES_tradnl"/>
        </w:rPr>
        <w:t>[…]</w:t>
      </w:r>
    </w:p>
    <w:p w:rsidR="00D42643" w:rsidRPr="00DC2A65"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DC2A65">
        <w:rPr>
          <w:rFonts w:ascii="Palatino Linotype" w:hAnsi="Palatino Linotype"/>
          <w:i/>
          <w:sz w:val="22"/>
          <w:szCs w:val="22"/>
          <w:lang w:val="es-ES_tradnl"/>
        </w:rPr>
        <w:lastRenderedPageBreak/>
        <w:t xml:space="preserve">Por tanto, resulta obvio que el Sujeto Obligado, no fundó, </w:t>
      </w:r>
      <w:r w:rsidRPr="00DC2A65">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a</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la</w:t>
      </w:r>
      <w:r w:rsidRPr="00DC2A65">
        <w:rPr>
          <w:rFonts w:ascii="Palatino Linotype" w:hAnsi="Palatino Linotype"/>
          <w:b/>
          <w:i/>
          <w:spacing w:val="-2"/>
          <w:sz w:val="22"/>
          <w:szCs w:val="22"/>
          <w:lang w:val="es-ES_tradnl"/>
        </w:rPr>
        <w:t xml:space="preserve"> </w:t>
      </w:r>
      <w:r w:rsidRPr="00DC2A65">
        <w:rPr>
          <w:rFonts w:ascii="Palatino Linotype" w:hAnsi="Palatino Linotype"/>
          <w:b/>
          <w:i/>
          <w:sz w:val="22"/>
          <w:szCs w:val="22"/>
          <w:lang w:val="es-ES_tradnl"/>
        </w:rPr>
        <w:t>Información</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Mexiquense</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(SAIMEX),</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pues</w:t>
      </w:r>
      <w:r w:rsidRPr="00DC2A65">
        <w:rPr>
          <w:rFonts w:ascii="Palatino Linotype" w:hAnsi="Palatino Linotype"/>
          <w:b/>
          <w:i/>
          <w:spacing w:val="-5"/>
          <w:sz w:val="22"/>
          <w:szCs w:val="22"/>
          <w:lang w:val="es-ES_tradnl"/>
        </w:rPr>
        <w:t xml:space="preserve"> </w:t>
      </w:r>
      <w:r w:rsidRPr="00DC2A65">
        <w:rPr>
          <w:rFonts w:ascii="Palatino Linotype" w:hAnsi="Palatino Linotype"/>
          <w:b/>
          <w:i/>
          <w:sz w:val="22"/>
          <w:szCs w:val="22"/>
          <w:lang w:val="es-ES_tradnl"/>
        </w:rPr>
        <w:t>la</w:t>
      </w:r>
      <w:r w:rsidRPr="00DC2A65">
        <w:rPr>
          <w:rFonts w:ascii="Palatino Linotype" w:hAnsi="Palatino Linotype"/>
          <w:b/>
          <w:i/>
          <w:spacing w:val="-3"/>
          <w:sz w:val="22"/>
          <w:szCs w:val="22"/>
          <w:lang w:val="es-ES_tradnl"/>
        </w:rPr>
        <w:t xml:space="preserve"> </w:t>
      </w:r>
      <w:r w:rsidRPr="00DC2A65">
        <w:rPr>
          <w:rFonts w:ascii="Palatino Linotype" w:hAnsi="Palatino Linotype"/>
          <w:b/>
          <w:i/>
          <w:sz w:val="22"/>
          <w:szCs w:val="22"/>
          <w:lang w:val="es-ES_tradnl"/>
        </w:rPr>
        <w:t>Ley</w:t>
      </w:r>
      <w:r w:rsidRPr="00DC2A65">
        <w:rPr>
          <w:rFonts w:ascii="Palatino Linotype" w:hAnsi="Palatino Linotype"/>
          <w:b/>
          <w:i/>
          <w:spacing w:val="-5"/>
          <w:sz w:val="22"/>
          <w:szCs w:val="22"/>
          <w:lang w:val="es-ES_tradnl"/>
        </w:rPr>
        <w:t xml:space="preserve"> </w:t>
      </w:r>
      <w:r w:rsidRPr="00DC2A65">
        <w:rPr>
          <w:rFonts w:ascii="Palatino Linotype" w:hAnsi="Palatino Linotype"/>
          <w:b/>
          <w:i/>
          <w:sz w:val="22"/>
          <w:szCs w:val="22"/>
          <w:lang w:val="es-ES_tradnl"/>
        </w:rPr>
        <w:t>de</w:t>
      </w:r>
      <w:r w:rsidRPr="00DC2A65">
        <w:rPr>
          <w:rFonts w:ascii="Palatino Linotype" w:hAnsi="Palatino Linotype"/>
          <w:b/>
          <w:i/>
          <w:spacing w:val="-9"/>
          <w:sz w:val="22"/>
          <w:szCs w:val="22"/>
          <w:lang w:val="es-ES_tradnl"/>
        </w:rPr>
        <w:t xml:space="preserve"> </w:t>
      </w:r>
      <w:r w:rsidRPr="00DC2A65">
        <w:rPr>
          <w:rFonts w:ascii="Palatino Linotype" w:hAnsi="Palatino Linotype"/>
          <w:b/>
          <w:i/>
          <w:sz w:val="22"/>
          <w:szCs w:val="22"/>
          <w:lang w:val="es-ES_tradnl"/>
        </w:rPr>
        <w:t>la</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materia</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no</w:t>
      </w:r>
      <w:r w:rsidRPr="00DC2A65">
        <w:rPr>
          <w:rFonts w:ascii="Palatino Linotype" w:hAnsi="Palatino Linotype"/>
          <w:b/>
          <w:i/>
          <w:spacing w:val="-4"/>
          <w:sz w:val="22"/>
          <w:szCs w:val="22"/>
          <w:lang w:val="es-ES_tradnl"/>
        </w:rPr>
        <w:t xml:space="preserve"> </w:t>
      </w:r>
      <w:r w:rsidRPr="00DC2A65">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DC2A65">
        <w:rPr>
          <w:rFonts w:ascii="Palatino Linotype" w:hAnsi="Palatino Linotype"/>
          <w:b/>
          <w:i/>
          <w:spacing w:val="-3"/>
          <w:sz w:val="22"/>
          <w:szCs w:val="22"/>
          <w:lang w:val="es-ES_tradnl"/>
        </w:rPr>
        <w:t xml:space="preserve">se </w:t>
      </w:r>
      <w:r w:rsidRPr="00DC2A65">
        <w:rPr>
          <w:rFonts w:ascii="Palatino Linotype" w:hAnsi="Palatino Linotype"/>
          <w:b/>
          <w:i/>
          <w:sz w:val="22"/>
          <w:szCs w:val="22"/>
          <w:lang w:val="es-ES_tradnl"/>
        </w:rPr>
        <w:t>cambie la modalidad…”</w:t>
      </w:r>
    </w:p>
    <w:p w:rsidR="00D42643" w:rsidRPr="00DC2A65" w:rsidRDefault="00D42643" w:rsidP="00D42643">
      <w:pPr>
        <w:pStyle w:val="Prrafodelista"/>
        <w:rPr>
          <w:rFonts w:ascii="Palatino Linotype" w:hAnsi="Palatino Linotype"/>
          <w:lang w:val="es-ES_tradnl"/>
        </w:rPr>
      </w:pPr>
    </w:p>
    <w:p w:rsidR="00D42643" w:rsidRPr="00DC2A65" w:rsidRDefault="00D42643" w:rsidP="00D42643">
      <w:pPr>
        <w:pStyle w:val="Prrafodelista"/>
        <w:rPr>
          <w:rFonts w:ascii="Palatino Linotype" w:hAnsi="Palatino Linotype"/>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DC2A65">
        <w:rPr>
          <w:rFonts w:ascii="Palatino Linotype" w:hAnsi="Palatino Linotype"/>
          <w:lang w:val="es-ES_tradnl"/>
        </w:rPr>
        <w:t>solicitudes</w:t>
      </w:r>
      <w:r w:rsidRPr="00DC2A65">
        <w:rPr>
          <w:rFonts w:ascii="Palatino Linotype" w:hAnsi="Palatino Linotype"/>
          <w:lang w:val="es-ES_tradnl"/>
        </w:rPr>
        <w:t xml:space="preserve"> de información por parte de un particular se cambie la modalidad; sin embargo</w:t>
      </w:r>
      <w:r w:rsidR="007D4DE0" w:rsidRPr="00DC2A65">
        <w:rPr>
          <w:rFonts w:ascii="Palatino Linotype" w:hAnsi="Palatino Linotype"/>
          <w:lang w:val="es-ES_tradnl"/>
        </w:rPr>
        <w:t>,</w:t>
      </w:r>
      <w:r w:rsidRPr="00DC2A65">
        <w:rPr>
          <w:rFonts w:ascii="Palatino Linotype" w:hAnsi="Palatino Linotype"/>
          <w:lang w:val="es-ES_tradnl"/>
        </w:rPr>
        <w:t xml:space="preserve"> tampoco establece que deba de “</w:t>
      </w:r>
      <w:r w:rsidRPr="00DC2A65">
        <w:rPr>
          <w:rFonts w:ascii="Palatino Linotype" w:hAnsi="Palatino Linotype"/>
          <w:i/>
          <w:lang w:val="es-ES_tradnl"/>
        </w:rPr>
        <w:t>existir un obstáculo infranqueable o de difícil superación”</w:t>
      </w:r>
      <w:r w:rsidRPr="00DC2A65">
        <w:rPr>
          <w:rFonts w:ascii="Palatino Linotype" w:hAnsi="Palatino Linotype"/>
          <w:lang w:val="es-ES_tradnl"/>
        </w:rPr>
        <w:t xml:space="preserve">, es mas en su resolución, derivado de su estudio interpretativo de la ley no define y deja claro que debe entenderse por </w:t>
      </w:r>
      <w:r w:rsidRPr="00DC2A65">
        <w:rPr>
          <w:rFonts w:ascii="Palatino Linotype" w:hAnsi="Palatino Linotype"/>
          <w:i/>
          <w:lang w:val="es-ES_tradnl"/>
        </w:rPr>
        <w:t>“obstáculo infranqueable o de difícil superación”</w:t>
      </w:r>
      <w:r w:rsidRPr="00DC2A65">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r w:rsidR="007D3D0B" w:rsidRPr="00DC2A65">
        <w:rPr>
          <w:rFonts w:ascii="Palatino Linotype" w:hAnsi="Palatino Linotype"/>
          <w:lang w:val="es-ES_tradnl"/>
        </w:rPr>
        <w:t>del</w:t>
      </w:r>
      <w:r w:rsidRPr="00DC2A65">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w:t>
      </w:r>
      <w:r w:rsidRPr="00DC2A65">
        <w:rPr>
          <w:rFonts w:ascii="Palatino Linotype" w:hAnsi="Palatino Linotype"/>
          <w:lang w:val="es-ES_tradnl"/>
        </w:rPr>
        <w:lastRenderedPageBreak/>
        <w:t>pasado, de manera parcial o total, para evitar el contagio del COVID-19, se sobrepasaron las capacidades técnicas, administrativas y humanas del Sujeto Obligado.</w:t>
      </w:r>
    </w:p>
    <w:p w:rsidR="00AE7A5D" w:rsidRPr="00DC2A65" w:rsidRDefault="00AE7A5D" w:rsidP="00AE7A5D">
      <w:pPr>
        <w:pStyle w:val="Prrafodelista"/>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DC2A65">
        <w:rPr>
          <w:rFonts w:ascii="Palatino Linotype" w:eastAsia="MS Mincho" w:hAnsi="Palatino Linotype"/>
          <w:b/>
          <w:lang w:val="es-ES_tradnl"/>
        </w:rPr>
        <w:t>promover</w:t>
      </w:r>
      <w:r w:rsidRPr="00DC2A65">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DC2A65">
        <w:rPr>
          <w:rFonts w:ascii="Palatino Linotype" w:hAnsi="Palatino Linotype"/>
          <w:lang w:val="es-ES_tradnl"/>
        </w:rPr>
        <w:t xml:space="preserve"> para dar cumplimiento y salvaguardar el derecho de acceso a la información pública.</w:t>
      </w:r>
    </w:p>
    <w:p w:rsidR="00D42643" w:rsidRPr="00DC2A65" w:rsidRDefault="00D42643" w:rsidP="00D42643">
      <w:pPr>
        <w:pStyle w:val="Prrafodelista"/>
        <w:rPr>
          <w:rFonts w:ascii="Palatino Linotype" w:hAnsi="Palatino Linotype"/>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Es así que, derivado del cúmulo de solicitudes de información, y del múltiple soporte documental que implica todas y cada una de las solicitudes de información; implica un análisis, estudio, procesamiento de documentos, elaboración de versiones públicas y proyectos de clasificación, lo que implica destinar un número significativo de días, horas y personales exclusivamente para atender los </w:t>
      </w:r>
      <w:r w:rsidRPr="00DC2A65">
        <w:rPr>
          <w:rFonts w:ascii="Palatino Linotype" w:hAnsi="Palatino Linotype"/>
          <w:lang w:val="es-ES_tradnl"/>
        </w:rPr>
        <w:lastRenderedPageBreak/>
        <w:t>requerimiento, que impediría la realización de las demás actividades y atribuciones a cargo del Sujeto Obligado que impactaría directamente al desarrollo del cumplimiento de sus actividades esenciales para con la sociedad del Municipio de Ixtapan de la Sal,</w:t>
      </w:r>
      <w:r w:rsidRPr="00DC2A65">
        <w:rPr>
          <w:rFonts w:ascii="Palatino Linotype" w:eastAsia="MS Mincho" w:hAnsi="Palatino Linotype"/>
          <w:lang w:val="es-ES_tradnl"/>
        </w:rPr>
        <w:t xml:space="preserve"> sumando que cuenta con personal limitado debido a la emergencia sanitaria que impera.</w:t>
      </w:r>
    </w:p>
    <w:p w:rsidR="00D42643" w:rsidRPr="00DC2A65" w:rsidRDefault="00D42643" w:rsidP="00D42643">
      <w:pPr>
        <w:pStyle w:val="Prrafodelista"/>
        <w:rPr>
          <w:rFonts w:ascii="Palatino Linotype" w:hAnsi="Palatino Linotype"/>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4C04FE" w:rsidRPr="00DC2A65" w:rsidRDefault="004C04FE" w:rsidP="004C04FE">
      <w:pPr>
        <w:pStyle w:val="Prrafodelista"/>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No </w:t>
      </w:r>
      <w:r w:rsidR="008A6E0E" w:rsidRPr="00DC2A65">
        <w:rPr>
          <w:rFonts w:ascii="Palatino Linotype" w:hAnsi="Palatino Linotype"/>
          <w:lang w:val="es-ES_tradnl"/>
        </w:rPr>
        <w:t>obstante,</w:t>
      </w:r>
      <w:r w:rsidRPr="00DC2A65">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w:t>
      </w:r>
      <w:r w:rsidRPr="00DC2A65">
        <w:rPr>
          <w:rFonts w:ascii="Palatino Linotype" w:hAnsi="Palatino Linotype"/>
          <w:lang w:val="es-ES_tradnl"/>
        </w:rPr>
        <w:lastRenderedPageBreak/>
        <w:t xml:space="preserve">193 se solicitó </w:t>
      </w:r>
      <w:r w:rsidR="007D3D0B" w:rsidRPr="00DC2A65">
        <w:rPr>
          <w:rFonts w:ascii="Palatino Linotype" w:hAnsi="Palatino Linotype"/>
          <w:lang w:val="es-ES_tradnl"/>
        </w:rPr>
        <w:t>prórroga</w:t>
      </w:r>
      <w:r w:rsidRPr="00DC2A65">
        <w:rPr>
          <w:rFonts w:ascii="Palatino Linotype" w:hAnsi="Palatino Linotype"/>
          <w:lang w:val="es-ES_tradnl"/>
        </w:rPr>
        <w:t xml:space="preserve"> para atenderlas, es decir un 9.70%; asimismo, el sujeto obligado tuvo que atender los 1439 recursos de revisión interpuestos.</w:t>
      </w:r>
      <w:r w:rsidRPr="00DC2A65">
        <w:rPr>
          <w:rStyle w:val="Refdenotaalpie"/>
          <w:rFonts w:ascii="Palatino Linotype" w:hAnsi="Palatino Linotype"/>
          <w:lang w:val="es-ES_tradnl"/>
        </w:rPr>
        <w:footnoteReference w:id="16"/>
      </w:r>
    </w:p>
    <w:p w:rsidR="00D42643" w:rsidRPr="00DC2A65" w:rsidRDefault="00D42643" w:rsidP="00D42643">
      <w:pPr>
        <w:pStyle w:val="Prrafodelista"/>
        <w:rPr>
          <w:rFonts w:ascii="Palatino Linotype" w:hAnsi="Palatino Linotype"/>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 xml:space="preserve">Derivado de lo anterior, se demuestra que no se trata de una negativa de información, ya que dicha hipótesis encuadraría en el caso de que el </w:t>
      </w:r>
      <w:r w:rsidR="00AE7A5D" w:rsidRPr="00DC2A65">
        <w:rPr>
          <w:rFonts w:ascii="Palatino Linotype" w:hAnsi="Palatino Linotype"/>
          <w:lang w:val="es-ES_tradnl"/>
        </w:rPr>
        <w:t xml:space="preserve">Sujeto Obligado </w:t>
      </w:r>
      <w:r w:rsidRPr="00DC2A65">
        <w:rPr>
          <w:rFonts w:ascii="Palatino Linotype" w:hAnsi="Palatino Linotype"/>
          <w:lang w:val="es-ES_tradnl"/>
        </w:rPr>
        <w:t xml:space="preserve">hubiese negado rotunda y categóricamente el acceso a la información pública o bien hubiese sido omiso en dar respuesta, lo cual en el presente caso no sucedió. </w:t>
      </w:r>
    </w:p>
    <w:p w:rsidR="00D42643" w:rsidRPr="00DC2A65" w:rsidRDefault="00D42643" w:rsidP="00D42643">
      <w:pPr>
        <w:pStyle w:val="Prrafodelista"/>
        <w:rPr>
          <w:rFonts w:ascii="Palatino Linotype" w:hAnsi="Palatino Linotype"/>
          <w:lang w:val="es-ES_tradnl"/>
        </w:rPr>
      </w:pPr>
    </w:p>
    <w:p w:rsidR="00D42643" w:rsidRPr="00DC2A65" w:rsidRDefault="00AE7A5D"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Luego entonces, -se insiste-</w:t>
      </w:r>
      <w:r w:rsidR="008E1E4F" w:rsidRPr="00DC2A65">
        <w:rPr>
          <w:rFonts w:ascii="Palatino Linotype" w:hAnsi="Palatino Linotype"/>
          <w:lang w:val="es-ES_tradnl"/>
        </w:rPr>
        <w:t xml:space="preserve"> nos encontramos en un caso </w:t>
      </w:r>
      <w:r w:rsidR="008E1E4F" w:rsidRPr="00DC2A65">
        <w:rPr>
          <w:rFonts w:ascii="Palatino Linotype" w:hAnsi="Palatino Linotype"/>
          <w:i/>
          <w:lang w:val="es-ES_tradnl"/>
        </w:rPr>
        <w:t>sui generis</w:t>
      </w:r>
      <w:r w:rsidR="008E1E4F" w:rsidRPr="00DC2A65">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193907" w:rsidRPr="00DC2A65" w:rsidRDefault="00193907" w:rsidP="00193907">
      <w:pPr>
        <w:pStyle w:val="Prrafodelista"/>
        <w:rPr>
          <w:rFonts w:ascii="Palatino Linotype" w:hAnsi="Palatino Linotype"/>
          <w:shd w:val="clear" w:color="auto" w:fill="FFFFFF"/>
          <w:lang w:val="es-ES_tradnl"/>
        </w:rPr>
      </w:pPr>
    </w:p>
    <w:p w:rsidR="00D42643" w:rsidRPr="00DC2A65"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lang w:val="es-ES_tradnl"/>
        </w:rPr>
        <w:t>Por lo tanto, la decisión de este In</w:t>
      </w:r>
      <w:r w:rsidR="009678D6" w:rsidRPr="00DC2A65">
        <w:rPr>
          <w:rFonts w:ascii="Palatino Linotype" w:hAnsi="Palatino Linotype"/>
          <w:lang w:val="es-ES_tradnl"/>
        </w:rPr>
        <w:t>s</w:t>
      </w:r>
      <w:r w:rsidRPr="00DC2A65">
        <w:rPr>
          <w:rFonts w:ascii="Palatino Linotype" w:hAnsi="Palatino Linotype"/>
          <w:lang w:val="es-ES_tradnl"/>
        </w:rPr>
        <w:t>titu</w:t>
      </w:r>
      <w:r w:rsidR="007D4DE0" w:rsidRPr="00DC2A65">
        <w:rPr>
          <w:rFonts w:ascii="Palatino Linotype" w:hAnsi="Palatino Linotype"/>
          <w:lang w:val="es-ES_tradnl"/>
        </w:rPr>
        <w:t>t</w:t>
      </w:r>
      <w:r w:rsidRPr="00DC2A65">
        <w:rPr>
          <w:rFonts w:ascii="Palatino Linotype" w:hAnsi="Palatino Linotype"/>
          <w:lang w:val="es-ES_tradnl"/>
        </w:rPr>
        <w:t>o en conf</w:t>
      </w:r>
      <w:r w:rsidR="007D4DE0" w:rsidRPr="00DC2A65">
        <w:rPr>
          <w:rFonts w:ascii="Palatino Linotype" w:hAnsi="Palatino Linotype"/>
          <w:lang w:val="es-ES_tradnl"/>
        </w:rPr>
        <w:t>i</w:t>
      </w:r>
      <w:r w:rsidRPr="00DC2A65">
        <w:rPr>
          <w:rFonts w:ascii="Palatino Linotype" w:hAnsi="Palatino Linotype"/>
          <w:lang w:val="es-ES_tradnl"/>
        </w:rPr>
        <w:t xml:space="preserve">rmar el cambio de </w:t>
      </w:r>
      <w:r w:rsidR="008A6E0E" w:rsidRPr="00DC2A65">
        <w:rPr>
          <w:rFonts w:ascii="Palatino Linotype" w:hAnsi="Palatino Linotype"/>
          <w:lang w:val="es-ES_tradnl"/>
        </w:rPr>
        <w:t>modalidad</w:t>
      </w:r>
      <w:r w:rsidRPr="00DC2A65">
        <w:rPr>
          <w:rFonts w:ascii="Palatino Linotype" w:hAnsi="Palatino Linotype"/>
          <w:lang w:val="es-ES_tradnl"/>
        </w:rPr>
        <w:t>, obedeció a que el sujeto obligado de conformidad con el art</w:t>
      </w:r>
      <w:r w:rsidR="009678D6" w:rsidRPr="00DC2A65">
        <w:rPr>
          <w:rFonts w:ascii="Palatino Linotype" w:hAnsi="Palatino Linotype"/>
          <w:lang w:val="es-ES_tradnl"/>
        </w:rPr>
        <w:t>í</w:t>
      </w:r>
      <w:r w:rsidRPr="00DC2A65">
        <w:rPr>
          <w:rFonts w:ascii="Palatino Linotype" w:hAnsi="Palatino Linotype"/>
          <w:lang w:val="es-ES_tradnl"/>
        </w:rPr>
        <w:t>c</w:t>
      </w:r>
      <w:r w:rsidR="009678D6" w:rsidRPr="00DC2A65">
        <w:rPr>
          <w:rFonts w:ascii="Palatino Linotype" w:hAnsi="Palatino Linotype"/>
          <w:lang w:val="es-ES_tradnl"/>
        </w:rPr>
        <w:t>u</w:t>
      </w:r>
      <w:r w:rsidRPr="00DC2A65">
        <w:rPr>
          <w:rFonts w:ascii="Palatino Linotype" w:hAnsi="Palatino Linotype"/>
          <w:lang w:val="es-ES_tradnl"/>
        </w:rPr>
        <w:t xml:space="preserve">lo 158 de la Ley de Transparencia y </w:t>
      </w:r>
      <w:r w:rsidR="008A6E0E" w:rsidRPr="00DC2A65">
        <w:rPr>
          <w:rFonts w:ascii="Palatino Linotype" w:hAnsi="Palatino Linotype"/>
          <w:lang w:val="es-ES_tradnl"/>
        </w:rPr>
        <w:t>Acceso</w:t>
      </w:r>
      <w:r w:rsidRPr="00DC2A65">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DC2A65">
        <w:rPr>
          <w:rFonts w:ascii="Palatino Linotype" w:hAnsi="Palatino Linotype"/>
          <w:lang w:val="es-ES_tradnl"/>
        </w:rPr>
        <w:t xml:space="preserve"> </w:t>
      </w:r>
      <w:r w:rsidRPr="00DC2A65">
        <w:rPr>
          <w:rFonts w:ascii="Palatino Linotype" w:hAnsi="Palatino Linotype"/>
          <w:lang w:val="es-ES_tradnl"/>
        </w:rPr>
        <w:t xml:space="preserve"> capacida</w:t>
      </w:r>
      <w:r w:rsidR="007D4DE0" w:rsidRPr="00DC2A65">
        <w:rPr>
          <w:rFonts w:ascii="Palatino Linotype" w:hAnsi="Palatino Linotype"/>
          <w:lang w:val="es-ES_tradnl"/>
        </w:rPr>
        <w:t>des</w:t>
      </w:r>
      <w:r w:rsidRPr="00DC2A65">
        <w:rPr>
          <w:rFonts w:ascii="Palatino Linotype" w:hAnsi="Palatino Linotype"/>
          <w:lang w:val="es-ES_tradnl"/>
        </w:rPr>
        <w:t xml:space="preserve"> administrativas y humanas, se </w:t>
      </w:r>
      <w:r w:rsidR="007D3D0B" w:rsidRPr="00DC2A65">
        <w:rPr>
          <w:rFonts w:ascii="Palatino Linotype" w:hAnsi="Palatino Linotype"/>
          <w:lang w:val="es-ES_tradnl"/>
        </w:rPr>
        <w:t>modificó</w:t>
      </w:r>
      <w:r w:rsidRPr="00DC2A65">
        <w:rPr>
          <w:rFonts w:ascii="Palatino Linotype" w:hAnsi="Palatino Linotype"/>
          <w:lang w:val="es-ES_tradnl"/>
        </w:rPr>
        <w:t xml:space="preserve"> </w:t>
      </w:r>
      <w:r w:rsidR="007D4DE0" w:rsidRPr="00DC2A65">
        <w:rPr>
          <w:rFonts w:ascii="Palatino Linotype" w:hAnsi="Palatino Linotype"/>
          <w:lang w:val="es-ES_tradnl"/>
        </w:rPr>
        <w:t>e</w:t>
      </w:r>
      <w:r w:rsidRPr="00DC2A65">
        <w:rPr>
          <w:rFonts w:ascii="Palatino Linotype" w:hAnsi="Palatino Linotype"/>
          <w:lang w:val="es-ES_tradnl"/>
        </w:rPr>
        <w:t xml:space="preserve">l cambio de modalidad a su consulta directa, con la finalidad de respetar en todo momento </w:t>
      </w:r>
      <w:r w:rsidRPr="00DC2A65">
        <w:rPr>
          <w:rFonts w:ascii="Palatino Linotype" w:hAnsi="Palatino Linotype"/>
          <w:lang w:val="es-ES_tradnl"/>
        </w:rPr>
        <w:lastRenderedPageBreak/>
        <w:t xml:space="preserve">el  legítimo derecho de acceso a la información del particular, con base a la normatividad aplicable, por lo tanto es dable concluir que no existe transgresión al derecho de acceso a la información pública de la parte Recurrente. </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Aunado a lo anterior, conviene recordarle al Órgano Garante que las capacidades técnicas, </w:t>
      </w:r>
      <w:r w:rsidR="008A6E0E" w:rsidRPr="00DC2A65">
        <w:rPr>
          <w:rFonts w:ascii="Palatino Linotype" w:hAnsi="Palatino Linotype"/>
          <w:shd w:val="clear" w:color="auto" w:fill="FFFFFF"/>
          <w:lang w:val="es-ES_tradnl"/>
        </w:rPr>
        <w:t>administrativas</w:t>
      </w:r>
      <w:r w:rsidRPr="00DC2A65">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DC2A65">
        <w:rPr>
          <w:rFonts w:ascii="Palatino Linotype" w:hAnsi="Palatino Linotype"/>
          <w:shd w:val="clear" w:color="auto" w:fill="FFFFFF"/>
          <w:lang w:val="es-ES_tradnl"/>
        </w:rPr>
        <w:t xml:space="preserve">o se compara </w:t>
      </w:r>
      <w:r w:rsidRPr="00DC2A65">
        <w:rPr>
          <w:rFonts w:ascii="Palatino Linotype" w:hAnsi="Palatino Linotype"/>
          <w:shd w:val="clear" w:color="auto" w:fill="FFFFFF"/>
          <w:lang w:val="es-ES_tradnl"/>
        </w:rPr>
        <w:t>con una Secretaria u organismo a nivel federal.</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DC2A65">
        <w:rPr>
          <w:rFonts w:ascii="Palatino Linotype" w:hAnsi="Palatino Linotype"/>
          <w:shd w:val="clear" w:color="auto" w:fill="FFFFFF"/>
          <w:lang w:val="es-ES_tradnl"/>
        </w:rPr>
        <w:t>a</w:t>
      </w:r>
      <w:r w:rsidRPr="00DC2A65">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DC2A65">
        <w:rPr>
          <w:rFonts w:ascii="Palatino Linotype" w:hAnsi="Palatino Linotype"/>
          <w:shd w:val="clear" w:color="auto" w:fill="FFFFFF"/>
          <w:lang w:val="es-ES_tradnl"/>
        </w:rPr>
        <w:t xml:space="preserve">dicha </w:t>
      </w:r>
      <w:r w:rsidR="008A6E0E" w:rsidRPr="00DC2A65">
        <w:rPr>
          <w:rFonts w:ascii="Palatino Linotype" w:hAnsi="Palatino Linotype"/>
          <w:shd w:val="clear" w:color="auto" w:fill="FFFFFF"/>
          <w:lang w:val="es-ES_tradnl"/>
        </w:rPr>
        <w:t>información</w:t>
      </w:r>
      <w:r w:rsidR="00BB4836" w:rsidRPr="00DC2A65">
        <w:rPr>
          <w:rFonts w:ascii="Palatino Linotype" w:hAnsi="Palatino Linotype"/>
          <w:shd w:val="clear" w:color="auto" w:fill="FFFFFF"/>
          <w:lang w:val="es-ES_tradnl"/>
        </w:rPr>
        <w:t xml:space="preserve"> </w:t>
      </w:r>
      <w:r w:rsidRPr="00DC2A65">
        <w:rPr>
          <w:rFonts w:ascii="Palatino Linotype" w:hAnsi="Palatino Linotype"/>
          <w:shd w:val="clear" w:color="auto" w:fill="FFFFFF"/>
          <w:lang w:val="es-ES_tradnl"/>
        </w:rPr>
        <w:t>constituya parte de sus obligaciones de transparencia comunes, ello impli</w:t>
      </w:r>
      <w:r w:rsidR="00BB4836" w:rsidRPr="00DC2A65">
        <w:rPr>
          <w:rFonts w:ascii="Palatino Linotype" w:hAnsi="Palatino Linotype"/>
          <w:shd w:val="clear" w:color="auto" w:fill="FFFFFF"/>
          <w:lang w:val="es-ES_tradnl"/>
        </w:rPr>
        <w:t xml:space="preserve">ca necesariamente </w:t>
      </w:r>
      <w:r w:rsidRPr="00DC2A65">
        <w:rPr>
          <w:rFonts w:ascii="Palatino Linotype" w:hAnsi="Palatino Linotype"/>
          <w:shd w:val="clear" w:color="auto" w:fill="FFFFFF"/>
          <w:lang w:val="es-ES_tradnl"/>
        </w:rPr>
        <w:t>un análisis, estudio o procesamiento de documentos</w:t>
      </w:r>
      <w:r w:rsidR="00BB4836" w:rsidRPr="00DC2A65">
        <w:rPr>
          <w:rFonts w:ascii="Palatino Linotype" w:hAnsi="Palatino Linotype"/>
          <w:shd w:val="clear" w:color="auto" w:fill="FFFFFF"/>
          <w:lang w:val="es-ES_tradnl"/>
        </w:rPr>
        <w:t xml:space="preserve"> por parte del sujeto obligado para poder atender las solicitudes de información, </w:t>
      </w:r>
      <w:r w:rsidR="007D4DE0" w:rsidRPr="00DC2A65">
        <w:rPr>
          <w:rFonts w:ascii="Palatino Linotype" w:hAnsi="Palatino Linotype"/>
          <w:shd w:val="clear" w:color="auto" w:fill="FFFFFF"/>
          <w:lang w:val="es-ES_tradnl"/>
        </w:rPr>
        <w:t xml:space="preserve">ya que </w:t>
      </w:r>
      <w:r w:rsidR="00BB4836" w:rsidRPr="00DC2A65">
        <w:rPr>
          <w:rFonts w:ascii="Palatino Linotype" w:hAnsi="Palatino Linotype"/>
          <w:shd w:val="clear" w:color="auto" w:fill="FFFFFF"/>
          <w:lang w:val="es-ES_tradnl"/>
        </w:rPr>
        <w:t xml:space="preserve">su </w:t>
      </w:r>
      <w:r w:rsidR="008A6E0E" w:rsidRPr="00DC2A65">
        <w:rPr>
          <w:rFonts w:ascii="Palatino Linotype" w:hAnsi="Palatino Linotype"/>
          <w:shd w:val="clear" w:color="auto" w:fill="FFFFFF"/>
          <w:lang w:val="es-ES_tradnl"/>
        </w:rPr>
        <w:t>atención</w:t>
      </w:r>
      <w:r w:rsidR="00BB4836" w:rsidRPr="00DC2A65">
        <w:rPr>
          <w:rFonts w:ascii="Palatino Linotype" w:hAnsi="Palatino Linotype"/>
          <w:shd w:val="clear" w:color="auto" w:fill="FFFFFF"/>
          <w:lang w:val="es-ES_tradnl"/>
        </w:rPr>
        <w:t xml:space="preserve"> no se limita a </w:t>
      </w:r>
      <w:r w:rsidR="008A6E0E" w:rsidRPr="00DC2A65">
        <w:rPr>
          <w:rFonts w:ascii="Palatino Linotype" w:hAnsi="Palatino Linotype"/>
          <w:shd w:val="clear" w:color="auto" w:fill="FFFFFF"/>
          <w:lang w:val="es-ES_tradnl"/>
        </w:rPr>
        <w:t>entregar</w:t>
      </w:r>
      <w:r w:rsidR="00BB4836" w:rsidRPr="00DC2A65">
        <w:rPr>
          <w:rFonts w:ascii="Palatino Linotype" w:hAnsi="Palatino Linotype"/>
          <w:shd w:val="clear" w:color="auto" w:fill="FFFFFF"/>
          <w:lang w:val="es-ES_tradnl"/>
        </w:rPr>
        <w:t xml:space="preserve"> o copiar y pegar el enlace electrónico o link </w:t>
      </w:r>
      <w:r w:rsidR="007D4DE0" w:rsidRPr="00DC2A65">
        <w:rPr>
          <w:rFonts w:ascii="Palatino Linotype" w:hAnsi="Palatino Linotype"/>
          <w:shd w:val="clear" w:color="auto" w:fill="FFFFFF"/>
          <w:lang w:val="es-ES_tradnl"/>
        </w:rPr>
        <w:t>de IPOMEX o de la Plataforma Nacional</w:t>
      </w:r>
      <w:r w:rsidRPr="00DC2A65">
        <w:rPr>
          <w:rFonts w:ascii="Palatino Linotype" w:hAnsi="Palatino Linotype"/>
          <w:shd w:val="clear" w:color="auto" w:fill="FFFFFF"/>
          <w:lang w:val="es-ES_tradnl"/>
        </w:rPr>
        <w:t xml:space="preserve">, </w:t>
      </w:r>
      <w:r w:rsidR="007D4DE0" w:rsidRPr="00DC2A65">
        <w:rPr>
          <w:rFonts w:ascii="Palatino Linotype" w:hAnsi="Palatino Linotype"/>
          <w:shd w:val="clear" w:color="auto" w:fill="FFFFFF"/>
          <w:lang w:val="es-ES_tradnl"/>
        </w:rPr>
        <w:t>sino que im</w:t>
      </w:r>
      <w:r w:rsidR="00BB4836" w:rsidRPr="00DC2A65">
        <w:rPr>
          <w:rFonts w:ascii="Palatino Linotype" w:hAnsi="Palatino Linotype"/>
          <w:shd w:val="clear" w:color="auto" w:fill="FFFFFF"/>
          <w:lang w:val="es-ES_tradnl"/>
        </w:rPr>
        <w:t>p</w:t>
      </w:r>
      <w:r w:rsidR="007D4DE0" w:rsidRPr="00DC2A65">
        <w:rPr>
          <w:rFonts w:ascii="Palatino Linotype" w:hAnsi="Palatino Linotype"/>
          <w:shd w:val="clear" w:color="auto" w:fill="FFFFFF"/>
          <w:lang w:val="es-ES_tradnl"/>
        </w:rPr>
        <w:t xml:space="preserve">lica </w:t>
      </w:r>
      <w:r w:rsidR="0051508C" w:rsidRPr="00DC2A65">
        <w:rPr>
          <w:rFonts w:ascii="Palatino Linotype" w:hAnsi="Palatino Linotype"/>
          <w:shd w:val="clear" w:color="auto" w:fill="FFFFFF"/>
          <w:lang w:val="es-ES_tradnl"/>
        </w:rPr>
        <w:t xml:space="preserve">una búsqueda, identificación </w:t>
      </w:r>
      <w:r w:rsidR="0051508C" w:rsidRPr="00DC2A65">
        <w:rPr>
          <w:rFonts w:ascii="Palatino Linotype" w:hAnsi="Palatino Linotype"/>
          <w:shd w:val="clear" w:color="auto" w:fill="FFFFFF"/>
          <w:lang w:val="es-ES_tradnl"/>
        </w:rPr>
        <w:lastRenderedPageBreak/>
        <w:t>y localización de la información solicitada</w:t>
      </w:r>
      <w:r w:rsidR="007D4DE0" w:rsidRPr="00DC2A65">
        <w:rPr>
          <w:rFonts w:ascii="Palatino Linotype" w:hAnsi="Palatino Linotype"/>
          <w:shd w:val="clear" w:color="auto" w:fill="FFFFFF"/>
          <w:lang w:val="es-ES_tradnl"/>
        </w:rPr>
        <w:t xml:space="preserve"> para proporcionar el link espec</w:t>
      </w:r>
      <w:r w:rsidR="008A6E0E" w:rsidRPr="00DC2A65">
        <w:rPr>
          <w:rFonts w:ascii="Palatino Linotype" w:hAnsi="Palatino Linotype"/>
          <w:shd w:val="clear" w:color="auto" w:fill="FFFFFF"/>
          <w:lang w:val="es-ES_tradnl"/>
        </w:rPr>
        <w:t>í</w:t>
      </w:r>
      <w:r w:rsidR="007D4DE0" w:rsidRPr="00DC2A65">
        <w:rPr>
          <w:rFonts w:ascii="Palatino Linotype" w:hAnsi="Palatino Linotype"/>
          <w:shd w:val="clear" w:color="auto" w:fill="FFFFFF"/>
          <w:lang w:val="es-ES_tradnl"/>
        </w:rPr>
        <w:t xml:space="preserve">fico que permite llegar a la </w:t>
      </w:r>
      <w:r w:rsidR="008A6E0E" w:rsidRPr="00DC2A65">
        <w:rPr>
          <w:rFonts w:ascii="Palatino Linotype" w:hAnsi="Palatino Linotype"/>
          <w:shd w:val="clear" w:color="auto" w:fill="FFFFFF"/>
          <w:lang w:val="es-ES_tradnl"/>
        </w:rPr>
        <w:t>información</w:t>
      </w:r>
      <w:r w:rsidR="007D4DE0" w:rsidRPr="00DC2A65">
        <w:rPr>
          <w:rFonts w:ascii="Palatino Linotype" w:hAnsi="Palatino Linotype"/>
          <w:shd w:val="clear" w:color="auto" w:fill="FFFFFF"/>
          <w:lang w:val="es-ES_tradnl"/>
        </w:rPr>
        <w:t xml:space="preserve"> que particularmente se ha solicitado.</w:t>
      </w:r>
    </w:p>
    <w:p w:rsidR="00D42643" w:rsidRPr="00DC2A65" w:rsidRDefault="00AE7A5D" w:rsidP="00AE7A5D">
      <w:pPr>
        <w:pStyle w:val="Prrafodelista"/>
        <w:tabs>
          <w:tab w:val="left" w:pos="2212"/>
        </w:tabs>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ab/>
      </w:r>
    </w:p>
    <w:p w:rsidR="00D42643" w:rsidRPr="00DC2A65" w:rsidRDefault="00D42643" w:rsidP="00D42643">
      <w:pPr>
        <w:pStyle w:val="Prrafodelista"/>
        <w:numPr>
          <w:ilvl w:val="0"/>
          <w:numId w:val="31"/>
        </w:numPr>
        <w:spacing w:line="360" w:lineRule="auto"/>
        <w:ind w:right="49"/>
        <w:jc w:val="both"/>
        <w:rPr>
          <w:rFonts w:ascii="Palatino Linotype" w:hAnsi="Palatino Linotype"/>
          <w:b/>
          <w:lang w:val="es-ES_tradnl"/>
        </w:rPr>
      </w:pPr>
      <w:r w:rsidRPr="00DC2A65">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DC2A65">
        <w:rPr>
          <w:rFonts w:ascii="Palatino Linotype" w:hAnsi="Palatino Linotype"/>
          <w:shd w:val="clear" w:color="auto" w:fill="FFFFFF"/>
          <w:lang w:val="es-ES_tradnl"/>
        </w:rPr>
        <w:t>notoriamente</w:t>
      </w:r>
      <w:r w:rsidRPr="00DC2A65">
        <w:rPr>
          <w:rFonts w:ascii="Palatino Linotype" w:hAnsi="Palatino Linotype"/>
          <w:shd w:val="clear" w:color="auto" w:fill="FFFFFF"/>
          <w:lang w:val="es-ES_tradnl"/>
        </w:rPr>
        <w:t xml:space="preserve"> improcedente.</w:t>
      </w:r>
    </w:p>
    <w:p w:rsidR="0000542C" w:rsidRPr="00DC2A65" w:rsidRDefault="0000542C" w:rsidP="0000542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Asimismo, dicho principio de legalidad se contraviene ya que la </w:t>
      </w:r>
      <w:r w:rsidR="008A6E0E" w:rsidRPr="00DC2A65">
        <w:rPr>
          <w:rFonts w:ascii="Palatino Linotype" w:hAnsi="Palatino Linotype"/>
          <w:shd w:val="clear" w:color="auto" w:fill="FFFFFF"/>
          <w:lang w:val="es-ES_tradnl"/>
        </w:rPr>
        <w:t>resolución</w:t>
      </w:r>
      <w:r w:rsidRPr="00DC2A65">
        <w:rPr>
          <w:rFonts w:ascii="Palatino Linotype" w:hAnsi="Palatino Linotype"/>
          <w:shd w:val="clear" w:color="auto" w:fill="FFFFFF"/>
          <w:lang w:val="es-ES_tradnl"/>
        </w:rPr>
        <w:t xml:space="preserve"> de mérito se encuentra fundamentada en una sentencia a un </w:t>
      </w:r>
      <w:r w:rsidR="008A6E0E" w:rsidRPr="00DC2A65">
        <w:rPr>
          <w:rFonts w:ascii="Palatino Linotype" w:hAnsi="Palatino Linotype"/>
          <w:shd w:val="clear" w:color="auto" w:fill="FFFFFF"/>
          <w:lang w:val="es-ES_tradnl"/>
        </w:rPr>
        <w:t>amparo</w:t>
      </w:r>
      <w:r w:rsidRPr="00DC2A65">
        <w:rPr>
          <w:rFonts w:ascii="Palatino Linotype" w:hAnsi="Palatino Linotype"/>
          <w:shd w:val="clear" w:color="auto" w:fill="FFFFFF"/>
          <w:lang w:val="es-ES_tradnl"/>
        </w:rPr>
        <w:t xml:space="preserve"> indirecto, el cual va más </w:t>
      </w:r>
      <w:r w:rsidR="008A6E0E" w:rsidRPr="00DC2A65">
        <w:rPr>
          <w:rFonts w:ascii="Palatino Linotype" w:hAnsi="Palatino Linotype"/>
          <w:shd w:val="clear" w:color="auto" w:fill="FFFFFF"/>
          <w:lang w:val="es-ES_tradnl"/>
        </w:rPr>
        <w:t>allá</w:t>
      </w:r>
      <w:r w:rsidRPr="00DC2A65">
        <w:rPr>
          <w:rFonts w:ascii="Palatino Linotype" w:hAnsi="Palatino Linotype"/>
          <w:shd w:val="clear" w:color="auto" w:fill="FFFFFF"/>
          <w:lang w:val="es-ES_tradnl"/>
        </w:rPr>
        <w:t xml:space="preserve"> de ser un criterio orientador, pretende darle a una sentencia de </w:t>
      </w:r>
      <w:r w:rsidR="008A6E0E" w:rsidRPr="00DC2A65">
        <w:rPr>
          <w:rFonts w:ascii="Palatino Linotype" w:hAnsi="Palatino Linotype"/>
          <w:shd w:val="clear" w:color="auto" w:fill="FFFFFF"/>
          <w:lang w:val="es-ES_tradnl"/>
        </w:rPr>
        <w:t>amparo</w:t>
      </w:r>
      <w:r w:rsidRPr="00DC2A65">
        <w:rPr>
          <w:rFonts w:ascii="Palatino Linotype" w:hAnsi="Palatino Linotype"/>
          <w:shd w:val="clear" w:color="auto" w:fill="FFFFFF"/>
          <w:lang w:val="es-ES_tradnl"/>
        </w:rPr>
        <w:t xml:space="preserve"> efectos </w:t>
      </w:r>
      <w:r w:rsidRPr="00DC2A65">
        <w:rPr>
          <w:rFonts w:ascii="Palatino Linotype" w:hAnsi="Palatino Linotype"/>
          <w:i/>
          <w:shd w:val="clear" w:color="auto" w:fill="FFFFFF"/>
          <w:lang w:val="es-ES_tradnl"/>
        </w:rPr>
        <w:t>erga omnes</w:t>
      </w:r>
      <w:r w:rsidRPr="00DC2A65">
        <w:rPr>
          <w:rFonts w:ascii="Palatino Linotype" w:hAnsi="Palatino Linotype"/>
          <w:shd w:val="clear" w:color="auto" w:fill="FFFFFF"/>
          <w:lang w:val="es-ES_tradnl"/>
        </w:rPr>
        <w:t xml:space="preserve">, </w:t>
      </w:r>
      <w:r w:rsidR="008A6E0E" w:rsidRPr="00DC2A65">
        <w:rPr>
          <w:rFonts w:ascii="Palatino Linotype" w:hAnsi="Palatino Linotype"/>
          <w:shd w:val="clear" w:color="auto" w:fill="FFFFFF"/>
          <w:lang w:val="es-ES_tradnl"/>
        </w:rPr>
        <w:t>dándole</w:t>
      </w:r>
      <w:r w:rsidRPr="00DC2A65">
        <w:rPr>
          <w:rFonts w:ascii="Palatino Linotype" w:hAnsi="Palatino Linotype"/>
          <w:shd w:val="clear" w:color="auto" w:fill="FFFFFF"/>
          <w:lang w:val="es-ES_tradnl"/>
        </w:rPr>
        <w:t xml:space="preserve"> efectos expansivos mayores que </w:t>
      </w:r>
      <w:r w:rsidR="0051508C" w:rsidRPr="00DC2A65">
        <w:rPr>
          <w:rFonts w:ascii="Palatino Linotype" w:hAnsi="Palatino Linotype"/>
          <w:shd w:val="clear" w:color="auto" w:fill="FFFFFF"/>
          <w:lang w:val="es-ES_tradnl"/>
        </w:rPr>
        <w:t>u</w:t>
      </w:r>
      <w:r w:rsidRPr="00DC2A65">
        <w:rPr>
          <w:rFonts w:ascii="Palatino Linotype" w:hAnsi="Palatino Linotype"/>
          <w:shd w:val="clear" w:color="auto" w:fill="FFFFFF"/>
          <w:lang w:val="es-ES_tradnl"/>
        </w:rPr>
        <w:t>na juris</w:t>
      </w:r>
      <w:r w:rsidR="0051508C" w:rsidRPr="00DC2A65">
        <w:rPr>
          <w:rFonts w:ascii="Palatino Linotype" w:hAnsi="Palatino Linotype"/>
          <w:shd w:val="clear" w:color="auto" w:fill="FFFFFF"/>
          <w:lang w:val="es-ES_tradnl"/>
        </w:rPr>
        <w:t>p</w:t>
      </w:r>
      <w:r w:rsidRPr="00DC2A65">
        <w:rPr>
          <w:rFonts w:ascii="Palatino Linotype" w:hAnsi="Palatino Linotype"/>
          <w:shd w:val="clear" w:color="auto" w:fill="FFFFFF"/>
          <w:lang w:val="es-ES_tradnl"/>
        </w:rPr>
        <w:t xml:space="preserve">rudencia, sino </w:t>
      </w:r>
      <w:r w:rsidR="0051508C" w:rsidRPr="00DC2A65">
        <w:rPr>
          <w:rFonts w:ascii="Palatino Linotype" w:hAnsi="Palatino Linotype"/>
          <w:shd w:val="clear" w:color="auto" w:fill="FFFFFF"/>
          <w:lang w:val="es-ES_tradnl"/>
        </w:rPr>
        <w:t xml:space="preserve">de dotarla de </w:t>
      </w:r>
      <w:r w:rsidRPr="00DC2A65">
        <w:rPr>
          <w:rFonts w:ascii="Palatino Linotype" w:hAnsi="Palatino Linotype"/>
          <w:shd w:val="clear" w:color="auto" w:fill="FFFFFF"/>
          <w:lang w:val="es-ES_tradnl"/>
        </w:rPr>
        <w:t xml:space="preserve">fuerza legal, </w:t>
      </w:r>
      <w:r w:rsidR="008A6E0E" w:rsidRPr="00DC2A65">
        <w:rPr>
          <w:rFonts w:ascii="Palatino Linotype" w:hAnsi="Palatino Linotype"/>
          <w:shd w:val="clear" w:color="auto" w:fill="FFFFFF"/>
          <w:lang w:val="es-ES_tradnl"/>
        </w:rPr>
        <w:t>constituyéndose</w:t>
      </w:r>
      <w:r w:rsidRPr="00DC2A65">
        <w:rPr>
          <w:rFonts w:ascii="Palatino Linotype" w:hAnsi="Palatino Linotype"/>
          <w:shd w:val="clear" w:color="auto" w:fill="FFFFFF"/>
          <w:lang w:val="es-ES_tradnl"/>
        </w:rPr>
        <w:t xml:space="preserve"> en </w:t>
      </w:r>
      <w:r w:rsidR="00E52527" w:rsidRPr="00DC2A65">
        <w:rPr>
          <w:rFonts w:ascii="Palatino Linotype" w:hAnsi="Palatino Linotype"/>
          <w:shd w:val="clear" w:color="auto" w:fill="FFFFFF"/>
          <w:lang w:val="es-ES_tradnl"/>
        </w:rPr>
        <w:t>legislador y creador de normas para decidir sobre el actuar de los órganos garantes locales.</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Pretende hacer valer su criterio e inconformidad con el diseño constitucional previamente establecido, a través de su resolución, desconociendo que es en el cual </w:t>
      </w:r>
      <w:r w:rsidRPr="00DC2A65">
        <w:rPr>
          <w:rFonts w:ascii="Palatino Linotype" w:hAnsi="Palatino Linotype"/>
          <w:shd w:val="clear" w:color="auto" w:fill="FFFFFF"/>
          <w:lang w:val="es-ES_tradnl"/>
        </w:rPr>
        <w:lastRenderedPageBreak/>
        <w:t>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D42643" w:rsidP="00D42643">
      <w:pPr>
        <w:pStyle w:val="Prrafodelista"/>
        <w:numPr>
          <w:ilvl w:val="0"/>
          <w:numId w:val="32"/>
        </w:numPr>
        <w:spacing w:line="360" w:lineRule="auto"/>
        <w:ind w:right="49"/>
        <w:jc w:val="both"/>
        <w:rPr>
          <w:rFonts w:ascii="Palatino Linotype" w:hAnsi="Palatino Linotype"/>
          <w:b/>
          <w:lang w:val="es-ES_tradnl"/>
        </w:rPr>
      </w:pPr>
      <w:r w:rsidRPr="00DC2A65">
        <w:rPr>
          <w:rFonts w:ascii="Palatino Linotype" w:hAnsi="Palatino Linotype"/>
          <w:b/>
          <w:lang w:val="es-ES_tradnl"/>
        </w:rPr>
        <w:t>Conclusiones</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E</w:t>
      </w:r>
      <w:r w:rsidRPr="00DC2A65">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El </w:t>
      </w:r>
      <w:r w:rsidR="008A6E0E" w:rsidRPr="00DC2A65">
        <w:rPr>
          <w:rFonts w:ascii="Palatino Linotype" w:hAnsi="Palatino Linotype"/>
          <w:shd w:val="clear" w:color="auto" w:fill="FFFFFF"/>
          <w:lang w:val="es-ES_tradnl"/>
        </w:rPr>
        <w:t>I</w:t>
      </w:r>
      <w:r w:rsidR="00E17662" w:rsidRPr="00DC2A65">
        <w:rPr>
          <w:rFonts w:ascii="Palatino Linotype" w:hAnsi="Palatino Linotype"/>
          <w:shd w:val="clear" w:color="auto" w:fill="FFFFFF"/>
          <w:lang w:val="es-ES_tradnl"/>
        </w:rPr>
        <w:t>NAI</w:t>
      </w:r>
      <w:r w:rsidRPr="00DC2A65">
        <w:rPr>
          <w:rFonts w:ascii="Palatino Linotype" w:hAnsi="Palatino Linotype"/>
          <w:shd w:val="clear" w:color="auto" w:fill="FFFFFF"/>
          <w:lang w:val="es-ES_tradnl"/>
        </w:rPr>
        <w:t xml:space="preserve"> </w:t>
      </w:r>
      <w:r w:rsidR="008A6E0E" w:rsidRPr="00DC2A65">
        <w:rPr>
          <w:rFonts w:ascii="Palatino Linotype" w:hAnsi="Palatino Linotype"/>
          <w:shd w:val="clear" w:color="auto" w:fill="FFFFFF"/>
          <w:lang w:val="es-ES_tradnl"/>
        </w:rPr>
        <w:t>contraviene</w:t>
      </w:r>
      <w:r w:rsidRPr="00DC2A65">
        <w:rPr>
          <w:rFonts w:ascii="Palatino Linotype" w:hAnsi="Palatino Linotype"/>
          <w:shd w:val="clear" w:color="auto" w:fill="FFFFFF"/>
          <w:lang w:val="es-ES_tradnl"/>
        </w:rPr>
        <w:t xml:space="preserve"> el principio de legalidad, ya que la resolución al recurso de inconformidad se funda y motiva en </w:t>
      </w:r>
      <w:r w:rsidR="0051508C" w:rsidRPr="00DC2A65">
        <w:rPr>
          <w:rFonts w:ascii="Palatino Linotype" w:hAnsi="Palatino Linotype"/>
          <w:shd w:val="clear" w:color="auto" w:fill="FFFFFF"/>
          <w:lang w:val="es-ES_tradnl"/>
        </w:rPr>
        <w:t xml:space="preserve">una sentencia de </w:t>
      </w:r>
      <w:r w:rsidR="008A6E0E" w:rsidRPr="00DC2A65">
        <w:rPr>
          <w:rFonts w:ascii="Palatino Linotype" w:hAnsi="Palatino Linotype"/>
          <w:shd w:val="clear" w:color="auto" w:fill="FFFFFF"/>
          <w:lang w:val="es-ES_tradnl"/>
        </w:rPr>
        <w:t>amparo</w:t>
      </w:r>
      <w:r w:rsidR="0051508C" w:rsidRPr="00DC2A65">
        <w:rPr>
          <w:rFonts w:ascii="Palatino Linotype" w:hAnsi="Palatino Linotype"/>
          <w:shd w:val="clear" w:color="auto" w:fill="FFFFFF"/>
          <w:lang w:val="es-ES_tradnl"/>
        </w:rPr>
        <w:t xml:space="preserve"> indirecto que no tiene fuerza legal, </w:t>
      </w:r>
      <w:r w:rsidRPr="00DC2A65">
        <w:rPr>
          <w:rFonts w:ascii="Palatino Linotype" w:hAnsi="Palatino Linotype"/>
          <w:shd w:val="clear" w:color="auto" w:fill="FFFFFF"/>
          <w:lang w:val="es-ES_tradnl"/>
        </w:rPr>
        <w:t xml:space="preserve">que </w:t>
      </w:r>
      <w:r w:rsidR="0051508C" w:rsidRPr="00DC2A65">
        <w:rPr>
          <w:rFonts w:ascii="Palatino Linotype" w:hAnsi="Palatino Linotype"/>
          <w:shd w:val="clear" w:color="auto" w:fill="FFFFFF"/>
          <w:lang w:val="es-ES_tradnl"/>
        </w:rPr>
        <w:t>no constituye un criterio reiterado por el Poder Judicial de la Federación, el cual au</w:t>
      </w:r>
      <w:r w:rsidR="00B02CB8" w:rsidRPr="00DC2A65">
        <w:rPr>
          <w:rFonts w:ascii="Palatino Linotype" w:hAnsi="Palatino Linotype"/>
          <w:shd w:val="clear" w:color="auto" w:fill="FFFFFF"/>
          <w:lang w:val="es-ES_tradnl"/>
        </w:rPr>
        <w:t xml:space="preserve">nque </w:t>
      </w:r>
      <w:r w:rsidR="0051508C" w:rsidRPr="00DC2A65">
        <w:rPr>
          <w:rFonts w:ascii="Palatino Linotype" w:hAnsi="Palatino Linotype"/>
          <w:shd w:val="clear" w:color="auto" w:fill="FFFFFF"/>
          <w:lang w:val="es-ES_tradnl"/>
        </w:rPr>
        <w:t>así lo fuera, en virtud del re</w:t>
      </w:r>
      <w:r w:rsidR="00B02CB8" w:rsidRPr="00DC2A65">
        <w:rPr>
          <w:rFonts w:ascii="Palatino Linotype" w:hAnsi="Palatino Linotype"/>
          <w:shd w:val="clear" w:color="auto" w:fill="FFFFFF"/>
          <w:lang w:val="es-ES_tradnl"/>
        </w:rPr>
        <w:t>s</w:t>
      </w:r>
      <w:r w:rsidR="0051508C" w:rsidRPr="00DC2A65">
        <w:rPr>
          <w:rFonts w:ascii="Palatino Linotype" w:hAnsi="Palatino Linotype"/>
          <w:shd w:val="clear" w:color="auto" w:fill="FFFFFF"/>
          <w:lang w:val="es-ES_tradnl"/>
        </w:rPr>
        <w:t>peto ir</w:t>
      </w:r>
      <w:r w:rsidR="00B02CB8" w:rsidRPr="00DC2A65">
        <w:rPr>
          <w:rFonts w:ascii="Palatino Linotype" w:hAnsi="Palatino Linotype"/>
          <w:shd w:val="clear" w:color="auto" w:fill="FFFFFF"/>
          <w:lang w:val="es-ES_tradnl"/>
        </w:rPr>
        <w:t>r</w:t>
      </w:r>
      <w:r w:rsidR="0051508C" w:rsidRPr="00DC2A65">
        <w:rPr>
          <w:rFonts w:ascii="Palatino Linotype" w:hAnsi="Palatino Linotype"/>
          <w:shd w:val="clear" w:color="auto" w:fill="FFFFFF"/>
          <w:lang w:val="es-ES_tradnl"/>
        </w:rPr>
        <w:t xml:space="preserve">estricto al principio de legalidad que debe de regir su actuar como </w:t>
      </w:r>
      <w:r w:rsidR="00B02CB8" w:rsidRPr="00DC2A65">
        <w:rPr>
          <w:rFonts w:ascii="Palatino Linotype" w:hAnsi="Palatino Linotype"/>
          <w:shd w:val="clear" w:color="auto" w:fill="FFFFFF"/>
          <w:lang w:val="es-ES_tradnl"/>
        </w:rPr>
        <w:t>ó</w:t>
      </w:r>
      <w:r w:rsidR="0051508C" w:rsidRPr="00DC2A65">
        <w:rPr>
          <w:rFonts w:ascii="Palatino Linotype" w:hAnsi="Palatino Linotype"/>
          <w:shd w:val="clear" w:color="auto" w:fill="FFFFFF"/>
          <w:lang w:val="es-ES_tradnl"/>
        </w:rPr>
        <w:t xml:space="preserve">rgano garante, no puede aplicar y mucho menos darle los efectos </w:t>
      </w:r>
      <w:r w:rsidR="00B02CB8" w:rsidRPr="00DC2A65">
        <w:rPr>
          <w:rFonts w:ascii="Palatino Linotype" w:hAnsi="Palatino Linotype"/>
          <w:i/>
          <w:shd w:val="clear" w:color="auto" w:fill="FFFFFF"/>
          <w:lang w:val="es-ES_tradnl"/>
        </w:rPr>
        <w:t>erga omnes</w:t>
      </w:r>
      <w:r w:rsidR="00B02CB8" w:rsidRPr="00DC2A65">
        <w:rPr>
          <w:rFonts w:ascii="Palatino Linotype" w:hAnsi="Palatino Linotype"/>
          <w:shd w:val="clear" w:color="auto" w:fill="FFFFFF"/>
          <w:lang w:val="es-ES_tradnl"/>
        </w:rPr>
        <w:t xml:space="preserve"> y expansivos </w:t>
      </w:r>
      <w:r w:rsidR="0051508C" w:rsidRPr="00DC2A65">
        <w:rPr>
          <w:rFonts w:ascii="Palatino Linotype" w:hAnsi="Palatino Linotype"/>
          <w:shd w:val="clear" w:color="auto" w:fill="FFFFFF"/>
          <w:lang w:val="es-ES_tradnl"/>
        </w:rPr>
        <w:t xml:space="preserve">que le </w:t>
      </w:r>
      <w:r w:rsidR="00B02CB8" w:rsidRPr="00DC2A65">
        <w:rPr>
          <w:rFonts w:ascii="Palatino Linotype" w:hAnsi="Palatino Linotype"/>
          <w:shd w:val="clear" w:color="auto" w:fill="FFFFFF"/>
          <w:lang w:val="es-ES_tradnl"/>
        </w:rPr>
        <w:t xml:space="preserve">otorga </w:t>
      </w:r>
      <w:r w:rsidR="0051508C" w:rsidRPr="00DC2A65">
        <w:rPr>
          <w:rFonts w:ascii="Palatino Linotype" w:hAnsi="Palatino Linotype"/>
          <w:shd w:val="clear" w:color="auto" w:fill="FFFFFF"/>
          <w:lang w:val="es-ES_tradnl"/>
        </w:rPr>
        <w:t xml:space="preserve">en su resolución. </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El I</w:t>
      </w:r>
      <w:r w:rsidR="00E17662" w:rsidRPr="00DC2A65">
        <w:rPr>
          <w:rFonts w:ascii="Palatino Linotype" w:hAnsi="Palatino Linotype"/>
          <w:shd w:val="clear" w:color="auto" w:fill="FFFFFF"/>
          <w:lang w:val="es-ES_tradnl"/>
        </w:rPr>
        <w:t>NAI</w:t>
      </w:r>
      <w:r w:rsidRPr="00DC2A65">
        <w:rPr>
          <w:rFonts w:ascii="Palatino Linotype" w:hAnsi="Palatino Linotype"/>
          <w:shd w:val="clear" w:color="auto" w:fill="FFFFFF"/>
          <w:lang w:val="es-ES_tradnl"/>
        </w:rPr>
        <w:t xml:space="preserve"> al resolver el recurso de inconformidad </w:t>
      </w:r>
      <w:r w:rsidR="00450FF1" w:rsidRPr="00DC2A65">
        <w:rPr>
          <w:rFonts w:ascii="Palatino Linotype" w:hAnsi="Palatino Linotype"/>
          <w:shd w:val="clear" w:color="auto" w:fill="FFFFFF"/>
          <w:lang w:val="es-ES_tradnl"/>
        </w:rPr>
        <w:t xml:space="preserve">no hace un estudio pormenorizado y exhaustivo sobre los puntos particulares y </w:t>
      </w:r>
      <w:r w:rsidR="008A6E0E" w:rsidRPr="00DC2A65">
        <w:rPr>
          <w:rFonts w:ascii="Palatino Linotype" w:hAnsi="Palatino Linotype"/>
          <w:shd w:val="clear" w:color="auto" w:fill="FFFFFF"/>
          <w:lang w:val="es-ES_tradnl"/>
        </w:rPr>
        <w:t>específicos</w:t>
      </w:r>
      <w:r w:rsidR="00450FF1" w:rsidRPr="00DC2A65">
        <w:rPr>
          <w:rFonts w:ascii="Palatino Linotype" w:hAnsi="Palatino Linotype"/>
          <w:shd w:val="clear" w:color="auto" w:fill="FFFFFF"/>
          <w:lang w:val="es-ES_tradnl"/>
        </w:rPr>
        <w:t xml:space="preserve"> sobre el </w:t>
      </w:r>
      <w:r w:rsidR="00450FF1" w:rsidRPr="00DC2A65">
        <w:rPr>
          <w:rFonts w:ascii="Palatino Linotype" w:hAnsi="Palatino Linotype"/>
          <w:shd w:val="clear" w:color="auto" w:fill="FFFFFF"/>
          <w:lang w:val="es-ES_tradnl"/>
        </w:rPr>
        <w:lastRenderedPageBreak/>
        <w:t>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El Órgano Garante Nacional no solo </w:t>
      </w:r>
      <w:r w:rsidR="008A6E0E" w:rsidRPr="00DC2A65">
        <w:rPr>
          <w:rFonts w:ascii="Palatino Linotype" w:hAnsi="Palatino Linotype"/>
          <w:shd w:val="clear" w:color="auto" w:fill="FFFFFF"/>
          <w:lang w:val="es-ES_tradnl"/>
        </w:rPr>
        <w:t>interpreta</w:t>
      </w:r>
      <w:r w:rsidRPr="00DC2A65">
        <w:rPr>
          <w:rFonts w:ascii="Palatino Linotype" w:hAnsi="Palatino Linotype"/>
          <w:shd w:val="clear" w:color="auto" w:fill="FFFFFF"/>
          <w:lang w:val="es-ES_tradnl"/>
        </w:rPr>
        <w:t xml:space="preserve"> el texto de la Ley General de Transparencia y Acceso a la Información Pública, </w:t>
      </w:r>
      <w:r w:rsidR="008A6E0E" w:rsidRPr="00DC2A65">
        <w:rPr>
          <w:rFonts w:ascii="Palatino Linotype" w:hAnsi="Palatino Linotype"/>
          <w:shd w:val="clear" w:color="auto" w:fill="FFFFFF"/>
          <w:lang w:val="es-ES_tradnl"/>
        </w:rPr>
        <w:t>específicamente</w:t>
      </w:r>
      <w:r w:rsidRPr="00DC2A65">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DC2A65">
        <w:rPr>
          <w:rFonts w:ascii="Palatino Linotype" w:hAnsi="Palatino Linotype"/>
          <w:shd w:val="clear" w:color="auto" w:fill="FFFFFF"/>
          <w:lang w:val="es-ES_tradnl"/>
        </w:rPr>
        <w:t>mas</w:t>
      </w:r>
      <w:proofErr w:type="spellEnd"/>
      <w:r w:rsidRPr="00DC2A65">
        <w:rPr>
          <w:rFonts w:ascii="Palatino Linotype" w:hAnsi="Palatino Linotype"/>
          <w:shd w:val="clear" w:color="auto" w:fill="FFFFFF"/>
          <w:lang w:val="es-ES_tradnl"/>
        </w:rPr>
        <w:t xml:space="preserve"> allá de los establecidos en la norma, así que no solo hace una interpretación </w:t>
      </w:r>
      <w:r w:rsidR="008A6E0E" w:rsidRPr="00DC2A65">
        <w:rPr>
          <w:rFonts w:ascii="Palatino Linotype" w:hAnsi="Palatino Linotype"/>
          <w:shd w:val="clear" w:color="auto" w:fill="FFFFFF"/>
          <w:lang w:val="es-ES_tradnl"/>
        </w:rPr>
        <w:t>errónea</w:t>
      </w:r>
      <w:r w:rsidRPr="00DC2A65">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DC2A65">
        <w:rPr>
          <w:rFonts w:ascii="Palatino Linotype" w:hAnsi="Palatino Linotype"/>
          <w:shd w:val="clear" w:color="auto" w:fill="FFFFFF"/>
          <w:lang w:val="es-ES_tradnl"/>
        </w:rPr>
        <w:t xml:space="preserve">que debe ser piedra angular de sus actuaciones y resoluciones. </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DC2A65">
        <w:rPr>
          <w:rFonts w:ascii="Palatino Linotype" w:hAnsi="Palatino Linotype"/>
          <w:shd w:val="clear" w:color="auto" w:fill="FFFFFF"/>
          <w:lang w:val="es-ES_tradnl"/>
        </w:rPr>
        <w:t>ha cumplido</w:t>
      </w:r>
      <w:r w:rsidRPr="00DC2A65">
        <w:rPr>
          <w:rFonts w:ascii="Palatino Linotype" w:hAnsi="Palatino Linotype"/>
          <w:shd w:val="clear" w:color="auto" w:fill="FFFFFF"/>
          <w:lang w:val="es-ES_tradnl"/>
        </w:rPr>
        <w:t xml:space="preserve"> con los principios de fundamentación y motivación al aplicar el </w:t>
      </w:r>
      <w:r w:rsidR="008A6E0E" w:rsidRPr="00DC2A65">
        <w:rPr>
          <w:rFonts w:ascii="Palatino Linotype" w:hAnsi="Palatino Linotype"/>
          <w:shd w:val="clear" w:color="auto" w:fill="FFFFFF"/>
          <w:lang w:val="es-ES_tradnl"/>
        </w:rPr>
        <w:t>marco</w:t>
      </w:r>
      <w:r w:rsidRPr="00DC2A65">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DC2A65">
        <w:rPr>
          <w:rFonts w:ascii="Palatino Linotype" w:hAnsi="Palatino Linotype"/>
          <w:shd w:val="clear" w:color="auto" w:fill="FFFFFF"/>
          <w:lang w:val="es-ES_tradnl"/>
        </w:rPr>
        <w:t>.</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shd w:val="clear" w:color="auto" w:fill="FFFFFF"/>
          <w:lang w:val="es-ES_tradnl"/>
        </w:rPr>
        <w:lastRenderedPageBreak/>
        <w:t xml:space="preserve">Por ello, resulta a todas luces una resolución emitida al amparo de su prepotencia al ejercer el poder que se le ha concedido como órgano garante, </w:t>
      </w:r>
      <w:r w:rsidR="008A6E0E" w:rsidRPr="00DC2A65">
        <w:rPr>
          <w:rFonts w:ascii="Palatino Linotype" w:hAnsi="Palatino Linotype"/>
          <w:shd w:val="clear" w:color="auto" w:fill="FFFFFF"/>
          <w:lang w:val="es-ES_tradnl"/>
        </w:rPr>
        <w:t>excediéndose</w:t>
      </w:r>
      <w:r w:rsidRPr="00DC2A65">
        <w:rPr>
          <w:rFonts w:ascii="Palatino Linotype" w:hAnsi="Palatino Linotype"/>
          <w:shd w:val="clear" w:color="auto" w:fill="FFFFFF"/>
          <w:lang w:val="es-ES_tradnl"/>
        </w:rPr>
        <w:t xml:space="preserve"> de sus facultades, como si fuera un órgano </w:t>
      </w:r>
      <w:r w:rsidR="008A6E0E" w:rsidRPr="00DC2A65">
        <w:rPr>
          <w:rFonts w:ascii="Palatino Linotype" w:hAnsi="Palatino Linotype"/>
          <w:shd w:val="clear" w:color="auto" w:fill="FFFFFF"/>
          <w:lang w:val="es-ES_tradnl"/>
        </w:rPr>
        <w:t>jurisdiccional</w:t>
      </w:r>
      <w:r w:rsidRPr="00DC2A65">
        <w:rPr>
          <w:rFonts w:ascii="Palatino Linotype" w:hAnsi="Palatino Linotype"/>
          <w:shd w:val="clear" w:color="auto" w:fill="FFFFFF"/>
          <w:lang w:val="es-ES_tradnl"/>
        </w:rPr>
        <w:t xml:space="preserve"> con plena </w:t>
      </w:r>
      <w:r w:rsidR="008A6E0E" w:rsidRPr="00DC2A65">
        <w:rPr>
          <w:rFonts w:ascii="Palatino Linotype" w:hAnsi="Palatino Linotype"/>
          <w:shd w:val="clear" w:color="auto" w:fill="FFFFFF"/>
          <w:lang w:val="es-ES_tradnl"/>
        </w:rPr>
        <w:t>jurisdicción</w:t>
      </w:r>
      <w:r w:rsidRPr="00DC2A65">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DC2A65" w:rsidRDefault="00D42643" w:rsidP="00D42643">
      <w:pPr>
        <w:pStyle w:val="Prrafodelista"/>
        <w:rPr>
          <w:rFonts w:ascii="Palatino Linotype" w:hAnsi="Palatino Linotype"/>
          <w:shd w:val="clear" w:color="auto" w:fill="FFFFFF"/>
          <w:lang w:val="es-ES_tradnl"/>
        </w:rPr>
      </w:pPr>
    </w:p>
    <w:p w:rsidR="00D42643" w:rsidRPr="00DC2A65" w:rsidRDefault="00D42643" w:rsidP="005B4E09">
      <w:pPr>
        <w:pStyle w:val="Ttulo1"/>
        <w:rPr>
          <w:rFonts w:ascii="Palatino Linotype" w:hAnsi="Palatino Linotype"/>
          <w:b/>
          <w:color w:val="000000" w:themeColor="text1"/>
          <w:sz w:val="24"/>
          <w:szCs w:val="24"/>
          <w:shd w:val="clear" w:color="auto" w:fill="FFFFFF"/>
        </w:rPr>
      </w:pPr>
      <w:bookmarkStart w:id="129" w:name="_Toc64442700"/>
      <w:r w:rsidRPr="00DC2A65">
        <w:rPr>
          <w:rFonts w:ascii="Palatino Linotype" w:hAnsi="Palatino Linotype"/>
          <w:b/>
          <w:color w:val="000000" w:themeColor="text1"/>
          <w:sz w:val="24"/>
          <w:szCs w:val="24"/>
          <w:shd w:val="clear" w:color="auto" w:fill="FFFFFF"/>
        </w:rPr>
        <w:t xml:space="preserve">CUARTO. Cumplimiento al Recurso de Inconformidad </w:t>
      </w:r>
      <w:r w:rsidR="008F01C9" w:rsidRPr="00DC2A65">
        <w:rPr>
          <w:rFonts w:ascii="Palatino Linotype" w:hAnsi="Palatino Linotype"/>
          <w:b/>
          <w:color w:val="000000" w:themeColor="text1"/>
          <w:sz w:val="24"/>
          <w:szCs w:val="24"/>
          <w:shd w:val="clear" w:color="auto" w:fill="FFFFFF"/>
        </w:rPr>
        <w:t>181/20</w:t>
      </w:r>
      <w:bookmarkEnd w:id="129"/>
    </w:p>
    <w:p w:rsidR="00D42643" w:rsidRPr="00DC2A65" w:rsidRDefault="00D42643" w:rsidP="00D42643">
      <w:pPr>
        <w:pStyle w:val="Prrafodelista"/>
        <w:rPr>
          <w:rFonts w:ascii="Palatino Linotype" w:hAnsi="Palatino Linotype" w:cs="Arial"/>
          <w:color w:val="000000" w:themeColor="text1"/>
          <w:lang w:val="es-ES_tradnl"/>
        </w:rPr>
      </w:pPr>
    </w:p>
    <w:p w:rsidR="00D42643" w:rsidRPr="00DC2A65"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C2A65">
        <w:rPr>
          <w:rFonts w:ascii="Palatino Linotype" w:hAnsi="Palatino Linotype" w:cs="Arial"/>
          <w:color w:val="000000" w:themeColor="text1"/>
          <w:lang w:val="es-ES_tradnl"/>
        </w:rPr>
        <w:t xml:space="preserve">No obstante, lo anterior, </w:t>
      </w:r>
      <w:r w:rsidRPr="00DC2A65">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DC2A65" w:rsidRDefault="00C1610B" w:rsidP="00B4543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shd w:val="clear" w:color="auto" w:fill="FFFFFF"/>
          <w:lang w:val="es-ES_tradnl"/>
        </w:rPr>
      </w:pPr>
      <w:r w:rsidRPr="00DC2A65">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Órgano Garante Nacional en el RIA </w:t>
      </w:r>
      <w:r w:rsidR="008F01C9" w:rsidRPr="00DC2A65">
        <w:rPr>
          <w:rFonts w:ascii="Palatino Linotype" w:hAnsi="Palatino Linotype" w:cs="Arial"/>
          <w:color w:val="000000" w:themeColor="text1"/>
          <w:lang w:val="es-ES_tradnl"/>
        </w:rPr>
        <w:t>181/20</w:t>
      </w:r>
      <w:r w:rsidRPr="00DC2A65">
        <w:rPr>
          <w:rFonts w:ascii="Palatino Linotype" w:hAnsi="Palatino Linotype" w:cs="Arial"/>
          <w:color w:val="000000" w:themeColor="text1"/>
          <w:lang w:val="es-ES_tradnl"/>
        </w:rPr>
        <w:t>, mediante el cual</w:t>
      </w:r>
      <w:r w:rsidRPr="00DC2A65">
        <w:rPr>
          <w:rFonts w:ascii="Palatino Linotype" w:hAnsi="Palatino Linotype"/>
          <w:lang w:val="es-ES_tradnl"/>
        </w:rPr>
        <w:t xml:space="preserve"> </w:t>
      </w:r>
      <w:r w:rsidR="008E1E4F" w:rsidRPr="00DC2A65">
        <w:rPr>
          <w:rFonts w:ascii="Palatino Linotype" w:hAnsi="Palatino Linotype"/>
          <w:lang w:val="es-ES_tradnl"/>
        </w:rPr>
        <w:t xml:space="preserve">estimo procedente </w:t>
      </w:r>
      <w:r w:rsidR="00B4543F" w:rsidRPr="00DC2A65">
        <w:rPr>
          <w:rFonts w:ascii="Palatino Linotype" w:hAnsi="Palatino Linotype"/>
          <w:i/>
          <w:lang w:val="es-ES_tradnl"/>
        </w:rPr>
        <w:t>“</w:t>
      </w:r>
      <w:r w:rsidR="002730CC" w:rsidRPr="00DC2A65">
        <w:rPr>
          <w:rFonts w:ascii="Palatino Linotype" w:hAnsi="Palatino Linotype"/>
          <w:i/>
          <w:lang w:val="es-ES_tradnl"/>
        </w:rPr>
        <w:t>...</w:t>
      </w:r>
      <w:r w:rsidR="00B4543F" w:rsidRPr="00DC2A65">
        <w:rPr>
          <w:i/>
        </w:rPr>
        <w:t xml:space="preserve"> </w:t>
      </w:r>
      <w:r w:rsidR="00B4543F" w:rsidRPr="00DC2A65">
        <w:rPr>
          <w:rFonts w:ascii="Palatino Linotype" w:hAnsi="Palatino Linotype"/>
          <w:i/>
          <w:lang w:val="es-ES_tradnl"/>
        </w:rPr>
        <w:t xml:space="preserve">REVOCAR la resolución del recurso de revisión 03038/INFOEM/IP/RR/2020 y acumulados, emitida el siete de octubre de dos mil veinte por el Instituto de Transparencia, Acceso a la Información Pública y Protección de Datos Personales del Estado de México y </w:t>
      </w:r>
      <w:r w:rsidR="00B4543F" w:rsidRPr="00DC2A65">
        <w:rPr>
          <w:rFonts w:ascii="Palatino Linotype" w:hAnsi="Palatino Linotype"/>
          <w:i/>
          <w:lang w:val="es-ES_tradnl"/>
        </w:rPr>
        <w:lastRenderedPageBreak/>
        <w:t>Municipios, a efecto de que, en un plazo máximo de quince días, emita una nueva resolución en la que instruya al Ayuntamiento de Ixtapan de la Sal, a proporcionar las plantillas de personal que sirvieron de base para formular los presupuestos definitivos de  los años 2019 y 2020, debiendo contemplar el último año, todas las plazas de personal presupuestadas, así como el nombre y apellido de los servidores públicos que dicho momento ocupaban las plazas, en la modalidad elegida por la particular, esto es en medios electrónicos, como puede ser correo electrónico, o en su caso, USB y/o disco compacto, con la posibilidad de envío mediante correo certificado previo pago de los costos de reproducción.</w:t>
      </w:r>
      <w:r w:rsidR="008E1E4F" w:rsidRPr="00DC2A65">
        <w:rPr>
          <w:rFonts w:ascii="Palatino Linotype" w:hAnsi="Palatino Linotype"/>
          <w:i/>
          <w:lang w:val="es-ES_tradnl"/>
        </w:rPr>
        <w:t>”</w:t>
      </w:r>
    </w:p>
    <w:p w:rsidR="00D42643" w:rsidRPr="00DC2A65"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DC2A65" w:rsidRDefault="000826B8" w:rsidP="002730C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lang w:val="es-ES_tradnl"/>
        </w:rPr>
      </w:pPr>
      <w:r w:rsidRPr="00DC2A65">
        <w:rPr>
          <w:rFonts w:ascii="Palatino Linotype" w:hAnsi="Palatino Linotype"/>
          <w:lang w:val="es-ES_tradnl"/>
        </w:rPr>
        <w:t xml:space="preserve">Por lo que en cumplimiento a la resolución emitida en el Recurso de Inconformidad RIA </w:t>
      </w:r>
      <w:r w:rsidR="008F01C9" w:rsidRPr="00DC2A65">
        <w:rPr>
          <w:rFonts w:ascii="Palatino Linotype" w:hAnsi="Palatino Linotype"/>
          <w:lang w:val="es-ES_tradnl"/>
        </w:rPr>
        <w:t>181/20</w:t>
      </w:r>
      <w:r w:rsidRPr="00DC2A65">
        <w:rPr>
          <w:rFonts w:ascii="Palatino Linotype" w:hAnsi="Palatino Linotype"/>
          <w:lang w:val="es-ES_tradnl"/>
        </w:rPr>
        <w:t xml:space="preserve">, por el Pleno del Instituto Nacional de Transparencia, Acceso a la </w:t>
      </w:r>
      <w:r w:rsidRPr="00DC2A65">
        <w:rPr>
          <w:rFonts w:ascii="Palatino Linotype" w:hAnsi="Palatino Linotype" w:cs="Arial"/>
          <w:color w:val="000000" w:themeColor="text1"/>
          <w:lang w:val="es-ES_tradnl"/>
        </w:rPr>
        <w:t>Información</w:t>
      </w:r>
      <w:r w:rsidRPr="00DC2A65">
        <w:rPr>
          <w:rFonts w:ascii="Palatino Linotype" w:hAnsi="Palatino Linotype"/>
          <w:lang w:val="es-ES_tradnl"/>
        </w:rPr>
        <w:t xml:space="preserve"> y Protección de Datos Personales, este Instituto resuelve ordenar al Sujeto Obligado</w:t>
      </w:r>
      <w:r w:rsidR="00744368" w:rsidRPr="00DC2A65">
        <w:rPr>
          <w:rFonts w:ascii="Palatino Linotype" w:hAnsi="Palatino Linotype"/>
          <w:lang w:val="es-ES_tradnl"/>
        </w:rPr>
        <w:t>,</w:t>
      </w:r>
      <w:r w:rsidRPr="00DC2A65">
        <w:rPr>
          <w:rFonts w:ascii="Palatino Linotype" w:hAnsi="Palatino Linotype"/>
          <w:lang w:val="es-ES_tradnl"/>
        </w:rPr>
        <w:t xml:space="preserve"> </w:t>
      </w:r>
      <w:r w:rsidR="00AA0EFA" w:rsidRPr="00DC2A65">
        <w:rPr>
          <w:rFonts w:ascii="Palatino Linotype" w:hAnsi="Palatino Linotype"/>
          <w:lang w:val="es-ES_tradnl"/>
        </w:rPr>
        <w:t xml:space="preserve">Ayuntamiento de Ixtapan de la Sal, </w:t>
      </w:r>
      <w:r w:rsidR="00B4543F" w:rsidRPr="00DC2A65">
        <w:rPr>
          <w:rFonts w:ascii="Palatino Linotype" w:hAnsi="Palatino Linotype"/>
          <w:lang w:val="es-ES_tradnl"/>
        </w:rPr>
        <w:t>haga entrega d</w:t>
      </w:r>
      <w:r w:rsidR="004C0C9F" w:rsidRPr="00DC2A65">
        <w:rPr>
          <w:rFonts w:ascii="Palatino Linotype" w:hAnsi="Palatino Linotype"/>
          <w:lang w:val="es-ES_tradnl"/>
        </w:rPr>
        <w:t>e la información de referencia,</w:t>
      </w:r>
      <w:r w:rsidR="00B4543F" w:rsidRPr="00DC2A65">
        <w:rPr>
          <w:rFonts w:ascii="Palatino Linotype" w:hAnsi="Palatino Linotype"/>
          <w:lang w:val="es-ES_tradnl"/>
        </w:rPr>
        <w:t xml:space="preserve"> en los términos anteriormente transcritos.</w:t>
      </w:r>
    </w:p>
    <w:p w:rsidR="00B4543F" w:rsidRPr="00DC2A65" w:rsidRDefault="00B4543F" w:rsidP="00B4543F">
      <w:pPr>
        <w:pStyle w:val="Prrafodelista"/>
        <w:rPr>
          <w:rFonts w:ascii="Palatino Linotype" w:hAnsi="Palatino Linotype"/>
          <w:i/>
          <w:lang w:val="es-ES_tradnl"/>
        </w:rPr>
      </w:pPr>
    </w:p>
    <w:p w:rsidR="00B4543F" w:rsidRPr="00DC2A65" w:rsidRDefault="00B4543F" w:rsidP="00C80CF8">
      <w:pPr>
        <w:pStyle w:val="Ttulo2"/>
        <w:rPr>
          <w:rFonts w:ascii="Palatino Linotype" w:hAnsi="Palatino Linotype"/>
          <w:b/>
          <w:color w:val="000000" w:themeColor="text1"/>
          <w:sz w:val="24"/>
          <w:szCs w:val="24"/>
        </w:rPr>
      </w:pPr>
      <w:bookmarkStart w:id="130" w:name="_Toc22130360"/>
      <w:bookmarkStart w:id="131" w:name="_Toc33809646"/>
      <w:bookmarkStart w:id="132" w:name="_Toc58504404"/>
      <w:bookmarkStart w:id="133" w:name="_Toc64442701"/>
    </w:p>
    <w:p w:rsidR="00C80CF8" w:rsidRPr="00DC2A65" w:rsidRDefault="00C80CF8" w:rsidP="00C80CF8">
      <w:pPr>
        <w:pStyle w:val="Ttulo2"/>
        <w:rPr>
          <w:rFonts w:ascii="Palatino Linotype" w:hAnsi="Palatino Linotype"/>
          <w:b/>
          <w:color w:val="000000" w:themeColor="text1"/>
          <w:sz w:val="24"/>
          <w:szCs w:val="24"/>
        </w:rPr>
      </w:pPr>
      <w:r w:rsidRPr="00DC2A65">
        <w:rPr>
          <w:rFonts w:ascii="Palatino Linotype" w:hAnsi="Palatino Linotype"/>
          <w:b/>
          <w:color w:val="000000" w:themeColor="text1"/>
          <w:sz w:val="24"/>
          <w:szCs w:val="24"/>
        </w:rPr>
        <w:t>QUINTO. De la versión pública.</w:t>
      </w:r>
      <w:bookmarkEnd w:id="130"/>
      <w:bookmarkEnd w:id="131"/>
      <w:bookmarkEnd w:id="132"/>
      <w:bookmarkEnd w:id="133"/>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 xml:space="preserve">Debe destacarse que debido a la naturaleza de </w:t>
      </w:r>
      <w:r w:rsidRPr="00DC2A65">
        <w:rPr>
          <w:rFonts w:ascii="Palatino Linotype" w:hAnsi="Palatino Linotype"/>
          <w:color w:val="000000" w:themeColor="text1"/>
        </w:rPr>
        <w:t xml:space="preserve">la información que se ordena entregar, </w:t>
      </w:r>
      <w:r w:rsidRPr="00DC2A6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w:t>
      </w:r>
      <w:r w:rsidRPr="00DC2A65">
        <w:rPr>
          <w:rFonts w:ascii="Palatino Linotype" w:hAnsi="Palatino Linotype" w:cs="Arial"/>
          <w:color w:val="000000" w:themeColor="text1"/>
        </w:rPr>
        <w:lastRenderedPageBreak/>
        <w:t xml:space="preserve">de los datos personales aun tratándose de servidores públicos, por lo tanto </w:t>
      </w:r>
      <w:r w:rsidRPr="00DC2A65">
        <w:rPr>
          <w:rFonts w:ascii="Palatino Linotype" w:hAnsi="Palatino Linotype"/>
          <w:color w:val="000000" w:themeColor="text1"/>
          <w:lang w:val="es-ES"/>
        </w:rPr>
        <w:t>la información solicitada se deberá entregar en versión pública.</w:t>
      </w:r>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DC2A65">
        <w:rPr>
          <w:rFonts w:ascii="Palatino Linotype" w:hAnsi="Palatino Linotype" w:cs="Arial"/>
          <w:b/>
          <w:color w:val="000000" w:themeColor="text1"/>
        </w:rPr>
        <w:t xml:space="preserve">SUJETOS OBLIGADOS </w:t>
      </w:r>
      <w:r w:rsidRPr="00DC2A65">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DC2A65" w:rsidRDefault="00C80CF8" w:rsidP="00C80CF8">
      <w:pPr>
        <w:pStyle w:val="Prrafodelista"/>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DC2A65" w:rsidRDefault="00C80CF8" w:rsidP="00C80CF8">
      <w:pPr>
        <w:pStyle w:val="Prrafodelista"/>
        <w:rPr>
          <w:rFonts w:ascii="Palatino Linotype" w:hAnsi="Palatino Linotype" w:cs="Arial"/>
          <w:color w:val="000000" w:themeColor="text1"/>
        </w:rPr>
      </w:pPr>
    </w:p>
    <w:p w:rsidR="00C80CF8" w:rsidRPr="00DC2A65"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C2A65">
        <w:rPr>
          <w:rFonts w:ascii="Palatino Linotype" w:hAnsi="Palatino Linotype" w:cs="Bookman Old Style"/>
          <w:bCs/>
          <w:color w:val="000000" w:themeColor="text1"/>
        </w:rPr>
        <w:t xml:space="preserve">I. </w:t>
      </w:r>
      <w:r w:rsidRPr="00DC2A6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DC2A65"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C2A65">
        <w:rPr>
          <w:rFonts w:ascii="Palatino Linotype" w:hAnsi="Palatino Linotype" w:cs="Bookman Old Style"/>
          <w:bCs/>
          <w:color w:val="000000" w:themeColor="text1"/>
        </w:rPr>
        <w:t xml:space="preserve">II. </w:t>
      </w:r>
      <w:r w:rsidRPr="00DC2A6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DC2A65"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C2A65">
        <w:rPr>
          <w:rFonts w:ascii="Palatino Linotype" w:hAnsi="Palatino Linotype" w:cs="Bookman Old Style"/>
          <w:bCs/>
          <w:color w:val="000000" w:themeColor="text1"/>
        </w:rPr>
        <w:t xml:space="preserve">III. </w:t>
      </w:r>
      <w:r w:rsidRPr="00DC2A6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DC2A65"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C2A65">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C80CF8" w:rsidRPr="00DC2A65"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C2A6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DC2A65" w:rsidRDefault="00C80CF8" w:rsidP="00C80CF8">
      <w:pPr>
        <w:pStyle w:val="Prrafodelista"/>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 xml:space="preserve">Como consecuencia de lo anterior, el </w:t>
      </w:r>
      <w:r w:rsidRPr="00DC2A65">
        <w:rPr>
          <w:rFonts w:ascii="Palatino Linotype" w:hAnsi="Palatino Linotype" w:cs="Arial"/>
          <w:b/>
          <w:color w:val="000000" w:themeColor="text1"/>
        </w:rPr>
        <w:t>SUJETO OBLIGADO</w:t>
      </w:r>
      <w:r w:rsidRPr="00DC2A65">
        <w:rPr>
          <w:rFonts w:ascii="Palatino Linotype" w:hAnsi="Palatino Linotype" w:cs="Arial"/>
          <w:color w:val="000000" w:themeColor="text1"/>
        </w:rPr>
        <w:t xml:space="preserve"> debe identificar claramente el tipo de información y hacer un juicio de subsunción o encaje</w:t>
      </w:r>
      <w:r w:rsidRPr="00DC2A65">
        <w:rPr>
          <w:rStyle w:val="Refdenotaalpie"/>
          <w:rFonts w:ascii="Palatino Linotype" w:hAnsi="Palatino Linotype" w:cs="Arial"/>
          <w:color w:val="000000" w:themeColor="text1"/>
        </w:rPr>
        <w:footnoteReference w:id="17"/>
      </w:r>
      <w:r w:rsidRPr="00DC2A65">
        <w:rPr>
          <w:rFonts w:ascii="Palatino Linotype" w:hAnsi="Palatino Linotype" w:cs="Arial"/>
          <w:color w:val="000000" w:themeColor="text1"/>
        </w:rPr>
        <w:t xml:space="preserve"> para </w:t>
      </w:r>
      <w:r w:rsidRPr="00DC2A65">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DC2A65" w:rsidRDefault="00C80CF8" w:rsidP="00C80CF8">
      <w:pPr>
        <w:pStyle w:val="Prrafodelista"/>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34" w:name="_Toc485733666"/>
      <w:bookmarkStart w:id="135" w:name="_Toc487139037"/>
      <w:bookmarkStart w:id="136" w:name="_Toc490060412"/>
      <w:bookmarkStart w:id="137" w:name="_Toc492468081"/>
      <w:bookmarkStart w:id="138" w:name="_Toc2878596"/>
      <w:bookmarkStart w:id="139" w:name="_Toc10711864"/>
      <w:bookmarkStart w:id="140" w:name="_Toc18609014"/>
      <w:bookmarkStart w:id="141" w:name="_Toc22130361"/>
      <w:bookmarkStart w:id="142" w:name="_Toc33809647"/>
      <w:bookmarkStart w:id="143" w:name="_Toc58504405"/>
      <w:bookmarkStart w:id="144" w:name="_Toc64441245"/>
      <w:bookmarkStart w:id="145" w:name="_Toc64442702"/>
      <w:r w:rsidRPr="00DC2A65">
        <w:rPr>
          <w:rFonts w:ascii="Palatino Linotype" w:hAnsi="Palatino Linotype"/>
          <w:b/>
          <w:color w:val="000000" w:themeColor="text1"/>
          <w:sz w:val="24"/>
          <w:szCs w:val="24"/>
        </w:rPr>
        <w:t>Requisitos de fondo del acuerdo de clasificación.</w:t>
      </w:r>
      <w:bookmarkEnd w:id="134"/>
      <w:bookmarkEnd w:id="135"/>
      <w:bookmarkEnd w:id="136"/>
      <w:bookmarkEnd w:id="137"/>
      <w:bookmarkEnd w:id="138"/>
      <w:bookmarkEnd w:id="139"/>
      <w:bookmarkEnd w:id="140"/>
      <w:bookmarkEnd w:id="141"/>
      <w:bookmarkEnd w:id="142"/>
      <w:bookmarkEnd w:id="143"/>
      <w:bookmarkEnd w:id="144"/>
      <w:bookmarkEnd w:id="145"/>
    </w:p>
    <w:p w:rsidR="00C80CF8" w:rsidRPr="00DC2A65" w:rsidRDefault="00C80CF8" w:rsidP="00C80CF8">
      <w:pPr>
        <w:pStyle w:val="Prrafodelista"/>
        <w:rPr>
          <w:rFonts w:ascii="Palatino Linotype" w:hAnsi="Palatino Linotype" w:cs="Arial"/>
          <w:color w:val="000000" w:themeColor="text1"/>
          <w:lang w:val="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DC2A65" w:rsidRDefault="00C80CF8" w:rsidP="00C80CF8">
      <w:pPr>
        <w:pStyle w:val="Prrafodelista"/>
        <w:rPr>
          <w:rFonts w:ascii="Palatino Linotype" w:hAnsi="Palatino Linotype" w:cs="Arial"/>
          <w:color w:val="000000" w:themeColor="text1"/>
          <w:lang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C2A65">
        <w:rPr>
          <w:rStyle w:val="Refdenotaalpie"/>
          <w:rFonts w:ascii="Palatino Linotype" w:hAnsi="Palatino Linotype" w:cs="Arial"/>
          <w:color w:val="000000" w:themeColor="text1"/>
          <w:lang w:eastAsia="es-MX"/>
        </w:rPr>
        <w:footnoteReference w:id="18"/>
      </w:r>
    </w:p>
    <w:p w:rsidR="00C80CF8" w:rsidRPr="00DC2A65" w:rsidRDefault="00C80CF8" w:rsidP="00C80CF8">
      <w:pPr>
        <w:pStyle w:val="Prrafodelista"/>
        <w:rPr>
          <w:rFonts w:ascii="Palatino Linotype" w:hAnsi="Palatino Linotype" w:cs="Arial"/>
          <w:color w:val="000000" w:themeColor="text1"/>
          <w:lang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rsidR="00C80CF8" w:rsidRPr="00DC2A65" w:rsidRDefault="00C80CF8" w:rsidP="00C80CF8">
      <w:pPr>
        <w:spacing w:line="360" w:lineRule="auto"/>
        <w:ind w:right="618"/>
        <w:contextualSpacing/>
        <w:jc w:val="both"/>
        <w:rPr>
          <w:rFonts w:ascii="Palatino Linotype" w:hAnsi="Palatino Linotype" w:cs="Arial"/>
          <w:color w:val="000000" w:themeColor="text1"/>
        </w:rPr>
      </w:pP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b/>
          <w:i/>
          <w:color w:val="000000" w:themeColor="text1"/>
          <w:sz w:val="22"/>
          <w:szCs w:val="22"/>
        </w:rPr>
        <w:t>FUNDAMENTACIÓN Y MOTIVACIÓN.</w:t>
      </w:r>
      <w:r w:rsidRPr="00DC2A65">
        <w:rPr>
          <w:rFonts w:ascii="Palatino Linotype" w:hAnsi="Palatino Linotype" w:cs="Arial"/>
          <w:i/>
          <w:color w:val="000000" w:themeColor="text1"/>
          <w:sz w:val="22"/>
          <w:szCs w:val="22"/>
        </w:rPr>
        <w:t xml:space="preserve"> La </w:t>
      </w:r>
      <w:r w:rsidRPr="00DC2A65">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2A65">
        <w:rPr>
          <w:rFonts w:ascii="Palatino Linotype" w:hAnsi="Palatino Linotype" w:cs="Arial"/>
          <w:i/>
          <w:color w:val="000000" w:themeColor="text1"/>
          <w:sz w:val="22"/>
          <w:szCs w:val="22"/>
        </w:rPr>
        <w:t>.</w:t>
      </w: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i/>
          <w:color w:val="000000" w:themeColor="text1"/>
          <w:sz w:val="22"/>
          <w:szCs w:val="22"/>
        </w:rPr>
        <w:t>SEGUNDO TRIBUNAL COLEGIADO DEL SEXTO CIRCUITO.</w:t>
      </w: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80CF8" w:rsidRPr="00DC2A65"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C2A65">
        <w:rPr>
          <w:rFonts w:ascii="Palatino Linotype" w:hAnsi="Palatino Linotype" w:cs="Arial"/>
          <w:i/>
          <w:color w:val="000000" w:themeColor="text1"/>
          <w:sz w:val="22"/>
          <w:szCs w:val="22"/>
        </w:rPr>
        <w:lastRenderedPageBreak/>
        <w:t xml:space="preserve">Amparo directo 7/96. Pedro Vicente López Miro. 21 de febrero de 1996. Unanimidad de votos. Ponente: María Eugenia Estela Martínez Cardiel. Secretario: Enrique </w:t>
      </w:r>
      <w:proofErr w:type="spellStart"/>
      <w:r w:rsidRPr="00DC2A65">
        <w:rPr>
          <w:rFonts w:ascii="Palatino Linotype" w:hAnsi="Palatino Linotype" w:cs="Arial"/>
          <w:i/>
          <w:color w:val="000000" w:themeColor="text1"/>
          <w:sz w:val="22"/>
          <w:szCs w:val="22"/>
        </w:rPr>
        <w:t>Baigts</w:t>
      </w:r>
      <w:proofErr w:type="spellEnd"/>
      <w:r w:rsidRPr="00DC2A65">
        <w:rPr>
          <w:rFonts w:ascii="Palatino Linotype" w:hAnsi="Palatino Linotype" w:cs="Arial"/>
          <w:i/>
          <w:color w:val="000000" w:themeColor="text1"/>
          <w:sz w:val="22"/>
          <w:szCs w:val="22"/>
        </w:rPr>
        <w:t xml:space="preserve"> Muñoz.</w:t>
      </w:r>
      <w:r w:rsidRPr="00DC2A65">
        <w:rPr>
          <w:rStyle w:val="Refdenotaalpie"/>
          <w:rFonts w:ascii="Palatino Linotype" w:hAnsi="Palatino Linotype" w:cs="Arial"/>
          <w:i/>
          <w:color w:val="000000" w:themeColor="text1"/>
          <w:sz w:val="22"/>
          <w:szCs w:val="22"/>
        </w:rPr>
        <w:footnoteReference w:id="19"/>
      </w:r>
    </w:p>
    <w:p w:rsidR="00C80CF8" w:rsidRPr="00DC2A65" w:rsidRDefault="00C80CF8" w:rsidP="00C80CF8">
      <w:pPr>
        <w:pStyle w:val="Prrafodelista"/>
        <w:rPr>
          <w:rFonts w:ascii="Palatino Linotype" w:hAnsi="Palatino Linotype" w:cs="Arial"/>
          <w:color w:val="000000" w:themeColor="text1"/>
          <w:lang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DC2A65" w:rsidRDefault="00C80CF8" w:rsidP="00C80CF8">
      <w:pPr>
        <w:pStyle w:val="Prrafodelista"/>
        <w:rPr>
          <w:rFonts w:ascii="Palatino Linotype" w:hAnsi="Palatino Linotype" w:cs="Arial"/>
          <w:color w:val="000000" w:themeColor="text1"/>
          <w:lang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 xml:space="preserve">Ahora bien, para cada caso además de fundar y motivar, se debe identificar con claridad que datos contenidos en las documentales que son susceptibles de </w:t>
      </w:r>
      <w:r w:rsidRPr="00DC2A65">
        <w:rPr>
          <w:rFonts w:ascii="Palatino Linotype" w:hAnsi="Palatino Linotype" w:cs="Arial"/>
          <w:color w:val="000000" w:themeColor="text1"/>
          <w:lang w:eastAsia="es-MX"/>
        </w:rPr>
        <w:lastRenderedPageBreak/>
        <w:t>suprimirse, porque no todos los datos contenidos en los documentos ordenados son</w:t>
      </w:r>
      <w:r w:rsidRPr="00DC2A65">
        <w:rPr>
          <w:rFonts w:ascii="Palatino Linotype" w:hAnsi="Palatino Linotype"/>
          <w:color w:val="000000" w:themeColor="text1"/>
        </w:rPr>
        <w:t xml:space="preserve"> </w:t>
      </w:r>
      <w:r w:rsidRPr="00DC2A65">
        <w:rPr>
          <w:rFonts w:ascii="Palatino Linotype" w:hAnsi="Palatino Linotype" w:cs="Arial"/>
          <w:color w:val="000000" w:themeColor="text1"/>
          <w:lang w:eastAsia="es-MX"/>
        </w:rPr>
        <w:t>datos personales</w:t>
      </w:r>
      <w:r w:rsidRPr="00DC2A65">
        <w:rPr>
          <w:rStyle w:val="Refdenotaalpie"/>
          <w:rFonts w:ascii="Palatino Linotype" w:hAnsi="Palatino Linotype" w:cs="Arial"/>
          <w:color w:val="000000" w:themeColor="text1"/>
          <w:lang w:eastAsia="es-MX"/>
        </w:rPr>
        <w:footnoteReference w:id="20"/>
      </w:r>
      <w:r w:rsidRPr="00DC2A65">
        <w:rPr>
          <w:rFonts w:ascii="Palatino Linotype" w:hAnsi="Palatino Linotype" w:cs="Arial"/>
          <w:color w:val="000000" w:themeColor="text1"/>
          <w:lang w:eastAsia="es-MX"/>
        </w:rPr>
        <w:t xml:space="preserve">, </w:t>
      </w:r>
      <w:r w:rsidRPr="00DC2A65">
        <w:rPr>
          <w:rFonts w:ascii="Palatino Linotype" w:eastAsia="Calibri" w:hAnsi="Palatino Linotype" w:cs="Arial"/>
          <w:color w:val="000000" w:themeColor="text1"/>
          <w:lang w:eastAsia="es-MX"/>
        </w:rPr>
        <w:t>p</w:t>
      </w:r>
      <w:proofErr w:type="spellStart"/>
      <w:r w:rsidRPr="00DC2A65">
        <w:rPr>
          <w:rFonts w:ascii="Palatino Linotype" w:eastAsia="Calibri" w:hAnsi="Palatino Linotype" w:cs="Arial"/>
          <w:color w:val="000000" w:themeColor="text1"/>
          <w:lang w:val="es-ES" w:eastAsia="es-MX"/>
        </w:rPr>
        <w:t>or</w:t>
      </w:r>
      <w:proofErr w:type="spellEnd"/>
      <w:r w:rsidRPr="00DC2A65">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DC2A65" w:rsidRDefault="00C80CF8" w:rsidP="00C80CF8">
      <w:pPr>
        <w:pStyle w:val="Prrafodelista"/>
        <w:rPr>
          <w:rFonts w:ascii="Palatino Linotype" w:eastAsia="Calibri" w:hAnsi="Palatino Linotype" w:cs="Arial"/>
          <w:color w:val="000000" w:themeColor="text1"/>
          <w:lang w:val="es-ES"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eastAsia="Calibri" w:hAnsi="Palatino Linotype" w:cs="Arial"/>
          <w:color w:val="000000" w:themeColor="text1"/>
          <w:lang w:val="es-ES" w:eastAsia="es-MX"/>
        </w:rPr>
        <w:t xml:space="preserve">Es de señalar, que por lo que hace a las versiones públicas, el </w:t>
      </w:r>
      <w:r w:rsidRPr="00DC2A65">
        <w:rPr>
          <w:rFonts w:ascii="Palatino Linotype" w:eastAsia="Calibri" w:hAnsi="Palatino Linotype" w:cs="Arial"/>
          <w:b/>
          <w:color w:val="000000" w:themeColor="text1"/>
          <w:lang w:val="es-ES" w:eastAsia="es-MX"/>
        </w:rPr>
        <w:t>SUJETO OBLIGADO</w:t>
      </w:r>
      <w:r w:rsidRPr="00DC2A65">
        <w:rPr>
          <w:rFonts w:ascii="Palatino Linotype" w:eastAsia="Calibri" w:hAnsi="Palatino Linotype" w:cs="Arial"/>
          <w:color w:val="000000" w:themeColor="text1"/>
          <w:lang w:val="es-ES" w:eastAsia="es-MX"/>
        </w:rPr>
        <w:t xml:space="preserve"> debe cumplir con las formalidades exigidas en la Ley, por lo que </w:t>
      </w:r>
      <w:r w:rsidRPr="00DC2A65">
        <w:rPr>
          <w:rFonts w:ascii="Palatino Linotype" w:hAnsi="Palatino Linotype" w:cs="Arial"/>
          <w:color w:val="000000" w:themeColor="text1"/>
          <w:lang w:eastAsia="es-MX"/>
        </w:rPr>
        <w:t xml:space="preserve">para tal efecto emitirá el </w:t>
      </w:r>
      <w:r w:rsidRPr="00DC2A65">
        <w:rPr>
          <w:rFonts w:ascii="Palatino Linotype" w:eastAsia="Calibri" w:hAnsi="Palatino Linotype" w:cs="Arial"/>
          <w:color w:val="000000" w:themeColor="text1"/>
          <w:lang w:val="es-ES" w:eastAsia="es-MX"/>
        </w:rPr>
        <w:t>Acuerdo del Comité de Transparencia en términos de los artículos 49 fracción</w:t>
      </w:r>
      <w:r w:rsidRPr="00DC2A65">
        <w:rPr>
          <w:rFonts w:ascii="Palatino Linotype" w:eastAsia="Calibri" w:hAnsi="Palatino Linotype" w:cs="Arial"/>
          <w:bCs/>
          <w:color w:val="000000" w:themeColor="text1"/>
        </w:rPr>
        <w:t xml:space="preserve"> VIII,</w:t>
      </w:r>
      <w:r w:rsidRPr="00DC2A65">
        <w:rPr>
          <w:rFonts w:ascii="Palatino Linotype" w:eastAsia="Calibri" w:hAnsi="Palatino Linotype" w:cs="Arial"/>
          <w:color w:val="000000" w:themeColor="text1"/>
          <w:lang w:val="es-ES" w:eastAsia="es-MX"/>
        </w:rPr>
        <w:t xml:space="preserve"> 122</w:t>
      </w:r>
      <w:r w:rsidRPr="00DC2A65">
        <w:rPr>
          <w:rFonts w:ascii="Palatino Linotype" w:hAnsi="Palatino Linotype"/>
          <w:color w:val="000000" w:themeColor="text1"/>
          <w:vertAlign w:val="superscript"/>
          <w:lang w:val="es-ES" w:eastAsia="es-MX"/>
        </w:rPr>
        <w:footnoteReference w:id="21"/>
      </w:r>
      <w:r w:rsidRPr="00DC2A65">
        <w:rPr>
          <w:rFonts w:ascii="Palatino Linotype" w:eastAsia="Calibri" w:hAnsi="Palatino Linotype" w:cs="Arial"/>
          <w:color w:val="000000" w:themeColor="text1"/>
          <w:lang w:val="es-ES" w:eastAsia="es-MX"/>
        </w:rPr>
        <w:t>, 135</w:t>
      </w:r>
      <w:r w:rsidRPr="00DC2A65">
        <w:rPr>
          <w:rFonts w:ascii="Palatino Linotype" w:hAnsi="Palatino Linotype"/>
          <w:color w:val="000000" w:themeColor="text1"/>
          <w:vertAlign w:val="superscript"/>
          <w:lang w:val="es-ES" w:eastAsia="es-MX"/>
        </w:rPr>
        <w:footnoteReference w:id="22"/>
      </w:r>
      <w:r w:rsidRPr="00DC2A6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C80CF8" w:rsidRPr="00DC2A65" w:rsidRDefault="00C80CF8" w:rsidP="00C80CF8">
      <w:pPr>
        <w:pStyle w:val="Prrafodelista"/>
        <w:rPr>
          <w:rFonts w:ascii="Palatino Linotype" w:eastAsia="Calibri" w:hAnsi="Palatino Linotype" w:cs="Arial"/>
          <w:color w:val="000000" w:themeColor="text1"/>
          <w:lang w:val="es-ES" w:eastAsia="es-CO"/>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DC2A65">
        <w:rPr>
          <w:rFonts w:ascii="Palatino Linotype" w:eastAsia="Calibri" w:hAnsi="Palatino Linotype" w:cs="Arial"/>
          <w:b/>
          <w:color w:val="000000" w:themeColor="text1"/>
          <w:lang w:val="es-ES" w:eastAsia="es-CO"/>
        </w:rPr>
        <w:t>SUJETO OBLIGADO</w:t>
      </w:r>
      <w:r w:rsidRPr="00DC2A65">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DC2A65" w:rsidRDefault="00C80CF8" w:rsidP="00C80CF8">
      <w:pPr>
        <w:pStyle w:val="Prrafodelista"/>
        <w:rPr>
          <w:rFonts w:ascii="Palatino Linotype" w:hAnsi="Palatino Linotype" w:cs="Arial"/>
          <w:color w:val="000000" w:themeColor="text1"/>
          <w:lang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 xml:space="preserve">Siendo así que, </w:t>
      </w:r>
      <w:r w:rsidRPr="00DC2A6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C2A65">
        <w:rPr>
          <w:rFonts w:ascii="Palatino Linotype" w:hAnsi="Palatino Linotype"/>
          <w:b/>
          <w:color w:val="000000" w:themeColor="text1"/>
        </w:rPr>
        <w:t>SUJETO OBLIGADO</w:t>
      </w:r>
      <w:r w:rsidRPr="00DC2A65">
        <w:rPr>
          <w:rFonts w:ascii="Palatino Linotype" w:hAnsi="Palatino Linotype"/>
          <w:color w:val="000000" w:themeColor="text1"/>
        </w:rPr>
        <w:t xml:space="preserve">. Dicho acuerdo deberá de contener los </w:t>
      </w:r>
      <w:r w:rsidRPr="00DC2A65">
        <w:rPr>
          <w:rFonts w:ascii="Palatino Linotype" w:hAnsi="Palatino Linotype"/>
          <w:b/>
          <w:color w:val="000000" w:themeColor="text1"/>
        </w:rPr>
        <w:t>razonamientos lógicos</w:t>
      </w:r>
      <w:r w:rsidRPr="00DC2A65">
        <w:rPr>
          <w:rFonts w:ascii="Palatino Linotype" w:hAnsi="Palatino Linotype"/>
          <w:color w:val="000000" w:themeColor="text1"/>
        </w:rPr>
        <w:t xml:space="preserve"> mediante los cuales se </w:t>
      </w:r>
      <w:r w:rsidRPr="00DC2A65">
        <w:rPr>
          <w:rFonts w:ascii="Palatino Linotype" w:hAnsi="Palatino Linotype"/>
          <w:b/>
          <w:color w:val="000000" w:themeColor="text1"/>
        </w:rPr>
        <w:t xml:space="preserve">demuestre </w:t>
      </w:r>
      <w:r w:rsidRPr="00DC2A6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DC2A65" w:rsidRDefault="00C80CF8" w:rsidP="00C80CF8">
      <w:pPr>
        <w:pStyle w:val="Prrafodelista"/>
        <w:rPr>
          <w:rFonts w:ascii="Palatino Linotype" w:hAnsi="Palatino Linotype" w:cs="Arial"/>
          <w:color w:val="000000" w:themeColor="text1"/>
          <w:lang w:eastAsia="es-MX"/>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DC2A65">
        <w:rPr>
          <w:rFonts w:ascii="Palatino Linotype" w:hAnsi="Palatino Linotype" w:cs="Arial"/>
          <w:color w:val="000000" w:themeColor="text1"/>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DC2A65" w:rsidRDefault="00C80CF8" w:rsidP="00C80CF8">
      <w:pPr>
        <w:pStyle w:val="Prrafodelista"/>
        <w:rPr>
          <w:rFonts w:ascii="Palatino Linotype" w:hAnsi="Palatino Linotype" w:cs="Arial"/>
          <w:color w:val="000000" w:themeColor="text1"/>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DC2A65" w:rsidRDefault="00C80CF8" w:rsidP="00C80CF8">
      <w:pPr>
        <w:pStyle w:val="Prrafodelista"/>
        <w:rPr>
          <w:rFonts w:ascii="Palatino Linotype" w:hAnsi="Palatino Linotype" w:cs="Arial"/>
          <w:color w:val="000000" w:themeColor="text1"/>
          <w:lang w:val="es-ES"/>
        </w:rPr>
      </w:pPr>
    </w:p>
    <w:p w:rsidR="00C80CF8" w:rsidRPr="00DC2A65"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C2A65">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DC2A65"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DC2A65"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DC2A65">
        <w:rPr>
          <w:rFonts w:ascii="Palatino Linotype" w:eastAsia="MS Mincho" w:hAnsi="Palatino Linotype" w:cstheme="majorBidi"/>
          <w:lang w:val="es-ES_tradnl" w:eastAsia="es-ES"/>
        </w:rPr>
        <w:t xml:space="preserve">Por lo anteriormente expuesto y fundado este </w:t>
      </w:r>
      <w:r w:rsidRPr="00DC2A65">
        <w:rPr>
          <w:rFonts w:ascii="Palatino Linotype" w:eastAsia="MS Mincho" w:hAnsi="Palatino Linotype" w:cstheme="majorBidi"/>
          <w:b/>
          <w:lang w:val="es-ES_tradnl" w:eastAsia="es-ES"/>
        </w:rPr>
        <w:t>ÓRGANO GARANTE</w:t>
      </w:r>
      <w:r w:rsidRPr="00DC2A65">
        <w:rPr>
          <w:rFonts w:ascii="Palatino Linotype" w:eastAsia="MS Mincho" w:hAnsi="Palatino Linotype" w:cstheme="majorBidi"/>
          <w:lang w:val="es-ES_tradnl" w:eastAsia="es-ES"/>
        </w:rPr>
        <w:t xml:space="preserve"> emite los siguientes.</w:t>
      </w:r>
    </w:p>
    <w:p w:rsidR="00C80CF8" w:rsidRPr="00DC2A65" w:rsidRDefault="00B4543F"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r w:rsidRPr="00DC2A65">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6E60993D" wp14:editId="0AE3BB64">
                <wp:simplePos x="0" y="0"/>
                <wp:positionH relativeFrom="column">
                  <wp:posOffset>9829</wp:posOffset>
                </wp:positionH>
                <wp:positionV relativeFrom="paragraph">
                  <wp:posOffset>48031</wp:posOffset>
                </wp:positionV>
                <wp:extent cx="5661965" cy="1426464"/>
                <wp:effectExtent l="0" t="0" r="34290" b="21590"/>
                <wp:wrapNone/>
                <wp:docPr id="3" name="Conector recto 3"/>
                <wp:cNvGraphicFramePr/>
                <a:graphic xmlns:a="http://schemas.openxmlformats.org/drawingml/2006/main">
                  <a:graphicData uri="http://schemas.microsoft.com/office/word/2010/wordprocessingShape">
                    <wps:wsp>
                      <wps:cNvCnPr/>
                      <wps:spPr>
                        <a:xfrm>
                          <a:off x="0" y="0"/>
                          <a:ext cx="5661965" cy="1426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0310BF"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3.8pt" to="446.5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" strokecolor="black [3200]" strokeweight=".5pt">
                <v:stroke joinstyle="miter"/>
              </v:line>
            </w:pict>
          </mc:Fallback>
        </mc:AlternateContent>
      </w:r>
    </w:p>
    <w:p w:rsidR="000826B8" w:rsidRPr="00DC2A65"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46" w:name="_Toc64442703"/>
      <w:r w:rsidRPr="00DC2A65">
        <w:rPr>
          <w:rFonts w:ascii="Palatino Linotype" w:eastAsia="Calibri" w:hAnsi="Palatino Linotype"/>
          <w:b/>
          <w:color w:val="auto"/>
          <w:sz w:val="24"/>
          <w:szCs w:val="24"/>
          <w:lang w:val="es-ES_tradnl" w:eastAsia="es-ES"/>
        </w:rPr>
        <w:lastRenderedPageBreak/>
        <w:t>R E S O L U T I V O S</w:t>
      </w:r>
      <w:bookmarkEnd w:id="146"/>
    </w:p>
    <w:p w:rsidR="000826B8" w:rsidRPr="00DC2A65" w:rsidRDefault="000826B8" w:rsidP="008E1E4F">
      <w:pPr>
        <w:spacing w:before="240" w:line="360" w:lineRule="auto"/>
        <w:jc w:val="both"/>
        <w:rPr>
          <w:rFonts w:ascii="Palatino Linotype" w:hAnsi="Palatino Linotype" w:cs="Arial"/>
          <w:lang w:val="es-ES_tradnl"/>
        </w:rPr>
      </w:pPr>
      <w:r w:rsidRPr="00DC2A65">
        <w:rPr>
          <w:rFonts w:ascii="Palatino Linotype" w:hAnsi="Palatino Linotype" w:cs="Arial"/>
          <w:b/>
          <w:lang w:val="es-ES_tradnl"/>
        </w:rPr>
        <w:t>PRIMERO.</w:t>
      </w:r>
      <w:r w:rsidRPr="00DC2A65">
        <w:rPr>
          <w:rFonts w:ascii="Palatino Linotype" w:hAnsi="Palatino Linotype" w:cs="Arial"/>
          <w:lang w:val="es-ES_tradnl"/>
        </w:rPr>
        <w:t xml:space="preserve"> Se </w:t>
      </w:r>
      <w:r w:rsidR="00AA0EFA" w:rsidRPr="00DC2A65">
        <w:rPr>
          <w:rFonts w:ascii="Palatino Linotype" w:hAnsi="Palatino Linotype" w:cs="Arial"/>
          <w:b/>
          <w:lang w:val="es-ES_tradnl"/>
        </w:rPr>
        <w:t>REVOCA</w:t>
      </w:r>
      <w:r w:rsidR="00454BDC" w:rsidRPr="00DC2A65">
        <w:rPr>
          <w:rFonts w:ascii="Palatino Linotype" w:hAnsi="Palatino Linotype" w:cs="Arial"/>
          <w:b/>
          <w:lang w:val="es-ES_tradnl"/>
        </w:rPr>
        <w:t>N</w:t>
      </w:r>
      <w:r w:rsidRPr="00DC2A65">
        <w:rPr>
          <w:rFonts w:ascii="Palatino Linotype" w:hAnsi="Palatino Linotype" w:cs="Arial"/>
          <w:lang w:val="es-ES_tradnl"/>
        </w:rPr>
        <w:t xml:space="preserve"> </w:t>
      </w:r>
      <w:r w:rsidRPr="00DC2A65">
        <w:rPr>
          <w:rFonts w:ascii="Palatino Linotype" w:eastAsia="Arial Unicode MS" w:hAnsi="Palatino Linotype" w:cs="Arial"/>
          <w:lang w:val="es-ES_tradnl"/>
        </w:rPr>
        <w:t>la</w:t>
      </w:r>
      <w:r w:rsidR="00454BDC" w:rsidRPr="00DC2A65">
        <w:rPr>
          <w:rFonts w:ascii="Palatino Linotype" w:eastAsia="Arial Unicode MS" w:hAnsi="Palatino Linotype" w:cs="Arial"/>
          <w:lang w:val="es-ES_tradnl"/>
        </w:rPr>
        <w:t>s</w:t>
      </w:r>
      <w:r w:rsidRPr="00DC2A65">
        <w:rPr>
          <w:rFonts w:ascii="Palatino Linotype" w:eastAsia="Arial Unicode MS" w:hAnsi="Palatino Linotype" w:cs="Arial"/>
          <w:lang w:val="es-ES_tradnl"/>
        </w:rPr>
        <w:t xml:space="preserve"> respuesta</w:t>
      </w:r>
      <w:r w:rsidR="00454BDC" w:rsidRPr="00DC2A65">
        <w:rPr>
          <w:rFonts w:ascii="Palatino Linotype" w:eastAsia="Arial Unicode MS" w:hAnsi="Palatino Linotype" w:cs="Arial"/>
          <w:lang w:val="es-ES_tradnl"/>
        </w:rPr>
        <w:t>s</w:t>
      </w:r>
      <w:r w:rsidRPr="00DC2A65">
        <w:rPr>
          <w:rFonts w:ascii="Palatino Linotype" w:eastAsia="Arial Unicode MS" w:hAnsi="Palatino Linotype" w:cs="Arial"/>
          <w:lang w:val="es-ES_tradnl"/>
        </w:rPr>
        <w:t xml:space="preserve"> entregada</w:t>
      </w:r>
      <w:r w:rsidR="00454BDC" w:rsidRPr="00DC2A65">
        <w:rPr>
          <w:rFonts w:ascii="Palatino Linotype" w:eastAsia="Arial Unicode MS" w:hAnsi="Palatino Linotype" w:cs="Arial"/>
          <w:lang w:val="es-ES_tradnl"/>
        </w:rPr>
        <w:t>s</w:t>
      </w:r>
      <w:r w:rsidRPr="00DC2A65">
        <w:rPr>
          <w:rFonts w:ascii="Palatino Linotype" w:eastAsia="Arial Unicode MS" w:hAnsi="Palatino Linotype" w:cs="Arial"/>
          <w:lang w:val="es-ES_tradnl"/>
        </w:rPr>
        <w:t xml:space="preserve"> por </w:t>
      </w:r>
      <w:r w:rsidR="00AA0EFA" w:rsidRPr="00DC2A65">
        <w:rPr>
          <w:rFonts w:ascii="Palatino Linotype" w:eastAsia="Arial Unicode MS" w:hAnsi="Palatino Linotype" w:cs="Arial"/>
          <w:lang w:val="es-ES_tradnl"/>
        </w:rPr>
        <w:t xml:space="preserve">el Ayuntamiento de Ixtapan de la Sal, </w:t>
      </w:r>
      <w:r w:rsidRPr="00DC2A65">
        <w:rPr>
          <w:rFonts w:ascii="Palatino Linotype" w:eastAsia="Arial Unicode MS" w:hAnsi="Palatino Linotype" w:cs="Arial"/>
          <w:lang w:val="es-ES_tradnl"/>
        </w:rPr>
        <w:t>a la</w:t>
      </w:r>
      <w:r w:rsidR="00EE6363" w:rsidRPr="00DC2A65">
        <w:rPr>
          <w:rFonts w:ascii="Palatino Linotype" w:eastAsia="Arial Unicode MS" w:hAnsi="Palatino Linotype" w:cs="Arial"/>
          <w:lang w:val="es-ES_tradnl"/>
        </w:rPr>
        <w:t>s</w:t>
      </w:r>
      <w:r w:rsidRPr="00DC2A65">
        <w:rPr>
          <w:rFonts w:ascii="Palatino Linotype" w:eastAsia="Arial Unicode MS" w:hAnsi="Palatino Linotype" w:cs="Arial"/>
          <w:lang w:val="es-ES_tradnl"/>
        </w:rPr>
        <w:t xml:space="preserve"> solicitud</w:t>
      </w:r>
      <w:r w:rsidR="00EE6363" w:rsidRPr="00DC2A65">
        <w:rPr>
          <w:rFonts w:ascii="Palatino Linotype" w:eastAsia="Arial Unicode MS" w:hAnsi="Palatino Linotype" w:cs="Arial"/>
          <w:lang w:val="es-ES_tradnl"/>
        </w:rPr>
        <w:t>es</w:t>
      </w:r>
      <w:r w:rsidRPr="00DC2A65">
        <w:rPr>
          <w:rFonts w:ascii="Palatino Linotype" w:eastAsia="Arial Unicode MS" w:hAnsi="Palatino Linotype" w:cs="Arial"/>
          <w:lang w:val="es-ES_tradnl"/>
        </w:rPr>
        <w:t xml:space="preserve"> de información número</w:t>
      </w:r>
      <w:r w:rsidR="00EE6363" w:rsidRPr="00DC2A65">
        <w:rPr>
          <w:rFonts w:ascii="Palatino Linotype" w:eastAsia="Arial Unicode MS" w:hAnsi="Palatino Linotype" w:cs="Arial"/>
          <w:lang w:val="es-ES_tradnl"/>
        </w:rPr>
        <w:t>s</w:t>
      </w:r>
      <w:r w:rsidRPr="00DC2A65">
        <w:rPr>
          <w:rFonts w:ascii="Palatino Linotype" w:eastAsia="Arial Unicode MS" w:hAnsi="Palatino Linotype" w:cs="Arial"/>
          <w:lang w:val="es-ES_tradnl"/>
        </w:rPr>
        <w:t xml:space="preserve"> </w:t>
      </w:r>
      <w:r w:rsidR="00B4543F" w:rsidRPr="00DC2A65">
        <w:rPr>
          <w:rFonts w:ascii="Palatino Linotype" w:hAnsi="Palatino Linotype"/>
          <w:b/>
          <w:bCs/>
          <w:color w:val="000000" w:themeColor="text1"/>
        </w:rPr>
        <w:t xml:space="preserve">00685/IXTASAL/IP/2020, 00686/IXTASAL/IP/2020 </w:t>
      </w:r>
      <w:r w:rsidR="00B4543F" w:rsidRPr="00DC2A65">
        <w:rPr>
          <w:rFonts w:ascii="Palatino Linotype" w:hAnsi="Palatino Linotype"/>
          <w:bCs/>
          <w:color w:val="000000" w:themeColor="text1"/>
        </w:rPr>
        <w:t>y</w:t>
      </w:r>
      <w:r w:rsidR="00B4543F" w:rsidRPr="00DC2A65">
        <w:rPr>
          <w:rFonts w:ascii="Palatino Linotype" w:hAnsi="Palatino Linotype"/>
          <w:b/>
          <w:bCs/>
          <w:color w:val="000000" w:themeColor="text1"/>
        </w:rPr>
        <w:t xml:space="preserve"> 00687/IXTASAL/IP/2020</w:t>
      </w:r>
      <w:r w:rsidRPr="00DC2A65">
        <w:rPr>
          <w:rFonts w:ascii="Palatino Linotype" w:eastAsia="Arial Unicode MS" w:hAnsi="Palatino Linotype" w:cs="Arial"/>
          <w:lang w:val="es-ES_tradnl"/>
        </w:rPr>
        <w:t xml:space="preserve">, por resultar fundados los motivos de inconformidad que arguye la </w:t>
      </w:r>
      <w:r w:rsidRPr="00DC2A65">
        <w:rPr>
          <w:rFonts w:ascii="Palatino Linotype" w:eastAsia="Arial Unicode MS" w:hAnsi="Palatino Linotype" w:cs="Arial"/>
          <w:b/>
          <w:lang w:val="es-ES_tradnl"/>
        </w:rPr>
        <w:t>RECURRENTE</w:t>
      </w:r>
      <w:r w:rsidRPr="00DC2A65">
        <w:rPr>
          <w:rFonts w:ascii="Palatino Linotype" w:eastAsia="Arial Unicode MS" w:hAnsi="Palatino Linotype" w:cs="Arial"/>
          <w:lang w:val="es-ES_tradnl"/>
        </w:rPr>
        <w:t>, en términos de</w:t>
      </w:r>
      <w:r w:rsidR="00454BDC" w:rsidRPr="00DC2A65">
        <w:rPr>
          <w:rFonts w:ascii="Palatino Linotype" w:eastAsia="Arial Unicode MS" w:hAnsi="Palatino Linotype" w:cs="Arial"/>
          <w:lang w:val="es-ES_tradnl"/>
        </w:rPr>
        <w:t xml:space="preserve"> </w:t>
      </w:r>
      <w:r w:rsidR="00C1610B" w:rsidRPr="00DC2A65">
        <w:rPr>
          <w:rFonts w:ascii="Palatino Linotype" w:eastAsia="Arial Unicode MS" w:hAnsi="Palatino Linotype" w:cs="Arial"/>
          <w:lang w:val="es-ES_tradnl"/>
        </w:rPr>
        <w:t>l</w:t>
      </w:r>
      <w:r w:rsidR="00454BDC" w:rsidRPr="00DC2A65">
        <w:rPr>
          <w:rFonts w:ascii="Palatino Linotype" w:eastAsia="Arial Unicode MS" w:hAnsi="Palatino Linotype" w:cs="Arial"/>
          <w:lang w:val="es-ES_tradnl"/>
        </w:rPr>
        <w:t>os</w:t>
      </w:r>
      <w:r w:rsidR="00C1610B" w:rsidRPr="00DC2A65">
        <w:rPr>
          <w:rFonts w:ascii="Palatino Linotype" w:eastAsia="Arial Unicode MS" w:hAnsi="Palatino Linotype" w:cs="Arial"/>
          <w:lang w:val="es-ES_tradnl"/>
        </w:rPr>
        <w:t xml:space="preserve"> </w:t>
      </w:r>
      <w:r w:rsidRPr="00DC2A65">
        <w:rPr>
          <w:rFonts w:ascii="Palatino Linotype" w:hAnsi="Palatino Linotype" w:cs="Arial"/>
          <w:b/>
          <w:lang w:val="es-ES_tradnl"/>
        </w:rPr>
        <w:t>Considerando</w:t>
      </w:r>
      <w:r w:rsidR="00454BDC" w:rsidRPr="00DC2A65">
        <w:rPr>
          <w:rFonts w:ascii="Palatino Linotype" w:hAnsi="Palatino Linotype" w:cs="Arial"/>
          <w:b/>
          <w:lang w:val="es-ES_tradnl"/>
        </w:rPr>
        <w:t>s</w:t>
      </w:r>
      <w:r w:rsidR="00C1610B" w:rsidRPr="00DC2A65">
        <w:rPr>
          <w:rFonts w:ascii="Palatino Linotype" w:hAnsi="Palatino Linotype" w:cs="Arial"/>
          <w:b/>
          <w:lang w:val="es-ES_tradnl"/>
        </w:rPr>
        <w:t xml:space="preserve"> CUARTO</w:t>
      </w:r>
      <w:r w:rsidR="00C80CF8" w:rsidRPr="00DC2A65">
        <w:rPr>
          <w:rFonts w:ascii="Palatino Linotype" w:hAnsi="Palatino Linotype" w:cs="Arial"/>
          <w:b/>
          <w:lang w:val="es-ES_tradnl"/>
        </w:rPr>
        <w:t xml:space="preserve"> y QUINTO</w:t>
      </w:r>
      <w:r w:rsidR="00C1610B" w:rsidRPr="00DC2A65">
        <w:rPr>
          <w:rFonts w:ascii="Palatino Linotype" w:hAnsi="Palatino Linotype" w:cs="Arial"/>
          <w:b/>
          <w:lang w:val="es-ES_tradnl"/>
        </w:rPr>
        <w:t xml:space="preserve"> </w:t>
      </w:r>
      <w:r w:rsidRPr="00DC2A65">
        <w:rPr>
          <w:rFonts w:ascii="Palatino Linotype" w:hAnsi="Palatino Linotype" w:cs="Arial"/>
          <w:lang w:val="es-ES_tradnl"/>
        </w:rPr>
        <w:t xml:space="preserve"> de la presente resolución.</w:t>
      </w:r>
    </w:p>
    <w:p w:rsidR="000826B8" w:rsidRPr="00DC2A65"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DC2A65">
        <w:rPr>
          <w:rFonts w:ascii="Palatino Linotype" w:hAnsi="Palatino Linotype" w:cs="Arial"/>
          <w:b/>
          <w:lang w:val="es-ES_tradnl"/>
        </w:rPr>
        <w:t>SEGUNDO.</w:t>
      </w:r>
      <w:r w:rsidRPr="00DC2A65">
        <w:rPr>
          <w:rFonts w:ascii="Palatino Linotype" w:hAnsi="Palatino Linotype" w:cs="Arial"/>
          <w:lang w:val="es-ES_tradnl"/>
        </w:rPr>
        <w:t xml:space="preserve"> Se ordena a</w:t>
      </w:r>
      <w:r w:rsidR="00AA0EFA" w:rsidRPr="00DC2A65">
        <w:rPr>
          <w:rFonts w:ascii="Palatino Linotype" w:hAnsi="Palatino Linotype" w:cs="Arial"/>
          <w:lang w:val="es-ES_tradnl"/>
        </w:rPr>
        <w:t xml:space="preserve">l </w:t>
      </w:r>
      <w:r w:rsidR="00AA0EFA" w:rsidRPr="00DC2A65">
        <w:rPr>
          <w:rFonts w:ascii="Palatino Linotype" w:hAnsi="Palatino Linotype" w:cs="Arial"/>
          <w:b/>
          <w:lang w:val="es-ES_tradnl"/>
        </w:rPr>
        <w:t>Ayuntamiento de Ixtapan de la Sal</w:t>
      </w:r>
      <w:r w:rsidR="00AA0EFA" w:rsidRPr="00DC2A65">
        <w:rPr>
          <w:rFonts w:ascii="Palatino Linotype" w:hAnsi="Palatino Linotype" w:cs="Arial"/>
          <w:lang w:val="es-ES_tradnl"/>
        </w:rPr>
        <w:t xml:space="preserve"> </w:t>
      </w:r>
      <w:r w:rsidRPr="00DC2A65">
        <w:rPr>
          <w:rFonts w:ascii="Palatino Linotype" w:hAnsi="Palatino Linotype" w:cs="Arial"/>
          <w:lang w:val="es-ES_tradnl"/>
        </w:rPr>
        <w:t xml:space="preserve">haga entrega a la </w:t>
      </w:r>
      <w:r w:rsidR="00BF7AF1" w:rsidRPr="00DC2A65">
        <w:rPr>
          <w:rFonts w:ascii="Palatino Linotype" w:hAnsi="Palatino Linotype" w:cs="Arial"/>
          <w:b/>
          <w:lang w:val="es-ES_tradnl"/>
        </w:rPr>
        <w:t>RECURRENTE</w:t>
      </w:r>
      <w:r w:rsidRPr="00DC2A65">
        <w:rPr>
          <w:rFonts w:ascii="Palatino Linotype" w:hAnsi="Palatino Linotype" w:cs="Arial"/>
          <w:lang w:val="es-ES_tradnl"/>
        </w:rPr>
        <w:t xml:space="preserve"> </w:t>
      </w:r>
      <w:r w:rsidRPr="00DC2A65">
        <w:rPr>
          <w:rFonts w:ascii="Palatino Linotype" w:eastAsia="Calibri" w:hAnsi="Palatino Linotype" w:cs="Arial"/>
          <w:lang w:val="es-ES_tradnl"/>
        </w:rPr>
        <w:t xml:space="preserve">vía Sistema de Acceso a la Información Mexiquense </w:t>
      </w:r>
      <w:r w:rsidRPr="00DC2A65">
        <w:rPr>
          <w:rFonts w:ascii="Palatino Linotype" w:eastAsia="Calibri" w:hAnsi="Palatino Linotype" w:cs="Arial"/>
          <w:b/>
          <w:lang w:val="es-ES_tradnl"/>
        </w:rPr>
        <w:t>(SAIMEX)</w:t>
      </w:r>
      <w:r w:rsidRPr="00DC2A65">
        <w:rPr>
          <w:rFonts w:ascii="Palatino Linotype" w:hAnsi="Palatino Linotype" w:cs="Arial"/>
          <w:lang w:val="es-ES_tradnl"/>
        </w:rPr>
        <w:t xml:space="preserve">, </w:t>
      </w:r>
      <w:r w:rsidR="00C80CF8" w:rsidRPr="00DC2A65">
        <w:rPr>
          <w:rFonts w:ascii="Palatino Linotype" w:hAnsi="Palatino Linotype" w:cs="Arial"/>
          <w:lang w:val="es-ES_tradnl"/>
        </w:rPr>
        <w:t xml:space="preserve">de ser el caso, en </w:t>
      </w:r>
      <w:r w:rsidR="00C80CF8" w:rsidRPr="00DC2A65">
        <w:rPr>
          <w:rFonts w:ascii="Palatino Linotype" w:hAnsi="Palatino Linotype" w:cs="Arial"/>
          <w:b/>
          <w:lang w:val="es-ES_tradnl"/>
        </w:rPr>
        <w:t>versión pública</w:t>
      </w:r>
      <w:r w:rsidR="00C80CF8" w:rsidRPr="00DC2A65">
        <w:rPr>
          <w:rFonts w:ascii="Palatino Linotype" w:hAnsi="Palatino Linotype" w:cs="Arial"/>
          <w:lang w:val="es-ES_tradnl"/>
        </w:rPr>
        <w:t xml:space="preserve">, </w:t>
      </w:r>
      <w:r w:rsidRPr="00DC2A65">
        <w:rPr>
          <w:rFonts w:ascii="Palatino Linotype" w:hAnsi="Palatino Linotype" w:cs="Arial"/>
          <w:lang w:val="es-ES_tradnl"/>
        </w:rPr>
        <w:t>la siguiente información:</w:t>
      </w:r>
    </w:p>
    <w:p w:rsidR="00B4543F" w:rsidRPr="00DC2A65" w:rsidRDefault="00B4543F" w:rsidP="00B4543F">
      <w:pPr>
        <w:pStyle w:val="Prrafodelista"/>
        <w:numPr>
          <w:ilvl w:val="0"/>
          <w:numId w:val="39"/>
        </w:numPr>
        <w:shd w:val="clear" w:color="auto" w:fill="FFFFFF"/>
        <w:tabs>
          <w:tab w:val="left" w:pos="0"/>
        </w:tabs>
        <w:spacing w:before="240" w:after="150" w:line="360" w:lineRule="auto"/>
        <w:ind w:right="616"/>
        <w:jc w:val="both"/>
        <w:rPr>
          <w:rFonts w:ascii="Palatino Linotype" w:hAnsi="Palatino Linotype"/>
          <w:b/>
          <w:shd w:val="clear" w:color="auto" w:fill="FFFFFF"/>
          <w:lang w:val="es-ES_tradnl"/>
        </w:rPr>
      </w:pPr>
      <w:r w:rsidRPr="00DC2A65">
        <w:rPr>
          <w:rFonts w:ascii="Palatino Linotype" w:hAnsi="Palatino Linotype"/>
          <w:b/>
          <w:lang w:val="es-ES_tradnl"/>
        </w:rPr>
        <w:t xml:space="preserve">Las plantillas de personal que sirvieron de base para formular los presupuestos definitivos de  los años 2019 y 2020, debiendo contemplar el último año, todas las plazas de personal presupuestadas, así como el nombre y apellido de los servidores públicos que </w:t>
      </w:r>
      <w:r w:rsidR="00F06531" w:rsidRPr="00DC2A65">
        <w:rPr>
          <w:rFonts w:ascii="Palatino Linotype" w:hAnsi="Palatino Linotype"/>
          <w:b/>
          <w:lang w:val="es-ES_tradnl"/>
        </w:rPr>
        <w:t xml:space="preserve">en </w:t>
      </w:r>
      <w:r w:rsidRPr="00DC2A65">
        <w:rPr>
          <w:rFonts w:ascii="Palatino Linotype" w:hAnsi="Palatino Linotype"/>
          <w:b/>
          <w:lang w:val="es-ES_tradnl"/>
        </w:rPr>
        <w:t>dicho momento ocupaban las plazas.</w:t>
      </w:r>
    </w:p>
    <w:p w:rsidR="00B4543F" w:rsidRPr="00DC2A65" w:rsidRDefault="00B4543F" w:rsidP="00B4543F">
      <w:pPr>
        <w:pStyle w:val="Prrafodelista"/>
        <w:shd w:val="clear" w:color="auto" w:fill="FFFFFF"/>
        <w:tabs>
          <w:tab w:val="left" w:pos="0"/>
        </w:tabs>
        <w:spacing w:before="240" w:after="150" w:line="360" w:lineRule="auto"/>
        <w:ind w:right="616"/>
        <w:jc w:val="both"/>
        <w:rPr>
          <w:rFonts w:ascii="Palatino Linotype" w:hAnsi="Palatino Linotype"/>
          <w:i/>
          <w:shd w:val="clear" w:color="auto" w:fill="FFFFFF"/>
          <w:lang w:val="es-ES_tradnl"/>
        </w:rPr>
      </w:pPr>
    </w:p>
    <w:p w:rsidR="00E729C0" w:rsidRPr="00DC2A65" w:rsidRDefault="00B4543F" w:rsidP="00B4543F">
      <w:pPr>
        <w:pStyle w:val="Prrafodelista"/>
        <w:shd w:val="clear" w:color="auto" w:fill="FFFFFF"/>
        <w:tabs>
          <w:tab w:val="left" w:pos="0"/>
        </w:tabs>
        <w:spacing w:before="240" w:after="150" w:line="360" w:lineRule="auto"/>
        <w:ind w:right="616"/>
        <w:jc w:val="both"/>
        <w:rPr>
          <w:rFonts w:ascii="Palatino Linotype" w:hAnsi="Palatino Linotype"/>
          <w:i/>
          <w:shd w:val="clear" w:color="auto" w:fill="FFFFFF"/>
          <w:lang w:val="es-ES_tradnl"/>
        </w:rPr>
      </w:pPr>
      <w:r w:rsidRPr="00DC2A65">
        <w:rPr>
          <w:rFonts w:ascii="Palatino Linotype" w:hAnsi="Palatino Linotype"/>
          <w:i/>
          <w:lang w:val="es-ES_tradnl"/>
        </w:rPr>
        <w:t>En la modalidad elegida por la particular, esto es en medios electrónicos, como puede ser correo electrónico, o en su caso, USB y/o disco compacto, con la posibilidad de envío mediante correo certificado previo pago de los costos de reproducción.</w:t>
      </w:r>
    </w:p>
    <w:p w:rsidR="00C80CF8" w:rsidRPr="00DC2A65"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DC2A65" w:rsidRDefault="00C80CF8" w:rsidP="004C0C9F">
      <w:pPr>
        <w:spacing w:line="360" w:lineRule="auto"/>
        <w:ind w:right="49"/>
        <w:jc w:val="both"/>
        <w:rPr>
          <w:rFonts w:ascii="Palatino Linotype" w:eastAsia="Calibri" w:hAnsi="Palatino Linotype" w:cs="Arial"/>
          <w:lang w:val="es-ES"/>
        </w:rPr>
      </w:pPr>
      <w:r w:rsidRPr="00DC2A65">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C0C9F" w:rsidRPr="00DC2A65" w:rsidRDefault="000826B8" w:rsidP="00ED7D43">
      <w:pPr>
        <w:autoSpaceDE w:val="0"/>
        <w:autoSpaceDN w:val="0"/>
        <w:adjustRightInd w:val="0"/>
        <w:spacing w:before="240" w:line="360" w:lineRule="auto"/>
        <w:jc w:val="both"/>
        <w:rPr>
          <w:rFonts w:ascii="Palatino Linotype" w:hAnsi="Palatino Linotype" w:cs="Arial"/>
          <w:lang w:val="es-ES_tradnl"/>
        </w:rPr>
      </w:pPr>
      <w:r w:rsidRPr="00DC2A65">
        <w:rPr>
          <w:rFonts w:ascii="Palatino Linotype" w:hAnsi="Palatino Linotype" w:cs="Arial"/>
          <w:b/>
          <w:lang w:val="es-ES_tradnl"/>
        </w:rPr>
        <w:t>TERCERO. Notifíquese</w:t>
      </w:r>
      <w:r w:rsidRPr="00DC2A65">
        <w:rPr>
          <w:rFonts w:ascii="Palatino Linotype" w:hAnsi="Palatino Linotype" w:cs="Arial"/>
          <w:b/>
          <w:i/>
          <w:lang w:val="es-ES_tradnl"/>
        </w:rPr>
        <w:t xml:space="preserve"> </w:t>
      </w:r>
      <w:r w:rsidRPr="00DC2A65">
        <w:rPr>
          <w:rFonts w:ascii="Palatino Linotype" w:hAnsi="Palatino Linotype" w:cs="Arial"/>
          <w:lang w:val="es-ES_tradnl"/>
        </w:rPr>
        <w:t>al Titular de la Unidad de Transparencia del</w:t>
      </w:r>
      <w:r w:rsidRPr="00DC2A65">
        <w:rPr>
          <w:rFonts w:ascii="Palatino Linotype" w:hAnsi="Palatino Linotype" w:cs="Arial"/>
          <w:b/>
          <w:lang w:val="es-ES_tradnl"/>
        </w:rPr>
        <w:t xml:space="preserve"> SUJETO OBLIGADO</w:t>
      </w:r>
      <w:r w:rsidRPr="00DC2A65">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984E2B" w:rsidRPr="00DC2A65">
        <w:rPr>
          <w:rFonts w:ascii="Palatino Linotype" w:hAnsi="Palatino Linotype" w:cs="Arial"/>
          <w:b/>
          <w:lang w:val="es-ES_tradnl"/>
        </w:rPr>
        <w:t>veinte</w:t>
      </w:r>
      <w:r w:rsidRPr="00DC2A65">
        <w:rPr>
          <w:rFonts w:ascii="Palatino Linotype" w:hAnsi="Palatino Linotype" w:cs="Arial"/>
          <w:b/>
          <w:lang w:val="es-ES_tradnl"/>
        </w:rPr>
        <w:t xml:space="preserve"> días hábiles</w:t>
      </w:r>
      <w:r w:rsidRPr="00DC2A65">
        <w:rPr>
          <w:rFonts w:ascii="Palatino Linotype" w:hAnsi="Palatino Linotype" w:cs="Arial"/>
          <w:lang w:val="es-ES_tradnl"/>
        </w:rPr>
        <w:t>, debiendo informar a este Instituto en un plazo de tres días hábiles siguientes sobre el cumplimiento dado a la presente resolución.</w:t>
      </w:r>
    </w:p>
    <w:p w:rsidR="00744368" w:rsidRPr="00DC2A65" w:rsidRDefault="000826B8" w:rsidP="00ED7D43">
      <w:pPr>
        <w:autoSpaceDE w:val="0"/>
        <w:autoSpaceDN w:val="0"/>
        <w:adjustRightInd w:val="0"/>
        <w:spacing w:before="240" w:line="360" w:lineRule="auto"/>
        <w:jc w:val="both"/>
        <w:rPr>
          <w:rFonts w:ascii="Palatino Linotype" w:hAnsi="Palatino Linotype" w:cs="Arial"/>
          <w:lang w:val="es-ES_tradnl"/>
        </w:rPr>
      </w:pPr>
      <w:r w:rsidRPr="00DC2A65">
        <w:rPr>
          <w:rFonts w:ascii="Palatino Linotype" w:hAnsi="Palatino Linotype" w:cs="Arial"/>
          <w:b/>
          <w:lang w:val="es-ES_tradnl"/>
        </w:rPr>
        <w:t>CUARTO</w:t>
      </w:r>
      <w:r w:rsidRPr="00DC2A65">
        <w:rPr>
          <w:rFonts w:ascii="Palatino Linotype" w:hAnsi="Palatino Linotype" w:cs="Arial"/>
          <w:lang w:val="es-ES_tradnl"/>
        </w:rPr>
        <w:t xml:space="preserve">. </w:t>
      </w:r>
      <w:r w:rsidRPr="00DC2A65">
        <w:rPr>
          <w:rFonts w:ascii="Palatino Linotype" w:hAnsi="Palatino Linotype" w:cs="Arial"/>
          <w:b/>
          <w:bCs/>
          <w:shd w:val="clear" w:color="auto" w:fill="FFFFFF"/>
          <w:lang w:val="es-ES_tradnl"/>
        </w:rPr>
        <w:t>Notifíquese</w:t>
      </w:r>
      <w:r w:rsidRPr="00DC2A65">
        <w:rPr>
          <w:rFonts w:ascii="Palatino Linotype" w:hAnsi="Palatino Linotype" w:cs="Arial"/>
          <w:lang w:val="es-ES_tradnl"/>
        </w:rPr>
        <w:t xml:space="preserve"> a</w:t>
      </w:r>
      <w:r w:rsidR="0068705C" w:rsidRPr="00DC2A65">
        <w:rPr>
          <w:rFonts w:ascii="Palatino Linotype" w:hAnsi="Palatino Linotype" w:cs="Arial"/>
          <w:lang w:val="es-ES_tradnl"/>
        </w:rPr>
        <w:t xml:space="preserve"> </w:t>
      </w:r>
      <w:r w:rsidR="005B4E09" w:rsidRPr="00DC2A65">
        <w:rPr>
          <w:rFonts w:ascii="Palatino Linotype" w:hAnsi="Palatino Linotype" w:cs="Arial"/>
          <w:b/>
          <w:lang w:val="es-ES_tradnl"/>
        </w:rPr>
        <w:t>LA RECURRENTE</w:t>
      </w:r>
      <w:r w:rsidR="005B4E09" w:rsidRPr="00DC2A65">
        <w:rPr>
          <w:rFonts w:ascii="Palatino Linotype" w:hAnsi="Palatino Linotype" w:cs="Arial"/>
          <w:lang w:val="es-ES_tradnl"/>
        </w:rPr>
        <w:t xml:space="preserve"> </w:t>
      </w:r>
      <w:r w:rsidRPr="00DC2A65">
        <w:rPr>
          <w:rFonts w:ascii="Palatino Linotype" w:hAnsi="Palatino Linotype" w:cs="Arial"/>
          <w:lang w:val="es-ES_tradnl"/>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984E2B" w:rsidRPr="00DC2A65" w:rsidRDefault="00984E2B" w:rsidP="001E023E">
      <w:pPr>
        <w:spacing w:line="360" w:lineRule="auto"/>
        <w:ind w:right="49"/>
        <w:jc w:val="both"/>
        <w:rPr>
          <w:rFonts w:ascii="Palatino Linotype" w:hAnsi="Palatino Linotype"/>
          <w:b/>
          <w:color w:val="000000" w:themeColor="text1"/>
          <w:lang w:val="es-ES_tradnl"/>
        </w:rPr>
      </w:pPr>
    </w:p>
    <w:p w:rsidR="001E023E" w:rsidRPr="00DC2A65" w:rsidRDefault="00C1610B" w:rsidP="001E023E">
      <w:pPr>
        <w:spacing w:line="360" w:lineRule="auto"/>
        <w:ind w:right="49"/>
        <w:jc w:val="both"/>
        <w:rPr>
          <w:rFonts w:ascii="Palatino Linotype" w:hAnsi="Palatino Linotype"/>
          <w:color w:val="000000" w:themeColor="text1"/>
          <w:lang w:val="es-ES_tradnl"/>
        </w:rPr>
      </w:pPr>
      <w:r w:rsidRPr="00DC2A65">
        <w:rPr>
          <w:rFonts w:ascii="Palatino Linotype" w:hAnsi="Palatino Linotype"/>
          <w:b/>
          <w:color w:val="000000" w:themeColor="text1"/>
          <w:lang w:val="es-ES_tradnl"/>
        </w:rPr>
        <w:t xml:space="preserve">QUINTO. </w:t>
      </w:r>
      <w:r w:rsidR="001E023E" w:rsidRPr="00DC2A65">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DC2A65" w:rsidRDefault="00C1610B" w:rsidP="001E023E">
      <w:pPr>
        <w:spacing w:line="360" w:lineRule="auto"/>
        <w:ind w:right="49"/>
        <w:jc w:val="both"/>
        <w:rPr>
          <w:rFonts w:ascii="Palatino Linotype" w:hAnsi="Palatino Linotype"/>
          <w:color w:val="222222"/>
          <w:lang w:val="es-ES_tradnl"/>
        </w:rPr>
      </w:pPr>
      <w:r w:rsidRPr="00DC2A65">
        <w:rPr>
          <w:rFonts w:ascii="Palatino Linotype" w:hAnsi="Palatino Linotype"/>
          <w:b/>
          <w:color w:val="222222"/>
          <w:lang w:val="es-ES_tradnl"/>
        </w:rPr>
        <w:lastRenderedPageBreak/>
        <w:t>SEXTO</w:t>
      </w:r>
      <w:r w:rsidR="001E023E" w:rsidRPr="00DC2A65">
        <w:rPr>
          <w:rFonts w:ascii="Palatino Linotype" w:hAnsi="Palatino Linotype"/>
          <w:b/>
          <w:color w:val="222222"/>
          <w:lang w:val="es-ES_tradnl"/>
        </w:rPr>
        <w:t>. Notifíquese</w:t>
      </w:r>
      <w:r w:rsidR="001E023E" w:rsidRPr="00DC2A65">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8F01C9" w:rsidRPr="00DC2A65">
        <w:rPr>
          <w:rFonts w:ascii="Palatino Linotype" w:hAnsi="Palatino Linotype"/>
          <w:b/>
          <w:color w:val="222222"/>
          <w:lang w:val="es-ES_tradnl"/>
        </w:rPr>
        <w:t>181/20</w:t>
      </w:r>
      <w:r w:rsidR="001E023E" w:rsidRPr="00DC2A65">
        <w:rPr>
          <w:rFonts w:ascii="Palatino Linotype" w:hAnsi="Palatino Linotype"/>
          <w:color w:val="222222"/>
          <w:lang w:val="es-ES_tradnl"/>
        </w:rPr>
        <w:t>, en términos del artículo 173 de la Ley General de Transparencia y Acceso a la Información Pública.</w:t>
      </w:r>
    </w:p>
    <w:p w:rsidR="00AA0EFA" w:rsidRPr="00DC2A65" w:rsidRDefault="00AA0EFA" w:rsidP="001E023E">
      <w:pPr>
        <w:pStyle w:val="Sinespaciado"/>
        <w:spacing w:line="360" w:lineRule="auto"/>
        <w:jc w:val="both"/>
        <w:rPr>
          <w:rFonts w:ascii="Palatino Linotype" w:hAnsi="Palatino Linotype" w:cs="Arial"/>
        </w:rPr>
      </w:pPr>
    </w:p>
    <w:p w:rsidR="00333841" w:rsidRPr="008A6E0E" w:rsidRDefault="00DC2A65" w:rsidP="008E1E4F">
      <w:pPr>
        <w:shd w:val="clear" w:color="auto" w:fill="FFFFFF"/>
        <w:spacing w:before="240" w:after="360" w:line="360" w:lineRule="auto"/>
        <w:jc w:val="both"/>
        <w:rPr>
          <w:rFonts w:ascii="Palatino Linotype" w:hAnsi="Palatino Linotype" w:cs="Arial"/>
          <w:lang w:val="es-ES_tradnl"/>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3061969</wp:posOffset>
                </wp:positionV>
                <wp:extent cx="5581650" cy="292417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581650" cy="2924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34D9F"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pt,241.1pt" to="436.95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" strokecolor="#5b9bd5 [3204]" strokeweight=".5pt">
                <v:stroke joinstyle="miter"/>
              </v:line>
            </w:pict>
          </mc:Fallback>
        </mc:AlternateContent>
      </w:r>
      <w:r w:rsidR="00333841" w:rsidRPr="00DC2A65">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DC2A65">
        <w:rPr>
          <w:rFonts w:ascii="Palatino Linotype" w:hAnsi="Palatino Linotype"/>
          <w:lang w:val="es-ES_tradnl"/>
        </w:rPr>
        <w:t>HERNÁNDEZ; JAVIER</w:t>
      </w:r>
      <w:r w:rsidR="00333841" w:rsidRPr="00DC2A65">
        <w:rPr>
          <w:rFonts w:ascii="Palatino Linotype" w:hAnsi="Palatino Linotype"/>
          <w:lang w:val="es-ES_tradnl"/>
        </w:rPr>
        <w:t xml:space="preserve"> MARTÍNEZ CRUZ</w:t>
      </w:r>
      <w:r w:rsidR="00D67120" w:rsidRPr="00DC2A65">
        <w:rPr>
          <w:rFonts w:ascii="Palatino Linotype" w:hAnsi="Palatino Linotype"/>
          <w:lang w:val="es-ES_tradnl"/>
        </w:rPr>
        <w:t>, Y LUIS GUSTAVO PARRA NORIEGA,</w:t>
      </w:r>
      <w:r w:rsidR="00333841" w:rsidRPr="00DC2A65">
        <w:rPr>
          <w:rFonts w:ascii="Palatino Linotype" w:hAnsi="Palatino Linotype"/>
          <w:lang w:val="es-ES_tradnl"/>
        </w:rPr>
        <w:t xml:space="preserve"> EN LA </w:t>
      </w:r>
      <w:r>
        <w:rPr>
          <w:rFonts w:ascii="Palatino Linotype" w:hAnsi="Palatino Linotype"/>
          <w:lang w:val="es-ES_tradnl"/>
        </w:rPr>
        <w:t>SEXTA</w:t>
      </w:r>
      <w:r w:rsidR="00C1610B" w:rsidRPr="00DC2A65">
        <w:rPr>
          <w:rFonts w:ascii="Palatino Linotype" w:hAnsi="Palatino Linotype"/>
          <w:lang w:val="es-ES_tradnl"/>
        </w:rPr>
        <w:t xml:space="preserve"> </w:t>
      </w:r>
      <w:r w:rsidR="00333841" w:rsidRPr="00DC2A65">
        <w:rPr>
          <w:rFonts w:ascii="Palatino Linotype" w:hAnsi="Palatino Linotype"/>
          <w:lang w:val="es-ES_tradnl"/>
        </w:rPr>
        <w:t xml:space="preserve">SESIÓN ORDINARIA CELEBRADA EL DÍA </w:t>
      </w:r>
      <w:r w:rsidR="005B4E09" w:rsidRPr="00DC2A65">
        <w:rPr>
          <w:rFonts w:ascii="Palatino Linotype" w:hAnsi="Palatino Linotype"/>
          <w:lang w:val="es-ES_tradnl"/>
        </w:rPr>
        <w:t>VEINTICUATRO</w:t>
      </w:r>
      <w:r w:rsidR="00C1610B" w:rsidRPr="00DC2A65">
        <w:rPr>
          <w:rFonts w:ascii="Palatino Linotype" w:hAnsi="Palatino Linotype"/>
          <w:lang w:val="es-ES_tradnl"/>
        </w:rPr>
        <w:t xml:space="preserve"> </w:t>
      </w:r>
      <w:r w:rsidR="00ED7D43" w:rsidRPr="00DC2A65">
        <w:rPr>
          <w:rFonts w:ascii="Palatino Linotype" w:hAnsi="Palatino Linotype"/>
          <w:lang w:val="es-ES_tradnl"/>
        </w:rPr>
        <w:t>(</w:t>
      </w:r>
      <w:r w:rsidR="005B4E09" w:rsidRPr="00DC2A65">
        <w:rPr>
          <w:rFonts w:ascii="Palatino Linotype" w:hAnsi="Palatino Linotype"/>
          <w:lang w:val="es-ES_tradnl"/>
        </w:rPr>
        <w:t>24</w:t>
      </w:r>
      <w:r w:rsidR="00ED7D43" w:rsidRPr="00DC2A65">
        <w:rPr>
          <w:rFonts w:ascii="Palatino Linotype" w:hAnsi="Palatino Linotype"/>
          <w:lang w:val="es-ES_tradnl"/>
        </w:rPr>
        <w:t>)</w:t>
      </w:r>
      <w:r w:rsidR="00C1610B" w:rsidRPr="00DC2A65">
        <w:rPr>
          <w:rFonts w:ascii="Palatino Linotype" w:hAnsi="Palatino Linotype"/>
          <w:lang w:val="es-ES_tradnl"/>
        </w:rPr>
        <w:t xml:space="preserve"> </w:t>
      </w:r>
      <w:r w:rsidR="00ED7D43" w:rsidRPr="00DC2A65">
        <w:rPr>
          <w:rFonts w:ascii="Palatino Linotype" w:hAnsi="Palatino Linotype"/>
          <w:lang w:val="es-ES_tradnl"/>
        </w:rPr>
        <w:t>DE FEBRERO DE DOS MIL VEINTIUNO</w:t>
      </w:r>
      <w:r w:rsidR="00D20A4E" w:rsidRPr="00DC2A65">
        <w:rPr>
          <w:rFonts w:ascii="Palatino Linotype" w:hAnsi="Palatino Linotype"/>
          <w:lang w:val="es-ES_tradnl"/>
        </w:rPr>
        <w:t>, ANTE EL SECRETARIO TÉCNICO</w:t>
      </w:r>
      <w:r w:rsidR="00333841" w:rsidRPr="00DC2A65">
        <w:rPr>
          <w:rFonts w:ascii="Palatino Linotype" w:hAnsi="Palatino Linotype"/>
          <w:lang w:val="es-ES_tradnl"/>
        </w:rPr>
        <w:t xml:space="preserve"> DEL PLENO </w:t>
      </w:r>
      <w:r w:rsidR="00994DEC" w:rsidRPr="00DC2A65">
        <w:rPr>
          <w:rFonts w:ascii="Palatino Linotype" w:hAnsi="Palatino Linotype"/>
          <w:lang w:val="es-ES_tradnl"/>
        </w:rPr>
        <w:t>ALEXIS TAPIA RAMÍREZ</w:t>
      </w:r>
      <w:r w:rsidR="00333841" w:rsidRPr="00DC2A65">
        <w:rPr>
          <w:rFonts w:ascii="Palatino Linotype" w:hAnsi="Palatino Linotype"/>
          <w:lang w:val="es-ES_tradnl"/>
        </w:rPr>
        <w:t>.</w:t>
      </w:r>
      <w:r w:rsidR="00333841" w:rsidRPr="008A6E0E">
        <w:rPr>
          <w:rFonts w:ascii="Palatino Linotype" w:hAnsi="Palatino Linotype" w:cs="Arial"/>
          <w:lang w:val="es-ES_tradnl"/>
        </w:rPr>
        <w:t xml:space="preserve">  </w:t>
      </w:r>
    </w:p>
    <w:p w:rsidR="008F4DCF" w:rsidRDefault="008F4DCF"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Default="00DC2A65" w:rsidP="00ED7D43">
      <w:pPr>
        <w:spacing w:before="240" w:after="240" w:line="276" w:lineRule="auto"/>
        <w:jc w:val="both"/>
        <w:rPr>
          <w:rFonts w:ascii="Palatino Linotype" w:eastAsia="Calibri" w:hAnsi="Palatino Linotype" w:cs="Arial"/>
          <w:b/>
          <w:sz w:val="22"/>
          <w:szCs w:val="22"/>
          <w:lang w:val="es-ES_tradnl"/>
        </w:rPr>
      </w:pPr>
    </w:p>
    <w:p w:rsidR="00DC2A65" w:rsidRPr="008A6E0E" w:rsidRDefault="00DC2A65" w:rsidP="00ED7D43">
      <w:pPr>
        <w:spacing w:before="240" w:after="240" w:line="276" w:lineRule="auto"/>
        <w:jc w:val="both"/>
        <w:rPr>
          <w:rFonts w:ascii="Palatino Linotype" w:eastAsia="Calibri" w:hAnsi="Palatino Linotype" w:cs="Arial"/>
          <w:b/>
          <w:sz w:val="22"/>
          <w:szCs w:val="22"/>
          <w:lang w:val="es-ES_tradnl"/>
        </w:rPr>
      </w:pPr>
    </w:p>
    <w:sectPr w:rsidR="00DC2A65" w:rsidRPr="008A6E0E" w:rsidSect="00592436">
      <w:headerReference w:type="even" r:id="rId11"/>
      <w:headerReference w:type="default" r:id="rId12"/>
      <w:footerReference w:type="default" r:id="rId13"/>
      <w:headerReference w:type="first" r:id="rId14"/>
      <w:footerReference w:type="first" r:id="rId15"/>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A72" w:rsidRDefault="00270A72" w:rsidP="00333841">
      <w:r>
        <w:separator/>
      </w:r>
    </w:p>
  </w:endnote>
  <w:endnote w:type="continuationSeparator" w:id="0">
    <w:p w:rsidR="00270A72" w:rsidRDefault="00270A72"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335E91" w:rsidRPr="00883450" w:rsidRDefault="00335E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2A65">
              <w:rPr>
                <w:rFonts w:ascii="Palatino Linotype" w:hAnsi="Palatino Linotype"/>
                <w:b/>
                <w:bCs/>
                <w:noProof/>
                <w:sz w:val="22"/>
                <w:szCs w:val="20"/>
              </w:rPr>
              <w:t>94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2A65">
              <w:rPr>
                <w:rFonts w:ascii="Palatino Linotype" w:hAnsi="Palatino Linotype"/>
                <w:b/>
                <w:bCs/>
                <w:noProof/>
                <w:sz w:val="22"/>
                <w:szCs w:val="20"/>
              </w:rPr>
              <w:t>95</w:t>
            </w:r>
            <w:r w:rsidRPr="00883450">
              <w:rPr>
                <w:rFonts w:ascii="Palatino Linotype" w:hAnsi="Palatino Linotype"/>
                <w:b/>
                <w:bCs/>
                <w:sz w:val="22"/>
                <w:szCs w:val="20"/>
              </w:rPr>
              <w:fldChar w:fldCharType="end"/>
            </w:r>
          </w:p>
        </w:sdtContent>
      </w:sdt>
    </w:sdtContent>
  </w:sdt>
  <w:p w:rsidR="00335E91" w:rsidRDefault="00335E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E91" w:rsidRPr="00883450" w:rsidRDefault="00335E91"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2A65" w:rsidRPr="00DC2A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2A65" w:rsidRPr="00DC2A65">
      <w:rPr>
        <w:rFonts w:ascii="Palatino Linotype" w:hAnsi="Palatino Linotype"/>
        <w:noProof/>
        <w:sz w:val="22"/>
        <w:szCs w:val="22"/>
        <w:lang w:val="es-ES"/>
      </w:rPr>
      <w:t>94</w:t>
    </w:r>
    <w:r w:rsidRPr="00883450">
      <w:rPr>
        <w:rFonts w:ascii="Palatino Linotype" w:hAnsi="Palatino Linotype"/>
        <w:sz w:val="22"/>
        <w:szCs w:val="22"/>
      </w:rPr>
      <w:fldChar w:fldCharType="end"/>
    </w:r>
  </w:p>
  <w:p w:rsidR="00335E91" w:rsidRPr="00883450" w:rsidRDefault="00335E9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A72" w:rsidRDefault="00270A72" w:rsidP="00333841">
      <w:r>
        <w:separator/>
      </w:r>
    </w:p>
  </w:footnote>
  <w:footnote w:type="continuationSeparator" w:id="0">
    <w:p w:rsidR="00270A72" w:rsidRDefault="00270A72" w:rsidP="00333841">
      <w:r>
        <w:continuationSeparator/>
      </w:r>
    </w:p>
  </w:footnote>
  <w:footnote w:id="1">
    <w:p w:rsidR="00335E91" w:rsidRPr="00F75272" w:rsidRDefault="00335E91" w:rsidP="0068544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35E91" w:rsidRPr="00321071" w:rsidRDefault="00335E91"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335E91" w:rsidRPr="008A6281" w:rsidRDefault="00335E91"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335E91" w:rsidRPr="00E4540D" w:rsidRDefault="00335E9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w:t>
      </w:r>
      <w:r w:rsidRPr="00E4540D">
        <w:rPr>
          <w:rFonts w:ascii="Palatino Linotype" w:hAnsi="Palatino Linotype"/>
        </w:rPr>
        <w:t>dle.rae.es/confirmar%20?m=form</w:t>
      </w:r>
    </w:p>
  </w:footnote>
  <w:footnote w:id="5">
    <w:p w:rsidR="00335E91" w:rsidRPr="00E4540D" w:rsidRDefault="00335E9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w:t>
      </w:r>
      <w:r w:rsidRPr="00E4540D">
        <w:rPr>
          <w:rFonts w:ascii="Palatino Linotype" w:hAnsi="Palatino Linotype"/>
        </w:rPr>
        <w:t>dle.rae.es/modificar?m=form</w:t>
      </w:r>
    </w:p>
  </w:footnote>
  <w:footnote w:id="6">
    <w:p w:rsidR="00335E91" w:rsidRPr="00E4540D" w:rsidRDefault="00335E9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w:t>
      </w:r>
      <w:r w:rsidRPr="00E4540D">
        <w:rPr>
          <w:rFonts w:ascii="Palatino Linotype" w:hAnsi="Palatino Linotype"/>
        </w:rPr>
        <w:t>dle.rae.es/negar?m=form</w:t>
      </w:r>
    </w:p>
  </w:footnote>
  <w:footnote w:id="7">
    <w:p w:rsidR="00335E91" w:rsidRPr="00E4540D" w:rsidRDefault="00335E91"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w:t>
      </w:r>
      <w:r w:rsidRPr="00E4540D">
        <w:rPr>
          <w:rFonts w:ascii="Palatino Linotype" w:hAnsi="Palatino Linotype"/>
          <w:sz w:val="18"/>
          <w:szCs w:val="18"/>
          <w:lang w:val="es-ES"/>
        </w:rPr>
        <w:t xml:space="preserve">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335E91" w:rsidRPr="00E4540D" w:rsidRDefault="00335E91"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335E91" w:rsidRPr="00E4540D" w:rsidRDefault="00335E91"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335E91" w:rsidRPr="00E4540D" w:rsidRDefault="00335E91"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335E91" w:rsidRPr="008A6281" w:rsidRDefault="00335E91"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Tesis: </w:t>
      </w:r>
      <w:r w:rsidRPr="008A6281">
        <w:rPr>
          <w:rFonts w:ascii="Palatino Linotype" w:hAnsi="Palatino Linotype"/>
          <w:sz w:val="18"/>
          <w:szCs w:val="18"/>
          <w:lang w:val="es-ES"/>
        </w:rPr>
        <w:t>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335E91" w:rsidRPr="002A6BC5" w:rsidRDefault="00335E91" w:rsidP="00DF2B2D">
      <w:pPr>
        <w:pStyle w:val="Textonotapie"/>
        <w:rPr>
          <w:lang w:val="es-ES"/>
        </w:rPr>
      </w:pPr>
    </w:p>
  </w:footnote>
  <w:footnote w:id="12">
    <w:p w:rsidR="00335E91" w:rsidRDefault="00335E91" w:rsidP="00EF61D3">
      <w:r>
        <w:rPr>
          <w:rStyle w:val="Refdenotaalpie"/>
        </w:rPr>
        <w:footnoteRef/>
      </w:r>
      <w:r>
        <w:t xml:space="preserve"> </w:t>
      </w:r>
      <w:r>
        <w:t>Jursiprudencia  2a</w:t>
      </w:r>
      <w:r>
        <w:t>./J. 38/2002, Segunda Sala, Novena Época, Semanario Judicial de la Federación y su Gaceta Tomo XV, Mayo de 2002, Página: 175.</w:t>
      </w:r>
    </w:p>
    <w:p w:rsidR="00335E91" w:rsidRDefault="00335E91" w:rsidP="00EF61D3">
      <w:pPr>
        <w:spacing w:line="360" w:lineRule="auto"/>
        <w:jc w:val="both"/>
        <w:rPr>
          <w:rFonts w:ascii="Palatino Linotype" w:hAnsi="Palatino Linotype"/>
          <w:highlight w:val="yellow"/>
          <w:shd w:val="clear" w:color="auto" w:fill="FFFFFF"/>
        </w:rPr>
      </w:pPr>
    </w:p>
    <w:p w:rsidR="00335E91" w:rsidRPr="00EF61D3" w:rsidRDefault="00335E91">
      <w:pPr>
        <w:pStyle w:val="Textonotapie"/>
      </w:pPr>
    </w:p>
  </w:footnote>
  <w:footnote w:id="13">
    <w:p w:rsidR="00335E91" w:rsidRDefault="00335E91"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 xml:space="preserve">Tesis Aislada: </w:t>
      </w:r>
      <w:r w:rsidRPr="00D1664E">
        <w:rPr>
          <w:rFonts w:ascii="Palatino Linotype" w:hAnsi="Palatino Linotype"/>
          <w:sz w:val="22"/>
          <w:szCs w:val="22"/>
        </w:rPr>
        <w:t>IX.1o.71 K, Primer Tribunal Colegiado del Noveno Circuito, Novena Época, Semanario Judicial de la Federación y su Gaceta. Tomo XVIII, Octubre de 2003, página 1039.</w:t>
      </w:r>
    </w:p>
    <w:p w:rsidR="00335E91" w:rsidRDefault="00335E91" w:rsidP="00D1664E">
      <w:pPr>
        <w:pStyle w:val="Prrafodelista"/>
        <w:shd w:val="clear" w:color="auto" w:fill="FFFFFF"/>
        <w:tabs>
          <w:tab w:val="left" w:pos="0"/>
        </w:tabs>
        <w:spacing w:before="240" w:after="150" w:line="360" w:lineRule="auto"/>
        <w:ind w:left="180" w:right="49"/>
        <w:jc w:val="both"/>
      </w:pPr>
    </w:p>
    <w:p w:rsidR="00335E91" w:rsidRPr="00D1664E" w:rsidRDefault="00335E91">
      <w:pPr>
        <w:pStyle w:val="Textonotapie"/>
        <w:rPr>
          <w:lang w:val="es-US"/>
        </w:rPr>
      </w:pPr>
    </w:p>
  </w:footnote>
  <w:footnote w:id="14">
    <w:p w:rsidR="00335E91" w:rsidRPr="008A6281" w:rsidRDefault="00335E91"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335E91" w:rsidRPr="008A6281" w:rsidRDefault="00335E91"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w:t>
      </w:r>
      <w:r w:rsidRPr="008A6281">
        <w:rPr>
          <w:rFonts w:ascii="Palatino Linotype" w:hAnsi="Palatino Linotype"/>
          <w:sz w:val="18"/>
          <w:szCs w:val="18"/>
        </w:rPr>
        <w:t>1a. X/2000, Novena Época, publicada en el Semanario Judicial de la Federación, Tomo XII, Agosto de 2000, Página 191.</w:t>
      </w:r>
    </w:p>
    <w:p w:rsidR="00335E91" w:rsidRPr="006B380E" w:rsidRDefault="00335E91" w:rsidP="00D42643">
      <w:pPr>
        <w:pStyle w:val="Textonotapie"/>
      </w:pPr>
    </w:p>
  </w:footnote>
  <w:footnote w:id="16">
    <w:p w:rsidR="00335E91" w:rsidRPr="008A6281" w:rsidRDefault="00335E91"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7">
    <w:p w:rsidR="00335E91" w:rsidRPr="009020DD" w:rsidRDefault="00335E91"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35E91" w:rsidRPr="009020DD" w:rsidRDefault="00335E91"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35E91" w:rsidRPr="009020DD" w:rsidRDefault="00335E91"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8">
    <w:p w:rsidR="00335E91" w:rsidRPr="007F43A5" w:rsidRDefault="00335E91"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19">
    <w:p w:rsidR="00335E91" w:rsidRPr="0037004E" w:rsidRDefault="00335E91"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w:t>
      </w:r>
      <w:r w:rsidRPr="00C4034A">
        <w:rPr>
          <w:lang w:val="es-ES"/>
        </w:rPr>
        <w:t>sjf.scjn.gob.mx/sjfsist/Documentos/Tesis/203/203143.pdf  el viernes 16 de junio de 2017.</w:t>
      </w:r>
    </w:p>
    <w:p w:rsidR="00335E91" w:rsidRDefault="00335E91" w:rsidP="00C80CF8">
      <w:pPr>
        <w:pStyle w:val="Textonotapie"/>
      </w:pPr>
    </w:p>
  </w:footnote>
  <w:footnote w:id="20">
    <w:p w:rsidR="00335E91" w:rsidRDefault="00335E91" w:rsidP="00C80CF8">
      <w:pPr>
        <w:pStyle w:val="Textonotapie"/>
        <w:jc w:val="both"/>
      </w:pPr>
      <w:r>
        <w:rPr>
          <w:rStyle w:val="Refdenotaalpie"/>
        </w:rPr>
        <w:footnoteRef/>
      </w:r>
      <w:r>
        <w:t xml:space="preserve"> Artículo 3. Para los efectos de la presente Ley se entenderá por:</w:t>
      </w:r>
    </w:p>
    <w:p w:rsidR="00335E91" w:rsidRDefault="00335E91" w:rsidP="00C80CF8">
      <w:pPr>
        <w:pStyle w:val="Textonotapie"/>
        <w:jc w:val="both"/>
      </w:pPr>
      <w:r>
        <w:t xml:space="preserve"> (…)</w:t>
      </w:r>
    </w:p>
    <w:p w:rsidR="00335E91" w:rsidRDefault="00335E91"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335E91" w:rsidRDefault="00335E91"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335E91" w:rsidRDefault="00335E91"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335E91" w:rsidRDefault="00335E91"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335E91" w:rsidRDefault="00335E91" w:rsidP="00C80CF8">
      <w:pPr>
        <w:autoSpaceDE w:val="0"/>
        <w:autoSpaceDN w:val="0"/>
        <w:adjustRightInd w:val="0"/>
        <w:jc w:val="both"/>
      </w:pPr>
    </w:p>
  </w:footnote>
  <w:footnote w:id="22">
    <w:p w:rsidR="00335E91" w:rsidRDefault="00335E91"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A65" w:rsidRDefault="00FE284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989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35E91" w:rsidRPr="00EF13C1" w:rsidTr="00333841">
      <w:trPr>
        <w:trHeight w:val="138"/>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35E91" w:rsidRPr="003516BD" w:rsidRDefault="00335E91" w:rsidP="00A53E26">
          <w:pPr>
            <w:pStyle w:val="Encabezado"/>
            <w:rPr>
              <w:rFonts w:ascii="Palatino Linotype" w:hAnsi="Palatino Linotype" w:cs="Arial"/>
              <w:b/>
              <w:bCs/>
              <w:sz w:val="22"/>
              <w:szCs w:val="22"/>
              <w:lang w:eastAsia="es-MX"/>
            </w:rPr>
          </w:pPr>
          <w:r w:rsidRPr="008F01C9">
            <w:rPr>
              <w:rFonts w:ascii="Palatino Linotype" w:hAnsi="Palatino Linotype" w:cs="Arial"/>
              <w:b/>
              <w:bCs/>
              <w:sz w:val="22"/>
              <w:szCs w:val="22"/>
              <w:lang w:eastAsia="es-MX"/>
            </w:rPr>
            <w:t>03038/INFOEM/IP/RR/2020 y acumulados</w:t>
          </w:r>
        </w:p>
      </w:tc>
    </w:tr>
    <w:tr w:rsidR="00335E91" w:rsidRPr="00EF13C1" w:rsidTr="00333841">
      <w:trPr>
        <w:trHeight w:val="321"/>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35E91" w:rsidRPr="00EF13C1" w:rsidRDefault="00335E91"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335E91" w:rsidRPr="00EF13C1" w:rsidTr="00333841">
      <w:trPr>
        <w:trHeight w:val="321"/>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35E91" w:rsidRPr="00EF13C1" w:rsidRDefault="00335E9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35E91" w:rsidRDefault="00FE284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989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E91" w:rsidRDefault="00FE2841"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989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35E91">
      <w:tab/>
    </w:r>
    <w:r w:rsidR="00335E91">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35E91" w:rsidRPr="00EF13C1" w:rsidTr="00333841">
      <w:trPr>
        <w:trHeight w:val="138"/>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35E91" w:rsidRPr="003516BD" w:rsidRDefault="00335E91" w:rsidP="00300EBF">
          <w:pPr>
            <w:pStyle w:val="Encabezado"/>
            <w:rPr>
              <w:rFonts w:ascii="Palatino Linotype" w:hAnsi="Palatino Linotype" w:cs="Arial"/>
              <w:b/>
              <w:bCs/>
              <w:sz w:val="22"/>
              <w:szCs w:val="22"/>
              <w:lang w:eastAsia="es-MX"/>
            </w:rPr>
          </w:pPr>
          <w:r w:rsidRPr="008F01C9">
            <w:rPr>
              <w:rFonts w:ascii="Palatino Linotype" w:hAnsi="Palatino Linotype" w:cs="Arial"/>
              <w:b/>
              <w:bCs/>
              <w:sz w:val="22"/>
              <w:szCs w:val="22"/>
              <w:lang w:eastAsia="es-MX"/>
            </w:rPr>
            <w:t>03038/INFOEM/IP/RR/2020 y acumulados</w:t>
          </w:r>
        </w:p>
      </w:tc>
    </w:tr>
    <w:tr w:rsidR="00335E91" w:rsidRPr="00EF13C1" w:rsidTr="00333841">
      <w:trPr>
        <w:trHeight w:val="233"/>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335E91" w:rsidRPr="00EF13C1" w:rsidRDefault="00FE2841" w:rsidP="00E55808">
          <w:pPr>
            <w:pStyle w:val="Encabezado"/>
            <w:rPr>
              <w:rFonts w:ascii="Palatino Linotype" w:hAnsi="Palatino Linotype"/>
              <w:b/>
              <w:sz w:val="22"/>
              <w:szCs w:val="22"/>
            </w:rPr>
          </w:pPr>
          <w:r w:rsidRPr="00FE2841">
            <w:rPr>
              <w:rFonts w:ascii="Palatino Linotype" w:hAnsi="Palatino Linotype"/>
              <w:b/>
              <w:sz w:val="22"/>
              <w:szCs w:val="22"/>
              <w:highlight w:val="black"/>
            </w:rPr>
            <w:t>---------------------------------------------</w:t>
          </w:r>
          <w:r w:rsidR="00335E91">
            <w:rPr>
              <w:rFonts w:ascii="Palatino Linotype" w:hAnsi="Palatino Linotype"/>
              <w:b/>
              <w:sz w:val="22"/>
              <w:szCs w:val="22"/>
            </w:rPr>
            <w:tab/>
          </w:r>
        </w:p>
      </w:tc>
    </w:tr>
    <w:tr w:rsidR="00335E91" w:rsidRPr="00EF13C1" w:rsidTr="00333841">
      <w:trPr>
        <w:trHeight w:val="321"/>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35E91" w:rsidRPr="00EF13C1" w:rsidRDefault="00335E91"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335E91" w:rsidRPr="00EF13C1" w:rsidTr="00333841">
      <w:trPr>
        <w:trHeight w:val="321"/>
        <w:jc w:val="right"/>
      </w:trPr>
      <w:tc>
        <w:tcPr>
          <w:tcW w:w="2552" w:type="dxa"/>
          <w:vAlign w:val="center"/>
        </w:tcPr>
        <w:p w:rsidR="00335E91" w:rsidRPr="00EF13C1" w:rsidRDefault="00335E9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35E91" w:rsidRPr="00EF13C1" w:rsidRDefault="00335E9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35E91" w:rsidRDefault="00335E91"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AA7B57"/>
    <w:multiLevelType w:val="hybridMultilevel"/>
    <w:tmpl w:val="FE629D92"/>
    <w:lvl w:ilvl="0" w:tplc="080A0017">
      <w:start w:val="1"/>
      <w:numFmt w:val="lowerLetter"/>
      <w:lvlText w:val="%1)"/>
      <w:lvlJc w:val="left"/>
      <w:pPr>
        <w:ind w:left="1170" w:hanging="360"/>
      </w:p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23"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575F2A78"/>
    <w:multiLevelType w:val="hybridMultilevel"/>
    <w:tmpl w:val="FF76FD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1"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abstractNum w:abstractNumId="38" w15:restartNumberingAfterBreak="0">
    <w:nsid w:val="7FAB12F2"/>
    <w:multiLevelType w:val="hybridMultilevel"/>
    <w:tmpl w:val="285CC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1"/>
  </w:num>
  <w:num w:numId="11">
    <w:abstractNumId w:val="7"/>
  </w:num>
  <w:num w:numId="12">
    <w:abstractNumId w:val="32"/>
  </w:num>
  <w:num w:numId="13">
    <w:abstractNumId w:val="5"/>
  </w:num>
  <w:num w:numId="14">
    <w:abstractNumId w:val="37"/>
  </w:num>
  <w:num w:numId="15">
    <w:abstractNumId w:val="20"/>
  </w:num>
  <w:num w:numId="16">
    <w:abstractNumId w:val="9"/>
  </w:num>
  <w:num w:numId="17">
    <w:abstractNumId w:val="31"/>
  </w:num>
  <w:num w:numId="18">
    <w:abstractNumId w:val="6"/>
  </w:num>
  <w:num w:numId="19">
    <w:abstractNumId w:val="25"/>
  </w:num>
  <w:num w:numId="20">
    <w:abstractNumId w:val="13"/>
  </w:num>
  <w:num w:numId="21">
    <w:abstractNumId w:val="34"/>
  </w:num>
  <w:num w:numId="22">
    <w:abstractNumId w:val="28"/>
  </w:num>
  <w:num w:numId="23">
    <w:abstractNumId w:val="27"/>
  </w:num>
  <w:num w:numId="24">
    <w:abstractNumId w:val="35"/>
  </w:num>
  <w:num w:numId="25">
    <w:abstractNumId w:val="11"/>
  </w:num>
  <w:num w:numId="26">
    <w:abstractNumId w:val="24"/>
  </w:num>
  <w:num w:numId="27">
    <w:abstractNumId w:val="3"/>
  </w:num>
  <w:num w:numId="28">
    <w:abstractNumId w:val="12"/>
  </w:num>
  <w:num w:numId="29">
    <w:abstractNumId w:val="10"/>
  </w:num>
  <w:num w:numId="30">
    <w:abstractNumId w:val="0"/>
  </w:num>
  <w:num w:numId="31">
    <w:abstractNumId w:val="23"/>
  </w:num>
  <w:num w:numId="32">
    <w:abstractNumId w:val="30"/>
  </w:num>
  <w:num w:numId="33">
    <w:abstractNumId w:val="29"/>
  </w:num>
  <w:num w:numId="34">
    <w:abstractNumId w:val="33"/>
  </w:num>
  <w:num w:numId="35">
    <w:abstractNumId w:val="38"/>
  </w:num>
  <w:num w:numId="36">
    <w:abstractNumId w:val="22"/>
  </w:num>
  <w:num w:numId="37">
    <w:abstractNumId w:val="19"/>
  </w:num>
  <w:num w:numId="38">
    <w:abstractNumId w:val="36"/>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2A1A"/>
    <w:rsid w:val="00016522"/>
    <w:rsid w:val="00023F8E"/>
    <w:rsid w:val="00035535"/>
    <w:rsid w:val="00036017"/>
    <w:rsid w:val="00036937"/>
    <w:rsid w:val="00050F67"/>
    <w:rsid w:val="00051BE7"/>
    <w:rsid w:val="00055959"/>
    <w:rsid w:val="0006494A"/>
    <w:rsid w:val="00066D3D"/>
    <w:rsid w:val="00066DF4"/>
    <w:rsid w:val="0007664D"/>
    <w:rsid w:val="000800E4"/>
    <w:rsid w:val="00081791"/>
    <w:rsid w:val="000826B8"/>
    <w:rsid w:val="0008342D"/>
    <w:rsid w:val="00096050"/>
    <w:rsid w:val="00096D87"/>
    <w:rsid w:val="00097574"/>
    <w:rsid w:val="000B19BE"/>
    <w:rsid w:val="000B31C1"/>
    <w:rsid w:val="000B5F28"/>
    <w:rsid w:val="000B74A5"/>
    <w:rsid w:val="000C0CF9"/>
    <w:rsid w:val="000C2BD5"/>
    <w:rsid w:val="000D6153"/>
    <w:rsid w:val="000E5971"/>
    <w:rsid w:val="000F1E3E"/>
    <w:rsid w:val="00100DEC"/>
    <w:rsid w:val="00103C16"/>
    <w:rsid w:val="0010717C"/>
    <w:rsid w:val="00107219"/>
    <w:rsid w:val="00107A3B"/>
    <w:rsid w:val="00120282"/>
    <w:rsid w:val="00121E89"/>
    <w:rsid w:val="00122AF0"/>
    <w:rsid w:val="00131B3D"/>
    <w:rsid w:val="00132A01"/>
    <w:rsid w:val="00136BAF"/>
    <w:rsid w:val="00141C2D"/>
    <w:rsid w:val="001426D3"/>
    <w:rsid w:val="00156474"/>
    <w:rsid w:val="001624E5"/>
    <w:rsid w:val="00163F23"/>
    <w:rsid w:val="0016568E"/>
    <w:rsid w:val="00165C00"/>
    <w:rsid w:val="001731CC"/>
    <w:rsid w:val="001842B0"/>
    <w:rsid w:val="00184B7A"/>
    <w:rsid w:val="00186F84"/>
    <w:rsid w:val="001915A6"/>
    <w:rsid w:val="001933D7"/>
    <w:rsid w:val="00193907"/>
    <w:rsid w:val="00194236"/>
    <w:rsid w:val="001943B4"/>
    <w:rsid w:val="00196336"/>
    <w:rsid w:val="00196D40"/>
    <w:rsid w:val="00197D25"/>
    <w:rsid w:val="001A05D5"/>
    <w:rsid w:val="001A5313"/>
    <w:rsid w:val="001D43E6"/>
    <w:rsid w:val="001D575C"/>
    <w:rsid w:val="001E023E"/>
    <w:rsid w:val="001E1BCA"/>
    <w:rsid w:val="001E4363"/>
    <w:rsid w:val="002002CE"/>
    <w:rsid w:val="002031B0"/>
    <w:rsid w:val="00204B6B"/>
    <w:rsid w:val="0021609A"/>
    <w:rsid w:val="00223BF3"/>
    <w:rsid w:val="00230700"/>
    <w:rsid w:val="00234160"/>
    <w:rsid w:val="00251BB4"/>
    <w:rsid w:val="00252343"/>
    <w:rsid w:val="00254CA1"/>
    <w:rsid w:val="00270A72"/>
    <w:rsid w:val="002730CC"/>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5ED"/>
    <w:rsid w:val="002D398B"/>
    <w:rsid w:val="002D3DBE"/>
    <w:rsid w:val="002E2BCF"/>
    <w:rsid w:val="002E3B9B"/>
    <w:rsid w:val="002E4103"/>
    <w:rsid w:val="002E5576"/>
    <w:rsid w:val="002E6038"/>
    <w:rsid w:val="002F383D"/>
    <w:rsid w:val="002F6329"/>
    <w:rsid w:val="002F6822"/>
    <w:rsid w:val="00300EBF"/>
    <w:rsid w:val="00301C09"/>
    <w:rsid w:val="00302404"/>
    <w:rsid w:val="003029AF"/>
    <w:rsid w:val="0030712E"/>
    <w:rsid w:val="00310EC6"/>
    <w:rsid w:val="0031740D"/>
    <w:rsid w:val="00317BFE"/>
    <w:rsid w:val="00321071"/>
    <w:rsid w:val="0032234E"/>
    <w:rsid w:val="00322528"/>
    <w:rsid w:val="00323580"/>
    <w:rsid w:val="00333841"/>
    <w:rsid w:val="00333912"/>
    <w:rsid w:val="003345CA"/>
    <w:rsid w:val="00334AC9"/>
    <w:rsid w:val="00335E91"/>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399E"/>
    <w:rsid w:val="003A64D9"/>
    <w:rsid w:val="003B62A4"/>
    <w:rsid w:val="003D2966"/>
    <w:rsid w:val="003D5CD0"/>
    <w:rsid w:val="003F05B8"/>
    <w:rsid w:val="003F1869"/>
    <w:rsid w:val="003F2DAD"/>
    <w:rsid w:val="003F7C72"/>
    <w:rsid w:val="00400279"/>
    <w:rsid w:val="00400BCB"/>
    <w:rsid w:val="00402C7B"/>
    <w:rsid w:val="00410FDF"/>
    <w:rsid w:val="004257F8"/>
    <w:rsid w:val="004336C2"/>
    <w:rsid w:val="0043467F"/>
    <w:rsid w:val="004423BF"/>
    <w:rsid w:val="00450FF1"/>
    <w:rsid w:val="00453DAD"/>
    <w:rsid w:val="004547B4"/>
    <w:rsid w:val="00454BDC"/>
    <w:rsid w:val="004665DF"/>
    <w:rsid w:val="00485A6B"/>
    <w:rsid w:val="00490B74"/>
    <w:rsid w:val="00490EB5"/>
    <w:rsid w:val="004950BC"/>
    <w:rsid w:val="00495E1E"/>
    <w:rsid w:val="004A35BD"/>
    <w:rsid w:val="004B1520"/>
    <w:rsid w:val="004B30B9"/>
    <w:rsid w:val="004B79C8"/>
    <w:rsid w:val="004C01F4"/>
    <w:rsid w:val="004C04FE"/>
    <w:rsid w:val="004C0C9F"/>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4E09"/>
    <w:rsid w:val="005B6F60"/>
    <w:rsid w:val="005C2C2E"/>
    <w:rsid w:val="005C74DF"/>
    <w:rsid w:val="005D0BAF"/>
    <w:rsid w:val="005E2858"/>
    <w:rsid w:val="005F2BEB"/>
    <w:rsid w:val="005F5C65"/>
    <w:rsid w:val="00603E48"/>
    <w:rsid w:val="00603F29"/>
    <w:rsid w:val="00603FD7"/>
    <w:rsid w:val="00611298"/>
    <w:rsid w:val="0061311C"/>
    <w:rsid w:val="00624CA8"/>
    <w:rsid w:val="00627D17"/>
    <w:rsid w:val="006317D7"/>
    <w:rsid w:val="00632255"/>
    <w:rsid w:val="00632B7A"/>
    <w:rsid w:val="0063729E"/>
    <w:rsid w:val="0066236C"/>
    <w:rsid w:val="00662AE7"/>
    <w:rsid w:val="00662B97"/>
    <w:rsid w:val="006647AF"/>
    <w:rsid w:val="006717FC"/>
    <w:rsid w:val="0067260A"/>
    <w:rsid w:val="0067389C"/>
    <w:rsid w:val="00675314"/>
    <w:rsid w:val="0067773A"/>
    <w:rsid w:val="0068544A"/>
    <w:rsid w:val="0068705C"/>
    <w:rsid w:val="0069276F"/>
    <w:rsid w:val="00694E1B"/>
    <w:rsid w:val="006A5921"/>
    <w:rsid w:val="006A5C83"/>
    <w:rsid w:val="006B18C6"/>
    <w:rsid w:val="006B700E"/>
    <w:rsid w:val="006C28A9"/>
    <w:rsid w:val="006C3017"/>
    <w:rsid w:val="006D12DF"/>
    <w:rsid w:val="006D3B0E"/>
    <w:rsid w:val="006E6170"/>
    <w:rsid w:val="006E6CF0"/>
    <w:rsid w:val="006F079C"/>
    <w:rsid w:val="007031A5"/>
    <w:rsid w:val="00704C9B"/>
    <w:rsid w:val="007061D8"/>
    <w:rsid w:val="00711FE1"/>
    <w:rsid w:val="00723AA0"/>
    <w:rsid w:val="00741BC1"/>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B7906"/>
    <w:rsid w:val="007C5024"/>
    <w:rsid w:val="007C662D"/>
    <w:rsid w:val="007D3D0B"/>
    <w:rsid w:val="007D4DE0"/>
    <w:rsid w:val="007E61B1"/>
    <w:rsid w:val="007F4FAB"/>
    <w:rsid w:val="007F5E34"/>
    <w:rsid w:val="007F7113"/>
    <w:rsid w:val="00801536"/>
    <w:rsid w:val="0080305F"/>
    <w:rsid w:val="0082278A"/>
    <w:rsid w:val="00823712"/>
    <w:rsid w:val="00826542"/>
    <w:rsid w:val="008269C5"/>
    <w:rsid w:val="008516BF"/>
    <w:rsid w:val="00851D47"/>
    <w:rsid w:val="008626AC"/>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B7A75"/>
    <w:rsid w:val="008C0454"/>
    <w:rsid w:val="008C3233"/>
    <w:rsid w:val="008C45D2"/>
    <w:rsid w:val="008C75F6"/>
    <w:rsid w:val="008D6080"/>
    <w:rsid w:val="008E1E4F"/>
    <w:rsid w:val="008F01C9"/>
    <w:rsid w:val="008F2A82"/>
    <w:rsid w:val="008F2D9C"/>
    <w:rsid w:val="008F4DCF"/>
    <w:rsid w:val="008F75A7"/>
    <w:rsid w:val="008F7ADB"/>
    <w:rsid w:val="0090360B"/>
    <w:rsid w:val="00915E47"/>
    <w:rsid w:val="0091736F"/>
    <w:rsid w:val="00923F45"/>
    <w:rsid w:val="009268CC"/>
    <w:rsid w:val="009269C9"/>
    <w:rsid w:val="00927AB8"/>
    <w:rsid w:val="00927E88"/>
    <w:rsid w:val="00930475"/>
    <w:rsid w:val="00940FF7"/>
    <w:rsid w:val="00950A09"/>
    <w:rsid w:val="00955416"/>
    <w:rsid w:val="009625F3"/>
    <w:rsid w:val="00963C8C"/>
    <w:rsid w:val="009678D6"/>
    <w:rsid w:val="00975752"/>
    <w:rsid w:val="00975DAA"/>
    <w:rsid w:val="00976E88"/>
    <w:rsid w:val="0098271F"/>
    <w:rsid w:val="00984E2B"/>
    <w:rsid w:val="0098564D"/>
    <w:rsid w:val="00986CD8"/>
    <w:rsid w:val="00994258"/>
    <w:rsid w:val="00994DEC"/>
    <w:rsid w:val="009B1A11"/>
    <w:rsid w:val="009B316E"/>
    <w:rsid w:val="009B6FBB"/>
    <w:rsid w:val="009C4F86"/>
    <w:rsid w:val="009C7185"/>
    <w:rsid w:val="009D2B84"/>
    <w:rsid w:val="009D5E62"/>
    <w:rsid w:val="009E4CDD"/>
    <w:rsid w:val="009E50CE"/>
    <w:rsid w:val="009F1DE4"/>
    <w:rsid w:val="009F317E"/>
    <w:rsid w:val="00A13561"/>
    <w:rsid w:val="00A20C17"/>
    <w:rsid w:val="00A21054"/>
    <w:rsid w:val="00A26284"/>
    <w:rsid w:val="00A26DF7"/>
    <w:rsid w:val="00A359F5"/>
    <w:rsid w:val="00A37F8D"/>
    <w:rsid w:val="00A40B4F"/>
    <w:rsid w:val="00A46900"/>
    <w:rsid w:val="00A53E26"/>
    <w:rsid w:val="00A56D40"/>
    <w:rsid w:val="00A57583"/>
    <w:rsid w:val="00A57AFF"/>
    <w:rsid w:val="00A57FEC"/>
    <w:rsid w:val="00A744FC"/>
    <w:rsid w:val="00A8367F"/>
    <w:rsid w:val="00A90F1D"/>
    <w:rsid w:val="00A97E10"/>
    <w:rsid w:val="00AA0EFA"/>
    <w:rsid w:val="00AA43DE"/>
    <w:rsid w:val="00AB15A5"/>
    <w:rsid w:val="00AB4717"/>
    <w:rsid w:val="00AC3A3D"/>
    <w:rsid w:val="00AC3F01"/>
    <w:rsid w:val="00AC4A14"/>
    <w:rsid w:val="00AC5AE7"/>
    <w:rsid w:val="00AE05FB"/>
    <w:rsid w:val="00AE07C5"/>
    <w:rsid w:val="00AE7A5D"/>
    <w:rsid w:val="00AF59DA"/>
    <w:rsid w:val="00AF7A12"/>
    <w:rsid w:val="00AF7AC3"/>
    <w:rsid w:val="00B02CB8"/>
    <w:rsid w:val="00B06B9F"/>
    <w:rsid w:val="00B13923"/>
    <w:rsid w:val="00B16ABE"/>
    <w:rsid w:val="00B317F0"/>
    <w:rsid w:val="00B44BF0"/>
    <w:rsid w:val="00B44E20"/>
    <w:rsid w:val="00B4543F"/>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7AF1"/>
    <w:rsid w:val="00C02384"/>
    <w:rsid w:val="00C07142"/>
    <w:rsid w:val="00C07B5F"/>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5FC5"/>
    <w:rsid w:val="00CA70E0"/>
    <w:rsid w:val="00CB11E8"/>
    <w:rsid w:val="00CB5BBB"/>
    <w:rsid w:val="00CB5FEF"/>
    <w:rsid w:val="00CC1170"/>
    <w:rsid w:val="00CD0C22"/>
    <w:rsid w:val="00CD3DDA"/>
    <w:rsid w:val="00CF0EA2"/>
    <w:rsid w:val="00D05AFA"/>
    <w:rsid w:val="00D1664E"/>
    <w:rsid w:val="00D20A4E"/>
    <w:rsid w:val="00D21192"/>
    <w:rsid w:val="00D32E07"/>
    <w:rsid w:val="00D3521D"/>
    <w:rsid w:val="00D3649F"/>
    <w:rsid w:val="00D374F6"/>
    <w:rsid w:val="00D413DD"/>
    <w:rsid w:val="00D42643"/>
    <w:rsid w:val="00D4580A"/>
    <w:rsid w:val="00D50006"/>
    <w:rsid w:val="00D57373"/>
    <w:rsid w:val="00D601D5"/>
    <w:rsid w:val="00D62172"/>
    <w:rsid w:val="00D62829"/>
    <w:rsid w:val="00D62B67"/>
    <w:rsid w:val="00D62F34"/>
    <w:rsid w:val="00D64C61"/>
    <w:rsid w:val="00D67120"/>
    <w:rsid w:val="00D672AF"/>
    <w:rsid w:val="00D80F85"/>
    <w:rsid w:val="00D8790E"/>
    <w:rsid w:val="00D92A5E"/>
    <w:rsid w:val="00DC00F9"/>
    <w:rsid w:val="00DC1D62"/>
    <w:rsid w:val="00DC2A65"/>
    <w:rsid w:val="00DC449C"/>
    <w:rsid w:val="00DC4848"/>
    <w:rsid w:val="00DC4AC6"/>
    <w:rsid w:val="00DC583B"/>
    <w:rsid w:val="00DC6011"/>
    <w:rsid w:val="00DC7220"/>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14C1"/>
    <w:rsid w:val="00E729C0"/>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E6363"/>
    <w:rsid w:val="00EF1AC5"/>
    <w:rsid w:val="00EF61D3"/>
    <w:rsid w:val="00F04200"/>
    <w:rsid w:val="00F04C5D"/>
    <w:rsid w:val="00F06531"/>
    <w:rsid w:val="00F1008C"/>
    <w:rsid w:val="00F15414"/>
    <w:rsid w:val="00F16595"/>
    <w:rsid w:val="00F17567"/>
    <w:rsid w:val="00F35C56"/>
    <w:rsid w:val="00F43488"/>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C71CA"/>
    <w:rsid w:val="00FD2682"/>
    <w:rsid w:val="00FE2049"/>
    <w:rsid w:val="00FE2841"/>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2FAAF4"/>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4950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950B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 w:type="character" w:customStyle="1" w:styleId="Ttulo4Car">
    <w:name w:val="Título 4 Car"/>
    <w:basedOn w:val="Fuentedeprrafopredeter"/>
    <w:link w:val="Ttulo4"/>
    <w:uiPriority w:val="9"/>
    <w:rsid w:val="004950BC"/>
    <w:rPr>
      <w:rFonts w:asciiTheme="majorHAnsi" w:eastAsiaTheme="majorEastAsia" w:hAnsiTheme="majorHAnsi" w:cstheme="majorBidi"/>
      <w:i/>
      <w:iCs/>
      <w:color w:val="2E74B5" w:themeColor="accent1" w:themeShade="BF"/>
      <w:sz w:val="24"/>
      <w:szCs w:val="24"/>
      <w:lang w:val="es-US" w:eastAsia="es-ES_tradnl"/>
    </w:rPr>
  </w:style>
  <w:style w:type="character" w:customStyle="1" w:styleId="Ttulo5Car">
    <w:name w:val="Título 5 Car"/>
    <w:basedOn w:val="Fuentedeprrafopredeter"/>
    <w:link w:val="Ttulo5"/>
    <w:uiPriority w:val="9"/>
    <w:rsid w:val="004950BC"/>
    <w:rPr>
      <w:rFonts w:asciiTheme="majorHAnsi" w:eastAsiaTheme="majorEastAsia" w:hAnsiTheme="majorHAnsi" w:cstheme="majorBidi"/>
      <w:color w:val="2E74B5" w:themeColor="accent1" w:themeShade="BF"/>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contribuyente.mx/2018/05/que-ocurre-si-el-fisco-no-te-responde-una-petic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1D72-870C-4D92-9B36-A9899D6D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95</Pages>
  <Words>20810</Words>
  <Characters>114455</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21</cp:revision>
  <cp:lastPrinted>2019-08-21T23:30:00Z</cp:lastPrinted>
  <dcterms:created xsi:type="dcterms:W3CDTF">2021-02-17T09:19:00Z</dcterms:created>
  <dcterms:modified xsi:type="dcterms:W3CDTF">2021-04-07T02:02:00Z</dcterms:modified>
</cp:coreProperties>
</file>