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3E0" w:rsidRDefault="00D838B0">
      <w:pPr>
        <w:spacing w:after="240" w:line="360" w:lineRule="auto"/>
        <w:jc w:val="both"/>
        <w:rPr>
          <w:rFonts w:ascii="Palatino Linotype" w:hAnsi="Palatino Linotype"/>
        </w:rPr>
      </w:pPr>
      <w:bookmarkStart w:id="0" w:name="_GoBack"/>
      <w:bookmarkEnd w:id="0"/>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B953E0" w:rsidRDefault="00D838B0">
      <w:pPr>
        <w:spacing w:before="120"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01077/INFOEM/IP/RR/2020</w:t>
      </w:r>
      <w:r>
        <w:rPr>
          <w:rFonts w:ascii="Palatino Linotype" w:hAnsi="Palatino Linotype"/>
        </w:rPr>
        <w:t xml:space="preserve">, promovido por </w:t>
      </w:r>
      <w:r w:rsidR="00950795" w:rsidRPr="00950795">
        <w:rPr>
          <w:rFonts w:ascii="Palatino Linotype" w:hAnsi="Palatino Linotype" w:cs="Arial"/>
          <w:b/>
          <w:bCs/>
        </w:rPr>
        <w:t>xxxxxxx xxxxxx xxxxxx</w:t>
      </w:r>
      <w:r>
        <w:rPr>
          <w:rFonts w:ascii="Palatino Linotype" w:hAnsi="Palatino Linotype" w:cs="Arial"/>
        </w:rPr>
        <w:t>, en lo sucesivo</w:t>
      </w:r>
      <w:r>
        <w:rPr>
          <w:rFonts w:ascii="Palatino Linotype" w:hAnsi="Palatino Linotype" w:cs="Arial"/>
          <w:b/>
        </w:rPr>
        <w:t xml:space="preserve"> LA RECURRENTE</w:t>
      </w:r>
      <w:r>
        <w:rPr>
          <w:rFonts w:ascii="Palatino Linotype" w:hAnsi="Palatino Linotype"/>
        </w:rPr>
        <w:t xml:space="preserve">, en contra de la respuesta emitida por el </w:t>
      </w:r>
      <w:r>
        <w:rPr>
          <w:rFonts w:ascii="Palatino Linotype" w:hAnsi="Palatino Linotype"/>
          <w:b/>
        </w:rPr>
        <w:t>Ayuntamiento de Tlalmanalco</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B953E0" w:rsidRDefault="00D838B0">
      <w:pPr>
        <w:spacing w:before="240" w:after="120"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B953E0" w:rsidRDefault="00D838B0">
      <w:pPr>
        <w:pStyle w:val="Prrafodelista"/>
        <w:numPr>
          <w:ilvl w:val="0"/>
          <w:numId w:val="2"/>
        </w:numPr>
        <w:tabs>
          <w:tab w:val="left" w:pos="0"/>
        </w:tabs>
        <w:spacing w:before="240" w:after="240"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trece de febrero de dos mil veinte, </w:t>
      </w:r>
      <w:r>
        <w:rPr>
          <w:rFonts w:ascii="Palatino Linotype" w:hAnsi="Palatino Linotype" w:cs="Arial"/>
          <w:b/>
        </w:rPr>
        <w:t>LA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la información pública, a la que se le asignó el número </w:t>
      </w:r>
      <w:r>
        <w:rPr>
          <w:rFonts w:ascii="Palatino Linotype" w:hAnsi="Palatino Linotype"/>
          <w:b/>
          <w:bCs/>
        </w:rPr>
        <w:t>00027/TLALMANA/IP/2020</w:t>
      </w:r>
      <w:r>
        <w:rPr>
          <w:rFonts w:ascii="Palatino Linotype" w:hAnsi="Palatino Linotype"/>
        </w:rPr>
        <w:t>, mediante la cual requirió por dicha vía:</w:t>
      </w:r>
    </w:p>
    <w:p w:rsidR="00B953E0" w:rsidRDefault="00D838B0">
      <w:pPr>
        <w:spacing w:before="160" w:after="160"/>
        <w:ind w:left="709" w:right="709"/>
        <w:jc w:val="both"/>
        <w:rPr>
          <w:rFonts w:ascii="Palatino Linotype" w:hAnsi="Palatino Linotype"/>
          <w:sz w:val="22"/>
          <w:szCs w:val="22"/>
        </w:rPr>
      </w:pPr>
      <w:r>
        <w:rPr>
          <w:rFonts w:ascii="Palatino Linotype" w:hAnsi="Palatino Linotype" w:cs="Arial"/>
          <w:i/>
          <w:sz w:val="22"/>
          <w:szCs w:val="22"/>
        </w:rPr>
        <w:t xml:space="preserve">“A través de la presente vengo a solicitar la lista de los nombres completos y cargos que desempeñan los ciudadanos electos como delegados, subdelegados y/o en su caso COPACIS para el periodo 2019-2022, del municipio de Tlalmanalco, Estado de México, de todas sus comunidades, barrios o delegaciones.” </w:t>
      </w:r>
      <w:r>
        <w:rPr>
          <w:rFonts w:ascii="Palatino Linotype" w:hAnsi="Palatino Linotype"/>
          <w:sz w:val="22"/>
          <w:szCs w:val="22"/>
        </w:rPr>
        <w:t>(Sic)</w:t>
      </w:r>
      <w:bookmarkStart w:id="1" w:name="_Ref516764469"/>
    </w:p>
    <w:p w:rsidR="00B953E0" w:rsidRDefault="00D838B0">
      <w:pPr>
        <w:pStyle w:val="Prrafodelista"/>
        <w:numPr>
          <w:ilvl w:val="0"/>
          <w:numId w:val="2"/>
        </w:numPr>
        <w:tabs>
          <w:tab w:val="left" w:pos="709"/>
        </w:tabs>
        <w:spacing w:before="360" w:after="240" w:line="360" w:lineRule="auto"/>
        <w:ind w:left="0" w:firstLine="0"/>
        <w:jc w:val="both"/>
        <w:rPr>
          <w:rFonts w:ascii="Palatino Linotype" w:hAnsi="Palatino Linotype" w:cs="Arial"/>
        </w:rPr>
      </w:pPr>
      <w:r>
        <w:rPr>
          <w:rFonts w:ascii="Palatino Linotype" w:hAnsi="Palatino Linotype" w:cs="Arial"/>
          <w:szCs w:val="20"/>
        </w:rPr>
        <w:t xml:space="preserve">De las constancias que obran en el expediente electrónico del </w:t>
      </w:r>
      <w:r>
        <w:rPr>
          <w:rFonts w:ascii="Palatino Linotype" w:hAnsi="Palatino Linotype" w:cs="Arial"/>
          <w:b/>
          <w:szCs w:val="20"/>
        </w:rPr>
        <w:t>SAIMEX</w:t>
      </w:r>
      <w:r>
        <w:rPr>
          <w:rFonts w:ascii="Palatino Linotype" w:hAnsi="Palatino Linotype" w:cs="Arial"/>
          <w:szCs w:val="20"/>
        </w:rPr>
        <w:t xml:space="preserve">, </w:t>
      </w:r>
      <w:r>
        <w:rPr>
          <w:rFonts w:ascii="Palatino Linotype" w:hAnsi="Palatino Linotype" w:cs="Arial"/>
        </w:rPr>
        <w:t xml:space="preserve">en fecha </w:t>
      </w:r>
      <w:r>
        <w:rPr>
          <w:rFonts w:ascii="Palatino Linotype" w:hAnsi="Palatino Linotype"/>
        </w:rPr>
        <w:t xml:space="preserve">dieciocho de febrero de dos mil veinte, </w:t>
      </w:r>
      <w:r>
        <w:rPr>
          <w:rFonts w:ascii="Palatino Linotype" w:hAnsi="Palatino Linotype" w:cs="Arial"/>
          <w:b/>
        </w:rPr>
        <w:t>EL SUJETO OBLIGADO</w:t>
      </w:r>
      <w:r>
        <w:rPr>
          <w:rFonts w:ascii="Palatino Linotype" w:hAnsi="Palatino Linotype" w:cs="Arial"/>
        </w:rPr>
        <w:t xml:space="preserve"> dio respuesta a la </w:t>
      </w:r>
      <w:r>
        <w:rPr>
          <w:rFonts w:ascii="Palatino Linotype" w:hAnsi="Palatino Linotype"/>
        </w:rPr>
        <w:t>solicitud</w:t>
      </w:r>
      <w:r>
        <w:rPr>
          <w:rFonts w:ascii="Palatino Linotype" w:hAnsi="Palatino Linotype" w:cs="Arial"/>
        </w:rPr>
        <w:t xml:space="preserve"> de </w:t>
      </w:r>
      <w:r>
        <w:rPr>
          <w:rFonts w:ascii="Palatino Linotype" w:hAnsi="Palatino Linotype"/>
        </w:rPr>
        <w:t>acceso</w:t>
      </w:r>
      <w:r>
        <w:rPr>
          <w:rFonts w:ascii="Palatino Linotype" w:hAnsi="Palatino Linotype" w:cs="Arial"/>
        </w:rPr>
        <w:t xml:space="preserve"> a la información pública requerida por </w:t>
      </w:r>
      <w:r>
        <w:rPr>
          <w:rFonts w:ascii="Palatino Linotype" w:hAnsi="Palatino Linotype" w:cs="Arial"/>
          <w:b/>
        </w:rPr>
        <w:t>LA RECURRENTE</w:t>
      </w:r>
      <w:r>
        <w:rPr>
          <w:rFonts w:ascii="Palatino Linotype" w:hAnsi="Palatino Linotype" w:cs="Arial"/>
        </w:rPr>
        <w:t>, en los siguientes términos:</w:t>
      </w:r>
      <w:bookmarkEnd w:id="1"/>
    </w:p>
    <w:p w:rsidR="00B953E0" w:rsidRDefault="00D838B0">
      <w:pPr>
        <w:spacing w:before="240" w:after="240"/>
        <w:ind w:left="709" w:right="709"/>
        <w:jc w:val="right"/>
        <w:rPr>
          <w:rFonts w:ascii="Palatino Linotype" w:hAnsi="Palatino Linotype" w:cs="Arial"/>
          <w:i/>
          <w:sz w:val="22"/>
          <w:szCs w:val="22"/>
        </w:rPr>
      </w:pPr>
      <w:r>
        <w:rPr>
          <w:rFonts w:ascii="Palatino Linotype" w:hAnsi="Palatino Linotype" w:cs="Arial"/>
          <w:i/>
          <w:sz w:val="22"/>
        </w:rPr>
        <w:lastRenderedPageBreak/>
        <w:t>“</w:t>
      </w:r>
      <w:r>
        <w:rPr>
          <w:rFonts w:ascii="Palatino Linotype" w:hAnsi="Palatino Linotype" w:cs="Arial"/>
          <w:i/>
          <w:sz w:val="22"/>
          <w:szCs w:val="22"/>
        </w:rPr>
        <w:t>Folio de la solicitud: 00027/TLALMANA/IP/2020</w:t>
      </w:r>
    </w:p>
    <w:p w:rsidR="00B953E0" w:rsidRDefault="00D838B0">
      <w:pPr>
        <w:spacing w:before="240" w:after="240"/>
        <w:ind w:left="709" w:right="709"/>
        <w:jc w:val="both"/>
        <w:rPr>
          <w:rFonts w:ascii="Palatino Linotype" w:hAnsi="Palatino Linotype" w:cs="Arial"/>
          <w:i/>
          <w:sz w:val="22"/>
          <w:szCs w:val="22"/>
        </w:rPr>
      </w:pPr>
      <w:r>
        <w:rPr>
          <w:rFonts w:ascii="Palatino Linotype" w:hAnsi="Palatino Linotype" w:cs="Arial"/>
          <w:i/>
          <w:sz w:val="22"/>
          <w:szCs w:val="22"/>
        </w:rPr>
        <w:t>EN ATENCIÓN A SU SOLICITUD LE ENTREGO EN FORMATO PDF UN ARCHIVO CON LA INFORMACIÓN SOLICITADA.</w:t>
      </w:r>
    </w:p>
    <w:p w:rsidR="00B953E0" w:rsidRDefault="00D838B0">
      <w:pPr>
        <w:spacing w:before="240" w:after="240"/>
        <w:ind w:left="709" w:right="709"/>
        <w:jc w:val="both"/>
        <w:rPr>
          <w:rFonts w:ascii="Palatino Linotype" w:hAnsi="Palatino Linotype" w:cs="Arial"/>
          <w:i/>
          <w:sz w:val="22"/>
          <w:szCs w:val="22"/>
        </w:rPr>
      </w:pPr>
      <w:r>
        <w:rPr>
          <w:rFonts w:ascii="Palatino Linotype" w:hAnsi="Palatino Linotype" w:cs="Arial"/>
          <w:i/>
          <w:sz w:val="22"/>
          <w:szCs w:val="22"/>
        </w:rPr>
        <w:t>ATENTAMENTE</w:t>
      </w:r>
    </w:p>
    <w:p w:rsidR="00B953E0" w:rsidRDefault="00D838B0">
      <w:pPr>
        <w:spacing w:before="240" w:after="240"/>
        <w:ind w:left="709" w:right="709"/>
        <w:jc w:val="both"/>
        <w:rPr>
          <w:rFonts w:ascii="Palatino Linotype" w:hAnsi="Palatino Linotype"/>
          <w:sz w:val="22"/>
        </w:rPr>
      </w:pPr>
      <w:r>
        <w:rPr>
          <w:rFonts w:ascii="Palatino Linotype" w:hAnsi="Palatino Linotype" w:cs="Arial"/>
          <w:i/>
          <w:sz w:val="22"/>
          <w:szCs w:val="22"/>
        </w:rPr>
        <w:t>C. Lucio Francisco Díaz Castañeda,”</w:t>
      </w:r>
      <w:r>
        <w:rPr>
          <w:rFonts w:ascii="Palatino Linotype" w:hAnsi="Palatino Linotype" w:cs="Arial"/>
          <w:i/>
          <w:sz w:val="22"/>
        </w:rPr>
        <w:t xml:space="preserve"> </w:t>
      </w:r>
      <w:r>
        <w:rPr>
          <w:rFonts w:ascii="Palatino Linotype" w:hAnsi="Palatino Linotype"/>
          <w:sz w:val="22"/>
        </w:rPr>
        <w:t>(Sic)</w:t>
      </w:r>
    </w:p>
    <w:p w:rsidR="00B953E0" w:rsidRDefault="00D838B0">
      <w:pPr>
        <w:spacing w:before="240" w:after="240" w:line="360" w:lineRule="auto"/>
        <w:ind w:right="709"/>
        <w:jc w:val="both"/>
        <w:rPr>
          <w:rFonts w:ascii="Palatino Linotype" w:hAnsi="Palatino Linotype" w:cs="Arial"/>
          <w:sz w:val="22"/>
          <w:szCs w:val="22"/>
        </w:rPr>
      </w:pPr>
      <w:r>
        <w:rPr>
          <w:rFonts w:ascii="Palatino Linotype" w:hAnsi="Palatino Linotype" w:cs="Arial"/>
          <w:sz w:val="22"/>
          <w:szCs w:val="22"/>
        </w:rPr>
        <w:t xml:space="preserve">Advirtiendo de dicha respuesta, que </w:t>
      </w:r>
      <w:r>
        <w:rPr>
          <w:rFonts w:ascii="Palatino Linotype" w:hAnsi="Palatino Linotype" w:cs="Arial"/>
          <w:b/>
          <w:sz w:val="22"/>
          <w:szCs w:val="22"/>
        </w:rPr>
        <w:t>EL SUJETO OBLIGADO</w:t>
      </w:r>
      <w:r>
        <w:rPr>
          <w:rFonts w:ascii="Palatino Linotype" w:hAnsi="Palatino Linotype" w:cs="Arial"/>
          <w:sz w:val="22"/>
          <w:szCs w:val="22"/>
        </w:rPr>
        <w:t xml:space="preserve"> acompaño el archivo electrónico denominado </w:t>
      </w:r>
      <w:r>
        <w:rPr>
          <w:rFonts w:ascii="Palatino Linotype" w:hAnsi="Palatino Linotype" w:cs="Arial"/>
          <w:b/>
          <w:i/>
          <w:sz w:val="22"/>
          <w:szCs w:val="22"/>
        </w:rPr>
        <w:t xml:space="preserve">027.pdf, </w:t>
      </w:r>
      <w:r>
        <w:rPr>
          <w:rFonts w:ascii="Palatino Linotype" w:hAnsi="Palatino Linotype" w:cs="Arial"/>
          <w:sz w:val="22"/>
          <w:szCs w:val="22"/>
        </w:rPr>
        <w:t xml:space="preserve">el cual contiene: </w:t>
      </w:r>
    </w:p>
    <w:p w:rsidR="00B953E0" w:rsidRDefault="00D838B0">
      <w:pPr>
        <w:spacing w:before="240" w:after="240" w:line="360" w:lineRule="auto"/>
        <w:ind w:right="709"/>
        <w:jc w:val="both"/>
        <w:rPr>
          <w:rFonts w:ascii="Palatino Linotype" w:hAnsi="Palatino Linotype" w:cs="Arial"/>
          <w:sz w:val="22"/>
          <w:szCs w:val="22"/>
        </w:rPr>
      </w:pPr>
      <w:r>
        <w:rPr>
          <w:noProof/>
          <w:lang w:eastAsia="es-MX"/>
        </w:rPr>
        <w:drawing>
          <wp:inline distT="0" distB="0" distL="0" distR="0">
            <wp:extent cx="5800725" cy="4781550"/>
            <wp:effectExtent l="0" t="0" r="952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8"/>
                    <a:stretch>
                      <a:fillRect/>
                    </a:stretch>
                  </pic:blipFill>
                  <pic:spPr bwMode="auto">
                    <a:xfrm>
                      <a:off x="0" y="0"/>
                      <a:ext cx="5800725" cy="4781550"/>
                    </a:xfrm>
                    <a:prstGeom prst="rect">
                      <a:avLst/>
                    </a:prstGeom>
                  </pic:spPr>
                </pic:pic>
              </a:graphicData>
            </a:graphic>
          </wp:inline>
        </w:drawing>
      </w:r>
    </w:p>
    <w:p w:rsidR="00B953E0" w:rsidRDefault="00D838B0">
      <w:pPr>
        <w:pStyle w:val="Prrafodelista"/>
        <w:widowControl w:val="0"/>
        <w:numPr>
          <w:ilvl w:val="0"/>
          <w:numId w:val="7"/>
        </w:numPr>
        <w:tabs>
          <w:tab w:val="left" w:pos="0"/>
        </w:tabs>
        <w:spacing w:before="200" w:after="200" w:line="360" w:lineRule="auto"/>
        <w:ind w:left="0" w:firstLine="0"/>
        <w:jc w:val="both"/>
        <w:rPr>
          <w:rFonts w:ascii="Palatino Linotype" w:hAnsi="Palatino Linotype" w:cs="Arial"/>
        </w:rPr>
      </w:pPr>
      <w:bookmarkStart w:id="2" w:name="_Ref507070922"/>
      <w:r>
        <w:rPr>
          <w:rFonts w:ascii="Palatino Linotype" w:hAnsi="Palatino Linotype"/>
        </w:rPr>
        <w:lastRenderedPageBreak/>
        <w:t xml:space="preserve">Inconforme con la respuesta del </w:t>
      </w:r>
      <w:r>
        <w:rPr>
          <w:rFonts w:ascii="Palatino Linotype" w:hAnsi="Palatino Linotype"/>
          <w:b/>
        </w:rPr>
        <w:t>SUJETO OBLIGADO</w:t>
      </w:r>
      <w:r>
        <w:rPr>
          <w:rFonts w:ascii="Palatino Linotype" w:hAnsi="Palatino Linotype"/>
        </w:rPr>
        <w:t xml:space="preserve">, en fecha dieciocho de febrero de dos mil veinte, </w:t>
      </w:r>
      <w:r>
        <w:rPr>
          <w:rFonts w:ascii="Palatino Linotype" w:hAnsi="Palatino Linotype" w:cs="Arial"/>
          <w:b/>
        </w:rPr>
        <w:t>LA RECURRENTE</w:t>
      </w:r>
      <w:r>
        <w:rPr>
          <w:rFonts w:ascii="Palatino Linotype" w:hAnsi="Palatino Linotype"/>
        </w:rPr>
        <w:t>,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 xml:space="preserve">número </w:t>
      </w:r>
      <w:r>
        <w:rPr>
          <w:rFonts w:ascii="Palatino Linotype" w:hAnsi="Palatino Linotype" w:cs="Arial"/>
          <w:b/>
          <w:bCs/>
          <w:lang w:val="es-ES_tradnl"/>
        </w:rPr>
        <w:t>01077/INFOEM/IP/RR/2020</w:t>
      </w:r>
      <w:r>
        <w:rPr>
          <w:rFonts w:ascii="Palatino Linotype" w:hAnsi="Palatino Linotype" w:cs="Arial"/>
        </w:rPr>
        <w:t>, en el que señaló como acto impugnado, lo siguiente:</w:t>
      </w:r>
      <w:bookmarkEnd w:id="2"/>
    </w:p>
    <w:p w:rsidR="00B953E0" w:rsidRDefault="00D838B0">
      <w:pPr>
        <w:spacing w:before="360" w:after="240"/>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w:t>
      </w:r>
      <w:r>
        <w:rPr>
          <w:rFonts w:ascii="Palatino Linotype" w:hAnsi="Palatino Linotype" w:cs="Arial"/>
          <w:i/>
          <w:sz w:val="22"/>
          <w:szCs w:val="22"/>
        </w:rPr>
        <w:t>LA RESPUESTA A LA SOLICITUD 00027/TLALMANA/IP/2020, POR LA CUAL DAN RESPUESTA, SIN EMBARGO QUISIERA QUE SE ME ACLARE POR QUE RAZÓN SOLO ME MANDAN DATOS DE ALGUNOS LUGARES SIENDO QUE SU BANDO MUNICIPAL EN EL ARTICULO 14, SEÑALA QUE EL MUNICIPIO ESTA INTEGRADO TERRITORIALMENTE POR LOS SIGUIENTES: a)Una Cabecera Municipal denominada: Tlalmanalco de Velázquez, donde reside el gobierno municipal; b)La Cabecera Municipal de Tlalmanalco está integrada por los barrios de: San Pedro, Tlaquila, Cruz de Mayo, Tlatelpan, Calvario, Tula, La Comunidad, Ocotepec, Las Calaveras, Chapultepec, Chincolos, Santa Cecilia; c)Siete delegaciones, cuyas denominaciones son: San Rafael, San Juan Atzacualoya, San Lorenzo Tlalmimilolpan, Santo Tomás Atzingo, San Antonio Tlaltecahuacán, Pueblo Nuevo y Santa María; d)Colonias de Tlalmanalco denominadas: San Diego (Colonias de reparto ejidal), la Rumorosa, San Cristóbal y Tezopilo (de reparto común municipal), Los Tordos, Centenario, Jerusalén, Tercera de San Pedro, El Magueyal I, El Magueyal II, La Escondida, El Pedregal, El Edén, Capulín, Vista Bella, Vista Hermosa, Santiago y los Girasoles; e)San Rafael:Barrio Alto,La Cañada, Los Cuartos, El Faro, Isla de Monos y la Peña; f)Colonias en San Rafael: El Encinal, Loma Linda, Miguel Hidalgo, Obrera Solidaridad; g)Colonias del Ejido de Tlalmanalco, ubicadas en San Rafael: Anselmo Granados, Prolongación Anselmo Granados, Prolongación La Cañada y Las Margaritas; h)Colonias Ejido de Santo Tomás ubicada en San Rafael: Colonia Ejidal la Ladrillera; i)Seis Ranchos: Santa Cruz, La Mesa, Chiconquiahuac, La Joya, ElSocorro y Ranchería San José Zavaleta; j)Colonias ubicadas en San Juan Atzacualoya: Veintiuno de Marzo, Las Conchitas (de reparto común y ejidal); 13Ayuntamiento Constitucional de Tlalmanalco2019 -2021k)Siete conjuntos urbanos de interés social: INFONAVIT “Fidel Velázquez”, INFONAVIT “Salvador Angulo”, INFONAVIT “El Escribiente”, “Laura Méndez de Cuenca”, “Chantico I” “Chantico II”, Villa Rincón de la Montaña, “El Magisterio Sierra Nevada” y i)Las que en lo sucesivo se formen de acuerdo a la ley. POR LO QUE SOLICITO SE ME ACLARE SI QUE NO EXISTEN DELEGADOS O COPACIS EN LOS LUGARES FALTANTES."</w:t>
      </w:r>
      <w:r>
        <w:rPr>
          <w:rFonts w:ascii="Palatino Linotype" w:hAnsi="Palatino Linotype" w:cs="Arial"/>
          <w:i/>
          <w:sz w:val="22"/>
          <w:szCs w:val="22"/>
          <w:lang w:eastAsia="es-MX"/>
        </w:rPr>
        <w:t xml:space="preserve"> </w:t>
      </w:r>
      <w:r>
        <w:rPr>
          <w:rFonts w:ascii="Palatino Linotype" w:hAnsi="Palatino Linotype" w:cs="Arial"/>
          <w:sz w:val="22"/>
          <w:szCs w:val="22"/>
          <w:lang w:eastAsia="es-MX"/>
        </w:rPr>
        <w:t>(Sic)</w:t>
      </w:r>
    </w:p>
    <w:p w:rsidR="00B953E0" w:rsidRDefault="00D838B0">
      <w:pPr>
        <w:pStyle w:val="Prrafodelista"/>
        <w:spacing w:before="360" w:after="240" w:line="360" w:lineRule="auto"/>
        <w:ind w:left="0"/>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LA RECURRENTE </w:t>
      </w:r>
      <w:r>
        <w:rPr>
          <w:rFonts w:ascii="Palatino Linotype" w:hAnsi="Palatino Linotype"/>
        </w:rPr>
        <w:t>indicó como razones o motivos de inconformidad:</w:t>
      </w:r>
    </w:p>
    <w:p w:rsidR="00B953E0" w:rsidRDefault="00D838B0">
      <w:pPr>
        <w:spacing w:before="360" w:after="240"/>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lastRenderedPageBreak/>
        <w:t>“</w:t>
      </w:r>
      <w:r>
        <w:rPr>
          <w:rFonts w:ascii="Palatino Linotype" w:hAnsi="Palatino Linotype" w:cs="Arial"/>
          <w:i/>
          <w:sz w:val="22"/>
          <w:szCs w:val="22"/>
        </w:rPr>
        <w:t>LA VULNERACIÓN DE MI DERECHO HUMANO A LA INFORMACIÓN.</w:t>
      </w:r>
      <w:r>
        <w:rPr>
          <w:rFonts w:ascii="Palatino Linotype" w:hAnsi="Palatino Linotype" w:cs="Arial"/>
          <w:i/>
          <w:sz w:val="22"/>
          <w:szCs w:val="22"/>
          <w:lang w:eastAsia="es-MX"/>
        </w:rPr>
        <w:t xml:space="preserve">” </w:t>
      </w:r>
      <w:r>
        <w:rPr>
          <w:rFonts w:ascii="Palatino Linotype" w:hAnsi="Palatino Linotype" w:cs="Arial"/>
          <w:sz w:val="22"/>
          <w:szCs w:val="22"/>
          <w:lang w:eastAsia="es-MX"/>
        </w:rPr>
        <w:t>(Sic)</w:t>
      </w:r>
    </w:p>
    <w:p w:rsidR="00B953E0" w:rsidRDefault="00D838B0">
      <w:pPr>
        <w:pStyle w:val="Prrafodelista"/>
        <w:widowControl w:val="0"/>
        <w:numPr>
          <w:ilvl w:val="0"/>
          <w:numId w:val="7"/>
        </w:numPr>
        <w:tabs>
          <w:tab w:val="left" w:pos="0"/>
        </w:tabs>
        <w:spacing w:before="200" w:after="200" w:line="360" w:lineRule="auto"/>
        <w:ind w:left="0" w:firstLine="0"/>
        <w:jc w:val="both"/>
        <w:rPr>
          <w:rFonts w:ascii="Palatino Linotype" w:hAnsi="Palatino Linotype" w:cs="Arial"/>
          <w:lang w:val="es-ES_tradnl"/>
        </w:rPr>
      </w:pPr>
      <w:r>
        <w:rPr>
          <w:rFonts w:ascii="Palatino Linotype" w:hAnsi="Palatino Linotype" w:cs="Arial"/>
        </w:rPr>
        <w:t xml:space="preserve">En fecha </w:t>
      </w:r>
      <w:r>
        <w:rPr>
          <w:rFonts w:ascii="Palatino Linotype" w:hAnsi="Palatino Linotype"/>
        </w:rPr>
        <w:t>dieciocho de febrero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B953E0" w:rsidRDefault="00D838B0">
      <w:pPr>
        <w:pStyle w:val="Prrafodelista"/>
        <w:widowControl w:val="0"/>
        <w:numPr>
          <w:ilvl w:val="0"/>
          <w:numId w:val="7"/>
        </w:numPr>
        <w:tabs>
          <w:tab w:val="left" w:pos="0"/>
        </w:tabs>
        <w:spacing w:before="200" w:after="200" w:line="360" w:lineRule="auto"/>
        <w:ind w:left="0" w:firstLine="0"/>
        <w:jc w:val="both"/>
        <w:rPr>
          <w:rFonts w:ascii="Palatino Linotype" w:hAnsi="Palatino Linotype" w:cs="Arial"/>
        </w:rPr>
      </w:pPr>
      <w:r>
        <w:rPr>
          <w:rFonts w:ascii="Palatino Linotype" w:hAnsi="Palatino Linotype" w:cs="Arial"/>
        </w:rPr>
        <w:t xml:space="preserve">En fecha </w:t>
      </w:r>
      <w:r>
        <w:rPr>
          <w:rFonts w:ascii="Palatino Linotype" w:hAnsi="Palatino Linotype"/>
        </w:rPr>
        <w:t>veinticuatro de febrero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LA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B953E0" w:rsidRDefault="00D838B0">
      <w:pPr>
        <w:pStyle w:val="Prrafodelista"/>
        <w:numPr>
          <w:ilvl w:val="0"/>
          <w:numId w:val="2"/>
        </w:numPr>
        <w:tabs>
          <w:tab w:val="left" w:pos="851"/>
        </w:tabs>
        <w:spacing w:before="240" w:after="360" w:line="360" w:lineRule="auto"/>
        <w:ind w:left="0" w:firstLine="0"/>
        <w:jc w:val="both"/>
        <w:rPr>
          <w:rFonts w:ascii="Palatino Linotype" w:hAnsi="Palatino Linotype" w:cs="Arial"/>
        </w:rPr>
      </w:pPr>
      <w:r>
        <w:rPr>
          <w:rFonts w:ascii="Palatino Linotype" w:hAnsi="Palatino Linotype" w:cs="Arial"/>
        </w:rPr>
        <w:t>De</w:t>
      </w:r>
      <w:r>
        <w:rPr>
          <w:rFonts w:ascii="Palatino Linotype" w:hAnsi="Palatino Linotype" w:cs="Arial"/>
          <w:lang w:val="es-ES_tradnl"/>
        </w:rPr>
        <w:t xml:space="preserve"> las </w:t>
      </w:r>
      <w:r>
        <w:rPr>
          <w:rFonts w:ascii="Palatino Linotype" w:hAnsi="Palatino Linotype"/>
        </w:rPr>
        <w:t>constancias</w:t>
      </w:r>
      <w:r>
        <w:rPr>
          <w:rFonts w:ascii="Palatino Linotype" w:hAnsi="Palatino Linotype" w:cs="Arial"/>
          <w:lang w:val="es-ES_tradnl"/>
        </w:rPr>
        <w:t xml:space="preserve"> que obran en el </w:t>
      </w:r>
      <w:r>
        <w:rPr>
          <w:rFonts w:ascii="Palatino Linotype" w:hAnsi="Palatino Linotype" w:cs="Arial"/>
          <w:b/>
          <w:lang w:val="es-ES_tradnl"/>
        </w:rPr>
        <w:t>SAIMEX</w:t>
      </w:r>
      <w:r>
        <w:rPr>
          <w:rFonts w:ascii="Palatino Linotype" w:hAnsi="Palatino Linotype" w:cs="Arial"/>
          <w:lang w:val="es-ES_tradnl"/>
        </w:rPr>
        <w:t>, se advierte que</w:t>
      </w:r>
      <w:r>
        <w:rPr>
          <w:rFonts w:ascii="Palatino Linotype" w:hAnsi="Palatino Linotype" w:cs="Arial"/>
          <w:b/>
          <w:lang w:val="es-ES_tradnl"/>
        </w:rPr>
        <w:t xml:space="preserve"> </w:t>
      </w:r>
      <w:r>
        <w:rPr>
          <w:rFonts w:ascii="Palatino Linotype" w:hAnsi="Palatino Linotype" w:cs="Arial"/>
          <w:b/>
        </w:rPr>
        <w:t xml:space="preserve">LA RECURRENTE </w:t>
      </w:r>
      <w:r>
        <w:rPr>
          <w:rFonts w:ascii="Palatino Linotype" w:hAnsi="Palatino Linotype" w:cs="Arial"/>
        </w:rPr>
        <w:t>no realizó manifestaciones y alegatos, ni ofreció los medios de prueba que a su derecho conviniera. Por su parte, en fecha veinticinco de febrero de dos mil veinte</w:t>
      </w:r>
      <w:r>
        <w:rPr>
          <w:rFonts w:ascii="Palatino Linotype" w:hAnsi="Palatino Linotype" w:cs="Arial"/>
          <w:b/>
        </w:rPr>
        <w:t xml:space="preserve">, EL SUJETO OBLIGADO </w:t>
      </w:r>
      <w:r>
        <w:rPr>
          <w:rFonts w:ascii="Palatino Linotype" w:hAnsi="Palatino Linotype" w:cs="Arial"/>
        </w:rPr>
        <w:t xml:space="preserve">exhibió el Informe Justificado, mismo que fue puesto a la vista de la particular a fin de que en un plazo de 3 días manifestara lo que a su derecho conviniera como se desprende de la siguiente imagen: </w:t>
      </w:r>
    </w:p>
    <w:p w:rsidR="00B953E0" w:rsidRDefault="00D838B0">
      <w:pPr>
        <w:pStyle w:val="Prrafodelista"/>
        <w:tabs>
          <w:tab w:val="left" w:pos="851"/>
        </w:tabs>
        <w:spacing w:before="240" w:after="360" w:line="360" w:lineRule="auto"/>
        <w:ind w:left="0"/>
        <w:jc w:val="both"/>
        <w:rPr>
          <w:rFonts w:ascii="Palatino Linotype" w:hAnsi="Palatino Linotype" w:cs="Arial"/>
        </w:rPr>
      </w:pPr>
      <w:r>
        <w:rPr>
          <w:noProof/>
          <w:lang w:eastAsia="es-MX"/>
        </w:rPr>
        <w:lastRenderedPageBreak/>
        <w:drawing>
          <wp:inline distT="0" distB="0" distL="0" distR="0">
            <wp:extent cx="5791835" cy="410591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a:stretch>
                      <a:fillRect/>
                    </a:stretch>
                  </pic:blipFill>
                  <pic:spPr bwMode="auto">
                    <a:xfrm>
                      <a:off x="0" y="0"/>
                      <a:ext cx="5791835" cy="4105910"/>
                    </a:xfrm>
                    <a:prstGeom prst="rect">
                      <a:avLst/>
                    </a:prstGeom>
                  </pic:spPr>
                </pic:pic>
              </a:graphicData>
            </a:graphic>
          </wp:inline>
        </w:drawing>
      </w:r>
      <w:bookmarkStart w:id="3" w:name="_Ref529870989"/>
      <w:bookmarkEnd w:id="3"/>
    </w:p>
    <w:p w:rsidR="00B953E0" w:rsidRDefault="00D838B0">
      <w:pPr>
        <w:spacing w:beforeAutospacing="1" w:afterAutospacing="1" w:line="360" w:lineRule="auto"/>
        <w:jc w:val="both"/>
        <w:rPr>
          <w:rFonts w:ascii="Palatino Linotype" w:hAnsi="Palatino Linotype"/>
        </w:rPr>
      </w:pPr>
      <w:r>
        <w:rPr>
          <w:rFonts w:ascii="Palatino Linotype" w:hAnsi="Palatino Linotype"/>
        </w:rPr>
        <w:t xml:space="preserve">En ese sentido </w:t>
      </w:r>
      <w:r>
        <w:rPr>
          <w:rFonts w:ascii="Palatino Linotype" w:hAnsi="Palatino Linotype"/>
          <w:b/>
        </w:rPr>
        <w:t xml:space="preserve">LA RECURRENTE </w:t>
      </w:r>
      <w:r>
        <w:rPr>
          <w:rFonts w:ascii="Palatino Linotype" w:hAnsi="Palatino Linotype"/>
        </w:rPr>
        <w:t xml:space="preserve">fue omisa en realizar manifestaciones al Informe Justificado. </w:t>
      </w:r>
    </w:p>
    <w:p w:rsidR="00B953E0" w:rsidRDefault="00D838B0">
      <w:pPr>
        <w:pStyle w:val="Prrafodelista"/>
        <w:numPr>
          <w:ilvl w:val="0"/>
          <w:numId w:val="2"/>
        </w:numPr>
        <w:tabs>
          <w:tab w:val="left" w:pos="709"/>
        </w:tabs>
        <w:spacing w:before="200" w:after="200" w:line="360" w:lineRule="auto"/>
        <w:ind w:left="0" w:firstLine="0"/>
        <w:jc w:val="both"/>
        <w:rPr>
          <w:rFonts w:ascii="Palatino Linotype" w:hAnsi="Palatino Linotype"/>
        </w:rPr>
      </w:pPr>
      <w:r>
        <w:rPr>
          <w:rFonts w:ascii="Palatino Linotype" w:hAnsi="Palatino Linotype" w:cs="Arial"/>
        </w:rPr>
        <w:t xml:space="preserve">Una vez analizado el estado procesal que guarda el expediente, en fecha once </w:t>
      </w:r>
      <w:r>
        <w:rPr>
          <w:rFonts w:ascii="Palatino Linotype" w:hAnsi="Palatino Linotype" w:cs="Arial"/>
          <w:lang w:val="es-ES_tradnl"/>
        </w:rPr>
        <w:t>de marzo de dos mil veinte</w:t>
      </w:r>
      <w:r>
        <w:rPr>
          <w:rFonts w:ascii="Palatino Linotype" w:hAnsi="Palatino Linotype" w:cs="Arial"/>
        </w:rPr>
        <w:t xml:space="preserv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0921A5" w:rsidRDefault="000921A5">
      <w:pPr>
        <w:spacing w:before="120" w:after="120" w:line="360" w:lineRule="auto"/>
        <w:jc w:val="center"/>
        <w:rPr>
          <w:rFonts w:ascii="Palatino Linotype" w:hAnsi="Palatino Linotype"/>
          <w:b/>
          <w:bCs/>
          <w:spacing w:val="60"/>
          <w:sz w:val="28"/>
        </w:rPr>
      </w:pPr>
    </w:p>
    <w:p w:rsidR="00B953E0" w:rsidRDefault="00D838B0">
      <w:pPr>
        <w:spacing w:before="120" w:after="120" w:line="360" w:lineRule="auto"/>
        <w:jc w:val="center"/>
        <w:rPr>
          <w:rFonts w:ascii="Palatino Linotype" w:hAnsi="Palatino Linotype"/>
          <w:b/>
          <w:bCs/>
          <w:spacing w:val="60"/>
          <w:sz w:val="28"/>
        </w:rPr>
      </w:pPr>
      <w:r>
        <w:rPr>
          <w:rFonts w:ascii="Palatino Linotype" w:hAnsi="Palatino Linotype"/>
          <w:b/>
          <w:bCs/>
          <w:spacing w:val="60"/>
          <w:sz w:val="28"/>
        </w:rPr>
        <w:lastRenderedPageBreak/>
        <w:t>CONSIDERANDO</w:t>
      </w:r>
    </w:p>
    <w:p w:rsidR="00B953E0" w:rsidRDefault="00D838B0">
      <w:pPr>
        <w:pStyle w:val="Prrafodelista"/>
        <w:widowControl w:val="0"/>
        <w:numPr>
          <w:ilvl w:val="0"/>
          <w:numId w:val="1"/>
        </w:numPr>
        <w:tabs>
          <w:tab w:val="left" w:pos="1701"/>
          <w:tab w:val="left" w:pos="1843"/>
        </w:tabs>
        <w:spacing w:before="240" w:after="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B953E0" w:rsidRDefault="00D838B0">
      <w:pPr>
        <w:pStyle w:val="Prrafodelista"/>
        <w:widowControl w:val="0"/>
        <w:numPr>
          <w:ilvl w:val="0"/>
          <w:numId w:val="1"/>
        </w:numPr>
        <w:tabs>
          <w:tab w:val="left" w:pos="1701"/>
          <w:tab w:val="left" w:pos="1843"/>
        </w:tabs>
        <w:spacing w:before="240" w:after="240" w:line="360" w:lineRule="auto"/>
        <w:ind w:left="0" w:firstLine="0"/>
        <w:jc w:val="both"/>
        <w:rPr>
          <w:rFonts w:ascii="Palatino Linotype" w:hAnsi="Palatino Linotype" w:cs="Arial"/>
          <w:lang w:val="es-ES_tradnl"/>
        </w:rPr>
      </w:pPr>
      <w:r>
        <w:rPr>
          <w:rFonts w:ascii="Palatino Linotype" w:hAnsi="Palatino Linotype" w:cs="Arial"/>
          <w:b/>
        </w:rPr>
        <w:t>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LA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w:t>
      </w:r>
      <w:r>
        <w:rPr>
          <w:rFonts w:ascii="Palatino Linotype" w:hAnsi="Palatino Linotype"/>
        </w:rPr>
        <w:t>número</w:t>
      </w:r>
      <w:r>
        <w:rPr>
          <w:rFonts w:ascii="Palatino Linotype" w:hAnsi="Palatino Linotype" w:cs="Arial"/>
        </w:rPr>
        <w:t xml:space="preserve"> </w:t>
      </w:r>
      <w:r>
        <w:rPr>
          <w:rFonts w:ascii="Palatino Linotype" w:hAnsi="Palatino Linotype"/>
          <w:b/>
          <w:bCs/>
        </w:rPr>
        <w:t>00027/TLALMANA/IP/2020</w:t>
      </w:r>
      <w:r>
        <w:rPr>
          <w:rFonts w:ascii="Palatino Linotype" w:hAnsi="Palatino Linotype" w:cs="Arial"/>
          <w:lang w:val="es-ES_tradnl"/>
        </w:rPr>
        <w:t>.</w:t>
      </w:r>
    </w:p>
    <w:p w:rsidR="00B953E0" w:rsidRDefault="00D838B0">
      <w:pPr>
        <w:pStyle w:val="Prrafodelista"/>
        <w:widowControl w:val="0"/>
        <w:numPr>
          <w:ilvl w:val="0"/>
          <w:numId w:val="1"/>
        </w:numPr>
        <w:tabs>
          <w:tab w:val="left" w:pos="1701"/>
          <w:tab w:val="left" w:pos="1843"/>
        </w:tabs>
        <w:spacing w:before="240" w:after="240" w:line="360" w:lineRule="auto"/>
        <w:ind w:left="0" w:firstLine="0"/>
        <w:jc w:val="both"/>
        <w:rPr>
          <w:rFonts w:ascii="Palatino Linotype" w:hAnsi="Palatino Linotype" w:cs="Arial"/>
          <w:lang w:val="es-ES_tradnl"/>
        </w:rPr>
      </w:pPr>
      <w:r>
        <w:rPr>
          <w:rFonts w:ascii="Palatino Linotype" w:hAnsi="Palatino Linotype" w:cs="Arial"/>
          <w:b/>
        </w:rPr>
        <w:t xml:space="preserve">Oportunidad. </w:t>
      </w:r>
      <w:r>
        <w:rPr>
          <w:rFonts w:ascii="Palatino Linotype" w:hAnsi="Palatino Linotype" w:cs="Arial"/>
        </w:rPr>
        <w:t xml:space="preserve">El </w:t>
      </w:r>
      <w:r>
        <w:rPr>
          <w:rFonts w:ascii="Palatino Linotype" w:hAnsi="Palatino Linotype"/>
        </w:rPr>
        <w:t>recurso</w:t>
      </w:r>
      <w:r>
        <w:rPr>
          <w:rFonts w:ascii="Palatino Linotype" w:hAnsi="Palatino Linotype" w:cs="Arial"/>
        </w:rPr>
        <w:t xml:space="preserve"> de revisión fue interpuesto dentro del plazo de quince días hábiles </w:t>
      </w:r>
      <w:r>
        <w:rPr>
          <w:rFonts w:ascii="Palatino Linotype" w:hAnsi="Palatino Linotype"/>
        </w:rPr>
        <w:t>contados</w:t>
      </w:r>
      <w:r>
        <w:rPr>
          <w:rFonts w:ascii="Palatino Linotype" w:hAnsi="Palatino Linotype" w:cs="Arial"/>
        </w:rPr>
        <w:t xml:space="preserve"> a </w:t>
      </w:r>
      <w:r>
        <w:rPr>
          <w:rFonts w:ascii="Palatino Linotype" w:hAnsi="Palatino Linotype"/>
        </w:rPr>
        <w:t>partir</w:t>
      </w:r>
      <w:r>
        <w:rPr>
          <w:rFonts w:ascii="Palatino Linotype" w:hAnsi="Palatino Linotype" w:cs="Arial"/>
        </w:rPr>
        <w:t xml:space="preserve"> del día siguiente al que </w:t>
      </w:r>
      <w:r>
        <w:rPr>
          <w:rFonts w:ascii="Palatino Linotype" w:hAnsi="Palatino Linotype" w:cs="Arial"/>
          <w:b/>
        </w:rPr>
        <w:t>LA RECURRENTE</w:t>
      </w:r>
      <w:r>
        <w:rPr>
          <w:rFonts w:ascii="Palatino Linotype" w:hAnsi="Palatino Linotype" w:cs="Arial"/>
          <w:b/>
          <w:bCs/>
        </w:rPr>
        <w:t xml:space="preserve"> </w:t>
      </w:r>
      <w:r>
        <w:rPr>
          <w:rFonts w:ascii="Palatino Linotype" w:hAnsi="Palatino Linotype" w:cs="Arial"/>
        </w:rPr>
        <w:t xml:space="preserve">tuvo conocimiento de la respuesta </w:t>
      </w:r>
      <w:r>
        <w:rPr>
          <w:rFonts w:ascii="Palatino Linotype" w:hAnsi="Palatino Linotype"/>
        </w:rPr>
        <w:t>impugnada</w:t>
      </w:r>
      <w:r>
        <w:rPr>
          <w:rFonts w:ascii="Palatino Linotype" w:hAnsi="Palatino Linotype" w:cs="Arial"/>
        </w:rPr>
        <w:t>, tal y como lo prevé el artículo 178 de la Ley de Transparencia y Acceso a la Información Pública del Estado de México y Municipios, que establece:</w:t>
      </w:r>
    </w:p>
    <w:p w:rsidR="00B953E0" w:rsidRDefault="00D838B0">
      <w:pPr>
        <w:spacing w:before="200" w:after="200"/>
        <w:ind w:left="709" w:right="70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178.</w:t>
      </w:r>
      <w:r>
        <w:rPr>
          <w:rFonts w:ascii="Palatino Linotype" w:hAnsi="Palatino Linotype" w:cs="Arial"/>
          <w:i/>
          <w:sz w:val="22"/>
          <w:szCs w:val="22"/>
        </w:rPr>
        <w:t xml:space="preserve"> El solicitante podrá interponer, por sí mismo o a través de su representante, de manera directa o por medios electrónicos, recurso de revisión ante el </w:t>
      </w:r>
      <w:r>
        <w:rPr>
          <w:rFonts w:ascii="Palatino Linotype" w:hAnsi="Palatino Linotype" w:cs="Arial"/>
          <w:i/>
          <w:sz w:val="22"/>
          <w:szCs w:val="22"/>
        </w:rPr>
        <w:lastRenderedPageBreak/>
        <w:t>Instituto o ante la Unidad de Transparencia que haya conocido de la solicitud dentro de los quince días hábiles, siguientes a la fecha de la notificación de la respuesta.</w:t>
      </w:r>
    </w:p>
    <w:p w:rsidR="00B953E0" w:rsidRDefault="00D838B0">
      <w:pPr>
        <w:spacing w:before="200" w:after="200"/>
        <w:ind w:left="709" w:right="709"/>
        <w:jc w:val="both"/>
        <w:rPr>
          <w:rFonts w:ascii="Palatino Linotype" w:hAnsi="Palatino Linotype" w:cs="Arial"/>
          <w:i/>
          <w:sz w:val="22"/>
          <w:szCs w:val="22"/>
        </w:rPr>
      </w:pPr>
      <w:r>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53E0" w:rsidRDefault="00D838B0">
      <w:pPr>
        <w:spacing w:before="200" w:after="200"/>
        <w:ind w:left="709" w:right="709"/>
        <w:jc w:val="both"/>
        <w:rPr>
          <w:rFonts w:ascii="Palatino Linotype" w:hAnsi="Palatino Linotype" w:cs="Arial"/>
          <w:i/>
          <w:sz w:val="22"/>
          <w:szCs w:val="22"/>
        </w:rPr>
      </w:pPr>
      <w:r>
        <w:rPr>
          <w:rFonts w:ascii="Palatino Linotype" w:hAnsi="Palatino Linotype" w:cs="Arial"/>
          <w:i/>
          <w:sz w:val="22"/>
          <w:szCs w:val="22"/>
        </w:rPr>
        <w:t xml:space="preserve">En el caso de que se interponga ante la Unidad de Transparencia, ésta deberá remitir el recurso de revisión al Instituto a más tardar al día </w:t>
      </w:r>
      <w:r>
        <w:rPr>
          <w:rFonts w:ascii="Palatino Linotype" w:hAnsi="Palatino Linotype" w:cs="Arial"/>
          <w:i/>
          <w:sz w:val="22"/>
          <w:szCs w:val="22"/>
          <w:lang w:eastAsia="es-MX"/>
        </w:rPr>
        <w:t>siguiente</w:t>
      </w:r>
      <w:r>
        <w:rPr>
          <w:rFonts w:ascii="Palatino Linotype" w:hAnsi="Palatino Linotype" w:cs="Arial"/>
          <w:i/>
          <w:sz w:val="22"/>
          <w:szCs w:val="22"/>
        </w:rPr>
        <w:t xml:space="preserve"> de haberlo recibido.”</w:t>
      </w:r>
    </w:p>
    <w:p w:rsidR="00B953E0" w:rsidRDefault="00D838B0">
      <w:pPr>
        <w:spacing w:before="200" w:after="200" w:line="360" w:lineRule="auto"/>
        <w:jc w:val="both"/>
        <w:rPr>
          <w:rFonts w:ascii="Palatino Linotype" w:hAnsi="Palatino Linotype"/>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 respuesta a la solicitud de información pública el día </w:t>
      </w:r>
      <w:r>
        <w:rPr>
          <w:rFonts w:ascii="Palatino Linotype" w:hAnsi="Palatino Linotype" w:cs="Arial"/>
          <w:b/>
        </w:rPr>
        <w:t>dieciocho de febrero de dos mil veinte</w:t>
      </w:r>
      <w:r>
        <w:rPr>
          <w:rFonts w:ascii="Palatino Linotype" w:hAnsi="Palatino Linotype" w:cs="Arial"/>
        </w:rPr>
        <w:t xml:space="preserve">; así, el plazo de quince días hábiles que el artículo 178 de la Ley de la materia otorga a </w:t>
      </w:r>
      <w:r>
        <w:rPr>
          <w:rFonts w:ascii="Palatino Linotype" w:hAnsi="Palatino Linotype" w:cs="Arial"/>
          <w:b/>
        </w:rPr>
        <w:t xml:space="preserve">LA RECURRENTE </w:t>
      </w:r>
      <w:r>
        <w:rPr>
          <w:rFonts w:ascii="Palatino Linotype" w:hAnsi="Palatino Linotype" w:cs="Arial"/>
        </w:rPr>
        <w:t xml:space="preserve">para presentar el recurso de revisión, transcurrió del </w:t>
      </w:r>
      <w:r>
        <w:rPr>
          <w:rFonts w:ascii="Palatino Linotype" w:hAnsi="Palatino Linotype" w:cs="Arial"/>
          <w:b/>
        </w:rPr>
        <w:t>diecinueve de febrero al doce de marzo de dos mil veinte</w:t>
      </w:r>
      <w:r>
        <w:rPr>
          <w:rFonts w:ascii="Palatino Linotype" w:hAnsi="Palatino Linotype" w:cs="Arial"/>
        </w:rPr>
        <w:t xml:space="preserve">, sin contemplar en el cómputo los días veintidós y veintitrés de febrero, así como el uno, siete y ocho de marzo de dos mil veinte, por corresponder a sábados y domingos, en términos del artículo 3, fracción X, de la </w:t>
      </w:r>
      <w:r>
        <w:rPr>
          <w:rFonts w:ascii="Palatino Linotype" w:hAnsi="Palatino Linotype"/>
        </w:rPr>
        <w:t xml:space="preserve">Ley de Transparencia y Acceso a la Información Pública del Estado de México y Municipios; </w:t>
      </w:r>
      <w:r>
        <w:rPr>
          <w:rFonts w:ascii="Palatino Linotype" w:hAnsi="Palatino Linotype" w:cs="Arial"/>
        </w:rPr>
        <w:t>así como, los días dos y nueve de marzo del dos mil veinte, al corresponder a días de supleción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B953E0" w:rsidRDefault="00D838B0">
      <w:pPr>
        <w:spacing w:before="200" w:after="200" w:line="360" w:lineRule="auto"/>
        <w:jc w:val="both"/>
        <w:rPr>
          <w:rFonts w:ascii="Arial" w:hAnsi="Arial" w:cs="Arial"/>
          <w:lang w:eastAsia="es-MX"/>
        </w:rPr>
      </w:pPr>
      <w:r>
        <w:rPr>
          <w:rFonts w:ascii="Palatino Linotype" w:hAnsi="Palatino Linotype" w:cs="Arial"/>
          <w:lang w:eastAsia="es-MX"/>
        </w:rPr>
        <w:t xml:space="preserve">En ese tenor, se advierte que </w:t>
      </w:r>
      <w:r>
        <w:rPr>
          <w:rFonts w:ascii="Palatino Linotype" w:hAnsi="Palatino Linotype" w:cs="Arial"/>
          <w:b/>
          <w:bCs/>
          <w:lang w:eastAsia="es-MX"/>
        </w:rPr>
        <w:t>LA RECURRENTE</w:t>
      </w:r>
      <w:r>
        <w:rPr>
          <w:rFonts w:ascii="Palatino Linotype" w:hAnsi="Palatino Linotype" w:cs="Arial"/>
          <w:lang w:eastAsia="es-MX"/>
        </w:rPr>
        <w:t xml:space="preserve"> presentó el medio de impugnación al rubro anotado, el mismo día en que se le notificó la respuesta impugnada, es decir, el </w:t>
      </w:r>
      <w:r>
        <w:rPr>
          <w:rFonts w:ascii="Palatino Linotype" w:hAnsi="Palatino Linotype" w:cs="Arial"/>
          <w:b/>
          <w:u w:val="single"/>
        </w:rPr>
        <w:t>dieciocho de febrero de dos mil veinte</w:t>
      </w:r>
      <w:r>
        <w:rPr>
          <w:rFonts w:ascii="Palatino Linotype" w:hAnsi="Palatino Linotype" w:cs="Arial"/>
          <w:lang w:eastAsia="es-MX"/>
        </w:rPr>
        <w:t xml:space="preserve">; no obstante lo anterior, ello no implica que su </w:t>
      </w:r>
      <w:r>
        <w:rPr>
          <w:rFonts w:ascii="Palatino Linotype" w:hAnsi="Palatino Linotype" w:cs="Arial"/>
          <w:lang w:eastAsia="es-MX"/>
        </w:rPr>
        <w:lastRenderedPageBreak/>
        <w:t xml:space="preserve">interposición sea extemporánea, es decir, fuera del plazo señalado para tales efectos, en razón de </w:t>
      </w:r>
      <w:r>
        <w:rPr>
          <w:rFonts w:ascii="Palatino Linotype" w:hAnsi="Palatino Linotype" w:cs="Arial"/>
        </w:rPr>
        <w:t>que</w:t>
      </w:r>
      <w:r>
        <w:rPr>
          <w:rFonts w:ascii="Palatino Linotype" w:hAnsi="Palatino Linotype" w:cs="Arial"/>
          <w:lang w:eastAsia="es-MX"/>
        </w:rPr>
        <w:t xml:space="preserve"> si </w:t>
      </w:r>
      <w:r>
        <w:rPr>
          <w:rFonts w:ascii="Palatino Linotype" w:hAnsi="Palatino Linotype" w:cs="Arial"/>
        </w:rPr>
        <w:t>bien</w:t>
      </w:r>
      <w:r>
        <w:rPr>
          <w:rFonts w:ascii="Palatino Linotype" w:hAnsi="Palatino Linotype" w:cs="Arial"/>
          <w:lang w:eastAsia="es-MX"/>
        </w:rPr>
        <w:t xml:space="preserve"> el artículo 178 de la Ley de </w:t>
      </w:r>
      <w:r>
        <w:rPr>
          <w:rFonts w:ascii="Palatino Linotype" w:hAnsi="Palatino Linotype" w:cs="Arial"/>
        </w:rPr>
        <w:t>Transparencia</w:t>
      </w:r>
      <w:r>
        <w:rPr>
          <w:rFonts w:ascii="Palatino Linotype" w:hAnsi="Palatino Linotype" w:cs="Arial"/>
          <w:lang w:eastAsia="es-MX"/>
        </w:rPr>
        <w:t xml:space="preserve"> y Acceso a la Información Pública del Estado de México y Municipios, establece que el recurso de revisión se ha de promover </w:t>
      </w:r>
      <w:r>
        <w:rPr>
          <w:rFonts w:ascii="Palatino Linotype" w:hAnsi="Palatino Linotype" w:cs="Arial"/>
          <w:b/>
          <w:u w:val="single"/>
          <w:lang w:eastAsia="es-MX"/>
        </w:rPr>
        <w:t>dentro</w:t>
      </w:r>
      <w:r>
        <w:rPr>
          <w:rFonts w:ascii="Palatino Linotype" w:hAnsi="Palatino Linotype" w:cs="Arial"/>
          <w:lang w:eastAsia="es-MX"/>
        </w:rPr>
        <w:t xml:space="preserve"> de los quince días hábiles siguientes en que </w:t>
      </w:r>
      <w:r>
        <w:rPr>
          <w:rFonts w:ascii="Palatino Linotype" w:hAnsi="Palatino Linotype" w:cs="Arial"/>
          <w:b/>
          <w:bCs/>
          <w:lang w:eastAsia="es-MX"/>
        </w:rPr>
        <w:t>LA RECURRENTE</w:t>
      </w:r>
      <w:r>
        <w:rPr>
          <w:rFonts w:ascii="Palatino Linotype" w:hAnsi="Palatino Linotype" w:cs="Arial"/>
          <w:lang w:eastAsia="es-MX"/>
        </w:rPr>
        <w:t xml:space="preserve"> tenga conocimiento de la respuesta impugnada, no limita a los particulares para que lo puedan presentar </w:t>
      </w:r>
      <w:r>
        <w:rPr>
          <w:rFonts w:ascii="Palatino Linotype" w:hAnsi="Palatino Linotype" w:cs="Arial"/>
          <w:b/>
          <w:lang w:eastAsia="es-MX"/>
        </w:rPr>
        <w:t>el mismo día</w:t>
      </w:r>
      <w:r>
        <w:rPr>
          <w:rFonts w:ascii="Palatino Linotype" w:hAnsi="Palatino Linotype" w:cs="Arial"/>
          <w:lang w:eastAsia="es-MX"/>
        </w:rPr>
        <w:t xml:space="preserve"> en que le sea </w:t>
      </w:r>
      <w:r>
        <w:rPr>
          <w:rFonts w:ascii="Palatino Linotype" w:hAnsi="Palatino Linotype" w:cs="Arial"/>
        </w:rPr>
        <w:t>notificada</w:t>
      </w:r>
      <w:r>
        <w:rPr>
          <w:rFonts w:ascii="Palatino Linotype" w:hAnsi="Palatino Linotype" w:cs="Arial"/>
          <w:lang w:eastAsia="es-MX"/>
        </w:rPr>
        <w:t xml:space="preserve"> dicha respuesta; esto es, no implica que de presentarse el recurso de revisión el mismo día de su notificación, deba considerarse como extemporáneo.</w:t>
      </w:r>
    </w:p>
    <w:p w:rsidR="00B953E0" w:rsidRDefault="00D838B0">
      <w:pPr>
        <w:spacing w:before="200" w:after="200" w:line="360" w:lineRule="auto"/>
        <w:jc w:val="both"/>
        <w:rPr>
          <w:rFonts w:ascii="Arial" w:hAnsi="Arial" w:cs="Arial"/>
          <w:lang w:eastAsia="es-MX"/>
        </w:rPr>
      </w:pPr>
      <w:r>
        <w:rPr>
          <w:rFonts w:ascii="Palatino Linotype" w:hAnsi="Palatino Linotype" w:cs="Arial"/>
          <w:lang w:eastAsia="es-MX"/>
        </w:rPr>
        <w:t xml:space="preserve">En apoyo a lo anterior, </w:t>
      </w:r>
      <w:r>
        <w:rPr>
          <w:rFonts w:ascii="Palatino Linotype" w:hAnsi="Palatino Linotype" w:cs="Arial"/>
        </w:rPr>
        <w:t>resulta</w:t>
      </w:r>
      <w:r>
        <w:rPr>
          <w:rFonts w:ascii="Palatino Linotype" w:hAnsi="Palatino Linotype" w:cs="Arial"/>
          <w:lang w:eastAsia="es-MX"/>
        </w:rPr>
        <w:t xml:space="preserve"> aplicable por analogía la Jurisprudencia número 1a./J. 41/2015 (10a.), Décima Época, sustentada por la Primera Sala de la Suprema Corte de Justicia de la Nación, visible en la página 569, libro 19, tomo I, del Semanario Judicial de la Federación y su de la </w:t>
      </w:r>
      <w:r>
        <w:rPr>
          <w:rFonts w:ascii="Palatino Linotype" w:hAnsi="Palatino Linotype" w:cs="Arial"/>
        </w:rPr>
        <w:t>Gaceta</w:t>
      </w:r>
      <w:r>
        <w:rPr>
          <w:rFonts w:ascii="Palatino Linotype" w:hAnsi="Palatino Linotype" w:cs="Arial"/>
          <w:lang w:eastAsia="es-MX"/>
        </w:rPr>
        <w:t xml:space="preserve"> de junio de 2015, cuyo rubro y texto esgrimen:</w:t>
      </w:r>
    </w:p>
    <w:p w:rsidR="00B953E0" w:rsidRDefault="00D838B0">
      <w:pPr>
        <w:spacing w:before="120" w:after="120"/>
        <w:ind w:left="709" w:right="709"/>
        <w:jc w:val="both"/>
        <w:rPr>
          <w:rFonts w:ascii="Palatino Linotype" w:hAnsi="Palatino Linotype" w:cs="Arial"/>
          <w:i/>
          <w:iCs/>
          <w:sz w:val="22"/>
          <w:szCs w:val="22"/>
          <w:lang w:eastAsia="es-MX"/>
        </w:rPr>
      </w:pPr>
      <w:r>
        <w:rPr>
          <w:rFonts w:ascii="Palatino Linotype" w:hAnsi="Palatino Linotype" w:cs="Arial"/>
          <w:i/>
          <w:iCs/>
          <w:sz w:val="22"/>
          <w:szCs w:val="22"/>
          <w:lang w:eastAsia="es-MX"/>
        </w:rPr>
        <w:t>“</w:t>
      </w:r>
      <w:r>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Pr>
          <w:rFonts w:ascii="Palatino Linotype" w:hAnsi="Palatino Linotype" w:cs="Arial"/>
          <w:i/>
          <w:sz w:val="22"/>
          <w:szCs w:val="22"/>
        </w:rPr>
        <w:t>que</w:t>
      </w:r>
      <w:r>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Pr>
          <w:rFonts w:ascii="Palatino Linotype" w:hAnsi="Palatino Linotype" w:cs="Arial"/>
          <w:i/>
          <w:sz w:val="22"/>
          <w:szCs w:val="22"/>
        </w:rPr>
        <w:t>que</w:t>
      </w:r>
      <w:r>
        <w:rPr>
          <w:rFonts w:ascii="Palatino Linotype" w:hAnsi="Palatino Linotype" w:cs="Arial"/>
          <w:i/>
          <w:iCs/>
          <w:sz w:val="22"/>
          <w:szCs w:val="22"/>
          <w:lang w:eastAsia="es-MX"/>
        </w:rPr>
        <w:t xml:space="preserve"> si dicho recurso se interpone antes de que inicie el plazo para hacerlo, su presentación no es extemporánea.</w:t>
      </w:r>
    </w:p>
    <w:p w:rsidR="00B953E0" w:rsidRDefault="00D838B0">
      <w:pPr>
        <w:spacing w:before="120" w:after="120"/>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Recurso de reclamación 953/2013. 9 de abril de 2014. Cinco votos de los Ministros Arturo Zaldívar </w:t>
      </w:r>
      <w:r>
        <w:rPr>
          <w:rFonts w:ascii="Palatino Linotype" w:hAnsi="Palatino Linotype"/>
          <w:i/>
          <w:sz w:val="22"/>
          <w:szCs w:val="22"/>
        </w:rPr>
        <w:t>Lelo</w:t>
      </w:r>
      <w:r>
        <w:rPr>
          <w:rFonts w:ascii="Palatino Linotype" w:hAnsi="Palatino Linotype" w:cs="Arial"/>
          <w:i/>
          <w:sz w:val="22"/>
          <w:szCs w:val="22"/>
          <w:lang w:eastAsia="es-MX"/>
        </w:rPr>
        <w:t xml:space="preserve"> de </w:t>
      </w:r>
      <w:r>
        <w:rPr>
          <w:rFonts w:ascii="Palatino Linotype" w:hAnsi="Palatino Linotype" w:cs="Arial"/>
          <w:i/>
          <w:sz w:val="22"/>
          <w:szCs w:val="22"/>
        </w:rPr>
        <w:t>Larrea</w:t>
      </w:r>
      <w:r>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Pr>
          <w:rFonts w:ascii="Palatino Linotype" w:hAnsi="Palatino Linotype" w:cs="Arial"/>
          <w:i/>
          <w:sz w:val="22"/>
          <w:szCs w:val="22"/>
        </w:rPr>
        <w:t>Carmina</w:t>
      </w:r>
      <w:r>
        <w:rPr>
          <w:rFonts w:ascii="Palatino Linotype" w:hAnsi="Palatino Linotype" w:cs="Arial"/>
          <w:i/>
          <w:sz w:val="22"/>
          <w:szCs w:val="22"/>
          <w:lang w:eastAsia="es-MX"/>
        </w:rPr>
        <w:t xml:space="preserve"> Cortés Rodríguez.</w:t>
      </w:r>
    </w:p>
    <w:p w:rsidR="00B953E0" w:rsidRDefault="00D838B0">
      <w:pPr>
        <w:spacing w:before="120" w:after="120"/>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Recurso de </w:t>
      </w:r>
      <w:r>
        <w:rPr>
          <w:rFonts w:ascii="Palatino Linotype" w:hAnsi="Palatino Linotype" w:cs="Arial"/>
          <w:i/>
          <w:sz w:val="22"/>
          <w:szCs w:val="22"/>
        </w:rPr>
        <w:t>reclamación</w:t>
      </w:r>
      <w:r>
        <w:rPr>
          <w:rFonts w:ascii="Palatino Linotype" w:hAnsi="Palatino Linotype" w:cs="Arial"/>
          <w:i/>
          <w:sz w:val="22"/>
          <w:szCs w:val="22"/>
          <w:lang w:eastAsia="es-MX"/>
        </w:rPr>
        <w:t xml:space="preserve"> 1067/2014. Raúl Rodríguez Cervantes. 28 de enero de 2015. Cinco votos de los </w:t>
      </w:r>
      <w:r>
        <w:rPr>
          <w:rFonts w:ascii="Palatino Linotype" w:hAnsi="Palatino Linotype" w:cs="Arial"/>
          <w:i/>
          <w:sz w:val="22"/>
          <w:szCs w:val="22"/>
        </w:rPr>
        <w:t>Ministros</w:t>
      </w:r>
      <w:r>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w:t>
      </w:r>
      <w:r>
        <w:rPr>
          <w:rFonts w:ascii="Palatino Linotype" w:hAnsi="Palatino Linotype" w:cs="Arial"/>
          <w:i/>
          <w:sz w:val="22"/>
          <w:szCs w:val="22"/>
          <w:lang w:eastAsia="es-MX"/>
        </w:rPr>
        <w:lastRenderedPageBreak/>
        <w:t>Gutiérrez Ortiz Mena. Ponente: Alfredo Gutiérrez Ortiz Mena. Secretaria: Cecilia Armengol Alonso.</w:t>
      </w:r>
    </w:p>
    <w:p w:rsidR="00B953E0" w:rsidRDefault="00D838B0">
      <w:pPr>
        <w:spacing w:before="120" w:after="120"/>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Recur</w:t>
      </w:r>
      <w:r>
        <w:rPr>
          <w:rFonts w:ascii="Palatino Linotype" w:hAnsi="Palatino Linotype" w:cs="Arial"/>
          <w:i/>
          <w:sz w:val="22"/>
          <w:szCs w:val="22"/>
        </w:rPr>
        <w:t>s</w:t>
      </w:r>
      <w:r>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Pr>
          <w:rFonts w:ascii="Palatino Linotype" w:hAnsi="Palatino Linotype" w:cs="Arial"/>
          <w:i/>
          <w:sz w:val="22"/>
          <w:szCs w:val="22"/>
        </w:rPr>
        <w:t>Villegas</w:t>
      </w:r>
      <w:r>
        <w:rPr>
          <w:rFonts w:ascii="Palatino Linotype" w:hAnsi="Palatino Linotype" w:cs="Arial"/>
          <w:i/>
          <w:sz w:val="22"/>
          <w:szCs w:val="22"/>
          <w:lang w:eastAsia="es-MX"/>
        </w:rPr>
        <w:t xml:space="preserve"> y Alfredo Gutiérrez Ortiz Mena. Ponente: José Ramón Cossío Díaz. Secretario: Rodrigo Montes de Oca Arboleya.</w:t>
      </w:r>
    </w:p>
    <w:p w:rsidR="00B953E0" w:rsidRDefault="00D838B0">
      <w:pPr>
        <w:spacing w:before="120" w:after="120"/>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Recurso de reclamación 1164/2014. Paula Abascal Valdez. 18 de febrero de 2015. Cinco votos de los </w:t>
      </w:r>
      <w:r>
        <w:rPr>
          <w:rFonts w:ascii="Palatino Linotype" w:hAnsi="Palatino Linotype" w:cs="Arial"/>
          <w:i/>
          <w:sz w:val="22"/>
          <w:szCs w:val="22"/>
        </w:rPr>
        <w:t>Ministros</w:t>
      </w:r>
      <w:r>
        <w:rPr>
          <w:rFonts w:ascii="Palatino Linotype" w:hAnsi="Palatino Linotype" w:cs="Arial"/>
          <w:i/>
          <w:sz w:val="22"/>
          <w:szCs w:val="22"/>
          <w:lang w:eastAsia="es-MX"/>
        </w:rPr>
        <w:t xml:space="preserve"> </w:t>
      </w:r>
      <w:r>
        <w:rPr>
          <w:rFonts w:ascii="Palatino Linotype" w:hAnsi="Palatino Linotype" w:cs="Arial"/>
          <w:i/>
          <w:sz w:val="22"/>
          <w:szCs w:val="22"/>
        </w:rPr>
        <w:t>Arturo</w:t>
      </w:r>
      <w:r>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Goslinga Remírez.</w:t>
      </w:r>
    </w:p>
    <w:p w:rsidR="00B953E0" w:rsidRDefault="00D838B0">
      <w:pPr>
        <w:spacing w:before="120" w:after="120"/>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Recurso </w:t>
      </w:r>
      <w:r>
        <w:rPr>
          <w:rFonts w:ascii="Palatino Linotype" w:hAnsi="Palatino Linotype" w:cs="Arial"/>
          <w:i/>
          <w:sz w:val="22"/>
          <w:szCs w:val="22"/>
        </w:rPr>
        <w:t>de</w:t>
      </w:r>
      <w:r>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Pr>
          <w:rFonts w:ascii="Palatino Linotype" w:hAnsi="Palatino Linotype" w:cs="Arial"/>
          <w:i/>
          <w:sz w:val="22"/>
          <w:szCs w:val="22"/>
        </w:rPr>
        <w:t>Villegas</w:t>
      </w:r>
      <w:r>
        <w:rPr>
          <w:rFonts w:ascii="Palatino Linotype" w:hAnsi="Palatino Linotype" w:cs="Arial"/>
          <w:i/>
          <w:sz w:val="22"/>
          <w:szCs w:val="22"/>
          <w:lang w:eastAsia="es-MX"/>
        </w:rPr>
        <w:t xml:space="preserve"> y Alfredo Gutiérrez Ortiz Mena. Ponente: Arturo Zaldívar Lelo de Larrea. Secretario: Saúl Armando Patiño Lara.”</w:t>
      </w:r>
    </w:p>
    <w:p w:rsidR="00B953E0" w:rsidRDefault="00D838B0">
      <w:pPr>
        <w:spacing w:before="200" w:after="200" w:line="360" w:lineRule="auto"/>
        <w:jc w:val="both"/>
        <w:rPr>
          <w:rFonts w:ascii="Palatino Linotype" w:hAnsi="Palatino Linotype" w:cs="Arial"/>
        </w:rPr>
      </w:pPr>
      <w:r>
        <w:rPr>
          <w:rFonts w:ascii="Palatino Linotype" w:hAnsi="Palatino Linotype" w:cs="Arial"/>
        </w:rPr>
        <w:t>En ese tenor, se reitera que si el recurso de revisión que nos ocupa, se interpuso el día</w:t>
      </w:r>
      <w:r>
        <w:rPr>
          <w:rFonts w:ascii="Palatino Linotype" w:hAnsi="Palatino Linotype" w:cs="Arial"/>
          <w:b/>
        </w:rPr>
        <w:t xml:space="preserve"> </w:t>
      </w:r>
      <w:r>
        <w:rPr>
          <w:rFonts w:ascii="Palatino Linotype" w:hAnsi="Palatino Linotype" w:cs="Arial"/>
          <w:b/>
          <w:u w:val="single"/>
        </w:rPr>
        <w:t>dieciocho de febrero de dos mil veinte</w:t>
      </w:r>
      <w:r>
        <w:rPr>
          <w:rFonts w:ascii="Palatino Linotype" w:hAnsi="Palatino Linotype" w:cs="Arial"/>
        </w:rPr>
        <w:t>, éste se encuentra dentro de los márgenes temporales previstos en el artículo 178 de la Ley de la materia y, por tanto, su interposición se considera oportuna.</w:t>
      </w:r>
    </w:p>
    <w:p w:rsidR="00B953E0" w:rsidRDefault="00D838B0">
      <w:pPr>
        <w:pStyle w:val="Prrafodelista"/>
        <w:widowControl w:val="0"/>
        <w:numPr>
          <w:ilvl w:val="0"/>
          <w:numId w:val="1"/>
        </w:numPr>
        <w:tabs>
          <w:tab w:val="left" w:pos="1701"/>
          <w:tab w:val="left" w:pos="1843"/>
        </w:tabs>
        <w:spacing w:before="240" w:after="240" w:line="360" w:lineRule="auto"/>
        <w:ind w:left="0" w:firstLine="0"/>
        <w:jc w:val="both"/>
        <w:rPr>
          <w:rFonts w:ascii="Palatino Linotype" w:hAnsi="Palatino Linotype"/>
          <w:b/>
        </w:rPr>
      </w:pPr>
      <w:r>
        <w:rPr>
          <w:rFonts w:ascii="Palatino Linotype" w:hAnsi="Palatino Linotype" w:cs="Arial"/>
          <w:b/>
          <w:szCs w:val="28"/>
        </w:rPr>
        <w:t xml:space="preserve">Procedibilidad. </w:t>
      </w:r>
      <w:r>
        <w:rPr>
          <w:rFonts w:ascii="Palatino Linotype" w:hAnsi="Palatino Linotype" w:cs="Arial"/>
        </w:rPr>
        <w:t>Del análisis efectuado, se advierte la procedibilidad del presente recurso de revisión, en razón de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r>
        <w:rPr>
          <w:rFonts w:ascii="Palatino Linotype" w:hAnsi="Palatino Linotype"/>
        </w:rPr>
        <w:t>.</w:t>
      </w:r>
    </w:p>
    <w:p w:rsidR="00B953E0" w:rsidRDefault="00D838B0">
      <w:pPr>
        <w:pStyle w:val="Prrafodelista"/>
        <w:widowControl w:val="0"/>
        <w:numPr>
          <w:ilvl w:val="0"/>
          <w:numId w:val="1"/>
        </w:numPr>
        <w:tabs>
          <w:tab w:val="left" w:pos="1701"/>
          <w:tab w:val="left" w:pos="1843"/>
        </w:tabs>
        <w:spacing w:before="200" w:after="200" w:line="360" w:lineRule="auto"/>
        <w:ind w:left="0" w:firstLine="0"/>
        <w:jc w:val="both"/>
        <w:rPr>
          <w:rFonts w:ascii="Palatino Linotype" w:hAnsi="Palatino Linotype" w:cs="Arial"/>
        </w:rPr>
      </w:pPr>
      <w:r>
        <w:rPr>
          <w:rFonts w:ascii="Palatino Linotype" w:hAnsi="Palatino Linotype" w:cs="Arial"/>
          <w:b/>
          <w:color w:val="000000" w:themeColor="text1"/>
        </w:rPr>
        <w:t>Análisis de las causales de sobreseimiento.</w:t>
      </w:r>
      <w:r>
        <w:rPr>
          <w:rFonts w:ascii="Palatino Linotype" w:hAnsi="Palatino Linotype" w:cs="Arial"/>
        </w:rPr>
        <w:t xml:space="preserve"> E</w:t>
      </w:r>
      <w:r>
        <w:rPr>
          <w:rFonts w:ascii="Palatino Linotype" w:hAnsi="Palatino Linotype"/>
        </w:rPr>
        <w:t xml:space="preserve">ste Órgano Colegiado advierte que en el caso se actualiza la causal de sobreseimiento prevista en las fracción III del artículo 192 de la </w:t>
      </w:r>
      <w:r>
        <w:rPr>
          <w:rFonts w:ascii="Palatino Linotype" w:hAnsi="Palatino Linotype" w:cs="Arial"/>
        </w:rPr>
        <w:t>de la Ley de Transparencia y Acceso a la Información Pública del Estado de México y Municipios</w:t>
      </w:r>
      <w:r>
        <w:rPr>
          <w:rFonts w:ascii="Palatino Linotype" w:hAnsi="Palatino Linotype"/>
        </w:rPr>
        <w:t xml:space="preserve"> que dispone lo siguiente:</w:t>
      </w:r>
      <w:r>
        <w:rPr>
          <w:rFonts w:ascii="Palatino Linotype" w:hAnsi="Palatino Linotype" w:cs="Arial"/>
          <w:color w:val="000000" w:themeColor="text1"/>
        </w:rPr>
        <w:t xml:space="preserve"> </w:t>
      </w:r>
    </w:p>
    <w:p w:rsidR="00B953E0" w:rsidRDefault="00D838B0">
      <w:pPr>
        <w:pStyle w:val="Prrafodelista"/>
        <w:widowControl w:val="0"/>
        <w:tabs>
          <w:tab w:val="left" w:pos="1701"/>
        </w:tabs>
        <w:spacing w:before="200" w:after="200"/>
        <w:ind w:left="851" w:right="1183"/>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lastRenderedPageBreak/>
        <w:t>“</w:t>
      </w:r>
      <w:r>
        <w:rPr>
          <w:rFonts w:ascii="Palatino Linotype" w:hAnsi="Palatino Linotype" w:cs="Arial"/>
          <w:b/>
          <w:i/>
          <w:color w:val="000000" w:themeColor="text1"/>
          <w:sz w:val="22"/>
          <w:szCs w:val="22"/>
        </w:rPr>
        <w:t>Artículo 192</w:t>
      </w:r>
      <w:r>
        <w:rPr>
          <w:rFonts w:ascii="Palatino Linotype" w:hAnsi="Palatino Linotype" w:cs="Arial"/>
          <w:i/>
          <w:color w:val="000000" w:themeColor="text1"/>
          <w:sz w:val="22"/>
          <w:szCs w:val="22"/>
        </w:rPr>
        <w:t>. El recurso será sobreseído, en todo o en parte, cuando una vez admitido, se actualicen alguno de los siguientes supuestos:</w:t>
      </w:r>
    </w:p>
    <w:p w:rsidR="00B953E0" w:rsidRDefault="00D838B0">
      <w:pPr>
        <w:pStyle w:val="Prrafodelista"/>
        <w:widowControl w:val="0"/>
        <w:tabs>
          <w:tab w:val="left" w:pos="1701"/>
        </w:tabs>
        <w:spacing w:before="200" w:after="200"/>
        <w:ind w:left="851" w:right="1183"/>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p>
    <w:p w:rsidR="00B953E0" w:rsidRDefault="00D838B0">
      <w:pPr>
        <w:pStyle w:val="Prrafodelista"/>
        <w:widowControl w:val="0"/>
        <w:tabs>
          <w:tab w:val="left" w:pos="1701"/>
        </w:tabs>
        <w:spacing w:before="200" w:after="200"/>
        <w:ind w:left="851" w:right="1183"/>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III. El sujeto obligado responsable del acto lo modifique o revoque de tal manera que el recurso de revisión quede sin materia;</w:t>
      </w:r>
      <w:r>
        <w:rPr>
          <w:rFonts w:ascii="Palatino Linotype" w:hAnsi="Palatino Linotype" w:cs="Arial"/>
          <w:i/>
          <w:color w:val="000000" w:themeColor="text1"/>
          <w:sz w:val="22"/>
          <w:szCs w:val="22"/>
        </w:rPr>
        <w:t>…”</w:t>
      </w:r>
    </w:p>
    <w:p w:rsidR="00B953E0" w:rsidRDefault="00B953E0">
      <w:pPr>
        <w:pStyle w:val="Prrafodelista"/>
        <w:widowControl w:val="0"/>
        <w:tabs>
          <w:tab w:val="left" w:pos="1701"/>
        </w:tabs>
        <w:spacing w:before="200" w:after="200"/>
        <w:ind w:left="851" w:right="1183"/>
        <w:jc w:val="both"/>
        <w:rPr>
          <w:rFonts w:ascii="Palatino Linotype" w:hAnsi="Palatino Linotype" w:cs="Arial"/>
          <w:color w:val="000000" w:themeColor="text1"/>
          <w:sz w:val="16"/>
          <w:szCs w:val="16"/>
        </w:rPr>
      </w:pPr>
    </w:p>
    <w:p w:rsidR="00B953E0" w:rsidRDefault="00D838B0">
      <w:pPr>
        <w:widowControl w:val="0"/>
        <w:tabs>
          <w:tab w:val="left" w:pos="1701"/>
          <w:tab w:val="left" w:pos="1843"/>
        </w:tabs>
        <w:spacing w:before="200" w:after="200" w:line="360" w:lineRule="auto"/>
        <w:jc w:val="both"/>
        <w:rPr>
          <w:rFonts w:ascii="Palatino Linotype" w:hAnsi="Palatino Linotype" w:cs="Arial"/>
          <w:color w:val="000000" w:themeColor="text1"/>
        </w:rPr>
      </w:pPr>
      <w:r>
        <w:rPr>
          <w:rFonts w:ascii="Palatino Linotype" w:hAnsi="Palatino Linotype" w:cs="Arial"/>
          <w:color w:val="000000" w:themeColor="text1"/>
        </w:rPr>
        <w:t>Luego, conforme a la transcripción que antecede conviene desglosar los elementos de la disposición enunciada:</w:t>
      </w:r>
    </w:p>
    <w:p w:rsidR="00B953E0" w:rsidRDefault="00D838B0">
      <w:pPr>
        <w:pStyle w:val="Prrafodelista"/>
        <w:widowControl w:val="0"/>
        <w:tabs>
          <w:tab w:val="left" w:pos="1701"/>
          <w:tab w:val="left" w:pos="1843"/>
        </w:tabs>
        <w:spacing w:before="200" w:after="200"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1.- El sujeto obligado responsable; </w:t>
      </w:r>
    </w:p>
    <w:p w:rsidR="00B953E0" w:rsidRDefault="00D838B0">
      <w:pPr>
        <w:pStyle w:val="Prrafodelista"/>
        <w:widowControl w:val="0"/>
        <w:tabs>
          <w:tab w:val="left" w:pos="1701"/>
          <w:tab w:val="left" w:pos="1843"/>
        </w:tabs>
        <w:spacing w:before="200" w:after="200" w:line="360" w:lineRule="auto"/>
        <w:jc w:val="both"/>
        <w:rPr>
          <w:rFonts w:ascii="Palatino Linotype" w:hAnsi="Palatino Linotype" w:cs="Arial"/>
          <w:color w:val="000000" w:themeColor="text1"/>
        </w:rPr>
      </w:pPr>
      <w:r>
        <w:rPr>
          <w:rFonts w:ascii="Palatino Linotype" w:hAnsi="Palatino Linotype" w:cs="Arial"/>
          <w:color w:val="000000" w:themeColor="text1"/>
        </w:rPr>
        <w:t>2.- Acto;</w:t>
      </w:r>
    </w:p>
    <w:p w:rsidR="00B953E0" w:rsidRDefault="00D838B0">
      <w:pPr>
        <w:pStyle w:val="Prrafodelista"/>
        <w:widowControl w:val="0"/>
        <w:tabs>
          <w:tab w:val="left" w:pos="1701"/>
          <w:tab w:val="left" w:pos="1843"/>
        </w:tabs>
        <w:spacing w:before="200" w:after="200" w:line="360" w:lineRule="auto"/>
        <w:jc w:val="both"/>
        <w:rPr>
          <w:rFonts w:ascii="Palatino Linotype" w:hAnsi="Palatino Linotype" w:cs="Arial"/>
          <w:color w:val="000000" w:themeColor="text1"/>
        </w:rPr>
      </w:pPr>
      <w:r>
        <w:rPr>
          <w:rFonts w:ascii="Palatino Linotype" w:hAnsi="Palatino Linotype" w:cs="Arial"/>
          <w:color w:val="000000" w:themeColor="text1"/>
        </w:rPr>
        <w:t>3.- Que se modifique o revoque; y</w:t>
      </w:r>
    </w:p>
    <w:p w:rsidR="00B953E0" w:rsidRDefault="00D838B0">
      <w:pPr>
        <w:pStyle w:val="Prrafodelista"/>
        <w:widowControl w:val="0"/>
        <w:tabs>
          <w:tab w:val="left" w:pos="1701"/>
          <w:tab w:val="left" w:pos="1843"/>
        </w:tabs>
        <w:spacing w:before="200" w:after="200" w:line="360" w:lineRule="auto"/>
        <w:jc w:val="both"/>
        <w:rPr>
          <w:rFonts w:ascii="Palatino Linotype" w:hAnsi="Palatino Linotype" w:cs="Arial"/>
          <w:color w:val="000000" w:themeColor="text1"/>
        </w:rPr>
      </w:pPr>
      <w:r>
        <w:rPr>
          <w:rFonts w:ascii="Palatino Linotype" w:hAnsi="Palatino Linotype" w:cs="Arial"/>
          <w:color w:val="000000" w:themeColor="text1"/>
        </w:rPr>
        <w:t>4.- De tal manera que el medio de impugnación quede sin efecto o materia.</w:t>
      </w:r>
    </w:p>
    <w:p w:rsidR="00B953E0" w:rsidRDefault="00D838B0">
      <w:pPr>
        <w:pStyle w:val="Prrafodelista"/>
        <w:widowControl w:val="0"/>
        <w:tabs>
          <w:tab w:val="left" w:pos="1701"/>
          <w:tab w:val="left" w:pos="1843"/>
        </w:tabs>
        <w:spacing w:before="200" w:after="200" w:line="360" w:lineRule="auto"/>
        <w:ind w:left="0"/>
        <w:jc w:val="both"/>
        <w:rPr>
          <w:rFonts w:ascii="Palatino Linotype" w:hAnsi="Palatino Linotype" w:cs="Arial"/>
          <w:b/>
          <w:color w:val="000000" w:themeColor="text1"/>
        </w:rPr>
      </w:pPr>
      <w:r>
        <w:rPr>
          <w:rFonts w:ascii="Palatino Linotype" w:hAnsi="Palatino Linotype" w:cs="Arial"/>
          <w:color w:val="000000" w:themeColor="text1"/>
        </w:rPr>
        <w:t xml:space="preserve">El primer elemento normativo se actualiza ya que, </w:t>
      </w:r>
      <w:r>
        <w:rPr>
          <w:rFonts w:ascii="Palatino Linotype" w:hAnsi="Palatino Linotype" w:cs="Arial"/>
          <w:b/>
          <w:color w:val="000000" w:themeColor="text1"/>
        </w:rPr>
        <w:t>EL SUJETO OBLIGADO</w:t>
      </w:r>
      <w:r>
        <w:rPr>
          <w:rFonts w:ascii="Palatino Linotype" w:hAnsi="Palatino Linotype" w:cs="Arial"/>
          <w:color w:val="000000" w:themeColor="text1"/>
        </w:rPr>
        <w:t xml:space="preserve"> responsable, es el </w:t>
      </w:r>
      <w:r>
        <w:rPr>
          <w:rFonts w:ascii="Palatino Linotype" w:hAnsi="Palatino Linotype" w:cs="Arial"/>
          <w:b/>
          <w:color w:val="000000" w:themeColor="text1"/>
        </w:rPr>
        <w:t>Ayuntamiento de Tlalmanalco.</w:t>
      </w:r>
    </w:p>
    <w:p w:rsidR="00B953E0" w:rsidRDefault="00D838B0">
      <w:pPr>
        <w:pStyle w:val="Prrafodelista"/>
        <w:widowControl w:val="0"/>
        <w:tabs>
          <w:tab w:val="left" w:pos="1701"/>
          <w:tab w:val="left" w:pos="1843"/>
        </w:tabs>
        <w:spacing w:before="200" w:after="200" w:line="360" w:lineRule="auto"/>
        <w:ind w:left="0"/>
        <w:jc w:val="both"/>
        <w:rPr>
          <w:rFonts w:ascii="Palatino Linotype" w:hAnsi="Palatino Linotype" w:cs="Arial"/>
          <w:color w:val="000000" w:themeColor="text1"/>
        </w:rPr>
      </w:pPr>
      <w:r>
        <w:rPr>
          <w:rFonts w:ascii="Palatino Linotype" w:hAnsi="Palatino Linotype" w:cs="Arial"/>
        </w:rPr>
        <w:t xml:space="preserve">El segundo elemento normativo es la existencia de un acto, en el caso en concreto que nos ocupa, se acredita con la existencia de la respuesta del </w:t>
      </w:r>
      <w:r>
        <w:rPr>
          <w:rFonts w:ascii="Palatino Linotype" w:hAnsi="Palatino Linotype" w:cs="Arial"/>
          <w:b/>
        </w:rPr>
        <w:t>SUJETO OBLIGADO</w:t>
      </w:r>
      <w:r>
        <w:rPr>
          <w:rFonts w:ascii="Palatino Linotype" w:hAnsi="Palatino Linotype" w:cs="Arial"/>
        </w:rPr>
        <w:t xml:space="preserve">, la cual precisamente es la que se impugna, toda vez que es la que a decir de </w:t>
      </w:r>
      <w:r>
        <w:rPr>
          <w:rFonts w:ascii="Palatino Linotype" w:hAnsi="Palatino Linotype" w:cs="Arial"/>
          <w:b/>
        </w:rPr>
        <w:t>LA RECURRENTE</w:t>
      </w:r>
      <w:r>
        <w:rPr>
          <w:rFonts w:ascii="Palatino Linotype" w:hAnsi="Palatino Linotype" w:cs="Arial"/>
        </w:rPr>
        <w:t xml:space="preserve"> no dieron contestación a todo lo peticionado. </w:t>
      </w:r>
    </w:p>
    <w:p w:rsidR="00B953E0" w:rsidRDefault="00B953E0">
      <w:pPr>
        <w:spacing w:line="360" w:lineRule="auto"/>
        <w:jc w:val="both"/>
        <w:rPr>
          <w:rFonts w:ascii="Palatino Linotype" w:hAnsi="Palatino Linotype" w:cs="Arial"/>
        </w:rPr>
      </w:pPr>
    </w:p>
    <w:p w:rsidR="00B953E0" w:rsidRDefault="00D838B0">
      <w:pPr>
        <w:spacing w:line="360" w:lineRule="auto"/>
        <w:jc w:val="both"/>
        <w:rPr>
          <w:rFonts w:ascii="Palatino Linotype" w:hAnsi="Palatino Linotype" w:cs="Arial"/>
        </w:rPr>
      </w:pPr>
      <w:r>
        <w:rPr>
          <w:rFonts w:ascii="Palatino Linotype" w:hAnsi="Palatino Linotype" w:cs="Arial"/>
        </w:rPr>
        <w:t>Cabe destacar que la respuesta del</w:t>
      </w:r>
      <w:r>
        <w:rPr>
          <w:rFonts w:ascii="Palatino Linotype" w:hAnsi="Palatino Linotype" w:cs="Arial"/>
          <w:b/>
        </w:rPr>
        <w:t xml:space="preserve"> SUJETO OBLIGADO</w:t>
      </w:r>
      <w:r>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w:t>
      </w:r>
      <w:r>
        <w:rPr>
          <w:rFonts w:ascii="Palatino Linotype" w:hAnsi="Palatino Linotype" w:cs="Arial"/>
        </w:rPr>
        <w:lastRenderedPageBreak/>
        <w:t xml:space="preserve">“actos”, sin los cuales no se tendría certeza de la existencia o inexistencia de la información pública, porque precisamente la evidencia notoria y específica del actuar del </w:t>
      </w:r>
      <w:r>
        <w:rPr>
          <w:rFonts w:ascii="Palatino Linotype" w:hAnsi="Palatino Linotype" w:cs="Arial"/>
          <w:b/>
        </w:rPr>
        <w:t>SUJETO OBLIGADO</w:t>
      </w:r>
      <w:r>
        <w:rPr>
          <w:rFonts w:ascii="Palatino Linotype" w:hAnsi="Palatino Linotype" w:cs="Arial"/>
        </w:rPr>
        <w:t xml:space="preserve"> se observa a través de sus actos que necesariamente ejecuta y con las que ejerce sus atribuciones legalmente conferidas. </w:t>
      </w:r>
    </w:p>
    <w:p w:rsidR="00B953E0" w:rsidRDefault="00B953E0">
      <w:pPr>
        <w:spacing w:line="360" w:lineRule="auto"/>
        <w:jc w:val="both"/>
        <w:rPr>
          <w:rFonts w:ascii="Palatino Linotype" w:hAnsi="Palatino Linotype" w:cs="Arial"/>
        </w:rPr>
      </w:pPr>
    </w:p>
    <w:p w:rsidR="00B953E0" w:rsidRDefault="00D838B0">
      <w:pPr>
        <w:spacing w:line="360" w:lineRule="auto"/>
        <w:jc w:val="both"/>
        <w:rPr>
          <w:rFonts w:ascii="Palatino Linotype" w:hAnsi="Palatino Linotype" w:cs="Arial"/>
        </w:rPr>
      </w:pPr>
      <w:r>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B953E0" w:rsidRDefault="00B953E0">
      <w:pPr>
        <w:spacing w:line="360" w:lineRule="auto"/>
        <w:jc w:val="both"/>
        <w:rPr>
          <w:rFonts w:ascii="Palatino Linotype" w:hAnsi="Palatino Linotype" w:cs="Arial"/>
        </w:rPr>
      </w:pPr>
    </w:p>
    <w:p w:rsidR="00B953E0" w:rsidRDefault="00D838B0">
      <w:pPr>
        <w:ind w:left="709" w:right="757"/>
        <w:jc w:val="both"/>
        <w:rPr>
          <w:rFonts w:ascii="Palatino Linotype" w:hAnsi="Palatino Linotype" w:cs="Arial"/>
          <w:i/>
          <w:sz w:val="22"/>
        </w:rPr>
      </w:pPr>
      <w:r>
        <w:rPr>
          <w:rFonts w:ascii="Palatino Linotype" w:hAnsi="Palatino Linotype" w:cs="Arial"/>
          <w:b/>
          <w:i/>
          <w:sz w:val="22"/>
        </w:rPr>
        <w:t>“Artículo 53</w:t>
      </w:r>
      <w:r>
        <w:rPr>
          <w:rFonts w:ascii="Palatino Linotype" w:hAnsi="Palatino Linotype" w:cs="Arial"/>
          <w:i/>
          <w:sz w:val="22"/>
        </w:rPr>
        <w:t xml:space="preserve">. Las Unidades de Transparencia tendrán las siguientes funciones: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b/>
          <w:i/>
          <w:sz w:val="22"/>
          <w:u w:val="single"/>
        </w:rPr>
        <w:t>II. Recibir, tramitar y dar respuesta a las solicitudes de acceso a la información</w:t>
      </w:r>
      <w:r>
        <w:rPr>
          <w:rFonts w:ascii="Palatino Linotype" w:hAnsi="Palatino Linotype" w:cs="Arial"/>
          <w:i/>
          <w:sz w:val="22"/>
        </w:rPr>
        <w:t xml:space="preserve">;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 xml:space="preserve">IV. Realizar, con efectividad, los trámites internos necesarios para la atención de las solicitudes de acceso a la información;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 xml:space="preserve">V. Entregar, en su caso, a los particulares la información solicitada;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 xml:space="preserve">VI. Efectuar las notificaciones a los solicitantes;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lastRenderedPageBreak/>
        <w:t xml:space="preserve">VII. Proponer al Comité de Transparencia, los procedimientos internos que aseguren la mayor eficiencia en la gestión de las solicitudes de acceso a la información, conforme a la normatividad aplicable;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 xml:space="preserve">X. Presentar ante el Comité, el proyecto de clasificación de información;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 xml:space="preserve">XI. Promover e implementar políticas de transparencia proactiva procurando su accesibilidad;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 xml:space="preserve">XII. Fomentar la transparencia y accesibilidad al interior del sujeto obligado;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 xml:space="preserve">XIII. Hacer del conocimiento de la instancia competente la probable responsabilidad por el incumplimiento de las obligaciones previstas en la presente Ley; y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b/>
          <w:i/>
          <w:sz w:val="22"/>
        </w:rPr>
      </w:pPr>
      <w:r>
        <w:rPr>
          <w:rFonts w:ascii="Palatino Linotype" w:hAnsi="Palatino Linotype" w:cs="Arial"/>
          <w:i/>
          <w:sz w:val="22"/>
        </w:rPr>
        <w:t>XIV. Las demás que resulten necesarias para facilitar el acceso a la información y aquellas que se desprenden de la presente Ley y demás disposiciones jurídicas aplicables.</w:t>
      </w:r>
      <w:r>
        <w:rPr>
          <w:rFonts w:ascii="Palatino Linotype" w:hAnsi="Palatino Linotype" w:cs="Arial"/>
          <w:b/>
          <w:i/>
          <w:sz w:val="22"/>
        </w:rPr>
        <w:t>”</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i/>
          <w:sz w:val="22"/>
        </w:rPr>
      </w:pPr>
      <w:r>
        <w:rPr>
          <w:rFonts w:ascii="Palatino Linotype" w:hAnsi="Palatino Linotype" w:cs="Arial"/>
          <w:i/>
          <w:sz w:val="22"/>
        </w:rPr>
        <w:t>(Énfasis añadido)</w:t>
      </w:r>
    </w:p>
    <w:p w:rsidR="00B953E0" w:rsidRDefault="00B953E0">
      <w:pPr>
        <w:spacing w:line="360" w:lineRule="auto"/>
        <w:ind w:left="709" w:right="757"/>
        <w:jc w:val="both"/>
        <w:rPr>
          <w:rFonts w:ascii="Palatino Linotype" w:hAnsi="Palatino Linotype" w:cs="Arial"/>
          <w:i/>
        </w:rPr>
      </w:pPr>
    </w:p>
    <w:p w:rsidR="00B953E0" w:rsidRDefault="00D838B0">
      <w:pPr>
        <w:spacing w:line="360" w:lineRule="auto"/>
        <w:jc w:val="both"/>
        <w:rPr>
          <w:rFonts w:ascii="Palatino Linotype" w:hAnsi="Palatino Linotype" w:cs="Arial"/>
        </w:rPr>
      </w:pPr>
      <w:r>
        <w:rPr>
          <w:rFonts w:ascii="Palatino Linotype" w:hAnsi="Palatino Linotype" w:cs="Arial"/>
        </w:rPr>
        <w:t xml:space="preserve">Es decir, la impugnación de </w:t>
      </w:r>
      <w:r>
        <w:rPr>
          <w:rFonts w:ascii="Palatino Linotype" w:hAnsi="Palatino Linotype" w:cs="Arial"/>
          <w:b/>
        </w:rPr>
        <w:t>LA</w:t>
      </w:r>
      <w:r>
        <w:rPr>
          <w:rFonts w:ascii="Palatino Linotype" w:hAnsi="Palatino Linotype" w:cs="Arial"/>
        </w:rPr>
        <w:t xml:space="preserve"> </w:t>
      </w:r>
      <w:r>
        <w:rPr>
          <w:rFonts w:ascii="Palatino Linotype" w:hAnsi="Palatino Linotype" w:cs="Arial"/>
          <w:b/>
        </w:rPr>
        <w:t>RECURRENTE</w:t>
      </w:r>
      <w:r>
        <w:rPr>
          <w:rFonts w:ascii="Palatino Linotype" w:hAnsi="Palatino Linotype" w:cs="Arial"/>
        </w:rPr>
        <w:t xml:space="preserve"> debe ser sobre la emisión de un “Acto” contenido en la misma Ley o la omisión en la emisión de ésta, lo que en el presente caso se actualiza con la respuesta dada por </w:t>
      </w:r>
      <w:r>
        <w:rPr>
          <w:rFonts w:ascii="Palatino Linotype" w:hAnsi="Palatino Linotype" w:cs="Arial"/>
          <w:b/>
        </w:rPr>
        <w:t>EL SUJETO OBLIGADO</w:t>
      </w:r>
      <w:r>
        <w:rPr>
          <w:rFonts w:ascii="Palatino Linotype" w:hAnsi="Palatino Linotype" w:cs="Arial"/>
        </w:rPr>
        <w:t>.</w:t>
      </w:r>
    </w:p>
    <w:p w:rsidR="00B953E0" w:rsidRDefault="00D838B0">
      <w:pPr>
        <w:pStyle w:val="Prrafodelista"/>
        <w:widowControl w:val="0"/>
        <w:tabs>
          <w:tab w:val="left" w:pos="1701"/>
          <w:tab w:val="left" w:pos="1843"/>
        </w:tabs>
        <w:spacing w:before="200" w:after="200" w:line="360" w:lineRule="auto"/>
        <w:ind w:left="0"/>
        <w:jc w:val="both"/>
        <w:rPr>
          <w:rFonts w:ascii="Palatino Linotype" w:hAnsi="Palatino Linotype" w:cs="Arial"/>
        </w:rPr>
      </w:pPr>
      <w:r>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Pr>
          <w:rFonts w:ascii="Palatino Linotype" w:hAnsi="Palatino Linotype" w:cs="Arial"/>
          <w:b/>
          <w:u w:val="single"/>
        </w:rPr>
        <w:t>la modifique o revoque</w:t>
      </w:r>
      <w:r>
        <w:rPr>
          <w:rFonts w:ascii="Palatino Linotype" w:hAnsi="Palatino Linotype" w:cs="Arial"/>
        </w:rPr>
        <w:t xml:space="preserve">; en cuanto hace a la modificación, </w:t>
      </w:r>
      <w:r>
        <w:rPr>
          <w:rFonts w:ascii="Palatino Linotype" w:hAnsi="Palatino Linotype" w:cs="Arial"/>
        </w:rPr>
        <w:lastRenderedPageBreak/>
        <w:t xml:space="preserve">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rsidR="00B953E0" w:rsidRDefault="00D838B0">
      <w:pPr>
        <w:spacing w:line="360" w:lineRule="auto"/>
        <w:jc w:val="both"/>
        <w:rPr>
          <w:rFonts w:ascii="Palatino Linotype" w:hAnsi="Palatino Linotype" w:cs="Arial"/>
        </w:rPr>
      </w:pPr>
      <w:r>
        <w:rPr>
          <w:rFonts w:ascii="Palatino Linotype" w:hAnsi="Palatino Linotype" w:cs="Arial"/>
        </w:rPr>
        <w:t>Por cuanto hace a la revocación, a diferencia de la modificación, ocurre cuando la dependencia o entidad responsable (</w:t>
      </w:r>
      <w:r>
        <w:rPr>
          <w:rFonts w:ascii="Palatino Linotype" w:hAnsi="Palatino Linotype" w:cs="Arial"/>
          <w:b/>
        </w:rPr>
        <w:t>SUJETO OBLIGADO</w:t>
      </w:r>
      <w:r>
        <w:rPr>
          <w:rFonts w:ascii="Palatino Linotype" w:hAnsi="Palatino Linotype" w:cs="Arial"/>
        </w:rPr>
        <w:t>) del acto o resolución impugnada, suprime, elimina o cancela la totalidad de su respuesta y emite otra en su lugar dejando sin efecto lo que en un principio respondió.</w:t>
      </w:r>
    </w:p>
    <w:p w:rsidR="00B953E0" w:rsidRDefault="00B953E0">
      <w:pPr>
        <w:spacing w:line="360" w:lineRule="auto"/>
        <w:jc w:val="both"/>
        <w:rPr>
          <w:rFonts w:ascii="Palatino Linotype" w:hAnsi="Palatino Linotype" w:cs="Arial"/>
        </w:rPr>
      </w:pPr>
    </w:p>
    <w:p w:rsidR="00B953E0" w:rsidRDefault="00D838B0">
      <w:pPr>
        <w:spacing w:line="360" w:lineRule="auto"/>
        <w:jc w:val="both"/>
        <w:rPr>
          <w:rFonts w:ascii="Palatino Linotype" w:hAnsi="Palatino Linotype" w:cs="Arial"/>
        </w:rPr>
      </w:pPr>
      <w:r>
        <w:rPr>
          <w:rFonts w:ascii="Palatino Linotype" w:hAnsi="Palatino Linotype" w:cs="Arial"/>
        </w:rPr>
        <w:t>En ese tenor, un acto impugnado queda sin efectos, aun cuando existiendo jurídicamente (esto es, que no se ha modificado, ni revocado) no genera ninguna consecuencia legal.</w:t>
      </w:r>
    </w:p>
    <w:p w:rsidR="00B953E0" w:rsidRDefault="00B953E0">
      <w:pPr>
        <w:spacing w:line="360" w:lineRule="auto"/>
        <w:jc w:val="both"/>
        <w:rPr>
          <w:rFonts w:ascii="Palatino Linotype" w:hAnsi="Palatino Linotype" w:cs="Arial"/>
        </w:rPr>
      </w:pPr>
    </w:p>
    <w:p w:rsidR="00B953E0" w:rsidRDefault="00D838B0">
      <w:pPr>
        <w:spacing w:line="360" w:lineRule="auto"/>
        <w:jc w:val="both"/>
        <w:rPr>
          <w:rFonts w:ascii="Palatino Linotype" w:hAnsi="Palatino Linotype" w:cs="Arial"/>
        </w:rPr>
      </w:pPr>
      <w:r>
        <w:rPr>
          <w:rFonts w:ascii="Palatino Linotype" w:hAnsi="Palatino Linotype" w:cs="Arial"/>
        </w:rPr>
        <w:t xml:space="preserve">En tanto que, un acto impugnado queda sin materia, cuando ha sido satisfecha la pretensión de lo pedido o exigido por </w:t>
      </w:r>
      <w:r>
        <w:rPr>
          <w:rFonts w:ascii="Palatino Linotype" w:hAnsi="Palatino Linotype" w:cs="Arial"/>
          <w:b/>
        </w:rPr>
        <w:t>LA RECURRENTE</w:t>
      </w:r>
      <w:r>
        <w:rPr>
          <w:rFonts w:ascii="Palatino Linotype" w:hAnsi="Palatino Linotype" w:cs="Arial"/>
        </w:rPr>
        <w:t xml:space="preserve"> de manera que </w:t>
      </w:r>
      <w:r>
        <w:rPr>
          <w:rFonts w:ascii="Palatino Linotype" w:hAnsi="Palatino Linotype" w:cs="Arial"/>
          <w:b/>
        </w:rPr>
        <w:t>EL SUJETO OBLIGADO</w:t>
      </w:r>
      <w:r>
        <w:rPr>
          <w:rFonts w:ascii="Palatino Linotype" w:hAnsi="Palatino Linotype" w:cs="Arial"/>
        </w:rPr>
        <w:t xml:space="preserve"> entrega una respuesta que aunque sea posterior a los términos previstos en la Ley y mediante ésta concede la información solicitada.  </w:t>
      </w:r>
    </w:p>
    <w:p w:rsidR="00B953E0" w:rsidRDefault="00B953E0">
      <w:pPr>
        <w:spacing w:line="360" w:lineRule="auto"/>
        <w:jc w:val="both"/>
        <w:rPr>
          <w:rFonts w:ascii="Palatino Linotype" w:hAnsi="Palatino Linotype" w:cs="Arial"/>
        </w:rPr>
      </w:pPr>
    </w:p>
    <w:p w:rsidR="00B953E0" w:rsidRDefault="00D838B0">
      <w:pPr>
        <w:spacing w:line="360" w:lineRule="auto"/>
        <w:jc w:val="both"/>
        <w:rPr>
          <w:rFonts w:ascii="Palatino Linotype" w:hAnsi="Palatino Linotype" w:cs="Arial"/>
        </w:rPr>
      </w:pPr>
      <w:r>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Pr>
          <w:rFonts w:ascii="Palatino Linotype" w:hAnsi="Palatino Linotype" w:cs="Arial"/>
          <w:b/>
        </w:rPr>
        <w:t>EL SUJETO OBLIGADO</w:t>
      </w:r>
      <w:r>
        <w:rPr>
          <w:rFonts w:ascii="Palatino Linotype" w:hAnsi="Palatino Linotype" w:cs="Arial"/>
        </w:rPr>
        <w:t xml:space="preserve"> mediante un acto posterior a su respuesta, como lo fue el Informe Justificado, remitió la información con la cual dejó sin materia el presente recurso.</w:t>
      </w:r>
    </w:p>
    <w:p w:rsidR="00B953E0" w:rsidRDefault="00B953E0">
      <w:pPr>
        <w:spacing w:line="360" w:lineRule="auto"/>
        <w:jc w:val="both"/>
        <w:rPr>
          <w:rFonts w:ascii="Palatino Linotype" w:hAnsi="Palatino Linotype" w:cs="Arial"/>
          <w:sz w:val="16"/>
          <w:szCs w:val="16"/>
        </w:rPr>
      </w:pPr>
    </w:p>
    <w:p w:rsidR="00B953E0" w:rsidRDefault="00D838B0">
      <w:pPr>
        <w:pStyle w:val="Prrafodelista"/>
        <w:widowControl w:val="0"/>
        <w:tabs>
          <w:tab w:val="left" w:pos="1701"/>
          <w:tab w:val="left" w:pos="1843"/>
        </w:tabs>
        <w:spacing w:before="200" w:after="200" w:line="360" w:lineRule="auto"/>
        <w:ind w:left="0"/>
        <w:jc w:val="both"/>
        <w:rPr>
          <w:rFonts w:ascii="Palatino Linotype" w:hAnsi="Palatino Linotype" w:cs="Arial"/>
          <w:highlight w:val="yellow"/>
        </w:rPr>
      </w:pPr>
      <w:r>
        <w:rPr>
          <w:rFonts w:ascii="Palatino Linotype" w:hAnsi="Palatino Linotype" w:cs="Arial"/>
        </w:rPr>
        <w:lastRenderedPageBreak/>
        <w:t xml:space="preserve">A fin de corroborar lo anterior, es preciso señalar que </w:t>
      </w:r>
      <w:r>
        <w:rPr>
          <w:rFonts w:ascii="Palatino Linotype" w:hAnsi="Palatino Linotype" w:cs="Arial"/>
          <w:b/>
        </w:rPr>
        <w:t>LA RECURRENTE</w:t>
      </w:r>
      <w:r>
        <w:rPr>
          <w:rFonts w:ascii="Palatino Linotype" w:hAnsi="Palatino Linotype" w:cs="Arial"/>
        </w:rPr>
        <w:t xml:space="preserve"> solicitó los nombres completos y cargos que desempeñan los ciudadanos electos como delegados, subdelegados y/o en su caso COPACIS para el periodo 2019-2022, del municipio de Tlalmanalco, Estado de México, de todas sus comunidades, barrios o delegaciones.</w:t>
      </w:r>
    </w:p>
    <w:p w:rsidR="00B953E0" w:rsidRDefault="00D838B0">
      <w:pPr>
        <w:pStyle w:val="Prrafodelista"/>
        <w:widowControl w:val="0"/>
        <w:tabs>
          <w:tab w:val="left" w:pos="1701"/>
          <w:tab w:val="left" w:pos="1843"/>
        </w:tabs>
        <w:spacing w:before="200" w:after="20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su parte, </w:t>
      </w:r>
      <w:r>
        <w:rPr>
          <w:rFonts w:ascii="Palatino Linotype" w:hAnsi="Palatino Linotype" w:cs="Arial"/>
          <w:b/>
          <w:color w:val="000000" w:themeColor="text1"/>
        </w:rPr>
        <w:t>EL SUJETO OBLIGADO</w:t>
      </w:r>
      <w:r>
        <w:rPr>
          <w:rFonts w:ascii="Palatino Linotype" w:hAnsi="Palatino Linotype" w:cs="Arial"/>
          <w:color w:val="000000" w:themeColor="text1"/>
        </w:rPr>
        <w:t xml:space="preserve"> al dar respuesta a la solicitud de información, colmó el requerimiento de la particular por cuanto hace a los nombres completos y cargos de sus siete delegaciones; así como, del nombre de los miembros de los Consejos de Participación Ciudadana (COPACI), designados para el periodo que comprende del 2019 al 2021; tal y como puede observarse a continuación: </w:t>
      </w:r>
    </w:p>
    <w:p w:rsidR="00B953E0" w:rsidRDefault="00D838B0">
      <w:pPr>
        <w:pStyle w:val="Prrafodelista"/>
        <w:widowControl w:val="0"/>
        <w:tabs>
          <w:tab w:val="left" w:pos="1701"/>
          <w:tab w:val="left" w:pos="1843"/>
        </w:tabs>
        <w:spacing w:before="200" w:after="200" w:line="360" w:lineRule="auto"/>
        <w:ind w:left="0"/>
        <w:jc w:val="both"/>
      </w:pPr>
      <w:r>
        <w:rPr>
          <w:noProof/>
          <w:lang w:eastAsia="es-MX"/>
        </w:rPr>
        <w:drawing>
          <wp:inline distT="0" distB="0" distL="0" distR="0">
            <wp:extent cx="5791835" cy="3957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stretch>
                      <a:fillRect/>
                    </a:stretch>
                  </pic:blipFill>
                  <pic:spPr bwMode="auto">
                    <a:xfrm>
                      <a:off x="0" y="0"/>
                      <a:ext cx="5791835" cy="3957320"/>
                    </a:xfrm>
                    <a:prstGeom prst="rect">
                      <a:avLst/>
                    </a:prstGeom>
                  </pic:spPr>
                </pic:pic>
              </a:graphicData>
            </a:graphic>
          </wp:inline>
        </w:drawing>
      </w:r>
    </w:p>
    <w:p w:rsidR="00B953E0" w:rsidRDefault="00D838B0">
      <w:pPr>
        <w:spacing w:line="360" w:lineRule="auto"/>
        <w:jc w:val="both"/>
        <w:rPr>
          <w:rFonts w:ascii="Palatino Linotype" w:eastAsia="Calibri" w:hAnsi="Palatino Linotype" w:cs="Bookman Old Style,Bold"/>
          <w:bCs/>
          <w:i/>
          <w:sz w:val="22"/>
          <w:lang w:eastAsia="en-US"/>
        </w:rPr>
      </w:pPr>
      <w:r>
        <w:rPr>
          <w:rFonts w:ascii="Palatino Linotype" w:hAnsi="Palatino Linotype" w:cs="Arial"/>
        </w:rPr>
        <w:lastRenderedPageBreak/>
        <w:t xml:space="preserve">Ante la respuesta aludida, </w:t>
      </w:r>
      <w:r>
        <w:rPr>
          <w:rFonts w:ascii="Palatino Linotype" w:hAnsi="Palatino Linotype" w:cs="Arial"/>
          <w:b/>
        </w:rPr>
        <w:t>LA RECURRENTE</w:t>
      </w:r>
      <w:r>
        <w:rPr>
          <w:rFonts w:ascii="Palatino Linotype" w:hAnsi="Palatino Linotype" w:cs="Arial"/>
        </w:rPr>
        <w:t xml:space="preserve"> interpuso el recurso de revisión que nos ocupa, señalando tanto en acto impugnado, así como</w:t>
      </w:r>
      <w:r>
        <w:rPr>
          <w:rFonts w:ascii="Palatino Linotype" w:eastAsia="Calibri" w:hAnsi="Palatino Linotype" w:cs="Bookman Old Style,Bold"/>
          <w:bCs/>
          <w:lang w:eastAsia="en-US"/>
        </w:rPr>
        <w:t xml:space="preserve"> razones o motivos de inconformidad, lo indicado en el Resolutivo </w:t>
      </w:r>
      <w:r>
        <w:rPr>
          <w:rFonts w:ascii="Palatino Linotype" w:eastAsia="Calibri" w:hAnsi="Palatino Linotype" w:cs="Bookman Old Style,Bold"/>
          <w:b/>
          <w:bCs/>
          <w:lang w:eastAsia="en-US"/>
        </w:rPr>
        <w:t>III</w:t>
      </w:r>
      <w:r>
        <w:rPr>
          <w:rFonts w:ascii="Palatino Linotype" w:eastAsia="Calibri" w:hAnsi="Palatino Linotype" w:cs="Bookman Old Style,Bold"/>
          <w:bCs/>
          <w:lang w:eastAsia="en-US"/>
        </w:rPr>
        <w:t xml:space="preserve"> de la presente resolución. </w:t>
      </w:r>
    </w:p>
    <w:p w:rsidR="00B953E0" w:rsidRDefault="00B953E0">
      <w:pPr>
        <w:spacing w:line="360" w:lineRule="auto"/>
        <w:ind w:right="899"/>
        <w:jc w:val="both"/>
        <w:rPr>
          <w:rFonts w:ascii="Palatino Linotype" w:eastAsia="Calibri" w:hAnsi="Palatino Linotype" w:cs="Bookman Old Style,Bold"/>
          <w:bCs/>
          <w:lang w:eastAsia="en-US"/>
        </w:rPr>
      </w:pPr>
    </w:p>
    <w:p w:rsidR="00B953E0" w:rsidRDefault="000921A5">
      <w:pPr>
        <w:spacing w:line="360" w:lineRule="auto"/>
        <w:jc w:val="both"/>
        <w:rPr>
          <w:rFonts w:ascii="Palatino Linotype" w:hAnsi="Palatino Linotype" w:cs="Arial"/>
        </w:rPr>
      </w:pPr>
      <w:r>
        <w:rPr>
          <w:rFonts w:ascii="Palatino Linotype" w:eastAsia="Calibri" w:hAnsi="Palatino Linotype" w:cs="Bookman Old Style,Bold"/>
          <w:bCs/>
          <w:noProof/>
          <w:lang w:eastAsia="es-MX"/>
        </w:rPr>
        <mc:AlternateContent>
          <mc:Choice Requires="wps">
            <w:drawing>
              <wp:anchor distT="0" distB="0" distL="114300" distR="114300" simplePos="0" relativeHeight="251659264" behindDoc="0" locked="0" layoutInCell="1" allowOverlap="1">
                <wp:simplePos x="0" y="0"/>
                <wp:positionH relativeFrom="column">
                  <wp:posOffset>24764</wp:posOffset>
                </wp:positionH>
                <wp:positionV relativeFrom="paragraph">
                  <wp:posOffset>3389629</wp:posOffset>
                </wp:positionV>
                <wp:extent cx="5934075" cy="2733675"/>
                <wp:effectExtent l="38100" t="38100" r="66675" b="85725"/>
                <wp:wrapNone/>
                <wp:docPr id="16" name="Conector recto 16"/>
                <wp:cNvGraphicFramePr/>
                <a:graphic xmlns:a="http://schemas.openxmlformats.org/drawingml/2006/main">
                  <a:graphicData uri="http://schemas.microsoft.com/office/word/2010/wordprocessingShape">
                    <wps:wsp>
                      <wps:cNvCnPr/>
                      <wps:spPr>
                        <a:xfrm>
                          <a:off x="0" y="0"/>
                          <a:ext cx="5934075" cy="2733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D9CE0B" id="Conector recto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266.9pt" to="469.2pt,4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" strokecolor="#4f81bd [3204]" strokeweight="2pt">
                <v:shadow on="t" color="black" opacity="24903f" origin=",.5" offset="0,.55556mm"/>
              </v:line>
            </w:pict>
          </mc:Fallback>
        </mc:AlternateContent>
      </w:r>
      <w:r w:rsidR="00D838B0">
        <w:rPr>
          <w:rFonts w:ascii="Palatino Linotype" w:eastAsia="Calibri" w:hAnsi="Palatino Linotype" w:cs="Bookman Old Style,Bold"/>
          <w:bCs/>
          <w:lang w:eastAsia="en-US"/>
        </w:rPr>
        <w:t xml:space="preserve">Fue así que, </w:t>
      </w:r>
      <w:r w:rsidR="00D838B0">
        <w:rPr>
          <w:rFonts w:ascii="Palatino Linotype" w:eastAsia="Calibri" w:hAnsi="Palatino Linotype" w:cs="Arial"/>
          <w:b/>
          <w:bCs/>
          <w:lang w:eastAsia="es-MX"/>
        </w:rPr>
        <w:t>EL SUJETO OBLIGADO</w:t>
      </w:r>
      <w:r w:rsidR="00D838B0">
        <w:rPr>
          <w:rFonts w:ascii="Palatino Linotype" w:eastAsia="Calibri" w:hAnsi="Palatino Linotype" w:cs="Bookman Old Style,Bold"/>
          <w:bCs/>
          <w:lang w:eastAsia="en-US"/>
        </w:rPr>
        <w:t xml:space="preserve"> al rendir su Informe Justificado, hizo entrega del Acta de la Cuarta Sesión de la Comisión Transitoria Electoral, de fecha veinticinco de marzo de dos mil diecinueve, en la que se aprobó las Planillas que fueron electas para ocupar los cargos propuestos para el Comité de Participación Ciudadana, documento que contiene precisamente lo requerido por la ahora </w:t>
      </w:r>
      <w:r w:rsidR="00D838B0">
        <w:rPr>
          <w:rFonts w:ascii="Palatino Linotype" w:eastAsia="Calibri" w:hAnsi="Palatino Linotype" w:cs="Bookman Old Style,Bold"/>
          <w:b/>
          <w:bCs/>
          <w:lang w:eastAsia="en-US"/>
        </w:rPr>
        <w:t xml:space="preserve">RECURRENTE, </w:t>
      </w:r>
      <w:r w:rsidR="00D838B0">
        <w:rPr>
          <w:rFonts w:ascii="Palatino Linotype" w:eastAsia="Calibri" w:hAnsi="Palatino Linotype" w:cs="Bookman Old Style,Bold"/>
          <w:bCs/>
          <w:lang w:eastAsia="en-US"/>
        </w:rPr>
        <w:t xml:space="preserve">modificando así, en cuanto hace a los efectos, </w:t>
      </w:r>
      <w:r w:rsidR="00D838B0">
        <w:rPr>
          <w:rFonts w:ascii="Palatino Linotype" w:hAnsi="Palatino Linotype" w:cs="Arial"/>
        </w:rPr>
        <w:t xml:space="preserve">su respuesta; por lo que, atendiendo los requisitos de legalidad y formalidad que dicta la Ley de la materia se cumple así el derecho de acceso a la información de </w:t>
      </w:r>
      <w:r w:rsidR="00D838B0">
        <w:rPr>
          <w:rFonts w:ascii="Palatino Linotype" w:hAnsi="Palatino Linotype" w:cs="Arial"/>
          <w:b/>
        </w:rPr>
        <w:t xml:space="preserve">LA RECURRENTE, </w:t>
      </w:r>
      <w:r w:rsidR="00D838B0">
        <w:rPr>
          <w:rFonts w:ascii="Palatino Linotype" w:hAnsi="Palatino Linotype" w:cs="Arial"/>
        </w:rPr>
        <w:t>ya que si bien es cierto el sentido de la respuesta subsiste, la documentación proporcionada que acredita su dicho fue modificada al subsanar las deficiencias que de ella se advierten, tal y como se ilustra a continuación:</w:t>
      </w:r>
    </w:p>
    <w:p w:rsidR="00B953E0" w:rsidRDefault="000921A5">
      <w:pPr>
        <w:spacing w:line="360" w:lineRule="auto"/>
        <w:rPr>
          <w:rFonts w:ascii="Palatino Linotype" w:hAnsi="Palatino Linotype" w:cs="Arial"/>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-13336</wp:posOffset>
                </wp:positionH>
                <wp:positionV relativeFrom="paragraph">
                  <wp:posOffset>5099050</wp:posOffset>
                </wp:positionV>
                <wp:extent cx="5915025" cy="2247900"/>
                <wp:effectExtent l="38100" t="38100" r="66675" b="95250"/>
                <wp:wrapNone/>
                <wp:docPr id="17" name="Conector recto 17"/>
                <wp:cNvGraphicFramePr/>
                <a:graphic xmlns:a="http://schemas.openxmlformats.org/drawingml/2006/main">
                  <a:graphicData uri="http://schemas.microsoft.com/office/word/2010/wordprocessingShape">
                    <wps:wsp>
                      <wps:cNvCnPr/>
                      <wps:spPr>
                        <a:xfrm>
                          <a:off x="0" y="0"/>
                          <a:ext cx="5915025" cy="2247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BF49AE" id="Conector recto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401.5pt" to="464.7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" strokecolor="#4f81bd [3204]" strokeweight="2pt">
                <v:shadow on="t" color="black" opacity="24903f" origin=",.5" offset="0,.55556mm"/>
              </v:line>
            </w:pict>
          </mc:Fallback>
        </mc:AlternateContent>
      </w:r>
      <w:r w:rsidR="00D838B0">
        <w:rPr>
          <w:noProof/>
          <w:lang w:eastAsia="es-MX"/>
        </w:rPr>
        <w:drawing>
          <wp:inline distT="0" distB="0" distL="0" distR="0">
            <wp:extent cx="5792470" cy="4834255"/>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7"/>
                    <pic:cNvPicPr>
                      <a:picLocks noChangeAspect="1" noChangeArrowheads="1"/>
                    </pic:cNvPicPr>
                  </pic:nvPicPr>
                  <pic:blipFill>
                    <a:blip r:embed="rId11"/>
                    <a:stretch>
                      <a:fillRect/>
                    </a:stretch>
                  </pic:blipFill>
                  <pic:spPr bwMode="auto">
                    <a:xfrm>
                      <a:off x="0" y="0"/>
                      <a:ext cx="5792470" cy="4834255"/>
                    </a:xfrm>
                    <a:prstGeom prst="rect">
                      <a:avLst/>
                    </a:prstGeom>
                  </pic:spPr>
                </pic:pic>
              </a:graphicData>
            </a:graphic>
          </wp:inline>
        </w:drawing>
      </w:r>
    </w:p>
    <w:p w:rsidR="00B953E0" w:rsidRDefault="00D838B0">
      <w:pPr>
        <w:pStyle w:val="Prrafodelista"/>
        <w:widowControl w:val="0"/>
        <w:tabs>
          <w:tab w:val="left" w:pos="1701"/>
          <w:tab w:val="left" w:pos="1843"/>
        </w:tabs>
        <w:spacing w:before="200" w:after="200" w:line="360" w:lineRule="auto"/>
        <w:ind w:left="0"/>
        <w:jc w:val="both"/>
        <w:rPr>
          <w:rFonts w:ascii="Arial" w:hAnsi="Arial" w:cs="Arial"/>
          <w:lang w:eastAsia="es-MX"/>
        </w:rPr>
      </w:pPr>
      <w:r>
        <w:rPr>
          <w:noProof/>
          <w:lang w:eastAsia="es-MX"/>
        </w:rPr>
        <w:lastRenderedPageBreak/>
        <w:drawing>
          <wp:inline distT="0" distB="0" distL="0" distR="0">
            <wp:extent cx="5763895" cy="7417435"/>
            <wp:effectExtent l="0" t="0" r="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pic:cNvPicPr>
                      <a:picLocks noChangeAspect="1" noChangeArrowheads="1"/>
                    </pic:cNvPicPr>
                  </pic:nvPicPr>
                  <pic:blipFill>
                    <a:blip r:embed="rId12"/>
                    <a:stretch>
                      <a:fillRect/>
                    </a:stretch>
                  </pic:blipFill>
                  <pic:spPr bwMode="auto">
                    <a:xfrm>
                      <a:off x="0" y="0"/>
                      <a:ext cx="5763895" cy="7417435"/>
                    </a:xfrm>
                    <a:prstGeom prst="rect">
                      <a:avLst/>
                    </a:prstGeom>
                  </pic:spPr>
                </pic:pic>
              </a:graphicData>
            </a:graphic>
          </wp:inline>
        </w:drawing>
      </w:r>
    </w:p>
    <w:p w:rsidR="00B953E0" w:rsidRDefault="00D838B0">
      <w:pPr>
        <w:pStyle w:val="Prrafodelista"/>
        <w:widowControl w:val="0"/>
        <w:tabs>
          <w:tab w:val="left" w:pos="1701"/>
          <w:tab w:val="left" w:pos="1843"/>
        </w:tabs>
        <w:spacing w:before="200" w:after="200" w:line="360" w:lineRule="auto"/>
        <w:ind w:left="0"/>
        <w:jc w:val="both"/>
        <w:rPr>
          <w:rFonts w:ascii="Arial" w:hAnsi="Arial" w:cs="Arial"/>
          <w:lang w:eastAsia="es-MX"/>
        </w:rPr>
      </w:pPr>
      <w:r>
        <w:rPr>
          <w:noProof/>
          <w:lang w:eastAsia="es-MX"/>
        </w:rPr>
        <w:lastRenderedPageBreak/>
        <w:drawing>
          <wp:inline distT="0" distB="0" distL="0" distR="0">
            <wp:extent cx="5771515" cy="7176135"/>
            <wp:effectExtent l="0" t="0" r="0" b="0"/>
            <wp:docPr id="6"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
                    <pic:cNvPicPr>
                      <a:picLocks noChangeAspect="1" noChangeArrowheads="1"/>
                    </pic:cNvPicPr>
                  </pic:nvPicPr>
                  <pic:blipFill>
                    <a:blip r:embed="rId13"/>
                    <a:stretch>
                      <a:fillRect/>
                    </a:stretch>
                  </pic:blipFill>
                  <pic:spPr bwMode="auto">
                    <a:xfrm>
                      <a:off x="0" y="0"/>
                      <a:ext cx="5771515" cy="7176135"/>
                    </a:xfrm>
                    <a:prstGeom prst="rect">
                      <a:avLst/>
                    </a:prstGeom>
                  </pic:spPr>
                </pic:pic>
              </a:graphicData>
            </a:graphic>
          </wp:inline>
        </w:drawing>
      </w:r>
    </w:p>
    <w:p w:rsidR="00B953E0" w:rsidRDefault="00D838B0">
      <w:pPr>
        <w:pStyle w:val="Prrafodelista"/>
        <w:widowControl w:val="0"/>
        <w:tabs>
          <w:tab w:val="left" w:pos="1701"/>
          <w:tab w:val="left" w:pos="1843"/>
        </w:tabs>
        <w:spacing w:before="200" w:after="200" w:line="360" w:lineRule="auto"/>
        <w:ind w:left="0"/>
        <w:jc w:val="both"/>
        <w:rPr>
          <w:rFonts w:ascii="Arial" w:hAnsi="Arial" w:cs="Arial"/>
          <w:lang w:eastAsia="es-MX"/>
        </w:rPr>
      </w:pPr>
      <w:r>
        <w:rPr>
          <w:noProof/>
          <w:lang w:eastAsia="es-MX"/>
        </w:rPr>
        <w:lastRenderedPageBreak/>
        <w:drawing>
          <wp:inline distT="0" distB="0" distL="0" distR="0">
            <wp:extent cx="5778500" cy="7534910"/>
            <wp:effectExtent l="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0"/>
                    <pic:cNvPicPr>
                      <a:picLocks noChangeAspect="1" noChangeArrowheads="1"/>
                    </pic:cNvPicPr>
                  </pic:nvPicPr>
                  <pic:blipFill>
                    <a:blip r:embed="rId14"/>
                    <a:stretch>
                      <a:fillRect/>
                    </a:stretch>
                  </pic:blipFill>
                  <pic:spPr bwMode="auto">
                    <a:xfrm>
                      <a:off x="0" y="0"/>
                      <a:ext cx="5778500" cy="7534910"/>
                    </a:xfrm>
                    <a:prstGeom prst="rect">
                      <a:avLst/>
                    </a:prstGeom>
                  </pic:spPr>
                </pic:pic>
              </a:graphicData>
            </a:graphic>
          </wp:inline>
        </w:drawing>
      </w:r>
    </w:p>
    <w:p w:rsidR="00B953E0" w:rsidRDefault="00D838B0">
      <w:pPr>
        <w:pStyle w:val="Prrafodelista"/>
        <w:widowControl w:val="0"/>
        <w:tabs>
          <w:tab w:val="left" w:pos="1701"/>
          <w:tab w:val="left" w:pos="1843"/>
        </w:tabs>
        <w:spacing w:before="200" w:after="200" w:line="360" w:lineRule="auto"/>
        <w:ind w:left="0"/>
        <w:jc w:val="both"/>
        <w:rPr>
          <w:rFonts w:ascii="Arial" w:hAnsi="Arial" w:cs="Arial"/>
          <w:lang w:eastAsia="es-MX"/>
        </w:rPr>
      </w:pPr>
      <w:r>
        <w:rPr>
          <w:noProof/>
          <w:lang w:eastAsia="es-MX"/>
        </w:rPr>
        <w:lastRenderedPageBreak/>
        <w:drawing>
          <wp:inline distT="0" distB="0" distL="0" distR="0">
            <wp:extent cx="5812155" cy="7295515"/>
            <wp:effectExtent l="0" t="0" r="0" b="0"/>
            <wp:docPr id="8"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5"/>
                    <pic:cNvPicPr>
                      <a:picLocks noChangeAspect="1" noChangeArrowheads="1"/>
                    </pic:cNvPicPr>
                  </pic:nvPicPr>
                  <pic:blipFill>
                    <a:blip r:embed="rId15"/>
                    <a:stretch>
                      <a:fillRect/>
                    </a:stretch>
                  </pic:blipFill>
                  <pic:spPr bwMode="auto">
                    <a:xfrm>
                      <a:off x="0" y="0"/>
                      <a:ext cx="5812155" cy="7295515"/>
                    </a:xfrm>
                    <a:prstGeom prst="rect">
                      <a:avLst/>
                    </a:prstGeom>
                  </pic:spPr>
                </pic:pic>
              </a:graphicData>
            </a:graphic>
          </wp:inline>
        </w:drawing>
      </w:r>
    </w:p>
    <w:p w:rsidR="00B953E0" w:rsidRDefault="00D838B0">
      <w:pPr>
        <w:pStyle w:val="Prrafodelista"/>
        <w:widowControl w:val="0"/>
        <w:tabs>
          <w:tab w:val="left" w:pos="1175"/>
        </w:tabs>
        <w:spacing w:before="200" w:after="200" w:line="360" w:lineRule="auto"/>
        <w:ind w:left="0"/>
        <w:jc w:val="both"/>
        <w:rPr>
          <w:rFonts w:ascii="Palatino Linotype" w:hAnsi="Palatino Linotype" w:cs="Arial"/>
          <w:color w:val="000000" w:themeColor="text1"/>
        </w:rPr>
      </w:pPr>
      <w:r>
        <w:rPr>
          <w:noProof/>
          <w:lang w:eastAsia="es-MX"/>
        </w:rPr>
        <w:lastRenderedPageBreak/>
        <w:drawing>
          <wp:inline distT="0" distB="0" distL="0" distR="0">
            <wp:extent cx="5771515" cy="7446645"/>
            <wp:effectExtent l="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3"/>
                    <pic:cNvPicPr>
                      <a:picLocks noChangeAspect="1" noChangeArrowheads="1"/>
                    </pic:cNvPicPr>
                  </pic:nvPicPr>
                  <pic:blipFill>
                    <a:blip r:embed="rId16"/>
                    <a:stretch>
                      <a:fillRect/>
                    </a:stretch>
                  </pic:blipFill>
                  <pic:spPr bwMode="auto">
                    <a:xfrm>
                      <a:off x="0" y="0"/>
                      <a:ext cx="5771515" cy="7446645"/>
                    </a:xfrm>
                    <a:prstGeom prst="rect">
                      <a:avLst/>
                    </a:prstGeom>
                  </pic:spPr>
                </pic:pic>
              </a:graphicData>
            </a:graphic>
          </wp:inline>
        </w:drawing>
      </w:r>
    </w:p>
    <w:p w:rsidR="00B953E0" w:rsidRDefault="00D838B0">
      <w:pPr>
        <w:pStyle w:val="Prrafodelista"/>
        <w:widowControl w:val="0"/>
        <w:tabs>
          <w:tab w:val="left" w:pos="1175"/>
        </w:tabs>
        <w:spacing w:before="200" w:after="200" w:line="360" w:lineRule="auto"/>
        <w:ind w:left="0"/>
        <w:jc w:val="both"/>
        <w:rPr>
          <w:rFonts w:ascii="Palatino Linotype" w:hAnsi="Palatino Linotype" w:cs="Arial"/>
          <w:color w:val="000000" w:themeColor="text1"/>
        </w:rPr>
      </w:pPr>
      <w:r>
        <w:rPr>
          <w:noProof/>
          <w:lang w:eastAsia="es-MX"/>
        </w:rPr>
        <w:lastRenderedPageBreak/>
        <w:drawing>
          <wp:inline distT="0" distB="0" distL="0" distR="0">
            <wp:extent cx="5742305" cy="7468870"/>
            <wp:effectExtent l="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4"/>
                    <pic:cNvPicPr>
                      <a:picLocks noChangeAspect="1" noChangeArrowheads="1"/>
                    </pic:cNvPicPr>
                  </pic:nvPicPr>
                  <pic:blipFill>
                    <a:blip r:embed="rId17"/>
                    <a:stretch>
                      <a:fillRect/>
                    </a:stretch>
                  </pic:blipFill>
                  <pic:spPr bwMode="auto">
                    <a:xfrm>
                      <a:off x="0" y="0"/>
                      <a:ext cx="5742305" cy="7468870"/>
                    </a:xfrm>
                    <a:prstGeom prst="rect">
                      <a:avLst/>
                    </a:prstGeom>
                  </pic:spPr>
                </pic:pic>
              </a:graphicData>
            </a:graphic>
          </wp:inline>
        </w:drawing>
      </w:r>
    </w:p>
    <w:p w:rsidR="00B953E0" w:rsidRDefault="00D838B0">
      <w:pPr>
        <w:pStyle w:val="Prrafodelista"/>
        <w:widowControl w:val="0"/>
        <w:tabs>
          <w:tab w:val="left" w:pos="1175"/>
        </w:tabs>
        <w:spacing w:before="200" w:after="200" w:line="360" w:lineRule="auto"/>
        <w:ind w:left="0"/>
        <w:jc w:val="both"/>
        <w:rPr>
          <w:rFonts w:ascii="Palatino Linotype" w:hAnsi="Palatino Linotype" w:cs="Arial"/>
          <w:color w:val="000000" w:themeColor="text1"/>
        </w:rPr>
      </w:pPr>
      <w:r>
        <w:rPr>
          <w:noProof/>
          <w:lang w:eastAsia="es-MX"/>
        </w:rPr>
        <w:lastRenderedPageBreak/>
        <w:drawing>
          <wp:inline distT="0" distB="0" distL="0" distR="0">
            <wp:extent cx="5756910" cy="7125335"/>
            <wp:effectExtent l="0" t="0" r="0" b="0"/>
            <wp:docPr id="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5"/>
                    <pic:cNvPicPr>
                      <a:picLocks noChangeAspect="1" noChangeArrowheads="1"/>
                    </pic:cNvPicPr>
                  </pic:nvPicPr>
                  <pic:blipFill>
                    <a:blip r:embed="rId18"/>
                    <a:stretch>
                      <a:fillRect/>
                    </a:stretch>
                  </pic:blipFill>
                  <pic:spPr bwMode="auto">
                    <a:xfrm>
                      <a:off x="0" y="0"/>
                      <a:ext cx="5756910" cy="7125335"/>
                    </a:xfrm>
                    <a:prstGeom prst="rect">
                      <a:avLst/>
                    </a:prstGeom>
                  </pic:spPr>
                </pic:pic>
              </a:graphicData>
            </a:graphic>
          </wp:inline>
        </w:drawing>
      </w:r>
    </w:p>
    <w:p w:rsidR="00B953E0" w:rsidRDefault="00B953E0">
      <w:pPr>
        <w:pStyle w:val="Prrafodelista"/>
        <w:widowControl w:val="0"/>
        <w:tabs>
          <w:tab w:val="left" w:pos="1175"/>
        </w:tabs>
        <w:spacing w:before="200" w:after="200" w:line="360" w:lineRule="auto"/>
        <w:ind w:left="0"/>
        <w:jc w:val="both"/>
        <w:rPr>
          <w:rFonts w:ascii="Palatino Linotype" w:hAnsi="Palatino Linotype" w:cs="Arial"/>
          <w:color w:val="000000" w:themeColor="text1"/>
        </w:rPr>
      </w:pPr>
    </w:p>
    <w:p w:rsidR="00B953E0" w:rsidRDefault="00D838B0">
      <w:pPr>
        <w:widowControl w:val="0"/>
        <w:spacing w:before="240" w:after="240" w:line="360" w:lineRule="auto"/>
        <w:jc w:val="both"/>
        <w:rPr>
          <w:rFonts w:ascii="Palatino Linotype" w:hAnsi="Palatino Linotype" w:cs="Arial"/>
          <w:highlight w:val="yellow"/>
        </w:rPr>
      </w:pPr>
      <w:r>
        <w:rPr>
          <w:rFonts w:ascii="Palatino Linotype" w:hAnsi="Palatino Linotype" w:cs="Arial"/>
        </w:rPr>
        <w:t xml:space="preserve">A fin de dar mayor certeza a lo referido con anterioridad, esta Ponencia Resolutora realizo el estudio de la información remitida por </w:t>
      </w:r>
      <w:r>
        <w:rPr>
          <w:rFonts w:ascii="Palatino Linotype" w:hAnsi="Palatino Linotype" w:cs="Arial"/>
          <w:b/>
        </w:rPr>
        <w:t>EL SUJETO OBLIGADO</w:t>
      </w:r>
      <w:r>
        <w:rPr>
          <w:rFonts w:ascii="Palatino Linotype" w:hAnsi="Palatino Linotype" w:cs="Arial"/>
        </w:rPr>
        <w:t xml:space="preserve"> con la solicitada por el particular, teniendo lo siguiente: </w:t>
      </w:r>
    </w:p>
    <w:tbl>
      <w:tblPr>
        <w:tblStyle w:val="Tablaconcuadrcula"/>
        <w:tblW w:w="7231" w:type="dxa"/>
        <w:tblInd w:w="1276" w:type="dxa"/>
        <w:tblLook w:val="04A0" w:firstRow="1" w:lastRow="0" w:firstColumn="1" w:lastColumn="0" w:noHBand="0" w:noVBand="1"/>
      </w:tblPr>
      <w:tblGrid>
        <w:gridCol w:w="2312"/>
        <w:gridCol w:w="1208"/>
        <w:gridCol w:w="23"/>
        <w:gridCol w:w="1230"/>
        <w:gridCol w:w="1207"/>
        <w:gridCol w:w="21"/>
        <w:gridCol w:w="1230"/>
      </w:tblGrid>
      <w:tr w:rsidR="00B953E0">
        <w:trPr>
          <w:trHeight w:val="589"/>
        </w:trPr>
        <w:tc>
          <w:tcPr>
            <w:tcW w:w="7231" w:type="dxa"/>
            <w:gridSpan w:val="7"/>
          </w:tcPr>
          <w:p w:rsidR="00B953E0" w:rsidRDefault="00D838B0">
            <w:pPr>
              <w:widowControl w:val="0"/>
              <w:tabs>
                <w:tab w:val="left" w:pos="1825"/>
              </w:tabs>
              <w:ind w:left="-142"/>
              <w:jc w:val="center"/>
              <w:rPr>
                <w:rFonts w:ascii="Palatino Linotype" w:hAnsi="Palatino Linotype" w:cs="Arial"/>
                <w:highlight w:val="yellow"/>
              </w:rPr>
            </w:pPr>
            <w:r>
              <w:rPr>
                <w:rFonts w:ascii="Palatino Linotype" w:eastAsiaTheme="minorHAnsi" w:hAnsi="Palatino Linotype" w:cs="Arial"/>
                <w:sz w:val="22"/>
              </w:rPr>
              <w:t xml:space="preserve">Nombres de delegados y miembros de los </w:t>
            </w:r>
            <w:r>
              <w:rPr>
                <w:rFonts w:ascii="Palatino Linotype" w:eastAsiaTheme="minorHAnsi" w:hAnsi="Palatino Linotype" w:cs="Arial"/>
                <w:color w:val="000000" w:themeColor="text1"/>
                <w:sz w:val="22"/>
              </w:rPr>
              <w:t>Consejos de Participación Ciudadana (COPACI)</w:t>
            </w:r>
          </w:p>
        </w:tc>
      </w:tr>
      <w:tr w:rsidR="00B953E0">
        <w:trPr>
          <w:trHeight w:val="388"/>
        </w:trPr>
        <w:tc>
          <w:tcPr>
            <w:tcW w:w="2312" w:type="dxa"/>
            <w:vMerge w:val="restart"/>
          </w:tcPr>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 xml:space="preserve">Delegaciones </w:t>
            </w:r>
          </w:p>
        </w:tc>
        <w:tc>
          <w:tcPr>
            <w:tcW w:w="2461" w:type="dxa"/>
            <w:gridSpan w:val="3"/>
          </w:tcPr>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Delegados</w:t>
            </w:r>
          </w:p>
        </w:tc>
        <w:tc>
          <w:tcPr>
            <w:tcW w:w="2458" w:type="dxa"/>
            <w:gridSpan w:val="3"/>
          </w:tcPr>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 xml:space="preserve">Miembros COPACI </w:t>
            </w:r>
          </w:p>
        </w:tc>
      </w:tr>
      <w:tr w:rsidR="00B953E0">
        <w:trPr>
          <w:trHeight w:val="388"/>
        </w:trPr>
        <w:tc>
          <w:tcPr>
            <w:tcW w:w="2312" w:type="dxa"/>
            <w:vMerge/>
          </w:tcPr>
          <w:p w:rsidR="00B953E0" w:rsidRDefault="00B953E0">
            <w:pPr>
              <w:widowControl w:val="0"/>
              <w:jc w:val="center"/>
              <w:rPr>
                <w:rFonts w:ascii="Palatino Linotype" w:hAnsi="Palatino Linotype" w:cs="Arial"/>
                <w:highlight w:val="yellow"/>
              </w:rPr>
            </w:pPr>
          </w:p>
        </w:tc>
        <w:tc>
          <w:tcPr>
            <w:tcW w:w="1208" w:type="dxa"/>
          </w:tcPr>
          <w:p w:rsidR="00B953E0" w:rsidRPr="000921A5" w:rsidRDefault="00D838B0">
            <w:pPr>
              <w:widowControl w:val="0"/>
              <w:jc w:val="center"/>
              <w:rPr>
                <w:rFonts w:ascii="Palatino Linotype" w:hAnsi="Palatino Linotype" w:cs="Arial"/>
                <w:sz w:val="20"/>
              </w:rPr>
            </w:pPr>
            <w:r w:rsidRPr="000921A5">
              <w:rPr>
                <w:rFonts w:ascii="Palatino Linotype" w:eastAsiaTheme="minorHAnsi" w:hAnsi="Palatino Linotype" w:cs="Arial"/>
                <w:sz w:val="20"/>
              </w:rPr>
              <w:t xml:space="preserve">Colmó en Respuesta </w:t>
            </w:r>
          </w:p>
        </w:tc>
        <w:tc>
          <w:tcPr>
            <w:tcW w:w="1253" w:type="dxa"/>
            <w:gridSpan w:val="2"/>
          </w:tcPr>
          <w:p w:rsidR="00B953E0" w:rsidRPr="000921A5" w:rsidRDefault="00D838B0">
            <w:pPr>
              <w:widowControl w:val="0"/>
              <w:jc w:val="center"/>
              <w:rPr>
                <w:rFonts w:ascii="Palatino Linotype" w:hAnsi="Palatino Linotype" w:cs="Arial"/>
                <w:sz w:val="20"/>
              </w:rPr>
            </w:pPr>
            <w:r w:rsidRPr="000921A5">
              <w:rPr>
                <w:rFonts w:ascii="Palatino Linotype" w:eastAsiaTheme="minorHAnsi" w:hAnsi="Palatino Linotype" w:cs="Arial"/>
                <w:sz w:val="20"/>
              </w:rPr>
              <w:t>Colmó en Informe Justificado</w:t>
            </w:r>
          </w:p>
        </w:tc>
        <w:tc>
          <w:tcPr>
            <w:tcW w:w="1207" w:type="dxa"/>
          </w:tcPr>
          <w:p w:rsidR="00B953E0" w:rsidRPr="000921A5" w:rsidRDefault="00D838B0">
            <w:pPr>
              <w:widowControl w:val="0"/>
              <w:jc w:val="center"/>
              <w:rPr>
                <w:rFonts w:ascii="Palatino Linotype" w:hAnsi="Palatino Linotype" w:cs="Arial"/>
                <w:sz w:val="20"/>
              </w:rPr>
            </w:pPr>
            <w:r w:rsidRPr="000921A5">
              <w:rPr>
                <w:rFonts w:ascii="Palatino Linotype" w:eastAsiaTheme="minorHAnsi" w:hAnsi="Palatino Linotype" w:cs="Arial"/>
                <w:sz w:val="20"/>
              </w:rPr>
              <w:t xml:space="preserve">Colmó en Respuesta </w:t>
            </w:r>
          </w:p>
        </w:tc>
        <w:tc>
          <w:tcPr>
            <w:tcW w:w="1251" w:type="dxa"/>
            <w:gridSpan w:val="2"/>
          </w:tcPr>
          <w:p w:rsidR="00B953E0" w:rsidRPr="000921A5" w:rsidRDefault="00D838B0">
            <w:pPr>
              <w:widowControl w:val="0"/>
              <w:jc w:val="center"/>
              <w:rPr>
                <w:rFonts w:ascii="Palatino Linotype" w:hAnsi="Palatino Linotype" w:cs="Arial"/>
                <w:sz w:val="20"/>
              </w:rPr>
            </w:pPr>
            <w:r w:rsidRPr="000921A5">
              <w:rPr>
                <w:rFonts w:ascii="Palatino Linotype" w:eastAsiaTheme="minorHAnsi" w:hAnsi="Palatino Linotype" w:cs="Arial"/>
                <w:sz w:val="20"/>
              </w:rPr>
              <w:t>Colmó en Informe Justificado</w:t>
            </w:r>
          </w:p>
        </w:tc>
      </w:tr>
      <w:tr w:rsidR="00B953E0">
        <w:tc>
          <w:tcPr>
            <w:tcW w:w="2312" w:type="dxa"/>
          </w:tcPr>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 xml:space="preserve">Cabecera Municipal </w:t>
            </w:r>
          </w:p>
        </w:tc>
        <w:tc>
          <w:tcPr>
            <w:tcW w:w="1208" w:type="dxa"/>
          </w:tcPr>
          <w:p w:rsidR="00B953E0" w:rsidRPr="000921A5" w:rsidRDefault="00B953E0">
            <w:pPr>
              <w:widowControl w:val="0"/>
              <w:jc w:val="center"/>
              <w:rPr>
                <w:rFonts w:ascii="Palatino Linotype" w:hAnsi="Palatino Linotype" w:cs="Arial"/>
              </w:rPr>
            </w:pPr>
          </w:p>
        </w:tc>
        <w:tc>
          <w:tcPr>
            <w:tcW w:w="1253" w:type="dxa"/>
            <w:gridSpan w:val="2"/>
          </w:tcPr>
          <w:p w:rsidR="00B953E0" w:rsidRPr="000921A5" w:rsidRDefault="00B953E0">
            <w:pPr>
              <w:widowControl w:val="0"/>
              <w:jc w:val="center"/>
              <w:rPr>
                <w:rFonts w:ascii="Palatino Linotype" w:hAnsi="Palatino Linotype" w:cs="Arial"/>
              </w:rPr>
            </w:pPr>
          </w:p>
        </w:tc>
        <w:tc>
          <w:tcPr>
            <w:tcW w:w="1228" w:type="dxa"/>
            <w:gridSpan w:val="2"/>
          </w:tcPr>
          <w:p w:rsidR="00B953E0" w:rsidRPr="000921A5" w:rsidRDefault="00B953E0">
            <w:pPr>
              <w:widowControl w:val="0"/>
              <w:jc w:val="center"/>
              <w:rPr>
                <w:rFonts w:ascii="Palatino Linotype" w:hAnsi="Palatino Linotype" w:cs="Arial"/>
              </w:rPr>
            </w:pPr>
          </w:p>
        </w:tc>
        <w:tc>
          <w:tcPr>
            <w:tcW w:w="1230" w:type="dxa"/>
          </w:tcPr>
          <w:p w:rsidR="00B953E0" w:rsidRPr="000921A5" w:rsidRDefault="00B953E0">
            <w:pPr>
              <w:pStyle w:val="Prrafodelista"/>
              <w:widowControl w:val="0"/>
              <w:numPr>
                <w:ilvl w:val="0"/>
                <w:numId w:val="3"/>
              </w:numPr>
              <w:jc w:val="center"/>
              <w:rPr>
                <w:rFonts w:ascii="Palatino Linotype" w:hAnsi="Palatino Linotype" w:cs="Arial"/>
              </w:rPr>
            </w:pPr>
          </w:p>
        </w:tc>
      </w:tr>
      <w:tr w:rsidR="00B953E0">
        <w:tc>
          <w:tcPr>
            <w:tcW w:w="2312" w:type="dxa"/>
          </w:tcPr>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San Rafael</w:t>
            </w:r>
          </w:p>
        </w:tc>
        <w:tc>
          <w:tcPr>
            <w:tcW w:w="1231" w:type="dxa"/>
            <w:gridSpan w:val="2"/>
          </w:tcPr>
          <w:p w:rsidR="00B953E0" w:rsidRPr="000921A5" w:rsidRDefault="00B953E0">
            <w:pPr>
              <w:pStyle w:val="Prrafodelista"/>
              <w:widowControl w:val="0"/>
              <w:numPr>
                <w:ilvl w:val="0"/>
                <w:numId w:val="3"/>
              </w:numPr>
              <w:jc w:val="center"/>
              <w:rPr>
                <w:rFonts w:ascii="Palatino Linotype" w:hAnsi="Palatino Linotype" w:cs="Arial"/>
              </w:rPr>
            </w:pPr>
          </w:p>
        </w:tc>
        <w:tc>
          <w:tcPr>
            <w:tcW w:w="1230" w:type="dxa"/>
          </w:tcPr>
          <w:p w:rsidR="00B953E0" w:rsidRPr="000921A5" w:rsidRDefault="00B953E0">
            <w:pPr>
              <w:widowControl w:val="0"/>
              <w:jc w:val="center"/>
              <w:rPr>
                <w:rFonts w:ascii="Palatino Linotype" w:hAnsi="Palatino Linotype" w:cs="Arial"/>
              </w:rPr>
            </w:pPr>
          </w:p>
        </w:tc>
        <w:tc>
          <w:tcPr>
            <w:tcW w:w="1228" w:type="dxa"/>
            <w:gridSpan w:val="2"/>
          </w:tcPr>
          <w:p w:rsidR="00B953E0" w:rsidRPr="000921A5" w:rsidRDefault="00B953E0">
            <w:pPr>
              <w:widowControl w:val="0"/>
              <w:jc w:val="center"/>
              <w:rPr>
                <w:rFonts w:ascii="Palatino Linotype" w:hAnsi="Palatino Linotype" w:cs="Arial"/>
              </w:rPr>
            </w:pPr>
          </w:p>
        </w:tc>
        <w:tc>
          <w:tcPr>
            <w:tcW w:w="1230" w:type="dxa"/>
          </w:tcPr>
          <w:p w:rsidR="00B953E0" w:rsidRPr="000921A5" w:rsidRDefault="00B953E0">
            <w:pPr>
              <w:pStyle w:val="Prrafodelista"/>
              <w:widowControl w:val="0"/>
              <w:numPr>
                <w:ilvl w:val="0"/>
                <w:numId w:val="3"/>
              </w:numPr>
              <w:jc w:val="center"/>
              <w:rPr>
                <w:rFonts w:ascii="Palatino Linotype" w:hAnsi="Palatino Linotype" w:cs="Arial"/>
              </w:rPr>
            </w:pPr>
          </w:p>
        </w:tc>
      </w:tr>
      <w:tr w:rsidR="00B953E0">
        <w:tc>
          <w:tcPr>
            <w:tcW w:w="2312" w:type="dxa"/>
          </w:tcPr>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San Juan Atzacualoya</w:t>
            </w:r>
          </w:p>
        </w:tc>
        <w:tc>
          <w:tcPr>
            <w:tcW w:w="1231" w:type="dxa"/>
            <w:gridSpan w:val="2"/>
          </w:tcPr>
          <w:p w:rsidR="00B953E0" w:rsidRPr="000921A5" w:rsidRDefault="00B953E0">
            <w:pPr>
              <w:pStyle w:val="Prrafodelista"/>
              <w:widowControl w:val="0"/>
              <w:numPr>
                <w:ilvl w:val="0"/>
                <w:numId w:val="3"/>
              </w:numPr>
              <w:jc w:val="center"/>
              <w:rPr>
                <w:rFonts w:ascii="Palatino Linotype" w:hAnsi="Palatino Linotype" w:cs="Arial"/>
              </w:rPr>
            </w:pPr>
          </w:p>
        </w:tc>
        <w:tc>
          <w:tcPr>
            <w:tcW w:w="1230" w:type="dxa"/>
          </w:tcPr>
          <w:p w:rsidR="00B953E0" w:rsidRPr="000921A5" w:rsidRDefault="00B953E0">
            <w:pPr>
              <w:widowControl w:val="0"/>
              <w:jc w:val="center"/>
              <w:rPr>
                <w:rFonts w:ascii="Palatino Linotype" w:hAnsi="Palatino Linotype" w:cs="Arial"/>
              </w:rPr>
            </w:pPr>
          </w:p>
        </w:tc>
        <w:tc>
          <w:tcPr>
            <w:tcW w:w="1228" w:type="dxa"/>
            <w:gridSpan w:val="2"/>
          </w:tcPr>
          <w:p w:rsidR="00B953E0" w:rsidRPr="000921A5" w:rsidRDefault="00B953E0">
            <w:pPr>
              <w:widowControl w:val="0"/>
              <w:jc w:val="center"/>
              <w:rPr>
                <w:rFonts w:ascii="Palatino Linotype" w:hAnsi="Palatino Linotype" w:cs="Arial"/>
              </w:rPr>
            </w:pPr>
          </w:p>
        </w:tc>
        <w:tc>
          <w:tcPr>
            <w:tcW w:w="1230" w:type="dxa"/>
          </w:tcPr>
          <w:p w:rsidR="00B953E0" w:rsidRPr="000921A5" w:rsidRDefault="00B953E0">
            <w:pPr>
              <w:pStyle w:val="Prrafodelista"/>
              <w:widowControl w:val="0"/>
              <w:numPr>
                <w:ilvl w:val="0"/>
                <w:numId w:val="3"/>
              </w:numPr>
              <w:jc w:val="center"/>
              <w:rPr>
                <w:rFonts w:ascii="Palatino Linotype" w:hAnsi="Palatino Linotype" w:cs="Arial"/>
              </w:rPr>
            </w:pPr>
          </w:p>
        </w:tc>
      </w:tr>
      <w:tr w:rsidR="00B953E0">
        <w:tc>
          <w:tcPr>
            <w:tcW w:w="2312" w:type="dxa"/>
          </w:tcPr>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San</w:t>
            </w:r>
          </w:p>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Lorenzo Tlalmimilolpan</w:t>
            </w:r>
          </w:p>
        </w:tc>
        <w:tc>
          <w:tcPr>
            <w:tcW w:w="1231" w:type="dxa"/>
            <w:gridSpan w:val="2"/>
          </w:tcPr>
          <w:p w:rsidR="00B953E0" w:rsidRPr="000921A5" w:rsidRDefault="00B953E0">
            <w:pPr>
              <w:pStyle w:val="Prrafodelista"/>
              <w:widowControl w:val="0"/>
              <w:numPr>
                <w:ilvl w:val="0"/>
                <w:numId w:val="3"/>
              </w:numPr>
              <w:jc w:val="center"/>
              <w:rPr>
                <w:rFonts w:ascii="Palatino Linotype" w:hAnsi="Palatino Linotype" w:cs="Arial"/>
              </w:rPr>
            </w:pPr>
          </w:p>
        </w:tc>
        <w:tc>
          <w:tcPr>
            <w:tcW w:w="1230" w:type="dxa"/>
          </w:tcPr>
          <w:p w:rsidR="00B953E0" w:rsidRPr="000921A5" w:rsidRDefault="00B953E0">
            <w:pPr>
              <w:widowControl w:val="0"/>
              <w:jc w:val="center"/>
              <w:rPr>
                <w:rFonts w:ascii="Palatino Linotype" w:hAnsi="Palatino Linotype" w:cs="Arial"/>
              </w:rPr>
            </w:pPr>
          </w:p>
        </w:tc>
        <w:tc>
          <w:tcPr>
            <w:tcW w:w="1228" w:type="dxa"/>
            <w:gridSpan w:val="2"/>
          </w:tcPr>
          <w:p w:rsidR="00B953E0" w:rsidRPr="000921A5" w:rsidRDefault="00B953E0">
            <w:pPr>
              <w:widowControl w:val="0"/>
              <w:jc w:val="center"/>
              <w:rPr>
                <w:rFonts w:ascii="Palatino Linotype" w:hAnsi="Palatino Linotype" w:cs="Arial"/>
              </w:rPr>
            </w:pPr>
          </w:p>
        </w:tc>
        <w:tc>
          <w:tcPr>
            <w:tcW w:w="1230" w:type="dxa"/>
          </w:tcPr>
          <w:p w:rsidR="00B953E0" w:rsidRPr="000921A5" w:rsidRDefault="00B953E0">
            <w:pPr>
              <w:pStyle w:val="Prrafodelista"/>
              <w:widowControl w:val="0"/>
              <w:numPr>
                <w:ilvl w:val="0"/>
                <w:numId w:val="3"/>
              </w:numPr>
              <w:jc w:val="center"/>
              <w:rPr>
                <w:rFonts w:ascii="Palatino Linotype" w:hAnsi="Palatino Linotype" w:cs="Arial"/>
              </w:rPr>
            </w:pPr>
          </w:p>
        </w:tc>
      </w:tr>
      <w:tr w:rsidR="00B953E0">
        <w:tc>
          <w:tcPr>
            <w:tcW w:w="2312" w:type="dxa"/>
          </w:tcPr>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Santo Tomás Atzingo</w:t>
            </w:r>
          </w:p>
        </w:tc>
        <w:tc>
          <w:tcPr>
            <w:tcW w:w="1231" w:type="dxa"/>
            <w:gridSpan w:val="2"/>
          </w:tcPr>
          <w:p w:rsidR="00B953E0" w:rsidRPr="000921A5" w:rsidRDefault="00B953E0">
            <w:pPr>
              <w:pStyle w:val="Prrafodelista"/>
              <w:widowControl w:val="0"/>
              <w:numPr>
                <w:ilvl w:val="0"/>
                <w:numId w:val="3"/>
              </w:numPr>
              <w:jc w:val="center"/>
              <w:rPr>
                <w:rFonts w:ascii="Palatino Linotype" w:hAnsi="Palatino Linotype" w:cs="Arial"/>
              </w:rPr>
            </w:pPr>
          </w:p>
        </w:tc>
        <w:tc>
          <w:tcPr>
            <w:tcW w:w="1230" w:type="dxa"/>
          </w:tcPr>
          <w:p w:rsidR="00B953E0" w:rsidRPr="000921A5" w:rsidRDefault="00B953E0">
            <w:pPr>
              <w:widowControl w:val="0"/>
              <w:jc w:val="center"/>
              <w:rPr>
                <w:rFonts w:ascii="Palatino Linotype" w:hAnsi="Palatino Linotype" w:cs="Arial"/>
              </w:rPr>
            </w:pPr>
          </w:p>
        </w:tc>
        <w:tc>
          <w:tcPr>
            <w:tcW w:w="1228" w:type="dxa"/>
            <w:gridSpan w:val="2"/>
          </w:tcPr>
          <w:p w:rsidR="00B953E0" w:rsidRPr="000921A5" w:rsidRDefault="00B953E0">
            <w:pPr>
              <w:widowControl w:val="0"/>
              <w:jc w:val="center"/>
              <w:rPr>
                <w:rFonts w:ascii="Palatino Linotype" w:hAnsi="Palatino Linotype" w:cs="Arial"/>
              </w:rPr>
            </w:pPr>
          </w:p>
        </w:tc>
        <w:tc>
          <w:tcPr>
            <w:tcW w:w="1230" w:type="dxa"/>
          </w:tcPr>
          <w:p w:rsidR="00B953E0" w:rsidRPr="000921A5" w:rsidRDefault="00B953E0">
            <w:pPr>
              <w:pStyle w:val="Prrafodelista"/>
              <w:widowControl w:val="0"/>
              <w:numPr>
                <w:ilvl w:val="0"/>
                <w:numId w:val="3"/>
              </w:numPr>
              <w:jc w:val="center"/>
              <w:rPr>
                <w:rFonts w:ascii="Palatino Linotype" w:hAnsi="Palatino Linotype" w:cs="Arial"/>
              </w:rPr>
            </w:pPr>
          </w:p>
        </w:tc>
      </w:tr>
      <w:tr w:rsidR="00B953E0">
        <w:tc>
          <w:tcPr>
            <w:tcW w:w="2312" w:type="dxa"/>
          </w:tcPr>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San Antonio Tlaltecahuacán</w:t>
            </w:r>
          </w:p>
        </w:tc>
        <w:tc>
          <w:tcPr>
            <w:tcW w:w="1231" w:type="dxa"/>
            <w:gridSpan w:val="2"/>
          </w:tcPr>
          <w:p w:rsidR="00B953E0" w:rsidRPr="000921A5" w:rsidRDefault="00B953E0">
            <w:pPr>
              <w:pStyle w:val="Prrafodelista"/>
              <w:widowControl w:val="0"/>
              <w:numPr>
                <w:ilvl w:val="0"/>
                <w:numId w:val="3"/>
              </w:numPr>
              <w:jc w:val="center"/>
              <w:rPr>
                <w:rFonts w:ascii="Palatino Linotype" w:hAnsi="Palatino Linotype" w:cs="Arial"/>
              </w:rPr>
            </w:pPr>
          </w:p>
        </w:tc>
        <w:tc>
          <w:tcPr>
            <w:tcW w:w="1230" w:type="dxa"/>
          </w:tcPr>
          <w:p w:rsidR="00B953E0" w:rsidRPr="000921A5" w:rsidRDefault="00B953E0">
            <w:pPr>
              <w:widowControl w:val="0"/>
              <w:jc w:val="center"/>
              <w:rPr>
                <w:rFonts w:ascii="Palatino Linotype" w:hAnsi="Palatino Linotype" w:cs="Arial"/>
              </w:rPr>
            </w:pPr>
          </w:p>
        </w:tc>
        <w:tc>
          <w:tcPr>
            <w:tcW w:w="1228" w:type="dxa"/>
            <w:gridSpan w:val="2"/>
          </w:tcPr>
          <w:p w:rsidR="00B953E0" w:rsidRPr="000921A5" w:rsidRDefault="00B953E0">
            <w:pPr>
              <w:widowControl w:val="0"/>
              <w:jc w:val="center"/>
              <w:rPr>
                <w:rFonts w:ascii="Palatino Linotype" w:hAnsi="Palatino Linotype" w:cs="Arial"/>
              </w:rPr>
            </w:pPr>
          </w:p>
        </w:tc>
        <w:tc>
          <w:tcPr>
            <w:tcW w:w="1230" w:type="dxa"/>
          </w:tcPr>
          <w:p w:rsidR="00B953E0" w:rsidRPr="000921A5" w:rsidRDefault="00B953E0">
            <w:pPr>
              <w:pStyle w:val="Prrafodelista"/>
              <w:widowControl w:val="0"/>
              <w:numPr>
                <w:ilvl w:val="0"/>
                <w:numId w:val="3"/>
              </w:numPr>
              <w:jc w:val="center"/>
              <w:rPr>
                <w:rFonts w:ascii="Palatino Linotype" w:hAnsi="Palatino Linotype" w:cs="Arial"/>
              </w:rPr>
            </w:pPr>
          </w:p>
        </w:tc>
      </w:tr>
      <w:tr w:rsidR="00B953E0">
        <w:tc>
          <w:tcPr>
            <w:tcW w:w="2312" w:type="dxa"/>
          </w:tcPr>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Pueblo Nuevo</w:t>
            </w:r>
          </w:p>
        </w:tc>
        <w:tc>
          <w:tcPr>
            <w:tcW w:w="1231" w:type="dxa"/>
            <w:gridSpan w:val="2"/>
          </w:tcPr>
          <w:p w:rsidR="00B953E0" w:rsidRPr="000921A5" w:rsidRDefault="00B953E0">
            <w:pPr>
              <w:pStyle w:val="Prrafodelista"/>
              <w:widowControl w:val="0"/>
              <w:numPr>
                <w:ilvl w:val="0"/>
                <w:numId w:val="3"/>
              </w:numPr>
              <w:jc w:val="center"/>
              <w:rPr>
                <w:rFonts w:ascii="Palatino Linotype" w:hAnsi="Palatino Linotype" w:cs="Arial"/>
              </w:rPr>
            </w:pPr>
          </w:p>
        </w:tc>
        <w:tc>
          <w:tcPr>
            <w:tcW w:w="1230" w:type="dxa"/>
          </w:tcPr>
          <w:p w:rsidR="00B953E0" w:rsidRPr="000921A5" w:rsidRDefault="00B953E0">
            <w:pPr>
              <w:widowControl w:val="0"/>
              <w:jc w:val="center"/>
              <w:rPr>
                <w:rFonts w:ascii="Palatino Linotype" w:hAnsi="Palatino Linotype" w:cs="Arial"/>
              </w:rPr>
            </w:pPr>
          </w:p>
        </w:tc>
        <w:tc>
          <w:tcPr>
            <w:tcW w:w="1228" w:type="dxa"/>
            <w:gridSpan w:val="2"/>
          </w:tcPr>
          <w:p w:rsidR="00B953E0" w:rsidRPr="000921A5" w:rsidRDefault="00B953E0">
            <w:pPr>
              <w:widowControl w:val="0"/>
              <w:jc w:val="center"/>
              <w:rPr>
                <w:rFonts w:ascii="Palatino Linotype" w:hAnsi="Palatino Linotype" w:cs="Arial"/>
              </w:rPr>
            </w:pPr>
          </w:p>
        </w:tc>
        <w:tc>
          <w:tcPr>
            <w:tcW w:w="1230" w:type="dxa"/>
          </w:tcPr>
          <w:p w:rsidR="00B953E0" w:rsidRPr="000921A5" w:rsidRDefault="00B953E0">
            <w:pPr>
              <w:pStyle w:val="Prrafodelista"/>
              <w:widowControl w:val="0"/>
              <w:numPr>
                <w:ilvl w:val="0"/>
                <w:numId w:val="3"/>
              </w:numPr>
              <w:jc w:val="center"/>
              <w:rPr>
                <w:rFonts w:ascii="Palatino Linotype" w:hAnsi="Palatino Linotype" w:cs="Arial"/>
              </w:rPr>
            </w:pPr>
          </w:p>
        </w:tc>
      </w:tr>
      <w:tr w:rsidR="00B953E0">
        <w:tc>
          <w:tcPr>
            <w:tcW w:w="2312" w:type="dxa"/>
          </w:tcPr>
          <w:p w:rsidR="00B953E0" w:rsidRDefault="00D838B0">
            <w:pPr>
              <w:widowControl w:val="0"/>
              <w:jc w:val="center"/>
              <w:rPr>
                <w:rFonts w:ascii="Palatino Linotype" w:hAnsi="Palatino Linotype" w:cs="Arial"/>
                <w:highlight w:val="yellow"/>
              </w:rPr>
            </w:pPr>
            <w:r>
              <w:rPr>
                <w:rFonts w:ascii="Palatino Linotype" w:eastAsiaTheme="minorHAnsi" w:hAnsi="Palatino Linotype" w:cs="Arial"/>
                <w:sz w:val="22"/>
              </w:rPr>
              <w:t>Santa María</w:t>
            </w:r>
          </w:p>
        </w:tc>
        <w:tc>
          <w:tcPr>
            <w:tcW w:w="1231" w:type="dxa"/>
            <w:gridSpan w:val="2"/>
          </w:tcPr>
          <w:p w:rsidR="00B953E0" w:rsidRPr="000921A5" w:rsidRDefault="00B953E0">
            <w:pPr>
              <w:pStyle w:val="Prrafodelista"/>
              <w:widowControl w:val="0"/>
              <w:numPr>
                <w:ilvl w:val="0"/>
                <w:numId w:val="3"/>
              </w:numPr>
              <w:jc w:val="center"/>
              <w:rPr>
                <w:rFonts w:ascii="Palatino Linotype" w:hAnsi="Palatino Linotype" w:cs="Arial"/>
              </w:rPr>
            </w:pPr>
          </w:p>
        </w:tc>
        <w:tc>
          <w:tcPr>
            <w:tcW w:w="1230" w:type="dxa"/>
          </w:tcPr>
          <w:p w:rsidR="00B953E0" w:rsidRPr="000921A5" w:rsidRDefault="00B953E0">
            <w:pPr>
              <w:widowControl w:val="0"/>
              <w:jc w:val="center"/>
              <w:rPr>
                <w:rFonts w:ascii="Palatino Linotype" w:hAnsi="Palatino Linotype" w:cs="Arial"/>
              </w:rPr>
            </w:pPr>
          </w:p>
        </w:tc>
        <w:tc>
          <w:tcPr>
            <w:tcW w:w="1228" w:type="dxa"/>
            <w:gridSpan w:val="2"/>
          </w:tcPr>
          <w:p w:rsidR="00B953E0" w:rsidRPr="000921A5" w:rsidRDefault="00B953E0">
            <w:pPr>
              <w:widowControl w:val="0"/>
              <w:jc w:val="center"/>
              <w:rPr>
                <w:rFonts w:ascii="Palatino Linotype" w:hAnsi="Palatino Linotype" w:cs="Arial"/>
              </w:rPr>
            </w:pPr>
          </w:p>
        </w:tc>
        <w:tc>
          <w:tcPr>
            <w:tcW w:w="1230" w:type="dxa"/>
          </w:tcPr>
          <w:p w:rsidR="00B953E0" w:rsidRPr="000921A5" w:rsidRDefault="00B953E0">
            <w:pPr>
              <w:pStyle w:val="Prrafodelista"/>
              <w:widowControl w:val="0"/>
              <w:numPr>
                <w:ilvl w:val="0"/>
                <w:numId w:val="3"/>
              </w:numPr>
              <w:jc w:val="center"/>
              <w:rPr>
                <w:rFonts w:ascii="Palatino Linotype" w:hAnsi="Palatino Linotype" w:cs="Arial"/>
              </w:rPr>
            </w:pPr>
          </w:p>
        </w:tc>
      </w:tr>
    </w:tbl>
    <w:p w:rsidR="00B953E0" w:rsidRDefault="00D838B0">
      <w:pPr>
        <w:widowControl w:val="0"/>
        <w:spacing w:before="240" w:after="240" w:line="360" w:lineRule="auto"/>
        <w:jc w:val="both"/>
        <w:rPr>
          <w:rFonts w:ascii="Palatino Linotype" w:hAnsi="Palatino Linotype"/>
          <w:szCs w:val="20"/>
        </w:rPr>
      </w:pPr>
      <w:r>
        <w:rPr>
          <w:rFonts w:ascii="Palatino Linotype" w:hAnsi="Palatino Linotype" w:cs="Arial"/>
        </w:rPr>
        <w:t xml:space="preserve">Ahora bien, es de señalarse </w:t>
      </w:r>
      <w:r>
        <w:rPr>
          <w:rFonts w:ascii="Palatino Linotype" w:hAnsi="Palatino Linotype"/>
        </w:rPr>
        <w:t xml:space="preserve">que, este Instituto </w:t>
      </w:r>
      <w:r>
        <w:rPr>
          <w:rFonts w:ascii="Palatino Linotype" w:hAnsi="Palatino Linotype"/>
          <w:b/>
        </w:rPr>
        <w:t xml:space="preserve">carece de facultades para pronunciarse sobre la veracidad </w:t>
      </w:r>
      <w:r>
        <w:rPr>
          <w:rFonts w:ascii="Palatino Linotype" w:hAnsi="Palatino Linotype"/>
        </w:rPr>
        <w:t xml:space="preserve">de la información proporcionada por los Sujetos Obligados, en las respuestas a las solicitudes de acceso a la información pública, por lo que no puede pronunciarse sobre la certeza o no de la misma, sirviendo </w:t>
      </w:r>
      <w:r>
        <w:rPr>
          <w:rFonts w:ascii="Palatino Linotype" w:hAnsi="Palatino Linotype"/>
          <w:szCs w:val="20"/>
        </w:rPr>
        <w:t xml:space="preserve">de apoyo a lo anterior, en términos del artículo 202 segundo párrafo de </w:t>
      </w:r>
      <w:r>
        <w:rPr>
          <w:rFonts w:ascii="Palatino Linotype" w:hAnsi="Palatino Linotype"/>
          <w:szCs w:val="17"/>
          <w:lang w:eastAsia="es-ES_tradnl"/>
        </w:rPr>
        <w:t xml:space="preserve">la Ley de Transparencia y Acceso a la </w:t>
      </w:r>
      <w:r>
        <w:rPr>
          <w:rFonts w:ascii="Palatino Linotype" w:hAnsi="Palatino Linotype"/>
          <w:szCs w:val="17"/>
          <w:lang w:eastAsia="es-ES_tradnl"/>
        </w:rPr>
        <w:lastRenderedPageBreak/>
        <w:t>Información Pública del Estado de México y Municipios</w:t>
      </w:r>
      <w:r>
        <w:rPr>
          <w:rStyle w:val="Ancladenotaalpie"/>
          <w:rFonts w:ascii="Palatino Linotype" w:hAnsi="Palatino Linotype"/>
          <w:szCs w:val="17"/>
          <w:lang w:eastAsia="es-ES_tradnl"/>
        </w:rPr>
        <w:footnoteReference w:id="1"/>
      </w:r>
      <w:r>
        <w:rPr>
          <w:rFonts w:ascii="Palatino Linotype" w:hAnsi="Palatino Linotype"/>
          <w:szCs w:val="17"/>
          <w:lang w:eastAsia="es-ES_tradnl"/>
        </w:rPr>
        <w:t>,</w:t>
      </w:r>
      <w:r>
        <w:rPr>
          <w:rFonts w:ascii="Palatino Linotype" w:hAnsi="Palatino Linotype"/>
          <w:szCs w:val="20"/>
        </w:rPr>
        <w:t xml:space="preserve"> el criterio orientador 31/10 emitido por el entonces Instituto Federal de Acceso a la Información y Protección de Datos (IFAI) hoy Instituto Nacional de </w:t>
      </w:r>
      <w:r>
        <w:rPr>
          <w:rFonts w:ascii="Palatino Linotype" w:hAnsi="Palatino Linotype" w:cs="Arial"/>
        </w:rPr>
        <w:t>Transparencia</w:t>
      </w:r>
      <w:r>
        <w:rPr>
          <w:rFonts w:ascii="Palatino Linotype" w:hAnsi="Palatino Linotype"/>
          <w:szCs w:val="20"/>
        </w:rPr>
        <w:t>, Acceso a la Información y Protección de Datos Personales (INAI), que a la letra dice:</w:t>
      </w:r>
    </w:p>
    <w:p w:rsidR="00B953E0" w:rsidRDefault="00D838B0">
      <w:pPr>
        <w:pStyle w:val="Prrafodelista"/>
        <w:spacing w:before="120" w:after="120"/>
        <w:ind w:left="720" w:right="709"/>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 xml:space="preserve">El Instituto Federal de Acceso a la Información y Protección de Datos </w:t>
      </w:r>
      <w:r>
        <w:rPr>
          <w:rFonts w:ascii="Palatino Linotype" w:hAnsi="Palatino Linotype"/>
          <w:b/>
          <w:i/>
          <w:sz w:val="22"/>
          <w:szCs w:val="22"/>
          <w:u w:val="single"/>
        </w:rPr>
        <w:t>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Pr>
          <w:rFonts w:ascii="Palatino Linotype" w:hAnsi="Palatino Linotype"/>
          <w:b/>
          <w:i/>
          <w:sz w:val="22"/>
          <w:szCs w:val="22"/>
          <w:u w:val="single"/>
        </w:rPr>
        <w:t xml:space="preserve">no está facultado para pronunciarse sobre la veracidad de la </w:t>
      </w:r>
      <w:r>
        <w:rPr>
          <w:rFonts w:ascii="Palatino Linotype" w:hAnsi="Palatino Linotype" w:cs="Arial"/>
          <w:b/>
          <w:i/>
          <w:sz w:val="22"/>
          <w:szCs w:val="22"/>
          <w:u w:val="single"/>
        </w:rPr>
        <w:t>información</w:t>
      </w:r>
      <w:r>
        <w:rPr>
          <w:rFonts w:ascii="Palatino Linotype" w:hAnsi="Palatino Linotype"/>
          <w:b/>
          <w:i/>
          <w:sz w:val="22"/>
          <w:szCs w:val="22"/>
          <w:u w:val="single"/>
        </w:rPr>
        <w:t xml:space="preserve"> proporcionada por las autoridades en respuesta a las solicitudes de información</w:t>
      </w:r>
      <w:r>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Pr>
          <w:rFonts w:ascii="Palatino Linotype" w:hAnsi="Palatino Linotype" w:cs="Arial"/>
          <w:i/>
          <w:sz w:val="22"/>
        </w:rPr>
        <w:t>permita</w:t>
      </w:r>
      <w:r>
        <w:rPr>
          <w:rFonts w:ascii="Palatino Linotype" w:hAnsi="Palatino Linotype"/>
          <w:i/>
          <w:sz w:val="22"/>
          <w:szCs w:val="22"/>
        </w:rPr>
        <w:t xml:space="preserve"> al Instituto Federal de Acceso a la Información y Protección de Datos conocer, vía recurso revisión, al respecto.</w:t>
      </w:r>
    </w:p>
    <w:p w:rsidR="00B953E0" w:rsidRDefault="00D838B0">
      <w:pPr>
        <w:pStyle w:val="Prrafodelista"/>
        <w:spacing w:before="120" w:after="120"/>
        <w:ind w:left="720" w:right="709"/>
        <w:jc w:val="both"/>
        <w:rPr>
          <w:rFonts w:ascii="Palatino Linotype" w:hAnsi="Palatino Linotype"/>
          <w:b/>
          <w:i/>
          <w:sz w:val="22"/>
          <w:szCs w:val="22"/>
        </w:rPr>
      </w:pPr>
      <w:r>
        <w:rPr>
          <w:rFonts w:ascii="Palatino Linotype" w:hAnsi="Palatino Linotype"/>
          <w:b/>
          <w:i/>
          <w:sz w:val="22"/>
          <w:szCs w:val="22"/>
        </w:rPr>
        <w:t xml:space="preserve">Expedientes: </w:t>
      </w:r>
    </w:p>
    <w:p w:rsidR="00B953E0" w:rsidRDefault="00D838B0">
      <w:pPr>
        <w:pStyle w:val="Prrafodelista"/>
        <w:spacing w:before="120" w:after="120"/>
        <w:ind w:left="720" w:right="709"/>
        <w:jc w:val="both"/>
        <w:rPr>
          <w:rFonts w:ascii="Palatino Linotype" w:hAnsi="Palatino Linotype"/>
          <w:i/>
          <w:sz w:val="22"/>
          <w:szCs w:val="22"/>
        </w:rPr>
      </w:pPr>
      <w:r>
        <w:rPr>
          <w:rFonts w:ascii="Palatino Linotype" w:hAnsi="Palatino Linotype"/>
          <w:i/>
          <w:sz w:val="22"/>
          <w:szCs w:val="22"/>
        </w:rPr>
        <w:t xml:space="preserve">2440/07 Comisión Federal de Electricidad - Alonso Lujambio Irazábal </w:t>
      </w:r>
    </w:p>
    <w:p w:rsidR="00B953E0" w:rsidRDefault="00D838B0">
      <w:pPr>
        <w:pStyle w:val="Prrafodelista"/>
        <w:spacing w:before="120" w:after="120"/>
        <w:ind w:left="720" w:right="709"/>
        <w:jc w:val="both"/>
        <w:rPr>
          <w:rFonts w:ascii="Palatino Linotype" w:hAnsi="Palatino Linotype"/>
          <w:i/>
          <w:sz w:val="22"/>
          <w:szCs w:val="22"/>
        </w:rPr>
      </w:pPr>
      <w:r>
        <w:rPr>
          <w:rFonts w:ascii="Palatino Linotype" w:hAnsi="Palatino Linotype"/>
          <w:i/>
          <w:sz w:val="22"/>
          <w:szCs w:val="22"/>
        </w:rPr>
        <w:t xml:space="preserve">0113/09 Instituto de Seguridad y Servicios Sociales de los Trabajadores del Estado – Alonso Lujambio Irazábal </w:t>
      </w:r>
    </w:p>
    <w:p w:rsidR="00B953E0" w:rsidRDefault="00D838B0">
      <w:pPr>
        <w:pStyle w:val="Prrafodelista"/>
        <w:spacing w:before="120" w:after="120"/>
        <w:ind w:left="720" w:right="709"/>
        <w:jc w:val="both"/>
        <w:rPr>
          <w:rFonts w:ascii="Palatino Linotype" w:hAnsi="Palatino Linotype"/>
          <w:i/>
          <w:sz w:val="22"/>
          <w:szCs w:val="22"/>
        </w:rPr>
      </w:pPr>
      <w:r>
        <w:rPr>
          <w:rFonts w:ascii="Palatino Linotype" w:hAnsi="Palatino Linotype"/>
          <w:i/>
          <w:sz w:val="22"/>
          <w:szCs w:val="22"/>
        </w:rPr>
        <w:t xml:space="preserve">1624/09 Instituto Nacional para la Educación de los Adultos - María Marván Laborde </w:t>
      </w:r>
    </w:p>
    <w:p w:rsidR="00B953E0" w:rsidRDefault="00D838B0">
      <w:pPr>
        <w:pStyle w:val="Prrafodelista"/>
        <w:spacing w:before="120" w:after="120"/>
        <w:ind w:left="720" w:right="709"/>
        <w:jc w:val="both"/>
        <w:rPr>
          <w:rFonts w:ascii="Palatino Linotype" w:hAnsi="Palatino Linotype"/>
          <w:i/>
          <w:sz w:val="22"/>
          <w:szCs w:val="22"/>
        </w:rPr>
      </w:pPr>
      <w:r>
        <w:rPr>
          <w:rFonts w:ascii="Palatino Linotype" w:hAnsi="Palatino Linotype"/>
          <w:i/>
          <w:sz w:val="22"/>
          <w:szCs w:val="22"/>
        </w:rPr>
        <w:t xml:space="preserve">2395/09 Secretaría de Economía - María Marván Laborde </w:t>
      </w:r>
    </w:p>
    <w:p w:rsidR="00B953E0" w:rsidRDefault="00D838B0">
      <w:pPr>
        <w:pStyle w:val="Prrafodelista"/>
        <w:spacing w:before="120" w:after="120"/>
        <w:ind w:left="720" w:right="709"/>
        <w:jc w:val="both"/>
        <w:rPr>
          <w:rFonts w:ascii="Palatino Linotype" w:hAnsi="Palatino Linotype"/>
          <w:i/>
          <w:sz w:val="22"/>
          <w:szCs w:val="22"/>
        </w:rPr>
      </w:pPr>
      <w:r>
        <w:rPr>
          <w:rFonts w:ascii="Palatino Linotype" w:hAnsi="Palatino Linotype"/>
          <w:i/>
          <w:sz w:val="22"/>
          <w:szCs w:val="22"/>
        </w:rPr>
        <w:t>0837/10 Administración Portuaria Integral de Veracruz, S.A. de C.V. – María Marván Laborde”</w:t>
      </w:r>
    </w:p>
    <w:p w:rsidR="00B953E0" w:rsidRDefault="00D838B0">
      <w:pPr>
        <w:pStyle w:val="Prrafodelista"/>
        <w:spacing w:before="120" w:after="120"/>
        <w:ind w:left="720" w:right="709"/>
        <w:jc w:val="both"/>
        <w:rPr>
          <w:rFonts w:ascii="Palatino Linotype" w:hAnsi="Palatino Linotype"/>
          <w:sz w:val="22"/>
          <w:szCs w:val="22"/>
        </w:rPr>
      </w:pPr>
      <w:r>
        <w:rPr>
          <w:rFonts w:ascii="Palatino Linotype" w:hAnsi="Palatino Linotype"/>
          <w:sz w:val="22"/>
          <w:szCs w:val="22"/>
        </w:rPr>
        <w:t>(Énfasis añadido)</w:t>
      </w:r>
    </w:p>
    <w:p w:rsidR="00B953E0" w:rsidRDefault="00B953E0">
      <w:pPr>
        <w:pStyle w:val="Prrafodelista"/>
        <w:spacing w:before="120" w:after="120"/>
        <w:ind w:left="720" w:right="709"/>
        <w:jc w:val="both"/>
        <w:rPr>
          <w:rFonts w:ascii="Palatino Linotype" w:hAnsi="Palatino Linotype"/>
          <w:sz w:val="22"/>
          <w:szCs w:val="22"/>
        </w:rPr>
      </w:pPr>
    </w:p>
    <w:p w:rsidR="00B953E0" w:rsidRDefault="00D838B0">
      <w:pPr>
        <w:spacing w:line="360" w:lineRule="auto"/>
        <w:jc w:val="both"/>
        <w:rPr>
          <w:rFonts w:ascii="Palatino Linotype" w:hAnsi="Palatino Linotype" w:cs="Arial"/>
        </w:rPr>
      </w:pPr>
      <w:r>
        <w:rPr>
          <w:rFonts w:ascii="Palatino Linotype" w:hAnsi="Palatino Linotype" w:cs="Arial"/>
        </w:rPr>
        <w:t xml:space="preserve">Por ende, el cuarto elemento normativo de la figura legal del sobreseimiento, consistente en: </w:t>
      </w:r>
      <w:r>
        <w:rPr>
          <w:rFonts w:ascii="Palatino Linotype" w:hAnsi="Palatino Linotype" w:cs="Arial"/>
          <w:i/>
        </w:rPr>
        <w:t>“…de tal manera que el medio de impugnación quede sin materia…”</w:t>
      </w:r>
      <w:r>
        <w:rPr>
          <w:rFonts w:ascii="Palatino Linotype" w:hAnsi="Palatino Linotype" w:cs="Arial"/>
        </w:rPr>
        <w:t>, en el presente caso, se actualiza tal circunstancia, ya que el acto impugnado que dio origen al presente recurso quedó sin materia por las razones anteriormente expuestas.</w:t>
      </w:r>
    </w:p>
    <w:p w:rsidR="00B953E0" w:rsidRDefault="00B953E0">
      <w:pPr>
        <w:spacing w:line="360" w:lineRule="auto"/>
        <w:jc w:val="both"/>
        <w:rPr>
          <w:rFonts w:ascii="Palatino Linotype" w:hAnsi="Palatino Linotype" w:cs="Arial"/>
        </w:rPr>
      </w:pPr>
    </w:p>
    <w:p w:rsidR="00B953E0" w:rsidRDefault="00D838B0">
      <w:pPr>
        <w:spacing w:line="360" w:lineRule="auto"/>
        <w:jc w:val="both"/>
        <w:rPr>
          <w:rFonts w:ascii="Palatino Linotype" w:hAnsi="Palatino Linotype" w:cs="Arial"/>
          <w:lang w:val="es-ES_tradnl"/>
        </w:rPr>
      </w:pPr>
      <w:r>
        <w:rPr>
          <w:rFonts w:ascii="Palatino Linotype" w:hAnsi="Palatino Linotype" w:cs="Arial"/>
          <w:lang w:val="es-ES_tradnl"/>
        </w:rPr>
        <w:t>Asimismo, es menester señalar que, este Órgano Garante conforme al artículo 36 de la Ley de la Materia, no se encuentra facultado para pronunciarse acerca de la veracidad de la información remitida por los Sujetos Obligados.</w:t>
      </w:r>
    </w:p>
    <w:p w:rsidR="00B953E0" w:rsidRDefault="00B953E0">
      <w:pPr>
        <w:spacing w:line="360" w:lineRule="auto"/>
        <w:jc w:val="both"/>
        <w:rPr>
          <w:rFonts w:ascii="Palatino Linotype" w:hAnsi="Palatino Linotype" w:cs="Arial"/>
          <w:lang w:val="es-ES_tradnl"/>
        </w:rPr>
      </w:pPr>
    </w:p>
    <w:p w:rsidR="00B953E0" w:rsidRDefault="00D838B0">
      <w:pPr>
        <w:pStyle w:val="Prrafodelista"/>
        <w:widowControl w:val="0"/>
        <w:tabs>
          <w:tab w:val="left" w:pos="1701"/>
          <w:tab w:val="left" w:pos="1843"/>
        </w:tabs>
        <w:spacing w:before="200" w:after="200" w:line="360" w:lineRule="auto"/>
        <w:ind w:left="0"/>
        <w:jc w:val="both"/>
        <w:rPr>
          <w:rFonts w:ascii="Palatino Linotype" w:hAnsi="Palatino Linotype" w:cs="Arial"/>
          <w:color w:val="000000" w:themeColor="text1"/>
        </w:rPr>
      </w:pPr>
      <w:r>
        <w:rPr>
          <w:rFonts w:ascii="Palatino Linotype" w:hAnsi="Palatino Linotype" w:cs="Arial"/>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rsidR="00B953E0" w:rsidRDefault="00D838B0">
      <w:pPr>
        <w:ind w:left="709" w:right="757"/>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w:t>
      </w:r>
      <w:r>
        <w:rPr>
          <w:rFonts w:ascii="Palatino Linotype" w:hAnsi="Palatino Linotype" w:cs="Arial"/>
          <w:i/>
          <w:sz w:val="22"/>
        </w:rPr>
        <w:lastRenderedPageBreak/>
        <w:t xml:space="preserve">- María Marván Laborde 2395/09 Secretaría de Economía - María Marván Laborde 0837/10 Administración Portuaria Integral de Veracruz, S.A. de C.V. – María Marván Laborde </w:t>
      </w:r>
    </w:p>
    <w:p w:rsidR="00B953E0" w:rsidRDefault="00B953E0">
      <w:pPr>
        <w:ind w:left="709" w:right="757"/>
        <w:jc w:val="both"/>
        <w:rPr>
          <w:rFonts w:ascii="Palatino Linotype" w:hAnsi="Palatino Linotype" w:cs="Arial"/>
          <w:i/>
          <w:sz w:val="22"/>
        </w:rPr>
      </w:pPr>
    </w:p>
    <w:p w:rsidR="00B953E0" w:rsidRDefault="00D838B0">
      <w:pPr>
        <w:ind w:left="709" w:right="757"/>
        <w:jc w:val="both"/>
        <w:rPr>
          <w:rFonts w:ascii="Palatino Linotype" w:hAnsi="Palatino Linotype" w:cs="Arial"/>
          <w:b/>
          <w:i/>
          <w:sz w:val="22"/>
        </w:rPr>
      </w:pPr>
      <w:r>
        <w:rPr>
          <w:rFonts w:ascii="Palatino Linotype" w:hAnsi="Palatino Linotype" w:cs="Arial"/>
          <w:i/>
          <w:sz w:val="22"/>
        </w:rPr>
        <w:t>Criterio 31/10</w:t>
      </w:r>
      <w:r>
        <w:rPr>
          <w:rFonts w:ascii="Palatino Linotype" w:hAnsi="Palatino Linotype" w:cs="Arial"/>
          <w:b/>
          <w:i/>
          <w:sz w:val="22"/>
        </w:rPr>
        <w:t>”</w:t>
      </w:r>
    </w:p>
    <w:p w:rsidR="00B953E0" w:rsidRDefault="00B953E0">
      <w:pPr>
        <w:ind w:left="709" w:right="757"/>
        <w:jc w:val="both"/>
        <w:rPr>
          <w:rFonts w:ascii="Palatino Linotype" w:hAnsi="Palatino Linotype" w:cs="Arial"/>
          <w:b/>
          <w:i/>
          <w:sz w:val="22"/>
        </w:rPr>
      </w:pPr>
    </w:p>
    <w:p w:rsidR="00B953E0" w:rsidRDefault="00D838B0">
      <w:pPr>
        <w:spacing w:line="360" w:lineRule="auto"/>
        <w:jc w:val="both"/>
        <w:rPr>
          <w:rFonts w:ascii="Palatino Linotype" w:eastAsia="Calibri" w:hAnsi="Palatino Linotype" w:cs="Arial"/>
        </w:rPr>
      </w:pPr>
      <w:r>
        <w:rPr>
          <w:rFonts w:ascii="Palatino Linotype" w:eastAsia="Calibri" w:hAnsi="Palatino Linotype" w:cs="Arial"/>
        </w:rPr>
        <w:t xml:space="preserve">Cabe precisar que esta Ponencia Resolutora no se pronuncia acerca del acto impugnado o razones o motivos de inconformidad, pues como quedó asentado en líneas anteriores, el presente ocurso ha quedado sin materia, lo que impide estudiar y pronunciarse al respecto. </w:t>
      </w:r>
    </w:p>
    <w:p w:rsidR="00B953E0" w:rsidRDefault="00B953E0">
      <w:pPr>
        <w:spacing w:line="360" w:lineRule="auto"/>
        <w:jc w:val="both"/>
        <w:rPr>
          <w:rFonts w:ascii="Palatino Linotype" w:eastAsia="Calibri" w:hAnsi="Palatino Linotype" w:cs="Arial"/>
        </w:rPr>
      </w:pPr>
    </w:p>
    <w:p w:rsidR="00B953E0" w:rsidRDefault="00D838B0">
      <w:pPr>
        <w:spacing w:line="360" w:lineRule="auto"/>
        <w:jc w:val="both"/>
        <w:rPr>
          <w:rFonts w:ascii="Palatino Linotype" w:eastAsia="Batang" w:hAnsi="Palatino Linotype" w:cs="Arial"/>
          <w:lang w:val="es-AR"/>
        </w:rPr>
      </w:pPr>
      <w:r>
        <w:rPr>
          <w:rFonts w:ascii="Palatino Linotype" w:eastAsia="Batang" w:hAnsi="Palatino Linotype" w:cs="Arial"/>
        </w:rPr>
        <w:t xml:space="preserve">Por analogía, se cita la Tesis emitida por el </w:t>
      </w:r>
      <w:r>
        <w:rPr>
          <w:rFonts w:ascii="Palatino Linotype" w:eastAsia="Batang" w:hAnsi="Palatino Linotype" w:cs="Arial"/>
          <w:lang w:val="es-AR"/>
        </w:rPr>
        <w:t>Séptimo Tribunal Colegiado en Materia Civil del Primer Circuito que en su literalidad, establece lo siguiente:</w:t>
      </w:r>
    </w:p>
    <w:p w:rsidR="00B953E0" w:rsidRDefault="00B953E0">
      <w:pPr>
        <w:spacing w:line="360" w:lineRule="auto"/>
        <w:jc w:val="both"/>
        <w:rPr>
          <w:rFonts w:ascii="Palatino Linotype" w:eastAsia="Calibri" w:hAnsi="Palatino Linotype"/>
        </w:rPr>
      </w:pPr>
    </w:p>
    <w:p w:rsidR="00B953E0" w:rsidRDefault="00D838B0">
      <w:pPr>
        <w:ind w:left="709" w:right="757"/>
        <w:jc w:val="both"/>
        <w:rPr>
          <w:rFonts w:ascii="Palatino Linotype" w:eastAsia="Batang" w:hAnsi="Palatino Linotype" w:cs="Arial"/>
          <w:i/>
          <w:sz w:val="22"/>
          <w:lang w:val="es-AR"/>
        </w:rPr>
      </w:pPr>
      <w:r>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B953E0" w:rsidRDefault="00B953E0">
      <w:pPr>
        <w:ind w:left="709" w:right="757"/>
        <w:jc w:val="both"/>
        <w:rPr>
          <w:rFonts w:ascii="Palatino Linotype" w:eastAsia="Batang" w:hAnsi="Palatino Linotype" w:cs="Arial"/>
          <w:i/>
          <w:sz w:val="22"/>
          <w:lang w:val="es-AR"/>
        </w:rPr>
      </w:pPr>
    </w:p>
    <w:p w:rsidR="00B953E0" w:rsidRDefault="00D838B0">
      <w:pPr>
        <w:ind w:left="709" w:right="757"/>
        <w:jc w:val="both"/>
        <w:rPr>
          <w:rFonts w:ascii="Palatino Linotype" w:eastAsia="Batang" w:hAnsi="Palatino Linotype" w:cs="Arial"/>
          <w:i/>
          <w:sz w:val="22"/>
          <w:lang w:val="es-AR"/>
        </w:rPr>
      </w:pPr>
      <w:r>
        <w:rPr>
          <w:rFonts w:ascii="Palatino Linotype" w:eastAsia="Batang" w:hAnsi="Palatino Linotype" w:cs="Arial"/>
          <w:i/>
          <w:sz w:val="22"/>
          <w:lang w:val="es-AR"/>
        </w:rPr>
        <w:t>SÉPTIMO TRIBUNAL COLEGIADO EN MATERIA CIVIL DEL PRIMER CIRCUITO.</w:t>
      </w:r>
    </w:p>
    <w:p w:rsidR="00B953E0" w:rsidRDefault="00D838B0">
      <w:pPr>
        <w:ind w:left="709" w:right="757"/>
        <w:jc w:val="both"/>
        <w:rPr>
          <w:rFonts w:ascii="Palatino Linotype" w:eastAsia="Batang" w:hAnsi="Palatino Linotype" w:cs="Arial"/>
          <w:i/>
          <w:sz w:val="22"/>
          <w:lang w:val="es-AR"/>
        </w:rPr>
      </w:pPr>
      <w:r>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rsidR="00B953E0" w:rsidRDefault="00B953E0">
      <w:pPr>
        <w:spacing w:line="360" w:lineRule="auto"/>
        <w:ind w:left="709" w:right="757"/>
        <w:jc w:val="both"/>
        <w:rPr>
          <w:rFonts w:ascii="Palatino Linotype" w:eastAsia="Batang" w:hAnsi="Palatino Linotype" w:cs="Arial"/>
          <w:i/>
          <w:lang w:val="es-AR"/>
        </w:rPr>
      </w:pPr>
    </w:p>
    <w:p w:rsidR="00B953E0" w:rsidRDefault="00D838B0">
      <w:pPr>
        <w:spacing w:line="360" w:lineRule="auto"/>
        <w:jc w:val="both"/>
        <w:rPr>
          <w:rFonts w:ascii="Palatino Linotype" w:eastAsia="Calibri" w:hAnsi="Palatino Linotype" w:cs="Arial"/>
        </w:rPr>
      </w:pPr>
      <w:r>
        <w:rPr>
          <w:rFonts w:ascii="Palatino Linotype" w:eastAsia="Calibri" w:hAnsi="Palatino Linotype" w:cs="Arial"/>
        </w:rPr>
        <w:lastRenderedPageBreak/>
        <w:t xml:space="preserve">Así, con fundamento en lo prescrito en los artículos 5 párrafos v vigésimo segundo, vigésimo tercero y vigésimo cuarto fracciones IV y V de la Constitución Política del Estado Libre y Soberano de México; </w:t>
      </w:r>
      <w:r>
        <w:rPr>
          <w:rFonts w:ascii="Palatino Linotype" w:hAnsi="Palatino Linotype" w:cs="Arial"/>
        </w:rPr>
        <w:t>2 fracción II, 29, 36 fracciones I y II, 176, 178, 179, 181, 185, 186, 188 y 192 fracción III</w:t>
      </w:r>
      <w:r>
        <w:rPr>
          <w:rFonts w:ascii="Palatino Linotype" w:eastAsia="Calibri" w:hAnsi="Palatino Linotype" w:cs="Arial"/>
        </w:rPr>
        <w:t xml:space="preserve"> de la Ley de Transparencia y Acceso a la Información Pública del Estado de México y Municipios, este Pleno:</w:t>
      </w:r>
    </w:p>
    <w:p w:rsidR="00B953E0" w:rsidRDefault="00B953E0">
      <w:pPr>
        <w:spacing w:line="360" w:lineRule="auto"/>
        <w:jc w:val="both"/>
        <w:rPr>
          <w:rFonts w:ascii="Palatino Linotype" w:eastAsia="Calibri" w:hAnsi="Palatino Linotype" w:cs="Arial"/>
        </w:rPr>
      </w:pPr>
    </w:p>
    <w:p w:rsidR="00B953E0" w:rsidRDefault="00B953E0">
      <w:pPr>
        <w:spacing w:line="360" w:lineRule="auto"/>
        <w:jc w:val="both"/>
        <w:rPr>
          <w:rFonts w:ascii="Palatino Linotype" w:eastAsia="Calibri" w:hAnsi="Palatino Linotype" w:cs="Arial"/>
        </w:rPr>
      </w:pPr>
    </w:p>
    <w:p w:rsidR="00B953E0" w:rsidRDefault="00D838B0">
      <w:pPr>
        <w:spacing w:before="360" w:after="240" w:line="360" w:lineRule="auto"/>
        <w:jc w:val="center"/>
        <w:rPr>
          <w:rFonts w:ascii="Palatino Linotype" w:hAnsi="Palatino Linotype"/>
          <w:b/>
          <w:bCs/>
          <w:spacing w:val="60"/>
          <w:sz w:val="28"/>
        </w:rPr>
      </w:pPr>
      <w:r>
        <w:rPr>
          <w:rFonts w:ascii="Palatino Linotype" w:hAnsi="Palatino Linotype"/>
          <w:b/>
          <w:bCs/>
          <w:spacing w:val="60"/>
          <w:sz w:val="28"/>
        </w:rPr>
        <w:t>RESUELVE</w:t>
      </w:r>
    </w:p>
    <w:p w:rsidR="00B953E0" w:rsidRDefault="00D838B0">
      <w:pPr>
        <w:pStyle w:val="Prrafodelista"/>
        <w:widowControl w:val="0"/>
        <w:numPr>
          <w:ilvl w:val="0"/>
          <w:numId w:val="4"/>
        </w:numPr>
        <w:tabs>
          <w:tab w:val="left" w:pos="1701"/>
        </w:tabs>
        <w:spacing w:before="240" w:after="240"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Se</w:t>
      </w:r>
      <w:r>
        <w:rPr>
          <w:rFonts w:ascii="Palatino Linotype" w:hAnsi="Palatino Linotype" w:cs="Arial"/>
          <w:b/>
          <w:color w:val="000000" w:themeColor="text1"/>
        </w:rPr>
        <w:t xml:space="preserve"> SOBRESEE </w:t>
      </w:r>
      <w:r>
        <w:rPr>
          <w:rFonts w:ascii="Palatino Linotype" w:hAnsi="Palatino Linotype" w:cs="Arial"/>
          <w:color w:val="000000" w:themeColor="text1"/>
        </w:rPr>
        <w:t xml:space="preserve">el </w:t>
      </w:r>
      <w:r>
        <w:rPr>
          <w:rFonts w:ascii="Palatino Linotype" w:hAnsi="Palatino Linotype" w:cs="Arial"/>
          <w:color w:val="222222"/>
          <w:shd w:val="clear" w:color="auto" w:fill="FFFFFF"/>
        </w:rPr>
        <w:t>recurso</w:t>
      </w:r>
      <w:r>
        <w:rPr>
          <w:rFonts w:ascii="Palatino Linotype" w:hAnsi="Palatino Linotype" w:cs="Arial"/>
          <w:color w:val="000000" w:themeColor="text1"/>
        </w:rPr>
        <w:t xml:space="preserve"> de </w:t>
      </w:r>
      <w:r>
        <w:rPr>
          <w:rFonts w:ascii="Palatino Linotype" w:hAnsi="Palatino Linotype"/>
          <w:lang w:eastAsia="es-ES_tradnl"/>
        </w:rPr>
        <w:t>revisión</w:t>
      </w:r>
      <w:r>
        <w:rPr>
          <w:rFonts w:ascii="Palatino Linotype" w:hAnsi="Palatino Linotype" w:cs="Arial"/>
          <w:color w:val="000000" w:themeColor="text1"/>
        </w:rPr>
        <w:t xml:space="preserve"> número</w:t>
      </w:r>
      <w:r>
        <w:rPr>
          <w:rFonts w:ascii="Palatino Linotype" w:hAnsi="Palatino Linotype" w:cs="Arial"/>
          <w:b/>
          <w:color w:val="000000" w:themeColor="text1"/>
        </w:rPr>
        <w:t xml:space="preserve"> </w:t>
      </w:r>
      <w:r>
        <w:rPr>
          <w:rFonts w:ascii="Palatino Linotype" w:hAnsi="Palatino Linotype" w:cs="Arial"/>
          <w:color w:val="000000" w:themeColor="text1"/>
        </w:rPr>
        <w:t xml:space="preserve">01077/INFOEM/IP/RR/2020, </w:t>
      </w:r>
      <w:r>
        <w:rPr>
          <w:rFonts w:ascii="Palatino Linotype" w:hAnsi="Palatino Linotype" w:cs="Arial"/>
          <w:b/>
          <w:color w:val="000000" w:themeColor="text1"/>
        </w:rPr>
        <w:t>porque al modificar la respuesta el recurso de revisión quedó sin materia</w:t>
      </w:r>
      <w:r>
        <w:rPr>
          <w:rFonts w:ascii="Palatino Linotype" w:hAnsi="Palatino Linotype" w:cs="Arial"/>
          <w:color w:val="000000" w:themeColor="text1"/>
        </w:rPr>
        <w:t xml:space="preserve"> en </w:t>
      </w:r>
      <w:r>
        <w:rPr>
          <w:rFonts w:ascii="Palatino Linotype" w:hAnsi="Palatino Linotype"/>
          <w:lang w:eastAsia="es-ES_tradnl"/>
        </w:rPr>
        <w:t>términos</w:t>
      </w:r>
      <w:r>
        <w:rPr>
          <w:rFonts w:ascii="Palatino Linotype" w:hAnsi="Palatino Linotype" w:cs="Arial"/>
          <w:color w:val="000000" w:themeColor="text1"/>
        </w:rPr>
        <w:t xml:space="preserve"> del Considerando</w:t>
      </w:r>
      <w:r>
        <w:rPr>
          <w:rFonts w:ascii="Palatino Linotype" w:hAnsi="Palatino Linotype" w:cs="Arial"/>
          <w:b/>
          <w:color w:val="000000" w:themeColor="text1"/>
        </w:rPr>
        <w:t xml:space="preserve"> QUINTO </w:t>
      </w:r>
      <w:r>
        <w:rPr>
          <w:rFonts w:ascii="Palatino Linotype" w:hAnsi="Palatino Linotype" w:cs="Arial"/>
          <w:color w:val="000000" w:themeColor="text1"/>
        </w:rPr>
        <w:t>de la presente resolución.</w:t>
      </w:r>
    </w:p>
    <w:p w:rsidR="00B953E0" w:rsidRDefault="00D838B0">
      <w:pPr>
        <w:pStyle w:val="Prrafodelista"/>
        <w:widowControl w:val="0"/>
        <w:numPr>
          <w:ilvl w:val="0"/>
          <w:numId w:val="4"/>
        </w:numPr>
        <w:tabs>
          <w:tab w:val="left" w:pos="1701"/>
        </w:tabs>
        <w:spacing w:before="240" w:after="240" w:line="360" w:lineRule="auto"/>
        <w:ind w:left="0" w:firstLine="0"/>
        <w:jc w:val="both"/>
        <w:rPr>
          <w:rFonts w:ascii="Palatino Linotype" w:hAnsi="Palatino Linotype" w:cs="Arial"/>
        </w:rPr>
      </w:pPr>
      <w:r>
        <w:rPr>
          <w:rFonts w:ascii="Palatino Linotype" w:hAnsi="Palatino Linotype" w:cs="Arial"/>
          <w:b/>
          <w:color w:val="222222"/>
          <w:shd w:val="clear" w:color="auto" w:fill="FFFFFF"/>
        </w:rPr>
        <w:t xml:space="preserve">Notifíquese </w:t>
      </w:r>
      <w:r>
        <w:rPr>
          <w:rFonts w:ascii="Palatino Linotype" w:hAnsi="Palatino Linotype" w:cs="Arial"/>
          <w:color w:val="222222"/>
          <w:shd w:val="clear" w:color="auto" w:fill="FFFFFF"/>
        </w:rPr>
        <w:t xml:space="preserve">al </w:t>
      </w:r>
      <w:r>
        <w:rPr>
          <w:rFonts w:ascii="Palatino Linotype" w:hAnsi="Palatino Linotype"/>
          <w:lang w:eastAsia="es-ES_tradnl"/>
        </w:rPr>
        <w:t>Titular</w:t>
      </w:r>
      <w:r>
        <w:rPr>
          <w:rFonts w:ascii="Palatino Linotype" w:hAnsi="Palatino Linotype" w:cs="Arial"/>
          <w:color w:val="222222"/>
          <w:shd w:val="clear" w:color="auto" w:fill="FFFFFF"/>
        </w:rPr>
        <w:t xml:space="preserve"> de la Unidad de Transparencia del</w:t>
      </w:r>
      <w:r>
        <w:rPr>
          <w:rStyle w:val="apple-converted-space"/>
          <w:rFonts w:ascii="Palatino Linotype" w:hAnsi="Palatino Linotype" w:cs="Arial"/>
          <w:color w:val="222222"/>
          <w:shd w:val="clear" w:color="auto" w:fill="FFFFFF"/>
        </w:rPr>
        <w:t xml:space="preserve"> </w:t>
      </w:r>
      <w:r>
        <w:rPr>
          <w:rFonts w:ascii="Palatino Linotype" w:hAnsi="Palatino Linotype" w:cs="Arial"/>
          <w:b/>
          <w:color w:val="222222"/>
          <w:shd w:val="clear" w:color="auto" w:fill="FFFFFF"/>
        </w:rPr>
        <w:t>SUJETO OBLIGADO</w:t>
      </w:r>
      <w:r>
        <w:rPr>
          <w:rFonts w:ascii="Palatino Linotype" w:hAnsi="Palatino Linotype" w:cs="Arial"/>
          <w:color w:val="222222"/>
          <w:shd w:val="clear" w:color="auto" w:fill="FFFFFF"/>
        </w:rPr>
        <w:t xml:space="preserve"> para su conocimiento. </w:t>
      </w:r>
    </w:p>
    <w:p w:rsidR="00B953E0" w:rsidRDefault="00D838B0">
      <w:pPr>
        <w:pStyle w:val="Prrafodelista"/>
        <w:widowControl w:val="0"/>
        <w:numPr>
          <w:ilvl w:val="0"/>
          <w:numId w:val="4"/>
        </w:numPr>
        <w:tabs>
          <w:tab w:val="left" w:pos="1701"/>
        </w:tabs>
        <w:spacing w:before="240" w:after="240" w:line="360" w:lineRule="auto"/>
        <w:ind w:left="0" w:firstLine="0"/>
        <w:jc w:val="both"/>
        <w:rPr>
          <w:rFonts w:ascii="Palatino Linotype" w:eastAsiaTheme="minorEastAsia" w:hAnsi="Palatino Linotype"/>
          <w:color w:val="222222"/>
          <w:lang w:eastAsia="es-ES_tradnl"/>
        </w:rPr>
      </w:pPr>
      <w:r>
        <w:rPr>
          <w:rFonts w:ascii="Palatino Linotype" w:eastAsiaTheme="minorEastAsia" w:hAnsi="Palatino Linotype"/>
          <w:b/>
          <w:color w:val="222222"/>
          <w:lang w:eastAsia="es-ES_tradnl"/>
        </w:rPr>
        <w:t>Notifíquese</w:t>
      </w:r>
      <w:r>
        <w:rPr>
          <w:rFonts w:ascii="Palatino Linotype" w:eastAsiaTheme="minorEastAsia" w:hAnsi="Palatino Linotype"/>
          <w:color w:val="222222"/>
          <w:lang w:eastAsia="es-ES_tradnl"/>
        </w:rPr>
        <w:t xml:space="preserve"> a </w:t>
      </w:r>
      <w:r>
        <w:rPr>
          <w:rFonts w:ascii="Palatino Linotype" w:eastAsiaTheme="minorEastAsia" w:hAnsi="Palatino Linotype"/>
          <w:b/>
          <w:color w:val="222222"/>
          <w:lang w:eastAsia="es-ES_tradnl"/>
        </w:rPr>
        <w:t>LA</w:t>
      </w:r>
      <w:r>
        <w:rPr>
          <w:rFonts w:ascii="Palatino Linotype" w:eastAsiaTheme="minorEastAsia" w:hAnsi="Palatino Linotype"/>
          <w:color w:val="222222"/>
          <w:lang w:eastAsia="es-ES_tradnl"/>
        </w:rPr>
        <w:t xml:space="preserve"> </w:t>
      </w:r>
      <w:r>
        <w:rPr>
          <w:rFonts w:ascii="Palatino Linotype" w:eastAsiaTheme="minorEastAsia" w:hAnsi="Palatino Linotype"/>
          <w:b/>
          <w:color w:val="222222"/>
          <w:lang w:eastAsia="es-ES_tradnl"/>
        </w:rPr>
        <w:t>RECURRENTE</w:t>
      </w:r>
      <w:r>
        <w:rPr>
          <w:rFonts w:ascii="Palatino Linotype" w:eastAsiaTheme="minorEastAsia" w:hAnsi="Palatino Linotype"/>
          <w:color w:val="222222"/>
          <w:lang w:eastAsia="es-ES_tradnl"/>
        </w:rPr>
        <w:t xml:space="preserve"> la </w:t>
      </w:r>
      <w:r>
        <w:rPr>
          <w:rFonts w:ascii="Palatino Linotype" w:hAnsi="Palatino Linotype"/>
          <w:lang w:eastAsia="es-ES_tradnl"/>
        </w:rPr>
        <w:t>presente</w:t>
      </w:r>
      <w:r>
        <w:rPr>
          <w:rFonts w:ascii="Palatino Linotype" w:eastAsiaTheme="minorEastAsia" w:hAnsi="Palatino Linotype"/>
          <w:color w:val="222222"/>
          <w:lang w:eastAsia="es-ES_tradnl"/>
        </w:rPr>
        <w:t xml:space="preserve"> resolución. </w:t>
      </w:r>
    </w:p>
    <w:p w:rsidR="00B953E0" w:rsidRDefault="00D838B0">
      <w:pPr>
        <w:pStyle w:val="Prrafodelista"/>
        <w:widowControl w:val="0"/>
        <w:numPr>
          <w:ilvl w:val="0"/>
          <w:numId w:val="4"/>
        </w:numPr>
        <w:tabs>
          <w:tab w:val="left" w:pos="1701"/>
        </w:tabs>
        <w:spacing w:before="240" w:after="240" w:line="360" w:lineRule="auto"/>
        <w:ind w:left="0" w:firstLine="0"/>
        <w:jc w:val="both"/>
        <w:rPr>
          <w:rFonts w:ascii="Palatino Linotype" w:eastAsiaTheme="minorEastAsia" w:hAnsi="Palatino Linotype"/>
          <w:color w:val="222222"/>
          <w:lang w:eastAsia="es-ES_tradnl"/>
        </w:rPr>
      </w:pPr>
      <w:r>
        <w:rPr>
          <w:rFonts w:ascii="Palatino Linotype" w:eastAsiaTheme="minorEastAsia" w:hAnsi="Palatino Linotype"/>
          <w:b/>
          <w:color w:val="222222"/>
          <w:lang w:eastAsia="es-ES_tradnl"/>
        </w:rPr>
        <w:t>Hágase del conocimiento</w:t>
      </w:r>
      <w:r>
        <w:rPr>
          <w:rFonts w:ascii="Palatino Linotype" w:eastAsiaTheme="minorEastAsia" w:hAnsi="Palatino Linotype"/>
          <w:color w:val="222222"/>
          <w:lang w:eastAsia="es-ES_tradnl"/>
        </w:rPr>
        <w:t xml:space="preserve"> a </w:t>
      </w:r>
      <w:r>
        <w:rPr>
          <w:rFonts w:ascii="Palatino Linotype" w:eastAsiaTheme="minorEastAsia" w:hAnsi="Palatino Linotype"/>
          <w:b/>
          <w:color w:val="222222"/>
          <w:lang w:eastAsia="es-ES_tradnl"/>
        </w:rPr>
        <w:t>LA</w:t>
      </w:r>
      <w:r>
        <w:rPr>
          <w:rFonts w:ascii="Palatino Linotype" w:eastAsiaTheme="minorEastAsia" w:hAnsi="Palatino Linotype"/>
          <w:color w:val="222222"/>
          <w:lang w:eastAsia="es-ES_tradnl"/>
        </w:rPr>
        <w:t xml:space="preserve"> </w:t>
      </w:r>
      <w:r>
        <w:rPr>
          <w:rFonts w:ascii="Palatino Linotype" w:eastAsiaTheme="minorEastAsia" w:hAnsi="Palatino Linotype"/>
          <w:b/>
          <w:color w:val="222222"/>
          <w:lang w:eastAsia="es-ES_tradnl"/>
        </w:rPr>
        <w:t>RECURRENTE</w:t>
      </w:r>
      <w:r>
        <w:rPr>
          <w:rFonts w:ascii="Palatino Linotype" w:eastAsiaTheme="minorEastAsia" w:hAnsi="Palatino Linotype"/>
          <w:color w:val="222222"/>
          <w:lang w:eastAsia="es-ES_tradnl"/>
        </w:rPr>
        <w:t xml:space="preserve"> que de </w:t>
      </w:r>
      <w:r>
        <w:rPr>
          <w:rFonts w:ascii="Palatino Linotype" w:hAnsi="Palatino Linotype"/>
          <w:lang w:eastAsia="es-ES_tradnl"/>
        </w:rPr>
        <w:t>conformidad</w:t>
      </w:r>
      <w:r>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B953E0" w:rsidRDefault="00D838B0">
      <w:pPr>
        <w:spacing w:before="200" w:after="200"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xml:space="preserve">, ACCESO A LA INFORMACIÓN PÚBLICA Y PROTECCIÓN </w:t>
      </w:r>
      <w:r>
        <w:rPr>
          <w:rFonts w:ascii="Palatino Linotype" w:eastAsia="Arial Unicode MS" w:hAnsi="Palatino Linotype" w:cs="Arial"/>
        </w:rPr>
        <w:lastRenderedPageBreak/>
        <w:t>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EN LA DÉCIMA CUARTA SESIÓN ORDINARIA CELEBRADA EL DÍA DIECINUEVE DE AGOSTO DE DOS MIL VEINTE, ANTE EL SECRETARIO TÉCNICO DEL PLENO, ALEXIS TAPIA RAMÍREZ.</w:t>
      </w:r>
    </w:p>
    <w:tbl>
      <w:tblPr>
        <w:tblW w:w="9214" w:type="dxa"/>
        <w:jc w:val="center"/>
        <w:tblLook w:val="04A0" w:firstRow="1" w:lastRow="0" w:firstColumn="1" w:lastColumn="0" w:noHBand="0" w:noVBand="1"/>
      </w:tblPr>
      <w:tblGrid>
        <w:gridCol w:w="4757"/>
        <w:gridCol w:w="4457"/>
      </w:tblGrid>
      <w:tr w:rsidR="00B953E0">
        <w:trPr>
          <w:jc w:val="center"/>
        </w:trPr>
        <w:tc>
          <w:tcPr>
            <w:tcW w:w="9213" w:type="dxa"/>
            <w:gridSpan w:val="2"/>
            <w:shd w:val="clear" w:color="auto" w:fill="auto"/>
          </w:tcPr>
          <w:p w:rsidR="00B953E0" w:rsidRDefault="00B953E0">
            <w:pPr>
              <w:jc w:val="center"/>
              <w:rPr>
                <w:rFonts w:ascii="Palatino Linotype" w:hAnsi="Palatino Linotype" w:cs="Arial"/>
                <w:b/>
                <w:lang w:val="es-ES_tradnl"/>
              </w:rPr>
            </w:pPr>
          </w:p>
          <w:p w:rsidR="00B953E0" w:rsidRDefault="00B953E0">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B953E0" w:rsidRDefault="00D838B0">
            <w:pPr>
              <w:jc w:val="center"/>
              <w:rPr>
                <w:rFonts w:ascii="Palatino Linotype" w:hAnsi="Palatino Linotype" w:cs="Arial"/>
                <w:b/>
                <w:lang w:val="es-ES_tradnl"/>
              </w:rPr>
            </w:pPr>
            <w:r>
              <w:rPr>
                <w:rFonts w:ascii="Palatino Linotype" w:hAnsi="Palatino Linotype" w:cs="Arial"/>
                <w:b/>
                <w:lang w:val="es-ES_tradnl"/>
              </w:rPr>
              <w:t>Zulema Martínez Sánchez</w:t>
            </w:r>
          </w:p>
          <w:p w:rsidR="00B953E0" w:rsidRDefault="00D838B0">
            <w:pPr>
              <w:jc w:val="center"/>
              <w:rPr>
                <w:rFonts w:ascii="Palatino Linotype" w:hAnsi="Palatino Linotype" w:cs="Arial"/>
                <w:b/>
                <w:lang w:val="es-ES_tradnl"/>
              </w:rPr>
            </w:pPr>
            <w:r>
              <w:rPr>
                <w:rFonts w:ascii="Palatino Linotype" w:hAnsi="Palatino Linotype" w:cs="Arial"/>
                <w:lang w:val="es-ES_tradnl"/>
              </w:rPr>
              <w:t>Comisionada Presidenta</w:t>
            </w:r>
          </w:p>
          <w:p w:rsidR="00B953E0" w:rsidRDefault="00D838B0">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B953E0">
        <w:trPr>
          <w:jc w:val="center"/>
        </w:trPr>
        <w:tc>
          <w:tcPr>
            <w:tcW w:w="4756" w:type="dxa"/>
            <w:shd w:val="clear" w:color="auto" w:fill="auto"/>
          </w:tcPr>
          <w:p w:rsidR="00B953E0" w:rsidRDefault="00B953E0">
            <w:pPr>
              <w:jc w:val="center"/>
              <w:rPr>
                <w:rFonts w:ascii="Palatino Linotype" w:hAnsi="Palatino Linotype" w:cs="Arial"/>
                <w:b/>
                <w:lang w:val="es-ES_tradnl"/>
              </w:rPr>
            </w:pPr>
          </w:p>
          <w:p w:rsidR="00B953E0" w:rsidRDefault="00B953E0">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B953E0" w:rsidRDefault="00D838B0">
            <w:pPr>
              <w:jc w:val="center"/>
              <w:rPr>
                <w:rFonts w:ascii="Palatino Linotype" w:hAnsi="Palatino Linotype" w:cs="Arial"/>
                <w:b/>
                <w:lang w:val="es-ES_tradnl"/>
              </w:rPr>
            </w:pPr>
            <w:r>
              <w:rPr>
                <w:rFonts w:ascii="Palatino Linotype" w:hAnsi="Palatino Linotype" w:cs="Arial"/>
                <w:b/>
                <w:lang w:val="es-ES_tradnl"/>
              </w:rPr>
              <w:t>Eva Abaid Yapur</w:t>
            </w:r>
          </w:p>
          <w:p w:rsidR="00B953E0" w:rsidRDefault="00D838B0">
            <w:pPr>
              <w:jc w:val="center"/>
              <w:rPr>
                <w:rFonts w:ascii="Palatino Linotype" w:hAnsi="Palatino Linotype" w:cs="Arial"/>
                <w:lang w:val="es-ES_tradnl"/>
              </w:rPr>
            </w:pPr>
            <w:r>
              <w:rPr>
                <w:rFonts w:ascii="Palatino Linotype" w:hAnsi="Palatino Linotype" w:cs="Arial"/>
                <w:lang w:val="es-ES_tradnl"/>
              </w:rPr>
              <w:t>Comisionada</w:t>
            </w:r>
          </w:p>
          <w:p w:rsidR="00B953E0" w:rsidRDefault="00D838B0">
            <w:pPr>
              <w:jc w:val="center"/>
              <w:rPr>
                <w:rFonts w:ascii="Palatino Linotype" w:hAnsi="Palatino Linotype" w:cs="Arial"/>
                <w:b/>
                <w:lang w:val="es-ES_tradnl"/>
              </w:rPr>
            </w:pPr>
            <w:r>
              <w:rPr>
                <w:rFonts w:ascii="Palatino Linotype" w:hAnsi="Palatino Linotype" w:cs="Arial"/>
                <w:b/>
                <w:lang w:val="es-ES_tradnl"/>
              </w:rPr>
              <w:t>(RÚBRICA)</w:t>
            </w:r>
          </w:p>
        </w:tc>
        <w:tc>
          <w:tcPr>
            <w:tcW w:w="4457" w:type="dxa"/>
            <w:shd w:val="clear" w:color="auto" w:fill="auto"/>
          </w:tcPr>
          <w:p w:rsidR="00B953E0" w:rsidRDefault="00B953E0">
            <w:pPr>
              <w:jc w:val="center"/>
              <w:rPr>
                <w:rFonts w:ascii="Palatino Linotype" w:hAnsi="Palatino Linotype" w:cs="Arial"/>
                <w:b/>
                <w:lang w:val="es-ES_tradnl"/>
              </w:rPr>
            </w:pPr>
          </w:p>
          <w:p w:rsidR="00B953E0" w:rsidRDefault="00B953E0">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B953E0" w:rsidRDefault="00D838B0">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B953E0" w:rsidRDefault="00D838B0">
            <w:pPr>
              <w:jc w:val="center"/>
              <w:rPr>
                <w:rFonts w:ascii="Palatino Linotype" w:hAnsi="Palatino Linotype" w:cs="Arial"/>
                <w:lang w:val="es-ES_tradnl"/>
              </w:rPr>
            </w:pPr>
            <w:r>
              <w:rPr>
                <w:rFonts w:ascii="Palatino Linotype" w:hAnsi="Palatino Linotype" w:cs="Arial"/>
                <w:lang w:val="es-ES_tradnl"/>
              </w:rPr>
              <w:t>Comisionado</w:t>
            </w:r>
          </w:p>
          <w:p w:rsidR="00B953E0" w:rsidRDefault="00D838B0">
            <w:pPr>
              <w:jc w:val="center"/>
              <w:rPr>
                <w:rFonts w:ascii="Palatino Linotype" w:hAnsi="Palatino Linotype" w:cs="Arial"/>
                <w:b/>
                <w:lang w:val="es-ES_tradnl"/>
              </w:rPr>
            </w:pPr>
            <w:r>
              <w:rPr>
                <w:rFonts w:ascii="Palatino Linotype" w:hAnsi="Palatino Linotype" w:cs="Arial"/>
                <w:b/>
                <w:lang w:val="es-ES_tradnl"/>
              </w:rPr>
              <w:t>(RÚBRICA)</w:t>
            </w:r>
          </w:p>
        </w:tc>
      </w:tr>
      <w:tr w:rsidR="00B953E0">
        <w:trPr>
          <w:jc w:val="center"/>
        </w:trPr>
        <w:tc>
          <w:tcPr>
            <w:tcW w:w="4756" w:type="dxa"/>
            <w:shd w:val="clear" w:color="auto" w:fill="auto"/>
          </w:tcPr>
          <w:p w:rsidR="00B953E0" w:rsidRDefault="00B953E0">
            <w:pPr>
              <w:jc w:val="center"/>
              <w:rPr>
                <w:rFonts w:ascii="Palatino Linotype" w:hAnsi="Palatino Linotype" w:cs="Arial"/>
                <w:b/>
                <w:lang w:val="es-ES_tradnl"/>
              </w:rPr>
            </w:pPr>
          </w:p>
          <w:p w:rsidR="00B953E0" w:rsidRDefault="00B953E0">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B953E0" w:rsidRDefault="00B953E0">
            <w:pPr>
              <w:jc w:val="center"/>
              <w:rPr>
                <w:rFonts w:ascii="Palatino Linotype" w:hAnsi="Palatino Linotype" w:cs="Arial"/>
                <w:b/>
                <w:lang w:val="es-ES_tradnl"/>
              </w:rPr>
            </w:pPr>
          </w:p>
          <w:p w:rsidR="00B953E0" w:rsidRDefault="00D838B0">
            <w:pPr>
              <w:jc w:val="center"/>
              <w:rPr>
                <w:rFonts w:ascii="Palatino Linotype" w:hAnsi="Palatino Linotype" w:cs="Arial"/>
                <w:b/>
                <w:lang w:val="es-ES_tradnl"/>
              </w:rPr>
            </w:pPr>
            <w:r>
              <w:rPr>
                <w:rFonts w:ascii="Palatino Linotype" w:hAnsi="Palatino Linotype" w:cs="Arial"/>
                <w:b/>
                <w:lang w:val="es-ES_tradnl"/>
              </w:rPr>
              <w:t>Javier Martínez Cruz</w:t>
            </w:r>
          </w:p>
          <w:p w:rsidR="00B953E0" w:rsidRDefault="00D838B0">
            <w:pPr>
              <w:jc w:val="center"/>
              <w:rPr>
                <w:rFonts w:ascii="Palatino Linotype" w:hAnsi="Palatino Linotype" w:cs="Arial"/>
                <w:lang w:val="es-ES_tradnl"/>
              </w:rPr>
            </w:pPr>
            <w:r>
              <w:rPr>
                <w:rFonts w:ascii="Palatino Linotype" w:hAnsi="Palatino Linotype" w:cs="Arial"/>
                <w:lang w:val="es-ES_tradnl"/>
              </w:rPr>
              <w:t>Comisionado</w:t>
            </w:r>
          </w:p>
          <w:p w:rsidR="00B953E0" w:rsidRDefault="00D838B0">
            <w:pPr>
              <w:jc w:val="center"/>
              <w:rPr>
                <w:rFonts w:ascii="Palatino Linotype" w:hAnsi="Palatino Linotype" w:cs="Arial"/>
                <w:lang w:val="es-ES_tradnl"/>
              </w:rPr>
            </w:pPr>
            <w:r>
              <w:rPr>
                <w:rFonts w:ascii="Palatino Linotype" w:hAnsi="Palatino Linotype" w:cs="Arial"/>
                <w:b/>
                <w:lang w:val="es-ES_tradnl"/>
              </w:rPr>
              <w:t>(RÚBRICA)</w:t>
            </w:r>
          </w:p>
        </w:tc>
        <w:tc>
          <w:tcPr>
            <w:tcW w:w="4457" w:type="dxa"/>
            <w:shd w:val="clear" w:color="auto" w:fill="auto"/>
          </w:tcPr>
          <w:p w:rsidR="00B953E0" w:rsidRDefault="00B953E0">
            <w:pPr>
              <w:jc w:val="center"/>
              <w:rPr>
                <w:rFonts w:ascii="Palatino Linotype" w:hAnsi="Palatino Linotype" w:cs="Arial"/>
                <w:b/>
                <w:lang w:val="es-ES_tradnl"/>
              </w:rPr>
            </w:pPr>
          </w:p>
          <w:p w:rsidR="00B953E0" w:rsidRDefault="00B953E0">
            <w:pPr>
              <w:jc w:val="center"/>
              <w:rPr>
                <w:rFonts w:ascii="Palatino Linotype" w:hAnsi="Palatino Linotype" w:cs="Arial"/>
                <w:b/>
                <w:lang w:val="es-ES_tradnl"/>
              </w:rPr>
            </w:pPr>
          </w:p>
          <w:p w:rsidR="00B953E0" w:rsidRDefault="00B953E0">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B953E0" w:rsidRDefault="00D838B0">
            <w:pPr>
              <w:jc w:val="center"/>
              <w:rPr>
                <w:rFonts w:ascii="Palatino Linotype" w:hAnsi="Palatino Linotype" w:cs="Arial"/>
                <w:b/>
                <w:lang w:val="es-ES_tradnl"/>
              </w:rPr>
            </w:pPr>
            <w:r>
              <w:rPr>
                <w:rFonts w:ascii="Palatino Linotype" w:hAnsi="Palatino Linotype" w:cs="Arial"/>
                <w:b/>
                <w:lang w:val="es-ES_tradnl"/>
              </w:rPr>
              <w:t>Luis Gustavo Parra Noriega</w:t>
            </w:r>
          </w:p>
          <w:p w:rsidR="00B953E0" w:rsidRDefault="00D838B0">
            <w:pPr>
              <w:jc w:val="center"/>
              <w:rPr>
                <w:rFonts w:ascii="Palatino Linotype" w:hAnsi="Palatino Linotype" w:cs="Arial"/>
                <w:lang w:val="es-ES_tradnl"/>
              </w:rPr>
            </w:pPr>
            <w:r>
              <w:rPr>
                <w:rFonts w:ascii="Palatino Linotype" w:hAnsi="Palatino Linotype" w:cs="Arial"/>
                <w:lang w:val="es-ES_tradnl"/>
              </w:rPr>
              <w:t>Comisionado</w:t>
            </w:r>
          </w:p>
          <w:p w:rsidR="00B953E0" w:rsidRDefault="00D838B0">
            <w:pPr>
              <w:jc w:val="center"/>
              <w:rPr>
                <w:rFonts w:ascii="Palatino Linotype" w:hAnsi="Palatino Linotype" w:cs="Arial"/>
                <w:b/>
                <w:lang w:val="es-ES_tradnl"/>
              </w:rPr>
            </w:pPr>
            <w:r>
              <w:rPr>
                <w:rFonts w:ascii="Palatino Linotype" w:hAnsi="Palatino Linotype" w:cs="Arial"/>
                <w:b/>
                <w:lang w:val="es-ES_tradnl"/>
              </w:rPr>
              <w:t>(RÚBRICA)</w:t>
            </w:r>
          </w:p>
        </w:tc>
      </w:tr>
      <w:tr w:rsidR="00B953E0">
        <w:trPr>
          <w:jc w:val="center"/>
        </w:trPr>
        <w:tc>
          <w:tcPr>
            <w:tcW w:w="9213" w:type="dxa"/>
            <w:gridSpan w:val="2"/>
            <w:shd w:val="clear" w:color="auto" w:fill="auto"/>
          </w:tcPr>
          <w:p w:rsidR="00B953E0" w:rsidRDefault="00B953E0">
            <w:pPr>
              <w:jc w:val="center"/>
              <w:rPr>
                <w:rFonts w:ascii="Palatino Linotype" w:hAnsi="Palatino Linotype" w:cs="Arial"/>
                <w:b/>
                <w:lang w:val="es-ES_tradnl"/>
              </w:rPr>
            </w:pPr>
          </w:p>
          <w:p w:rsidR="00B953E0" w:rsidRDefault="00B953E0">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0921A5" w:rsidRDefault="000921A5">
            <w:pPr>
              <w:jc w:val="center"/>
              <w:rPr>
                <w:rFonts w:ascii="Palatino Linotype" w:hAnsi="Palatino Linotype" w:cs="Arial"/>
                <w:b/>
                <w:lang w:val="es-ES_tradnl"/>
              </w:rPr>
            </w:pPr>
          </w:p>
          <w:p w:rsidR="00B953E0" w:rsidRDefault="00B953E0">
            <w:pPr>
              <w:jc w:val="center"/>
              <w:rPr>
                <w:rFonts w:ascii="Palatino Linotype" w:hAnsi="Palatino Linotype" w:cs="Arial"/>
                <w:b/>
                <w:lang w:val="es-ES_tradnl"/>
              </w:rPr>
            </w:pPr>
          </w:p>
          <w:p w:rsidR="00B953E0" w:rsidRDefault="00D838B0">
            <w:pPr>
              <w:jc w:val="center"/>
              <w:rPr>
                <w:rFonts w:ascii="Palatino Linotype" w:hAnsi="Palatino Linotype" w:cs="Arial"/>
                <w:b/>
                <w:lang w:val="es-ES_tradnl"/>
              </w:rPr>
            </w:pPr>
            <w:r>
              <w:rPr>
                <w:rFonts w:ascii="Palatino Linotype" w:hAnsi="Palatino Linotype" w:cs="Arial"/>
                <w:b/>
                <w:lang w:val="es-ES_tradnl"/>
              </w:rPr>
              <w:t>Alexis Tapia Ramírez</w:t>
            </w:r>
          </w:p>
          <w:p w:rsidR="00B953E0" w:rsidRDefault="00D838B0">
            <w:pPr>
              <w:jc w:val="center"/>
              <w:rPr>
                <w:rFonts w:ascii="Palatino Linotype" w:hAnsi="Palatino Linotype" w:cs="Arial"/>
                <w:lang w:val="es-ES_tradnl"/>
              </w:rPr>
            </w:pPr>
            <w:r>
              <w:rPr>
                <w:rFonts w:ascii="Palatino Linotype" w:hAnsi="Palatino Linotype" w:cs="Arial"/>
                <w:lang w:val="es-ES_tradnl"/>
              </w:rPr>
              <w:t>Secretario Técnico del Pleno</w:t>
            </w:r>
          </w:p>
          <w:p w:rsidR="00B953E0" w:rsidRDefault="00D838B0">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tc>
      </w:tr>
    </w:tbl>
    <w:p w:rsidR="000921A5" w:rsidRDefault="000921A5">
      <w:pPr>
        <w:spacing w:before="200"/>
        <w:jc w:val="both"/>
        <w:rPr>
          <w:rFonts w:ascii="Palatino Linotype" w:hAnsi="Palatino Linotype" w:cs="Arial"/>
          <w:sz w:val="22"/>
          <w:szCs w:val="22"/>
          <w:lang w:val="es-ES"/>
        </w:rPr>
      </w:pPr>
    </w:p>
    <w:p w:rsidR="000921A5" w:rsidRDefault="000921A5">
      <w:pPr>
        <w:spacing w:before="200"/>
        <w:jc w:val="both"/>
        <w:rPr>
          <w:rFonts w:ascii="Palatino Linotype" w:hAnsi="Palatino Linotype" w:cs="Arial"/>
          <w:sz w:val="22"/>
          <w:szCs w:val="22"/>
          <w:lang w:val="es-ES"/>
        </w:rPr>
      </w:pPr>
    </w:p>
    <w:p w:rsidR="00B953E0" w:rsidRDefault="00D838B0">
      <w:pPr>
        <w:spacing w:before="200"/>
        <w:jc w:val="both"/>
        <w:rPr>
          <w:rFonts w:ascii="Palatino Linotype" w:hAnsi="Palatino Linotype" w:cs="Arial"/>
          <w:sz w:val="22"/>
          <w:szCs w:val="22"/>
          <w:lang w:val="es-ES"/>
        </w:rPr>
      </w:pPr>
      <w:r>
        <w:rPr>
          <w:rFonts w:ascii="Palatino Linotype" w:hAnsi="Palatino Linotype" w:cs="Arial"/>
          <w:sz w:val="22"/>
          <w:szCs w:val="22"/>
          <w:lang w:val="es-ES"/>
        </w:rPr>
        <w:t>Esta hoja corresponde a la resolución de fecha diecinueve de agosto de dos mil veinte, emitida en el Recurso de Revisión número 01077/INFOEM/IP/RR/2020.</w:t>
      </w:r>
    </w:p>
    <w:p w:rsidR="00B953E0" w:rsidRDefault="00D838B0">
      <w:pPr>
        <w:spacing w:before="200" w:line="360" w:lineRule="auto"/>
        <w:jc w:val="both"/>
        <w:rPr>
          <w:rFonts w:ascii="Palatino Linotype" w:hAnsi="Palatino Linotype" w:cs="Arial"/>
          <w:sz w:val="22"/>
          <w:szCs w:val="22"/>
          <w:lang w:val="es-ES"/>
        </w:rPr>
      </w:pPr>
      <w:r>
        <w:rPr>
          <w:rFonts w:ascii="Palatino Linotype" w:hAnsi="Palatino Linotype" w:cs="Arial"/>
          <w:sz w:val="22"/>
          <w:szCs w:val="22"/>
          <w:lang w:val="es-ES"/>
        </w:rPr>
        <w:t>YSM/IAHA</w:t>
      </w:r>
    </w:p>
    <w:sectPr w:rsidR="00B953E0">
      <w:headerReference w:type="default" r:id="rId19"/>
      <w:footerReference w:type="default" r:id="rId20"/>
      <w:headerReference w:type="first" r:id="rId21"/>
      <w:footerReference w:type="first" r:id="rId22"/>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C50" w:rsidRDefault="00C86C50">
      <w:r>
        <w:separator/>
      </w:r>
    </w:p>
  </w:endnote>
  <w:endnote w:type="continuationSeparator" w:id="0">
    <w:p w:rsidR="00C86C50" w:rsidRDefault="00C86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E0" w:rsidRDefault="00D838B0">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3F6BC4">
      <w:rPr>
        <w:rFonts w:ascii="Palatino Linotype" w:hAnsi="Palatino Linotype" w:cs="Arial"/>
        <w:bCs/>
        <w:noProof/>
        <w:sz w:val="22"/>
        <w:szCs w:val="22"/>
      </w:rPr>
      <w:t>20</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3F6BC4">
      <w:rPr>
        <w:rFonts w:ascii="Palatino Linotype" w:hAnsi="Palatino Linotype" w:cs="Arial"/>
        <w:bCs/>
        <w:noProof/>
        <w:sz w:val="22"/>
        <w:szCs w:val="22"/>
      </w:rPr>
      <w:t>30</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E0" w:rsidRDefault="00D838B0">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3F6BC4">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3F6BC4">
      <w:rPr>
        <w:rFonts w:ascii="Palatino Linotype" w:hAnsi="Palatino Linotype" w:cs="Arial"/>
        <w:bCs/>
        <w:noProof/>
        <w:sz w:val="22"/>
        <w:szCs w:val="22"/>
      </w:rPr>
      <w:t>30</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C50" w:rsidRDefault="00C86C50">
      <w:pPr>
        <w:rPr>
          <w:sz w:val="12"/>
        </w:rPr>
      </w:pPr>
      <w:r>
        <w:separator/>
      </w:r>
    </w:p>
  </w:footnote>
  <w:footnote w:type="continuationSeparator" w:id="0">
    <w:p w:rsidR="00C86C50" w:rsidRDefault="00C86C50">
      <w:pPr>
        <w:rPr>
          <w:sz w:val="12"/>
        </w:rPr>
      </w:pPr>
      <w:r>
        <w:continuationSeparator/>
      </w:r>
    </w:p>
  </w:footnote>
  <w:footnote w:id="1">
    <w:p w:rsidR="00B953E0" w:rsidRDefault="00D838B0">
      <w:pPr>
        <w:pStyle w:val="Textonotapie"/>
        <w:spacing w:before="80" w:after="80"/>
        <w:rPr>
          <w:rFonts w:ascii="Palatino Linotype" w:hAnsi="Palatino Linotype"/>
          <w:sz w:val="16"/>
          <w:szCs w:val="16"/>
        </w:rPr>
      </w:pPr>
      <w:r>
        <w:rPr>
          <w:rStyle w:val="Caracteres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rsidR="00B953E0" w:rsidRDefault="00D838B0">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E0" w:rsidRDefault="00B953E0">
    <w:pPr>
      <w:pStyle w:val="Encabezado"/>
      <w:tabs>
        <w:tab w:val="clear" w:pos="4252"/>
        <w:tab w:val="clear" w:pos="8504"/>
        <w:tab w:val="left" w:pos="2326"/>
      </w:tabs>
      <w:rPr>
        <w:rFonts w:ascii="Palatino Linotype" w:hAnsi="Palatino Linotype"/>
        <w:sz w:val="28"/>
        <w:szCs w:val="28"/>
      </w:rPr>
    </w:pPr>
  </w:p>
  <w:tbl>
    <w:tblPr>
      <w:tblW w:w="9534" w:type="dxa"/>
      <w:tblInd w:w="-142" w:type="dxa"/>
      <w:tblLook w:val="04A0" w:firstRow="1" w:lastRow="0" w:firstColumn="1" w:lastColumn="0" w:noHBand="0" w:noVBand="1"/>
    </w:tblPr>
    <w:tblGrid>
      <w:gridCol w:w="3253"/>
      <w:gridCol w:w="2557"/>
      <w:gridCol w:w="3724"/>
    </w:tblGrid>
    <w:tr w:rsidR="00B953E0">
      <w:tc>
        <w:tcPr>
          <w:tcW w:w="3253" w:type="dxa"/>
          <w:vMerge w:val="restart"/>
        </w:tcPr>
        <w:p w:rsidR="00B953E0" w:rsidRDefault="00D838B0">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
                        <a:stretch>
                          <a:fillRect/>
                        </a:stretch>
                      </pic:blipFill>
                      <pic:spPr bwMode="auto">
                        <a:xfrm>
                          <a:off x="0" y="0"/>
                          <a:ext cx="1663700" cy="838200"/>
                        </a:xfrm>
                        <a:prstGeom prst="rect">
                          <a:avLst/>
                        </a:prstGeom>
                      </pic:spPr>
                    </pic:pic>
                  </a:graphicData>
                </a:graphic>
              </wp:inline>
            </w:drawing>
          </w:r>
        </w:p>
      </w:tc>
      <w:tc>
        <w:tcPr>
          <w:tcW w:w="2557" w:type="dxa"/>
          <w:shd w:val="clear" w:color="auto" w:fill="auto"/>
        </w:tcPr>
        <w:p w:rsidR="00B953E0" w:rsidRDefault="00D838B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B953E0" w:rsidRDefault="00D838B0">
          <w:pPr>
            <w:jc w:val="both"/>
            <w:rPr>
              <w:rFonts w:ascii="Palatino Linotype" w:hAnsi="Palatino Linotype"/>
              <w:b/>
              <w:sz w:val="22"/>
              <w:szCs w:val="22"/>
              <w:lang w:val="es-ES_tradnl"/>
            </w:rPr>
          </w:pPr>
          <w:r>
            <w:rPr>
              <w:rFonts w:ascii="Palatino Linotype" w:hAnsi="Palatino Linotype"/>
              <w:b/>
              <w:sz w:val="22"/>
              <w:szCs w:val="22"/>
              <w:lang w:val="es-ES_tradnl"/>
            </w:rPr>
            <w:t>01077/INFOEM/IP/RR/2020</w:t>
          </w:r>
        </w:p>
      </w:tc>
    </w:tr>
    <w:tr w:rsidR="00B953E0">
      <w:tc>
        <w:tcPr>
          <w:tcW w:w="3253" w:type="dxa"/>
          <w:vMerge/>
        </w:tcPr>
        <w:p w:rsidR="00B953E0" w:rsidRDefault="00B953E0">
          <w:pPr>
            <w:rPr>
              <w:rFonts w:ascii="Palatino Linotype" w:hAnsi="Palatino Linotype"/>
              <w:b/>
              <w:sz w:val="22"/>
              <w:szCs w:val="22"/>
              <w:lang w:val="es-ES_tradnl"/>
            </w:rPr>
          </w:pPr>
        </w:p>
      </w:tc>
      <w:tc>
        <w:tcPr>
          <w:tcW w:w="2557" w:type="dxa"/>
          <w:shd w:val="clear" w:color="auto" w:fill="auto"/>
        </w:tcPr>
        <w:p w:rsidR="00B953E0" w:rsidRDefault="00D838B0">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B953E0" w:rsidRDefault="00D838B0">
          <w:pPr>
            <w:jc w:val="both"/>
            <w:rPr>
              <w:rFonts w:ascii="Palatino Linotype" w:hAnsi="Palatino Linotype"/>
              <w:b/>
              <w:sz w:val="22"/>
              <w:szCs w:val="22"/>
            </w:rPr>
          </w:pPr>
          <w:r>
            <w:rPr>
              <w:rFonts w:ascii="Palatino Linotype" w:hAnsi="Palatino Linotype"/>
              <w:b/>
              <w:bCs/>
              <w:sz w:val="22"/>
              <w:szCs w:val="22"/>
            </w:rPr>
            <w:t>Ayuntamiento de Tlalmanalco</w:t>
          </w:r>
        </w:p>
      </w:tc>
    </w:tr>
    <w:tr w:rsidR="00B953E0">
      <w:trPr>
        <w:trHeight w:val="228"/>
      </w:trPr>
      <w:tc>
        <w:tcPr>
          <w:tcW w:w="3253" w:type="dxa"/>
          <w:vMerge/>
        </w:tcPr>
        <w:p w:rsidR="00B953E0" w:rsidRDefault="00B953E0">
          <w:pPr>
            <w:rPr>
              <w:rFonts w:ascii="Palatino Linotype" w:hAnsi="Palatino Linotype"/>
              <w:b/>
              <w:sz w:val="22"/>
              <w:szCs w:val="22"/>
              <w:lang w:val="es-ES_tradnl"/>
            </w:rPr>
          </w:pPr>
        </w:p>
      </w:tc>
      <w:tc>
        <w:tcPr>
          <w:tcW w:w="2557" w:type="dxa"/>
          <w:shd w:val="clear" w:color="auto" w:fill="auto"/>
        </w:tcPr>
        <w:p w:rsidR="00B953E0" w:rsidRDefault="00D838B0">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B953E0" w:rsidRDefault="00D838B0">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B953E0" w:rsidRDefault="00D838B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37" behindDoc="1" locked="0" layoutInCell="1" allowOverlap="1">
          <wp:simplePos x="0" y="0"/>
          <wp:positionH relativeFrom="column">
            <wp:posOffset>-166370</wp:posOffset>
          </wp:positionH>
          <wp:positionV relativeFrom="paragraph">
            <wp:posOffset>1724660</wp:posOffset>
          </wp:positionV>
          <wp:extent cx="6858635" cy="9144635"/>
          <wp:effectExtent l="0" t="0" r="0" b="0"/>
          <wp:wrapNone/>
          <wp:docPr id="13"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095932798"/>
                  <pic:cNvPicPr>
                    <a:picLocks noChangeAspect="1" noChangeArrowheads="1"/>
                  </pic:cNvPicPr>
                </pic:nvPicPr>
                <pic:blipFill>
                  <a:blip r:embed="rId2"/>
                  <a:stretch>
                    <a:fillRect/>
                  </a:stretch>
                </pic:blipFill>
                <pic:spPr bwMode="auto">
                  <a:xfrm>
                    <a:off x="0" y="0"/>
                    <a:ext cx="6858635" cy="914463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E0" w:rsidRDefault="00D838B0">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38" behindDoc="1" locked="0" layoutInCell="1" allowOverlap="1">
          <wp:simplePos x="0" y="0"/>
          <wp:positionH relativeFrom="column">
            <wp:align>center</wp:align>
          </wp:positionH>
          <wp:positionV relativeFrom="margin">
            <wp:align>center</wp:align>
          </wp:positionV>
          <wp:extent cx="6858635" cy="9144635"/>
          <wp:effectExtent l="0" t="0" r="0" b="0"/>
          <wp:wrapNone/>
          <wp:docPr id="14"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B953E0">
      <w:tc>
        <w:tcPr>
          <w:tcW w:w="4250" w:type="dxa"/>
          <w:vMerge w:val="restart"/>
          <w:shd w:val="clear" w:color="auto" w:fill="auto"/>
        </w:tcPr>
        <w:p w:rsidR="00B953E0" w:rsidRDefault="00D838B0">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B953E0" w:rsidRDefault="00D838B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B953E0" w:rsidRDefault="00D838B0">
          <w:pPr>
            <w:jc w:val="both"/>
            <w:rPr>
              <w:rFonts w:ascii="Palatino Linotype" w:hAnsi="Palatino Linotype"/>
              <w:b/>
              <w:sz w:val="22"/>
              <w:szCs w:val="22"/>
              <w:lang w:val="es-ES_tradnl"/>
            </w:rPr>
          </w:pPr>
          <w:r>
            <w:rPr>
              <w:rFonts w:ascii="Palatino Linotype" w:hAnsi="Palatino Linotype"/>
              <w:b/>
              <w:sz w:val="22"/>
              <w:szCs w:val="22"/>
              <w:lang w:val="es-ES_tradnl"/>
            </w:rPr>
            <w:t>01077/INFOEM/IP/RR/2020</w:t>
          </w:r>
        </w:p>
      </w:tc>
    </w:tr>
    <w:tr w:rsidR="00B953E0">
      <w:tc>
        <w:tcPr>
          <w:tcW w:w="4250" w:type="dxa"/>
          <w:vMerge/>
          <w:shd w:val="clear" w:color="auto" w:fill="auto"/>
        </w:tcPr>
        <w:p w:rsidR="00B953E0" w:rsidRDefault="00B953E0">
          <w:pPr>
            <w:rPr>
              <w:rFonts w:ascii="Palatino Linotype" w:hAnsi="Palatino Linotype"/>
              <w:b/>
              <w:sz w:val="22"/>
              <w:szCs w:val="22"/>
              <w:lang w:val="es-ES_tradnl"/>
            </w:rPr>
          </w:pPr>
        </w:p>
      </w:tc>
      <w:tc>
        <w:tcPr>
          <w:tcW w:w="2548" w:type="dxa"/>
          <w:shd w:val="clear" w:color="auto" w:fill="auto"/>
        </w:tcPr>
        <w:p w:rsidR="00B953E0" w:rsidRDefault="00D838B0">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B953E0" w:rsidRDefault="00950795" w:rsidP="00950795">
          <w:pPr>
            <w:jc w:val="both"/>
            <w:rPr>
              <w:rFonts w:ascii="Palatino Linotype" w:hAnsi="Palatino Linotype"/>
              <w:b/>
              <w:sz w:val="22"/>
              <w:szCs w:val="22"/>
              <w:lang w:val="es-ES_tradnl"/>
            </w:rPr>
          </w:pPr>
          <w:r>
            <w:rPr>
              <w:rFonts w:ascii="Palatino Linotype" w:hAnsi="Palatino Linotype"/>
              <w:b/>
              <w:bCs/>
              <w:sz w:val="22"/>
              <w:szCs w:val="22"/>
            </w:rPr>
            <w:t>xxxxxxx</w:t>
          </w:r>
          <w:r w:rsidR="00D838B0">
            <w:rPr>
              <w:rFonts w:ascii="Palatino Linotype" w:hAnsi="Palatino Linotype"/>
              <w:b/>
              <w:bCs/>
              <w:sz w:val="22"/>
              <w:szCs w:val="22"/>
            </w:rPr>
            <w:t xml:space="preserve"> </w:t>
          </w:r>
          <w:r>
            <w:rPr>
              <w:rFonts w:ascii="Palatino Linotype" w:hAnsi="Palatino Linotype"/>
              <w:b/>
              <w:bCs/>
              <w:sz w:val="22"/>
              <w:szCs w:val="22"/>
            </w:rPr>
            <w:t>xxxxxx</w:t>
          </w:r>
          <w:r w:rsidR="00D838B0">
            <w:rPr>
              <w:rFonts w:ascii="Palatino Linotype" w:hAnsi="Palatino Linotype"/>
              <w:b/>
              <w:bCs/>
              <w:sz w:val="22"/>
              <w:szCs w:val="22"/>
            </w:rPr>
            <w:t xml:space="preserve"> </w:t>
          </w:r>
          <w:r>
            <w:rPr>
              <w:rFonts w:ascii="Palatino Linotype" w:hAnsi="Palatino Linotype"/>
              <w:b/>
              <w:bCs/>
              <w:sz w:val="22"/>
              <w:szCs w:val="22"/>
            </w:rPr>
            <w:t>xxxxxx</w:t>
          </w:r>
        </w:p>
      </w:tc>
    </w:tr>
    <w:tr w:rsidR="00B953E0">
      <w:trPr>
        <w:trHeight w:val="228"/>
      </w:trPr>
      <w:tc>
        <w:tcPr>
          <w:tcW w:w="4250" w:type="dxa"/>
          <w:vMerge/>
          <w:shd w:val="clear" w:color="auto" w:fill="auto"/>
        </w:tcPr>
        <w:p w:rsidR="00B953E0" w:rsidRDefault="00B953E0">
          <w:pPr>
            <w:rPr>
              <w:rFonts w:ascii="Palatino Linotype" w:hAnsi="Palatino Linotype"/>
              <w:b/>
              <w:sz w:val="22"/>
              <w:szCs w:val="22"/>
              <w:lang w:val="es-ES_tradnl"/>
            </w:rPr>
          </w:pPr>
        </w:p>
      </w:tc>
      <w:tc>
        <w:tcPr>
          <w:tcW w:w="2548" w:type="dxa"/>
          <w:shd w:val="clear" w:color="auto" w:fill="auto"/>
        </w:tcPr>
        <w:p w:rsidR="00B953E0" w:rsidRDefault="00D838B0">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B953E0" w:rsidRDefault="00D838B0">
          <w:pPr>
            <w:jc w:val="both"/>
            <w:rPr>
              <w:rFonts w:ascii="Palatino Linotype" w:hAnsi="Palatino Linotype"/>
              <w:b/>
              <w:sz w:val="22"/>
              <w:szCs w:val="22"/>
            </w:rPr>
          </w:pPr>
          <w:r>
            <w:rPr>
              <w:rFonts w:ascii="Palatino Linotype" w:hAnsi="Palatino Linotype"/>
              <w:b/>
              <w:bCs/>
              <w:sz w:val="22"/>
              <w:szCs w:val="22"/>
            </w:rPr>
            <w:t>Ayuntamiento de Tlalmanalco</w:t>
          </w:r>
        </w:p>
      </w:tc>
    </w:tr>
    <w:tr w:rsidR="00B953E0">
      <w:tc>
        <w:tcPr>
          <w:tcW w:w="4250" w:type="dxa"/>
          <w:vMerge/>
          <w:shd w:val="clear" w:color="auto" w:fill="auto"/>
        </w:tcPr>
        <w:p w:rsidR="00B953E0" w:rsidRDefault="00B953E0">
          <w:pPr>
            <w:rPr>
              <w:rFonts w:ascii="Palatino Linotype" w:hAnsi="Palatino Linotype"/>
              <w:b/>
              <w:sz w:val="22"/>
              <w:szCs w:val="22"/>
              <w:lang w:val="es-ES_tradnl"/>
            </w:rPr>
          </w:pPr>
        </w:p>
      </w:tc>
      <w:tc>
        <w:tcPr>
          <w:tcW w:w="2548" w:type="dxa"/>
          <w:shd w:val="clear" w:color="auto" w:fill="auto"/>
        </w:tcPr>
        <w:p w:rsidR="00B953E0" w:rsidRDefault="00D838B0">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B953E0" w:rsidRDefault="00D838B0">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B953E0" w:rsidRDefault="00B953E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985709"/>
    <w:multiLevelType w:val="multilevel"/>
    <w:tmpl w:val="99C47CA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8E968CA"/>
    <w:multiLevelType w:val="multilevel"/>
    <w:tmpl w:val="D2A45D00"/>
    <w:lvl w:ilvl="0">
      <w:start w:val="1"/>
      <w:numFmt w:val="ordinalText"/>
      <w:lvlText w:val="%1"/>
      <w:lvlJc w:val="left"/>
      <w:pPr>
        <w:ind w:left="720" w:hanging="360"/>
      </w:pPr>
      <w:rPr>
        <w:b/>
        <w:bCs/>
        <w: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7CE5240"/>
    <w:multiLevelType w:val="multilevel"/>
    <w:tmpl w:val="3D1CBA68"/>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rPr>
        <w:rFonts w:eastAsia="Times New Roman" w:cs="Arial"/>
      </w:rPr>
    </w:lvl>
    <w:lvl w:ilvl="4">
      <w:start w:val="1"/>
      <w:numFmt w:val="lowerLetter"/>
      <w:lvlText w:val="%5)"/>
      <w:lvlJc w:val="left"/>
      <w:pPr>
        <w:ind w:left="3600" w:hanging="360"/>
      </w:pPr>
    </w:lvl>
    <w:lvl w:ilvl="5">
      <w:start w:val="1"/>
      <w:numFmt w:val="bullet"/>
      <w:lvlText w:val=""/>
      <w:lvlJc w:val="left"/>
      <w:pPr>
        <w:ind w:left="4500" w:hanging="360"/>
      </w:pPr>
      <w:rPr>
        <w:rFonts w:ascii="Symbol" w:hAnsi="Symbol" w:cs="Arial" w:hint="default"/>
      </w:rPr>
    </w:lvl>
    <w:lvl w:ilvl="6">
      <w:start w:val="1"/>
      <w:numFmt w:val="upperLetter"/>
      <w:lvlText w:val="%7)"/>
      <w:lvlJc w:val="left"/>
      <w:pPr>
        <w:ind w:left="5085" w:hanging="405"/>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127165"/>
    <w:multiLevelType w:val="multilevel"/>
    <w:tmpl w:val="EECC88E2"/>
    <w:lvl w:ilvl="0">
      <w:start w:val="1"/>
      <w:numFmt w:val="ordinalText"/>
      <w:lvlText w:val="%1."/>
      <w:lvlJc w:val="left"/>
      <w:pPr>
        <w:ind w:left="720"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7B73FE"/>
    <w:multiLevelType w:val="multilevel"/>
    <w:tmpl w:val="5798B8C8"/>
    <w:lvl w:ilvl="0">
      <w:start w:val="1"/>
      <w:numFmt w:val="upperRoman"/>
      <w:lvlText w:val="%1."/>
      <w:lvlJc w:val="left"/>
      <w:pPr>
        <w:ind w:left="720" w:hanging="360"/>
      </w:pPr>
      <w:rPr>
        <w:b/>
        <w:i w:val="0"/>
        <w:caps/>
        <w:color w:val="auto"/>
        <w:sz w:val="28"/>
      </w:rPr>
    </w:lvl>
    <w:lvl w:ilvl="1">
      <w:start w:val="1"/>
      <w:numFmt w:val="decimal"/>
      <w:lvlText w:val="%2."/>
      <w:lvlJc w:val="left"/>
      <w:pPr>
        <w:ind w:left="3210" w:hanging="690"/>
      </w:pPr>
    </w:lvl>
    <w:lvl w:ilvl="2">
      <w:start w:val="1"/>
      <w:numFmt w:val="bullet"/>
      <w:lvlText w:val=""/>
      <w:lvlJc w:val="left"/>
      <w:pPr>
        <w:ind w:left="4500" w:hanging="360"/>
      </w:pPr>
      <w:rPr>
        <w:rFonts w:ascii="Symbol" w:hAnsi="Symbol" w:cs="Symbol" w:hint="default"/>
      </w:rPr>
    </w:lvl>
    <w:lvl w:ilvl="3">
      <w:start w:val="1"/>
      <w:numFmt w:val="decimal"/>
      <w:lvlText w:val="%4."/>
      <w:lvlJc w:val="left"/>
      <w:pPr>
        <w:ind w:left="3210" w:hanging="690"/>
      </w:pPr>
      <w:rPr>
        <w:rFonts w:eastAsia="Times New Roman" w:cs="Arial"/>
      </w:rPr>
    </w:lvl>
    <w:lvl w:ilvl="4">
      <w:start w:val="1"/>
      <w:numFmt w:val="bullet"/>
      <w:lvlText w:val=""/>
      <w:lvlJc w:val="left"/>
      <w:pPr>
        <w:ind w:left="4500" w:hanging="360"/>
      </w:pPr>
      <w:rPr>
        <w:rFonts w:ascii="Symbol" w:hAnsi="Symbol" w:cs="Symbol" w:hint="default"/>
      </w:rPr>
    </w:lvl>
    <w:lvl w:ilvl="5">
      <w:start w:val="1"/>
      <w:numFmt w:val="bullet"/>
      <w:lvlText w:val=""/>
      <w:lvlJc w:val="left"/>
      <w:pPr>
        <w:ind w:left="4500" w:hanging="360"/>
      </w:pPr>
      <w:rPr>
        <w:rFonts w:ascii="Symbol" w:hAnsi="Symbol" w:cs="Arial" w:hint="default"/>
      </w:rPr>
    </w:lvl>
    <w:lvl w:ilvl="6">
      <w:start w:val="1"/>
      <w:numFmt w:val="upperLetter"/>
      <w:lvlText w:val="%7)"/>
      <w:lvlJc w:val="left"/>
      <w:pPr>
        <w:ind w:left="5085" w:hanging="405"/>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8E6442"/>
    <w:multiLevelType w:val="multilevel"/>
    <w:tmpl w:val="E57A008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5"/>
  </w:num>
  <w:num w:numId="4">
    <w:abstractNumId w:val="3"/>
  </w:num>
  <w:num w:numId="5">
    <w:abstractNumId w:val="4"/>
  </w:num>
  <w:num w:numId="6">
    <w:abstractNumId w:val="0"/>
  </w:num>
  <w:num w:numId="7">
    <w:abstractNumId w:val="2"/>
    <w:lvlOverride w:ilvl="0">
      <w:lvl w:ilvl="0">
        <w:start w:val="1"/>
        <w:numFmt w:val="upperRoman"/>
        <w:lvlText w:val="%1."/>
        <w:lvlJc w:val="left"/>
        <w:pPr>
          <w:ind w:left="720" w:hanging="360"/>
        </w:pPr>
        <w:rPr>
          <w:b/>
          <w:i w:val="0"/>
          <w:caps/>
          <w:color w:val="auto"/>
          <w:sz w:val="28"/>
        </w:rPr>
      </w:lvl>
    </w:lvlOverride>
    <w:lvlOverride w:ilvl="1">
      <w:lvl w:ilvl="1">
        <w:start w:val="1"/>
        <w:numFmt w:val="decimal"/>
        <w:lvlText w:val="%2."/>
        <w:lvlJc w:val="left"/>
        <w:pPr>
          <w:ind w:left="3210" w:hanging="690"/>
        </w:pPr>
      </w:lvl>
    </w:lvlOverride>
    <w:lvlOverride w:ilvl="2">
      <w:lvl w:ilvl="2">
        <w:start w:val="1"/>
        <w:numFmt w:val="bullet"/>
        <w:lvlText w:val=""/>
        <w:lvlJc w:val="left"/>
        <w:pPr>
          <w:ind w:left="4500" w:hanging="360"/>
        </w:pPr>
        <w:rPr>
          <w:rFonts w:ascii="Symbol" w:hAnsi="Symbol" w:cs="Symbol" w:hint="default"/>
        </w:rPr>
      </w:lvl>
    </w:lvlOverride>
    <w:lvlOverride w:ilvl="3">
      <w:lvl w:ilvl="3">
        <w:start w:val="1"/>
        <w:numFmt w:val="decimal"/>
        <w:lvlText w:val="%4."/>
        <w:lvlJc w:val="left"/>
        <w:pPr>
          <w:ind w:left="3210" w:hanging="690"/>
        </w:pPr>
        <w:rPr>
          <w:rFonts w:eastAsia="Times New Roman" w:cs="Arial"/>
        </w:rPr>
      </w:lvl>
    </w:lvlOverride>
    <w:lvlOverride w:ilvl="4">
      <w:lvl w:ilvl="4">
        <w:start w:val="1"/>
        <w:numFmt w:val="bullet"/>
        <w:lvlText w:val=""/>
        <w:lvlJc w:val="left"/>
        <w:pPr>
          <w:ind w:left="4500" w:hanging="360"/>
        </w:pPr>
        <w:rPr>
          <w:rFonts w:ascii="Symbol" w:hAnsi="Symbol" w:cs="Symbol" w:hint="default"/>
        </w:rPr>
      </w:lvl>
    </w:lvlOverride>
    <w:lvlOverride w:ilvl="5">
      <w:lvl w:ilvl="5">
        <w:start w:val="1"/>
        <w:numFmt w:val="bullet"/>
        <w:lvlText w:val=""/>
        <w:lvlJc w:val="left"/>
        <w:pPr>
          <w:ind w:left="4500" w:hanging="360"/>
        </w:pPr>
        <w:rPr>
          <w:rFonts w:ascii="Symbol" w:hAnsi="Symbo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3E0"/>
    <w:rsid w:val="000921A5"/>
    <w:rsid w:val="002E7A05"/>
    <w:rsid w:val="003F6BC4"/>
    <w:rsid w:val="00950795"/>
    <w:rsid w:val="00B953E0"/>
    <w:rsid w:val="00C86C50"/>
    <w:rsid w:val="00D838B0"/>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166E02-CA40-44E4-9DEC-4EAE6AE4B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384CC-1AB7-4087-B7E4-ACE804680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4760</Words>
  <Characters>26184</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30883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Itze Hdz.</cp:lastModifiedBy>
  <cp:revision>2</cp:revision>
  <cp:lastPrinted>2020-01-22T19:55:00Z</cp:lastPrinted>
  <dcterms:created xsi:type="dcterms:W3CDTF">2020-08-27T00:26:00Z</dcterms:created>
  <dcterms:modified xsi:type="dcterms:W3CDTF">2020-08-27T00:26:00Z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