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3F3" w:rsidRDefault="0042180A">
      <w:pPr>
        <w:spacing w:line="360" w:lineRule="auto"/>
        <w:jc w:val="both"/>
        <w:rPr>
          <w:rFonts w:ascii="Palatino Linotype" w:hAnsi="Palatino Linotype" w:cs="Arial"/>
        </w:rPr>
      </w:pPr>
      <w:bookmarkStart w:id="0" w:name="_GoBack"/>
      <w:bookmarkEnd w:id="0"/>
      <w:r>
        <w:rPr>
          <w:rFonts w:ascii="Palatino Linotype" w:hAnsi="Palatino Linotype" w:cs="Arial"/>
        </w:rPr>
        <w:t>Resolución del Pleno del Instituto de Transparencia, Acceso a la Información Pública y Protección de Datos Personales del Estado de México y Municipios, con domicilio en Metepec, Estado de México, del doce de agosto de dos mil veinte.</w:t>
      </w:r>
    </w:p>
    <w:p w:rsidR="009923F3" w:rsidRDefault="009923F3">
      <w:pPr>
        <w:spacing w:line="360" w:lineRule="auto"/>
        <w:jc w:val="both"/>
        <w:rPr>
          <w:rFonts w:ascii="Palatino Linotype" w:hAnsi="Palatino Linotype" w:cs="Arial"/>
        </w:rPr>
      </w:pPr>
    </w:p>
    <w:p w:rsidR="009923F3" w:rsidRDefault="0042180A">
      <w:pPr>
        <w:spacing w:line="360" w:lineRule="auto"/>
        <w:jc w:val="both"/>
        <w:rPr>
          <w:rFonts w:ascii="Palatino Linotype" w:hAnsi="Palatino Linotype" w:cs="Arial"/>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rPr>
        <w:t>00777/INFOEM/IP/RR/2020,</w:t>
      </w:r>
      <w:r>
        <w:rPr>
          <w:rFonts w:ascii="Palatino Linotype" w:hAnsi="Palatino Linotype"/>
        </w:rPr>
        <w:t xml:space="preserve"> interpuesto por el C. </w:t>
      </w:r>
      <w:proofErr w:type="spellStart"/>
      <w:r w:rsidR="000E56AB" w:rsidRPr="000E56AB">
        <w:rPr>
          <w:rFonts w:ascii="Palatino Linotype" w:hAnsi="Palatino Linotype"/>
          <w:b/>
        </w:rPr>
        <w:t>xxxx</w:t>
      </w:r>
      <w:proofErr w:type="spellEnd"/>
      <w:r w:rsidR="000E56AB" w:rsidRPr="000E56AB">
        <w:rPr>
          <w:rFonts w:ascii="Palatino Linotype" w:hAnsi="Palatino Linotype"/>
          <w:b/>
        </w:rPr>
        <w:t xml:space="preserve"> </w:t>
      </w:r>
      <w:proofErr w:type="spellStart"/>
      <w:r w:rsidR="000E56AB" w:rsidRPr="000E56AB">
        <w:rPr>
          <w:rFonts w:ascii="Palatino Linotype" w:hAnsi="Palatino Linotype"/>
          <w:b/>
        </w:rPr>
        <w:t>xxxxxxx</w:t>
      </w:r>
      <w:proofErr w:type="spellEnd"/>
      <w:r w:rsidR="000E56AB" w:rsidRPr="000E56AB">
        <w:rPr>
          <w:rFonts w:ascii="Palatino Linotype" w:hAnsi="Palatino Linotype"/>
          <w:b/>
        </w:rPr>
        <w:t xml:space="preserve"> </w:t>
      </w:r>
      <w:proofErr w:type="spellStart"/>
      <w:r w:rsidR="000E56AB" w:rsidRPr="000E56AB">
        <w:rPr>
          <w:rFonts w:ascii="Palatino Linotype" w:hAnsi="Palatino Linotype"/>
          <w:b/>
        </w:rPr>
        <w:t>xxxxxxxx</w:t>
      </w:r>
      <w:proofErr w:type="spellEnd"/>
      <w:r>
        <w:rPr>
          <w:rFonts w:ascii="Palatino Linotype" w:hAnsi="Palatino Linotype"/>
        </w:rPr>
        <w:t xml:space="preserve">, en lo sucesivo </w:t>
      </w:r>
      <w:r>
        <w:rPr>
          <w:rFonts w:ascii="Palatino Linotype" w:hAnsi="Palatino Linotype"/>
          <w:b/>
        </w:rPr>
        <w:t>EL RECURRENTE,</w:t>
      </w:r>
      <w:r>
        <w:rPr>
          <w:rFonts w:ascii="Palatino Linotype" w:hAnsi="Palatino Linotype"/>
        </w:rPr>
        <w:t xml:space="preserve"> </w:t>
      </w:r>
      <w:r>
        <w:rPr>
          <w:rFonts w:ascii="Palatino Linotype" w:hAnsi="Palatino Linotype" w:cs="Arial"/>
        </w:rPr>
        <w:t xml:space="preserve">en contra de la respuesta del </w:t>
      </w:r>
      <w:r>
        <w:rPr>
          <w:rFonts w:ascii="Palatino Linotype" w:hAnsi="Palatino Linotype" w:cs="Arial"/>
          <w:b/>
        </w:rPr>
        <w:t xml:space="preserve">Ayuntamiento de San Antonio la Isla, </w:t>
      </w:r>
      <w:r>
        <w:rPr>
          <w:rFonts w:ascii="Palatino Linotype" w:hAnsi="Palatino Linotype" w:cs="Arial"/>
        </w:rPr>
        <w:t xml:space="preserve">en lo sucesivo </w:t>
      </w:r>
      <w:r>
        <w:rPr>
          <w:rFonts w:ascii="Palatino Linotype" w:hAnsi="Palatino Linotype" w:cs="Arial"/>
          <w:b/>
        </w:rPr>
        <w:t xml:space="preserve">EL SUJETO OBLIGADO, </w:t>
      </w:r>
      <w:r>
        <w:rPr>
          <w:rFonts w:ascii="Palatino Linotype" w:hAnsi="Palatino Linotype" w:cs="Arial"/>
        </w:rPr>
        <w:t>se procede a dictar la presente resolución con base en lo siguiente:</w:t>
      </w:r>
    </w:p>
    <w:p w:rsidR="009923F3" w:rsidRDefault="009923F3">
      <w:pPr>
        <w:jc w:val="center"/>
        <w:rPr>
          <w:rFonts w:ascii="Palatino Linotype" w:hAnsi="Palatino Linotype" w:cs="Arial"/>
          <w:b/>
          <w:bCs/>
          <w:spacing w:val="60"/>
          <w:sz w:val="28"/>
          <w:lang w:val="es-ES_tradnl"/>
        </w:rPr>
      </w:pPr>
    </w:p>
    <w:p w:rsidR="009923F3" w:rsidRDefault="0042180A">
      <w:pPr>
        <w:jc w:val="center"/>
        <w:rPr>
          <w:rFonts w:ascii="Palatino Linotype" w:hAnsi="Palatino Linotype" w:cs="Arial"/>
          <w:b/>
          <w:bCs/>
          <w:spacing w:val="60"/>
          <w:sz w:val="28"/>
          <w:lang w:val="es-ES_tradnl"/>
        </w:rPr>
      </w:pPr>
      <w:r>
        <w:rPr>
          <w:rFonts w:ascii="Palatino Linotype" w:hAnsi="Palatino Linotype" w:cs="Arial"/>
          <w:b/>
          <w:bCs/>
          <w:spacing w:val="60"/>
          <w:sz w:val="28"/>
          <w:lang w:val="es-ES_tradnl"/>
        </w:rPr>
        <w:t>RESULTANDO</w:t>
      </w:r>
    </w:p>
    <w:p w:rsidR="009923F3" w:rsidRDefault="009923F3">
      <w:pPr>
        <w:jc w:val="center"/>
        <w:rPr>
          <w:rFonts w:ascii="Palatino Linotype" w:hAnsi="Palatino Linotype" w:cs="Arial"/>
          <w:b/>
          <w:bCs/>
          <w:spacing w:val="60"/>
          <w:lang w:val="es-ES_tradnl"/>
        </w:rPr>
      </w:pPr>
    </w:p>
    <w:p w:rsidR="009923F3" w:rsidRDefault="0042180A">
      <w:pPr>
        <w:spacing w:line="360" w:lineRule="auto"/>
        <w:jc w:val="both"/>
        <w:rPr>
          <w:rFonts w:ascii="Palatino Linotype" w:hAnsi="Palatino Linotype" w:cs="Arial"/>
          <w:b/>
          <w:bCs/>
        </w:rPr>
      </w:pPr>
      <w:r>
        <w:rPr>
          <w:rFonts w:ascii="Palatino Linotype" w:hAnsi="Palatino Linotype" w:cs="Arial"/>
          <w:b/>
          <w:sz w:val="28"/>
          <w:szCs w:val="28"/>
        </w:rPr>
        <w:t>I.</w:t>
      </w:r>
      <w:r>
        <w:rPr>
          <w:rFonts w:ascii="Palatino Linotype" w:hAnsi="Palatino Linotype" w:cs="Arial"/>
          <w:b/>
        </w:rPr>
        <w:t xml:space="preserve"> </w:t>
      </w:r>
      <w:r>
        <w:rPr>
          <w:rFonts w:ascii="Palatino Linotype" w:hAnsi="Palatino Linotype"/>
        </w:rPr>
        <w:t xml:space="preserve">En </w:t>
      </w:r>
      <w:r>
        <w:rPr>
          <w:rFonts w:ascii="Palatino Linotype" w:hAnsi="Palatino Linotype" w:cs="Arial"/>
        </w:rPr>
        <w:t>fecha</w:t>
      </w:r>
      <w:r>
        <w:rPr>
          <w:rFonts w:ascii="Palatino Linotype" w:hAnsi="Palatino Linotype"/>
        </w:rPr>
        <w:t xml:space="preserve"> </w:t>
      </w:r>
      <w:r>
        <w:rPr>
          <w:rFonts w:ascii="Palatino Linotype" w:hAnsi="Palatino Linotype" w:cs="Arial"/>
        </w:rPr>
        <w:t>nueve de diciembre de</w:t>
      </w:r>
      <w:r>
        <w:rPr>
          <w:rFonts w:ascii="Palatino Linotype" w:hAnsi="Palatino Linotype"/>
        </w:rPr>
        <w:t xml:space="preserve"> dos mil diecinueve, </w:t>
      </w:r>
      <w:r>
        <w:rPr>
          <w:rFonts w:ascii="Palatino Linotype" w:hAnsi="Palatino Linotype"/>
          <w:b/>
        </w:rPr>
        <w:t>EL RECURRENTE</w:t>
      </w:r>
      <w:r>
        <w:rPr>
          <w:rFonts w:ascii="Palatino Linotype" w:hAnsi="Palatino Linotype" w:cs="Arial"/>
        </w:rPr>
        <w:t xml:space="preserve"> presentó a través del Sistema de Acceso a la Información Mexiquense, en lo subsecuente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rPr>
        <w:t xml:space="preserve">, la solicitud de acceso a la información pública, a la que se le asignó el número de expediente </w:t>
      </w:r>
      <w:r>
        <w:rPr>
          <w:rFonts w:ascii="Palatino Linotype" w:hAnsi="Palatino Linotype"/>
          <w:b/>
        </w:rPr>
        <w:t>00086/ANTOISLA/IP/2019</w:t>
      </w:r>
      <w:r>
        <w:rPr>
          <w:rFonts w:ascii="Palatino Linotype" w:hAnsi="Palatino Linotype" w:cs="Arial"/>
        </w:rPr>
        <w:t>, mediante la cual solicitó:</w:t>
      </w:r>
    </w:p>
    <w:p w:rsidR="009923F3" w:rsidRDefault="009923F3">
      <w:pPr>
        <w:tabs>
          <w:tab w:val="left" w:pos="8222"/>
        </w:tabs>
        <w:ind w:left="851" w:right="1134"/>
        <w:jc w:val="both"/>
        <w:rPr>
          <w:rFonts w:ascii="Palatino Linotype" w:hAnsi="Palatino Linotype" w:cs="Arial"/>
          <w:i/>
          <w:sz w:val="22"/>
          <w:szCs w:val="22"/>
          <w:lang w:eastAsia="es-MX"/>
        </w:rPr>
      </w:pPr>
    </w:p>
    <w:p w:rsidR="009923F3" w:rsidRDefault="0042180A">
      <w:pPr>
        <w:tabs>
          <w:tab w:val="left" w:pos="8222"/>
        </w:tabs>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“Solicito facturas en versión pública de todos los gasto del primer informe de gobierno y del festival cultural” (sic) </w:t>
      </w:r>
    </w:p>
    <w:p w:rsidR="009923F3" w:rsidRDefault="009923F3">
      <w:pPr>
        <w:tabs>
          <w:tab w:val="left" w:pos="8222"/>
        </w:tabs>
        <w:ind w:left="851" w:right="1134"/>
        <w:jc w:val="both"/>
        <w:rPr>
          <w:rFonts w:ascii="Palatino Linotype" w:hAnsi="Palatino Linotype" w:cs="Arial"/>
          <w:i/>
          <w:sz w:val="22"/>
          <w:szCs w:val="22"/>
          <w:lang w:eastAsia="es-MX"/>
        </w:rPr>
      </w:pPr>
    </w:p>
    <w:p w:rsidR="009923F3" w:rsidRDefault="0042180A">
      <w:pPr>
        <w:spacing w:line="360" w:lineRule="auto"/>
        <w:jc w:val="both"/>
        <w:rPr>
          <w:rFonts w:ascii="Palatino Linotype" w:hAnsi="Palatino Linotype" w:cs="Arial"/>
        </w:rPr>
      </w:pPr>
      <w:r>
        <w:rPr>
          <w:rFonts w:ascii="Palatino Linotype" w:hAnsi="Palatino Linotype" w:cs="Arial"/>
          <w:b/>
        </w:rPr>
        <w:t>MODALIDAD DE ENTREGA:</w:t>
      </w:r>
      <w:r>
        <w:rPr>
          <w:rFonts w:ascii="Palatino Linotype" w:hAnsi="Palatino Linotype" w:cs="Arial"/>
        </w:rPr>
        <w:t xml:space="preserve"> Vía </w:t>
      </w:r>
      <w:r>
        <w:rPr>
          <w:rFonts w:ascii="Palatino Linotype" w:hAnsi="Palatino Linotype" w:cs="Arial"/>
          <w:b/>
        </w:rPr>
        <w:t>SAIMEX</w:t>
      </w:r>
      <w:r>
        <w:rPr>
          <w:rFonts w:ascii="Palatino Linotype" w:hAnsi="Palatino Linotype" w:cs="Arial"/>
        </w:rPr>
        <w:t>.</w:t>
      </w:r>
    </w:p>
    <w:p w:rsidR="009923F3" w:rsidRDefault="009923F3">
      <w:pPr>
        <w:spacing w:line="360" w:lineRule="auto"/>
        <w:jc w:val="both"/>
        <w:rPr>
          <w:rFonts w:ascii="Palatino Linotype" w:hAnsi="Palatino Linotype"/>
          <w:b/>
          <w:sz w:val="28"/>
          <w:szCs w:val="28"/>
        </w:rPr>
      </w:pPr>
    </w:p>
    <w:p w:rsidR="009923F3" w:rsidRDefault="0042180A">
      <w:pPr>
        <w:spacing w:line="360" w:lineRule="auto"/>
        <w:jc w:val="both"/>
        <w:rPr>
          <w:rFonts w:ascii="Palatino Linotype" w:hAnsi="Palatino Linotype"/>
          <w:sz w:val="28"/>
          <w:szCs w:val="28"/>
        </w:rPr>
      </w:pPr>
      <w:r>
        <w:rPr>
          <w:rFonts w:ascii="Palatino Linotype" w:hAnsi="Palatino Linotype"/>
          <w:b/>
          <w:sz w:val="28"/>
          <w:szCs w:val="28"/>
        </w:rPr>
        <w:t xml:space="preserve">II. </w:t>
      </w:r>
      <w:r>
        <w:rPr>
          <w:rFonts w:ascii="Palatino Linotype" w:hAnsi="Palatino Linotype"/>
          <w:szCs w:val="28"/>
        </w:rPr>
        <w:t xml:space="preserve">Con base en el detalle de seguimiento del </w:t>
      </w:r>
      <w:r>
        <w:rPr>
          <w:rFonts w:ascii="Palatino Linotype" w:hAnsi="Palatino Linotype"/>
          <w:b/>
          <w:szCs w:val="28"/>
        </w:rPr>
        <w:t>SAIMEX</w:t>
      </w:r>
      <w:r>
        <w:rPr>
          <w:rFonts w:ascii="Palatino Linotype" w:hAnsi="Palatino Linotype"/>
          <w:szCs w:val="28"/>
        </w:rPr>
        <w:t xml:space="preserve">, se advierte que en fecha diecinueve de diciembre de dos mil diecinueve, la Unidad de Transparencia del </w:t>
      </w:r>
      <w:r>
        <w:rPr>
          <w:rFonts w:ascii="Palatino Linotype" w:hAnsi="Palatino Linotype"/>
          <w:b/>
          <w:szCs w:val="28"/>
        </w:rPr>
        <w:lastRenderedPageBreak/>
        <w:t>SUJETO OBLIGADO</w:t>
      </w:r>
      <w:r>
        <w:rPr>
          <w:rFonts w:ascii="Palatino Linotype" w:hAnsi="Palatino Linotype"/>
          <w:szCs w:val="28"/>
        </w:rPr>
        <w:t xml:space="preserve"> turnó mediante requerimiento, el contenido de la solicitud de información a los Servidores Públicos Habilitados</w:t>
      </w:r>
      <w:r>
        <w:rPr>
          <w:rFonts w:ascii="Palatino Linotype" w:hAnsi="Palatino Linotype"/>
          <w:b/>
          <w:i/>
          <w:szCs w:val="28"/>
        </w:rPr>
        <w:t xml:space="preserve">, </w:t>
      </w:r>
      <w:r>
        <w:rPr>
          <w:rFonts w:ascii="Palatino Linotype" w:hAnsi="Palatino Linotype"/>
          <w:szCs w:val="28"/>
        </w:rPr>
        <w:t xml:space="preserve">a efecto de que realizaran la búsqueda y localización de la información, tal y como se desprende de la siguiente imagen: </w:t>
      </w:r>
    </w:p>
    <w:p w:rsidR="009923F3" w:rsidRDefault="0042180A">
      <w:pPr>
        <w:spacing w:line="360" w:lineRule="auto"/>
        <w:jc w:val="both"/>
        <w:rPr>
          <w:rFonts w:ascii="Palatino Linotype" w:hAnsi="Palatino Linotype"/>
          <w:b/>
          <w:sz w:val="28"/>
          <w:szCs w:val="28"/>
        </w:rPr>
      </w:pPr>
      <w:r>
        <w:rPr>
          <w:noProof/>
          <w:lang w:eastAsia="es-MX"/>
        </w:rPr>
        <w:drawing>
          <wp:inline distT="0" distB="0" distL="0" distR="0">
            <wp:extent cx="5790565" cy="1431290"/>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noChangeArrowheads="1"/>
                    </pic:cNvPicPr>
                  </pic:nvPicPr>
                  <pic:blipFill>
                    <a:blip r:embed="rId8"/>
                    <a:srcRect b="1647"/>
                    <a:stretch>
                      <a:fillRect/>
                    </a:stretch>
                  </pic:blipFill>
                  <pic:spPr bwMode="auto">
                    <a:xfrm>
                      <a:off x="0" y="0"/>
                      <a:ext cx="5790565" cy="1431290"/>
                    </a:xfrm>
                    <a:prstGeom prst="rect">
                      <a:avLst/>
                    </a:prstGeom>
                  </pic:spPr>
                </pic:pic>
              </a:graphicData>
            </a:graphic>
          </wp:inline>
        </w:drawing>
      </w:r>
    </w:p>
    <w:p w:rsidR="009923F3" w:rsidRDefault="009923F3">
      <w:pPr>
        <w:spacing w:line="360" w:lineRule="auto"/>
        <w:jc w:val="both"/>
        <w:rPr>
          <w:rFonts w:ascii="Palatino Linotype" w:hAnsi="Palatino Linotype"/>
        </w:rPr>
      </w:pPr>
    </w:p>
    <w:p w:rsidR="009923F3" w:rsidRDefault="0042180A">
      <w:pPr>
        <w:spacing w:line="360" w:lineRule="auto"/>
        <w:jc w:val="both"/>
        <w:rPr>
          <w:rFonts w:ascii="Palatino Linotype" w:hAnsi="Palatino Linotype"/>
        </w:rPr>
      </w:pPr>
      <w:r>
        <w:rPr>
          <w:noProof/>
          <w:lang w:eastAsia="es-MX"/>
        </w:rPr>
        <w:drawing>
          <wp:inline distT="0" distB="0" distL="0" distR="0">
            <wp:extent cx="5791835" cy="40005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9"/>
                    <a:stretch>
                      <a:fillRect/>
                    </a:stretch>
                  </pic:blipFill>
                  <pic:spPr bwMode="auto">
                    <a:xfrm>
                      <a:off x="0" y="0"/>
                      <a:ext cx="5791835" cy="4000500"/>
                    </a:xfrm>
                    <a:prstGeom prst="rect">
                      <a:avLst/>
                    </a:prstGeom>
                  </pic:spPr>
                </pic:pic>
              </a:graphicData>
            </a:graphic>
          </wp:inline>
        </w:drawing>
      </w:r>
      <w:r>
        <w:rPr>
          <w:noProof/>
          <w:lang w:eastAsia="es-MX"/>
        </w:rPr>
        <mc:AlternateContent>
          <mc:Choice Requires="wps">
            <w:drawing>
              <wp:anchor distT="0" distB="0" distL="0" distR="0" simplePos="0" relativeHeight="30" behindDoc="0" locked="0" layoutInCell="1" allowOverlap="1" wp14:anchorId="3F63C3A9">
                <wp:simplePos x="0" y="0"/>
                <wp:positionH relativeFrom="column">
                  <wp:posOffset>110490</wp:posOffset>
                </wp:positionH>
                <wp:positionV relativeFrom="paragraph">
                  <wp:posOffset>883920</wp:posOffset>
                </wp:positionV>
                <wp:extent cx="4163060" cy="724535"/>
                <wp:effectExtent l="57150" t="19050" r="66675" b="76200"/>
                <wp:wrapNone/>
                <wp:docPr id="2" name="Rectángulo 6"/>
                <wp:cNvGraphicFramePr/>
                <a:graphic xmlns:a="http://schemas.openxmlformats.org/drawingml/2006/main">
                  <a:graphicData uri="http://schemas.microsoft.com/office/word/2010/wordprocessingShape">
                    <wps:wsp>
                      <wps:cNvSpPr/>
                      <wps:spPr>
                        <a:xfrm>
                          <a:off x="0" y="0"/>
                          <a:ext cx="4162320" cy="723960"/>
                        </a:xfrm>
                        <a:prstGeom prst="rect">
                          <a:avLst/>
                        </a:prstGeom>
                        <a:noFill/>
                        <a:ln w="19080">
                          <a:solidFill>
                            <a:srgbClr val="FF0000"/>
                          </a:solidFill>
                          <a:round/>
                        </a:ln>
                        <a:effectLst>
                          <a:outerShdw blurRad="40000" dist="23040" dir="5400000" rotWithShape="0">
                            <a:srgbClr val="000000">
                              <a:alpha val="35000"/>
                            </a:srgbClr>
                          </a:outerShdw>
                        </a:effectLst>
                      </wps:spPr>
                      <wps:style>
                        <a:lnRef idx="1">
                          <a:schemeClr val="accent1"/>
                        </a:lnRef>
                        <a:fillRef idx="3">
                          <a:schemeClr val="accent1"/>
                        </a:fillRef>
                        <a:effectRef idx="2">
                          <a:schemeClr val="accent1"/>
                        </a:effectRef>
                        <a:fontRef idx="minor"/>
                      </wps:style>
                      <wps:bodyPr/>
                    </wps:wsp>
                  </a:graphicData>
                </a:graphic>
              </wp:anchor>
            </w:drawing>
          </mc:Choice>
          <mc:Fallback>
            <w:pict>
              <v:rect id="shape_0" ID="Rectángulo 6" stroked="t" style="position:absolute;margin-left:8.7pt;margin-top:69.6pt;width:327.7pt;height:56.95pt" wp14:anchorId="3F63C3A9">
                <w10:wrap type="none"/>
                <v:fill o:detectmouseclick="t" on="false"/>
                <v:stroke color="red" weight="19080" joinstyle="round" endcap="flat"/>
                <v:shadow on="t" obscured="f" color="black"/>
              </v:rect>
            </w:pict>
          </mc:Fallback>
        </mc:AlternateContent>
      </w:r>
    </w:p>
    <w:p w:rsidR="009923F3" w:rsidRDefault="0042180A">
      <w:pPr>
        <w:spacing w:line="360" w:lineRule="auto"/>
        <w:jc w:val="both"/>
        <w:rPr>
          <w:rFonts w:ascii="Palatino Linotype" w:hAnsi="Palatino Linotype"/>
          <w:szCs w:val="28"/>
        </w:rPr>
      </w:pPr>
      <w:r>
        <w:rPr>
          <w:rFonts w:ascii="Palatino Linotype" w:hAnsi="Palatino Linotype"/>
          <w:b/>
          <w:sz w:val="28"/>
          <w:szCs w:val="28"/>
        </w:rPr>
        <w:lastRenderedPageBreak/>
        <w:t xml:space="preserve">III. </w:t>
      </w:r>
      <w:r>
        <w:rPr>
          <w:rFonts w:ascii="Palatino Linotype" w:hAnsi="Palatino Linotype"/>
          <w:szCs w:val="28"/>
        </w:rPr>
        <w:t xml:space="preserve">En fecha quince de enero de dos mil veinte, </w:t>
      </w:r>
      <w:r>
        <w:rPr>
          <w:rFonts w:ascii="Palatino Linotype" w:hAnsi="Palatino Linotype"/>
          <w:b/>
          <w:szCs w:val="28"/>
        </w:rPr>
        <w:t>EL SUJETO OBLIGADO</w:t>
      </w:r>
      <w:r>
        <w:rPr>
          <w:rFonts w:ascii="Palatino Linotype" w:hAnsi="Palatino Linotype"/>
          <w:szCs w:val="28"/>
        </w:rPr>
        <w:t xml:space="preserve"> notificó una prórroga de siete días para dar respuesta a la solicitud de información plantead por </w:t>
      </w:r>
      <w:r>
        <w:rPr>
          <w:rFonts w:ascii="Palatino Linotype" w:hAnsi="Palatino Linotype"/>
          <w:b/>
          <w:szCs w:val="28"/>
        </w:rPr>
        <w:t>EL RECURRENTE</w:t>
      </w:r>
      <w:r>
        <w:rPr>
          <w:rFonts w:ascii="Palatino Linotype" w:hAnsi="Palatino Linotype"/>
          <w:szCs w:val="28"/>
        </w:rPr>
        <w:t xml:space="preserve">, en los siguientes términos: </w:t>
      </w:r>
    </w:p>
    <w:p w:rsidR="009923F3" w:rsidRDefault="009923F3">
      <w:pPr>
        <w:spacing w:line="360" w:lineRule="auto"/>
        <w:jc w:val="both"/>
        <w:rPr>
          <w:rFonts w:ascii="Palatino Linotype" w:hAnsi="Palatino Linotype"/>
          <w:szCs w:val="28"/>
        </w:rPr>
      </w:pPr>
    </w:p>
    <w:p w:rsidR="009923F3" w:rsidRDefault="0042180A">
      <w:pPr>
        <w:ind w:left="851" w:right="902"/>
        <w:jc w:val="both"/>
        <w:rPr>
          <w:rFonts w:ascii="Palatino Linotype" w:hAnsi="Palatino Linotype"/>
          <w:i/>
          <w:sz w:val="22"/>
          <w:szCs w:val="28"/>
        </w:rPr>
      </w:pPr>
      <w:r>
        <w:rPr>
          <w:rFonts w:ascii="Palatino Linotype" w:hAnsi="Palatino Linotype"/>
          <w:i/>
          <w:sz w:val="22"/>
          <w:szCs w:val="28"/>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9923F3" w:rsidRDefault="009923F3">
      <w:pPr>
        <w:ind w:left="851" w:right="902"/>
        <w:jc w:val="both"/>
        <w:rPr>
          <w:rFonts w:ascii="Palatino Linotype" w:hAnsi="Palatino Linotype"/>
          <w:i/>
          <w:sz w:val="22"/>
          <w:szCs w:val="28"/>
        </w:rPr>
      </w:pPr>
    </w:p>
    <w:p w:rsidR="009923F3" w:rsidRDefault="0042180A">
      <w:pPr>
        <w:ind w:left="851" w:right="902"/>
        <w:jc w:val="both"/>
        <w:rPr>
          <w:rFonts w:ascii="Palatino Linotype" w:hAnsi="Palatino Linotype"/>
          <w:i/>
          <w:sz w:val="22"/>
          <w:szCs w:val="28"/>
        </w:rPr>
      </w:pPr>
      <w:proofErr w:type="gramStart"/>
      <w:r>
        <w:rPr>
          <w:rFonts w:ascii="Palatino Linotype" w:hAnsi="Palatino Linotype"/>
          <w:i/>
          <w:sz w:val="22"/>
          <w:szCs w:val="28"/>
        </w:rPr>
        <w:t>una</w:t>
      </w:r>
      <w:proofErr w:type="gramEnd"/>
      <w:r>
        <w:rPr>
          <w:rFonts w:ascii="Palatino Linotype" w:hAnsi="Palatino Linotype"/>
          <w:i/>
          <w:sz w:val="22"/>
          <w:szCs w:val="28"/>
        </w:rPr>
        <w:t xml:space="preserve"> vez analizada la solicitud de </w:t>
      </w:r>
      <w:proofErr w:type="spellStart"/>
      <w:r>
        <w:rPr>
          <w:rFonts w:ascii="Palatino Linotype" w:hAnsi="Palatino Linotype"/>
          <w:i/>
          <w:sz w:val="22"/>
          <w:szCs w:val="28"/>
        </w:rPr>
        <w:t>prorroga</w:t>
      </w:r>
      <w:proofErr w:type="spellEnd"/>
      <w:r>
        <w:rPr>
          <w:rFonts w:ascii="Palatino Linotype" w:hAnsi="Palatino Linotype"/>
          <w:i/>
          <w:sz w:val="22"/>
          <w:szCs w:val="28"/>
        </w:rPr>
        <w:t xml:space="preserve"> y con base en el </w:t>
      </w:r>
      <w:proofErr w:type="spellStart"/>
      <w:r>
        <w:rPr>
          <w:rFonts w:ascii="Palatino Linotype" w:hAnsi="Palatino Linotype"/>
          <w:i/>
          <w:sz w:val="22"/>
          <w:szCs w:val="28"/>
        </w:rPr>
        <w:t>articulo</w:t>
      </w:r>
      <w:proofErr w:type="spellEnd"/>
      <w:r>
        <w:rPr>
          <w:rFonts w:ascii="Palatino Linotype" w:hAnsi="Palatino Linotype"/>
          <w:i/>
          <w:sz w:val="22"/>
          <w:szCs w:val="28"/>
        </w:rPr>
        <w:t xml:space="preserve"> 163 de la Ley antes citada se aprueba la </w:t>
      </w:r>
      <w:proofErr w:type="spellStart"/>
      <w:r>
        <w:rPr>
          <w:rFonts w:ascii="Palatino Linotype" w:hAnsi="Palatino Linotype"/>
          <w:i/>
          <w:sz w:val="22"/>
          <w:szCs w:val="28"/>
        </w:rPr>
        <w:t>prorroga</w:t>
      </w:r>
      <w:proofErr w:type="spellEnd"/>
      <w:r>
        <w:rPr>
          <w:rFonts w:ascii="Palatino Linotype" w:hAnsi="Palatino Linotype"/>
          <w:i/>
          <w:sz w:val="22"/>
          <w:szCs w:val="28"/>
        </w:rPr>
        <w:t>.</w:t>
      </w:r>
    </w:p>
    <w:p w:rsidR="009923F3" w:rsidRDefault="009923F3">
      <w:pPr>
        <w:ind w:left="851" w:right="902"/>
        <w:jc w:val="both"/>
        <w:rPr>
          <w:rFonts w:ascii="Palatino Linotype" w:hAnsi="Palatino Linotype"/>
          <w:i/>
          <w:sz w:val="22"/>
          <w:szCs w:val="28"/>
        </w:rPr>
      </w:pPr>
    </w:p>
    <w:p w:rsidR="009923F3" w:rsidRDefault="0042180A">
      <w:pPr>
        <w:ind w:left="851" w:right="902"/>
        <w:jc w:val="both"/>
        <w:rPr>
          <w:rFonts w:ascii="Palatino Linotype" w:hAnsi="Palatino Linotype"/>
          <w:i/>
          <w:sz w:val="22"/>
          <w:szCs w:val="28"/>
        </w:rPr>
      </w:pPr>
      <w:r>
        <w:rPr>
          <w:rFonts w:ascii="Palatino Linotype" w:hAnsi="Palatino Linotype"/>
          <w:i/>
          <w:sz w:val="22"/>
          <w:szCs w:val="28"/>
        </w:rPr>
        <w:t>L.C.P. Y A.P. Sergio López Manjarrez</w:t>
      </w:r>
    </w:p>
    <w:p w:rsidR="009923F3" w:rsidRDefault="0042180A">
      <w:pPr>
        <w:ind w:left="851" w:right="902"/>
        <w:jc w:val="both"/>
        <w:rPr>
          <w:rFonts w:ascii="Palatino Linotype" w:hAnsi="Palatino Linotype"/>
          <w:szCs w:val="28"/>
        </w:rPr>
      </w:pPr>
      <w:r>
        <w:rPr>
          <w:rFonts w:ascii="Palatino Linotype" w:hAnsi="Palatino Linotype"/>
          <w:b/>
          <w:i/>
          <w:sz w:val="22"/>
          <w:szCs w:val="28"/>
        </w:rPr>
        <w:t>Responsable de la Unidad de Transparencia</w:t>
      </w:r>
      <w:r>
        <w:rPr>
          <w:rFonts w:ascii="Palatino Linotype" w:hAnsi="Palatino Linotype"/>
          <w:i/>
          <w:sz w:val="22"/>
          <w:szCs w:val="28"/>
        </w:rPr>
        <w:t>”</w:t>
      </w:r>
    </w:p>
    <w:p w:rsidR="009923F3" w:rsidRDefault="009923F3">
      <w:pPr>
        <w:spacing w:line="360" w:lineRule="auto"/>
        <w:jc w:val="both"/>
        <w:rPr>
          <w:rFonts w:ascii="Palatino Linotype" w:hAnsi="Palatino Linotype"/>
          <w:b/>
          <w:sz w:val="28"/>
          <w:szCs w:val="28"/>
        </w:rPr>
      </w:pPr>
    </w:p>
    <w:p w:rsidR="009923F3" w:rsidRDefault="0042180A">
      <w:pPr>
        <w:spacing w:line="360" w:lineRule="auto"/>
        <w:jc w:val="both"/>
        <w:rPr>
          <w:rFonts w:ascii="Palatino Linotype" w:hAnsi="Palatino Linotype" w:cs="Arial"/>
          <w:lang w:val="es-ES_tradnl"/>
        </w:rPr>
      </w:pPr>
      <w:r>
        <w:rPr>
          <w:rFonts w:ascii="Palatino Linotype" w:hAnsi="Palatino Linotype"/>
          <w:b/>
          <w:sz w:val="28"/>
          <w:szCs w:val="28"/>
        </w:rPr>
        <w:t>IV.</w:t>
      </w:r>
      <w:r>
        <w:rPr>
          <w:rFonts w:ascii="Palatino Linotype" w:hAnsi="Palatino Linotype"/>
          <w:sz w:val="28"/>
          <w:szCs w:val="28"/>
        </w:rPr>
        <w:t xml:space="preserve"> </w:t>
      </w: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en fecha veinticuatro de enero de dos mil veinte, </w:t>
      </w:r>
      <w:r>
        <w:rPr>
          <w:rFonts w:ascii="Palatino Linotype" w:hAnsi="Palatino Linotype" w:cs="Arial"/>
          <w:lang w:val="es-ES_tradnl"/>
        </w:rPr>
        <w:t>el Responsable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 de mérito, en los siguientes términos: </w:t>
      </w:r>
    </w:p>
    <w:p w:rsidR="009923F3" w:rsidRDefault="009923F3">
      <w:pPr>
        <w:tabs>
          <w:tab w:val="left" w:pos="8222"/>
        </w:tabs>
        <w:ind w:left="851" w:right="899"/>
        <w:jc w:val="both"/>
        <w:rPr>
          <w:rFonts w:ascii="Palatino Linotype" w:hAnsi="Palatino Linotype" w:cs="Arial"/>
          <w:i/>
          <w:sz w:val="22"/>
          <w:szCs w:val="22"/>
          <w:lang w:eastAsia="es-MX"/>
        </w:rPr>
      </w:pPr>
    </w:p>
    <w:p w:rsidR="009923F3" w:rsidRDefault="0042180A">
      <w:pPr>
        <w:tabs>
          <w:tab w:val="left" w:pos="8222"/>
        </w:tabs>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923F3" w:rsidRDefault="009923F3">
      <w:pPr>
        <w:tabs>
          <w:tab w:val="left" w:pos="8222"/>
        </w:tabs>
        <w:ind w:left="851" w:right="899"/>
        <w:jc w:val="both"/>
        <w:rPr>
          <w:rFonts w:ascii="Palatino Linotype" w:hAnsi="Palatino Linotype" w:cs="Arial"/>
          <w:i/>
          <w:sz w:val="22"/>
          <w:szCs w:val="22"/>
          <w:lang w:eastAsia="es-MX"/>
        </w:rPr>
      </w:pPr>
    </w:p>
    <w:p w:rsidR="009923F3" w:rsidRDefault="0042180A">
      <w:pPr>
        <w:tabs>
          <w:tab w:val="left" w:pos="8222"/>
        </w:tabs>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De la revisión y análisis a su solicitud, me permito informar a usted que este Ayuntamiento no está en posibilidades de rendir su requerimiento, en términos de lo siguiente: El artículo 116 fracción sexto párrafo de la Constitución Política de los Estados Unidos Mexicanos, señala que las Legislaturas de los Estados contarán con entidades estatales de fiscalización las cuales serán órganos con autonomía técnica y de gestión en el ejercicio de sus atribuciones para decidir sobre su organización interna, funcionamiento y resoluciones en los términos que dispongan sus leyes. La función de fiscalización se desarrollará conforme a los principios de legalidad imparcialidad y confiabilidad. Asimismo, deberán fiscalizar las acciones de Estados </w:t>
      </w:r>
      <w:r>
        <w:rPr>
          <w:rFonts w:ascii="Palatino Linotype" w:hAnsi="Palatino Linotype" w:cs="Arial"/>
          <w:i/>
          <w:sz w:val="22"/>
          <w:szCs w:val="22"/>
          <w:lang w:eastAsia="es-MX"/>
        </w:rPr>
        <w:lastRenderedPageBreak/>
        <w:t xml:space="preserve">y Municipios en materia de fondos, recursos locales y deuda pública. Los informes de auditoría de las entidades estatales de fiscalización tendrán carácter de público. La revisión y la fiscalización de las cuentas públicas tiene como fines, entre otros comprobar que la recaudación, administración y aplicación se realice conforme a las disposiciones legales administrativas, contables presupuestales, financieras y de planeación aplicables; determinar daños y perjuicios que afecten a la hacienda pública; imponer medios de apremio a fin de que se cumplan sus determinaciones y promover en términos de ley otras responsabilidades y sanciones ante las autoridades competentes. Para tales efectos, la Legislatura se auxiliará del Órgano Superior de Fiscalización del Estado de México, dotado de autonomía técnica y de gestión el cual, se rige por los principios de legalidad, </w:t>
      </w:r>
      <w:proofErr w:type="spellStart"/>
      <w:r>
        <w:rPr>
          <w:rFonts w:ascii="Palatino Linotype" w:hAnsi="Palatino Linotype" w:cs="Arial"/>
          <w:i/>
          <w:sz w:val="22"/>
          <w:szCs w:val="22"/>
          <w:lang w:eastAsia="es-MX"/>
        </w:rPr>
        <w:t>definitividad</w:t>
      </w:r>
      <w:proofErr w:type="spellEnd"/>
      <w:r>
        <w:rPr>
          <w:rFonts w:ascii="Palatino Linotype" w:hAnsi="Palatino Linotype" w:cs="Arial"/>
          <w:i/>
          <w:sz w:val="22"/>
          <w:szCs w:val="22"/>
          <w:lang w:eastAsia="es-MX"/>
        </w:rPr>
        <w:t xml:space="preserve">, imparcialidad, confiabilidad y de máxima publicidad conforme a lo establecido en los artículos 115 fracción IV, penúltimo párrafo, 116 fracción II sexto párrafo, 134 segundo y quinto párrafos de la Constitución Política de los Estados Unidos Mexicanos; 61 fracciones XXXII, XXXIII y XXXIV y 129 primer y penúltimo párrafo de la Constitución Política del Estado Libre y Soberano de México; 94 fracción I y 95 de la Ley Orgánica del Poder Legislativo de Estado Libre y Soberano de México; 148 de su Reglamento; 1,2,3,4, fracción IV, 6, 7,8 fracciones I, II, III, V, VII, VIII,XIV,XIX, XXXII, y XXXVI, 13 fracciones II, VII, IX, XIX Y XXV así como el artículo 32, segundo párrafo y 41 párrafo segundo fracción I de la Ley de Fiscalización Superior del Estado de México. Por su parte, el artículo 32 segundo párrafo de la Ley de Fiscalización Superior del Estado de México, establece que las entidades municipales del Estado de México, presentarán a la Legislatura los informes mensuales dentro de los veinte días posteriores al término del mes correspondiente. Correlativamente, el artículo 350 del Código Financiero del Estado de México y Municipios determina que mensualmente dentro de los primeros veinte días hábiles, las tesorerías enviarán para su análisis y evaluación, al Órgano Superior de Fiscalización del Estado de México, información patrimonial, presupuestal, de obra pública y de nómina. Con fundamento en los artículo 16, 115 fracción IV, penúltimo párrafo 116 fracción II, sexto párrafo, 134 segundo y quinto párrafos de la Constitución Política de los Estados Unidos Mexicanos, 58 y 60 de la Ley Disciplina Financiera de las Entidades Federativas y los Municipios; 61 fracciones XXXII, XXXIII y XXXIV de la Constitución Política del Estado Libre y Soberano de México; 1, 2 fracciones VIII, IX, XXVIII y XXXIII, 94 fracción I y 95 de la Ley Orgánica del Poder Legislativo del Estado Libre y Soberano de México, 1, 3, 4 fracción IV,6,8 fracciones I, II, III, V, XIV y XXXVI, 10, 13, fracciones II, III, VII, IX, XIX y XXV 32 segundo párrafo, 42 segundo párrafo fracción I de la Ley de Fiscalización Superior del Estado de México; en relación con el artículo 350 del Código Financiero del Estado de México y Municipios los informes mensuales tienen que presentarse en tiempo, forma y con todas y cada una </w:t>
      </w:r>
      <w:r>
        <w:rPr>
          <w:rFonts w:ascii="Palatino Linotype" w:hAnsi="Palatino Linotype" w:cs="Arial"/>
          <w:i/>
          <w:sz w:val="22"/>
          <w:szCs w:val="22"/>
          <w:lang w:eastAsia="es-MX"/>
        </w:rPr>
        <w:lastRenderedPageBreak/>
        <w:t>de las formalidades establecidas en los Lineamientos para la integración de los Informes Mensuales; emitidos por el OSFEM. Así mismo a través del Oficio número OSFEM/UAJ/DJC/DCOP/REQ/199/19 el Órgano Superior de Fiscalización del Estado de México emitió requerimiento para el cumplimiento en tiempo y forma de las obligaciones periódicas del ejercicio 2019, donde establece el calendario de fechas de vencimiento para la presentación de los informes mensuales municipales de abril a diciembre del ejercicio 2019; por lo que el informe correspondiente del mes de diciembre 2019 tiene fecha de entrega del mes de febrero 2020, en atención a ello este Ayuntamiento se encuentra realizando las acciones pertinentes a efecto de integrar dicho informe. Cabe señalar que la información solicitada forma parte del informe mensual de diciembre de 2019 que se debe entregar al Órgano Superior de Fiscalización del Estado de México en febrero de 2020. De lo anterior se concluye que la información requerida, que a la letra dice “Solicito facturas en versión pública de todos los gastos del primer informe de gobierno y del festival cultural” (sic), aún no es posible proporcionarla, debido a que forma parte del informe mensual correspondiente al mes de diciembre de 2019, que debe entregarse al Órgano Superior de Fiscalización del Estado de México en el mes de febrero de 2020. ATENTAMENTE NOHEMI JUDITH CHAVEZ CAMACHO TESORERA DEL AYUNTAMIENTO DE SAN ANTONIO LA ISLA” (Sic)</w:t>
      </w:r>
    </w:p>
    <w:p w:rsidR="009923F3" w:rsidRDefault="009923F3">
      <w:pPr>
        <w:tabs>
          <w:tab w:val="left" w:pos="8222"/>
        </w:tabs>
        <w:ind w:left="851" w:right="899"/>
        <w:jc w:val="both"/>
        <w:rPr>
          <w:rFonts w:ascii="Palatino Linotype" w:hAnsi="Palatino Linotype" w:cs="Arial"/>
          <w:i/>
          <w:sz w:val="22"/>
          <w:szCs w:val="22"/>
          <w:lang w:eastAsia="es-MX"/>
        </w:rPr>
      </w:pPr>
    </w:p>
    <w:p w:rsidR="009923F3" w:rsidRDefault="0042180A">
      <w:pPr>
        <w:spacing w:line="360" w:lineRule="auto"/>
        <w:jc w:val="both"/>
        <w:rPr>
          <w:rFonts w:ascii="Palatino Linotype" w:hAnsi="Palatino Linotype"/>
          <w:color w:val="222222"/>
          <w:lang w:eastAsia="es-MX"/>
        </w:rPr>
      </w:pPr>
      <w:r>
        <w:rPr>
          <w:rFonts w:ascii="Palatino Linotype" w:hAnsi="Palatino Linotype"/>
        </w:rPr>
        <w:t xml:space="preserve">Advirtiendo de dicha respuesta, que </w:t>
      </w:r>
      <w:r>
        <w:rPr>
          <w:rFonts w:ascii="Palatino Linotype" w:hAnsi="Palatino Linotype" w:cs="Arial"/>
          <w:b/>
        </w:rPr>
        <w:t>EL SUJETO OBLIGADO</w:t>
      </w:r>
      <w:r>
        <w:rPr>
          <w:rFonts w:ascii="Palatino Linotype" w:hAnsi="Palatino Linotype"/>
        </w:rPr>
        <w:t xml:space="preserve"> acompañó los archivos electrónicos denominados </w:t>
      </w:r>
      <w:r>
        <w:rPr>
          <w:rFonts w:ascii="Palatino Linotype" w:hAnsi="Palatino Linotype"/>
          <w:b/>
        </w:rPr>
        <w:t xml:space="preserve">Respuesta 86.pdf </w:t>
      </w:r>
      <w:r>
        <w:rPr>
          <w:rFonts w:ascii="Palatino Linotype" w:hAnsi="Palatino Linotype"/>
        </w:rPr>
        <w:t xml:space="preserve">y </w:t>
      </w:r>
      <w:r>
        <w:rPr>
          <w:rFonts w:ascii="Palatino Linotype" w:hAnsi="Palatino Linotype"/>
          <w:b/>
        </w:rPr>
        <w:t>00086.pdf</w:t>
      </w:r>
      <w:r>
        <w:rPr>
          <w:rFonts w:ascii="Palatino Linotype" w:hAnsi="Palatino Linotype" w:cs="Arial"/>
          <w:b/>
        </w:rPr>
        <w:t xml:space="preserve">, </w:t>
      </w:r>
      <w:r>
        <w:rPr>
          <w:rFonts w:ascii="Palatino Linotype" w:hAnsi="Palatino Linotype" w:cs="Arial"/>
        </w:rPr>
        <w:t>en los cuales manifestó que</w:t>
      </w:r>
      <w:r>
        <w:rPr>
          <w:rFonts w:ascii="Palatino Linotype" w:hAnsi="Palatino Linotype"/>
          <w:color w:val="222222"/>
          <w:lang w:eastAsia="es-MX"/>
        </w:rPr>
        <w:t xml:space="preserve"> la información requerida aún no era posible proporcionarla, debido a que formaba parte del informe mensual correspondiente al mes de diciembre de 2019, que debe entregarse al Órgano Superior de Fiscalización del Estado de México en el mes de febrero de 2020.</w:t>
      </w:r>
    </w:p>
    <w:p w:rsidR="009923F3" w:rsidRDefault="009923F3">
      <w:pPr>
        <w:pStyle w:val="Prrafodelista"/>
        <w:spacing w:line="360" w:lineRule="auto"/>
        <w:ind w:left="0"/>
        <w:jc w:val="both"/>
        <w:rPr>
          <w:rFonts w:ascii="Palatino Linotype" w:hAnsi="Palatino Linotype" w:cs="Arial"/>
          <w:b/>
          <w:sz w:val="28"/>
        </w:rPr>
      </w:pPr>
    </w:p>
    <w:p w:rsidR="009923F3" w:rsidRDefault="0042180A">
      <w:pPr>
        <w:pStyle w:val="Prrafodelista"/>
        <w:spacing w:line="360" w:lineRule="auto"/>
        <w:ind w:left="0"/>
        <w:jc w:val="both"/>
        <w:rPr>
          <w:rFonts w:ascii="Palatino Linotype" w:hAnsi="Palatino Linotype" w:cs="Arial"/>
        </w:rPr>
      </w:pPr>
      <w:r>
        <w:rPr>
          <w:rFonts w:ascii="Palatino Linotype" w:hAnsi="Palatino Linotype" w:cs="Arial"/>
          <w:b/>
          <w:sz w:val="28"/>
        </w:rPr>
        <w:t xml:space="preserve">V. </w:t>
      </w:r>
      <w:r>
        <w:rPr>
          <w:rFonts w:ascii="Palatino Linotype" w:hAnsi="Palatino Linotype"/>
        </w:rPr>
        <w:t xml:space="preserve">Inconforme con la </w:t>
      </w:r>
      <w:r>
        <w:rPr>
          <w:rFonts w:ascii="Palatino Linotype" w:hAnsi="Palatino Linotype" w:cs="Arial"/>
        </w:rPr>
        <w:t xml:space="preserve">respuesta, el veintinueve de enero de dos mil veinte, </w:t>
      </w:r>
      <w:r>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Pr>
          <w:rFonts w:ascii="Palatino Linotype" w:hAnsi="Palatino Linotype"/>
          <w:b/>
        </w:rPr>
        <w:t>00777/INFOEM/IP/RR/2020</w:t>
      </w:r>
      <w:r>
        <w:rPr>
          <w:rFonts w:ascii="Palatino Linotype" w:hAnsi="Palatino Linotype" w:cs="Arial"/>
        </w:rPr>
        <w:t>, en el que señaló como acto impugnado:</w:t>
      </w:r>
    </w:p>
    <w:p w:rsidR="009923F3" w:rsidRDefault="009923F3">
      <w:pPr>
        <w:tabs>
          <w:tab w:val="left" w:pos="8222"/>
        </w:tabs>
        <w:ind w:left="851" w:right="1134"/>
        <w:jc w:val="both"/>
        <w:rPr>
          <w:rFonts w:ascii="Palatino Linotype" w:hAnsi="Palatino Linotype" w:cs="Arial"/>
          <w:i/>
          <w:sz w:val="22"/>
          <w:szCs w:val="22"/>
        </w:rPr>
      </w:pPr>
    </w:p>
    <w:p w:rsidR="009923F3" w:rsidRDefault="0042180A">
      <w:pPr>
        <w:tabs>
          <w:tab w:val="left" w:pos="8222"/>
        </w:tabs>
        <w:ind w:left="851" w:right="899"/>
        <w:jc w:val="both"/>
        <w:rPr>
          <w:rFonts w:ascii="Palatino Linotype" w:hAnsi="Palatino Linotype" w:cs="Arial"/>
          <w:i/>
          <w:sz w:val="22"/>
          <w:szCs w:val="22"/>
        </w:rPr>
      </w:pPr>
      <w:r>
        <w:rPr>
          <w:rFonts w:ascii="Palatino Linotype" w:hAnsi="Palatino Linotype" w:cs="Arial"/>
          <w:i/>
          <w:sz w:val="22"/>
          <w:szCs w:val="22"/>
        </w:rPr>
        <w:t>“No proporciono la información solicitada" (Sic)</w:t>
      </w:r>
    </w:p>
    <w:p w:rsidR="009923F3" w:rsidRDefault="009923F3">
      <w:pPr>
        <w:ind w:left="851" w:right="899"/>
        <w:jc w:val="both"/>
        <w:rPr>
          <w:rFonts w:ascii="Palatino Linotype" w:hAnsi="Palatino Linotype" w:cs="Arial"/>
          <w:i/>
          <w:sz w:val="22"/>
          <w:szCs w:val="22"/>
        </w:rPr>
      </w:pPr>
    </w:p>
    <w:p w:rsidR="009923F3" w:rsidRDefault="0042180A">
      <w:pPr>
        <w:spacing w:line="360" w:lineRule="auto"/>
        <w:jc w:val="both"/>
        <w:rPr>
          <w:rFonts w:ascii="Palatino Linotype" w:hAnsi="Palatino Linotype" w:cs="Arial"/>
        </w:rPr>
      </w:pPr>
      <w:r>
        <w:rPr>
          <w:rFonts w:ascii="Palatino Linotype" w:hAnsi="Palatino Linotype" w:cs="Arial"/>
        </w:rPr>
        <w:t xml:space="preserve">Asimismo, como razones o motivos de inconformidad:  </w:t>
      </w:r>
    </w:p>
    <w:p w:rsidR="009923F3" w:rsidRDefault="009923F3">
      <w:pPr>
        <w:tabs>
          <w:tab w:val="left" w:pos="8222"/>
        </w:tabs>
        <w:ind w:left="851" w:right="1134"/>
        <w:jc w:val="both"/>
        <w:rPr>
          <w:rFonts w:ascii="Palatino Linotype" w:hAnsi="Palatino Linotype" w:cs="Arial"/>
          <w:i/>
          <w:sz w:val="22"/>
          <w:szCs w:val="22"/>
        </w:rPr>
      </w:pPr>
    </w:p>
    <w:p w:rsidR="009923F3" w:rsidRDefault="0042180A">
      <w:pPr>
        <w:tabs>
          <w:tab w:val="left" w:pos="8222"/>
        </w:tabs>
        <w:ind w:left="851" w:right="899"/>
        <w:jc w:val="both"/>
        <w:rPr>
          <w:rFonts w:ascii="Palatino Linotype" w:hAnsi="Palatino Linotype" w:cs="Arial"/>
          <w:i/>
          <w:sz w:val="22"/>
          <w:szCs w:val="22"/>
        </w:rPr>
      </w:pPr>
      <w:r>
        <w:rPr>
          <w:rFonts w:ascii="Palatino Linotype" w:hAnsi="Palatino Linotype" w:cs="Arial"/>
          <w:i/>
          <w:sz w:val="22"/>
          <w:szCs w:val="22"/>
        </w:rPr>
        <w:t xml:space="preserve">“Su </w:t>
      </w:r>
      <w:proofErr w:type="spellStart"/>
      <w:r>
        <w:rPr>
          <w:rFonts w:ascii="Palatino Linotype" w:hAnsi="Palatino Linotype" w:cs="Arial"/>
          <w:i/>
          <w:sz w:val="22"/>
          <w:szCs w:val="22"/>
        </w:rPr>
        <w:t>fundamentacion</w:t>
      </w:r>
      <w:proofErr w:type="spellEnd"/>
      <w:r>
        <w:rPr>
          <w:rFonts w:ascii="Palatino Linotype" w:hAnsi="Palatino Linotype" w:cs="Arial"/>
          <w:i/>
          <w:sz w:val="22"/>
          <w:szCs w:val="22"/>
        </w:rPr>
        <w:t xml:space="preserve"> y motivación es incongruente” (Sic)</w:t>
      </w:r>
    </w:p>
    <w:p w:rsidR="009923F3" w:rsidRDefault="009923F3">
      <w:pPr>
        <w:tabs>
          <w:tab w:val="left" w:pos="8222"/>
        </w:tabs>
        <w:ind w:right="1134"/>
        <w:jc w:val="both"/>
        <w:rPr>
          <w:rFonts w:ascii="Palatino Linotype" w:hAnsi="Palatino Linotype" w:cs="Arial"/>
          <w:i/>
          <w:sz w:val="22"/>
          <w:szCs w:val="22"/>
        </w:rPr>
      </w:pPr>
    </w:p>
    <w:p w:rsidR="009923F3" w:rsidRDefault="0042180A">
      <w:pPr>
        <w:spacing w:line="360" w:lineRule="auto"/>
        <w:ind w:right="49"/>
        <w:jc w:val="both"/>
        <w:rPr>
          <w:rFonts w:ascii="Palatino Linotype" w:hAnsi="Palatino Linotype"/>
          <w:lang w:val="es-ES_tradnl"/>
        </w:rPr>
      </w:pPr>
      <w:r>
        <w:rPr>
          <w:rFonts w:ascii="Palatino Linotype" w:hAnsi="Palatino Linotype" w:cs="Arial"/>
          <w:b/>
          <w:sz w:val="28"/>
          <w:szCs w:val="28"/>
        </w:rPr>
        <w:t>VI.</w:t>
      </w:r>
      <w:r>
        <w:rPr>
          <w:rFonts w:ascii="Palatino Linotype" w:hAnsi="Palatino Linotype" w:cs="Arial"/>
          <w:b/>
          <w:sz w:val="28"/>
        </w:rPr>
        <w:t xml:space="preserve"> </w:t>
      </w:r>
      <w:r>
        <w:rPr>
          <w:rFonts w:ascii="Palatino Linotype" w:hAnsi="Palatino Linotype" w:cs="Arial"/>
        </w:rPr>
        <w:t>El veintinueve de enero de dos mil veinte</w:t>
      </w:r>
      <w:r>
        <w:rPr>
          <w:rFonts w:ascii="Palatino Linotype" w:hAnsi="Palatino Linotype"/>
        </w:rPr>
        <w:t xml:space="preserve">, el </w:t>
      </w:r>
      <w:r>
        <w:rPr>
          <w:rFonts w:ascii="Palatino Linotype" w:hAnsi="Palatino Linotype"/>
          <w:lang w:val="es-ES_tradnl"/>
        </w:rPr>
        <w:t>recurso de que</w:t>
      </w:r>
      <w:r>
        <w:rPr>
          <w:rFonts w:ascii="Palatino Linotype" w:hAnsi="Palatino Linotype"/>
        </w:rPr>
        <w:t xml:space="preserve"> se trata</w:t>
      </w:r>
      <w:r>
        <w:rPr>
          <w:rFonts w:ascii="Palatino Linotype" w:hAnsi="Palatino Linotype"/>
          <w:lang w:val="es-ES_tradnl"/>
        </w:rPr>
        <w:t xml:space="preserve"> se envió electrónicamente al Instituto de </w:t>
      </w:r>
      <w:r>
        <w:rPr>
          <w:rFonts w:ascii="Palatino Linotype" w:eastAsia="Arial Unicode MS" w:hAnsi="Palatino Linotype"/>
        </w:rPr>
        <w:t>Transparencia</w:t>
      </w:r>
      <w:r>
        <w:rPr>
          <w:rFonts w:ascii="Palatino Linotype" w:hAnsi="Palatino Linotype"/>
          <w:lang w:val="es-ES_tradnl"/>
        </w:rPr>
        <w:t xml:space="preserve">, Acceso a la Información Pública y Protección de Datos Personales del Estado de México y Municipios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lang w:val="es-ES_tradnl"/>
        </w:rPr>
        <w:t>, se turnó, a través del</w:t>
      </w:r>
      <w:r>
        <w:rPr>
          <w:rFonts w:ascii="Palatino Linotype" w:eastAsia="Arial Unicode MS" w:hAnsi="Palatino Linotype"/>
          <w:lang w:val="es-ES_tradnl"/>
        </w:rPr>
        <w:t xml:space="preserve"> </w:t>
      </w:r>
      <w:r>
        <w:rPr>
          <w:rFonts w:ascii="Palatino Linotype" w:eastAsia="Arial Unicode MS" w:hAnsi="Palatino Linotype"/>
          <w:b/>
          <w:lang w:val="es-ES_tradnl"/>
        </w:rPr>
        <w:t>SAIMEX</w:t>
      </w:r>
      <w:r>
        <w:rPr>
          <w:rFonts w:ascii="Palatino Linotype" w:hAnsi="Palatino Linotype"/>
        </w:rPr>
        <w:t xml:space="preserve">, a la </w:t>
      </w:r>
      <w:r>
        <w:rPr>
          <w:rFonts w:ascii="Palatino Linotype" w:hAnsi="Palatino Linotype"/>
          <w:lang w:val="es-ES_tradnl"/>
        </w:rPr>
        <w:t xml:space="preserve">Comisionada </w:t>
      </w:r>
      <w:r>
        <w:rPr>
          <w:rFonts w:ascii="Palatino Linotype" w:hAnsi="Palatino Linotype"/>
          <w:b/>
          <w:lang w:val="es-ES_tradnl"/>
        </w:rPr>
        <w:t>EVA ABAID YAPUR</w:t>
      </w:r>
      <w:r>
        <w:rPr>
          <w:rFonts w:ascii="Palatino Linotype" w:hAnsi="Palatino Linotype"/>
        </w:rPr>
        <w:t>,</w:t>
      </w:r>
      <w:r>
        <w:rPr>
          <w:rFonts w:ascii="Palatino Linotype" w:hAnsi="Palatino Linotype"/>
          <w:lang w:val="es-ES_tradnl"/>
        </w:rPr>
        <w:t xml:space="preserve"> a efecto de decretar su admisión o desechamiento.</w:t>
      </w:r>
    </w:p>
    <w:p w:rsidR="009923F3" w:rsidRDefault="009923F3">
      <w:pPr>
        <w:spacing w:line="360" w:lineRule="auto"/>
        <w:ind w:right="49"/>
        <w:jc w:val="both"/>
        <w:rPr>
          <w:rFonts w:ascii="Palatino Linotype" w:hAnsi="Palatino Linotype"/>
          <w:lang w:eastAsia="es-MX"/>
        </w:rPr>
      </w:pPr>
    </w:p>
    <w:p w:rsidR="009923F3" w:rsidRDefault="0042180A">
      <w:pPr>
        <w:pStyle w:val="Piedepgina"/>
        <w:spacing w:line="360" w:lineRule="auto"/>
        <w:jc w:val="both"/>
        <w:rPr>
          <w:rFonts w:ascii="Palatino Linotype" w:hAnsi="Palatino Linotype" w:cs="Arial"/>
        </w:rPr>
      </w:pPr>
      <w:r>
        <w:rPr>
          <w:rFonts w:ascii="Palatino Linotype" w:hAnsi="Palatino Linotype" w:cs="Arial"/>
          <w:b/>
          <w:sz w:val="28"/>
        </w:rPr>
        <w:t xml:space="preserve">VII. </w:t>
      </w:r>
      <w:r>
        <w:rPr>
          <w:rFonts w:ascii="Palatino Linotype" w:hAnsi="Palatino Linotype" w:cs="Arial"/>
        </w:rPr>
        <w:t>De las constancias del expediente electrónico del</w:t>
      </w:r>
      <w:r>
        <w:rPr>
          <w:rFonts w:ascii="Palatino Linotype" w:hAnsi="Palatino Linotype" w:cs="Arial"/>
          <w:b/>
        </w:rPr>
        <w:t xml:space="preserve"> SAIMEX</w:t>
      </w:r>
      <w:r>
        <w:rPr>
          <w:rFonts w:ascii="Palatino Linotype" w:hAnsi="Palatino Linotype" w:cs="Arial"/>
        </w:rPr>
        <w:t xml:space="preserve">, se advierte que en fecha </w:t>
      </w:r>
      <w:r>
        <w:rPr>
          <w:rFonts w:ascii="Palatino Linotype" w:hAnsi="Palatino Linotype" w:cs="Arial"/>
        </w:rPr>
        <w:tab/>
        <w:t xml:space="preserve">cinco de febrero 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Pr>
          <w:rFonts w:ascii="Palatino Linotype" w:hAnsi="Palatino Linotype" w:cs="Arial"/>
          <w:b/>
        </w:rPr>
        <w:t xml:space="preserve">EL SUJETO OBLIGADO </w:t>
      </w:r>
      <w:r>
        <w:rPr>
          <w:rFonts w:ascii="Palatino Linotype" w:hAnsi="Palatino Linotype" w:cs="Arial"/>
        </w:rPr>
        <w:t>rindiera su</w:t>
      </w:r>
      <w:r>
        <w:rPr>
          <w:rFonts w:ascii="Palatino Linotype" w:hAnsi="Palatino Linotype" w:cs="Arial"/>
          <w:b/>
        </w:rPr>
        <w:t xml:space="preserve"> </w:t>
      </w:r>
      <w:r>
        <w:rPr>
          <w:rFonts w:ascii="Palatino Linotype" w:hAnsi="Palatino Linotype" w:cs="Arial"/>
        </w:rPr>
        <w:t>Informe Justificado.</w:t>
      </w:r>
    </w:p>
    <w:p w:rsidR="009923F3" w:rsidRDefault="009923F3">
      <w:pPr>
        <w:pStyle w:val="Piedepgina"/>
        <w:spacing w:line="360" w:lineRule="auto"/>
        <w:jc w:val="both"/>
        <w:rPr>
          <w:rFonts w:ascii="Palatino Linotype" w:hAnsi="Palatino Linotype" w:cs="Arial"/>
          <w:b/>
        </w:rPr>
      </w:pPr>
    </w:p>
    <w:p w:rsidR="009923F3" w:rsidRDefault="0042180A">
      <w:pPr>
        <w:spacing w:line="360" w:lineRule="auto"/>
        <w:jc w:val="both"/>
        <w:rPr>
          <w:rFonts w:ascii="Palatino Linotype" w:hAnsi="Palatino Linotype" w:cs="Arial"/>
          <w:lang w:eastAsia="en-US"/>
        </w:rPr>
      </w:pPr>
      <w:r>
        <w:rPr>
          <w:rFonts w:ascii="Palatino Linotype" w:hAnsi="Palatino Linotype" w:cs="Arial"/>
          <w:b/>
          <w:sz w:val="28"/>
        </w:rPr>
        <w:t xml:space="preserve">VIII. </w:t>
      </w:r>
      <w:r>
        <w:rPr>
          <w:rFonts w:ascii="Palatino Linotype" w:hAnsi="Palatino Linotype" w:cs="Arial"/>
          <w:lang w:eastAsia="en-US"/>
        </w:rPr>
        <w:t>En cumplimiento a lo anterior, de las constancias del expediente electrónico del</w:t>
      </w:r>
      <w:r>
        <w:rPr>
          <w:rFonts w:ascii="Palatino Linotype" w:hAnsi="Palatino Linotype" w:cs="Arial"/>
          <w:b/>
          <w:lang w:eastAsia="en-US"/>
        </w:rPr>
        <w:t xml:space="preserve"> SAIMEX</w:t>
      </w:r>
      <w:r>
        <w:rPr>
          <w:rFonts w:ascii="Palatino Linotype" w:hAnsi="Palatino Linotype" w:cs="Arial"/>
          <w:lang w:eastAsia="en-US"/>
        </w:rPr>
        <w:t xml:space="preserve">, se advierte que </w:t>
      </w:r>
      <w:r>
        <w:rPr>
          <w:rFonts w:ascii="Palatino Linotype" w:hAnsi="Palatino Linotype" w:cs="Arial"/>
          <w:b/>
          <w:lang w:eastAsia="en-US"/>
        </w:rPr>
        <w:t>EL RECURRENTE</w:t>
      </w:r>
      <w:r>
        <w:rPr>
          <w:rFonts w:ascii="Palatino Linotype" w:hAnsi="Palatino Linotype" w:cs="Arial"/>
          <w:lang w:eastAsia="en-US"/>
        </w:rPr>
        <w:t xml:space="preserve"> no presento manifestaciones y alegatos, ni ofreció los medios de prueba que a su derecho conviniera. Por su parte, </w:t>
      </w:r>
      <w:r>
        <w:rPr>
          <w:rFonts w:ascii="Palatino Linotype" w:hAnsi="Palatino Linotype" w:cs="Arial"/>
          <w:b/>
          <w:lang w:eastAsia="en-US"/>
        </w:rPr>
        <w:t xml:space="preserve">EL SUJETO </w:t>
      </w:r>
      <w:r>
        <w:rPr>
          <w:rFonts w:ascii="Palatino Linotype" w:hAnsi="Palatino Linotype" w:cs="Arial"/>
          <w:b/>
          <w:lang w:eastAsia="en-US"/>
        </w:rPr>
        <w:lastRenderedPageBreak/>
        <w:t>OBLIGADO</w:t>
      </w:r>
      <w:r>
        <w:rPr>
          <w:rFonts w:ascii="Palatino Linotype" w:hAnsi="Palatino Linotype" w:cs="Arial"/>
          <w:lang w:eastAsia="en-US"/>
        </w:rPr>
        <w:t xml:space="preserve"> fue omiso en rendir el respectivo Informe Justificado, tal y como se aprecia en la siguiente imagen: </w:t>
      </w:r>
    </w:p>
    <w:p w:rsidR="009923F3" w:rsidRDefault="0042180A">
      <w:pPr>
        <w:spacing w:line="360" w:lineRule="auto"/>
        <w:jc w:val="both"/>
        <w:rPr>
          <w:rFonts w:ascii="Palatino Linotype" w:hAnsi="Palatino Linotype" w:cs="Arial"/>
          <w:lang w:eastAsia="en-US"/>
        </w:rPr>
      </w:pPr>
      <w:r>
        <w:rPr>
          <w:noProof/>
          <w:lang w:eastAsia="es-MX"/>
        </w:rPr>
        <w:drawing>
          <wp:inline distT="0" distB="0" distL="0" distR="0">
            <wp:extent cx="5788025" cy="1526540"/>
            <wp:effectExtent l="0" t="0" r="0" b="0"/>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5"/>
                    <pic:cNvPicPr>
                      <a:picLocks noChangeAspect="1" noChangeArrowheads="1"/>
                    </pic:cNvPicPr>
                  </pic:nvPicPr>
                  <pic:blipFill>
                    <a:blip r:embed="rId10"/>
                    <a:stretch>
                      <a:fillRect/>
                    </a:stretch>
                  </pic:blipFill>
                  <pic:spPr bwMode="auto">
                    <a:xfrm>
                      <a:off x="0" y="0"/>
                      <a:ext cx="5788025" cy="1526540"/>
                    </a:xfrm>
                    <a:prstGeom prst="rect">
                      <a:avLst/>
                    </a:prstGeom>
                  </pic:spPr>
                </pic:pic>
              </a:graphicData>
            </a:graphic>
          </wp:inline>
        </w:drawing>
      </w:r>
    </w:p>
    <w:p w:rsidR="009923F3" w:rsidRDefault="0042180A">
      <w:pPr>
        <w:spacing w:line="360" w:lineRule="auto"/>
        <w:jc w:val="both"/>
        <w:rPr>
          <w:rFonts w:ascii="Palatino Linotype" w:hAnsi="Palatino Linotype"/>
          <w:szCs w:val="28"/>
        </w:rPr>
      </w:pPr>
      <w:r>
        <w:rPr>
          <w:rFonts w:ascii="Palatino Linotype" w:hAnsi="Palatino Linotype"/>
          <w:b/>
          <w:sz w:val="28"/>
          <w:szCs w:val="28"/>
        </w:rPr>
        <w:t xml:space="preserve">IX. </w:t>
      </w:r>
      <w:r>
        <w:rPr>
          <w:rFonts w:ascii="Palatino Linotype" w:hAnsi="Palatino Linotype"/>
          <w:szCs w:val="28"/>
        </w:rPr>
        <w:t>Una vez analizado el estado procesal que guarda el expediente,</w:t>
      </w:r>
      <w:r>
        <w:rPr>
          <w:rFonts w:ascii="Palatino Linotype" w:hAnsi="Palatino Linotype"/>
          <w:sz w:val="28"/>
          <w:szCs w:val="28"/>
        </w:rPr>
        <w:t xml:space="preserve"> </w:t>
      </w:r>
      <w:r>
        <w:rPr>
          <w:rFonts w:ascii="Palatino Linotype" w:hAnsi="Palatino Linotype"/>
          <w:szCs w:val="28"/>
        </w:rPr>
        <w:t xml:space="preserve">en fecha veintiocho de febrero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w:t>
      </w:r>
    </w:p>
    <w:p w:rsidR="009923F3" w:rsidRDefault="0042180A">
      <w:pPr>
        <w:pStyle w:val="Prrafodelista"/>
        <w:tabs>
          <w:tab w:val="left" w:pos="567"/>
        </w:tabs>
        <w:spacing w:before="200" w:after="200" w:line="360" w:lineRule="auto"/>
        <w:ind w:left="0"/>
        <w:jc w:val="both"/>
        <w:rPr>
          <w:rFonts w:ascii="Palatino Linotype" w:hAnsi="Palatino Linotype"/>
        </w:rPr>
      </w:pPr>
      <w:r>
        <w:rPr>
          <w:rFonts w:ascii="Palatino Linotype" w:hAnsi="Palatino Linotype"/>
          <w:b/>
          <w:sz w:val="28"/>
          <w:szCs w:val="28"/>
        </w:rPr>
        <w:t xml:space="preserve">X. </w:t>
      </w:r>
      <w:r>
        <w:rPr>
          <w:rFonts w:ascii="Palatino Linotype" w:hAnsi="Palatino Linotype"/>
        </w:rPr>
        <w:t xml:space="preserve">En fecha veinte de marzo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p>
    <w:p w:rsidR="009923F3" w:rsidRDefault="0042180A">
      <w:pPr>
        <w:jc w:val="center"/>
        <w:rPr>
          <w:rFonts w:ascii="Palatino Linotype" w:hAnsi="Palatino Linotype" w:cs="Arial"/>
          <w:b/>
          <w:bCs/>
          <w:spacing w:val="60"/>
          <w:sz w:val="28"/>
          <w:szCs w:val="28"/>
          <w:lang w:val="es-ES_tradnl"/>
        </w:rPr>
      </w:pPr>
      <w:r>
        <w:rPr>
          <w:rFonts w:ascii="Palatino Linotype" w:hAnsi="Palatino Linotype" w:cs="Arial"/>
          <w:b/>
          <w:bCs/>
          <w:spacing w:val="60"/>
          <w:sz w:val="28"/>
          <w:szCs w:val="28"/>
          <w:lang w:val="es-ES_tradnl"/>
        </w:rPr>
        <w:t>CONSIDERANDO</w:t>
      </w:r>
    </w:p>
    <w:p w:rsidR="009923F3" w:rsidRDefault="009923F3">
      <w:pPr>
        <w:jc w:val="center"/>
        <w:rPr>
          <w:rFonts w:ascii="Palatino Linotype" w:hAnsi="Palatino Linotype" w:cs="Arial"/>
          <w:b/>
          <w:bCs/>
          <w:spacing w:val="60"/>
          <w:sz w:val="28"/>
          <w:szCs w:val="28"/>
          <w:lang w:val="es-ES_tradnl"/>
        </w:rPr>
      </w:pPr>
    </w:p>
    <w:p w:rsidR="009923F3" w:rsidRDefault="0042180A">
      <w:pPr>
        <w:spacing w:line="360" w:lineRule="auto"/>
        <w:ind w:right="50"/>
        <w:jc w:val="both"/>
        <w:rPr>
          <w:rFonts w:ascii="Palatino Linotype" w:hAnsi="Palatino Linotype" w:cs="Arial"/>
          <w:b/>
        </w:rPr>
      </w:pPr>
      <w:r>
        <w:rPr>
          <w:rFonts w:ascii="Palatino Linotype" w:hAnsi="Palatino Linotype" w:cs="Arial"/>
          <w:b/>
          <w:sz w:val="28"/>
        </w:rPr>
        <w:t>PRIMERO</w:t>
      </w:r>
      <w:r>
        <w:rPr>
          <w:rFonts w:ascii="Palatino Linotype" w:hAnsi="Palatino Linotype"/>
          <w:b/>
        </w:rPr>
        <w:t xml:space="preserve"> 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w:t>
      </w:r>
      <w:r>
        <w:rPr>
          <w:rFonts w:ascii="Palatino Linotype" w:hAnsi="Palatino Linotype" w:cs="Arial"/>
        </w:rPr>
        <w:t>Transparencia</w:t>
      </w:r>
      <w:r>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w:t>
      </w:r>
      <w:r>
        <w:rPr>
          <w:rFonts w:ascii="Palatino Linotype" w:hAnsi="Palatino Linotype" w:cs="Arial"/>
        </w:rPr>
        <w:t>cuarto</w:t>
      </w:r>
      <w:r>
        <w:rPr>
          <w:rFonts w:ascii="Palatino Linotype" w:hAnsi="Palatino Linotype"/>
        </w:rPr>
        <w:t xml:space="preserve">, fracciones IV y V de </w:t>
      </w:r>
      <w:r>
        <w:rPr>
          <w:rFonts w:ascii="Palatino Linotype" w:hAnsi="Palatino Linotype"/>
        </w:rPr>
        <w:lastRenderedPageBreak/>
        <w:t>la Constitución Política del Estado Libre y Soberano de México; 1,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9923F3" w:rsidRDefault="009923F3">
      <w:pPr>
        <w:spacing w:line="360" w:lineRule="auto"/>
        <w:jc w:val="both"/>
        <w:rPr>
          <w:rFonts w:ascii="Palatino Linotype" w:hAnsi="Palatino Linotype" w:cs="Arial"/>
          <w:b/>
        </w:rPr>
      </w:pPr>
    </w:p>
    <w:p w:rsidR="009923F3" w:rsidRDefault="0042180A">
      <w:pPr>
        <w:spacing w:line="360" w:lineRule="auto"/>
        <w:jc w:val="both"/>
        <w:rPr>
          <w:rFonts w:ascii="Palatino Linotype" w:hAnsi="Palatino Linotype" w:cs="Arial"/>
          <w:b/>
        </w:rPr>
      </w:pPr>
      <w:r>
        <w:rPr>
          <w:rFonts w:ascii="Palatino Linotype" w:hAnsi="Palatino Linotype" w:cs="Arial"/>
          <w:b/>
          <w:sz w:val="28"/>
        </w:rPr>
        <w:t>SEGUNDO</w:t>
      </w:r>
      <w:r>
        <w:rPr>
          <w:rFonts w:ascii="Palatino Linotype" w:hAnsi="Palatino Linotype" w:cs="Arial"/>
          <w:b/>
        </w:rPr>
        <w:t xml:space="preserve">. Interés. </w:t>
      </w:r>
      <w:r>
        <w:rPr>
          <w:rFonts w:ascii="Palatino Linotype" w:hAnsi="Palatino Linotype" w:cs="Arial"/>
          <w:bCs/>
        </w:rPr>
        <w:t xml:space="preserve">El recurso de revisión fue interpuesto por parte legítima, en atención a que se presentó por </w:t>
      </w:r>
      <w:r>
        <w:rPr>
          <w:rFonts w:ascii="Palatino Linotype" w:hAnsi="Palatino Linotype" w:cs="Arial"/>
          <w:b/>
          <w:bCs/>
        </w:rPr>
        <w:t>EL RECURRENTE,</w:t>
      </w:r>
      <w:r>
        <w:rPr>
          <w:rFonts w:ascii="Palatino Linotype" w:hAnsi="Palatino Linotype" w:cs="Arial"/>
          <w:bCs/>
        </w:rPr>
        <w:t xml:space="preserve"> quien es la misma persona que formuló la solicitud de acceso a la información pública al </w:t>
      </w:r>
      <w:r>
        <w:rPr>
          <w:rFonts w:ascii="Palatino Linotype" w:hAnsi="Palatino Linotype" w:cs="Arial"/>
          <w:b/>
          <w:bCs/>
        </w:rPr>
        <w:t>SUJETO OBLIGADO.</w:t>
      </w:r>
    </w:p>
    <w:p w:rsidR="009923F3" w:rsidRDefault="009923F3">
      <w:pPr>
        <w:spacing w:line="360" w:lineRule="auto"/>
        <w:jc w:val="both"/>
        <w:rPr>
          <w:rFonts w:ascii="Palatino Linotype" w:hAnsi="Palatino Linotype" w:cs="Arial"/>
          <w:b/>
          <w:szCs w:val="28"/>
        </w:rPr>
      </w:pPr>
    </w:p>
    <w:p w:rsidR="009923F3" w:rsidRDefault="0042180A">
      <w:pPr>
        <w:pStyle w:val="Prrafodelista"/>
        <w:spacing w:line="360" w:lineRule="auto"/>
        <w:ind w:left="0" w:right="49"/>
        <w:jc w:val="both"/>
        <w:rPr>
          <w:rFonts w:ascii="Palatino Linotype" w:hAnsi="Palatino Linotype" w:cs="Arial"/>
        </w:rPr>
      </w:pPr>
      <w:r>
        <w:rPr>
          <w:rFonts w:ascii="Palatino Linotype" w:hAnsi="Palatino Linotype" w:cs="Arial"/>
          <w:b/>
          <w:sz w:val="28"/>
          <w:szCs w:val="28"/>
        </w:rPr>
        <w:t xml:space="preserve">TERCERO. </w:t>
      </w: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 xml:space="preserve">EL RECURRENTE </w:t>
      </w:r>
      <w:r>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9923F3" w:rsidRDefault="009923F3">
      <w:pPr>
        <w:ind w:left="851" w:right="902"/>
        <w:jc w:val="both"/>
        <w:rPr>
          <w:rFonts w:ascii="Palatino Linotype" w:eastAsiaTheme="minorEastAsia" w:hAnsi="Palatino Linotype" w:cs="Arial"/>
          <w:szCs w:val="20"/>
          <w:lang w:val="es-ES_tradnl"/>
        </w:rPr>
      </w:pPr>
    </w:p>
    <w:p w:rsidR="009923F3" w:rsidRDefault="0042180A">
      <w:pPr>
        <w:tabs>
          <w:tab w:val="left" w:pos="8222"/>
        </w:tabs>
        <w:ind w:left="851" w:right="899"/>
        <w:jc w:val="both"/>
        <w:rPr>
          <w:rFonts w:ascii="Palatino Linotype" w:eastAsiaTheme="minorEastAsia" w:hAnsi="Palatino Linotype" w:cs="Arial"/>
          <w:i/>
          <w:sz w:val="22"/>
          <w:szCs w:val="22"/>
          <w:lang w:val="es-ES_tradnl"/>
        </w:rPr>
      </w:pPr>
      <w:r>
        <w:rPr>
          <w:rFonts w:ascii="Palatino Linotype" w:eastAsiaTheme="minorEastAsia" w:hAnsi="Palatino Linotype" w:cs="Arial"/>
          <w:b/>
          <w:i/>
          <w:sz w:val="22"/>
          <w:szCs w:val="22"/>
          <w:lang w:val="es-ES_tradnl"/>
        </w:rPr>
        <w:t>“Artículo 178.</w:t>
      </w:r>
      <w:r>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923F3" w:rsidRDefault="0042180A">
      <w:pPr>
        <w:tabs>
          <w:tab w:val="left" w:pos="8222"/>
        </w:tabs>
        <w:ind w:left="851" w:right="899"/>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923F3" w:rsidRDefault="0042180A">
      <w:pPr>
        <w:tabs>
          <w:tab w:val="left" w:pos="8222"/>
        </w:tabs>
        <w:ind w:left="851" w:right="899"/>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lastRenderedPageBreak/>
        <w:t>En el caso de que se interponga ante la Unidad de Transparencia, ésta deberá remitir el recurso de revisión al Instituto a más tardar al día siguiente de haberlo recibido.</w:t>
      </w:r>
      <w:r>
        <w:rPr>
          <w:rFonts w:ascii="Palatino Linotype" w:eastAsiaTheme="minorEastAsia" w:hAnsi="Palatino Linotype" w:cs="Arial"/>
          <w:b/>
          <w:i/>
          <w:sz w:val="22"/>
          <w:szCs w:val="22"/>
          <w:lang w:val="es-ES_tradnl"/>
        </w:rPr>
        <w:t>”</w:t>
      </w:r>
    </w:p>
    <w:p w:rsidR="009923F3" w:rsidRDefault="009923F3">
      <w:pPr>
        <w:ind w:left="851" w:right="902"/>
        <w:jc w:val="both"/>
        <w:rPr>
          <w:rFonts w:ascii="Palatino Linotype" w:eastAsiaTheme="minorEastAsia" w:hAnsi="Palatino Linotype" w:cs="Arial"/>
          <w:szCs w:val="20"/>
          <w:lang w:val="es-ES_tradnl"/>
        </w:rPr>
      </w:pPr>
    </w:p>
    <w:p w:rsidR="009923F3" w:rsidRDefault="0042180A">
      <w:pPr>
        <w:spacing w:line="360" w:lineRule="auto"/>
        <w:jc w:val="both"/>
        <w:rPr>
          <w:rFonts w:ascii="Palatino Linotype" w:hAnsi="Palatino Linotype" w:cs="Arial"/>
        </w:rPr>
      </w:pPr>
      <w:r>
        <w:rPr>
          <w:rFonts w:ascii="Palatino Linotype" w:eastAsiaTheme="minorEastAsia" w:hAnsi="Palatino Linotype" w:cs="Arial"/>
          <w:lang w:val="es-ES_tradnl"/>
        </w:rPr>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 </w:t>
      </w:r>
      <w:r>
        <w:rPr>
          <w:rFonts w:ascii="Palatino Linotype" w:hAnsi="Palatino Linotype"/>
          <w:b/>
        </w:rPr>
        <w:t>veinticuatro de enero de dos mil veinte</w:t>
      </w:r>
      <w:r>
        <w:rPr>
          <w:rFonts w:ascii="Palatino Linotype" w:eastAsiaTheme="minorEastAsia" w:hAnsi="Palatino Linotype" w:cs="Arial"/>
          <w:b/>
          <w:lang w:val="es-ES_tradnl"/>
        </w:rPr>
        <w:t xml:space="preserve">; </w:t>
      </w:r>
      <w:r>
        <w:rPr>
          <w:rFonts w:ascii="Palatino Linotype" w:hAnsi="Palatino Linotype" w:cs="Arial"/>
        </w:rPr>
        <w:t xml:space="preserve">en consecuencia, el plazo de quince días hábiles que el artículo 178 de la ley de la materia otorga al </w:t>
      </w:r>
      <w:r>
        <w:rPr>
          <w:rFonts w:ascii="Palatino Linotype" w:hAnsi="Palatino Linotype" w:cs="Arial"/>
          <w:b/>
        </w:rPr>
        <w:t>RECURRENTE</w:t>
      </w:r>
      <w:r>
        <w:rPr>
          <w:rFonts w:ascii="Palatino Linotype" w:hAnsi="Palatino Linotype" w:cs="Arial"/>
        </w:rPr>
        <w:t xml:space="preserve"> para presentar el recurso de revisión, </w:t>
      </w:r>
      <w:r>
        <w:rPr>
          <w:rFonts w:ascii="Palatino Linotype" w:hAnsi="Palatino Linotype" w:cs="Arial"/>
          <w:bCs/>
        </w:rPr>
        <w:t xml:space="preserve">transcurrió del </w:t>
      </w:r>
      <w:r>
        <w:rPr>
          <w:rFonts w:ascii="Palatino Linotype" w:hAnsi="Palatino Linotype" w:cs="Arial"/>
          <w:b/>
          <w:bCs/>
        </w:rPr>
        <w:t xml:space="preserve">veintisiete de enero al diecisiete de febrero de </w:t>
      </w:r>
      <w:r>
        <w:rPr>
          <w:rFonts w:ascii="Palatino Linotype" w:hAnsi="Palatino Linotype" w:cs="Arial"/>
          <w:b/>
        </w:rPr>
        <w:t xml:space="preserve">dos mil veinte; </w:t>
      </w:r>
      <w:r>
        <w:rPr>
          <w:rFonts w:ascii="Palatino Linotype" w:hAnsi="Palatino Linotype" w:cs="Arial"/>
        </w:rPr>
        <w:t>sin contemplar en el cómputo los días</w:t>
      </w:r>
      <w:r>
        <w:rPr>
          <w:rFonts w:ascii="Palatino Linotype" w:hAnsi="Palatino Linotype" w:cs="Arial"/>
          <w:lang w:val="es-ES_tradnl"/>
        </w:rPr>
        <w:t xml:space="preserve"> veinticinco, veintiséis de enero, uno, dos, ocho, nueve, quince y dieciséis </w:t>
      </w:r>
      <w:r>
        <w:rPr>
          <w:rFonts w:ascii="Palatino Linotype" w:hAnsi="Palatino Linotype" w:cs="Arial"/>
        </w:rPr>
        <w:t xml:space="preserve">de febrero de dos mil veinte, por corresponder a sábados y domingos, considerados como días inhábiles; en términos del artículo 3, fracción X de la </w:t>
      </w:r>
      <w:r>
        <w:rPr>
          <w:rFonts w:ascii="Palatino Linotype" w:hAnsi="Palatino Linotype"/>
        </w:rPr>
        <w:t>Ley de Transparencia y Acceso a la Información Pública del Estado de México y Municipios</w:t>
      </w:r>
      <w:r>
        <w:rPr>
          <w:rFonts w:ascii="Palatino Linotype" w:hAnsi="Palatino Linotype" w:cs="Arial"/>
        </w:rPr>
        <w:t>; así como el tres de febrero de dos mil veinte por ser considerado como suspensión de labores, de conformidad con el Calendario Oficial en Materia de Transparencia, Acceso a la Información Pública y Protección de Datos Personales para el año dos mil diecinueve y enero dos mil veinte, aprobado por el Pleno de este Instituto, el diecinueve de diciembre de dos mil dieciocho.</w:t>
      </w:r>
    </w:p>
    <w:p w:rsidR="009923F3" w:rsidRDefault="009923F3">
      <w:pPr>
        <w:spacing w:line="360" w:lineRule="auto"/>
        <w:jc w:val="both"/>
        <w:rPr>
          <w:rFonts w:ascii="Palatino Linotype" w:eastAsiaTheme="minorEastAsia" w:hAnsi="Palatino Linotype" w:cs="Arial"/>
          <w:lang w:val="es-ES_tradnl"/>
        </w:rPr>
      </w:pPr>
    </w:p>
    <w:p w:rsidR="009923F3" w:rsidRDefault="0042180A">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veintinueve de enero de dos mil veinte,</w:t>
      </w:r>
      <w:r>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9923F3" w:rsidRDefault="009923F3">
      <w:pPr>
        <w:spacing w:line="360" w:lineRule="auto"/>
        <w:jc w:val="both"/>
        <w:rPr>
          <w:rFonts w:ascii="Palatino Linotype" w:hAnsi="Palatino Linotype" w:cs="Arial"/>
        </w:rPr>
      </w:pPr>
    </w:p>
    <w:p w:rsidR="009923F3" w:rsidRDefault="0042180A">
      <w:pPr>
        <w:spacing w:line="360" w:lineRule="auto"/>
        <w:ind w:right="49"/>
        <w:jc w:val="both"/>
        <w:rPr>
          <w:rFonts w:ascii="Palatino Linotype" w:hAnsi="Palatino Linotype" w:cs="Arial"/>
          <w:lang w:eastAsia="es-MX"/>
        </w:rPr>
      </w:pPr>
      <w:r>
        <w:rPr>
          <w:rFonts w:ascii="Palatino Linotype" w:hAnsi="Palatino Linotype"/>
          <w:b/>
          <w:sz w:val="28"/>
          <w:szCs w:val="20"/>
          <w:lang w:val="es-ES_tradnl"/>
        </w:rPr>
        <w:t xml:space="preserve">CUARTO. </w:t>
      </w:r>
      <w:r>
        <w:rPr>
          <w:rFonts w:ascii="Palatino Linotype" w:hAnsi="Palatino Linotype"/>
          <w:b/>
        </w:rPr>
        <w:t xml:space="preserve">Procedibilidad. </w:t>
      </w:r>
      <w:r>
        <w:rPr>
          <w:rFonts w:ascii="Palatino Linotype" w:hAnsi="Palatino Linotype" w:cs="Arial"/>
        </w:rPr>
        <w:t xml:space="preserve">Del análisis efectuado, se advierte la </w:t>
      </w:r>
      <w:proofErr w:type="spellStart"/>
      <w:r>
        <w:rPr>
          <w:rFonts w:ascii="Palatino Linotype" w:hAnsi="Palatino Linotype" w:cs="Arial"/>
        </w:rPr>
        <w:t>procedibilidad</w:t>
      </w:r>
      <w:proofErr w:type="spellEnd"/>
      <w:r>
        <w:rPr>
          <w:rFonts w:ascii="Palatino Linotype" w:hAnsi="Palatino Linotype" w:cs="Arial"/>
        </w:rPr>
        <w:t xml:space="preserve"> del presente recurso de revisión, en razón de acreditación plena de todos y cada uno de los elementos formales exigidos por el artículo 180 de la </w:t>
      </w:r>
      <w:r>
        <w:rPr>
          <w:rFonts w:ascii="Palatino Linotype" w:hAnsi="Palatino Linotype" w:cs="Arial"/>
          <w:lang w:eastAsia="es-MX"/>
        </w:rPr>
        <w:t xml:space="preserve">Ley de Transparencia y Acceso </w:t>
      </w:r>
      <w:r>
        <w:rPr>
          <w:rFonts w:ascii="Palatino Linotype" w:hAnsi="Palatino Linotype" w:cs="Arial"/>
          <w:lang w:eastAsia="es-MX"/>
        </w:rPr>
        <w:lastRenderedPageBreak/>
        <w:t xml:space="preserve">a la </w:t>
      </w:r>
      <w:r>
        <w:rPr>
          <w:rFonts w:ascii="Palatino Linotype" w:hAnsi="Palatino Linotype" w:cs="Arial"/>
        </w:rPr>
        <w:t>Información</w:t>
      </w:r>
      <w:r>
        <w:rPr>
          <w:rFonts w:ascii="Palatino Linotype" w:hAnsi="Palatino Linotype" w:cs="Arial"/>
          <w:lang w:eastAsia="es-MX"/>
        </w:rPr>
        <w:t xml:space="preserve"> Pública del Estado de México y Municipios, en atención a que fue presentado mediante el formato visible en el </w:t>
      </w:r>
      <w:r>
        <w:rPr>
          <w:rFonts w:ascii="Palatino Linotype" w:hAnsi="Palatino Linotype" w:cs="Arial"/>
          <w:b/>
          <w:lang w:eastAsia="es-MX"/>
        </w:rPr>
        <w:t>SAIMEX</w:t>
      </w:r>
      <w:r>
        <w:rPr>
          <w:rFonts w:ascii="Palatino Linotype" w:hAnsi="Palatino Linotype" w:cs="Arial"/>
          <w:lang w:eastAsia="es-MX"/>
        </w:rPr>
        <w:t xml:space="preserve">. </w:t>
      </w:r>
    </w:p>
    <w:p w:rsidR="009923F3" w:rsidRDefault="009923F3">
      <w:pPr>
        <w:spacing w:line="360" w:lineRule="auto"/>
        <w:ind w:right="49"/>
        <w:jc w:val="both"/>
        <w:rPr>
          <w:rFonts w:ascii="Palatino Linotype" w:hAnsi="Palatino Linotype" w:cs="Arial"/>
        </w:rPr>
      </w:pPr>
    </w:p>
    <w:p w:rsidR="009923F3" w:rsidRDefault="0042180A">
      <w:pPr>
        <w:spacing w:line="360" w:lineRule="auto"/>
        <w:jc w:val="both"/>
        <w:rPr>
          <w:rFonts w:ascii="Palatino Linotype" w:hAnsi="Palatino Linotype" w:cs="Arial"/>
        </w:rPr>
      </w:pPr>
      <w:r>
        <w:rPr>
          <w:rFonts w:ascii="Palatino Linotype" w:hAnsi="Palatino Linotype" w:cs="Arial"/>
          <w:b/>
          <w:sz w:val="28"/>
          <w:szCs w:val="28"/>
        </w:rPr>
        <w:t>QUINTO</w:t>
      </w:r>
      <w:r>
        <w:rPr>
          <w:rFonts w:ascii="Palatino Linotype" w:hAnsi="Palatino Linotype" w:cs="Arial"/>
          <w:b/>
        </w:rPr>
        <w:t xml:space="preserve">. </w:t>
      </w:r>
      <w:r>
        <w:rPr>
          <w:rFonts w:ascii="Palatino Linotype" w:eastAsiaTheme="minorEastAsia" w:hAnsi="Palatino Linotype" w:cs="Arial"/>
          <w:b/>
          <w:lang w:val="es-ES_tradnl"/>
        </w:rPr>
        <w:t>Estudio y resolución del asunto</w:t>
      </w:r>
      <w:r>
        <w:rPr>
          <w:rFonts w:ascii="Palatino Linotype" w:eastAsiaTheme="minorEastAsia" w:hAnsi="Palatino Linotype" w:cstheme="minorBidi"/>
          <w:b/>
          <w:lang w:val="es-ES_tradnl"/>
        </w:rPr>
        <w:t xml:space="preserve">. </w:t>
      </w:r>
      <w:r>
        <w:rPr>
          <w:rFonts w:ascii="Palatino Linotype" w:hAnsi="Palatino Linotype" w:cs="Arial"/>
        </w:rPr>
        <w:t xml:space="preserve">Una vez determinada la vía sobre la que versará el presente recurso y previa revisión del expediente electrónico, se advierte que </w:t>
      </w:r>
      <w:r>
        <w:rPr>
          <w:rFonts w:ascii="Palatino Linotype" w:hAnsi="Palatino Linotype" w:cs="Arial"/>
          <w:b/>
        </w:rPr>
        <w:t>EL RECURRENTE</w:t>
      </w:r>
      <w:r>
        <w:rPr>
          <w:rFonts w:ascii="Palatino Linotype" w:hAnsi="Palatino Linotype" w:cs="Arial"/>
        </w:rPr>
        <w:t xml:space="preserve"> solicitó del </w:t>
      </w:r>
      <w:r>
        <w:rPr>
          <w:rFonts w:ascii="Palatino Linotype" w:hAnsi="Palatino Linotype" w:cs="Arial"/>
          <w:b/>
        </w:rPr>
        <w:t>SUJETO OBLIGADO</w:t>
      </w:r>
      <w:r>
        <w:rPr>
          <w:rFonts w:ascii="Palatino Linotype" w:hAnsi="Palatino Linotype" w:cs="Arial"/>
        </w:rPr>
        <w:t xml:space="preserve">, vía </w:t>
      </w:r>
      <w:r>
        <w:rPr>
          <w:rFonts w:ascii="Palatino Linotype" w:hAnsi="Palatino Linotype" w:cs="Arial"/>
          <w:b/>
        </w:rPr>
        <w:t>EL SAIMEX</w:t>
      </w:r>
      <w:r>
        <w:rPr>
          <w:rFonts w:ascii="Palatino Linotype" w:hAnsi="Palatino Linotype" w:cs="Arial"/>
        </w:rPr>
        <w:t xml:space="preserve">, las facturas en versión pública de todos los gasto del primer informe de gobierno y del festival cultural. </w:t>
      </w:r>
    </w:p>
    <w:p w:rsidR="009923F3" w:rsidRDefault="009923F3">
      <w:pPr>
        <w:spacing w:line="360" w:lineRule="auto"/>
        <w:jc w:val="both"/>
        <w:rPr>
          <w:rFonts w:ascii="Palatino Linotype" w:hAnsi="Palatino Linotype" w:cs="Arial"/>
        </w:rPr>
      </w:pPr>
    </w:p>
    <w:p w:rsidR="009923F3" w:rsidRDefault="0042180A">
      <w:pPr>
        <w:spacing w:line="360" w:lineRule="auto"/>
        <w:jc w:val="both"/>
        <w:rPr>
          <w:rFonts w:ascii="Palatino Linotype" w:hAnsi="Palatino Linotype"/>
          <w:color w:val="222222"/>
          <w:lang w:eastAsia="es-MX"/>
        </w:rPr>
      </w:pPr>
      <w:r>
        <w:rPr>
          <w:rFonts w:ascii="Palatino Linotype" w:hAnsi="Palatino Linotype"/>
          <w:color w:val="222222"/>
          <w:lang w:eastAsia="es-MX"/>
        </w:rPr>
        <w:t xml:space="preserve">Al respecto, </w:t>
      </w:r>
      <w:r>
        <w:rPr>
          <w:rFonts w:ascii="Palatino Linotype" w:hAnsi="Palatino Linotype"/>
          <w:b/>
          <w:color w:val="222222"/>
          <w:lang w:eastAsia="es-MX"/>
        </w:rPr>
        <w:t>EL SUJETO OBLIGADO</w:t>
      </w:r>
      <w:r>
        <w:rPr>
          <w:rFonts w:ascii="Palatino Linotype" w:hAnsi="Palatino Linotype"/>
          <w:color w:val="222222"/>
          <w:lang w:eastAsia="es-MX"/>
        </w:rPr>
        <w:t xml:space="preserve"> señaló en su respuesta que de conformidad con el Oficio número OSFEM/UAJ/DJC/DCOP/REQ/199/19 el Órgano Superior de Fiscalización del Estado de México emitió requerimiento para el cumplimiento en tiempo y forma de las obligaciones periódicas del ejercicio 2019, en donde se estableció el calendario de fechas de vencimiento para la presentación de los informes mensuales municipales de abril a diciembre de 2019; por lo que el informe correspondiente del mes de diciembre 2019 tiene fecha de entrega en febrero 2020 y en atención a ello es que dicho Ayuntamiento se encuentra realizando las acciones pertinentes a efecto de integrar dicho informe; aunado a ello, manifestó que la información solicitada forma parte del informe mensual de diciembre de 2019 que debe entregar al Órgano Superior de Fiscalización del Estado de México en febrero de 2020; por lo que concluyó que la información requerida aún no era posible proporcionarla, debido a que forma parte del informe mensual correspondiente al mes de diciembre de 2019, que debe entregarse al Órgano Superior de Fiscalización del Estado de México en el mes de febrero de 2020.</w:t>
      </w:r>
    </w:p>
    <w:p w:rsidR="009923F3" w:rsidRDefault="009923F3">
      <w:pPr>
        <w:spacing w:line="360" w:lineRule="auto"/>
        <w:jc w:val="both"/>
        <w:rPr>
          <w:rFonts w:ascii="Palatino Linotype" w:hAnsi="Palatino Linotype"/>
          <w:color w:val="222222"/>
          <w:lang w:eastAsia="es-MX"/>
        </w:rPr>
      </w:pPr>
    </w:p>
    <w:p w:rsidR="009923F3" w:rsidRDefault="0042180A">
      <w:pPr>
        <w:spacing w:line="360" w:lineRule="auto"/>
        <w:jc w:val="both"/>
        <w:rPr>
          <w:rFonts w:ascii="Palatino Linotype" w:hAnsi="Palatino Linotype"/>
          <w:color w:val="222222"/>
          <w:lang w:eastAsia="es-MX"/>
        </w:rPr>
      </w:pPr>
      <w:r>
        <w:rPr>
          <w:rFonts w:ascii="Palatino Linotype" w:hAnsi="Palatino Linotype"/>
          <w:color w:val="222222"/>
          <w:lang w:eastAsia="es-MX"/>
        </w:rPr>
        <w:lastRenderedPageBreak/>
        <w:t xml:space="preserve">Inconforme con la respuesta otorgada por </w:t>
      </w:r>
      <w:r>
        <w:rPr>
          <w:rFonts w:ascii="Palatino Linotype" w:hAnsi="Palatino Linotype"/>
          <w:b/>
          <w:color w:val="222222"/>
          <w:lang w:eastAsia="es-MX"/>
        </w:rPr>
        <w:t>EL SUJETO OBLIGADO</w:t>
      </w:r>
      <w:r>
        <w:rPr>
          <w:rFonts w:ascii="Palatino Linotype" w:hAnsi="Palatino Linotype"/>
          <w:color w:val="222222"/>
          <w:lang w:eastAsia="es-MX"/>
        </w:rPr>
        <w:t xml:space="preserve">, </w:t>
      </w:r>
      <w:r>
        <w:rPr>
          <w:rFonts w:ascii="Palatino Linotype" w:hAnsi="Palatino Linotype"/>
          <w:b/>
          <w:color w:val="222222"/>
          <w:lang w:eastAsia="es-MX"/>
        </w:rPr>
        <w:t>EL RECURRENTE</w:t>
      </w:r>
      <w:r>
        <w:rPr>
          <w:rFonts w:ascii="Palatino Linotype" w:hAnsi="Palatino Linotype"/>
          <w:color w:val="222222"/>
          <w:lang w:eastAsia="es-MX"/>
        </w:rPr>
        <w:t xml:space="preserve"> interpuso el presente medio de impugnación e indicó como acto impugnado y razones o motivos de inconformidad que no le fue proporcionada la información que solicitó. </w:t>
      </w:r>
    </w:p>
    <w:p w:rsidR="009923F3" w:rsidRDefault="009923F3">
      <w:pPr>
        <w:spacing w:line="360" w:lineRule="auto"/>
        <w:jc w:val="both"/>
        <w:rPr>
          <w:rFonts w:ascii="Palatino Linotype" w:hAnsi="Palatino Linotype"/>
          <w:color w:val="222222"/>
          <w:lang w:eastAsia="es-MX"/>
        </w:rPr>
      </w:pPr>
    </w:p>
    <w:p w:rsidR="009923F3" w:rsidRDefault="0042180A">
      <w:pPr>
        <w:spacing w:line="360" w:lineRule="auto"/>
        <w:jc w:val="both"/>
        <w:rPr>
          <w:rFonts w:ascii="Palatino Linotype" w:hAnsi="Palatino Linotype"/>
          <w:color w:val="222222"/>
          <w:lang w:eastAsia="es-MX"/>
        </w:rPr>
      </w:pPr>
      <w:r>
        <w:rPr>
          <w:rFonts w:ascii="Palatino Linotype" w:hAnsi="Palatino Linotype"/>
          <w:color w:val="222222"/>
          <w:lang w:eastAsia="es-MX"/>
        </w:rPr>
        <w:t xml:space="preserve">Asimismo, </w:t>
      </w:r>
      <w:r>
        <w:rPr>
          <w:rFonts w:ascii="Palatino Linotype" w:hAnsi="Palatino Linotype"/>
          <w:b/>
          <w:color w:val="222222"/>
          <w:lang w:eastAsia="es-MX"/>
        </w:rPr>
        <w:t>EL RECURRENTE</w:t>
      </w:r>
      <w:r>
        <w:rPr>
          <w:rFonts w:ascii="Palatino Linotype" w:hAnsi="Palatino Linotype"/>
          <w:color w:val="222222"/>
          <w:lang w:eastAsia="es-MX"/>
        </w:rPr>
        <w:t xml:space="preserve"> manifestó: </w:t>
      </w:r>
      <w:r>
        <w:rPr>
          <w:rFonts w:ascii="Palatino Linotype" w:hAnsi="Palatino Linotype"/>
          <w:i/>
          <w:color w:val="222222"/>
          <w:lang w:eastAsia="es-MX"/>
        </w:rPr>
        <w:t xml:space="preserve">“Su </w:t>
      </w:r>
      <w:proofErr w:type="spellStart"/>
      <w:r>
        <w:rPr>
          <w:rFonts w:ascii="Palatino Linotype" w:hAnsi="Palatino Linotype"/>
          <w:i/>
          <w:color w:val="222222"/>
          <w:lang w:eastAsia="es-MX"/>
        </w:rPr>
        <w:t>fundamentacion</w:t>
      </w:r>
      <w:proofErr w:type="spellEnd"/>
      <w:r>
        <w:rPr>
          <w:rFonts w:ascii="Palatino Linotype" w:hAnsi="Palatino Linotype"/>
          <w:i/>
          <w:color w:val="222222"/>
          <w:lang w:eastAsia="es-MX"/>
        </w:rPr>
        <w:t xml:space="preserve"> y motivación es </w:t>
      </w:r>
      <w:r>
        <w:rPr>
          <w:rFonts w:ascii="Palatino Linotype" w:hAnsi="Palatino Linotype"/>
          <w:i/>
          <w:color w:val="222222"/>
          <w:u w:val="single"/>
          <w:lang w:eastAsia="es-MX"/>
        </w:rPr>
        <w:t>incongruente</w:t>
      </w:r>
      <w:r>
        <w:rPr>
          <w:rFonts w:ascii="Palatino Linotype" w:hAnsi="Palatino Linotype"/>
          <w:i/>
          <w:color w:val="222222"/>
          <w:lang w:eastAsia="es-MX"/>
        </w:rPr>
        <w:t>” (Sic)</w:t>
      </w:r>
      <w:r>
        <w:rPr>
          <w:rFonts w:ascii="Palatino Linotype" w:hAnsi="Palatino Linotype"/>
          <w:color w:val="222222"/>
          <w:lang w:eastAsia="es-MX"/>
        </w:rPr>
        <w:t>; expresión que, en este acto, se declaran inatendibles por este Instituto, primeramente, constituyen un Derecho a la Libre Expresión, debido a que es inviolable la libertad de difundir opiniones, información e ideas a través de cualquier medio.</w:t>
      </w:r>
    </w:p>
    <w:p w:rsidR="009923F3" w:rsidRDefault="009923F3">
      <w:pPr>
        <w:spacing w:line="360" w:lineRule="auto"/>
        <w:jc w:val="both"/>
        <w:rPr>
          <w:rFonts w:ascii="Palatino Linotype" w:hAnsi="Palatino Linotype"/>
          <w:color w:val="222222"/>
          <w:lang w:eastAsia="es-MX"/>
        </w:rPr>
      </w:pPr>
    </w:p>
    <w:p w:rsidR="009923F3" w:rsidRDefault="0042180A">
      <w:pPr>
        <w:spacing w:line="360" w:lineRule="auto"/>
        <w:jc w:val="both"/>
        <w:rPr>
          <w:rFonts w:ascii="Palatino Linotype" w:hAnsi="Palatino Linotype"/>
          <w:color w:val="222222"/>
          <w:lang w:eastAsia="es-MX"/>
        </w:rPr>
      </w:pPr>
      <w:r>
        <w:rPr>
          <w:rFonts w:ascii="Palatino Linotype" w:hAnsi="Palatino Linotype"/>
          <w:color w:val="222222"/>
          <w:lang w:eastAsia="es-MX"/>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9923F3" w:rsidRDefault="009923F3">
      <w:pPr>
        <w:spacing w:line="360" w:lineRule="auto"/>
        <w:jc w:val="both"/>
        <w:rPr>
          <w:rFonts w:ascii="Palatino Linotype" w:hAnsi="Palatino Linotype"/>
          <w:color w:val="222222"/>
          <w:lang w:eastAsia="es-MX"/>
        </w:rPr>
      </w:pPr>
    </w:p>
    <w:p w:rsidR="009923F3" w:rsidRDefault="0042180A">
      <w:pPr>
        <w:spacing w:line="360" w:lineRule="auto"/>
        <w:jc w:val="both"/>
        <w:rPr>
          <w:rFonts w:ascii="Palatino Linotype" w:hAnsi="Palatino Linotype"/>
          <w:color w:val="222222"/>
          <w:lang w:eastAsia="es-MX"/>
        </w:rPr>
      </w:pPr>
      <w:r>
        <w:rPr>
          <w:rFonts w:ascii="Palatino Linotype" w:hAnsi="Palatino Linotype"/>
          <w:color w:val="222222"/>
          <w:lang w:eastAsia="es-MX"/>
        </w:rPr>
        <w:t xml:space="preserve">Ahora bien, de las constancias que obran en el </w:t>
      </w:r>
      <w:r>
        <w:rPr>
          <w:rFonts w:ascii="Palatino Linotype" w:hAnsi="Palatino Linotype"/>
          <w:b/>
          <w:color w:val="222222"/>
          <w:lang w:eastAsia="es-MX"/>
        </w:rPr>
        <w:t>SAIMEX</w:t>
      </w:r>
      <w:r>
        <w:rPr>
          <w:rFonts w:ascii="Palatino Linotype" w:hAnsi="Palatino Linotype"/>
          <w:color w:val="222222"/>
          <w:lang w:eastAsia="es-MX"/>
        </w:rPr>
        <w:t xml:space="preserve">, se advierte que </w:t>
      </w:r>
      <w:r>
        <w:rPr>
          <w:rFonts w:ascii="Palatino Linotype" w:hAnsi="Palatino Linotype"/>
          <w:b/>
          <w:color w:val="222222"/>
          <w:lang w:eastAsia="es-MX"/>
        </w:rPr>
        <w:t>EL RECURRENTE</w:t>
      </w:r>
      <w:r>
        <w:rPr>
          <w:rFonts w:ascii="Palatino Linotype" w:hAnsi="Palatino Linotype"/>
          <w:color w:val="222222"/>
          <w:lang w:eastAsia="es-MX"/>
        </w:rPr>
        <w:t xml:space="preserve"> no realizó manifestaciones o alegatos, ni ofreció los medios de prueba </w:t>
      </w:r>
      <w:r>
        <w:rPr>
          <w:rFonts w:ascii="Palatino Linotype" w:hAnsi="Palatino Linotype"/>
          <w:color w:val="222222"/>
          <w:lang w:eastAsia="es-MX"/>
        </w:rPr>
        <w:lastRenderedPageBreak/>
        <w:t xml:space="preserve">que a su derecho conviniera, mientras que </w:t>
      </w:r>
      <w:r>
        <w:rPr>
          <w:rFonts w:ascii="Palatino Linotype" w:hAnsi="Palatino Linotype"/>
          <w:b/>
          <w:color w:val="222222"/>
          <w:lang w:eastAsia="es-MX"/>
        </w:rPr>
        <w:t>EL SUJETO OBLIGADO</w:t>
      </w:r>
      <w:r>
        <w:rPr>
          <w:rFonts w:ascii="Palatino Linotype" w:hAnsi="Palatino Linotype"/>
          <w:color w:val="222222"/>
          <w:lang w:eastAsia="es-MX"/>
        </w:rPr>
        <w:t>, tampoco exhibió el Informe Justificado correspondiente.</w:t>
      </w:r>
    </w:p>
    <w:p w:rsidR="009923F3" w:rsidRDefault="0042180A">
      <w:pPr>
        <w:pStyle w:val="Prrafodelista"/>
        <w:widowControl w:val="0"/>
        <w:tabs>
          <w:tab w:val="left" w:pos="1276"/>
        </w:tabs>
        <w:spacing w:before="240" w:after="240" w:line="360" w:lineRule="auto"/>
        <w:ind w:left="0"/>
        <w:contextualSpacing/>
        <w:jc w:val="both"/>
        <w:rPr>
          <w:rFonts w:ascii="Palatino Linotype" w:hAnsi="Palatino Linotype"/>
          <w:color w:val="222222"/>
          <w:lang w:eastAsia="es-MX"/>
        </w:rPr>
      </w:pPr>
      <w:r>
        <w:rPr>
          <w:rFonts w:ascii="Palatino Linotype" w:hAnsi="Palatino Linotype"/>
          <w:color w:val="222222"/>
          <w:lang w:eastAsia="es-MX"/>
        </w:rPr>
        <w:t xml:space="preserve">Bajo ese contexto, este Instituto analizó la totalidad de constancias que integran el expediente electrónico del </w:t>
      </w:r>
      <w:r>
        <w:rPr>
          <w:rFonts w:ascii="Palatino Linotype" w:hAnsi="Palatino Linotype"/>
          <w:b/>
          <w:color w:val="222222"/>
          <w:lang w:eastAsia="es-MX"/>
        </w:rPr>
        <w:t>SAIMEX</w:t>
      </w:r>
      <w:r>
        <w:rPr>
          <w:rFonts w:ascii="Palatino Linotype" w:hAnsi="Palatino Linotype"/>
          <w:color w:val="222222"/>
          <w:lang w:eastAsia="es-MX"/>
        </w:rPr>
        <w:t xml:space="preserve"> y advirtió que las razones o motivos de inconformidad hechos valer por </w:t>
      </w:r>
      <w:r>
        <w:rPr>
          <w:rFonts w:ascii="Palatino Linotype" w:hAnsi="Palatino Linotype"/>
          <w:b/>
          <w:color w:val="222222"/>
          <w:lang w:eastAsia="es-MX"/>
        </w:rPr>
        <w:t>EL RECURRENTE</w:t>
      </w:r>
      <w:r>
        <w:rPr>
          <w:rFonts w:ascii="Palatino Linotype" w:hAnsi="Palatino Linotype"/>
          <w:color w:val="222222"/>
          <w:lang w:eastAsia="es-MX"/>
        </w:rPr>
        <w:t xml:space="preserve"> devienen </w:t>
      </w:r>
      <w:r>
        <w:rPr>
          <w:rFonts w:ascii="Palatino Linotype" w:hAnsi="Palatino Linotype"/>
          <w:b/>
          <w:color w:val="222222"/>
          <w:lang w:eastAsia="es-MX"/>
        </w:rPr>
        <w:t>parcialmente fundados</w:t>
      </w:r>
      <w:r>
        <w:rPr>
          <w:rFonts w:ascii="Palatino Linotype" w:hAnsi="Palatino Linotype"/>
          <w:color w:val="222222"/>
          <w:lang w:eastAsia="es-MX"/>
        </w:rPr>
        <w:t xml:space="preserve"> y suficientes para </w:t>
      </w:r>
      <w:r>
        <w:rPr>
          <w:rFonts w:ascii="Palatino Linotype" w:hAnsi="Palatino Linotype"/>
          <w:b/>
          <w:color w:val="222222"/>
          <w:lang w:eastAsia="es-MX"/>
        </w:rPr>
        <w:t>REVOCAR</w:t>
      </w:r>
      <w:r>
        <w:rPr>
          <w:rFonts w:ascii="Palatino Linotype" w:hAnsi="Palatino Linotype"/>
          <w:color w:val="222222"/>
          <w:lang w:eastAsia="es-MX"/>
        </w:rPr>
        <w:t xml:space="preserve"> la respuesta del </w:t>
      </w:r>
      <w:r>
        <w:rPr>
          <w:rFonts w:ascii="Palatino Linotype" w:hAnsi="Palatino Linotype"/>
          <w:b/>
          <w:color w:val="222222"/>
          <w:lang w:eastAsia="es-MX"/>
        </w:rPr>
        <w:t>SUJETO OBLIGADO</w:t>
      </w:r>
      <w:r>
        <w:rPr>
          <w:rFonts w:ascii="Palatino Linotype" w:hAnsi="Palatino Linotype"/>
          <w:color w:val="222222"/>
          <w:lang w:eastAsia="es-MX"/>
        </w:rPr>
        <w:t>, en atención a las Consideraciones de hecho y de derecho siguientes:</w:t>
      </w:r>
    </w:p>
    <w:p w:rsidR="009923F3" w:rsidRDefault="009923F3">
      <w:pPr>
        <w:pStyle w:val="Prrafodelista"/>
        <w:widowControl w:val="0"/>
        <w:tabs>
          <w:tab w:val="left" w:pos="1276"/>
        </w:tabs>
        <w:spacing w:before="240" w:after="240" w:line="360" w:lineRule="auto"/>
        <w:ind w:left="0"/>
        <w:contextualSpacing/>
        <w:jc w:val="both"/>
        <w:rPr>
          <w:rFonts w:ascii="Palatino Linotype" w:hAnsi="Palatino Linotype"/>
          <w:color w:val="222222"/>
          <w:lang w:eastAsia="es-MX"/>
        </w:rPr>
      </w:pPr>
    </w:p>
    <w:p w:rsidR="009923F3" w:rsidRDefault="0042180A">
      <w:pPr>
        <w:pStyle w:val="Prrafodelista"/>
        <w:widowControl w:val="0"/>
        <w:tabs>
          <w:tab w:val="left" w:pos="1276"/>
        </w:tabs>
        <w:spacing w:before="240" w:after="240" w:line="360" w:lineRule="auto"/>
        <w:ind w:left="0"/>
        <w:contextualSpacing/>
        <w:jc w:val="both"/>
        <w:rPr>
          <w:rFonts w:ascii="Palatino Linotype" w:hAnsi="Palatino Linotype" w:cs="Arial"/>
        </w:rPr>
      </w:pPr>
      <w:r>
        <w:rPr>
          <w:rFonts w:ascii="Palatino Linotype" w:hAnsi="Palatino Linotype"/>
          <w:color w:val="222222"/>
          <w:lang w:eastAsia="es-MX"/>
        </w:rPr>
        <w:t xml:space="preserve">Primeramente, esta Ponencia Resolutora considera pertinente señalar que se obvia la competencia del </w:t>
      </w:r>
      <w:r>
        <w:rPr>
          <w:rFonts w:ascii="Palatino Linotype" w:hAnsi="Palatino Linotype"/>
          <w:b/>
          <w:color w:val="222222"/>
          <w:lang w:eastAsia="es-MX"/>
        </w:rPr>
        <w:t>SUJETO OBLIGADO</w:t>
      </w:r>
      <w:r>
        <w:rPr>
          <w:rFonts w:ascii="Palatino Linotype" w:hAnsi="Palatino Linotype"/>
          <w:color w:val="222222"/>
          <w:lang w:eastAsia="es-MX"/>
        </w:rPr>
        <w:t xml:space="preserve"> para generar, administrar o poseer la información solicitada, dado que éste ha asumido la misma, en razón de que a través de su respuesta refirió que ésta se encontraba realizando las acciones pertinentes a efecto de integrar dicho informe; razón por la cual, al haberse pronunciado </w:t>
      </w:r>
      <w:r>
        <w:rPr>
          <w:rFonts w:ascii="Palatino Linotype" w:hAnsi="Palatino Linotype"/>
          <w:b/>
          <w:color w:val="222222"/>
          <w:lang w:eastAsia="es-MX"/>
        </w:rPr>
        <w:t>EL SUJETO OBLIGADO</w:t>
      </w:r>
      <w:r>
        <w:rPr>
          <w:rFonts w:ascii="Palatino Linotype" w:hAnsi="Palatino Linotype"/>
          <w:color w:val="222222"/>
          <w:lang w:eastAsia="es-MX"/>
        </w:rPr>
        <w:t xml:space="preserve"> al respecto, es que acepta poseer y administrar dicha información, en ejercicio de sus funciones de derecho público, motivo por el cual se actualiza el supuesto jurídico, previsto en el artículo 12 de la Ley de Transparencia y Acceso a la Información Pública del Estado de México y Municipio</w:t>
      </w:r>
      <w:r>
        <w:rPr>
          <w:rFonts w:ascii="Palatino Linotype" w:hAnsi="Palatino Linotype" w:cs="Arial"/>
        </w:rPr>
        <w:t xml:space="preserve">s </w:t>
      </w:r>
    </w:p>
    <w:p w:rsidR="009923F3" w:rsidRDefault="0042180A">
      <w:pPr>
        <w:spacing w:line="360" w:lineRule="auto"/>
        <w:jc w:val="both"/>
        <w:rPr>
          <w:rFonts w:ascii="Palatino Linotype" w:hAnsi="Palatino Linotype"/>
          <w:color w:val="222222"/>
          <w:lang w:eastAsia="es-MX"/>
        </w:rPr>
      </w:pPr>
      <w:r>
        <w:rPr>
          <w:rFonts w:ascii="Palatino Linotype" w:hAnsi="Palatino Linotype"/>
          <w:color w:val="222222"/>
          <w:lang w:eastAsia="es-MX"/>
        </w:rPr>
        <w:t xml:space="preserve">Por lo que, el estudio de la naturaleza jurídica de la información pública solicitada, tiene por objeto determinar si ésta la genera, posee o administra </w:t>
      </w:r>
      <w:r>
        <w:rPr>
          <w:rFonts w:ascii="Palatino Linotype" w:hAnsi="Palatino Linotype"/>
          <w:b/>
          <w:color w:val="222222"/>
          <w:lang w:eastAsia="es-MX"/>
        </w:rPr>
        <w:t>EL SUJETO OBLIGADO</w:t>
      </w:r>
      <w:r>
        <w:rPr>
          <w:rFonts w:ascii="Palatino Linotype" w:hAnsi="Palatino Linotype"/>
          <w:color w:val="222222"/>
          <w:lang w:eastAsia="es-MX"/>
        </w:rPr>
        <w:t xml:space="preserve">; sin embargo, en aquellos casos en que éste la asume, implica que cuenta con la misma; por consiguiente, a nada practico nos conduciría su estudio, ya que se insiste la información pública solicitada, fue asumida por </w:t>
      </w:r>
      <w:r>
        <w:rPr>
          <w:rFonts w:ascii="Palatino Linotype" w:hAnsi="Palatino Linotype"/>
          <w:b/>
          <w:color w:val="222222"/>
          <w:lang w:eastAsia="es-MX"/>
        </w:rPr>
        <w:t>EL SUJETO OBLIGADO</w:t>
      </w:r>
      <w:r>
        <w:rPr>
          <w:rFonts w:ascii="Palatino Linotype" w:hAnsi="Palatino Linotype"/>
          <w:color w:val="222222"/>
          <w:lang w:eastAsia="es-MX"/>
        </w:rPr>
        <w:t xml:space="preserve">. </w:t>
      </w:r>
    </w:p>
    <w:p w:rsidR="009923F3" w:rsidRDefault="009923F3">
      <w:pPr>
        <w:spacing w:line="360" w:lineRule="auto"/>
        <w:jc w:val="both"/>
        <w:rPr>
          <w:rFonts w:ascii="Palatino Linotype" w:hAnsi="Palatino Linotype"/>
          <w:color w:val="222222"/>
          <w:lang w:eastAsia="es-MX"/>
        </w:rPr>
      </w:pPr>
    </w:p>
    <w:p w:rsidR="009923F3" w:rsidRDefault="0042180A">
      <w:pPr>
        <w:spacing w:line="360" w:lineRule="auto"/>
        <w:jc w:val="both"/>
        <w:rPr>
          <w:rFonts w:ascii="Palatino Linotype" w:hAnsi="Palatino Linotype"/>
          <w:color w:val="222222"/>
          <w:lang w:eastAsia="es-MX"/>
        </w:rPr>
      </w:pPr>
      <w:r>
        <w:rPr>
          <w:rFonts w:ascii="Palatino Linotype" w:hAnsi="Palatino Linotype"/>
          <w:color w:val="222222"/>
          <w:lang w:eastAsia="es-MX"/>
        </w:rPr>
        <w:lastRenderedPageBreak/>
        <w:t xml:space="preserve">Dicho lo anterior, conviene señalar que, este Instituto, como ente garante del derecho de acceso a la información, analizó el marco normativo que rige el actuar del </w:t>
      </w:r>
      <w:r>
        <w:rPr>
          <w:rFonts w:ascii="Palatino Linotype" w:hAnsi="Palatino Linotype"/>
          <w:b/>
          <w:color w:val="222222"/>
          <w:lang w:eastAsia="es-MX"/>
        </w:rPr>
        <w:t xml:space="preserve">SUJETO OBLIGADO </w:t>
      </w:r>
      <w:r>
        <w:rPr>
          <w:rFonts w:ascii="Palatino Linotype" w:hAnsi="Palatino Linotype"/>
          <w:color w:val="222222"/>
          <w:lang w:eastAsia="es-MX"/>
        </w:rPr>
        <w:t xml:space="preserve">y observó que la información requerida, invariablemente implica el uso y destino de recursos públicos; por ello, de conformidad con el artículo 24, fracción XVIII de la Ley de Transparencia y Acceso a la Información Pública del Estado de México y Municipios, </w:t>
      </w:r>
      <w:r>
        <w:rPr>
          <w:rFonts w:ascii="Palatino Linotype" w:hAnsi="Palatino Linotype"/>
          <w:b/>
          <w:color w:val="222222"/>
          <w:lang w:eastAsia="es-MX"/>
        </w:rPr>
        <w:t xml:space="preserve">EL SUJETO OBLIGADO </w:t>
      </w:r>
      <w:r>
        <w:rPr>
          <w:rFonts w:ascii="Palatino Linotype" w:hAnsi="Palatino Linotype"/>
          <w:color w:val="222222"/>
          <w:lang w:eastAsia="es-MX"/>
        </w:rPr>
        <w:t xml:space="preserve">tiene la obligación de hacer pública toda aquella información relativa a los montos y las personas a quienes entreguen, por cualquier motivo, recursos públicos; así como, los informes que dichas personas le entreguen sobre el uso y destino de dichos recursos. Sirve de sustento el precepto legal en cita: </w:t>
      </w:r>
    </w:p>
    <w:p w:rsidR="009923F3" w:rsidRDefault="009923F3">
      <w:pPr>
        <w:spacing w:line="360" w:lineRule="auto"/>
        <w:jc w:val="both"/>
        <w:rPr>
          <w:rFonts w:ascii="Palatino Linotype" w:hAnsi="Palatino Linotype"/>
          <w:color w:val="222222"/>
          <w:lang w:eastAsia="es-MX"/>
        </w:rPr>
      </w:pPr>
    </w:p>
    <w:p w:rsidR="009923F3" w:rsidRDefault="0042180A">
      <w:pPr>
        <w:ind w:left="851" w:right="902"/>
        <w:jc w:val="both"/>
        <w:rPr>
          <w:rFonts w:ascii="Palatino Linotype" w:hAnsi="Palatino Linotype"/>
          <w:i/>
          <w:sz w:val="22"/>
        </w:rPr>
      </w:pPr>
      <w:r>
        <w:rPr>
          <w:rFonts w:ascii="Palatino Linotype" w:hAnsi="Palatino Linotype"/>
          <w:i/>
          <w:sz w:val="22"/>
        </w:rPr>
        <w:t>“Artículo 24. Para el cumplimiento de los objetivos de esta Ley, los sujetos obligados deberán cumplir con las siguientes obligaciones, según corresponda, de acuerdo a su naturaleza:</w:t>
      </w:r>
    </w:p>
    <w:p w:rsidR="009923F3" w:rsidRDefault="0042180A">
      <w:pPr>
        <w:ind w:left="851" w:right="902"/>
        <w:jc w:val="both"/>
        <w:rPr>
          <w:rFonts w:ascii="Palatino Linotype" w:hAnsi="Palatino Linotype"/>
          <w:i/>
          <w:sz w:val="22"/>
        </w:rPr>
      </w:pPr>
      <w:r>
        <w:rPr>
          <w:rFonts w:ascii="Palatino Linotype" w:hAnsi="Palatino Linotype"/>
          <w:i/>
          <w:sz w:val="22"/>
        </w:rPr>
        <w:t>…</w:t>
      </w:r>
    </w:p>
    <w:p w:rsidR="009923F3" w:rsidRDefault="0042180A">
      <w:pPr>
        <w:ind w:left="851" w:right="902"/>
        <w:jc w:val="both"/>
        <w:rPr>
          <w:rFonts w:ascii="Palatino Linotype" w:hAnsi="Palatino Linotype" w:cs="Arial"/>
          <w:i/>
          <w:sz w:val="22"/>
        </w:rPr>
      </w:pPr>
      <w:r>
        <w:rPr>
          <w:rFonts w:ascii="Palatino Linotype" w:hAnsi="Palatino Linotype"/>
          <w:i/>
          <w:sz w:val="22"/>
        </w:rPr>
        <w:t>XVIII. Hacer pública toda aquella información relativa a los montos y las personas a quienes entreguen, por cualquier motivo, recursos públicos, así como los informes que dichas personas les entreguen sobre el uso y destino de dichos recursos…”</w:t>
      </w:r>
    </w:p>
    <w:p w:rsidR="009923F3" w:rsidRDefault="0042180A">
      <w:pPr>
        <w:spacing w:beforeAutospacing="1" w:afterAutospacing="1" w:line="360" w:lineRule="auto"/>
        <w:jc w:val="both"/>
        <w:rPr>
          <w:rFonts w:ascii="Palatino Linotype" w:eastAsia="Calibri" w:hAnsi="Palatino Linotype"/>
        </w:rPr>
      </w:pPr>
      <w:r>
        <w:rPr>
          <w:rFonts w:ascii="Palatino Linotype" w:eastAsia="Calibri" w:hAnsi="Palatino Linotype"/>
        </w:rPr>
        <w:t>En esa virtud,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la erogación correspondiente.</w:t>
      </w:r>
    </w:p>
    <w:p w:rsidR="009923F3" w:rsidRDefault="0042180A">
      <w:pPr>
        <w:spacing w:beforeAutospacing="1" w:afterAutospacing="1" w:line="360" w:lineRule="auto"/>
        <w:jc w:val="both"/>
        <w:rPr>
          <w:rFonts w:ascii="Palatino Linotype" w:eastAsia="Calibri" w:hAnsi="Palatino Linotype"/>
        </w:rPr>
      </w:pPr>
      <w:r>
        <w:rPr>
          <w:rFonts w:ascii="Palatino Linotype" w:eastAsia="Calibri" w:hAnsi="Palatino Linotype"/>
        </w:rPr>
        <w:t xml:space="preserve">Al respecto, conviene precisar que en el cumplimiento de los principios que rigen la función pública, la Constitución Política del Estado Libre y Soberano de México en su </w:t>
      </w:r>
      <w:r>
        <w:rPr>
          <w:rFonts w:ascii="Palatino Linotype" w:eastAsia="Calibri" w:hAnsi="Palatino Linotype"/>
        </w:rPr>
        <w:lastRenderedPageBreak/>
        <w:t xml:space="preserve">artículo 129 señala que los recursos económicos del Estado, de los Municipios; así como, de los Organismos Autónomos, se administrarán con eficiencia, eficacia y honradez, para cumplir con los objetivos y programas a los que estén destinados. </w:t>
      </w:r>
    </w:p>
    <w:p w:rsidR="009923F3" w:rsidRDefault="0042180A">
      <w:pPr>
        <w:spacing w:beforeAutospacing="1" w:afterAutospacing="1" w:line="360" w:lineRule="auto"/>
        <w:jc w:val="both"/>
        <w:rPr>
          <w:rFonts w:ascii="Palatino Linotype" w:eastAsia="Calibri" w:hAnsi="Palatino Linotype"/>
        </w:rPr>
      </w:pPr>
      <w:r>
        <w:rPr>
          <w:rFonts w:ascii="Palatino Linotype" w:eastAsia="Calibri" w:hAnsi="Palatino Linotype"/>
        </w:rPr>
        <w:t>Asimismo, señala que todos los pagos se harán mediante orden escrita en la que se expresará la partida del presupuesto a cargo de la cual se realizan.</w:t>
      </w:r>
    </w:p>
    <w:p w:rsidR="009923F3" w:rsidRDefault="0042180A">
      <w:pPr>
        <w:spacing w:beforeAutospacing="1" w:afterAutospacing="1" w:line="360" w:lineRule="auto"/>
        <w:jc w:val="both"/>
        <w:rPr>
          <w:rFonts w:ascii="Palatino Linotype" w:eastAsia="Calibri" w:hAnsi="Palatino Linotype"/>
        </w:rPr>
      </w:pPr>
      <w:r>
        <w:rPr>
          <w:rFonts w:ascii="Palatino Linotype" w:eastAsia="Calibri" w:hAnsi="Palatino Linotype"/>
        </w:rPr>
        <w:t>Al respecto, los artículos 31, fracciones XVIII y XIX y 95, fracciones I y IV de la Ley Orgánica Municipal del Estado de México disponen lo siguiente:</w:t>
      </w:r>
    </w:p>
    <w:p w:rsidR="009923F3" w:rsidRDefault="0042180A">
      <w:pPr>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b/>
          <w:i/>
          <w:sz w:val="22"/>
          <w:szCs w:val="22"/>
          <w:lang w:val="es-ES_tradnl"/>
        </w:rPr>
        <w:t>“Artículo 31.-</w:t>
      </w:r>
      <w:r>
        <w:rPr>
          <w:rFonts w:ascii="Palatino Linotype" w:eastAsiaTheme="minorEastAsia" w:hAnsi="Palatino Linotype" w:cs="Arial"/>
          <w:i/>
          <w:sz w:val="22"/>
          <w:szCs w:val="22"/>
          <w:lang w:val="es-ES_tradnl"/>
        </w:rPr>
        <w:t xml:space="preserve"> Son </w:t>
      </w:r>
      <w:r>
        <w:rPr>
          <w:rFonts w:ascii="Palatino Linotype" w:eastAsiaTheme="minorEastAsia" w:hAnsi="Palatino Linotype" w:cs="Arial"/>
          <w:b/>
          <w:i/>
          <w:sz w:val="22"/>
          <w:szCs w:val="22"/>
          <w:lang w:val="es-ES_tradnl"/>
        </w:rPr>
        <w:t>atribuciones de los ayuntamientos</w:t>
      </w:r>
      <w:r>
        <w:rPr>
          <w:rFonts w:ascii="Palatino Linotype" w:eastAsiaTheme="minorEastAsia" w:hAnsi="Palatino Linotype" w:cs="Arial"/>
          <w:i/>
          <w:sz w:val="22"/>
          <w:szCs w:val="22"/>
          <w:lang w:val="es-ES_tradnl"/>
        </w:rPr>
        <w:t>:</w:t>
      </w:r>
    </w:p>
    <w:p w:rsidR="009923F3" w:rsidRDefault="0042180A">
      <w:pPr>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w:t>
      </w:r>
    </w:p>
    <w:p w:rsidR="009923F3" w:rsidRDefault="0042180A">
      <w:pPr>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b/>
          <w:i/>
          <w:sz w:val="22"/>
          <w:szCs w:val="22"/>
          <w:lang w:val="es-ES_tradnl"/>
        </w:rPr>
        <w:t>XVIII.</w:t>
      </w:r>
      <w:r>
        <w:rPr>
          <w:rFonts w:ascii="Palatino Linotype" w:eastAsiaTheme="minorEastAsia" w:hAnsi="Palatino Linotype" w:cs="Arial"/>
          <w:i/>
          <w:sz w:val="22"/>
          <w:szCs w:val="22"/>
          <w:lang w:val="es-ES_tradnl"/>
        </w:rPr>
        <w:t xml:space="preserve"> Administrar su hacienda en términos de ley, y </w:t>
      </w:r>
      <w:r>
        <w:rPr>
          <w:rFonts w:ascii="Palatino Linotype" w:eastAsiaTheme="minorEastAsia" w:hAnsi="Palatino Linotype" w:cs="Arial"/>
          <w:b/>
          <w:i/>
          <w:sz w:val="22"/>
          <w:szCs w:val="22"/>
          <w:lang w:val="es-ES_tradnl"/>
        </w:rPr>
        <w:t>controlar a través del presidente y síndico la aplicación del presupuesto de egresos del municipio</w:t>
      </w:r>
      <w:r>
        <w:rPr>
          <w:rFonts w:ascii="Palatino Linotype" w:eastAsiaTheme="minorEastAsia" w:hAnsi="Palatino Linotype" w:cs="Arial"/>
          <w:i/>
          <w:sz w:val="22"/>
          <w:szCs w:val="22"/>
          <w:lang w:val="es-ES_tradnl"/>
        </w:rPr>
        <w:t>;</w:t>
      </w:r>
    </w:p>
    <w:p w:rsidR="009923F3" w:rsidRDefault="0042180A">
      <w:pPr>
        <w:ind w:left="851" w:right="901"/>
        <w:jc w:val="both"/>
        <w:rPr>
          <w:rFonts w:ascii="Palatino Linotype" w:eastAsiaTheme="minorEastAsia" w:hAnsi="Palatino Linotype" w:cs="Arial"/>
          <w:b/>
          <w:i/>
          <w:sz w:val="22"/>
          <w:szCs w:val="22"/>
          <w:lang w:val="es-ES_tradnl"/>
        </w:rPr>
      </w:pPr>
      <w:r>
        <w:rPr>
          <w:rFonts w:ascii="Palatino Linotype" w:eastAsiaTheme="minorEastAsia" w:hAnsi="Palatino Linotype" w:cs="Arial"/>
          <w:b/>
          <w:i/>
          <w:sz w:val="22"/>
          <w:szCs w:val="22"/>
          <w:lang w:val="es-ES_tradnl"/>
        </w:rPr>
        <w:t>…</w:t>
      </w:r>
    </w:p>
    <w:p w:rsidR="009923F3" w:rsidRDefault="0042180A">
      <w:pPr>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b/>
          <w:i/>
          <w:sz w:val="22"/>
          <w:szCs w:val="22"/>
          <w:lang w:val="es-ES_tradnl"/>
        </w:rPr>
        <w:t>XIX.</w:t>
      </w:r>
      <w:r>
        <w:rPr>
          <w:rFonts w:ascii="Palatino Linotype" w:eastAsiaTheme="minorEastAsia" w:hAnsi="Palatino Linotype" w:cs="Arial"/>
          <w:i/>
          <w:sz w:val="22"/>
          <w:szCs w:val="22"/>
          <w:lang w:val="es-ES_tradnl"/>
        </w:rPr>
        <w:t xml:space="preserve"> </w:t>
      </w:r>
      <w:r>
        <w:rPr>
          <w:rFonts w:ascii="Palatino Linotype" w:eastAsiaTheme="minorEastAsia" w:hAnsi="Palatino Linotype" w:cs="Arial"/>
          <w:b/>
          <w:i/>
          <w:sz w:val="22"/>
          <w:szCs w:val="22"/>
          <w:lang w:val="es-ES_tradnl"/>
        </w:rPr>
        <w:t>Aprobar anualmente a más tardar el 20 de diciembre, su Presupuesto de Egresos, en base a los ingresos presupuestados para el ejercicio que corresponda</w:t>
      </w:r>
      <w:r>
        <w:rPr>
          <w:rFonts w:ascii="Palatino Linotype" w:eastAsiaTheme="minorEastAsia" w:hAnsi="Palatino Linotype" w:cs="Arial"/>
          <w:i/>
          <w:sz w:val="22"/>
          <w:szCs w:val="22"/>
          <w:lang w:val="es-ES_tradnl"/>
        </w:rPr>
        <w:t>, el cual podrá ser adecuado en función de las implicaciones que deriven de la aprobación de la Ley de Ingresos Municipal que haga la Legislatura, así como por la asignación de las participaciones y aportaciones federales y estatales</w:t>
      </w:r>
    </w:p>
    <w:p w:rsidR="009923F3" w:rsidRDefault="0042180A">
      <w:pPr>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w:t>
      </w:r>
    </w:p>
    <w:p w:rsidR="009923F3" w:rsidRDefault="0042180A">
      <w:pPr>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 xml:space="preserve">Artículo 95.- Son </w:t>
      </w:r>
      <w:r>
        <w:rPr>
          <w:rFonts w:ascii="Palatino Linotype" w:eastAsiaTheme="minorEastAsia" w:hAnsi="Palatino Linotype" w:cs="Arial"/>
          <w:b/>
          <w:i/>
          <w:sz w:val="22"/>
          <w:szCs w:val="22"/>
          <w:lang w:val="es-ES_tradnl"/>
        </w:rPr>
        <w:t>atribuciones del tesorero municipal</w:t>
      </w:r>
      <w:r>
        <w:rPr>
          <w:rFonts w:ascii="Palatino Linotype" w:eastAsiaTheme="minorEastAsia" w:hAnsi="Palatino Linotype" w:cs="Arial"/>
          <w:i/>
          <w:sz w:val="22"/>
          <w:szCs w:val="22"/>
          <w:lang w:val="es-ES_tradnl"/>
        </w:rPr>
        <w:t>:</w:t>
      </w:r>
    </w:p>
    <w:p w:rsidR="009923F3" w:rsidRDefault="0042180A">
      <w:pPr>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 xml:space="preserve">I. </w:t>
      </w:r>
      <w:r>
        <w:rPr>
          <w:rFonts w:ascii="Palatino Linotype" w:eastAsiaTheme="minorEastAsia" w:hAnsi="Palatino Linotype" w:cs="Arial"/>
          <w:b/>
          <w:i/>
          <w:sz w:val="22"/>
          <w:szCs w:val="22"/>
          <w:lang w:val="es-ES_tradnl"/>
        </w:rPr>
        <w:t>Administrar la hacienda pública municipal</w:t>
      </w:r>
      <w:r>
        <w:rPr>
          <w:rFonts w:ascii="Palatino Linotype" w:eastAsiaTheme="minorEastAsia" w:hAnsi="Palatino Linotype" w:cs="Arial"/>
          <w:i/>
          <w:sz w:val="22"/>
          <w:szCs w:val="22"/>
          <w:lang w:val="es-ES_tradnl"/>
        </w:rPr>
        <w:t>, de conformidad con las disposiciones legales aplicables;</w:t>
      </w:r>
    </w:p>
    <w:p w:rsidR="009923F3" w:rsidRDefault="0042180A">
      <w:pPr>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w:t>
      </w:r>
    </w:p>
    <w:p w:rsidR="009923F3" w:rsidRDefault="0042180A">
      <w:pPr>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b/>
          <w:i/>
          <w:sz w:val="22"/>
          <w:szCs w:val="22"/>
          <w:lang w:val="es-ES_tradnl"/>
        </w:rPr>
        <w:t>IV. Llevar los registros contables, financieros y administrativos de los ingresos, egresos, e inventarios;</w:t>
      </w:r>
    </w:p>
    <w:p w:rsidR="009923F3" w:rsidRDefault="0042180A">
      <w:pPr>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w:t>
      </w:r>
    </w:p>
    <w:p w:rsidR="009923F3" w:rsidRDefault="0042180A">
      <w:pPr>
        <w:ind w:left="851" w:right="901"/>
        <w:jc w:val="both"/>
        <w:rPr>
          <w:rFonts w:ascii="Palatino Linotype" w:eastAsiaTheme="minorEastAsia" w:hAnsi="Palatino Linotype" w:cs="Arial"/>
          <w:sz w:val="22"/>
          <w:szCs w:val="22"/>
          <w:lang w:val="es-ES_tradnl"/>
        </w:rPr>
      </w:pPr>
      <w:r>
        <w:rPr>
          <w:rFonts w:ascii="Palatino Linotype" w:eastAsiaTheme="minorEastAsia" w:hAnsi="Palatino Linotype" w:cs="Arial"/>
          <w:sz w:val="22"/>
          <w:szCs w:val="22"/>
          <w:lang w:val="es-ES_tradnl"/>
        </w:rPr>
        <w:t>(Énfasis añadido).</w:t>
      </w:r>
    </w:p>
    <w:p w:rsidR="009923F3" w:rsidRDefault="0042180A">
      <w:pPr>
        <w:spacing w:beforeAutospacing="1" w:afterAutospacing="1" w:line="360" w:lineRule="auto"/>
        <w:jc w:val="both"/>
        <w:rPr>
          <w:rFonts w:ascii="Palatino Linotype" w:eastAsia="Calibri" w:hAnsi="Palatino Linotype"/>
        </w:rPr>
      </w:pPr>
      <w:r>
        <w:rPr>
          <w:rFonts w:ascii="Palatino Linotype" w:eastAsia="Calibri" w:hAnsi="Palatino Linotype"/>
        </w:rPr>
        <w:t xml:space="preserve">De lo anterior se advierte que los ayuntamientos tienen la atribución de administrar libremente su hacienda y controlar la aplicación del presupuesto de egresos aprobado </w:t>
      </w:r>
      <w:r>
        <w:rPr>
          <w:rFonts w:ascii="Palatino Linotype" w:eastAsia="Calibri" w:hAnsi="Palatino Linotype"/>
        </w:rPr>
        <w:lastRenderedPageBreak/>
        <w:t>por dicho cuerpo colegiado, siendo atribución del Tesorero Municipal la de llevar los registros contables, financieros y administrativos de los ingresos, egresos e inventarios.</w:t>
      </w:r>
    </w:p>
    <w:p w:rsidR="009923F3" w:rsidRDefault="0042180A">
      <w:pPr>
        <w:spacing w:beforeAutospacing="1" w:afterAutospacing="1" w:line="360" w:lineRule="auto"/>
        <w:jc w:val="both"/>
        <w:rPr>
          <w:rFonts w:ascii="Palatino Linotype" w:eastAsia="Calibri" w:hAnsi="Palatino Linotype"/>
        </w:rPr>
      </w:pPr>
      <w:r>
        <w:rPr>
          <w:rFonts w:ascii="Palatino Linotype" w:eastAsia="Calibri" w:hAnsi="Palatino Linotype"/>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rsidR="009923F3" w:rsidRDefault="0042180A">
      <w:pPr>
        <w:ind w:left="851" w:right="901"/>
        <w:jc w:val="both"/>
        <w:rPr>
          <w:rFonts w:ascii="Palatino Linotype" w:eastAsiaTheme="minorEastAsia" w:hAnsi="Palatino Linotype" w:cstheme="minorBidi"/>
          <w:b/>
          <w:i/>
          <w:sz w:val="22"/>
          <w:szCs w:val="22"/>
          <w:lang w:val="es-ES_tradnl"/>
        </w:rPr>
      </w:pPr>
      <w:r>
        <w:rPr>
          <w:rFonts w:ascii="Palatino Linotype" w:eastAsiaTheme="minorEastAsia" w:hAnsi="Palatino Linotype" w:cs="Arial"/>
          <w:b/>
          <w:bCs/>
          <w:i/>
          <w:color w:val="000000"/>
          <w:sz w:val="22"/>
          <w:szCs w:val="22"/>
          <w:lang w:val="es-ES_tradnl"/>
        </w:rPr>
        <w:t>“</w:t>
      </w:r>
      <w:r>
        <w:rPr>
          <w:rFonts w:ascii="Palatino Linotype" w:eastAsiaTheme="minorEastAsia" w:hAnsi="Palatino Linotype" w:cstheme="minorBidi"/>
          <w:b/>
          <w:i/>
          <w:sz w:val="22"/>
          <w:szCs w:val="22"/>
          <w:lang w:val="es-ES_tradnl"/>
        </w:rPr>
        <w:t>Artículo 342.-</w:t>
      </w:r>
      <w:r>
        <w:rPr>
          <w:rFonts w:ascii="Palatino Linotype" w:eastAsiaTheme="minorEastAsia" w:hAnsi="Palatino Linotype" w:cstheme="minorBidi"/>
          <w:i/>
          <w:sz w:val="22"/>
          <w:szCs w:val="22"/>
          <w:lang w:val="es-ES_tradnl"/>
        </w:rPr>
        <w:t xml:space="preserve"> </w:t>
      </w:r>
      <w:r>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Pr>
          <w:rFonts w:ascii="Palatino Linotype" w:eastAsiaTheme="minorEastAsia" w:hAnsi="Palatino Linotype" w:cstheme="minorBidi"/>
          <w:i/>
          <w:sz w:val="22"/>
          <w:szCs w:val="22"/>
          <w:lang w:val="es-ES_tradnl"/>
        </w:rPr>
        <w:t xml:space="preserve">de </w:t>
      </w:r>
      <w:r>
        <w:rPr>
          <w:rFonts w:ascii="Palatino Linotype" w:eastAsiaTheme="minorEastAsia" w:hAnsi="Palatino Linotype" w:cs="Arial"/>
          <w:i/>
          <w:color w:val="000000"/>
          <w:sz w:val="22"/>
          <w:szCs w:val="22"/>
          <w:lang w:val="es-ES_tradnl"/>
        </w:rPr>
        <w:t>planeación</w:t>
      </w:r>
      <w:r>
        <w:rPr>
          <w:rFonts w:ascii="Palatino Linotype" w:eastAsiaTheme="minorEastAsia" w:hAnsi="Palatino Linotype" w:cstheme="minorBidi"/>
          <w:i/>
          <w:sz w:val="22"/>
          <w:szCs w:val="22"/>
          <w:lang w:val="es-ES_tradnl"/>
        </w:rPr>
        <w:t>,</w:t>
      </w:r>
      <w:r>
        <w:rPr>
          <w:rFonts w:ascii="Palatino Linotype" w:eastAsiaTheme="minorEastAsia" w:hAnsi="Palatino Linotype" w:cstheme="minorBidi"/>
          <w:b/>
          <w:i/>
          <w:sz w:val="22"/>
          <w:szCs w:val="22"/>
          <w:lang w:val="es-ES_tradnl"/>
        </w:rPr>
        <w:t xml:space="preserve"> programación, </w:t>
      </w:r>
      <w:proofErr w:type="spellStart"/>
      <w:r>
        <w:rPr>
          <w:rFonts w:ascii="Palatino Linotype" w:eastAsiaTheme="minorEastAsia" w:hAnsi="Palatino Linotype" w:cstheme="minorBidi"/>
          <w:b/>
          <w:i/>
          <w:sz w:val="22"/>
          <w:szCs w:val="22"/>
          <w:lang w:val="es-ES_tradnl"/>
        </w:rPr>
        <w:t>presupuestación</w:t>
      </w:r>
      <w:proofErr w:type="spellEnd"/>
      <w:r>
        <w:rPr>
          <w:rFonts w:ascii="Palatino Linotype" w:eastAsiaTheme="minorEastAsia" w:hAnsi="Palatino Linotype" w:cstheme="minorBidi"/>
          <w:i/>
          <w:sz w:val="22"/>
          <w:szCs w:val="22"/>
          <w:lang w:val="es-ES_tradnl"/>
        </w:rPr>
        <w:t xml:space="preserve">, evaluación y </w:t>
      </w:r>
      <w:r>
        <w:rPr>
          <w:rFonts w:ascii="Palatino Linotype" w:eastAsiaTheme="minorEastAsia" w:hAnsi="Palatino Linotype" w:cs="Arial"/>
          <w:b/>
          <w:i/>
          <w:color w:val="000000"/>
          <w:sz w:val="22"/>
          <w:szCs w:val="22"/>
          <w:lang w:val="es-ES_tradnl"/>
        </w:rPr>
        <w:t>contabilidad</w:t>
      </w:r>
      <w:r>
        <w:rPr>
          <w:rFonts w:ascii="Palatino Linotype" w:eastAsiaTheme="minorEastAsia" w:hAnsi="Palatino Linotype" w:cstheme="minorBidi"/>
          <w:b/>
          <w:i/>
          <w:sz w:val="22"/>
          <w:szCs w:val="22"/>
          <w:lang w:val="es-ES_tradnl"/>
        </w:rPr>
        <w:t xml:space="preserve"> gubernamental.</w:t>
      </w:r>
      <w:r>
        <w:rPr>
          <w:rFonts w:ascii="Palatino Linotype" w:eastAsiaTheme="minorEastAsia" w:hAnsi="Palatino Linotype" w:cstheme="minorBidi"/>
          <w:i/>
          <w:sz w:val="22"/>
          <w:szCs w:val="22"/>
          <w:lang w:val="es-ES_tradnl"/>
        </w:rPr>
        <w:t xml:space="preserve"> </w:t>
      </w:r>
    </w:p>
    <w:p w:rsidR="009923F3" w:rsidRDefault="0042180A">
      <w:pPr>
        <w:ind w:left="851" w:right="901"/>
        <w:jc w:val="both"/>
        <w:rPr>
          <w:rFonts w:ascii="Palatino Linotype" w:eastAsiaTheme="minorEastAsia" w:hAnsi="Palatino Linotype" w:cstheme="minorBidi"/>
          <w:b/>
          <w:i/>
          <w:sz w:val="22"/>
          <w:szCs w:val="22"/>
          <w:lang w:val="es-ES_tradnl"/>
        </w:rPr>
      </w:pPr>
      <w:r>
        <w:rPr>
          <w:rFonts w:ascii="Palatino Linotype" w:eastAsiaTheme="minorEastAsia" w:hAnsi="Palatino Linotype" w:cs="Arial"/>
          <w:b/>
          <w:bCs/>
          <w:i/>
          <w:color w:val="000000"/>
          <w:sz w:val="22"/>
          <w:szCs w:val="22"/>
          <w:lang w:val="es-ES_tradnl"/>
        </w:rPr>
        <w:t>…</w:t>
      </w:r>
    </w:p>
    <w:p w:rsidR="009923F3" w:rsidRDefault="0042180A">
      <w:pPr>
        <w:ind w:left="851" w:right="901"/>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t>Artículo 343.-</w:t>
      </w:r>
      <w:r>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9923F3" w:rsidRDefault="0042180A">
      <w:pPr>
        <w:ind w:left="851" w:right="901"/>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rsidR="009923F3" w:rsidRDefault="009923F3">
      <w:pPr>
        <w:ind w:left="851" w:right="901"/>
        <w:jc w:val="both"/>
        <w:rPr>
          <w:rFonts w:ascii="Palatino Linotype" w:eastAsiaTheme="minorEastAsia" w:hAnsi="Palatino Linotype" w:cstheme="minorBidi"/>
          <w:i/>
          <w:sz w:val="22"/>
          <w:szCs w:val="22"/>
          <w:lang w:val="es-ES_tradnl"/>
        </w:rPr>
      </w:pPr>
    </w:p>
    <w:p w:rsidR="009923F3" w:rsidRDefault="0042180A">
      <w:pPr>
        <w:ind w:left="851" w:right="901"/>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Pr>
          <w:rFonts w:ascii="Palatino Linotype" w:eastAsiaTheme="minorEastAsia" w:hAnsi="Palatino Linotype" w:cstheme="minorBidi"/>
          <w:i/>
          <w:sz w:val="22"/>
          <w:szCs w:val="22"/>
          <w:lang w:val="es-ES_tradnl"/>
        </w:rPr>
        <w:t xml:space="preserve">en el caso de los Municipios se hará por la Tesorería. </w:t>
      </w:r>
    </w:p>
    <w:p w:rsidR="009923F3" w:rsidRDefault="0042180A">
      <w:pPr>
        <w:ind w:left="851" w:right="901"/>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i/>
          <w:sz w:val="22"/>
          <w:szCs w:val="22"/>
          <w:lang w:val="es-ES_tradnl"/>
        </w:rPr>
        <w:t xml:space="preserve">Derogado. </w:t>
      </w:r>
    </w:p>
    <w:p w:rsidR="009923F3" w:rsidRDefault="0042180A">
      <w:pPr>
        <w:ind w:left="851" w:right="850"/>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rsidR="009923F3" w:rsidRDefault="0042180A">
      <w:pPr>
        <w:ind w:left="851" w:right="901"/>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i/>
          <w:sz w:val="22"/>
          <w:szCs w:val="22"/>
          <w:lang w:val="es-ES_tradnl"/>
        </w:rPr>
        <w:t>…</w:t>
      </w:r>
    </w:p>
    <w:p w:rsidR="009923F3" w:rsidRDefault="0042180A">
      <w:pPr>
        <w:ind w:left="851" w:right="901"/>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lastRenderedPageBreak/>
        <w:t>Artículo 345.-</w:t>
      </w:r>
      <w:r>
        <w:rPr>
          <w:rFonts w:ascii="Palatino Linotype" w:eastAsiaTheme="minorEastAsia" w:hAnsi="Palatino Linotype" w:cstheme="minorBidi"/>
          <w:i/>
          <w:sz w:val="22"/>
          <w:szCs w:val="22"/>
          <w:lang w:val="es-ES_tradnl"/>
        </w:rPr>
        <w:t xml:space="preserve"> </w:t>
      </w:r>
      <w:r>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Pr>
          <w:rFonts w:ascii="Palatino Linotype" w:eastAsiaTheme="minorEastAsia" w:hAnsi="Palatino Linotype" w:cstheme="minorBidi"/>
          <w:i/>
          <w:sz w:val="22"/>
          <w:szCs w:val="22"/>
          <w:lang w:val="es-ES_tradnl"/>
        </w:rPr>
        <w:t xml:space="preserve">. </w:t>
      </w:r>
    </w:p>
    <w:p w:rsidR="009923F3" w:rsidRDefault="0042180A">
      <w:pPr>
        <w:ind w:left="851" w:right="901"/>
        <w:jc w:val="both"/>
        <w:rPr>
          <w:rFonts w:ascii="Palatino Linotype" w:eastAsiaTheme="minorEastAsia" w:hAnsi="Palatino Linotype" w:cs="Arial"/>
          <w:bCs/>
          <w:i/>
          <w:color w:val="000000"/>
          <w:sz w:val="22"/>
          <w:szCs w:val="22"/>
          <w:lang w:val="es-ES_tradnl"/>
        </w:rPr>
      </w:pPr>
      <w:r>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Pr>
          <w:rFonts w:ascii="Palatino Linotype" w:eastAsiaTheme="minorEastAsia" w:hAnsi="Palatino Linotype" w:cs="Arial"/>
          <w:bCs/>
          <w:i/>
          <w:color w:val="000000"/>
          <w:sz w:val="22"/>
          <w:szCs w:val="22"/>
          <w:lang w:val="es-ES_tradnl"/>
        </w:rPr>
        <w:t xml:space="preserve"> “</w:t>
      </w:r>
      <w:r>
        <w:rPr>
          <w:rFonts w:ascii="Palatino Linotype" w:eastAsiaTheme="minorEastAsia" w:hAnsi="Palatino Linotype" w:cs="Arial"/>
          <w:bCs/>
          <w:i/>
          <w:color w:val="000000"/>
          <w:sz w:val="22"/>
          <w:szCs w:val="22"/>
          <w:lang w:val="es-ES_tradnl"/>
        </w:rPr>
        <w:br/>
        <w:t>(Énfasis añadido)</w:t>
      </w:r>
    </w:p>
    <w:p w:rsidR="009923F3" w:rsidRDefault="0042180A">
      <w:pPr>
        <w:spacing w:beforeAutospacing="1" w:afterAutospacing="1" w:line="360" w:lineRule="auto"/>
        <w:jc w:val="both"/>
        <w:rPr>
          <w:rFonts w:ascii="Palatino Linotype" w:hAnsi="Palatino Linotype" w:cs="Arial"/>
          <w:bCs/>
          <w:color w:val="000000"/>
        </w:rPr>
      </w:pPr>
      <w:r>
        <w:rPr>
          <w:rFonts w:ascii="Palatino Linotype" w:hAnsi="Palatino Linotype" w:cs="Arial"/>
        </w:rPr>
        <w:t>De una interpretación sistemática de los artículos transcritos, se desprende, que el</w:t>
      </w:r>
      <w:r>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w:t>
      </w:r>
      <w:proofErr w:type="spellStart"/>
      <w:r>
        <w:rPr>
          <w:rFonts w:ascii="Palatino Linotype" w:hAnsi="Palatino Linotype" w:cs="Arial"/>
          <w:bCs/>
          <w:color w:val="000000"/>
        </w:rPr>
        <w:t>presupuestación</w:t>
      </w:r>
      <w:proofErr w:type="spellEnd"/>
      <w:r>
        <w:rPr>
          <w:rFonts w:ascii="Palatino Linotype" w:hAnsi="Palatino Linotype" w:cs="Arial"/>
          <w:bCs/>
          <w:color w:val="000000"/>
        </w:rPr>
        <w:t>, evaluación y contabilidad gubernamental.</w:t>
      </w:r>
    </w:p>
    <w:p w:rsidR="009923F3" w:rsidRDefault="0042180A">
      <w:pPr>
        <w:spacing w:beforeAutospacing="1" w:afterAutospacing="1" w:line="360" w:lineRule="auto"/>
        <w:jc w:val="both"/>
        <w:rPr>
          <w:rFonts w:ascii="Palatino Linotype" w:hAnsi="Palatino Linotype" w:cs="Arial"/>
          <w:lang w:eastAsia="es-MX"/>
        </w:rPr>
      </w:pPr>
      <w:r>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w:t>
      </w:r>
      <w:proofErr w:type="spellStart"/>
      <w:r>
        <w:rPr>
          <w:rFonts w:ascii="Palatino Linotype" w:hAnsi="Palatino Linotype" w:cs="Arial"/>
          <w:lang w:eastAsia="es-MX"/>
        </w:rPr>
        <w:t>Presupuestación</w:t>
      </w:r>
      <w:proofErr w:type="spellEnd"/>
      <w:r>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9923F3" w:rsidRDefault="0042180A">
      <w:pPr>
        <w:ind w:left="851" w:right="850"/>
        <w:jc w:val="both"/>
        <w:rPr>
          <w:rFonts w:ascii="Palatino Linotype" w:hAnsi="Palatino Linotype" w:cs="Arial"/>
          <w:b/>
          <w:i/>
          <w:sz w:val="22"/>
          <w:szCs w:val="20"/>
          <w:lang w:eastAsia="es-MX"/>
        </w:rPr>
      </w:pPr>
      <w:r>
        <w:rPr>
          <w:rFonts w:ascii="Palatino Linotype" w:hAnsi="Palatino Linotype" w:cs="Arial"/>
          <w:b/>
          <w:i/>
          <w:sz w:val="22"/>
          <w:szCs w:val="20"/>
          <w:lang w:eastAsia="es-MX"/>
        </w:rPr>
        <w:lastRenderedPageBreak/>
        <w:t xml:space="preserve">“REGISTRO CONTABLE </w:t>
      </w:r>
    </w:p>
    <w:p w:rsidR="009923F3" w:rsidRDefault="0042180A">
      <w:pPr>
        <w:ind w:left="851" w:right="850"/>
        <w:jc w:val="both"/>
        <w:rPr>
          <w:rFonts w:ascii="Palatino Linotype" w:hAnsi="Palatino Linotype" w:cs="Arial"/>
          <w:i/>
          <w:sz w:val="22"/>
          <w:szCs w:val="20"/>
          <w:lang w:eastAsia="es-MX"/>
        </w:rPr>
      </w:pPr>
      <w:r>
        <w:rPr>
          <w:rFonts w:ascii="Palatino Linotype" w:hAnsi="Palatino Linotype" w:cs="Arial"/>
          <w:i/>
          <w:sz w:val="22"/>
          <w:szCs w:val="20"/>
          <w:lang w:eastAsia="es-MX"/>
        </w:rPr>
        <w:t>Asiento que se realiza en los libros de contabilidad de las actividades relacionadas con el ingreso y egresos de un ente económico.”</w:t>
      </w:r>
    </w:p>
    <w:p w:rsidR="009923F3" w:rsidRDefault="0042180A">
      <w:pPr>
        <w:ind w:left="851" w:right="850"/>
        <w:jc w:val="both"/>
        <w:rPr>
          <w:rFonts w:ascii="Palatino Linotype" w:hAnsi="Palatino Linotype" w:cs="Arial"/>
          <w:b/>
          <w:i/>
          <w:sz w:val="22"/>
          <w:szCs w:val="20"/>
          <w:lang w:eastAsia="es-MX"/>
        </w:rPr>
      </w:pPr>
      <w:r>
        <w:rPr>
          <w:rFonts w:ascii="Palatino Linotype" w:hAnsi="Palatino Linotype" w:cs="Arial"/>
          <w:b/>
          <w:i/>
          <w:sz w:val="22"/>
          <w:szCs w:val="20"/>
          <w:lang w:eastAsia="es-MX"/>
        </w:rPr>
        <w:t>“REGISTRO PRESUPUESTARIO</w:t>
      </w:r>
    </w:p>
    <w:p w:rsidR="009923F3" w:rsidRDefault="0042180A">
      <w:pPr>
        <w:ind w:left="851" w:right="850"/>
        <w:jc w:val="both"/>
        <w:rPr>
          <w:rFonts w:ascii="Palatino Linotype" w:hAnsi="Palatino Linotype" w:cs="Arial"/>
          <w:i/>
          <w:sz w:val="22"/>
          <w:szCs w:val="20"/>
          <w:lang w:eastAsia="es-MX"/>
        </w:rPr>
      </w:pPr>
      <w:r>
        <w:rPr>
          <w:rFonts w:ascii="Palatino Linotype" w:hAnsi="Palatino Linotype" w:cs="Arial"/>
          <w:i/>
          <w:sz w:val="22"/>
          <w:szCs w:val="20"/>
          <w:lang w:eastAsia="es-MX"/>
        </w:rPr>
        <w:t>Asiento contable de las erogaciones realizadas por las dependencias y entidades con relación a la asignación, modificación y ejercicio de los recursos presupuestarios que se les hayan autorizado.”</w:t>
      </w:r>
    </w:p>
    <w:p w:rsidR="009923F3" w:rsidRDefault="0042180A">
      <w:pPr>
        <w:spacing w:beforeAutospacing="1" w:afterAutospacing="1" w:line="360" w:lineRule="auto"/>
        <w:jc w:val="both"/>
        <w:rPr>
          <w:rFonts w:ascii="Palatino Linotype" w:hAnsi="Palatino Linotype" w:cs="Arial"/>
          <w:bCs/>
          <w:color w:val="000000"/>
        </w:rPr>
      </w:pPr>
      <w:r>
        <w:rPr>
          <w:rFonts w:ascii="Palatino Linotype" w:hAnsi="Palatino Linotype" w:cs="Arial"/>
          <w:bCs/>
          <w:color w:val="000000"/>
        </w:rPr>
        <w:t>Por otra parte, se establece que el sistema de contabilidad sobre base acumulativa total se sustentará en los principios de contabilidad gubernamental.</w:t>
      </w:r>
    </w:p>
    <w:p w:rsidR="009923F3" w:rsidRDefault="0042180A">
      <w:pPr>
        <w:spacing w:beforeAutospacing="1" w:afterAutospacing="1" w:line="360" w:lineRule="auto"/>
        <w:jc w:val="both"/>
        <w:rPr>
          <w:rFonts w:ascii="Palatino Linotype" w:hAnsi="Palatino Linotype" w:cs="Arial"/>
          <w:bCs/>
          <w:color w:val="000000"/>
        </w:rPr>
      </w:pPr>
      <w:r>
        <w:rPr>
          <w:rFonts w:ascii="Palatino Linotype" w:hAnsi="Palatino Linotype" w:cs="Arial"/>
          <w:bCs/>
          <w:color w:val="000000"/>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rsidR="009923F3" w:rsidRDefault="0042180A">
      <w:pPr>
        <w:spacing w:beforeAutospacing="1" w:afterAutospacing="1" w:line="360" w:lineRule="auto"/>
        <w:jc w:val="both"/>
        <w:rPr>
          <w:rFonts w:ascii="Palatino Linotype" w:hAnsi="Palatino Linotype" w:cs="Arial"/>
          <w:bCs/>
          <w:color w:val="000000"/>
        </w:rPr>
      </w:pPr>
      <w:r>
        <w:rPr>
          <w:rFonts w:ascii="Palatino Linotype" w:hAnsi="Palatino Linotype" w:cs="Arial"/>
          <w:bCs/>
          <w:color w:val="000000"/>
        </w:rPr>
        <w:t>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rsidR="009923F3" w:rsidRDefault="0042180A">
      <w:pPr>
        <w:spacing w:beforeAutospacing="1" w:afterAutospacing="1" w:line="360" w:lineRule="auto"/>
        <w:jc w:val="both"/>
        <w:rPr>
          <w:rFonts w:ascii="Palatino Linotype" w:hAnsi="Palatino Linotype" w:cs="Arial"/>
          <w:bCs/>
          <w:color w:val="000000"/>
        </w:rPr>
      </w:pPr>
      <w:r>
        <w:rPr>
          <w:rFonts w:ascii="Palatino Linotype" w:hAnsi="Palatino Linotype" w:cs="Arial"/>
          <w:bCs/>
          <w:color w:val="000000"/>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rsidR="009923F3" w:rsidRDefault="0042180A">
      <w:pPr>
        <w:spacing w:beforeAutospacing="1" w:afterAutospacing="1" w:line="360" w:lineRule="auto"/>
        <w:jc w:val="both"/>
        <w:rPr>
          <w:rFonts w:ascii="Palatino Linotype" w:hAnsi="Palatino Linotype" w:cs="Arial"/>
          <w:bCs/>
          <w:color w:val="000000"/>
        </w:rPr>
      </w:pPr>
      <w:r>
        <w:rPr>
          <w:rFonts w:ascii="Palatino Linotype" w:hAnsi="Palatino Linotype" w:cs="Arial"/>
          <w:bCs/>
          <w:color w:val="000000"/>
        </w:rPr>
        <w:lastRenderedPageBreak/>
        <w:t xml:space="preserve">Aunado a lo anterior, este Instituto advirtió que de conformidad con lo dispuesto por los artículos 29 y 29-A del Código Fiscal de la Federación; así como, por la Resolución Miscelánea Fiscal para el ejercicio de 2019 y en tención a la información publicada por el Servicio de Administración Tributaria (SAT), ubicable en la liga electrónica: </w:t>
      </w:r>
      <w:hyperlink r:id="rId11">
        <w:r>
          <w:rPr>
            <w:rFonts w:ascii="Palatino Linotype" w:hAnsi="Palatino Linotype" w:cs="Arial"/>
            <w:bCs/>
            <w:color w:val="035899"/>
          </w:rPr>
          <w:t>http://omawww.sat.gob.mx/factura/Paginas/solicita_requisitos.htm</w:t>
        </w:r>
      </w:hyperlink>
      <w:r>
        <w:rPr>
          <w:rFonts w:ascii="Palatino Linotype" w:hAnsi="Palatino Linotype" w:cs="Arial"/>
          <w:bCs/>
          <w:color w:val="000000"/>
        </w:rPr>
        <w:t>, las facturas deben reunir los siguientes requisitos:</w:t>
      </w:r>
    </w:p>
    <w:p w:rsidR="009923F3" w:rsidRDefault="0042180A">
      <w:pPr>
        <w:numPr>
          <w:ilvl w:val="0"/>
          <w:numId w:val="2"/>
        </w:numPr>
        <w:spacing w:beforeAutospacing="1" w:line="360" w:lineRule="auto"/>
        <w:jc w:val="both"/>
        <w:rPr>
          <w:rFonts w:ascii="Palatino Linotype" w:hAnsi="Palatino Linotype" w:cs="Arial"/>
          <w:bCs/>
          <w:color w:val="000000"/>
        </w:rPr>
      </w:pPr>
      <w:r>
        <w:rPr>
          <w:rFonts w:ascii="Palatino Linotype" w:hAnsi="Palatino Linotype" w:cs="Arial"/>
          <w:bCs/>
          <w:color w:val="000000"/>
        </w:rPr>
        <w:t>Clave del Registro Federal de Contribuyentes de quien los expida;</w:t>
      </w:r>
    </w:p>
    <w:p w:rsidR="009923F3" w:rsidRDefault="0042180A">
      <w:pPr>
        <w:numPr>
          <w:ilvl w:val="0"/>
          <w:numId w:val="2"/>
        </w:numPr>
        <w:spacing w:line="360" w:lineRule="auto"/>
        <w:jc w:val="both"/>
        <w:rPr>
          <w:rFonts w:ascii="Palatino Linotype" w:hAnsi="Palatino Linotype" w:cs="Arial"/>
          <w:bCs/>
          <w:color w:val="000000"/>
        </w:rPr>
      </w:pPr>
      <w:r>
        <w:rPr>
          <w:rFonts w:ascii="Palatino Linotype" w:hAnsi="Palatino Linotype" w:cs="Arial"/>
          <w:bCs/>
          <w:color w:val="000000"/>
        </w:rPr>
        <w:t>Régimen Fiscal en que tributen conforme a la Ley del Impuesto Sobre la Renta;</w:t>
      </w:r>
    </w:p>
    <w:p w:rsidR="009923F3" w:rsidRDefault="0042180A">
      <w:pPr>
        <w:numPr>
          <w:ilvl w:val="0"/>
          <w:numId w:val="2"/>
        </w:numPr>
        <w:spacing w:line="360" w:lineRule="auto"/>
        <w:jc w:val="both"/>
        <w:rPr>
          <w:rFonts w:ascii="Palatino Linotype" w:hAnsi="Palatino Linotype" w:cs="Arial"/>
          <w:bCs/>
          <w:color w:val="000000"/>
        </w:rPr>
      </w:pPr>
      <w:r>
        <w:rPr>
          <w:rFonts w:ascii="Palatino Linotype" w:hAnsi="Palatino Linotype" w:cs="Arial"/>
          <w:bCs/>
          <w:color w:val="000000"/>
        </w:rPr>
        <w:t>Sí se tiene más de un local o establecimiento, se deberá señalar el domicilio del local o establecimiento en el que se expidan las Facturas;</w:t>
      </w:r>
    </w:p>
    <w:p w:rsidR="009923F3" w:rsidRDefault="0042180A">
      <w:pPr>
        <w:numPr>
          <w:ilvl w:val="0"/>
          <w:numId w:val="2"/>
        </w:numPr>
        <w:spacing w:line="360" w:lineRule="auto"/>
        <w:jc w:val="both"/>
        <w:rPr>
          <w:rFonts w:ascii="Palatino Linotype" w:hAnsi="Palatino Linotype" w:cs="Arial"/>
          <w:bCs/>
          <w:color w:val="000000"/>
        </w:rPr>
      </w:pPr>
      <w:r>
        <w:rPr>
          <w:rFonts w:ascii="Palatino Linotype" w:hAnsi="Palatino Linotype" w:cs="Arial"/>
          <w:bCs/>
          <w:color w:val="000000"/>
        </w:rPr>
        <w:t>Contener el número de folio asignado por el SAT y el sello digital del SAT;</w:t>
      </w:r>
    </w:p>
    <w:p w:rsidR="009923F3" w:rsidRDefault="0042180A">
      <w:pPr>
        <w:numPr>
          <w:ilvl w:val="0"/>
          <w:numId w:val="2"/>
        </w:numPr>
        <w:spacing w:line="360" w:lineRule="auto"/>
        <w:jc w:val="both"/>
        <w:rPr>
          <w:rFonts w:ascii="Palatino Linotype" w:hAnsi="Palatino Linotype" w:cs="Arial"/>
          <w:bCs/>
          <w:color w:val="000000"/>
        </w:rPr>
      </w:pPr>
      <w:r>
        <w:rPr>
          <w:rFonts w:ascii="Palatino Linotype" w:hAnsi="Palatino Linotype" w:cs="Arial"/>
          <w:bCs/>
          <w:color w:val="000000"/>
        </w:rPr>
        <w:t>Sello digital del contribuyente que lo expide;</w:t>
      </w:r>
    </w:p>
    <w:p w:rsidR="009923F3" w:rsidRDefault="0042180A">
      <w:pPr>
        <w:numPr>
          <w:ilvl w:val="0"/>
          <w:numId w:val="2"/>
        </w:numPr>
        <w:spacing w:line="360" w:lineRule="auto"/>
        <w:jc w:val="both"/>
        <w:rPr>
          <w:rFonts w:ascii="Palatino Linotype" w:hAnsi="Palatino Linotype" w:cs="Arial"/>
          <w:bCs/>
          <w:color w:val="000000"/>
        </w:rPr>
      </w:pPr>
      <w:r>
        <w:rPr>
          <w:rFonts w:ascii="Palatino Linotype" w:hAnsi="Palatino Linotype" w:cs="Arial"/>
          <w:bCs/>
          <w:color w:val="000000"/>
        </w:rPr>
        <w:t>Lugar y fecha de expedición;</w:t>
      </w:r>
    </w:p>
    <w:p w:rsidR="009923F3" w:rsidRDefault="0042180A">
      <w:pPr>
        <w:numPr>
          <w:ilvl w:val="0"/>
          <w:numId w:val="2"/>
        </w:numPr>
        <w:spacing w:line="360" w:lineRule="auto"/>
        <w:jc w:val="both"/>
        <w:rPr>
          <w:rFonts w:ascii="Palatino Linotype" w:hAnsi="Palatino Linotype" w:cs="Arial"/>
          <w:bCs/>
          <w:color w:val="000000"/>
        </w:rPr>
      </w:pPr>
      <w:r>
        <w:rPr>
          <w:rFonts w:ascii="Palatino Linotype" w:hAnsi="Palatino Linotype" w:cs="Arial"/>
          <w:bCs/>
          <w:color w:val="000000"/>
        </w:rPr>
        <w:t>Clave del Registro Federal de Contribuyentes de la persona a favor de quien se expida;</w:t>
      </w:r>
    </w:p>
    <w:p w:rsidR="009923F3" w:rsidRDefault="0042180A">
      <w:pPr>
        <w:numPr>
          <w:ilvl w:val="0"/>
          <w:numId w:val="2"/>
        </w:numPr>
        <w:spacing w:line="360" w:lineRule="auto"/>
        <w:jc w:val="both"/>
        <w:rPr>
          <w:rFonts w:ascii="Palatino Linotype" w:hAnsi="Palatino Linotype" w:cs="Arial"/>
          <w:bCs/>
          <w:color w:val="000000"/>
        </w:rPr>
      </w:pPr>
      <w:r>
        <w:rPr>
          <w:rFonts w:ascii="Palatino Linotype" w:hAnsi="Palatino Linotype" w:cs="Arial"/>
          <w:bCs/>
          <w:color w:val="000000"/>
        </w:rPr>
        <w:t>Cantidad, unidad de medida y clase de los bienes, mercancías o descripción del servicio o del uso o goce que amparen;</w:t>
      </w:r>
    </w:p>
    <w:p w:rsidR="009923F3" w:rsidRDefault="0042180A">
      <w:pPr>
        <w:numPr>
          <w:ilvl w:val="0"/>
          <w:numId w:val="2"/>
        </w:numPr>
        <w:spacing w:line="360" w:lineRule="auto"/>
        <w:jc w:val="both"/>
        <w:rPr>
          <w:rFonts w:ascii="Palatino Linotype" w:hAnsi="Palatino Linotype" w:cs="Arial"/>
          <w:bCs/>
          <w:color w:val="000000"/>
        </w:rPr>
      </w:pPr>
      <w:r>
        <w:rPr>
          <w:rFonts w:ascii="Palatino Linotype" w:hAnsi="Palatino Linotype" w:cs="Arial"/>
          <w:bCs/>
          <w:color w:val="000000"/>
        </w:rPr>
        <w:t>Valor unitario consignado en número;</w:t>
      </w:r>
    </w:p>
    <w:p w:rsidR="009923F3" w:rsidRDefault="0042180A">
      <w:pPr>
        <w:numPr>
          <w:ilvl w:val="0"/>
          <w:numId w:val="2"/>
        </w:numPr>
        <w:spacing w:line="360" w:lineRule="auto"/>
        <w:jc w:val="both"/>
        <w:rPr>
          <w:rFonts w:ascii="Palatino Linotype" w:hAnsi="Palatino Linotype" w:cs="Arial"/>
          <w:bCs/>
          <w:color w:val="000000"/>
        </w:rPr>
      </w:pPr>
      <w:r>
        <w:rPr>
          <w:rFonts w:ascii="Palatino Linotype" w:hAnsi="Palatino Linotype" w:cs="Arial"/>
          <w:bCs/>
          <w:color w:val="000000"/>
        </w:rPr>
        <w:t>Importe total señalado en número o en letra;</w:t>
      </w:r>
    </w:p>
    <w:p w:rsidR="009923F3" w:rsidRDefault="0042180A">
      <w:pPr>
        <w:numPr>
          <w:ilvl w:val="0"/>
          <w:numId w:val="2"/>
        </w:numPr>
        <w:spacing w:line="360" w:lineRule="auto"/>
        <w:jc w:val="both"/>
        <w:rPr>
          <w:rFonts w:ascii="Palatino Linotype" w:hAnsi="Palatino Linotype" w:cs="Arial"/>
          <w:bCs/>
          <w:color w:val="000000"/>
        </w:rPr>
      </w:pPr>
      <w:r>
        <w:rPr>
          <w:rFonts w:ascii="Palatino Linotype" w:hAnsi="Palatino Linotype" w:cs="Arial"/>
          <w:bCs/>
          <w:color w:val="000000"/>
        </w:rPr>
        <w:t>Señalamiento expreso cuando la prestación se pague en una sola exhibición o en parcialidades;</w:t>
      </w:r>
    </w:p>
    <w:p w:rsidR="009923F3" w:rsidRDefault="0042180A">
      <w:pPr>
        <w:numPr>
          <w:ilvl w:val="0"/>
          <w:numId w:val="2"/>
        </w:numPr>
        <w:spacing w:line="360" w:lineRule="auto"/>
        <w:jc w:val="both"/>
        <w:rPr>
          <w:rFonts w:ascii="Palatino Linotype" w:hAnsi="Palatino Linotype" w:cs="Arial"/>
          <w:bCs/>
          <w:color w:val="000000"/>
        </w:rPr>
      </w:pPr>
      <w:r>
        <w:rPr>
          <w:rFonts w:ascii="Palatino Linotype" w:hAnsi="Palatino Linotype" w:cs="Arial"/>
          <w:bCs/>
          <w:color w:val="000000"/>
        </w:rPr>
        <w:lastRenderedPageBreak/>
        <w:t>Cuando proceda, se indicará el monto de los impuestos trasladados, desglosados por tasa de impuesto y, en su caso, el monto de los impuestos retenidos;</w:t>
      </w:r>
    </w:p>
    <w:p w:rsidR="009923F3" w:rsidRDefault="0042180A">
      <w:pPr>
        <w:numPr>
          <w:ilvl w:val="0"/>
          <w:numId w:val="2"/>
        </w:numPr>
        <w:spacing w:line="360" w:lineRule="auto"/>
        <w:jc w:val="both"/>
        <w:rPr>
          <w:rFonts w:ascii="Palatino Linotype" w:hAnsi="Palatino Linotype" w:cs="Arial"/>
          <w:bCs/>
          <w:color w:val="000000"/>
        </w:rPr>
      </w:pPr>
      <w:r>
        <w:rPr>
          <w:rFonts w:ascii="Palatino Linotype" w:hAnsi="Palatino Linotype" w:cs="Arial"/>
          <w:bCs/>
          <w:color w:val="000000"/>
        </w:rPr>
        <w:t>Forma en que se realizó el pago (efectivo, transferencia electrónica de fondos, cheque nominativos o tarjeta de débito, de crédito, de servicio o la denominada monedero electrónico que autorice el SAT);</w:t>
      </w:r>
    </w:p>
    <w:p w:rsidR="009923F3" w:rsidRDefault="0042180A">
      <w:pPr>
        <w:numPr>
          <w:ilvl w:val="0"/>
          <w:numId w:val="2"/>
        </w:numPr>
        <w:spacing w:line="360" w:lineRule="auto"/>
        <w:jc w:val="both"/>
        <w:rPr>
          <w:rFonts w:ascii="Palatino Linotype" w:hAnsi="Palatino Linotype" w:cs="Arial"/>
          <w:bCs/>
          <w:color w:val="000000"/>
        </w:rPr>
      </w:pPr>
      <w:r>
        <w:rPr>
          <w:rFonts w:ascii="Palatino Linotype" w:hAnsi="Palatino Linotype" w:cs="Arial"/>
          <w:bCs/>
          <w:color w:val="000000"/>
        </w:rPr>
        <w:t>Número y fecha del documento aduanero, tratándose de ventas de primera mano de mercancías de importación;</w:t>
      </w:r>
    </w:p>
    <w:p w:rsidR="009923F3" w:rsidRDefault="0042180A">
      <w:pPr>
        <w:numPr>
          <w:ilvl w:val="0"/>
          <w:numId w:val="2"/>
        </w:numPr>
        <w:spacing w:line="360" w:lineRule="auto"/>
        <w:jc w:val="both"/>
        <w:rPr>
          <w:rFonts w:ascii="Palatino Linotype" w:hAnsi="Palatino Linotype" w:cs="Arial"/>
          <w:bCs/>
          <w:color w:val="000000"/>
        </w:rPr>
      </w:pPr>
      <w:r>
        <w:rPr>
          <w:rFonts w:ascii="Palatino Linotype" w:hAnsi="Palatino Linotype" w:cs="Arial"/>
          <w:bCs/>
          <w:color w:val="000000"/>
        </w:rPr>
        <w:t>Fecha y hora de certificación;</w:t>
      </w:r>
    </w:p>
    <w:p w:rsidR="009923F3" w:rsidRDefault="0042180A">
      <w:pPr>
        <w:numPr>
          <w:ilvl w:val="0"/>
          <w:numId w:val="2"/>
        </w:numPr>
        <w:spacing w:line="360" w:lineRule="auto"/>
        <w:jc w:val="both"/>
        <w:rPr>
          <w:rFonts w:ascii="Palatino Linotype" w:hAnsi="Palatino Linotype" w:cs="Arial"/>
          <w:bCs/>
          <w:color w:val="000000"/>
        </w:rPr>
      </w:pPr>
      <w:r>
        <w:rPr>
          <w:rFonts w:ascii="Palatino Linotype" w:hAnsi="Palatino Linotype" w:cs="Arial"/>
          <w:bCs/>
          <w:color w:val="000000"/>
        </w:rPr>
        <w:t>Número de serie del certificado digital del SAT con el que se realizó el sellado;</w:t>
      </w:r>
    </w:p>
    <w:p w:rsidR="009923F3" w:rsidRDefault="0042180A">
      <w:pPr>
        <w:numPr>
          <w:ilvl w:val="0"/>
          <w:numId w:val="2"/>
        </w:numPr>
        <w:spacing w:line="360" w:lineRule="auto"/>
        <w:jc w:val="both"/>
        <w:rPr>
          <w:rFonts w:ascii="Palatino Linotype" w:hAnsi="Palatino Linotype" w:cs="Arial"/>
          <w:bCs/>
          <w:color w:val="000000"/>
        </w:rPr>
      </w:pPr>
      <w:r>
        <w:rPr>
          <w:rFonts w:ascii="Palatino Linotype" w:hAnsi="Palatino Linotype" w:cs="Arial"/>
          <w:bCs/>
          <w:color w:val="000000"/>
        </w:rPr>
        <w:t>Código de barras generado conforme al rubro I.D del Anexo 20 o el número de folio fiscal del comprobante;</w:t>
      </w:r>
    </w:p>
    <w:p w:rsidR="009923F3" w:rsidRDefault="0042180A">
      <w:pPr>
        <w:numPr>
          <w:ilvl w:val="0"/>
          <w:numId w:val="2"/>
        </w:numPr>
        <w:spacing w:line="360" w:lineRule="auto"/>
        <w:jc w:val="both"/>
        <w:rPr>
          <w:rFonts w:ascii="Palatino Linotype" w:hAnsi="Palatino Linotype" w:cs="Arial"/>
          <w:bCs/>
          <w:color w:val="000000"/>
        </w:rPr>
      </w:pPr>
      <w:r>
        <w:rPr>
          <w:rFonts w:ascii="Palatino Linotype" w:hAnsi="Palatino Linotype" w:cs="Arial"/>
          <w:bCs/>
          <w:color w:val="000000"/>
        </w:rPr>
        <w:t>Número de serie del CSD del emisor y del SAT;</w:t>
      </w:r>
    </w:p>
    <w:p w:rsidR="009923F3" w:rsidRDefault="0042180A">
      <w:pPr>
        <w:numPr>
          <w:ilvl w:val="0"/>
          <w:numId w:val="2"/>
        </w:numPr>
        <w:spacing w:line="360" w:lineRule="auto"/>
        <w:jc w:val="both"/>
        <w:rPr>
          <w:rFonts w:ascii="Palatino Linotype" w:hAnsi="Palatino Linotype" w:cs="Arial"/>
          <w:bCs/>
          <w:color w:val="000000"/>
        </w:rPr>
      </w:pPr>
      <w:r>
        <w:rPr>
          <w:rFonts w:ascii="Palatino Linotype" w:hAnsi="Palatino Linotype" w:cs="Arial"/>
          <w:bCs/>
          <w:color w:val="000000"/>
        </w:rPr>
        <w:t>La leyenda “Este documento es una representación impresa de un CFDI”;</w:t>
      </w:r>
    </w:p>
    <w:p w:rsidR="009923F3" w:rsidRDefault="0042180A">
      <w:pPr>
        <w:numPr>
          <w:ilvl w:val="0"/>
          <w:numId w:val="2"/>
        </w:numPr>
        <w:spacing w:line="360" w:lineRule="auto"/>
        <w:jc w:val="both"/>
        <w:rPr>
          <w:rFonts w:ascii="Palatino Linotype" w:hAnsi="Palatino Linotype" w:cs="Arial"/>
          <w:bCs/>
          <w:color w:val="000000"/>
        </w:rPr>
      </w:pPr>
      <w:r>
        <w:rPr>
          <w:rFonts w:ascii="Palatino Linotype" w:hAnsi="Palatino Linotype" w:cs="Arial"/>
          <w:bCs/>
          <w:color w:val="000000"/>
        </w:rPr>
        <w:t>Fecha y hora de emisión y de certificación de la Factura; y,</w:t>
      </w:r>
    </w:p>
    <w:p w:rsidR="009923F3" w:rsidRDefault="0042180A">
      <w:pPr>
        <w:numPr>
          <w:ilvl w:val="0"/>
          <w:numId w:val="2"/>
        </w:numPr>
        <w:spacing w:afterAutospacing="1" w:line="360" w:lineRule="auto"/>
        <w:jc w:val="both"/>
        <w:rPr>
          <w:rFonts w:ascii="Palatino Linotype" w:hAnsi="Palatino Linotype" w:cs="Arial"/>
          <w:bCs/>
          <w:color w:val="000000"/>
        </w:rPr>
      </w:pPr>
      <w:r>
        <w:rPr>
          <w:rFonts w:ascii="Palatino Linotype" w:hAnsi="Palatino Linotype" w:cs="Arial"/>
          <w:bCs/>
          <w:color w:val="000000"/>
        </w:rPr>
        <w:t>Cadena original del complemento de certificación digital del SAT.</w:t>
      </w:r>
    </w:p>
    <w:p w:rsidR="009923F3" w:rsidRDefault="0042180A">
      <w:pPr>
        <w:spacing w:beforeAutospacing="1" w:afterAutospacing="1" w:line="360" w:lineRule="auto"/>
        <w:jc w:val="both"/>
        <w:rPr>
          <w:rFonts w:ascii="Palatino Linotype" w:hAnsi="Palatino Linotype" w:cs="Arial"/>
          <w:bCs/>
          <w:color w:val="000000"/>
        </w:rPr>
      </w:pPr>
      <w:r>
        <w:rPr>
          <w:rFonts w:ascii="Palatino Linotype" w:hAnsi="Palatino Linotype" w:cs="Arial"/>
          <w:bCs/>
          <w:color w:val="000000"/>
        </w:rPr>
        <w:t xml:space="preserve">Por tal motivo, </w:t>
      </w:r>
      <w:r>
        <w:rPr>
          <w:rFonts w:ascii="Palatino Linotype" w:hAnsi="Palatino Linotype" w:cs="Arial"/>
          <w:b/>
          <w:bCs/>
          <w:color w:val="000000"/>
        </w:rPr>
        <w:t>EL SUJETO OBLIGADO</w:t>
      </w:r>
      <w:r>
        <w:rPr>
          <w:rFonts w:ascii="Palatino Linotype" w:hAnsi="Palatino Linotype" w:cs="Arial"/>
          <w:bCs/>
          <w:color w:val="000000"/>
        </w:rPr>
        <w:t xml:space="preserve"> debe satisfacer la solicitud de acceso a la información con la entrega de las facturas de los gastos del primer informe de gobierno y del festival cultural; entrega que deberá hacerse, de ser procedente, en </w:t>
      </w:r>
      <w:r>
        <w:rPr>
          <w:rFonts w:ascii="Palatino Linotype" w:hAnsi="Palatino Linotype" w:cs="Arial"/>
          <w:b/>
          <w:bCs/>
          <w:color w:val="000000"/>
        </w:rPr>
        <w:t>versión pública</w:t>
      </w:r>
      <w:r>
        <w:rPr>
          <w:rFonts w:ascii="Palatino Linotype" w:hAnsi="Palatino Linotype" w:cs="Arial"/>
          <w:bCs/>
          <w:color w:val="000000"/>
        </w:rPr>
        <w:t xml:space="preserve">, cumpliendo con las formalidades que en líneas posteriores se estudiarán. </w:t>
      </w:r>
    </w:p>
    <w:p w:rsidR="009923F3" w:rsidRDefault="0042180A">
      <w:pPr>
        <w:widowControl w:val="0"/>
        <w:spacing w:before="240" w:after="240" w:line="360" w:lineRule="auto"/>
        <w:jc w:val="both"/>
        <w:rPr>
          <w:rFonts w:ascii="Palatino Linotype" w:hAnsi="Palatino Linotype" w:cs="Arial"/>
        </w:rPr>
      </w:pPr>
      <w:r>
        <w:rPr>
          <w:rFonts w:ascii="Palatino Linotype" w:hAnsi="Palatino Linotype" w:cs="Arial"/>
        </w:rPr>
        <w:t xml:space="preserve">En el caso específico, la </w:t>
      </w:r>
      <w:r>
        <w:rPr>
          <w:rFonts w:ascii="Palatino Linotype" w:hAnsi="Palatino Linotype"/>
        </w:rPr>
        <w:t>información</w:t>
      </w:r>
      <w:r>
        <w:rPr>
          <w:rFonts w:ascii="Palatino Linotype" w:hAnsi="Palatino Linotype" w:cs="Arial"/>
        </w:rPr>
        <w:t xml:space="preserve"> solicitada puede contener datos personales, que de hacerse públicos afectarían la intimidad y vida privada de determinadas personas; </w:t>
      </w:r>
      <w:r>
        <w:rPr>
          <w:rFonts w:ascii="Palatino Linotype" w:hAnsi="Palatino Linotype" w:cs="Arial"/>
        </w:rPr>
        <w:lastRenderedPageBreak/>
        <w:t xml:space="preserve">es por ello, que deben testarse al momento de la elaboración de versiones públicas </w:t>
      </w:r>
      <w:r>
        <w:rPr>
          <w:rFonts w:ascii="Palatino Linotype" w:eastAsia="Arial Unicode MS" w:hAnsi="Palatino Linotype" w:cs="Arial"/>
        </w:rPr>
        <w:t>tales como:</w:t>
      </w:r>
      <w:r>
        <w:rPr>
          <w:rFonts w:ascii="Palatino Linotype" w:hAnsi="Palatino Linotype"/>
          <w:b/>
          <w:lang w:eastAsia="es-MX"/>
        </w:rPr>
        <w:t xml:space="preserve"> </w:t>
      </w:r>
      <w:r>
        <w:rPr>
          <w:rFonts w:ascii="Palatino Linotype" w:eastAsia="Arial Unicode MS" w:hAnsi="Palatino Linotype" w:cs="Arial"/>
          <w:b/>
        </w:rPr>
        <w:t xml:space="preserve">números de cuenta y </w:t>
      </w:r>
      <w:proofErr w:type="spellStart"/>
      <w:r>
        <w:rPr>
          <w:rFonts w:ascii="Palatino Linotype" w:eastAsia="Arial Unicode MS" w:hAnsi="Palatino Linotype" w:cs="Arial"/>
          <w:b/>
        </w:rPr>
        <w:t>CLABE’s</w:t>
      </w:r>
      <w:proofErr w:type="spellEnd"/>
      <w:r>
        <w:rPr>
          <w:rFonts w:ascii="Palatino Linotype" w:eastAsia="Arial Unicode MS" w:hAnsi="Palatino Linotype" w:cs="Arial"/>
          <w:b/>
        </w:rPr>
        <w:t xml:space="preserve"> interbancarias.</w:t>
      </w:r>
    </w:p>
    <w:p w:rsidR="009923F3" w:rsidRDefault="0042180A">
      <w:pPr>
        <w:widowControl w:val="0"/>
        <w:spacing w:before="240" w:after="240" w:line="360" w:lineRule="auto"/>
        <w:jc w:val="both"/>
        <w:rPr>
          <w:rFonts w:ascii="Palatino Linotype" w:hAnsi="Palatino Linotype" w:cs="Arial"/>
        </w:rPr>
      </w:pPr>
      <w:r>
        <w:rPr>
          <w:rFonts w:ascii="Palatino Linotype" w:hAnsi="Palatino Linotype" w:cs="Arial"/>
        </w:rPr>
        <w:t xml:space="preserve">Por cuanto hace a las </w:t>
      </w:r>
      <w:r>
        <w:rPr>
          <w:rFonts w:ascii="Palatino Linotype" w:hAnsi="Palatino Linotype" w:cs="Arial"/>
          <w:b/>
        </w:rPr>
        <w:t xml:space="preserve">cuentas bancarias y </w:t>
      </w:r>
      <w:proofErr w:type="spellStart"/>
      <w:r>
        <w:rPr>
          <w:rFonts w:ascii="Palatino Linotype" w:hAnsi="Palatino Linotype" w:cs="Arial"/>
          <w:b/>
        </w:rPr>
        <w:t>clabes</w:t>
      </w:r>
      <w:proofErr w:type="spellEnd"/>
      <w:r>
        <w:rPr>
          <w:rFonts w:ascii="Palatino Linotype" w:hAnsi="Palatino Linotype" w:cs="Arial"/>
          <w:b/>
        </w:rPr>
        <w:t xml:space="preserve"> interbancarias</w:t>
      </w:r>
      <w:r>
        <w:rPr>
          <w:rFonts w:ascii="Palatino Linotype" w:hAnsi="Palatino Linotype" w:cs="Arial"/>
        </w:rPr>
        <w:t xml:space="preserve">, es de precisar que dicha información es información confidencial únicamente por lo que concierne a los particulares, no así del </w:t>
      </w:r>
      <w:r>
        <w:rPr>
          <w:rFonts w:ascii="Palatino Linotype" w:hAnsi="Palatino Linotype" w:cs="Arial"/>
          <w:b/>
        </w:rPr>
        <w:t xml:space="preserve">SUJETO OBLIGADO, </w:t>
      </w:r>
      <w:r>
        <w:rPr>
          <w:rFonts w:ascii="Palatino Linotype" w:hAnsi="Palatino Linotype" w:cs="Arial"/>
        </w:rPr>
        <w:t>toda vez que su publicidad abona a la transparencia y a la rendición de cuentas.</w:t>
      </w:r>
    </w:p>
    <w:p w:rsidR="009923F3" w:rsidRDefault="0042180A">
      <w:pPr>
        <w:spacing w:before="240" w:after="240" w:line="360" w:lineRule="auto"/>
        <w:jc w:val="both"/>
        <w:rPr>
          <w:rFonts w:ascii="Palatino Linotype" w:eastAsia="Calibri" w:hAnsi="Palatino Linotype"/>
        </w:rPr>
      </w:pPr>
      <w:r>
        <w:rPr>
          <w:rFonts w:ascii="Palatino Linotype" w:eastAsia="Calibri" w:hAnsi="Palatino Linotype"/>
        </w:rPr>
        <w:t xml:space="preserve">En este sentido, es importante precisar que, de acuerdo al </w:t>
      </w:r>
      <w:r>
        <w:rPr>
          <w:rFonts w:ascii="Palatino Linotype" w:eastAsia="Calibri" w:hAnsi="Palatino Linotype"/>
          <w:b/>
        </w:rPr>
        <w:t>criterio 11/17</w:t>
      </w:r>
      <w:r>
        <w:rPr>
          <w:rFonts w:ascii="Palatino Linotype" w:eastAsia="Calibri" w:hAnsi="Palatino Linotype"/>
        </w:rPr>
        <w:t xml:space="preserve"> emitido por el INAI, las cuentas bancarias y/o </w:t>
      </w:r>
      <w:proofErr w:type="spellStart"/>
      <w:r>
        <w:rPr>
          <w:rFonts w:ascii="Palatino Linotype" w:eastAsia="Calibri" w:hAnsi="Palatino Linotype"/>
        </w:rPr>
        <w:t>clabes</w:t>
      </w:r>
      <w:proofErr w:type="spellEnd"/>
      <w:r>
        <w:rPr>
          <w:rFonts w:ascii="Palatino Linotype" w:eastAsia="Calibri" w:hAnsi="Palatino Linotype"/>
        </w:rPr>
        <w:t xml:space="preserve"> interbancarias de los Sujetos Obligados es información de carácter público. </w:t>
      </w:r>
    </w:p>
    <w:p w:rsidR="009923F3" w:rsidRDefault="0042180A">
      <w:pPr>
        <w:tabs>
          <w:tab w:val="left" w:pos="8222"/>
        </w:tabs>
        <w:ind w:left="851" w:right="902"/>
        <w:jc w:val="center"/>
        <w:rPr>
          <w:rFonts w:ascii="Palatino Linotype" w:hAnsi="Palatino Linotype" w:cs="Arial"/>
          <w:b/>
          <w:color w:val="000000"/>
          <w:sz w:val="22"/>
          <w:szCs w:val="22"/>
        </w:rPr>
      </w:pPr>
      <w:r>
        <w:rPr>
          <w:rFonts w:ascii="Palatino Linotype" w:hAnsi="Palatino Linotype" w:cs="Arial"/>
          <w:color w:val="000000"/>
          <w:sz w:val="22"/>
          <w:szCs w:val="22"/>
        </w:rPr>
        <w:t>“</w:t>
      </w:r>
      <w:r>
        <w:rPr>
          <w:rFonts w:ascii="Palatino Linotype" w:hAnsi="Palatino Linotype" w:cs="Arial"/>
          <w:b/>
          <w:color w:val="000000"/>
          <w:sz w:val="22"/>
          <w:szCs w:val="22"/>
        </w:rPr>
        <w:t>Criterio 11/17</w:t>
      </w:r>
    </w:p>
    <w:p w:rsidR="009923F3" w:rsidRDefault="0042180A">
      <w:pPr>
        <w:tabs>
          <w:tab w:val="left" w:pos="8222"/>
        </w:tabs>
        <w:ind w:left="851" w:right="902"/>
        <w:jc w:val="both"/>
        <w:rPr>
          <w:rFonts w:ascii="Palatino Linotype" w:hAnsi="Palatino Linotype"/>
          <w:i/>
          <w:sz w:val="22"/>
          <w:szCs w:val="22"/>
        </w:rPr>
      </w:pPr>
      <w:r>
        <w:rPr>
          <w:rFonts w:ascii="Palatino Linotype" w:hAnsi="Palatino Linotype"/>
          <w:b/>
          <w:i/>
          <w:sz w:val="22"/>
          <w:szCs w:val="22"/>
        </w:rPr>
        <w:t>Cuentas bancarias y/o CLABE interbancaria de sujetos obligados que reciben y/o transfieren recursos públicos, son información pública.</w:t>
      </w:r>
      <w:r>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9923F3" w:rsidRDefault="0042180A">
      <w:pPr>
        <w:tabs>
          <w:tab w:val="left" w:pos="8222"/>
        </w:tabs>
        <w:ind w:left="851" w:right="902"/>
        <w:jc w:val="both"/>
        <w:rPr>
          <w:rFonts w:ascii="Palatino Linotype" w:hAnsi="Palatino Linotype"/>
          <w:i/>
          <w:sz w:val="22"/>
          <w:szCs w:val="22"/>
        </w:rPr>
      </w:pPr>
      <w:r>
        <w:rPr>
          <w:rFonts w:ascii="Palatino Linotype" w:hAnsi="Palatino Linotype"/>
          <w:i/>
          <w:sz w:val="22"/>
          <w:szCs w:val="22"/>
        </w:rPr>
        <w:t xml:space="preserve">Resoluciones: </w:t>
      </w:r>
    </w:p>
    <w:p w:rsidR="009923F3" w:rsidRDefault="0042180A">
      <w:pPr>
        <w:tabs>
          <w:tab w:val="left" w:pos="8222"/>
        </w:tabs>
        <w:ind w:left="851" w:right="902"/>
        <w:jc w:val="both"/>
        <w:rPr>
          <w:rFonts w:ascii="Palatino Linotype" w:hAnsi="Palatino Linotype"/>
          <w:i/>
          <w:sz w:val="22"/>
          <w:szCs w:val="22"/>
        </w:rPr>
      </w:pPr>
      <w:r>
        <w:rPr>
          <w:rFonts w:ascii="Symbol" w:eastAsia="Symbol" w:hAnsi="Symbol" w:cs="Symbol"/>
          <w:i/>
          <w:sz w:val="22"/>
          <w:szCs w:val="22"/>
        </w:rPr>
        <w:t></w:t>
      </w:r>
      <w:r>
        <w:rPr>
          <w:rFonts w:ascii="Palatino Linotype" w:hAnsi="Palatino Linotype"/>
          <w:i/>
          <w:sz w:val="22"/>
          <w:szCs w:val="22"/>
        </w:rPr>
        <w:t xml:space="preserve"> RRA 0448/16. NOTIMEX, Agencia de Noticias del Estado Mexicano. 24 de agosto de 2016. Por unanimidad. Comisionado Ponente Joel Salas Suárez.</w:t>
      </w:r>
    </w:p>
    <w:p w:rsidR="009923F3" w:rsidRDefault="0042180A">
      <w:pPr>
        <w:tabs>
          <w:tab w:val="left" w:pos="8222"/>
        </w:tabs>
        <w:ind w:left="851" w:right="902"/>
        <w:jc w:val="both"/>
        <w:rPr>
          <w:rFonts w:ascii="Palatino Linotype" w:hAnsi="Palatino Linotype"/>
          <w:i/>
          <w:sz w:val="22"/>
          <w:szCs w:val="22"/>
        </w:rPr>
      </w:pPr>
      <w:r>
        <w:rPr>
          <w:rFonts w:ascii="Symbol" w:eastAsia="Symbol" w:hAnsi="Symbol" w:cs="Symbol"/>
          <w:i/>
          <w:sz w:val="22"/>
          <w:szCs w:val="22"/>
        </w:rPr>
        <w:t></w:t>
      </w:r>
      <w:r>
        <w:rPr>
          <w:rFonts w:ascii="Palatino Linotype" w:hAnsi="Palatino Linotype"/>
          <w:i/>
          <w:sz w:val="22"/>
          <w:szCs w:val="22"/>
        </w:rPr>
        <w:t xml:space="preserve"> RRA 2787/16. Colegio de Postgraduados. 01 de noviembre de 2016. Por unanimidad. Comisionado Ponente Francisco Javier Acuña Llamas.</w:t>
      </w:r>
    </w:p>
    <w:p w:rsidR="009923F3" w:rsidRDefault="0042180A">
      <w:pPr>
        <w:tabs>
          <w:tab w:val="left" w:pos="8222"/>
        </w:tabs>
        <w:ind w:left="851" w:right="902"/>
        <w:jc w:val="both"/>
        <w:rPr>
          <w:rFonts w:ascii="Palatino Linotype" w:hAnsi="Palatino Linotype"/>
          <w:i/>
          <w:sz w:val="22"/>
          <w:szCs w:val="22"/>
        </w:rPr>
      </w:pPr>
      <w:r>
        <w:rPr>
          <w:rFonts w:ascii="Symbol" w:eastAsia="Symbol" w:hAnsi="Symbol" w:cs="Symbol"/>
          <w:i/>
          <w:sz w:val="22"/>
          <w:szCs w:val="22"/>
        </w:rPr>
        <w:t></w:t>
      </w:r>
      <w:r>
        <w:rPr>
          <w:rFonts w:ascii="Palatino Linotype" w:hAnsi="Palatino Linotype"/>
          <w:i/>
          <w:sz w:val="22"/>
          <w:szCs w:val="22"/>
        </w:rPr>
        <w:t xml:space="preserve"> RRA 4756/16. Instituto Mexicano del Seguro Social. 08 de febrero de 2017. Por unanimidad. Comisionado Ponente Oscar Mauricio Guerra Ford.” </w:t>
      </w:r>
      <w:r>
        <w:rPr>
          <w:rFonts w:ascii="Palatino Linotype" w:hAnsi="Palatino Linotype"/>
          <w:sz w:val="22"/>
          <w:szCs w:val="22"/>
        </w:rPr>
        <w:t>(</w:t>
      </w:r>
      <w:r>
        <w:rPr>
          <w:rFonts w:ascii="Palatino Linotype" w:hAnsi="Palatino Linotype"/>
          <w:i/>
          <w:sz w:val="22"/>
          <w:szCs w:val="22"/>
        </w:rPr>
        <w:t>Sic</w:t>
      </w:r>
      <w:r>
        <w:rPr>
          <w:rFonts w:ascii="Palatino Linotype" w:hAnsi="Palatino Linotype"/>
          <w:sz w:val="22"/>
          <w:szCs w:val="22"/>
        </w:rPr>
        <w:t>)</w:t>
      </w:r>
    </w:p>
    <w:p w:rsidR="009923F3" w:rsidRDefault="0042180A">
      <w:pPr>
        <w:spacing w:before="240" w:after="240" w:line="360" w:lineRule="auto"/>
        <w:ind w:right="49"/>
        <w:jc w:val="both"/>
        <w:rPr>
          <w:rFonts w:ascii="Palatino Linotype" w:hAnsi="Palatino Linotype" w:cs="Arial"/>
          <w:lang w:val="es-ES_tradnl"/>
        </w:rPr>
      </w:pPr>
      <w:r>
        <w:rPr>
          <w:rFonts w:ascii="Palatino Linotype" w:hAnsi="Palatino Linotype" w:cs="Arial"/>
          <w:lang w:val="es-ES_tradnl"/>
        </w:rPr>
        <w:t xml:space="preserve">Caso contrario a los particulares, como lo refiere el </w:t>
      </w:r>
      <w:r>
        <w:rPr>
          <w:rFonts w:ascii="Palatino Linotype" w:eastAsia="Calibri" w:hAnsi="Palatino Linotype"/>
          <w:b/>
        </w:rPr>
        <w:t>criterio 10/17</w:t>
      </w:r>
      <w:r>
        <w:rPr>
          <w:rFonts w:ascii="Palatino Linotype" w:eastAsia="Calibri" w:hAnsi="Palatino Linotype"/>
        </w:rPr>
        <w:t xml:space="preserve"> emitido por el INAI, que es del tenor literal siguiente:</w:t>
      </w:r>
    </w:p>
    <w:p w:rsidR="009923F3" w:rsidRDefault="0042180A">
      <w:pPr>
        <w:ind w:left="851" w:right="902"/>
        <w:jc w:val="both"/>
        <w:rPr>
          <w:rFonts w:ascii="Palatino Linotype" w:hAnsi="Palatino Linotype" w:cs="Arial"/>
          <w:i/>
          <w:sz w:val="22"/>
          <w:szCs w:val="22"/>
          <w:lang w:val="es-ES_tradnl"/>
        </w:rPr>
      </w:pPr>
      <w:r>
        <w:rPr>
          <w:rFonts w:ascii="Palatino Linotype" w:hAnsi="Palatino Linotype" w:cs="Arial"/>
          <w:b/>
          <w:i/>
          <w:sz w:val="22"/>
          <w:szCs w:val="22"/>
          <w:lang w:val="es-ES_tradnl"/>
        </w:rPr>
        <w:t>Cuentas bancarias y/o CLABE interbancaria de personas físicas y morales privadas. El número de cuenta bancaria y/o CLABE interbancaria de particulares es información confidencial</w:t>
      </w:r>
      <w:r>
        <w:rPr>
          <w:rFonts w:ascii="Palatino Linotype" w:hAnsi="Palatino Linotype" w:cs="Arial"/>
          <w:i/>
          <w:sz w:val="22"/>
          <w:szCs w:val="22"/>
          <w:lang w:val="es-ES_tradnl"/>
        </w:rPr>
        <w:t xml:space="preserve">, al tratarse de un conjunto de </w:t>
      </w:r>
      <w:r>
        <w:rPr>
          <w:rFonts w:ascii="Palatino Linotype" w:hAnsi="Palatino Linotype" w:cs="Arial"/>
          <w:i/>
          <w:sz w:val="22"/>
          <w:szCs w:val="22"/>
          <w:lang w:val="es-ES_tradnl"/>
        </w:rPr>
        <w:lastRenderedPageBreak/>
        <w:t xml:space="preserve">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9923F3" w:rsidRDefault="0042180A">
      <w:pPr>
        <w:ind w:left="851" w:right="902"/>
        <w:jc w:val="both"/>
        <w:rPr>
          <w:rFonts w:ascii="Palatino Linotype" w:hAnsi="Palatino Linotype" w:cs="Arial"/>
          <w:i/>
          <w:sz w:val="22"/>
          <w:szCs w:val="22"/>
          <w:lang w:val="es-ES_tradnl"/>
        </w:rPr>
      </w:pPr>
      <w:r>
        <w:rPr>
          <w:rFonts w:ascii="Palatino Linotype" w:hAnsi="Palatino Linotype" w:cs="Arial"/>
          <w:i/>
          <w:sz w:val="22"/>
          <w:szCs w:val="22"/>
          <w:lang w:val="es-ES_tradnl"/>
        </w:rPr>
        <w:t xml:space="preserve">Resoluciones:  </w:t>
      </w:r>
    </w:p>
    <w:p w:rsidR="009923F3" w:rsidRDefault="0042180A">
      <w:pPr>
        <w:ind w:left="851" w:right="902"/>
        <w:jc w:val="both"/>
        <w:rPr>
          <w:rFonts w:ascii="Palatino Linotype" w:hAnsi="Palatino Linotype" w:cs="Arial"/>
          <w:i/>
          <w:sz w:val="22"/>
          <w:szCs w:val="22"/>
          <w:lang w:val="es-ES_tradnl"/>
        </w:rPr>
      </w:pPr>
      <w:r>
        <w:rPr>
          <w:rFonts w:ascii="Palatino Linotype" w:hAnsi="Palatino Linotype" w:cs="Arial"/>
          <w:i/>
          <w:sz w:val="22"/>
          <w:szCs w:val="22"/>
          <w:lang w:val="es-ES_tradnl"/>
        </w:rPr>
        <w:t>RRA 1276/16 Grupo Aeroportuario de la Ciudad de México. S.A. de C.V. 01 de noviembre de 2016. Por unanimidad. Comisionada Ponente Areli Cano Guadiana.</w:t>
      </w:r>
    </w:p>
    <w:p w:rsidR="009923F3" w:rsidRDefault="0042180A">
      <w:pPr>
        <w:ind w:left="851" w:right="902"/>
        <w:jc w:val="both"/>
        <w:rPr>
          <w:rFonts w:ascii="Palatino Linotype" w:hAnsi="Palatino Linotype" w:cs="Arial"/>
          <w:i/>
          <w:sz w:val="22"/>
          <w:szCs w:val="22"/>
          <w:lang w:val="es-ES_tradnl"/>
        </w:rPr>
      </w:pPr>
      <w:r>
        <w:rPr>
          <w:rFonts w:ascii="Palatino Linotype" w:hAnsi="Palatino Linotype" w:cs="Arial"/>
          <w:i/>
          <w:sz w:val="22"/>
          <w:szCs w:val="22"/>
          <w:lang w:val="es-ES_tradnl"/>
        </w:rPr>
        <w:t xml:space="preserve">RRA 3527/16 Servicio de Administración Tributaria. 07 de diciembre de 2016. Por unanimidad. Comisionada Ponente Ximena Puente de la Mora.  </w:t>
      </w:r>
      <w:r>
        <w:rPr>
          <w:rFonts w:ascii="Palatino Linotype" w:hAnsi="Palatino Linotype" w:cs="Arial"/>
          <w:i/>
          <w:sz w:val="22"/>
          <w:szCs w:val="22"/>
          <w:lang w:val="es-ES_tradnl"/>
        </w:rPr>
        <w:t xml:space="preserve"> </w:t>
      </w:r>
    </w:p>
    <w:p w:rsidR="009923F3" w:rsidRDefault="0042180A">
      <w:pPr>
        <w:ind w:left="851" w:right="902"/>
        <w:jc w:val="both"/>
        <w:rPr>
          <w:rFonts w:ascii="Palatino Linotype" w:hAnsi="Palatino Linotype" w:cs="Arial"/>
          <w:i/>
          <w:sz w:val="22"/>
          <w:szCs w:val="22"/>
          <w:lang w:val="es-ES_tradnl"/>
        </w:rPr>
      </w:pPr>
      <w:r>
        <w:rPr>
          <w:rFonts w:ascii="Palatino Linotype" w:hAnsi="Palatino Linotype" w:cs="Arial"/>
          <w:i/>
          <w:sz w:val="22"/>
          <w:szCs w:val="22"/>
          <w:lang w:val="es-ES_tradnl"/>
        </w:rPr>
        <w:t>RRA 4404/16 Partido del Trabajo. 01 de febrero de 2017. Por unanimidad. Comisionado Ponente Francisco Acuña Llamas.</w:t>
      </w:r>
    </w:p>
    <w:p w:rsidR="009923F3" w:rsidRDefault="0042180A">
      <w:pPr>
        <w:spacing w:before="240" w:after="240" w:line="360" w:lineRule="auto"/>
        <w:ind w:right="49"/>
        <w:jc w:val="both"/>
        <w:rPr>
          <w:rFonts w:ascii="Palatino Linotype" w:hAnsi="Palatino Linotype" w:cs="Arial"/>
          <w:lang w:val="es-ES_tradnl"/>
        </w:rPr>
      </w:pPr>
      <w:r>
        <w:rPr>
          <w:rFonts w:ascii="Palatino Linotype" w:hAnsi="Palatino Linotype" w:cs="Arial"/>
          <w:lang w:val="es-ES_tradnl"/>
        </w:rPr>
        <w:t xml:space="preserve">Por lo tanto, </w:t>
      </w:r>
      <w:r>
        <w:rPr>
          <w:rFonts w:ascii="Palatino Linotype" w:hAnsi="Palatino Linotype" w:cs="Arial"/>
          <w:b/>
          <w:lang w:val="es-ES_tradnl"/>
        </w:rPr>
        <w:t>la entrega de documentos, en su versión pública, debe acompañarse necesariamente del Acuerdo del Comité de Transparencia que la sustente</w:t>
      </w:r>
      <w:r>
        <w:rPr>
          <w:rFonts w:ascii="Palatino Linotype" w:hAnsi="Palatino Linotype" w:cs="Arial"/>
          <w:lang w:val="es-ES_tradnl"/>
        </w:rPr>
        <w:t xml:space="preserve">, en el que se expongan los fundamentos y razonamientos que llevaron al </w:t>
      </w:r>
      <w:r>
        <w:rPr>
          <w:rFonts w:ascii="Palatino Linotype" w:hAnsi="Palatino Linotype" w:cs="Arial"/>
          <w:b/>
          <w:lang w:val="es-ES_tradnl"/>
        </w:rPr>
        <w:t>SUJETO OBLIGADO</w:t>
      </w:r>
      <w:r>
        <w:rPr>
          <w:rFonts w:ascii="Palatino Linotype" w:hAnsi="Palatino Linotype" w:cs="Arial"/>
          <w:lang w:val="es-ES_tradnl"/>
        </w:rPr>
        <w:t xml:space="preserve"> a testar, suprimir o eliminar datos de dicho soporte documental, </w:t>
      </w:r>
      <w:r>
        <w:rPr>
          <w:rFonts w:ascii="Palatino Linotype" w:hAnsi="Palatino Linotype" w:cs="Arial"/>
          <w:b/>
          <w:lang w:val="es-ES_tradnl"/>
        </w:rPr>
        <w:t>ya que no hacerlo implica que lo entregado no es legal ni formalmente una versión pública, sino más bien una documentación ilegible, incompleta o tachada</w:t>
      </w:r>
      <w:r>
        <w:rPr>
          <w:rFonts w:ascii="Palatino Linotype" w:hAnsi="Palatino Linotype" w:cs="Arial"/>
          <w:lang w:val="es-ES_tradnl"/>
        </w:rPr>
        <w:t>; pues no señalar las razones por las que no se aprecian determinados datos, ya sea porque se testan o suprimen, deja al solicitante en estado de incertidumbre, al no conocer o comprender por qué no aparecen en la documentación respectiva, es decir, si no se exponen de manera puntual las razones de ello se estaría violentando desde un inicio el derecho de acceso a la información del solicitante.</w:t>
      </w:r>
    </w:p>
    <w:p w:rsidR="009923F3" w:rsidRDefault="0042180A">
      <w:pPr>
        <w:pStyle w:val="Prrafodelista"/>
        <w:widowControl w:val="0"/>
        <w:tabs>
          <w:tab w:val="left" w:pos="1701"/>
          <w:tab w:val="left" w:pos="1843"/>
        </w:tabs>
        <w:spacing w:before="360" w:after="240" w:line="360" w:lineRule="auto"/>
        <w:ind w:left="0"/>
        <w:contextualSpacing/>
        <w:jc w:val="both"/>
        <w:rPr>
          <w:rFonts w:ascii="Palatino Linotype" w:eastAsia="Calibri" w:hAnsi="Palatino Linotype" w:cs="Arial"/>
        </w:rPr>
      </w:pPr>
      <w:r>
        <w:rPr>
          <w:rFonts w:ascii="Palatino Linotype" w:eastAsia="Calibri" w:hAnsi="Palatino Linotype" w:cs="Arial"/>
        </w:rPr>
        <w:t xml:space="preserve">En mérito de lo expuesto, esta Autoridad estima que las razones o motivos de inconformidad hechos valer por </w:t>
      </w:r>
      <w:r>
        <w:rPr>
          <w:rFonts w:ascii="Palatino Linotype" w:eastAsia="Calibri" w:hAnsi="Palatino Linotype" w:cs="Arial"/>
          <w:b/>
        </w:rPr>
        <w:t>EL RECURRENTE</w:t>
      </w:r>
      <w:r>
        <w:rPr>
          <w:rFonts w:ascii="Palatino Linotype" w:eastAsia="Calibri" w:hAnsi="Palatino Linotype" w:cs="Arial"/>
        </w:rPr>
        <w:t xml:space="preserve"> devienen </w:t>
      </w:r>
      <w:r>
        <w:rPr>
          <w:rFonts w:ascii="Palatino Linotype" w:eastAsia="Calibri" w:hAnsi="Palatino Linotype" w:cs="Arial"/>
          <w:b/>
        </w:rPr>
        <w:t>parcialmente fundados</w:t>
      </w:r>
      <w:r>
        <w:rPr>
          <w:rFonts w:ascii="Palatino Linotype" w:eastAsia="Calibri" w:hAnsi="Palatino Linotype" w:cs="Arial"/>
        </w:rPr>
        <w:t xml:space="preserve">; por lo que, lo procedente es </w:t>
      </w:r>
      <w:r>
        <w:rPr>
          <w:rFonts w:ascii="Palatino Linotype" w:eastAsia="Calibri" w:hAnsi="Palatino Linotype" w:cs="Arial"/>
          <w:b/>
        </w:rPr>
        <w:t>REVOCAR</w:t>
      </w:r>
      <w:r>
        <w:rPr>
          <w:rFonts w:ascii="Palatino Linotype" w:eastAsia="Calibri" w:hAnsi="Palatino Linotype" w:cs="Arial"/>
        </w:rPr>
        <w:t xml:space="preserve"> la respuesta del </w:t>
      </w:r>
      <w:r>
        <w:rPr>
          <w:rFonts w:ascii="Palatino Linotype" w:eastAsia="Calibri" w:hAnsi="Palatino Linotype" w:cs="Arial"/>
          <w:b/>
        </w:rPr>
        <w:t xml:space="preserve">SUJETO OBLIGADO </w:t>
      </w:r>
      <w:r>
        <w:rPr>
          <w:rFonts w:ascii="Palatino Linotype" w:eastAsia="Calibri" w:hAnsi="Palatino Linotype" w:cs="Arial"/>
        </w:rPr>
        <w:t>y ordenar la entrega de la información referida en el presente Considerando.</w:t>
      </w:r>
    </w:p>
    <w:p w:rsidR="009923F3" w:rsidRDefault="009923F3">
      <w:pPr>
        <w:pStyle w:val="Prrafodelista"/>
        <w:widowControl w:val="0"/>
        <w:tabs>
          <w:tab w:val="left" w:pos="1276"/>
        </w:tabs>
        <w:spacing w:before="240" w:afterAutospacing="1" w:line="360" w:lineRule="auto"/>
        <w:ind w:left="0"/>
        <w:contextualSpacing/>
        <w:jc w:val="both"/>
        <w:rPr>
          <w:rFonts w:ascii="Palatino Linotype" w:eastAsia="Calibri" w:hAnsi="Palatino Linotype" w:cs="Arial"/>
        </w:rPr>
      </w:pPr>
    </w:p>
    <w:p w:rsidR="009923F3" w:rsidRDefault="0042180A">
      <w:pPr>
        <w:pStyle w:val="Prrafodelista"/>
        <w:widowControl w:val="0"/>
        <w:tabs>
          <w:tab w:val="left" w:pos="1276"/>
        </w:tabs>
        <w:spacing w:before="240" w:afterAutospacing="1" w:line="360" w:lineRule="auto"/>
        <w:ind w:left="0"/>
        <w:contextualSpacing/>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 xml:space="preserve">párrafos vigésimo segundo, vigésimo tercero y vigésimo </w:t>
      </w:r>
      <w:r>
        <w:rPr>
          <w:rFonts w:ascii="Palatino Linotype" w:hAnsi="Palatino Linotype" w:cs="Arial"/>
        </w:rPr>
        <w:t>cuarto,</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188 y 192, fracción III</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9923F3" w:rsidRDefault="0042180A">
      <w:pPr>
        <w:spacing w:before="240" w:afterAutospacing="1" w:line="360" w:lineRule="auto"/>
        <w:jc w:val="center"/>
        <w:rPr>
          <w:rFonts w:ascii="Palatino Linotype" w:hAnsi="Palatino Linotype"/>
          <w:b/>
          <w:bCs/>
          <w:spacing w:val="60"/>
          <w:sz w:val="28"/>
        </w:rPr>
      </w:pPr>
      <w:r>
        <w:rPr>
          <w:rFonts w:ascii="Palatino Linotype" w:hAnsi="Palatino Linotype"/>
          <w:b/>
          <w:bCs/>
          <w:spacing w:val="60"/>
          <w:sz w:val="28"/>
        </w:rPr>
        <w:t>RESUELVE</w:t>
      </w:r>
    </w:p>
    <w:p w:rsidR="009923F3" w:rsidRDefault="0042180A">
      <w:pPr>
        <w:pStyle w:val="Prrafodelista"/>
        <w:widowControl w:val="0"/>
        <w:numPr>
          <w:ilvl w:val="0"/>
          <w:numId w:val="1"/>
        </w:numPr>
        <w:tabs>
          <w:tab w:val="left" w:pos="1701"/>
        </w:tabs>
        <w:spacing w:before="240" w:line="360" w:lineRule="auto"/>
        <w:ind w:left="0" w:firstLine="0"/>
        <w:jc w:val="both"/>
        <w:rPr>
          <w:rFonts w:ascii="Palatino Linotype" w:hAnsi="Palatino Linotype" w:cs="Arial"/>
        </w:rPr>
      </w:pPr>
      <w:r>
        <w:rPr>
          <w:rFonts w:ascii="Palatino Linotype" w:hAnsi="Palatino Linotype" w:cs="Arial"/>
        </w:rPr>
        <w:t xml:space="preserve">Resultan </w:t>
      </w:r>
      <w:r>
        <w:rPr>
          <w:rFonts w:ascii="Palatino Linotype" w:hAnsi="Palatino Linotype" w:cs="Arial"/>
          <w:b/>
        </w:rPr>
        <w:t>parcialmente 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hAnsi="Palatino Linotype"/>
          <w:b/>
        </w:rPr>
        <w:t>EL</w:t>
      </w:r>
      <w:r>
        <w:rPr>
          <w:rFonts w:ascii="Palatino Linotype" w:hAnsi="Palatino Linotype" w:cs="Arial"/>
          <w:b/>
        </w:rPr>
        <w:t xml:space="preserve"> RECURRENTE,</w:t>
      </w:r>
      <w:r>
        <w:rPr>
          <w:rFonts w:ascii="Palatino Linotype" w:hAnsi="Palatino Linotype" w:cs="Arial"/>
        </w:rPr>
        <w:t xml:space="preserve"> en términos del Considerando </w:t>
      </w:r>
      <w:r>
        <w:rPr>
          <w:rFonts w:ascii="Palatino Linotype" w:hAnsi="Palatino Linotype" w:cs="Arial"/>
          <w:b/>
        </w:rPr>
        <w:t>QUINTO</w:t>
      </w:r>
      <w:r>
        <w:rPr>
          <w:rFonts w:ascii="Palatino Linotype" w:hAnsi="Palatino Linotype" w:cs="Arial"/>
        </w:rPr>
        <w:t xml:space="preserve"> de la presente resolución.</w:t>
      </w:r>
    </w:p>
    <w:p w:rsidR="009923F3" w:rsidRDefault="0042180A">
      <w:pPr>
        <w:pStyle w:val="Prrafodelista"/>
        <w:widowControl w:val="0"/>
        <w:numPr>
          <w:ilvl w:val="0"/>
          <w:numId w:val="1"/>
        </w:numPr>
        <w:tabs>
          <w:tab w:val="left" w:pos="1701"/>
        </w:tabs>
        <w:spacing w:before="240" w:afterAutospacing="1" w:line="360" w:lineRule="auto"/>
        <w:ind w:left="0" w:firstLine="0"/>
        <w:jc w:val="both"/>
        <w:rPr>
          <w:rFonts w:ascii="Palatino Linotype" w:hAnsi="Palatino Linotype"/>
        </w:rPr>
      </w:pPr>
      <w:r>
        <w:rPr>
          <w:rFonts w:ascii="Palatino Linotype" w:hAnsi="Palatino Linotype" w:cs="Arial"/>
        </w:rPr>
        <w:t xml:space="preserve">Se </w:t>
      </w:r>
      <w:r>
        <w:rPr>
          <w:rFonts w:ascii="Palatino Linotype" w:hAnsi="Palatino Linotype" w:cs="Arial"/>
          <w:b/>
        </w:rPr>
        <w:t xml:space="preserve">REVOCA </w:t>
      </w:r>
      <w:r>
        <w:rPr>
          <w:rFonts w:ascii="Palatino Linotype" w:hAnsi="Palatino Linotype" w:cs="Arial"/>
        </w:rPr>
        <w:t xml:space="preserve">la respuesta del </w:t>
      </w:r>
      <w:r>
        <w:rPr>
          <w:rFonts w:ascii="Palatino Linotype" w:hAnsi="Palatino Linotype" w:cs="Arial"/>
          <w:b/>
        </w:rPr>
        <w:t>SUJETO OBLIGADO</w:t>
      </w:r>
      <w:r>
        <w:rPr>
          <w:rFonts w:ascii="Palatino Linotype" w:hAnsi="Palatino Linotype" w:cs="Arial"/>
        </w:rPr>
        <w:t xml:space="preserve"> y se </w:t>
      </w:r>
      <w:r>
        <w:rPr>
          <w:rFonts w:ascii="Palatino Linotype" w:hAnsi="Palatino Linotype" w:cs="Arial"/>
          <w:b/>
        </w:rPr>
        <w:t>ordena</w:t>
      </w:r>
      <w:r>
        <w:rPr>
          <w:rFonts w:ascii="Palatino Linotype" w:hAnsi="Palatino Linotype" w:cs="Arial"/>
        </w:rPr>
        <w:t xml:space="preserve"> atienda la solicitud de información pública </w:t>
      </w:r>
      <w:r>
        <w:rPr>
          <w:rFonts w:ascii="Palatino Linotype" w:hAnsi="Palatino Linotype" w:cs="Arial"/>
          <w:b/>
          <w:bCs/>
        </w:rPr>
        <w:t xml:space="preserve">00086/ANTOISLA/IP/2019, </w:t>
      </w:r>
      <w:r>
        <w:rPr>
          <w:rFonts w:ascii="Palatino Linotype" w:hAnsi="Palatino Linotype" w:cs="Arial"/>
          <w:bCs/>
        </w:rPr>
        <w:t>y haga entrega</w:t>
      </w:r>
      <w:r>
        <w:rPr>
          <w:rFonts w:ascii="Palatino Linotype" w:hAnsi="Palatino Linotype" w:cs="Arial"/>
          <w:b/>
          <w:bCs/>
        </w:rPr>
        <w:t xml:space="preserve"> </w:t>
      </w:r>
      <w:r>
        <w:rPr>
          <w:rFonts w:ascii="Palatino Linotype" w:hAnsi="Palatino Linotype" w:cs="Arial"/>
        </w:rPr>
        <w:t xml:space="preserve">al </w:t>
      </w:r>
      <w:r>
        <w:rPr>
          <w:rFonts w:ascii="Palatino Linotype" w:hAnsi="Palatino Linotype" w:cs="Arial"/>
          <w:b/>
        </w:rPr>
        <w:t>RECURRENTE</w:t>
      </w:r>
      <w:r>
        <w:rPr>
          <w:rFonts w:ascii="Palatino Linotype" w:hAnsi="Palatino Linotype" w:cs="Arial"/>
        </w:rPr>
        <w:t xml:space="preserve">, en </w:t>
      </w:r>
      <w:r>
        <w:rPr>
          <w:rFonts w:ascii="Palatino Linotype" w:hAnsi="Palatino Linotype" w:cs="Arial"/>
          <w:b/>
        </w:rPr>
        <w:t>versión pública</w:t>
      </w:r>
      <w:r>
        <w:rPr>
          <w:rFonts w:ascii="Palatino Linotype" w:hAnsi="Palatino Linotype" w:cs="Arial"/>
        </w:rPr>
        <w:t xml:space="preserve"> de ser procedente, vía </w:t>
      </w:r>
      <w:r>
        <w:rPr>
          <w:rFonts w:ascii="Palatino Linotype" w:hAnsi="Palatino Linotype" w:cs="Arial"/>
          <w:b/>
        </w:rPr>
        <w:t>EL</w:t>
      </w:r>
      <w:r>
        <w:rPr>
          <w:rFonts w:ascii="Palatino Linotype" w:hAnsi="Palatino Linotype" w:cs="Arial"/>
        </w:rPr>
        <w:t xml:space="preserve"> </w:t>
      </w:r>
      <w:r>
        <w:rPr>
          <w:rFonts w:ascii="Palatino Linotype" w:hAnsi="Palatino Linotype" w:cs="Arial"/>
          <w:b/>
        </w:rPr>
        <w:t>SAIMEX</w:t>
      </w:r>
      <w:r>
        <w:rPr>
          <w:rFonts w:ascii="Palatino Linotype" w:hAnsi="Palatino Linotype" w:cs="Arial"/>
        </w:rPr>
        <w:t xml:space="preserve">, en </w:t>
      </w:r>
      <w:r>
        <w:rPr>
          <w:rFonts w:ascii="Palatino Linotype" w:hAnsi="Palatino Linotype"/>
          <w:szCs w:val="17"/>
          <w:lang w:eastAsia="es-ES_tradnl"/>
        </w:rPr>
        <w:t>términos</w:t>
      </w:r>
      <w:r>
        <w:rPr>
          <w:rFonts w:ascii="Palatino Linotype" w:hAnsi="Palatino Linotype" w:cs="Arial"/>
        </w:rPr>
        <w:t xml:space="preserve"> del Considerando </w:t>
      </w:r>
      <w:r>
        <w:rPr>
          <w:rFonts w:ascii="Palatino Linotype" w:hAnsi="Palatino Linotype" w:cs="Arial"/>
          <w:b/>
        </w:rPr>
        <w:t>QUINTO</w:t>
      </w:r>
      <w:r>
        <w:rPr>
          <w:rFonts w:ascii="Palatino Linotype" w:hAnsi="Palatino Linotype" w:cs="Arial"/>
        </w:rPr>
        <w:t xml:space="preserve"> </w:t>
      </w:r>
      <w:r>
        <w:rPr>
          <w:rFonts w:ascii="Palatino Linotype" w:hAnsi="Palatino Linotype"/>
        </w:rPr>
        <w:t xml:space="preserve">de la presente resolución, de lo siguiente: </w:t>
      </w:r>
    </w:p>
    <w:p w:rsidR="009923F3" w:rsidRDefault="0042180A">
      <w:pPr>
        <w:ind w:left="851" w:right="902" w:hanging="142"/>
        <w:jc w:val="both"/>
        <w:rPr>
          <w:rFonts w:ascii="Palatino Linotype" w:hAnsi="Palatino Linotype"/>
          <w:i/>
          <w:iCs/>
          <w:color w:val="000000" w:themeColor="text1"/>
          <w:sz w:val="22"/>
          <w:szCs w:val="22"/>
          <w:lang w:eastAsia="es-MX"/>
        </w:rPr>
      </w:pPr>
      <w:r>
        <w:rPr>
          <w:rFonts w:ascii="Palatino Linotype" w:hAnsi="Palatino Linotype"/>
          <w:i/>
          <w:iCs/>
          <w:color w:val="000000" w:themeColor="text1"/>
          <w:sz w:val="22"/>
          <w:szCs w:val="22"/>
          <w:lang w:eastAsia="es-MX"/>
        </w:rPr>
        <w:t>“Las facturas derivadas de los gastos del primer informe de gobierno; así como, del festival cultural, correspondiente al año 2019.</w:t>
      </w:r>
    </w:p>
    <w:p w:rsidR="009923F3" w:rsidRDefault="009923F3">
      <w:pPr>
        <w:ind w:left="851" w:right="902" w:hanging="142"/>
        <w:jc w:val="both"/>
        <w:rPr>
          <w:rFonts w:ascii="Palatino Linotype" w:hAnsi="Palatino Linotype"/>
          <w:i/>
          <w:iCs/>
          <w:color w:val="000000" w:themeColor="text1"/>
          <w:sz w:val="22"/>
          <w:szCs w:val="22"/>
          <w:lang w:eastAsia="es-MX"/>
        </w:rPr>
      </w:pPr>
    </w:p>
    <w:p w:rsidR="009923F3" w:rsidRDefault="0042180A">
      <w:pPr>
        <w:ind w:left="851" w:right="902"/>
        <w:jc w:val="both"/>
        <w:rPr>
          <w:rFonts w:ascii="Palatino Linotype" w:hAnsi="Palatino Linotype"/>
          <w:i/>
          <w:iCs/>
          <w:color w:val="222222"/>
          <w:sz w:val="22"/>
          <w:szCs w:val="22"/>
          <w:lang w:eastAsia="es-MX"/>
        </w:rPr>
      </w:pPr>
      <w:r>
        <w:rPr>
          <w:rFonts w:ascii="Palatino Linotype" w:hAnsi="Palatino Linotype"/>
          <w:i/>
          <w:iCs/>
          <w:color w:val="222222"/>
          <w:sz w:val="22"/>
          <w:szCs w:val="22"/>
          <w:lang w:eastAsia="es-MX"/>
        </w:rPr>
        <w:t xml:space="preserve">Debiendo notificar al </w:t>
      </w:r>
      <w:r>
        <w:rPr>
          <w:rFonts w:ascii="Palatino Linotype" w:hAnsi="Palatino Linotype"/>
          <w:b/>
          <w:i/>
          <w:iCs/>
          <w:color w:val="222222"/>
          <w:sz w:val="22"/>
          <w:szCs w:val="22"/>
          <w:lang w:eastAsia="es-MX"/>
        </w:rPr>
        <w:t>RECURRENTE</w:t>
      </w:r>
      <w:r>
        <w:rPr>
          <w:rFonts w:ascii="Palatino Linotype" w:hAnsi="Palatino Linotype"/>
          <w:i/>
          <w:iCs/>
          <w:color w:val="222222"/>
          <w:sz w:val="22"/>
          <w:szCs w:val="22"/>
          <w:lang w:eastAsia="es-MX"/>
        </w:rPr>
        <w:t xml:space="preserve"> el Acuerdo de Clasificación de la información que apruebe su Comité de Transparencia, con motivo de la versión pública.”</w:t>
      </w:r>
    </w:p>
    <w:p w:rsidR="009923F3" w:rsidRDefault="0042180A">
      <w:pPr>
        <w:pStyle w:val="Prrafodelista"/>
        <w:widowControl w:val="0"/>
        <w:numPr>
          <w:ilvl w:val="0"/>
          <w:numId w:val="1"/>
        </w:numPr>
        <w:tabs>
          <w:tab w:val="left" w:pos="1701"/>
        </w:tabs>
        <w:spacing w:before="240" w:line="360" w:lineRule="auto"/>
        <w:ind w:left="0" w:firstLine="0"/>
        <w:jc w:val="both"/>
        <w:rPr>
          <w:rFonts w:ascii="Palatino Linotype" w:hAnsi="Palatino Linotype"/>
          <w:highlight w:val="white"/>
        </w:rPr>
      </w:pPr>
      <w:r>
        <w:rPr>
          <w:rFonts w:ascii="Palatino Linotype" w:hAnsi="Palatino Linotype"/>
          <w:b/>
          <w:szCs w:val="17"/>
          <w:lang w:eastAsia="es-ES_tradnl"/>
        </w:rPr>
        <w:t>Notifíquese</w:t>
      </w:r>
      <w:r>
        <w:rPr>
          <w:rFonts w:ascii="Palatino Linotype" w:hAnsi="Palatino Linotype"/>
          <w:szCs w:val="17"/>
          <w:lang w:eastAsia="es-ES_tradnl"/>
        </w:rPr>
        <w:t xml:space="preserve"> </w:t>
      </w:r>
      <w:r>
        <w:rPr>
          <w:rFonts w:ascii="Palatino Linotype" w:hAnsi="Palatino Linotype"/>
          <w:shd w:val="clear" w:color="auto" w:fill="FFFFFF"/>
        </w:rPr>
        <w:t xml:space="preserve">al </w:t>
      </w:r>
      <w:r>
        <w:rPr>
          <w:rFonts w:ascii="Palatino Linotype" w:hAnsi="Palatino Linotype" w:cs="Arial"/>
        </w:rPr>
        <w:t>Titular</w:t>
      </w:r>
      <w:r>
        <w:rPr>
          <w:rFonts w:ascii="Palatino Linotype" w:hAnsi="Palatino Linotype"/>
          <w:shd w:val="clear" w:color="auto" w:fill="FFFFFF"/>
        </w:rPr>
        <w:t xml:space="preserve"> de la Unidad de Transparencia del</w:t>
      </w:r>
      <w:r>
        <w:rPr>
          <w:rStyle w:val="apple-converted-space"/>
          <w:rFonts w:ascii="Palatino Linotype" w:hAnsi="Palatino Linotype"/>
          <w:shd w:val="clear" w:color="auto" w:fill="FFFFFF"/>
        </w:rPr>
        <w:t xml:space="preserve"> </w:t>
      </w:r>
      <w:r>
        <w:rPr>
          <w:rFonts w:ascii="Palatino Linotype" w:hAnsi="Palatino Linotype"/>
          <w:b/>
          <w:shd w:val="clear" w:color="auto" w:fill="FFFFFF"/>
        </w:rPr>
        <w:t>SUJETO OBLIGADO</w:t>
      </w:r>
      <w:r>
        <w:rPr>
          <w:rFonts w:ascii="Palatino Linotype" w:hAnsi="Palatino Linotype"/>
          <w:shd w:val="clear" w:color="auto" w:fill="FFFFFF"/>
        </w:rPr>
        <w:t xml:space="preserve"> para que, </w:t>
      </w:r>
      <w:r>
        <w:rPr>
          <w:rFonts w:ascii="Palatino Linotype" w:hAnsi="Palatino Linotype" w:cs="Arial"/>
        </w:rPr>
        <w:t>conforme</w:t>
      </w:r>
      <w:r>
        <w:rPr>
          <w:rFonts w:ascii="Palatino Linotype" w:hAnsi="Palatino Linotype"/>
          <w:shd w:val="clear" w:color="auto" w:fill="FFFFFF"/>
        </w:rPr>
        <w:t xml:space="preserve"> a los artículos 186, último párrafo y 189, párrafo segundo de la Ley de </w:t>
      </w:r>
      <w:r>
        <w:rPr>
          <w:rFonts w:ascii="Palatino Linotype" w:hAnsi="Palatino Linotype"/>
          <w:szCs w:val="17"/>
          <w:lang w:eastAsia="es-ES_tradnl"/>
        </w:rPr>
        <w:t>Transparencia</w:t>
      </w:r>
      <w:r>
        <w:rPr>
          <w:rFonts w:ascii="Palatino Linotype" w:hAnsi="Palatino Linotype"/>
          <w:shd w:val="clear" w:color="auto" w:fill="FFFFFF"/>
        </w:rPr>
        <w:t xml:space="preserve"> y </w:t>
      </w:r>
      <w:r>
        <w:rPr>
          <w:rFonts w:ascii="Palatino Linotype" w:hAnsi="Palatino Linotype" w:cs="Arial"/>
        </w:rPr>
        <w:t>Acceso</w:t>
      </w:r>
      <w:r>
        <w:rPr>
          <w:rFonts w:ascii="Palatino Linotype" w:hAnsi="Palatino Linotype"/>
          <w:shd w:val="clear" w:color="auto" w:fill="FFFFFF"/>
        </w:rPr>
        <w:t xml:space="preserve"> a la Información Pública del Estado de </w:t>
      </w:r>
      <w:r>
        <w:rPr>
          <w:rFonts w:ascii="Palatino Linotype" w:hAnsi="Palatino Linotype"/>
          <w:shd w:val="clear" w:color="auto" w:fill="FFFFFF"/>
        </w:rPr>
        <w:lastRenderedPageBreak/>
        <w:t xml:space="preserve">México y Municipios, dé </w:t>
      </w:r>
      <w:r>
        <w:rPr>
          <w:rFonts w:ascii="Palatino Linotype" w:hAnsi="Palatino Linotype" w:cs="Arial"/>
        </w:rPr>
        <w:t>cumplimiento</w:t>
      </w:r>
      <w:r>
        <w:rPr>
          <w:rFonts w:ascii="Palatino Linotype" w:hAnsi="Palatino Linotype"/>
          <w:shd w:val="clear" w:color="auto" w:fill="FFFFFF"/>
        </w:rPr>
        <w:t xml:space="preserve"> a lo ordenado dentro del plazo de diez días hábiles, debiendo informar a este Instituto en un plazo </w:t>
      </w:r>
      <w:r>
        <w:rPr>
          <w:rFonts w:ascii="Palatino Linotype" w:eastAsiaTheme="minorEastAsia" w:hAnsi="Palatino Linotype"/>
          <w:szCs w:val="17"/>
          <w:lang w:eastAsia="es-ES_tradnl"/>
        </w:rPr>
        <w:t>de</w:t>
      </w:r>
      <w:r>
        <w:rPr>
          <w:rFonts w:ascii="Palatino Linotype" w:hAnsi="Palatino Linotype"/>
          <w:shd w:val="clear" w:color="auto" w:fill="FFFFFF"/>
        </w:rPr>
        <w:t xml:space="preserve"> tres días hábiles siguientes sobre el cumplimiento dado a la resolución.</w:t>
      </w:r>
    </w:p>
    <w:p w:rsidR="009923F3" w:rsidRDefault="0042180A">
      <w:pPr>
        <w:pStyle w:val="Prrafodelista"/>
        <w:widowControl w:val="0"/>
        <w:numPr>
          <w:ilvl w:val="0"/>
          <w:numId w:val="1"/>
        </w:numPr>
        <w:tabs>
          <w:tab w:val="left" w:pos="1701"/>
        </w:tabs>
        <w:spacing w:before="240" w:line="360" w:lineRule="auto"/>
        <w:ind w:left="0" w:firstLine="0"/>
        <w:jc w:val="both"/>
        <w:rPr>
          <w:rFonts w:ascii="Palatino Linotype" w:hAnsi="Palatino Linotype"/>
          <w:highlight w:val="white"/>
        </w:rPr>
      </w:pPr>
      <w:r>
        <w:rPr>
          <w:rFonts w:ascii="Palatino Linotype" w:hAnsi="Palatino Linotype"/>
          <w:shd w:val="clear" w:color="auto" w:fill="FFFFFF"/>
        </w:rPr>
        <w:t xml:space="preserve">Con fundamento en el artículo 198 de la Ley de Transparencia y Acceso a la Información Pública del Estado de México y Municipios, se apercibe al </w:t>
      </w:r>
      <w:r>
        <w:rPr>
          <w:rFonts w:ascii="Palatino Linotype" w:hAnsi="Palatino Linotype"/>
          <w:b/>
          <w:shd w:val="clear" w:color="auto" w:fill="FFFFFF"/>
        </w:rPr>
        <w:t>SUJETO OBLIGADO</w:t>
      </w:r>
      <w:r>
        <w:rPr>
          <w:rFonts w:ascii="Palatino Linotype" w:hAnsi="Palatino Linotype"/>
          <w:shd w:val="clear" w:color="auto" w:fill="FFFFFF"/>
        </w:rPr>
        <w:t xml:space="preserve"> que, en caso de negarse a cumplir la presente resolución o hacerlo de manera parcial se actuará de conformidad con lo previsto en los artículos 213, 214, 216 y 217 de dicha Ley.</w:t>
      </w:r>
    </w:p>
    <w:p w:rsidR="009923F3" w:rsidRDefault="0042180A">
      <w:pPr>
        <w:pStyle w:val="Prrafodelista"/>
        <w:widowControl w:val="0"/>
        <w:numPr>
          <w:ilvl w:val="0"/>
          <w:numId w:val="1"/>
        </w:numPr>
        <w:tabs>
          <w:tab w:val="left" w:pos="1701"/>
        </w:tabs>
        <w:spacing w:before="240" w:line="360" w:lineRule="auto"/>
        <w:ind w:left="0" w:firstLine="0"/>
        <w:jc w:val="both"/>
        <w:rPr>
          <w:rFonts w:ascii="Palatino Linotype" w:hAnsi="Palatino Linotype"/>
          <w:szCs w:val="17"/>
          <w:lang w:eastAsia="es-ES_tradnl"/>
        </w:rPr>
      </w:pPr>
      <w:r>
        <w:rPr>
          <w:rFonts w:ascii="Palatino Linotype" w:hAnsi="Palatino Linotype"/>
          <w:b/>
          <w:szCs w:val="17"/>
          <w:lang w:eastAsia="es-ES_tradnl"/>
        </w:rPr>
        <w:t>Notifíquese</w:t>
      </w:r>
      <w:r>
        <w:rPr>
          <w:rFonts w:ascii="Palatino Linotype" w:hAnsi="Palatino Linotype"/>
          <w:szCs w:val="17"/>
          <w:lang w:eastAsia="es-ES_tradnl"/>
        </w:rPr>
        <w:t xml:space="preserve"> al</w:t>
      </w:r>
      <w:r>
        <w:rPr>
          <w:rFonts w:ascii="Palatino Linotype" w:hAnsi="Palatino Linotype" w:cs="Arial"/>
          <w:b/>
        </w:rPr>
        <w:t xml:space="preserve"> RECURRENTE</w:t>
      </w:r>
      <w:r>
        <w:rPr>
          <w:rFonts w:ascii="Palatino Linotype" w:hAnsi="Palatino Linotype"/>
          <w:szCs w:val="17"/>
          <w:lang w:eastAsia="es-ES_tradnl"/>
        </w:rPr>
        <w:t xml:space="preserve"> la </w:t>
      </w:r>
      <w:r>
        <w:rPr>
          <w:rFonts w:ascii="Palatino Linotype" w:hAnsi="Palatino Linotype" w:cs="Arial"/>
        </w:rPr>
        <w:t>presente</w:t>
      </w:r>
      <w:r>
        <w:rPr>
          <w:rFonts w:ascii="Palatino Linotype" w:hAnsi="Palatino Linotype"/>
          <w:szCs w:val="17"/>
          <w:lang w:eastAsia="es-ES_tradnl"/>
        </w:rPr>
        <w:t xml:space="preserve"> </w:t>
      </w:r>
      <w:r>
        <w:rPr>
          <w:rFonts w:ascii="Palatino Linotype" w:hAnsi="Palatino Linotype"/>
          <w:shd w:val="clear" w:color="auto" w:fill="FFFFFF"/>
        </w:rPr>
        <w:t>resolución</w:t>
      </w:r>
      <w:r>
        <w:rPr>
          <w:rFonts w:ascii="Palatino Linotype" w:hAnsi="Palatino Linotype"/>
          <w:szCs w:val="17"/>
          <w:lang w:eastAsia="es-ES_tradnl"/>
        </w:rPr>
        <w:t>.</w:t>
      </w:r>
    </w:p>
    <w:p w:rsidR="009923F3" w:rsidRDefault="0042180A">
      <w:pPr>
        <w:pStyle w:val="Prrafodelista"/>
        <w:widowControl w:val="0"/>
        <w:numPr>
          <w:ilvl w:val="0"/>
          <w:numId w:val="1"/>
        </w:numPr>
        <w:tabs>
          <w:tab w:val="left" w:pos="1701"/>
        </w:tabs>
        <w:spacing w:before="240" w:afterAutospacing="1" w:line="360" w:lineRule="auto"/>
        <w:ind w:left="0" w:firstLine="0"/>
        <w:jc w:val="both"/>
        <w:rPr>
          <w:rFonts w:ascii="Palatino Linotype" w:hAnsi="Palatino Linotype"/>
          <w:szCs w:val="17"/>
          <w:lang w:eastAsia="es-ES_tradnl"/>
        </w:rPr>
      </w:pPr>
      <w:r>
        <w:rPr>
          <w:rFonts w:ascii="Palatino Linotype" w:hAnsi="Palatino Linotype"/>
          <w:b/>
          <w:szCs w:val="17"/>
          <w:lang w:eastAsia="es-ES_tradnl"/>
        </w:rPr>
        <w:t>Hágase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Pr>
          <w:rFonts w:ascii="Palatino Linotype" w:hAnsi="Palatino Linotype"/>
        </w:rPr>
        <w:t>del</w:t>
      </w:r>
      <w:r>
        <w:rPr>
          <w:rFonts w:ascii="Palatino Linotype" w:hAnsi="Palatino Linotype" w:cs="Arial"/>
          <w:b/>
        </w:rPr>
        <w:t xml:space="preserve"> 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ascii="Palatino Linotype" w:hAnsi="Palatino Linotype" w:cs="Arial"/>
        </w:rPr>
        <w:t>con</w:t>
      </w:r>
      <w:r>
        <w:rPr>
          <w:rFonts w:ascii="Palatino Linotype" w:hAnsi="Palatino Linotype"/>
          <w:szCs w:val="17"/>
          <w:lang w:eastAsia="es-ES_tradnl"/>
        </w:rPr>
        <w:t xml:space="preserve"> lo </w:t>
      </w:r>
      <w:r>
        <w:rPr>
          <w:rFonts w:ascii="Palatino Linotype" w:hAnsi="Palatino Linotype" w:cs="Arial"/>
        </w:rPr>
        <w:t>establecido</w:t>
      </w:r>
      <w:r>
        <w:rPr>
          <w:rFonts w:ascii="Palatino Linotype" w:hAnsi="Palatino Linotype"/>
          <w:szCs w:val="17"/>
          <w:lang w:eastAsia="es-ES_tradnl"/>
        </w:rPr>
        <w:t xml:space="preserve"> en el artículo 196 de la Ley de </w:t>
      </w:r>
      <w:r>
        <w:rPr>
          <w:rFonts w:ascii="Palatino Linotype" w:hAnsi="Palatino Linotype" w:cs="Arial"/>
        </w:rPr>
        <w:t>Transparencia</w:t>
      </w:r>
      <w:r>
        <w:rPr>
          <w:rFonts w:ascii="Palatino Linotype" w:hAnsi="Palatino Linotype"/>
          <w:szCs w:val="17"/>
          <w:lang w:eastAsia="es-ES_tradnl"/>
        </w:rPr>
        <w:t xml:space="preserve"> y </w:t>
      </w:r>
      <w:r>
        <w:rPr>
          <w:rFonts w:ascii="Palatino Linotype" w:hAnsi="Palatino Linotype" w:cs="Arial"/>
        </w:rPr>
        <w:t>Acceso</w:t>
      </w:r>
      <w:r>
        <w:rPr>
          <w:rFonts w:ascii="Palatino Linotype" w:hAnsi="Palatino Linotype"/>
          <w:szCs w:val="17"/>
          <w:lang w:eastAsia="es-ES_tradnl"/>
        </w:rPr>
        <w:t xml:space="preserve"> a la 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 vía Juicio de Amparo en los términos de las leyes aplicables.</w:t>
      </w:r>
    </w:p>
    <w:p w:rsidR="009923F3" w:rsidRDefault="0042180A">
      <w:pPr>
        <w:spacing w:line="360" w:lineRule="auto"/>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w:t>
      </w:r>
      <w:r>
        <w:rPr>
          <w:rFonts w:ascii="Palatino Linotype" w:hAnsi="Palatino Linotype" w:cs="Arial"/>
          <w:shd w:val="clear" w:color="auto" w:fill="FFFFFF"/>
        </w:rPr>
        <w:t xml:space="preserve">EN LA DÉCIMA TERCERA </w:t>
      </w:r>
      <w:r>
        <w:rPr>
          <w:rFonts w:ascii="Palatino Linotype" w:hAnsi="Palatino Linotype" w:cs="Arial"/>
        </w:rPr>
        <w:t xml:space="preserve">SESIÓN ORDINARIA CELEBRADA EL </w:t>
      </w:r>
      <w:r>
        <w:rPr>
          <w:rFonts w:ascii="Palatino Linotype" w:hAnsi="Palatino Linotype" w:cs="Arial"/>
          <w:caps/>
        </w:rPr>
        <w:t>DOCE</w:t>
      </w:r>
      <w:r>
        <w:rPr>
          <w:rFonts w:ascii="Palatino Linotype" w:hAnsi="Palatino Linotype" w:cs="Arial"/>
        </w:rPr>
        <w:t xml:space="preserve"> DE AGOSTO DE DOS MIL VEINTE, ANTE EL SECRETARIO TÉCNICO DEL PLENO, </w:t>
      </w:r>
      <w:r>
        <w:rPr>
          <w:rFonts w:ascii="Palatino Linotype" w:eastAsia="Arial Unicode MS" w:hAnsi="Palatino Linotype" w:cs="Arial"/>
        </w:rPr>
        <w:t>ALEXIS</w:t>
      </w:r>
      <w:r>
        <w:rPr>
          <w:rFonts w:ascii="Palatino Linotype" w:hAnsi="Palatino Linotype" w:cs="Arial"/>
        </w:rPr>
        <w:t xml:space="preserve"> TAPIA RAMÍREZ.</w:t>
      </w:r>
    </w:p>
    <w:tbl>
      <w:tblPr>
        <w:tblW w:w="10368" w:type="dxa"/>
        <w:jc w:val="center"/>
        <w:tblLook w:val="04A0" w:firstRow="1" w:lastRow="0" w:firstColumn="1" w:lastColumn="0" w:noHBand="0" w:noVBand="1"/>
      </w:tblPr>
      <w:tblGrid>
        <w:gridCol w:w="10581"/>
      </w:tblGrid>
      <w:tr w:rsidR="009923F3">
        <w:trPr>
          <w:jc w:val="center"/>
        </w:trPr>
        <w:tc>
          <w:tcPr>
            <w:tcW w:w="10368" w:type="dxa"/>
          </w:tcPr>
          <w:tbl>
            <w:tblPr>
              <w:tblW w:w="10365" w:type="dxa"/>
              <w:jc w:val="center"/>
              <w:tblLook w:val="04A0" w:firstRow="1" w:lastRow="0" w:firstColumn="1" w:lastColumn="0" w:noHBand="0" w:noVBand="1"/>
            </w:tblPr>
            <w:tblGrid>
              <w:gridCol w:w="5182"/>
              <w:gridCol w:w="5183"/>
            </w:tblGrid>
            <w:tr w:rsidR="009923F3">
              <w:trPr>
                <w:jc w:val="center"/>
              </w:trPr>
              <w:tc>
                <w:tcPr>
                  <w:tcW w:w="10364" w:type="dxa"/>
                  <w:gridSpan w:val="2"/>
                  <w:shd w:val="clear" w:color="auto" w:fill="auto"/>
                </w:tcPr>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382515" w:rsidRDefault="00382515">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42180A">
                  <w:pPr>
                    <w:jc w:val="center"/>
                    <w:rPr>
                      <w:rFonts w:ascii="Palatino Linotype" w:hAnsi="Palatino Linotype" w:cs="Arial"/>
                      <w:b/>
                    </w:rPr>
                  </w:pPr>
                  <w:r>
                    <w:rPr>
                      <w:rFonts w:ascii="Palatino Linotype" w:hAnsi="Palatino Linotype" w:cs="Arial"/>
                      <w:b/>
                    </w:rPr>
                    <w:t>Zulema Martínez Sánchez</w:t>
                  </w:r>
                </w:p>
                <w:p w:rsidR="009923F3" w:rsidRDefault="0042180A">
                  <w:pPr>
                    <w:jc w:val="center"/>
                    <w:rPr>
                      <w:rFonts w:ascii="Palatino Linotype" w:hAnsi="Palatino Linotype" w:cs="Arial"/>
                      <w:b/>
                    </w:rPr>
                  </w:pPr>
                  <w:r>
                    <w:rPr>
                      <w:rFonts w:ascii="Palatino Linotype" w:hAnsi="Palatino Linotype" w:cs="Arial"/>
                    </w:rPr>
                    <w:t>Comisionada Presidenta</w:t>
                  </w:r>
                </w:p>
                <w:p w:rsidR="009923F3" w:rsidRDefault="0042180A">
                  <w:pPr>
                    <w:jc w:val="center"/>
                    <w:rPr>
                      <w:rFonts w:ascii="Palatino Linotype" w:hAnsi="Palatino Linotype" w:cs="Arial"/>
                      <w:b/>
                    </w:rPr>
                  </w:pPr>
                  <w:r>
                    <w:rPr>
                      <w:rFonts w:ascii="Palatino Linotype" w:hAnsi="Palatino Linotype" w:cs="Arial"/>
                      <w:b/>
                    </w:rPr>
                    <w:t xml:space="preserve">(RÚBRICA) </w:t>
                  </w:r>
                </w:p>
              </w:tc>
            </w:tr>
            <w:tr w:rsidR="009923F3">
              <w:trPr>
                <w:jc w:val="center"/>
              </w:trPr>
              <w:tc>
                <w:tcPr>
                  <w:tcW w:w="5182" w:type="dxa"/>
                  <w:shd w:val="clear" w:color="auto" w:fill="auto"/>
                </w:tcPr>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42180A">
                  <w:pPr>
                    <w:jc w:val="center"/>
                    <w:rPr>
                      <w:rFonts w:ascii="Palatino Linotype" w:hAnsi="Palatino Linotype" w:cs="Arial"/>
                      <w:b/>
                    </w:rPr>
                  </w:pPr>
                  <w:r>
                    <w:rPr>
                      <w:rFonts w:ascii="Palatino Linotype" w:hAnsi="Palatino Linotype" w:cs="Arial"/>
                      <w:b/>
                    </w:rPr>
                    <w:t>Eva Abaid Yapur</w:t>
                  </w:r>
                </w:p>
                <w:p w:rsidR="009923F3" w:rsidRDefault="0042180A">
                  <w:pPr>
                    <w:jc w:val="center"/>
                    <w:rPr>
                      <w:rFonts w:ascii="Palatino Linotype" w:hAnsi="Palatino Linotype" w:cs="Arial"/>
                    </w:rPr>
                  </w:pPr>
                  <w:r>
                    <w:rPr>
                      <w:rFonts w:ascii="Palatino Linotype" w:hAnsi="Palatino Linotype" w:cs="Arial"/>
                    </w:rPr>
                    <w:t>Comisionada</w:t>
                  </w:r>
                </w:p>
                <w:p w:rsidR="009923F3" w:rsidRDefault="0042180A">
                  <w:pPr>
                    <w:jc w:val="center"/>
                    <w:rPr>
                      <w:rFonts w:ascii="Palatino Linotype" w:hAnsi="Palatino Linotype" w:cs="Arial"/>
                      <w:b/>
                    </w:rPr>
                  </w:pPr>
                  <w:r>
                    <w:rPr>
                      <w:rFonts w:ascii="Palatino Linotype" w:hAnsi="Palatino Linotype" w:cs="Arial"/>
                      <w:b/>
                    </w:rPr>
                    <w:t>(RÚBRICA)</w:t>
                  </w:r>
                </w:p>
              </w:tc>
              <w:tc>
                <w:tcPr>
                  <w:tcW w:w="5182" w:type="dxa"/>
                  <w:shd w:val="clear" w:color="auto" w:fill="auto"/>
                </w:tcPr>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42180A">
                  <w:pPr>
                    <w:jc w:val="center"/>
                    <w:rPr>
                      <w:rFonts w:ascii="Palatino Linotype" w:hAnsi="Palatino Linotype" w:cs="Arial"/>
                      <w:b/>
                    </w:rPr>
                  </w:pPr>
                  <w:r>
                    <w:rPr>
                      <w:rFonts w:ascii="Palatino Linotype" w:hAnsi="Palatino Linotype" w:cs="Arial"/>
                      <w:b/>
                    </w:rPr>
                    <w:t>José Guadalupe Luna Hernández</w:t>
                  </w:r>
                </w:p>
                <w:p w:rsidR="009923F3" w:rsidRDefault="0042180A">
                  <w:pPr>
                    <w:jc w:val="center"/>
                    <w:rPr>
                      <w:rFonts w:ascii="Palatino Linotype" w:hAnsi="Palatino Linotype" w:cs="Arial"/>
                    </w:rPr>
                  </w:pPr>
                  <w:r>
                    <w:rPr>
                      <w:rFonts w:ascii="Palatino Linotype" w:hAnsi="Palatino Linotype" w:cs="Arial"/>
                    </w:rPr>
                    <w:t>Comisionado</w:t>
                  </w:r>
                </w:p>
                <w:p w:rsidR="009923F3" w:rsidRDefault="0042180A">
                  <w:pPr>
                    <w:jc w:val="center"/>
                    <w:rPr>
                      <w:rFonts w:ascii="Palatino Linotype" w:hAnsi="Palatino Linotype" w:cs="Arial"/>
                      <w:b/>
                    </w:rPr>
                  </w:pPr>
                  <w:r>
                    <w:rPr>
                      <w:rFonts w:ascii="Palatino Linotype" w:hAnsi="Palatino Linotype" w:cs="Arial"/>
                      <w:b/>
                    </w:rPr>
                    <w:t>(RÚBRICA)</w:t>
                  </w:r>
                </w:p>
              </w:tc>
            </w:tr>
            <w:tr w:rsidR="009923F3">
              <w:trPr>
                <w:jc w:val="center"/>
              </w:trPr>
              <w:tc>
                <w:tcPr>
                  <w:tcW w:w="5182" w:type="dxa"/>
                  <w:shd w:val="clear" w:color="auto" w:fill="auto"/>
                </w:tcPr>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42180A">
                  <w:pPr>
                    <w:jc w:val="center"/>
                    <w:rPr>
                      <w:rFonts w:ascii="Palatino Linotype" w:hAnsi="Palatino Linotype" w:cs="Arial"/>
                      <w:b/>
                    </w:rPr>
                  </w:pPr>
                  <w:r>
                    <w:rPr>
                      <w:rFonts w:ascii="Palatino Linotype" w:hAnsi="Palatino Linotype" w:cs="Arial"/>
                      <w:b/>
                    </w:rPr>
                    <w:t>Javier Martínez Cruz</w:t>
                  </w:r>
                </w:p>
                <w:p w:rsidR="009923F3" w:rsidRDefault="0042180A">
                  <w:pPr>
                    <w:jc w:val="center"/>
                    <w:rPr>
                      <w:rFonts w:ascii="Palatino Linotype" w:hAnsi="Palatino Linotype" w:cs="Arial"/>
                    </w:rPr>
                  </w:pPr>
                  <w:r>
                    <w:rPr>
                      <w:rFonts w:ascii="Palatino Linotype" w:hAnsi="Palatino Linotype" w:cs="Arial"/>
                    </w:rPr>
                    <w:t>Comisionado</w:t>
                  </w:r>
                </w:p>
                <w:p w:rsidR="009923F3" w:rsidRDefault="0042180A">
                  <w:pPr>
                    <w:jc w:val="center"/>
                    <w:rPr>
                      <w:rFonts w:ascii="Palatino Linotype" w:hAnsi="Palatino Linotype" w:cs="Arial"/>
                    </w:rPr>
                  </w:pPr>
                  <w:r>
                    <w:rPr>
                      <w:rFonts w:ascii="Palatino Linotype" w:hAnsi="Palatino Linotype" w:cs="Arial"/>
                      <w:b/>
                    </w:rPr>
                    <w:t>(RÚBRICA)</w:t>
                  </w:r>
                </w:p>
              </w:tc>
              <w:tc>
                <w:tcPr>
                  <w:tcW w:w="5182" w:type="dxa"/>
                  <w:shd w:val="clear" w:color="auto" w:fill="auto"/>
                </w:tcPr>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42180A">
                  <w:pPr>
                    <w:jc w:val="center"/>
                    <w:rPr>
                      <w:rFonts w:ascii="Palatino Linotype" w:hAnsi="Palatino Linotype" w:cs="Arial"/>
                      <w:b/>
                    </w:rPr>
                  </w:pPr>
                  <w:r>
                    <w:rPr>
                      <w:rFonts w:ascii="Palatino Linotype" w:hAnsi="Palatino Linotype" w:cs="Arial"/>
                      <w:b/>
                    </w:rPr>
                    <w:t>Luis Gustavo Parra Noriega</w:t>
                  </w:r>
                </w:p>
                <w:p w:rsidR="009923F3" w:rsidRDefault="0042180A">
                  <w:pPr>
                    <w:jc w:val="center"/>
                    <w:rPr>
                      <w:rFonts w:ascii="Palatino Linotype" w:hAnsi="Palatino Linotype" w:cs="Arial"/>
                    </w:rPr>
                  </w:pPr>
                  <w:r>
                    <w:rPr>
                      <w:rFonts w:ascii="Palatino Linotype" w:hAnsi="Palatino Linotype" w:cs="Arial"/>
                    </w:rPr>
                    <w:t>Comisionado</w:t>
                  </w:r>
                </w:p>
                <w:p w:rsidR="009923F3" w:rsidRDefault="0042180A">
                  <w:pPr>
                    <w:jc w:val="center"/>
                    <w:rPr>
                      <w:rFonts w:ascii="Palatino Linotype" w:hAnsi="Palatino Linotype" w:cs="Arial"/>
                      <w:b/>
                    </w:rPr>
                  </w:pPr>
                  <w:r>
                    <w:rPr>
                      <w:rFonts w:ascii="Palatino Linotype" w:hAnsi="Palatino Linotype" w:cs="Arial"/>
                      <w:b/>
                    </w:rPr>
                    <w:t>(RÚBRICA)</w:t>
                  </w:r>
                </w:p>
              </w:tc>
            </w:tr>
            <w:tr w:rsidR="009923F3">
              <w:trPr>
                <w:jc w:val="center"/>
              </w:trPr>
              <w:tc>
                <w:tcPr>
                  <w:tcW w:w="10364" w:type="dxa"/>
                  <w:gridSpan w:val="2"/>
                  <w:shd w:val="clear" w:color="auto" w:fill="auto"/>
                </w:tcPr>
                <w:p w:rsidR="009923F3" w:rsidRDefault="009923F3">
                  <w:pPr>
                    <w:tabs>
                      <w:tab w:val="left" w:pos="3720"/>
                    </w:tabs>
                    <w:jc w:val="center"/>
                    <w:rPr>
                      <w:rFonts w:ascii="Palatino Linotype" w:hAnsi="Palatino Linotype" w:cs="Arial"/>
                      <w:b/>
                    </w:rPr>
                  </w:pPr>
                </w:p>
                <w:p w:rsidR="009923F3" w:rsidRDefault="009923F3">
                  <w:pPr>
                    <w:tabs>
                      <w:tab w:val="left" w:pos="3720"/>
                    </w:tabs>
                    <w:jc w:val="center"/>
                    <w:rPr>
                      <w:rFonts w:ascii="Palatino Linotype" w:hAnsi="Palatino Linotype" w:cs="Arial"/>
                      <w:b/>
                    </w:rPr>
                  </w:pPr>
                </w:p>
                <w:p w:rsidR="009923F3" w:rsidRDefault="009923F3">
                  <w:pPr>
                    <w:tabs>
                      <w:tab w:val="left" w:pos="3720"/>
                    </w:tabs>
                    <w:jc w:val="center"/>
                    <w:rPr>
                      <w:rFonts w:ascii="Palatino Linotype" w:hAnsi="Palatino Linotype" w:cs="Arial"/>
                      <w:b/>
                    </w:rPr>
                  </w:pPr>
                </w:p>
                <w:p w:rsidR="009923F3" w:rsidRDefault="009923F3">
                  <w:pPr>
                    <w:tabs>
                      <w:tab w:val="left" w:pos="3720"/>
                    </w:tabs>
                    <w:jc w:val="center"/>
                    <w:rPr>
                      <w:rFonts w:ascii="Palatino Linotype" w:hAnsi="Palatino Linotype" w:cs="Arial"/>
                      <w:b/>
                    </w:rPr>
                  </w:pPr>
                </w:p>
                <w:p w:rsidR="009923F3" w:rsidRDefault="009923F3">
                  <w:pPr>
                    <w:tabs>
                      <w:tab w:val="left" w:pos="3720"/>
                    </w:tabs>
                    <w:jc w:val="center"/>
                    <w:rPr>
                      <w:rFonts w:ascii="Palatino Linotype" w:hAnsi="Palatino Linotype" w:cs="Arial"/>
                      <w:b/>
                    </w:rPr>
                  </w:pPr>
                </w:p>
                <w:p w:rsidR="009923F3" w:rsidRDefault="0042180A">
                  <w:pPr>
                    <w:jc w:val="center"/>
                    <w:rPr>
                      <w:rFonts w:ascii="Palatino Linotype" w:hAnsi="Palatino Linotype" w:cs="Arial"/>
                      <w:b/>
                    </w:rPr>
                  </w:pPr>
                  <w:r>
                    <w:rPr>
                      <w:rFonts w:ascii="Palatino Linotype" w:hAnsi="Palatino Linotype" w:cs="Arial"/>
                      <w:b/>
                    </w:rPr>
                    <w:t>Alexis Tapia Ramírez</w:t>
                  </w:r>
                </w:p>
                <w:p w:rsidR="009923F3" w:rsidRDefault="0042180A">
                  <w:pPr>
                    <w:jc w:val="center"/>
                    <w:rPr>
                      <w:rFonts w:ascii="Palatino Linotype" w:hAnsi="Palatino Linotype" w:cs="Arial"/>
                    </w:rPr>
                  </w:pPr>
                  <w:r>
                    <w:rPr>
                      <w:rFonts w:ascii="Palatino Linotype" w:hAnsi="Palatino Linotype" w:cs="Arial"/>
                    </w:rPr>
                    <w:t>Secretario Técnico del Pleno</w:t>
                  </w:r>
                </w:p>
                <w:p w:rsidR="009923F3" w:rsidRDefault="0042180A">
                  <w:pPr>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rsidR="009923F3" w:rsidRDefault="009923F3">
            <w:pPr>
              <w:jc w:val="both"/>
              <w:rPr>
                <w:rFonts w:ascii="Palatino Linotype" w:hAnsi="Palatino Linotype" w:cs="Arial"/>
              </w:rPr>
            </w:pPr>
          </w:p>
        </w:tc>
      </w:tr>
    </w:tbl>
    <w:p w:rsidR="009923F3" w:rsidRDefault="009923F3">
      <w:pPr>
        <w:jc w:val="both"/>
        <w:rPr>
          <w:rFonts w:ascii="Palatino Linotype" w:hAnsi="Palatino Linotype" w:cs="Arial"/>
          <w:sz w:val="20"/>
        </w:rPr>
      </w:pPr>
    </w:p>
    <w:p w:rsidR="009923F3" w:rsidRDefault="0042180A">
      <w:pPr>
        <w:jc w:val="both"/>
        <w:rPr>
          <w:rFonts w:ascii="Palatino Linotype" w:hAnsi="Palatino Linotype" w:cs="Arial"/>
          <w:sz w:val="20"/>
        </w:rPr>
      </w:pPr>
      <w:r>
        <w:rPr>
          <w:rFonts w:ascii="Palatino Linotype" w:hAnsi="Palatino Linotype" w:cs="Arial"/>
          <w:sz w:val="20"/>
        </w:rPr>
        <w:t>Esta hoja corresponde a la resolución del doce de agosto de dos mil veinte, emitida en el recurso de revisión número 00777/INFOEM/IP/RR/2020.</w:t>
      </w:r>
    </w:p>
    <w:p w:rsidR="009923F3" w:rsidRDefault="0042180A">
      <w:pPr>
        <w:spacing w:line="360" w:lineRule="auto"/>
        <w:jc w:val="both"/>
        <w:rPr>
          <w:rFonts w:ascii="Palatino Linotype" w:hAnsi="Palatino Linotype"/>
          <w:sz w:val="20"/>
          <w:szCs w:val="20"/>
        </w:rPr>
      </w:pPr>
      <w:r>
        <w:rPr>
          <w:rFonts w:ascii="Palatino Linotype" w:hAnsi="Palatino Linotype" w:cs="Arial"/>
          <w:sz w:val="20"/>
        </w:rPr>
        <w:t>YSM/IAHA</w:t>
      </w:r>
    </w:p>
    <w:sectPr w:rsidR="009923F3">
      <w:headerReference w:type="default" r:id="rId12"/>
      <w:footerReference w:type="default" r:id="rId13"/>
      <w:headerReference w:type="first" r:id="rId14"/>
      <w:footerReference w:type="first" r:id="rId15"/>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7EC" w:rsidRDefault="006F67EC">
      <w:r>
        <w:separator/>
      </w:r>
    </w:p>
  </w:endnote>
  <w:endnote w:type="continuationSeparator" w:id="0">
    <w:p w:rsidR="006F67EC" w:rsidRDefault="006F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F3" w:rsidRDefault="0042180A">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060030">
      <w:rPr>
        <w:rFonts w:ascii="Palatino Linotype" w:hAnsi="Palatino Linotype" w:cs="Arial"/>
        <w:bCs/>
        <w:noProof/>
        <w:sz w:val="22"/>
        <w:szCs w:val="22"/>
      </w:rPr>
      <w:t>21</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060030">
      <w:rPr>
        <w:rFonts w:ascii="Palatino Linotype" w:hAnsi="Palatino Linotype" w:cs="Arial"/>
        <w:bCs/>
        <w:noProof/>
        <w:sz w:val="22"/>
        <w:szCs w:val="22"/>
      </w:rPr>
      <w:t>24</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F3" w:rsidRDefault="0042180A">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060030">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060030">
      <w:rPr>
        <w:rFonts w:ascii="Palatino Linotype" w:hAnsi="Palatino Linotype" w:cs="Arial"/>
        <w:bCs/>
        <w:noProof/>
        <w:sz w:val="22"/>
        <w:szCs w:val="22"/>
      </w:rPr>
      <w:t>24</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7EC" w:rsidRDefault="006F67EC">
      <w:r>
        <w:separator/>
      </w:r>
    </w:p>
  </w:footnote>
  <w:footnote w:type="continuationSeparator" w:id="0">
    <w:p w:rsidR="006F67EC" w:rsidRDefault="006F6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F3" w:rsidRDefault="0042180A">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mc:AlternateContent>
        <mc:Choice Requires="wps">
          <w:drawing>
            <wp:anchor distT="0" distB="0" distL="0" distR="0" simplePos="0" relativeHeight="26" behindDoc="1" locked="0" layoutInCell="1" allowOverlap="1">
              <wp:simplePos x="0" y="0"/>
              <wp:positionH relativeFrom="column">
                <wp:align>center</wp:align>
              </wp:positionH>
              <wp:positionV relativeFrom="margin">
                <wp:align>center</wp:align>
              </wp:positionV>
              <wp:extent cx="6858635" cy="9144635"/>
              <wp:effectExtent l="0" t="0" r="0" b="0"/>
              <wp:wrapNone/>
              <wp:docPr id="5" name="WordPictureWatermark2095932798"/>
              <wp:cNvGraphicFramePr/>
              <a:graphic xmlns:a="http://schemas.openxmlformats.org/drawingml/2006/main">
                <a:graphicData uri="http://schemas.openxmlformats.org/drawingml/2006/picture">
                  <pic:pic xmlns:pic="http://schemas.openxmlformats.org/drawingml/2006/picture">
                    <pic:nvPicPr>
                      <pic:cNvPr id="0" name="WordPictureWatermark2095932798"/>
                      <pic:cNvPicPr/>
                    </pic:nvPicPr>
                    <pic:blipFill>
                      <a:blip r:embed="rId1"/>
                      <a:stretch/>
                    </pic:blipFill>
                    <pic:spPr>
                      <a:xfrm>
                        <a:off x="0" y="0"/>
                        <a:ext cx="6858000" cy="914400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shape_0" stroked="f" style="position:absolute;margin-left:-42pt;margin-top:-69.1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9534" w:type="dxa"/>
      <w:tblInd w:w="-142" w:type="dxa"/>
      <w:tblLook w:val="04A0" w:firstRow="1" w:lastRow="0" w:firstColumn="1" w:lastColumn="0" w:noHBand="0" w:noVBand="1"/>
    </w:tblPr>
    <w:tblGrid>
      <w:gridCol w:w="3260"/>
      <w:gridCol w:w="2551"/>
      <w:gridCol w:w="3723"/>
    </w:tblGrid>
    <w:tr w:rsidR="009923F3">
      <w:tc>
        <w:tcPr>
          <w:tcW w:w="3260" w:type="dxa"/>
          <w:vMerge w:val="restart"/>
        </w:tcPr>
        <w:p w:rsidR="009923F3" w:rsidRDefault="0042180A">
          <w:pPr>
            <w:rPr>
              <w:rFonts w:ascii="Palatino Linotype" w:hAnsi="Palatino Linotype"/>
              <w:b/>
              <w:sz w:val="22"/>
              <w:szCs w:val="22"/>
              <w:lang w:val="es-ES_tradnl"/>
            </w:rPr>
          </w:pPr>
          <w:r>
            <w:rPr>
              <w:noProof/>
              <w:lang w:eastAsia="es-MX"/>
            </w:rPr>
            <w:drawing>
              <wp:inline distT="0" distB="0" distL="0" distR="0">
                <wp:extent cx="1663700" cy="838200"/>
                <wp:effectExtent l="0" t="0" r="0" b="0"/>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1"/>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9923F3" w:rsidRDefault="0042180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3" w:type="dxa"/>
          <w:shd w:val="clear" w:color="auto" w:fill="auto"/>
          <w:vAlign w:val="center"/>
        </w:tcPr>
        <w:p w:rsidR="009923F3" w:rsidRDefault="0042180A">
          <w:pPr>
            <w:rPr>
              <w:rFonts w:ascii="Palatino Linotype" w:hAnsi="Palatino Linotype"/>
              <w:b/>
              <w:sz w:val="22"/>
              <w:szCs w:val="22"/>
              <w:lang w:val="es-ES_tradnl"/>
            </w:rPr>
          </w:pPr>
          <w:r>
            <w:rPr>
              <w:rFonts w:ascii="Palatino Linotype" w:hAnsi="Palatino Linotype"/>
              <w:b/>
              <w:sz w:val="22"/>
              <w:szCs w:val="22"/>
              <w:lang w:val="es-ES_tradnl"/>
            </w:rPr>
            <w:t xml:space="preserve">00777/INFOEM/IP/RR/2020 </w:t>
          </w:r>
        </w:p>
      </w:tc>
    </w:tr>
    <w:tr w:rsidR="009923F3">
      <w:tc>
        <w:tcPr>
          <w:tcW w:w="3260" w:type="dxa"/>
          <w:vMerge/>
        </w:tcPr>
        <w:p w:rsidR="009923F3" w:rsidRDefault="009923F3">
          <w:pPr>
            <w:rPr>
              <w:rFonts w:ascii="Palatino Linotype" w:hAnsi="Palatino Linotype"/>
              <w:b/>
              <w:sz w:val="22"/>
              <w:szCs w:val="22"/>
              <w:lang w:val="es-ES_tradnl"/>
            </w:rPr>
          </w:pPr>
        </w:p>
      </w:tc>
      <w:tc>
        <w:tcPr>
          <w:tcW w:w="2551" w:type="dxa"/>
          <w:shd w:val="clear" w:color="auto" w:fill="auto"/>
        </w:tcPr>
        <w:p w:rsidR="009923F3" w:rsidRDefault="0042180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3" w:type="dxa"/>
          <w:shd w:val="clear" w:color="auto" w:fill="auto"/>
          <w:vAlign w:val="center"/>
        </w:tcPr>
        <w:p w:rsidR="009923F3" w:rsidRDefault="0042180A">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San Antonio la Isla </w:t>
          </w:r>
        </w:p>
      </w:tc>
    </w:tr>
    <w:tr w:rsidR="009923F3">
      <w:trPr>
        <w:trHeight w:val="228"/>
      </w:trPr>
      <w:tc>
        <w:tcPr>
          <w:tcW w:w="3260" w:type="dxa"/>
          <w:vMerge/>
        </w:tcPr>
        <w:p w:rsidR="009923F3" w:rsidRDefault="009923F3">
          <w:pPr>
            <w:rPr>
              <w:rFonts w:ascii="Palatino Linotype" w:hAnsi="Palatino Linotype"/>
              <w:b/>
              <w:sz w:val="22"/>
              <w:szCs w:val="22"/>
              <w:lang w:val="es-ES_tradnl"/>
            </w:rPr>
          </w:pPr>
        </w:p>
      </w:tc>
      <w:tc>
        <w:tcPr>
          <w:tcW w:w="2551" w:type="dxa"/>
          <w:shd w:val="clear" w:color="auto" w:fill="auto"/>
        </w:tcPr>
        <w:p w:rsidR="009923F3" w:rsidRDefault="0042180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3" w:type="dxa"/>
          <w:shd w:val="clear" w:color="auto" w:fill="auto"/>
        </w:tcPr>
        <w:p w:rsidR="009923F3" w:rsidRDefault="0042180A">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9923F3" w:rsidRDefault="009923F3">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F3" w:rsidRDefault="0042180A">
    <w:pPr>
      <w:rPr>
        <w:rFonts w:ascii="Palatino Linotype" w:hAnsi="Palatino Linotype"/>
        <w:sz w:val="28"/>
        <w:szCs w:val="28"/>
      </w:rPr>
    </w:pPr>
    <w:r>
      <w:rPr>
        <w:rFonts w:ascii="Palatino Linotype" w:hAnsi="Palatino Linotype"/>
        <w:noProof/>
        <w:sz w:val="28"/>
        <w:szCs w:val="28"/>
        <w:lang w:eastAsia="es-MX"/>
      </w:rPr>
      <mc:AlternateContent>
        <mc:Choice Requires="wps">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7" name="WordPictureWatermark2095932796"/>
              <wp:cNvGraphicFramePr/>
              <a:graphic xmlns:a="http://schemas.openxmlformats.org/drawingml/2006/main">
                <a:graphicData uri="http://schemas.openxmlformats.org/drawingml/2006/picture">
                  <pic:pic xmlns:pic="http://schemas.openxmlformats.org/drawingml/2006/picture">
                    <pic:nvPicPr>
                      <pic:cNvPr id="1" name="WordPictureWatermark2095932796"/>
                      <pic:cNvPicPr/>
                    </pic:nvPicPr>
                    <pic:blipFill>
                      <a:blip r:embed="rId1"/>
                      <a:stretch/>
                    </pic:blipFill>
                    <pic:spPr>
                      <a:xfrm>
                        <a:off x="0" y="0"/>
                        <a:ext cx="6858000" cy="9144000"/>
                      </a:xfrm>
                      <a:prstGeom prst="rect">
                        <a:avLst/>
                      </a:prstGeom>
                      <a:ln>
                        <a:noFill/>
                      </a:ln>
                    </pic:spPr>
                  </pic:pic>
                </a:graphicData>
              </a:graphic>
            </wp:anchor>
          </w:drawing>
        </mc:Choice>
        <mc:Fallback>
          <w:pict>
            <v:shape id="WordPictureWatermark2095932796" o:spid="shape_0" stroked="f" style="position:absolute;margin-left:-42pt;margin-top:-73.4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10490" w:type="dxa"/>
      <w:tblInd w:w="-1276" w:type="dxa"/>
      <w:tblLook w:val="04A0" w:firstRow="1" w:lastRow="0" w:firstColumn="1" w:lastColumn="0" w:noHBand="0" w:noVBand="1"/>
    </w:tblPr>
    <w:tblGrid>
      <w:gridCol w:w="4252"/>
      <w:gridCol w:w="2552"/>
      <w:gridCol w:w="3686"/>
    </w:tblGrid>
    <w:tr w:rsidR="009923F3">
      <w:tc>
        <w:tcPr>
          <w:tcW w:w="4252" w:type="dxa"/>
          <w:vMerge w:val="restart"/>
          <w:shd w:val="clear" w:color="auto" w:fill="auto"/>
        </w:tcPr>
        <w:p w:rsidR="009923F3" w:rsidRDefault="0042180A">
          <w:pPr>
            <w:rPr>
              <w:rFonts w:ascii="Palatino Linotype" w:hAnsi="Palatino Linotype"/>
              <w:b/>
              <w:sz w:val="22"/>
              <w:szCs w:val="22"/>
              <w:lang w:val="es-ES_tradnl"/>
            </w:rPr>
          </w:pPr>
          <w:r>
            <w:rPr>
              <w:noProof/>
              <w:lang w:eastAsia="es-MX"/>
            </w:rPr>
            <w:drawing>
              <wp:inline distT="0" distB="0" distL="0" distR="0">
                <wp:extent cx="1663700" cy="8382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9923F3" w:rsidRDefault="0042180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6" w:type="dxa"/>
          <w:shd w:val="clear" w:color="auto" w:fill="auto"/>
          <w:vAlign w:val="center"/>
        </w:tcPr>
        <w:p w:rsidR="009923F3" w:rsidRDefault="0042180A">
          <w:pPr>
            <w:rPr>
              <w:rFonts w:ascii="Palatino Linotype" w:hAnsi="Palatino Linotype"/>
              <w:b/>
              <w:sz w:val="22"/>
              <w:szCs w:val="22"/>
              <w:lang w:val="es-ES_tradnl"/>
            </w:rPr>
          </w:pPr>
          <w:r>
            <w:rPr>
              <w:rFonts w:ascii="Palatino Linotype" w:hAnsi="Palatino Linotype"/>
              <w:b/>
              <w:sz w:val="22"/>
              <w:szCs w:val="22"/>
              <w:lang w:val="es-ES_tradnl"/>
            </w:rPr>
            <w:t xml:space="preserve">00777/INFOEM/IP/RR/2020 </w:t>
          </w:r>
        </w:p>
      </w:tc>
    </w:tr>
    <w:tr w:rsidR="009923F3">
      <w:tc>
        <w:tcPr>
          <w:tcW w:w="4252" w:type="dxa"/>
          <w:vMerge/>
          <w:shd w:val="clear" w:color="auto" w:fill="auto"/>
        </w:tcPr>
        <w:p w:rsidR="009923F3" w:rsidRDefault="009923F3">
          <w:pPr>
            <w:rPr>
              <w:rFonts w:ascii="Palatino Linotype" w:hAnsi="Palatino Linotype"/>
              <w:b/>
              <w:sz w:val="22"/>
              <w:szCs w:val="22"/>
              <w:lang w:val="es-ES_tradnl"/>
            </w:rPr>
          </w:pPr>
        </w:p>
      </w:tc>
      <w:tc>
        <w:tcPr>
          <w:tcW w:w="2552" w:type="dxa"/>
          <w:shd w:val="clear" w:color="auto" w:fill="auto"/>
        </w:tcPr>
        <w:p w:rsidR="009923F3" w:rsidRDefault="0042180A">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6" w:type="dxa"/>
          <w:shd w:val="clear" w:color="auto" w:fill="auto"/>
          <w:vAlign w:val="center"/>
        </w:tcPr>
        <w:p w:rsidR="009923F3" w:rsidRDefault="000E56AB" w:rsidP="000E56AB">
          <w:pPr>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sidR="0042180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42180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42180A">
            <w:rPr>
              <w:rFonts w:ascii="Palatino Linotype" w:hAnsi="Palatino Linotype"/>
              <w:b/>
              <w:sz w:val="22"/>
              <w:szCs w:val="22"/>
              <w:lang w:val="es-ES_tradnl"/>
            </w:rPr>
            <w:t xml:space="preserve"> </w:t>
          </w:r>
        </w:p>
      </w:tc>
    </w:tr>
    <w:tr w:rsidR="009923F3">
      <w:trPr>
        <w:trHeight w:val="228"/>
      </w:trPr>
      <w:tc>
        <w:tcPr>
          <w:tcW w:w="4252" w:type="dxa"/>
          <w:vMerge/>
          <w:shd w:val="clear" w:color="auto" w:fill="auto"/>
        </w:tcPr>
        <w:p w:rsidR="009923F3" w:rsidRDefault="009923F3">
          <w:pPr>
            <w:rPr>
              <w:rFonts w:ascii="Palatino Linotype" w:hAnsi="Palatino Linotype"/>
              <w:b/>
              <w:sz w:val="22"/>
              <w:szCs w:val="22"/>
              <w:lang w:val="es-ES_tradnl"/>
            </w:rPr>
          </w:pPr>
        </w:p>
      </w:tc>
      <w:tc>
        <w:tcPr>
          <w:tcW w:w="2552" w:type="dxa"/>
          <w:shd w:val="clear" w:color="auto" w:fill="auto"/>
        </w:tcPr>
        <w:p w:rsidR="009923F3" w:rsidRDefault="0042180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6" w:type="dxa"/>
          <w:shd w:val="clear" w:color="auto" w:fill="auto"/>
          <w:vAlign w:val="center"/>
        </w:tcPr>
        <w:p w:rsidR="009923F3" w:rsidRDefault="0042180A">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San Antonio la Isla </w:t>
          </w:r>
        </w:p>
      </w:tc>
    </w:tr>
    <w:tr w:rsidR="009923F3">
      <w:tc>
        <w:tcPr>
          <w:tcW w:w="4252" w:type="dxa"/>
          <w:vMerge/>
          <w:shd w:val="clear" w:color="auto" w:fill="auto"/>
        </w:tcPr>
        <w:p w:rsidR="009923F3" w:rsidRDefault="009923F3">
          <w:pPr>
            <w:rPr>
              <w:rFonts w:ascii="Palatino Linotype" w:hAnsi="Palatino Linotype"/>
              <w:b/>
              <w:sz w:val="22"/>
              <w:szCs w:val="22"/>
              <w:lang w:val="es-ES_tradnl"/>
            </w:rPr>
          </w:pPr>
        </w:p>
      </w:tc>
      <w:tc>
        <w:tcPr>
          <w:tcW w:w="2552" w:type="dxa"/>
          <w:shd w:val="clear" w:color="auto" w:fill="auto"/>
        </w:tcPr>
        <w:p w:rsidR="009923F3" w:rsidRDefault="0042180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6" w:type="dxa"/>
          <w:shd w:val="clear" w:color="auto" w:fill="auto"/>
        </w:tcPr>
        <w:p w:rsidR="009923F3" w:rsidRDefault="0042180A">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9923F3" w:rsidRDefault="009923F3">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97AE6"/>
    <w:multiLevelType w:val="multilevel"/>
    <w:tmpl w:val="5C1C01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73148E7"/>
    <w:multiLevelType w:val="multilevel"/>
    <w:tmpl w:val="3A66AC90"/>
    <w:lvl w:ilvl="0">
      <w:start w:val="1"/>
      <w:numFmt w:val="ordinalText"/>
      <w:lvlText w:val="%1."/>
      <w:lvlJc w:val="left"/>
      <w:pPr>
        <w:ind w:left="720" w:hanging="360"/>
      </w:pPr>
      <w:rPr>
        <w:rFonts w:hint="default"/>
        <w:b/>
        <w: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491FE6"/>
    <w:multiLevelType w:val="multilevel"/>
    <w:tmpl w:val="F1B408A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3F3"/>
    <w:rsid w:val="00060030"/>
    <w:rsid w:val="000E56AB"/>
    <w:rsid w:val="00382515"/>
    <w:rsid w:val="003C729F"/>
    <w:rsid w:val="0042180A"/>
    <w:rsid w:val="00657C7E"/>
    <w:rsid w:val="006F67EC"/>
    <w:rsid w:val="009923F3"/>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5B4E71-E905-4C5D-A0CF-E61D660B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rsid w:val="00FC157F"/>
    <w:pPr>
      <w:ind w:left="566" w:hanging="283"/>
      <w:contextualSpacing/>
    </w:pPr>
    <w:rPr>
      <w:lang w:val="es-ES"/>
    </w:rPr>
  </w:style>
  <w:style w:type="paragraph" w:styleId="Listaconvietas4">
    <w:name w:val="List Bullet 4"/>
    <w:basedOn w:val="Normal"/>
    <w:uiPriority w:val="99"/>
    <w:unhideWhenUsed/>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mawww.sat.gob.mx/factura/Paginas/solicita_requisitos.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0.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6.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B555F-D487-4BB6-8A7A-C018F98A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5977</Words>
  <Characters>32874</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Itze Hdz.</cp:lastModifiedBy>
  <cp:revision>2</cp:revision>
  <cp:lastPrinted>2020-01-22T19:55:00Z</cp:lastPrinted>
  <dcterms:created xsi:type="dcterms:W3CDTF">2020-08-21T02:11:00Z</dcterms:created>
  <dcterms:modified xsi:type="dcterms:W3CDTF">2020-08-21T02:11:00Z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