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138" w:rsidRDefault="001D333F">
      <w:pPr>
        <w:spacing w:beforeAutospacing="1" w:afterAutospacing="1" w:line="360" w:lineRule="auto"/>
        <w:contextualSpacing/>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9A3138" w:rsidRDefault="009A3138">
      <w:pPr>
        <w:spacing w:beforeAutospacing="1" w:afterAutospacing="1" w:line="360" w:lineRule="auto"/>
        <w:contextualSpacing/>
        <w:jc w:val="both"/>
        <w:rPr>
          <w:rFonts w:ascii="Palatino Linotype" w:hAnsi="Palatino Linotype"/>
          <w:lang w:val="es-ES"/>
        </w:rPr>
      </w:pPr>
    </w:p>
    <w:p w:rsidR="009A3138" w:rsidRDefault="001D333F">
      <w:pPr>
        <w:spacing w:beforeAutospacing="1" w:afterAutospacing="1" w:line="360" w:lineRule="auto"/>
        <w:contextualSpacing/>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01187/INFOEM/IP/RR/2020,</w:t>
      </w:r>
      <w:r>
        <w:rPr>
          <w:rFonts w:ascii="Palatino Linotype" w:hAnsi="Palatino Linotype"/>
          <w:lang w:val="es-ES"/>
        </w:rPr>
        <w:t xml:space="preserve"> interpuesto por el C.</w:t>
      </w:r>
      <w:r>
        <w:rPr>
          <w:rFonts w:ascii="Palatino Linotype" w:hAnsi="Palatino Linotype"/>
          <w:b/>
          <w:lang w:val="es-ES"/>
        </w:rPr>
        <w:t xml:space="preserve"> </w:t>
      </w:r>
      <w:r w:rsidR="00EE349B" w:rsidRPr="00EE349B">
        <w:rPr>
          <w:rFonts w:ascii="Palatino Linotype" w:hAnsi="Palatino Linotype"/>
          <w:b/>
          <w:lang w:val="es-ES"/>
        </w:rPr>
        <w:t>xxxxxxx xxxxxx xxxxxxxx</w:t>
      </w:r>
      <w:r>
        <w:rPr>
          <w:rFonts w:ascii="Palatino Linotype" w:hAnsi="Palatino Linotype"/>
          <w:b/>
          <w:lang w:val="es-ES"/>
        </w:rPr>
        <w:t xml:space="preserve">, </w:t>
      </w:r>
      <w:r>
        <w:rPr>
          <w:rFonts w:ascii="Palatino Linotype" w:hAnsi="Palatino Linotype"/>
          <w:lang w:val="es-ES"/>
        </w:rPr>
        <w:t xml:space="preserve">en lo subsecuente </w:t>
      </w:r>
      <w:r>
        <w:rPr>
          <w:rFonts w:ascii="Palatino Linotype" w:hAnsi="Palatino Linotype"/>
          <w:b/>
          <w:lang w:val="es-ES"/>
        </w:rPr>
        <w:t>EL RECURRENTE,</w:t>
      </w:r>
      <w:r>
        <w:rPr>
          <w:rFonts w:ascii="Palatino Linotype" w:hAnsi="Palatino Linotype"/>
          <w:lang w:val="es-ES"/>
        </w:rPr>
        <w:t xml:space="preserve"> </w:t>
      </w:r>
      <w:r>
        <w:rPr>
          <w:rFonts w:ascii="Palatino Linotype" w:hAnsi="Palatino Linotype" w:cs="Arial"/>
          <w:lang w:val="es-ES"/>
        </w:rPr>
        <w:t xml:space="preserve">en contra de la respuesta emitida por el </w:t>
      </w:r>
      <w:r>
        <w:rPr>
          <w:rFonts w:ascii="Palatino Linotype" w:hAnsi="Palatino Linotype"/>
          <w:b/>
          <w:lang w:val="es-ES_tradnl"/>
        </w:rPr>
        <w:t>Ayuntamiento de Teotihuacán,</w:t>
      </w:r>
      <w:r>
        <w:rPr>
          <w:rFonts w:ascii="Palatino Linotype" w:hAnsi="Palatino Linotype" w:cs="Arial"/>
          <w:lang w:val="es-ES"/>
        </w:rPr>
        <w:t xml:space="preserve"> en lo sucesivo </w:t>
      </w:r>
      <w:r>
        <w:rPr>
          <w:rFonts w:ascii="Palatino Linotype" w:hAnsi="Palatino Linotype" w:cs="Arial"/>
          <w:b/>
          <w:lang w:val="es-ES"/>
        </w:rPr>
        <w:t xml:space="preserve">EL SUJETO OBLIGADO, </w:t>
      </w:r>
      <w:r>
        <w:rPr>
          <w:rFonts w:ascii="Palatino Linotype" w:hAnsi="Palatino Linotype" w:cs="Arial"/>
          <w:lang w:val="es-ES"/>
        </w:rPr>
        <w:t>se procede a dictar la presente resolución con base en lo siguiente:</w:t>
      </w:r>
    </w:p>
    <w:p w:rsidR="009A3138" w:rsidRDefault="009A3138">
      <w:pPr>
        <w:spacing w:beforeAutospacing="1" w:afterAutospacing="1" w:line="360" w:lineRule="auto"/>
        <w:contextualSpacing/>
        <w:jc w:val="both"/>
        <w:rPr>
          <w:rFonts w:ascii="Palatino Linotype" w:hAnsi="Palatino Linotype" w:cs="Arial"/>
          <w:lang w:val="es-ES"/>
        </w:rPr>
      </w:pPr>
      <w:bookmarkStart w:id="0" w:name="_GoBack"/>
      <w:bookmarkEnd w:id="0"/>
    </w:p>
    <w:p w:rsidR="009A3138" w:rsidRDefault="001D333F">
      <w:pPr>
        <w:tabs>
          <w:tab w:val="center" w:pos="4560"/>
          <w:tab w:val="left" w:pos="7888"/>
        </w:tabs>
        <w:spacing w:beforeAutospacing="1" w:afterAutospacing="1" w:line="360" w:lineRule="auto"/>
        <w:contextualSpacing/>
        <w:jc w:val="center"/>
        <w:rPr>
          <w:rFonts w:ascii="Palatino Linotype" w:hAnsi="Palatino Linotype"/>
          <w:b/>
          <w:bCs/>
          <w:spacing w:val="60"/>
          <w:sz w:val="28"/>
        </w:rPr>
      </w:pPr>
      <w:r>
        <w:rPr>
          <w:rFonts w:ascii="Palatino Linotype" w:hAnsi="Palatino Linotype"/>
          <w:b/>
          <w:bCs/>
          <w:spacing w:val="60"/>
          <w:sz w:val="28"/>
        </w:rPr>
        <w:t>RESULTANDO</w:t>
      </w:r>
    </w:p>
    <w:p w:rsidR="009A3138" w:rsidRDefault="009A3138">
      <w:pPr>
        <w:tabs>
          <w:tab w:val="center" w:pos="4560"/>
          <w:tab w:val="left" w:pos="7888"/>
        </w:tabs>
        <w:spacing w:beforeAutospacing="1" w:afterAutospacing="1" w:line="360" w:lineRule="auto"/>
        <w:contextualSpacing/>
        <w:jc w:val="center"/>
        <w:rPr>
          <w:rFonts w:ascii="Palatino Linotype" w:hAnsi="Palatino Linotype"/>
          <w:b/>
          <w:bCs/>
          <w:spacing w:val="60"/>
          <w:sz w:val="28"/>
        </w:rPr>
      </w:pPr>
    </w:p>
    <w:p w:rsidR="009A3138" w:rsidRDefault="001D333F">
      <w:pPr>
        <w:spacing w:beforeAutospacing="1" w:afterAutospacing="1" w:line="360" w:lineRule="auto"/>
        <w:contextualSpacing/>
        <w:jc w:val="both"/>
        <w:rPr>
          <w:rFonts w:ascii="Palatino Linotype" w:hAnsi="Palatino Linotype" w:cs="Arial"/>
          <w:lang w:val="es-ES"/>
        </w:rPr>
      </w:pPr>
      <w:r>
        <w:rPr>
          <w:rFonts w:ascii="Palatino Linotype" w:hAnsi="Palatino Linotype" w:cs="Arial"/>
          <w:b/>
          <w:sz w:val="28"/>
          <w:lang w:val="es-ES"/>
        </w:rPr>
        <w:t xml:space="preserve">I. </w:t>
      </w:r>
      <w:r>
        <w:rPr>
          <w:rFonts w:ascii="Palatino Linotype" w:hAnsi="Palatino Linotype" w:cs="Arial"/>
          <w:lang w:val="es-ES"/>
        </w:rPr>
        <w:t xml:space="preserve">En fecha veinticuatro de enero de dos mil veinte, </w:t>
      </w:r>
      <w:r>
        <w:rPr>
          <w:rFonts w:ascii="Palatino Linotype" w:hAnsi="Palatino Linotype" w:cs="Arial"/>
          <w:b/>
          <w:lang w:val="es-ES"/>
        </w:rPr>
        <w:t>EL RECURRENTE</w:t>
      </w:r>
      <w:r>
        <w:rPr>
          <w:rFonts w:ascii="Palatino Linotype" w:hAnsi="Palatino Linotype" w:cs="Arial"/>
          <w:lang w:val="es-ES"/>
        </w:rPr>
        <w:t xml:space="preserve"> presentó a través del Sistema de Acceso a la Información Mexiquense, en lo subsecuente </w:t>
      </w:r>
      <w:r>
        <w:rPr>
          <w:rFonts w:ascii="Palatino Linotype" w:hAnsi="Palatino Linotype" w:cs="Arial"/>
          <w:b/>
          <w:lang w:val="es-ES"/>
        </w:rPr>
        <w:t>EL SAIMEX</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 xml:space="preserve">, </w:t>
      </w:r>
      <w:r>
        <w:rPr>
          <w:rFonts w:ascii="Palatino Linotype" w:hAnsi="Palatino Linotype"/>
          <w:lang w:val="es-ES"/>
        </w:rPr>
        <w:t xml:space="preserve">la solicitud de acceso a información pública, a la que se le asignó el número </w:t>
      </w:r>
      <w:r>
        <w:rPr>
          <w:rFonts w:ascii="Palatino Linotype" w:hAnsi="Palatino Linotype" w:cs="Arial"/>
          <w:b/>
          <w:lang w:val="es-ES"/>
        </w:rPr>
        <w:t xml:space="preserve">00008/TEOTIHUA/IP/2020, </w:t>
      </w:r>
      <w:r>
        <w:rPr>
          <w:rFonts w:ascii="Palatino Linotype" w:hAnsi="Palatino Linotype" w:cs="Arial"/>
          <w:lang w:val="es-ES"/>
        </w:rPr>
        <w:t>mediante la cual solicitó:</w:t>
      </w:r>
    </w:p>
    <w:p w:rsidR="009A3138" w:rsidRDefault="001D333F">
      <w:pPr>
        <w:pStyle w:val="Prrafodelista"/>
        <w:spacing w:beforeAutospacing="1" w:afterAutospacing="1"/>
        <w:ind w:left="851" w:right="899"/>
        <w:contextualSpacing/>
        <w:jc w:val="both"/>
        <w:rPr>
          <w:rFonts w:ascii="Palatino Linotype" w:eastAsiaTheme="minorHAnsi" w:hAnsi="Palatino Linotype" w:cstheme="minorBidi"/>
          <w:i/>
          <w:color w:val="000000"/>
          <w:sz w:val="22"/>
          <w:szCs w:val="14"/>
          <w:lang w:val="es-ES_tradnl" w:eastAsia="es-ES_tradnl"/>
        </w:rPr>
      </w:pPr>
      <w:r>
        <w:rPr>
          <w:rFonts w:ascii="Palatino Linotype" w:eastAsiaTheme="minorHAnsi" w:hAnsi="Palatino Linotype" w:cstheme="minorBidi"/>
          <w:i/>
          <w:color w:val="000000"/>
          <w:sz w:val="22"/>
          <w:szCs w:val="14"/>
          <w:lang w:val="es-ES_tradnl" w:eastAsia="es-ES_tradnl"/>
        </w:rPr>
        <w:t>“Solicito copia del estado de situación financiera al 31 de diciembre del 2018, y la balanza de comprobación detallada de igual forma al 31 de diciembre 2018, del ayuntamiento de Teotihuacán. así mismo solicito el cfdi de la nómina o dietas (donde se vean reflejadas todas las percepciones llámese dietas, sueldo base, gratificaciones, compensaciones y demás prestaciones que se sean otorgadas por el municipio ) de la primera y segunda quincena de enero, febrero, marzo, abril, mayo, junio, julio, agosto, septiembre, octubre, noviembre, diciembre 2019 , así como de prima y aguinaldo de la síndico municipal, del segundo regidor, del tesorero municipal, del director de comunicación social así como de su personal adscrito al área de comunicación social, también lo requiero de todo el personal adscrito al área de sindicatura” (Sic)</w:t>
      </w:r>
    </w:p>
    <w:p w:rsidR="009A3138" w:rsidRDefault="001D333F">
      <w:pPr>
        <w:spacing w:beforeAutospacing="1" w:afterAutospacing="1"/>
        <w:ind w:right="709"/>
        <w:contextualSpacing/>
        <w:jc w:val="both"/>
        <w:rPr>
          <w:rFonts w:ascii="Palatino Linotype" w:hAnsi="Palatino Linotype"/>
        </w:rPr>
      </w:pPr>
      <w:r>
        <w:rPr>
          <w:rFonts w:ascii="Palatino Linotype" w:hAnsi="Palatino Linotype"/>
          <w:b/>
        </w:rPr>
        <w:lastRenderedPageBreak/>
        <w:t>Modalidad de entrega:</w:t>
      </w:r>
      <w:r>
        <w:rPr>
          <w:rFonts w:ascii="Palatino Linotype" w:hAnsi="Palatino Linotype"/>
          <w:sz w:val="22"/>
          <w:szCs w:val="22"/>
        </w:rPr>
        <w:t xml:space="preserve"> </w:t>
      </w:r>
      <w:r>
        <w:rPr>
          <w:rFonts w:ascii="Palatino Linotype" w:hAnsi="Palatino Linotype"/>
        </w:rPr>
        <w:t xml:space="preserve">Vía </w:t>
      </w:r>
      <w:r>
        <w:rPr>
          <w:rFonts w:ascii="Palatino Linotype" w:hAnsi="Palatino Linotype"/>
          <w:b/>
        </w:rPr>
        <w:t>SAIMEX</w:t>
      </w:r>
      <w:r>
        <w:rPr>
          <w:rFonts w:ascii="Palatino Linotype" w:hAnsi="Palatino Linotype"/>
        </w:rPr>
        <w:t>.</w:t>
      </w:r>
      <w:bookmarkStart w:id="1" w:name="_Ref516764469"/>
    </w:p>
    <w:p w:rsidR="009A3138" w:rsidRDefault="009A3138">
      <w:pPr>
        <w:spacing w:beforeAutospacing="1" w:afterAutospacing="1"/>
        <w:ind w:right="709"/>
        <w:contextualSpacing/>
        <w:jc w:val="both"/>
        <w:rPr>
          <w:rFonts w:ascii="Palatino Linotype" w:hAnsi="Palatino Linotype"/>
        </w:rPr>
      </w:pPr>
    </w:p>
    <w:p w:rsidR="009A3138" w:rsidRDefault="001D333F">
      <w:pPr>
        <w:spacing w:beforeAutospacing="1" w:afterAutospacing="1" w:line="360" w:lineRule="auto"/>
        <w:ind w:right="709"/>
        <w:contextualSpacing/>
        <w:jc w:val="both"/>
        <w:rPr>
          <w:rFonts w:ascii="Palatino Linotype" w:hAnsi="Palatino Linotype"/>
        </w:rPr>
      </w:pPr>
      <w:r>
        <w:rPr>
          <w:rFonts w:ascii="Palatino Linotype" w:hAnsi="Palatino Linotype"/>
          <w:b/>
          <w:sz w:val="28"/>
          <w:szCs w:val="28"/>
        </w:rPr>
        <w:t>II.</w:t>
      </w:r>
      <w:r>
        <w:rPr>
          <w:rFonts w:ascii="Palatino Linotype" w:hAnsi="Palatino Linotype"/>
        </w:rPr>
        <w:t xml:space="preserve"> Con base en el detalle de seguimiento del</w:t>
      </w:r>
      <w:r>
        <w:rPr>
          <w:rFonts w:ascii="Palatino Linotype" w:hAnsi="Palatino Linotype"/>
          <w:b/>
        </w:rPr>
        <w:t xml:space="preserve"> SAIMEX</w:t>
      </w:r>
      <w:r>
        <w:rPr>
          <w:rFonts w:ascii="Palatino Linotype" w:hAnsi="Palatino Linotype"/>
        </w:rPr>
        <w:t>, se advierte que en fecha veintiocho de enero de dos mil veinte, la Unidad de Transparencia del</w:t>
      </w:r>
      <w:r>
        <w:rPr>
          <w:rFonts w:ascii="Palatino Linotype" w:hAnsi="Palatino Linotype"/>
          <w:b/>
        </w:rPr>
        <w:t xml:space="preserve"> SUJETO OBLIGADO </w:t>
      </w:r>
      <w:r>
        <w:rPr>
          <w:rFonts w:ascii="Palatino Linotype" w:hAnsi="Palatino Linotype"/>
        </w:rPr>
        <w:t>turnó mediante requerimiento, el contenido de la solicitud de información a los Servidores Públicos Habilitados, a efecto de que realizara la búsqueda y localización de la información tal y como se desprende de la imagen siguiente:</w:t>
      </w:r>
    </w:p>
    <w:p w:rsidR="009A3138" w:rsidRDefault="009A3138">
      <w:pPr>
        <w:spacing w:beforeAutospacing="1" w:afterAutospacing="1" w:line="360" w:lineRule="auto"/>
        <w:ind w:right="709"/>
        <w:contextualSpacing/>
        <w:jc w:val="both"/>
        <w:rPr>
          <w:rFonts w:ascii="Palatino Linotype" w:hAnsi="Palatino Linotype"/>
        </w:rPr>
      </w:pPr>
    </w:p>
    <w:p w:rsidR="009A3138" w:rsidRDefault="001D333F">
      <w:pPr>
        <w:spacing w:beforeAutospacing="1" w:afterAutospacing="1" w:line="360" w:lineRule="auto"/>
        <w:ind w:right="709"/>
        <w:contextualSpacing/>
        <w:jc w:val="both"/>
        <w:rPr>
          <w:rFonts w:ascii="Palatino Linotype" w:hAnsi="Palatino Linotype"/>
        </w:rPr>
      </w:pPr>
      <w:r>
        <w:rPr>
          <w:noProof/>
          <w:lang w:eastAsia="es-MX"/>
        </w:rPr>
        <w:drawing>
          <wp:inline distT="0" distB="0" distL="0" distR="0">
            <wp:extent cx="5791835" cy="467868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7"/>
                    <a:stretch>
                      <a:fillRect/>
                    </a:stretch>
                  </pic:blipFill>
                  <pic:spPr bwMode="auto">
                    <a:xfrm>
                      <a:off x="0" y="0"/>
                      <a:ext cx="5791835" cy="4678680"/>
                    </a:xfrm>
                    <a:prstGeom prst="rect">
                      <a:avLst/>
                    </a:prstGeom>
                  </pic:spPr>
                </pic:pic>
              </a:graphicData>
            </a:graphic>
          </wp:inline>
        </w:drawing>
      </w:r>
    </w:p>
    <w:p w:rsidR="009A3138" w:rsidRDefault="001D333F">
      <w:pPr>
        <w:pStyle w:val="Prrafodelista"/>
        <w:spacing w:line="360" w:lineRule="auto"/>
        <w:ind w:left="0"/>
        <w:jc w:val="both"/>
        <w:rPr>
          <w:rFonts w:ascii="Palatino Linotype" w:hAnsi="Palatino Linotype" w:cs="Arial"/>
        </w:rPr>
      </w:pPr>
      <w:r>
        <w:rPr>
          <w:rFonts w:ascii="Palatino Linotype" w:hAnsi="Palatino Linotype"/>
          <w:b/>
          <w:sz w:val="28"/>
          <w:szCs w:val="28"/>
        </w:rPr>
        <w:lastRenderedPageBreak/>
        <w:t>III.</w:t>
      </w:r>
      <w:r>
        <w:rPr>
          <w:rFonts w:ascii="Palatino Linotype" w:hAnsi="Palatino Linotype"/>
          <w:sz w:val="28"/>
          <w:szCs w:val="28"/>
        </w:rPr>
        <w:t xml:space="preserve"> </w:t>
      </w:r>
      <w:r>
        <w:rPr>
          <w:rFonts w:ascii="Palatino Linotype" w:hAnsi="Palatino Linotype" w:cs="Arial"/>
        </w:rPr>
        <w:t xml:space="preserve">Del expediente electrónico del </w:t>
      </w:r>
      <w:r>
        <w:rPr>
          <w:rFonts w:ascii="Palatino Linotype" w:hAnsi="Palatino Linotype" w:cs="Arial"/>
          <w:b/>
        </w:rPr>
        <w:t>SAIMEX,</w:t>
      </w:r>
      <w:r>
        <w:rPr>
          <w:rFonts w:ascii="Palatino Linotype" w:hAnsi="Palatino Linotype" w:cs="Arial"/>
        </w:rPr>
        <w:t xml:space="preserve"> se advierte que en fecha diecisiete de febrero de dos mil veinte, </w:t>
      </w:r>
      <w:r>
        <w:rPr>
          <w:rFonts w:ascii="Palatino Linotype" w:hAnsi="Palatino Linotype" w:cs="Arial"/>
          <w:b/>
        </w:rPr>
        <w:t xml:space="preserve">EL SUJETO OBLIGADO </w:t>
      </w:r>
      <w:r>
        <w:rPr>
          <w:rFonts w:ascii="Palatino Linotype" w:hAnsi="Palatino Linotype" w:cs="Arial"/>
        </w:rPr>
        <w:t xml:space="preserve">notificó una prórroga de siete días para dar respuesta a la solicitud </w:t>
      </w:r>
      <w:r>
        <w:rPr>
          <w:rFonts w:ascii="Palatino Linotype" w:hAnsi="Palatino Linotype" w:cs="Arial"/>
          <w:b/>
          <w:bCs/>
        </w:rPr>
        <w:t xml:space="preserve">00008/TEOTIHUA/IP/2017 </w:t>
      </w:r>
      <w:r>
        <w:rPr>
          <w:rFonts w:ascii="Palatino Linotype" w:hAnsi="Palatino Linotype" w:cs="Arial"/>
        </w:rPr>
        <w:t xml:space="preserve">planteada por </w:t>
      </w:r>
      <w:r>
        <w:rPr>
          <w:rFonts w:ascii="Palatino Linotype" w:hAnsi="Palatino Linotype" w:cs="Arial"/>
          <w:b/>
        </w:rPr>
        <w:t xml:space="preserve">EL RECURRENTE </w:t>
      </w:r>
      <w:r>
        <w:rPr>
          <w:rFonts w:ascii="Palatino Linotype" w:hAnsi="Palatino Linotype" w:cs="Arial"/>
        </w:rPr>
        <w:t>en los siguientes términos:</w:t>
      </w:r>
    </w:p>
    <w:p w:rsidR="009A3138" w:rsidRDefault="009A3138">
      <w:pPr>
        <w:pStyle w:val="Prrafodelista"/>
        <w:spacing w:line="360" w:lineRule="auto"/>
        <w:ind w:left="0"/>
        <w:jc w:val="both"/>
        <w:rPr>
          <w:rFonts w:ascii="Palatino Linotype" w:hAnsi="Palatino Linotype" w:cs="Arial"/>
        </w:rPr>
      </w:pPr>
    </w:p>
    <w:p w:rsidR="009A3138" w:rsidRDefault="001D333F">
      <w:pPr>
        <w:pStyle w:val="Prrafodelista"/>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A3138" w:rsidRDefault="009A3138">
      <w:pPr>
        <w:pStyle w:val="Prrafodelista"/>
        <w:spacing w:beforeAutospacing="1" w:afterAutospacing="1"/>
        <w:ind w:left="851" w:right="902"/>
        <w:contextualSpacing/>
        <w:jc w:val="both"/>
        <w:rPr>
          <w:rFonts w:ascii="Palatino Linotype" w:hAnsi="Palatino Linotype" w:cs="Arial"/>
          <w:i/>
          <w:sz w:val="22"/>
          <w:szCs w:val="22"/>
        </w:rPr>
      </w:pPr>
    </w:p>
    <w:p w:rsidR="009A3138" w:rsidRDefault="001D333F">
      <w:pPr>
        <w:pStyle w:val="Prrafodelista"/>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Se aprueba la ampliación de plazo para atender solicitud de información</w:t>
      </w:r>
    </w:p>
    <w:p w:rsidR="009A3138" w:rsidRDefault="009A3138">
      <w:pPr>
        <w:pStyle w:val="Prrafodelista"/>
        <w:spacing w:beforeAutospacing="1" w:afterAutospacing="1"/>
        <w:ind w:left="851" w:right="902"/>
        <w:contextualSpacing/>
        <w:jc w:val="both"/>
        <w:rPr>
          <w:rFonts w:ascii="Palatino Linotype" w:hAnsi="Palatino Linotype" w:cs="Arial"/>
          <w:i/>
          <w:sz w:val="22"/>
          <w:szCs w:val="22"/>
        </w:rPr>
      </w:pPr>
    </w:p>
    <w:p w:rsidR="009A3138" w:rsidRDefault="001D333F">
      <w:pPr>
        <w:pStyle w:val="Prrafodelista"/>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C. MARCO ANTONIO MACÍAS DE LA O</w:t>
      </w:r>
    </w:p>
    <w:p w:rsidR="009A3138" w:rsidRDefault="001D333F">
      <w:pPr>
        <w:pStyle w:val="Prrafodelista"/>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Responsable de la Unidad de Transparencia”</w:t>
      </w:r>
    </w:p>
    <w:p w:rsidR="009A3138" w:rsidRDefault="009A3138">
      <w:pPr>
        <w:pStyle w:val="Prrafodelista"/>
        <w:spacing w:line="360" w:lineRule="auto"/>
        <w:ind w:left="0"/>
        <w:jc w:val="both"/>
        <w:rPr>
          <w:rFonts w:ascii="Palatino Linotype" w:hAnsi="Palatino Linotype" w:cs="Arial"/>
        </w:rPr>
      </w:pPr>
    </w:p>
    <w:p w:rsidR="009A3138" w:rsidRDefault="001D333F">
      <w:pPr>
        <w:pStyle w:val="Prrafodelista"/>
        <w:spacing w:line="360" w:lineRule="auto"/>
        <w:ind w:left="0"/>
        <w:jc w:val="both"/>
        <w:rPr>
          <w:rFonts w:ascii="Palatino Linotype" w:hAnsi="Palatino Linotype" w:cs="Arial"/>
        </w:rPr>
      </w:pPr>
      <w:r>
        <w:rPr>
          <w:rFonts w:ascii="Palatino Linotype" w:hAnsi="Palatino Linotype"/>
          <w:b/>
          <w:sz w:val="28"/>
          <w:szCs w:val="28"/>
        </w:rPr>
        <w:t>IV.</w:t>
      </w:r>
      <w:r>
        <w:rPr>
          <w:rFonts w:ascii="Palatino Linotype" w:hAnsi="Palatino Linotype"/>
          <w:lang w:val="es-ES"/>
        </w:rPr>
        <w:t xml:space="preserve">De las constancias que obran en </w:t>
      </w:r>
      <w:r>
        <w:rPr>
          <w:rFonts w:ascii="Palatino Linotype" w:hAnsi="Palatino Linotype"/>
          <w:b/>
          <w:lang w:val="es-ES"/>
        </w:rPr>
        <w:t>EL SAIMEX,</w:t>
      </w:r>
      <w:r>
        <w:rPr>
          <w:rFonts w:ascii="Palatino Linotype" w:hAnsi="Palatino Linotype"/>
          <w:lang w:val="es-ES"/>
        </w:rPr>
        <w:t xml:space="preserve"> se advierte que en fecha veinte de febrero de dos mil veinte, </w:t>
      </w:r>
      <w:r>
        <w:rPr>
          <w:rFonts w:ascii="Palatino Linotype" w:hAnsi="Palatino Linotype" w:cs="Arial"/>
          <w:b/>
          <w:lang w:val="es-ES_tradnl"/>
        </w:rPr>
        <w:t>EL</w:t>
      </w:r>
      <w:r>
        <w:rPr>
          <w:rFonts w:ascii="Palatino Linotype" w:hAnsi="Palatino Linotype" w:cs="Arial"/>
          <w:lang w:val="es-ES_tradnl"/>
        </w:rPr>
        <w:t xml:space="preserve"> </w:t>
      </w:r>
      <w:r>
        <w:rPr>
          <w:rFonts w:ascii="Palatino Linotype" w:hAnsi="Palatino Linotype" w:cs="Arial"/>
          <w:b/>
          <w:lang w:val="es-ES_tradnl"/>
        </w:rPr>
        <w:t>SUJETO OBLIGADO</w:t>
      </w:r>
      <w:r>
        <w:rPr>
          <w:rFonts w:ascii="Palatino Linotype" w:hAnsi="Palatino Linotype" w:cs="Arial"/>
          <w:lang w:val="es-ES_tradnl"/>
        </w:rPr>
        <w:t xml:space="preserve"> dio respuesta a la solicitud de información, en los siguientes términos:</w:t>
      </w:r>
    </w:p>
    <w:p w:rsidR="009A3138" w:rsidRDefault="009A3138">
      <w:pPr>
        <w:pStyle w:val="Prrafodelista"/>
        <w:spacing w:beforeAutospacing="1" w:afterAutospacing="1"/>
        <w:ind w:left="851" w:right="899"/>
        <w:contextualSpacing/>
        <w:jc w:val="both"/>
        <w:rPr>
          <w:rFonts w:ascii="Palatino Linotype" w:eastAsiaTheme="minorHAnsi" w:hAnsi="Palatino Linotype" w:cstheme="minorBidi"/>
          <w:i/>
          <w:color w:val="000000"/>
          <w:sz w:val="22"/>
          <w:szCs w:val="14"/>
          <w:lang w:val="es-ES_tradnl" w:eastAsia="es-ES_tradnl"/>
        </w:rPr>
      </w:pPr>
    </w:p>
    <w:p w:rsidR="009A3138" w:rsidRDefault="001D333F">
      <w:pPr>
        <w:pStyle w:val="Prrafodelista"/>
        <w:spacing w:beforeAutospacing="1" w:afterAutospacing="1"/>
        <w:ind w:left="851" w:right="899"/>
        <w:contextualSpacing/>
        <w:jc w:val="both"/>
        <w:rPr>
          <w:rFonts w:ascii="Palatino Linotype" w:eastAsiaTheme="minorHAnsi" w:hAnsi="Palatino Linotype" w:cstheme="minorBidi"/>
          <w:i/>
          <w:color w:val="000000"/>
          <w:sz w:val="22"/>
          <w:szCs w:val="14"/>
          <w:lang w:val="es-ES_tradnl" w:eastAsia="es-ES_tradnl"/>
        </w:rPr>
      </w:pPr>
      <w:r>
        <w:rPr>
          <w:rFonts w:ascii="Palatino Linotype" w:eastAsiaTheme="minorHAnsi" w:hAnsi="Palatino Linotype" w:cstheme="minorBidi"/>
          <w:i/>
          <w:color w:val="000000"/>
          <w:sz w:val="22"/>
          <w:szCs w:val="14"/>
          <w:lang w:val="es-ES_tradnl" w:eastAsia="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A3138" w:rsidRDefault="009A3138">
      <w:pPr>
        <w:pStyle w:val="Prrafodelista"/>
        <w:spacing w:beforeAutospacing="1" w:afterAutospacing="1"/>
        <w:ind w:left="851" w:right="899"/>
        <w:contextualSpacing/>
        <w:jc w:val="both"/>
        <w:rPr>
          <w:rFonts w:ascii="Palatino Linotype" w:eastAsiaTheme="minorHAnsi" w:hAnsi="Palatino Linotype" w:cstheme="minorBidi"/>
          <w:i/>
          <w:color w:val="000000"/>
          <w:sz w:val="22"/>
          <w:szCs w:val="14"/>
          <w:lang w:val="es-ES_tradnl" w:eastAsia="es-ES_tradnl"/>
        </w:rPr>
      </w:pPr>
    </w:p>
    <w:p w:rsidR="009A3138" w:rsidRDefault="001D333F">
      <w:pPr>
        <w:pStyle w:val="Prrafodelista"/>
        <w:spacing w:beforeAutospacing="1" w:afterAutospacing="1"/>
        <w:ind w:left="851" w:right="899"/>
        <w:contextualSpacing/>
        <w:jc w:val="both"/>
        <w:rPr>
          <w:rFonts w:ascii="Palatino Linotype" w:eastAsiaTheme="minorHAnsi" w:hAnsi="Palatino Linotype" w:cstheme="minorBidi"/>
          <w:i/>
          <w:color w:val="000000"/>
          <w:sz w:val="22"/>
          <w:szCs w:val="14"/>
          <w:lang w:val="es-ES_tradnl" w:eastAsia="es-ES_tradnl"/>
        </w:rPr>
      </w:pPr>
      <w:r>
        <w:rPr>
          <w:rFonts w:ascii="Palatino Linotype" w:eastAsiaTheme="minorHAnsi" w:hAnsi="Palatino Linotype" w:cstheme="minorBidi"/>
          <w:i/>
          <w:color w:val="000000"/>
          <w:sz w:val="22"/>
          <w:szCs w:val="14"/>
          <w:lang w:val="es-ES_tradnl" w:eastAsia="es-ES_tradnl"/>
        </w:rPr>
        <w:t xml:space="preserve">Se envía Versión Pública de Recibos de Nómina correspondiente al Aguinaldo y Prima Vacacional de los Servidores Públicos Solicitados Se envía el Estado de Situación Financiera al 31 de Diciembre de 2018 así como la Balanza de Comprobación Detallada del 1 al 31 de Diciembre de 2018. Le menciono que dicha información es extraída del sistema de contabilidad, que se tiene en la Tesorería Municipal. Se envía la nómina General correspondiente a las 24 quincenas del año 2019 en donde puede localizar las percepciones quincenales Netas de los servidores públicos Solicitados: Trabajador Número 762 = Síndico Municipal - Sofía </w:t>
      </w:r>
      <w:r>
        <w:rPr>
          <w:rFonts w:ascii="Palatino Linotype" w:eastAsiaTheme="minorHAnsi" w:hAnsi="Palatino Linotype" w:cstheme="minorBidi"/>
          <w:i/>
          <w:color w:val="000000"/>
          <w:sz w:val="22"/>
          <w:szCs w:val="14"/>
          <w:lang w:val="es-ES_tradnl" w:eastAsia="es-ES_tradnl"/>
        </w:rPr>
        <w:lastRenderedPageBreak/>
        <w:t>Guadalupe Vázquez López Trabajador Número 703 = Auxiliar Administrativo Síndico Municipal - Guadalupe Margarita de la Cruz Juárez Trabajador Número 775 = Segunda Regidora - Citlali Medina Díaz Trabajador Número 611 = Tesorero Municipal - Patricio Gutiérrez Ortíz. Trabajador Número 724 = Coordinadora de Comunicación Social - Leslie Esther Rosas Herrera Trabajador Número 813 = Auxiliar Administrativo de Comunicación Social - Noé Avelino Andráde Galicia Trabajador Número 892 = a partir de la 1era Quincena de Marzo = Auxiliar Administrativo de Comunicación Social - Agustina Sonia Badillo Aguilar. Trabajador Número 871= a partir de la 2da Quincena de Febrero= Auxiliar Administrativo de Comunicación Social - Felipe Jesús Elizalde Jiménez. Trabajador Número 913= a partir de la 1era Quincena de Abril = Auxiliar Administrativo de Comunicación Social - Tomas Guadalupe Villaseca Sánchez. Trabajador Número 857= a partir de la 1era Quincena de Octubre= Auxiliar Administrativo de Comunicación Social - Vanessa Lizeth Juárez Juárez.” (Sic)</w:t>
      </w:r>
    </w:p>
    <w:p w:rsidR="009A3138" w:rsidRDefault="001D333F">
      <w:pPr>
        <w:tabs>
          <w:tab w:val="left" w:pos="567"/>
        </w:tabs>
        <w:spacing w:beforeAutospacing="1" w:afterAutospacing="1" w:line="360" w:lineRule="auto"/>
        <w:contextualSpacing/>
        <w:jc w:val="both"/>
        <w:rPr>
          <w:rFonts w:ascii="Palatino Linotype" w:hAnsi="Palatino Linotype"/>
          <w:b/>
          <w:bCs/>
          <w:i/>
        </w:rPr>
      </w:pPr>
      <w:r>
        <w:rPr>
          <w:rFonts w:ascii="Palatino Linotype" w:hAnsi="Palatino Linotype" w:cs="Arial"/>
        </w:rPr>
        <w:t xml:space="preserve">Asimismo, </w:t>
      </w:r>
      <w:r>
        <w:rPr>
          <w:rFonts w:ascii="Palatino Linotype" w:hAnsi="Palatino Linotype" w:cs="Arial"/>
          <w:b/>
        </w:rPr>
        <w:t>EL SUJETO OBLIGADO</w:t>
      </w:r>
      <w:r>
        <w:rPr>
          <w:rFonts w:ascii="Palatino Linotype" w:hAnsi="Palatino Linotype" w:cs="Arial"/>
        </w:rPr>
        <w:t xml:space="preserve"> adjuntó </w:t>
      </w:r>
      <w:r>
        <w:rPr>
          <w:rFonts w:ascii="Palatino Linotype" w:hAnsi="Palatino Linotype"/>
        </w:rPr>
        <w:t xml:space="preserve">los archivos electrónicos denominados </w:t>
      </w:r>
      <w:r>
        <w:rPr>
          <w:rFonts w:ascii="Palatino Linotype" w:hAnsi="Palatino Linotype"/>
          <w:b/>
          <w:bCs/>
          <w:i/>
        </w:rPr>
        <w:t xml:space="preserve">2da. de Junio.xls, 2da. de Abril.xls, 1era. de Mayo.xls, 1era. de Octubre.xls, 2da. de Mayo.xls, 2da. de Marzo.xls, 1era. de Abril.xls, 1ar. de Agosto.xls, 2da. de Julio.xls, 2da. de enero.xls, 2da. de Agosto.xls, 2da. de Febrero.xlsx, 1era. de Marzo.xls, 1era. de enero.xls, 2da. de Octubre.xls, 2da. de septiembre.xls, 1era. de septiembre.xls, 1era. de Junio.xls, 1era. de Febrero.xls, 1era. de Julio.xls, 2da. de Noviembre.xls, 1era. de Noviembre.xls, 2da. de Diciembre.xls, 1era. de Diciembre.xls, PRIMA VACACIONAL SERVIDORES PÚBLICOS TEOTIHUACAN.pdf, AGUINALDO SERVIDORES, PÚBLICOS TEOTIHUACÁN.pdf, BALANZA DE COMPROBACION DETALLADA AL 31 DE DICIEMBRE DE 2018.pdf, ESTADO DE SITUACIÓN FINANCIERA AL 31 DE DICIEMBRE DE 2018.pdf </w:t>
      </w:r>
      <w:r>
        <w:rPr>
          <w:rFonts w:ascii="Palatino Linotype" w:hAnsi="Palatino Linotype" w:cs="Arial"/>
        </w:rPr>
        <w:t>los cuales se omiten en este apartado, por ser del conocimiento de las partes.</w:t>
      </w:r>
    </w:p>
    <w:p w:rsidR="009A3138" w:rsidRDefault="009A3138">
      <w:pPr>
        <w:tabs>
          <w:tab w:val="left" w:pos="567"/>
        </w:tabs>
        <w:spacing w:beforeAutospacing="1" w:afterAutospacing="1" w:line="360" w:lineRule="auto"/>
        <w:contextualSpacing/>
        <w:jc w:val="both"/>
        <w:rPr>
          <w:rFonts w:ascii="Palatino Linotype" w:hAnsi="Palatino Linotype"/>
          <w:b/>
          <w:bCs/>
          <w:i/>
        </w:rPr>
      </w:pPr>
    </w:p>
    <w:p w:rsidR="009A3138" w:rsidRDefault="001D333F">
      <w:pPr>
        <w:tabs>
          <w:tab w:val="left" w:pos="567"/>
        </w:tabs>
        <w:spacing w:beforeAutospacing="1" w:afterAutospacing="1" w:line="360" w:lineRule="auto"/>
        <w:contextualSpacing/>
        <w:jc w:val="both"/>
        <w:rPr>
          <w:rFonts w:ascii="Palatino Linotype" w:hAnsi="Palatino Linotype"/>
          <w:b/>
          <w:bCs/>
          <w:i/>
        </w:rPr>
      </w:pPr>
      <w:r>
        <w:rPr>
          <w:rFonts w:ascii="Palatino Linotype" w:hAnsi="Palatino Linotype" w:cs="Arial"/>
          <w:b/>
          <w:sz w:val="28"/>
          <w:szCs w:val="28"/>
        </w:rPr>
        <w:lastRenderedPageBreak/>
        <w:t>V.</w:t>
      </w:r>
      <w:r>
        <w:rPr>
          <w:rFonts w:ascii="Palatino Linotype" w:hAnsi="Palatino Linotype" w:cs="Arial"/>
          <w:szCs w:val="20"/>
        </w:rPr>
        <w:t xml:space="preserve"> </w:t>
      </w:r>
      <w:bookmarkEnd w:id="1"/>
      <w:r>
        <w:rPr>
          <w:rFonts w:ascii="Palatino Linotype" w:hAnsi="Palatino Linotype"/>
        </w:rPr>
        <w:t xml:space="preserve">Inconforme con la </w:t>
      </w:r>
      <w:r>
        <w:rPr>
          <w:rFonts w:ascii="Palatino Linotype" w:hAnsi="Palatino Linotype" w:cs="Arial"/>
        </w:rPr>
        <w:t xml:space="preserve">respuesta en fecha veinticuatro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b/>
        </w:rPr>
        <w:t xml:space="preserve">01187/INFOEM/IP/RR/2020, </w:t>
      </w:r>
      <w:r>
        <w:rPr>
          <w:rFonts w:ascii="Palatino Linotype" w:hAnsi="Palatino Linotype" w:cs="Arial"/>
        </w:rPr>
        <w:t>en el que señaló como acto impugnado:</w:t>
      </w:r>
    </w:p>
    <w:p w:rsidR="009A3138" w:rsidRDefault="009A3138">
      <w:pPr>
        <w:spacing w:beforeAutospacing="1" w:afterAutospacing="1"/>
        <w:ind w:left="851" w:right="902"/>
        <w:contextualSpacing/>
        <w:jc w:val="both"/>
        <w:rPr>
          <w:rFonts w:ascii="Palatino Linotype" w:hAnsi="Palatino Linotype"/>
          <w:i/>
          <w:color w:val="000000"/>
          <w:sz w:val="22"/>
          <w:szCs w:val="22"/>
        </w:rPr>
      </w:pPr>
    </w:p>
    <w:p w:rsidR="009A3138" w:rsidRDefault="001D333F">
      <w:pPr>
        <w:spacing w:beforeAutospacing="1"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“Solicito me sea entregada la información conforme la solicitud emitida número 00008/TEOTIHUA/IP/2020 misma que decía lo siguiente "Solicito copia del estado de situación financiera al 31 de diciembre del 2018, y la balanza de comprobación detallada de igual forma al 31 de diciembre 2018, del ayuntamiento de Teotihuacán. así mismo solicito el cfdi de la nómina o dietas (donde se vean reflejadas todas las percepciones llámese dietas, sueldo base, gratificaciones, compensaciones y demás prestaciones que se sean otorgadas por el municipio ) de la primera y segunda quincena de enero, febrero, marzo, abril, mayo, junio, julio, agosto, septiembre, octubre, noviembre, diciembre 2019 , así como de prima y aguinaldo de la síndico municipal, del segundo regidor, del tesorero municipal, del director de comunicación social así como de su personal adscrito al área de comunicación social, también lo requiero de todo el personal adscrito al área de sindicatura.", ya que la información que presentaron esta incompleta, la balanza de comprobación detallada únicamente me mandan la balanza a nivel mayor cambiándole el nombre de mayor a detallada, ya que la balanza debe de constar de más de 100 páginas y me mandan la balanza de nivel mayor con el nombre cambiado a balanza de comprobación detallada y le omiten varias cuentas contables, por otro lado no me mandan los cdfi de nómina del personal antes solicitado solo anexan a la solicitud un listado de las nóminas en versión xls en las cuales no se muestran desglosados todos los datos que se piden esto de conformidad con el artículo 92 fracción VIII de la Ley de Trasparencia y acceso a la información pública del estado de México y municipios.” (Sic)</w:t>
      </w:r>
    </w:p>
    <w:p w:rsidR="009A3138" w:rsidRDefault="009A3138">
      <w:pPr>
        <w:spacing w:beforeAutospacing="1" w:afterAutospacing="1"/>
        <w:ind w:left="851" w:right="902"/>
        <w:contextualSpacing/>
        <w:jc w:val="both"/>
        <w:rPr>
          <w:rFonts w:ascii="Palatino Linotype" w:hAnsi="Palatino Linotype"/>
          <w:i/>
          <w:color w:val="000000"/>
          <w:sz w:val="22"/>
          <w:szCs w:val="22"/>
        </w:rPr>
      </w:pPr>
    </w:p>
    <w:p w:rsidR="009A3138" w:rsidRDefault="001D333F">
      <w:pPr>
        <w:spacing w:beforeAutospacing="1" w:afterAutospacing="1"/>
        <w:ind w:right="902"/>
        <w:contextualSpacing/>
        <w:jc w:val="both"/>
        <w:rPr>
          <w:rFonts w:ascii="Palatino Linotype" w:hAnsi="Palatino Linotype"/>
          <w:color w:val="000000"/>
          <w:szCs w:val="22"/>
        </w:rPr>
      </w:pPr>
      <w:r>
        <w:rPr>
          <w:rFonts w:ascii="Palatino Linotype" w:hAnsi="Palatino Linotype"/>
          <w:color w:val="000000"/>
          <w:szCs w:val="22"/>
        </w:rPr>
        <w:t>Así mismo, señalo como razones o motivos de la inconformidad lo siguiente:</w:t>
      </w:r>
    </w:p>
    <w:p w:rsidR="009A3138" w:rsidRDefault="009A3138">
      <w:pPr>
        <w:spacing w:beforeAutospacing="1" w:afterAutospacing="1"/>
        <w:ind w:left="851" w:right="902"/>
        <w:contextualSpacing/>
        <w:jc w:val="both"/>
        <w:rPr>
          <w:rFonts w:ascii="Palatino Linotype" w:hAnsi="Palatino Linotype"/>
          <w:i/>
          <w:color w:val="000000"/>
          <w:sz w:val="22"/>
          <w:szCs w:val="22"/>
        </w:rPr>
      </w:pPr>
    </w:p>
    <w:p w:rsidR="009A3138" w:rsidRDefault="001D333F">
      <w:pPr>
        <w:spacing w:beforeAutospacing="1"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 xml:space="preserve">“Solicito me sea entregada la información conforme la solicitud emitida número 00008/TEOTIHUA/IP/2020 misma que decía lo siguiente "Solicito copia del estado de situación financiera al 31 de diciembre del 2018, y la balanza de comprobación detallada de igual forma al 31 de diciembre 2018, del ayuntamiento de Teotihuacán. así mismo solicito el cfdi de la nómina o dietas (donde se vean reflejadas todas las percepciones llámese dietas, sueldo base, gratificaciones, compensaciones y demás prestaciones que se sean otorgadas por el municipio ) de la primera y segunda </w:t>
      </w:r>
      <w:r>
        <w:rPr>
          <w:rFonts w:ascii="Palatino Linotype" w:hAnsi="Palatino Linotype"/>
          <w:i/>
          <w:color w:val="000000"/>
          <w:sz w:val="22"/>
          <w:szCs w:val="22"/>
        </w:rPr>
        <w:lastRenderedPageBreak/>
        <w:t>quincena de enero, febrero, marzo, abril, mayo, junio, julio, agosto, septiembre, octubre, noviembre, diciembre 2019 , así como de prima y aguinaldo de la síndico municipal, del segundo regidor, del tesorero municipal, del director de comunicación social así como de su personal adscrito al área de comunicación social, también lo requiero de todo el personal adscrito al área de sindicatura.", ya que la información que presentaron esta incompleta, la balanza de comprobación detallada únicamente me mandan la balanza a nivel mayor cambiándole el nombre de mayor a detallada, ya que la balanza debe de constar de más de 100 páginas y me mandan la balanza de nivel mayor con el nombre cambiado a balanza de comprobación detallada y le omiten varias cuentas contables, por otro lado no me mandan los cdfi de nómina del personal antes solicitado solo anexan a la solicitud un listado de las nóminas en versión xls en las cuales no se muestran desglosados todos los datos que se piden esto de conformidad con el artículo 92 fracción VIII de la Ley de Trasparencia y acceso a la información pública del estado de México y municipios.”.(Sic)</w:t>
      </w:r>
    </w:p>
    <w:p w:rsidR="009A3138" w:rsidRDefault="009A3138">
      <w:pPr>
        <w:spacing w:beforeAutospacing="1" w:afterAutospacing="1" w:line="360" w:lineRule="auto"/>
        <w:contextualSpacing/>
        <w:jc w:val="both"/>
        <w:rPr>
          <w:rFonts w:ascii="Palatino Linotype" w:hAnsi="Palatino Linotype"/>
          <w:b/>
          <w:sz w:val="28"/>
          <w:szCs w:val="28"/>
        </w:rPr>
      </w:pPr>
      <w:bookmarkStart w:id="2" w:name="_Ref507070922"/>
    </w:p>
    <w:p w:rsidR="009A3138" w:rsidRDefault="001D333F">
      <w:pPr>
        <w:spacing w:beforeAutospacing="1" w:afterAutospacing="1" w:line="360" w:lineRule="auto"/>
        <w:contextualSpacing/>
        <w:jc w:val="both"/>
        <w:rPr>
          <w:rFonts w:ascii="Times" w:eastAsiaTheme="minorHAnsi" w:hAnsi="Times" w:cstheme="minorBidi"/>
          <w:sz w:val="20"/>
          <w:szCs w:val="20"/>
          <w:lang w:val="es-ES_tradnl" w:eastAsia="es-ES_tradnl"/>
        </w:rPr>
      </w:pPr>
      <w:r>
        <w:rPr>
          <w:rFonts w:ascii="Palatino Linotype" w:hAnsi="Palatino Linotype"/>
          <w:b/>
          <w:sz w:val="28"/>
          <w:szCs w:val="28"/>
        </w:rPr>
        <w:t>VI.</w:t>
      </w:r>
      <w:r>
        <w:rPr>
          <w:rFonts w:ascii="Palatino Linotype" w:hAnsi="Palatino Linotype"/>
        </w:rPr>
        <w:t xml:space="preserve"> </w:t>
      </w:r>
      <w:bookmarkEnd w:id="2"/>
      <w:r>
        <w:rPr>
          <w:rFonts w:ascii="Palatino Linotype" w:hAnsi="Palatino Linotype" w:cs="Arial"/>
          <w:lang w:val="es-ES"/>
        </w:rPr>
        <w:t xml:space="preserve">El </w:t>
      </w:r>
      <w:r>
        <w:rPr>
          <w:rFonts w:ascii="Palatino Linotype" w:hAnsi="Palatino Linotype" w:cs="Arial"/>
        </w:rPr>
        <w:t>veinticuatro de febrero de dos mil veinte</w:t>
      </w:r>
      <w:r>
        <w:rPr>
          <w:rFonts w:ascii="Palatino Linotype" w:hAnsi="Palatino Linotype"/>
          <w:lang w:val="es-ES"/>
        </w:rPr>
        <w:t>, el recurso de revisión</w:t>
      </w:r>
      <w:r>
        <w:rPr>
          <w:rFonts w:ascii="Palatino Linotype" w:hAnsi="Palatino Linotype" w:cs="Arial"/>
          <w:lang w:val="es-ES_tradnl"/>
        </w:rPr>
        <w:t xml:space="preserve">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xml:space="preserve">, el recurso de revisión </w:t>
      </w:r>
      <w:r>
        <w:rPr>
          <w:rFonts w:ascii="Palatino Linotype" w:hAnsi="Palatino Linotype"/>
          <w:b/>
          <w:lang w:val="es-ES"/>
        </w:rPr>
        <w:t>01187/INFOEM/IP/RR/2020</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 xml:space="preserve">Eva Abaid Yapur, </w:t>
      </w:r>
      <w:r>
        <w:rPr>
          <w:rFonts w:ascii="Palatino Linotype" w:hAnsi="Palatino Linotype" w:cs="Arial"/>
          <w:lang w:val="es-ES_tradnl"/>
        </w:rPr>
        <w:t>a efecto de que se decretará su admisión o desechamiento.</w:t>
      </w:r>
    </w:p>
    <w:p w:rsidR="009A3138" w:rsidRDefault="009A3138">
      <w:pPr>
        <w:tabs>
          <w:tab w:val="center" w:pos="4252"/>
          <w:tab w:val="right" w:pos="8504"/>
        </w:tabs>
        <w:spacing w:beforeAutospacing="1" w:afterAutospacing="1" w:line="360" w:lineRule="auto"/>
        <w:contextualSpacing/>
        <w:jc w:val="both"/>
        <w:rPr>
          <w:rFonts w:ascii="Palatino Linotype" w:hAnsi="Palatino Linotype" w:cs="Arial"/>
          <w:b/>
          <w:sz w:val="28"/>
          <w:szCs w:val="28"/>
        </w:rPr>
      </w:pPr>
    </w:p>
    <w:p w:rsidR="009A3138" w:rsidRDefault="001D333F">
      <w:pPr>
        <w:tabs>
          <w:tab w:val="center" w:pos="4252"/>
          <w:tab w:val="right" w:pos="8504"/>
        </w:tabs>
        <w:spacing w:beforeAutospacing="1" w:afterAutospacing="1" w:line="360" w:lineRule="auto"/>
        <w:contextualSpacing/>
        <w:jc w:val="both"/>
        <w:rPr>
          <w:rFonts w:ascii="Palatino Linotype" w:eastAsia="MS Mincho" w:hAnsi="Palatino Linotype" w:cs="Arial"/>
          <w:lang w:val="es-ES_tradnl"/>
        </w:rPr>
      </w:pPr>
      <w:r>
        <w:rPr>
          <w:rFonts w:ascii="Palatino Linotype" w:hAnsi="Palatino Linotype" w:cs="Arial"/>
          <w:b/>
          <w:sz w:val="28"/>
          <w:szCs w:val="28"/>
        </w:rPr>
        <w:t>V.</w:t>
      </w:r>
      <w:r>
        <w:rPr>
          <w:rFonts w:ascii="Palatino Linotype" w:hAnsi="Palatino Linotype" w:cs="Arial"/>
        </w:rPr>
        <w:t xml:space="preserve"> </w:t>
      </w:r>
      <w:r>
        <w:rPr>
          <w:rFonts w:ascii="Palatino Linotype" w:eastAsia="MS Mincho" w:hAnsi="Palatino Linotype" w:cs="Arial"/>
          <w:lang w:val="es-ES_tradnl"/>
        </w:rPr>
        <w:t>De las constancias del expediente electrónico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xml:space="preserve">, se desprende que el </w:t>
      </w:r>
      <w:r>
        <w:rPr>
          <w:rFonts w:ascii="Palatino Linotype" w:hAnsi="Palatino Linotype" w:cs="Arial"/>
        </w:rPr>
        <w:t>veintiocho de febrero de dos mil veinte</w:t>
      </w:r>
      <w:r>
        <w:rPr>
          <w:rFonts w:ascii="Palatino Linotype" w:eastAsia="MS Mincho" w:hAnsi="Palatino Linotype" w:cs="Arial"/>
          <w:lang w:val="es-ES_tradn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Pr>
          <w:rFonts w:ascii="Palatino Linotype" w:eastAsia="MS Mincho" w:hAnsi="Palatino Linotype" w:cs="Arial"/>
          <w:lang w:val="es-ES_tradnl"/>
        </w:rPr>
        <w:lastRenderedPageBreak/>
        <w:t xml:space="preserve">derecho conviniera, a efecto de presentar pruebas y alegatos; así como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rindiera su Informe Justificado respectivamente.</w:t>
      </w:r>
    </w:p>
    <w:p w:rsidR="009A3138" w:rsidRDefault="001D333F">
      <w:pPr>
        <w:pStyle w:val="Prrafodelista"/>
        <w:widowControl w:val="0"/>
        <w:tabs>
          <w:tab w:val="left" w:pos="0"/>
        </w:tabs>
        <w:spacing w:beforeAutospacing="1" w:afterAutospacing="1" w:line="360" w:lineRule="auto"/>
        <w:ind w:left="0"/>
        <w:contextualSpacing/>
        <w:jc w:val="both"/>
        <w:rPr>
          <w:rFonts w:ascii="Palatino Linotype" w:hAnsi="Palatino Linotype" w:cs="Arial"/>
        </w:rPr>
      </w:pPr>
      <w:r>
        <w:rPr>
          <w:rFonts w:ascii="Palatino Linotype" w:hAnsi="Palatino Linotype" w:cs="Arial"/>
          <w:b/>
          <w:sz w:val="28"/>
          <w:szCs w:val="28"/>
        </w:rPr>
        <w:t>VI.</w:t>
      </w:r>
      <w:r>
        <w:rPr>
          <w:rFonts w:ascii="Palatino Linotype" w:hAnsi="Palatino Linotype" w:cs="Arial"/>
        </w:rPr>
        <w:t xml:space="preserve"> De</w:t>
      </w:r>
      <w:r>
        <w:rPr>
          <w:rFonts w:ascii="Palatino Linotype" w:hAnsi="Palatino Linotype" w:cs="Arial"/>
          <w:lang w:val="es-ES_tradnl"/>
        </w:rPr>
        <w:t xml:space="preserve"> las </w:t>
      </w:r>
      <w:r>
        <w:rPr>
          <w:rFonts w:ascii="Palatino Linotype" w:hAnsi="Palatino Linotype"/>
        </w:rPr>
        <w:t>constancias</w:t>
      </w:r>
      <w:r>
        <w:rPr>
          <w:rFonts w:ascii="Palatino Linotype" w:hAnsi="Palatino Linotype" w:cs="Arial"/>
          <w:lang w:val="es-ES_tradnl"/>
        </w:rPr>
        <w:t xml:space="preserve"> que obran en el </w:t>
      </w:r>
      <w:r>
        <w:rPr>
          <w:rFonts w:ascii="Palatino Linotype" w:hAnsi="Palatino Linotype" w:cs="Arial"/>
          <w:b/>
          <w:lang w:val="es-ES_tradnl"/>
        </w:rPr>
        <w:t>SAIMEX</w:t>
      </w:r>
      <w:r>
        <w:rPr>
          <w:rFonts w:ascii="Palatino Linotype" w:hAnsi="Palatino Linotype" w:cs="Arial"/>
          <w:lang w:val="es-ES_tradnl"/>
        </w:rPr>
        <w:t xml:space="preserve">, se advierte que, </w:t>
      </w:r>
      <w:r>
        <w:rPr>
          <w:rFonts w:ascii="Palatino Linotype" w:hAnsi="Palatino Linotype" w:cs="Arial"/>
          <w:b/>
        </w:rPr>
        <w:t>EL RECURRENTE</w:t>
      </w:r>
      <w:r>
        <w:rPr>
          <w:rFonts w:ascii="Palatino Linotype" w:hAnsi="Palatino Linotype" w:cs="Arial"/>
        </w:rPr>
        <w:t xml:space="preserve"> presentó las siguientes manifestaciones:</w:t>
      </w:r>
    </w:p>
    <w:p w:rsidR="009A3138" w:rsidRDefault="001D333F">
      <w:pPr>
        <w:pStyle w:val="Prrafodelista"/>
        <w:widowControl w:val="0"/>
        <w:tabs>
          <w:tab w:val="left" w:pos="0"/>
        </w:tabs>
        <w:spacing w:beforeAutospacing="1" w:afterAutospacing="1" w:line="360" w:lineRule="auto"/>
        <w:ind w:left="0"/>
        <w:contextualSpacing/>
        <w:jc w:val="both"/>
        <w:rPr>
          <w:rFonts w:ascii="Palatino Linotype" w:hAnsi="Palatino Linotype" w:cs="Arial"/>
        </w:rPr>
      </w:pPr>
      <w:r>
        <w:rPr>
          <w:noProof/>
          <w:lang w:eastAsia="es-MX"/>
        </w:rPr>
        <w:drawing>
          <wp:inline distT="0" distB="0" distL="0" distR="0" wp14:anchorId="438F612E">
            <wp:extent cx="5791358" cy="5701030"/>
            <wp:effectExtent l="6985" t="0" r="6985" b="6985"/>
            <wp:docPr id="2"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33437" t="13480" r="16020"/>
                    <a:stretch/>
                  </pic:blipFill>
                  <pic:spPr>
                    <a:xfrm rot="16200000">
                      <a:off x="0" y="0"/>
                      <a:ext cx="5796958" cy="5706543"/>
                    </a:xfrm>
                    <a:prstGeom prst="rect">
                      <a:avLst/>
                    </a:prstGeom>
                    <a:ln>
                      <a:noFill/>
                    </a:ln>
                  </pic:spPr>
                </pic:pic>
              </a:graphicData>
            </a:graphic>
          </wp:inline>
        </w:drawing>
      </w:r>
    </w:p>
    <w:p w:rsidR="009A3138" w:rsidRDefault="001D333F">
      <w:pPr>
        <w:pStyle w:val="Prrafodelista"/>
        <w:widowControl w:val="0"/>
        <w:tabs>
          <w:tab w:val="left" w:pos="0"/>
        </w:tabs>
        <w:spacing w:beforeAutospacing="1" w:afterAutospacing="1" w:line="360" w:lineRule="auto"/>
        <w:ind w:left="0"/>
        <w:contextualSpacing/>
        <w:jc w:val="both"/>
        <w:rPr>
          <w:rFonts w:ascii="Palatino Linotype" w:hAnsi="Palatino Linotype" w:cs="Arial"/>
        </w:rPr>
      </w:pPr>
      <w:r>
        <w:rPr>
          <w:noProof/>
          <w:lang w:eastAsia="es-MX"/>
        </w:rPr>
        <w:lastRenderedPageBreak/>
        <mc:AlternateContent>
          <mc:Choice Requires="wps">
            <w:drawing>
              <wp:inline distT="0" distB="0" distL="0" distR="0" wp14:anchorId="2721E5D5">
                <wp:extent cx="7223125" cy="5734685"/>
                <wp:effectExtent l="1587" t="0" r="0" b="0"/>
                <wp:docPr id="3" name="Imagen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rcRect l="15390" t="16868" r="16020"/>
                        <a:stretch/>
                      </pic:blipFill>
                      <pic:spPr>
                        <a:xfrm rot="16200000">
                          <a:off x="0" y="0"/>
                          <a:ext cx="7222320" cy="5734080"/>
                        </a:xfrm>
                        <a:prstGeom prst="rect">
                          <a:avLst/>
                        </a:prstGeom>
                        <a:ln>
                          <a:noFill/>
                        </a:ln>
                      </pic:spPr>
                    </pic:pic>
                  </a:graphicData>
                </a:graphic>
              </wp:inline>
            </w:drawing>
          </mc:Choice>
          <mc:Fallback>
            <w:pict>
              <v:shape id="shape_0" stroked="f" style="position:absolute;margin-left:-58.55pt;margin-top:-510.15pt;width:568.65pt;height:451.45pt;rotation:270;mso-position-vertical:top" wp14:anchorId="2721E5D5" type="shapetype_75">
                <v:imagedata r:id="rId10" o:detectmouseclick="t"/>
                <w10:wrap type="none"/>
                <v:stroke color="#3465a4" joinstyle="round" endcap="flat"/>
              </v:shape>
            </w:pict>
          </mc:Fallback>
        </mc:AlternateContent>
      </w:r>
    </w:p>
    <w:p w:rsidR="009A3138" w:rsidRDefault="001D333F">
      <w:pPr>
        <w:pStyle w:val="Prrafodelista"/>
        <w:widowControl w:val="0"/>
        <w:tabs>
          <w:tab w:val="left" w:pos="0"/>
        </w:tabs>
        <w:spacing w:beforeAutospacing="1" w:afterAutospacing="1" w:line="360" w:lineRule="auto"/>
        <w:ind w:left="0"/>
        <w:contextualSpacing/>
        <w:jc w:val="both"/>
        <w:rPr>
          <w:rFonts w:ascii="Palatino Linotype" w:hAnsi="Palatino Linotype" w:cs="Arial"/>
        </w:rPr>
      </w:pPr>
      <w:r>
        <w:rPr>
          <w:noProof/>
          <w:lang w:eastAsia="es-MX"/>
        </w:rPr>
        <w:lastRenderedPageBreak/>
        <mc:AlternateContent>
          <mc:Choice Requires="wps">
            <w:drawing>
              <wp:inline distT="0" distB="0" distL="0" distR="0" wp14:anchorId="386D293A">
                <wp:extent cx="2087245" cy="5739130"/>
                <wp:effectExtent l="2857" t="0" r="0" b="0"/>
                <wp:docPr id="4" name="Imagen 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rcRect l="57947" t="17106" r="16283"/>
                        <a:stretch/>
                      </pic:blipFill>
                      <pic:spPr>
                        <a:xfrm rot="16200000">
                          <a:off x="0" y="0"/>
                          <a:ext cx="2086560" cy="5738400"/>
                        </a:xfrm>
                        <a:prstGeom prst="rect">
                          <a:avLst/>
                        </a:prstGeom>
                        <a:ln>
                          <a:noFill/>
                        </a:ln>
                      </pic:spPr>
                    </pic:pic>
                  </a:graphicData>
                </a:graphic>
              </wp:inline>
            </w:drawing>
          </mc:Choice>
          <mc:Fallback>
            <w:pict>
              <v:shape id="shape_0" stroked="f" style="position:absolute;margin-left:143.75pt;margin-top:-308.1pt;width:164.25pt;height:451.8pt;rotation:270;mso-position-vertical:top" wp14:anchorId="386D293A" type="shapetype_75">
                <v:imagedata r:id="rId12" o:detectmouseclick="t"/>
                <w10:wrap type="none"/>
                <v:stroke color="#3465a4" joinstyle="round" endcap="flat"/>
              </v:shape>
            </w:pict>
          </mc:Fallback>
        </mc:AlternateContent>
      </w:r>
    </w:p>
    <w:p w:rsidR="009A3138" w:rsidRDefault="009A3138">
      <w:pPr>
        <w:pStyle w:val="Prrafodelista"/>
        <w:widowControl w:val="0"/>
        <w:tabs>
          <w:tab w:val="left" w:pos="0"/>
        </w:tabs>
        <w:spacing w:beforeAutospacing="1" w:afterAutospacing="1" w:line="360" w:lineRule="auto"/>
        <w:ind w:left="0"/>
        <w:contextualSpacing/>
        <w:jc w:val="both"/>
        <w:rPr>
          <w:rFonts w:ascii="Palatino Linotype" w:hAnsi="Palatino Linotype" w:cs="Arial"/>
        </w:rPr>
      </w:pPr>
    </w:p>
    <w:p w:rsidR="009A3138" w:rsidRDefault="001D333F">
      <w:pPr>
        <w:pStyle w:val="Prrafodelista"/>
        <w:widowControl w:val="0"/>
        <w:tabs>
          <w:tab w:val="left" w:pos="0"/>
        </w:tabs>
        <w:spacing w:beforeAutospacing="1" w:afterAutospacing="1" w:line="360" w:lineRule="auto"/>
        <w:ind w:left="0"/>
        <w:contextualSpacing/>
        <w:jc w:val="both"/>
        <w:rPr>
          <w:rFonts w:ascii="Palatino Linotype" w:hAnsi="Palatino Linotype" w:cs="Arial"/>
          <w:lang w:val="es-ES_tradnl"/>
        </w:rPr>
      </w:pPr>
      <w:r>
        <w:rPr>
          <w:rFonts w:ascii="Palatino Linotype" w:hAnsi="Palatino Linotype" w:cs="Arial"/>
          <w:lang w:val="es-ES_tradnl"/>
        </w:rPr>
        <w:t xml:space="preserve">Por otra parte, </w:t>
      </w:r>
      <w:r>
        <w:rPr>
          <w:rFonts w:ascii="Palatino Linotype" w:hAnsi="Palatino Linotype" w:cs="Arial"/>
          <w:b/>
          <w:lang w:val="es-ES_tradnl"/>
        </w:rPr>
        <w:t xml:space="preserve">EL SUJETO OBLIGADO </w:t>
      </w:r>
      <w:r>
        <w:rPr>
          <w:rFonts w:ascii="Palatino Linotype" w:hAnsi="Palatino Linotype" w:cs="Arial"/>
          <w:lang w:val="es-ES_tradnl"/>
        </w:rPr>
        <w:t xml:space="preserve">se observa que el </w:t>
      </w:r>
      <w:r>
        <w:rPr>
          <w:rFonts w:ascii="Palatino Linotype" w:hAnsi="Palatino Linotype" w:cs="Arial"/>
          <w:b/>
          <w:lang w:val="es-ES_tradnl"/>
        </w:rPr>
        <w:t xml:space="preserve">SUJETO OBLIGADO </w:t>
      </w:r>
      <w:r>
        <w:rPr>
          <w:rFonts w:ascii="Palatino Linotype" w:hAnsi="Palatino Linotype" w:cs="Arial"/>
          <w:lang w:val="es-ES_tradnl"/>
        </w:rPr>
        <w:t xml:space="preserve">fue omiso en rendir su Informe Justificado; como se aprecia en la siguiente imagen; </w:t>
      </w:r>
    </w:p>
    <w:p w:rsidR="009A3138" w:rsidRDefault="009A3138">
      <w:pPr>
        <w:pStyle w:val="Prrafodelista"/>
        <w:widowControl w:val="0"/>
        <w:tabs>
          <w:tab w:val="left" w:pos="0"/>
        </w:tabs>
        <w:spacing w:beforeAutospacing="1" w:afterAutospacing="1" w:line="360" w:lineRule="auto"/>
        <w:ind w:left="0"/>
        <w:contextualSpacing/>
        <w:rPr>
          <w:lang w:eastAsia="es-MX"/>
        </w:rPr>
      </w:pPr>
    </w:p>
    <w:p w:rsidR="009A3138" w:rsidRDefault="001D333F">
      <w:pPr>
        <w:pStyle w:val="Prrafodelista"/>
        <w:widowControl w:val="0"/>
        <w:tabs>
          <w:tab w:val="left" w:pos="0"/>
        </w:tabs>
        <w:spacing w:beforeAutospacing="1" w:afterAutospacing="1" w:line="360" w:lineRule="auto"/>
        <w:ind w:left="0"/>
        <w:contextualSpacing/>
        <w:rPr>
          <w:rFonts w:ascii="Palatino Linotype" w:hAnsi="Palatino Linotype" w:cs="Arial"/>
          <w:lang w:val="es-ES_tradnl"/>
        </w:rPr>
      </w:pPr>
      <w:r>
        <w:rPr>
          <w:noProof/>
          <w:lang w:eastAsia="es-MX"/>
        </w:rPr>
        <w:drawing>
          <wp:inline distT="0" distB="0" distL="0" distR="0">
            <wp:extent cx="5699760" cy="299466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13"/>
                    <a:srcRect l="10524" t="41165" r="11722" b="18149"/>
                    <a:stretch>
                      <a:fillRect/>
                    </a:stretch>
                  </pic:blipFill>
                  <pic:spPr bwMode="auto">
                    <a:xfrm>
                      <a:off x="0" y="0"/>
                      <a:ext cx="5699760" cy="2994660"/>
                    </a:xfrm>
                    <a:prstGeom prst="rect">
                      <a:avLst/>
                    </a:prstGeom>
                  </pic:spPr>
                </pic:pic>
              </a:graphicData>
            </a:graphic>
          </wp:inline>
        </w:drawing>
      </w:r>
    </w:p>
    <w:p w:rsidR="009A3138" w:rsidRDefault="009A3138">
      <w:pPr>
        <w:pStyle w:val="Prrafodelista"/>
        <w:widowControl w:val="0"/>
        <w:tabs>
          <w:tab w:val="left" w:pos="0"/>
        </w:tabs>
        <w:spacing w:beforeAutospacing="1" w:afterAutospacing="1" w:line="360" w:lineRule="auto"/>
        <w:ind w:left="0"/>
        <w:contextualSpacing/>
        <w:rPr>
          <w:rFonts w:ascii="Palatino Linotype" w:hAnsi="Palatino Linotype" w:cs="Arial"/>
          <w:lang w:val="es-ES_tradnl"/>
        </w:rPr>
      </w:pPr>
    </w:p>
    <w:p w:rsidR="009A3138" w:rsidRDefault="001D333F">
      <w:pPr>
        <w:pStyle w:val="Prrafodelista"/>
        <w:spacing w:beforeAutospacing="1" w:afterAutospacing="1" w:line="360" w:lineRule="auto"/>
        <w:ind w:left="0"/>
        <w:contextualSpacing/>
        <w:jc w:val="both"/>
        <w:rPr>
          <w:rFonts w:ascii="Palatino Linotype" w:hAnsi="Palatino Linotype" w:cs="Arial"/>
        </w:rPr>
      </w:pPr>
      <w:r>
        <w:rPr>
          <w:rFonts w:ascii="Palatino Linotype" w:hAnsi="Palatino Linotype" w:cs="Arial"/>
          <w:b/>
          <w:sz w:val="28"/>
          <w:szCs w:val="28"/>
        </w:rPr>
        <w:t>VII.</w:t>
      </w:r>
      <w:r>
        <w:rPr>
          <w:rFonts w:ascii="Palatino Linotype" w:hAnsi="Palatino Linotype" w:cs="Arial"/>
        </w:rPr>
        <w:t xml:space="preserve"> Una vez analizado el estado procesal que guardaba el expediente, el veintiocho de febrero de dos mil veinte, la Comisionada Ponente acordó el cierre de instrucción; </w:t>
      </w:r>
      <w:r>
        <w:rPr>
          <w:rFonts w:ascii="Palatino Linotype" w:hAnsi="Palatino Linotype" w:cs="Arial"/>
        </w:rPr>
        <w:lastRenderedPageBreak/>
        <w:t>así como, la remisión del mismo a efecto de ser resuelto, de conformidad con lo establecido en el artículo 185, fracciones VI y VIII de la Ley de Transparencia y Acceso a la Información Pública del Estado de México y Municipios; y</w:t>
      </w:r>
    </w:p>
    <w:p w:rsidR="009A3138" w:rsidRDefault="009A3138">
      <w:pPr>
        <w:pStyle w:val="Prrafodelista"/>
        <w:spacing w:beforeAutospacing="1" w:afterAutospacing="1" w:line="360" w:lineRule="auto"/>
        <w:ind w:left="0"/>
        <w:contextualSpacing/>
        <w:jc w:val="both"/>
        <w:rPr>
          <w:rFonts w:ascii="Palatino Linotype" w:hAnsi="Palatino Linotype" w:cs="Arial"/>
        </w:rPr>
      </w:pPr>
    </w:p>
    <w:p w:rsidR="009A3138" w:rsidRDefault="001D333F">
      <w:pPr>
        <w:pStyle w:val="Prrafodelista"/>
        <w:tabs>
          <w:tab w:val="left" w:pos="567"/>
        </w:tabs>
        <w:spacing w:beforeAutospacing="1" w:afterAutospacing="1" w:line="360" w:lineRule="auto"/>
        <w:ind w:left="0"/>
        <w:contextualSpacing/>
        <w:jc w:val="both"/>
        <w:rPr>
          <w:rFonts w:ascii="Palatino Linotype" w:hAnsi="Palatino Linotype"/>
          <w:b/>
          <w:sz w:val="28"/>
          <w:szCs w:val="28"/>
        </w:rPr>
      </w:pPr>
      <w:r>
        <w:rPr>
          <w:rFonts w:ascii="Palatino Linotype" w:hAnsi="Palatino Linotype" w:cs="Arial"/>
          <w:b/>
          <w:sz w:val="28"/>
          <w:szCs w:val="28"/>
        </w:rPr>
        <w:t xml:space="preserve">IX. </w:t>
      </w:r>
      <w:r>
        <w:rPr>
          <w:rFonts w:ascii="Palatino Linotype" w:hAnsi="Palatino Linotype" w:cs="Arial"/>
        </w:rPr>
        <w:t>En fecha diecisiete de marzo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9A3138" w:rsidRDefault="009A3138">
      <w:pPr>
        <w:pStyle w:val="Prrafodelista"/>
        <w:tabs>
          <w:tab w:val="left" w:pos="709"/>
        </w:tabs>
        <w:spacing w:beforeAutospacing="1" w:afterAutospacing="1" w:line="360" w:lineRule="auto"/>
        <w:ind w:left="0"/>
        <w:contextualSpacing/>
        <w:jc w:val="both"/>
        <w:rPr>
          <w:rFonts w:ascii="Palatino Linotype" w:hAnsi="Palatino Linotype" w:cs="Arial"/>
        </w:rPr>
      </w:pPr>
      <w:bookmarkStart w:id="3" w:name="_Ref529870989"/>
      <w:bookmarkEnd w:id="3"/>
    </w:p>
    <w:p w:rsidR="009A3138" w:rsidRDefault="001D333F">
      <w:pPr>
        <w:spacing w:beforeAutospacing="1" w:afterAutospacing="1" w:line="360" w:lineRule="auto"/>
        <w:contextualSpacing/>
        <w:jc w:val="center"/>
        <w:rPr>
          <w:rFonts w:ascii="Palatino Linotype" w:hAnsi="Palatino Linotype"/>
          <w:b/>
          <w:bCs/>
          <w:spacing w:val="60"/>
          <w:sz w:val="28"/>
        </w:rPr>
      </w:pPr>
      <w:r>
        <w:rPr>
          <w:rFonts w:ascii="Palatino Linotype" w:hAnsi="Palatino Linotype"/>
          <w:b/>
          <w:bCs/>
          <w:spacing w:val="60"/>
          <w:sz w:val="28"/>
        </w:rPr>
        <w:t>CONSIDERANDO</w:t>
      </w: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rPr>
      </w:pPr>
      <w:r>
        <w:rPr>
          <w:rFonts w:ascii="Palatino Linotype" w:hAnsi="Palatino Linotype"/>
          <w:b/>
          <w:sz w:val="28"/>
          <w:szCs w:val="28"/>
        </w:rPr>
        <w:t>PRIMERO.</w:t>
      </w:r>
      <w:r>
        <w:rPr>
          <w:rFonts w:ascii="Palatino Linotype" w:hAnsi="Palatino Linotype"/>
          <w:b/>
        </w:rPr>
        <w:t xml:space="preserve"> 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b/>
          <w:sz w:val="28"/>
          <w:szCs w:val="28"/>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rPr>
      </w:pPr>
      <w:r>
        <w:rPr>
          <w:rFonts w:ascii="Palatino Linotype" w:hAnsi="Palatino Linotype" w:cs="Arial"/>
          <w:b/>
          <w:sz w:val="28"/>
          <w:szCs w:val="28"/>
        </w:rPr>
        <w:lastRenderedPageBreak/>
        <w:t>SEGUNDO.</w:t>
      </w: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al </w:t>
      </w:r>
      <w:r>
        <w:rPr>
          <w:rFonts w:ascii="Palatino Linotype" w:hAnsi="Palatino Linotype" w:cs="Arial"/>
          <w:b/>
        </w:rPr>
        <w:t>SUJETO OBLIGADO.</w:t>
      </w:r>
      <w:r>
        <w:rPr>
          <w:rFonts w:ascii="Palatino Linotype" w:hAnsi="Palatino Linotype" w:cs="Arial"/>
        </w:rPr>
        <w:t xml:space="preserve"> </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b/>
          <w:sz w:val="28"/>
          <w:szCs w:val="28"/>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lang w:val="es-ES_tradnl"/>
        </w:rPr>
      </w:pPr>
      <w:r>
        <w:rPr>
          <w:rFonts w:ascii="Palatino Linotype" w:hAnsi="Palatino Linotype" w:cs="Arial"/>
          <w:b/>
          <w:sz w:val="28"/>
          <w:szCs w:val="28"/>
        </w:rPr>
        <w:t>TERCERO.</w:t>
      </w:r>
      <w:r>
        <w:rPr>
          <w:rFonts w:ascii="Palatino Linotype" w:hAnsi="Palatino Linotype" w:cs="Arial"/>
          <w:b/>
        </w:rPr>
        <w:t xml:space="preserve"> Oportunidad. </w:t>
      </w:r>
      <w:r>
        <w:rPr>
          <w:rFonts w:ascii="Palatino Linotype" w:hAnsi="Palatino Linotype" w:cs="Arial"/>
        </w:rPr>
        <w:t xml:space="preserve">El </w:t>
      </w:r>
      <w:r>
        <w:rPr>
          <w:rFonts w:ascii="Palatino Linotype" w:hAnsi="Palatino Linotype"/>
        </w:rPr>
        <w:t>recurso</w:t>
      </w:r>
      <w:r>
        <w:rPr>
          <w:rFonts w:ascii="Palatino Linotype" w:hAnsi="Palatino Linotype" w:cs="Arial"/>
        </w:rPr>
        <w:t xml:space="preserve"> de revisión fue interpuesto dentro del plazo de quince días hábiles </w:t>
      </w:r>
      <w:r>
        <w:rPr>
          <w:rFonts w:ascii="Palatino Linotype" w:hAnsi="Palatino Linotype"/>
        </w:rPr>
        <w:t>contados</w:t>
      </w:r>
      <w:r>
        <w:rPr>
          <w:rFonts w:ascii="Palatino Linotype" w:hAnsi="Palatino Linotype" w:cs="Arial"/>
        </w:rPr>
        <w:t xml:space="preserve"> a </w:t>
      </w:r>
      <w:r>
        <w:rPr>
          <w:rFonts w:ascii="Palatino Linotype" w:hAnsi="Palatino Linotype"/>
        </w:rPr>
        <w:t>partir</w:t>
      </w:r>
      <w:r>
        <w:rPr>
          <w:rFonts w:ascii="Palatino Linotype" w:hAnsi="Palatino Linotype" w:cs="Arial"/>
        </w:rPr>
        <w:t xml:space="preserve"> del día siguiente al que </w:t>
      </w:r>
      <w:r>
        <w:rPr>
          <w:rFonts w:ascii="Palatino Linotype" w:hAnsi="Palatino Linotype" w:cs="Arial"/>
          <w:b/>
        </w:rPr>
        <w:t>EL RECURRENTE</w:t>
      </w:r>
      <w:r>
        <w:rPr>
          <w:rFonts w:ascii="Palatino Linotype" w:hAnsi="Palatino Linotype" w:cs="Arial"/>
          <w:b/>
          <w:bCs/>
        </w:rPr>
        <w:t xml:space="preserve"> </w:t>
      </w:r>
      <w:r>
        <w:rPr>
          <w:rFonts w:ascii="Palatino Linotype" w:hAnsi="Palatino Linotype" w:cs="Arial"/>
        </w:rPr>
        <w:t xml:space="preserve">tuvo conocimiento de la respuesta </w:t>
      </w:r>
      <w:r>
        <w:rPr>
          <w:rFonts w:ascii="Palatino Linotype" w:hAnsi="Palatino Linotype"/>
        </w:rPr>
        <w:t>impugnada</w:t>
      </w:r>
      <w:r>
        <w:rPr>
          <w:rFonts w:ascii="Palatino Linotype" w:hAnsi="Palatino Linotype" w:cs="Arial"/>
        </w:rPr>
        <w:t>, tal y como lo prevé el artículo 178 de la Ley de Transparencia y Acceso a la Información Pública del Estado de México y Municipios, que establece:</w:t>
      </w:r>
    </w:p>
    <w:p w:rsidR="009A3138" w:rsidRDefault="001D333F">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178.</w:t>
      </w:r>
      <w:r>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3138" w:rsidRDefault="001D333F">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3138" w:rsidRDefault="001D333F">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 xml:space="preserve">En el caso de que se interponga ante la Unidad de Transparencia, ésta deberá remitir el recurso de revisión al Instituto a más tardar al día </w:t>
      </w:r>
      <w:r>
        <w:rPr>
          <w:rFonts w:ascii="Palatino Linotype" w:hAnsi="Palatino Linotype" w:cs="Arial"/>
          <w:i/>
          <w:sz w:val="22"/>
          <w:szCs w:val="22"/>
          <w:lang w:eastAsia="es-MX"/>
        </w:rPr>
        <w:t>siguiente</w:t>
      </w:r>
      <w:r>
        <w:rPr>
          <w:rFonts w:ascii="Palatino Linotype" w:hAnsi="Palatino Linotype" w:cs="Arial"/>
          <w:i/>
          <w:sz w:val="22"/>
          <w:szCs w:val="22"/>
        </w:rPr>
        <w:t xml:space="preserve"> de haberlo recibido.”</w:t>
      </w:r>
    </w:p>
    <w:p w:rsidR="009A3138" w:rsidRDefault="009A3138">
      <w:pPr>
        <w:spacing w:beforeAutospacing="1" w:afterAutospacing="1" w:line="360" w:lineRule="auto"/>
        <w:contextualSpacing/>
        <w:jc w:val="both"/>
        <w:rPr>
          <w:rFonts w:ascii="Palatino Linotype" w:hAnsi="Palatino Linotype" w:cs="Arial"/>
        </w:rPr>
      </w:pPr>
    </w:p>
    <w:p w:rsidR="009A3138" w:rsidRDefault="001D333F">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En efecto, atendiendo a que EL SUJETO OBLIGADO notificó la respuesta a la solicitud de información pública el veinte de febrero de dos mil veinte; en  consecuencia, el plazo de quince días hábiles que el artículo 178 de la ley de la materia otorga al RECURRENTE para presentar el recurso de revisión, transcurrió del veintiuno de febrero al diecisiete de marzo de dos mil veinte, sin contemplar en el cómputo los días veintidós, veintitrés y veintinueve de febrero; así como el uno, siete, ocho, catorce y </w:t>
      </w:r>
      <w:r>
        <w:rPr>
          <w:rFonts w:ascii="Palatino Linotype" w:hAnsi="Palatino Linotype" w:cs="Arial"/>
        </w:rPr>
        <w:lastRenderedPageBreak/>
        <w:t>quince de marzo de dos mil veinte, por corresponder a sábados y domingos, considerados como días inhábiles; en términos del artículo 3, fracción X de la Ley de Transparencia y Acceso a la Información Pública del Estado de México y Municipios; asimismo los días dos, nueve y dieciséis de marzo de dos mil veinte, por suspensión de labores en el Instituto,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9A3138" w:rsidRDefault="009A3138">
      <w:pPr>
        <w:spacing w:beforeAutospacing="1" w:afterAutospacing="1" w:line="360" w:lineRule="auto"/>
        <w:contextualSpacing/>
        <w:jc w:val="both"/>
        <w:rPr>
          <w:rFonts w:ascii="Palatino Linotype" w:hAnsi="Palatino Linotype" w:cs="Arial"/>
        </w:rPr>
      </w:pPr>
    </w:p>
    <w:p w:rsidR="009A3138" w:rsidRDefault="001D333F">
      <w:pPr>
        <w:spacing w:beforeAutospacing="1" w:afterAutospacing="1" w:line="360" w:lineRule="auto"/>
        <w:contextualSpacing/>
        <w:jc w:val="both"/>
        <w:rPr>
          <w:rFonts w:ascii="Palatino Linotype" w:hAnsi="Palatino Linotype" w:cs="Arial"/>
        </w:rPr>
      </w:pPr>
      <w:r>
        <w:rPr>
          <w:rFonts w:ascii="Palatino Linotype" w:hAnsi="Palatino Linotype" w:cs="Arial"/>
        </w:rPr>
        <w:t>En ese tenor, si el recurso de revisión que nos ocupa, se interpuso el día</w:t>
      </w:r>
      <w:r>
        <w:rPr>
          <w:rFonts w:ascii="Palatino Linotype" w:hAnsi="Palatino Linotype" w:cs="Arial"/>
          <w:b/>
        </w:rPr>
        <w:t xml:space="preserve"> veinticuatro de dos mil veinte, </w:t>
      </w:r>
      <w:r>
        <w:rPr>
          <w:rFonts w:ascii="Palatino Linotype" w:hAnsi="Palatino Linotype" w:cs="Arial"/>
        </w:rPr>
        <w:t>éste se encuentra dentro de los márgenes temporales previstos en el precepto legal señalado en el párrafo anterior y, por tanto, su interposición se considera oportuna.</w:t>
      </w:r>
    </w:p>
    <w:p w:rsidR="009A3138" w:rsidRDefault="009A3138">
      <w:pPr>
        <w:spacing w:beforeAutospacing="1" w:afterAutospacing="1" w:line="360" w:lineRule="auto"/>
        <w:contextualSpacing/>
        <w:jc w:val="both"/>
        <w:rPr>
          <w:rFonts w:ascii="Palatino Linotype" w:hAnsi="Palatino Linotype" w:cs="Arial"/>
        </w:rPr>
      </w:pPr>
    </w:p>
    <w:p w:rsidR="009A3138" w:rsidRDefault="001D333F">
      <w:pPr>
        <w:spacing w:beforeAutospacing="1" w:afterAutospacing="1" w:line="360" w:lineRule="auto"/>
        <w:contextualSpacing/>
        <w:jc w:val="both"/>
        <w:rPr>
          <w:rFonts w:ascii="Palatino Linotype" w:hAnsi="Palatino Linotype" w:cs="Arial"/>
        </w:rPr>
      </w:pPr>
      <w:r>
        <w:rPr>
          <w:rFonts w:ascii="Palatino Linotype" w:hAnsi="Palatino Linotype" w:cs="Arial"/>
          <w:b/>
          <w:sz w:val="28"/>
          <w:szCs w:val="28"/>
        </w:rPr>
        <w:t>CUARTO.</w:t>
      </w:r>
      <w:r>
        <w:rPr>
          <w:rFonts w:ascii="Palatino Linotype" w:hAnsi="Palatino Linotype" w:cs="Arial"/>
          <w:b/>
          <w:szCs w:val="28"/>
        </w:rPr>
        <w:t xml:space="preserve"> Procedibilidad. </w:t>
      </w:r>
      <w:r>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Pr>
          <w:rFonts w:ascii="Palatino Linotype" w:hAnsi="Palatino Linotype" w:cs="Arial"/>
          <w:lang w:val="es-ES_tradnl"/>
        </w:rPr>
        <w:t xml:space="preserve">de la </w:t>
      </w:r>
      <w:r>
        <w:rPr>
          <w:rFonts w:ascii="Palatino Linotype" w:hAnsi="Palatino Linotype"/>
        </w:rPr>
        <w:t xml:space="preserve">Ley de </w:t>
      </w:r>
      <w:r>
        <w:rPr>
          <w:rFonts w:ascii="Palatino Linotype" w:hAnsi="Palatino Linotype" w:cs="Arial"/>
        </w:rPr>
        <w:t>Protección de Datos Personales en Posesión de Sujetos Obligados del Estado de México y Municipios</w:t>
      </w:r>
      <w:r>
        <w:rPr>
          <w:rFonts w:ascii="Palatino Linotype" w:hAnsi="Palatino Linotype"/>
        </w:rPr>
        <w:t xml:space="preserve">, en atención a que fue presentado mediante el formato visible en </w:t>
      </w:r>
      <w:r>
        <w:rPr>
          <w:rFonts w:ascii="Palatino Linotype" w:hAnsi="Palatino Linotype"/>
          <w:b/>
        </w:rPr>
        <w:t>EL SAIMEX.</w:t>
      </w:r>
    </w:p>
    <w:p w:rsidR="009A3138" w:rsidRDefault="009A3138">
      <w:pPr>
        <w:spacing w:beforeAutospacing="1" w:afterAutospacing="1" w:line="360" w:lineRule="auto"/>
        <w:contextualSpacing/>
        <w:jc w:val="both"/>
        <w:rPr>
          <w:rFonts w:ascii="Palatino Linotype" w:hAnsi="Palatino Linotype"/>
          <w:b/>
        </w:rPr>
      </w:pPr>
    </w:p>
    <w:p w:rsidR="009A3138" w:rsidRDefault="001D333F">
      <w:pPr>
        <w:spacing w:beforeAutospacing="1" w:afterAutospacing="1" w:line="360" w:lineRule="auto"/>
        <w:contextualSpacing/>
        <w:jc w:val="both"/>
        <w:rPr>
          <w:rFonts w:ascii="Palatino Linotype" w:hAnsi="Palatino Linotype"/>
          <w:color w:val="000000"/>
        </w:rPr>
      </w:pPr>
      <w:r>
        <w:rPr>
          <w:rFonts w:ascii="Palatino Linotype" w:hAnsi="Palatino Linotype" w:cs="Arial"/>
          <w:b/>
          <w:sz w:val="28"/>
          <w:szCs w:val="28"/>
        </w:rPr>
        <w:t>QUINTO.</w:t>
      </w:r>
      <w:r>
        <w:rPr>
          <w:rFonts w:ascii="Palatino Linotype" w:hAnsi="Palatino Linotype" w:cs="Arial"/>
          <w:b/>
          <w:color w:val="000000" w:themeColor="text1"/>
        </w:rPr>
        <w:t xml:space="preserve"> </w:t>
      </w:r>
      <w:r>
        <w:rPr>
          <w:rFonts w:ascii="Palatino Linotype" w:hAnsi="Palatino Linotype" w:cs="Arial"/>
          <w:b/>
          <w:color w:val="000000"/>
        </w:rPr>
        <w:t>Estudio y resolución del asunto.</w:t>
      </w:r>
      <w:r>
        <w:rPr>
          <w:rFonts w:ascii="Palatino Linotype" w:hAnsi="Palatino Linotype" w:cs="Arial"/>
        </w:rPr>
        <w:t xml:space="preserve"> </w:t>
      </w:r>
      <w:r>
        <w:rPr>
          <w:rFonts w:ascii="Palatino Linotype" w:hAnsi="Palatino Linotype"/>
        </w:rPr>
        <w:t xml:space="preserve">Una vez determinada la vía sobre la que versará el presente recurso y previa revisión del expediente electrónico formado en </w:t>
      </w:r>
      <w:r>
        <w:rPr>
          <w:rFonts w:ascii="Palatino Linotype" w:hAnsi="Palatino Linotype"/>
          <w:b/>
        </w:rPr>
        <w:t xml:space="preserve">EL </w:t>
      </w:r>
      <w:r>
        <w:rPr>
          <w:rFonts w:ascii="Palatino Linotype" w:hAnsi="Palatino Linotype"/>
          <w:b/>
        </w:rPr>
        <w:lastRenderedPageBreak/>
        <w:t>SAIMEX</w:t>
      </w:r>
      <w:r>
        <w:rPr>
          <w:rFonts w:ascii="Palatino Linotype" w:hAnsi="Palatino Linotype"/>
        </w:rPr>
        <w:t xml:space="preserve"> motivo de la solicitud de información, se precisa que </w:t>
      </w:r>
      <w:r>
        <w:rPr>
          <w:rFonts w:ascii="Palatino Linotype" w:hAnsi="Palatino Linotype"/>
          <w:b/>
          <w:color w:val="000000"/>
        </w:rPr>
        <w:t>EL RECURRENTE</w:t>
      </w:r>
      <w:r>
        <w:rPr>
          <w:rFonts w:ascii="Palatino Linotype" w:hAnsi="Palatino Linotype"/>
          <w:color w:val="000000"/>
        </w:rPr>
        <w:t xml:space="preserve"> solicitó al </w:t>
      </w:r>
      <w:r>
        <w:rPr>
          <w:rFonts w:ascii="Palatino Linotype" w:hAnsi="Palatino Linotype" w:cs="Arial"/>
          <w:b/>
          <w:color w:val="000000"/>
        </w:rPr>
        <w:t>SUJETO OBLIGADO</w:t>
      </w:r>
      <w:r>
        <w:rPr>
          <w:rFonts w:ascii="Palatino Linotype" w:hAnsi="Palatino Linotype"/>
          <w:color w:val="000000"/>
        </w:rPr>
        <w:t xml:space="preserve"> le proporcionara la información que a continuación se desagrega:</w:t>
      </w:r>
    </w:p>
    <w:p w:rsidR="009A3138" w:rsidRDefault="009A3138">
      <w:pPr>
        <w:spacing w:beforeAutospacing="1" w:afterAutospacing="1" w:line="360" w:lineRule="auto"/>
        <w:contextualSpacing/>
        <w:jc w:val="both"/>
        <w:rPr>
          <w:rFonts w:ascii="Palatino Linotype" w:hAnsi="Palatino Linotype"/>
          <w:color w:val="000000"/>
        </w:rPr>
      </w:pPr>
    </w:p>
    <w:p w:rsidR="009A3138" w:rsidRDefault="001D333F">
      <w:pPr>
        <w:spacing w:beforeAutospacing="1" w:afterAutospacing="1"/>
        <w:ind w:left="851" w:right="902"/>
        <w:contextualSpacing/>
        <w:rPr>
          <w:rFonts w:ascii="Palatino Linotype" w:hAnsi="Palatino Linotype"/>
          <w:i/>
          <w:sz w:val="22"/>
          <w:szCs w:val="22"/>
        </w:rPr>
      </w:pPr>
      <w:r>
        <w:rPr>
          <w:rFonts w:ascii="Palatino Linotype" w:hAnsi="Palatino Linotype"/>
          <w:i/>
          <w:sz w:val="22"/>
          <w:szCs w:val="22"/>
        </w:rPr>
        <w:t>a) Solicito copia del estado de situación financiera al 31 de diciembre del 2018;</w:t>
      </w:r>
    </w:p>
    <w:p w:rsidR="009A3138" w:rsidRDefault="009A3138">
      <w:pPr>
        <w:spacing w:beforeAutospacing="1" w:afterAutospacing="1"/>
        <w:ind w:left="851" w:right="902"/>
        <w:contextualSpacing/>
        <w:rPr>
          <w:rFonts w:ascii="Palatino Linotype" w:hAnsi="Palatino Linotype"/>
          <w:i/>
          <w:sz w:val="22"/>
          <w:szCs w:val="22"/>
        </w:rPr>
      </w:pPr>
    </w:p>
    <w:p w:rsidR="009A3138" w:rsidRDefault="001D333F">
      <w:pPr>
        <w:spacing w:beforeAutospacing="1" w:afterAutospacing="1"/>
        <w:ind w:left="851" w:right="902"/>
        <w:contextualSpacing/>
        <w:rPr>
          <w:rFonts w:ascii="Palatino Linotype" w:hAnsi="Palatino Linotype"/>
          <w:i/>
          <w:sz w:val="22"/>
          <w:szCs w:val="22"/>
        </w:rPr>
      </w:pPr>
      <w:r>
        <w:rPr>
          <w:rFonts w:ascii="Palatino Linotype" w:hAnsi="Palatino Linotype"/>
          <w:i/>
          <w:sz w:val="22"/>
          <w:szCs w:val="22"/>
        </w:rPr>
        <w:t>b) la balanza de comprobación detallada de igual forma al 31 de diciembre 2018;</w:t>
      </w:r>
    </w:p>
    <w:p w:rsidR="009A3138" w:rsidRDefault="009A3138">
      <w:pPr>
        <w:spacing w:beforeAutospacing="1" w:afterAutospacing="1"/>
        <w:ind w:left="851" w:right="902"/>
        <w:contextualSpacing/>
        <w:rPr>
          <w:rFonts w:ascii="Palatino Linotype" w:hAnsi="Palatino Linotype"/>
          <w:i/>
          <w:sz w:val="22"/>
          <w:szCs w:val="22"/>
        </w:rPr>
      </w:pPr>
    </w:p>
    <w:p w:rsidR="009A3138" w:rsidRDefault="001D333F">
      <w:pPr>
        <w:spacing w:beforeAutospacing="1" w:afterAutospacing="1"/>
        <w:ind w:left="851" w:right="902"/>
        <w:contextualSpacing/>
        <w:rPr>
          <w:rFonts w:ascii="Palatino Linotype" w:hAnsi="Palatino Linotype"/>
          <w:i/>
          <w:sz w:val="22"/>
          <w:szCs w:val="22"/>
        </w:rPr>
      </w:pPr>
      <w:r>
        <w:rPr>
          <w:rFonts w:ascii="Palatino Linotype" w:hAnsi="Palatino Linotype"/>
          <w:i/>
          <w:sz w:val="22"/>
          <w:szCs w:val="22"/>
        </w:rPr>
        <w:t xml:space="preserve">c) solicito el cfdi de la nómina o dietas (donde se vean reflejadas todas las percepciones llámese dietas, sueldo base, gratificaciones, compensaciones y demás prestaciones que se sean otorgadas por el municipio ) de la primera y segunda quincena de enero, febrero, marzo, abril, mayo, junio, julio, agosto, septiembre, octubre, noviembre, diciembre 2019; y, </w:t>
      </w:r>
    </w:p>
    <w:p w:rsidR="009A3138" w:rsidRDefault="009A3138">
      <w:pPr>
        <w:spacing w:beforeAutospacing="1" w:afterAutospacing="1"/>
        <w:ind w:left="851" w:right="902"/>
        <w:contextualSpacing/>
        <w:rPr>
          <w:rFonts w:ascii="Palatino Linotype" w:hAnsi="Palatino Linotype"/>
          <w:i/>
          <w:sz w:val="22"/>
          <w:szCs w:val="22"/>
        </w:rPr>
      </w:pPr>
    </w:p>
    <w:p w:rsidR="009A3138" w:rsidRDefault="001D333F">
      <w:pPr>
        <w:spacing w:beforeAutospacing="1" w:afterAutospacing="1"/>
        <w:ind w:left="851" w:right="902"/>
        <w:contextualSpacing/>
        <w:rPr>
          <w:rFonts w:ascii="Palatino Linotype" w:hAnsi="Palatino Linotype"/>
          <w:i/>
          <w:sz w:val="22"/>
          <w:szCs w:val="22"/>
        </w:rPr>
      </w:pPr>
      <w:r>
        <w:rPr>
          <w:rFonts w:ascii="Palatino Linotype" w:hAnsi="Palatino Linotype"/>
          <w:i/>
          <w:sz w:val="22"/>
          <w:szCs w:val="22"/>
        </w:rPr>
        <w:t>d) prima y aguinaldo de la síndico municipal, del segundo regidor, del tesorero municipal, del director de comunicación social así como de su personal adscrito al área de comunicación social, también lo requiero de todo el personal adscrito al área de sindicatura.</w:t>
      </w: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rPr>
      </w:pPr>
      <w:r>
        <w:rPr>
          <w:rFonts w:ascii="Palatino Linotype" w:hAnsi="Palatino Linotype" w:cs="Arial"/>
        </w:rPr>
        <w:t xml:space="preserve">Bajo ese tenor, </w:t>
      </w:r>
      <w:r>
        <w:rPr>
          <w:rFonts w:ascii="Palatino Linotype" w:hAnsi="Palatino Linotype" w:cs="Arial"/>
          <w:b/>
        </w:rPr>
        <w:t xml:space="preserve">EL SUJETO OBLIGADO </w:t>
      </w:r>
      <w:r>
        <w:rPr>
          <w:rFonts w:ascii="Palatino Linotype" w:hAnsi="Palatino Linotype" w:cs="Arial"/>
        </w:rPr>
        <w:t>en respuesta remitió los archivos electrónicos que a continuación se detallan:</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Cs/>
        </w:rPr>
      </w:pPr>
      <w:r>
        <w:rPr>
          <w:rFonts w:ascii="Palatino Linotype" w:hAnsi="Palatino Linotype"/>
          <w:b/>
          <w:bCs/>
          <w:i/>
        </w:rPr>
        <w:t xml:space="preserve">2da. de Junio.xls, 2da. de Abril.xls, 1era. de Mayo.xls, 1era. de Octubre.xls, 2da. de Mayo.xls, 2da. de Marzo.xls, 1era. de Abril.xls, 1ar. de Agosto.xls, 2da. de Julio.xls, 2da. de enero.xls, 2da. de Agosto.xls, 2da. de Febrero.xlsx, 1era. de Marzo.xls, 1era. de enero.xls, 2da. de Octubre.xls, 2da. de septiembre.xls, 1era. de septiembre.xls, 1era. de Junio.xls, 1era. de Febrero.xls, 1era. de Julio.xls, 2da. de Noviembre.xls, 1era. de Noviembre.xls, 2da. de Diciembre.xls, 1era. de Diciembre.xls </w:t>
      </w:r>
      <w:r>
        <w:rPr>
          <w:rFonts w:ascii="Palatino Linotype" w:hAnsi="Palatino Linotype"/>
          <w:bCs/>
        </w:rPr>
        <w:t>mediante los cuales remitió documentos análogos tratándose estos de un archivo Excel de listados de nómina general con los rubros Clave, Nombre del trabajador y neto pagado;</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Cs/>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Cs/>
        </w:rPr>
      </w:pPr>
      <w:r>
        <w:rPr>
          <w:rFonts w:ascii="Palatino Linotype" w:hAnsi="Palatino Linotype"/>
          <w:b/>
          <w:bCs/>
          <w:i/>
        </w:rPr>
        <w:t xml:space="preserve">PRIMA VACACIONAL SERVIDORES PÚBLICOS TEOTIHUACAN.pdf </w:t>
      </w:r>
      <w:r>
        <w:rPr>
          <w:rFonts w:ascii="Palatino Linotype" w:hAnsi="Palatino Linotype"/>
          <w:bCs/>
        </w:rPr>
        <w:t>archivo electrónico del que se despenden 10 recibos de nómina de diferentes servidores públicos;</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Cs/>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Cs/>
        </w:rPr>
      </w:pPr>
      <w:r>
        <w:rPr>
          <w:rFonts w:ascii="Palatino Linotype" w:hAnsi="Palatino Linotype"/>
          <w:b/>
          <w:bCs/>
          <w:i/>
        </w:rPr>
        <w:t xml:space="preserve">AGUINALDO SERVIDORES PÚBLICOS TEOTIHUACÁN.pdf: </w:t>
      </w:r>
      <w:r>
        <w:rPr>
          <w:rFonts w:ascii="Palatino Linotype" w:hAnsi="Palatino Linotype"/>
          <w:bCs/>
        </w:rPr>
        <w:t xml:space="preserve">de igual manera remitió 10 recibos de nómina de 10 servidores públicos; </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
          <w:bCs/>
          <w:i/>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Cs/>
        </w:rPr>
      </w:pPr>
      <w:r>
        <w:rPr>
          <w:rFonts w:ascii="Palatino Linotype" w:hAnsi="Palatino Linotype"/>
          <w:b/>
          <w:bCs/>
          <w:i/>
        </w:rPr>
        <w:t xml:space="preserve">BALANZA DE COMPROBACION DETALLADA AL 31 DE DICIEMBRE DE 2018.pdf </w:t>
      </w:r>
      <w:r>
        <w:rPr>
          <w:rFonts w:ascii="Palatino Linotype" w:hAnsi="Palatino Linotype"/>
          <w:bCs/>
        </w:rPr>
        <w:t>mediante el cual remitió el archivo electrónico que consta de 11 páginas</w:t>
      </w:r>
      <w:r>
        <w:rPr>
          <w:rFonts w:ascii="Palatino Linotype" w:hAnsi="Palatino Linotype"/>
          <w:b/>
          <w:bCs/>
          <w:i/>
        </w:rPr>
        <w:t xml:space="preserve"> </w:t>
      </w:r>
      <w:r>
        <w:rPr>
          <w:rFonts w:ascii="Palatino Linotype" w:hAnsi="Palatino Linotype"/>
          <w:bCs/>
        </w:rPr>
        <w:t xml:space="preserve">en el que se aprecia la balanza de comprobación del 1 de enero al 31 de diciembre de 2019; y, </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b/>
          <w:bCs/>
          <w:i/>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i/>
        </w:rPr>
      </w:pPr>
      <w:r>
        <w:rPr>
          <w:rFonts w:ascii="Palatino Linotype" w:hAnsi="Palatino Linotype"/>
          <w:b/>
          <w:bCs/>
          <w:i/>
        </w:rPr>
        <w:t xml:space="preserve">ESTADO DE SITUACIÓN FINANCIERA AL 31 DE DICIEMBRE DE 2018.pdf </w:t>
      </w:r>
      <w:r>
        <w:rPr>
          <w:rFonts w:ascii="Palatino Linotype" w:hAnsi="Palatino Linotype"/>
          <w:bCs/>
        </w:rPr>
        <w:t xml:space="preserve">archivo electrónico del que se observa 3 fojas con el nombre </w:t>
      </w:r>
      <w:r>
        <w:rPr>
          <w:rFonts w:ascii="Palatino Linotype" w:hAnsi="Palatino Linotype"/>
          <w:bCs/>
          <w:i/>
        </w:rPr>
        <w:t>ESTADO DE SITUACIÓN FINANCIERA.</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rPr>
      </w:pPr>
    </w:p>
    <w:p w:rsidR="009A3138" w:rsidRDefault="001D333F">
      <w:pPr>
        <w:spacing w:line="360" w:lineRule="auto"/>
        <w:jc w:val="both"/>
        <w:rPr>
          <w:rFonts w:ascii="Palatino Linotype" w:hAnsi="Palatino Linotype"/>
        </w:rPr>
      </w:pPr>
      <w:r>
        <w:rPr>
          <w:rFonts w:ascii="Palatino Linotype" w:hAnsi="Palatino Linotype" w:cs="Arial"/>
        </w:rPr>
        <w:t xml:space="preserve">Primeramente, es importante referir que el particular sólo se inconforma porque no se le entregó la balanza de comprobación al 31 de diciembre de 2018 y que la información solicitada respecto recibos de nómina y CFDI no le fue entregada como fue requerido, por lo que se considera que </w:t>
      </w:r>
      <w:r>
        <w:rPr>
          <w:rFonts w:ascii="Palatino Linotype" w:hAnsi="Palatino Linotype" w:cs="Arial"/>
          <w:b/>
        </w:rPr>
        <w:t>EL RECURRENTE</w:t>
      </w:r>
      <w:r>
        <w:rPr>
          <w:rFonts w:ascii="Palatino Linotype" w:hAnsi="Palatino Linotype" w:cs="Arial"/>
        </w:rPr>
        <w:t xml:space="preserve"> consintió parte de la respuesta. </w:t>
      </w:r>
      <w:r>
        <w:rPr>
          <w:rFonts w:ascii="Palatino Linotype" w:hAnsi="Palatino Linotype"/>
        </w:rPr>
        <w:t xml:space="preserve">Lo anterior es así, debido a que cuando el particular no expresa razón o motivo de inconformidad en contra de los rubros de la respuesta que pudieran ser un agravio a su derecho, los mismos deben estimarse atendidos. Sirve de apoyo a lo anterior, por </w:t>
      </w:r>
      <w:r>
        <w:rPr>
          <w:rFonts w:ascii="Palatino Linotype" w:hAnsi="Palatino Linotype"/>
        </w:rPr>
        <w:lastRenderedPageBreak/>
        <w:t>analogía, la Tesis Jurisprudencial Número 3ª./J.7/91, publicada en el Semanario Judicial de la Federación y su Gaceta bajo el número de registro 174,177, que establece lo siguiente:</w:t>
      </w:r>
    </w:p>
    <w:p w:rsidR="009A3138" w:rsidRDefault="009A3138">
      <w:pPr>
        <w:tabs>
          <w:tab w:val="left" w:pos="7088"/>
        </w:tabs>
        <w:spacing w:line="276" w:lineRule="auto"/>
        <w:ind w:left="851" w:right="618"/>
        <w:jc w:val="both"/>
        <w:rPr>
          <w:rFonts w:ascii="Palatino Linotype" w:hAnsi="Palatino Linotype"/>
        </w:rPr>
      </w:pPr>
    </w:p>
    <w:p w:rsidR="009A3138" w:rsidRDefault="001D333F">
      <w:pPr>
        <w:tabs>
          <w:tab w:val="left" w:pos="7088"/>
        </w:tabs>
        <w:spacing w:line="276" w:lineRule="auto"/>
        <w:ind w:left="851" w:right="618"/>
        <w:jc w:val="both"/>
        <w:rPr>
          <w:rFonts w:ascii="Palatino Linotype" w:hAnsi="Palatino Linotype"/>
        </w:rPr>
      </w:pPr>
      <w:r>
        <w:rPr>
          <w:rFonts w:ascii="Palatino Linotype" w:hAnsi="Palatino Linotype"/>
        </w:rPr>
        <w:t>“</w:t>
      </w:r>
      <w:r>
        <w:rPr>
          <w:rFonts w:ascii="Palatino Linotype" w:hAnsi="Palatino Linotype"/>
          <w:b/>
          <w:i/>
        </w:rPr>
        <w:t>REVISIÓN EN AMPARO. LOS RESOLUTIVOS NO COMBATIDOS DEBEN DECLARARSE FIRMES</w:t>
      </w:r>
      <w:r>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9A3138" w:rsidRDefault="001D333F">
      <w:pPr>
        <w:spacing w:beforeAutospacing="1" w:afterAutospacing="1" w:line="360" w:lineRule="auto"/>
        <w:jc w:val="both"/>
        <w:rPr>
          <w:rFonts w:ascii="Palatino Linotype" w:hAnsi="Palatino Linotype"/>
        </w:rPr>
      </w:pPr>
      <w:r>
        <w:rPr>
          <w:rFonts w:ascii="Palatino Linotype" w:hAnsi="Palatino Linotype"/>
        </w:rPr>
        <w:t xml:space="preserve">Así, en razón de que información proporcionada a la solicitud y de la que no expresó inconformidad, debe declararse consentida por el hoy </w:t>
      </w:r>
      <w:r>
        <w:rPr>
          <w:rFonts w:ascii="Palatino Linotype" w:hAnsi="Palatino Linotype"/>
          <w:b/>
        </w:rPr>
        <w:t>RECURRENTE</w:t>
      </w:r>
      <w:r>
        <w:rPr>
          <w:rFonts w:ascii="Palatino Linotype" w:hAnsi="Palatino Linotype"/>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9A3138" w:rsidRDefault="001D333F">
      <w:pPr>
        <w:spacing w:line="276" w:lineRule="auto"/>
        <w:ind w:left="851" w:right="902"/>
        <w:jc w:val="both"/>
        <w:rPr>
          <w:rFonts w:ascii="Palatino Linotype" w:hAnsi="Palatino Linotype"/>
          <w:i/>
        </w:rPr>
      </w:pPr>
      <w:r>
        <w:rPr>
          <w:rFonts w:ascii="Palatino Linotype" w:hAnsi="Palatino Linotype"/>
          <w:i/>
        </w:rPr>
        <w:t>“</w:t>
      </w:r>
      <w:r>
        <w:rPr>
          <w:rFonts w:ascii="Palatino Linotype" w:hAnsi="Palatino Linotype"/>
          <w:b/>
          <w:i/>
        </w:rPr>
        <w:t>ACTOS CONSENTIDOS. SON LOS QUE NO SE IMPUGNAN MEDIANTE EL RECURSO IDÓNEO</w:t>
      </w:r>
      <w:r>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w:t>
      </w:r>
      <w:r>
        <w:rPr>
          <w:rFonts w:ascii="Palatino Linotype" w:hAnsi="Palatino Linotype"/>
          <w:i/>
        </w:rPr>
        <w:lastRenderedPageBreak/>
        <w:t>revocar, confirmar o modificar el acto reclamado en amparo, lo que significa consentimiento del mismo por falta de impugnación eficaz.”</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rPr>
      </w:pPr>
    </w:p>
    <w:p w:rsidR="009A3138" w:rsidRDefault="001D333F">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rPr>
      </w:pPr>
      <w:r>
        <w:rPr>
          <w:rFonts w:ascii="Palatino Linotype" w:hAnsi="Palatino Linotype"/>
        </w:rPr>
        <w:t xml:space="preserve">Establecido lo anterior, esta Ponencia Resolutora procede al análisis de la información entregada por </w:t>
      </w:r>
      <w:r>
        <w:rPr>
          <w:rFonts w:ascii="Palatino Linotype" w:hAnsi="Palatino Linotype"/>
          <w:b/>
        </w:rPr>
        <w:t>EL SUJETO OBLIGADO</w:t>
      </w:r>
      <w:r>
        <w:rPr>
          <w:rFonts w:ascii="Palatino Linotype" w:hAnsi="Palatino Linotype"/>
        </w:rPr>
        <w:t xml:space="preserve">, a través de la respuesta a la solicitud, a efecto de determinar si se colma, el derecho humano de acceso a la información pública de </w:t>
      </w:r>
      <w:r>
        <w:rPr>
          <w:rFonts w:ascii="Palatino Linotype" w:hAnsi="Palatino Linotype"/>
          <w:b/>
        </w:rPr>
        <w:t>EL RECURRENTE</w:t>
      </w:r>
      <w:r>
        <w:rPr>
          <w:rFonts w:ascii="Palatino Linotype" w:hAnsi="Palatino Linotype"/>
        </w:rPr>
        <w:t>:</w:t>
      </w:r>
    </w:p>
    <w:p w:rsidR="009A3138" w:rsidRDefault="009A3138">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rPr>
      </w:pPr>
    </w:p>
    <w:tbl>
      <w:tblPr>
        <w:tblStyle w:val="Tablaconcuadrcula"/>
        <w:tblW w:w="9214" w:type="dxa"/>
        <w:tblInd w:w="-15" w:type="dxa"/>
        <w:tblLook w:val="04A0" w:firstRow="1" w:lastRow="0" w:firstColumn="1" w:lastColumn="0" w:noHBand="0" w:noVBand="1"/>
      </w:tblPr>
      <w:tblGrid>
        <w:gridCol w:w="694"/>
        <w:gridCol w:w="3135"/>
        <w:gridCol w:w="2126"/>
        <w:gridCol w:w="3259"/>
      </w:tblGrid>
      <w:tr w:rsidR="009A3138">
        <w:trPr>
          <w:cantSplit/>
          <w:trHeight w:val="33"/>
          <w:tblHeader/>
        </w:trPr>
        <w:tc>
          <w:tcPr>
            <w:tcW w:w="693"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9A3138" w:rsidRDefault="001D333F">
            <w:pPr>
              <w:widowControl w:val="0"/>
              <w:spacing w:before="60" w:after="60"/>
              <w:jc w:val="center"/>
              <w:rPr>
                <w:rFonts w:ascii="Palatino Linotype" w:hAnsi="Palatino Linotype" w:cs="Arial"/>
                <w:b/>
                <w:szCs w:val="21"/>
              </w:rPr>
            </w:pPr>
            <w:r>
              <w:rPr>
                <w:rFonts w:ascii="Palatino Linotype" w:hAnsi="Palatino Linotype" w:cs="Arial"/>
                <w:b/>
                <w:szCs w:val="21"/>
              </w:rPr>
              <w:t>No.</w:t>
            </w:r>
          </w:p>
        </w:tc>
        <w:tc>
          <w:tcPr>
            <w:tcW w:w="3135"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9A3138" w:rsidRDefault="001D333F">
            <w:pPr>
              <w:widowControl w:val="0"/>
              <w:spacing w:before="60" w:after="60"/>
              <w:jc w:val="center"/>
              <w:rPr>
                <w:rFonts w:ascii="Palatino Linotype" w:hAnsi="Palatino Linotype" w:cs="Arial"/>
                <w:b/>
                <w:szCs w:val="21"/>
              </w:rPr>
            </w:pPr>
            <w:r>
              <w:rPr>
                <w:rFonts w:ascii="Palatino Linotype" w:hAnsi="Palatino Linotype" w:cs="Arial"/>
                <w:b/>
                <w:szCs w:val="21"/>
              </w:rPr>
              <w:t>Información requerida</w:t>
            </w:r>
          </w:p>
        </w:tc>
        <w:tc>
          <w:tcPr>
            <w:tcW w:w="2126"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9A3138" w:rsidRDefault="001D333F">
            <w:pPr>
              <w:spacing w:before="60" w:after="60"/>
              <w:jc w:val="center"/>
              <w:rPr>
                <w:rFonts w:ascii="Palatino Linotype" w:hAnsi="Palatino Linotype" w:cs="Arial"/>
                <w:b/>
                <w:szCs w:val="21"/>
              </w:rPr>
            </w:pPr>
            <w:r>
              <w:rPr>
                <w:rFonts w:ascii="Palatino Linotype" w:hAnsi="Palatino Linotype" w:cs="Arial"/>
                <w:b/>
                <w:szCs w:val="21"/>
              </w:rPr>
              <w:t>Respuesta a la solicitud</w:t>
            </w:r>
          </w:p>
        </w:tc>
        <w:tc>
          <w:tcPr>
            <w:tcW w:w="3259" w:type="dxa"/>
            <w:tcBorders>
              <w:top w:val="double" w:sz="4" w:space="0" w:color="000000"/>
              <w:left w:val="double" w:sz="4" w:space="0" w:color="000000"/>
              <w:bottom w:val="double" w:sz="4" w:space="0" w:color="000000"/>
              <w:right w:val="double" w:sz="4" w:space="0" w:color="000000"/>
            </w:tcBorders>
            <w:shd w:val="clear" w:color="auto" w:fill="000000" w:themeFill="text1"/>
          </w:tcPr>
          <w:p w:rsidR="009A3138" w:rsidRDefault="001D333F">
            <w:pPr>
              <w:widowControl w:val="0"/>
              <w:spacing w:before="60" w:after="60"/>
              <w:jc w:val="center"/>
              <w:rPr>
                <w:rFonts w:ascii="Palatino Linotype" w:hAnsi="Palatino Linotype" w:cs="Arial"/>
                <w:b/>
                <w:szCs w:val="21"/>
              </w:rPr>
            </w:pPr>
            <w:r>
              <w:rPr>
                <w:rFonts w:ascii="Palatino Linotype" w:hAnsi="Palatino Linotype" w:cs="Arial"/>
                <w:b/>
                <w:szCs w:val="21"/>
              </w:rPr>
              <w:t>colma</w:t>
            </w:r>
          </w:p>
        </w:tc>
      </w:tr>
      <w:tr w:rsidR="009A3138">
        <w:trPr>
          <w:cantSplit/>
          <w:trHeight w:val="1539"/>
        </w:trPr>
        <w:tc>
          <w:tcPr>
            <w:tcW w:w="693"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9A3138" w:rsidRDefault="001D333F">
            <w:pPr>
              <w:widowControl w:val="0"/>
              <w:spacing w:before="60" w:after="60"/>
              <w:jc w:val="center"/>
              <w:rPr>
                <w:rFonts w:ascii="Palatino Linotype" w:hAnsi="Palatino Linotype" w:cs="Arial"/>
                <w:b/>
                <w:szCs w:val="21"/>
              </w:rPr>
            </w:pPr>
            <w:r>
              <w:rPr>
                <w:rFonts w:ascii="Palatino Linotype" w:hAnsi="Palatino Linotype" w:cs="Arial"/>
                <w:b/>
                <w:szCs w:val="21"/>
              </w:rPr>
              <w:t>1.</w:t>
            </w:r>
          </w:p>
        </w:tc>
        <w:tc>
          <w:tcPr>
            <w:tcW w:w="3135" w:type="dxa"/>
            <w:tcBorders>
              <w:top w:val="double" w:sz="4" w:space="0" w:color="000000"/>
              <w:left w:val="double" w:sz="4" w:space="0" w:color="000000"/>
              <w:bottom w:val="double" w:sz="4" w:space="0" w:color="000000"/>
              <w:right w:val="double" w:sz="4" w:space="0" w:color="000000"/>
            </w:tcBorders>
            <w:vAlign w:val="center"/>
          </w:tcPr>
          <w:p w:rsidR="009A3138" w:rsidRDefault="001D333F">
            <w:pPr>
              <w:spacing w:before="60" w:after="60"/>
              <w:jc w:val="both"/>
              <w:rPr>
                <w:rFonts w:ascii="Palatino Linotype" w:hAnsi="Palatino Linotype"/>
                <w:szCs w:val="21"/>
              </w:rPr>
            </w:pPr>
            <w:r>
              <w:rPr>
                <w:rFonts w:ascii="Palatino Linotype" w:hAnsi="Palatino Linotype"/>
                <w:szCs w:val="21"/>
              </w:rPr>
              <w:t>Solicito copia del estado de situación financiera al 31 de diciembre del 2018</w:t>
            </w:r>
          </w:p>
        </w:tc>
        <w:tc>
          <w:tcPr>
            <w:tcW w:w="2126" w:type="dxa"/>
            <w:tcBorders>
              <w:top w:val="double" w:sz="4" w:space="0" w:color="000000"/>
              <w:left w:val="double" w:sz="4" w:space="0" w:color="000000"/>
              <w:bottom w:val="double" w:sz="4" w:space="0" w:color="000000"/>
              <w:right w:val="double" w:sz="4" w:space="0" w:color="000000"/>
            </w:tcBorders>
          </w:tcPr>
          <w:p w:rsidR="009A3138" w:rsidRDefault="001D333F">
            <w:pPr>
              <w:spacing w:before="60" w:after="60"/>
              <w:jc w:val="both"/>
              <w:rPr>
                <w:rFonts w:ascii="Palatino Linotype" w:hAnsi="Palatino Linotype"/>
                <w:szCs w:val="21"/>
              </w:rPr>
            </w:pPr>
            <w:r>
              <w:rPr>
                <w:rFonts w:ascii="Palatino Linotype" w:hAnsi="Palatino Linotype"/>
                <w:szCs w:val="21"/>
              </w:rPr>
              <w:t xml:space="preserve">Remitió un archivo electrónico con el Estado de Situación Financiera al 31 de diciembre de 2018 en 3 fojas. </w:t>
            </w:r>
          </w:p>
        </w:tc>
        <w:tc>
          <w:tcPr>
            <w:tcW w:w="3259" w:type="dxa"/>
            <w:tcBorders>
              <w:top w:val="double" w:sz="4" w:space="0" w:color="000000"/>
              <w:left w:val="double" w:sz="4" w:space="0" w:color="000000"/>
              <w:bottom w:val="double" w:sz="4" w:space="0" w:color="000000"/>
              <w:right w:val="double" w:sz="4" w:space="0" w:color="000000"/>
            </w:tcBorders>
          </w:tcPr>
          <w:p w:rsidR="009A3138" w:rsidRDefault="001D333F">
            <w:pPr>
              <w:spacing w:before="60" w:after="60"/>
              <w:jc w:val="center"/>
              <w:rPr>
                <w:rFonts w:ascii="Palatino Linotype" w:hAnsi="Palatino Linotype"/>
                <w:szCs w:val="21"/>
              </w:rPr>
            </w:pPr>
            <w:r>
              <w:rPr>
                <w:rFonts w:ascii="Palatino Linotype" w:hAnsi="Palatino Linotype"/>
                <w:szCs w:val="21"/>
              </w:rPr>
              <w:t>si</w:t>
            </w:r>
          </w:p>
        </w:tc>
      </w:tr>
      <w:tr w:rsidR="009A3138">
        <w:trPr>
          <w:cantSplit/>
          <w:trHeight w:val="1539"/>
        </w:trPr>
        <w:tc>
          <w:tcPr>
            <w:tcW w:w="693"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9A3138" w:rsidRDefault="001D333F">
            <w:pPr>
              <w:widowControl w:val="0"/>
              <w:spacing w:before="60" w:after="60"/>
              <w:jc w:val="center"/>
              <w:rPr>
                <w:rFonts w:ascii="Palatino Linotype" w:hAnsi="Palatino Linotype" w:cs="Arial"/>
                <w:b/>
                <w:szCs w:val="21"/>
              </w:rPr>
            </w:pPr>
            <w:r>
              <w:rPr>
                <w:rFonts w:ascii="Palatino Linotype" w:hAnsi="Palatino Linotype" w:cs="Arial"/>
                <w:b/>
                <w:szCs w:val="21"/>
              </w:rPr>
              <w:t>2.</w:t>
            </w:r>
          </w:p>
        </w:tc>
        <w:tc>
          <w:tcPr>
            <w:tcW w:w="3135" w:type="dxa"/>
            <w:tcBorders>
              <w:top w:val="double" w:sz="4" w:space="0" w:color="000000"/>
              <w:left w:val="double" w:sz="4" w:space="0" w:color="000000"/>
              <w:bottom w:val="double" w:sz="4" w:space="0" w:color="000000"/>
              <w:right w:val="double" w:sz="4" w:space="0" w:color="000000"/>
            </w:tcBorders>
            <w:vAlign w:val="center"/>
          </w:tcPr>
          <w:p w:rsidR="009A3138" w:rsidRDefault="001D333F">
            <w:pPr>
              <w:spacing w:before="60" w:after="60"/>
              <w:jc w:val="both"/>
              <w:rPr>
                <w:rFonts w:ascii="Palatino Linotype" w:hAnsi="Palatino Linotype"/>
                <w:szCs w:val="21"/>
              </w:rPr>
            </w:pPr>
            <w:r>
              <w:rPr>
                <w:rFonts w:ascii="Palatino Linotype" w:hAnsi="Palatino Linotype"/>
                <w:szCs w:val="21"/>
              </w:rPr>
              <w:t>la balanza de comprobación detallada al 31 de diciembre 2018</w:t>
            </w:r>
          </w:p>
        </w:tc>
        <w:tc>
          <w:tcPr>
            <w:tcW w:w="2126" w:type="dxa"/>
            <w:tcBorders>
              <w:top w:val="double" w:sz="4" w:space="0" w:color="000000"/>
              <w:left w:val="double" w:sz="4" w:space="0" w:color="000000"/>
              <w:bottom w:val="double" w:sz="4" w:space="0" w:color="000000"/>
              <w:right w:val="double" w:sz="4" w:space="0" w:color="000000"/>
            </w:tcBorders>
          </w:tcPr>
          <w:p w:rsidR="009A3138" w:rsidRDefault="001D333F">
            <w:pPr>
              <w:spacing w:before="60" w:after="60"/>
              <w:jc w:val="both"/>
              <w:rPr>
                <w:rFonts w:ascii="Palatino Linotype" w:hAnsi="Palatino Linotype"/>
                <w:szCs w:val="21"/>
              </w:rPr>
            </w:pPr>
            <w:r>
              <w:rPr>
                <w:rFonts w:ascii="Palatino Linotype" w:hAnsi="Palatino Linotype"/>
                <w:szCs w:val="21"/>
              </w:rPr>
              <w:t>Remitió archivo electrónico con 11 fojas con la balanza de comprobación detallada del 1 de enero al 31 de diciembre de 2018.</w:t>
            </w:r>
          </w:p>
        </w:tc>
        <w:tc>
          <w:tcPr>
            <w:tcW w:w="3259" w:type="dxa"/>
            <w:tcBorders>
              <w:top w:val="double" w:sz="4" w:space="0" w:color="000000"/>
              <w:left w:val="double" w:sz="4" w:space="0" w:color="000000"/>
              <w:bottom w:val="double" w:sz="4" w:space="0" w:color="000000"/>
              <w:right w:val="double" w:sz="4" w:space="0" w:color="000000"/>
            </w:tcBorders>
          </w:tcPr>
          <w:p w:rsidR="009A3138" w:rsidRDefault="001D333F">
            <w:pPr>
              <w:spacing w:before="60" w:after="60"/>
              <w:jc w:val="center"/>
              <w:rPr>
                <w:rFonts w:ascii="Palatino Linotype" w:hAnsi="Palatino Linotype"/>
                <w:szCs w:val="21"/>
              </w:rPr>
            </w:pPr>
            <w:r>
              <w:rPr>
                <w:rFonts w:ascii="Palatino Linotype" w:hAnsi="Palatino Linotype"/>
                <w:szCs w:val="21"/>
              </w:rPr>
              <w:t>parcialmente</w:t>
            </w:r>
          </w:p>
        </w:tc>
      </w:tr>
      <w:tr w:rsidR="009A3138">
        <w:trPr>
          <w:cantSplit/>
          <w:trHeight w:val="1539"/>
        </w:trPr>
        <w:tc>
          <w:tcPr>
            <w:tcW w:w="693"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9A3138" w:rsidRDefault="001D333F">
            <w:pPr>
              <w:widowControl w:val="0"/>
              <w:spacing w:before="60" w:after="60"/>
              <w:jc w:val="center"/>
              <w:rPr>
                <w:rFonts w:ascii="Palatino Linotype" w:hAnsi="Palatino Linotype" w:cs="Arial"/>
                <w:b/>
                <w:szCs w:val="21"/>
              </w:rPr>
            </w:pPr>
            <w:r>
              <w:rPr>
                <w:rFonts w:ascii="Palatino Linotype" w:hAnsi="Palatino Linotype" w:cs="Arial"/>
                <w:b/>
                <w:szCs w:val="21"/>
              </w:rPr>
              <w:lastRenderedPageBreak/>
              <w:t>3</w:t>
            </w:r>
          </w:p>
        </w:tc>
        <w:tc>
          <w:tcPr>
            <w:tcW w:w="3135" w:type="dxa"/>
            <w:tcBorders>
              <w:top w:val="double" w:sz="4" w:space="0" w:color="000000"/>
              <w:left w:val="double" w:sz="4" w:space="0" w:color="000000"/>
              <w:bottom w:val="double" w:sz="4" w:space="0" w:color="000000"/>
              <w:right w:val="double" w:sz="4" w:space="0" w:color="000000"/>
            </w:tcBorders>
            <w:vAlign w:val="center"/>
          </w:tcPr>
          <w:p w:rsidR="009A3138" w:rsidRDefault="001D333F">
            <w:pPr>
              <w:spacing w:before="60" w:after="60"/>
              <w:ind w:right="-108"/>
              <w:jc w:val="both"/>
              <w:rPr>
                <w:rFonts w:ascii="Palatino Linotype" w:hAnsi="Palatino Linotype"/>
                <w:szCs w:val="21"/>
              </w:rPr>
            </w:pPr>
            <w:r>
              <w:rPr>
                <w:rFonts w:ascii="Palatino Linotype" w:hAnsi="Palatino Linotype"/>
                <w:szCs w:val="21"/>
              </w:rPr>
              <w:t xml:space="preserve">el cfdi de la nómina o dietas (donde se vean reflejadas todas las percepciones llámese dietas, sueldo base, gratificaciones, compensaciones y demás prestaciones que se sean otorgadas por el municipio ) de la primera y segunda quincena de enero, febrero, marzo, abril, mayo, junio, julio, agosto, septiembre, octubre, noviembre, diciembre 2019 , </w:t>
            </w:r>
          </w:p>
          <w:p w:rsidR="009A3138" w:rsidRDefault="009A3138">
            <w:pPr>
              <w:spacing w:before="60" w:after="60"/>
              <w:jc w:val="both"/>
              <w:rPr>
                <w:rFonts w:ascii="Palatino Linotype" w:hAnsi="Palatino Linotype"/>
                <w:szCs w:val="21"/>
              </w:rPr>
            </w:pPr>
          </w:p>
        </w:tc>
        <w:tc>
          <w:tcPr>
            <w:tcW w:w="2126" w:type="dxa"/>
            <w:tcBorders>
              <w:top w:val="double" w:sz="4" w:space="0" w:color="000000"/>
              <w:left w:val="double" w:sz="4" w:space="0" w:color="000000"/>
              <w:bottom w:val="double" w:sz="4" w:space="0" w:color="000000"/>
              <w:right w:val="double" w:sz="4" w:space="0" w:color="000000"/>
            </w:tcBorders>
          </w:tcPr>
          <w:p w:rsidR="009A3138" w:rsidRDefault="001D333F">
            <w:pPr>
              <w:spacing w:before="60" w:after="60"/>
              <w:jc w:val="both"/>
              <w:rPr>
                <w:rFonts w:ascii="Palatino Linotype" w:hAnsi="Palatino Linotype"/>
                <w:szCs w:val="21"/>
              </w:rPr>
            </w:pPr>
            <w:r>
              <w:rPr>
                <w:rFonts w:ascii="Palatino Linotype" w:hAnsi="Palatino Linotype"/>
                <w:szCs w:val="21"/>
              </w:rPr>
              <w:t>Listado de nómina general</w:t>
            </w:r>
          </w:p>
        </w:tc>
        <w:tc>
          <w:tcPr>
            <w:tcW w:w="3259" w:type="dxa"/>
            <w:tcBorders>
              <w:top w:val="double" w:sz="4" w:space="0" w:color="000000"/>
              <w:left w:val="double" w:sz="4" w:space="0" w:color="000000"/>
              <w:bottom w:val="double" w:sz="4" w:space="0" w:color="000000"/>
              <w:right w:val="double" w:sz="4" w:space="0" w:color="000000"/>
            </w:tcBorders>
          </w:tcPr>
          <w:p w:rsidR="009A3138" w:rsidRDefault="001D333F">
            <w:pPr>
              <w:spacing w:before="60" w:after="60"/>
              <w:jc w:val="center"/>
              <w:rPr>
                <w:rFonts w:ascii="Palatino Linotype" w:hAnsi="Palatino Linotype"/>
                <w:szCs w:val="21"/>
              </w:rPr>
            </w:pPr>
            <w:r>
              <w:rPr>
                <w:rFonts w:ascii="Palatino Linotype" w:hAnsi="Palatino Linotype"/>
                <w:szCs w:val="21"/>
              </w:rPr>
              <w:t>No</w:t>
            </w:r>
          </w:p>
        </w:tc>
      </w:tr>
      <w:tr w:rsidR="009A3138">
        <w:trPr>
          <w:cantSplit/>
          <w:trHeight w:val="1539"/>
        </w:trPr>
        <w:tc>
          <w:tcPr>
            <w:tcW w:w="693"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9A3138" w:rsidRDefault="001D333F">
            <w:pPr>
              <w:widowControl w:val="0"/>
              <w:spacing w:before="60" w:after="60"/>
              <w:jc w:val="center"/>
              <w:rPr>
                <w:rFonts w:ascii="Palatino Linotype" w:hAnsi="Palatino Linotype" w:cs="Arial"/>
                <w:b/>
                <w:szCs w:val="21"/>
              </w:rPr>
            </w:pPr>
            <w:r>
              <w:rPr>
                <w:rFonts w:ascii="Palatino Linotype" w:hAnsi="Palatino Linotype" w:cs="Arial"/>
                <w:b/>
                <w:szCs w:val="21"/>
              </w:rPr>
              <w:t>4</w:t>
            </w:r>
          </w:p>
        </w:tc>
        <w:tc>
          <w:tcPr>
            <w:tcW w:w="3135" w:type="dxa"/>
            <w:tcBorders>
              <w:top w:val="double" w:sz="4" w:space="0" w:color="000000"/>
              <w:left w:val="double" w:sz="4" w:space="0" w:color="000000"/>
              <w:bottom w:val="double" w:sz="4" w:space="0" w:color="000000"/>
              <w:right w:val="double" w:sz="4" w:space="0" w:color="000000"/>
            </w:tcBorders>
            <w:vAlign w:val="center"/>
          </w:tcPr>
          <w:p w:rsidR="009A3138" w:rsidRDefault="001D333F">
            <w:pPr>
              <w:spacing w:before="60" w:after="60"/>
              <w:jc w:val="both"/>
              <w:rPr>
                <w:rFonts w:ascii="Palatino Linotype" w:hAnsi="Palatino Linotype"/>
                <w:szCs w:val="21"/>
              </w:rPr>
            </w:pPr>
            <w:r>
              <w:rPr>
                <w:rFonts w:ascii="Palatino Linotype" w:hAnsi="Palatino Linotype"/>
                <w:szCs w:val="21"/>
              </w:rPr>
              <w:t>prima y aguinaldo de la síndico municipal, del segundo regidor, del tesorero municipal, del director de comunicación social así como de su personal adscrito al área de comunicación social, también lo requiero de todo el personal adscrito al área de sindicatura</w:t>
            </w:r>
          </w:p>
        </w:tc>
        <w:tc>
          <w:tcPr>
            <w:tcW w:w="2126" w:type="dxa"/>
            <w:tcBorders>
              <w:top w:val="double" w:sz="4" w:space="0" w:color="000000"/>
              <w:left w:val="double" w:sz="4" w:space="0" w:color="000000"/>
              <w:bottom w:val="double" w:sz="4" w:space="0" w:color="000000"/>
              <w:right w:val="double" w:sz="4" w:space="0" w:color="000000"/>
            </w:tcBorders>
          </w:tcPr>
          <w:p w:rsidR="009A3138" w:rsidRDefault="001D333F">
            <w:pPr>
              <w:spacing w:before="60" w:after="60"/>
              <w:jc w:val="both"/>
              <w:rPr>
                <w:rFonts w:ascii="Palatino Linotype" w:hAnsi="Palatino Linotype"/>
                <w:szCs w:val="21"/>
              </w:rPr>
            </w:pPr>
            <w:r>
              <w:rPr>
                <w:rFonts w:ascii="Palatino Linotype" w:hAnsi="Palatino Linotype"/>
                <w:szCs w:val="21"/>
              </w:rPr>
              <w:t>Recibos de nómina o CFDI de 10 servidores públicos</w:t>
            </w:r>
          </w:p>
        </w:tc>
        <w:tc>
          <w:tcPr>
            <w:tcW w:w="3259" w:type="dxa"/>
            <w:tcBorders>
              <w:top w:val="double" w:sz="4" w:space="0" w:color="000000"/>
              <w:left w:val="double" w:sz="4" w:space="0" w:color="000000"/>
              <w:bottom w:val="double" w:sz="4" w:space="0" w:color="000000"/>
              <w:right w:val="double" w:sz="4" w:space="0" w:color="000000"/>
            </w:tcBorders>
          </w:tcPr>
          <w:p w:rsidR="009A3138" w:rsidRDefault="001D333F">
            <w:pPr>
              <w:tabs>
                <w:tab w:val="left" w:pos="1425"/>
                <w:tab w:val="center" w:pos="1522"/>
              </w:tabs>
              <w:spacing w:before="60" w:after="60"/>
              <w:rPr>
                <w:rFonts w:ascii="Palatino Linotype" w:hAnsi="Palatino Linotype"/>
                <w:szCs w:val="21"/>
              </w:rPr>
            </w:pPr>
            <w:r>
              <w:rPr>
                <w:rFonts w:ascii="Palatino Linotype" w:hAnsi="Palatino Linotype"/>
                <w:szCs w:val="21"/>
              </w:rPr>
              <w:tab/>
              <w:t>no</w:t>
            </w:r>
          </w:p>
        </w:tc>
      </w:tr>
    </w:tbl>
    <w:p w:rsidR="009A3138" w:rsidRDefault="009A3138">
      <w:pPr>
        <w:spacing w:before="240" w:after="240" w:line="360" w:lineRule="auto"/>
        <w:contextualSpacing/>
        <w:jc w:val="both"/>
        <w:rPr>
          <w:rFonts w:ascii="Palatino Linotype" w:hAnsi="Palatino Linotype" w:cs="Arial"/>
        </w:rPr>
      </w:pPr>
    </w:p>
    <w:p w:rsidR="009A3138" w:rsidRDefault="001D333F">
      <w:pPr>
        <w:pStyle w:val="Prrafodelista"/>
        <w:widowControl w:val="0"/>
        <w:tabs>
          <w:tab w:val="left" w:pos="1276"/>
        </w:tabs>
        <w:spacing w:beforeAutospacing="1" w:afterAutospacing="1" w:line="360" w:lineRule="auto"/>
        <w:ind w:left="0"/>
        <w:contextualSpacing/>
        <w:jc w:val="both"/>
        <w:rPr>
          <w:rFonts w:ascii="Palatino Linotype" w:hAnsi="Palatino Linotype"/>
        </w:rPr>
      </w:pPr>
      <w:r>
        <w:rPr>
          <w:rFonts w:ascii="Palatino Linotype" w:hAnsi="Palatino Linotype"/>
        </w:rPr>
        <w:t xml:space="preserve">En ese sentido, no se omite comentar que, al haber existido un pronunciamiento por parte del </w:t>
      </w:r>
      <w:r>
        <w:rPr>
          <w:rFonts w:ascii="Palatino Linotype" w:hAnsi="Palatino Linotype"/>
          <w:b/>
        </w:rPr>
        <w:t>SUJETO OBLIGADO</w:t>
      </w:r>
      <w:r>
        <w:rPr>
          <w:rFonts w:ascii="Palatino Linotype" w:hAnsi="Palatino Linotype"/>
        </w:rPr>
        <w:t xml:space="preserve">, a fin de dar respuesta a la solicitud planteada, este </w:t>
      </w:r>
      <w:r>
        <w:rPr>
          <w:rFonts w:ascii="Palatino Linotype" w:hAnsi="Palatino Linotype"/>
        </w:rPr>
        <w:lastRenderedPageBreak/>
        <w:t>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9A3138" w:rsidRDefault="009A3138">
      <w:pPr>
        <w:pStyle w:val="Prrafodelista"/>
        <w:widowControl w:val="0"/>
        <w:tabs>
          <w:tab w:val="left" w:pos="1276"/>
        </w:tabs>
        <w:spacing w:beforeAutospacing="1" w:afterAutospacing="1" w:line="360" w:lineRule="auto"/>
        <w:ind w:left="0"/>
        <w:contextualSpacing/>
        <w:jc w:val="both"/>
        <w:rPr>
          <w:rFonts w:ascii="Palatino Linotype" w:hAnsi="Palatino Linotype"/>
        </w:rPr>
      </w:pPr>
    </w:p>
    <w:p w:rsidR="009A3138" w:rsidRDefault="001D333F">
      <w:pPr>
        <w:pStyle w:val="Prrafodelista"/>
        <w:widowControl w:val="0"/>
        <w:tabs>
          <w:tab w:val="left" w:pos="1276"/>
        </w:tabs>
        <w:spacing w:beforeAutospacing="1" w:afterAutospacing="1" w:line="360" w:lineRule="auto"/>
        <w:ind w:left="0"/>
        <w:contextualSpacing/>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9A3138" w:rsidRDefault="009A3138">
      <w:pPr>
        <w:pStyle w:val="Prrafodelista"/>
        <w:widowControl w:val="0"/>
        <w:tabs>
          <w:tab w:val="left" w:pos="1276"/>
        </w:tabs>
        <w:spacing w:beforeAutospacing="1" w:afterAutospacing="1"/>
        <w:ind w:left="851" w:right="902"/>
        <w:contextualSpacing/>
        <w:jc w:val="both"/>
        <w:rPr>
          <w:rFonts w:ascii="Palatino Linotype" w:hAnsi="Palatino Linotype" w:cs="Arial"/>
        </w:rPr>
      </w:pPr>
    </w:p>
    <w:p w:rsidR="009A3138" w:rsidRDefault="001D333F">
      <w:pPr>
        <w:pStyle w:val="Prrafodelista"/>
        <w:widowControl w:val="0"/>
        <w:tabs>
          <w:tab w:val="left" w:pos="1276"/>
        </w:tabs>
        <w:spacing w:beforeAutospacing="1" w:afterAutospacing="1"/>
        <w:ind w:left="851" w:right="902"/>
        <w:contextualSpacing/>
        <w:jc w:val="both"/>
        <w:rPr>
          <w:rFonts w:ascii="Palatino Linotype" w:hAnsi="Palatino Linotype"/>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9A3138" w:rsidRDefault="001D333F">
      <w:pPr>
        <w:spacing w:beforeAutospacing="1" w:afterAutospacing="1"/>
        <w:ind w:left="851" w:right="902"/>
        <w:contextualSpacing/>
        <w:jc w:val="both"/>
        <w:rPr>
          <w:rFonts w:ascii="Palatino Linotype" w:hAnsi="Palatino Linotype"/>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9A3138" w:rsidRDefault="009A3138">
      <w:pPr>
        <w:spacing w:before="240" w:after="240" w:line="360" w:lineRule="auto"/>
        <w:contextualSpacing/>
        <w:jc w:val="both"/>
        <w:rPr>
          <w:rFonts w:ascii="Palatino Linotype" w:hAnsi="Palatino Linotype" w:cs="Arial"/>
        </w:rPr>
      </w:pPr>
    </w:p>
    <w:p w:rsidR="009A3138" w:rsidRDefault="001D333F">
      <w:pPr>
        <w:spacing w:before="240" w:after="240" w:line="360" w:lineRule="auto"/>
        <w:contextualSpacing/>
        <w:jc w:val="both"/>
        <w:rPr>
          <w:rFonts w:ascii="Palatino Linotype" w:hAnsi="Palatino Linotype" w:cs="Arial"/>
          <w:lang w:eastAsia="es-MX"/>
        </w:rPr>
      </w:pPr>
      <w:r>
        <w:rPr>
          <w:rFonts w:ascii="Palatino Linotype" w:hAnsi="Palatino Linotype" w:cs="Arial"/>
          <w:lang w:eastAsia="es-MX"/>
        </w:rPr>
        <w:lastRenderedPageBreak/>
        <w:t xml:space="preserve">Una vez apuntado lo anterior, y para un mejor estudio iremos analizando cada una de las peticiones realizadas por el particular, por lo que en relación al numeral 1 relativa a la copia del Estado de Situación Financiera si bien </w:t>
      </w:r>
      <w:r>
        <w:rPr>
          <w:rFonts w:ascii="Palatino Linotype" w:hAnsi="Palatino Linotype" w:cs="Arial"/>
          <w:b/>
          <w:lang w:eastAsia="es-MX"/>
        </w:rPr>
        <w:t xml:space="preserve">EL SUJETO OBLIGADO </w:t>
      </w:r>
      <w:r>
        <w:rPr>
          <w:rFonts w:ascii="Palatino Linotype" w:hAnsi="Palatino Linotype" w:cs="Arial"/>
          <w:lang w:eastAsia="es-MX"/>
        </w:rPr>
        <w:t>se tiene por colmado este punto.</w:t>
      </w:r>
    </w:p>
    <w:p w:rsidR="009A3138" w:rsidRDefault="009A3138">
      <w:pPr>
        <w:spacing w:before="240" w:after="240"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cs="Arial"/>
          <w:lang w:val="es-ES" w:eastAsia="es-MX"/>
        </w:rPr>
      </w:pPr>
      <w:r>
        <w:rPr>
          <w:rFonts w:ascii="Palatino Linotype" w:hAnsi="Palatino Linotype"/>
        </w:rPr>
        <w:t xml:space="preserve">Por lo que respecta al numeral 2 referente a la Balanza de comprobación detallada al 31 de diciembre de 2018, </w:t>
      </w:r>
      <w:r>
        <w:rPr>
          <w:rFonts w:ascii="Palatino Linotype" w:hAnsi="Palatino Linotype" w:cs="Arial"/>
        </w:rPr>
        <w:t>debe observarse lo establecido en el artículo 1</w:t>
      </w:r>
      <w:r>
        <w:rPr>
          <w:rFonts w:ascii="Palatino Linotype" w:eastAsiaTheme="minorEastAsia" w:hAnsi="Palatino Linotype" w:cs="Arial"/>
          <w:szCs w:val="20"/>
          <w:lang w:val="es-ES_tradnl"/>
        </w:rPr>
        <w:t xml:space="preserve">2 de la Ley de la materia, el cual establece que, los Sujetos Obligados sólo proporcionarán la información que generen, recopilen, administren, manejen, procesen, archiven o conserven y sólo facilitarán la que se les requiera y obre en sus archivos, en el estado en el que se encuentre, </w:t>
      </w:r>
      <w:r>
        <w:rPr>
          <w:rFonts w:ascii="Palatino Linotype" w:eastAsiaTheme="minorEastAsia" w:hAnsi="Palatino Linotype" w:cs="Arial"/>
          <w:b/>
          <w:szCs w:val="20"/>
          <w:u w:val="single"/>
          <w:lang w:val="es-ES_tradnl"/>
        </w:rPr>
        <w:t>sin la obligación de generarla</w:t>
      </w:r>
      <w:r>
        <w:rPr>
          <w:rFonts w:ascii="Palatino Linotype" w:eastAsiaTheme="minorEastAsia" w:hAnsi="Palatino Linotype" w:cs="Arial"/>
          <w:szCs w:val="20"/>
          <w:lang w:val="es-ES_tradnl"/>
        </w:rPr>
        <w:t xml:space="preserve">, resumirla, efectuar cálculos o practicar investigaciones, </w:t>
      </w:r>
      <w:r>
        <w:rPr>
          <w:rFonts w:ascii="Palatino Linotype" w:eastAsiaTheme="minorEastAsia" w:hAnsi="Palatino Linotype" w:cs="Arial"/>
          <w:b/>
          <w:szCs w:val="20"/>
          <w:u w:val="single"/>
          <w:lang w:val="es-ES_tradnl"/>
        </w:rPr>
        <w:t>ni el presentarla conforme al interés del solicitante</w:t>
      </w:r>
      <w:r>
        <w:rPr>
          <w:rFonts w:ascii="Palatino Linotype" w:eastAsiaTheme="minorEastAsia" w:hAnsi="Palatino Linotype" w:cs="Arial"/>
          <w:szCs w:val="20"/>
          <w:lang w:val="es-ES_tradnl"/>
        </w:rPr>
        <w:t xml:space="preserve">; tal y como, se señala a continuación: </w:t>
      </w:r>
    </w:p>
    <w:p w:rsidR="009A3138" w:rsidRDefault="009A3138">
      <w:pPr>
        <w:spacing w:beforeAutospacing="1" w:afterAutospacing="1"/>
        <w:ind w:left="709" w:right="709"/>
        <w:contextualSpacing/>
        <w:jc w:val="both"/>
        <w:rPr>
          <w:rFonts w:ascii="Palatino Linotype" w:hAnsi="Palatino Linotype" w:cs="Arial"/>
          <w:i/>
          <w:sz w:val="22"/>
          <w:szCs w:val="22"/>
        </w:rPr>
      </w:pPr>
    </w:p>
    <w:p w:rsidR="009A3138" w:rsidRDefault="001D333F">
      <w:pPr>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A3138" w:rsidRDefault="001D333F">
      <w:pPr>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b/>
          <w:i/>
          <w:sz w:val="22"/>
          <w:szCs w:val="22"/>
          <w:u w:val="single"/>
        </w:rPr>
        <w:t>Los sujetos obligados sólo proporcionarán la información pública que se les requiera y que obre en sus archivos</w:t>
      </w:r>
      <w:r>
        <w:rPr>
          <w:rFonts w:ascii="Palatino Linotype" w:hAnsi="Palatino Linotype" w:cs="Arial"/>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A3138" w:rsidRDefault="001D333F">
      <w:pPr>
        <w:spacing w:beforeAutospacing="1"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(Énfasis añadido)</w:t>
      </w:r>
    </w:p>
    <w:p w:rsidR="009A3138" w:rsidRDefault="009A3138">
      <w:pPr>
        <w:spacing w:before="240" w:after="240" w:line="360" w:lineRule="auto"/>
        <w:contextualSpacing/>
        <w:jc w:val="both"/>
        <w:rPr>
          <w:rFonts w:ascii="Palatino Linotype" w:hAnsi="Palatino Linotype" w:cs="Arial"/>
          <w:lang w:eastAsia="es-MX"/>
        </w:rPr>
      </w:pPr>
    </w:p>
    <w:p w:rsidR="009A3138" w:rsidRDefault="001D333F">
      <w:pPr>
        <w:spacing w:before="240" w:after="240" w:line="360" w:lineRule="auto"/>
        <w:contextualSpacing/>
        <w:jc w:val="both"/>
        <w:rPr>
          <w:rFonts w:ascii="Palatino Linotype" w:hAnsi="Palatino Linotype" w:cs="Arial"/>
          <w:lang w:eastAsia="es-MX"/>
        </w:rPr>
      </w:pPr>
      <w:r>
        <w:rPr>
          <w:rFonts w:ascii="Palatino Linotype" w:hAnsi="Palatino Linotype" w:cs="Arial"/>
          <w:lang w:eastAsia="es-MX"/>
        </w:rPr>
        <w:t xml:space="preserve">Sin embargo de la información remitida en respuesta se observa que si bien cumple con los requisitos establecidos en los Lineamientos para la Elaboración y Presentación de la Cuenta Pública Municipal 2018; en la parte inferior derecha fecha de elaboración febrero de dos mil veinte motivo por el cual para dar mayor certeza jurídica a lo </w:t>
      </w:r>
      <w:r>
        <w:rPr>
          <w:rFonts w:ascii="Palatino Linotype" w:hAnsi="Palatino Linotype" w:cs="Arial"/>
          <w:lang w:eastAsia="es-MX"/>
        </w:rPr>
        <w:lastRenderedPageBreak/>
        <w:t xml:space="preserve">remitido, </w:t>
      </w:r>
      <w:r>
        <w:rPr>
          <w:rFonts w:ascii="Palatino Linotype" w:hAnsi="Palatino Linotype" w:cs="Arial"/>
          <w:b/>
          <w:lang w:eastAsia="es-MX"/>
        </w:rPr>
        <w:t xml:space="preserve">EL SUJETO OBLIGADO </w:t>
      </w:r>
      <w:r>
        <w:rPr>
          <w:rFonts w:ascii="Palatino Linotype" w:hAnsi="Palatino Linotype" w:cs="Arial"/>
          <w:lang w:eastAsia="es-MX"/>
        </w:rPr>
        <w:t>deberá entregar al particular la información remitida al Osfem en el periodo de entrega inmediato posterior al 31 de diciembre de 2018, aunado a que deberá de hacer entrega de la misma al mayor grado de desagregación generado.</w:t>
      </w:r>
    </w:p>
    <w:p w:rsidR="009A3138" w:rsidRDefault="009A3138">
      <w:pPr>
        <w:spacing w:before="240" w:after="240" w:line="360" w:lineRule="auto"/>
        <w:contextualSpacing/>
        <w:jc w:val="both"/>
        <w:rPr>
          <w:rFonts w:ascii="Palatino Linotype" w:hAnsi="Palatino Linotype" w:cs="Arial"/>
          <w:lang w:eastAsia="es-MX"/>
        </w:rPr>
      </w:pPr>
    </w:p>
    <w:p w:rsidR="009A3138" w:rsidRDefault="001D333F">
      <w:pPr>
        <w:spacing w:before="240" w:after="240" w:line="360" w:lineRule="auto"/>
        <w:contextualSpacing/>
        <w:jc w:val="both"/>
        <w:rPr>
          <w:rFonts w:ascii="Palatino Linotype" w:hAnsi="Palatino Linotype" w:cs="Arial"/>
          <w:lang w:eastAsia="es-MX"/>
        </w:rPr>
      </w:pPr>
      <w:r>
        <w:rPr>
          <w:rFonts w:ascii="Palatino Linotype" w:eastAsia="Calibri" w:hAnsi="Palatino Linotype" w:cs="Arial"/>
        </w:rPr>
        <w:t>Ahora bien, aunado a lo anterior, y atendiendo a la solicitud de acceso a información respecto los numerales 3 y 4 referentes a los recibos de nómina y recibos de prima vacacional y aguinaldo de la Sindicatura y personal adscrito a la misma, Segunda Regiduría, Director de Comunicación Social u área análoga y personal adscrito a esa área; del Bando Municipal en sus artículos 12 y 31 señala como estará integrado y las dependencias auxiliares del ayuntamiento como se muestra a continuación:</w:t>
      </w:r>
    </w:p>
    <w:p w:rsidR="009A3138" w:rsidRDefault="009A3138">
      <w:pPr>
        <w:tabs>
          <w:tab w:val="left" w:pos="1170"/>
        </w:tabs>
        <w:spacing w:beforeAutospacing="1" w:afterAutospacing="1"/>
        <w:ind w:left="851" w:right="902"/>
        <w:contextualSpacing/>
        <w:jc w:val="both"/>
        <w:rPr>
          <w:rFonts w:ascii="Palatino Linotype" w:eastAsia="Calibri" w:hAnsi="Palatino Linotype" w:cs="Arial"/>
          <w:i/>
        </w:rPr>
      </w:pPr>
    </w:p>
    <w:p w:rsidR="009A3138" w:rsidRDefault="001D333F">
      <w:pPr>
        <w:tabs>
          <w:tab w:val="left" w:pos="1170"/>
        </w:tabs>
        <w:spacing w:beforeAutospacing="1" w:afterAutospacing="1"/>
        <w:ind w:left="851" w:right="902"/>
        <w:contextualSpacing/>
        <w:jc w:val="both"/>
        <w:rPr>
          <w:rFonts w:ascii="Palatino Linotype" w:eastAsia="Calibri" w:hAnsi="Palatino Linotype" w:cs="Arial"/>
          <w:i/>
        </w:rPr>
      </w:pPr>
      <w:r>
        <w:rPr>
          <w:rFonts w:ascii="Palatino Linotype" w:eastAsia="Calibri" w:hAnsi="Palatino Linotype" w:cs="Arial"/>
          <w:b/>
          <w:i/>
        </w:rPr>
        <w:t>Artículo 12. El gobierno del municipio está depositado en un cuerpo colegiado deliberativo y plural que se denomina Ayuntamiento, al que se someten los asuntos de la administración pública municipal y cuyos integrantes son</w:t>
      </w:r>
      <w:r>
        <w:rPr>
          <w:rFonts w:ascii="Palatino Linotype" w:eastAsia="Calibri" w:hAnsi="Palatino Linotype" w:cs="Arial"/>
          <w:i/>
        </w:rPr>
        <w:t xml:space="preserve"> un presidente, </w:t>
      </w:r>
      <w:r>
        <w:rPr>
          <w:rFonts w:ascii="Palatino Linotype" w:eastAsia="Calibri" w:hAnsi="Palatino Linotype" w:cs="Arial"/>
          <w:b/>
          <w:i/>
        </w:rPr>
        <w:t>un síndico y diez regidores</w:t>
      </w:r>
      <w:r>
        <w:rPr>
          <w:rFonts w:ascii="Palatino Linotype" w:eastAsia="Calibri" w:hAnsi="Palatino Linotype" w:cs="Arial"/>
          <w:i/>
        </w:rPr>
        <w:t>, según los principios de mayoría relativa y de representación proporcional, establecidos en términos de ley.</w:t>
      </w:r>
    </w:p>
    <w:p w:rsidR="009A3138" w:rsidRDefault="009A3138">
      <w:pPr>
        <w:tabs>
          <w:tab w:val="left" w:pos="1170"/>
        </w:tabs>
        <w:spacing w:beforeAutospacing="1" w:afterAutospacing="1"/>
        <w:ind w:left="851" w:right="902"/>
        <w:contextualSpacing/>
        <w:jc w:val="both"/>
        <w:rPr>
          <w:rFonts w:ascii="Palatino Linotype" w:eastAsia="Calibri" w:hAnsi="Palatino Linotype" w:cs="Arial"/>
          <w:i/>
        </w:rPr>
      </w:pPr>
    </w:p>
    <w:p w:rsidR="009A3138" w:rsidRDefault="001D333F">
      <w:pPr>
        <w:tabs>
          <w:tab w:val="left" w:pos="1170"/>
        </w:tabs>
        <w:spacing w:beforeAutospacing="1" w:afterAutospacing="1"/>
        <w:ind w:left="851" w:right="902"/>
        <w:contextualSpacing/>
        <w:jc w:val="both"/>
        <w:rPr>
          <w:rFonts w:ascii="Palatino Linotype" w:eastAsia="Calibri" w:hAnsi="Palatino Linotype" w:cs="Arial"/>
          <w:i/>
        </w:rPr>
      </w:pPr>
      <w:r>
        <w:rPr>
          <w:rFonts w:ascii="Palatino Linotype" w:eastAsia="Calibri" w:hAnsi="Palatino Linotype" w:cs="Arial"/>
          <w:i/>
        </w:rPr>
        <w:t>El Ayuntamiento resolverá colegiadamente apegándose en todo momento a las disposiciones superiores, los asuntos de su competencia, en una asamblea denominada cabildo.</w:t>
      </w:r>
    </w:p>
    <w:p w:rsidR="009A3138" w:rsidRDefault="009A3138">
      <w:pPr>
        <w:tabs>
          <w:tab w:val="left" w:pos="1170"/>
        </w:tabs>
        <w:spacing w:beforeAutospacing="1" w:afterAutospacing="1"/>
        <w:ind w:left="851" w:right="902"/>
        <w:contextualSpacing/>
        <w:jc w:val="both"/>
        <w:rPr>
          <w:rFonts w:ascii="Palatino Linotype" w:hAnsi="Palatino Linotype" w:cs="Arial"/>
          <w:b/>
          <w:i/>
          <w:sz w:val="22"/>
          <w:szCs w:val="22"/>
        </w:rPr>
      </w:pP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w:t>
      </w:r>
    </w:p>
    <w:p w:rsidR="009A3138" w:rsidRDefault="009A3138">
      <w:pPr>
        <w:tabs>
          <w:tab w:val="left" w:pos="1170"/>
        </w:tabs>
        <w:spacing w:beforeAutospacing="1" w:afterAutospacing="1"/>
        <w:ind w:left="851" w:right="902"/>
        <w:contextualSpacing/>
        <w:jc w:val="both"/>
        <w:rPr>
          <w:rFonts w:ascii="Palatino Linotype" w:hAnsi="Palatino Linotype" w:cs="Arial"/>
          <w:i/>
          <w:sz w:val="22"/>
          <w:szCs w:val="22"/>
        </w:rPr>
      </w:pP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Artículo 31. Para el ejercicio de sus atribuciones, tanto el Ayuntamiento como el presidente municipal se auxiliarán de las siguientes dependencias y unidades administrativas, que se enlistan de manera enunciativa más no limitativa, las cuales estarán subordinadas a este último:</w:t>
      </w:r>
    </w:p>
    <w:p w:rsidR="009A3138" w:rsidRDefault="009A3138">
      <w:pPr>
        <w:tabs>
          <w:tab w:val="left" w:pos="1170"/>
        </w:tabs>
        <w:spacing w:beforeAutospacing="1" w:afterAutospacing="1"/>
        <w:ind w:left="851" w:right="902"/>
        <w:contextualSpacing/>
        <w:jc w:val="both"/>
        <w:rPr>
          <w:rFonts w:ascii="Palatino Linotype" w:hAnsi="Palatino Linotype" w:cs="Arial"/>
          <w:i/>
          <w:sz w:val="22"/>
          <w:szCs w:val="22"/>
        </w:rPr>
      </w:pP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I. Secretaría del Ayuntamiento;</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lastRenderedPageBreak/>
        <w:t>II. Contraloría Municipal;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III. Secretaría Técnica;</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b/>
          <w:i/>
          <w:sz w:val="22"/>
          <w:szCs w:val="22"/>
        </w:rPr>
        <w:t>IV. Tesorería Municipal</w:t>
      </w:r>
      <w:r>
        <w:rPr>
          <w:rFonts w:ascii="Palatino Linotype" w:hAnsi="Palatino Linotype" w:cs="Arial"/>
          <w:i/>
          <w:sz w:val="22"/>
          <w:szCs w:val="22"/>
        </w:rPr>
        <w:t>;</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V. Comisaría de Seguridad Ciudadana y Protección Civil;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VI. Dirección de Gobierno;</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VII. Dirección de Administración;</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VIII. Dirección de Desarrollo Social;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IX. Dirección de Turismo;</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 Dirección de Desarrollo Social y Educación;</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XI. Dirección de Medio Ambiente;</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XII. Dirección de Servicios Públicos;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XIII. Dirección de Desarrollo Urbano;</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XIV. Dirección de Obras Públicas;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XV. Dirección de Desarrollo Económico;</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XVI. Oficialía Mediadora-Conciliadora y Calificadora;</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XVII. Oficialía de Registro Civil;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XVIII. Oficialía de Partes;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XIX. Unidad Jurídica y Consultiva;</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 Unidad de Transparencia;</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XXI. Coordinación de Bienestar Animal;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XXII. Coordinación de Casa de Cultura Teotihuacán;</w:t>
      </w:r>
    </w:p>
    <w:p w:rsidR="009A3138" w:rsidRDefault="001D333F">
      <w:pPr>
        <w:tabs>
          <w:tab w:val="left" w:pos="1170"/>
        </w:tabs>
        <w:spacing w:beforeAutospacing="1" w:afterAutospacing="1"/>
        <w:ind w:left="851" w:right="902"/>
        <w:contextualSpacing/>
        <w:jc w:val="both"/>
        <w:rPr>
          <w:rFonts w:ascii="Palatino Linotype" w:hAnsi="Palatino Linotype" w:cs="Arial"/>
          <w:b/>
          <w:i/>
          <w:sz w:val="22"/>
          <w:szCs w:val="22"/>
        </w:rPr>
      </w:pPr>
      <w:r>
        <w:rPr>
          <w:rFonts w:ascii="Palatino Linotype" w:hAnsi="Palatino Linotype" w:cs="Arial"/>
          <w:b/>
          <w:i/>
          <w:sz w:val="22"/>
          <w:szCs w:val="22"/>
        </w:rPr>
        <w:t>XXIII. Coordinación de Comunicación Social;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XXIV. Coordinación de Catastro y Tenencia de la Tierra;</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XXV. Coordinación de Protección Civil;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XXVI. Coordinación de Participación Ciudadana;</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XXVII. Coordinación de Transporte y Vialidad;</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XXVIII. Coordinación de Adquisiciones;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XXIX. Coordinación de Recursos Humanos;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 Coordinación de Educación;</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XXXI. Coordinación del Museo Comunitario Quetzalpapalotl;</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XXXII. Coordinación de Regulación Comercial, Industrial y de Servicios;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XXXIII. Coordinación de Parques, Jardines y Panteones Municipales;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XXXIV. Coordinación de Tecnologías de la información y Comunicación;</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XXXV. Coordinación de Fomento Agropecuario;</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XXXVI. Organismo Público Descentralizado para la Prestación de los Servicios de Agua Potable,</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Alcantarillado y Saneamiento del Municipio de Teotihuacán (O.D.E.A.P.A.S.T.);</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XXXVII.Sistema Municipal para el Desarrollo Integral de la Familia de Teotihuacán (D.I.F.);</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lastRenderedPageBreak/>
        <w:t>XXXVIII. Defensoría Municipal de los Derechos Humanos;</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XXXIX. Instituto Municipal de la Juventud de Teotihuacán;</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XL. Instituto Municipal de Cultura Física y Deporte de Teotihuacán (IMCUFIDET); y,</w:t>
      </w:r>
    </w:p>
    <w:p w:rsidR="009A3138" w:rsidRDefault="001D333F">
      <w:pPr>
        <w:tabs>
          <w:tab w:val="left" w:pos="1170"/>
        </w:tabs>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XLI. Las demás que determine el Ayuntamiento, a propuesta del presidente municipal.”</w:t>
      </w:r>
    </w:p>
    <w:p w:rsidR="009A3138" w:rsidRDefault="009A3138">
      <w:pPr>
        <w:spacing w:beforeAutospacing="1" w:afterAutospacing="1" w:line="360" w:lineRule="auto"/>
        <w:contextualSpacing/>
        <w:jc w:val="both"/>
        <w:rPr>
          <w:rFonts w:ascii="Palatino Linotype" w:eastAsia="Calibri" w:hAnsi="Palatino Linotype" w:cs="Arial"/>
        </w:rPr>
      </w:pPr>
    </w:p>
    <w:p w:rsidR="009A3138" w:rsidRDefault="001D333F">
      <w:pPr>
        <w:spacing w:beforeAutospacing="1" w:afterAutospacing="1" w:line="360" w:lineRule="auto"/>
        <w:contextualSpacing/>
        <w:jc w:val="both"/>
        <w:rPr>
          <w:rFonts w:ascii="Palatino Linotype" w:eastAsia="Calibri" w:hAnsi="Palatino Linotype" w:cs="Arial"/>
        </w:rPr>
      </w:pPr>
      <w:r>
        <w:rPr>
          <w:rFonts w:ascii="Palatino Linotype" w:hAnsi="Palatino Linotype" w:cs="Arial"/>
          <w:lang w:eastAsia="es-MX"/>
        </w:rPr>
        <w:t xml:space="preserve">Así, en primer término es necesario dejar en claro para </w:t>
      </w:r>
      <w:r>
        <w:rPr>
          <w:rFonts w:ascii="Palatino Linotype" w:hAnsi="Palatino Linotype" w:cs="Arial"/>
          <w:b/>
          <w:lang w:eastAsia="es-MX"/>
        </w:rPr>
        <w:t xml:space="preserve">EL SUJETO OBLIGADO </w:t>
      </w:r>
      <w:r>
        <w:rPr>
          <w:rFonts w:ascii="Palatino Linotype" w:hAnsi="Palatino Linotype" w:cs="Arial"/>
          <w:lang w:eastAsia="es-MX"/>
        </w:rPr>
        <w:t xml:space="preserve">que si bien es cierto que </w:t>
      </w:r>
      <w:r>
        <w:rPr>
          <w:rFonts w:ascii="Palatino Linotype" w:hAnsi="Palatino Linotype" w:cs="Arial"/>
          <w:b/>
          <w:lang w:eastAsia="es-MX"/>
        </w:rPr>
        <w:t xml:space="preserve">EL RECURRENTE </w:t>
      </w:r>
      <w:r>
        <w:rPr>
          <w:rFonts w:ascii="Palatino Linotype" w:hAnsi="Palatino Linotype" w:cs="Arial"/>
          <w:lang w:eastAsia="es-MX"/>
        </w:rPr>
        <w:t xml:space="preserve">le solicitó los recibos de nómina de los servidores públicos ya mencionados en líneas anteriores, también lo es que, con la respuesta otorgada no se satisfizo el derecho de acceso a la información pública de la particular; razón por la cual, se debió entregar al hoy </w:t>
      </w:r>
      <w:r>
        <w:rPr>
          <w:rFonts w:ascii="Palatino Linotype" w:hAnsi="Palatino Linotype" w:cs="Arial"/>
          <w:b/>
          <w:lang w:eastAsia="es-MX"/>
        </w:rPr>
        <w:t xml:space="preserve">RECURRENTE </w:t>
      </w:r>
      <w:r>
        <w:rPr>
          <w:rFonts w:ascii="Palatino Linotype" w:hAnsi="Palatino Linotype" w:cs="Arial"/>
          <w:lang w:eastAsia="es-MX"/>
        </w:rPr>
        <w:t>los recibos de nómina que perciben de manera quincenal; resultando en consecuencia conveniente referir lo siguiente:</w:t>
      </w:r>
    </w:p>
    <w:p w:rsidR="009A3138" w:rsidRDefault="009A3138">
      <w:pPr>
        <w:tabs>
          <w:tab w:val="right" w:leader="dot" w:pos="8505"/>
        </w:tabs>
        <w:spacing w:beforeAutospacing="1" w:afterAutospacing="1" w:line="360" w:lineRule="auto"/>
        <w:contextualSpacing/>
        <w:jc w:val="both"/>
        <w:rPr>
          <w:rFonts w:ascii="Palatino Linotype" w:hAnsi="Palatino Linotype" w:cs="Arial"/>
        </w:rPr>
      </w:pPr>
    </w:p>
    <w:p w:rsidR="009A3138" w:rsidRDefault="001D333F">
      <w:pPr>
        <w:tabs>
          <w:tab w:val="right" w:leader="dot" w:pos="8505"/>
        </w:tabs>
        <w:spacing w:beforeAutospacing="1" w:afterAutospacing="1" w:line="360" w:lineRule="auto"/>
        <w:contextualSpacing/>
        <w:jc w:val="both"/>
        <w:rPr>
          <w:rFonts w:ascii="Palatino Linotype" w:hAnsi="Palatino Linotype" w:cs="Arial"/>
          <w:lang w:eastAsia="es-MX"/>
        </w:rPr>
      </w:pPr>
      <w:r>
        <w:rPr>
          <w:rFonts w:ascii="Palatino Linotype" w:hAnsi="Palatino Linotype" w:cs="Arial"/>
        </w:rPr>
        <w:t>Que, el sueldo</w:t>
      </w:r>
      <w:r>
        <w:rPr>
          <w:rStyle w:val="Ancladenotaalpie"/>
          <w:rFonts w:ascii="Palatino Linotype" w:hAnsi="Palatino Linotype" w:cs="Arial"/>
        </w:rPr>
        <w:footnoteReference w:id="1"/>
      </w:r>
      <w:r>
        <w:rPr>
          <w:rFonts w:ascii="Palatino Linotype" w:hAnsi="Palatino Linotype" w:cs="Arial"/>
        </w:rPr>
        <w:t xml:space="preserve"> constituye la erogación de recurso público que realiza el Municipio por concepto de nómina de los servidores públicos que laboran para este; por ello, en consecuencia es preciso señalar que para que </w:t>
      </w:r>
      <w:r>
        <w:rPr>
          <w:rFonts w:ascii="Palatino Linotype" w:hAnsi="Palatino Linotype" w:cs="Arial"/>
          <w:b/>
        </w:rPr>
        <w:t xml:space="preserve">EL SUJETO OBLIGADO </w:t>
      </w:r>
      <w:r>
        <w:rPr>
          <w:rFonts w:ascii="Palatino Linotype" w:hAnsi="Palatino Linotype" w:cs="Arial"/>
        </w:rPr>
        <w:t xml:space="preserve">hubiera colmado la solicitud de información del particular, lo precedente era que le hiciera entrega al hoy </w:t>
      </w:r>
      <w:r>
        <w:rPr>
          <w:rFonts w:ascii="Palatino Linotype" w:hAnsi="Palatino Linotype" w:cs="Arial"/>
          <w:b/>
        </w:rPr>
        <w:t xml:space="preserve">RECURRENTE </w:t>
      </w:r>
      <w:r>
        <w:rPr>
          <w:rFonts w:ascii="Palatino Linotype" w:hAnsi="Palatino Linotype" w:cs="Arial"/>
        </w:rPr>
        <w:t xml:space="preserve">de </w:t>
      </w:r>
      <w:r>
        <w:rPr>
          <w:rFonts w:ascii="Palatino Linotype" w:hAnsi="Palatino Linotype" w:cs="Arial"/>
          <w:lang w:eastAsia="es-MX"/>
        </w:rPr>
        <w:t xml:space="preserve">los recibos de pago o nómina correspondientes a la primer quincena de enero a la segunda quincena de diciembre de 2019; los cuales, consisten en un registro conformado por los trabajadores a los que se les va a remunerar por los </w:t>
      </w:r>
      <w:hyperlink r:id="rId14">
        <w:r>
          <w:rPr>
            <w:rFonts w:ascii="Palatino Linotype" w:hAnsi="Palatino Linotype" w:cs="Arial"/>
            <w:lang w:eastAsia="es-MX"/>
          </w:rPr>
          <w:t>servicios</w:t>
        </w:r>
      </w:hyperlink>
      <w:r>
        <w:rPr>
          <w:rFonts w:ascii="Palatino Linotype" w:hAnsi="Palatino Linotype" w:cs="Arial"/>
          <w:lang w:eastAsia="es-MX"/>
        </w:rPr>
        <w:t xml:space="preserve"> que éstos le prestan al patrón, </w:t>
      </w:r>
      <w:r>
        <w:rPr>
          <w:rFonts w:ascii="Palatino Linotype" w:hAnsi="Palatino Linotype" w:cs="Arial"/>
          <w:b/>
          <w:lang w:eastAsia="es-MX"/>
        </w:rPr>
        <w:t>en el cual se asientan las percepciones brutas, deducciones y el neto a recibir de dichos trabajadores</w:t>
      </w:r>
      <w:r>
        <w:rPr>
          <w:rFonts w:ascii="Palatino Linotype" w:hAnsi="Palatino Linotype" w:cs="Arial"/>
          <w:lang w:eastAsia="es-MX"/>
        </w:rPr>
        <w:t>.</w:t>
      </w:r>
    </w:p>
    <w:p w:rsidR="009A3138" w:rsidRDefault="001D333F">
      <w:pPr>
        <w:spacing w:beforeAutospacing="1" w:afterAutospacing="1" w:line="360" w:lineRule="auto"/>
        <w:contextualSpacing/>
        <w:jc w:val="both"/>
        <w:rPr>
          <w:rFonts w:ascii="Palatino Linotype" w:hAnsi="Palatino Linotype" w:cs="Arial"/>
          <w:lang w:val="es-ES"/>
        </w:rPr>
      </w:pPr>
      <w:r>
        <w:rPr>
          <w:rFonts w:ascii="Palatino Linotype" w:hAnsi="Palatino Linotype" w:cs="Arial"/>
          <w:color w:val="000000"/>
          <w:lang w:eastAsia="es-MX"/>
        </w:rPr>
        <w:lastRenderedPageBreak/>
        <w:t xml:space="preserve">Razón por la cual, conviene </w:t>
      </w:r>
      <w:r>
        <w:rPr>
          <w:rFonts w:ascii="Palatino Linotype" w:hAnsi="Palatino Linotype"/>
          <w:lang w:val="es-ES"/>
        </w:rPr>
        <w:t xml:space="preserve">precisar que </w:t>
      </w:r>
      <w:r>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A3138" w:rsidRDefault="009A3138">
      <w:pPr>
        <w:spacing w:beforeAutospacing="1" w:afterAutospacing="1"/>
        <w:ind w:left="709" w:right="757"/>
        <w:contextualSpacing/>
        <w:jc w:val="both"/>
        <w:rPr>
          <w:rFonts w:ascii="Palatino Linotype" w:hAnsi="Palatino Linotype" w:cs="Arial"/>
          <w:b/>
          <w:bCs/>
          <w:i/>
          <w:sz w:val="22"/>
          <w:lang w:val="es-ES"/>
        </w:rPr>
      </w:pPr>
    </w:p>
    <w:p w:rsidR="009A3138" w:rsidRDefault="001D333F">
      <w:pPr>
        <w:spacing w:beforeAutospacing="1" w:afterAutospacing="1"/>
        <w:ind w:left="709" w:right="757"/>
        <w:contextualSpacing/>
        <w:jc w:val="both"/>
        <w:rPr>
          <w:rFonts w:ascii="Palatino Linotype" w:hAnsi="Palatino Linotype" w:cs="Arial"/>
          <w:i/>
          <w:sz w:val="22"/>
          <w:lang w:val="es-ES"/>
        </w:rPr>
      </w:pPr>
      <w:r>
        <w:rPr>
          <w:rFonts w:ascii="Palatino Linotype" w:hAnsi="Palatino Linotype" w:cs="Arial"/>
          <w:b/>
          <w:bCs/>
          <w:i/>
          <w:sz w:val="22"/>
          <w:lang w:val="es-ES"/>
        </w:rPr>
        <w:t xml:space="preserve">“NÓMINA </w:t>
      </w:r>
      <w:r>
        <w:rPr>
          <w:rFonts w:ascii="Palatino Linotype" w:hAnsi="Palatino Linotype" w:cs="Arial"/>
          <w:i/>
          <w:sz w:val="22"/>
          <w:lang w:val="es-ES"/>
        </w:rPr>
        <w:t>Listado general de los trabajadores de una institución, en</w:t>
      </w:r>
      <w:r>
        <w:rPr>
          <w:rFonts w:ascii="Palatino Linotype" w:hAnsi="Palatino Linotype" w:cs="Arial"/>
          <w:b/>
          <w:bCs/>
          <w:i/>
          <w:sz w:val="22"/>
          <w:lang w:val="es-ES"/>
        </w:rPr>
        <w:t xml:space="preserve"> </w:t>
      </w:r>
      <w:r>
        <w:rPr>
          <w:rFonts w:ascii="Palatino Linotype" w:hAnsi="Palatino Linotype" w:cs="Arial"/>
          <w:i/>
          <w:sz w:val="22"/>
          <w:lang w:val="es-ES"/>
        </w:rPr>
        <w:t>el cual se asientan las percepciones brutas, deducciones y</w:t>
      </w:r>
      <w:r>
        <w:rPr>
          <w:rFonts w:ascii="Palatino Linotype" w:hAnsi="Palatino Linotype" w:cs="Arial"/>
          <w:b/>
          <w:bCs/>
          <w:i/>
          <w:sz w:val="22"/>
          <w:lang w:val="es-ES"/>
        </w:rPr>
        <w:t xml:space="preserve"> </w:t>
      </w:r>
      <w:r>
        <w:rPr>
          <w:rFonts w:ascii="Palatino Linotype" w:hAnsi="Palatino Linotype" w:cs="Arial"/>
          <w:i/>
          <w:sz w:val="22"/>
          <w:lang w:val="es-ES"/>
        </w:rPr>
        <w:t xml:space="preserve">alcance neto </w:t>
      </w:r>
      <w:r>
        <w:rPr>
          <w:rFonts w:ascii="Palatino Linotype" w:hAnsi="Palatino Linotype" w:cs="Arial"/>
          <w:i/>
          <w:color w:val="000000"/>
          <w:sz w:val="22"/>
          <w:lang w:val="es-ES"/>
        </w:rPr>
        <w:t>de</w:t>
      </w:r>
      <w:r>
        <w:rPr>
          <w:rFonts w:ascii="Palatino Linotype" w:hAnsi="Palatino Linotype" w:cs="Arial"/>
          <w:i/>
          <w:sz w:val="22"/>
          <w:lang w:val="es-ES"/>
        </w:rPr>
        <w:t xml:space="preserve"> las mismas; la nómina es utilizada para</w:t>
      </w:r>
      <w:r>
        <w:rPr>
          <w:rFonts w:ascii="Palatino Linotype" w:hAnsi="Palatino Linotype" w:cs="Arial"/>
          <w:b/>
          <w:bCs/>
          <w:i/>
          <w:sz w:val="22"/>
          <w:lang w:val="es-ES"/>
        </w:rPr>
        <w:t xml:space="preserve"> </w:t>
      </w:r>
      <w:r>
        <w:rPr>
          <w:rFonts w:ascii="Palatino Linotype" w:hAnsi="Palatino Linotype" w:cs="Arial"/>
          <w:i/>
          <w:sz w:val="22"/>
          <w:lang w:val="es-ES"/>
        </w:rPr>
        <w:t>efectuar los pagos periódicos (semanales, quincenales o</w:t>
      </w:r>
      <w:r>
        <w:rPr>
          <w:rFonts w:ascii="Palatino Linotype" w:hAnsi="Palatino Linotype" w:cs="Arial"/>
          <w:b/>
          <w:bCs/>
          <w:i/>
          <w:sz w:val="22"/>
          <w:lang w:val="es-ES"/>
        </w:rPr>
        <w:t xml:space="preserve"> </w:t>
      </w:r>
      <w:r>
        <w:rPr>
          <w:rFonts w:ascii="Palatino Linotype" w:hAnsi="Palatino Linotype" w:cs="Arial"/>
          <w:i/>
          <w:sz w:val="22"/>
          <w:lang w:val="es-ES"/>
        </w:rPr>
        <w:t>mensuales) a los trabajadores por concepto de sueldos y</w:t>
      </w:r>
      <w:r>
        <w:rPr>
          <w:rFonts w:ascii="Palatino Linotype" w:hAnsi="Palatino Linotype" w:cs="Arial"/>
          <w:b/>
          <w:bCs/>
          <w:i/>
          <w:sz w:val="22"/>
          <w:lang w:val="es-ES"/>
        </w:rPr>
        <w:t xml:space="preserve"> </w:t>
      </w:r>
      <w:r>
        <w:rPr>
          <w:rFonts w:ascii="Palatino Linotype" w:hAnsi="Palatino Linotype" w:cs="Arial"/>
          <w:i/>
          <w:sz w:val="22"/>
          <w:lang w:val="es-ES"/>
        </w:rPr>
        <w:t>salarios.” (Sic)</w:t>
      </w:r>
    </w:p>
    <w:p w:rsidR="009A3138" w:rsidRDefault="009A3138">
      <w:pPr>
        <w:spacing w:beforeAutospacing="1" w:afterAutospacing="1" w:line="360" w:lineRule="auto"/>
        <w:contextualSpacing/>
        <w:jc w:val="both"/>
        <w:rPr>
          <w:rFonts w:ascii="Palatino Linotype" w:hAnsi="Palatino Linotype" w:cs="Arial"/>
        </w:rPr>
      </w:pP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rPr>
        <w:t>Como ya se apuntó, si bien es cierto nuestra legislación no establece la definición de “nómina”,</w:t>
      </w:r>
      <w:r>
        <w:rPr>
          <w:rFonts w:ascii="Palatino Linotype" w:hAnsi="Palatino Linotype" w:cs="Arial"/>
          <w:b/>
        </w:rPr>
        <w:t xml:space="preserve"> </w:t>
      </w:r>
      <w:r>
        <w:rPr>
          <w:rFonts w:ascii="Palatino Linotype" w:hAnsi="Palatino Linotype" w:cs="Arial"/>
          <w:lang w:eastAsia="es-MX"/>
        </w:rPr>
        <w:t xml:space="preserve">este término es </w:t>
      </w:r>
      <w:r>
        <w:rPr>
          <w:rFonts w:ascii="Palatino Linotype" w:hAnsi="Palatino Linotype" w:cs="Arial"/>
        </w:rPr>
        <w:t>mencionado</w:t>
      </w:r>
      <w:r>
        <w:rPr>
          <w:rFonts w:ascii="Palatino Linotype" w:hAnsi="Palatino Linotype" w:cs="Arial"/>
          <w:lang w:eastAsia="es-MX"/>
        </w:rPr>
        <w:t xml:space="preserve"> en diferentes ordenamientos legales; así el artículo 804, fracción II de la Ley Federal de Trabajo, señala: </w:t>
      </w:r>
    </w:p>
    <w:p w:rsidR="009A3138" w:rsidRDefault="009A3138">
      <w:pPr>
        <w:spacing w:beforeAutospacing="1" w:afterAutospacing="1"/>
        <w:ind w:left="851" w:right="851"/>
        <w:contextualSpacing/>
        <w:jc w:val="both"/>
        <w:rPr>
          <w:rFonts w:ascii="Palatino Linotype" w:hAnsi="Palatino Linotype" w:cs="Arial"/>
          <w:bCs/>
          <w:i/>
          <w:sz w:val="22"/>
          <w:szCs w:val="20"/>
          <w:lang w:eastAsia="es-MX"/>
        </w:rPr>
      </w:pPr>
    </w:p>
    <w:p w:rsidR="009A3138" w:rsidRDefault="001D333F">
      <w:pPr>
        <w:spacing w:beforeAutospacing="1" w:afterAutospacing="1"/>
        <w:ind w:left="851" w:right="851"/>
        <w:contextualSpacing/>
        <w:jc w:val="both"/>
        <w:rPr>
          <w:rFonts w:ascii="Palatino Linotype" w:hAnsi="Palatino Linotype" w:cs="Arial"/>
          <w:i/>
          <w:sz w:val="22"/>
          <w:szCs w:val="20"/>
          <w:lang w:eastAsia="es-MX"/>
        </w:rPr>
      </w:pPr>
      <w:r>
        <w:rPr>
          <w:rFonts w:ascii="Palatino Linotype" w:hAnsi="Palatino Linotype" w:cs="Arial"/>
          <w:bCs/>
          <w:i/>
          <w:sz w:val="22"/>
          <w:szCs w:val="20"/>
          <w:lang w:eastAsia="es-MX"/>
        </w:rPr>
        <w:t>“</w:t>
      </w:r>
      <w:r>
        <w:rPr>
          <w:rFonts w:ascii="Palatino Linotype" w:hAnsi="Palatino Linotype" w:cs="Arial"/>
          <w:b/>
          <w:i/>
          <w:sz w:val="22"/>
          <w:szCs w:val="20"/>
          <w:lang w:eastAsia="es-MX"/>
        </w:rPr>
        <w:t>Artículo 804.-</w:t>
      </w:r>
      <w:r>
        <w:rPr>
          <w:rFonts w:ascii="Palatino Linotype" w:hAnsi="Palatino Linotype" w:cs="Arial"/>
          <w:i/>
          <w:sz w:val="22"/>
          <w:szCs w:val="20"/>
          <w:lang w:eastAsia="es-MX"/>
        </w:rPr>
        <w:t xml:space="preserve"> </w:t>
      </w:r>
      <w:r>
        <w:rPr>
          <w:rFonts w:ascii="Palatino Linotype" w:hAnsi="Palatino Linotype" w:cs="Arial"/>
          <w:b/>
          <w:i/>
          <w:sz w:val="22"/>
          <w:szCs w:val="20"/>
          <w:lang w:eastAsia="es-MX"/>
        </w:rPr>
        <w:t>El patrón tiene obligación de conservar y exhibir en juicio los documentos que a continuación se precisan</w:t>
      </w:r>
      <w:r>
        <w:rPr>
          <w:rFonts w:ascii="Palatino Linotype" w:hAnsi="Palatino Linotype" w:cs="Arial"/>
          <w:i/>
          <w:sz w:val="22"/>
          <w:szCs w:val="20"/>
          <w:lang w:eastAsia="es-MX"/>
        </w:rPr>
        <w:t xml:space="preserve">: </w:t>
      </w:r>
    </w:p>
    <w:p w:rsidR="009A3138" w:rsidRDefault="001D333F">
      <w:pPr>
        <w:spacing w:beforeAutospacing="1" w:afterAutospacing="1"/>
        <w:ind w:left="851" w:right="851"/>
        <w:contextualSpacing/>
        <w:jc w:val="both"/>
        <w:rPr>
          <w:rFonts w:ascii="Palatino Linotype" w:hAnsi="Palatino Linotype" w:cs="Arial"/>
          <w:i/>
          <w:sz w:val="22"/>
          <w:szCs w:val="20"/>
          <w:lang w:eastAsia="es-MX"/>
        </w:rPr>
      </w:pPr>
      <w:r>
        <w:rPr>
          <w:rFonts w:ascii="Palatino Linotype" w:hAnsi="Palatino Linotype" w:cs="Arial"/>
          <w:i/>
          <w:sz w:val="22"/>
          <w:szCs w:val="20"/>
          <w:lang w:eastAsia="es-MX"/>
        </w:rPr>
        <w:t>…</w:t>
      </w:r>
    </w:p>
    <w:p w:rsidR="009A3138" w:rsidRDefault="001D333F">
      <w:pPr>
        <w:spacing w:beforeAutospacing="1" w:afterAutospacing="1"/>
        <w:ind w:left="851" w:right="851"/>
        <w:contextualSpacing/>
        <w:jc w:val="both"/>
        <w:rPr>
          <w:rFonts w:ascii="Palatino Linotype" w:hAnsi="Palatino Linotype" w:cs="Arial"/>
          <w:i/>
          <w:sz w:val="22"/>
          <w:szCs w:val="20"/>
          <w:lang w:eastAsia="es-MX"/>
        </w:rPr>
      </w:pPr>
      <w:r>
        <w:rPr>
          <w:rFonts w:ascii="Palatino Linotype" w:hAnsi="Palatino Linotype" w:cs="Arial"/>
          <w:i/>
          <w:sz w:val="22"/>
          <w:szCs w:val="20"/>
          <w:lang w:eastAsia="es-MX"/>
        </w:rPr>
        <w:t xml:space="preserve">II. Listas de raya o nómina de personal, cuando se lleven en el centro de trabajo; o </w:t>
      </w:r>
      <w:r>
        <w:rPr>
          <w:rFonts w:ascii="Palatino Linotype" w:hAnsi="Palatino Linotype" w:cs="Arial"/>
          <w:b/>
          <w:i/>
          <w:sz w:val="22"/>
          <w:szCs w:val="20"/>
          <w:lang w:eastAsia="es-MX"/>
        </w:rPr>
        <w:t>recibos de pagos de salarios</w:t>
      </w:r>
      <w:r>
        <w:rPr>
          <w:rFonts w:ascii="Palatino Linotype" w:hAnsi="Palatino Linotype" w:cs="Arial"/>
          <w:i/>
          <w:sz w:val="22"/>
          <w:szCs w:val="20"/>
          <w:lang w:eastAsia="es-MX"/>
        </w:rPr>
        <w:t xml:space="preserve">; </w:t>
      </w:r>
    </w:p>
    <w:p w:rsidR="009A3138" w:rsidRDefault="001D333F">
      <w:pPr>
        <w:spacing w:beforeAutospacing="1" w:afterAutospacing="1"/>
        <w:ind w:left="851" w:right="851"/>
        <w:contextualSpacing/>
        <w:jc w:val="both"/>
        <w:rPr>
          <w:rFonts w:ascii="Palatino Linotype" w:hAnsi="Palatino Linotype" w:cs="Arial"/>
          <w:i/>
          <w:sz w:val="22"/>
          <w:szCs w:val="20"/>
          <w:lang w:eastAsia="es-MX"/>
        </w:rPr>
      </w:pPr>
      <w:r>
        <w:rPr>
          <w:rFonts w:ascii="Palatino Linotype" w:hAnsi="Palatino Linotype" w:cs="Arial"/>
          <w:i/>
          <w:sz w:val="22"/>
          <w:szCs w:val="20"/>
          <w:lang w:eastAsia="es-MX"/>
        </w:rPr>
        <w:t>…</w:t>
      </w:r>
    </w:p>
    <w:p w:rsidR="009A3138" w:rsidRDefault="001D333F">
      <w:pPr>
        <w:spacing w:beforeAutospacing="1" w:afterAutospacing="1"/>
        <w:ind w:left="851" w:right="851"/>
        <w:contextualSpacing/>
        <w:jc w:val="both"/>
        <w:rPr>
          <w:rFonts w:ascii="Palatino Linotype" w:hAnsi="Palatino Linotype" w:cs="Arial"/>
          <w:i/>
          <w:sz w:val="22"/>
          <w:szCs w:val="20"/>
          <w:lang w:eastAsia="es-MX"/>
        </w:rPr>
      </w:pPr>
      <w:r>
        <w:rPr>
          <w:rFonts w:ascii="Palatino Linotype" w:hAnsi="Palatino Linotype" w:cs="Arial"/>
          <w:b/>
          <w:i/>
          <w:sz w:val="22"/>
          <w:szCs w:val="20"/>
          <w:lang w:eastAsia="es-MX"/>
        </w:rPr>
        <w:t>Los documentos</w:t>
      </w:r>
      <w:r>
        <w:rPr>
          <w:rFonts w:ascii="Palatino Linotype" w:hAnsi="Palatino Linotype" w:cs="Arial"/>
          <w:i/>
          <w:sz w:val="22"/>
          <w:szCs w:val="20"/>
          <w:lang w:eastAsia="es-MX"/>
        </w:rPr>
        <w:t xml:space="preserve"> señalados en la fracción I </w:t>
      </w:r>
      <w:r>
        <w:rPr>
          <w:rFonts w:ascii="Palatino Linotype" w:hAnsi="Palatino Linotype" w:cs="Arial"/>
          <w:b/>
          <w:i/>
          <w:sz w:val="22"/>
          <w:szCs w:val="20"/>
          <w:lang w:eastAsia="es-MX"/>
        </w:rPr>
        <w:t>deberán conservarse</w:t>
      </w:r>
      <w:r>
        <w:rPr>
          <w:rFonts w:ascii="Palatino Linotype" w:hAnsi="Palatino Linotype" w:cs="Arial"/>
          <w:i/>
          <w:sz w:val="22"/>
          <w:szCs w:val="20"/>
          <w:lang w:eastAsia="es-MX"/>
        </w:rPr>
        <w:t xml:space="preserve"> mientras dure la relación laboral y hasta un año después; los </w:t>
      </w:r>
      <w:r>
        <w:rPr>
          <w:rFonts w:ascii="Palatino Linotype" w:hAnsi="Palatino Linotype" w:cs="Arial"/>
          <w:b/>
          <w:i/>
          <w:sz w:val="22"/>
          <w:szCs w:val="20"/>
          <w:lang w:eastAsia="es-MX"/>
        </w:rPr>
        <w:t>señalados en las fracciones II</w:t>
      </w:r>
      <w:r>
        <w:rPr>
          <w:rFonts w:ascii="Palatino Linotype" w:hAnsi="Palatino Linotype" w:cs="Arial"/>
          <w:i/>
          <w:sz w:val="22"/>
          <w:szCs w:val="20"/>
          <w:lang w:eastAsia="es-MX"/>
        </w:rPr>
        <w:t xml:space="preserve">, III y IV, </w:t>
      </w:r>
      <w:r>
        <w:rPr>
          <w:rFonts w:ascii="Palatino Linotype" w:hAnsi="Palatino Linotype" w:cs="Arial"/>
          <w:b/>
          <w:i/>
          <w:sz w:val="22"/>
          <w:szCs w:val="20"/>
          <w:lang w:eastAsia="es-MX"/>
        </w:rPr>
        <w:t>durante el último año y un año después de que se extinga la relación laboral</w:t>
      </w:r>
      <w:r>
        <w:rPr>
          <w:rFonts w:ascii="Palatino Linotype" w:hAnsi="Palatino Linotype" w:cs="Arial"/>
          <w:i/>
          <w:sz w:val="22"/>
          <w:szCs w:val="20"/>
          <w:lang w:eastAsia="es-MX"/>
        </w:rPr>
        <w:t xml:space="preserve">; y los mencionados en la fracción V, conforme lo señalen las Leyes que los </w:t>
      </w:r>
      <w:r>
        <w:rPr>
          <w:rFonts w:ascii="Palatino Linotype" w:hAnsi="Palatino Linotype" w:cs="Arial"/>
          <w:i/>
          <w:sz w:val="22"/>
          <w:szCs w:val="20"/>
          <w:lang w:eastAsia="es-MX"/>
        </w:rPr>
        <w:lastRenderedPageBreak/>
        <w:t xml:space="preserve">rijan. </w:t>
      </w:r>
      <w:r>
        <w:rPr>
          <w:rFonts w:ascii="Palatino Linotype" w:hAnsi="Palatino Linotype" w:cs="Arial"/>
          <w:i/>
          <w:sz w:val="22"/>
          <w:szCs w:val="20"/>
          <w:lang w:eastAsia="es-MX"/>
        </w:rPr>
        <w:br/>
      </w:r>
    </w:p>
    <w:p w:rsidR="009A3138" w:rsidRDefault="001D333F">
      <w:pPr>
        <w:spacing w:beforeAutospacing="1" w:afterAutospacing="1"/>
        <w:ind w:left="851" w:right="851"/>
        <w:contextualSpacing/>
        <w:jc w:val="both"/>
        <w:rPr>
          <w:rFonts w:ascii="Palatino Linotype" w:hAnsi="Palatino Linotype" w:cs="Arial"/>
          <w:i/>
          <w:sz w:val="22"/>
          <w:szCs w:val="20"/>
          <w:lang w:eastAsia="es-MX"/>
        </w:rPr>
      </w:pPr>
      <w:r>
        <w:rPr>
          <w:rFonts w:ascii="Palatino Linotype" w:hAnsi="Palatino Linotype" w:cs="Arial"/>
          <w:i/>
          <w:sz w:val="22"/>
          <w:szCs w:val="20"/>
          <w:lang w:eastAsia="es-MX"/>
        </w:rPr>
        <w:t>(Énfasis añadido)</w:t>
      </w:r>
    </w:p>
    <w:p w:rsidR="009A3138" w:rsidRDefault="009A3138">
      <w:pPr>
        <w:spacing w:beforeAutospacing="1" w:afterAutospacing="1" w:line="360" w:lineRule="auto"/>
        <w:ind w:right="49"/>
        <w:contextualSpacing/>
        <w:jc w:val="both"/>
        <w:rPr>
          <w:rFonts w:ascii="Palatino Linotype" w:hAnsi="Palatino Linotype" w:cs="Arial"/>
          <w:lang w:eastAsia="es-MX"/>
        </w:rPr>
      </w:pPr>
    </w:p>
    <w:p w:rsidR="009A3138" w:rsidRDefault="001D333F">
      <w:pPr>
        <w:spacing w:beforeAutospacing="1" w:afterAutospacing="1" w:line="360" w:lineRule="auto"/>
        <w:ind w:right="49"/>
        <w:contextualSpacing/>
        <w:jc w:val="both"/>
        <w:rPr>
          <w:rFonts w:ascii="Palatino Linotype" w:hAnsi="Palatino Linotype" w:cs="Arial"/>
          <w:lang w:eastAsia="es-MX"/>
        </w:rPr>
      </w:pPr>
      <w:r>
        <w:rPr>
          <w:rFonts w:ascii="Palatino Linotype" w:hAnsi="Palatino Linotype" w:cs="Arial"/>
          <w:lang w:eastAsia="es-MX"/>
        </w:rPr>
        <w:t xml:space="preserve">De lo anterior, es dable concluir que los recibos de pago o nómina, consisten en un registro conformado por el conjunto de trabajadores a los cuales se les va a remunerar por los </w:t>
      </w:r>
      <w:hyperlink r:id="rId15">
        <w:r>
          <w:rPr>
            <w:rFonts w:ascii="Palatino Linotype" w:hAnsi="Palatino Linotype" w:cs="Arial"/>
            <w:lang w:eastAsia="es-MX"/>
          </w:rPr>
          <w:t>servicios</w:t>
        </w:r>
      </w:hyperlink>
      <w:r>
        <w:rPr>
          <w:rFonts w:ascii="Palatino Linotype" w:hAnsi="Palatino Linotype" w:cs="Arial"/>
          <w:lang w:eastAsia="es-MX"/>
        </w:rPr>
        <w:t xml:space="preserve"> que éstos le prestan al patrón, </w:t>
      </w:r>
      <w:r>
        <w:rPr>
          <w:rFonts w:ascii="Palatino Linotype" w:hAnsi="Palatino Linotype" w:cs="Arial"/>
          <w:b/>
          <w:lang w:eastAsia="es-MX"/>
        </w:rPr>
        <w:t>en el cual se asientan las percepciones brutas, deducciones y el neto a recibir de dichos trabajadores</w:t>
      </w:r>
      <w:r>
        <w:rPr>
          <w:rFonts w:ascii="Palatino Linotype" w:hAnsi="Palatino Linotype" w:cs="Arial"/>
          <w:lang w:eastAsia="es-MX"/>
        </w:rPr>
        <w:t xml:space="preserve">; por lo que, en relación a ello, </w:t>
      </w:r>
      <w:r>
        <w:rPr>
          <w:rFonts w:ascii="Palatino Linotype" w:hAnsi="Palatino Linotype" w:cs="Arial"/>
        </w:rPr>
        <w:t xml:space="preserve">el artículo 50 de la Ley del Trabajo de los Servidores Públicos del Estado y Municipios, refiere: </w:t>
      </w:r>
    </w:p>
    <w:p w:rsidR="009A3138" w:rsidRDefault="009A3138">
      <w:pPr>
        <w:spacing w:beforeAutospacing="1" w:afterAutospacing="1"/>
        <w:ind w:left="851" w:right="900"/>
        <w:contextualSpacing/>
        <w:jc w:val="both"/>
        <w:rPr>
          <w:rFonts w:ascii="Palatino Linotype" w:hAnsi="Palatino Linotype"/>
          <w:i/>
          <w:sz w:val="22"/>
          <w:szCs w:val="22"/>
        </w:rPr>
      </w:pPr>
    </w:p>
    <w:p w:rsidR="009A3138" w:rsidRDefault="001D333F">
      <w:pPr>
        <w:spacing w:beforeAutospacing="1" w:afterAutospacing="1"/>
        <w:ind w:left="851" w:right="900"/>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50</w:t>
      </w:r>
      <w:r>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A3138" w:rsidRDefault="001D333F">
      <w:pPr>
        <w:spacing w:beforeAutospacing="1" w:afterAutospacing="1"/>
        <w:ind w:left="851" w:right="900"/>
        <w:contextualSpacing/>
        <w:jc w:val="both"/>
        <w:rPr>
          <w:rFonts w:ascii="Palatino Linotype" w:hAnsi="Palatino Linotype"/>
          <w:i/>
          <w:sz w:val="22"/>
          <w:szCs w:val="22"/>
        </w:rPr>
      </w:pPr>
      <w:r>
        <w:rPr>
          <w:rFonts w:ascii="Palatino Linotype" w:hAnsi="Palatino Linotype"/>
          <w:i/>
          <w:sz w:val="22"/>
          <w:szCs w:val="22"/>
        </w:rPr>
        <w:t xml:space="preserve">Iguales consecuencias se generarán para todos los </w:t>
      </w:r>
      <w:r>
        <w:rPr>
          <w:rFonts w:ascii="Palatino Linotype" w:hAnsi="Palatino Linotype"/>
          <w:b/>
          <w:i/>
          <w:sz w:val="22"/>
          <w:szCs w:val="22"/>
        </w:rPr>
        <w:t>servidores públicos, cuando la relación de trabajo se formalice mediante un contrato o por encontrarse en lista de raya</w:t>
      </w:r>
      <w:r>
        <w:rPr>
          <w:rFonts w:ascii="Palatino Linotype" w:hAnsi="Palatino Linotype"/>
          <w:i/>
          <w:sz w:val="22"/>
          <w:szCs w:val="22"/>
        </w:rPr>
        <w:t>.”</w:t>
      </w:r>
    </w:p>
    <w:p w:rsidR="009A3138" w:rsidRDefault="009A3138">
      <w:pPr>
        <w:spacing w:beforeAutospacing="1" w:afterAutospacing="1"/>
        <w:ind w:left="851" w:right="900"/>
        <w:contextualSpacing/>
        <w:jc w:val="both"/>
        <w:rPr>
          <w:rFonts w:ascii="Palatino Linotype" w:hAnsi="Palatino Linotype"/>
          <w:i/>
          <w:sz w:val="22"/>
          <w:szCs w:val="22"/>
        </w:rPr>
      </w:pPr>
    </w:p>
    <w:p w:rsidR="009A3138" w:rsidRDefault="001D333F">
      <w:pPr>
        <w:spacing w:beforeAutospacing="1" w:afterAutospacing="1"/>
        <w:ind w:left="851" w:right="900"/>
        <w:contextualSpacing/>
        <w:jc w:val="both"/>
        <w:rPr>
          <w:rFonts w:ascii="Palatino Linotype" w:hAnsi="Palatino Linotype"/>
          <w:i/>
          <w:sz w:val="22"/>
          <w:szCs w:val="22"/>
        </w:rPr>
      </w:pPr>
      <w:r>
        <w:rPr>
          <w:rFonts w:ascii="Palatino Linotype" w:hAnsi="Palatino Linotype"/>
          <w:i/>
          <w:sz w:val="22"/>
          <w:szCs w:val="22"/>
        </w:rPr>
        <w:t>(Énfasis añadido)</w:t>
      </w:r>
    </w:p>
    <w:p w:rsidR="009A3138" w:rsidRDefault="009A3138">
      <w:pPr>
        <w:spacing w:beforeAutospacing="1" w:afterAutospacing="1" w:line="360" w:lineRule="auto"/>
        <w:ind w:right="49"/>
        <w:contextualSpacing/>
        <w:jc w:val="both"/>
        <w:rPr>
          <w:rFonts w:ascii="Palatino Linotype" w:hAnsi="Palatino Linotype" w:cs="Arial"/>
        </w:rPr>
      </w:pPr>
    </w:p>
    <w:p w:rsidR="009A3138" w:rsidRDefault="001D333F">
      <w:pPr>
        <w:spacing w:beforeAutospacing="1" w:afterAutospacing="1" w:line="360" w:lineRule="auto"/>
        <w:ind w:right="49"/>
        <w:contextualSpacing/>
        <w:jc w:val="both"/>
        <w:rPr>
          <w:rFonts w:ascii="Palatino Linotype" w:hAnsi="Palatino Linotype" w:cs="Arial"/>
        </w:rPr>
      </w:pPr>
      <w:r>
        <w:rPr>
          <w:rFonts w:ascii="Palatino Linotype" w:hAnsi="Palatino Linotype" w:cs="Arial"/>
        </w:rPr>
        <w:t>Al respecto, conviene traer a contexto la Ley del Trabajo de los Servidores Públicos del Estado y Municipios, en su artículo 220-K, establece lo siguiente:</w:t>
      </w:r>
    </w:p>
    <w:p w:rsidR="009A3138" w:rsidRDefault="009A3138">
      <w:pPr>
        <w:tabs>
          <w:tab w:val="left" w:pos="9072"/>
        </w:tabs>
        <w:spacing w:beforeAutospacing="1" w:afterAutospacing="1"/>
        <w:ind w:left="851" w:right="900"/>
        <w:contextualSpacing/>
        <w:jc w:val="both"/>
        <w:rPr>
          <w:rFonts w:ascii="Palatino Linotype" w:hAnsi="Palatino Linotype"/>
          <w:b/>
          <w:bCs/>
          <w:i/>
          <w:sz w:val="22"/>
        </w:rPr>
      </w:pPr>
    </w:p>
    <w:p w:rsidR="009A3138" w:rsidRDefault="001D333F">
      <w:pPr>
        <w:tabs>
          <w:tab w:val="left" w:pos="9072"/>
        </w:tabs>
        <w:spacing w:beforeAutospacing="1" w:afterAutospacing="1"/>
        <w:ind w:left="851" w:right="900"/>
        <w:contextualSpacing/>
        <w:jc w:val="both"/>
        <w:rPr>
          <w:rFonts w:ascii="Palatino Linotype" w:hAnsi="Palatino Linotype"/>
          <w:bCs/>
          <w:i/>
          <w:sz w:val="22"/>
        </w:rPr>
      </w:pPr>
      <w:r>
        <w:rPr>
          <w:rFonts w:ascii="Palatino Linotype" w:hAnsi="Palatino Linotype"/>
          <w:b/>
          <w:bCs/>
          <w:i/>
          <w:sz w:val="22"/>
        </w:rPr>
        <w:t>“ARTÍCULO 220 K.-</w:t>
      </w:r>
      <w:r>
        <w:rPr>
          <w:rFonts w:ascii="Palatino Linotype" w:hAnsi="Palatino Linotype"/>
          <w:bCs/>
          <w:i/>
          <w:sz w:val="22"/>
        </w:rPr>
        <w:t xml:space="preserve"> La institución o dependencia pública tiene la obligación de conservar y exhibir en el proceso los documentos que a continuación se precisan:</w:t>
      </w:r>
    </w:p>
    <w:p w:rsidR="009A3138" w:rsidRDefault="001D333F">
      <w:pPr>
        <w:tabs>
          <w:tab w:val="left" w:pos="9072"/>
        </w:tabs>
        <w:spacing w:beforeAutospacing="1" w:afterAutospacing="1"/>
        <w:ind w:left="851" w:right="900"/>
        <w:contextualSpacing/>
        <w:jc w:val="both"/>
        <w:rPr>
          <w:rFonts w:ascii="Palatino Linotype" w:hAnsi="Palatino Linotype"/>
          <w:bCs/>
          <w:i/>
          <w:sz w:val="22"/>
        </w:rPr>
      </w:pPr>
      <w:r>
        <w:rPr>
          <w:rFonts w:ascii="Palatino Linotype" w:hAnsi="Palatino Linotype"/>
          <w:bCs/>
          <w:i/>
          <w:sz w:val="22"/>
        </w:rPr>
        <w:t>…</w:t>
      </w:r>
    </w:p>
    <w:p w:rsidR="009A3138" w:rsidRDefault="001D333F">
      <w:pPr>
        <w:tabs>
          <w:tab w:val="left" w:pos="9072"/>
        </w:tabs>
        <w:spacing w:beforeAutospacing="1" w:afterAutospacing="1"/>
        <w:ind w:left="851" w:right="900"/>
        <w:contextualSpacing/>
        <w:jc w:val="both"/>
        <w:rPr>
          <w:rFonts w:ascii="Palatino Linotype" w:hAnsi="Palatino Linotype"/>
          <w:bCs/>
          <w:i/>
          <w:sz w:val="22"/>
        </w:rPr>
      </w:pPr>
      <w:r>
        <w:rPr>
          <w:rFonts w:ascii="Palatino Linotype" w:hAnsi="Palatino Linotype"/>
          <w:bCs/>
          <w:i/>
          <w:sz w:val="22"/>
        </w:rPr>
        <w:t xml:space="preserve">II. Recibos de pagos de salarios o </w:t>
      </w:r>
      <w:r>
        <w:rPr>
          <w:rFonts w:ascii="Palatino Linotype" w:hAnsi="Palatino Linotype"/>
          <w:b/>
          <w:bCs/>
          <w:i/>
          <w:sz w:val="22"/>
        </w:rPr>
        <w:t>las constancias documentales del pago de salario</w:t>
      </w:r>
      <w:r>
        <w:rPr>
          <w:rFonts w:ascii="Palatino Linotype" w:hAnsi="Palatino Linotype"/>
          <w:bCs/>
          <w:i/>
          <w:sz w:val="22"/>
        </w:rPr>
        <w:t xml:space="preserve"> cuando sea por depósito o mediante información electrónica;</w:t>
      </w:r>
    </w:p>
    <w:p w:rsidR="009A3138" w:rsidRDefault="001D333F">
      <w:pPr>
        <w:tabs>
          <w:tab w:val="left" w:pos="9072"/>
        </w:tabs>
        <w:spacing w:beforeAutospacing="1" w:afterAutospacing="1"/>
        <w:ind w:left="851" w:right="900"/>
        <w:contextualSpacing/>
        <w:jc w:val="both"/>
        <w:rPr>
          <w:rFonts w:ascii="Palatino Linotype" w:hAnsi="Palatino Linotype"/>
          <w:bCs/>
          <w:i/>
          <w:sz w:val="22"/>
        </w:rPr>
      </w:pPr>
      <w:r>
        <w:rPr>
          <w:rFonts w:ascii="Palatino Linotype" w:hAnsi="Palatino Linotype"/>
          <w:bCs/>
          <w:i/>
          <w:sz w:val="22"/>
        </w:rPr>
        <w:t>…</w:t>
      </w:r>
    </w:p>
    <w:p w:rsidR="009A3138" w:rsidRDefault="001D333F">
      <w:pPr>
        <w:tabs>
          <w:tab w:val="left" w:pos="9072"/>
        </w:tabs>
        <w:spacing w:beforeAutospacing="1" w:afterAutospacing="1"/>
        <w:ind w:left="851" w:right="900"/>
        <w:contextualSpacing/>
        <w:jc w:val="both"/>
        <w:rPr>
          <w:rFonts w:ascii="Palatino Linotype" w:hAnsi="Palatino Linotype"/>
          <w:bCs/>
          <w:i/>
          <w:sz w:val="22"/>
        </w:rPr>
      </w:pPr>
      <w:r>
        <w:rPr>
          <w:rFonts w:ascii="Palatino Linotype" w:hAnsi="Palatino Linotype"/>
          <w:bCs/>
          <w:i/>
          <w:sz w:val="22"/>
        </w:rPr>
        <w:t xml:space="preserve">Los documentos señalados en la fracción I de este artículo, deberán conservarse mientras dure la relación laboral y hasta un año después; los señalados por las </w:t>
      </w:r>
      <w:r>
        <w:rPr>
          <w:rFonts w:ascii="Palatino Linotype" w:hAnsi="Palatino Linotype"/>
          <w:bCs/>
          <w:i/>
          <w:sz w:val="22"/>
        </w:rPr>
        <w:lastRenderedPageBreak/>
        <w:t>fracciones II, III, IV durante el último año y un año después de que se extinga la relación laboral, y los mencionados en la fracción V, conforme lo señalen las leyes que los rijan.</w:t>
      </w:r>
    </w:p>
    <w:p w:rsidR="009A3138" w:rsidRDefault="001D333F">
      <w:pPr>
        <w:tabs>
          <w:tab w:val="left" w:pos="9072"/>
        </w:tabs>
        <w:spacing w:beforeAutospacing="1" w:afterAutospacing="1"/>
        <w:ind w:left="851" w:right="900"/>
        <w:contextualSpacing/>
        <w:jc w:val="both"/>
        <w:rPr>
          <w:rFonts w:ascii="Palatino Linotype" w:hAnsi="Palatino Linotype"/>
          <w:bCs/>
          <w:i/>
          <w:sz w:val="22"/>
        </w:rPr>
      </w:pPr>
      <w:r>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Pr>
          <w:rFonts w:ascii="Palatino Linotype" w:hAnsi="Palatino Linotype"/>
          <w:b/>
          <w:bCs/>
          <w:i/>
          <w:sz w:val="22"/>
        </w:rPr>
        <w:t>”</w:t>
      </w:r>
    </w:p>
    <w:p w:rsidR="009A3138" w:rsidRDefault="009A3138">
      <w:pPr>
        <w:tabs>
          <w:tab w:val="left" w:pos="9072"/>
        </w:tabs>
        <w:spacing w:beforeAutospacing="1" w:afterAutospacing="1"/>
        <w:ind w:left="851" w:right="900"/>
        <w:contextualSpacing/>
        <w:jc w:val="both"/>
        <w:rPr>
          <w:rFonts w:ascii="Palatino Linotype" w:hAnsi="Palatino Linotype"/>
          <w:bCs/>
          <w:i/>
          <w:sz w:val="22"/>
        </w:rPr>
      </w:pPr>
    </w:p>
    <w:p w:rsidR="009A3138" w:rsidRDefault="001D333F">
      <w:pPr>
        <w:tabs>
          <w:tab w:val="left" w:pos="9072"/>
        </w:tabs>
        <w:spacing w:beforeAutospacing="1" w:afterAutospacing="1"/>
        <w:ind w:left="851" w:right="900"/>
        <w:contextualSpacing/>
        <w:jc w:val="both"/>
        <w:rPr>
          <w:rFonts w:ascii="Palatino Linotype" w:hAnsi="Palatino Linotype"/>
          <w:bCs/>
          <w:i/>
          <w:sz w:val="22"/>
        </w:rPr>
      </w:pPr>
      <w:r>
        <w:rPr>
          <w:rFonts w:ascii="Palatino Linotype" w:hAnsi="Palatino Linotype"/>
          <w:bCs/>
          <w:i/>
          <w:sz w:val="22"/>
        </w:rPr>
        <w:t>(Énfasis añadido)</w:t>
      </w:r>
    </w:p>
    <w:p w:rsidR="009A3138" w:rsidRDefault="009A3138">
      <w:pPr>
        <w:spacing w:beforeAutospacing="1" w:afterAutospacing="1" w:line="360" w:lineRule="auto"/>
        <w:ind w:right="49"/>
        <w:contextualSpacing/>
        <w:jc w:val="both"/>
        <w:rPr>
          <w:rFonts w:ascii="Palatino Linotype" w:hAnsi="Palatino Linotype" w:cs="Arial"/>
        </w:rPr>
      </w:pPr>
    </w:p>
    <w:p w:rsidR="009A3138" w:rsidRDefault="001D333F">
      <w:pPr>
        <w:spacing w:beforeAutospacing="1" w:afterAutospacing="1" w:line="360" w:lineRule="auto"/>
        <w:ind w:right="49"/>
        <w:contextualSpacing/>
        <w:jc w:val="both"/>
        <w:rPr>
          <w:rFonts w:ascii="Palatino Linotype" w:hAnsi="Palatino Linotype" w:cs="Arial"/>
        </w:rPr>
      </w:pPr>
      <w:r>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Pr>
          <w:rFonts w:ascii="Palatino Linotype" w:hAnsi="Palatino Linotype" w:cs="Arial"/>
          <w:b/>
        </w:rPr>
        <w:t>o mediante información electrónica</w:t>
      </w:r>
      <w:r>
        <w:rPr>
          <w:rFonts w:ascii="Palatino Linotype" w:hAnsi="Palatino Linotype" w:cs="Arial"/>
        </w:rPr>
        <w:t xml:space="preserve">, debiendo conservar dicha documentación </w:t>
      </w:r>
      <w:r>
        <w:rPr>
          <w:rFonts w:ascii="Palatino Linotype" w:hAnsi="Palatino Linotype" w:cs="Arial"/>
          <w:b/>
        </w:rPr>
        <w:t>durante el último año y un año después de que se extinga la relación laboral</w:t>
      </w:r>
      <w:r>
        <w:rPr>
          <w:rFonts w:ascii="Palatino Linotype" w:hAnsi="Palatino Linotype" w:cs="Arial"/>
        </w:rPr>
        <w:t xml:space="preserve"> a través de los sistemas de digitalización o de información magnética o electrónica.</w:t>
      </w:r>
    </w:p>
    <w:p w:rsidR="009A3138" w:rsidRDefault="009A3138">
      <w:pPr>
        <w:tabs>
          <w:tab w:val="right" w:leader="dot" w:pos="8505"/>
        </w:tabs>
        <w:spacing w:beforeAutospacing="1" w:afterAutospacing="1" w:line="360" w:lineRule="auto"/>
        <w:contextualSpacing/>
        <w:jc w:val="both"/>
        <w:rPr>
          <w:rFonts w:ascii="Palatino Linotype" w:hAnsi="Palatino Linotype"/>
          <w:color w:val="000000"/>
        </w:rPr>
      </w:pPr>
    </w:p>
    <w:p w:rsidR="009A3138" w:rsidRDefault="001D333F">
      <w:pPr>
        <w:tabs>
          <w:tab w:val="right" w:leader="dot" w:pos="8505"/>
        </w:tabs>
        <w:spacing w:beforeAutospacing="1" w:afterAutospacing="1" w:line="360" w:lineRule="auto"/>
        <w:contextualSpacing/>
        <w:jc w:val="both"/>
        <w:rPr>
          <w:rFonts w:ascii="Palatino Linotype" w:hAnsi="Palatino Linotype" w:cs="Arial"/>
          <w:bCs/>
          <w:color w:val="000000"/>
        </w:rPr>
      </w:pPr>
      <w:r>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Pr>
          <w:rStyle w:val="apple-style-span"/>
          <w:rFonts w:ascii="Palatino Linotype" w:hAnsi="Palatino Linotype" w:cs="Arial"/>
          <w:color w:val="000000"/>
        </w:rPr>
        <w:t>Ley de Fiscalización Superior del Estado de México</w:t>
      </w:r>
      <w:r>
        <w:rPr>
          <w:rStyle w:val="Ancladenotaalpie"/>
          <w:rFonts w:ascii="Palatino Linotype" w:hAnsi="Palatino Linotype" w:cs="Arial"/>
          <w:color w:val="000000"/>
        </w:rPr>
        <w:footnoteReference w:id="2"/>
      </w:r>
      <w:r>
        <w:rPr>
          <w:rStyle w:val="apple-style-span"/>
          <w:rFonts w:ascii="Palatino Linotype" w:hAnsi="Palatino Linotype" w:cs="Arial"/>
          <w:color w:val="000000"/>
        </w:rPr>
        <w:t xml:space="preserve">; razón por la cual, el Órgano Superior de Fiscalización de ésta Entidad, emite los </w:t>
      </w:r>
      <w:r>
        <w:rPr>
          <w:rStyle w:val="apple-style-span"/>
          <w:rFonts w:ascii="Palatino Linotype" w:hAnsi="Palatino Linotype" w:cs="Arial"/>
          <w:b/>
          <w:color w:val="000000"/>
        </w:rPr>
        <w:t>Lineamientos para la Integración del Informe Mensual</w:t>
      </w:r>
      <w:r>
        <w:rPr>
          <w:rStyle w:val="apple-style-span"/>
          <w:rFonts w:ascii="Palatino Linotype" w:hAnsi="Palatino Linotype" w:cs="Arial"/>
          <w:color w:val="000000"/>
        </w:rPr>
        <w:t xml:space="preserve">, en términos la fracción XI del artículo 8 de la Ley de Fiscalización Superior del Estado de México, que señala: </w:t>
      </w:r>
    </w:p>
    <w:p w:rsidR="009A3138" w:rsidRDefault="009A3138">
      <w:pPr>
        <w:spacing w:beforeAutospacing="1" w:afterAutospacing="1"/>
        <w:ind w:left="851" w:right="899"/>
        <w:contextualSpacing/>
        <w:jc w:val="both"/>
        <w:rPr>
          <w:rFonts w:ascii="Palatino Linotype" w:hAnsi="Palatino Linotype" w:cs="Arial"/>
          <w:b/>
          <w:bCs/>
          <w:i/>
          <w:sz w:val="22"/>
          <w:szCs w:val="22"/>
        </w:rPr>
      </w:pPr>
    </w:p>
    <w:p w:rsidR="009A3138" w:rsidRDefault="001D333F">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b/>
          <w:bCs/>
          <w:i/>
          <w:sz w:val="22"/>
          <w:szCs w:val="22"/>
        </w:rPr>
        <w:lastRenderedPageBreak/>
        <w:t xml:space="preserve">“Artículo 8. </w:t>
      </w:r>
      <w:r>
        <w:rPr>
          <w:rFonts w:ascii="Palatino Linotype" w:hAnsi="Palatino Linotype" w:cs="Arial"/>
          <w:i/>
          <w:sz w:val="22"/>
          <w:szCs w:val="22"/>
        </w:rPr>
        <w:t>El Órgano Superior tendrá las siguientes atribuciones:</w:t>
      </w:r>
    </w:p>
    <w:p w:rsidR="009A3138" w:rsidRDefault="001D333F">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w:t>
      </w:r>
    </w:p>
    <w:p w:rsidR="009A3138" w:rsidRDefault="001D333F">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b/>
          <w:bCs/>
          <w:i/>
          <w:sz w:val="22"/>
          <w:szCs w:val="22"/>
        </w:rPr>
        <w:t xml:space="preserve">XI. </w:t>
      </w:r>
      <w:r>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9A3138" w:rsidRDefault="001D333F">
      <w:pPr>
        <w:spacing w:beforeAutospacing="1" w:afterAutospacing="1"/>
        <w:ind w:left="851" w:right="899"/>
        <w:contextualSpacing/>
        <w:jc w:val="both"/>
        <w:rPr>
          <w:rFonts w:ascii="Palatino Linotype" w:hAnsi="Palatino Linotype" w:cs="Arial"/>
          <w:bCs/>
          <w:i/>
          <w:color w:val="000000"/>
          <w:sz w:val="22"/>
          <w:szCs w:val="22"/>
        </w:rPr>
      </w:pPr>
      <w:r>
        <w:rPr>
          <w:rStyle w:val="apple-style-span"/>
          <w:rFonts w:ascii="Palatino Linotype" w:hAnsi="Palatino Linotype" w:cs="Arial"/>
          <w:color w:val="000000"/>
          <w:sz w:val="22"/>
          <w:szCs w:val="22"/>
        </w:rPr>
        <w:t>…” (Sic)</w:t>
      </w:r>
    </w:p>
    <w:p w:rsidR="009A3138" w:rsidRDefault="009A3138">
      <w:pPr>
        <w:spacing w:beforeAutospacing="1" w:afterAutospacing="1" w:line="360" w:lineRule="auto"/>
        <w:contextualSpacing/>
        <w:jc w:val="both"/>
        <w:rPr>
          <w:rFonts w:ascii="Palatino Linotype" w:hAnsi="Palatino Linotype"/>
        </w:rPr>
      </w:pPr>
    </w:p>
    <w:p w:rsidR="009A3138" w:rsidRDefault="001D333F">
      <w:pPr>
        <w:spacing w:beforeAutospacing="1" w:afterAutospacing="1" w:line="360" w:lineRule="auto"/>
        <w:contextualSpacing/>
        <w:jc w:val="both"/>
        <w:rPr>
          <w:rFonts w:ascii="Palatino Linotype" w:hAnsi="Palatino Linotype"/>
        </w:rPr>
      </w:pPr>
      <w:r>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9A3138" w:rsidRDefault="009A3138">
      <w:pPr>
        <w:spacing w:beforeAutospacing="1" w:afterAutospacing="1" w:line="360" w:lineRule="auto"/>
        <w:contextualSpacing/>
        <w:jc w:val="both"/>
        <w:rPr>
          <w:rFonts w:ascii="Palatino Linotype" w:hAnsi="Palatino Linotype"/>
        </w:rPr>
      </w:pPr>
    </w:p>
    <w:p w:rsidR="009A3138" w:rsidRDefault="001D333F">
      <w:pPr>
        <w:spacing w:beforeAutospacing="1" w:afterAutospacing="1" w:line="360" w:lineRule="auto"/>
        <w:contextualSpacing/>
        <w:jc w:val="both"/>
        <w:rPr>
          <w:rFonts w:ascii="Palatino Linotype" w:hAnsi="Palatino Linotype"/>
        </w:rPr>
      </w:pPr>
      <w:r>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9A3138" w:rsidRDefault="009A3138">
      <w:pPr>
        <w:spacing w:beforeAutospacing="1" w:afterAutospacing="1"/>
        <w:ind w:left="851" w:right="760"/>
        <w:contextualSpacing/>
        <w:jc w:val="both"/>
        <w:rPr>
          <w:rFonts w:ascii="Palatino Linotype" w:hAnsi="Palatino Linotype"/>
          <w:b/>
          <w:i/>
          <w:sz w:val="22"/>
          <w:szCs w:val="22"/>
        </w:rPr>
      </w:pPr>
    </w:p>
    <w:p w:rsidR="009A3138" w:rsidRDefault="001D333F">
      <w:pPr>
        <w:spacing w:beforeAutospacing="1" w:afterAutospacing="1"/>
        <w:ind w:left="851" w:right="760"/>
        <w:contextualSpacing/>
        <w:jc w:val="both"/>
        <w:rPr>
          <w:rFonts w:ascii="Palatino Linotype" w:hAnsi="Palatino Linotype"/>
          <w:i/>
          <w:sz w:val="22"/>
          <w:szCs w:val="22"/>
        </w:rPr>
      </w:pPr>
      <w:r>
        <w:rPr>
          <w:rFonts w:ascii="Palatino Linotype" w:hAnsi="Palatino Linotype"/>
          <w:b/>
          <w:i/>
          <w:sz w:val="22"/>
          <w:szCs w:val="22"/>
        </w:rPr>
        <w:t>“Artículo 32.-</w:t>
      </w:r>
      <w:r>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9A3138" w:rsidRDefault="009A3138">
      <w:pPr>
        <w:spacing w:beforeAutospacing="1" w:afterAutospacing="1"/>
        <w:ind w:left="851" w:right="760"/>
        <w:contextualSpacing/>
        <w:jc w:val="both"/>
        <w:rPr>
          <w:rFonts w:ascii="Palatino Linotype" w:hAnsi="Palatino Linotype"/>
          <w:b/>
          <w:i/>
          <w:sz w:val="22"/>
          <w:szCs w:val="22"/>
        </w:rPr>
      </w:pPr>
    </w:p>
    <w:p w:rsidR="009A3138" w:rsidRDefault="001D333F">
      <w:pPr>
        <w:spacing w:beforeAutospacing="1" w:afterAutospacing="1"/>
        <w:ind w:left="851" w:right="760"/>
        <w:contextualSpacing/>
        <w:jc w:val="both"/>
        <w:rPr>
          <w:rFonts w:ascii="Palatino Linotype" w:hAnsi="Palatino Linotype"/>
          <w:b/>
          <w:i/>
          <w:sz w:val="22"/>
          <w:szCs w:val="22"/>
        </w:rPr>
      </w:pPr>
      <w:r>
        <w:rPr>
          <w:rFonts w:ascii="Palatino Linotype" w:hAnsi="Palatino Linotype"/>
          <w:b/>
          <w:i/>
          <w:sz w:val="22"/>
          <w:szCs w:val="22"/>
        </w:rPr>
        <w:t>Los Presidentes Municipales presentarán a la Legislatura las cuentas públicas anuales</w:t>
      </w:r>
      <w:r>
        <w:rPr>
          <w:rFonts w:ascii="Palatino Linotype" w:hAnsi="Palatino Linotype"/>
          <w:i/>
          <w:sz w:val="22"/>
          <w:szCs w:val="22"/>
        </w:rPr>
        <w:t xml:space="preserve"> de sus respectivos municipios, del ejercicio fiscal inmediato anterior, </w:t>
      </w:r>
      <w:r>
        <w:rPr>
          <w:rFonts w:ascii="Palatino Linotype" w:hAnsi="Palatino Linotype"/>
          <w:b/>
          <w:i/>
          <w:sz w:val="22"/>
          <w:szCs w:val="22"/>
        </w:rPr>
        <w:t>dentro de los quince primeros días del mes de marzo</w:t>
      </w:r>
      <w:r>
        <w:rPr>
          <w:rFonts w:ascii="Palatino Linotype" w:hAnsi="Palatino Linotype"/>
          <w:i/>
          <w:sz w:val="22"/>
          <w:szCs w:val="22"/>
        </w:rPr>
        <w:t xml:space="preserve"> de cada año; </w:t>
      </w:r>
      <w:r>
        <w:rPr>
          <w:rFonts w:ascii="Palatino Linotype" w:hAnsi="Palatino Linotype"/>
          <w:b/>
          <w:i/>
          <w:sz w:val="22"/>
          <w:szCs w:val="22"/>
        </w:rPr>
        <w:t>asimism</w:t>
      </w:r>
      <w:r>
        <w:rPr>
          <w:rFonts w:ascii="Palatino Linotype" w:hAnsi="Palatino Linotype"/>
          <w:i/>
          <w:sz w:val="22"/>
          <w:szCs w:val="22"/>
        </w:rPr>
        <w:t xml:space="preserve">o, </w:t>
      </w:r>
      <w:r>
        <w:rPr>
          <w:rFonts w:ascii="Palatino Linotype" w:hAnsi="Palatino Linotype"/>
          <w:b/>
          <w:i/>
          <w:sz w:val="22"/>
          <w:szCs w:val="22"/>
        </w:rPr>
        <w:t>los informes mensuales</w:t>
      </w:r>
      <w:r>
        <w:rPr>
          <w:rFonts w:ascii="Palatino Linotype" w:hAnsi="Palatino Linotype"/>
          <w:i/>
          <w:sz w:val="22"/>
          <w:szCs w:val="22"/>
        </w:rPr>
        <w:t xml:space="preserve"> los deberán presentar </w:t>
      </w:r>
      <w:r>
        <w:rPr>
          <w:rFonts w:ascii="Palatino Linotype" w:hAnsi="Palatino Linotype"/>
          <w:b/>
          <w:i/>
          <w:sz w:val="22"/>
          <w:szCs w:val="22"/>
        </w:rPr>
        <w:t>dentro de los veinte días posteriores al término del mes correspondiente.”</w:t>
      </w:r>
    </w:p>
    <w:p w:rsidR="009A3138" w:rsidRDefault="001D333F">
      <w:pPr>
        <w:spacing w:beforeAutospacing="1" w:afterAutospacing="1"/>
        <w:ind w:left="851" w:right="760"/>
        <w:contextualSpacing/>
        <w:jc w:val="both"/>
        <w:rPr>
          <w:rFonts w:ascii="Palatino Linotype" w:hAnsi="Palatino Linotype"/>
          <w:i/>
          <w:sz w:val="22"/>
          <w:szCs w:val="22"/>
        </w:rPr>
      </w:pPr>
      <w:r>
        <w:rPr>
          <w:rFonts w:ascii="Palatino Linotype" w:hAnsi="Palatino Linotype"/>
          <w:i/>
          <w:sz w:val="22"/>
          <w:szCs w:val="22"/>
        </w:rPr>
        <w:lastRenderedPageBreak/>
        <w:t>(Énfasis añadido)</w:t>
      </w:r>
    </w:p>
    <w:p w:rsidR="009A3138" w:rsidRDefault="009A3138">
      <w:pPr>
        <w:spacing w:beforeAutospacing="1" w:afterAutospacing="1" w:line="360" w:lineRule="auto"/>
        <w:ind w:right="-91"/>
        <w:contextualSpacing/>
        <w:jc w:val="both"/>
        <w:rPr>
          <w:rFonts w:ascii="Palatino Linotype" w:hAnsi="Palatino Linotype"/>
        </w:rPr>
      </w:pPr>
    </w:p>
    <w:p w:rsidR="009A3138" w:rsidRDefault="001D333F">
      <w:pPr>
        <w:spacing w:beforeAutospacing="1" w:afterAutospacing="1" w:line="360" w:lineRule="auto"/>
        <w:ind w:right="-91"/>
        <w:contextualSpacing/>
        <w:jc w:val="both"/>
        <w:rPr>
          <w:rFonts w:ascii="Palatino Linotype" w:hAnsi="Palatino Linotype"/>
          <w:color w:val="000000"/>
          <w:lang w:val="es-ES"/>
        </w:rPr>
      </w:pPr>
      <w:r>
        <w:rPr>
          <w:rFonts w:ascii="Palatino Linotype" w:hAnsi="Palatino Linotype"/>
        </w:rPr>
        <w:t xml:space="preserve">Por ello, la información </w:t>
      </w:r>
      <w:r>
        <w:rPr>
          <w:rFonts w:ascii="Palatino Linotype" w:hAnsi="Palatino Linotype"/>
          <w:b/>
        </w:rPr>
        <w:t>documental comprobatoria</w:t>
      </w:r>
      <w:r>
        <w:rPr>
          <w:rFonts w:ascii="Palatino Linotype" w:hAnsi="Palatino Linotype"/>
        </w:rPr>
        <w:t xml:space="preserve">, </w:t>
      </w:r>
      <w:r>
        <w:rPr>
          <w:rFonts w:ascii="Palatino Linotype" w:hAnsi="Palatino Linotype"/>
          <w:b/>
        </w:rPr>
        <w:t>deberá conservarse en los archivos de la entidad fiscalizada –Municipio</w:t>
      </w:r>
      <w:r>
        <w:rPr>
          <w:rFonts w:ascii="Palatino Linotype" w:hAnsi="Palatino Linotype"/>
        </w:rPr>
        <w:t xml:space="preserve">-, en original y debidamente integrada en términos de los lineamientos de referencia, pues son susceptibles de revisión directa por el </w:t>
      </w:r>
      <w:r>
        <w:rPr>
          <w:rFonts w:ascii="Palatino Linotype" w:hAnsi="Palatino Linotype"/>
          <w:color w:val="000000"/>
          <w:lang w:val="es-ES"/>
        </w:rPr>
        <w:t>OSFEM</w:t>
      </w:r>
      <w:r>
        <w:rPr>
          <w:rFonts w:ascii="Palatino Linotype" w:hAnsi="Palatino Linotype"/>
        </w:rPr>
        <w:t xml:space="preserve">; así que, </w:t>
      </w:r>
      <w:r>
        <w:rPr>
          <w:rFonts w:ascii="Palatino Linotype" w:hAnsi="Palatino Linotype"/>
          <w:color w:val="000000"/>
          <w:lang w:val="es-ES"/>
        </w:rPr>
        <w:t xml:space="preserve">para la Integración del Informe Mensual 2019, dichos lineamientos se encuentran visibles en la página oficial del OSFEM en el sitio de internet </w:t>
      </w:r>
      <w:r>
        <w:rPr>
          <w:rFonts w:ascii="Palatino Linotype" w:hAnsi="Palatino Linotype"/>
          <w:i/>
          <w:spacing w:val="-14"/>
          <w:lang w:val="es-ES"/>
        </w:rPr>
        <w:t>https://www.osfem.gob.mx/04_Normatividad/doc/Normatividad/2018/03_LinElabyPresInfoMenMpal19.pdf</w:t>
      </w:r>
      <w:r>
        <w:rPr>
          <w:rFonts w:ascii="Palatino Linotype" w:hAnsi="Palatino Linotype"/>
          <w:color w:val="000000"/>
          <w:lang w:val="es-ES"/>
        </w:rPr>
        <w:t xml:space="preserve"> destacando que dentro de los informes mensuales que </w:t>
      </w:r>
      <w:r>
        <w:rPr>
          <w:rFonts w:ascii="Palatino Linotype" w:hAnsi="Palatino Linotype"/>
          <w:b/>
          <w:color w:val="000000"/>
          <w:lang w:val="es-ES"/>
        </w:rPr>
        <w:t xml:space="preserve">EL SUJETO OBLIGADO </w:t>
      </w:r>
      <w:r>
        <w:rPr>
          <w:rFonts w:ascii="Palatino Linotype" w:hAnsi="Palatino Linotype"/>
          <w:color w:val="000000"/>
          <w:lang w:val="es-ES"/>
        </w:rPr>
        <w:t xml:space="preserve">tiene la obligación de rendir, se contempla precisamente la presentación de la Información referente a la Nómina y a los Comprobantes Fiscales Digitales por Internet, tal y como se muestra en las imágenes siguientes: </w:t>
      </w:r>
    </w:p>
    <w:p w:rsidR="009A3138" w:rsidRDefault="009A3138">
      <w:pPr>
        <w:spacing w:beforeAutospacing="1" w:afterAutospacing="1" w:line="360" w:lineRule="auto"/>
        <w:ind w:right="-91"/>
        <w:contextualSpacing/>
        <w:jc w:val="both"/>
        <w:rPr>
          <w:rFonts w:ascii="Palatino Linotype" w:hAnsi="Palatino Linotype"/>
          <w:color w:val="000000"/>
          <w:lang w:val="es-ES"/>
        </w:rPr>
      </w:pPr>
    </w:p>
    <w:p w:rsidR="009A3138" w:rsidRDefault="0093673D">
      <w:pPr>
        <w:widowControl w:val="0"/>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0" distR="0" simplePos="0" relativeHeight="95" behindDoc="0" locked="0" layoutInCell="1" allowOverlap="1" wp14:anchorId="1BF2D00E">
                <wp:simplePos x="0" y="0"/>
                <wp:positionH relativeFrom="column">
                  <wp:posOffset>205740</wp:posOffset>
                </wp:positionH>
                <wp:positionV relativeFrom="paragraph">
                  <wp:posOffset>2114550</wp:posOffset>
                </wp:positionV>
                <wp:extent cx="5768975" cy="1343025"/>
                <wp:effectExtent l="19050" t="19050" r="22225" b="28575"/>
                <wp:wrapNone/>
                <wp:docPr id="8" name="Conector recto 10"/>
                <wp:cNvGraphicFramePr/>
                <a:graphic xmlns:a="http://schemas.openxmlformats.org/drawingml/2006/main">
                  <a:graphicData uri="http://schemas.microsoft.com/office/word/2010/wordprocessingShape">
                    <wps:wsp>
                      <wps:cNvCnPr/>
                      <wps:spPr>
                        <a:xfrm>
                          <a:off x="0" y="0"/>
                          <a:ext cx="5768975" cy="1343025"/>
                        </a:xfrm>
                        <a:prstGeom prst="line">
                          <a:avLst/>
                        </a:prstGeom>
                        <a:ln w="28575"/>
                      </wps:spPr>
                      <wps:style>
                        <a:lnRef idx="1">
                          <a:schemeClr val="accent1"/>
                        </a:lnRef>
                        <a:fillRef idx="0">
                          <a:schemeClr val="accent1"/>
                        </a:fillRef>
                        <a:effectRef idx="0">
                          <a:schemeClr val="accent1"/>
                        </a:effectRef>
                        <a:fontRef idx="minor"/>
                      </wps:style>
                      <wps:bodyPr/>
                    </wps:wsp>
                  </a:graphicData>
                </a:graphic>
                <wp14:sizeRelV relativeFrom="margin">
                  <wp14:pctHeight>0</wp14:pctHeight>
                </wp14:sizeRelV>
              </wp:anchor>
            </w:drawing>
          </mc:Choice>
          <mc:Fallback>
            <w:pict>
              <v:line w14:anchorId="1C9C251B" id="Conector recto 10" o:spid="_x0000_s1026" style="position:absolute;z-index:9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16.2pt,166.5pt" to="470.4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" strokecolor="#4579b8 [3044]" strokeweight="2.25pt"/>
            </w:pict>
          </mc:Fallback>
        </mc:AlternateContent>
      </w:r>
      <w:r w:rsidR="001D333F">
        <w:rPr>
          <w:noProof/>
          <w:lang w:eastAsia="es-MX"/>
        </w:rPr>
        <w:drawing>
          <wp:inline distT="0" distB="0" distL="0" distR="0">
            <wp:extent cx="5501640" cy="2040890"/>
            <wp:effectExtent l="0" t="0" r="0" b="0"/>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pic:cNvPicPr>
                      <a:picLocks noChangeAspect="1" noChangeArrowheads="1"/>
                    </pic:cNvPicPr>
                  </pic:nvPicPr>
                  <pic:blipFill>
                    <a:blip r:embed="rId16"/>
                    <a:srcRect l="34055" t="53221" r="35246" b="20857"/>
                    <a:stretch>
                      <a:fillRect/>
                    </a:stretch>
                  </pic:blipFill>
                  <pic:spPr bwMode="auto">
                    <a:xfrm>
                      <a:off x="0" y="0"/>
                      <a:ext cx="5501640" cy="2040890"/>
                    </a:xfrm>
                    <a:prstGeom prst="rect">
                      <a:avLst/>
                    </a:prstGeom>
                  </pic:spPr>
                </pic:pic>
              </a:graphicData>
            </a:graphic>
          </wp:inline>
        </w:drawing>
      </w:r>
      <w:r w:rsidR="001D333F">
        <w:rPr>
          <w:noProof/>
          <w:lang w:eastAsia="es-MX"/>
        </w:rPr>
        <mc:AlternateContent>
          <mc:Choice Requires="wps">
            <w:drawing>
              <wp:anchor distT="0" distB="0" distL="0" distR="0" simplePos="0" relativeHeight="93" behindDoc="0" locked="0" layoutInCell="1" allowOverlap="1" wp14:anchorId="1E902A32">
                <wp:simplePos x="0" y="0"/>
                <wp:positionH relativeFrom="column">
                  <wp:posOffset>81280</wp:posOffset>
                </wp:positionH>
                <wp:positionV relativeFrom="paragraph">
                  <wp:posOffset>936625</wp:posOffset>
                </wp:positionV>
                <wp:extent cx="2177415" cy="230505"/>
                <wp:effectExtent l="19050" t="19050" r="14605" b="17780"/>
                <wp:wrapNone/>
                <wp:docPr id="6" name="Rectángulo 3"/>
                <wp:cNvGraphicFramePr/>
                <a:graphic xmlns:a="http://schemas.openxmlformats.org/drawingml/2006/main">
                  <a:graphicData uri="http://schemas.microsoft.com/office/word/2010/wordprocessingShape">
                    <wps:wsp>
                      <wps:cNvSpPr/>
                      <wps:spPr>
                        <a:xfrm>
                          <a:off x="0" y="0"/>
                          <a:ext cx="2176920" cy="230040"/>
                        </a:xfrm>
                        <a:prstGeom prst="rect">
                          <a:avLst/>
                        </a:prstGeom>
                        <a:noFill/>
                        <a:ln w="28440"/>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stroked="t" style="position:absolute;margin-left:6.4pt;margin-top:73.75pt;width:171.35pt;height:18.05pt" wp14:anchorId="1E902A32">
                <w10:wrap type="none"/>
                <v:fill o:detectmouseclick="t" on="false"/>
                <v:stroke color="#43729d" weight="28440" joinstyle="miter" endcap="flat"/>
              </v:rect>
            </w:pict>
          </mc:Fallback>
        </mc:AlternateContent>
      </w:r>
    </w:p>
    <w:p w:rsidR="009A3138" w:rsidRDefault="009A3138">
      <w:pPr>
        <w:widowControl w:val="0"/>
        <w:spacing w:beforeAutospacing="1" w:afterAutospacing="1" w:line="360" w:lineRule="auto"/>
        <w:contextualSpacing/>
        <w:jc w:val="both"/>
        <w:rPr>
          <w:rFonts w:ascii="Palatino Linotype" w:eastAsia="Calibri" w:hAnsi="Palatino Linotype" w:cs="Arial"/>
        </w:rPr>
      </w:pPr>
    </w:p>
    <w:p w:rsidR="009A3138" w:rsidRDefault="001D333F">
      <w:pPr>
        <w:widowControl w:val="0"/>
        <w:spacing w:beforeAutospacing="1" w:afterAutospacing="1" w:line="360" w:lineRule="auto"/>
        <w:contextualSpacing/>
        <w:jc w:val="both"/>
        <w:rPr>
          <w:rFonts w:ascii="Palatino Linotype" w:eastAsia="Calibri" w:hAnsi="Palatino Linotype" w:cs="Arial"/>
        </w:rPr>
      </w:pPr>
      <w:r>
        <w:rPr>
          <w:noProof/>
          <w:lang w:eastAsia="es-MX"/>
        </w:rPr>
        <w:lastRenderedPageBreak/>
        <w:drawing>
          <wp:inline distT="0" distB="0" distL="0" distR="0">
            <wp:extent cx="5683250" cy="3938270"/>
            <wp:effectExtent l="0" t="0" r="0" b="0"/>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2"/>
                    <pic:cNvPicPr>
                      <a:picLocks noChangeAspect="1" noChangeArrowheads="1"/>
                    </pic:cNvPicPr>
                  </pic:nvPicPr>
                  <pic:blipFill>
                    <a:blip r:embed="rId17"/>
                    <a:srcRect l="15201" t="19272" r="15376" b="16217"/>
                    <a:stretch>
                      <a:fillRect/>
                    </a:stretch>
                  </pic:blipFill>
                  <pic:spPr bwMode="auto">
                    <a:xfrm>
                      <a:off x="0" y="0"/>
                      <a:ext cx="5683250" cy="3938270"/>
                    </a:xfrm>
                    <a:prstGeom prst="rect">
                      <a:avLst/>
                    </a:prstGeom>
                  </pic:spPr>
                </pic:pic>
              </a:graphicData>
            </a:graphic>
          </wp:inline>
        </w:drawing>
      </w:r>
      <w:r>
        <w:rPr>
          <w:noProof/>
          <w:lang w:eastAsia="es-MX"/>
        </w:rPr>
        <mc:AlternateContent>
          <mc:Choice Requires="wps">
            <w:drawing>
              <wp:anchor distT="0" distB="0" distL="0" distR="0" simplePos="0" relativeHeight="94" behindDoc="0" locked="0" layoutInCell="1" allowOverlap="1" wp14:anchorId="0921F96B">
                <wp:simplePos x="0" y="0"/>
                <wp:positionH relativeFrom="column">
                  <wp:posOffset>47625</wp:posOffset>
                </wp:positionH>
                <wp:positionV relativeFrom="paragraph">
                  <wp:posOffset>2685415</wp:posOffset>
                </wp:positionV>
                <wp:extent cx="5492750" cy="752475"/>
                <wp:effectExtent l="19050" t="19050" r="13970" b="10795"/>
                <wp:wrapNone/>
                <wp:docPr id="9" name="Rectángulo 5"/>
                <wp:cNvGraphicFramePr/>
                <a:graphic xmlns:a="http://schemas.openxmlformats.org/drawingml/2006/main">
                  <a:graphicData uri="http://schemas.microsoft.com/office/word/2010/wordprocessingShape">
                    <wps:wsp>
                      <wps:cNvSpPr/>
                      <wps:spPr>
                        <a:xfrm>
                          <a:off x="0" y="0"/>
                          <a:ext cx="5492160" cy="751680"/>
                        </a:xfrm>
                        <a:prstGeom prst="rect">
                          <a:avLst/>
                        </a:prstGeom>
                        <a:noFill/>
                        <a:ln w="28440"/>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5" stroked="t" style="position:absolute;margin-left:3.75pt;margin-top:211.45pt;width:432.4pt;height:59.15pt" wp14:anchorId="0921F96B">
                <w10:wrap type="none"/>
                <v:fill o:detectmouseclick="t" on="false"/>
                <v:stroke color="#43729d" weight="28440" joinstyle="miter" endcap="flat"/>
              </v:rect>
            </w:pict>
          </mc:Fallback>
        </mc:AlternateContent>
      </w:r>
    </w:p>
    <w:p w:rsidR="009A3138" w:rsidRDefault="009A3138">
      <w:pPr>
        <w:spacing w:beforeAutospacing="1" w:afterAutospacing="1" w:line="360" w:lineRule="auto"/>
        <w:contextualSpacing/>
        <w:jc w:val="both"/>
        <w:rPr>
          <w:rFonts w:ascii="Palatino Linotype" w:hAnsi="Palatino Linotype" w:cs="Arial"/>
          <w:lang w:val="es-ES"/>
        </w:rPr>
      </w:pPr>
    </w:p>
    <w:p w:rsidR="009A3138" w:rsidRDefault="001D333F">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t xml:space="preserve">Atento a lo anterior, resulta claro que existe fuente obligacional que constriñe al </w:t>
      </w:r>
      <w:r>
        <w:rPr>
          <w:rFonts w:ascii="Palatino Linotype" w:hAnsi="Palatino Linotype" w:cs="Arial"/>
          <w:b/>
          <w:lang w:val="es-ES"/>
        </w:rPr>
        <w:t>SUJETO OBLIGADO</w:t>
      </w:r>
      <w:r>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Pr>
          <w:rFonts w:ascii="Palatino Linotype" w:hAnsi="Palatino Linotype" w:cs="Arial"/>
          <w:b/>
          <w:lang w:val="es-ES"/>
        </w:rPr>
        <w:t>los comprobantes fiscales por internet por concepto de nómina,</w:t>
      </w:r>
      <w:r>
        <w:rPr>
          <w:rFonts w:ascii="Palatino Linotype" w:hAnsi="Palatino Linotype" w:cs="Arial"/>
          <w:i/>
          <w:lang w:val="es-ES"/>
        </w:rPr>
        <w:t xml:space="preserve"> </w:t>
      </w:r>
      <w:r>
        <w:rPr>
          <w:rFonts w:ascii="Palatino Linotype" w:hAnsi="Palatino Linotype" w:cs="Arial"/>
          <w:lang w:val="es-ES"/>
        </w:rPr>
        <w:t>mismos que a su vez se equiparan a los recibos de nómina de los servidores públicos; pues en ellos se comprende la información relativa al pago de las remuneraciones que reciben correspondiente a un periodo determinado.</w:t>
      </w:r>
    </w:p>
    <w:p w:rsidR="009A3138" w:rsidRDefault="009A3138">
      <w:pPr>
        <w:spacing w:beforeAutospacing="1" w:afterAutospacing="1" w:line="360" w:lineRule="auto"/>
        <w:contextualSpacing/>
        <w:jc w:val="both"/>
        <w:rPr>
          <w:rFonts w:ascii="Palatino Linotype" w:hAnsi="Palatino Linotype" w:cs="Arial"/>
          <w:lang w:val="es-ES"/>
        </w:rPr>
      </w:pPr>
    </w:p>
    <w:p w:rsidR="009A3138" w:rsidRDefault="001D333F">
      <w:pPr>
        <w:spacing w:beforeAutospacing="1" w:afterAutospacing="1" w:line="360" w:lineRule="auto"/>
        <w:contextualSpacing/>
        <w:jc w:val="both"/>
        <w:rPr>
          <w:rFonts w:ascii="Palatino Linotype" w:hAnsi="Palatino Linotype" w:cs="Arial"/>
          <w:bCs/>
          <w:lang w:val="es-ES"/>
        </w:rPr>
      </w:pPr>
      <w:r>
        <w:rPr>
          <w:rFonts w:ascii="Palatino Linotype" w:hAnsi="Palatino Linotype" w:cs="Arial"/>
          <w:lang w:val="es-ES"/>
        </w:rPr>
        <w:t>En este sentido, de acuerdo a la naturaleza de la información solicitada se concluye que ésta es de</w:t>
      </w:r>
      <w:r>
        <w:rPr>
          <w:rFonts w:ascii="Palatino Linotype" w:hAnsi="Palatino Linotype" w:cs="Arial"/>
          <w:bCs/>
          <w:lang w:val="es-ES"/>
        </w:rPr>
        <w:t xml:space="preserve"> interés general y de alcance público, puesto que la ciudadanía tiene derecho </w:t>
      </w:r>
      <w:r>
        <w:rPr>
          <w:rFonts w:ascii="Palatino Linotype" w:hAnsi="Palatino Linotype" w:cs="Arial"/>
          <w:bCs/>
          <w:lang w:val="es-ES"/>
        </w:rPr>
        <w:lastRenderedPageBreak/>
        <w:t>a saber cuánto es el gasto ejercido para el pago de remuneraciones por servicios personales al realizar las funciones públicas, esto es, su acceso</w:t>
      </w:r>
      <w:r>
        <w:rPr>
          <w:rFonts w:ascii="Palatino Linotype" w:hAnsi="Palatino Linotype" w:cs="Arial"/>
          <w:lang w:val="es-ES"/>
        </w:rPr>
        <w:t xml:space="preserve"> </w:t>
      </w:r>
      <w:r>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9A3138" w:rsidRDefault="009A3138">
      <w:pPr>
        <w:spacing w:beforeAutospacing="1" w:afterAutospacing="1" w:line="360" w:lineRule="auto"/>
        <w:contextualSpacing/>
        <w:jc w:val="both"/>
        <w:rPr>
          <w:rFonts w:ascii="Palatino Linotype" w:hAnsi="Palatino Linotype" w:cs="Arial"/>
          <w:lang w:val="es-ES"/>
        </w:rPr>
      </w:pPr>
    </w:p>
    <w:p w:rsidR="009A3138" w:rsidRDefault="001D333F">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9A3138" w:rsidRDefault="009A3138">
      <w:pPr>
        <w:spacing w:beforeAutospacing="1" w:afterAutospacing="1"/>
        <w:ind w:left="709" w:right="760"/>
        <w:contextualSpacing/>
        <w:jc w:val="center"/>
        <w:rPr>
          <w:rFonts w:ascii="Palatino Linotype" w:hAnsi="Palatino Linotype" w:cs="Arial"/>
          <w:b/>
          <w:i/>
          <w:sz w:val="22"/>
          <w:lang w:val="es-ES"/>
        </w:rPr>
      </w:pPr>
    </w:p>
    <w:p w:rsidR="009A3138" w:rsidRDefault="001D333F">
      <w:pPr>
        <w:spacing w:beforeAutospacing="1" w:afterAutospacing="1"/>
        <w:ind w:left="709" w:right="760"/>
        <w:contextualSpacing/>
        <w:jc w:val="center"/>
        <w:rPr>
          <w:rFonts w:ascii="Palatino Linotype" w:hAnsi="Palatino Linotype" w:cs="Arial"/>
          <w:b/>
          <w:i/>
          <w:sz w:val="22"/>
          <w:lang w:val="es-ES"/>
        </w:rPr>
      </w:pPr>
      <w:r>
        <w:rPr>
          <w:rFonts w:ascii="Palatino Linotype" w:hAnsi="Palatino Linotype" w:cs="Arial"/>
          <w:b/>
          <w:i/>
          <w:sz w:val="22"/>
          <w:lang w:val="es-ES"/>
        </w:rPr>
        <w:t>“Criterio 01/2003.</w:t>
      </w:r>
    </w:p>
    <w:p w:rsidR="009A3138" w:rsidRDefault="001D333F">
      <w:pPr>
        <w:spacing w:beforeAutospacing="1" w:afterAutospacing="1"/>
        <w:ind w:left="709" w:right="760"/>
        <w:contextualSpacing/>
        <w:jc w:val="both"/>
        <w:rPr>
          <w:rFonts w:ascii="Palatino Linotype" w:hAnsi="Palatino Linotype" w:cs="Arial"/>
          <w:i/>
          <w:sz w:val="22"/>
          <w:lang w:val="es-ES"/>
        </w:rPr>
      </w:pPr>
      <w:r>
        <w:rPr>
          <w:rFonts w:ascii="Palatino Linotype" w:hAnsi="Palatino Linotype" w:cs="Arial"/>
          <w:b/>
          <w:i/>
          <w:sz w:val="22"/>
          <w:lang w:val="es-ES"/>
        </w:rPr>
        <w:t>“INGRESOS DE LOS SERVIDORES PÚBLICOS. CONSTITUYEN INFORMACIÓN PÚBLICA AÚN Y CUANDO SU DIFUSIÓN PUEDE AFECTAR LA VIDA O LA SEGURIDAD DE AQUELLOS.</w:t>
      </w:r>
      <w:r>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hAnsi="Palatino Linotype" w:cs="Arial"/>
          <w:b/>
          <w:i/>
          <w:sz w:val="22"/>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w:t>
      </w:r>
      <w:r>
        <w:rPr>
          <w:rFonts w:ascii="Palatino Linotype" w:hAnsi="Palatino Linotype" w:cs="Arial"/>
          <w:b/>
          <w:i/>
          <w:sz w:val="22"/>
          <w:lang w:val="es-ES"/>
        </w:rPr>
        <w:lastRenderedPageBreak/>
        <w:t>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 w:val="22"/>
          <w:lang w:val="es-ES"/>
        </w:rPr>
        <w:t>…”</w:t>
      </w:r>
    </w:p>
    <w:p w:rsidR="009A3138" w:rsidRDefault="009A3138">
      <w:pPr>
        <w:spacing w:beforeAutospacing="1" w:afterAutospacing="1"/>
        <w:ind w:left="709" w:right="760"/>
        <w:contextualSpacing/>
        <w:jc w:val="both"/>
        <w:rPr>
          <w:rFonts w:ascii="Palatino Linotype" w:hAnsi="Palatino Linotype" w:cs="Arial"/>
          <w:i/>
          <w:sz w:val="22"/>
          <w:lang w:val="es-ES"/>
        </w:rPr>
      </w:pPr>
    </w:p>
    <w:p w:rsidR="009A3138" w:rsidRDefault="009A3138">
      <w:pPr>
        <w:spacing w:beforeAutospacing="1" w:afterAutospacing="1"/>
        <w:ind w:left="709" w:right="760"/>
        <w:contextualSpacing/>
        <w:jc w:val="center"/>
        <w:rPr>
          <w:rFonts w:ascii="Palatino Linotype" w:hAnsi="Palatino Linotype" w:cs="Arial"/>
          <w:b/>
          <w:i/>
          <w:sz w:val="22"/>
          <w:lang w:val="es-ES"/>
        </w:rPr>
      </w:pPr>
    </w:p>
    <w:p w:rsidR="009A3138" w:rsidRDefault="001D333F">
      <w:pPr>
        <w:spacing w:beforeAutospacing="1" w:afterAutospacing="1"/>
        <w:ind w:left="709" w:right="760"/>
        <w:contextualSpacing/>
        <w:jc w:val="center"/>
        <w:rPr>
          <w:rFonts w:ascii="Palatino Linotype" w:hAnsi="Palatino Linotype" w:cs="Arial"/>
          <w:b/>
          <w:i/>
          <w:sz w:val="22"/>
          <w:lang w:val="es-ES"/>
        </w:rPr>
      </w:pPr>
      <w:r>
        <w:rPr>
          <w:rFonts w:ascii="Palatino Linotype" w:hAnsi="Palatino Linotype" w:cs="Arial"/>
          <w:b/>
          <w:i/>
          <w:sz w:val="22"/>
          <w:lang w:val="es-ES"/>
        </w:rPr>
        <w:t>“Criterio 02/2003.</w:t>
      </w:r>
    </w:p>
    <w:p w:rsidR="009A3138" w:rsidRDefault="001D333F">
      <w:pPr>
        <w:spacing w:beforeAutospacing="1" w:afterAutospacing="1"/>
        <w:ind w:left="709" w:right="760"/>
        <w:contextualSpacing/>
        <w:jc w:val="both"/>
        <w:rPr>
          <w:rFonts w:ascii="Palatino Linotype" w:hAnsi="Palatino Linotype" w:cs="Arial"/>
          <w:i/>
          <w:sz w:val="22"/>
          <w:lang w:val="es-ES"/>
        </w:rPr>
      </w:pPr>
      <w:r>
        <w:rPr>
          <w:rFonts w:ascii="Palatino Linotype" w:hAnsi="Palatino Linotype" w:cs="Arial"/>
          <w:b/>
          <w:i/>
          <w:sz w:val="22"/>
          <w:lang w:val="es-ES"/>
        </w:rPr>
        <w:t>INGRESOS DE LOS SERVIDORES PÚBLICOS, SON INFORMACIÓN PÚBLICA AÚN Y CUANDO CONSTITUYEN DATOS PERSONALES QUE SE REFIEREN AL PATRIMONIO DE AQUÉLLOS.</w:t>
      </w:r>
      <w:r>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 w:val="22"/>
          <w:lang w:val="es-ES"/>
        </w:rPr>
        <w:t xml:space="preserve"> el sistema de compensación…”</w:t>
      </w:r>
    </w:p>
    <w:p w:rsidR="009A3138" w:rsidRDefault="009A3138">
      <w:pPr>
        <w:spacing w:beforeAutospacing="1" w:afterAutospacing="1"/>
        <w:ind w:left="709" w:right="760"/>
        <w:contextualSpacing/>
        <w:jc w:val="both"/>
        <w:rPr>
          <w:rFonts w:ascii="Palatino Linotype" w:hAnsi="Palatino Linotype" w:cs="Arial"/>
          <w:i/>
          <w:sz w:val="22"/>
          <w:lang w:val="es-ES"/>
        </w:rPr>
      </w:pPr>
    </w:p>
    <w:p w:rsidR="009A3138" w:rsidRDefault="001D333F">
      <w:pPr>
        <w:spacing w:beforeAutospacing="1" w:afterAutospacing="1"/>
        <w:ind w:left="709" w:right="760"/>
        <w:contextualSpacing/>
        <w:jc w:val="both"/>
        <w:rPr>
          <w:rFonts w:ascii="Palatino Linotype" w:hAnsi="Palatino Linotype" w:cs="Arial"/>
          <w:i/>
          <w:sz w:val="22"/>
          <w:lang w:val="es-ES"/>
        </w:rPr>
      </w:pPr>
      <w:r>
        <w:rPr>
          <w:rFonts w:ascii="Palatino Linotype" w:hAnsi="Palatino Linotype" w:cs="Arial"/>
          <w:i/>
          <w:sz w:val="22"/>
          <w:lang w:val="es-ES"/>
        </w:rPr>
        <w:t>(Énfasis añadido)</w:t>
      </w:r>
    </w:p>
    <w:p w:rsidR="009A3138" w:rsidRDefault="009A3138">
      <w:pPr>
        <w:spacing w:beforeAutospacing="1" w:afterAutospacing="1" w:line="360" w:lineRule="auto"/>
        <w:contextualSpacing/>
        <w:jc w:val="both"/>
        <w:rPr>
          <w:rFonts w:ascii="Palatino Linotype" w:hAnsi="Palatino Linotype" w:cs="Arial"/>
          <w:lang w:val="es-ES"/>
        </w:rPr>
      </w:pPr>
    </w:p>
    <w:p w:rsidR="009A3138" w:rsidRDefault="001D333F">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t xml:space="preserve">En este sentido, </w:t>
      </w:r>
      <w:r>
        <w:rPr>
          <w:rFonts w:ascii="Palatino Linotype" w:hAnsi="Palatino Linotype" w:cs="Arial"/>
          <w:b/>
          <w:lang w:val="es-ES"/>
        </w:rPr>
        <w:t>EL SUJETO OBLIGADO</w:t>
      </w:r>
      <w:r>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EL RECURRENTE</w:t>
      </w:r>
      <w:r>
        <w:rPr>
          <w:rFonts w:ascii="Palatino Linotype" w:hAnsi="Palatino Linotype" w:cs="Arial"/>
          <w:lang w:val="es-ES"/>
        </w:rPr>
        <w:t xml:space="preserve">, de acuerdo a lo dispuesto por los artículos 3, fracción XI, 12 y 92, fracción VIII </w:t>
      </w:r>
      <w:r>
        <w:rPr>
          <w:rStyle w:val="Ancladenotaalpie"/>
          <w:rFonts w:ascii="Palatino Linotype" w:hAnsi="Palatino Linotype" w:cs="Arial"/>
          <w:bCs/>
          <w:lang w:val="es-ES"/>
        </w:rPr>
        <w:footnoteReference w:id="3"/>
      </w:r>
      <w:r>
        <w:rPr>
          <w:rFonts w:ascii="Palatino Linotype" w:hAnsi="Palatino Linotype" w:cs="Arial"/>
          <w:bCs/>
          <w:lang w:val="es-ES"/>
        </w:rPr>
        <w:t>de la Ley de Transparencia y Acceso a la Información Pública del Estado de México y Municipios</w:t>
      </w:r>
      <w:r>
        <w:rPr>
          <w:rFonts w:ascii="Palatino Linotype" w:hAnsi="Palatino Linotype" w:cs="Arial"/>
          <w:lang w:val="es-ES"/>
        </w:rPr>
        <w:t xml:space="preserve">, de los cuales se desprende que es información pública la contenida en los documentos que los Sujetos Obligados generen, administren o se encuentre en su posesión en ejercicio de sus atribuciones, así </w:t>
      </w:r>
      <w:r>
        <w:rPr>
          <w:rFonts w:ascii="Palatino Linotype" w:hAnsi="Palatino Linotype" w:cs="Arial"/>
          <w:lang w:val="es-ES"/>
        </w:rPr>
        <w:lastRenderedPageBreak/>
        <w:t>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9A3138" w:rsidRDefault="009A3138">
      <w:pPr>
        <w:spacing w:beforeAutospacing="1" w:afterAutospacing="1" w:line="360" w:lineRule="auto"/>
        <w:contextualSpacing/>
        <w:jc w:val="both"/>
        <w:rPr>
          <w:rFonts w:ascii="Palatino Linotype" w:hAnsi="Palatino Linotype" w:cs="Arial"/>
          <w:bCs/>
          <w:lang w:val="es-ES"/>
        </w:rPr>
      </w:pPr>
    </w:p>
    <w:p w:rsidR="009A3138" w:rsidRDefault="001D333F">
      <w:pPr>
        <w:spacing w:beforeAutospacing="1" w:afterAutospacing="1" w:line="360" w:lineRule="auto"/>
        <w:contextualSpacing/>
        <w:jc w:val="both"/>
        <w:rPr>
          <w:rFonts w:ascii="Palatino Linotype" w:hAnsi="Palatino Linotype" w:cs="Arial"/>
          <w:bCs/>
          <w:lang w:val="es-ES"/>
        </w:rPr>
      </w:pPr>
      <w:r>
        <w:rPr>
          <w:rFonts w:ascii="Palatino Linotype" w:hAnsi="Palatino Linotype" w:cs="Arial"/>
          <w:bCs/>
          <w:lang w:val="es-ES"/>
        </w:rPr>
        <w:t xml:space="preserve">Establecido lo anterior, se puede advertir que </w:t>
      </w:r>
      <w:r>
        <w:rPr>
          <w:rFonts w:ascii="Palatino Linotype" w:hAnsi="Palatino Linotype" w:cs="Arial"/>
          <w:b/>
          <w:bCs/>
          <w:lang w:val="es-ES"/>
        </w:rPr>
        <w:t xml:space="preserve">EL SUJETO OBLIGADO </w:t>
      </w:r>
      <w:r>
        <w:rPr>
          <w:rFonts w:ascii="Palatino Linotype" w:hAnsi="Palatino Linotype" w:cs="Arial"/>
          <w:bCs/>
          <w:lang w:val="es-ES"/>
        </w:rPr>
        <w:t>se encuentra constreñido a contar con los Comprobantes Fiscales por Internet por concepto de nómina de los servidores públicos adscritos del 1 de enero al 31 de diciembre de 2019.</w:t>
      </w:r>
    </w:p>
    <w:p w:rsidR="009A3138" w:rsidRDefault="009A3138">
      <w:pPr>
        <w:spacing w:beforeAutospacing="1" w:afterAutospacing="1" w:line="360" w:lineRule="auto"/>
        <w:contextualSpacing/>
        <w:jc w:val="both"/>
        <w:rPr>
          <w:rFonts w:ascii="Palatino Linotype" w:hAnsi="Palatino Linotype"/>
          <w:color w:val="000000"/>
        </w:rPr>
      </w:pPr>
    </w:p>
    <w:p w:rsidR="009A3138" w:rsidRDefault="001D333F">
      <w:pPr>
        <w:spacing w:beforeAutospacing="1" w:afterAutospacing="1" w:line="360" w:lineRule="auto"/>
        <w:contextualSpacing/>
        <w:jc w:val="both"/>
        <w:rPr>
          <w:rFonts w:ascii="Palatino Linotype" w:eastAsia="Arial Unicode MS" w:hAnsi="Palatino Linotype" w:cs="Arial"/>
        </w:rPr>
      </w:pPr>
      <w:r>
        <w:rPr>
          <w:rFonts w:ascii="Palatino Linotype" w:hAnsi="Palatino Linotype"/>
          <w:color w:val="000000"/>
        </w:rPr>
        <w:t xml:space="preserve">Ahora </w:t>
      </w:r>
      <w:r>
        <w:rPr>
          <w:rFonts w:ascii="Palatino Linotype" w:hAnsi="Palatino Linotype" w:cs="Arial"/>
          <w:lang w:eastAsia="es-MX"/>
        </w:rPr>
        <w:t>bien</w:t>
      </w:r>
      <w:r>
        <w:rPr>
          <w:rFonts w:ascii="Palatino Linotype" w:hAnsi="Palatino Linotype"/>
          <w:color w:val="000000"/>
        </w:rPr>
        <w:t xml:space="preserve">, en relación a la </w:t>
      </w:r>
      <w:r>
        <w:rPr>
          <w:rFonts w:ascii="Palatino Linotype" w:hAnsi="Palatino Linotype"/>
          <w:b/>
          <w:color w:val="000000"/>
        </w:rPr>
        <w:t xml:space="preserve">versión pública </w:t>
      </w:r>
      <w:r>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esto es que, deberá </w:t>
      </w:r>
      <w:r>
        <w:rPr>
          <w:rFonts w:ascii="Palatino Linotype" w:eastAsia="Arial Unicode MS" w:hAnsi="Palatino Linotype" w:cs="Arial"/>
        </w:rPr>
        <w:t>omitirse, eliminarse o suprimirse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w:t>
      </w:r>
    </w:p>
    <w:p w:rsidR="009A3138" w:rsidRDefault="009A3138">
      <w:pPr>
        <w:spacing w:beforeAutospacing="1" w:afterAutospacing="1" w:line="360" w:lineRule="auto"/>
        <w:contextualSpacing/>
        <w:jc w:val="both"/>
        <w:rPr>
          <w:rFonts w:ascii="Palatino Linotype" w:eastAsia="Arial Unicode MS" w:hAnsi="Palatino Linotype" w:cs="Arial"/>
        </w:rPr>
      </w:pPr>
    </w:p>
    <w:p w:rsidR="009A3138" w:rsidRDefault="001D333F">
      <w:pPr>
        <w:spacing w:beforeAutospacing="1" w:afterAutospacing="1" w:line="360" w:lineRule="auto"/>
        <w:contextualSpacing/>
        <w:jc w:val="both"/>
        <w:rPr>
          <w:rFonts w:ascii="Palatino Linotype" w:hAnsi="Palatino Linotype" w:cs="Arial"/>
        </w:rPr>
      </w:pPr>
      <w:r>
        <w:rPr>
          <w:rFonts w:ascii="Palatino Linotype" w:eastAsia="Arial Unicode MS" w:hAnsi="Palatino Linotype" w:cs="Arial"/>
        </w:rPr>
        <w:t xml:space="preserve">En ese sentido, </w:t>
      </w:r>
      <w:r>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w:t>
      </w:r>
      <w:r>
        <w:rPr>
          <w:rFonts w:ascii="Palatino Linotype" w:hAnsi="Palatino Linotype" w:cs="Arial"/>
        </w:rPr>
        <w:lastRenderedPageBreak/>
        <w:t>Consejo Nacional del Sistema Nacional de Transparencia, Acceso a la Información Pública y Protección de Datos Personales.</w:t>
      </w:r>
    </w:p>
    <w:p w:rsidR="009A3138" w:rsidRDefault="009A3138">
      <w:pPr>
        <w:spacing w:beforeAutospacing="1" w:afterAutospacing="1" w:line="360" w:lineRule="auto"/>
        <w:contextualSpacing/>
        <w:jc w:val="both"/>
        <w:rPr>
          <w:rFonts w:ascii="Palatino Linotype" w:hAnsi="Palatino Linotype"/>
        </w:rPr>
      </w:pPr>
    </w:p>
    <w:p w:rsidR="009A3138" w:rsidRDefault="001D333F">
      <w:pPr>
        <w:spacing w:beforeAutospacing="1" w:afterAutospacing="1" w:line="360" w:lineRule="auto"/>
        <w:contextualSpacing/>
        <w:jc w:val="both"/>
        <w:rPr>
          <w:rFonts w:ascii="Palatino Linotype" w:hAnsi="Palatino Linotype" w:cs="Arial"/>
          <w:lang w:eastAsia="en-US"/>
        </w:rPr>
      </w:pPr>
      <w:r>
        <w:rPr>
          <w:rFonts w:ascii="Palatino Linotype" w:hAnsi="Palatino Linotype"/>
        </w:rPr>
        <w:t xml:space="preserve">En el caso específico de los recibos de nómina, obran datos que son considerados </w:t>
      </w:r>
      <w:r>
        <w:rPr>
          <w:rFonts w:ascii="Palatino Linotype" w:hAnsi="Palatino Linotype" w:cs="Arial"/>
        </w:rPr>
        <w:t>confidenciales</w:t>
      </w:r>
      <w:r>
        <w:rPr>
          <w:rFonts w:ascii="Palatino Linotype" w:hAnsi="Palatino Linotype"/>
        </w:rPr>
        <w:t xml:space="preserve">, cuyo acceso </w:t>
      </w:r>
      <w:r>
        <w:rPr>
          <w:rFonts w:ascii="Palatino Linotype" w:hAnsi="Palatino Linotype" w:cs="Arial"/>
        </w:rPr>
        <w:t>debe</w:t>
      </w:r>
      <w:r>
        <w:rPr>
          <w:rFonts w:ascii="Palatino Linotype" w:hAnsi="Palatino Linotype"/>
        </w:rPr>
        <w:t xml:space="preserve"> ser restringido, los cuales </w:t>
      </w:r>
      <w:r>
        <w:rPr>
          <w:rFonts w:ascii="Palatino Linotype" w:hAnsi="Palatino Linotype" w:cs="Arial"/>
        </w:rPr>
        <w:t xml:space="preserve">deben testarse al momento de la elaboración de versiones públicas, como es el caso del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u otros), así como, los </w:t>
      </w:r>
      <w:r>
        <w:rPr>
          <w:rFonts w:ascii="Palatino Linotype" w:hAnsi="Palatino Linotype" w:cs="Arial"/>
          <w:b/>
        </w:rPr>
        <w:t xml:space="preserve">préstamos o descuentos </w:t>
      </w:r>
      <w:r>
        <w:rPr>
          <w:rFonts w:ascii="Palatino Linotype" w:hAnsi="Palatino Linotype" w:cs="Arial"/>
        </w:rPr>
        <w:t>que se le hagan al servidor público.</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RFC</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cs="Arial"/>
        </w:rPr>
        <w:t>del</w:t>
      </w:r>
      <w:r>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bCs/>
        </w:rPr>
        <w:t>Transparencia</w:t>
      </w:r>
      <w:r>
        <w:rPr>
          <w:rFonts w:ascii="Palatino Linotype" w:eastAsia="Arial Unicode MS" w:hAnsi="Palatino Linotype" w:cs="Arial"/>
          <w:color w:val="000000"/>
        </w:rPr>
        <w:t xml:space="preserve">, Acceso a la </w:t>
      </w:r>
      <w:r>
        <w:rPr>
          <w:rFonts w:ascii="Palatino Linotype" w:hAnsi="Palatino Linotype" w:cs="Arial"/>
        </w:rPr>
        <w:t>Información</w:t>
      </w:r>
      <w:r>
        <w:rPr>
          <w:rFonts w:ascii="Palatino Linotype" w:eastAsia="Arial Unicode MS" w:hAnsi="Palatino Linotype" w:cs="Arial"/>
          <w:color w:val="000000"/>
        </w:rPr>
        <w:t xml:space="preserve">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9A3138" w:rsidRDefault="009A3138">
      <w:pPr>
        <w:spacing w:beforeAutospacing="1" w:afterAutospacing="1"/>
        <w:ind w:left="851" w:right="902"/>
        <w:contextualSpacing/>
        <w:jc w:val="both"/>
        <w:rPr>
          <w:rFonts w:ascii="Palatino Linotype" w:hAnsi="Palatino Linotype" w:cs="Arial"/>
          <w:bCs/>
          <w:i/>
          <w:sz w:val="22"/>
          <w:szCs w:val="22"/>
        </w:rPr>
      </w:pPr>
    </w:p>
    <w:p w:rsidR="009A3138" w:rsidRDefault="001D333F">
      <w:pPr>
        <w:spacing w:beforeAutospacing="1" w:afterAutospacing="1"/>
        <w:ind w:left="851" w:right="902"/>
        <w:contextualSpacing/>
        <w:jc w:val="both"/>
        <w:rPr>
          <w:rFonts w:ascii="Palatino Linotype" w:hAnsi="Palatino Linotype" w:cs="Arial"/>
          <w:bCs/>
          <w:i/>
          <w:sz w:val="22"/>
          <w:szCs w:val="22"/>
          <w:lang w:eastAsia="en-US"/>
        </w:rPr>
      </w:pPr>
      <w:r>
        <w:rPr>
          <w:rFonts w:ascii="Palatino Linotype" w:hAnsi="Palatino Linotype" w:cs="Arial"/>
          <w:bCs/>
          <w:i/>
          <w:sz w:val="22"/>
          <w:szCs w:val="22"/>
        </w:rPr>
        <w:t>“</w:t>
      </w:r>
      <w:r>
        <w:rPr>
          <w:rFonts w:ascii="Palatino Linotype" w:hAnsi="Palatino Linotype" w:cs="Arial"/>
          <w:b/>
          <w:bCs/>
          <w:i/>
          <w:sz w:val="22"/>
          <w:szCs w:val="22"/>
        </w:rPr>
        <w:t>Registro Federal de Contribuyentes (RFC) de personas físicas. El RFC es una clave</w:t>
      </w:r>
      <w:r>
        <w:rPr>
          <w:rFonts w:ascii="Palatino Linotype" w:hAnsi="Palatino Linotype" w:cs="Arial"/>
          <w:bCs/>
          <w:i/>
          <w:sz w:val="22"/>
          <w:szCs w:val="22"/>
        </w:rPr>
        <w:t xml:space="preserve"> de carácter fiscal, única e irrepetible, </w:t>
      </w:r>
      <w:r>
        <w:rPr>
          <w:rFonts w:ascii="Palatino Linotype" w:hAnsi="Palatino Linotype" w:cs="Arial"/>
          <w:b/>
          <w:bCs/>
          <w:i/>
          <w:sz w:val="22"/>
          <w:szCs w:val="22"/>
        </w:rPr>
        <w:t xml:space="preserve">que permite identificar al titular, </w:t>
      </w:r>
      <w:r>
        <w:rPr>
          <w:rFonts w:ascii="Palatino Linotype" w:hAnsi="Palatino Linotype" w:cs="Arial"/>
          <w:b/>
          <w:bCs/>
          <w:i/>
          <w:sz w:val="22"/>
          <w:szCs w:val="22"/>
        </w:rPr>
        <w:lastRenderedPageBreak/>
        <w:t>su edad y fecha de nacimiento</w:t>
      </w:r>
      <w:r>
        <w:rPr>
          <w:rFonts w:ascii="Palatino Linotype" w:hAnsi="Palatino Linotype" w:cs="Arial"/>
          <w:bCs/>
          <w:i/>
          <w:sz w:val="22"/>
          <w:szCs w:val="22"/>
        </w:rPr>
        <w:t xml:space="preserve">, </w:t>
      </w:r>
      <w:r>
        <w:rPr>
          <w:rFonts w:ascii="Palatino Linotype" w:hAnsi="Palatino Linotype" w:cs="Arial"/>
          <w:i/>
          <w:sz w:val="22"/>
          <w:szCs w:val="22"/>
          <w:lang w:eastAsia="es-MX"/>
        </w:rPr>
        <w:t>por</w:t>
      </w:r>
      <w:r>
        <w:rPr>
          <w:rFonts w:ascii="Palatino Linotype" w:hAnsi="Palatino Linotype" w:cs="Arial"/>
          <w:bCs/>
          <w:i/>
          <w:sz w:val="22"/>
          <w:szCs w:val="22"/>
        </w:rPr>
        <w:t xml:space="preserve"> lo que </w:t>
      </w:r>
      <w:r>
        <w:rPr>
          <w:rFonts w:ascii="Palatino Linotype" w:hAnsi="Palatino Linotype" w:cs="Arial"/>
          <w:b/>
          <w:bCs/>
          <w:i/>
          <w:sz w:val="22"/>
          <w:szCs w:val="22"/>
        </w:rPr>
        <w:t>es un dato personal de carácter confidencial</w:t>
      </w:r>
      <w:r>
        <w:rPr>
          <w:rFonts w:ascii="Palatino Linotype" w:hAnsi="Palatino Linotype" w:cs="Arial"/>
          <w:i/>
          <w:sz w:val="22"/>
          <w:szCs w:val="22"/>
        </w:rPr>
        <w:t>.</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Resoluciones:</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 RRA 0189/</w:t>
      </w:r>
      <w:r>
        <w:rPr>
          <w:rFonts w:ascii="Palatino Linotype" w:hAnsi="Palatino Linotype" w:cs="Arial"/>
          <w:i/>
          <w:sz w:val="22"/>
          <w:szCs w:val="22"/>
          <w:lang w:eastAsia="es-MX"/>
        </w:rPr>
        <w:t>17</w:t>
      </w:r>
      <w:r>
        <w:rPr>
          <w:rFonts w:ascii="Palatino Linotype" w:hAnsi="Palatino Linotype" w:cs="Arial"/>
          <w:bCs/>
          <w:i/>
          <w:sz w:val="22"/>
          <w:szCs w:val="22"/>
        </w:rPr>
        <w:t>. Morena. 08 de febrero de 2017. Por unanimidad. Comisionado Ponente Joel Salas Suárez.</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9A3138" w:rsidRDefault="001D333F">
      <w:pPr>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bCs/>
          <w:i/>
          <w:sz w:val="22"/>
          <w:szCs w:val="22"/>
        </w:rPr>
        <w:t xml:space="preserve">• RRA 1564/17. Tribunal Electoral del Poder Judicial de la Federación. 26 de abril de 2017. Por </w:t>
      </w:r>
      <w:r>
        <w:rPr>
          <w:rFonts w:ascii="Palatino Linotype" w:hAnsi="Palatino Linotype" w:cs="Arial"/>
          <w:i/>
          <w:sz w:val="22"/>
          <w:szCs w:val="22"/>
          <w:lang w:eastAsia="es-MX"/>
        </w:rPr>
        <w:t>unanimidad</w:t>
      </w:r>
      <w:r>
        <w:rPr>
          <w:rFonts w:ascii="Palatino Linotype" w:hAnsi="Palatino Linotype" w:cs="Arial"/>
          <w:bCs/>
          <w:i/>
          <w:sz w:val="22"/>
          <w:szCs w:val="22"/>
        </w:rPr>
        <w:t>. Comisionado Ponente Oscar Mauricio Guerra Ford.</w:t>
      </w:r>
      <w:r>
        <w:rPr>
          <w:rFonts w:ascii="Palatino Linotype" w:hAnsi="Palatino Linotype" w:cs="Arial"/>
          <w:i/>
          <w:sz w:val="22"/>
          <w:szCs w:val="22"/>
        </w:rPr>
        <w:t>” (Sic)</w:t>
      </w:r>
    </w:p>
    <w:p w:rsidR="009A3138" w:rsidRDefault="001D333F">
      <w:pPr>
        <w:spacing w:beforeAutospacing="1"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(Énfasis añadido)</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De lo anterior, se desprende que el RFC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w:t>
      </w:r>
      <w:r>
        <w:rPr>
          <w:rFonts w:ascii="Palatino Linotype" w:hAnsi="Palatino Linotype" w:cs="Arial"/>
        </w:rPr>
        <w:t>la</w:t>
      </w:r>
      <w:r>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CURP, </w:t>
      </w:r>
      <w:r>
        <w:rPr>
          <w:rFonts w:ascii="Palatino Linotype" w:hAnsi="Palatino Linotype" w:cs="Arial"/>
          <w:lang w:eastAsia="es-MX"/>
        </w:rPr>
        <w:t xml:space="preserve">constituye un dato personal,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Lo </w:t>
      </w:r>
      <w:r>
        <w:rPr>
          <w:rFonts w:ascii="Palatino Linotype" w:hAnsi="Palatino Linotype"/>
          <w:lang w:eastAsia="es-MX"/>
        </w:rPr>
        <w:t>anterior</w:t>
      </w:r>
      <w:r>
        <w:rPr>
          <w:rFonts w:ascii="Palatino Linotype" w:hAnsi="Palatino Linotype" w:cs="Arial"/>
          <w:lang w:eastAsia="es-MX"/>
        </w:rPr>
        <w:t xml:space="preserve">,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9A3138" w:rsidRDefault="009A3138">
      <w:pPr>
        <w:spacing w:beforeAutospacing="1" w:afterAutospacing="1"/>
        <w:ind w:left="851" w:right="902"/>
        <w:contextualSpacing/>
        <w:jc w:val="both"/>
        <w:rPr>
          <w:rFonts w:ascii="Palatino Linotype" w:hAnsi="Palatino Linotype" w:cs="Arial,Bold"/>
          <w:bCs/>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Bold"/>
          <w:bCs/>
          <w:i/>
          <w:sz w:val="22"/>
          <w:szCs w:val="22"/>
          <w:lang w:eastAsia="es-MX"/>
        </w:rPr>
        <w:lastRenderedPageBreak/>
        <w:t>“</w:t>
      </w:r>
      <w:r>
        <w:rPr>
          <w:rFonts w:ascii="Palatino Linotype" w:hAnsi="Palatino Linotype" w:cs="Arial,Bold"/>
          <w:b/>
          <w:bCs/>
          <w:i/>
          <w:sz w:val="22"/>
          <w:szCs w:val="22"/>
          <w:lang w:eastAsia="es-MX"/>
        </w:rPr>
        <w:t xml:space="preserve">Artículo 86. </w:t>
      </w:r>
      <w:r>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Bold"/>
          <w:b/>
          <w:bCs/>
          <w:i/>
          <w:sz w:val="22"/>
          <w:szCs w:val="22"/>
          <w:lang w:eastAsia="es-MX"/>
        </w:rPr>
        <w:t xml:space="preserve">Artículo 91. </w:t>
      </w:r>
      <w:r>
        <w:rPr>
          <w:rFonts w:ascii="Palatino Linotype" w:hAnsi="Palatino Linotype" w:cs="Arial"/>
          <w:b/>
          <w:i/>
          <w:sz w:val="22"/>
          <w:szCs w:val="22"/>
          <w:lang w:eastAsia="es-MX"/>
        </w:rPr>
        <w:t>Al incorporar a una persona en el Registro Nacional de Población</w:t>
      </w:r>
      <w:r>
        <w:rPr>
          <w:rFonts w:ascii="Palatino Linotype" w:hAnsi="Palatino Linotype" w:cs="Arial"/>
          <w:i/>
          <w:sz w:val="22"/>
          <w:szCs w:val="22"/>
          <w:lang w:eastAsia="es-MX"/>
        </w:rPr>
        <w:t xml:space="preserve">, se le asignará una clave </w:t>
      </w:r>
      <w:r>
        <w:rPr>
          <w:rFonts w:ascii="Palatino Linotype" w:hAnsi="Palatino Linotype" w:cs="Arial"/>
          <w:b/>
          <w:i/>
          <w:sz w:val="22"/>
          <w:szCs w:val="22"/>
          <w:lang w:eastAsia="es-MX"/>
        </w:rPr>
        <w:t>que se denominará Clave Única de Registro de Población</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Esta servirá para</w:t>
      </w:r>
      <w:r>
        <w:rPr>
          <w:rFonts w:ascii="Palatino Linotype" w:hAnsi="Palatino Linotype" w:cs="Arial"/>
          <w:i/>
          <w:sz w:val="22"/>
          <w:szCs w:val="22"/>
          <w:lang w:eastAsia="es-MX"/>
        </w:rPr>
        <w:t xml:space="preserve"> registrarla e </w:t>
      </w:r>
      <w:r>
        <w:rPr>
          <w:rFonts w:ascii="Palatino Linotype" w:hAnsi="Palatino Linotype" w:cs="Arial"/>
          <w:b/>
          <w:i/>
          <w:sz w:val="22"/>
          <w:szCs w:val="22"/>
          <w:lang w:eastAsia="es-MX"/>
        </w:rPr>
        <w:t>identificarla en forma individual</w:t>
      </w:r>
      <w:r>
        <w:rPr>
          <w:rFonts w:ascii="Palatino Linotype" w:hAnsi="Palatino Linotype" w:cs="Arial"/>
          <w:i/>
          <w:sz w:val="22"/>
          <w:szCs w:val="22"/>
          <w:lang w:eastAsia="es-MX"/>
        </w:rPr>
        <w:t xml:space="preserve">.” </w:t>
      </w:r>
    </w:p>
    <w:p w:rsidR="009A3138" w:rsidRDefault="001D333F">
      <w:pPr>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(Énfasis añadido)</w:t>
      </w:r>
    </w:p>
    <w:p w:rsidR="009A3138" w:rsidRDefault="009A3138">
      <w:pPr>
        <w:spacing w:beforeAutospacing="1" w:afterAutospacing="1" w:line="360" w:lineRule="auto"/>
        <w:contextualSpacing/>
        <w:jc w:val="both"/>
        <w:rPr>
          <w:rFonts w:ascii="Palatino Linotype" w:hAnsi="Palatino Linotype"/>
          <w:lang w:eastAsia="es-MX"/>
        </w:rPr>
      </w:pPr>
    </w:p>
    <w:p w:rsidR="009A3138" w:rsidRDefault="001D333F">
      <w:pPr>
        <w:spacing w:beforeAutospacing="1" w:afterAutospacing="1" w:line="360" w:lineRule="auto"/>
        <w:contextualSpacing/>
        <w:jc w:val="both"/>
        <w:rPr>
          <w:rFonts w:ascii="Palatino Linotype" w:hAnsi="Palatino Linotype"/>
          <w:lang w:eastAsia="es-MX"/>
        </w:rPr>
      </w:pPr>
      <w:r>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migratorio),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Clave Única de Registro de Población (CURP).</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La Clave Única de Registro de Población se integra por datos personales que sólo conciernen al particular titular</w:t>
      </w:r>
      <w:r>
        <w:rPr>
          <w:rFonts w:ascii="Palatino Linotype" w:hAnsi="Palatino Linotype" w:cs="Arial"/>
          <w:i/>
          <w:sz w:val="22"/>
          <w:szCs w:val="22"/>
          <w:lang w:eastAsia="es-MX"/>
        </w:rPr>
        <w:t xml:space="preserve"> de la misma, </w:t>
      </w:r>
      <w:r>
        <w:rPr>
          <w:rFonts w:ascii="Palatino Linotype" w:hAnsi="Palatino Linotype" w:cs="Arial"/>
          <w:b/>
          <w:i/>
          <w:sz w:val="22"/>
          <w:szCs w:val="22"/>
          <w:lang w:eastAsia="es-MX"/>
        </w:rPr>
        <w:t>como lo son su nombre, apellidos, fecha de nacimiento, lugar de nacimiento y sexo</w:t>
      </w:r>
      <w:r>
        <w:rPr>
          <w:rFonts w:ascii="Palatino Linotype" w:hAnsi="Palatino Linotype" w:cs="Arial"/>
          <w:i/>
          <w:sz w:val="22"/>
          <w:szCs w:val="22"/>
          <w:lang w:eastAsia="es-MX"/>
        </w:rPr>
        <w:t xml:space="preserve">. Dichos datos, constituyen información que distingue plenamente a una persona física del resto de los habitantes del país, </w:t>
      </w:r>
      <w:r>
        <w:rPr>
          <w:rFonts w:ascii="Palatino Linotype" w:hAnsi="Palatino Linotype" w:cs="Arial"/>
          <w:b/>
          <w:i/>
          <w:sz w:val="22"/>
          <w:szCs w:val="22"/>
          <w:lang w:eastAsia="es-MX"/>
        </w:rPr>
        <w:t>por lo que la CURP está considerada como información confidencial</w:t>
      </w:r>
      <w:r>
        <w:rPr>
          <w:rFonts w:ascii="Palatino Linotype" w:hAnsi="Palatino Linotype" w:cs="Arial"/>
          <w:i/>
          <w:sz w:val="22"/>
          <w:szCs w:val="22"/>
          <w:lang w:eastAsia="es-MX"/>
        </w:rPr>
        <w:t xml:space="preserve">. </w:t>
      </w:r>
    </w:p>
    <w:p w:rsidR="009A3138" w:rsidRDefault="001D333F">
      <w:pPr>
        <w:spacing w:beforeAutospacing="1" w:afterAutospacing="1"/>
        <w:ind w:left="851" w:right="902"/>
        <w:contextualSpacing/>
        <w:jc w:val="both"/>
        <w:rPr>
          <w:rFonts w:ascii="Palatino Linotype" w:hAnsi="Palatino Linotype" w:cs="Arial"/>
          <w:bCs/>
          <w:i/>
          <w:sz w:val="22"/>
          <w:szCs w:val="22"/>
          <w:lang w:eastAsia="es-MX"/>
        </w:rPr>
      </w:pPr>
      <w:r>
        <w:rPr>
          <w:rFonts w:ascii="Palatino Linotype" w:hAnsi="Palatino Linotype" w:cs="Arial"/>
          <w:bCs/>
          <w:i/>
          <w:sz w:val="22"/>
          <w:szCs w:val="22"/>
          <w:lang w:eastAsia="es-MX"/>
        </w:rPr>
        <w:t>Resoluciones:</w:t>
      </w:r>
    </w:p>
    <w:p w:rsidR="009A3138" w:rsidRDefault="001D333F">
      <w:pPr>
        <w:spacing w:beforeAutospacing="1" w:afterAutospacing="1"/>
        <w:ind w:left="851" w:right="902"/>
        <w:contextualSpacing/>
        <w:jc w:val="both"/>
        <w:rPr>
          <w:rFonts w:ascii="Palatino Linotype" w:hAnsi="Palatino Linotype" w:cs="Arial"/>
          <w:bCs/>
          <w:i/>
          <w:sz w:val="22"/>
          <w:szCs w:val="22"/>
          <w:lang w:eastAsia="es-MX"/>
        </w:rPr>
      </w:pPr>
      <w:r>
        <w:rPr>
          <w:rFonts w:ascii="Palatino Linotype" w:hAnsi="Palatino Linotype" w:cs="Arial"/>
          <w:bCs/>
          <w:i/>
          <w:sz w:val="22"/>
          <w:szCs w:val="22"/>
          <w:lang w:eastAsia="es-MX"/>
        </w:rPr>
        <w:lastRenderedPageBreak/>
        <w:t>• RRA 3995/16. Secretaría de la Defensa Nacional. 1 de febrero de 2017. Por unanimidad. Comisionado Ponente Rosendoevgueni Monterrey Chepov.</w:t>
      </w:r>
    </w:p>
    <w:p w:rsidR="009A3138" w:rsidRDefault="001D333F">
      <w:pPr>
        <w:spacing w:beforeAutospacing="1" w:afterAutospacing="1"/>
        <w:ind w:left="851" w:right="902"/>
        <w:contextualSpacing/>
        <w:jc w:val="both"/>
        <w:rPr>
          <w:rFonts w:ascii="Palatino Linotype" w:hAnsi="Palatino Linotype" w:cs="Arial"/>
          <w:bCs/>
          <w:i/>
          <w:sz w:val="22"/>
          <w:szCs w:val="22"/>
          <w:lang w:eastAsia="es-MX"/>
        </w:rPr>
      </w:pPr>
      <w:r>
        <w:rPr>
          <w:rFonts w:ascii="Palatino Linotype" w:hAnsi="Palatino Linotype" w:cs="Arial"/>
          <w:bCs/>
          <w:i/>
          <w:sz w:val="22"/>
          <w:szCs w:val="22"/>
          <w:lang w:eastAsia="es-MX"/>
        </w:rPr>
        <w:t xml:space="preserve">• RRA 0937/17. Senado de la República. 15 de marzo de 2017. Por unanimidad. Comisionada Ponente </w:t>
      </w:r>
      <w:r>
        <w:rPr>
          <w:rFonts w:ascii="Palatino Linotype" w:hAnsi="Palatino Linotype" w:cs="Arial"/>
          <w:i/>
          <w:sz w:val="22"/>
          <w:szCs w:val="22"/>
          <w:lang w:eastAsia="es-MX"/>
        </w:rPr>
        <w:t>Ximena</w:t>
      </w:r>
      <w:r>
        <w:rPr>
          <w:rFonts w:ascii="Palatino Linotype" w:hAnsi="Palatino Linotype" w:cs="Arial"/>
          <w:bCs/>
          <w:i/>
          <w:sz w:val="22"/>
          <w:szCs w:val="22"/>
          <w:lang w:eastAsia="es-MX"/>
        </w:rPr>
        <w:t xml:space="preserve"> Puente de la Mora. </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Cs/>
          <w:i/>
          <w:sz w:val="22"/>
          <w:szCs w:val="22"/>
          <w:lang w:eastAsia="es-MX"/>
        </w:rPr>
        <w:t xml:space="preserve">• RRA 0478/17. Secretaría de Relaciones Exteriores. 26 de abril de 2017. Por unanimidad. </w:t>
      </w:r>
      <w:r>
        <w:rPr>
          <w:rFonts w:ascii="Palatino Linotype" w:hAnsi="Palatino Linotype" w:cs="Arial"/>
          <w:i/>
          <w:sz w:val="22"/>
          <w:szCs w:val="22"/>
          <w:lang w:eastAsia="es-MX"/>
        </w:rPr>
        <w:t>Comisionada</w:t>
      </w:r>
      <w:r>
        <w:rPr>
          <w:rFonts w:ascii="Palatino Linotype" w:hAnsi="Palatino Linotype" w:cs="Arial"/>
          <w:bCs/>
          <w:i/>
          <w:sz w:val="22"/>
          <w:szCs w:val="22"/>
          <w:lang w:eastAsia="es-MX"/>
        </w:rPr>
        <w:t xml:space="preserve"> Ponente Areli Cano Guadiana.</w:t>
      </w:r>
      <w:r>
        <w:rPr>
          <w:rFonts w:ascii="Palatino Linotype" w:hAnsi="Palatino Linotype" w:cs="Arial"/>
          <w:i/>
          <w:sz w:val="22"/>
          <w:szCs w:val="22"/>
          <w:lang w:eastAsia="es-MX"/>
        </w:rPr>
        <w:t xml:space="preserve">” </w:t>
      </w:r>
      <w:r>
        <w:rPr>
          <w:rFonts w:ascii="Palatino Linotype" w:hAnsi="Palatino Linotype" w:cs="Arial"/>
          <w:i/>
          <w:sz w:val="22"/>
          <w:szCs w:val="22"/>
        </w:rPr>
        <w:t>(Sic)</w:t>
      </w:r>
    </w:p>
    <w:p w:rsidR="009A3138" w:rsidRDefault="009A3138">
      <w:pPr>
        <w:spacing w:beforeAutospacing="1" w:afterAutospacing="1"/>
        <w:ind w:left="851" w:right="902"/>
        <w:contextualSpacing/>
        <w:jc w:val="both"/>
        <w:rPr>
          <w:rFonts w:ascii="Palatino Linotype" w:hAnsi="Palatino Linotype" w:cs="Arial"/>
          <w:sz w:val="22"/>
          <w:szCs w:val="22"/>
        </w:rPr>
      </w:pPr>
    </w:p>
    <w:p w:rsidR="009A3138" w:rsidRDefault="001D333F">
      <w:pPr>
        <w:spacing w:beforeAutospacing="1"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(Énfasis añadido)</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CURP, </w:t>
      </w:r>
      <w:r>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9A3138" w:rsidRDefault="009A3138">
      <w:pPr>
        <w:spacing w:beforeAutospacing="1" w:afterAutospacing="1" w:line="360" w:lineRule="auto"/>
        <w:contextualSpacing/>
        <w:jc w:val="both"/>
        <w:rPr>
          <w:rFonts w:ascii="Palatino Linotype" w:hAnsi="Palatino Linotype" w:cs="Arial"/>
          <w:lang w:eastAsia="es-MX"/>
        </w:rPr>
      </w:pP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por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rPr>
        <w:lastRenderedPageBreak/>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favorecer  en la transparencia y rendición de cuentas, sino, 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rsidR="009A3138" w:rsidRDefault="001D333F">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rsidR="009A3138" w:rsidRDefault="009A3138">
      <w:pPr>
        <w:spacing w:beforeAutospacing="1" w:afterAutospacing="1"/>
        <w:ind w:left="851" w:right="902"/>
        <w:contextualSpacing/>
        <w:jc w:val="both"/>
        <w:rPr>
          <w:rFonts w:ascii="Palatino Linotype" w:hAnsi="Palatino Linotype" w:cs="Arial"/>
          <w:bCs/>
          <w:i/>
          <w:sz w:val="22"/>
          <w:szCs w:val="22"/>
        </w:rPr>
      </w:pPr>
    </w:p>
    <w:p w:rsidR="009A3138" w:rsidRDefault="001D333F">
      <w:pPr>
        <w:spacing w:beforeAutospacing="1" w:afterAutospacing="1"/>
        <w:ind w:left="851" w:right="902"/>
        <w:contextualSpacing/>
        <w:jc w:val="both"/>
        <w:rPr>
          <w:rFonts w:ascii="Palatino Linotype" w:hAnsi="Palatino Linotype" w:cs="Arial"/>
          <w:b/>
          <w:bCs/>
          <w:i/>
          <w:sz w:val="22"/>
          <w:szCs w:val="22"/>
        </w:rPr>
      </w:pPr>
      <w:r>
        <w:rPr>
          <w:rFonts w:ascii="Palatino Linotype" w:hAnsi="Palatino Linotype" w:cs="Arial"/>
          <w:bCs/>
          <w:i/>
          <w:sz w:val="22"/>
          <w:szCs w:val="22"/>
        </w:rPr>
        <w:t>“</w:t>
      </w:r>
      <w:r>
        <w:rPr>
          <w:rFonts w:ascii="Palatino Linotype" w:hAnsi="Palatino Linotype" w:cs="Arial"/>
          <w:b/>
          <w:bCs/>
          <w:i/>
          <w:sz w:val="22"/>
          <w:szCs w:val="22"/>
        </w:rPr>
        <w:t>ARTICULO 84. Sólo podrán hacerse retenciones, descuentos o deducciones al sueldo de los servidores públicos por concepto de:</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Cs/>
          <w:i/>
          <w:sz w:val="22"/>
          <w:szCs w:val="22"/>
        </w:rPr>
        <w:t xml:space="preserve">I. </w:t>
      </w:r>
      <w:r>
        <w:rPr>
          <w:rFonts w:ascii="Palatino Linotype" w:hAnsi="Palatino Linotype" w:cs="Arial"/>
          <w:i/>
          <w:sz w:val="22"/>
          <w:szCs w:val="22"/>
          <w:lang w:eastAsia="es-MX"/>
        </w:rPr>
        <w:t>Gravámenes fiscales relacionados con el sueldo;</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 Deudas contraídas con las instituciones públicas o dependencias</w:t>
      </w:r>
      <w:r>
        <w:rPr>
          <w:rFonts w:ascii="Palatino Linotype" w:hAnsi="Palatino Linotype" w:cs="Arial"/>
          <w:i/>
          <w:sz w:val="22"/>
          <w:szCs w:val="22"/>
          <w:lang w:eastAsia="es-MX"/>
        </w:rPr>
        <w:t xml:space="preserve"> por concepto de anticipos de sueldo, pagos hechos con exceso, errores o pérdidas debidamente comprobados;</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
          <w:i/>
          <w:sz w:val="22"/>
          <w:szCs w:val="22"/>
          <w:lang w:eastAsia="es-MX"/>
        </w:rPr>
        <w:t>III. Cuotas sindicales</w:t>
      </w:r>
      <w:r>
        <w:rPr>
          <w:rFonts w:ascii="Palatino Linotype" w:hAnsi="Palatino Linotype" w:cs="Arial"/>
          <w:bCs/>
          <w:i/>
          <w:sz w:val="22"/>
          <w:szCs w:val="22"/>
        </w:rPr>
        <w:t>;</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 xml:space="preserve">IV. Cuotas de </w:t>
      </w:r>
      <w:r>
        <w:rPr>
          <w:rFonts w:ascii="Palatino Linotype" w:hAnsi="Palatino Linotype" w:cs="Arial"/>
          <w:i/>
          <w:sz w:val="22"/>
          <w:szCs w:val="22"/>
          <w:lang w:eastAsia="es-MX"/>
        </w:rPr>
        <w:t>aportación</w:t>
      </w:r>
      <w:r>
        <w:rPr>
          <w:rFonts w:ascii="Palatino Linotype" w:hAnsi="Palatino Linotype" w:cs="Arial"/>
          <w:bCs/>
          <w:i/>
          <w:sz w:val="22"/>
          <w:szCs w:val="22"/>
        </w:rPr>
        <w:t xml:space="preserve"> a fondos para la constitución de cooperativas y de cajas de ahorro, </w:t>
      </w:r>
      <w:r>
        <w:rPr>
          <w:rFonts w:ascii="Palatino Linotype" w:hAnsi="Palatino Linotype" w:cs="Arial"/>
          <w:i/>
          <w:sz w:val="22"/>
          <w:szCs w:val="22"/>
          <w:lang w:eastAsia="es-MX"/>
        </w:rPr>
        <w:t>siempre</w:t>
      </w:r>
      <w:r>
        <w:rPr>
          <w:rFonts w:ascii="Palatino Linotype" w:hAnsi="Palatino Linotype" w:cs="Arial"/>
          <w:bCs/>
          <w:i/>
          <w:sz w:val="22"/>
          <w:szCs w:val="22"/>
        </w:rPr>
        <w:t xml:space="preserve"> que el servidor público hubiese manifestado previamente, de manera expresa, su conformidad;</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 xml:space="preserve">V. Descuentos ordenados por el Instituto de Seguridad Social del Estado de México y </w:t>
      </w:r>
      <w:r>
        <w:rPr>
          <w:rFonts w:ascii="Palatino Linotype" w:hAnsi="Palatino Linotype" w:cs="Arial"/>
          <w:i/>
          <w:sz w:val="22"/>
          <w:szCs w:val="22"/>
          <w:lang w:eastAsia="es-MX"/>
        </w:rPr>
        <w:t>Municipios</w:t>
      </w:r>
      <w:r>
        <w:rPr>
          <w:rFonts w:ascii="Palatino Linotype" w:hAnsi="Palatino Linotype" w:cs="Arial"/>
          <w:bCs/>
          <w:i/>
          <w:sz w:val="22"/>
          <w:szCs w:val="22"/>
        </w:rPr>
        <w:t>, con motivo de cuotas y obligaciones contraídas con éste por los servidores públicos;</w:t>
      </w:r>
    </w:p>
    <w:p w:rsidR="009A3138" w:rsidRDefault="001D333F">
      <w:pPr>
        <w:spacing w:beforeAutospacing="1" w:afterAutospacing="1"/>
        <w:ind w:left="851" w:right="902"/>
        <w:contextualSpacing/>
        <w:jc w:val="both"/>
        <w:rPr>
          <w:rFonts w:ascii="Palatino Linotype" w:hAnsi="Palatino Linotype" w:cs="Arial"/>
          <w:b/>
          <w:bCs/>
          <w:i/>
          <w:sz w:val="22"/>
          <w:szCs w:val="22"/>
        </w:rPr>
      </w:pPr>
      <w:r>
        <w:rPr>
          <w:rFonts w:ascii="Palatino Linotype" w:hAnsi="Palatino Linotype" w:cs="Arial"/>
          <w:b/>
          <w:bCs/>
          <w:i/>
          <w:sz w:val="22"/>
          <w:szCs w:val="22"/>
        </w:rPr>
        <w:t>VI. Obligaciones a cargo del servidor público con las que haya consentido</w:t>
      </w:r>
      <w:r>
        <w:rPr>
          <w:rFonts w:ascii="Palatino Linotype" w:hAnsi="Palatino Linotype" w:cs="Arial"/>
          <w:bCs/>
          <w:i/>
          <w:sz w:val="22"/>
          <w:szCs w:val="22"/>
        </w:rPr>
        <w:t>, derivadas de la adquisición o del uso de habitaciones consideradas como de interés social;</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 xml:space="preserve">VII. Faltas de </w:t>
      </w:r>
      <w:r>
        <w:rPr>
          <w:rFonts w:ascii="Palatino Linotype" w:hAnsi="Palatino Linotype" w:cs="Arial"/>
          <w:i/>
          <w:sz w:val="22"/>
          <w:szCs w:val="22"/>
          <w:lang w:eastAsia="es-MX"/>
        </w:rPr>
        <w:t>puntualidad</w:t>
      </w:r>
      <w:r>
        <w:rPr>
          <w:rFonts w:ascii="Palatino Linotype" w:hAnsi="Palatino Linotype" w:cs="Arial"/>
          <w:bCs/>
          <w:i/>
          <w:sz w:val="22"/>
          <w:szCs w:val="22"/>
        </w:rPr>
        <w:t xml:space="preserve"> o </w:t>
      </w:r>
      <w:r>
        <w:rPr>
          <w:rFonts w:ascii="Palatino Linotype" w:hAnsi="Palatino Linotype" w:cs="Arial"/>
          <w:i/>
          <w:sz w:val="22"/>
          <w:szCs w:val="22"/>
          <w:lang w:eastAsia="es-MX"/>
        </w:rPr>
        <w:t>de</w:t>
      </w:r>
      <w:r>
        <w:rPr>
          <w:rFonts w:ascii="Palatino Linotype" w:hAnsi="Palatino Linotype" w:cs="Arial"/>
          <w:bCs/>
          <w:i/>
          <w:sz w:val="22"/>
          <w:szCs w:val="22"/>
        </w:rPr>
        <w:t xml:space="preserve"> asistencia injustificadas;</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
          <w:bCs/>
          <w:i/>
          <w:sz w:val="22"/>
          <w:szCs w:val="22"/>
        </w:rPr>
        <w:t>VIII. Pensiones alimenticias ordenadas por la autoridad judicial;</w:t>
      </w:r>
      <w:r>
        <w:rPr>
          <w:rFonts w:ascii="Palatino Linotype" w:hAnsi="Palatino Linotype" w:cs="Arial"/>
          <w:bCs/>
          <w:i/>
          <w:sz w:val="22"/>
          <w:szCs w:val="22"/>
        </w:rPr>
        <w:t xml:space="preserve"> o</w:t>
      </w:r>
    </w:p>
    <w:p w:rsidR="009A3138" w:rsidRDefault="001D333F">
      <w:pPr>
        <w:spacing w:beforeAutospacing="1" w:afterAutospacing="1"/>
        <w:ind w:left="851" w:right="902"/>
        <w:contextualSpacing/>
        <w:jc w:val="both"/>
        <w:rPr>
          <w:rFonts w:ascii="Palatino Linotype" w:hAnsi="Palatino Linotype" w:cs="Arial"/>
          <w:b/>
          <w:bCs/>
          <w:i/>
          <w:sz w:val="22"/>
          <w:szCs w:val="22"/>
        </w:rPr>
      </w:pPr>
      <w:r>
        <w:rPr>
          <w:rFonts w:ascii="Palatino Linotype" w:hAnsi="Palatino Linotype" w:cs="Arial"/>
          <w:b/>
          <w:bCs/>
          <w:i/>
          <w:sz w:val="22"/>
          <w:szCs w:val="22"/>
        </w:rPr>
        <w:t>IX. Cualquier otro convenido con instituciones de servicios y aceptado por el servidor público.</w:t>
      </w:r>
    </w:p>
    <w:p w:rsidR="009A3138" w:rsidRDefault="001D333F">
      <w:pPr>
        <w:spacing w:beforeAutospacing="1" w:afterAutospacing="1"/>
        <w:ind w:left="851" w:right="902"/>
        <w:contextualSpacing/>
        <w:jc w:val="both"/>
        <w:rPr>
          <w:rFonts w:ascii="Palatino Linotype" w:hAnsi="Palatino Linotype" w:cs="Arial"/>
          <w:sz w:val="22"/>
          <w:szCs w:val="22"/>
        </w:rPr>
      </w:pPr>
      <w:r>
        <w:rPr>
          <w:rFonts w:ascii="Palatino Linotype" w:hAnsi="Palatino Linotype" w:cs="Arial"/>
          <w:bCs/>
          <w:i/>
          <w:sz w:val="22"/>
          <w:szCs w:val="22"/>
        </w:rPr>
        <w:t xml:space="preserve">El monto total de las retenciones, descuentos o deducciones no podrá exceder del 30% de la remuneración total, </w:t>
      </w:r>
      <w:r>
        <w:rPr>
          <w:rFonts w:ascii="Palatino Linotype" w:hAnsi="Palatino Linotype" w:cs="Arial"/>
          <w:i/>
          <w:sz w:val="22"/>
          <w:szCs w:val="22"/>
          <w:lang w:eastAsia="es-MX"/>
        </w:rPr>
        <w:t>excepto</w:t>
      </w:r>
      <w:r>
        <w:rPr>
          <w:rFonts w:ascii="Palatino Linotype" w:hAnsi="Palatino Linotype" w:cs="Arial"/>
          <w:bCs/>
          <w:i/>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Pr>
          <w:rFonts w:ascii="Palatino Linotype" w:hAnsi="Palatino Linotype" w:cs="Arial"/>
          <w:bCs/>
          <w:i/>
          <w:sz w:val="22"/>
          <w:szCs w:val="22"/>
        </w:rPr>
        <w:lastRenderedPageBreak/>
        <w:t xml:space="preserve">en la fracción VIII de este artículo, en que se </w:t>
      </w:r>
      <w:r>
        <w:rPr>
          <w:rFonts w:ascii="Palatino Linotype" w:hAnsi="Palatino Linotype" w:cs="Arial"/>
          <w:i/>
          <w:sz w:val="22"/>
          <w:szCs w:val="22"/>
          <w:lang w:eastAsia="es-MX"/>
        </w:rPr>
        <w:t>ajustará</w:t>
      </w:r>
      <w:r>
        <w:rPr>
          <w:rFonts w:ascii="Palatino Linotype" w:hAnsi="Palatino Linotype" w:cs="Arial"/>
          <w:bCs/>
          <w:i/>
          <w:sz w:val="22"/>
          <w:szCs w:val="22"/>
        </w:rPr>
        <w:t xml:space="preserve"> a lo determinado por la autoridad judicial.” </w:t>
      </w:r>
    </w:p>
    <w:p w:rsidR="009A3138" w:rsidRDefault="009A3138">
      <w:pPr>
        <w:spacing w:beforeAutospacing="1" w:afterAutospacing="1"/>
        <w:ind w:left="851" w:right="902"/>
        <w:contextualSpacing/>
        <w:jc w:val="both"/>
        <w:rPr>
          <w:rFonts w:ascii="Palatino Linotype" w:hAnsi="Palatino Linotype" w:cs="Arial"/>
          <w:bCs/>
          <w:i/>
          <w:sz w:val="22"/>
          <w:szCs w:val="22"/>
        </w:rPr>
      </w:pP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(Énfasis añadido)</w:t>
      </w:r>
    </w:p>
    <w:p w:rsidR="009A3138" w:rsidRDefault="009A3138">
      <w:pPr>
        <w:spacing w:beforeAutospacing="1" w:afterAutospacing="1" w:line="360" w:lineRule="auto"/>
        <w:contextualSpacing/>
        <w:jc w:val="both"/>
        <w:rPr>
          <w:rFonts w:ascii="Palatino Linotype" w:hAnsi="Palatino Linotype" w:cs="Arial"/>
        </w:rPr>
      </w:pPr>
    </w:p>
    <w:p w:rsidR="009A3138" w:rsidRDefault="001D333F">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9A3138" w:rsidRDefault="009A3138">
      <w:pPr>
        <w:spacing w:beforeAutospacing="1" w:afterAutospacing="1" w:line="360" w:lineRule="auto"/>
        <w:contextualSpacing/>
        <w:jc w:val="both"/>
        <w:rPr>
          <w:rFonts w:ascii="Palatino Linotype" w:hAnsi="Palatino Linotype" w:cs="Arial"/>
          <w:lang w:val="es-ES_tradnl"/>
        </w:rPr>
      </w:pPr>
    </w:p>
    <w:p w:rsidR="009A3138" w:rsidRDefault="001D333F">
      <w:pPr>
        <w:spacing w:beforeAutospacing="1" w:afterAutospacing="1" w:line="360" w:lineRule="auto"/>
        <w:contextualSpacing/>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A3138" w:rsidRDefault="009A3138">
      <w:pPr>
        <w:spacing w:beforeAutospacing="1" w:afterAutospacing="1"/>
        <w:ind w:left="851" w:right="902"/>
        <w:contextualSpacing/>
        <w:jc w:val="center"/>
        <w:rPr>
          <w:rFonts w:ascii="Palatino Linotype" w:hAnsi="Palatino Linotype" w:cs="Arial"/>
          <w:b/>
          <w:i/>
          <w:sz w:val="22"/>
          <w:szCs w:val="22"/>
        </w:rPr>
      </w:pPr>
    </w:p>
    <w:p w:rsidR="009A3138" w:rsidRDefault="001D333F">
      <w:pPr>
        <w:spacing w:beforeAutospacing="1" w:afterAutospacing="1"/>
        <w:ind w:left="851" w:right="902"/>
        <w:contextualSpacing/>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rsidR="009A3138" w:rsidRDefault="009A3138">
      <w:pPr>
        <w:spacing w:beforeAutospacing="1" w:afterAutospacing="1"/>
        <w:ind w:left="851" w:right="902"/>
        <w:contextualSpacing/>
        <w:jc w:val="center"/>
        <w:rPr>
          <w:rFonts w:ascii="Palatino Linotype" w:hAnsi="Palatino Linotype" w:cs="Arial"/>
          <w:b/>
          <w:i/>
          <w:sz w:val="22"/>
          <w:szCs w:val="22"/>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la clasificación de la información;</w:t>
      </w:r>
    </w:p>
    <w:p w:rsidR="009A3138" w:rsidRDefault="001D333F">
      <w:pPr>
        <w:spacing w:beforeAutospacing="1" w:afterAutospacing="1"/>
        <w:ind w:left="851" w:right="902"/>
        <w:contextualSpacing/>
        <w:jc w:val="both"/>
        <w:rPr>
          <w:rFonts w:ascii="Palatino Linotype" w:hAnsi="Palatino Linotype" w:cs="Arial"/>
          <w:b/>
          <w:i/>
          <w:sz w:val="22"/>
          <w:szCs w:val="22"/>
          <w:lang w:eastAsia="es-MX"/>
        </w:rPr>
      </w:pPr>
      <w:r>
        <w:rPr>
          <w:rFonts w:ascii="Palatino Linotype" w:hAnsi="Palatino Linotype" w:cs="Arial"/>
          <w:b/>
          <w:i/>
          <w:sz w:val="22"/>
          <w:szCs w:val="22"/>
          <w:lang w:eastAsia="es-MX"/>
        </w:rPr>
        <w:lastRenderedPageBreak/>
        <w:t>Artículo 132.</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La clasificación de la información se llevará a cabo en el momento en que:</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Se generen versiones públicas para dar cumplimiento a las obligaciones de transparencia previstas en esta Ley</w:t>
      </w:r>
      <w:r>
        <w:rPr>
          <w:rFonts w:ascii="Palatino Linotype" w:hAnsi="Palatino Linotype" w:cs="Arial"/>
          <w:i/>
          <w:sz w:val="22"/>
          <w:szCs w:val="22"/>
          <w:lang w:eastAsia="es-MX"/>
        </w:rPr>
        <w:t>.”</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center"/>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w:t>
      </w:r>
    </w:p>
    <w:p w:rsidR="009A3138" w:rsidRDefault="009A3138">
      <w:pPr>
        <w:spacing w:beforeAutospacing="1" w:afterAutospacing="1"/>
        <w:ind w:left="851" w:right="902"/>
        <w:contextualSpacing/>
        <w:jc w:val="center"/>
        <w:rPr>
          <w:rFonts w:ascii="Palatino Linotype" w:hAnsi="Palatino Linotype" w:cs="Arial"/>
          <w:b/>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szCs w:val="22"/>
        </w:rPr>
        <w:t>Comité</w:t>
      </w:r>
      <w:r>
        <w:rPr>
          <w:rFonts w:ascii="Palatino Linotype" w:hAnsi="Palatino Linotype" w:cs="Arial"/>
          <w:i/>
          <w:sz w:val="22"/>
          <w:szCs w:val="22"/>
          <w:lang w:eastAsia="es-MX"/>
        </w:rPr>
        <w:t xml:space="preserve"> de Transparencia.</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lang w:eastAsia="es-MX"/>
        </w:rPr>
        <w:t xml:space="preserve">confidencial, de manera total o parcial, el titular del </w:t>
      </w:r>
      <w:r>
        <w:rPr>
          <w:rFonts w:ascii="Palatino Linotype" w:hAnsi="Palatino Linotype" w:cs="Arial"/>
          <w:b/>
          <w:bCs/>
          <w:i/>
          <w:sz w:val="22"/>
          <w:szCs w:val="22"/>
        </w:rPr>
        <w:t>área</w:t>
      </w:r>
      <w:r>
        <w:rPr>
          <w:rFonts w:ascii="Palatino Linotype" w:hAnsi="Palatino Linotype" w:cs="Arial"/>
          <w:b/>
          <w:i/>
          <w:sz w:val="22"/>
          <w:szCs w:val="22"/>
          <w:lang w:eastAsia="es-MX"/>
        </w:rPr>
        <w:t xml:space="preserve"> del sujeto </w:t>
      </w:r>
      <w:r>
        <w:rPr>
          <w:rFonts w:ascii="Palatino Linotype" w:hAnsi="Palatino Linotype" w:cs="Arial"/>
          <w:b/>
          <w:i/>
          <w:sz w:val="22"/>
          <w:szCs w:val="22"/>
        </w:rPr>
        <w:t>obligado</w:t>
      </w:r>
      <w:r>
        <w:rPr>
          <w:rFonts w:ascii="Palatino Linotype" w:hAnsi="Palatino Linotype" w:cs="Arial"/>
          <w:b/>
          <w:i/>
          <w:sz w:val="22"/>
          <w:szCs w:val="22"/>
          <w:lang w:eastAsia="es-MX"/>
        </w:rPr>
        <w:t xml:space="preserve"> deberá atender lo dispuesto por el Título Sexto de la Ley General</w:t>
      </w:r>
      <w:r>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szCs w:val="22"/>
        </w:rPr>
        <w:t>mediante</w:t>
      </w:r>
      <w:r>
        <w:rPr>
          <w:rFonts w:ascii="Palatino Linotype" w:hAnsi="Palatino Linotype" w:cs="Arial"/>
          <w:i/>
          <w:sz w:val="22"/>
          <w:szCs w:val="22"/>
          <w:lang w:eastAsia="es-MX"/>
        </w:rPr>
        <w:t xml:space="preserve"> resolución de autoridad competente, o</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sz w:val="22"/>
          <w:szCs w:val="22"/>
        </w:rPr>
        <w:t>expresamente</w:t>
      </w:r>
      <w:r>
        <w:rPr>
          <w:rFonts w:ascii="Palatino Linotype" w:hAnsi="Palatino Linotype" w:cs="Arial"/>
          <w:i/>
          <w:sz w:val="22"/>
          <w:szCs w:val="22"/>
          <w:lang w:eastAsia="es-MX"/>
        </w:rPr>
        <w:t xml:space="preserve"> le otorga el carácter de reservada o confidencial.</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i/>
          <w:sz w:val="22"/>
          <w:szCs w:val="22"/>
          <w:lang w:eastAsia="es-MX"/>
        </w:rPr>
        <w:t xml:space="preserve">Para </w:t>
      </w:r>
      <w:r>
        <w:rPr>
          <w:rFonts w:ascii="Palatino Linotype" w:hAnsi="Palatino Linotype" w:cs="Arial"/>
          <w:bCs/>
          <w:i/>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szCs w:val="22"/>
        </w:rPr>
        <w:t xml:space="preserve"> a concluir que el caso particular se ajusta al supuesto previsto por la norma legal invocada como fundamento.</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9A3138" w:rsidRDefault="001D333F">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Cs/>
          <w:i/>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Pr>
          <w:rFonts w:ascii="Palatino Linotype" w:hAnsi="Palatino Linotype" w:cs="Arial"/>
          <w:i/>
          <w:sz w:val="22"/>
          <w:szCs w:val="22"/>
          <w:lang w:eastAsia="es-MX"/>
        </w:rPr>
        <w:lastRenderedPageBreak/>
        <w:t>información clasificada, en los términos de los Lineamientos para la Organización y Conservación de Archivos.</w:t>
      </w: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A3138" w:rsidRDefault="009A3138">
      <w:pPr>
        <w:spacing w:beforeAutospacing="1" w:afterAutospacing="1"/>
        <w:ind w:left="851" w:right="902"/>
        <w:contextualSpacing/>
        <w:jc w:val="both"/>
        <w:rPr>
          <w:rFonts w:ascii="Palatino Linotype" w:hAnsi="Palatino Linotype" w:cs="Arial"/>
          <w:i/>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(Énfasis Añadido)</w:t>
      </w:r>
    </w:p>
    <w:p w:rsidR="009A3138" w:rsidRDefault="009A3138">
      <w:pPr>
        <w:spacing w:beforeAutospacing="1" w:afterAutospacing="1" w:line="360" w:lineRule="auto"/>
        <w:contextualSpacing/>
        <w:jc w:val="both"/>
        <w:rPr>
          <w:rFonts w:ascii="Palatino Linotype" w:hAnsi="Palatino Linotype"/>
        </w:rPr>
      </w:pPr>
    </w:p>
    <w:p w:rsidR="009A3138" w:rsidRDefault="001D333F">
      <w:pPr>
        <w:spacing w:beforeAutospacing="1" w:afterAutospacing="1" w:line="360" w:lineRule="auto"/>
        <w:contextualSpacing/>
        <w:jc w:val="both"/>
        <w:rPr>
          <w:rFonts w:ascii="Palatino Linotype" w:hAnsi="Palatino Linotype" w:cs="Arial"/>
        </w:rPr>
      </w:pPr>
      <w:r>
        <w:rPr>
          <w:rFonts w:ascii="Palatino Linotype" w:hAnsi="Palatino Linotype"/>
        </w:rPr>
        <w:t xml:space="preserve">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lo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A3138" w:rsidRDefault="009A3138">
      <w:pPr>
        <w:widowControl w:val="0"/>
        <w:spacing w:beforeAutospacing="1" w:afterAutospacing="1" w:line="360" w:lineRule="auto"/>
        <w:contextualSpacing/>
        <w:jc w:val="both"/>
        <w:rPr>
          <w:rFonts w:ascii="Palatino Linotype" w:eastAsia="Calibri" w:hAnsi="Palatino Linotype" w:cs="Arial"/>
        </w:rPr>
      </w:pPr>
    </w:p>
    <w:p w:rsidR="009A3138" w:rsidRDefault="001D333F">
      <w:pPr>
        <w:spacing w:beforeAutospacing="1" w:afterAutospacing="1" w:line="360" w:lineRule="auto"/>
        <w:jc w:val="both"/>
        <w:rPr>
          <w:rFonts w:ascii="Palatino Linotype" w:hAnsi="Palatino Linotype" w:cs="Arial"/>
        </w:rPr>
      </w:pPr>
      <w:r>
        <w:rPr>
          <w:rFonts w:ascii="Palatino Linotype" w:hAnsi="Palatino Linotype" w:cs="Arial"/>
        </w:rPr>
        <w:t xml:space="preserve">Así, esta Ponencia Resolutora califica de </w:t>
      </w:r>
      <w:r>
        <w:rPr>
          <w:rFonts w:ascii="Palatino Linotype" w:hAnsi="Palatino Linotype" w:cs="Arial"/>
          <w:b/>
        </w:rPr>
        <w:t>fundadas</w:t>
      </w:r>
      <w:r>
        <w:rPr>
          <w:rFonts w:ascii="Palatino Linotype" w:hAnsi="Palatino Linotype" w:cs="Arial"/>
        </w:rPr>
        <w:t xml:space="preserve"> las razones o motivos de inconformidad señalados por el particular en el recurso de revisión </w:t>
      </w:r>
      <w:r>
        <w:rPr>
          <w:rFonts w:ascii="Palatino Linotype" w:hAnsi="Palatino Linotype" w:cs="Arial"/>
          <w:b/>
        </w:rPr>
        <w:lastRenderedPageBreak/>
        <w:t>01187/INFOEM/IP/RR/2020</w:t>
      </w:r>
      <w:r>
        <w:rPr>
          <w:rFonts w:ascii="Palatino Linotype" w:hAnsi="Palatino Linotype" w:cs="Arial"/>
        </w:rPr>
        <w:t xml:space="preserve">; toda vez que, </w:t>
      </w:r>
      <w:r>
        <w:rPr>
          <w:rFonts w:ascii="Palatino Linotype" w:hAnsi="Palatino Linotype" w:cs="Arial"/>
          <w:b/>
        </w:rPr>
        <w:t xml:space="preserve">EL SUJETO OBLIGADO </w:t>
      </w:r>
      <w:r>
        <w:rPr>
          <w:rFonts w:ascii="Palatino Linotype" w:hAnsi="Palatino Linotype" w:cs="Arial"/>
        </w:rPr>
        <w:t xml:space="preserve">no hizo entrega de manera completa de la información solicitada; por lo que, en términos del artículo 186, fracción III, en relación con el 179, fracción V de la Ley de </w:t>
      </w:r>
      <w:r>
        <w:rPr>
          <w:rFonts w:ascii="Palatino Linotype" w:hAnsi="Palatino Linotype"/>
          <w:bCs/>
        </w:rPr>
        <w:t>Transparencia</w:t>
      </w:r>
      <w:r>
        <w:rPr>
          <w:rFonts w:ascii="Palatino Linotype" w:hAnsi="Palatino Linotype" w:cs="Arial"/>
        </w:rPr>
        <w:t xml:space="preserve"> y Acceso a la Información Pública del Estado de México y Municipios, y se determina </w:t>
      </w:r>
      <w:r>
        <w:rPr>
          <w:rFonts w:ascii="Palatino Linotype" w:hAnsi="Palatino Linotype" w:cs="Arial"/>
          <w:b/>
        </w:rPr>
        <w:t xml:space="preserve">Modificar </w:t>
      </w:r>
      <w:r>
        <w:rPr>
          <w:rFonts w:ascii="Palatino Linotype" w:hAnsi="Palatino Linotype" w:cs="Arial"/>
        </w:rPr>
        <w:t xml:space="preserve">la respuesta </w:t>
      </w:r>
      <w:r>
        <w:rPr>
          <w:rFonts w:ascii="Palatino Linotype" w:hAnsi="Palatino Linotype" w:cs="Arial"/>
          <w:b/>
        </w:rPr>
        <w:t xml:space="preserve">00008/TEOTIHUA/IP/2020 </w:t>
      </w:r>
      <w:r>
        <w:rPr>
          <w:rFonts w:ascii="Palatino Linotype" w:hAnsi="Palatino Linotype" w:cs="Arial"/>
        </w:rPr>
        <w:t xml:space="preserve">del </w:t>
      </w:r>
      <w:r>
        <w:rPr>
          <w:rFonts w:ascii="Palatino Linotype" w:hAnsi="Palatino Linotype" w:cs="Arial"/>
          <w:b/>
        </w:rPr>
        <w:t>SUJETO OBLIGADO</w:t>
      </w:r>
      <w:r>
        <w:rPr>
          <w:rFonts w:ascii="Palatino Linotype" w:hAnsi="Palatino Linotype" w:cs="Arial"/>
        </w:rPr>
        <w:t xml:space="preserve"> y ordenar la entrega a la hoy</w:t>
      </w:r>
      <w:r>
        <w:rPr>
          <w:rFonts w:ascii="Palatino Linotype" w:hAnsi="Palatino Linotype" w:cs="Arial"/>
          <w:b/>
        </w:rPr>
        <w:t xml:space="preserve"> RECURRENTE</w:t>
      </w:r>
      <w:r>
        <w:rPr>
          <w:rFonts w:ascii="Palatino Linotype" w:hAnsi="Palatino Linotype" w:cs="Arial"/>
        </w:rPr>
        <w:t xml:space="preserve"> de la información que ha quedado precisada.</w:t>
      </w:r>
    </w:p>
    <w:p w:rsidR="009A3138" w:rsidRDefault="001D333F">
      <w:pPr>
        <w:pStyle w:val="Prrafodelista"/>
        <w:widowControl w:val="0"/>
        <w:tabs>
          <w:tab w:val="left" w:pos="1418"/>
        </w:tabs>
        <w:spacing w:beforeAutospacing="1" w:afterAutospacing="1" w:line="360" w:lineRule="auto"/>
        <w:ind w:left="0"/>
        <w:contextualSpacing/>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xml:space="preserve">, 36, fracciones I y II, 176, 178, 179, 181, 185, fracción I, 186 y 188 </w:t>
      </w:r>
      <w:r>
        <w:rPr>
          <w:rFonts w:ascii="Palatino Linotype" w:eastAsia="Calibri" w:hAnsi="Palatino Linotype" w:cs="Arial"/>
        </w:rPr>
        <w:t xml:space="preserve">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93673D" w:rsidRDefault="0093673D">
      <w:pPr>
        <w:spacing w:beforeAutospacing="1" w:afterAutospacing="1" w:line="360" w:lineRule="auto"/>
        <w:contextualSpacing/>
        <w:jc w:val="center"/>
        <w:rPr>
          <w:rFonts w:ascii="Palatino Linotype" w:hAnsi="Palatino Linotype"/>
          <w:b/>
          <w:bCs/>
          <w:spacing w:val="60"/>
          <w:sz w:val="28"/>
        </w:rPr>
      </w:pPr>
    </w:p>
    <w:p w:rsidR="009A3138" w:rsidRDefault="001D333F">
      <w:pPr>
        <w:spacing w:beforeAutospacing="1" w:afterAutospacing="1" w:line="360" w:lineRule="auto"/>
        <w:contextualSpacing/>
        <w:jc w:val="center"/>
        <w:rPr>
          <w:rFonts w:ascii="Palatino Linotype" w:hAnsi="Palatino Linotype"/>
          <w:b/>
          <w:bCs/>
          <w:spacing w:val="60"/>
          <w:sz w:val="28"/>
        </w:rPr>
      </w:pPr>
      <w:r>
        <w:rPr>
          <w:rFonts w:ascii="Palatino Linotype" w:hAnsi="Palatino Linotype"/>
          <w:b/>
          <w:bCs/>
          <w:spacing w:val="60"/>
          <w:sz w:val="28"/>
        </w:rPr>
        <w:t>RESUELVE</w:t>
      </w:r>
    </w:p>
    <w:p w:rsidR="0093673D" w:rsidRDefault="0093673D">
      <w:pPr>
        <w:spacing w:beforeAutospacing="1" w:afterAutospacing="1" w:line="360" w:lineRule="auto"/>
        <w:contextualSpacing/>
        <w:jc w:val="both"/>
        <w:rPr>
          <w:rFonts w:ascii="Palatino Linotype" w:hAnsi="Palatino Linotype" w:cs="Arial"/>
          <w:b/>
          <w:sz w:val="28"/>
          <w:szCs w:val="28"/>
        </w:rPr>
      </w:pPr>
    </w:p>
    <w:p w:rsidR="009A3138" w:rsidRDefault="001D333F">
      <w:pPr>
        <w:spacing w:beforeAutospacing="1" w:afterAutospacing="1" w:line="360" w:lineRule="auto"/>
        <w:contextualSpacing/>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Resultan </w:t>
      </w:r>
      <w:r>
        <w:rPr>
          <w:rFonts w:ascii="Palatino Linotype" w:hAnsi="Palatino Linotype" w:cs="Arial"/>
          <w:b/>
        </w:rPr>
        <w:t>fundadas</w:t>
      </w:r>
      <w:r>
        <w:rPr>
          <w:rFonts w:ascii="Palatino Linotype" w:hAnsi="Palatino Linotype" w:cs="Arial"/>
        </w:rPr>
        <w:t xml:space="preserve"> las razones o motivos de inconformidad planteadas por </w:t>
      </w:r>
      <w:r>
        <w:rPr>
          <w:rFonts w:ascii="Palatino Linotype" w:hAnsi="Palatino Linotype" w:cs="Arial"/>
          <w:b/>
        </w:rPr>
        <w:t>EL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9A3138" w:rsidRDefault="009A3138">
      <w:pPr>
        <w:spacing w:beforeAutospacing="1" w:afterAutospacing="1" w:line="360" w:lineRule="auto"/>
        <w:ind w:right="49"/>
        <w:contextualSpacing/>
        <w:jc w:val="both"/>
        <w:rPr>
          <w:rFonts w:ascii="Palatino Linotype" w:hAnsi="Palatino Linotype" w:cs="Arial"/>
          <w:b/>
          <w:sz w:val="28"/>
          <w:szCs w:val="28"/>
        </w:rPr>
      </w:pPr>
    </w:p>
    <w:p w:rsidR="009A3138" w:rsidRDefault="001D333F">
      <w:pPr>
        <w:spacing w:beforeAutospacing="1" w:afterAutospacing="1" w:line="360" w:lineRule="auto"/>
        <w:ind w:right="49"/>
        <w:contextualSpacing/>
        <w:jc w:val="both"/>
        <w:rPr>
          <w:rFonts w:ascii="Palatino Linotype" w:hAnsi="Palatino Linotype" w:cs="Arial"/>
          <w:b/>
        </w:rPr>
      </w:pPr>
      <w:r>
        <w:rPr>
          <w:rFonts w:ascii="Palatino Linotype" w:hAnsi="Palatino Linotype" w:cs="Arial"/>
          <w:b/>
          <w:sz w:val="28"/>
          <w:szCs w:val="28"/>
        </w:rPr>
        <w:t>SEGUNDO</w:t>
      </w:r>
      <w:r>
        <w:rPr>
          <w:rFonts w:ascii="Palatino Linotype" w:hAnsi="Palatino Linotype" w:cs="Arial"/>
          <w:sz w:val="28"/>
          <w:szCs w:val="28"/>
        </w:rPr>
        <w:t>.</w:t>
      </w:r>
      <w:r>
        <w:rPr>
          <w:rFonts w:ascii="Palatino Linotype" w:hAnsi="Palatino Linotype" w:cs="Arial"/>
        </w:rPr>
        <w:t xml:space="preserve"> Se </w:t>
      </w:r>
      <w:r>
        <w:rPr>
          <w:rFonts w:ascii="Palatino Linotype" w:hAnsi="Palatino Linotype" w:cs="Arial"/>
          <w:b/>
          <w:color w:val="000000" w:themeColor="text1"/>
        </w:rPr>
        <w:t xml:space="preserve">MODIFICA </w:t>
      </w:r>
      <w:r>
        <w:rPr>
          <w:rFonts w:ascii="Palatino Linotype" w:hAnsi="Palatino Linotype" w:cs="Arial"/>
          <w:color w:val="000000" w:themeColor="text1"/>
        </w:rPr>
        <w:t xml:space="preserve">la respuesta del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otorgada a la solicitud de información número </w:t>
      </w:r>
      <w:r>
        <w:rPr>
          <w:rFonts w:ascii="Palatino Linotype" w:eastAsia="Calibri" w:hAnsi="Palatino Linotype" w:cs="Arial"/>
          <w:b/>
        </w:rPr>
        <w:t>00008/TEOTIHUA/IP/2020</w:t>
      </w:r>
      <w:r>
        <w:rPr>
          <w:rFonts w:ascii="Palatino Linotype" w:hAnsi="Palatino Linotype" w:cs="Arial"/>
          <w:color w:val="000000" w:themeColor="text1"/>
        </w:rPr>
        <w:t xml:space="preserve">, en términos del Considerando </w:t>
      </w:r>
      <w:r>
        <w:rPr>
          <w:rFonts w:ascii="Palatino Linotype" w:hAnsi="Palatino Linotype" w:cs="Arial"/>
          <w:b/>
          <w:color w:val="000000" w:themeColor="text1"/>
        </w:rPr>
        <w:t>QUINTO</w:t>
      </w:r>
      <w:r>
        <w:rPr>
          <w:rFonts w:ascii="Palatino Linotype" w:hAnsi="Palatino Linotype" w:cs="Arial"/>
          <w:color w:val="000000" w:themeColor="text1"/>
        </w:rPr>
        <w:t>,</w:t>
      </w:r>
      <w:r>
        <w:rPr>
          <w:rFonts w:ascii="Palatino Linotype" w:hAnsi="Palatino Linotype" w:cs="Arial"/>
          <w:b/>
          <w:color w:val="000000" w:themeColor="text1"/>
        </w:rPr>
        <w:t xml:space="preserve"> </w:t>
      </w:r>
      <w:r>
        <w:rPr>
          <w:rFonts w:ascii="Palatino Linotype" w:hAnsi="Palatino Linotype" w:cs="Arial"/>
        </w:rPr>
        <w:t>de la presente resolución, y haga entrega al</w:t>
      </w:r>
      <w:r>
        <w:rPr>
          <w:rFonts w:ascii="Palatino Linotype" w:hAnsi="Palatino Linotype" w:cs="Arial"/>
          <w:b/>
        </w:rPr>
        <w:t xml:space="preserve"> RECURRENTE</w:t>
      </w:r>
      <w:r>
        <w:rPr>
          <w:rFonts w:ascii="Palatino Linotype" w:hAnsi="Palatino Linotype" w:cs="Arial"/>
        </w:rPr>
        <w:t xml:space="preserve">, vía </w:t>
      </w:r>
      <w:r>
        <w:rPr>
          <w:rFonts w:ascii="Palatino Linotype" w:hAnsi="Palatino Linotype" w:cs="Arial"/>
          <w:b/>
        </w:rPr>
        <w:t xml:space="preserve">SAIMEX, </w:t>
      </w:r>
      <w:r>
        <w:rPr>
          <w:rFonts w:ascii="Palatino Linotype" w:hAnsi="Palatino Linotype" w:cs="Arial"/>
        </w:rPr>
        <w:t>de ser procedente</w:t>
      </w:r>
      <w:r>
        <w:rPr>
          <w:rFonts w:ascii="Palatino Linotype" w:hAnsi="Palatino Linotype" w:cs="Arial"/>
          <w:b/>
        </w:rPr>
        <w:t xml:space="preserve"> </w:t>
      </w:r>
      <w:r>
        <w:rPr>
          <w:rFonts w:ascii="Palatino Linotype" w:hAnsi="Palatino Linotype" w:cs="Arial"/>
        </w:rPr>
        <w:t>en</w:t>
      </w:r>
      <w:r>
        <w:rPr>
          <w:rFonts w:ascii="Palatino Linotype" w:hAnsi="Palatino Linotype" w:cs="Arial"/>
          <w:b/>
        </w:rPr>
        <w:t xml:space="preserve"> versión pública, </w:t>
      </w:r>
      <w:r>
        <w:rPr>
          <w:rFonts w:ascii="Palatino Linotype" w:hAnsi="Palatino Linotype" w:cs="Arial"/>
        </w:rPr>
        <w:t>de lo siguiente:</w:t>
      </w:r>
    </w:p>
    <w:p w:rsidR="009A3138" w:rsidRDefault="009A3138">
      <w:pPr>
        <w:spacing w:beforeAutospacing="1" w:afterAutospacing="1"/>
        <w:ind w:left="851" w:right="902"/>
        <w:contextualSpacing/>
        <w:jc w:val="both"/>
        <w:rPr>
          <w:rFonts w:ascii="Palatino Linotype" w:hAnsi="Palatino Linotype" w:cs="Arial"/>
          <w:i/>
          <w:sz w:val="22"/>
          <w:szCs w:val="22"/>
        </w:rPr>
      </w:pPr>
    </w:p>
    <w:p w:rsidR="009A3138" w:rsidRDefault="001D333F">
      <w:pPr>
        <w:spacing w:beforeAutospacing="1" w:afterAutospacing="1"/>
        <w:ind w:left="851" w:right="902" w:hanging="142"/>
        <w:contextualSpacing/>
        <w:jc w:val="both"/>
        <w:rPr>
          <w:rFonts w:ascii="Palatino Linotype" w:hAnsi="Palatino Linotype" w:cs="Arial"/>
          <w:i/>
          <w:sz w:val="22"/>
          <w:szCs w:val="22"/>
        </w:rPr>
      </w:pPr>
      <w:r>
        <w:rPr>
          <w:rFonts w:ascii="Palatino Linotype" w:hAnsi="Palatino Linotype" w:cs="Arial"/>
          <w:i/>
          <w:sz w:val="22"/>
          <w:szCs w:val="22"/>
        </w:rPr>
        <w:t>“a) La Balanza de Comprobación detallada al mayor grado de desagregación correspondiente al 31 de diciembre de 2018;</w:t>
      </w:r>
    </w:p>
    <w:p w:rsidR="009A3138" w:rsidRDefault="009A3138">
      <w:pPr>
        <w:spacing w:beforeAutospacing="1" w:afterAutospacing="1"/>
        <w:ind w:left="851" w:right="902"/>
        <w:contextualSpacing/>
        <w:jc w:val="both"/>
        <w:rPr>
          <w:rFonts w:ascii="Palatino Linotype" w:hAnsi="Palatino Linotype" w:cs="Arial"/>
          <w:i/>
          <w:sz w:val="22"/>
          <w:szCs w:val="22"/>
        </w:rPr>
      </w:pPr>
    </w:p>
    <w:p w:rsidR="009A3138" w:rsidRDefault="001D333F">
      <w:pPr>
        <w:spacing w:beforeAutospacing="1" w:afterAutospacing="1"/>
        <w:ind w:left="851" w:right="902"/>
        <w:contextualSpacing/>
        <w:jc w:val="both"/>
        <w:rPr>
          <w:rFonts w:ascii="Palatino Linotype" w:hAnsi="Palatino Linotype"/>
          <w:i/>
          <w:iCs/>
          <w:color w:val="222222"/>
          <w:sz w:val="22"/>
          <w:szCs w:val="22"/>
          <w:lang w:eastAsia="es-MX"/>
        </w:rPr>
      </w:pPr>
      <w:r>
        <w:rPr>
          <w:rFonts w:ascii="Palatino Linotype" w:hAnsi="Palatino Linotype" w:cs="Arial"/>
          <w:i/>
          <w:sz w:val="22"/>
          <w:szCs w:val="22"/>
        </w:rPr>
        <w:t>b) Los recibos de n</w:t>
      </w:r>
      <w:r>
        <w:rPr>
          <w:rFonts w:ascii="Palatino Linotype" w:hAnsi="Palatino Linotype"/>
          <w:i/>
          <w:iCs/>
          <w:color w:val="222222"/>
          <w:sz w:val="22"/>
          <w:szCs w:val="22"/>
          <w:lang w:eastAsia="es-MX"/>
        </w:rPr>
        <w:t>ómina, aguinaldo y prima vacacional del Síndico, Segundo Regidor, Tesorero Municipal, Coordinador de Comunicación Social y su personal adscrito, así como personal adscrito a la Sindicatura generados del 1 de enero al 31 de diciembre de 2019.</w:t>
      </w:r>
    </w:p>
    <w:p w:rsidR="009A3138" w:rsidRDefault="009A3138">
      <w:pPr>
        <w:spacing w:beforeAutospacing="1" w:afterAutospacing="1"/>
        <w:ind w:left="851" w:right="902"/>
        <w:contextualSpacing/>
        <w:jc w:val="both"/>
        <w:rPr>
          <w:rFonts w:ascii="Palatino Linotype" w:hAnsi="Palatino Linotype"/>
          <w:i/>
          <w:iCs/>
          <w:color w:val="222222"/>
          <w:sz w:val="22"/>
          <w:szCs w:val="22"/>
          <w:lang w:eastAsia="es-MX"/>
        </w:rPr>
      </w:pPr>
    </w:p>
    <w:p w:rsidR="009A3138" w:rsidRDefault="001D333F">
      <w:pPr>
        <w:spacing w:beforeAutospacing="1" w:afterAutospacing="1"/>
        <w:ind w:left="851" w:right="902"/>
        <w:contextualSpacing/>
        <w:jc w:val="both"/>
        <w:rPr>
          <w:rFonts w:ascii="Palatino Linotype" w:hAnsi="Palatino Linotype" w:cs="Arial"/>
          <w:i/>
          <w:sz w:val="22"/>
          <w:szCs w:val="22"/>
        </w:rPr>
      </w:pPr>
      <w:r>
        <w:rPr>
          <w:rFonts w:ascii="Palatino Linotype" w:hAnsi="Palatino Linotype"/>
          <w:i/>
          <w:sz w:val="22"/>
          <w:szCs w:val="22"/>
        </w:rPr>
        <w:t>Debiendo</w:t>
      </w:r>
      <w:r>
        <w:rPr>
          <w:rFonts w:ascii="Palatino Linotype" w:hAnsi="Palatino Linotype" w:cs="Arial"/>
          <w:i/>
          <w:sz w:val="22"/>
          <w:szCs w:val="22"/>
        </w:rPr>
        <w:t xml:space="preserve"> </w:t>
      </w:r>
      <w:r>
        <w:rPr>
          <w:rFonts w:ascii="Palatino Linotype" w:hAnsi="Palatino Linotype" w:cs="Arial"/>
          <w:i/>
          <w:sz w:val="22"/>
          <w:szCs w:val="22"/>
          <w:lang w:eastAsia="es-MX"/>
        </w:rPr>
        <w:t>notificar</w:t>
      </w:r>
      <w:r>
        <w:rPr>
          <w:rFonts w:ascii="Palatino Linotype" w:hAnsi="Palatino Linotype" w:cs="Arial"/>
          <w:i/>
          <w:sz w:val="22"/>
          <w:szCs w:val="22"/>
        </w:rPr>
        <w:t xml:space="preserve"> al </w:t>
      </w:r>
      <w:r>
        <w:rPr>
          <w:rFonts w:ascii="Palatino Linotype" w:hAnsi="Palatino Linotype" w:cs="Arial"/>
          <w:b/>
          <w:i/>
          <w:sz w:val="22"/>
          <w:szCs w:val="22"/>
        </w:rPr>
        <w:t>RECURRENTE</w:t>
      </w:r>
      <w:r>
        <w:rPr>
          <w:rFonts w:ascii="Palatino Linotype" w:hAnsi="Palatino Linotype" w:cs="Arial"/>
          <w:i/>
          <w:sz w:val="22"/>
          <w:szCs w:val="22"/>
        </w:rPr>
        <w:t xml:space="preserve"> el Acuerdo de Clasificación de la información que apruebe su Comité de Transparencia con motivo de la versión pública.”</w:t>
      </w:r>
    </w:p>
    <w:p w:rsidR="009A3138" w:rsidRDefault="009A3138">
      <w:pPr>
        <w:spacing w:beforeAutospacing="1" w:afterAutospacing="1" w:line="360" w:lineRule="auto"/>
        <w:ind w:right="49"/>
        <w:contextualSpacing/>
        <w:jc w:val="both"/>
        <w:rPr>
          <w:rFonts w:ascii="Palatino Linotype" w:hAnsi="Palatino Linotype" w:cs="Arial"/>
          <w:b/>
          <w:color w:val="000000" w:themeColor="text1"/>
          <w:sz w:val="28"/>
          <w:szCs w:val="28"/>
        </w:rPr>
      </w:pPr>
    </w:p>
    <w:p w:rsidR="009A3138" w:rsidRDefault="001D333F">
      <w:pPr>
        <w:spacing w:beforeAutospacing="1" w:afterAutospacing="1" w:line="360" w:lineRule="auto"/>
        <w:ind w:right="49"/>
        <w:contextualSpacing/>
        <w:jc w:val="both"/>
        <w:rPr>
          <w:rFonts w:ascii="Palatino Linotype" w:hAnsi="Palatino Linotype"/>
          <w:color w:val="222222"/>
          <w:highlight w:val="white"/>
        </w:rPr>
      </w:pPr>
      <w:r>
        <w:rPr>
          <w:rFonts w:ascii="Palatino Linotype" w:hAnsi="Palatino Linotype" w:cs="Arial"/>
          <w:b/>
          <w:color w:val="000000" w:themeColor="text1"/>
          <w:sz w:val="28"/>
          <w:szCs w:val="28"/>
        </w:rPr>
        <w:t>TERCERO.</w:t>
      </w:r>
      <w:r>
        <w:rPr>
          <w:rStyle w:val="apple-converted-space"/>
          <w:rFonts w:ascii="Palatino Linotype" w:hAnsi="Palatino Linotype"/>
          <w:color w:val="222222"/>
          <w:shd w:val="clear" w:color="auto" w:fill="FFFFFF"/>
        </w:rPr>
        <w:t> </w:t>
      </w:r>
      <w:r>
        <w:rPr>
          <w:rFonts w:ascii="Palatino Linotype" w:hAnsi="Palatino Linotype"/>
          <w:b/>
          <w:color w:val="222222"/>
          <w:lang w:eastAsia="es-ES_tradnl"/>
        </w:rPr>
        <w:t>Notifíquese</w:t>
      </w:r>
      <w:r>
        <w:rPr>
          <w:rFonts w:ascii="Palatino Linotype" w:hAnsi="Palatino Linotype"/>
          <w:color w:val="222222"/>
          <w:lang w:eastAsia="es-ES_tradnl"/>
        </w:rPr>
        <w:t xml:space="preserve"> </w:t>
      </w:r>
      <w:r>
        <w:rPr>
          <w:rFonts w:ascii="Palatino Linotype" w:hAnsi="Palatino Linotype"/>
          <w:color w:val="222222"/>
          <w:shd w:val="clear" w:color="auto" w:fill="FFFFFF"/>
        </w:rPr>
        <w:t>al Titular de la Unidad de Transparencia del</w:t>
      </w:r>
      <w:r>
        <w:rPr>
          <w:rStyle w:val="apple-converted-space"/>
          <w:rFonts w:ascii="Palatino Linotype" w:hAnsi="Palatino Linotype"/>
          <w:color w:val="222222"/>
          <w:shd w:val="clear" w:color="auto" w:fill="FFFFFF"/>
        </w:rPr>
        <w:t> </w:t>
      </w:r>
      <w:r>
        <w:rPr>
          <w:rFonts w:ascii="Palatino Linotype" w:hAnsi="Palatino Linotype"/>
          <w:b/>
          <w:color w:val="222222"/>
          <w:shd w:val="clear" w:color="auto" w:fill="FFFFFF"/>
        </w:rPr>
        <w:t>SUJETO OBLIGADO</w:t>
      </w:r>
      <w:r>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Pr>
          <w:rFonts w:ascii="Palatino Linotype" w:hAnsi="Palatino Linotype"/>
          <w:color w:val="222222"/>
          <w:lang w:eastAsia="es-ES_tradnl"/>
        </w:rPr>
        <w:t>de</w:t>
      </w:r>
      <w:r>
        <w:rPr>
          <w:rFonts w:ascii="Palatino Linotype" w:hAnsi="Palatino Linotype"/>
          <w:color w:val="222222"/>
          <w:shd w:val="clear" w:color="auto" w:fill="FFFFFF"/>
        </w:rPr>
        <w:t xml:space="preserve"> tres días hábiles siguientes sobre el cumplimiento dado a la presente resolución.</w:t>
      </w:r>
    </w:p>
    <w:p w:rsidR="009A3138" w:rsidRDefault="009A3138">
      <w:pPr>
        <w:spacing w:beforeAutospacing="1" w:afterAutospacing="1" w:line="360" w:lineRule="auto"/>
        <w:ind w:right="49"/>
        <w:contextualSpacing/>
        <w:jc w:val="both"/>
        <w:rPr>
          <w:rFonts w:ascii="Palatino Linotype" w:hAnsi="Palatino Linotype" w:cs="Arial"/>
          <w:b/>
          <w:bCs/>
          <w:color w:val="222222"/>
          <w:sz w:val="28"/>
          <w:szCs w:val="28"/>
          <w:lang w:eastAsia="es-MX"/>
        </w:rPr>
      </w:pPr>
    </w:p>
    <w:p w:rsidR="009A3138" w:rsidRDefault="001D333F">
      <w:pPr>
        <w:spacing w:beforeAutospacing="1" w:afterAutospacing="1" w:line="360" w:lineRule="auto"/>
        <w:ind w:right="49"/>
        <w:contextualSpacing/>
        <w:jc w:val="both"/>
        <w:rPr>
          <w:rFonts w:ascii="Palatino Linotype" w:hAnsi="Palatino Linotype"/>
          <w:color w:val="222222"/>
          <w:lang w:eastAsia="es-ES_tradnl"/>
        </w:rPr>
      </w:pPr>
      <w:r>
        <w:rPr>
          <w:rFonts w:ascii="Palatino Linotype" w:hAnsi="Palatino Linotype" w:cs="Arial"/>
          <w:b/>
          <w:bCs/>
          <w:color w:val="222222"/>
          <w:sz w:val="28"/>
          <w:szCs w:val="28"/>
          <w:lang w:eastAsia="es-MX"/>
        </w:rPr>
        <w:t>CUARTO.</w:t>
      </w:r>
      <w:r>
        <w:rPr>
          <w:rFonts w:ascii="Palatino Linotype" w:hAnsi="Palatino Linotype" w:cs="Arial"/>
          <w:b/>
          <w:bCs/>
          <w:color w:val="222222"/>
          <w:lang w:eastAsia="es-MX"/>
        </w:rPr>
        <w:t xml:space="preserve"> </w:t>
      </w:r>
      <w:r>
        <w:rPr>
          <w:rFonts w:ascii="Palatino Linotype" w:hAnsi="Palatino Linotype"/>
          <w:b/>
          <w:color w:val="222222"/>
          <w:lang w:eastAsia="es-ES_tradnl"/>
        </w:rPr>
        <w:t>Notifíquese</w:t>
      </w:r>
      <w:r>
        <w:rPr>
          <w:rFonts w:ascii="Palatino Linotype" w:hAnsi="Palatino Linotype"/>
          <w:color w:val="222222"/>
          <w:lang w:eastAsia="es-ES_tradnl"/>
        </w:rPr>
        <w:t xml:space="preserve"> al</w:t>
      </w:r>
      <w:r>
        <w:rPr>
          <w:rFonts w:ascii="Palatino Linotype" w:hAnsi="Palatino Linotype"/>
          <w:b/>
          <w:color w:val="222222"/>
          <w:lang w:eastAsia="es-ES_tradnl"/>
        </w:rPr>
        <w:t xml:space="preserve"> RECURRENTE</w:t>
      </w:r>
      <w:r>
        <w:rPr>
          <w:rFonts w:ascii="Palatino Linotype" w:hAnsi="Palatino Linotype"/>
          <w:color w:val="222222"/>
          <w:lang w:eastAsia="es-ES_tradnl"/>
        </w:rPr>
        <w:t xml:space="preserve"> la presente resolución.</w:t>
      </w:r>
    </w:p>
    <w:p w:rsidR="009A3138" w:rsidRDefault="009A3138">
      <w:pPr>
        <w:spacing w:beforeAutospacing="1" w:afterAutospacing="1" w:line="360" w:lineRule="auto"/>
        <w:ind w:right="49"/>
        <w:contextualSpacing/>
        <w:jc w:val="both"/>
        <w:rPr>
          <w:rFonts w:ascii="Palatino Linotype" w:hAnsi="Palatino Linotype" w:cs="Arial"/>
          <w:b/>
          <w:bCs/>
          <w:color w:val="222222"/>
          <w:sz w:val="28"/>
          <w:szCs w:val="28"/>
          <w:lang w:eastAsia="es-MX"/>
        </w:rPr>
      </w:pPr>
    </w:p>
    <w:p w:rsidR="009A3138" w:rsidRDefault="001D333F">
      <w:pPr>
        <w:spacing w:beforeAutospacing="1" w:afterAutospacing="1" w:line="360" w:lineRule="auto"/>
        <w:ind w:right="49"/>
        <w:contextualSpacing/>
        <w:jc w:val="both"/>
        <w:rPr>
          <w:rFonts w:ascii="Palatino Linotype" w:hAnsi="Palatino Linotype"/>
          <w:color w:val="222222"/>
          <w:lang w:eastAsia="es-ES_tradnl"/>
        </w:rPr>
      </w:pPr>
      <w:r>
        <w:rPr>
          <w:rFonts w:ascii="Palatino Linotype" w:hAnsi="Palatino Linotype" w:cs="Arial"/>
          <w:b/>
          <w:bCs/>
          <w:color w:val="222222"/>
          <w:sz w:val="28"/>
          <w:szCs w:val="28"/>
          <w:lang w:eastAsia="es-MX"/>
        </w:rPr>
        <w:t>QUINTO.</w:t>
      </w:r>
      <w:r>
        <w:rPr>
          <w:rFonts w:ascii="Palatino Linotype" w:hAnsi="Palatino Linotype"/>
          <w:color w:val="222222"/>
          <w:lang w:eastAsia="es-ES_tradnl"/>
        </w:rPr>
        <w:t xml:space="preserve"> </w:t>
      </w:r>
      <w:r>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del</w:t>
      </w:r>
      <w:r>
        <w:rPr>
          <w:rFonts w:ascii="Palatino Linotype" w:hAnsi="Palatino Linotype"/>
          <w:b/>
          <w:color w:val="222222"/>
          <w:lang w:eastAsia="es-ES_tradnl"/>
        </w:rPr>
        <w:t xml:space="preserve"> RECURRENTE</w:t>
      </w:r>
      <w:r>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9A3138" w:rsidRDefault="009A3138">
      <w:pPr>
        <w:spacing w:beforeAutospacing="1" w:afterAutospacing="1" w:line="360" w:lineRule="auto"/>
        <w:ind w:right="49"/>
        <w:contextualSpacing/>
        <w:jc w:val="both"/>
        <w:rPr>
          <w:rFonts w:ascii="Palatino Linotype" w:hAnsi="Palatino Linotype"/>
          <w:color w:val="222222"/>
          <w:lang w:eastAsia="es-ES_tradnl"/>
        </w:rPr>
      </w:pPr>
    </w:p>
    <w:p w:rsidR="009A3138" w:rsidRDefault="001D333F">
      <w:pPr>
        <w:spacing w:line="360" w:lineRule="auto"/>
        <w:ind w:right="49"/>
        <w:jc w:val="both"/>
        <w:rPr>
          <w:rFonts w:ascii="Palatino Linotype" w:hAnsi="Palatino Linotype"/>
          <w:highlight w:val="white"/>
          <w:lang w:eastAsia="es-MX"/>
        </w:rPr>
      </w:pPr>
      <w:r>
        <w:rPr>
          <w:rFonts w:ascii="Palatino Linotype" w:hAnsi="Palatino Linotype"/>
          <w:b/>
          <w:color w:val="222222"/>
          <w:sz w:val="28"/>
          <w:szCs w:val="28"/>
          <w:lang w:eastAsia="es-ES_tradnl"/>
        </w:rPr>
        <w:lastRenderedPageBreak/>
        <w:t xml:space="preserve">SEXTO. </w:t>
      </w:r>
      <w:r>
        <w:rPr>
          <w:rFonts w:ascii="Palatino Linotype" w:hAnsi="Palatino Linotype"/>
          <w:shd w:val="clear" w:color="auto" w:fill="FFFFFF"/>
          <w:lang w:eastAsia="es-MX"/>
        </w:rPr>
        <w:t xml:space="preserve">Con fundamento en el artículo 198 de la Ley de Transparencia y Acceso a la Información Pública del Estado de México y Municipios, se apercibe al </w:t>
      </w:r>
      <w:r>
        <w:rPr>
          <w:rFonts w:ascii="Palatino Linotype" w:hAnsi="Palatino Linotype"/>
          <w:b/>
          <w:shd w:val="clear" w:color="auto" w:fill="FFFFFF"/>
          <w:lang w:eastAsia="es-MX"/>
        </w:rPr>
        <w:t>SUJETO OBLIGADO</w:t>
      </w:r>
      <w:r>
        <w:rPr>
          <w:rFonts w:ascii="Palatino Linotype" w:hAnsi="Palatino Linotype"/>
          <w:shd w:val="clear" w:color="auto" w:fill="FFFFFF"/>
          <w:lang w:eastAsia="es-MX"/>
        </w:rPr>
        <w:t xml:space="preserve"> que, en caso de negarse a cumplir la presente resolución o hacerlo de manera parcial se actuará de conformidad con lo previsto en los artículos 213, 214, 216 y 217 de dicha Ley.</w:t>
      </w:r>
    </w:p>
    <w:p w:rsidR="009A3138" w:rsidRDefault="009A3138">
      <w:pPr>
        <w:spacing w:beforeAutospacing="1" w:afterAutospacing="1" w:line="360" w:lineRule="auto"/>
        <w:contextualSpacing/>
        <w:jc w:val="both"/>
        <w:rPr>
          <w:rFonts w:ascii="Palatino Linotype" w:hAnsi="Palatino Linotype" w:cs="Arial"/>
        </w:rPr>
      </w:pPr>
    </w:p>
    <w:p w:rsidR="009A3138" w:rsidRDefault="001D333F">
      <w:pPr>
        <w:spacing w:beforeAutospacing="1" w:afterAutospacing="1" w:line="360" w:lineRule="auto"/>
        <w:jc w:val="both"/>
        <w:rPr>
          <w:rFonts w:ascii="Palatino Linotype" w:hAnsi="Palatino Linotype" w:cs="Arial"/>
          <w:lang w:val="es-ES_tradnl"/>
        </w:rPr>
      </w:pPr>
      <w:r>
        <w:rPr>
          <w:rFonts w:ascii="Palatino Linotype" w:hAnsi="Palatino Linotype" w:cs="Arial"/>
        </w:rPr>
        <w:t>ASÍ LO RESUELVE, POR UNANIMIDAD DE VOTOS DE LOS PRESENTES, EL PLENO DEL</w:t>
      </w:r>
      <w:r>
        <w:rPr>
          <w:rFonts w:ascii="Palatino Linotype" w:eastAsia="Arial Unicode MS" w:hAnsi="Palatino Linotype" w:cs="Arial"/>
        </w:rPr>
        <w:t xml:space="preserve"> INSTITUTO DE </w:t>
      </w:r>
      <w:r>
        <w:rPr>
          <w:rFonts w:ascii="Palatino Linotype" w:hAnsi="Palatino Linotype" w:cs="Arial"/>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 LA DÉCIMO CUARTA SESIÓN ORDINARIA CELEBRADA EL DIECINUEVE DE AGOSTO DE DOS MIL VEINTE,</w:t>
      </w:r>
      <w:bookmarkStart w:id="4" w:name="_GoBack1"/>
      <w:bookmarkEnd w:id="4"/>
      <w:r>
        <w:rPr>
          <w:rFonts w:ascii="Palatino Linotype" w:hAnsi="Palatino Linotype" w:cs="Arial"/>
        </w:rPr>
        <w:t xml:space="preserv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10365" w:type="dxa"/>
        <w:jc w:val="center"/>
        <w:tblLook w:val="04A0" w:firstRow="1" w:lastRow="0" w:firstColumn="1" w:lastColumn="0" w:noHBand="0" w:noVBand="1"/>
      </w:tblPr>
      <w:tblGrid>
        <w:gridCol w:w="5182"/>
        <w:gridCol w:w="5183"/>
      </w:tblGrid>
      <w:tr w:rsidR="009A3138">
        <w:trPr>
          <w:jc w:val="center"/>
        </w:trPr>
        <w:tc>
          <w:tcPr>
            <w:tcW w:w="10364" w:type="dxa"/>
            <w:gridSpan w:val="2"/>
          </w:tcPr>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1D333F">
            <w:pPr>
              <w:spacing w:beforeAutospacing="1" w:afterAutospacing="1"/>
              <w:contextualSpacing/>
              <w:jc w:val="center"/>
              <w:rPr>
                <w:rFonts w:ascii="Palatino Linotype" w:hAnsi="Palatino Linotype" w:cs="Arial"/>
                <w:b/>
              </w:rPr>
            </w:pPr>
            <w:r>
              <w:rPr>
                <w:rFonts w:ascii="Palatino Linotype" w:hAnsi="Palatino Linotype" w:cs="Arial"/>
                <w:b/>
              </w:rPr>
              <w:t>Zulema Martínez Sánchez</w:t>
            </w:r>
          </w:p>
          <w:p w:rsidR="009A3138" w:rsidRDefault="001D333F">
            <w:pPr>
              <w:spacing w:beforeAutospacing="1" w:afterAutospacing="1"/>
              <w:contextualSpacing/>
              <w:jc w:val="center"/>
              <w:rPr>
                <w:rFonts w:ascii="Palatino Linotype" w:hAnsi="Palatino Linotype" w:cs="Arial"/>
                <w:b/>
              </w:rPr>
            </w:pPr>
            <w:r>
              <w:rPr>
                <w:rFonts w:ascii="Palatino Linotype" w:hAnsi="Palatino Linotype" w:cs="Arial"/>
              </w:rPr>
              <w:t>Comisionada Presidenta</w:t>
            </w:r>
          </w:p>
          <w:p w:rsidR="009A3138" w:rsidRDefault="001D333F">
            <w:pPr>
              <w:spacing w:beforeAutospacing="1"/>
              <w:contextualSpacing/>
              <w:jc w:val="center"/>
              <w:rPr>
                <w:rFonts w:ascii="Palatino Linotype" w:hAnsi="Palatino Linotype" w:cs="Arial"/>
                <w:b/>
              </w:rPr>
            </w:pPr>
            <w:r>
              <w:rPr>
                <w:rFonts w:ascii="Palatino Linotype" w:hAnsi="Palatino Linotype" w:cs="Arial"/>
                <w:b/>
              </w:rPr>
              <w:t xml:space="preserve">(RÚBRICA) </w:t>
            </w:r>
          </w:p>
        </w:tc>
      </w:tr>
      <w:tr w:rsidR="009A3138">
        <w:trPr>
          <w:jc w:val="center"/>
        </w:trPr>
        <w:tc>
          <w:tcPr>
            <w:tcW w:w="5182" w:type="dxa"/>
          </w:tcPr>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1D333F">
            <w:pPr>
              <w:spacing w:beforeAutospacing="1" w:afterAutospacing="1"/>
              <w:contextualSpacing/>
              <w:jc w:val="center"/>
              <w:rPr>
                <w:rFonts w:ascii="Palatino Linotype" w:hAnsi="Palatino Linotype" w:cs="Arial"/>
                <w:b/>
              </w:rPr>
            </w:pPr>
            <w:r>
              <w:rPr>
                <w:rFonts w:ascii="Palatino Linotype" w:hAnsi="Palatino Linotype" w:cs="Arial"/>
                <w:b/>
              </w:rPr>
              <w:t>Eva Abaid Yapur</w:t>
            </w:r>
          </w:p>
          <w:p w:rsidR="009A3138" w:rsidRDefault="001D333F">
            <w:pPr>
              <w:spacing w:beforeAutospacing="1" w:afterAutospacing="1"/>
              <w:contextualSpacing/>
              <w:jc w:val="center"/>
              <w:rPr>
                <w:rFonts w:ascii="Palatino Linotype" w:hAnsi="Palatino Linotype" w:cs="Arial"/>
              </w:rPr>
            </w:pPr>
            <w:r>
              <w:rPr>
                <w:rFonts w:ascii="Palatino Linotype" w:hAnsi="Palatino Linotype" w:cs="Arial"/>
              </w:rPr>
              <w:t>Comisionada</w:t>
            </w:r>
          </w:p>
          <w:p w:rsidR="009A3138" w:rsidRDefault="001D333F">
            <w:pPr>
              <w:spacing w:beforeAutospacing="1"/>
              <w:contextualSpacing/>
              <w:jc w:val="center"/>
              <w:rPr>
                <w:rFonts w:ascii="Palatino Linotype" w:hAnsi="Palatino Linotype" w:cs="Arial"/>
                <w:b/>
              </w:rPr>
            </w:pPr>
            <w:r>
              <w:rPr>
                <w:rFonts w:ascii="Palatino Linotype" w:hAnsi="Palatino Linotype" w:cs="Arial"/>
                <w:b/>
              </w:rPr>
              <w:t>(RÚBRICA)</w:t>
            </w:r>
          </w:p>
        </w:tc>
        <w:tc>
          <w:tcPr>
            <w:tcW w:w="5182" w:type="dxa"/>
          </w:tcPr>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1D333F">
            <w:pPr>
              <w:spacing w:beforeAutospacing="1" w:afterAutospacing="1"/>
              <w:contextualSpacing/>
              <w:jc w:val="center"/>
              <w:rPr>
                <w:rFonts w:ascii="Palatino Linotype" w:hAnsi="Palatino Linotype" w:cs="Arial"/>
                <w:b/>
              </w:rPr>
            </w:pPr>
            <w:r>
              <w:rPr>
                <w:rFonts w:ascii="Palatino Linotype" w:hAnsi="Palatino Linotype" w:cs="Arial"/>
                <w:b/>
              </w:rPr>
              <w:t>José Guadalupe Luna Hernández</w:t>
            </w:r>
          </w:p>
          <w:p w:rsidR="009A3138" w:rsidRDefault="001D333F">
            <w:pPr>
              <w:spacing w:beforeAutospacing="1" w:afterAutospacing="1"/>
              <w:contextualSpacing/>
              <w:jc w:val="center"/>
              <w:rPr>
                <w:rFonts w:ascii="Palatino Linotype" w:hAnsi="Palatino Linotype" w:cs="Arial"/>
              </w:rPr>
            </w:pPr>
            <w:r>
              <w:rPr>
                <w:rFonts w:ascii="Palatino Linotype" w:hAnsi="Palatino Linotype" w:cs="Arial"/>
              </w:rPr>
              <w:t>Comisionado</w:t>
            </w:r>
          </w:p>
          <w:p w:rsidR="009A3138" w:rsidRDefault="001D333F">
            <w:pPr>
              <w:spacing w:beforeAutospacing="1"/>
              <w:contextualSpacing/>
              <w:jc w:val="center"/>
              <w:rPr>
                <w:rFonts w:ascii="Palatino Linotype" w:hAnsi="Palatino Linotype" w:cs="Arial"/>
                <w:b/>
              </w:rPr>
            </w:pPr>
            <w:r>
              <w:rPr>
                <w:rFonts w:ascii="Palatino Linotype" w:hAnsi="Palatino Linotype" w:cs="Arial"/>
                <w:b/>
              </w:rPr>
              <w:t>(RÚBRICA)</w:t>
            </w:r>
          </w:p>
        </w:tc>
      </w:tr>
      <w:tr w:rsidR="009A3138">
        <w:trPr>
          <w:jc w:val="center"/>
        </w:trPr>
        <w:tc>
          <w:tcPr>
            <w:tcW w:w="5182" w:type="dxa"/>
          </w:tcPr>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1D333F">
            <w:pPr>
              <w:spacing w:beforeAutospacing="1" w:afterAutospacing="1"/>
              <w:contextualSpacing/>
              <w:jc w:val="center"/>
              <w:rPr>
                <w:rFonts w:ascii="Palatino Linotype" w:hAnsi="Palatino Linotype" w:cs="Arial"/>
                <w:b/>
              </w:rPr>
            </w:pPr>
            <w:r>
              <w:rPr>
                <w:rFonts w:ascii="Palatino Linotype" w:hAnsi="Palatino Linotype" w:cs="Arial"/>
                <w:b/>
              </w:rPr>
              <w:t>Javier Martínez Cruz</w:t>
            </w:r>
          </w:p>
          <w:p w:rsidR="009A3138" w:rsidRDefault="001D333F">
            <w:pPr>
              <w:spacing w:beforeAutospacing="1" w:afterAutospacing="1"/>
              <w:contextualSpacing/>
              <w:jc w:val="center"/>
              <w:rPr>
                <w:rFonts w:ascii="Palatino Linotype" w:hAnsi="Palatino Linotype" w:cs="Arial"/>
              </w:rPr>
            </w:pPr>
            <w:r>
              <w:rPr>
                <w:rFonts w:ascii="Palatino Linotype" w:hAnsi="Palatino Linotype" w:cs="Arial"/>
              </w:rPr>
              <w:t>Comisionado</w:t>
            </w:r>
          </w:p>
          <w:p w:rsidR="009A3138" w:rsidRDefault="001D333F">
            <w:pPr>
              <w:spacing w:beforeAutospacing="1"/>
              <w:contextualSpacing/>
              <w:jc w:val="center"/>
              <w:rPr>
                <w:rFonts w:ascii="Palatino Linotype" w:hAnsi="Palatino Linotype" w:cs="Arial"/>
              </w:rPr>
            </w:pPr>
            <w:r>
              <w:rPr>
                <w:rFonts w:ascii="Palatino Linotype" w:hAnsi="Palatino Linotype" w:cs="Arial"/>
                <w:b/>
              </w:rPr>
              <w:t>(RÚBRICA)</w:t>
            </w:r>
          </w:p>
        </w:tc>
        <w:tc>
          <w:tcPr>
            <w:tcW w:w="5182" w:type="dxa"/>
          </w:tcPr>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1D333F">
            <w:pPr>
              <w:spacing w:beforeAutospacing="1" w:afterAutospacing="1"/>
              <w:contextualSpacing/>
              <w:jc w:val="center"/>
              <w:rPr>
                <w:rFonts w:ascii="Palatino Linotype" w:hAnsi="Palatino Linotype" w:cs="Arial"/>
                <w:b/>
              </w:rPr>
            </w:pPr>
            <w:r>
              <w:rPr>
                <w:rFonts w:ascii="Palatino Linotype" w:hAnsi="Palatino Linotype" w:cs="Arial"/>
                <w:b/>
              </w:rPr>
              <w:t>Luis Gustavo Parra Noriega</w:t>
            </w:r>
          </w:p>
          <w:p w:rsidR="009A3138" w:rsidRDefault="001D333F">
            <w:pPr>
              <w:spacing w:beforeAutospacing="1" w:afterAutospacing="1"/>
              <w:contextualSpacing/>
              <w:jc w:val="center"/>
              <w:rPr>
                <w:rFonts w:ascii="Palatino Linotype" w:hAnsi="Palatino Linotype" w:cs="Arial"/>
              </w:rPr>
            </w:pPr>
            <w:r>
              <w:rPr>
                <w:rFonts w:ascii="Palatino Linotype" w:hAnsi="Palatino Linotype" w:cs="Arial"/>
              </w:rPr>
              <w:t>Comisionado</w:t>
            </w:r>
          </w:p>
          <w:p w:rsidR="009A3138" w:rsidRDefault="001D333F">
            <w:pPr>
              <w:spacing w:beforeAutospacing="1"/>
              <w:contextualSpacing/>
              <w:jc w:val="center"/>
              <w:rPr>
                <w:rFonts w:ascii="Palatino Linotype" w:hAnsi="Palatino Linotype" w:cs="Arial"/>
                <w:b/>
              </w:rPr>
            </w:pPr>
            <w:r>
              <w:rPr>
                <w:rFonts w:ascii="Palatino Linotype" w:hAnsi="Palatino Linotype" w:cs="Arial"/>
                <w:b/>
              </w:rPr>
              <w:t>(RÚBRICA)</w:t>
            </w:r>
          </w:p>
        </w:tc>
      </w:tr>
      <w:tr w:rsidR="009A3138">
        <w:trPr>
          <w:jc w:val="center"/>
        </w:trPr>
        <w:tc>
          <w:tcPr>
            <w:tcW w:w="10364" w:type="dxa"/>
            <w:gridSpan w:val="2"/>
          </w:tcPr>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3673D" w:rsidRDefault="0093673D">
            <w:pPr>
              <w:spacing w:beforeAutospacing="1" w:afterAutospacing="1"/>
              <w:contextualSpacing/>
              <w:jc w:val="center"/>
              <w:rPr>
                <w:rFonts w:ascii="Palatino Linotype" w:hAnsi="Palatino Linotype" w:cs="Arial"/>
                <w:b/>
              </w:rPr>
            </w:pPr>
          </w:p>
          <w:p w:rsidR="009A3138" w:rsidRDefault="009A3138">
            <w:pPr>
              <w:spacing w:beforeAutospacing="1" w:afterAutospacing="1"/>
              <w:contextualSpacing/>
              <w:jc w:val="center"/>
              <w:rPr>
                <w:rFonts w:ascii="Palatino Linotype" w:hAnsi="Palatino Linotype" w:cs="Arial"/>
                <w:b/>
              </w:rPr>
            </w:pPr>
          </w:p>
          <w:p w:rsidR="009A3138" w:rsidRDefault="001D333F">
            <w:pPr>
              <w:spacing w:beforeAutospacing="1" w:afterAutospacing="1"/>
              <w:contextualSpacing/>
              <w:jc w:val="center"/>
              <w:rPr>
                <w:rFonts w:ascii="Palatino Linotype" w:hAnsi="Palatino Linotype" w:cs="Arial"/>
                <w:b/>
              </w:rPr>
            </w:pPr>
            <w:r>
              <w:rPr>
                <w:rFonts w:ascii="Palatino Linotype" w:hAnsi="Palatino Linotype" w:cs="Arial"/>
                <w:b/>
              </w:rPr>
              <w:t>Alexis Tapia Ramírez</w:t>
            </w:r>
          </w:p>
          <w:p w:rsidR="009A3138" w:rsidRDefault="001D333F">
            <w:pPr>
              <w:spacing w:beforeAutospacing="1" w:afterAutospacing="1"/>
              <w:contextualSpacing/>
              <w:jc w:val="center"/>
              <w:rPr>
                <w:rFonts w:ascii="Palatino Linotype" w:hAnsi="Palatino Linotype" w:cs="Arial"/>
              </w:rPr>
            </w:pPr>
            <w:r>
              <w:rPr>
                <w:rFonts w:ascii="Palatino Linotype" w:hAnsi="Palatino Linotype" w:cs="Arial"/>
              </w:rPr>
              <w:t>Secretario Técnico del Pleno</w:t>
            </w:r>
          </w:p>
          <w:p w:rsidR="009A3138" w:rsidRDefault="001D333F">
            <w:pPr>
              <w:spacing w:beforeAutospacing="1"/>
              <w:contextualSpacing/>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rsidR="009A3138" w:rsidRDefault="009A3138">
      <w:pPr>
        <w:spacing w:beforeAutospacing="1" w:afterAutospacing="1"/>
        <w:contextualSpacing/>
        <w:jc w:val="both"/>
        <w:rPr>
          <w:rFonts w:ascii="Palatino Linotype" w:hAnsi="Palatino Linotype" w:cs="Arial"/>
          <w:sz w:val="20"/>
        </w:rPr>
      </w:pPr>
    </w:p>
    <w:p w:rsidR="0093673D" w:rsidRDefault="0093673D">
      <w:pPr>
        <w:spacing w:beforeAutospacing="1" w:afterAutospacing="1"/>
        <w:contextualSpacing/>
        <w:jc w:val="both"/>
        <w:rPr>
          <w:rFonts w:ascii="Palatino Linotype" w:hAnsi="Palatino Linotype" w:cs="Arial"/>
          <w:sz w:val="20"/>
        </w:rPr>
      </w:pPr>
    </w:p>
    <w:p w:rsidR="0093673D" w:rsidRDefault="0093673D">
      <w:pPr>
        <w:spacing w:beforeAutospacing="1" w:afterAutospacing="1"/>
        <w:contextualSpacing/>
        <w:jc w:val="both"/>
        <w:rPr>
          <w:rFonts w:ascii="Palatino Linotype" w:hAnsi="Palatino Linotype" w:cs="Arial"/>
          <w:sz w:val="20"/>
        </w:rPr>
      </w:pPr>
    </w:p>
    <w:p w:rsidR="009A3138" w:rsidRDefault="001D333F">
      <w:pPr>
        <w:spacing w:beforeAutospacing="1" w:afterAutospacing="1"/>
        <w:contextualSpacing/>
        <w:jc w:val="both"/>
        <w:rPr>
          <w:rFonts w:ascii="Palatino Linotype" w:hAnsi="Palatino Linotype" w:cs="Arial"/>
          <w:sz w:val="20"/>
        </w:rPr>
      </w:pPr>
      <w:r>
        <w:rPr>
          <w:rFonts w:ascii="Palatino Linotype" w:hAnsi="Palatino Linotype" w:cs="Arial"/>
          <w:sz w:val="20"/>
        </w:rPr>
        <w:t>Esta hoja corresponde a la resolución de fecha diecinueve de agosto de dos mil veinte, emitida en el recurso de revisión 01187/INFOEM/IP/RR/2020.</w:t>
      </w:r>
    </w:p>
    <w:p w:rsidR="009A3138" w:rsidRDefault="001D333F">
      <w:pPr>
        <w:spacing w:beforeAutospacing="1" w:afterAutospacing="1" w:line="360" w:lineRule="auto"/>
        <w:contextualSpacing/>
        <w:jc w:val="both"/>
        <w:rPr>
          <w:rFonts w:ascii="Palatino Linotype" w:hAnsi="Palatino Linotype"/>
        </w:rPr>
      </w:pPr>
      <w:r>
        <w:rPr>
          <w:rFonts w:ascii="Palatino Linotype" w:hAnsi="Palatino Linotype" w:cs="Arial"/>
          <w:sz w:val="20"/>
          <w:szCs w:val="20"/>
          <w:lang w:val="es-ES_tradnl"/>
        </w:rPr>
        <w:t>YSM/LGMJ</w:t>
      </w:r>
    </w:p>
    <w:sectPr w:rsidR="009A3138">
      <w:headerReference w:type="default" r:id="rId18"/>
      <w:footerReference w:type="default" r:id="rId19"/>
      <w:headerReference w:type="first" r:id="rId20"/>
      <w:footerReference w:type="first" r:id="rId21"/>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B1C" w:rsidRDefault="00B75B1C">
      <w:r>
        <w:separator/>
      </w:r>
    </w:p>
  </w:endnote>
  <w:endnote w:type="continuationSeparator" w:id="0">
    <w:p w:rsidR="00B75B1C" w:rsidRDefault="00B75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38" w:rsidRDefault="001D333F">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EE349B">
      <w:rPr>
        <w:rFonts w:ascii="Palatino Linotype" w:hAnsi="Palatino Linotype" w:cs="Arial"/>
        <w:bCs/>
        <w:noProof/>
        <w:sz w:val="22"/>
        <w:szCs w:val="22"/>
      </w:rPr>
      <w:t>13</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EE349B">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38" w:rsidRDefault="001D333F">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EE349B">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EE349B">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B1C" w:rsidRDefault="00B75B1C">
      <w:pPr>
        <w:rPr>
          <w:sz w:val="12"/>
        </w:rPr>
      </w:pPr>
      <w:r>
        <w:separator/>
      </w:r>
    </w:p>
  </w:footnote>
  <w:footnote w:type="continuationSeparator" w:id="0">
    <w:p w:rsidR="00B75B1C" w:rsidRDefault="00B75B1C">
      <w:pPr>
        <w:rPr>
          <w:sz w:val="12"/>
        </w:rPr>
      </w:pPr>
      <w:r>
        <w:continuationSeparator/>
      </w:r>
    </w:p>
  </w:footnote>
  <w:footnote w:id="1">
    <w:p w:rsidR="009A3138" w:rsidRDefault="001D333F">
      <w:pPr>
        <w:pStyle w:val="Textonotapie"/>
        <w:jc w:val="both"/>
        <w:rPr>
          <w:rFonts w:ascii="Palatino Linotype" w:hAnsi="Palatino Linotype"/>
          <w:sz w:val="16"/>
          <w:szCs w:val="16"/>
        </w:rPr>
      </w:pPr>
      <w:r>
        <w:rPr>
          <w:rStyle w:val="Caracteresdenotaalpie"/>
        </w:rPr>
        <w:footnoteRef/>
      </w:r>
      <w:r>
        <w:t xml:space="preserve"> </w:t>
      </w:r>
      <w:r>
        <w:rPr>
          <w:rFonts w:ascii="Palatino Linotype" w:hAnsi="Palatino Linotype"/>
          <w:sz w:val="16"/>
          <w:szCs w:val="16"/>
        </w:rPr>
        <w:t>Ley del Trabajo de los Servidores Públicos del Estado y Municipios:</w:t>
      </w:r>
    </w:p>
    <w:p w:rsidR="009A3138" w:rsidRDefault="001D333F">
      <w:pPr>
        <w:pStyle w:val="Textonotapie"/>
        <w:jc w:val="both"/>
        <w:rPr>
          <w:rFonts w:ascii="Palatino Linotype" w:hAnsi="Palatino Linotype"/>
          <w:sz w:val="16"/>
          <w:szCs w:val="16"/>
        </w:rPr>
      </w:pPr>
      <w:r>
        <w:rPr>
          <w:rFonts w:ascii="Palatino Linotype" w:hAnsi="Palatino Linotype"/>
          <w:b/>
          <w:sz w:val="16"/>
          <w:szCs w:val="16"/>
        </w:rPr>
        <w:t>ARTÍCULO 71.</w:t>
      </w:r>
      <w:r>
        <w:rPr>
          <w:rFonts w:ascii="Palatino Linotype" w:hAnsi="Palatino Linotype"/>
          <w:sz w:val="16"/>
          <w:szCs w:val="16"/>
        </w:rPr>
        <w:t xml:space="preserve"> El sueldo es la retribución que la institución pública debe pagar al servidor público por los servicios prestados.</w:t>
      </w:r>
    </w:p>
  </w:footnote>
  <w:footnote w:id="2">
    <w:p w:rsidR="009A3138" w:rsidRDefault="001D333F">
      <w:pPr>
        <w:jc w:val="both"/>
        <w:rPr>
          <w:rFonts w:ascii="Palatino Linotype" w:hAnsi="Palatino Linotype" w:cs="Arial"/>
          <w:sz w:val="16"/>
          <w:szCs w:val="16"/>
          <w:lang w:eastAsia="es-MX"/>
        </w:rPr>
      </w:pPr>
      <w:r>
        <w:rPr>
          <w:rStyle w:val="Caracteresdenotaalpie"/>
        </w:rPr>
        <w:footnoteRef/>
      </w:r>
      <w:r>
        <w:rPr>
          <w:i/>
        </w:rPr>
        <w:t xml:space="preserve"> </w:t>
      </w:r>
      <w:r>
        <w:rPr>
          <w:rFonts w:ascii="Palatino Linotype" w:hAnsi="Palatino Linotype" w:cs="Arial"/>
          <w:b/>
          <w:bCs/>
          <w:sz w:val="16"/>
          <w:szCs w:val="16"/>
          <w:lang w:eastAsia="es-MX"/>
        </w:rPr>
        <w:t xml:space="preserve">“Artículo 4. </w:t>
      </w:r>
      <w:r>
        <w:rPr>
          <w:rFonts w:ascii="Palatino Linotype" w:hAnsi="Palatino Linotype" w:cs="Arial"/>
          <w:sz w:val="16"/>
          <w:szCs w:val="16"/>
          <w:lang w:eastAsia="es-MX"/>
        </w:rPr>
        <w:t>Son sujetos de fiscalización:</w:t>
      </w:r>
    </w:p>
    <w:p w:rsidR="009A3138" w:rsidRDefault="001D333F">
      <w:pPr>
        <w:jc w:val="both"/>
        <w:rPr>
          <w:rFonts w:ascii="Palatino Linotype" w:hAnsi="Palatino Linotype" w:cs="Arial"/>
          <w:sz w:val="16"/>
          <w:szCs w:val="16"/>
          <w:lang w:eastAsia="es-MX"/>
        </w:rPr>
      </w:pPr>
      <w:r>
        <w:rPr>
          <w:rFonts w:ascii="Palatino Linotype" w:hAnsi="Palatino Linotype" w:cs="Arial"/>
          <w:b/>
          <w:bCs/>
          <w:sz w:val="16"/>
          <w:szCs w:val="16"/>
          <w:lang w:eastAsia="es-MX"/>
        </w:rPr>
        <w:t>…</w:t>
      </w:r>
    </w:p>
    <w:p w:rsidR="009A3138" w:rsidRDefault="001D333F">
      <w:pPr>
        <w:ind w:right="49"/>
        <w:jc w:val="both"/>
        <w:rPr>
          <w:rFonts w:ascii="Palatino Linotype" w:hAnsi="Palatino Linotype" w:cs="Arial"/>
          <w:sz w:val="16"/>
          <w:szCs w:val="16"/>
          <w:lang w:eastAsia="es-MX"/>
        </w:rPr>
      </w:pPr>
      <w:r>
        <w:rPr>
          <w:rFonts w:ascii="Palatino Linotype" w:hAnsi="Palatino Linotype" w:cs="Arial"/>
          <w:sz w:val="16"/>
          <w:szCs w:val="16"/>
          <w:lang w:eastAsia="es-MX"/>
        </w:rPr>
        <w:t>II. Los municipios del Estado de México;</w:t>
      </w:r>
    </w:p>
    <w:p w:rsidR="009A3138" w:rsidRDefault="001D333F">
      <w:pPr>
        <w:ind w:right="49"/>
        <w:jc w:val="both"/>
        <w:rPr>
          <w:rFonts w:ascii="Palatino Linotype" w:hAnsi="Palatino Linotype" w:cs="Arial"/>
          <w:color w:val="000000"/>
          <w:sz w:val="16"/>
          <w:szCs w:val="16"/>
        </w:rPr>
      </w:pPr>
      <w:r>
        <w:rPr>
          <w:rFonts w:ascii="Palatino Linotype" w:hAnsi="Palatino Linotype" w:cs="Arial"/>
          <w:sz w:val="16"/>
          <w:szCs w:val="16"/>
          <w:lang w:eastAsia="es-MX"/>
        </w:rPr>
        <w:t>…” (Sic)</w:t>
      </w:r>
    </w:p>
  </w:footnote>
  <w:footnote w:id="3">
    <w:p w:rsidR="009A3138" w:rsidRDefault="001D333F">
      <w:pPr>
        <w:ind w:right="51"/>
        <w:jc w:val="both"/>
        <w:rPr>
          <w:rFonts w:ascii="Palatino Linotype" w:hAnsi="Palatino Linotype"/>
          <w:sz w:val="16"/>
          <w:szCs w:val="16"/>
        </w:rPr>
      </w:pPr>
      <w:r>
        <w:rPr>
          <w:rStyle w:val="Caracteresdenotaalpie"/>
        </w:rPr>
        <w:footnoteRef/>
      </w:r>
      <w:r>
        <w:t xml:space="preserve"> </w:t>
      </w:r>
      <w:r>
        <w:rPr>
          <w:rFonts w:ascii="Palatino Linotype" w:hAnsi="Palatino Linotype"/>
          <w:b/>
          <w:sz w:val="16"/>
          <w:szCs w:val="16"/>
        </w:rPr>
        <w:t>Artículo 92</w:t>
      </w:r>
      <w:r>
        <w:rPr>
          <w:rFonts w:ascii="Palatino Linotype" w:hAnsi="Palatino Linotype"/>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A3138" w:rsidRDefault="001D333F">
      <w:pPr>
        <w:ind w:right="51"/>
        <w:jc w:val="both"/>
        <w:rPr>
          <w:rFonts w:ascii="Palatino Linotype" w:hAnsi="Palatino Linotype"/>
          <w:sz w:val="16"/>
          <w:szCs w:val="16"/>
        </w:rPr>
      </w:pPr>
      <w:r>
        <w:rPr>
          <w:rFonts w:ascii="Palatino Linotype" w:hAnsi="Palatino Linotype"/>
          <w:sz w:val="16"/>
          <w:szCs w:val="16"/>
        </w:rPr>
        <w:t>…</w:t>
      </w:r>
    </w:p>
    <w:p w:rsidR="009A3138" w:rsidRDefault="001D333F">
      <w:pPr>
        <w:ind w:right="51"/>
        <w:jc w:val="both"/>
        <w:rPr>
          <w:rFonts w:ascii="Palatino Linotype" w:hAnsi="Palatino Linotype"/>
          <w:sz w:val="16"/>
          <w:szCs w:val="16"/>
        </w:rPr>
      </w:pPr>
      <w:r>
        <w:rPr>
          <w:rFonts w:ascii="Palatino Linotype" w:hAnsi="Palatino Linotype"/>
          <w:b/>
          <w:sz w:val="16"/>
          <w:szCs w:val="16"/>
        </w:rPr>
        <w:t xml:space="preserve">VIII. La remuneración bruta y neta de todos los servidores públicos de base o de confianza, </w:t>
      </w:r>
      <w:r>
        <w:rPr>
          <w:rFonts w:ascii="Palatino Linotype" w:hAnsi="Palatino Linotype"/>
          <w:sz w:val="16"/>
          <w:szCs w:val="16"/>
        </w:rPr>
        <w:t>de todas las percepciones, incluyendo sueldos, prestaciones, gratificaciones, primas, comisiones, dietas, bonos, estímulos, ingresos y sistemas de compensación, señalando la periodicidad de dicha remuneración;”</w:t>
      </w:r>
    </w:p>
    <w:p w:rsidR="009A3138" w:rsidRDefault="001D333F">
      <w:pPr>
        <w:ind w:right="51"/>
        <w:jc w:val="both"/>
        <w:rPr>
          <w:rFonts w:ascii="Palatino Linotype" w:hAnsi="Palatino Linotype"/>
          <w:sz w:val="16"/>
          <w:szCs w:val="16"/>
        </w:rPr>
      </w:pPr>
      <w:r>
        <w:rPr>
          <w:rFonts w:ascii="Palatino Linotype" w:hAnsi="Palatino Linotype"/>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38" w:rsidRDefault="001D333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2"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5"/>
      <w:gridCol w:w="2555"/>
      <w:gridCol w:w="3724"/>
    </w:tblGrid>
    <w:tr w:rsidR="009A3138">
      <w:tc>
        <w:tcPr>
          <w:tcW w:w="3255" w:type="dxa"/>
          <w:vMerge w:val="restart"/>
        </w:tcPr>
        <w:p w:rsidR="009A3138" w:rsidRDefault="001D333F">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rsidR="009A3138" w:rsidRDefault="001D333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9A3138" w:rsidRDefault="001D333F">
          <w:pPr>
            <w:jc w:val="both"/>
            <w:rPr>
              <w:rFonts w:ascii="Palatino Linotype" w:hAnsi="Palatino Linotype"/>
              <w:b/>
              <w:lang w:val="es-ES_tradnl"/>
            </w:rPr>
          </w:pPr>
          <w:r>
            <w:rPr>
              <w:rFonts w:ascii="Palatino Linotype" w:hAnsi="Palatino Linotype"/>
              <w:b/>
              <w:sz w:val="22"/>
              <w:szCs w:val="22"/>
              <w:lang w:val="es-ES_tradnl"/>
            </w:rPr>
            <w:t>01187/INFOEM/IP/RR/2020</w:t>
          </w:r>
        </w:p>
      </w:tc>
    </w:tr>
    <w:tr w:rsidR="009A3138">
      <w:tc>
        <w:tcPr>
          <w:tcW w:w="3255" w:type="dxa"/>
          <w:vMerge/>
        </w:tcPr>
        <w:p w:rsidR="009A3138" w:rsidRDefault="009A3138">
          <w:pPr>
            <w:rPr>
              <w:rFonts w:ascii="Palatino Linotype" w:hAnsi="Palatino Linotype"/>
              <w:b/>
              <w:sz w:val="22"/>
              <w:szCs w:val="22"/>
              <w:lang w:val="es-ES_tradnl"/>
            </w:rPr>
          </w:pPr>
        </w:p>
      </w:tc>
      <w:tc>
        <w:tcPr>
          <w:tcW w:w="2555" w:type="dxa"/>
          <w:shd w:val="clear" w:color="auto" w:fill="auto"/>
        </w:tcPr>
        <w:p w:rsidR="009A3138" w:rsidRDefault="001D333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9A3138" w:rsidRDefault="001D333F">
          <w:pPr>
            <w:ind w:right="34"/>
            <w:jc w:val="both"/>
            <w:rPr>
              <w:rFonts w:ascii="Palatino Linotype" w:hAnsi="Palatino Linotype"/>
              <w:b/>
            </w:rPr>
          </w:pPr>
          <w:r>
            <w:rPr>
              <w:rFonts w:ascii="Palatino Linotype" w:hAnsi="Palatino Linotype"/>
              <w:b/>
              <w:sz w:val="22"/>
              <w:szCs w:val="22"/>
              <w:lang w:val="es-ES_tradnl"/>
            </w:rPr>
            <w:t>Ayuntamiento de Teotihuacán</w:t>
          </w:r>
        </w:p>
      </w:tc>
    </w:tr>
    <w:tr w:rsidR="009A3138">
      <w:trPr>
        <w:trHeight w:val="228"/>
      </w:trPr>
      <w:tc>
        <w:tcPr>
          <w:tcW w:w="3255" w:type="dxa"/>
          <w:vMerge/>
        </w:tcPr>
        <w:p w:rsidR="009A3138" w:rsidRDefault="009A3138">
          <w:pPr>
            <w:rPr>
              <w:rFonts w:ascii="Palatino Linotype" w:hAnsi="Palatino Linotype"/>
              <w:b/>
              <w:sz w:val="22"/>
              <w:szCs w:val="22"/>
              <w:lang w:val="es-ES_tradnl"/>
            </w:rPr>
          </w:pPr>
        </w:p>
      </w:tc>
      <w:tc>
        <w:tcPr>
          <w:tcW w:w="2555" w:type="dxa"/>
          <w:shd w:val="clear" w:color="auto" w:fill="auto"/>
        </w:tcPr>
        <w:p w:rsidR="009A3138" w:rsidRDefault="001D333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9A3138" w:rsidRDefault="001D333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A3138" w:rsidRDefault="009A3138">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38" w:rsidRDefault="001D333F">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84" behindDoc="1" locked="0" layoutInCell="1" allowOverlap="1">
          <wp:simplePos x="0" y="0"/>
          <wp:positionH relativeFrom="column">
            <wp:align>center</wp:align>
          </wp:positionH>
          <wp:positionV relativeFrom="margin">
            <wp:align>center</wp:align>
          </wp:positionV>
          <wp:extent cx="6858635" cy="9144635"/>
          <wp:effectExtent l="0" t="0" r="0" b="0"/>
          <wp:wrapNone/>
          <wp:docPr id="13"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9"/>
      <w:gridCol w:w="3691"/>
    </w:tblGrid>
    <w:tr w:rsidR="009A3138">
      <w:tc>
        <w:tcPr>
          <w:tcW w:w="4250" w:type="dxa"/>
          <w:vMerge w:val="restart"/>
          <w:shd w:val="clear" w:color="auto" w:fill="auto"/>
        </w:tcPr>
        <w:p w:rsidR="009A3138" w:rsidRDefault="001D333F">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rsidR="009A3138" w:rsidRDefault="001D333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rsidR="009A3138" w:rsidRDefault="001D333F">
          <w:pPr>
            <w:jc w:val="both"/>
            <w:rPr>
              <w:rFonts w:ascii="Palatino Linotype" w:hAnsi="Palatino Linotype"/>
              <w:b/>
              <w:lang w:val="es-ES_tradnl"/>
            </w:rPr>
          </w:pPr>
          <w:r>
            <w:rPr>
              <w:rFonts w:ascii="Palatino Linotype" w:hAnsi="Palatino Linotype"/>
              <w:b/>
              <w:sz w:val="22"/>
              <w:szCs w:val="22"/>
              <w:lang w:val="es-ES_tradnl"/>
            </w:rPr>
            <w:t>01187/INFOEM/IP/RR/2019</w:t>
          </w:r>
        </w:p>
      </w:tc>
    </w:tr>
    <w:tr w:rsidR="009A3138">
      <w:tc>
        <w:tcPr>
          <w:tcW w:w="4250" w:type="dxa"/>
          <w:vMerge/>
          <w:shd w:val="clear" w:color="auto" w:fill="auto"/>
        </w:tcPr>
        <w:p w:rsidR="009A3138" w:rsidRDefault="009A3138">
          <w:pPr>
            <w:rPr>
              <w:rFonts w:ascii="Palatino Linotype" w:hAnsi="Palatino Linotype"/>
              <w:b/>
              <w:sz w:val="22"/>
              <w:szCs w:val="22"/>
              <w:lang w:val="es-ES_tradnl"/>
            </w:rPr>
          </w:pPr>
        </w:p>
      </w:tc>
      <w:tc>
        <w:tcPr>
          <w:tcW w:w="2549" w:type="dxa"/>
          <w:shd w:val="clear" w:color="auto" w:fill="auto"/>
        </w:tcPr>
        <w:p w:rsidR="009A3138" w:rsidRDefault="001D333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rsidR="009A3138" w:rsidRDefault="00EE349B" w:rsidP="00EE349B">
          <w:pPr>
            <w:ind w:left="34" w:right="34"/>
            <w:jc w:val="both"/>
            <w:rPr>
              <w:rFonts w:ascii="Palatino Linotype" w:hAnsi="Palatino Linotype"/>
              <w:b/>
              <w:lang w:val="es-ES_tradnl"/>
            </w:rPr>
          </w:pPr>
          <w:r>
            <w:rPr>
              <w:rFonts w:ascii="Palatino Linotype" w:hAnsi="Palatino Linotype"/>
              <w:b/>
              <w:lang w:val="es-ES_tradnl"/>
            </w:rPr>
            <w:t>xxxxxxx</w:t>
          </w:r>
          <w:r w:rsidR="001D333F">
            <w:rPr>
              <w:rFonts w:ascii="Palatino Linotype" w:hAnsi="Palatino Linotype"/>
              <w:b/>
              <w:lang w:val="es-ES_tradnl"/>
            </w:rPr>
            <w:t xml:space="preserve"> </w:t>
          </w:r>
          <w:r>
            <w:rPr>
              <w:rFonts w:ascii="Palatino Linotype" w:hAnsi="Palatino Linotype"/>
              <w:b/>
              <w:lang w:val="es-ES_tradnl"/>
            </w:rPr>
            <w:t>xxxxxx</w:t>
          </w:r>
          <w:r w:rsidR="001D333F">
            <w:rPr>
              <w:rFonts w:ascii="Palatino Linotype" w:hAnsi="Palatino Linotype"/>
              <w:b/>
              <w:lang w:val="es-ES_tradnl"/>
            </w:rPr>
            <w:t xml:space="preserve"> </w:t>
          </w:r>
          <w:r>
            <w:rPr>
              <w:rFonts w:ascii="Palatino Linotype" w:hAnsi="Palatino Linotype"/>
              <w:b/>
              <w:lang w:val="es-ES_tradnl"/>
            </w:rPr>
            <w:t>xxxxxxxx</w:t>
          </w:r>
        </w:p>
      </w:tc>
    </w:tr>
    <w:tr w:rsidR="009A3138">
      <w:trPr>
        <w:trHeight w:val="228"/>
      </w:trPr>
      <w:tc>
        <w:tcPr>
          <w:tcW w:w="4250" w:type="dxa"/>
          <w:vMerge/>
          <w:shd w:val="clear" w:color="auto" w:fill="auto"/>
        </w:tcPr>
        <w:p w:rsidR="009A3138" w:rsidRDefault="009A3138">
          <w:pPr>
            <w:rPr>
              <w:rFonts w:ascii="Palatino Linotype" w:hAnsi="Palatino Linotype"/>
              <w:b/>
              <w:sz w:val="22"/>
              <w:szCs w:val="22"/>
              <w:lang w:val="es-ES_tradnl"/>
            </w:rPr>
          </w:pPr>
        </w:p>
      </w:tc>
      <w:tc>
        <w:tcPr>
          <w:tcW w:w="2549" w:type="dxa"/>
          <w:shd w:val="clear" w:color="auto" w:fill="auto"/>
        </w:tcPr>
        <w:p w:rsidR="009A3138" w:rsidRDefault="001D333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rsidR="009A3138" w:rsidRDefault="001D333F">
          <w:pPr>
            <w:jc w:val="both"/>
            <w:rPr>
              <w:rFonts w:ascii="Palatino Linotype" w:hAnsi="Palatino Linotype"/>
              <w:b/>
              <w:lang w:val="es-ES_tradnl"/>
            </w:rPr>
          </w:pPr>
          <w:r>
            <w:rPr>
              <w:rFonts w:ascii="Palatino Linotype" w:hAnsi="Palatino Linotype"/>
              <w:b/>
              <w:sz w:val="22"/>
              <w:szCs w:val="22"/>
              <w:lang w:val="es-ES_tradnl"/>
            </w:rPr>
            <w:t xml:space="preserve">Ayuntamiento de Teotihuacán </w:t>
          </w:r>
        </w:p>
      </w:tc>
    </w:tr>
    <w:tr w:rsidR="009A3138">
      <w:tc>
        <w:tcPr>
          <w:tcW w:w="4250" w:type="dxa"/>
          <w:vMerge/>
          <w:shd w:val="clear" w:color="auto" w:fill="auto"/>
        </w:tcPr>
        <w:p w:rsidR="009A3138" w:rsidRDefault="009A3138">
          <w:pPr>
            <w:rPr>
              <w:rFonts w:ascii="Palatino Linotype" w:hAnsi="Palatino Linotype"/>
              <w:b/>
              <w:sz w:val="22"/>
              <w:szCs w:val="22"/>
              <w:lang w:val="es-ES_tradnl"/>
            </w:rPr>
          </w:pPr>
        </w:p>
      </w:tc>
      <w:tc>
        <w:tcPr>
          <w:tcW w:w="2549" w:type="dxa"/>
          <w:shd w:val="clear" w:color="auto" w:fill="auto"/>
        </w:tcPr>
        <w:p w:rsidR="009A3138" w:rsidRDefault="001D333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rsidR="009A3138" w:rsidRDefault="001D333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A3138" w:rsidRDefault="009A3138">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138"/>
    <w:rsid w:val="001D333F"/>
    <w:rsid w:val="0093673D"/>
    <w:rsid w:val="009A3138"/>
    <w:rsid w:val="00B75B1C"/>
    <w:rsid w:val="00EE349B"/>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E46E8-59CD-4CD6-B389-5A4350AA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monografias.com/trabajos14/verific-servicios/verific-servicios.shtml" TargetMode="External"/><Relationship Id="rId23"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nografias.com/trabajos14/verific-servicios/verific-servicios.s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44C29-602A-4DAE-9F3C-5B3FA043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10203</Words>
  <Characters>56117</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A cid</cp:lastModifiedBy>
  <cp:revision>2</cp:revision>
  <cp:lastPrinted>2020-01-22T19:55:00Z</cp:lastPrinted>
  <dcterms:created xsi:type="dcterms:W3CDTF">2020-09-28T19:02:00Z</dcterms:created>
  <dcterms:modified xsi:type="dcterms:W3CDTF">2020-09-28T19:02:00Z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