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A0D" w:rsidRDefault="00BF778C">
      <w:pPr>
        <w:spacing w:line="360" w:lineRule="auto"/>
        <w:jc w:val="both"/>
        <w:rPr>
          <w:rFonts w:ascii="Palatino Linotype" w:hAnsi="Palatino Linotype" w:cs="Arial"/>
          <w:color w:val="FF0000"/>
          <w:lang w:val="es-ES"/>
        </w:rPr>
      </w:pPr>
      <w:r>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de fecha doce de agosto de dos mil veinte.</w:t>
      </w:r>
    </w:p>
    <w:p w:rsidR="002E2A0D" w:rsidRDefault="002E2A0D">
      <w:pPr>
        <w:spacing w:line="360" w:lineRule="auto"/>
        <w:jc w:val="both"/>
        <w:rPr>
          <w:rFonts w:ascii="Palatino Linotype" w:hAnsi="Palatino Linotype" w:cs="Arial"/>
          <w:lang w:val="es-ES"/>
        </w:rPr>
      </w:pPr>
    </w:p>
    <w:p w:rsidR="002E2A0D" w:rsidRDefault="00BF778C">
      <w:pPr>
        <w:spacing w:line="360" w:lineRule="auto"/>
        <w:jc w:val="both"/>
        <w:rPr>
          <w:rFonts w:ascii="Palatino Linotype" w:hAnsi="Palatino Linotype" w:cs="Arial"/>
          <w:lang w:val="es-ES"/>
        </w:rPr>
      </w:pPr>
      <w:r>
        <w:rPr>
          <w:rFonts w:ascii="Palatino Linotype" w:hAnsi="Palatino Linotype"/>
          <w:lang w:val="es-ES"/>
        </w:rPr>
        <w:t xml:space="preserve">VISTO el expediente formado con motivo del recurso de revisión </w:t>
      </w:r>
      <w:r>
        <w:rPr>
          <w:rFonts w:ascii="Palatino Linotype" w:hAnsi="Palatino Linotype"/>
          <w:b/>
          <w:lang w:val="es-ES"/>
        </w:rPr>
        <w:t xml:space="preserve">00977/INFOEM/IP/RR/2020, </w:t>
      </w:r>
      <w:r>
        <w:rPr>
          <w:rFonts w:ascii="Palatino Linotype" w:hAnsi="Palatino Linotype"/>
          <w:lang w:val="es-ES"/>
        </w:rPr>
        <w:t>interpuesto por el C.</w:t>
      </w:r>
      <w:r>
        <w:rPr>
          <w:rFonts w:ascii="Palatino Linotype" w:hAnsi="Palatino Linotype"/>
          <w:b/>
          <w:lang w:val="es-ES"/>
        </w:rPr>
        <w:t xml:space="preserve"> </w:t>
      </w:r>
      <w:r w:rsidR="008320C1" w:rsidRPr="008320C1">
        <w:rPr>
          <w:rFonts w:ascii="Palatino Linotype" w:hAnsi="Palatino Linotype"/>
          <w:b/>
          <w:lang w:val="es-ES"/>
        </w:rPr>
        <w:t>XXXXXXX XXXXXXXXX XXXXXX xxx XXXXXXX XXXXXXXX XXXXXX Xx Xxxxxxxxxxxxx Xx Xxxxxxxxxxxxx</w:t>
      </w:r>
      <w:r>
        <w:rPr>
          <w:rFonts w:ascii="Palatino Linotype" w:hAnsi="Palatino Linotype"/>
          <w:b/>
          <w:lang w:val="es-ES"/>
        </w:rPr>
        <w:t>,</w:t>
      </w:r>
      <w:r>
        <w:rPr>
          <w:rFonts w:ascii="Palatino Linotype" w:hAnsi="Palatino Linotype"/>
          <w:lang w:val="es-ES"/>
        </w:rPr>
        <w:t xml:space="preserve"> en lo sucesivo </w:t>
      </w:r>
      <w:r>
        <w:rPr>
          <w:rFonts w:ascii="Palatino Linotype" w:hAnsi="Palatino Linotype"/>
          <w:b/>
          <w:lang w:val="es-ES"/>
        </w:rPr>
        <w:t>EL RECURRENTE,</w:t>
      </w:r>
      <w:r>
        <w:rPr>
          <w:rFonts w:ascii="Palatino Linotype" w:hAnsi="Palatino Linotype"/>
          <w:lang w:val="es-ES"/>
        </w:rPr>
        <w:t xml:space="preserve"> </w:t>
      </w:r>
      <w:r>
        <w:rPr>
          <w:rFonts w:ascii="Palatino Linotype" w:hAnsi="Palatino Linotype" w:cs="Arial"/>
          <w:lang w:val="es-ES"/>
        </w:rPr>
        <w:t xml:space="preserve">en contra de la respuesta del </w:t>
      </w:r>
      <w:r>
        <w:rPr>
          <w:rFonts w:ascii="Palatino Linotype" w:hAnsi="Palatino Linotype"/>
          <w:b/>
          <w:lang w:val="es-ES_tradnl"/>
        </w:rPr>
        <w:t>Ayuntamiento de Ecatepec de Morelos</w:t>
      </w:r>
      <w:r>
        <w:rPr>
          <w:rFonts w:ascii="Palatino Linotype" w:hAnsi="Palatino Linotype" w:cs="Arial"/>
          <w:b/>
          <w:lang w:val="es-ES"/>
        </w:rPr>
        <w:t xml:space="preserve">, </w:t>
      </w:r>
      <w:r>
        <w:rPr>
          <w:rFonts w:ascii="Palatino Linotype" w:hAnsi="Palatino Linotype" w:cs="Arial"/>
          <w:lang w:val="es-ES"/>
        </w:rPr>
        <w:t xml:space="preserve">en lo sucesivo </w:t>
      </w:r>
      <w:r>
        <w:rPr>
          <w:rFonts w:ascii="Palatino Linotype" w:hAnsi="Palatino Linotype" w:cs="Arial"/>
          <w:b/>
          <w:lang w:val="es-ES"/>
        </w:rPr>
        <w:t xml:space="preserve">EL SUJETO OBLIGADO, </w:t>
      </w:r>
      <w:r>
        <w:rPr>
          <w:rFonts w:ascii="Palatino Linotype" w:hAnsi="Palatino Linotype" w:cs="Arial"/>
          <w:lang w:val="es-ES"/>
        </w:rPr>
        <w:t>se procede a dictar la presente resolución con base en lo siguiente:</w:t>
      </w:r>
    </w:p>
    <w:p w:rsidR="002E2A0D" w:rsidRDefault="00BF778C">
      <w:pPr>
        <w:spacing w:line="360" w:lineRule="auto"/>
        <w:jc w:val="center"/>
        <w:rPr>
          <w:rFonts w:ascii="Palatino Linotype" w:hAnsi="Palatino Linotype" w:cs="Arial"/>
          <w:b/>
          <w:sz w:val="28"/>
          <w:szCs w:val="28"/>
          <w:lang w:val="es-ES"/>
        </w:rPr>
      </w:pPr>
      <w:r>
        <w:rPr>
          <w:rFonts w:ascii="Palatino Linotype" w:hAnsi="Palatino Linotype" w:cs="Arial"/>
          <w:b/>
          <w:sz w:val="28"/>
          <w:szCs w:val="28"/>
          <w:lang w:val="es-ES"/>
        </w:rPr>
        <w:t>R E S U L T A N D O</w:t>
      </w:r>
    </w:p>
    <w:p w:rsidR="002E2A0D" w:rsidRDefault="00BF778C">
      <w:pPr>
        <w:spacing w:line="360" w:lineRule="auto"/>
        <w:jc w:val="both"/>
        <w:rPr>
          <w:rFonts w:ascii="Palatino Linotype" w:hAnsi="Palatino Linotype" w:cs="Arial"/>
          <w:lang w:val="es-ES"/>
        </w:rPr>
      </w:pPr>
      <w:r>
        <w:rPr>
          <w:rFonts w:ascii="Palatino Linotype" w:hAnsi="Palatino Linotype" w:cs="Arial"/>
          <w:b/>
          <w:sz w:val="28"/>
          <w:szCs w:val="28"/>
          <w:lang w:val="es-ES"/>
        </w:rPr>
        <w:t>I.</w:t>
      </w:r>
      <w:r>
        <w:rPr>
          <w:rFonts w:ascii="Palatino Linotype" w:hAnsi="Palatino Linotype" w:cs="Arial"/>
          <w:b/>
          <w:lang w:val="es-ES"/>
        </w:rPr>
        <w:t xml:space="preserve"> </w:t>
      </w:r>
      <w:r>
        <w:rPr>
          <w:rFonts w:ascii="Palatino Linotype" w:hAnsi="Palatino Linotype" w:cs="Arial"/>
          <w:lang w:val="es-ES"/>
        </w:rPr>
        <w:t xml:space="preserve">En fecha diecinueve de enero de dos mil veinte se presentó la solicitud, misma que por ser día inhábil se registró el veinte de enero de dos mil veinte, a través de la Plataforma Nacional el cual se vincula a través del Sistema de Acceso a la Información Mexiquense, en lo subsecuente </w:t>
      </w:r>
      <w:r>
        <w:rPr>
          <w:rFonts w:ascii="Palatino Linotype" w:hAnsi="Palatino Linotype" w:cs="Arial"/>
          <w:b/>
          <w:lang w:val="es-ES"/>
        </w:rPr>
        <w:t>EL SAIMEX</w:t>
      </w:r>
      <w:r>
        <w:rPr>
          <w:rFonts w:ascii="Palatino Linotype" w:hAnsi="Palatino Linotype" w:cs="Arial"/>
          <w:lang w:val="es-ES"/>
        </w:rPr>
        <w:t xml:space="preserve"> ante </w:t>
      </w:r>
      <w:r>
        <w:rPr>
          <w:rFonts w:ascii="Palatino Linotype" w:hAnsi="Palatino Linotype" w:cs="Arial"/>
          <w:b/>
          <w:lang w:val="es-ES"/>
        </w:rPr>
        <w:t>EL SUJETO OBLIGADO</w:t>
      </w:r>
      <w:r>
        <w:rPr>
          <w:rFonts w:ascii="Palatino Linotype" w:hAnsi="Palatino Linotype" w:cs="Arial"/>
          <w:lang w:val="es-ES"/>
        </w:rPr>
        <w:t xml:space="preserve">, </w:t>
      </w:r>
      <w:r>
        <w:rPr>
          <w:rFonts w:ascii="Palatino Linotype" w:hAnsi="Palatino Linotype"/>
          <w:lang w:val="es-ES"/>
        </w:rPr>
        <w:t>la solicitud de acceso a información pública, a las que se les asignó el número</w:t>
      </w:r>
      <w:r>
        <w:rPr>
          <w:rFonts w:ascii="Palatino Linotype" w:hAnsi="Palatino Linotype" w:cs="Arial"/>
          <w:b/>
          <w:lang w:val="es-ES"/>
        </w:rPr>
        <w:t xml:space="preserve"> 00032/ECATEPEC/IP/2020, </w:t>
      </w:r>
      <w:r>
        <w:rPr>
          <w:rFonts w:ascii="Palatino Linotype" w:hAnsi="Palatino Linotype" w:cs="Arial"/>
          <w:lang w:val="es-ES"/>
        </w:rPr>
        <w:t>mediante el cual requirió lo siguiente:</w:t>
      </w:r>
    </w:p>
    <w:p w:rsidR="002E2A0D" w:rsidRDefault="002E2A0D">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026"/>
        <w:gridCol w:w="5980"/>
      </w:tblGrid>
      <w:tr w:rsidR="002E2A0D">
        <w:trPr>
          <w:trHeight w:val="589"/>
        </w:trPr>
        <w:tc>
          <w:tcPr>
            <w:tcW w:w="2989" w:type="dxa"/>
            <w:shd w:val="clear" w:color="auto" w:fill="000000" w:themeFill="text1"/>
            <w:vAlign w:val="center"/>
          </w:tcPr>
          <w:p w:rsidR="002E2A0D" w:rsidRDefault="00BF778C">
            <w:pPr>
              <w:spacing w:line="360" w:lineRule="auto"/>
              <w:jc w:val="center"/>
              <w:rPr>
                <w:rFonts w:ascii="Palatino Linotype" w:hAnsi="Palatino Linotype"/>
                <w:b/>
                <w:color w:val="FFFFFF" w:themeColor="background1"/>
                <w:lang w:val="es-ES"/>
              </w:rPr>
            </w:pPr>
            <w:r>
              <w:rPr>
                <w:rFonts w:ascii="Palatino Linotype" w:hAnsi="Palatino Linotype"/>
                <w:b/>
                <w:color w:val="FFFFFF" w:themeColor="background1"/>
                <w:lang w:val="es-ES"/>
              </w:rPr>
              <w:t>Número de Solicitud</w:t>
            </w:r>
          </w:p>
        </w:tc>
        <w:tc>
          <w:tcPr>
            <w:tcW w:w="6016" w:type="dxa"/>
            <w:shd w:val="clear" w:color="auto" w:fill="000000" w:themeFill="text1"/>
            <w:vAlign w:val="center"/>
          </w:tcPr>
          <w:p w:rsidR="002E2A0D" w:rsidRDefault="00BF778C">
            <w:pPr>
              <w:tabs>
                <w:tab w:val="left" w:pos="1125"/>
              </w:tabs>
              <w:spacing w:line="360" w:lineRule="auto"/>
              <w:jc w:val="center"/>
              <w:rPr>
                <w:rFonts w:ascii="Palatino Linotype" w:hAnsi="Palatino Linotype"/>
                <w:b/>
                <w:lang w:val="es-ES"/>
              </w:rPr>
            </w:pPr>
            <w:r>
              <w:rPr>
                <w:rFonts w:ascii="Palatino Linotype" w:hAnsi="Palatino Linotype"/>
                <w:b/>
                <w:lang w:val="es-ES"/>
              </w:rPr>
              <w:t>Contenido</w:t>
            </w:r>
          </w:p>
        </w:tc>
      </w:tr>
      <w:tr w:rsidR="002E2A0D">
        <w:trPr>
          <w:trHeight w:val="792"/>
        </w:trPr>
        <w:tc>
          <w:tcPr>
            <w:tcW w:w="2989" w:type="dxa"/>
            <w:vAlign w:val="center"/>
          </w:tcPr>
          <w:p w:rsidR="002E2A0D" w:rsidRDefault="00BF778C">
            <w:pPr>
              <w:spacing w:line="360" w:lineRule="auto"/>
              <w:jc w:val="center"/>
              <w:rPr>
                <w:rFonts w:ascii="Palatino Linotype" w:hAnsi="Palatino Linotype"/>
                <w:lang w:val="es-ES"/>
              </w:rPr>
            </w:pPr>
            <w:r>
              <w:rPr>
                <w:rFonts w:ascii="Palatino Linotype" w:hAnsi="Palatino Linotype" w:cs="Arial"/>
                <w:b/>
                <w:lang w:val="es-ES"/>
              </w:rPr>
              <w:t>00032/ECATEPEC/IP/2020</w:t>
            </w:r>
          </w:p>
        </w:tc>
        <w:tc>
          <w:tcPr>
            <w:tcW w:w="6016" w:type="dxa"/>
          </w:tcPr>
          <w:p w:rsidR="002E2A0D" w:rsidRDefault="00BF778C">
            <w:pPr>
              <w:jc w:val="both"/>
              <w:rPr>
                <w:rFonts w:ascii="Palatino Linotype" w:hAnsi="Palatino Linotype"/>
                <w:i/>
                <w:lang w:val="es-ES"/>
              </w:rPr>
            </w:pPr>
            <w:r>
              <w:rPr>
                <w:rFonts w:ascii="Palatino Linotype" w:hAnsi="Palatino Linotype" w:cs="Arial"/>
                <w:i/>
                <w:lang w:val="es-ES"/>
              </w:rPr>
              <w:t xml:space="preserve">“Solicito se me entregue toda la información relacionada con la nota que aparece en la página del Gobierno Municipal de Ecatepec y que se refiere a Familia de hombre fallecido en </w:t>
            </w:r>
            <w:r>
              <w:rPr>
                <w:rFonts w:ascii="Palatino Linotype" w:hAnsi="Palatino Linotype" w:cs="Arial"/>
                <w:i/>
                <w:lang w:val="es-ES"/>
              </w:rPr>
              <w:lastRenderedPageBreak/>
              <w:t>Oficialía Calificadora recibe apoyo de gobierno de Ecatepec en este sentido solicito: Se me entregue información de la menor de 14 años a la que se refiere la nota, debiendo informarme acerca del número de la oficialía calificadora, ubicación de la oficialía, la infracción que hubiera cometido, hora de ingreso, documento por el cual se acredite que se le hizo saber la infracción cometida, el número de la unidad que la presentó ante el juez calificador, los nombres de los servidores públicos que la hubieran presentado ante el juez calificador, descripción de los bienes que se le hubieren asegurado, el lugar en el cual se le aseguró, la descripción del procedimiento seguido por el juez(a) calificador a partir del momento en que se aseguró a la menor de 14 años.. Copia del acuerdo, debidamente firmado, en versión pública que se hubiera celebrado con los familiares, monto total del acuerdo, considerando cualquier prestación en dinero y en especie que se hubiera acordado, tiempo de vigencia del acuerdo. Nombre de los funcionarios que firmaron el convenio o acuerdo, obligaciones asumidas por los familiares respecto del acuerdo, obligaciones asumidas por los integrantes del Ayuntamiento.” (sic)</w:t>
            </w:r>
          </w:p>
        </w:tc>
      </w:tr>
    </w:tbl>
    <w:p w:rsidR="002E2A0D" w:rsidRDefault="002E2A0D">
      <w:pPr>
        <w:spacing w:line="360" w:lineRule="auto"/>
        <w:jc w:val="both"/>
        <w:rPr>
          <w:rFonts w:ascii="Palatino Linotype" w:hAnsi="Palatino Linotype"/>
          <w:b/>
        </w:rPr>
      </w:pPr>
    </w:p>
    <w:p w:rsidR="002E2A0D" w:rsidRDefault="00BF778C">
      <w:pPr>
        <w:tabs>
          <w:tab w:val="left" w:pos="426"/>
        </w:tabs>
        <w:spacing w:beforeAutospacing="1" w:afterAutospacing="1" w:line="360" w:lineRule="auto"/>
        <w:contextualSpacing/>
        <w:jc w:val="both"/>
        <w:rPr>
          <w:rFonts w:ascii="Palatino Linotype" w:hAnsi="Palatino Linotype"/>
        </w:rPr>
      </w:pPr>
      <w:r>
        <w:rPr>
          <w:rFonts w:ascii="Palatino Linotype" w:hAnsi="Palatino Linotype"/>
          <w:b/>
        </w:rPr>
        <w:t xml:space="preserve">Modalidad de entrega. </w:t>
      </w:r>
      <w:r>
        <w:rPr>
          <w:rFonts w:ascii="Palatino Linotype" w:hAnsi="Palatino Linotype"/>
        </w:rPr>
        <w:t xml:space="preserve">Vía </w:t>
      </w:r>
      <w:r>
        <w:rPr>
          <w:rFonts w:ascii="Palatino Linotype" w:hAnsi="Palatino Linotype"/>
          <w:b/>
        </w:rPr>
        <w:t>SAIMEX</w:t>
      </w:r>
      <w:r>
        <w:rPr>
          <w:rFonts w:ascii="Palatino Linotype" w:hAnsi="Palatino Linotype"/>
        </w:rPr>
        <w:t xml:space="preserve"> y correo electrónico.</w:t>
      </w:r>
    </w:p>
    <w:p w:rsidR="002E2A0D" w:rsidRDefault="002E2A0D">
      <w:pPr>
        <w:tabs>
          <w:tab w:val="left" w:pos="426"/>
        </w:tabs>
        <w:spacing w:beforeAutospacing="1" w:afterAutospacing="1" w:line="360" w:lineRule="auto"/>
        <w:contextualSpacing/>
        <w:jc w:val="both"/>
        <w:rPr>
          <w:rFonts w:ascii="Palatino Linotype" w:hAnsi="Palatino Linotype"/>
          <w:b/>
          <w:sz w:val="16"/>
          <w:szCs w:val="28"/>
        </w:rPr>
      </w:pPr>
    </w:p>
    <w:p w:rsidR="002E2A0D" w:rsidRDefault="00BF778C">
      <w:pPr>
        <w:tabs>
          <w:tab w:val="left" w:pos="426"/>
        </w:tabs>
        <w:spacing w:beforeAutospacing="1" w:afterAutospacing="1" w:line="360" w:lineRule="auto"/>
        <w:contextualSpacing/>
        <w:jc w:val="both"/>
        <w:rPr>
          <w:rFonts w:ascii="Palatino Linotype" w:hAnsi="Palatino Linotype"/>
          <w:lang w:eastAsia="es-MX"/>
        </w:rPr>
      </w:pPr>
      <w:r>
        <w:rPr>
          <w:rFonts w:ascii="Palatino Linotype" w:hAnsi="Palatino Linotype"/>
          <w:b/>
          <w:sz w:val="28"/>
          <w:szCs w:val="28"/>
        </w:rPr>
        <w:t>II.</w:t>
      </w:r>
      <w:r>
        <w:rPr>
          <w:rFonts w:ascii="Palatino Linotype" w:hAnsi="Palatino Linotype"/>
          <w:sz w:val="28"/>
          <w:szCs w:val="28"/>
        </w:rPr>
        <w:t xml:space="preserve"> </w:t>
      </w: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once de febrero de dos mil veinte, </w:t>
      </w:r>
      <w:r>
        <w:rPr>
          <w:rFonts w:ascii="Palatino Linotype" w:hAnsi="Palatino Linotype"/>
          <w:b/>
        </w:rPr>
        <w:t>EL</w:t>
      </w:r>
      <w:r>
        <w:rPr>
          <w:rFonts w:ascii="Palatino Linotype" w:hAnsi="Palatino Linotype"/>
        </w:rPr>
        <w:t xml:space="preserve"> </w:t>
      </w:r>
      <w:r>
        <w:rPr>
          <w:rFonts w:ascii="Palatino Linotype" w:hAnsi="Palatino Linotype" w:cs="Arial"/>
          <w:b/>
          <w:lang w:val="es-ES_tradnl"/>
        </w:rPr>
        <w:t>SUJETO OBLIGADO</w:t>
      </w:r>
      <w:r>
        <w:rPr>
          <w:rFonts w:ascii="Palatino Linotype" w:hAnsi="Palatino Linotype" w:cs="Arial"/>
          <w:lang w:val="es-ES_tradnl"/>
        </w:rPr>
        <w:t xml:space="preserve"> dio respuesta a la solicitud de información, en los siguientes términos:</w:t>
      </w:r>
    </w:p>
    <w:p w:rsidR="002E2A0D" w:rsidRDefault="00BF778C">
      <w:pPr>
        <w:spacing w:line="276" w:lineRule="auto"/>
        <w:ind w:left="851" w:right="616"/>
        <w:jc w:val="right"/>
        <w:rPr>
          <w:rFonts w:ascii="Palatino Linotype" w:hAnsi="Palatino Linotype" w:cs="Arial"/>
          <w:i/>
          <w:lang w:val="es-ES"/>
        </w:rPr>
      </w:pPr>
      <w:r>
        <w:rPr>
          <w:rFonts w:ascii="Palatino Linotype" w:hAnsi="Palatino Linotype" w:cs="Arial"/>
          <w:i/>
          <w:lang w:val="es-ES"/>
        </w:rPr>
        <w:t>“Folio de la solicitud: 00032/ECATEPEC/IP/2020</w:t>
      </w:r>
    </w:p>
    <w:p w:rsidR="002E2A0D" w:rsidRDefault="00BF778C">
      <w:pPr>
        <w:spacing w:line="276" w:lineRule="auto"/>
        <w:ind w:left="851" w:right="616"/>
        <w:jc w:val="both"/>
        <w:rPr>
          <w:rFonts w:ascii="Palatino Linotype" w:hAnsi="Palatino Linotype" w:cs="Arial"/>
          <w:i/>
          <w:lang w:val="es-ES"/>
        </w:rPr>
      </w:pPr>
      <w:r>
        <w:rPr>
          <w:rFonts w:ascii="Palatino Linotype" w:hAnsi="Palatino Linotype" w:cs="Arial"/>
          <w:i/>
          <w:lang w:val="es-ES"/>
        </w:rPr>
        <w:t xml:space="preserve">El H. Ayuntamiento Constitucional de Ecatepec de Morelos hace de su conocimiento la respuesta emitida por: LAS SIGUIENTES DIRECCIONES: CONTRALORÍA INTERNA SECRETARÍA TÉCNICA JURIDICO y CONSULTIVO Se anexa al presente en formato PDF las respuestas emitidas </w:t>
      </w:r>
      <w:r>
        <w:rPr>
          <w:rFonts w:ascii="Palatino Linotype" w:hAnsi="Palatino Linotype" w:cs="Arial"/>
          <w:i/>
          <w:lang w:val="es-ES"/>
        </w:rPr>
        <w:lastRenderedPageBreak/>
        <w:t>por las áreas antes mencionadas, del mismo modo se anexan las Actas emitidas por el Comité de Transparencia.</w:t>
      </w:r>
    </w:p>
    <w:p w:rsidR="002E2A0D" w:rsidRDefault="00BF778C">
      <w:pPr>
        <w:spacing w:line="276" w:lineRule="auto"/>
        <w:ind w:left="851" w:right="616"/>
        <w:jc w:val="both"/>
        <w:rPr>
          <w:rFonts w:ascii="Palatino Linotype" w:hAnsi="Palatino Linotype" w:cs="Arial"/>
          <w:i/>
          <w:lang w:val="es-ES"/>
        </w:rPr>
      </w:pPr>
      <w:r>
        <w:rPr>
          <w:rFonts w:ascii="Palatino Linotype" w:hAnsi="Palatino Linotype" w:cs="Arial"/>
          <w:i/>
          <w:lang w:val="es-ES"/>
        </w:rPr>
        <w:t>ATENTAMENTE</w:t>
      </w:r>
    </w:p>
    <w:p w:rsidR="002E2A0D" w:rsidRDefault="00BF778C">
      <w:pPr>
        <w:spacing w:line="276" w:lineRule="auto"/>
        <w:ind w:left="851" w:right="616"/>
        <w:jc w:val="both"/>
        <w:rPr>
          <w:rFonts w:ascii="Palatino Linotype" w:hAnsi="Palatino Linotype" w:cs="Arial"/>
          <w:i/>
          <w:lang w:val="es-ES"/>
        </w:rPr>
      </w:pPr>
      <w:r>
        <w:rPr>
          <w:rFonts w:ascii="Palatino Linotype" w:hAnsi="Palatino Linotype" w:cs="Arial"/>
          <w:i/>
          <w:lang w:val="es-ES"/>
        </w:rPr>
        <w:t>Lic. Brianda Eunice Iberri Estrada”</w:t>
      </w:r>
    </w:p>
    <w:p w:rsidR="002E2A0D" w:rsidRDefault="002E2A0D">
      <w:pPr>
        <w:spacing w:line="276" w:lineRule="auto"/>
        <w:ind w:left="851" w:right="616"/>
        <w:jc w:val="both"/>
        <w:rPr>
          <w:rFonts w:ascii="Palatino Linotype" w:hAnsi="Palatino Linotype" w:cs="Arial"/>
          <w:i/>
          <w:lang w:val="es-ES"/>
        </w:rPr>
      </w:pPr>
    </w:p>
    <w:p w:rsidR="002E2A0D" w:rsidRDefault="00BF778C">
      <w:pPr>
        <w:tabs>
          <w:tab w:val="right" w:pos="8789"/>
        </w:tabs>
        <w:spacing w:line="360" w:lineRule="auto"/>
        <w:ind w:right="49"/>
        <w:jc w:val="both"/>
        <w:rPr>
          <w:rFonts w:ascii="Palatino Linotype" w:hAnsi="Palatino Linotype" w:cs="Arial"/>
          <w:lang w:val="es-ES"/>
        </w:rPr>
      </w:pPr>
      <w:r>
        <w:rPr>
          <w:rFonts w:ascii="Palatino Linotype" w:hAnsi="Palatino Linotype" w:cs="Arial"/>
          <w:lang w:val="es-ES"/>
        </w:rPr>
        <w:t xml:space="preserve">Asimismo, adjuntó cuatro archivos electrónicos denominados </w:t>
      </w:r>
      <w:r>
        <w:rPr>
          <w:rFonts w:ascii="Palatino Linotype" w:hAnsi="Palatino Linotype" w:cs="Arial"/>
          <w:b/>
          <w:lang w:val="es-ES"/>
        </w:rPr>
        <w:t>Acta 011-2020.pdf</w:t>
      </w:r>
      <w:r>
        <w:rPr>
          <w:rFonts w:ascii="Palatino Linotype" w:hAnsi="Palatino Linotype" w:cs="Arial"/>
          <w:lang w:val="es-ES"/>
        </w:rPr>
        <w:t xml:space="preserve">, </w:t>
      </w:r>
      <w:r>
        <w:rPr>
          <w:rFonts w:ascii="Palatino Linotype" w:hAnsi="Palatino Linotype" w:cs="Arial"/>
          <w:b/>
          <w:lang w:val="es-ES"/>
        </w:rPr>
        <w:t>0032-2020_0001.pdf</w:t>
      </w:r>
      <w:r>
        <w:rPr>
          <w:rFonts w:ascii="Palatino Linotype" w:hAnsi="Palatino Linotype" w:cs="Arial"/>
          <w:lang w:val="es-ES"/>
        </w:rPr>
        <w:t xml:space="preserve">, </w:t>
      </w:r>
      <w:r>
        <w:rPr>
          <w:rFonts w:ascii="Palatino Linotype" w:hAnsi="Palatino Linotype" w:cs="Arial"/>
          <w:b/>
          <w:lang w:val="es-ES"/>
        </w:rPr>
        <w:t>Respuesta de las areas 032.pdf</w:t>
      </w:r>
      <w:r>
        <w:rPr>
          <w:rFonts w:ascii="Palatino Linotype" w:hAnsi="Palatino Linotype" w:cs="Arial"/>
          <w:lang w:val="es-ES"/>
        </w:rPr>
        <w:t xml:space="preserve"> y </w:t>
      </w:r>
      <w:r>
        <w:rPr>
          <w:rFonts w:ascii="Palatino Linotype" w:hAnsi="Palatino Linotype" w:cs="Arial"/>
          <w:b/>
          <w:lang w:val="es-ES"/>
        </w:rPr>
        <w:t>Acta 009-2020.pdf</w:t>
      </w:r>
      <w:r>
        <w:rPr>
          <w:rFonts w:ascii="Palatino Linotype" w:hAnsi="Palatino Linotype" w:cs="Arial"/>
          <w:lang w:val="es-ES"/>
        </w:rPr>
        <w:t>, los cuales por ser del conocimiento de las partes no se insertan en el presente apartado, los cuales contienen lo siguiente:</w:t>
      </w:r>
    </w:p>
    <w:p w:rsidR="002E2A0D" w:rsidRDefault="00BF778C">
      <w:pPr>
        <w:tabs>
          <w:tab w:val="right" w:pos="8789"/>
        </w:tabs>
        <w:spacing w:line="360" w:lineRule="auto"/>
        <w:ind w:right="49"/>
        <w:jc w:val="both"/>
        <w:rPr>
          <w:rFonts w:ascii="Palatino Linotype" w:hAnsi="Palatino Linotype" w:cs="Arial"/>
          <w:lang w:val="es-ES"/>
        </w:rPr>
      </w:pPr>
      <w:r>
        <w:rPr>
          <w:rFonts w:ascii="Palatino Linotype" w:hAnsi="Palatino Linotype" w:cs="Arial"/>
          <w:b/>
          <w:lang w:val="es-ES"/>
        </w:rPr>
        <w:t xml:space="preserve">Acta 011-2020.pdf. </w:t>
      </w:r>
      <w:r>
        <w:rPr>
          <w:rFonts w:ascii="Palatino Linotype" w:hAnsi="Palatino Linotype" w:cs="Arial"/>
          <w:lang w:val="es-ES"/>
        </w:rPr>
        <w:t>Contiene el Acuerdo del Comité de Transparencia de la onceava sesión extraordinaria mediante la cual aprobó la versión pública de un Convenio suscrito entre el Gobierno Municipal de Ecatepec y particulares de fecha 18 de enero de 2020.</w:t>
      </w:r>
    </w:p>
    <w:p w:rsidR="002E2A0D" w:rsidRDefault="00BF778C">
      <w:pPr>
        <w:tabs>
          <w:tab w:val="right" w:pos="8789"/>
        </w:tabs>
        <w:spacing w:line="360" w:lineRule="auto"/>
        <w:ind w:right="49"/>
        <w:jc w:val="both"/>
        <w:rPr>
          <w:rFonts w:ascii="Palatino Linotype" w:hAnsi="Palatino Linotype" w:cs="Arial"/>
          <w:b/>
          <w:lang w:val="es-ES"/>
        </w:rPr>
      </w:pPr>
      <w:r>
        <w:rPr>
          <w:rFonts w:ascii="Palatino Linotype" w:hAnsi="Palatino Linotype" w:cs="Arial"/>
          <w:b/>
          <w:lang w:val="es-ES"/>
        </w:rPr>
        <w:t xml:space="preserve">0032-2020_0001.pdf. </w:t>
      </w:r>
      <w:r>
        <w:rPr>
          <w:rFonts w:ascii="Palatino Linotype" w:hAnsi="Palatino Linotype" w:cs="Arial"/>
          <w:lang w:val="es-ES"/>
        </w:rPr>
        <w:t>Contiene el escrito del Titular de la Unidad de Transparencia en el que le informa de la respuesta al particular.</w:t>
      </w:r>
    </w:p>
    <w:p w:rsidR="002E2A0D" w:rsidRDefault="00BF778C">
      <w:pPr>
        <w:tabs>
          <w:tab w:val="right" w:pos="8789"/>
        </w:tabs>
        <w:spacing w:line="360" w:lineRule="auto"/>
        <w:ind w:right="49"/>
        <w:jc w:val="both"/>
        <w:rPr>
          <w:rFonts w:ascii="Palatino Linotype" w:hAnsi="Palatino Linotype" w:cs="Arial"/>
          <w:lang w:val="es-ES"/>
        </w:rPr>
      </w:pPr>
      <w:r>
        <w:rPr>
          <w:rFonts w:ascii="Palatino Linotype" w:hAnsi="Palatino Linotype" w:cs="Arial"/>
          <w:b/>
          <w:lang w:val="es-ES"/>
        </w:rPr>
        <w:t xml:space="preserve">Respuesta de las areas 032.pdf. </w:t>
      </w:r>
      <w:r>
        <w:rPr>
          <w:rFonts w:ascii="Palatino Linotype" w:hAnsi="Palatino Linotype" w:cs="Arial"/>
          <w:lang w:val="es-ES"/>
        </w:rPr>
        <w:t>Contiene los escritos del Director Jurídico y Consultivo, de la Coordinación de Oficialías Calificadoras y Calificadoras, del Contralor Interno Municipal y el Convenio en versión pública.</w:t>
      </w:r>
    </w:p>
    <w:p w:rsidR="002E2A0D" w:rsidRDefault="00BF778C">
      <w:pPr>
        <w:tabs>
          <w:tab w:val="right" w:pos="8789"/>
        </w:tabs>
        <w:spacing w:line="360" w:lineRule="auto"/>
        <w:ind w:right="49"/>
        <w:jc w:val="both"/>
        <w:rPr>
          <w:rFonts w:ascii="Palatino Linotype" w:hAnsi="Palatino Linotype" w:cs="Arial"/>
          <w:b/>
          <w:lang w:val="es-ES"/>
        </w:rPr>
      </w:pPr>
      <w:r>
        <w:rPr>
          <w:rFonts w:ascii="Palatino Linotype" w:hAnsi="Palatino Linotype" w:cs="Arial"/>
          <w:b/>
          <w:lang w:val="es-ES"/>
        </w:rPr>
        <w:t xml:space="preserve"> Acta 009-2020.pdf.</w:t>
      </w:r>
      <w:r>
        <w:rPr>
          <w:rFonts w:ascii="Palatino Linotype" w:hAnsi="Palatino Linotype" w:cs="Arial"/>
          <w:lang w:val="es-ES"/>
        </w:rPr>
        <w:t xml:space="preserve"> Contiene el Acuerdo de reserva del Comité de Transparencia, aprobado en la novena sesión extraordinaria de fecha 10 de febrero de 2020.</w:t>
      </w:r>
    </w:p>
    <w:p w:rsidR="002E2A0D" w:rsidRDefault="00BF778C">
      <w:pPr>
        <w:tabs>
          <w:tab w:val="right" w:pos="8789"/>
        </w:tabs>
        <w:spacing w:line="276" w:lineRule="auto"/>
        <w:ind w:right="49"/>
        <w:jc w:val="both"/>
        <w:rPr>
          <w:rFonts w:ascii="Palatino Linotype" w:hAnsi="Palatino Linotype" w:cs="Arial"/>
          <w:lang w:val="es-ES"/>
        </w:rPr>
      </w:pPr>
      <w:r>
        <w:rPr>
          <w:rFonts w:ascii="Palatino Linotype" w:hAnsi="Palatino Linotype" w:cs="Arial"/>
          <w:lang w:val="es-ES"/>
        </w:rPr>
        <w:tab/>
      </w:r>
    </w:p>
    <w:p w:rsidR="002E2A0D" w:rsidRDefault="00BF778C">
      <w:pPr>
        <w:spacing w:line="360" w:lineRule="auto"/>
        <w:jc w:val="both"/>
        <w:rPr>
          <w:rFonts w:ascii="Palatino Linotype" w:hAnsi="Palatino Linotype" w:cs="Arial"/>
          <w:lang w:val="es-ES"/>
        </w:rPr>
      </w:pPr>
      <w:r>
        <w:rPr>
          <w:noProof/>
          <w:lang w:eastAsia="es-MX"/>
        </w:rPr>
        <mc:AlternateContent>
          <mc:Choice Requires="wps">
            <w:drawing>
              <wp:anchor distT="0" distB="0" distL="0" distR="0" simplePos="0" relativeHeight="49" behindDoc="0" locked="0" layoutInCell="1" allowOverlap="1" wp14:anchorId="2C326648">
                <wp:simplePos x="0" y="0"/>
                <wp:positionH relativeFrom="column">
                  <wp:posOffset>289560</wp:posOffset>
                </wp:positionH>
                <wp:positionV relativeFrom="paragraph">
                  <wp:posOffset>3347085</wp:posOffset>
                </wp:positionV>
                <wp:extent cx="5812155" cy="1497965"/>
                <wp:effectExtent l="19050" t="19050" r="19050" b="28575"/>
                <wp:wrapNone/>
                <wp:docPr id="1" name="Conector recto 1"/>
                <wp:cNvGraphicFramePr/>
                <a:graphic xmlns:a="http://schemas.openxmlformats.org/drawingml/2006/main">
                  <a:graphicData uri="http://schemas.microsoft.com/office/word/2010/wordprocessingShape">
                    <wps:wsp>
                      <wps:cNvCnPr/>
                      <wps:spPr>
                        <a:xfrm>
                          <a:off x="0" y="0"/>
                          <a:ext cx="5811480" cy="1496520"/>
                        </a:xfrm>
                        <a:prstGeom prst="line">
                          <a:avLst/>
                        </a:prstGeom>
                        <a:ln w="28440">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5.35pt,208.4pt" to="472.9pt,326.2pt" ID="Conector recto 1" stroked="t" style="position:absolute" wp14:anchorId="2C326648">
                <v:stroke color="#4a7ebb" weight="28440" joinstyle="round" endcap="flat"/>
                <v:fill o:detectmouseclick="t" on="false"/>
              </v:line>
            </w:pict>
          </mc:Fallback>
        </mc:AlternateContent>
      </w:r>
      <w:r>
        <w:rPr>
          <w:rFonts w:ascii="Palatino Linotype" w:hAnsi="Palatino Linotype" w:cs="Arial"/>
          <w:b/>
          <w:sz w:val="28"/>
          <w:szCs w:val="28"/>
          <w:lang w:val="es-ES"/>
        </w:rPr>
        <w:t>III.</w:t>
      </w:r>
      <w:r>
        <w:rPr>
          <w:rFonts w:ascii="Palatino Linotype" w:hAnsi="Palatino Linotype" w:cs="Arial"/>
          <w:b/>
          <w:lang w:val="es-ES"/>
        </w:rPr>
        <w:t xml:space="preserve"> </w:t>
      </w:r>
      <w:r>
        <w:rPr>
          <w:rFonts w:ascii="Palatino Linotype" w:hAnsi="Palatino Linotype"/>
          <w:lang w:val="es-ES"/>
        </w:rPr>
        <w:t xml:space="preserve">Inconforme con la </w:t>
      </w:r>
      <w:r>
        <w:rPr>
          <w:rFonts w:ascii="Palatino Linotype" w:hAnsi="Palatino Linotype" w:cs="Arial"/>
          <w:lang w:val="es-ES"/>
        </w:rPr>
        <w:t xml:space="preserve">respuesta, el doce de febrero de dos mil veinte, </w:t>
      </w:r>
      <w:r>
        <w:rPr>
          <w:rFonts w:ascii="Palatino Linotype" w:hAnsi="Palatino Linotype"/>
          <w:b/>
          <w:lang w:val="es-ES"/>
        </w:rPr>
        <w:t>EL RECURRENTE</w:t>
      </w:r>
      <w:r>
        <w:rPr>
          <w:rFonts w:ascii="Palatino Linotype" w:hAnsi="Palatino Linotype"/>
          <w:lang w:val="es-ES"/>
        </w:rPr>
        <w:t xml:space="preserve"> interpuso el recurso de revisión objeto del presente estudio, y se le asignó el número de expediente</w:t>
      </w:r>
      <w:r>
        <w:rPr>
          <w:rFonts w:ascii="Palatino Linotype" w:hAnsi="Palatino Linotype" w:cs="Arial"/>
          <w:lang w:val="es-ES"/>
        </w:rPr>
        <w:t xml:space="preserve"> </w:t>
      </w:r>
      <w:r>
        <w:rPr>
          <w:rFonts w:ascii="Palatino Linotype" w:hAnsi="Palatino Linotype" w:cs="Arial"/>
          <w:b/>
          <w:lang w:val="es-ES"/>
        </w:rPr>
        <w:t>00997</w:t>
      </w:r>
      <w:r>
        <w:rPr>
          <w:rFonts w:ascii="Palatino Linotype" w:hAnsi="Palatino Linotype"/>
          <w:b/>
          <w:lang w:eastAsia="es-MX"/>
        </w:rPr>
        <w:t xml:space="preserve">/INFOEM/IP/RR/2020, </w:t>
      </w:r>
      <w:r>
        <w:rPr>
          <w:rFonts w:ascii="Palatino Linotype" w:hAnsi="Palatino Linotype" w:cs="Arial"/>
          <w:lang w:val="es-ES"/>
        </w:rPr>
        <w:t>en el que señaló como acto impugnado y razones o motivos de inconformidad lo siguiente:</w:t>
      </w:r>
    </w:p>
    <w:tbl>
      <w:tblPr>
        <w:tblStyle w:val="Tablaconcuadrcula"/>
        <w:tblW w:w="8828" w:type="dxa"/>
        <w:jc w:val="center"/>
        <w:tblLook w:val="04A0" w:firstRow="1" w:lastRow="0" w:firstColumn="1" w:lastColumn="0" w:noHBand="0" w:noVBand="1"/>
      </w:tblPr>
      <w:tblGrid>
        <w:gridCol w:w="3236"/>
        <w:gridCol w:w="2700"/>
        <w:gridCol w:w="2892"/>
      </w:tblGrid>
      <w:tr w:rsidR="002E2A0D" w:rsidTr="00B6235F">
        <w:trPr>
          <w:jc w:val="center"/>
        </w:trPr>
        <w:tc>
          <w:tcPr>
            <w:tcW w:w="3236" w:type="dxa"/>
            <w:shd w:val="clear" w:color="auto" w:fill="000000" w:themeFill="text1"/>
            <w:vAlign w:val="center"/>
          </w:tcPr>
          <w:p w:rsidR="002E2A0D" w:rsidRDefault="00BF778C">
            <w:pPr>
              <w:jc w:val="center"/>
              <w:rPr>
                <w:rFonts w:ascii="Palatino Linotype" w:hAnsi="Palatino Linotype"/>
                <w:b/>
              </w:rPr>
            </w:pPr>
            <w:r>
              <w:rPr>
                <w:rFonts w:ascii="Palatino Linotype" w:eastAsiaTheme="minorHAnsi" w:hAnsi="Palatino Linotype"/>
                <w:b/>
              </w:rPr>
              <w:t>Número de Recurso</w:t>
            </w:r>
          </w:p>
        </w:tc>
        <w:tc>
          <w:tcPr>
            <w:tcW w:w="2700" w:type="dxa"/>
            <w:shd w:val="clear" w:color="auto" w:fill="000000" w:themeFill="text1"/>
            <w:vAlign w:val="center"/>
          </w:tcPr>
          <w:p w:rsidR="002E2A0D" w:rsidRDefault="00BF778C">
            <w:pPr>
              <w:jc w:val="center"/>
              <w:rPr>
                <w:rFonts w:ascii="Palatino Linotype" w:hAnsi="Palatino Linotype"/>
                <w:b/>
              </w:rPr>
            </w:pPr>
            <w:r>
              <w:rPr>
                <w:rFonts w:ascii="Palatino Linotype" w:eastAsiaTheme="minorHAnsi" w:hAnsi="Palatino Linotype"/>
                <w:b/>
              </w:rPr>
              <w:t>Acto Impugnado</w:t>
            </w:r>
          </w:p>
        </w:tc>
        <w:tc>
          <w:tcPr>
            <w:tcW w:w="2892" w:type="dxa"/>
            <w:shd w:val="clear" w:color="auto" w:fill="000000" w:themeFill="text1"/>
            <w:vAlign w:val="center"/>
          </w:tcPr>
          <w:p w:rsidR="002E2A0D" w:rsidRDefault="00BF778C">
            <w:pPr>
              <w:jc w:val="center"/>
              <w:rPr>
                <w:rFonts w:ascii="Palatino Linotype" w:hAnsi="Palatino Linotype"/>
                <w:b/>
              </w:rPr>
            </w:pPr>
            <w:r>
              <w:rPr>
                <w:rFonts w:ascii="Palatino Linotype" w:eastAsiaTheme="minorHAnsi" w:hAnsi="Palatino Linotype"/>
                <w:b/>
              </w:rPr>
              <w:t>Razones o motivos de inconformidad</w:t>
            </w:r>
          </w:p>
        </w:tc>
      </w:tr>
      <w:tr w:rsidR="002E2A0D" w:rsidTr="00B6235F">
        <w:trPr>
          <w:trHeight w:val="1384"/>
          <w:jc w:val="center"/>
        </w:trPr>
        <w:tc>
          <w:tcPr>
            <w:tcW w:w="3236" w:type="dxa"/>
          </w:tcPr>
          <w:p w:rsidR="002E2A0D" w:rsidRDefault="00BF778C">
            <w:pPr>
              <w:rPr>
                <w:rFonts w:ascii="Palatino Linotype" w:hAnsi="Palatino Linotype"/>
                <w:lang w:eastAsia="es-MX"/>
              </w:rPr>
            </w:pPr>
            <w:r>
              <w:rPr>
                <w:rFonts w:ascii="Palatino Linotype" w:hAnsi="Palatino Linotype"/>
                <w:b/>
                <w:lang w:eastAsia="es-MX"/>
              </w:rPr>
              <w:t xml:space="preserve">00997/INFOEM/IP/RR/2020, </w:t>
            </w:r>
          </w:p>
          <w:p w:rsidR="002E2A0D" w:rsidRDefault="002E2A0D">
            <w:pPr>
              <w:rPr>
                <w:rFonts w:ascii="Palatino Linotype" w:hAnsi="Palatino Linotype"/>
                <w:lang w:eastAsia="es-MX"/>
              </w:rPr>
            </w:pPr>
          </w:p>
          <w:p w:rsidR="002E2A0D" w:rsidRDefault="002E2A0D">
            <w:pPr>
              <w:rPr>
                <w:rFonts w:ascii="Palatino Linotype" w:hAnsi="Palatino Linotype"/>
                <w:sz w:val="20"/>
                <w:szCs w:val="20"/>
              </w:rPr>
            </w:pPr>
          </w:p>
        </w:tc>
        <w:tc>
          <w:tcPr>
            <w:tcW w:w="2700" w:type="dxa"/>
          </w:tcPr>
          <w:p w:rsidR="002E2A0D" w:rsidRDefault="00BF778C">
            <w:pPr>
              <w:jc w:val="both"/>
              <w:rPr>
                <w:rFonts w:ascii="Palatino Linotype" w:hAnsi="Palatino Linotype"/>
                <w:i/>
              </w:rPr>
            </w:pPr>
            <w:r>
              <w:rPr>
                <w:rFonts w:ascii="Palatino Linotype" w:eastAsiaTheme="minorHAnsi" w:hAnsi="Palatino Linotype"/>
                <w:i/>
              </w:rPr>
              <w:t>“En virtud de que la respuesta emitida por las autoridade no cumple con el principio de máxima publicidad, así mismo, en la clasificación que realizan las autoridades municipales no se evidencia ningún daño o posible obstrucción de las presuntas investigaciones . Además de los cual, ha sido el propio ayuntamiento quien colocó la información mencionada en el portal y narró de manera resumida los hechos que son materia de solicitud.”</w:t>
            </w:r>
          </w:p>
        </w:tc>
        <w:tc>
          <w:tcPr>
            <w:tcW w:w="2892" w:type="dxa"/>
          </w:tcPr>
          <w:p w:rsidR="002E2A0D" w:rsidRDefault="00BF778C">
            <w:pPr>
              <w:jc w:val="both"/>
              <w:rPr>
                <w:rFonts w:ascii="Palatino Linotype" w:hAnsi="Palatino Linotype"/>
                <w:i/>
              </w:rPr>
            </w:pPr>
            <w:r>
              <w:rPr>
                <w:rFonts w:ascii="Palatino Linotype" w:eastAsiaTheme="minorHAnsi" w:hAnsi="Palatino Linotype"/>
                <w:i/>
              </w:rPr>
              <w:t>“En virtud de que la respuesta emitida por las autoridade no cumple con el principio de máxima publicidad, así mismo, en la clasificación que realizan las autoridades municipales no se evidencia ningún daño o posible obstrucción de las presuntas investigaciones . Además de los cual, ha sido el propio ayuntamiento quien colocó la información mencionada en el portal y narró de manera resumida los hechos que son materia de solicitud.”</w:t>
            </w:r>
          </w:p>
        </w:tc>
      </w:tr>
    </w:tbl>
    <w:p w:rsidR="002E2A0D" w:rsidRDefault="002E2A0D">
      <w:pPr>
        <w:rPr>
          <w:rFonts w:ascii="Palatino Linotype" w:hAnsi="Palatino Linotype"/>
        </w:rPr>
      </w:pPr>
    </w:p>
    <w:p w:rsidR="002E2A0D" w:rsidRDefault="00BF778C">
      <w:pPr>
        <w:spacing w:line="360" w:lineRule="auto"/>
        <w:ind w:right="49"/>
        <w:jc w:val="both"/>
        <w:rPr>
          <w:rFonts w:ascii="Palatino Linotype" w:hAnsi="Palatino Linotype"/>
          <w:lang w:eastAsia="es-MX"/>
        </w:rPr>
      </w:pPr>
      <w:r>
        <w:rPr>
          <w:rFonts w:ascii="Palatino Linotype" w:hAnsi="Palatino Linotype" w:cs="Arial"/>
          <w:b/>
          <w:sz w:val="28"/>
          <w:szCs w:val="28"/>
          <w:lang w:val="es-ES"/>
        </w:rPr>
        <w:t>IV.</w:t>
      </w:r>
      <w:r>
        <w:rPr>
          <w:rFonts w:ascii="Palatino Linotype" w:hAnsi="Palatino Linotype" w:cs="Arial"/>
          <w:b/>
          <w:sz w:val="28"/>
          <w:lang w:val="es-ES"/>
        </w:rPr>
        <w:t xml:space="preserve"> </w:t>
      </w:r>
      <w:r>
        <w:rPr>
          <w:rFonts w:ascii="Palatino Linotype" w:hAnsi="Palatino Linotype" w:cs="Arial"/>
          <w:lang w:val="es-ES"/>
        </w:rPr>
        <w:t>El doce de febrero de dos mil veinte</w:t>
      </w:r>
      <w:r>
        <w:rPr>
          <w:rFonts w:ascii="Palatino Linotype" w:hAnsi="Palatino Linotype"/>
          <w:lang w:val="es-ES"/>
        </w:rPr>
        <w:t>, el</w:t>
      </w:r>
      <w:r>
        <w:rPr>
          <w:rFonts w:ascii="Palatino Linotype" w:hAnsi="Palatino Linotype" w:cs="Arial"/>
          <w:lang w:val="es-ES"/>
        </w:rPr>
        <w:t xml:space="preserve"> </w:t>
      </w:r>
      <w:r>
        <w:rPr>
          <w:rFonts w:ascii="Palatino Linotype" w:hAnsi="Palatino Linotype" w:cs="Arial"/>
          <w:lang w:val="es-ES_tradnl"/>
        </w:rPr>
        <w:t>recursos de revisión de que</w:t>
      </w:r>
      <w:r>
        <w:rPr>
          <w:rFonts w:ascii="Palatino Linotype" w:hAnsi="Palatino Linotype" w:cs="Arial"/>
          <w:lang w:val="es-ES"/>
        </w:rPr>
        <w:t xml:space="preserve"> se trata</w:t>
      </w:r>
      <w:r>
        <w:rPr>
          <w:rFonts w:ascii="Palatino Linotype" w:hAnsi="Palatino Linotype" w:cs="Arial"/>
          <w:lang w:val="es-ES_tradnl"/>
        </w:rPr>
        <w:t xml:space="preserve"> se envió electrónicamente al Instituto de </w:t>
      </w:r>
      <w:r>
        <w:rPr>
          <w:rFonts w:ascii="Palatino Linotype" w:eastAsia="Arial Unicode MS" w:hAnsi="Palatino Linotype" w:cs="Arial"/>
          <w:lang w:val="es-ES"/>
        </w:rPr>
        <w:t>Transparencia</w:t>
      </w:r>
      <w:r>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Pr>
          <w:rFonts w:ascii="Palatino Linotype" w:hAnsi="Palatino Linotype"/>
          <w:lang w:val="es-ES"/>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lang w:val="es-ES"/>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b/>
          <w:lang w:eastAsia="es-MX"/>
        </w:rPr>
        <w:t xml:space="preserve">, </w:t>
      </w:r>
      <w:r>
        <w:rPr>
          <w:rFonts w:ascii="Palatino Linotype" w:hAnsi="Palatino Linotype" w:cs="Arial"/>
          <w:lang w:val="es-ES_tradnl"/>
        </w:rPr>
        <w:t>a efecto de que decretara su admisión o desechamiento.</w:t>
      </w:r>
      <w:r>
        <w:rPr>
          <w:rFonts w:ascii="Palatino Linotype" w:hAnsi="Palatino Linotype"/>
          <w:lang w:eastAsia="es-MX"/>
        </w:rPr>
        <w:t xml:space="preserve"> </w:t>
      </w:r>
    </w:p>
    <w:p w:rsidR="002E2A0D" w:rsidRDefault="00BF778C">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cs="Arial"/>
          <w:b/>
          <w:sz w:val="28"/>
          <w:lang w:val="es-ES_tradnl"/>
        </w:rPr>
        <w:t xml:space="preserve">V. </w:t>
      </w:r>
      <w:r>
        <w:rPr>
          <w:rFonts w:ascii="Palatino Linotype" w:eastAsia="MS Mincho" w:hAnsi="Palatino Linotype" w:cs="Arial"/>
          <w:lang w:val="es-ES_tradnl"/>
        </w:rPr>
        <w:t>De las constancias de los expedientes electrónicos del</w:t>
      </w:r>
      <w:r>
        <w:rPr>
          <w:rFonts w:ascii="Palatino Linotype" w:eastAsia="MS Mincho" w:hAnsi="Palatino Linotype" w:cs="Arial"/>
          <w:b/>
          <w:lang w:val="es-ES_tradnl"/>
        </w:rPr>
        <w:t xml:space="preserve"> SAIMEX</w:t>
      </w:r>
      <w:r>
        <w:rPr>
          <w:rFonts w:ascii="Palatino Linotype" w:eastAsia="MS Mincho" w:hAnsi="Palatino Linotype" w:cs="Arial"/>
          <w:lang w:val="es-ES_tradnl"/>
        </w:rPr>
        <w:t xml:space="preserve">, se desprende que el día dieciocho de febrero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eastAsia="MS Mincho" w:hAnsi="Palatino Linotype" w:cs="Arial"/>
          <w:b/>
          <w:lang w:val="es-ES_tradnl"/>
        </w:rPr>
        <w:t xml:space="preserve">EL SUJETO OBLIGADO </w:t>
      </w:r>
      <w:r>
        <w:rPr>
          <w:rFonts w:ascii="Palatino Linotype" w:eastAsia="MS Mincho" w:hAnsi="Palatino Linotype" w:cs="Arial"/>
          <w:lang w:val="es-ES_tradnl"/>
        </w:rPr>
        <w:t>rinda su</w:t>
      </w:r>
      <w:r>
        <w:rPr>
          <w:rFonts w:ascii="Palatino Linotype" w:eastAsia="MS Mincho" w:hAnsi="Palatino Linotype" w:cs="Arial"/>
          <w:b/>
          <w:lang w:val="es-ES_tradnl"/>
        </w:rPr>
        <w:t xml:space="preserve"> </w:t>
      </w:r>
      <w:r>
        <w:rPr>
          <w:rFonts w:ascii="Palatino Linotype" w:eastAsia="MS Mincho" w:hAnsi="Palatino Linotype" w:cs="Arial"/>
          <w:lang w:val="es-ES_tradnl"/>
        </w:rPr>
        <w:t>Informe Justificado.</w:t>
      </w:r>
    </w:p>
    <w:p w:rsidR="002E2A0D" w:rsidRDefault="002E2A0D">
      <w:pPr>
        <w:tabs>
          <w:tab w:val="center" w:pos="4252"/>
          <w:tab w:val="right" w:pos="8504"/>
        </w:tabs>
        <w:spacing w:line="360" w:lineRule="auto"/>
        <w:jc w:val="both"/>
        <w:rPr>
          <w:rFonts w:ascii="Palatino Linotype" w:eastAsia="MS Mincho" w:hAnsi="Palatino Linotype" w:cs="Arial"/>
          <w:sz w:val="20"/>
          <w:lang w:val="es-ES_tradnl"/>
        </w:rPr>
      </w:pPr>
    </w:p>
    <w:p w:rsidR="002E2A0D" w:rsidRDefault="00BF778C">
      <w:pPr>
        <w:spacing w:line="360" w:lineRule="auto"/>
        <w:jc w:val="both"/>
        <w:rPr>
          <w:rFonts w:ascii="Palatino Linotype" w:eastAsia="Arial Unicode MS" w:hAnsi="Palatino Linotype" w:cs="Arial"/>
          <w:lang w:val="es-ES_tradnl"/>
        </w:rPr>
      </w:pPr>
      <w:r>
        <w:rPr>
          <w:rFonts w:ascii="Palatino Linotype" w:hAnsi="Palatino Linotype"/>
          <w:b/>
          <w:sz w:val="28"/>
          <w:szCs w:val="28"/>
          <w:lang w:eastAsia="es-MX"/>
        </w:rPr>
        <w:t>VI.</w:t>
      </w:r>
      <w:r>
        <w:rPr>
          <w:rFonts w:ascii="Palatino Linotype" w:hAnsi="Palatino Linotype"/>
          <w:b/>
          <w:lang w:eastAsia="es-MX"/>
        </w:rPr>
        <w:t xml:space="preserve"> </w:t>
      </w: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hAnsi="Palatino Linotype" w:cs="Arial"/>
          <w:b/>
          <w:lang w:val="es-ES"/>
        </w:rPr>
        <w:t xml:space="preserve">EL SUJETO OBLIGADO </w:t>
      </w:r>
      <w:r>
        <w:rPr>
          <w:rFonts w:ascii="Palatino Linotype" w:hAnsi="Palatino Linotype" w:cs="Arial"/>
          <w:lang w:val="es-ES"/>
        </w:rPr>
        <w:t>fue omiso en rendir el</w:t>
      </w:r>
      <w:r>
        <w:rPr>
          <w:rFonts w:ascii="Palatino Linotype" w:hAnsi="Palatino Linotype" w:cs="Arial"/>
          <w:b/>
          <w:lang w:val="es-ES"/>
        </w:rPr>
        <w:t xml:space="preserve"> </w:t>
      </w:r>
      <w:r>
        <w:rPr>
          <w:rFonts w:ascii="Palatino Linotype" w:hAnsi="Palatino Linotype" w:cs="Arial"/>
          <w:lang w:val="es-ES"/>
        </w:rPr>
        <w:t>Informe Justificado, p</w:t>
      </w:r>
      <w:r>
        <w:rPr>
          <w:rFonts w:ascii="Palatino Linotype" w:eastAsia="MS Mincho" w:hAnsi="Palatino Linotype"/>
          <w:lang w:eastAsia="es-MX"/>
        </w:rPr>
        <w:t xml:space="preserve">or su parte, </w:t>
      </w:r>
      <w:r>
        <w:rPr>
          <w:rFonts w:ascii="Palatino Linotype" w:eastAsia="MS Mincho" w:hAnsi="Palatino Linotype"/>
          <w:b/>
          <w:lang w:eastAsia="es-MX"/>
        </w:rPr>
        <w:t xml:space="preserve">EL RECURRENTE </w:t>
      </w:r>
      <w:r>
        <w:rPr>
          <w:rFonts w:ascii="Palatino Linotype" w:eastAsia="MS Mincho" w:hAnsi="Palatino Linotype"/>
          <w:lang w:eastAsia="es-MX"/>
        </w:rPr>
        <w:t>no realizó manifiestación alguna,</w:t>
      </w:r>
      <w:r>
        <w:rPr>
          <w:rFonts w:ascii="Palatino Linotype" w:eastAsia="Arial Unicode MS" w:hAnsi="Palatino Linotype" w:cs="Arial"/>
          <w:lang w:val="es-ES_tradnl"/>
        </w:rPr>
        <w:t xml:space="preserve"> ni presentó pruebas o alegatos que a su derecho convinieran en el medio de impugnación.</w:t>
      </w:r>
    </w:p>
    <w:p w:rsidR="002E2A0D" w:rsidRDefault="00BF778C">
      <w:pPr>
        <w:spacing w:line="360" w:lineRule="auto"/>
        <w:jc w:val="both"/>
        <w:rPr>
          <w:rFonts w:ascii="Palatino Linotype" w:eastAsia="MS Mincho" w:hAnsi="Palatino Linotype" w:cs="Arial"/>
          <w:lang w:val="es-ES_tradnl"/>
        </w:rPr>
      </w:pPr>
      <w:r>
        <w:rPr>
          <w:rFonts w:ascii="Palatino Linotype" w:hAnsi="Palatino Linotype"/>
          <w:b/>
          <w:sz w:val="28"/>
          <w:szCs w:val="28"/>
        </w:rPr>
        <w:t xml:space="preserve">VII. </w:t>
      </w:r>
      <w:r>
        <w:rPr>
          <w:rFonts w:ascii="Palatino Linotype" w:eastAsia="MS Mincho" w:hAnsi="Palatino Linotype" w:cs="Arial"/>
          <w:lang w:val="es-ES_tradnl"/>
        </w:rPr>
        <w:t xml:space="preserve">Una vez analizado el estado procesal que guarda el expediente, en fecha seis de mayo de dos mil veinte, la Comisionada </w:t>
      </w:r>
      <w:r>
        <w:rPr>
          <w:rFonts w:ascii="Palatino Linotype" w:eastAsia="MS Mincho" w:hAnsi="Palatino Linotype" w:cs="Arial"/>
          <w:b/>
          <w:lang w:val="es-ES_tradnl"/>
        </w:rPr>
        <w:t xml:space="preserve">EVA ABAID YAPUR </w:t>
      </w:r>
      <w:r>
        <w:rPr>
          <w:rFonts w:ascii="Palatino Linotype" w:eastAsia="MS Mincho" w:hAnsi="Palatino Linotype" w:cs="Arial"/>
          <w:lang w:val="es-ES_tradnl"/>
        </w:rPr>
        <w:t>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w:t>
      </w:r>
    </w:p>
    <w:p w:rsidR="002E2A0D" w:rsidRDefault="002E2A0D">
      <w:pPr>
        <w:tabs>
          <w:tab w:val="center" w:pos="4252"/>
          <w:tab w:val="right" w:pos="8504"/>
        </w:tabs>
        <w:spacing w:line="360" w:lineRule="auto"/>
        <w:jc w:val="both"/>
        <w:rPr>
          <w:rFonts w:ascii="Palatino Linotype" w:eastAsia="MS Mincho" w:hAnsi="Palatino Linotype" w:cs="Arial"/>
          <w:sz w:val="10"/>
          <w:lang w:val="es-ES_tradnl"/>
        </w:rPr>
      </w:pPr>
    </w:p>
    <w:p w:rsidR="002E2A0D" w:rsidRDefault="00B6235F">
      <w:pPr>
        <w:pStyle w:val="Prrafodelista"/>
        <w:spacing w:line="360" w:lineRule="auto"/>
        <w:ind w:left="0"/>
        <w:jc w:val="both"/>
        <w:rPr>
          <w:rFonts w:ascii="Palatino Linotype" w:hAnsi="Palatino Linotype" w:cs="Arial"/>
        </w:rPr>
      </w:pPr>
      <w:r>
        <w:rPr>
          <w:noProof/>
          <w:lang w:eastAsia="es-MX"/>
        </w:rPr>
        <mc:AlternateContent>
          <mc:Choice Requires="wps">
            <w:drawing>
              <wp:anchor distT="0" distB="0" distL="0" distR="0" simplePos="0" relativeHeight="50" behindDoc="0" locked="0" layoutInCell="1" allowOverlap="1" wp14:anchorId="7E3FA35D">
                <wp:simplePos x="0" y="0"/>
                <wp:positionH relativeFrom="column">
                  <wp:posOffset>43814</wp:posOffset>
                </wp:positionH>
                <wp:positionV relativeFrom="paragraph">
                  <wp:posOffset>1248410</wp:posOffset>
                </wp:positionV>
                <wp:extent cx="5857875" cy="714375"/>
                <wp:effectExtent l="0" t="0" r="28575" b="28575"/>
                <wp:wrapNone/>
                <wp:docPr id="2" name="Conector recto 6"/>
                <wp:cNvGraphicFramePr/>
                <a:graphic xmlns:a="http://schemas.openxmlformats.org/drawingml/2006/main">
                  <a:graphicData uri="http://schemas.microsoft.com/office/word/2010/wordprocessingShape">
                    <wps:wsp>
                      <wps:cNvCnPr/>
                      <wps:spPr>
                        <a:xfrm>
                          <a:off x="0" y="0"/>
                          <a:ext cx="5857875" cy="714375"/>
                        </a:xfrm>
                        <a:prstGeom prst="line">
                          <a:avLst/>
                        </a:prstGeom>
                        <a:ln w="28440">
                          <a:solidFill>
                            <a:srgbClr val="4A7EBB"/>
                          </a:solidFill>
                          <a:round/>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6072513" id="Conector recto 6" o:spid="_x0000_s1026" style="position:absolute;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45pt,98.3pt" to="464.7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" strokecolor="#4a7ebb" strokeweight=".79mm"/>
            </w:pict>
          </mc:Fallback>
        </mc:AlternateContent>
      </w:r>
      <w:r w:rsidR="00BF778C">
        <w:rPr>
          <w:rFonts w:ascii="Palatino Linotype" w:hAnsi="Palatino Linotype" w:cs="Arial"/>
          <w:b/>
          <w:sz w:val="28"/>
          <w:szCs w:val="28"/>
        </w:rPr>
        <w:t>X.</w:t>
      </w:r>
      <w:r w:rsidR="00BF778C">
        <w:rPr>
          <w:rFonts w:ascii="Palatino Linotype" w:hAnsi="Palatino Linotype" w:cs="Arial"/>
        </w:rPr>
        <w:t xml:space="preserve"> En fecha seis de mayo de dos mil veinte, </w:t>
      </w:r>
      <w:r w:rsidR="00BF778C">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BF778C">
        <w:rPr>
          <w:rFonts w:ascii="Palatino Linotype" w:hAnsi="Palatino Linotype" w:cs="Arial"/>
        </w:rPr>
        <w:t>; y</w:t>
      </w:r>
    </w:p>
    <w:p w:rsidR="002E2A0D" w:rsidRDefault="002E2A0D">
      <w:pPr>
        <w:tabs>
          <w:tab w:val="center" w:pos="4252"/>
          <w:tab w:val="right" w:pos="8504"/>
        </w:tabs>
        <w:spacing w:line="360" w:lineRule="auto"/>
        <w:jc w:val="both"/>
        <w:rPr>
          <w:rFonts w:ascii="Palatino Linotype" w:eastAsia="MS Mincho" w:hAnsi="Palatino Linotype" w:cs="Arial"/>
          <w:lang w:val="es-ES_tradnl"/>
        </w:rPr>
      </w:pPr>
    </w:p>
    <w:p w:rsidR="002E2A0D" w:rsidRDefault="002E2A0D">
      <w:pPr>
        <w:tabs>
          <w:tab w:val="center" w:pos="4252"/>
          <w:tab w:val="right" w:pos="8504"/>
        </w:tabs>
        <w:spacing w:line="360" w:lineRule="auto"/>
        <w:jc w:val="both"/>
        <w:rPr>
          <w:rFonts w:ascii="Palatino Linotype" w:eastAsia="MS Mincho" w:hAnsi="Palatino Linotype" w:cs="Arial"/>
          <w:lang w:val="es-ES_tradnl"/>
        </w:rPr>
      </w:pPr>
    </w:p>
    <w:p w:rsidR="002E2A0D" w:rsidRPr="00B6235F" w:rsidRDefault="00BF778C">
      <w:pPr>
        <w:jc w:val="center"/>
        <w:rPr>
          <w:rFonts w:ascii="Palatino Linotype" w:hAnsi="Palatino Linotype"/>
          <w:b/>
          <w:szCs w:val="28"/>
          <w:lang w:val="pt-BR"/>
        </w:rPr>
      </w:pPr>
      <w:r w:rsidRPr="00B6235F">
        <w:rPr>
          <w:rFonts w:ascii="Palatino Linotype" w:hAnsi="Palatino Linotype"/>
          <w:b/>
          <w:szCs w:val="28"/>
          <w:lang w:val="pt-BR"/>
        </w:rPr>
        <w:t>C O N S I D E R A N D O</w:t>
      </w:r>
    </w:p>
    <w:p w:rsidR="002E2A0D" w:rsidRPr="00B6235F" w:rsidRDefault="002E2A0D">
      <w:pPr>
        <w:jc w:val="center"/>
        <w:rPr>
          <w:rFonts w:ascii="Palatino Linotype" w:hAnsi="Palatino Linotype"/>
          <w:b/>
          <w:szCs w:val="28"/>
          <w:lang w:val="pt-BR"/>
        </w:rPr>
      </w:pPr>
    </w:p>
    <w:p w:rsidR="002E2A0D" w:rsidRDefault="00BF778C">
      <w:pPr>
        <w:spacing w:line="360" w:lineRule="auto"/>
        <w:ind w:right="50"/>
        <w:jc w:val="both"/>
        <w:rPr>
          <w:rFonts w:ascii="Palatino Linotype" w:hAnsi="Palatino Linotype" w:cs="Arial"/>
          <w:b/>
          <w:lang w:val="es-ES"/>
        </w:rPr>
      </w:pPr>
      <w:r>
        <w:rPr>
          <w:rFonts w:ascii="Palatino Linotype" w:hAnsi="Palatino Linotype"/>
          <w:b/>
          <w:sz w:val="28"/>
          <w:szCs w:val="28"/>
          <w:lang w:val="es-ES"/>
        </w:rPr>
        <w:t>PRIMERO</w:t>
      </w:r>
      <w:r>
        <w:rPr>
          <w:rFonts w:ascii="Palatino Linotype" w:hAnsi="Palatino Linotype"/>
          <w:b/>
          <w:lang w:val="es-ES"/>
        </w:rPr>
        <w:t>.</w:t>
      </w:r>
      <w:r>
        <w:rPr>
          <w:rFonts w:ascii="Palatino Linotype" w:hAnsi="Palatino Linotype"/>
          <w:lang w:val="es-ES"/>
        </w:rPr>
        <w:t xml:space="preserve"> </w:t>
      </w:r>
      <w:r>
        <w:rPr>
          <w:rFonts w:ascii="Palatino Linotype" w:hAnsi="Palatino Linotype"/>
          <w:b/>
          <w:i/>
          <w:lang w:val="es-ES"/>
        </w:rPr>
        <w:t>Competencia</w:t>
      </w:r>
      <w:r>
        <w:rPr>
          <w:rFonts w:ascii="Palatino Linotype" w:hAnsi="Palatino Linotype"/>
          <w:i/>
          <w:lang w:val="es-ES"/>
        </w:rPr>
        <w:t>.</w:t>
      </w:r>
      <w:r>
        <w:rPr>
          <w:rFonts w:ascii="Palatino Linotype" w:hAnsi="Palatino Linotype"/>
          <w:b/>
          <w:lang w:val="es-ES"/>
        </w:rPr>
        <w:t xml:space="preserve"> </w:t>
      </w:r>
      <w:r>
        <w:rPr>
          <w:rFonts w:ascii="Palatino Linotype" w:hAnsi="Palatino Linotype"/>
          <w:lang w:val="es-ES"/>
        </w:rPr>
        <w:t xml:space="preserve">Este Instituto de </w:t>
      </w:r>
      <w:r>
        <w:rPr>
          <w:rFonts w:ascii="Palatino Linotype" w:hAnsi="Palatino Linotype" w:cs="Arial"/>
          <w:lang w:val="es-ES"/>
        </w:rPr>
        <w:t>Transparencia</w:t>
      </w:r>
      <w:r>
        <w:rPr>
          <w:rFonts w:ascii="Palatino Linotype" w:hAnsi="Palatino Linotype"/>
          <w:lang w:val="es-ES"/>
        </w:rPr>
        <w:t>,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E2A0D" w:rsidRDefault="002E2A0D">
      <w:pPr>
        <w:spacing w:line="360" w:lineRule="auto"/>
        <w:jc w:val="both"/>
        <w:rPr>
          <w:rFonts w:ascii="Palatino Linotype" w:hAnsi="Palatino Linotype" w:cs="Arial"/>
          <w:b/>
          <w:lang w:val="es-ES"/>
        </w:rPr>
      </w:pPr>
    </w:p>
    <w:p w:rsidR="002E2A0D" w:rsidRDefault="00BF778C">
      <w:pPr>
        <w:spacing w:line="360" w:lineRule="auto"/>
        <w:jc w:val="both"/>
        <w:rPr>
          <w:rFonts w:ascii="Palatino Linotype" w:hAnsi="Palatino Linotype" w:cs="Arial"/>
          <w:b/>
          <w:bCs/>
          <w:lang w:val="es-ES"/>
        </w:rPr>
      </w:pPr>
      <w:r>
        <w:rPr>
          <w:rFonts w:ascii="Palatino Linotype" w:hAnsi="Palatino Linotype" w:cs="Arial"/>
          <w:b/>
          <w:sz w:val="28"/>
          <w:lang w:val="es-ES"/>
        </w:rPr>
        <w:t>SEGUNDO</w:t>
      </w:r>
      <w:r>
        <w:rPr>
          <w:rFonts w:ascii="Palatino Linotype" w:hAnsi="Palatino Linotype" w:cs="Arial"/>
          <w:b/>
        </w:rPr>
        <w:t xml:space="preserve">. </w:t>
      </w:r>
      <w:r>
        <w:rPr>
          <w:rFonts w:ascii="Palatino Linotype" w:hAnsi="Palatino Linotype" w:cs="Arial"/>
          <w:b/>
          <w:i/>
          <w:lang w:val="es-ES"/>
        </w:rPr>
        <w:t>Interés.</w:t>
      </w:r>
      <w:r>
        <w:rPr>
          <w:rFonts w:ascii="Palatino Linotype" w:hAnsi="Palatino Linotype" w:cs="Arial"/>
          <w:b/>
          <w:lang w:val="es-ES"/>
        </w:rPr>
        <w:t xml:space="preserve"> </w:t>
      </w:r>
      <w:r>
        <w:rPr>
          <w:rFonts w:ascii="Palatino Linotype" w:hAnsi="Palatino Linotype" w:cs="Arial"/>
          <w:lang w:val="es-ES"/>
        </w:rPr>
        <w:t xml:space="preserve">El recurso de revisión fue interpuesto por parte legítima, en atención a que se presentó por </w:t>
      </w:r>
      <w:r>
        <w:rPr>
          <w:rFonts w:ascii="Palatino Linotype" w:hAnsi="Palatino Linotype" w:cs="Arial"/>
          <w:b/>
          <w:lang w:val="es-ES"/>
        </w:rPr>
        <w:t>EL RECURRENTE</w:t>
      </w:r>
      <w:r>
        <w:rPr>
          <w:rFonts w:ascii="Palatino Linotype" w:hAnsi="Palatino Linotype" w:cs="Arial"/>
          <w:lang w:val="es-ES"/>
        </w:rPr>
        <w:t xml:space="preserve">, quien es la misma persona que formuló la solicitud de acceso a la información pública </w:t>
      </w:r>
      <w:r>
        <w:rPr>
          <w:rFonts w:ascii="Palatino Linotype" w:hAnsi="Palatino Linotype" w:cs="Arial"/>
          <w:bCs/>
          <w:lang w:val="es-ES"/>
        </w:rPr>
        <w:t xml:space="preserve">al </w:t>
      </w:r>
      <w:r>
        <w:rPr>
          <w:rFonts w:ascii="Palatino Linotype" w:hAnsi="Palatino Linotype" w:cs="Arial"/>
          <w:b/>
          <w:bCs/>
          <w:lang w:val="es-ES"/>
        </w:rPr>
        <w:t>SUJETO OBLIGADO.</w:t>
      </w:r>
    </w:p>
    <w:p w:rsidR="002E2A0D" w:rsidRDefault="002E2A0D">
      <w:pPr>
        <w:spacing w:line="360" w:lineRule="auto"/>
        <w:ind w:right="49"/>
        <w:contextualSpacing/>
        <w:jc w:val="both"/>
        <w:rPr>
          <w:rFonts w:ascii="Palatino Linotype" w:hAnsi="Palatino Linotype"/>
          <w:b/>
          <w:sz w:val="20"/>
          <w:lang w:val="es-ES"/>
        </w:rPr>
      </w:pPr>
    </w:p>
    <w:p w:rsidR="002E2A0D" w:rsidRDefault="00BF778C">
      <w:pPr>
        <w:pStyle w:val="Prrafodelista"/>
        <w:spacing w:line="360" w:lineRule="auto"/>
        <w:ind w:left="0" w:right="49"/>
        <w:jc w:val="both"/>
        <w:rPr>
          <w:rFonts w:ascii="Palatino Linotype" w:hAnsi="Palatino Linotype" w:cs="Arial"/>
        </w:rPr>
      </w:pPr>
      <w:r>
        <w:rPr>
          <w:rFonts w:ascii="Palatino Linotype" w:hAnsi="Palatino Linotype"/>
          <w:b/>
          <w:sz w:val="28"/>
        </w:rPr>
        <w:t xml:space="preserve">TERCERO. </w:t>
      </w:r>
      <w:r>
        <w:rPr>
          <w:rFonts w:ascii="Palatino Linotype" w:hAnsi="Palatino Linotype" w:cs="Arial"/>
          <w:b/>
          <w:i/>
        </w:rPr>
        <w:t>Oportunidad.</w:t>
      </w:r>
      <w:r>
        <w:rPr>
          <w:rFonts w:ascii="Palatino Linotype" w:hAnsi="Palatino Linotype" w:cs="Arial"/>
          <w:b/>
        </w:rPr>
        <w:t xml:space="preserve">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2E2A0D" w:rsidRDefault="002E2A0D">
      <w:pPr>
        <w:ind w:left="851" w:right="899"/>
        <w:jc w:val="both"/>
        <w:rPr>
          <w:rFonts w:ascii="Palatino Linotype" w:hAnsi="Palatino Linotype" w:cs="Arial"/>
        </w:rPr>
      </w:pPr>
    </w:p>
    <w:p w:rsidR="002E2A0D" w:rsidRDefault="00BF778C">
      <w:pPr>
        <w:ind w:left="851" w:right="899"/>
        <w:jc w:val="both"/>
        <w:rPr>
          <w:rFonts w:ascii="Palatino Linotype" w:hAnsi="Palatino Linotype" w:cs="Arial"/>
          <w:i/>
        </w:rPr>
      </w:pPr>
      <w:r>
        <w:rPr>
          <w:rFonts w:ascii="Palatino Linotype" w:hAnsi="Palatino Linotype" w:cs="Arial"/>
          <w:b/>
          <w:i/>
        </w:rPr>
        <w:t>“Artículo 178.</w:t>
      </w:r>
      <w:r>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E2A0D" w:rsidRDefault="00BF778C">
      <w:pPr>
        <w:ind w:left="851" w:right="899"/>
        <w:jc w:val="both"/>
        <w:rPr>
          <w:rFonts w:ascii="Palatino Linotype" w:hAnsi="Palatino Linotype" w:cs="Arial"/>
          <w:i/>
        </w:rPr>
      </w:pPr>
      <w:r>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E2A0D" w:rsidRDefault="00BF778C">
      <w:pPr>
        <w:ind w:left="851" w:right="899"/>
        <w:jc w:val="both"/>
        <w:rPr>
          <w:rFonts w:ascii="Palatino Linotype" w:hAnsi="Palatino Linotype" w:cs="Arial"/>
          <w:i/>
        </w:rPr>
      </w:pPr>
      <w:r>
        <w:rPr>
          <w:rFonts w:ascii="Palatino Linotype" w:hAnsi="Palatino Linotype" w:cs="Arial"/>
          <w:i/>
        </w:rPr>
        <w:t>En el caso de que se interponga ante la Unidad de Transparencia, ésta deberá remitir el recurso de revisión al Instituto a más tardar al día siguiente de haberlo recibido.</w:t>
      </w:r>
      <w:r>
        <w:rPr>
          <w:rFonts w:ascii="Palatino Linotype" w:hAnsi="Palatino Linotype" w:cs="Arial"/>
          <w:b/>
          <w:i/>
        </w:rPr>
        <w:t>”</w:t>
      </w:r>
    </w:p>
    <w:p w:rsidR="002E2A0D" w:rsidRDefault="002E2A0D">
      <w:pPr>
        <w:ind w:left="851" w:right="899"/>
        <w:jc w:val="both"/>
        <w:rPr>
          <w:rFonts w:ascii="Palatino Linotype" w:hAnsi="Palatino Linotype" w:cs="Arial"/>
        </w:rPr>
      </w:pPr>
    </w:p>
    <w:p w:rsidR="002E2A0D" w:rsidRDefault="00BF778C">
      <w:pPr>
        <w:spacing w:line="360" w:lineRule="auto"/>
        <w:jc w:val="both"/>
        <w:rPr>
          <w:rFonts w:ascii="Palatino Linotype" w:hAnsi="Palatino Linotype"/>
        </w:rPr>
      </w:pPr>
      <w:r>
        <w:rPr>
          <w:rFonts w:ascii="Palatino Linotype" w:hAnsi="Palatino Linotype" w:cs="Arial"/>
        </w:rPr>
        <w:t xml:space="preserve">En efecto, atendiendo a que </w:t>
      </w:r>
      <w:r>
        <w:rPr>
          <w:rFonts w:ascii="Palatino Linotype" w:hAnsi="Palatino Linotype" w:cs="Arial"/>
          <w:b/>
        </w:rPr>
        <w:t>EL SUJETO OBLIGADO</w:t>
      </w:r>
      <w:r>
        <w:rPr>
          <w:rFonts w:ascii="Palatino Linotype" w:hAnsi="Palatino Linotype" w:cs="Arial"/>
        </w:rPr>
        <w:t xml:space="preserve"> notificó la respuesta a la solicitud de información pública el día </w:t>
      </w:r>
      <w:r>
        <w:rPr>
          <w:rFonts w:ascii="Palatino Linotype" w:hAnsi="Palatino Linotype" w:cs="Arial"/>
          <w:b/>
        </w:rPr>
        <w:t>once de febrero de dos mil veinte</w:t>
      </w:r>
      <w:r>
        <w:rPr>
          <w:rFonts w:ascii="Palatino Linotype" w:hAnsi="Palatino Linotype" w:cs="Arial"/>
        </w:rPr>
        <w:t>,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transcurrió del </w:t>
      </w:r>
      <w:r>
        <w:rPr>
          <w:rFonts w:ascii="Palatino Linotype" w:hAnsi="Palatino Linotype" w:cs="Arial"/>
          <w:b/>
        </w:rPr>
        <w:t>doce de febrero al cuatro de marzo de dos mil veinte</w:t>
      </w:r>
      <w:r>
        <w:rPr>
          <w:rFonts w:ascii="Palatino Linotype" w:hAnsi="Palatino Linotype" w:cs="Arial"/>
        </w:rPr>
        <w:t xml:space="preserve">, </w:t>
      </w:r>
      <w:r>
        <w:rPr>
          <w:rFonts w:ascii="Palatino Linotype" w:hAnsi="Palatino Linotype" w:cs="Arial"/>
          <w:lang w:val="es-ES_tradnl"/>
        </w:rPr>
        <w:t xml:space="preserve">sin contemplar en el cómputo los días  quince, dieciséis, veintidós, veintitrés y veintinueve de febrero; uno de marzo de dos mil veinte por corresponder a sábados y domingos </w:t>
      </w:r>
      <w:r>
        <w:rPr>
          <w:rFonts w:ascii="Palatino Linotype" w:hAnsi="Palatino Linotype" w:cs="Arial"/>
        </w:rPr>
        <w:t xml:space="preserve">considerados como días inhábiles; en términos del artículo 3, fracción X de la </w:t>
      </w:r>
      <w:r>
        <w:rPr>
          <w:rFonts w:ascii="Palatino Linotype" w:hAnsi="Palatino Linotype"/>
        </w:rPr>
        <w:t>Ley de Transparencia y Acceso a la Información Pública del Estado de México y Municipios; así como, el día dos de marzo dos mil veinte, considerado como día inhábil en términos del Calendario oficial publicado en el Periódico Oficial “Gaceta del Gobierno”, el diecinueve de diciembre de dos mil diecinueve.</w:t>
      </w:r>
    </w:p>
    <w:p w:rsidR="002E2A0D" w:rsidRDefault="00BF778C">
      <w:pPr>
        <w:spacing w:line="360" w:lineRule="auto"/>
        <w:jc w:val="both"/>
        <w:rPr>
          <w:rFonts w:ascii="Palatino Linotype" w:hAnsi="Palatino Linotype" w:cs="Arial"/>
          <w:lang w:val="es-ES"/>
        </w:rPr>
      </w:pPr>
      <w:r>
        <w:rPr>
          <w:rFonts w:ascii="Palatino Linotype" w:hAnsi="Palatino Linotype" w:cs="Arial"/>
          <w:lang w:val="es-ES"/>
        </w:rPr>
        <w:t xml:space="preserve">En ese tenor, si el recurso de revisión que nos ocupan, se interpuso en fecha </w:t>
      </w:r>
      <w:r>
        <w:rPr>
          <w:rFonts w:ascii="Palatino Linotype" w:hAnsi="Palatino Linotype" w:cs="Arial"/>
          <w:b/>
          <w:u w:val="single"/>
          <w:lang w:val="es-ES"/>
        </w:rPr>
        <w:t>doce de febrero de dos mil veinte</w:t>
      </w:r>
      <w:r>
        <w:rPr>
          <w:rFonts w:ascii="Palatino Linotype" w:hAnsi="Palatino Linotype" w:cs="Arial"/>
          <w:b/>
          <w:lang w:val="es-ES"/>
        </w:rPr>
        <w:t xml:space="preserve">, </w:t>
      </w:r>
      <w:r>
        <w:rPr>
          <w:rFonts w:ascii="Palatino Linotype" w:hAnsi="Palatino Linotype" w:cs="Arial"/>
          <w:lang w:val="es-ES"/>
        </w:rPr>
        <w:t xml:space="preserve">éste se encuentra dentro del margen temporal previsto en el precepto legal y, por tanto, es oportuno. </w:t>
      </w:r>
    </w:p>
    <w:p w:rsidR="002E2A0D" w:rsidRDefault="002E2A0D">
      <w:pPr>
        <w:spacing w:line="360" w:lineRule="auto"/>
        <w:jc w:val="both"/>
        <w:rPr>
          <w:rFonts w:ascii="Palatino Linotype" w:hAnsi="Palatino Linotype"/>
          <w:sz w:val="12"/>
        </w:rPr>
      </w:pPr>
    </w:p>
    <w:p w:rsidR="002E2A0D" w:rsidRDefault="00BF778C">
      <w:pPr>
        <w:pStyle w:val="Prrafodelista"/>
        <w:widowControl w:val="0"/>
        <w:tabs>
          <w:tab w:val="left" w:pos="1418"/>
        </w:tabs>
        <w:spacing w:before="200" w:after="200" w:line="360" w:lineRule="auto"/>
        <w:ind w:left="0"/>
        <w:contextualSpacing/>
        <w:jc w:val="both"/>
        <w:rPr>
          <w:rFonts w:ascii="Palatino Linotype" w:hAnsi="Palatino Linotype"/>
          <w:b/>
        </w:rPr>
      </w:pPr>
      <w:r>
        <w:rPr>
          <w:rFonts w:ascii="Palatino Linotype" w:hAnsi="Palatino Linotype"/>
          <w:b/>
          <w:sz w:val="28"/>
        </w:rPr>
        <w:t xml:space="preserve">CUARTO. </w:t>
      </w:r>
      <w:r>
        <w:rPr>
          <w:rFonts w:ascii="Palatino Linotype" w:hAnsi="Palatino Linotype" w:cs="Arial"/>
          <w:b/>
          <w:i/>
          <w:szCs w:val="28"/>
        </w:rPr>
        <w:t xml:space="preserve">Procedibilidad. </w:t>
      </w:r>
      <w:r>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Pr>
          <w:rFonts w:ascii="Palatino Linotype" w:hAnsi="Palatino Linotype" w:cs="Arial"/>
          <w:b/>
          <w:szCs w:val="28"/>
        </w:rPr>
        <w:t>SAIMEX</w:t>
      </w:r>
      <w:r>
        <w:rPr>
          <w:rFonts w:ascii="Palatino Linotype" w:hAnsi="Palatino Linotype" w:cs="Arial"/>
          <w:szCs w:val="28"/>
        </w:rPr>
        <w:t>.</w:t>
      </w:r>
    </w:p>
    <w:p w:rsidR="002E2A0D" w:rsidRDefault="00BF778C">
      <w:pPr>
        <w:spacing w:line="360" w:lineRule="auto"/>
        <w:jc w:val="both"/>
        <w:rPr>
          <w:rFonts w:ascii="Palatino Linotype" w:hAnsi="Palatino Linotype" w:cs="Arial"/>
        </w:rPr>
      </w:pPr>
      <w:r>
        <w:rPr>
          <w:rFonts w:ascii="Palatino Linotype" w:hAnsi="Palatino Linotype" w:cs="Arial"/>
          <w:b/>
          <w:sz w:val="28"/>
          <w:szCs w:val="28"/>
        </w:rPr>
        <w:t>QUINTO</w:t>
      </w:r>
      <w:r>
        <w:rPr>
          <w:rFonts w:ascii="Palatino Linotype" w:hAnsi="Palatino Linotype" w:cs="Arial"/>
          <w:b/>
        </w:rPr>
        <w:t xml:space="preserve">. </w:t>
      </w:r>
      <w:r>
        <w:rPr>
          <w:rFonts w:ascii="Palatino Linotype" w:hAnsi="Palatino Linotype" w:cs="Arial"/>
          <w:b/>
          <w:i/>
        </w:rPr>
        <w:t>Estudio y resolución del recurso</w:t>
      </w:r>
      <w:r>
        <w:rPr>
          <w:rFonts w:ascii="Palatino Linotype" w:hAnsi="Palatino Linotype" w:cs="Arial"/>
          <w:b/>
          <w:color w:val="000000" w:themeColor="text1"/>
        </w:rPr>
        <w:t>.</w:t>
      </w:r>
      <w:r>
        <w:rPr>
          <w:rFonts w:ascii="Palatino Linotype" w:hAnsi="Palatino Linotype" w:cs="Arial"/>
          <w:b/>
        </w:rPr>
        <w:t xml:space="preserve"> </w:t>
      </w:r>
      <w:r>
        <w:rPr>
          <w:rFonts w:ascii="Palatino Linotype" w:hAnsi="Palatino Linotype" w:cs="Arial"/>
        </w:rPr>
        <w:t xml:space="preserve">Una vez determinada la vía sobre la que versarán el presente recurso y previa revisión del expediente electrónico formado en </w:t>
      </w:r>
      <w:r>
        <w:rPr>
          <w:rFonts w:ascii="Palatino Linotype" w:hAnsi="Palatino Linotype" w:cs="Arial"/>
          <w:b/>
        </w:rPr>
        <w:t>EL SAIMEX</w:t>
      </w:r>
      <w:r>
        <w:rPr>
          <w:rFonts w:ascii="Palatino Linotype" w:hAnsi="Palatino Linotype" w:cs="Arial"/>
        </w:rPr>
        <w:t xml:space="preserve"> con motivo de la solicitud de información y del recurso que da origen, es conveniente analizar si la respuesta del </w:t>
      </w:r>
      <w:r>
        <w:rPr>
          <w:rFonts w:ascii="Palatino Linotype" w:hAnsi="Palatino Linotype" w:cs="Arial"/>
          <w:b/>
          <w:lang w:eastAsia="es-MX"/>
        </w:rPr>
        <w:t>SUJETO OBLIGADO</w:t>
      </w:r>
      <w:r>
        <w:rPr>
          <w:rFonts w:ascii="Palatino Linotype" w:hAnsi="Palatino Linotype" w:cs="Arial"/>
        </w:rPr>
        <w:t>, cumple con los requisitos y procedimientos del derecho de acceso a la información pública; por lo que, en primer término, tenemos que la solicitud de acceso a la información consistió en:</w:t>
      </w:r>
    </w:p>
    <w:p w:rsidR="002E2A0D" w:rsidRDefault="00BF778C">
      <w:pPr>
        <w:spacing w:line="360" w:lineRule="auto"/>
        <w:jc w:val="both"/>
        <w:rPr>
          <w:rFonts w:ascii="Palatino Linotype" w:hAnsi="Palatino Linotype" w:cs="Arial"/>
        </w:rPr>
      </w:pPr>
      <w:r>
        <w:rPr>
          <w:rFonts w:ascii="Palatino Linotype" w:hAnsi="Palatino Linotype" w:cs="Arial"/>
        </w:rPr>
        <w:t xml:space="preserve">Solicito se me entregue toda la información relacionada con la nota que aparece en la página del Gobierno Municipal de Ecatepec y que se refiere a Familia de hombre fallecido en Oficialía Calificadora recibe apoyo de gobierno de Ecatepec en este sentido solicito se entregue información de la menor de 14 años a la que se refiere la nota, lo siguiente: </w:t>
      </w:r>
    </w:p>
    <w:p w:rsidR="002E2A0D" w:rsidRDefault="00BF778C">
      <w:pPr>
        <w:pStyle w:val="Prrafodelista"/>
        <w:numPr>
          <w:ilvl w:val="0"/>
          <w:numId w:val="1"/>
        </w:numPr>
        <w:spacing w:line="276" w:lineRule="auto"/>
        <w:jc w:val="both"/>
        <w:rPr>
          <w:rFonts w:ascii="Palatino Linotype" w:hAnsi="Palatino Linotype" w:cs="Arial"/>
        </w:rPr>
      </w:pPr>
      <w:r>
        <w:rPr>
          <w:rFonts w:ascii="Palatino Linotype" w:hAnsi="Palatino Linotype" w:cs="Arial"/>
        </w:rPr>
        <w:t>El número de la oficialía calificadora, ubicación de la oficialía, la infracción que hubiera cometido, hora de ingreso, documento por el cual se acredite que se le hizo saber la infracción cometida, la descripción del procedimiento seguido por el juez(a) calificador a partir del momento en que se aseguró a la menor de 14 años, hora en que arribó a la oficialía calificadora,</w:t>
      </w:r>
    </w:p>
    <w:p w:rsidR="002E2A0D" w:rsidRDefault="00BF778C">
      <w:pPr>
        <w:pStyle w:val="Prrafodelista"/>
        <w:numPr>
          <w:ilvl w:val="0"/>
          <w:numId w:val="1"/>
        </w:numPr>
        <w:spacing w:line="276" w:lineRule="auto"/>
        <w:jc w:val="both"/>
        <w:rPr>
          <w:rFonts w:ascii="Palatino Linotype" w:hAnsi="Palatino Linotype" w:cs="Arial"/>
        </w:rPr>
      </w:pPr>
      <w:r>
        <w:rPr>
          <w:rFonts w:ascii="Palatino Linotype" w:hAnsi="Palatino Linotype" w:cs="Arial"/>
        </w:rPr>
        <w:t xml:space="preserve">El número de la unidad que la presentó ante el juez calificador, los nombres de los servidores públicos que la hubieran presentado ante el juez calificador, descripción de los bienes que se le hubieren asegurado, el lugar en el cual se le aseguró, motivo por el cual se aseguró al padre de la menor, </w:t>
      </w:r>
    </w:p>
    <w:p w:rsidR="002E2A0D" w:rsidRDefault="00BF778C">
      <w:pPr>
        <w:pStyle w:val="Prrafodelista"/>
        <w:numPr>
          <w:ilvl w:val="0"/>
          <w:numId w:val="1"/>
        </w:numPr>
        <w:spacing w:line="276" w:lineRule="auto"/>
        <w:jc w:val="both"/>
        <w:rPr>
          <w:rFonts w:ascii="Palatino Linotype" w:hAnsi="Palatino Linotype" w:cs="Arial"/>
        </w:rPr>
      </w:pPr>
      <w:r>
        <w:rPr>
          <w:rFonts w:ascii="Palatino Linotype" w:hAnsi="Palatino Linotype" w:cs="Arial"/>
        </w:rPr>
        <w:t xml:space="preserve">Bienes que se le aseguraron, lugar en el que fue detenido, arrestado o bien asegurado dentro de la oficialía calificadora, tiempo que estuvo detenido, detallar momento a momento el procedimiento seguido con posterioridad a su detención, arresto o aseguramiento ante la oficialía calificadora. </w:t>
      </w:r>
    </w:p>
    <w:p w:rsidR="002E2A0D" w:rsidRDefault="00BF778C">
      <w:pPr>
        <w:pStyle w:val="Prrafodelista"/>
        <w:numPr>
          <w:ilvl w:val="0"/>
          <w:numId w:val="1"/>
        </w:numPr>
        <w:spacing w:line="276" w:lineRule="auto"/>
        <w:jc w:val="both"/>
        <w:rPr>
          <w:rFonts w:ascii="Palatino Linotype" w:hAnsi="Palatino Linotype" w:cs="Arial"/>
        </w:rPr>
      </w:pPr>
      <w:r>
        <w:rPr>
          <w:rFonts w:ascii="Palatino Linotype" w:hAnsi="Palatino Linotype" w:cs="Arial"/>
        </w:rPr>
        <w:t>Copia del acuerdo, debidamente firmado, en versión pública que se hubiera celebrado con los familiares, monto total del acuerdo, considerando cualquier prestación en dinero y en especie que se hubiera acordado, tiempo de vigencia del acuerdo, nombre de los funcionarios que firmaron el convenio o acuerdo, obligaciones asumidas por los familiares respecto del acuerdo, obligaciones asumidas por los integrantes del Ayuntamiento.</w:t>
      </w:r>
    </w:p>
    <w:p w:rsidR="002E2A0D" w:rsidRDefault="002E2A0D">
      <w:pPr>
        <w:spacing w:line="360" w:lineRule="auto"/>
        <w:jc w:val="both"/>
        <w:rPr>
          <w:rFonts w:ascii="Palatino Linotype" w:hAnsi="Palatino Linotype" w:cs="Arial"/>
          <w:sz w:val="14"/>
        </w:rPr>
      </w:pPr>
    </w:p>
    <w:p w:rsidR="002E2A0D" w:rsidRDefault="00BF778C">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De lo anterior, se desprende que </w:t>
      </w:r>
      <w:r>
        <w:rPr>
          <w:rFonts w:ascii="Palatino Linotype" w:hAnsi="Palatino Linotype" w:cs="Arial"/>
          <w:b/>
        </w:rPr>
        <w:t>EL SUJETO OBLIGADO</w:t>
      </w:r>
      <w:r>
        <w:rPr>
          <w:rFonts w:ascii="Palatino Linotype" w:hAnsi="Palatino Linotype" w:cs="Arial"/>
        </w:rPr>
        <w:t xml:space="preserve"> le informó que los Servidores Públicos Habilitados Competentes de las Direcciones de Secretaría Técnica, Jurídico y Consultivo y la Contraloría Interna Municipal emitieron sus respuestas las culés le anexó; así como, también las Actas de Comité de Transparencia correspondientes.</w:t>
      </w:r>
    </w:p>
    <w:p w:rsidR="002E2A0D" w:rsidRDefault="00BF778C">
      <w:pPr>
        <w:pStyle w:val="Prrafodelista"/>
        <w:widowControl w:val="0"/>
        <w:spacing w:after="120" w:line="360" w:lineRule="auto"/>
        <w:ind w:left="0"/>
        <w:contextualSpacing/>
        <w:jc w:val="both"/>
        <w:rPr>
          <w:rFonts w:ascii="Palatino Linotype" w:hAnsi="Palatino Linotype" w:cs="Arial"/>
        </w:rPr>
      </w:pPr>
      <w:r>
        <w:rPr>
          <w:noProof/>
          <w:lang w:eastAsia="es-MX"/>
        </w:rPr>
        <mc:AlternateContent>
          <mc:Choice Requires="wps">
            <w:drawing>
              <wp:anchor distT="0" distB="0" distL="0" distR="0" simplePos="0" relativeHeight="54" behindDoc="0" locked="0" layoutInCell="1" allowOverlap="1" wp14:anchorId="742D3046">
                <wp:simplePos x="0" y="0"/>
                <wp:positionH relativeFrom="column">
                  <wp:posOffset>-22860</wp:posOffset>
                </wp:positionH>
                <wp:positionV relativeFrom="paragraph">
                  <wp:posOffset>298450</wp:posOffset>
                </wp:positionV>
                <wp:extent cx="5991225" cy="2914650"/>
                <wp:effectExtent l="0" t="0" r="28575" b="19050"/>
                <wp:wrapNone/>
                <wp:docPr id="3" name="Conector recto 7"/>
                <wp:cNvGraphicFramePr/>
                <a:graphic xmlns:a="http://schemas.openxmlformats.org/drawingml/2006/main">
                  <a:graphicData uri="http://schemas.microsoft.com/office/word/2010/wordprocessingShape">
                    <wps:wsp>
                      <wps:cNvCnPr/>
                      <wps:spPr>
                        <a:xfrm>
                          <a:off x="0" y="0"/>
                          <a:ext cx="5991225" cy="2914650"/>
                        </a:xfrm>
                        <a:prstGeom prst="line">
                          <a:avLst/>
                        </a:prstGeom>
                        <a:ln w="28440">
                          <a:solidFill>
                            <a:srgbClr val="4A7EBB"/>
                          </a:solidFill>
                          <a:round/>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2F3AE13" id="Conector recto 7" o:spid="_x0000_s1026" style="position:absolute;z-index:5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8pt,23.5pt" to="469.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" strokecolor="#4a7ebb" strokeweight=".79mm"/>
            </w:pict>
          </mc:Fallback>
        </mc:AlternateContent>
      </w:r>
      <w:r>
        <w:rPr>
          <w:rFonts w:ascii="Palatino Linotype" w:hAnsi="Palatino Linotype" w:cs="Arial"/>
        </w:rPr>
        <w:t>De esta forma, la respuesta de la Dirección Jurídica y Consultiva consistió:</w:t>
      </w:r>
    </w:p>
    <w:p w:rsidR="002E2A0D" w:rsidRDefault="00BF778C">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629275" cy="775335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8"/>
                    <a:srcRect l="29882" t="15399" r="31786" b="5817"/>
                    <a:stretch>
                      <a:fillRect/>
                    </a:stretch>
                  </pic:blipFill>
                  <pic:spPr bwMode="auto">
                    <a:xfrm>
                      <a:off x="0" y="0"/>
                      <a:ext cx="5629275" cy="7753350"/>
                    </a:xfrm>
                    <a:prstGeom prst="rect">
                      <a:avLst/>
                    </a:prstGeom>
                  </pic:spPr>
                </pic:pic>
              </a:graphicData>
            </a:graphic>
          </wp:inline>
        </w:drawing>
      </w:r>
      <w:r>
        <w:rPr>
          <w:noProof/>
          <w:lang w:eastAsia="es-MX"/>
        </w:rPr>
        <mc:AlternateContent>
          <mc:Choice Requires="wps">
            <w:drawing>
              <wp:anchor distT="0" distB="0" distL="0" distR="0" simplePos="0" relativeHeight="47" behindDoc="0" locked="0" layoutInCell="1" allowOverlap="1" wp14:anchorId="4E1E5451">
                <wp:simplePos x="0" y="0"/>
                <wp:positionH relativeFrom="column">
                  <wp:posOffset>948690</wp:posOffset>
                </wp:positionH>
                <wp:positionV relativeFrom="paragraph">
                  <wp:posOffset>4388485</wp:posOffset>
                </wp:positionV>
                <wp:extent cx="4192905" cy="916305"/>
                <wp:effectExtent l="19050" t="19050" r="0" b="0"/>
                <wp:wrapNone/>
                <wp:docPr id="4" name="Rectángulo 11"/>
                <wp:cNvGraphicFramePr/>
                <a:graphic xmlns:a="http://schemas.openxmlformats.org/drawingml/2006/main">
                  <a:graphicData uri="http://schemas.microsoft.com/office/word/2010/wordprocessingShape">
                    <wps:wsp>
                      <wps:cNvSpPr/>
                      <wps:spPr>
                        <a:xfrm>
                          <a:off x="0" y="0"/>
                          <a:ext cx="4192200" cy="915840"/>
                        </a:xfrm>
                        <a:prstGeom prst="rect">
                          <a:avLst/>
                        </a:prstGeom>
                        <a:noFill/>
                        <a:ln w="2844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1" stroked="t" style="position:absolute;margin-left:74.7pt;margin-top:345.55pt;width:330.05pt;height:72.05pt" wp14:anchorId="4E1E5451">
                <w10:wrap type="none"/>
                <v:fill o:detectmouseclick="t" on="false"/>
                <v:stroke color="red" weight="28440" joinstyle="round" endcap="flat"/>
              </v:rect>
            </w:pict>
          </mc:Fallback>
        </mc:AlternateContent>
      </w:r>
      <w:r>
        <w:rPr>
          <w:noProof/>
          <w:lang w:eastAsia="es-MX"/>
        </w:rPr>
        <mc:AlternateContent>
          <mc:Choice Requires="wps">
            <w:drawing>
              <wp:anchor distT="0" distB="0" distL="0" distR="0" simplePos="0" relativeHeight="48" behindDoc="0" locked="0" layoutInCell="1" allowOverlap="1" wp14:anchorId="6030E06B">
                <wp:simplePos x="0" y="0"/>
                <wp:positionH relativeFrom="column">
                  <wp:posOffset>186690</wp:posOffset>
                </wp:positionH>
                <wp:positionV relativeFrom="paragraph">
                  <wp:posOffset>5674360</wp:posOffset>
                </wp:positionV>
                <wp:extent cx="1097280" cy="678180"/>
                <wp:effectExtent l="0" t="19050" r="28575" b="28575"/>
                <wp:wrapNone/>
                <wp:docPr id="5" name="Flecha derecha 12"/>
                <wp:cNvGraphicFramePr/>
                <a:graphic xmlns:a="http://schemas.openxmlformats.org/drawingml/2006/main">
                  <a:graphicData uri="http://schemas.microsoft.com/office/word/2010/wordprocessingShape">
                    <wps:wsp>
                      <wps:cNvSpPr/>
                      <wps:spPr>
                        <a:xfrm>
                          <a:off x="0" y="0"/>
                          <a:ext cx="1096560" cy="677520"/>
                        </a:xfrm>
                        <a:prstGeom prst="rightArrow">
                          <a:avLst>
                            <a:gd name="adj1" fmla="val 50000"/>
                            <a:gd name="adj2" fmla="val 50000"/>
                          </a:avLst>
                        </a:prstGeom>
                        <a:solidFill>
                          <a:srgbClr val="FF0000"/>
                        </a:solid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derecha 12" fillcolor="red" stroked="t" style="position:absolute;margin-left:14.7pt;margin-top:446.8pt;width:86.3pt;height:53.3pt" wp14:anchorId="6030E06B" type="shapetype_13">
                <w10:wrap type="none"/>
                <v:fill o:detectmouseclick="t" type="solid" color2="aqua"/>
                <v:stroke color="red" weight="25560" joinstyle="round" endcap="flat"/>
              </v:shape>
            </w:pict>
          </mc:Fallback>
        </mc:AlternateContent>
      </w:r>
    </w:p>
    <w:p w:rsidR="002E2A0D" w:rsidRDefault="00BF778C">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657850" cy="7667625"/>
            <wp:effectExtent l="0" t="0" r="0" b="0"/>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3"/>
                    <pic:cNvPicPr>
                      <a:picLocks noChangeAspect="1" noChangeArrowheads="1"/>
                    </pic:cNvPicPr>
                  </pic:nvPicPr>
                  <pic:blipFill>
                    <a:blip r:embed="rId9"/>
                    <a:srcRect l="30214" t="14793" r="30087" b="27559"/>
                    <a:stretch>
                      <a:fillRect/>
                    </a:stretch>
                  </pic:blipFill>
                  <pic:spPr bwMode="auto">
                    <a:xfrm>
                      <a:off x="0" y="0"/>
                      <a:ext cx="5657850" cy="7667625"/>
                    </a:xfrm>
                    <a:prstGeom prst="rect">
                      <a:avLst/>
                    </a:prstGeom>
                  </pic:spPr>
                </pic:pic>
              </a:graphicData>
            </a:graphic>
          </wp:inline>
        </w:drawing>
      </w:r>
    </w:p>
    <w:p w:rsidR="002E2A0D" w:rsidRDefault="00BF778C">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Por su parte el Coordinador de las Oficialías Conciliadoras y Mediadoras señaló:</w:t>
      </w:r>
    </w:p>
    <w:p w:rsidR="002E2A0D" w:rsidRDefault="00BF778C">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553075" cy="6953250"/>
            <wp:effectExtent l="0" t="0" r="0" b="0"/>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5"/>
                    <pic:cNvPicPr>
                      <a:picLocks noChangeAspect="1" noChangeArrowheads="1"/>
                    </pic:cNvPicPr>
                  </pic:nvPicPr>
                  <pic:blipFill>
                    <a:blip r:embed="rId10"/>
                    <a:srcRect l="34129" t="20536" r="36199" b="10945"/>
                    <a:stretch>
                      <a:fillRect/>
                    </a:stretch>
                  </pic:blipFill>
                  <pic:spPr bwMode="auto">
                    <a:xfrm>
                      <a:off x="0" y="0"/>
                      <a:ext cx="5553075" cy="6953250"/>
                    </a:xfrm>
                    <a:prstGeom prst="rect">
                      <a:avLst/>
                    </a:prstGeom>
                  </pic:spPr>
                </pic:pic>
              </a:graphicData>
            </a:graphic>
          </wp:inline>
        </w:drawing>
      </w:r>
    </w:p>
    <w:p w:rsidR="002E2A0D" w:rsidRDefault="00BF778C">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Y por último el Contralor Interno Municipal refirió:</w:t>
      </w:r>
    </w:p>
    <w:p w:rsidR="002E2A0D" w:rsidRDefault="00BF778C">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524500" cy="7000875"/>
            <wp:effectExtent l="0" t="0" r="0" b="9525"/>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6"/>
                    <pic:cNvPicPr>
                      <a:picLocks noChangeAspect="1" noChangeArrowheads="1"/>
                    </pic:cNvPicPr>
                  </pic:nvPicPr>
                  <pic:blipFill>
                    <a:blip r:embed="rId11"/>
                    <a:srcRect l="34807" t="17820" r="35690" b="15172"/>
                    <a:stretch>
                      <a:fillRect/>
                    </a:stretch>
                  </pic:blipFill>
                  <pic:spPr bwMode="auto">
                    <a:xfrm>
                      <a:off x="0" y="0"/>
                      <a:ext cx="5524500" cy="7000875"/>
                    </a:xfrm>
                    <a:prstGeom prst="rect">
                      <a:avLst/>
                    </a:prstGeom>
                  </pic:spPr>
                </pic:pic>
              </a:graphicData>
            </a:graphic>
          </wp:inline>
        </w:drawing>
      </w:r>
    </w:p>
    <w:p w:rsidR="002E2A0D" w:rsidRDefault="00BF778C">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524500" cy="7772400"/>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7"/>
                    <pic:cNvPicPr>
                      <a:picLocks noChangeAspect="1" noChangeArrowheads="1"/>
                    </pic:cNvPicPr>
                  </pic:nvPicPr>
                  <pic:blipFill>
                    <a:blip r:embed="rId12"/>
                    <a:srcRect l="35145" t="9966" r="36199" b="25138"/>
                    <a:stretch>
                      <a:fillRect/>
                    </a:stretch>
                  </pic:blipFill>
                  <pic:spPr bwMode="auto">
                    <a:xfrm>
                      <a:off x="0" y="0"/>
                      <a:ext cx="5524500" cy="7772400"/>
                    </a:xfrm>
                    <a:prstGeom prst="rect">
                      <a:avLst/>
                    </a:prstGeom>
                  </pic:spPr>
                </pic:pic>
              </a:graphicData>
            </a:graphic>
          </wp:inline>
        </w:drawing>
      </w:r>
    </w:p>
    <w:p w:rsidR="002E2A0D" w:rsidRDefault="00BF778C">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505450" cy="7600950"/>
            <wp:effectExtent l="0" t="0" r="0" b="0"/>
            <wp:docPr id="1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8"/>
                    <pic:cNvPicPr>
                      <a:picLocks noChangeAspect="1" noChangeArrowheads="1"/>
                    </pic:cNvPicPr>
                  </pic:nvPicPr>
                  <pic:blipFill>
                    <a:blip r:embed="rId13"/>
                    <a:srcRect l="35319" t="25979" r="35861" b="7628"/>
                    <a:stretch>
                      <a:fillRect/>
                    </a:stretch>
                  </pic:blipFill>
                  <pic:spPr bwMode="auto">
                    <a:xfrm>
                      <a:off x="0" y="0"/>
                      <a:ext cx="5505450" cy="7600950"/>
                    </a:xfrm>
                    <a:prstGeom prst="rect">
                      <a:avLst/>
                    </a:prstGeom>
                  </pic:spPr>
                </pic:pic>
              </a:graphicData>
            </a:graphic>
          </wp:inline>
        </w:drawing>
      </w:r>
    </w:p>
    <w:p w:rsidR="002E2A0D" w:rsidRDefault="00BF778C">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De igual forma, le anexó el Acta del Comité de Transparencia por el cual aprobó la versión pública del Acuerdo solicitado en la solicitud de acceso a la información; así como, el Acta donde se clasificó como reservada la información relativa a los sucesos ocurridos en la Oficialía Calificadora.</w:t>
      </w:r>
    </w:p>
    <w:p w:rsidR="002E2A0D" w:rsidRDefault="002E2A0D">
      <w:pPr>
        <w:pStyle w:val="Prrafodelista"/>
        <w:widowControl w:val="0"/>
        <w:spacing w:after="120" w:line="360" w:lineRule="auto"/>
        <w:ind w:left="0"/>
        <w:contextualSpacing/>
        <w:jc w:val="both"/>
        <w:rPr>
          <w:rFonts w:ascii="Palatino Linotype" w:hAnsi="Palatino Linotype" w:cs="Arial"/>
          <w:sz w:val="6"/>
        </w:rPr>
      </w:pPr>
    </w:p>
    <w:p w:rsidR="002E2A0D" w:rsidRDefault="002E2A0D">
      <w:pPr>
        <w:pStyle w:val="Prrafodelista"/>
        <w:widowControl w:val="0"/>
        <w:spacing w:after="120" w:line="360" w:lineRule="auto"/>
        <w:ind w:left="0"/>
        <w:contextualSpacing/>
        <w:jc w:val="both"/>
        <w:rPr>
          <w:rFonts w:ascii="Palatino Linotype" w:hAnsi="Palatino Linotype" w:cs="Arial"/>
          <w:sz w:val="2"/>
        </w:rPr>
      </w:pPr>
    </w:p>
    <w:p w:rsidR="002E2A0D" w:rsidRDefault="00BF778C">
      <w:pPr>
        <w:spacing w:line="360" w:lineRule="auto"/>
        <w:jc w:val="both"/>
        <w:rPr>
          <w:rFonts w:ascii="Palatino Linotype" w:hAnsi="Palatino Linotype"/>
        </w:rPr>
      </w:pPr>
      <w:r>
        <w:rPr>
          <w:rFonts w:ascii="Palatino Linotype" w:hAnsi="Palatino Linotype"/>
        </w:rPr>
        <w:t xml:space="preserve">De lo anterior, el ahora </w:t>
      </w:r>
      <w:r>
        <w:rPr>
          <w:rFonts w:ascii="Palatino Linotype" w:hAnsi="Palatino Linotype"/>
          <w:b/>
        </w:rPr>
        <w:t>RECURRENTE</w:t>
      </w:r>
      <w:r>
        <w:rPr>
          <w:rFonts w:ascii="Palatino Linotype" w:hAnsi="Palatino Linotype"/>
        </w:rPr>
        <w:t xml:space="preserve"> señaló como acto impugnado y como razones y motivos de inconformidad en el recurso de revisión en estudio “</w:t>
      </w:r>
      <w:r>
        <w:rPr>
          <w:rFonts w:ascii="Palatino Linotype" w:hAnsi="Palatino Linotype"/>
          <w:i/>
        </w:rPr>
        <w:t>En virtud de que la respuesta emitida por las autoridade no cumple con el principio de máxima publicidad, así mismo, en la clasificación que realizan las autoridades municipales no se evidencia ningún daño o posible obstrucción de las presuntas investigaciones. Además de los cual, ha sido el propio ayuntamiento quien colocó la información mencionada en el portal y narró de manera resumida los hechos que son materia de solicitud.”</w:t>
      </w:r>
      <w:r>
        <w:rPr>
          <w:rFonts w:ascii="Palatino Linotype" w:hAnsi="Palatino Linotype"/>
        </w:rPr>
        <w:t>.</w:t>
      </w:r>
    </w:p>
    <w:p w:rsidR="002E2A0D" w:rsidRDefault="00BF778C">
      <w:pPr>
        <w:spacing w:beforeAutospacing="1" w:afterAutospacing="1" w:line="360" w:lineRule="auto"/>
        <w:jc w:val="both"/>
        <w:rPr>
          <w:rFonts w:ascii="Palatino Linotype" w:hAnsi="Palatino Linotype"/>
        </w:rPr>
      </w:pPr>
      <w:r>
        <w:rPr>
          <w:rFonts w:ascii="Palatino Linotype" w:hAnsi="Palatino Linotype"/>
        </w:rPr>
        <w:t>Bajo lo cual, se actualiza la causal de procedencia en las fracciones II y V de la Ley de Transparencia y Acceso a la Información Pública del Estado de México y Municipios que dispone:</w:t>
      </w:r>
    </w:p>
    <w:p w:rsidR="002E2A0D" w:rsidRDefault="00BF778C">
      <w:pPr>
        <w:spacing w:line="276" w:lineRule="auto"/>
        <w:ind w:left="851" w:right="616"/>
        <w:jc w:val="both"/>
        <w:rPr>
          <w:rFonts w:ascii="Palatino Linotype" w:hAnsi="Palatino Linotype"/>
          <w:i/>
        </w:rPr>
      </w:pPr>
      <w:r>
        <w:rPr>
          <w:rFonts w:ascii="Palatino Linotype" w:hAnsi="Palatino Linotype"/>
          <w:b/>
          <w:i/>
        </w:rPr>
        <w:t>“Artículo 179.</w:t>
      </w:r>
      <w:r>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2E2A0D" w:rsidRDefault="00BF778C">
      <w:pPr>
        <w:spacing w:line="276" w:lineRule="auto"/>
        <w:ind w:left="851" w:right="616"/>
        <w:jc w:val="both"/>
        <w:rPr>
          <w:rFonts w:ascii="Palatino Linotype" w:hAnsi="Palatino Linotype"/>
          <w:b/>
          <w:i/>
        </w:rPr>
      </w:pPr>
      <w:r>
        <w:rPr>
          <w:rFonts w:ascii="Palatino Linotype" w:hAnsi="Palatino Linotype"/>
          <w:b/>
          <w:i/>
        </w:rPr>
        <w:t>II. La clasificación de la información;</w:t>
      </w:r>
    </w:p>
    <w:p w:rsidR="002E2A0D" w:rsidRDefault="00BF778C">
      <w:pPr>
        <w:spacing w:line="276" w:lineRule="auto"/>
        <w:ind w:left="851" w:right="616"/>
        <w:jc w:val="both"/>
        <w:rPr>
          <w:rFonts w:ascii="Palatino Linotype" w:hAnsi="Palatino Linotype"/>
          <w:i/>
        </w:rPr>
      </w:pPr>
      <w:r>
        <w:rPr>
          <w:rFonts w:ascii="Palatino Linotype" w:hAnsi="Palatino Linotype"/>
          <w:b/>
          <w:i/>
        </w:rPr>
        <w:t>V. La entrega de información incompleta;</w:t>
      </w:r>
      <w:r>
        <w:rPr>
          <w:rFonts w:ascii="Palatino Linotype" w:hAnsi="Palatino Linotype"/>
          <w:i/>
        </w:rPr>
        <w:t>”</w:t>
      </w:r>
    </w:p>
    <w:p w:rsidR="002E2A0D" w:rsidRDefault="00BF778C">
      <w:pPr>
        <w:pStyle w:val="Prrafodelista"/>
        <w:widowControl w:val="0"/>
        <w:spacing w:before="360" w:after="240" w:line="360" w:lineRule="auto"/>
        <w:ind w:left="0"/>
        <w:contextualSpacing/>
        <w:jc w:val="both"/>
        <w:rPr>
          <w:rFonts w:ascii="Palatino Linotype" w:hAnsi="Palatino Linotype"/>
        </w:rPr>
      </w:pPr>
      <w:r>
        <w:rPr>
          <w:rFonts w:ascii="Palatino Linotype" w:hAnsi="Palatino Linotype" w:cs="Arial"/>
        </w:rPr>
        <w:t xml:space="preserve">Por otra parte, </w:t>
      </w:r>
      <w:r>
        <w:rPr>
          <w:rFonts w:ascii="Palatino Linotype" w:hAnsi="Palatino Linotype"/>
        </w:rPr>
        <w:t xml:space="preserve">es necesario hacer mención de que </w:t>
      </w:r>
      <w:r>
        <w:rPr>
          <w:rFonts w:ascii="Palatino Linotype" w:hAnsi="Palatino Linotype"/>
          <w:b/>
        </w:rPr>
        <w:t>EL SUJETO OBLIGADO</w:t>
      </w:r>
      <w:r>
        <w:rPr>
          <w:rFonts w:ascii="Palatino Linotype" w:hAnsi="Palatino Linotype"/>
        </w:rPr>
        <w:t xml:space="preserve"> fue omiso en rendir el Informe Justificado; asimismo, el particular fue omiso en rendir las manifestaciones o alegatos que a su derecho conviniera.</w:t>
      </w:r>
    </w:p>
    <w:p w:rsidR="002E2A0D" w:rsidRDefault="00BF778C">
      <w:pPr>
        <w:spacing w:before="360" w:after="360" w:line="360" w:lineRule="auto"/>
        <w:jc w:val="both"/>
        <w:rPr>
          <w:rFonts w:ascii="Palatino Linotype" w:hAnsi="Palatino Linotype"/>
        </w:rPr>
      </w:pPr>
      <w:r>
        <w:rPr>
          <w:rFonts w:ascii="Palatino Linotype" w:hAnsi="Palatino Linotype"/>
        </w:rPr>
        <w:t xml:space="preserve">Establecido lo anterior, </w:t>
      </w:r>
      <w:r>
        <w:rPr>
          <w:rFonts w:ascii="Palatino Linotype" w:hAnsi="Palatino Linotype" w:cs="Arial"/>
        </w:rPr>
        <w:t>esta</w:t>
      </w:r>
      <w:r>
        <w:rPr>
          <w:rFonts w:ascii="Palatino Linotype" w:hAnsi="Palatino Linotype"/>
        </w:rPr>
        <w:t xml:space="preserve"> </w:t>
      </w:r>
      <w:r>
        <w:rPr>
          <w:rFonts w:ascii="Palatino Linotype" w:hAnsi="Palatino Linotype"/>
          <w:lang w:eastAsia="es-ES_tradnl"/>
        </w:rPr>
        <w:t>Ponencia</w:t>
      </w:r>
      <w:r>
        <w:rPr>
          <w:rFonts w:ascii="Palatino Linotype" w:hAnsi="Palatino Linotype"/>
        </w:rPr>
        <w:t xml:space="preserve"> Resolutora advierte que resultan </w:t>
      </w:r>
      <w:r>
        <w:rPr>
          <w:rFonts w:ascii="Palatino Linotype" w:hAnsi="Palatino Linotype"/>
          <w:b/>
        </w:rPr>
        <w:t>parcialmente</w:t>
      </w:r>
      <w:r>
        <w:rPr>
          <w:rFonts w:ascii="Palatino Linotype" w:hAnsi="Palatino Linotype"/>
        </w:rPr>
        <w:t xml:space="preserve"> </w:t>
      </w:r>
      <w:r>
        <w:rPr>
          <w:rFonts w:ascii="Palatino Linotype" w:hAnsi="Palatino Linotype"/>
          <w:b/>
        </w:rPr>
        <w:t xml:space="preserve">fundadas </w:t>
      </w:r>
      <w:r>
        <w:rPr>
          <w:rFonts w:ascii="Palatino Linotype" w:hAnsi="Palatino Linotype" w:cs="Arial"/>
        </w:rPr>
        <w:t xml:space="preserve">las razones o motivos de </w:t>
      </w:r>
      <w:r>
        <w:rPr>
          <w:rFonts w:ascii="Palatino Linotype" w:hAnsi="Palatino Linotype"/>
        </w:rPr>
        <w:t xml:space="preserve">inconformidad expuestas por </w:t>
      </w:r>
      <w:r>
        <w:rPr>
          <w:rFonts w:ascii="Palatino Linotype" w:hAnsi="Palatino Linotype" w:cs="Arial"/>
          <w:b/>
        </w:rPr>
        <w:t>EL RECURRENTE</w:t>
      </w:r>
      <w:r>
        <w:rPr>
          <w:rFonts w:ascii="Palatino Linotype" w:hAnsi="Palatino Linotype"/>
        </w:rPr>
        <w:t>, en razón de lo siguiente:</w:t>
      </w:r>
    </w:p>
    <w:p w:rsidR="002E2A0D" w:rsidRDefault="00BF778C">
      <w:pPr>
        <w:spacing w:beforeAutospacing="1" w:afterAutospacing="1" w:line="360" w:lineRule="auto"/>
        <w:jc w:val="both"/>
        <w:rPr>
          <w:rFonts w:ascii="Palatino Linotype" w:hAnsi="Palatino Linotype" w:cs="Arial"/>
          <w:lang w:val="es-ES_tradnl"/>
        </w:rPr>
      </w:pPr>
      <w:r>
        <w:rPr>
          <w:rFonts w:ascii="Palatino Linotype" w:hAnsi="Palatino Linotype"/>
        </w:rPr>
        <w:t xml:space="preserve">Primeramente, se precisa que se obvia el análisis de la competencia por parte del </w:t>
      </w:r>
      <w:r>
        <w:rPr>
          <w:rFonts w:ascii="Palatino Linotype" w:hAnsi="Palatino Linotype"/>
          <w:b/>
        </w:rPr>
        <w:t>SUJETO OBLIGADO</w:t>
      </w:r>
      <w:r>
        <w:rPr>
          <w:rFonts w:ascii="Palatino Linotype" w:hAnsi="Palatino Linotype"/>
        </w:rPr>
        <w:t>, para generar, administrar o poseer la información solicitada, dado que éste ha asumido la misma, en razón de que en su respuesta admitió contar con dicha información al adjuntar los oficios de respuesta de los Servidores Públicos Habilitados Competentes, El Convenio mencionado y las Actas del Comité de Transparencia donde autorizan la versión público de dicho Convenio y por el que clasifican como reservada la información relativa  los sucesos que refieren en la solicitud de acceso a la información pública.</w:t>
      </w:r>
    </w:p>
    <w:p w:rsidR="002E2A0D" w:rsidRDefault="00BF778C">
      <w:pPr>
        <w:spacing w:before="240" w:after="240" w:line="360" w:lineRule="auto"/>
        <w:jc w:val="both"/>
        <w:rPr>
          <w:rFonts w:ascii="Palatino Linotype" w:hAnsi="Palatino Linotype"/>
        </w:rPr>
      </w:pPr>
      <w:r>
        <w:rPr>
          <w:rFonts w:ascii="Palatino Linotype" w:hAnsi="Palatino Linotype"/>
        </w:rPr>
        <w:t xml:space="preserve">En efecto, el hecho de que </w:t>
      </w:r>
      <w:r>
        <w:rPr>
          <w:rFonts w:ascii="Palatino Linotype" w:hAnsi="Palatino Linotype"/>
          <w:b/>
        </w:rPr>
        <w:t>EL SUJETO OBLIGADO</w:t>
      </w:r>
      <w:r>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2E2A0D" w:rsidRDefault="00BF778C">
      <w:pPr>
        <w:tabs>
          <w:tab w:val="left" w:pos="851"/>
          <w:tab w:val="left" w:pos="8505"/>
        </w:tabs>
        <w:spacing w:line="276" w:lineRule="auto"/>
        <w:ind w:left="851" w:right="902"/>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12.</w:t>
      </w:r>
      <w:r>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2E2A0D" w:rsidRDefault="00BF778C">
      <w:pPr>
        <w:spacing w:line="276" w:lineRule="auto"/>
        <w:ind w:left="851" w:right="902"/>
        <w:jc w:val="both"/>
        <w:rPr>
          <w:rFonts w:ascii="Palatino Linotype" w:hAnsi="Palatino Linotype" w:cs="Arial"/>
          <w:i/>
        </w:rPr>
      </w:pPr>
      <w:r>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2E2A0D" w:rsidRDefault="00BF778C">
      <w:pPr>
        <w:spacing w:beforeAutospacing="1" w:afterAutospacing="1" w:line="360" w:lineRule="auto"/>
        <w:jc w:val="both"/>
        <w:rPr>
          <w:rFonts w:ascii="Palatino Linotype" w:hAnsi="Palatino Linotype"/>
        </w:rPr>
      </w:pPr>
      <w:r>
        <w:rPr>
          <w:rFonts w:ascii="Palatino Linotype" w:hAnsi="Palatino Linotype"/>
        </w:rPr>
        <w:t xml:space="preserve">Así,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2E2A0D" w:rsidRDefault="00BF778C">
      <w:pPr>
        <w:spacing w:before="360" w:after="360" w:line="360" w:lineRule="auto"/>
        <w:jc w:val="both"/>
        <w:rPr>
          <w:rFonts w:ascii="Palatino Linotype" w:hAnsi="Palatino Linotype"/>
        </w:rPr>
      </w:pPr>
      <w:r>
        <w:rPr>
          <w:rFonts w:ascii="Palatino Linotype" w:hAnsi="Palatino Linotype" w:cs="Arial"/>
        </w:rPr>
        <w:t xml:space="preserve">No obstante, </w:t>
      </w:r>
      <w:r>
        <w:rPr>
          <w:rFonts w:ascii="Palatino Linotype" w:hAnsi="Palatino Linotype"/>
        </w:rPr>
        <w:t xml:space="preserve">en aquellos casos en que los Sujetos Obligados hayan asumido que cuentan con la información </w:t>
      </w:r>
      <w:r>
        <w:rPr>
          <w:rFonts w:ascii="Palatino Linotype" w:hAnsi="Palatino Linotype" w:cs="Arial"/>
        </w:rPr>
        <w:t>requerida</w:t>
      </w:r>
      <w:r>
        <w:rPr>
          <w:rFonts w:ascii="Palatino Linotype" w:hAnsi="Palatino Linotype"/>
        </w:rPr>
        <w:t xml:space="preserve">, ello se traduce en que la generan, poseen o administran. Así, en el presente caso, </w:t>
      </w:r>
      <w:r>
        <w:rPr>
          <w:rFonts w:ascii="Palatino Linotype" w:hAnsi="Palatino Linotype"/>
          <w:b/>
        </w:rPr>
        <w:t>EL SUJETO OBLIGADO</w:t>
      </w:r>
      <w:r>
        <w:rPr>
          <w:rFonts w:ascii="Palatino Linotype" w:hAnsi="Palatino Linotype"/>
        </w:rPr>
        <w:t xml:space="preserve"> asumió tal situación al anexar en su respuesta la relación de expedientes de dos mil diecinueve y que dichos expedientes se encuentran en la relación de información considerada como reservada; lo que, implica necesariamente que, cuenta con la misma.</w:t>
      </w:r>
    </w:p>
    <w:p w:rsidR="002E2A0D" w:rsidRDefault="00BF778C">
      <w:pPr>
        <w:spacing w:line="360" w:lineRule="auto"/>
        <w:jc w:val="both"/>
        <w:rPr>
          <w:rFonts w:ascii="Palatino Linotype" w:hAnsi="Palatino Linotype" w:cs="Arial"/>
          <w:color w:val="2F2F2F"/>
          <w:lang w:eastAsia="es-MX"/>
        </w:rPr>
      </w:pPr>
      <w:r>
        <w:rPr>
          <w:rFonts w:ascii="Palatino Linotype" w:hAnsi="Palatino Linotype" w:cs="Arial"/>
        </w:rPr>
        <w:t xml:space="preserve">Ahora bien, en relación al requerimiento número 1 por el que el particular requiere del </w:t>
      </w:r>
      <w:r>
        <w:rPr>
          <w:rFonts w:ascii="Palatino Linotype" w:hAnsi="Palatino Linotype" w:cs="Arial"/>
          <w:b/>
        </w:rPr>
        <w:t>SUJETO OBLIGADO</w:t>
      </w:r>
      <w:r>
        <w:rPr>
          <w:rFonts w:ascii="Palatino Linotype" w:hAnsi="Palatino Linotype" w:cs="Arial"/>
        </w:rPr>
        <w:t xml:space="preserve"> saber lo </w:t>
      </w:r>
      <w:r>
        <w:rPr>
          <w:rFonts w:ascii="Palatino Linotype" w:hAnsi="Palatino Linotype" w:cs="Arial"/>
          <w:color w:val="2F2F2F"/>
          <w:lang w:eastAsia="es-MX"/>
        </w:rPr>
        <w:t>respecto de “</w:t>
      </w:r>
      <w:r>
        <w:rPr>
          <w:rFonts w:ascii="Palatino Linotype" w:hAnsi="Palatino Linotype" w:cs="Arial"/>
          <w:i/>
          <w:color w:val="2F2F2F"/>
          <w:lang w:eastAsia="es-MX"/>
        </w:rPr>
        <w:t>El número de la oficialía calificadora, ubicación de la oficialía, la infracción que hubiera cometido, hora de ingreso, documento por el cual se acredite que se le hizo saber la infracción cometida, la descripción del procedimiento seguido por el juez(a) calificador a partir del momento en que se aseguró a la menor de 14 años, hora en que arribó a la oficialía calificadora</w:t>
      </w:r>
      <w:r>
        <w:rPr>
          <w:rFonts w:ascii="Palatino Linotype" w:hAnsi="Palatino Linotype" w:cs="Arial"/>
          <w:color w:val="2F2F2F"/>
          <w:lang w:eastAsia="es-MX"/>
        </w:rPr>
        <w:t>” la autoridad le respondió:</w:t>
      </w:r>
    </w:p>
    <w:p w:rsidR="002E2A0D" w:rsidRDefault="00BF778C">
      <w:pPr>
        <w:shd w:val="clear" w:color="auto" w:fill="FFFFFF"/>
        <w:spacing w:line="360" w:lineRule="auto"/>
        <w:ind w:right="49"/>
        <w:jc w:val="both"/>
        <w:rPr>
          <w:rFonts w:ascii="Palatino Linotype" w:hAnsi="Palatino Linotype" w:cs="Arial"/>
          <w:color w:val="2F2F2F"/>
          <w:lang w:eastAsia="es-MX"/>
        </w:rPr>
      </w:pPr>
      <w:r>
        <w:rPr>
          <w:noProof/>
          <w:lang w:eastAsia="es-MX"/>
        </w:rPr>
        <w:drawing>
          <wp:inline distT="0" distB="0" distL="0" distR="0">
            <wp:extent cx="5612130" cy="501650"/>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pic:cNvPicPr>
                      <a:picLocks noChangeAspect="1" noChangeArrowheads="1"/>
                    </pic:cNvPicPr>
                  </pic:nvPicPr>
                  <pic:blipFill>
                    <a:blip r:embed="rId14"/>
                    <a:stretch>
                      <a:fillRect/>
                    </a:stretch>
                  </pic:blipFill>
                  <pic:spPr bwMode="auto">
                    <a:xfrm>
                      <a:off x="0" y="0"/>
                      <a:ext cx="5612130" cy="501650"/>
                    </a:xfrm>
                    <a:prstGeom prst="rect">
                      <a:avLst/>
                    </a:prstGeom>
                  </pic:spPr>
                </pic:pic>
              </a:graphicData>
            </a:graphic>
          </wp:inline>
        </w:drawing>
      </w:r>
    </w:p>
    <w:p w:rsidR="002E2A0D" w:rsidRDefault="00BF778C">
      <w:pPr>
        <w:shd w:val="clear" w:color="auto" w:fill="FFFFFF"/>
        <w:spacing w:line="360" w:lineRule="auto"/>
        <w:ind w:right="49"/>
        <w:jc w:val="both"/>
        <w:rPr>
          <w:rFonts w:ascii="Palatino Linotype" w:hAnsi="Palatino Linotype" w:cs="Arial"/>
          <w:color w:val="2F2F2F"/>
          <w:lang w:eastAsia="es-MX"/>
        </w:rPr>
      </w:pPr>
      <w:r>
        <w:rPr>
          <w:noProof/>
          <w:lang w:eastAsia="es-MX"/>
        </w:rPr>
        <w:drawing>
          <wp:inline distT="0" distB="0" distL="0" distR="0">
            <wp:extent cx="5612130" cy="583565"/>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
                    <pic:cNvPicPr>
                      <a:picLocks noChangeAspect="1" noChangeArrowheads="1"/>
                    </pic:cNvPicPr>
                  </pic:nvPicPr>
                  <pic:blipFill>
                    <a:blip r:embed="rId15"/>
                    <a:stretch>
                      <a:fillRect/>
                    </a:stretch>
                  </pic:blipFill>
                  <pic:spPr bwMode="auto">
                    <a:xfrm>
                      <a:off x="0" y="0"/>
                      <a:ext cx="5612130" cy="583565"/>
                    </a:xfrm>
                    <a:prstGeom prst="rect">
                      <a:avLst/>
                    </a:prstGeom>
                  </pic:spPr>
                </pic:pic>
              </a:graphicData>
            </a:graphic>
          </wp:inline>
        </w:drawing>
      </w:r>
    </w:p>
    <w:p w:rsidR="002E2A0D" w:rsidRDefault="00BF778C">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De lo expuesto, es que le da contestación de forma parcial a los requerimientos del particular, en virtud, de que le indicó la sede de la Oficialía Mediadora-Conciliadora y Calificadora, domicilio oficial y teléfono de contacto, pero en relación a la otra parte que requiere “. . .</w:t>
      </w:r>
      <w:r>
        <w:rPr>
          <w:rFonts w:ascii="Palatino Linotype" w:hAnsi="Palatino Linotype" w:cs="Arial"/>
          <w:i/>
          <w:color w:val="2F2F2F"/>
          <w:lang w:eastAsia="es-MX"/>
        </w:rPr>
        <w:t xml:space="preserve"> la infracción que hubiera cometido, hora de ingreso, documento por el cual se acredite que se le hizo saber la infracción cometida, la descripción del procedimiento seguido por el juez(a) calificador a partir del momento en que se aseguró a la menor de 14 años, hora en que arribó a la oficialía calificadora”, </w:t>
      </w:r>
      <w:r>
        <w:rPr>
          <w:rFonts w:ascii="Palatino Linotype" w:hAnsi="Palatino Linotype" w:cs="Arial"/>
          <w:color w:val="2F2F2F"/>
          <w:lang w:eastAsia="es-MX"/>
        </w:rPr>
        <w:t>le indicó, que fue puesto a disposición de la autoridad correspondiente y que derivado de ello, no cuenta con la información; sin embargo, el Director Jurídico y Consultivo refiere que:</w:t>
      </w:r>
    </w:p>
    <w:p w:rsidR="002E2A0D" w:rsidRDefault="00BF778C">
      <w:pPr>
        <w:shd w:val="clear" w:color="auto" w:fill="FFFFFF"/>
        <w:spacing w:line="360" w:lineRule="auto"/>
        <w:ind w:right="49"/>
        <w:jc w:val="both"/>
        <w:rPr>
          <w:rFonts w:ascii="Palatino Linotype" w:hAnsi="Palatino Linotype" w:cs="Arial"/>
          <w:color w:val="2F2F2F"/>
          <w:lang w:eastAsia="es-MX"/>
        </w:rPr>
      </w:pPr>
      <w:r>
        <w:rPr>
          <w:noProof/>
          <w:lang w:eastAsia="es-MX"/>
        </w:rPr>
        <w:drawing>
          <wp:inline distT="0" distB="0" distL="0" distR="0">
            <wp:extent cx="5210175" cy="2343150"/>
            <wp:effectExtent l="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4"/>
                    <pic:cNvPicPr>
                      <a:picLocks noChangeAspect="1" noChangeArrowheads="1"/>
                    </pic:cNvPicPr>
                  </pic:nvPicPr>
                  <pic:blipFill>
                    <a:blip r:embed="rId16"/>
                    <a:stretch>
                      <a:fillRect/>
                    </a:stretch>
                  </pic:blipFill>
                  <pic:spPr bwMode="auto">
                    <a:xfrm>
                      <a:off x="0" y="0"/>
                      <a:ext cx="5210175" cy="2343150"/>
                    </a:xfrm>
                    <a:prstGeom prst="rect">
                      <a:avLst/>
                    </a:prstGeom>
                  </pic:spPr>
                </pic:pic>
              </a:graphicData>
            </a:graphic>
          </wp:inline>
        </w:drawing>
      </w:r>
    </w:p>
    <w:p w:rsidR="002E2A0D" w:rsidRDefault="00BF778C">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 xml:space="preserve">Atento a lo anterior, es que </w:t>
      </w:r>
      <w:r>
        <w:rPr>
          <w:rFonts w:ascii="Palatino Linotype" w:hAnsi="Palatino Linotype" w:cs="Arial"/>
          <w:b/>
          <w:color w:val="2F2F2F"/>
          <w:lang w:eastAsia="es-MX"/>
        </w:rPr>
        <w:t>EL SUJETO OBLIGADO</w:t>
      </w:r>
      <w:r>
        <w:rPr>
          <w:rFonts w:ascii="Palatino Linotype" w:hAnsi="Palatino Linotype" w:cs="Arial"/>
          <w:color w:val="2F2F2F"/>
          <w:lang w:eastAsia="es-MX"/>
        </w:rPr>
        <w:t xml:space="preserve"> manifestó a través de diverso Servidor Público Habilitado Competente que cuenta con la información y que la misma se encuentra reservada, ya que son objeto de una investigación judicial, señalado el número de carpeta registrada ante el Ministerio Público.</w:t>
      </w:r>
    </w:p>
    <w:p w:rsidR="002E2A0D" w:rsidRDefault="002E2A0D">
      <w:pPr>
        <w:shd w:val="clear" w:color="auto" w:fill="FFFFFF"/>
        <w:spacing w:line="360" w:lineRule="auto"/>
        <w:ind w:right="49"/>
        <w:jc w:val="both"/>
        <w:rPr>
          <w:rFonts w:ascii="Palatino Linotype" w:hAnsi="Palatino Linotype" w:cs="Arial"/>
          <w:color w:val="2F2F2F"/>
          <w:sz w:val="18"/>
          <w:lang w:eastAsia="es-MX"/>
        </w:rPr>
      </w:pPr>
    </w:p>
    <w:p w:rsidR="002E2A0D" w:rsidRDefault="00BF778C">
      <w:pPr>
        <w:shd w:val="clear" w:color="auto" w:fill="FFFFFF"/>
        <w:spacing w:line="360" w:lineRule="auto"/>
        <w:ind w:right="49"/>
        <w:jc w:val="both"/>
        <w:rPr>
          <w:rFonts w:ascii="Palatino Linotype" w:hAnsi="Palatino Linotype" w:cs="Arial"/>
          <w:bCs/>
          <w:color w:val="2F2F2F"/>
          <w:lang w:eastAsia="es-MX"/>
        </w:rPr>
      </w:pPr>
      <w:r>
        <w:rPr>
          <w:rFonts w:ascii="Palatino Linotype" w:hAnsi="Palatino Linotype" w:cs="Arial"/>
          <w:color w:val="2F2F2F"/>
          <w:lang w:eastAsia="es-MX"/>
        </w:rPr>
        <w:t xml:space="preserve">Asimismo, adjuntó el Acuerdo del Comité de Transparencia que aprobó la reserva de la misma, por lo que de una revisión al acuerdo en mención se observó que no siguió el procedimiento establecido en la Ley de Transparencia y Acceso a la Información Pública del Estado de México y Municipios, así como los </w:t>
      </w:r>
      <w:r>
        <w:rPr>
          <w:rFonts w:ascii="Palatino Linotype" w:hAnsi="Palatino Linotype" w:cs="Arial"/>
          <w:bCs/>
          <w:color w:val="2F2F2F"/>
          <w:lang w:eastAsia="es-MX"/>
        </w:rPr>
        <w:t>Lineamientos</w:t>
      </w:r>
    </w:p>
    <w:p w:rsidR="002E2A0D" w:rsidRDefault="00BF778C">
      <w:pPr>
        <w:shd w:val="clear" w:color="auto" w:fill="FFFFFF"/>
        <w:spacing w:line="360" w:lineRule="auto"/>
        <w:ind w:right="49"/>
        <w:jc w:val="both"/>
        <w:rPr>
          <w:rFonts w:ascii="Palatino Linotype" w:hAnsi="Palatino Linotype" w:cs="Arial"/>
          <w:bCs/>
          <w:color w:val="2F2F2F"/>
          <w:lang w:eastAsia="es-MX"/>
        </w:rPr>
      </w:pPr>
      <w:r>
        <w:rPr>
          <w:rFonts w:ascii="Palatino Linotype" w:hAnsi="Palatino Linotype" w:cs="Arial"/>
          <w:bCs/>
          <w:color w:val="2F2F2F"/>
          <w:lang w:eastAsia="es-MX"/>
        </w:rPr>
        <w:t xml:space="preserve"> Generales en materia de clasificación y desclasificación de la información, así como para la elaboración de versiones públicas, mismos que prevén lo que se refiere a continuación:</w:t>
      </w:r>
    </w:p>
    <w:p w:rsidR="002E2A0D" w:rsidRDefault="00BF778C">
      <w:pPr>
        <w:spacing w:line="276" w:lineRule="auto"/>
        <w:ind w:left="709" w:right="709"/>
        <w:jc w:val="center"/>
        <w:rPr>
          <w:rFonts w:ascii="Palatino Linotype" w:hAnsi="Palatino Linotype" w:cs="Arial"/>
          <w:b/>
          <w:i/>
        </w:rPr>
      </w:pPr>
      <w:r>
        <w:rPr>
          <w:rFonts w:ascii="Palatino Linotype" w:hAnsi="Palatino Linotype" w:cs="Arial"/>
          <w:b/>
          <w:i/>
        </w:rPr>
        <w:t>Ley de Transparencia y Acceso a la Información Pública del Estado de México y Municipios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 xml:space="preserve">Artículo 49. </w:t>
      </w:r>
      <w:r>
        <w:rPr>
          <w:rFonts w:ascii="Palatino Linotype" w:hAnsi="Palatino Linotype" w:cs="Arial"/>
          <w:i/>
          <w:lang w:eastAsia="es-MX"/>
        </w:rPr>
        <w:t xml:space="preserve">Los </w:t>
      </w:r>
      <w:r>
        <w:rPr>
          <w:rFonts w:ascii="Palatino Linotype" w:hAnsi="Palatino Linotype" w:cs="Arial"/>
          <w:i/>
        </w:rPr>
        <w:t>Comités</w:t>
      </w:r>
      <w:r>
        <w:rPr>
          <w:rFonts w:ascii="Palatino Linotype" w:hAnsi="Palatino Linotype" w:cs="Arial"/>
          <w:i/>
          <w:lang w:eastAsia="es-MX"/>
        </w:rPr>
        <w:t xml:space="preserve"> de Transparencia </w:t>
      </w:r>
      <w:r>
        <w:rPr>
          <w:rFonts w:ascii="Palatino Linotype" w:hAnsi="Palatino Linotype"/>
          <w:i/>
        </w:rPr>
        <w:t>tendrán</w:t>
      </w:r>
      <w:r>
        <w:rPr>
          <w:rFonts w:ascii="Palatino Linotype" w:hAnsi="Palatino Linotype" w:cs="Arial"/>
          <w:i/>
          <w:lang w:eastAsia="es-MX"/>
        </w:rPr>
        <w:t xml:space="preserve"> las siguientes atribuciones: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b/>
          <w:i/>
          <w:lang w:eastAsia="es-MX"/>
        </w:rPr>
        <w:t>VIII.</w:t>
      </w:r>
      <w:r>
        <w:rPr>
          <w:rFonts w:ascii="Palatino Linotype" w:hAnsi="Palatino Linotype" w:cs="Arial"/>
          <w:i/>
          <w:lang w:eastAsia="es-MX"/>
        </w:rPr>
        <w:t xml:space="preserve"> </w:t>
      </w:r>
      <w:r>
        <w:rPr>
          <w:rFonts w:ascii="Palatino Linotype" w:hAnsi="Palatino Linotype" w:cs="Arial"/>
          <w:b/>
          <w:i/>
          <w:u w:val="single"/>
          <w:lang w:eastAsia="es-MX"/>
        </w:rPr>
        <w:t>Aprobar</w:t>
      </w:r>
      <w:r>
        <w:rPr>
          <w:rFonts w:ascii="Palatino Linotype" w:hAnsi="Palatino Linotype" w:cs="Arial"/>
          <w:i/>
          <w:lang w:eastAsia="es-MX"/>
        </w:rPr>
        <w:t xml:space="preserve">, </w:t>
      </w:r>
      <w:r>
        <w:rPr>
          <w:rFonts w:ascii="Palatino Linotype" w:hAnsi="Palatino Linotype" w:cs="Arial"/>
          <w:i/>
        </w:rPr>
        <w:t>modificar</w:t>
      </w:r>
      <w:r>
        <w:rPr>
          <w:rFonts w:ascii="Palatino Linotype" w:hAnsi="Palatino Linotype" w:cs="Arial"/>
          <w:i/>
          <w:lang w:eastAsia="es-MX"/>
        </w:rPr>
        <w:t xml:space="preserve"> o revocar </w:t>
      </w:r>
      <w:r>
        <w:rPr>
          <w:rFonts w:ascii="Palatino Linotype" w:hAnsi="Palatino Linotype" w:cs="Arial"/>
          <w:b/>
          <w:i/>
          <w:u w:val="single"/>
          <w:lang w:eastAsia="es-MX"/>
        </w:rPr>
        <w:t>la clasificación de la información</w:t>
      </w:r>
      <w:r>
        <w:rPr>
          <w:rFonts w:ascii="Palatino Linotype" w:hAnsi="Palatino Linotype" w:cs="Arial"/>
          <w:i/>
          <w:lang w:eastAsia="es-MX"/>
        </w:rPr>
        <w:t>;</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b/>
          <w:i/>
          <w:lang w:eastAsia="es-MX"/>
        </w:rPr>
        <w:t>Artículo 132.</w:t>
      </w:r>
      <w:r>
        <w:rPr>
          <w:rFonts w:ascii="Palatino Linotype" w:hAnsi="Palatino Linotype" w:cs="Arial"/>
          <w:i/>
          <w:lang w:eastAsia="es-MX"/>
        </w:rPr>
        <w:t xml:space="preserve"> La clasificación de la información se llevará a cabo en el momento en que:</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w:t>
      </w:r>
      <w:r>
        <w:rPr>
          <w:rFonts w:ascii="Palatino Linotype" w:hAnsi="Palatino Linotype" w:cs="Arial"/>
          <w:b/>
          <w:i/>
          <w:u w:val="single"/>
          <w:lang w:eastAsia="es-MX"/>
        </w:rPr>
        <w:t>Se determine mediante resolución de autoridad competente</w:t>
      </w:r>
      <w:r>
        <w:rPr>
          <w:rFonts w:ascii="Palatino Linotype" w:hAnsi="Palatino Linotype" w:cs="Arial"/>
          <w:i/>
          <w:lang w:eastAsia="es-MX"/>
        </w:rPr>
        <w:t>; o</w:t>
      </w:r>
    </w:p>
    <w:p w:rsidR="002E2A0D" w:rsidRDefault="00BF778C">
      <w:pPr>
        <w:spacing w:line="276" w:lineRule="auto"/>
        <w:ind w:left="709" w:right="709"/>
        <w:jc w:val="both"/>
        <w:rPr>
          <w:rFonts w:ascii="Palatino Linotype" w:hAnsi="Palatino Linotype" w:cs="Arial"/>
          <w:b/>
          <w:i/>
          <w:u w:val="single"/>
          <w:lang w:eastAsia="es-MX"/>
        </w:rPr>
      </w:pPr>
      <w:r>
        <w:rPr>
          <w:rFonts w:ascii="Palatino Linotype" w:hAnsi="Palatino Linotype" w:cs="Arial"/>
          <w:b/>
          <w:i/>
          <w:u w:val="single"/>
          <w:lang w:eastAsia="es-MX"/>
        </w:rPr>
        <w:t>Artículo 129. En la aplicación de la prueba de daño, el sujeto obligado deberá precisar las razones objetivas por las que la apertura de la información generaría una afectación, justificando que:</w:t>
      </w:r>
    </w:p>
    <w:p w:rsidR="002E2A0D" w:rsidRDefault="00BF778C">
      <w:pPr>
        <w:spacing w:line="276" w:lineRule="auto"/>
        <w:ind w:left="709" w:right="709"/>
        <w:jc w:val="both"/>
        <w:rPr>
          <w:rFonts w:ascii="Palatino Linotype" w:hAnsi="Palatino Linotype" w:cs="Arial"/>
          <w:b/>
          <w:i/>
          <w:u w:val="single"/>
          <w:lang w:eastAsia="es-MX"/>
        </w:rPr>
      </w:pPr>
      <w:r>
        <w:rPr>
          <w:rFonts w:ascii="Palatino Linotype" w:hAnsi="Palatino Linotype" w:cs="Arial"/>
          <w:b/>
          <w:i/>
          <w:u w:val="single"/>
          <w:lang w:eastAsia="es-MX"/>
        </w:rPr>
        <w:t>I. La divulgación de la información representa un riesgo real, demostrable e identificable del perjuicio significativo al interés</w:t>
      </w:r>
    </w:p>
    <w:p w:rsidR="002E2A0D" w:rsidRDefault="00BF778C">
      <w:pPr>
        <w:spacing w:line="276" w:lineRule="auto"/>
        <w:ind w:left="709" w:right="709"/>
        <w:jc w:val="both"/>
        <w:rPr>
          <w:rFonts w:ascii="Palatino Linotype" w:hAnsi="Palatino Linotype" w:cs="Arial"/>
          <w:b/>
          <w:i/>
          <w:u w:val="single"/>
          <w:lang w:eastAsia="es-MX"/>
        </w:rPr>
      </w:pPr>
      <w:r>
        <w:rPr>
          <w:rFonts w:ascii="Palatino Linotype" w:hAnsi="Palatino Linotype" w:cs="Arial"/>
          <w:b/>
          <w:i/>
          <w:u w:val="single"/>
          <w:lang w:eastAsia="es-MX"/>
        </w:rPr>
        <w:t>público o a la seguridad pública;</w:t>
      </w:r>
    </w:p>
    <w:p w:rsidR="002E2A0D" w:rsidRDefault="00BF778C">
      <w:pPr>
        <w:spacing w:line="276" w:lineRule="auto"/>
        <w:ind w:left="709" w:right="709"/>
        <w:jc w:val="both"/>
        <w:rPr>
          <w:rFonts w:ascii="Palatino Linotype" w:hAnsi="Palatino Linotype" w:cs="Arial"/>
          <w:b/>
          <w:i/>
          <w:u w:val="single"/>
          <w:lang w:eastAsia="es-MX"/>
        </w:rPr>
      </w:pPr>
      <w:r>
        <w:rPr>
          <w:rFonts w:ascii="Palatino Linotype" w:hAnsi="Palatino Linotype" w:cs="Arial"/>
          <w:b/>
          <w:i/>
          <w:u w:val="single"/>
          <w:lang w:eastAsia="es-MX"/>
        </w:rPr>
        <w:t>II. El riesgo de perjuicio que supondría la divulgación supera el interés público general de que se difunda; y</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b/>
          <w:i/>
          <w:u w:val="single"/>
          <w:lang w:eastAsia="es-MX"/>
        </w:rPr>
        <w:t>III. La limitación se adecua al principio de proporcionalidad y representa el medio menos restrictivo disponible representa el medio menos restrictivo disponible para evitar el perjuicio.</w:t>
      </w:r>
      <w:r>
        <w:rPr>
          <w:rFonts w:ascii="Palatino Linotype" w:hAnsi="Palatino Linotype" w:cs="Arial"/>
          <w:i/>
          <w:u w:val="single"/>
          <w:lang w:eastAsia="es-MX"/>
        </w:rPr>
        <w:br/>
      </w:r>
      <w:r>
        <w:t xml:space="preserve"> </w:t>
      </w:r>
      <w:r>
        <w:rPr>
          <w:rFonts w:ascii="Palatino Linotype" w:hAnsi="Palatino Linotype" w:cs="Arial"/>
          <w:i/>
          <w:lang w:eastAsia="es-MX"/>
        </w:rPr>
        <w:t>Artículo 132. La clasificación de la información se llevará a cabo en el momento en que:</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 Se reciba una solicitud de acceso a la información;</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II. Se determine mediante resolución de autoridad competente; o</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III. Se generen versiones públicas para dar cumplimiento a las obligaciones de transparencia previstas en esta Ley.</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Artículo 133. Los documentos clasificados total o parcialmente deberán llevar una leyenda que indique tal carácter, la fecha de clasificación, el fundamento legal y, en su caso, el periodo de reserva.</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Artículo 135. Los lineamientos generales que se emitan al respecto en materia de clasificación de la información reservada y confidencial y, para la elaboración de versiones públicas, serán de observancia obligatoria para los sujetos obligados.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Artículo 140. El acceso a la información pública será restringido excepcionalmente, cuando por razones de interés público, ésta sea clasificada como reservada, conforme a los criterios siguientes: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 Comprometa la seguridad pública y cuente con un propósito genuino y un efecto demostrable;</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II. Pueda menoscabar la conducción de las negociaciones y relaciones internacionales;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IV. Ponga en riesgo la vida, la seguridad o la salud de una persona física;</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V. Aquella cuya divulgación obstruya o pueda causar un serio perjuicio a:</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1. Las actividades de fiscalización, verificación, inspección, comprobación y auditoría sobre el cumplimiento de las Leyes; o</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2. La recaudación de las contribuciones.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 xml:space="preserve">VI. </w:t>
      </w:r>
      <w:r>
        <w:rPr>
          <w:rFonts w:ascii="Palatino Linotype" w:hAnsi="Palatino Linotype" w:cs="Arial"/>
          <w:b/>
          <w:i/>
          <w:lang w:eastAsia="es-MX"/>
        </w:rPr>
        <w:t>Pueda causar daño u obstruya la prevención o persecución de los delitos, altere el proceso de investigación de las carpetas de investigación,</w:t>
      </w:r>
      <w:r>
        <w:rPr>
          <w:rFonts w:ascii="Palatino Linotype" w:hAnsi="Palatino Linotype" w:cs="Arial"/>
          <w:i/>
          <w:lang w:eastAsia="es-MX"/>
        </w:rPr>
        <w:t xml:space="preserve">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VII. La que contengan las opiniones, recomendaciones o puntos de vista que formen parte del proceso deliberativo de los servidores públicos, hasta en tanto sea adoptada la decisión definitiva, la cual deberá estar documentada;</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VIII. Vulnere la conducción de los expedientes judiciales o de los procedimientos administrativos seguidos en forma de juicio, en tanto no hayan quedado firmes;</w:t>
      </w:r>
    </w:p>
    <w:p w:rsidR="002E2A0D" w:rsidRDefault="00BF778C">
      <w:pPr>
        <w:spacing w:line="276" w:lineRule="auto"/>
        <w:ind w:left="709" w:right="709"/>
        <w:jc w:val="both"/>
        <w:rPr>
          <w:rFonts w:ascii="Palatino Linotype" w:hAnsi="Palatino Linotype" w:cs="Arial"/>
          <w:b/>
          <w:i/>
          <w:u w:val="single"/>
          <w:lang w:eastAsia="es-MX"/>
        </w:rPr>
      </w:pPr>
      <w:r>
        <w:rPr>
          <w:rFonts w:ascii="Palatino Linotype" w:hAnsi="Palatino Linotype" w:cs="Arial"/>
          <w:b/>
          <w:i/>
          <w:u w:val="single"/>
          <w:lang w:eastAsia="es-MX"/>
        </w:rPr>
        <w:t>IX. Se encuentre contenida dentro de las investigaciones de hechos que la Ley señale como delitos y se tramiten ante el Ministerio Público;</w:t>
      </w:r>
    </w:p>
    <w:p w:rsidR="002E2A0D" w:rsidRDefault="00BF778C">
      <w:pPr>
        <w:spacing w:line="276" w:lineRule="auto"/>
        <w:ind w:left="709" w:right="709"/>
        <w:jc w:val="center"/>
        <w:rPr>
          <w:rFonts w:ascii="Palatino Linotype" w:hAnsi="Palatino Linotype" w:cs="Arial"/>
          <w:b/>
          <w:i/>
        </w:rPr>
      </w:pPr>
      <w:r>
        <w:rPr>
          <w:rFonts w:ascii="Palatino Linotype" w:hAnsi="Palatino Linotype" w:cs="Arial"/>
          <w:i/>
          <w:lang w:eastAsia="es-MX"/>
        </w:rPr>
        <w:br/>
      </w:r>
      <w:r>
        <w:rPr>
          <w:rFonts w:ascii="Palatino Linotype" w:hAnsi="Palatino Linotype" w:cs="Arial"/>
          <w:b/>
          <w:i/>
          <w:lang w:eastAsia="es-MX"/>
        </w:rPr>
        <w:t xml:space="preserve"> Lineamientos Generales en materia de Clasificación y Desclasificación de la </w:t>
      </w:r>
      <w:r>
        <w:rPr>
          <w:rFonts w:ascii="Palatino Linotype" w:hAnsi="Palatino Linotype" w:cs="Arial"/>
          <w:b/>
          <w:i/>
        </w:rPr>
        <w:t>Información, así como para la elaboración de Versiones Públicas</w:t>
      </w:r>
    </w:p>
    <w:p w:rsidR="002E2A0D" w:rsidRDefault="002E2A0D">
      <w:pPr>
        <w:spacing w:line="276" w:lineRule="auto"/>
        <w:ind w:left="709" w:right="709"/>
        <w:jc w:val="both"/>
        <w:rPr>
          <w:rFonts w:ascii="Palatino Linotype" w:hAnsi="Palatino Linotype" w:cs="Arial"/>
          <w:i/>
          <w:lang w:eastAsia="es-MX"/>
        </w:rPr>
      </w:pP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Los sujetos obligados deberán aplicar, de manera estricta, las excepciones al derecho de acceso a la información y sólo podrán invocarlas cuando acrediten su procedencia.</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Octavo. Para fundar la clasificación de la información se debe señalar el artículo, fracción, inciso, párrafo o numeral de la ley o tratado internacional suscrito por el Estado mexicano que expresamente le otorga el carácter de reservada o confidencial.</w:t>
      </w:r>
    </w:p>
    <w:p w:rsidR="002E2A0D" w:rsidRDefault="00BF778C">
      <w:pPr>
        <w:spacing w:line="276" w:lineRule="auto"/>
        <w:ind w:left="709" w:right="709"/>
        <w:jc w:val="both"/>
        <w:rPr>
          <w:rFonts w:ascii="Palatino Linotype" w:hAnsi="Palatino Linotype" w:cs="Arial"/>
          <w:b/>
          <w:i/>
          <w:u w:val="single"/>
          <w:lang w:eastAsia="es-MX"/>
        </w:rPr>
      </w:pPr>
      <w:r>
        <w:rPr>
          <w:rFonts w:ascii="Palatino Linotype" w:hAnsi="Palatino Linotype" w:cs="Arial"/>
          <w:b/>
          <w:i/>
          <w:u w:val="single"/>
          <w:lang w:eastAsia="es-MX"/>
        </w:rPr>
        <w:t>Para motivar la clasificación se deberán señalar las razones o circunstancias especiales que lo llevaron a concluir que el caso particular se ajusta al supuesto previsto por la norma legal invocada como fundamento.</w:t>
      </w:r>
    </w:p>
    <w:p w:rsidR="002E2A0D" w:rsidRDefault="00BF778C">
      <w:pPr>
        <w:spacing w:line="276" w:lineRule="auto"/>
        <w:ind w:left="709" w:right="709"/>
        <w:jc w:val="both"/>
        <w:rPr>
          <w:rFonts w:ascii="Palatino Linotype" w:hAnsi="Palatino Linotype" w:cs="Arial"/>
          <w:i/>
          <w:u w:val="single"/>
          <w:lang w:eastAsia="es-MX"/>
        </w:rPr>
      </w:pPr>
      <w:r>
        <w:rPr>
          <w:rFonts w:ascii="Palatino Linotype" w:hAnsi="Palatino Linotype" w:cs="Arial"/>
          <w:i/>
          <w:u w:val="single"/>
          <w:lang w:eastAsia="es-MX"/>
        </w:rPr>
        <w:t>En caso de referirse a información reservada, la motivación de la clasificación también deberá comprender las circunstancias que justifican el establecimiento de determinado plazo de reserva.</w:t>
      </w:r>
    </w:p>
    <w:p w:rsidR="002E2A0D" w:rsidRDefault="00BF778C">
      <w:pPr>
        <w:spacing w:line="276" w:lineRule="auto"/>
        <w:ind w:left="709" w:right="709"/>
        <w:jc w:val="center"/>
        <w:rPr>
          <w:rFonts w:ascii="Palatino Linotype" w:hAnsi="Palatino Linotype" w:cs="Arial"/>
          <w:b/>
          <w:i/>
          <w:lang w:eastAsia="es-MX"/>
        </w:rPr>
      </w:pPr>
      <w:r>
        <w:rPr>
          <w:rFonts w:ascii="Palatino Linotype" w:hAnsi="Palatino Linotype" w:cs="Arial"/>
          <w:b/>
          <w:i/>
          <w:lang w:eastAsia="es-MX"/>
        </w:rPr>
        <w:t>DE LA INFORMACIÓN RESERVADA</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Décimo séptimo. De conformidad con el artículo 113, fracción I de la Ley General, podrá considerarse como información reservada, aquella que de difundirse actualice o potencialice un riesgo o amenaza a la seguridad nacional cuando:</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        Se quebrante la unidad de las partes integrantes de la Federación, señaladas en el artículo 43 de la Constitución Política de los Estados Unidos Mexicanos;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II.       Se atente en contra del personal diplomático;</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III.      Se amenace o ponga en riesgo la gobernabilidad democrática porque se impida el derecho a votar o a ser votado, o cuando se obstaculice la celebración de elecciones;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IV.      Se obstaculicen o bloqueen las actividades de inteligencia o contrainteligencia y cuando se revelen normas, procedimientos, métodos, fuentes, especificaciones técnicas, tecnología o equipo que sean útiles para la generación de inteligencia para la seguridad nacional;</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V.       Se vulneren las acciones para evitar la interferencia extranjera en los asuntos nacionales;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VI.      Se ponga en peligro la coordinación interinstitucional en materia de seguridad nacional;</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VIII.    Se posibilite la destrucción, inhabilitación o sabotaje de cualquier infraestructura de carácter estratégico o prioritario, así como la indispensable para la provisión de bienes o servicios públicos de agua potable, de emergencia, vías generales de comunicación o de cualquier tipo de infraestructura que represente tal importancia para el Estado que su destrucción o incapacidad tenga un impacto debilitador en la seguridad nacional;</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IX.      Se obstaculicen o bloqueen acciones tendientes a prevenir o combatir epidemias o enfermedades exóticas en el país;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X.       Se difundan las actas o documentos generados en las sesiones del Consejo de Seguridad Nacional y actualice alguna de las amenazas previstas en la Ley de Seguridad Nacional, o que</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XI.      Se entreguen los datos que se obtengan de las actividades autorizadas mediante resolución judicial, así como la información producto de una intervención de comunicaciones privadas autorizadas, conforme a las disposiciones previstas en el Capítulo II del Título III de la Ley de Seguridad Nacional, y constituyan alguna de las amenazas previstas en dicha Ley.</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Asimismo, podrá considerarse como reservada aquella que revele datos que pudieran ser aprovechados para conocer la capacidad de reacción de las instituciones encargadas de la seguridad nacional; sus normas, procedimientos, métodos, fuentes, especificaciones técnicas, tecnología o equipo útiles a la generación de inteligencia para la Seguridad Nacional, sin importar la naturaleza o el origen de los documentos que la consignen.</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b/>
          <w:i/>
          <w:lang w:eastAsia="es-MX"/>
        </w:rPr>
        <w:t>Vigésimo sexto.</w:t>
      </w:r>
      <w:r>
        <w:rPr>
          <w:rFonts w:ascii="Palatino Linotype" w:hAnsi="Palatino Linotype" w:cs="Arial"/>
          <w:i/>
          <w:lang w:eastAsia="es-MX"/>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Para que se verifique el supuesto de reserva, cuando se cause un perjuicio a las actividades de persecución de los delitos, deben de actualizarse los siguientes elementos:</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 xml:space="preserve"> </w:t>
      </w:r>
    </w:p>
    <w:p w:rsidR="002E2A0D" w:rsidRDefault="00BF778C">
      <w:pPr>
        <w:spacing w:line="276" w:lineRule="auto"/>
        <w:ind w:left="709" w:right="709"/>
        <w:jc w:val="both"/>
        <w:rPr>
          <w:rFonts w:ascii="Palatino Linotype" w:hAnsi="Palatino Linotype" w:cs="Arial"/>
          <w:b/>
          <w:i/>
          <w:lang w:eastAsia="es-MX"/>
        </w:rPr>
      </w:pPr>
      <w:r>
        <w:rPr>
          <w:rFonts w:ascii="Palatino Linotype" w:hAnsi="Palatino Linotype" w:cs="Arial"/>
          <w:i/>
          <w:lang w:eastAsia="es-MX"/>
        </w:rPr>
        <w:t xml:space="preserve">I.        La existencia de un proceso penal en sustanciación o </w:t>
      </w:r>
      <w:r>
        <w:rPr>
          <w:rFonts w:ascii="Palatino Linotype" w:hAnsi="Palatino Linotype" w:cs="Arial"/>
          <w:b/>
          <w:i/>
          <w:lang w:eastAsia="es-MX"/>
        </w:rPr>
        <w:t>una carpeta de investigación en trámite;</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 xml:space="preserve">II.       Que se acredite el </w:t>
      </w:r>
      <w:r>
        <w:rPr>
          <w:rFonts w:ascii="Palatino Linotype" w:hAnsi="Palatino Linotype" w:cs="Arial"/>
          <w:b/>
          <w:i/>
          <w:lang w:eastAsia="es-MX"/>
        </w:rPr>
        <w:t xml:space="preserve">vínculo que existe entre la información solicitada y la carpeta de investigación, </w:t>
      </w:r>
      <w:r>
        <w:rPr>
          <w:rFonts w:ascii="Palatino Linotype" w:hAnsi="Palatino Linotype" w:cs="Arial"/>
          <w:i/>
          <w:lang w:eastAsia="es-MX"/>
        </w:rPr>
        <w:t>o el proceso penal, según sea el caso, y</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 xml:space="preserve">III.      Que la </w:t>
      </w:r>
      <w:r>
        <w:rPr>
          <w:rFonts w:ascii="Palatino Linotype" w:hAnsi="Palatino Linotype" w:cs="Arial"/>
          <w:b/>
          <w:i/>
          <w:lang w:eastAsia="es-MX"/>
        </w:rPr>
        <w:t>difusión de la información pueda impedir u obstruir las funciones que ejerce el Ministerio Público</w:t>
      </w:r>
      <w:r>
        <w:rPr>
          <w:rFonts w:ascii="Palatino Linotype" w:hAnsi="Palatino Linotype" w:cs="Arial"/>
          <w:i/>
          <w:lang w:eastAsia="es-MX"/>
        </w:rPr>
        <w:t xml:space="preserve"> o su equivalente durante la etapa de investigación o ante los tribunales judiciales con motivo del ejercicio de la acción penal.</w:t>
      </w:r>
    </w:p>
    <w:p w:rsidR="002E2A0D" w:rsidRDefault="00BF778C">
      <w:pPr>
        <w:spacing w:line="276" w:lineRule="auto"/>
        <w:ind w:left="709" w:right="709"/>
        <w:jc w:val="both"/>
        <w:rPr>
          <w:rFonts w:ascii="Palatino Linotype" w:hAnsi="Palatino Linotype" w:cs="Arial"/>
          <w:i/>
          <w:lang w:eastAsia="es-MX"/>
        </w:rPr>
      </w:pPr>
      <w:r>
        <w:rPr>
          <w:rFonts w:ascii="Palatino Linotype" w:hAnsi="Palatino Linotype" w:cs="Arial"/>
          <w:i/>
          <w:lang w:eastAsia="es-MX"/>
        </w:rPr>
        <w:t xml:space="preserve">Trigésimo primero. De conformidad con el artículo 113, fracción XII de la Ley General, podrá considerarse como información reservada, aquella que forme parte de las averiguaciones previas </w:t>
      </w:r>
      <w:r>
        <w:rPr>
          <w:rFonts w:ascii="Palatino Linotype" w:hAnsi="Palatino Linotype" w:cs="Arial"/>
          <w:b/>
          <w:i/>
          <w:lang w:eastAsia="es-MX"/>
        </w:rPr>
        <w:t>o carpetas de investigación que resulte de la etapa de investigación</w:t>
      </w:r>
      <w:r>
        <w:rPr>
          <w:rFonts w:ascii="Palatino Linotype" w:hAnsi="Palatino Linotype" w:cs="Arial"/>
          <w:i/>
          <w:lang w:eastAsia="es-MX"/>
        </w:rPr>
        <w:t>, durante la cual, de conformidad con la normativa en materia penal, el Ministerio Público o su equivalente reúne indicios para el esclarecimiento de los hechos y, en su caso, los datos de prueba para sustentar el ejercicio o no de la acción penal, la acusación contra el imputado y la reparación del daño.</w:t>
      </w:r>
    </w:p>
    <w:p w:rsidR="002E2A0D" w:rsidRDefault="00BF778C">
      <w:pPr>
        <w:spacing w:line="276" w:lineRule="auto"/>
        <w:ind w:left="709" w:right="709"/>
        <w:jc w:val="both"/>
        <w:rPr>
          <w:rFonts w:ascii="Palatino Linotype" w:hAnsi="Palatino Linotype" w:cs="Arial"/>
          <w:i/>
          <w:u w:val="single"/>
          <w:lang w:eastAsia="es-MX"/>
        </w:rPr>
      </w:pPr>
      <w:r>
        <w:rPr>
          <w:rFonts w:ascii="Palatino Linotype" w:hAnsi="Palatino Linotype" w:cs="Arial"/>
          <w:b/>
          <w:i/>
          <w:u w:val="single"/>
          <w:lang w:eastAsia="es-MX"/>
        </w:rPr>
        <w:t>Trigésimo tercero.</w:t>
      </w:r>
      <w:r>
        <w:rPr>
          <w:rFonts w:ascii="Palatino Linotype" w:hAnsi="Palatino Linotype" w:cs="Arial"/>
          <w:i/>
          <w:u w:val="single"/>
          <w:lang w:eastAsia="es-MX"/>
        </w:rPr>
        <w:t xml:space="preserve"> Para la aplicación de la prueba de daño a la que hace referencia el artículo 104 de la Ley General, los sujetos obligados atenderán lo siguiente:</w:t>
      </w:r>
    </w:p>
    <w:p w:rsidR="002E2A0D" w:rsidRDefault="00BF778C">
      <w:pPr>
        <w:spacing w:line="276" w:lineRule="auto"/>
        <w:ind w:left="709" w:right="709"/>
        <w:jc w:val="both"/>
        <w:rPr>
          <w:rFonts w:ascii="Palatino Linotype" w:hAnsi="Palatino Linotype" w:cs="Arial"/>
          <w:i/>
          <w:u w:val="single"/>
          <w:lang w:eastAsia="es-MX"/>
        </w:rPr>
      </w:pPr>
      <w:r>
        <w:rPr>
          <w:rFonts w:ascii="Palatino Linotype" w:hAnsi="Palatino Linotype" w:cs="Arial"/>
          <w:i/>
          <w:u w:val="single"/>
          <w:lang w:eastAsia="es-MX"/>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rsidR="002E2A0D" w:rsidRDefault="00BF778C">
      <w:pPr>
        <w:spacing w:line="276" w:lineRule="auto"/>
        <w:ind w:left="709" w:right="709"/>
        <w:jc w:val="both"/>
        <w:rPr>
          <w:rFonts w:ascii="Palatino Linotype" w:hAnsi="Palatino Linotype" w:cs="Arial"/>
          <w:i/>
          <w:u w:val="single"/>
          <w:lang w:eastAsia="es-MX"/>
        </w:rPr>
      </w:pPr>
      <w:r>
        <w:rPr>
          <w:rFonts w:ascii="Palatino Linotype" w:hAnsi="Palatino Linotype" w:cs="Arial"/>
          <w:i/>
          <w:u w:val="single"/>
          <w:lang w:eastAsia="es-MX"/>
        </w:rPr>
        <w:t>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rsidR="002E2A0D" w:rsidRDefault="00BF778C">
      <w:pPr>
        <w:spacing w:line="276" w:lineRule="auto"/>
        <w:ind w:left="709" w:right="709"/>
        <w:jc w:val="both"/>
        <w:rPr>
          <w:rFonts w:ascii="Palatino Linotype" w:hAnsi="Palatino Linotype" w:cs="Arial"/>
          <w:i/>
          <w:u w:val="single"/>
          <w:lang w:eastAsia="es-MX"/>
        </w:rPr>
      </w:pPr>
      <w:r>
        <w:rPr>
          <w:rFonts w:ascii="Palatino Linotype" w:hAnsi="Palatino Linotype" w:cs="Arial"/>
          <w:i/>
          <w:u w:val="single"/>
          <w:lang w:eastAsia="es-MX"/>
        </w:rPr>
        <w:t>III.      Se debe de acreditar el vínculo entre la difusión de la información y la afectación del interés jurídico tutelado de que se trate;</w:t>
      </w:r>
    </w:p>
    <w:p w:rsidR="002E2A0D" w:rsidRDefault="00BF778C">
      <w:pPr>
        <w:spacing w:line="276" w:lineRule="auto"/>
        <w:ind w:left="709" w:right="709"/>
        <w:jc w:val="both"/>
        <w:rPr>
          <w:rFonts w:ascii="Palatino Linotype" w:hAnsi="Palatino Linotype" w:cs="Arial"/>
          <w:i/>
          <w:u w:val="single"/>
          <w:lang w:eastAsia="es-MX"/>
        </w:rPr>
      </w:pPr>
      <w:r>
        <w:rPr>
          <w:rFonts w:ascii="Palatino Linotype" w:hAnsi="Palatino Linotype" w:cs="Arial"/>
          <w:i/>
          <w:u w:val="single"/>
          <w:lang w:eastAsia="es-MX"/>
        </w:rPr>
        <w:t>IV.      Precisar las razones objetivas por las que la apertura de la información generaría una afectación, a través de los elementos de un riesgo real, demostrable e identificable;</w:t>
      </w:r>
    </w:p>
    <w:p w:rsidR="002E2A0D" w:rsidRDefault="00BF778C">
      <w:pPr>
        <w:spacing w:line="276" w:lineRule="auto"/>
        <w:ind w:left="709" w:right="709"/>
        <w:jc w:val="both"/>
        <w:rPr>
          <w:rFonts w:ascii="Palatino Linotype" w:hAnsi="Palatino Linotype" w:cs="Arial"/>
          <w:i/>
          <w:u w:val="single"/>
          <w:lang w:eastAsia="es-MX"/>
        </w:rPr>
      </w:pPr>
      <w:r>
        <w:rPr>
          <w:rFonts w:ascii="Palatino Linotype" w:hAnsi="Palatino Linotype" w:cs="Arial"/>
          <w:i/>
          <w:u w:val="single"/>
          <w:lang w:eastAsia="es-MX"/>
        </w:rPr>
        <w:t>V.       En la motivación de la clasificación, el sujeto obligado deberá acreditar las circunstancias de modo, tiempo y lugar del daño, y</w:t>
      </w:r>
    </w:p>
    <w:p w:rsidR="002E2A0D" w:rsidRDefault="00BF778C">
      <w:pPr>
        <w:spacing w:line="276" w:lineRule="auto"/>
        <w:ind w:left="709" w:right="709"/>
        <w:jc w:val="both"/>
        <w:rPr>
          <w:rFonts w:ascii="Palatino Linotype" w:hAnsi="Palatino Linotype" w:cs="Arial"/>
          <w:i/>
          <w:u w:val="single"/>
          <w:lang w:eastAsia="es-MX"/>
        </w:rPr>
      </w:pPr>
      <w:r>
        <w:rPr>
          <w:rFonts w:ascii="Palatino Linotype" w:hAnsi="Palatino Linotype" w:cs="Arial"/>
          <w:i/>
          <w:u w:val="single"/>
          <w:lang w:eastAsia="es-MX"/>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rsidR="002E2A0D" w:rsidRDefault="00BF778C">
      <w:pPr>
        <w:spacing w:beforeAutospacing="1" w:afterAutospacing="1" w:line="360" w:lineRule="auto"/>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información respectiva, es decir, si no se exponen de manera puntual las razones de ello se estaría violentando el Derecho de Acceso a la Información del solicitante.</w:t>
      </w:r>
    </w:p>
    <w:p w:rsidR="002E2A0D" w:rsidRDefault="00BF778C">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Es de la normativa inserta, de que la emisión de Acuerdo de Comité de Transparencia que clasifique el expediente señalado como reservado, como ya se expuso, elaborando la prueba de daño de manera fundada y motivada.</w:t>
      </w:r>
    </w:p>
    <w:p w:rsidR="002E2A0D" w:rsidRDefault="002E2A0D">
      <w:pPr>
        <w:shd w:val="clear" w:color="auto" w:fill="FFFFFF"/>
        <w:spacing w:line="360" w:lineRule="auto"/>
        <w:ind w:right="49"/>
        <w:jc w:val="both"/>
        <w:rPr>
          <w:rFonts w:ascii="Palatino Linotype" w:hAnsi="Palatino Linotype" w:cs="Arial"/>
          <w:color w:val="2F2F2F"/>
          <w:lang w:eastAsia="es-MX"/>
        </w:rPr>
      </w:pPr>
    </w:p>
    <w:p w:rsidR="002E2A0D" w:rsidRDefault="00BF778C">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 xml:space="preserve">Atento a lo anterior, en relación a los puntos números 3 y 4 por el que solicitó el particular al </w:t>
      </w:r>
      <w:r>
        <w:rPr>
          <w:rFonts w:ascii="Palatino Linotype" w:hAnsi="Palatino Linotype" w:cs="Arial"/>
          <w:b/>
          <w:color w:val="2F2F2F"/>
          <w:lang w:eastAsia="es-MX"/>
        </w:rPr>
        <w:t>SUJETO OBLIGADO</w:t>
      </w:r>
      <w:r>
        <w:rPr>
          <w:rFonts w:ascii="Palatino Linotype" w:hAnsi="Palatino Linotype" w:cs="Arial"/>
          <w:color w:val="2F2F2F"/>
          <w:lang w:eastAsia="es-MX"/>
        </w:rPr>
        <w:t xml:space="preserve"> lo referente al “</w:t>
      </w:r>
      <w:r>
        <w:rPr>
          <w:rFonts w:ascii="Palatino Linotype" w:hAnsi="Palatino Linotype" w:cs="Arial"/>
          <w:i/>
          <w:color w:val="2F2F2F"/>
          <w:lang w:eastAsia="es-MX"/>
        </w:rPr>
        <w:t xml:space="preserve">motivo por el cual se aseguró </w:t>
      </w:r>
      <w:r>
        <w:rPr>
          <w:rFonts w:ascii="Palatino Linotype" w:hAnsi="Palatino Linotype" w:cs="Arial"/>
          <w:i/>
          <w:color w:val="FF0000"/>
          <w:lang w:eastAsia="es-MX"/>
        </w:rPr>
        <w:t xml:space="preserve">al </w:t>
      </w:r>
      <w:r>
        <w:rPr>
          <w:rFonts w:ascii="Palatino Linotype" w:hAnsi="Palatino Linotype" w:cs="Arial"/>
          <w:i/>
          <w:color w:val="000000" w:themeColor="text1"/>
          <w:lang w:eastAsia="es-MX"/>
        </w:rPr>
        <w:t>padre de la menor”</w:t>
      </w:r>
      <w:r>
        <w:rPr>
          <w:rFonts w:ascii="Palatino Linotype" w:hAnsi="Palatino Linotype" w:cs="Arial"/>
          <w:color w:val="000000" w:themeColor="text1"/>
          <w:lang w:eastAsia="es-MX"/>
        </w:rPr>
        <w:t xml:space="preserve">, y </w:t>
      </w:r>
      <w:r>
        <w:rPr>
          <w:rFonts w:ascii="Palatino Linotype" w:hAnsi="Palatino Linotype" w:cs="Arial"/>
          <w:color w:val="2F2F2F"/>
          <w:lang w:eastAsia="es-MX"/>
        </w:rPr>
        <w:t>“</w:t>
      </w:r>
      <w:r>
        <w:rPr>
          <w:rFonts w:ascii="Palatino Linotype" w:hAnsi="Palatino Linotype" w:cs="Arial"/>
          <w:i/>
          <w:color w:val="2F2F2F"/>
          <w:lang w:eastAsia="es-MX"/>
        </w:rPr>
        <w:t xml:space="preserve">bienes que se le aseguraron, lugar en el que fue detenido, arrestado o bien asegurado dentro de la oficialía calificadora, tiempo que estuvo detenido, detallar momento a momento el procedimiento seguido con posterioridad a su detención, arresto o aseguramiento ante la oficialía calificadora”, </w:t>
      </w:r>
      <w:r>
        <w:rPr>
          <w:rFonts w:ascii="Palatino Linotype" w:hAnsi="Palatino Linotype" w:cs="Arial"/>
          <w:color w:val="2F2F2F"/>
          <w:lang w:eastAsia="es-MX"/>
        </w:rPr>
        <w:t xml:space="preserve">como ya quedó asentado en párrafos que anteceden, como lo señaló </w:t>
      </w:r>
      <w:r>
        <w:rPr>
          <w:rFonts w:ascii="Palatino Linotype" w:hAnsi="Palatino Linotype" w:cs="Arial"/>
          <w:b/>
          <w:color w:val="2F2F2F"/>
          <w:lang w:eastAsia="es-MX"/>
        </w:rPr>
        <w:t>EL SUJETO OBLIGADO</w:t>
      </w:r>
      <w:r>
        <w:rPr>
          <w:rFonts w:ascii="Palatino Linotype" w:hAnsi="Palatino Linotype" w:cs="Arial"/>
          <w:color w:val="2F2F2F"/>
          <w:lang w:eastAsia="es-MX"/>
        </w:rPr>
        <w:t xml:space="preserve"> esta información se encuentra en una carpeta de investigación ante el Ministerio Público; por lo que, deberá emitir el Acuerdo del Comité de Transparencia como reservada, siguiendo el procedimiento señalado.</w:t>
      </w:r>
    </w:p>
    <w:p w:rsidR="002E2A0D" w:rsidRDefault="002E2A0D">
      <w:pPr>
        <w:shd w:val="clear" w:color="auto" w:fill="FFFFFF"/>
        <w:spacing w:line="360" w:lineRule="auto"/>
        <w:ind w:right="49"/>
        <w:jc w:val="both"/>
        <w:rPr>
          <w:rFonts w:ascii="Palatino Linotype" w:hAnsi="Palatino Linotype" w:cs="Arial"/>
          <w:b/>
          <w:color w:val="2F2F2F"/>
          <w:lang w:eastAsia="es-MX"/>
        </w:rPr>
      </w:pPr>
    </w:p>
    <w:p w:rsidR="002E2A0D" w:rsidRDefault="00BF778C">
      <w:pPr>
        <w:shd w:val="clear" w:color="auto" w:fill="FFFFFF"/>
        <w:spacing w:line="360" w:lineRule="auto"/>
        <w:jc w:val="both"/>
        <w:rPr>
          <w:rFonts w:ascii="Palatino Linotype" w:hAnsi="Palatino Linotype" w:cs="Arial"/>
        </w:rPr>
      </w:pPr>
      <w:r>
        <w:rPr>
          <w:rFonts w:ascii="Palatino Linotype" w:hAnsi="Palatino Linotype" w:cs="Arial"/>
        </w:rPr>
        <w:t>Refuerza lo argumentado, lo que la Suprema Corte de Justicia de la Nación ha establecido en la siguiente jurisprudencia respecto a qué debe entenderse por fundamentación y motivación, como se observa:</w:t>
      </w:r>
    </w:p>
    <w:p w:rsidR="002E2A0D" w:rsidRDefault="00BF778C">
      <w:pPr>
        <w:shd w:val="clear" w:color="auto" w:fill="FFFFFF"/>
        <w:spacing w:line="276" w:lineRule="auto"/>
        <w:ind w:left="851" w:right="902"/>
        <w:jc w:val="both"/>
        <w:rPr>
          <w:rFonts w:ascii="Palatino Linotype" w:hAnsi="Palatino Linotype" w:cs="Arial"/>
          <w:i/>
        </w:rPr>
      </w:pPr>
      <w:r>
        <w:rPr>
          <w:rFonts w:ascii="Palatino Linotype" w:hAnsi="Palatino Linotype" w:cs="Arial"/>
        </w:rPr>
        <w:t>“</w:t>
      </w:r>
      <w:r>
        <w:rPr>
          <w:rFonts w:ascii="Palatino Linotype" w:hAnsi="Palatino Linotype" w:cs="Arial"/>
          <w:b/>
          <w:i/>
        </w:rPr>
        <w:t>FUNDAMENTACIÓN Y MOTIVACIÓN</w:t>
      </w:r>
      <w:r>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2E2A0D" w:rsidRDefault="00BF778C">
      <w:pPr>
        <w:shd w:val="clear" w:color="auto" w:fill="FFFFFF"/>
        <w:spacing w:line="276" w:lineRule="auto"/>
        <w:ind w:left="851" w:right="902"/>
        <w:jc w:val="both"/>
        <w:rPr>
          <w:rFonts w:ascii="Palatino Linotype" w:hAnsi="Palatino Linotype" w:cs="Arial"/>
          <w:i/>
        </w:rPr>
      </w:pPr>
      <w:r>
        <w:rPr>
          <w:rFonts w:ascii="Palatino Linotype" w:hAnsi="Palatino Linotype" w:cs="Arial"/>
          <w:i/>
        </w:rPr>
        <w:t>SEGUNDO TRIBUNAL COLEGIADO DEL SEXTO CIRCUITO.</w:t>
      </w:r>
    </w:p>
    <w:p w:rsidR="002E2A0D" w:rsidRDefault="00BF778C">
      <w:pPr>
        <w:shd w:val="clear" w:color="auto" w:fill="FFFFFF"/>
        <w:spacing w:line="276" w:lineRule="auto"/>
        <w:ind w:left="851" w:right="902"/>
        <w:jc w:val="both"/>
        <w:rPr>
          <w:rFonts w:ascii="Palatino Linotype" w:hAnsi="Palatino Linotype" w:cs="Arial"/>
          <w:i/>
        </w:rPr>
      </w:pPr>
      <w:r>
        <w:rPr>
          <w:rFonts w:ascii="Palatino Linotype" w:hAnsi="Palatino Linotype" w:cs="Arial"/>
          <w:i/>
        </w:rPr>
        <w:t>Amparo directo 194/88. Bufete Industrial Construcciones, S.A. de C.V. 28 de junio de 1988. Unanimidad de votos. Ponente: Gustavo Calvillo Rangel. Secretario: Jorge Alberto González Álvarez.</w:t>
      </w:r>
    </w:p>
    <w:p w:rsidR="002E2A0D" w:rsidRDefault="00BF778C">
      <w:pPr>
        <w:shd w:val="clear" w:color="auto" w:fill="FFFFFF"/>
        <w:spacing w:line="276" w:lineRule="auto"/>
        <w:ind w:left="851" w:right="902"/>
        <w:jc w:val="both"/>
        <w:rPr>
          <w:rFonts w:ascii="Palatino Linotype" w:hAnsi="Palatino Linotype" w:cs="Arial"/>
          <w:i/>
        </w:rPr>
      </w:pPr>
      <w:r>
        <w:rPr>
          <w:rFonts w:ascii="Palatino Linotype" w:hAnsi="Palatino Linotype" w:cs="Arial"/>
          <w:i/>
        </w:rPr>
        <w:t>Revisión fiscal 103/88. Instituto Mexicano del Seguro Social. 18 de octubre de 1988. Unanimidad de votos. Ponente: Arnoldo Nájera Virgen. Secretario: Alejandro Esponda Rincón.</w:t>
      </w:r>
    </w:p>
    <w:p w:rsidR="002E2A0D" w:rsidRDefault="00BF778C">
      <w:pPr>
        <w:shd w:val="clear" w:color="auto" w:fill="FFFFFF"/>
        <w:spacing w:line="276" w:lineRule="auto"/>
        <w:ind w:left="851" w:right="902"/>
        <w:jc w:val="both"/>
        <w:rPr>
          <w:rFonts w:ascii="Palatino Linotype" w:hAnsi="Palatino Linotype" w:cs="Arial"/>
          <w:i/>
        </w:rPr>
      </w:pPr>
      <w:r>
        <w:rPr>
          <w:rFonts w:ascii="Palatino Linotype" w:hAnsi="Palatino Linotype" w:cs="Arial"/>
          <w:i/>
        </w:rPr>
        <w:t>Amparo en revisión 333/88. Adilia Romero. 26 de octubre de 1988. Unanimidad de votos. Ponente: Arnoldo Nájera Virgen. Secretario: Enrique Crispín Campos Ramírez.</w:t>
      </w:r>
    </w:p>
    <w:p w:rsidR="002E2A0D" w:rsidRDefault="00BF778C">
      <w:pPr>
        <w:shd w:val="clear" w:color="auto" w:fill="FFFFFF"/>
        <w:spacing w:line="276" w:lineRule="auto"/>
        <w:ind w:left="851" w:right="902"/>
        <w:jc w:val="both"/>
        <w:rPr>
          <w:rFonts w:ascii="Palatino Linotype" w:hAnsi="Palatino Linotype" w:cs="Arial"/>
          <w:i/>
        </w:rPr>
      </w:pPr>
      <w:r>
        <w:rPr>
          <w:rFonts w:ascii="Palatino Linotype" w:hAnsi="Palatino Linotype" w:cs="Arial"/>
          <w:i/>
        </w:rPr>
        <w:t>Amparo en revisión 597/95. Emilio Maurer Bretón. 15 de noviembre de 1995. Unanimidad de votos. Ponente: Clementina Ramírez Moguel Goyzueta. Secretario: Gonzalo Carrera Molina.</w:t>
      </w:r>
    </w:p>
    <w:p w:rsidR="002E2A0D" w:rsidRDefault="00BF778C">
      <w:pPr>
        <w:shd w:val="clear" w:color="auto" w:fill="FFFFFF"/>
        <w:spacing w:line="276" w:lineRule="auto"/>
        <w:ind w:left="851" w:right="902"/>
        <w:jc w:val="both"/>
        <w:rPr>
          <w:rFonts w:ascii="Palatino Linotype" w:hAnsi="Palatino Linotype" w:cs="Arial"/>
          <w:i/>
        </w:rPr>
      </w:pPr>
      <w:r>
        <w:rPr>
          <w:rFonts w:ascii="Palatino Linotype" w:hAnsi="Palatino Linotype" w:cs="Arial"/>
          <w:i/>
        </w:rPr>
        <w:t>Amparo directo 7/96. Pedro Vicente López Miro. 21 de febrero de 1996. Unanimidad de votos. Ponente: María Eugenia Estela Martínez Cardiel. Secretario: Enrique Baigts Muñoz.”</w:t>
      </w:r>
    </w:p>
    <w:p w:rsidR="002E2A0D" w:rsidRDefault="00BF778C">
      <w:pPr>
        <w:shd w:val="clear" w:color="auto" w:fill="FFFFFF"/>
        <w:spacing w:line="360" w:lineRule="auto"/>
        <w:ind w:right="49"/>
        <w:jc w:val="both"/>
        <w:rPr>
          <w:rFonts w:ascii="Palatino Linotype" w:hAnsi="Palatino Linotype" w:cs="Arial"/>
        </w:rPr>
      </w:pPr>
      <w:r>
        <w:rPr>
          <w:rFonts w:ascii="Palatino Linotype" w:hAnsi="Palatino Linotype" w:cs="Arial"/>
        </w:rPr>
        <w:t>De igual forma, el Cuarto Tribunal Colegiado en Materia Administrativa del Primer Circuito señala:</w:t>
      </w:r>
    </w:p>
    <w:p w:rsidR="002E2A0D" w:rsidRDefault="00BF778C">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w:t>
      </w:r>
      <w:r>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2E2A0D" w:rsidRDefault="00BF778C">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CUARTO TRIBUNAL COLEGIADO EN MATERIA ADMINISTRATIVA DEL PRIMER CIRCUITO.</w:t>
      </w:r>
    </w:p>
    <w:p w:rsidR="002E2A0D" w:rsidRDefault="00BF778C">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2E2A0D" w:rsidRDefault="00BF778C">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2E2A0D" w:rsidRDefault="00BF778C">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2E2A0D" w:rsidRDefault="00BF778C">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2E2A0D" w:rsidRDefault="00BF778C">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2E2A0D" w:rsidRDefault="002E2A0D">
      <w:pPr>
        <w:shd w:val="clear" w:color="auto" w:fill="FFFFFF"/>
        <w:spacing w:line="360" w:lineRule="auto"/>
        <w:ind w:right="49"/>
        <w:jc w:val="both"/>
        <w:rPr>
          <w:rFonts w:ascii="Palatino Linotype" w:hAnsi="Palatino Linotype" w:cs="Arial"/>
          <w:color w:val="2F2F2F"/>
          <w:sz w:val="20"/>
          <w:lang w:eastAsia="es-MX"/>
        </w:rPr>
      </w:pPr>
    </w:p>
    <w:p w:rsidR="002E2A0D" w:rsidRDefault="00BF778C">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Aunado a ello, es menester referir para mayor referencia, lo previsto en la Tesis Aislada en materia Constitucional que predica:</w:t>
      </w:r>
    </w:p>
    <w:p w:rsidR="002E2A0D" w:rsidRDefault="00BF778C">
      <w:pPr>
        <w:shd w:val="clear" w:color="auto" w:fill="FFFFFF"/>
        <w:ind w:left="851" w:right="616"/>
        <w:jc w:val="both"/>
        <w:rPr>
          <w:rFonts w:ascii="Palatino Linotype" w:hAnsi="Palatino Linotype" w:cs="Arial"/>
          <w:b/>
          <w:i/>
          <w:color w:val="000000"/>
          <w:lang w:val="es-ES"/>
        </w:rPr>
      </w:pPr>
      <w:r>
        <w:rPr>
          <w:rFonts w:ascii="Palatino Linotype" w:hAnsi="Palatino Linotype" w:cs="Arial"/>
          <w:b/>
          <w:i/>
          <w:color w:val="000000"/>
          <w:lang w:val="es-ES"/>
        </w:rPr>
        <w:t>INFORMACIÓN RESERVADA. LÍMITE AL DERECHO DE ACCESO A LA INFORMACIÓN (LEY FEDERAL DE TRANSPARENCIA Y ACCESO A LA INFORMACIÓN PÚBLICA GUBERNAMENTAL).</w:t>
      </w:r>
    </w:p>
    <w:p w:rsidR="002E2A0D" w:rsidRDefault="002E2A0D">
      <w:pPr>
        <w:shd w:val="clear" w:color="auto" w:fill="FFFFFF"/>
        <w:ind w:left="851" w:right="616"/>
        <w:jc w:val="both"/>
        <w:rPr>
          <w:rFonts w:ascii="Palatino Linotype" w:hAnsi="Palatino Linotype" w:cs="Arial"/>
          <w:b/>
          <w:i/>
          <w:color w:val="000000"/>
          <w:lang w:val="es-ES"/>
        </w:rPr>
      </w:pPr>
    </w:p>
    <w:p w:rsidR="002E2A0D" w:rsidRDefault="00BF778C">
      <w:pPr>
        <w:shd w:val="clear" w:color="auto" w:fill="FFFFFF"/>
        <w:ind w:left="851" w:right="616"/>
        <w:jc w:val="both"/>
        <w:rPr>
          <w:rFonts w:ascii="Palatino Linotype" w:hAnsi="Palatino Linotype" w:cs="Arial"/>
          <w:i/>
          <w:color w:val="000000"/>
          <w:lang w:val="es-ES"/>
        </w:rPr>
      </w:pPr>
      <w:r>
        <w:rPr>
          <w:rFonts w:ascii="Palatino Linotype" w:hAnsi="Palatino Linotype" w:cs="Arial"/>
          <w:i/>
          <w:color w:val="000000"/>
          <w:lang w:val="es-ES"/>
        </w:rPr>
        <w:t>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4) poner en riesgo la vida, seguridad o salud de alguna persona; o 5) causar perjuicio al cumplimiento de las leyes, prevención o verificación de delitos,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específico, de supuestos en los cuales la información también se considerará reservada: 1) la que expresamente se clasifique como confidencial, reservada, comercial reservada o gubernamental reservada; 2) secretos comercial, industrial, fiscal, bancario, fiduciario u otros; 3) averiguaciones previas;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w:t>
      </w:r>
    </w:p>
    <w:p w:rsidR="002E2A0D" w:rsidRDefault="002E2A0D">
      <w:pPr>
        <w:shd w:val="clear" w:color="auto" w:fill="FFFFFF"/>
        <w:ind w:left="851" w:right="616"/>
        <w:jc w:val="both"/>
        <w:rPr>
          <w:rFonts w:ascii="Palatino Linotype" w:hAnsi="Palatino Linotype" w:cs="Arial"/>
          <w:i/>
          <w:color w:val="000000"/>
          <w:lang w:val="es-ES"/>
        </w:rPr>
      </w:pPr>
    </w:p>
    <w:p w:rsidR="002E2A0D" w:rsidRDefault="00BF778C">
      <w:pPr>
        <w:shd w:val="clear" w:color="auto" w:fill="FFFFFF"/>
        <w:ind w:left="851" w:right="616"/>
        <w:jc w:val="both"/>
        <w:rPr>
          <w:rFonts w:ascii="Palatino Linotype" w:hAnsi="Palatino Linotype" w:cs="Arial"/>
          <w:i/>
          <w:color w:val="000000"/>
          <w:lang w:val="es-ES"/>
        </w:rPr>
      </w:pPr>
      <w:r>
        <w:rPr>
          <w:rFonts w:ascii="Palatino Linotype" w:hAnsi="Palatino Linotype" w:cs="Arial"/>
          <w:i/>
          <w:color w:val="000000"/>
          <w:lang w:val="es-ES"/>
        </w:rPr>
        <w:t>Amparo en revisión 168/2011. Comisión Mexicana de Defensa y Protección de los Derechos Humanos, A.C. y otra. 30 de noviembre de 2011. Cinco votos. Ponente: Arturo Zaldívar Lelo de Larrea. Secretario: Javier Mijangos y González.</w:t>
      </w:r>
    </w:p>
    <w:p w:rsidR="002E2A0D" w:rsidRDefault="00BF778C">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 xml:space="preserve">Por último, en relación al punto 5 de la solicitud de acceso a la información pública requerida por el particular al </w:t>
      </w:r>
      <w:r>
        <w:rPr>
          <w:rFonts w:ascii="Palatino Linotype" w:hAnsi="Palatino Linotype" w:cs="Arial"/>
          <w:b/>
          <w:color w:val="2F2F2F"/>
          <w:lang w:eastAsia="es-MX"/>
        </w:rPr>
        <w:t>SUJETO OBLIGADO</w:t>
      </w:r>
      <w:r>
        <w:rPr>
          <w:rFonts w:ascii="Palatino Linotype" w:hAnsi="Palatino Linotype" w:cs="Arial"/>
          <w:color w:val="2F2F2F"/>
          <w:lang w:eastAsia="es-MX"/>
        </w:rPr>
        <w:t xml:space="preserve"> por el que requiere “Copia del acuerdo, debidamente firmado, en versión pública que se hubiera celebrado con los familiares, monto total del acuerdo, considerando cualquier prestación en dinero y en especie que se hubiera acordado, tiempo de vigencia del acuerdo, nombre de los funcionarios que firmaron el convenio o acuerdo, obligaciones asumidas por los familiares respecto del acuerdo, obligaciones asumidas por los integrantes del Ayuntamiento”; si bien, la Autoridad adjuntó el convenio deferido, del que se desprende los acuerdos tomados en el mismo; así como, los servidores públicos que suscribieron el mismo, anexando el Acuerdo del Comité de Transparencia por el que aprobó la versión pública del mismo, también lo es que el mismo no se encuentra debidamente fundado y motivado, dado que del mismo se desprende que no observó lo anterior.</w:t>
      </w:r>
    </w:p>
    <w:p w:rsidR="002E2A0D" w:rsidRDefault="002E2A0D">
      <w:pPr>
        <w:shd w:val="clear" w:color="auto" w:fill="FFFFFF"/>
        <w:spacing w:line="360" w:lineRule="auto"/>
        <w:ind w:right="49"/>
        <w:jc w:val="both"/>
        <w:rPr>
          <w:rFonts w:ascii="Palatino Linotype" w:hAnsi="Palatino Linotype" w:cs="Arial"/>
          <w:color w:val="2F2F2F"/>
          <w:sz w:val="16"/>
          <w:lang w:eastAsia="es-MX"/>
        </w:rPr>
      </w:pPr>
    </w:p>
    <w:p w:rsidR="002E2A0D" w:rsidRDefault="00BF778C">
      <w:pPr>
        <w:shd w:val="clear" w:color="auto" w:fill="FFFFFF"/>
        <w:tabs>
          <w:tab w:val="left" w:pos="1014"/>
        </w:tabs>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Por lo que debe ordenarse el Acuerdo del Comité de Transparencia, siguiendo el procedimiento de la Ley de Transparencia y Acceso a la Información Púbica del Estado de México y Municipios y los Lineamientos citados con anterioridad, a efecto de darle certeza al particular y que encuadra en los supuestos de clasificación como reservada en términos de la Ley en cita.</w:t>
      </w:r>
    </w:p>
    <w:p w:rsidR="002E2A0D" w:rsidRDefault="00BF778C">
      <w:pPr>
        <w:spacing w:beforeAutospacing="1" w:afterAutospacing="1" w:line="360" w:lineRule="auto"/>
        <w:jc w:val="both"/>
        <w:rPr>
          <w:rFonts w:ascii="Palatino Linotype" w:eastAsia="Arial Unicode MS" w:hAnsi="Palatino Linotype" w:cs="Arial"/>
        </w:rPr>
      </w:pPr>
      <w:r>
        <w:rPr>
          <w:rFonts w:ascii="Palatino Linotype" w:hAnsi="Palatino Linotype"/>
          <w:color w:val="000000"/>
        </w:rPr>
        <w:t xml:space="preserve">Ahora </w:t>
      </w:r>
      <w:r>
        <w:rPr>
          <w:rFonts w:ascii="Palatino Linotype" w:hAnsi="Palatino Linotype" w:cs="Arial"/>
          <w:lang w:eastAsia="es-MX"/>
        </w:rPr>
        <w:t>bien</w:t>
      </w:r>
      <w:r>
        <w:rPr>
          <w:rFonts w:ascii="Palatino Linotype" w:hAnsi="Palatino Linotype"/>
          <w:color w:val="000000"/>
        </w:rPr>
        <w:t xml:space="preserve">, en relación a la </w:t>
      </w:r>
      <w:r>
        <w:rPr>
          <w:rFonts w:ascii="Palatino Linotype" w:hAnsi="Palatino Linotype"/>
          <w:b/>
          <w:color w:val="000000"/>
        </w:rPr>
        <w:t xml:space="preserve">versión pública </w:t>
      </w:r>
      <w:r>
        <w:rPr>
          <w:rFonts w:ascii="Palatino Linotype" w:hAnsi="Palatino Linotype"/>
          <w:color w:val="000000"/>
        </w:rPr>
        <w:t xml:space="preserve">debe sujetarse a lo establecido en el artículo 143 de la Ley de Transparencia y Acceso a la Información Pública del Estado de México y Municipios, deberá </w:t>
      </w:r>
      <w:r>
        <w:rPr>
          <w:rFonts w:ascii="Palatino Linotype" w:eastAsia="Arial Unicode MS" w:hAnsi="Palatino Linotype" w:cs="Arial"/>
        </w:rPr>
        <w:t>omitirse, eliminarse o suprimirse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w:t>
      </w:r>
    </w:p>
    <w:p w:rsidR="002E2A0D" w:rsidRDefault="00BF778C">
      <w:pPr>
        <w:spacing w:beforeAutospacing="1" w:afterAutospacing="1" w:line="360" w:lineRule="auto"/>
        <w:jc w:val="both"/>
        <w:rPr>
          <w:rFonts w:ascii="Palatino Linotype" w:hAnsi="Palatino Linotype" w:cs="Arial"/>
        </w:rPr>
      </w:pPr>
      <w:r>
        <w:rPr>
          <w:rFonts w:ascii="Palatino Linotype" w:eastAsia="Arial Unicode MS" w:hAnsi="Palatino Linotype" w:cs="Arial"/>
        </w:rPr>
        <w:t xml:space="preserve">En ese sentido, </w:t>
      </w:r>
      <w:r>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2E2A0D" w:rsidRDefault="00BF778C">
      <w:pPr>
        <w:spacing w:beforeAutospacing="1" w:afterAutospacing="1" w:line="360" w:lineRule="auto"/>
        <w:jc w:val="both"/>
        <w:rPr>
          <w:rFonts w:ascii="Palatino Linotype" w:hAnsi="Palatino Linotype" w:cs="Arial"/>
          <w:lang w:val="es-ES_tradnl"/>
        </w:rPr>
      </w:pPr>
      <w:r>
        <w:rPr>
          <w:rFonts w:ascii="Palatino Linotype" w:hAnsi="Palatino Linotype" w:cs="Arial"/>
          <w:lang w:val="es-ES_tradnl"/>
        </w:rPr>
        <w:t xml:space="preserve">Por </w:t>
      </w:r>
      <w:r>
        <w:rPr>
          <w:rFonts w:ascii="Palatino Linotype" w:hAnsi="Palatino Linotype" w:cs="Arial"/>
          <w:lang w:eastAsia="es-MX"/>
        </w:rPr>
        <w:t>ende</w:t>
      </w:r>
      <w:r>
        <w:rPr>
          <w:rFonts w:ascii="Palatino Linotype" w:hAnsi="Palatino Linotype" w:cs="Arial"/>
          <w:lang w:val="es-ES_tradnl"/>
        </w:rPr>
        <w:t xml:space="preserve">, </w:t>
      </w:r>
      <w:r>
        <w:rPr>
          <w:rFonts w:ascii="Palatino Linotype" w:hAnsi="Palatino Linotype" w:cs="Arial"/>
          <w:b/>
          <w:lang w:val="es-ES_tradnl"/>
        </w:rPr>
        <w:t>EL SUJETO OBLIGADO</w:t>
      </w:r>
      <w:r>
        <w:rPr>
          <w:rFonts w:ascii="Palatino Linotype" w:hAnsi="Palatino Linotype" w:cs="Arial"/>
          <w:lang w:val="es-ES_tradnl"/>
        </w:rPr>
        <w:t xml:space="preserve"> debe testar los datos confidenciales, sin pasar por alto que la clasificación respectiva tiene </w:t>
      </w:r>
      <w:r>
        <w:rPr>
          <w:rFonts w:ascii="Palatino Linotype" w:hAnsi="Palatino Linotype" w:cs="Arial"/>
        </w:rPr>
        <w:t>que</w:t>
      </w:r>
      <w:r>
        <w:rPr>
          <w:rFonts w:ascii="Palatino Linotype" w:hAnsi="Palatino Linotype" w:cs="Arial"/>
          <w:lang w:val="es-ES_tradnl"/>
        </w:rPr>
        <w:t xml:space="preserve"> cumplirse a través de la forma y formalidades que la Ley impone; </w:t>
      </w:r>
      <w:r>
        <w:rPr>
          <w:rFonts w:ascii="Palatino Linotype" w:hAnsi="Palatino Linotype" w:cs="Arial"/>
        </w:rPr>
        <w:t>es</w:t>
      </w:r>
      <w:r>
        <w:rPr>
          <w:rFonts w:ascii="Palatino Linotype" w:hAnsi="Palatino Linotype" w:cs="Arial"/>
          <w:lang w:val="es-ES_tradnl"/>
        </w:rPr>
        <w:t xml:space="preserve"> decir, mediante Acuerdo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E2A0D" w:rsidRDefault="00BF778C">
      <w:pPr>
        <w:ind w:left="851" w:right="899"/>
        <w:jc w:val="center"/>
        <w:rPr>
          <w:rFonts w:ascii="Palatino Linotype" w:hAnsi="Palatino Linotype" w:cs="Arial"/>
          <w:b/>
          <w:i/>
        </w:rPr>
      </w:pPr>
      <w:r>
        <w:rPr>
          <w:rFonts w:ascii="Palatino Linotype" w:hAnsi="Palatino Linotype" w:cs="Arial"/>
          <w:b/>
          <w:i/>
        </w:rPr>
        <w:t>Ley de Transparencia y Acceso a la Información Pública del Estado de México y Municipios</w:t>
      </w:r>
    </w:p>
    <w:p w:rsidR="002E2A0D" w:rsidRDefault="00BF778C">
      <w:pPr>
        <w:ind w:left="851" w:right="899"/>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 xml:space="preserve">Artículo 49. </w:t>
      </w:r>
      <w:r>
        <w:rPr>
          <w:rFonts w:ascii="Palatino Linotype" w:hAnsi="Palatino Linotype" w:cs="Arial"/>
          <w:i/>
          <w:lang w:eastAsia="es-MX"/>
        </w:rPr>
        <w:t xml:space="preserve">Los </w:t>
      </w:r>
      <w:r>
        <w:rPr>
          <w:rFonts w:ascii="Palatino Linotype" w:hAnsi="Palatino Linotype" w:cs="Arial"/>
          <w:i/>
        </w:rPr>
        <w:t>Comités</w:t>
      </w:r>
      <w:r>
        <w:rPr>
          <w:rFonts w:ascii="Palatino Linotype" w:hAnsi="Palatino Linotype" w:cs="Arial"/>
          <w:i/>
          <w:lang w:eastAsia="es-MX"/>
        </w:rPr>
        <w:t xml:space="preserve"> de Transparencia </w:t>
      </w:r>
      <w:r>
        <w:rPr>
          <w:rFonts w:ascii="Palatino Linotype" w:hAnsi="Palatino Linotype"/>
          <w:i/>
        </w:rPr>
        <w:t>tendrán</w:t>
      </w:r>
      <w:r>
        <w:rPr>
          <w:rFonts w:ascii="Palatino Linotype" w:hAnsi="Palatino Linotype" w:cs="Arial"/>
          <w:i/>
          <w:lang w:eastAsia="es-MX"/>
        </w:rPr>
        <w:t xml:space="preserve"> las siguientes atribuciones:</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VIII.</w:t>
      </w:r>
      <w:r>
        <w:rPr>
          <w:rFonts w:ascii="Palatino Linotype" w:hAnsi="Palatino Linotype" w:cs="Arial"/>
          <w:i/>
          <w:lang w:eastAsia="es-MX"/>
        </w:rPr>
        <w:t xml:space="preserve"> </w:t>
      </w:r>
      <w:r>
        <w:rPr>
          <w:rFonts w:ascii="Palatino Linotype" w:hAnsi="Palatino Linotype" w:cs="Arial"/>
          <w:b/>
          <w:i/>
          <w:lang w:eastAsia="es-MX"/>
        </w:rPr>
        <w:t>Aprobar</w:t>
      </w:r>
      <w:r>
        <w:rPr>
          <w:rFonts w:ascii="Palatino Linotype" w:hAnsi="Palatino Linotype" w:cs="Arial"/>
          <w:i/>
          <w:lang w:eastAsia="es-MX"/>
        </w:rPr>
        <w:t xml:space="preserve">, </w:t>
      </w:r>
      <w:r>
        <w:rPr>
          <w:rFonts w:ascii="Palatino Linotype" w:hAnsi="Palatino Linotype" w:cs="Arial"/>
          <w:i/>
        </w:rPr>
        <w:t>modificar</w:t>
      </w:r>
      <w:r>
        <w:rPr>
          <w:rFonts w:ascii="Palatino Linotype" w:hAnsi="Palatino Linotype" w:cs="Arial"/>
          <w:i/>
          <w:lang w:eastAsia="es-MX"/>
        </w:rPr>
        <w:t xml:space="preserve"> o revocar la clasificación de la información;</w:t>
      </w:r>
    </w:p>
    <w:p w:rsidR="002E2A0D" w:rsidRDefault="00BF778C">
      <w:pPr>
        <w:ind w:left="851" w:right="899"/>
        <w:jc w:val="both"/>
        <w:rPr>
          <w:rFonts w:ascii="Palatino Linotype" w:hAnsi="Palatino Linotype" w:cs="Arial"/>
          <w:b/>
          <w:i/>
          <w:lang w:eastAsia="es-MX"/>
        </w:rPr>
      </w:pPr>
      <w:r>
        <w:rPr>
          <w:rFonts w:ascii="Palatino Linotype" w:hAnsi="Palatino Linotype" w:cs="Arial"/>
          <w:b/>
          <w:i/>
          <w:lang w:eastAsia="es-MX"/>
        </w:rPr>
        <w:t>Artículo 132.</w:t>
      </w:r>
      <w:r>
        <w:rPr>
          <w:rFonts w:ascii="Palatino Linotype" w:hAnsi="Palatino Linotype" w:cs="Arial"/>
          <w:i/>
          <w:lang w:eastAsia="es-MX"/>
        </w:rPr>
        <w:t xml:space="preserve"> </w:t>
      </w:r>
      <w:r>
        <w:rPr>
          <w:rFonts w:ascii="Palatino Linotype" w:hAnsi="Palatino Linotype" w:cs="Arial"/>
          <w:b/>
          <w:i/>
          <w:lang w:eastAsia="es-MX"/>
        </w:rPr>
        <w:t>La clasificación de la información se llevará a cabo en el momento en que:</w:t>
      </w:r>
    </w:p>
    <w:p w:rsidR="002E2A0D" w:rsidRDefault="00BF778C">
      <w:pPr>
        <w:ind w:left="851" w:right="899"/>
        <w:jc w:val="both"/>
        <w:rPr>
          <w:rFonts w:ascii="Palatino Linotype" w:hAnsi="Palatino Linotype" w:cs="Arial"/>
          <w:i/>
          <w:lang w:eastAsia="es-MX"/>
        </w:rPr>
      </w:pPr>
      <w:r>
        <w:rPr>
          <w:rFonts w:ascii="Palatino Linotype" w:hAnsi="Palatino Linotype" w:cs="Arial"/>
          <w:i/>
          <w:lang w:eastAsia="es-MX"/>
        </w:rPr>
        <w:t>…</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Se determine mediante resolución de autoridad competente; o</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III</w:t>
      </w:r>
      <w:r>
        <w:rPr>
          <w:rFonts w:ascii="Palatino Linotype" w:hAnsi="Palatino Linotype" w:cs="Arial"/>
          <w:i/>
          <w:lang w:eastAsia="es-MX"/>
        </w:rPr>
        <w:t xml:space="preserve">. </w:t>
      </w:r>
      <w:r>
        <w:rPr>
          <w:rFonts w:ascii="Palatino Linotype" w:hAnsi="Palatino Linotype" w:cs="Arial"/>
          <w:b/>
          <w:i/>
          <w:lang w:eastAsia="es-MX"/>
        </w:rPr>
        <w:t>Se generen versiones públicas para dar cumplimiento a las obligaciones de transparencia previstas en esta Ley</w:t>
      </w:r>
      <w:r>
        <w:rPr>
          <w:rFonts w:ascii="Palatino Linotype" w:hAnsi="Palatino Linotype" w:cs="Arial"/>
          <w:i/>
          <w:lang w:eastAsia="es-MX"/>
        </w:rPr>
        <w:t>.”</w:t>
      </w:r>
    </w:p>
    <w:p w:rsidR="002E2A0D" w:rsidRDefault="00BF778C">
      <w:pPr>
        <w:ind w:left="851" w:right="899"/>
        <w:jc w:val="center"/>
        <w:rPr>
          <w:rFonts w:ascii="Palatino Linotype" w:hAnsi="Palatino Linotype" w:cs="Arial"/>
          <w:b/>
          <w:i/>
        </w:rPr>
      </w:pPr>
      <w:r>
        <w:rPr>
          <w:rFonts w:ascii="Palatino Linotype" w:hAnsi="Palatino Linotype" w:cs="Arial"/>
          <w:b/>
          <w:i/>
          <w:lang w:eastAsia="es-MX"/>
        </w:rPr>
        <w:t xml:space="preserve">Lineamientos Generales en materia de Clasificación y Desclasificación de la </w:t>
      </w:r>
      <w:r>
        <w:rPr>
          <w:rFonts w:ascii="Palatino Linotype" w:hAnsi="Palatino Linotype" w:cs="Arial"/>
          <w:b/>
          <w:i/>
        </w:rPr>
        <w:t>Información</w:t>
      </w:r>
    </w:p>
    <w:p w:rsidR="002E2A0D" w:rsidRDefault="00BF778C">
      <w:pPr>
        <w:ind w:left="851" w:right="899"/>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Segundo.-</w:t>
      </w:r>
      <w:r>
        <w:rPr>
          <w:rFonts w:ascii="Palatino Linotype" w:hAnsi="Palatino Linotype" w:cs="Arial"/>
          <w:i/>
          <w:lang w:eastAsia="es-MX"/>
        </w:rPr>
        <w:t xml:space="preserve"> Para efectos de los </w:t>
      </w:r>
      <w:r>
        <w:rPr>
          <w:rFonts w:ascii="Palatino Linotype" w:hAnsi="Palatino Linotype" w:cs="Arial"/>
          <w:i/>
        </w:rPr>
        <w:t>presentes</w:t>
      </w:r>
      <w:r>
        <w:rPr>
          <w:rFonts w:ascii="Palatino Linotype" w:hAnsi="Palatino Linotype" w:cs="Arial"/>
          <w:i/>
          <w:lang w:eastAsia="es-MX"/>
        </w:rPr>
        <w:t xml:space="preserve"> Lineamientos Generales, se entenderá por:</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XVIII.</w:t>
      </w:r>
      <w:r>
        <w:rPr>
          <w:rFonts w:ascii="Palatino Linotype" w:hAnsi="Palatino Linotype" w:cs="Arial"/>
          <w:i/>
          <w:lang w:eastAsia="es-MX"/>
        </w:rPr>
        <w:t xml:space="preserve"> </w:t>
      </w:r>
      <w:r>
        <w:rPr>
          <w:rFonts w:ascii="Palatino Linotype" w:hAnsi="Palatino Linotype" w:cs="Arial"/>
          <w:b/>
          <w:i/>
          <w:lang w:eastAsia="es-MX"/>
        </w:rPr>
        <w:t>Versión pública:</w:t>
      </w:r>
      <w:r>
        <w:rPr>
          <w:rFonts w:ascii="Palatino Linotype" w:hAnsi="Palatino Linotype" w:cs="Arial"/>
          <w:i/>
          <w:lang w:eastAsia="es-MX"/>
        </w:rPr>
        <w:t xml:space="preserve"> El </w:t>
      </w:r>
      <w:r>
        <w:rPr>
          <w:rFonts w:ascii="Palatino Linotype" w:hAnsi="Palatino Linotype" w:cs="Arial"/>
          <w:bCs/>
          <w:i/>
        </w:rPr>
        <w:t>documento</w:t>
      </w:r>
      <w:r>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lang w:eastAsia="es-MX"/>
        </w:rPr>
        <w:t>fundando y motivando la</w:t>
      </w:r>
      <w:r>
        <w:rPr>
          <w:rFonts w:ascii="Palatino Linotype" w:hAnsi="Palatino Linotype" w:cs="Arial"/>
          <w:i/>
          <w:lang w:eastAsia="es-MX"/>
        </w:rPr>
        <w:t xml:space="preserve"> reserva o </w:t>
      </w:r>
      <w:r>
        <w:rPr>
          <w:rFonts w:ascii="Palatino Linotype" w:hAnsi="Palatino Linotype" w:cs="Arial"/>
          <w:b/>
          <w:i/>
          <w:lang w:eastAsia="es-MX"/>
        </w:rPr>
        <w:t>confidencialidad</w:t>
      </w:r>
      <w:r>
        <w:rPr>
          <w:rFonts w:ascii="Palatino Linotype" w:hAnsi="Palatino Linotype" w:cs="Arial"/>
          <w:i/>
          <w:lang w:eastAsia="es-MX"/>
        </w:rPr>
        <w:t xml:space="preserve">, a través de la resolución que para tal efecto emita el </w:t>
      </w:r>
      <w:r>
        <w:rPr>
          <w:rFonts w:ascii="Palatino Linotype" w:hAnsi="Palatino Linotype" w:cs="Arial"/>
          <w:bCs/>
          <w:i/>
        </w:rPr>
        <w:t>Comité</w:t>
      </w:r>
      <w:r>
        <w:rPr>
          <w:rFonts w:ascii="Palatino Linotype" w:hAnsi="Palatino Linotype" w:cs="Arial"/>
          <w:i/>
          <w:lang w:eastAsia="es-MX"/>
        </w:rPr>
        <w:t xml:space="preserve"> de Transparencia.</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Cuarto.</w:t>
      </w:r>
      <w:r>
        <w:rPr>
          <w:rFonts w:ascii="Palatino Linotype" w:hAnsi="Palatino Linotype" w:cs="Arial"/>
          <w:i/>
          <w:lang w:eastAsia="es-MX"/>
        </w:rPr>
        <w:t xml:space="preserve"> </w:t>
      </w:r>
      <w:r>
        <w:rPr>
          <w:rFonts w:ascii="Palatino Linotype" w:hAnsi="Palatino Linotype" w:cs="Arial"/>
          <w:b/>
          <w:i/>
          <w:lang w:eastAsia="es-MX"/>
        </w:rPr>
        <w:t>Para clasificar la información como</w:t>
      </w:r>
      <w:r>
        <w:rPr>
          <w:rFonts w:ascii="Palatino Linotype" w:hAnsi="Palatino Linotype" w:cs="Arial"/>
          <w:i/>
          <w:lang w:eastAsia="es-MX"/>
        </w:rPr>
        <w:t xml:space="preserve"> reservada o </w:t>
      </w:r>
      <w:r>
        <w:rPr>
          <w:rFonts w:ascii="Palatino Linotype" w:hAnsi="Palatino Linotype" w:cs="Arial"/>
          <w:b/>
          <w:i/>
          <w:lang w:eastAsia="es-MX"/>
        </w:rPr>
        <w:t xml:space="preserve">confidencial, de manera total o parcial, el titular del </w:t>
      </w:r>
      <w:r>
        <w:rPr>
          <w:rFonts w:ascii="Palatino Linotype" w:hAnsi="Palatino Linotype" w:cs="Arial"/>
          <w:b/>
          <w:bCs/>
          <w:i/>
        </w:rPr>
        <w:t>área</w:t>
      </w:r>
      <w:r>
        <w:rPr>
          <w:rFonts w:ascii="Palatino Linotype" w:hAnsi="Palatino Linotype" w:cs="Arial"/>
          <w:b/>
          <w:i/>
          <w:lang w:eastAsia="es-MX"/>
        </w:rPr>
        <w:t xml:space="preserve"> del sujeto </w:t>
      </w:r>
      <w:r>
        <w:rPr>
          <w:rFonts w:ascii="Palatino Linotype" w:hAnsi="Palatino Linotype" w:cs="Arial"/>
          <w:b/>
          <w:i/>
        </w:rPr>
        <w:t>obligado</w:t>
      </w:r>
      <w:r>
        <w:rPr>
          <w:rFonts w:ascii="Palatino Linotype" w:hAnsi="Palatino Linotype" w:cs="Arial"/>
          <w:b/>
          <w:i/>
          <w:lang w:eastAsia="es-MX"/>
        </w:rPr>
        <w:t xml:space="preserve"> deberá atender lo dispuesto por el Título Sexto de la Ley General</w:t>
      </w:r>
      <w:r>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E2A0D" w:rsidRDefault="00BF778C">
      <w:pPr>
        <w:ind w:left="851" w:right="899"/>
        <w:jc w:val="both"/>
        <w:rPr>
          <w:rFonts w:ascii="Palatino Linotype" w:hAnsi="Palatino Linotype" w:cs="Arial"/>
          <w:i/>
          <w:lang w:eastAsia="es-MX"/>
        </w:rPr>
      </w:pPr>
      <w:r>
        <w:rPr>
          <w:rFonts w:ascii="Palatino Linotype" w:hAnsi="Palatino Linotype" w:cs="Arial"/>
          <w:i/>
          <w:lang w:eastAsia="es-MX"/>
        </w:rPr>
        <w:t xml:space="preserve">Los sujetos obligados deberán aplicar, de manera estricta, las excepciones al derecho de acceso a la </w:t>
      </w:r>
      <w:r>
        <w:rPr>
          <w:rFonts w:ascii="Palatino Linotype" w:hAnsi="Palatino Linotype" w:cs="Arial"/>
          <w:bCs/>
          <w:i/>
        </w:rPr>
        <w:t>información</w:t>
      </w:r>
      <w:r>
        <w:rPr>
          <w:rFonts w:ascii="Palatino Linotype" w:hAnsi="Palatino Linotype" w:cs="Arial"/>
          <w:i/>
          <w:lang w:eastAsia="es-MX"/>
        </w:rPr>
        <w:t xml:space="preserve"> y sólo </w:t>
      </w:r>
      <w:r>
        <w:rPr>
          <w:rFonts w:ascii="Palatino Linotype" w:hAnsi="Palatino Linotype" w:cs="Arial"/>
          <w:i/>
        </w:rPr>
        <w:t>podrán</w:t>
      </w:r>
      <w:r>
        <w:rPr>
          <w:rFonts w:ascii="Palatino Linotype" w:hAnsi="Palatino Linotype" w:cs="Arial"/>
          <w:i/>
          <w:lang w:eastAsia="es-MX"/>
        </w:rPr>
        <w:t xml:space="preserve"> invocarlas cuando acrediten su procedencia.</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Quinto.</w:t>
      </w:r>
      <w:r>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rPr>
        <w:t>corresponderá</w:t>
      </w:r>
      <w:r>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Sexto.</w:t>
      </w:r>
      <w:r>
        <w:rPr>
          <w:rFonts w:ascii="Palatino Linotype" w:hAnsi="Palatino Linotype" w:cs="Arial"/>
          <w:i/>
          <w:lang w:eastAsia="es-MX"/>
        </w:rPr>
        <w:t xml:space="preserve"> Los sujetos obligados no podrán emitir acuerdos de carácter general ni particular que clasifiquen </w:t>
      </w:r>
      <w:r>
        <w:rPr>
          <w:rFonts w:ascii="Palatino Linotype" w:hAnsi="Palatino Linotype" w:cs="Arial"/>
          <w:bCs/>
          <w:i/>
        </w:rPr>
        <w:t>documentos</w:t>
      </w:r>
      <w:r>
        <w:rPr>
          <w:rFonts w:ascii="Palatino Linotype" w:hAnsi="Palatino Linotype" w:cs="Arial"/>
          <w:i/>
          <w:lang w:eastAsia="es-MX"/>
        </w:rPr>
        <w:t xml:space="preserve"> o expedientes como reservados, ni clasificar documentos antes de que se genere la información o cuando éstos no obren en sus archivos.</w:t>
      </w:r>
    </w:p>
    <w:p w:rsidR="002E2A0D" w:rsidRDefault="00BF778C">
      <w:pPr>
        <w:ind w:left="851" w:right="899"/>
        <w:jc w:val="both"/>
        <w:rPr>
          <w:rFonts w:ascii="Palatino Linotype" w:hAnsi="Palatino Linotype" w:cs="Arial"/>
          <w:i/>
          <w:lang w:eastAsia="es-MX"/>
        </w:rPr>
      </w:pPr>
      <w:r>
        <w:rPr>
          <w:rFonts w:ascii="Palatino Linotype" w:hAnsi="Palatino Linotype" w:cs="Arial"/>
          <w:i/>
          <w:lang w:eastAsia="es-MX"/>
        </w:rPr>
        <w:t xml:space="preserve">La clasificación de </w:t>
      </w:r>
      <w:r>
        <w:rPr>
          <w:rFonts w:ascii="Palatino Linotype" w:hAnsi="Palatino Linotype" w:cs="Arial"/>
          <w:i/>
        </w:rPr>
        <w:t>información</w:t>
      </w:r>
      <w:r>
        <w:rPr>
          <w:rFonts w:ascii="Palatino Linotype" w:hAnsi="Palatino Linotype" w:cs="Arial"/>
          <w:i/>
          <w:lang w:eastAsia="es-MX"/>
        </w:rPr>
        <w:t xml:space="preserve"> se realizará conforme a un análisis caso por caso, mediante la aplicación </w:t>
      </w:r>
      <w:r>
        <w:rPr>
          <w:rFonts w:ascii="Palatino Linotype" w:hAnsi="Palatino Linotype" w:cs="Arial"/>
          <w:bCs/>
          <w:i/>
        </w:rPr>
        <w:t>de</w:t>
      </w:r>
      <w:r>
        <w:rPr>
          <w:rFonts w:ascii="Palatino Linotype" w:hAnsi="Palatino Linotype" w:cs="Arial"/>
          <w:i/>
          <w:lang w:eastAsia="es-MX"/>
        </w:rPr>
        <w:t xml:space="preserve"> la prueba de daño y de interés público.</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Séptimo.</w:t>
      </w:r>
      <w:r>
        <w:rPr>
          <w:rFonts w:ascii="Palatino Linotype" w:hAnsi="Palatino Linotype" w:cs="Arial"/>
          <w:i/>
          <w:lang w:eastAsia="es-MX"/>
        </w:rPr>
        <w:t xml:space="preserve"> La clasificación </w:t>
      </w:r>
      <w:r>
        <w:rPr>
          <w:rFonts w:ascii="Palatino Linotype" w:hAnsi="Palatino Linotype" w:cs="Arial"/>
          <w:bCs/>
          <w:i/>
        </w:rPr>
        <w:t>de</w:t>
      </w:r>
      <w:r>
        <w:rPr>
          <w:rFonts w:ascii="Palatino Linotype" w:hAnsi="Palatino Linotype" w:cs="Arial"/>
          <w:i/>
          <w:lang w:eastAsia="es-MX"/>
        </w:rPr>
        <w:t xml:space="preserve"> la </w:t>
      </w:r>
      <w:r>
        <w:rPr>
          <w:rFonts w:ascii="Palatino Linotype" w:hAnsi="Palatino Linotype" w:cs="Arial"/>
          <w:i/>
        </w:rPr>
        <w:t>información</w:t>
      </w:r>
      <w:r>
        <w:rPr>
          <w:rFonts w:ascii="Palatino Linotype" w:hAnsi="Palatino Linotype" w:cs="Arial"/>
          <w:i/>
          <w:lang w:eastAsia="es-MX"/>
        </w:rPr>
        <w:t xml:space="preserve"> se llevará a cabo en el momento en que:</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I.</w:t>
      </w:r>
      <w:r>
        <w:rPr>
          <w:rFonts w:ascii="Palatino Linotype" w:hAnsi="Palatino Linotype" w:cs="Arial"/>
          <w:i/>
          <w:lang w:eastAsia="es-MX"/>
        </w:rPr>
        <w:t xml:space="preserve"> Se reciba una solicitud de acceso a la información;</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Se determine </w:t>
      </w:r>
      <w:r>
        <w:rPr>
          <w:rFonts w:ascii="Palatino Linotype" w:hAnsi="Palatino Linotype" w:cs="Arial"/>
          <w:bCs/>
          <w:i/>
        </w:rPr>
        <w:t>mediante</w:t>
      </w:r>
      <w:r>
        <w:rPr>
          <w:rFonts w:ascii="Palatino Linotype" w:hAnsi="Palatino Linotype" w:cs="Arial"/>
          <w:i/>
          <w:lang w:eastAsia="es-MX"/>
        </w:rPr>
        <w:t xml:space="preserve"> resolución de autoridad competente, o</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III.</w:t>
      </w:r>
      <w:r>
        <w:rPr>
          <w:rFonts w:ascii="Palatino Linotype" w:hAnsi="Palatino Linotype" w:cs="Arial"/>
          <w:i/>
          <w:lang w:eastAsia="es-MX"/>
        </w:rPr>
        <w:t xml:space="preserve"> Se generen </w:t>
      </w:r>
      <w:r>
        <w:rPr>
          <w:rFonts w:ascii="Palatino Linotype" w:hAnsi="Palatino Linotype" w:cs="Arial"/>
          <w:bCs/>
          <w:i/>
        </w:rPr>
        <w:t>versiones</w:t>
      </w:r>
      <w:r>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2E2A0D" w:rsidRDefault="00BF778C">
      <w:pPr>
        <w:ind w:left="851" w:right="899"/>
        <w:jc w:val="both"/>
        <w:rPr>
          <w:rFonts w:ascii="Palatino Linotype" w:hAnsi="Palatino Linotype" w:cs="Arial"/>
          <w:i/>
          <w:lang w:eastAsia="es-MX"/>
        </w:rPr>
      </w:pPr>
      <w:r>
        <w:rPr>
          <w:rFonts w:ascii="Palatino Linotype" w:hAnsi="Palatino Linotype" w:cs="Arial"/>
          <w:i/>
          <w:lang w:eastAsia="es-MX"/>
        </w:rPr>
        <w:t xml:space="preserve">Los titulares de las áreas deberán revisar la clasificación al momento de la recepción de una solicitud de </w:t>
      </w:r>
      <w:r>
        <w:rPr>
          <w:rFonts w:ascii="Palatino Linotype" w:hAnsi="Palatino Linotype" w:cs="Arial"/>
          <w:bCs/>
          <w:i/>
        </w:rPr>
        <w:t>acceso</w:t>
      </w:r>
      <w:r>
        <w:rPr>
          <w:rFonts w:ascii="Palatino Linotype" w:hAnsi="Palatino Linotype" w:cs="Arial"/>
          <w:i/>
          <w:lang w:eastAsia="es-MX"/>
        </w:rPr>
        <w:t xml:space="preserve"> a la información, para verificar si encuadra en una causal de reserva o de confidencialidad.</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Octavo.</w:t>
      </w:r>
      <w:r>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rPr>
        <w:t>expresamente</w:t>
      </w:r>
      <w:r>
        <w:rPr>
          <w:rFonts w:ascii="Palatino Linotype" w:hAnsi="Palatino Linotype" w:cs="Arial"/>
          <w:i/>
          <w:lang w:eastAsia="es-MX"/>
        </w:rPr>
        <w:t xml:space="preserve"> le otorga el carácter de reservada o confidencial.</w:t>
      </w:r>
    </w:p>
    <w:p w:rsidR="002E2A0D" w:rsidRDefault="00BF778C">
      <w:pPr>
        <w:ind w:left="851" w:right="899"/>
        <w:jc w:val="both"/>
        <w:rPr>
          <w:rFonts w:ascii="Palatino Linotype" w:hAnsi="Palatino Linotype" w:cs="Arial"/>
          <w:bCs/>
          <w:i/>
        </w:rPr>
      </w:pPr>
      <w:r>
        <w:rPr>
          <w:rFonts w:ascii="Palatino Linotype" w:hAnsi="Palatino Linotype" w:cs="Arial"/>
          <w:i/>
          <w:lang w:eastAsia="es-MX"/>
        </w:rPr>
        <w:t xml:space="preserve">Para </w:t>
      </w:r>
      <w:r>
        <w:rPr>
          <w:rFonts w:ascii="Palatino Linotype" w:hAnsi="Palatino Linotype" w:cs="Arial"/>
          <w:bCs/>
          <w:i/>
        </w:rPr>
        <w:t xml:space="preserve">motivar la clasificación se deberán señalar las razones o circunstancias especiales que lo </w:t>
      </w:r>
      <w:r>
        <w:rPr>
          <w:rFonts w:ascii="Palatino Linotype" w:hAnsi="Palatino Linotype" w:cs="Arial"/>
          <w:i/>
          <w:lang w:eastAsia="es-MX"/>
        </w:rPr>
        <w:t>llevaron</w:t>
      </w:r>
      <w:r>
        <w:rPr>
          <w:rFonts w:ascii="Palatino Linotype" w:hAnsi="Palatino Linotype" w:cs="Arial"/>
          <w:bCs/>
          <w:i/>
        </w:rPr>
        <w:t xml:space="preserve"> a concluir que el caso particular se ajusta al supuesto previsto por la norma legal invocada como fundamento.</w:t>
      </w:r>
    </w:p>
    <w:p w:rsidR="002E2A0D" w:rsidRDefault="00BF778C">
      <w:pPr>
        <w:ind w:left="851" w:right="899"/>
        <w:jc w:val="both"/>
        <w:rPr>
          <w:rFonts w:ascii="Palatino Linotype" w:hAnsi="Palatino Linotype" w:cs="Arial"/>
          <w:bCs/>
          <w:i/>
        </w:rPr>
      </w:pPr>
      <w:r>
        <w:rPr>
          <w:rFonts w:ascii="Palatino Linotype" w:hAnsi="Palatino Linotype" w:cs="Arial"/>
          <w:bCs/>
          <w:i/>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lang w:eastAsia="es-MX"/>
        </w:rPr>
        <w:t>de</w:t>
      </w:r>
      <w:r>
        <w:rPr>
          <w:rFonts w:ascii="Palatino Linotype" w:hAnsi="Palatino Linotype" w:cs="Arial"/>
          <w:bCs/>
          <w:i/>
        </w:rPr>
        <w:t xml:space="preserve"> </w:t>
      </w:r>
      <w:r>
        <w:rPr>
          <w:rFonts w:ascii="Palatino Linotype" w:hAnsi="Palatino Linotype" w:cs="Arial"/>
          <w:i/>
          <w:lang w:eastAsia="es-MX"/>
        </w:rPr>
        <w:t>reserva</w:t>
      </w:r>
      <w:r>
        <w:rPr>
          <w:rFonts w:ascii="Palatino Linotype" w:hAnsi="Palatino Linotype" w:cs="Arial"/>
          <w:bCs/>
          <w:i/>
        </w:rPr>
        <w:t>.</w:t>
      </w:r>
    </w:p>
    <w:p w:rsidR="002E2A0D" w:rsidRDefault="00BF778C">
      <w:pPr>
        <w:ind w:left="851" w:right="899"/>
        <w:jc w:val="both"/>
        <w:rPr>
          <w:rFonts w:ascii="Palatino Linotype" w:hAnsi="Palatino Linotype" w:cs="Arial"/>
          <w:bCs/>
          <w:i/>
        </w:rPr>
      </w:pPr>
      <w:r>
        <w:rPr>
          <w:rFonts w:ascii="Palatino Linotype" w:hAnsi="Palatino Linotype" w:cs="Arial"/>
          <w:i/>
          <w:lang w:eastAsia="es-MX"/>
        </w:rPr>
        <w:t>Tratándose</w:t>
      </w:r>
      <w:r>
        <w:rPr>
          <w:rFonts w:ascii="Palatino Linotype" w:hAnsi="Palatino Linotype" w:cs="Arial"/>
          <w:bCs/>
          <w:i/>
        </w:rPr>
        <w:t xml:space="preserve"> de información clasificada como confidencial respecto de la cual se haya </w:t>
      </w:r>
      <w:r>
        <w:rPr>
          <w:rFonts w:ascii="Palatino Linotype" w:hAnsi="Palatino Linotype" w:cs="Arial"/>
          <w:i/>
          <w:lang w:eastAsia="es-MX"/>
        </w:rPr>
        <w:t>determinado</w:t>
      </w:r>
      <w:r>
        <w:rPr>
          <w:rFonts w:ascii="Palatino Linotype" w:hAnsi="Palatino Linotype" w:cs="Arial"/>
          <w:bCs/>
          <w:i/>
        </w:rPr>
        <w:t xml:space="preserve"> </w:t>
      </w:r>
      <w:r>
        <w:rPr>
          <w:rFonts w:ascii="Palatino Linotype" w:hAnsi="Palatino Linotype" w:cs="Arial"/>
          <w:i/>
          <w:lang w:eastAsia="es-MX"/>
        </w:rPr>
        <w:t>su</w:t>
      </w:r>
      <w:r>
        <w:rPr>
          <w:rFonts w:ascii="Palatino Linotype" w:hAnsi="Palatino Linotype" w:cs="Arial"/>
          <w:bCs/>
          <w:i/>
        </w:rPr>
        <w:t xml:space="preserve"> conservación permanente por tener valor histórico, ésta conservará tal carácter de conformidad con la normativa aplicable en materia de archivos.</w:t>
      </w:r>
    </w:p>
    <w:p w:rsidR="002E2A0D" w:rsidRDefault="00BF778C">
      <w:pPr>
        <w:ind w:left="851" w:right="899"/>
        <w:jc w:val="both"/>
        <w:rPr>
          <w:rFonts w:ascii="Palatino Linotype" w:hAnsi="Palatino Linotype" w:cs="Arial"/>
          <w:i/>
          <w:lang w:eastAsia="es-MX"/>
        </w:rPr>
      </w:pPr>
      <w:r>
        <w:rPr>
          <w:rFonts w:ascii="Palatino Linotype" w:hAnsi="Palatino Linotype" w:cs="Arial"/>
          <w:bCs/>
          <w:i/>
        </w:rPr>
        <w:t>Los documentos contenidos</w:t>
      </w:r>
      <w:r>
        <w:rPr>
          <w:rFonts w:ascii="Palatino Linotype" w:hAnsi="Palatino Linotype" w:cs="Arial"/>
          <w:i/>
          <w:lang w:eastAsia="es-MX"/>
        </w:rPr>
        <w:t xml:space="preserve"> en los archivos históricos y los identificados como históricos confidenciales no serán susceptibles de clasificación como reservados.</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Noveno.</w:t>
      </w:r>
      <w:r>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Décimo.</w:t>
      </w:r>
      <w:r>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rPr>
        <w:t>documentos</w:t>
      </w:r>
      <w:r>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E2A0D" w:rsidRDefault="00BF778C">
      <w:pPr>
        <w:ind w:left="851" w:right="899"/>
        <w:jc w:val="both"/>
        <w:rPr>
          <w:rFonts w:ascii="Palatino Linotype" w:hAnsi="Palatino Linotype" w:cs="Arial"/>
          <w:i/>
          <w:lang w:eastAsia="es-MX"/>
        </w:rPr>
      </w:pPr>
      <w:r>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Pr>
          <w:rFonts w:ascii="Palatino Linotype" w:hAnsi="Palatino Linotype" w:cs="Arial"/>
          <w:i/>
        </w:rPr>
        <w:t>que</w:t>
      </w:r>
      <w:r>
        <w:rPr>
          <w:rFonts w:ascii="Palatino Linotype" w:hAnsi="Palatino Linotype" w:cs="Arial"/>
          <w:i/>
          <w:lang w:eastAsia="es-MX"/>
        </w:rPr>
        <w:t xml:space="preserve"> rija la actuación del sujeto obligado.</w:t>
      </w:r>
    </w:p>
    <w:p w:rsidR="002E2A0D" w:rsidRDefault="00BF778C">
      <w:pPr>
        <w:ind w:left="851" w:right="899"/>
        <w:jc w:val="both"/>
        <w:rPr>
          <w:rFonts w:ascii="Palatino Linotype" w:hAnsi="Palatino Linotype" w:cs="Arial"/>
          <w:i/>
          <w:lang w:eastAsia="es-MX"/>
        </w:rPr>
      </w:pPr>
      <w:r>
        <w:rPr>
          <w:rFonts w:ascii="Palatino Linotype" w:hAnsi="Palatino Linotype" w:cs="Arial"/>
          <w:b/>
          <w:i/>
          <w:lang w:eastAsia="es-MX"/>
        </w:rPr>
        <w:t>Décimo primero.</w:t>
      </w:r>
      <w:r>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E2A0D" w:rsidRDefault="00BF778C">
      <w:pPr>
        <w:ind w:left="851" w:right="899"/>
        <w:jc w:val="both"/>
        <w:rPr>
          <w:rFonts w:ascii="Palatino Linotype" w:hAnsi="Palatino Linotype" w:cs="Arial"/>
          <w:lang w:eastAsia="es-MX"/>
        </w:rPr>
      </w:pPr>
      <w:r>
        <w:rPr>
          <w:rFonts w:ascii="Palatino Linotype" w:hAnsi="Palatino Linotype" w:cs="Arial"/>
          <w:lang w:eastAsia="es-MX"/>
        </w:rPr>
        <w:t>(Énfasis Añadido)</w:t>
      </w:r>
    </w:p>
    <w:p w:rsidR="002E2A0D" w:rsidRDefault="00BF778C">
      <w:pPr>
        <w:spacing w:beforeAutospacing="1" w:afterAutospacing="1" w:line="360" w:lineRule="auto"/>
        <w:jc w:val="both"/>
        <w:rPr>
          <w:rFonts w:ascii="Palatino Linotype" w:hAnsi="Palatino Linotype" w:cs="Arial"/>
        </w:rPr>
      </w:pPr>
      <w:r>
        <w:rPr>
          <w:rFonts w:ascii="Palatino Linotype" w:hAnsi="Palatino Linotype"/>
        </w:rPr>
        <w:t xml:space="preserve">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un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lo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E2A0D" w:rsidRDefault="00BF778C">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No pasa desapercibido para este Órgano Garante que el particular solicitó el monto total de recursos otorgados bajo dicho convenio y si bien el mismo no estableció el monto el Director Jurídico y Consultivo señaló:</w:t>
      </w:r>
    </w:p>
    <w:p w:rsidR="002E2A0D" w:rsidRDefault="00BF778C">
      <w:pPr>
        <w:shd w:val="clear" w:color="auto" w:fill="FFFFFF"/>
        <w:spacing w:line="360" w:lineRule="auto"/>
        <w:ind w:right="49"/>
        <w:jc w:val="both"/>
        <w:rPr>
          <w:rFonts w:ascii="Palatino Linotype" w:hAnsi="Palatino Linotype" w:cs="Arial"/>
          <w:color w:val="2F2F2F"/>
          <w:lang w:eastAsia="es-MX"/>
        </w:rPr>
      </w:pPr>
      <w:r>
        <w:rPr>
          <w:noProof/>
          <w:lang w:eastAsia="es-MX"/>
        </w:rPr>
        <w:drawing>
          <wp:inline distT="0" distB="0" distL="0" distR="0">
            <wp:extent cx="5612130" cy="2744470"/>
            <wp:effectExtent l="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5"/>
                    <pic:cNvPicPr>
                      <a:picLocks noChangeAspect="1" noChangeArrowheads="1"/>
                    </pic:cNvPicPr>
                  </pic:nvPicPr>
                  <pic:blipFill>
                    <a:blip r:embed="rId17"/>
                    <a:stretch>
                      <a:fillRect/>
                    </a:stretch>
                  </pic:blipFill>
                  <pic:spPr bwMode="auto">
                    <a:xfrm>
                      <a:off x="0" y="0"/>
                      <a:ext cx="5612130" cy="2744470"/>
                    </a:xfrm>
                    <a:prstGeom prst="rect">
                      <a:avLst/>
                    </a:prstGeom>
                  </pic:spPr>
                </pic:pic>
              </a:graphicData>
            </a:graphic>
          </wp:inline>
        </w:drawing>
      </w:r>
    </w:p>
    <w:p w:rsidR="002E2A0D" w:rsidRDefault="00BF778C">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 xml:space="preserve">A lo que, si bien, </w:t>
      </w:r>
      <w:r>
        <w:rPr>
          <w:rFonts w:ascii="Palatino Linotype" w:hAnsi="Palatino Linotype" w:cs="Arial"/>
          <w:b/>
          <w:color w:val="2F2F2F"/>
          <w:lang w:eastAsia="es-MX"/>
        </w:rPr>
        <w:t>EL SUJETO OBLIGADO</w:t>
      </w:r>
      <w:r>
        <w:rPr>
          <w:rFonts w:ascii="Palatino Linotype" w:hAnsi="Palatino Linotype" w:cs="Arial"/>
          <w:color w:val="2F2F2F"/>
          <w:lang w:eastAsia="es-MX"/>
        </w:rPr>
        <w:t xml:space="preserve"> solicitó se clasifique dicha información, lo cierto es que se tratan de recursos públicos lo cuales deben ser transparentados por </w:t>
      </w:r>
      <w:r>
        <w:rPr>
          <w:rFonts w:ascii="Palatino Linotype" w:hAnsi="Palatino Linotype" w:cs="Arial"/>
          <w:b/>
          <w:color w:val="2F2F2F"/>
          <w:lang w:eastAsia="es-MX"/>
        </w:rPr>
        <w:t>EL SUJETO OBLIGADO</w:t>
      </w:r>
      <w:r>
        <w:rPr>
          <w:rFonts w:ascii="Palatino Linotype" w:hAnsi="Palatino Linotype" w:cs="Arial"/>
          <w:color w:val="2F2F2F"/>
          <w:lang w:eastAsia="es-MX"/>
        </w:rPr>
        <w:t>, por lo que es dable ordenar el monto total de recursos públicos, de conformidad en lo dispuesto en el artículo 23, párrafo segundo de la Ley de la materia.</w:t>
      </w:r>
    </w:p>
    <w:p w:rsidR="002E2A0D" w:rsidRDefault="002E2A0D">
      <w:pPr>
        <w:shd w:val="clear" w:color="auto" w:fill="FFFFFF"/>
        <w:spacing w:line="360" w:lineRule="auto"/>
        <w:ind w:right="49"/>
        <w:jc w:val="both"/>
        <w:rPr>
          <w:rFonts w:ascii="Palatino Linotype" w:hAnsi="Palatino Linotype" w:cs="Arial"/>
          <w:color w:val="2F2F2F"/>
          <w:sz w:val="14"/>
          <w:lang w:eastAsia="es-MX"/>
        </w:rPr>
      </w:pPr>
    </w:p>
    <w:p w:rsidR="002E2A0D" w:rsidRDefault="00BF778C">
      <w:pPr>
        <w:shd w:val="clear" w:color="auto" w:fill="FFFFFF"/>
        <w:tabs>
          <w:tab w:val="left" w:pos="142"/>
        </w:tabs>
        <w:spacing w:line="276" w:lineRule="auto"/>
        <w:ind w:left="851" w:right="618"/>
        <w:jc w:val="both"/>
        <w:rPr>
          <w:rFonts w:ascii="Palatino Linotype" w:hAnsi="Palatino Linotype"/>
          <w:i/>
        </w:rPr>
      </w:pPr>
      <w:r>
        <w:rPr>
          <w:rFonts w:ascii="Palatino Linotype" w:hAnsi="Palatino Linotype"/>
          <w:b/>
          <w:i/>
        </w:rPr>
        <w:t>Artículo 23.</w:t>
      </w:r>
      <w:r>
        <w:rPr>
          <w:rFonts w:ascii="Palatino Linotype" w:hAnsi="Palatino Linotype"/>
          <w:i/>
        </w:rPr>
        <w:t xml:space="preserve"> Son sujetos obligados a transparentar y permitir el acceso a su información y proteger los datos personales que obren en su poder:</w:t>
      </w:r>
    </w:p>
    <w:p w:rsidR="002E2A0D" w:rsidRDefault="00BF778C">
      <w:pPr>
        <w:shd w:val="clear" w:color="auto" w:fill="FFFFFF"/>
        <w:tabs>
          <w:tab w:val="left" w:pos="142"/>
        </w:tabs>
        <w:spacing w:line="276" w:lineRule="auto"/>
        <w:ind w:left="851" w:right="618"/>
        <w:jc w:val="both"/>
        <w:rPr>
          <w:rFonts w:ascii="Palatino Linotype" w:hAnsi="Palatino Linotype"/>
          <w:i/>
          <w:sz w:val="16"/>
        </w:rPr>
      </w:pPr>
      <w:r>
        <w:rPr>
          <w:rFonts w:ascii="Palatino Linotype" w:hAnsi="Palatino Linotype"/>
          <w:i/>
          <w:sz w:val="16"/>
        </w:rPr>
        <w:t>. . .</w:t>
      </w:r>
    </w:p>
    <w:p w:rsidR="002E2A0D" w:rsidRDefault="00BF778C">
      <w:pPr>
        <w:shd w:val="clear" w:color="auto" w:fill="FFFFFF"/>
        <w:tabs>
          <w:tab w:val="left" w:pos="142"/>
        </w:tabs>
        <w:spacing w:line="276" w:lineRule="auto"/>
        <w:ind w:left="851" w:right="618"/>
        <w:jc w:val="both"/>
        <w:rPr>
          <w:rFonts w:ascii="Palatino Linotype" w:hAnsi="Palatino Linotype" w:cs="Arial"/>
          <w:i/>
          <w:color w:val="2F2F2F"/>
          <w:lang w:eastAsia="es-MX"/>
        </w:rPr>
      </w:pPr>
      <w:r>
        <w:rPr>
          <w:rFonts w:ascii="Palatino Linotype" w:hAnsi="Palatino Linotype"/>
          <w:b/>
          <w:i/>
          <w:u w:val="single"/>
        </w:rPr>
        <w:t>Los sujetos obligados deberán hacer pública toda aquella información relativa a los</w:t>
      </w:r>
      <w:r>
        <w:rPr>
          <w:rFonts w:ascii="Palatino Linotype" w:hAnsi="Palatino Linotype"/>
          <w:i/>
        </w:rPr>
        <w:t xml:space="preserve"> </w:t>
      </w:r>
      <w:r>
        <w:rPr>
          <w:rFonts w:ascii="Palatino Linotype" w:hAnsi="Palatino Linotype"/>
          <w:b/>
          <w:i/>
          <w:u w:val="single"/>
        </w:rPr>
        <w:t>montos</w:t>
      </w:r>
      <w:r>
        <w:rPr>
          <w:rFonts w:ascii="Palatino Linotype" w:hAnsi="Palatino Linotype"/>
          <w:i/>
        </w:rPr>
        <w:t xml:space="preserve"> y las personas a quienes entreguen, por cualquier motivo, </w:t>
      </w:r>
      <w:r>
        <w:rPr>
          <w:rFonts w:ascii="Palatino Linotype" w:hAnsi="Palatino Linotype"/>
          <w:i/>
          <w:u w:val="single"/>
        </w:rPr>
        <w:t>recursos públicos</w:t>
      </w:r>
      <w:r>
        <w:rPr>
          <w:rFonts w:ascii="Palatino Linotype" w:hAnsi="Palatino Linotype"/>
          <w:i/>
        </w:rPr>
        <w:t>, así como los informes que dichas personas les entreguen sobre el uso y destino de dichos recursos.</w:t>
      </w:r>
    </w:p>
    <w:p w:rsidR="002E2A0D" w:rsidRDefault="002E2A0D">
      <w:pPr>
        <w:shd w:val="clear" w:color="auto" w:fill="FFFFFF"/>
        <w:spacing w:line="360" w:lineRule="auto"/>
        <w:ind w:right="49"/>
        <w:jc w:val="both"/>
        <w:rPr>
          <w:rFonts w:ascii="Palatino Linotype" w:hAnsi="Palatino Linotype" w:cs="Arial"/>
          <w:color w:val="2F2F2F"/>
          <w:lang w:eastAsia="es-MX"/>
        </w:rPr>
      </w:pPr>
    </w:p>
    <w:p w:rsidR="002E2A0D" w:rsidRDefault="00BF778C">
      <w:pPr>
        <w:shd w:val="clear" w:color="auto" w:fill="FFFFFF"/>
        <w:spacing w:line="360" w:lineRule="auto"/>
        <w:ind w:right="49"/>
        <w:jc w:val="both"/>
        <w:rPr>
          <w:rFonts w:ascii="Palatino Linotype" w:hAnsi="Palatino Linotype" w:cs="Arial"/>
          <w:color w:val="2F2F2F"/>
          <w:lang w:eastAsia="es-MX"/>
        </w:rPr>
      </w:pPr>
      <w:r>
        <w:rPr>
          <w:rFonts w:ascii="Palatino Linotype" w:hAnsi="Palatino Linotype" w:cs="Arial"/>
          <w:color w:val="2F2F2F"/>
          <w:lang w:eastAsia="es-MX"/>
        </w:rPr>
        <w:t>Bajo lo expuesto, es dable ordenar el monto total entregado a la particular derivado del Convenio referido, en versión pública, conforme a la normatividad ya transcrita con antelación.</w:t>
      </w:r>
    </w:p>
    <w:p w:rsidR="002E2A0D" w:rsidRDefault="00BF778C">
      <w:pPr>
        <w:spacing w:beforeAutospacing="1" w:afterAutospacing="1" w:line="360" w:lineRule="auto"/>
        <w:jc w:val="both"/>
        <w:rPr>
          <w:rFonts w:ascii="Palatino Linotype" w:hAnsi="Palatino Linotype" w:cs="Arial"/>
        </w:rPr>
      </w:pPr>
      <w:r>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Pr>
          <w:rFonts w:ascii="Palatino Linotype" w:hAnsi="Palatino Linotype"/>
        </w:rPr>
        <w:t>Información</w:t>
      </w:r>
      <w:r>
        <w:rPr>
          <w:rFonts w:ascii="Palatino Linotype" w:hAnsi="Palatino Linotype" w:cs="Arial"/>
        </w:rPr>
        <w:t xml:space="preserve"> Pública del Estado de México y Municipios, determina </w:t>
      </w:r>
      <w:r>
        <w:rPr>
          <w:rFonts w:ascii="Palatino Linotype" w:hAnsi="Palatino Linotype" w:cs="Arial"/>
          <w:b/>
        </w:rPr>
        <w:t xml:space="preserve">MODIFICAR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w:t>
      </w:r>
    </w:p>
    <w:p w:rsidR="002E2A0D" w:rsidRDefault="00BF778C">
      <w:pPr>
        <w:widowControl w:val="0"/>
        <w:spacing w:before="240" w:after="120" w:line="360" w:lineRule="auto"/>
        <w:jc w:val="both"/>
        <w:rPr>
          <w:rFonts w:ascii="Palatino Linotype" w:hAnsi="Palatino Linotype" w:cs="Arial"/>
        </w:rPr>
      </w:pPr>
      <w:r>
        <w:rPr>
          <w:rFonts w:ascii="Palatino Linotype" w:hAnsi="Palatino Linotype" w:cs="Arial"/>
        </w:rPr>
        <w:t xml:space="preserve">Así, con fundamento en lo prescrito en los artículos 5, </w:t>
      </w:r>
      <w:r>
        <w:rPr>
          <w:rFonts w:ascii="Palatino Linotype" w:hAnsi="Palatino Linotype"/>
        </w:rPr>
        <w:t>párrafos vigésimo segundo, vigésimo tercero y vigésimo cuarto, fracciones IV y V</w:t>
      </w:r>
      <w:r>
        <w:rPr>
          <w:rFonts w:ascii="Palatino Linotype" w:hAnsi="Palatino Linotype" w:cs="Arial"/>
        </w:rPr>
        <w:t xml:space="preserve"> de la Constitución Política del Estado Libre y Soberano de México; </w:t>
      </w:r>
      <w:r>
        <w:rPr>
          <w:rFonts w:ascii="Palatino Linotype" w:hAnsi="Palatino Linotype"/>
        </w:rPr>
        <w:t xml:space="preserve">2, fracción II, 9, </w:t>
      </w:r>
      <w:r>
        <w:rPr>
          <w:rFonts w:ascii="Palatino Linotype" w:hAnsi="Palatino Linotype" w:cs="Arial"/>
          <w:lang w:val="es-ES_tradnl"/>
        </w:rPr>
        <w:t>29</w:t>
      </w:r>
      <w:r>
        <w:rPr>
          <w:rFonts w:ascii="Palatino Linotype" w:hAnsi="Palatino Linotype"/>
        </w:rPr>
        <w:t>, 36, fracciones I y II, 176, 178, 179, 181, 185, fracción I, 186 y 188</w:t>
      </w:r>
      <w:r>
        <w:rPr>
          <w:rFonts w:ascii="Palatino Linotype" w:hAnsi="Palatino Linotype" w:cs="Arial"/>
        </w:rPr>
        <w:t xml:space="preserve"> de la Ley de Transparencia y Acceso a la Información Pública del Estado de México y Municipios, este Pleno:</w:t>
      </w:r>
    </w:p>
    <w:p w:rsidR="002E2A0D" w:rsidRPr="00B6235F" w:rsidRDefault="00BF778C">
      <w:pPr>
        <w:spacing w:before="240" w:after="240" w:line="360" w:lineRule="auto"/>
        <w:jc w:val="center"/>
        <w:rPr>
          <w:rFonts w:ascii="Palatino Linotype" w:hAnsi="Palatino Linotype"/>
          <w:b/>
          <w:sz w:val="28"/>
          <w:lang w:val="pt-BR"/>
        </w:rPr>
      </w:pPr>
      <w:r w:rsidRPr="00B6235F">
        <w:rPr>
          <w:rFonts w:ascii="Palatino Linotype" w:hAnsi="Palatino Linotype"/>
          <w:b/>
          <w:sz w:val="28"/>
          <w:lang w:val="pt-BR"/>
        </w:rPr>
        <w:t>R E S U E L V E</w:t>
      </w:r>
    </w:p>
    <w:p w:rsidR="002E2A0D" w:rsidRDefault="00BF778C">
      <w:pPr>
        <w:pStyle w:val="Prrafodelista"/>
        <w:widowControl w:val="0"/>
        <w:tabs>
          <w:tab w:val="left" w:pos="1701"/>
        </w:tabs>
        <w:spacing w:before="360" w:after="240" w:line="360" w:lineRule="auto"/>
        <w:ind w:left="0"/>
        <w:jc w:val="both"/>
        <w:rPr>
          <w:rFonts w:ascii="Palatino Linotype" w:hAnsi="Palatino Linotype" w:cs="Arial"/>
        </w:rPr>
      </w:pPr>
      <w:r w:rsidRPr="00B6235F">
        <w:rPr>
          <w:rFonts w:ascii="Palatino Linotype" w:hAnsi="Palatino Linotype" w:cs="Arial"/>
          <w:b/>
          <w:bCs/>
          <w:color w:val="222222"/>
          <w:sz w:val="28"/>
          <w:lang w:val="pt-BR" w:eastAsia="es-MX"/>
        </w:rPr>
        <w:t>PRIMERO</w:t>
      </w:r>
      <w:r w:rsidRPr="00B6235F">
        <w:rPr>
          <w:rFonts w:ascii="Palatino Linotype" w:hAnsi="Palatino Linotype" w:cs="Arial"/>
          <w:lang w:val="pt-BR"/>
        </w:rPr>
        <w:t xml:space="preserve">. </w:t>
      </w:r>
      <w:r>
        <w:rPr>
          <w:rFonts w:ascii="Palatino Linotype" w:hAnsi="Palatino Linotype" w:cs="Arial"/>
        </w:rPr>
        <w:t xml:space="preserve">Resultan </w:t>
      </w:r>
      <w:r>
        <w:rPr>
          <w:rFonts w:ascii="Palatino Linotype" w:hAnsi="Palatino Linotype" w:cs="Arial"/>
          <w:b/>
        </w:rPr>
        <w:t>parcialmente</w:t>
      </w:r>
      <w:r>
        <w:rPr>
          <w:rFonts w:ascii="Palatino Linotype" w:hAnsi="Palatino Linotype" w:cs="Arial"/>
        </w:rPr>
        <w:t xml:space="preserve"> </w:t>
      </w:r>
      <w:r>
        <w:rPr>
          <w:rFonts w:ascii="Palatino Linotype" w:hAnsi="Palatino Linotype" w:cs="Arial"/>
          <w:b/>
        </w:rPr>
        <w:t>fundadas</w:t>
      </w:r>
      <w:r>
        <w:rPr>
          <w:rFonts w:ascii="Palatino Linotype" w:hAnsi="Palatino Linotype" w:cs="Arial"/>
        </w:rPr>
        <w:t xml:space="preserve"> las razones o motivos de inconformidad hechas valer por </w:t>
      </w:r>
      <w:r>
        <w:rPr>
          <w:rFonts w:ascii="Palatino Linotype" w:hAnsi="Palatino Linotype" w:cs="Arial"/>
          <w:b/>
        </w:rPr>
        <w:t>EL RECURRENTE</w:t>
      </w:r>
      <w:r>
        <w:rPr>
          <w:rFonts w:ascii="Palatino Linotype" w:hAnsi="Palatino Linotype" w:cs="Arial"/>
        </w:rPr>
        <w:t xml:space="preserve"> en el recurso de revisión </w:t>
      </w:r>
      <w:r>
        <w:rPr>
          <w:rFonts w:ascii="Palatino Linotype" w:hAnsi="Palatino Linotype" w:cs="Arial"/>
          <w:b/>
        </w:rPr>
        <w:t>00977/INFOEM/IP/RR/2020</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2E2A0D" w:rsidRDefault="00BF778C">
      <w:pPr>
        <w:spacing w:line="360" w:lineRule="auto"/>
        <w:jc w:val="both"/>
        <w:rPr>
          <w:rFonts w:ascii="Palatino Linotype" w:hAnsi="Palatino Linotype" w:cs="Arial"/>
        </w:rPr>
      </w:pPr>
      <w:r>
        <w:rPr>
          <w:rFonts w:ascii="Palatino Linotype" w:hAnsi="Palatino Linotype" w:cs="Arial"/>
          <w:b/>
          <w:bCs/>
          <w:color w:val="222222"/>
          <w:sz w:val="28"/>
          <w:lang w:eastAsia="es-MX"/>
        </w:rPr>
        <w:t>SEGUNDO</w:t>
      </w:r>
      <w:r>
        <w:rPr>
          <w:rFonts w:ascii="Palatino Linotype" w:eastAsia="Calibri" w:hAnsi="Palatino Linotype" w:cs="Arial"/>
          <w:b/>
          <w:bCs/>
        </w:rPr>
        <w:t xml:space="preserve">. </w:t>
      </w:r>
      <w:r>
        <w:rPr>
          <w:rFonts w:ascii="Palatino Linotype" w:eastAsia="Calibri" w:hAnsi="Palatino Linotype" w:cs="Arial"/>
          <w:bCs/>
        </w:rPr>
        <w:t>Se</w:t>
      </w:r>
      <w:r>
        <w:rPr>
          <w:rFonts w:ascii="Palatino Linotype" w:eastAsia="Calibri" w:hAnsi="Palatino Linotype" w:cs="Arial"/>
          <w:b/>
          <w:bCs/>
        </w:rPr>
        <w:t xml:space="preserve"> MODIFICA </w:t>
      </w:r>
      <w:r>
        <w:rPr>
          <w:rFonts w:ascii="Palatino Linotype" w:eastAsia="Calibri" w:hAnsi="Palatino Linotype" w:cs="Arial"/>
          <w:bCs/>
        </w:rPr>
        <w:t>la respuesta del</w:t>
      </w:r>
      <w:r>
        <w:rPr>
          <w:rFonts w:ascii="Palatino Linotype" w:eastAsia="Calibri" w:hAnsi="Palatino Linotype" w:cs="Arial"/>
        </w:rPr>
        <w:t xml:space="preserve"> </w:t>
      </w:r>
      <w:r>
        <w:rPr>
          <w:rFonts w:ascii="Palatino Linotype" w:eastAsia="Calibri" w:hAnsi="Palatino Linotype" w:cs="Arial"/>
          <w:b/>
        </w:rPr>
        <w:t xml:space="preserve">SUJETO OBLIGADO </w:t>
      </w:r>
      <w:r>
        <w:rPr>
          <w:rFonts w:ascii="Palatino Linotype" w:eastAsia="Calibri" w:hAnsi="Palatino Linotype" w:cs="Arial"/>
        </w:rPr>
        <w:t xml:space="preserve">y se ordena atienda la solicitud de información </w:t>
      </w:r>
      <w:r>
        <w:rPr>
          <w:rFonts w:ascii="Palatino Linotype" w:hAnsi="Palatino Linotype" w:cs="Arial"/>
          <w:b/>
          <w:lang w:val="es-ES"/>
        </w:rPr>
        <w:t xml:space="preserve">00032/ECATEPEC/IP/2020, </w:t>
      </w:r>
      <w:r>
        <w:rPr>
          <w:rFonts w:ascii="Palatino Linotype" w:hAnsi="Palatino Linotype" w:cs="Arial"/>
        </w:rPr>
        <w:t xml:space="preserve">en términos del </w:t>
      </w:r>
      <w:bookmarkStart w:id="0" w:name="_GoBack"/>
      <w:bookmarkEnd w:id="0"/>
      <w:r>
        <w:rPr>
          <w:rFonts w:ascii="Palatino Linotype" w:hAnsi="Palatino Linotype" w:cs="Arial"/>
        </w:rPr>
        <w:t xml:space="preserve">Considerando </w:t>
      </w:r>
      <w:r>
        <w:rPr>
          <w:rFonts w:ascii="Palatino Linotype" w:hAnsi="Palatino Linotype" w:cs="Arial"/>
          <w:b/>
        </w:rPr>
        <w:t>QUINTO</w:t>
      </w:r>
      <w:r>
        <w:rPr>
          <w:rFonts w:ascii="Palatino Linotype" w:hAnsi="Palatino Linotype" w:cs="Arial"/>
        </w:rPr>
        <w:t xml:space="preserve"> y, haga entrega al </w:t>
      </w:r>
      <w:r>
        <w:rPr>
          <w:rFonts w:ascii="Palatino Linotype" w:hAnsi="Palatino Linotype" w:cs="Arial"/>
          <w:b/>
        </w:rPr>
        <w:t>RECURRENTE</w:t>
      </w:r>
      <w:r>
        <w:rPr>
          <w:rFonts w:ascii="Palatino Linotype" w:hAnsi="Palatino Linotype" w:cs="Arial"/>
        </w:rPr>
        <w:t xml:space="preserve">, vía </w:t>
      </w:r>
      <w:r>
        <w:rPr>
          <w:rFonts w:ascii="Palatino Linotype" w:hAnsi="Palatino Linotype" w:cs="Arial"/>
          <w:b/>
        </w:rPr>
        <w:t>SAIMEX</w:t>
      </w:r>
      <w:r>
        <w:rPr>
          <w:rFonts w:ascii="Palatino Linotype" w:hAnsi="Palatino Linotype" w:cs="Arial"/>
        </w:rPr>
        <w:t>, lo siguiente:</w:t>
      </w:r>
    </w:p>
    <w:p w:rsidR="002E2A0D" w:rsidRDefault="00BF778C">
      <w:pPr>
        <w:tabs>
          <w:tab w:val="left" w:pos="851"/>
        </w:tabs>
        <w:ind w:left="851" w:right="709"/>
        <w:jc w:val="both"/>
        <w:rPr>
          <w:rFonts w:ascii="Palatino Linotype" w:hAnsi="Palatino Linotype"/>
          <w:bCs/>
          <w:i/>
        </w:rPr>
      </w:pPr>
      <w:r>
        <w:rPr>
          <w:rFonts w:ascii="Palatino Linotype" w:hAnsi="Palatino Linotype"/>
          <w:bCs/>
          <w:i/>
        </w:rPr>
        <w:t xml:space="preserve">“a) El convenio suscrito entre los particulares y los servidores públicos entregado en respuesta, </w:t>
      </w:r>
      <w:r>
        <w:rPr>
          <w:rFonts w:ascii="Palatino Linotype" w:hAnsi="Palatino Linotype" w:cs="Arial"/>
          <w:i/>
        </w:rPr>
        <w:t xml:space="preserve">en </w:t>
      </w:r>
      <w:r>
        <w:rPr>
          <w:rFonts w:ascii="Palatino Linotype" w:hAnsi="Palatino Linotype" w:cs="Arial"/>
          <w:b/>
          <w:i/>
        </w:rPr>
        <w:t>versión pública.</w:t>
      </w:r>
    </w:p>
    <w:p w:rsidR="002E2A0D" w:rsidRDefault="00BF778C">
      <w:pPr>
        <w:tabs>
          <w:tab w:val="left" w:pos="851"/>
        </w:tabs>
        <w:ind w:left="851" w:right="709"/>
        <w:jc w:val="both"/>
        <w:rPr>
          <w:rFonts w:ascii="Palatino Linotype" w:hAnsi="Palatino Linotype"/>
          <w:bCs/>
          <w:i/>
        </w:rPr>
      </w:pPr>
      <w:r>
        <w:rPr>
          <w:rFonts w:ascii="Palatino Linotype" w:hAnsi="Palatino Linotype"/>
          <w:bCs/>
          <w:i/>
        </w:rPr>
        <w:t>b) El documento donde conste el monto total de recursos públicos entregados, con motivo del Convenio referido en la solicitud de acceso a la información pública y en el inciso anterior, de ser procedente en</w:t>
      </w:r>
      <w:r>
        <w:rPr>
          <w:rFonts w:ascii="Palatino Linotype" w:hAnsi="Palatino Linotype"/>
          <w:b/>
          <w:bCs/>
          <w:i/>
        </w:rPr>
        <w:t xml:space="preserve"> versión pública</w:t>
      </w:r>
      <w:r>
        <w:rPr>
          <w:rFonts w:ascii="Palatino Linotype" w:hAnsi="Palatino Linotype"/>
          <w:bCs/>
          <w:i/>
        </w:rPr>
        <w:t>.</w:t>
      </w:r>
    </w:p>
    <w:p w:rsidR="002E2A0D" w:rsidRDefault="00BF778C">
      <w:pPr>
        <w:tabs>
          <w:tab w:val="left" w:pos="851"/>
        </w:tabs>
        <w:ind w:left="851" w:right="899"/>
        <w:jc w:val="both"/>
        <w:rPr>
          <w:rFonts w:ascii="Palatino Linotype" w:eastAsia="Calibri" w:hAnsi="Palatino Linotype" w:cs="Tahoma"/>
          <w:bCs/>
          <w:i/>
          <w:iCs/>
          <w:lang w:val="es-ES"/>
        </w:rPr>
      </w:pPr>
      <w:r>
        <w:rPr>
          <w:rFonts w:ascii="Palatino Linotype" w:hAnsi="Palatino Linotype"/>
          <w:i/>
        </w:rPr>
        <w:t xml:space="preserve">Debiendo notificar al </w:t>
      </w:r>
      <w:r>
        <w:rPr>
          <w:rFonts w:ascii="Palatino Linotype" w:hAnsi="Palatino Linotype"/>
          <w:b/>
          <w:i/>
        </w:rPr>
        <w:t>RECURRENTE</w:t>
      </w:r>
      <w:r>
        <w:rPr>
          <w:rFonts w:ascii="Palatino Linotype" w:hAnsi="Palatino Linotype"/>
          <w:i/>
        </w:rPr>
        <w:t xml:space="preserve"> el Acuerdo de Clasificación de la información que emita en su caso el Comité de Transparencia con motivo de la versión pública.”</w:t>
      </w:r>
    </w:p>
    <w:p w:rsidR="002E2A0D" w:rsidRDefault="00BF778C">
      <w:pPr>
        <w:tabs>
          <w:tab w:val="left" w:pos="851"/>
        </w:tabs>
        <w:ind w:left="851" w:right="709"/>
        <w:jc w:val="both"/>
        <w:rPr>
          <w:rFonts w:ascii="Palatino Linotype" w:hAnsi="Palatino Linotype"/>
          <w:bCs/>
          <w:i/>
        </w:rPr>
      </w:pPr>
      <w:r>
        <w:rPr>
          <w:rFonts w:ascii="Palatino Linotype" w:hAnsi="Palatino Linotype"/>
          <w:bCs/>
          <w:i/>
        </w:rPr>
        <w:t xml:space="preserve">c)  El Acuerdo de Clasificación de la información como reservada consistente en la infracción cometida, </w:t>
      </w:r>
      <w:r>
        <w:rPr>
          <w:rFonts w:ascii="Palatino Linotype" w:hAnsi="Palatino Linotype" w:cs="Arial"/>
          <w:i/>
          <w:lang w:val="es-ES"/>
        </w:rPr>
        <w:t xml:space="preserve">, hora de ingreso, documento por el cual se acredite que se le hizo saber la infracción cometida, el número de la unidad que la presentó ante el juez calificador, los nombres de los servidores públicos que la hubieran presentado ante el juez calificador, descripción de los bienes que se le hubieren asegurado, el lugar en el cual se le aseguró, la descripción del procedimiento seguido por el juez(a) calificador a partir del momento en que se aseguró a la menor; así como, </w:t>
      </w:r>
      <w:r>
        <w:rPr>
          <w:rFonts w:ascii="Palatino Linotype" w:hAnsi="Palatino Linotype"/>
          <w:bCs/>
          <w:i/>
        </w:rPr>
        <w:t xml:space="preserve"> donde consta el mo</w:t>
      </w:r>
      <w:r>
        <w:rPr>
          <w:rFonts w:ascii="Palatino Linotype" w:hAnsi="Palatino Linotype" w:cs="Arial"/>
          <w:i/>
          <w:lang w:val="es-ES"/>
        </w:rPr>
        <w:t xml:space="preserve">tivo por el cual se aseguró al padre, hora en que arribó a la oficialía calificadora, bienes que se le aseguraron, lugar en el que fue detenido, arrestado o bien asegurado dentro de la oficialía calificadora, tiempo que estuvo detenido, el procedimiento seguido con posterioridad a su detención, arresto o aseguramiento ante la oficialía; </w:t>
      </w:r>
      <w:r>
        <w:rPr>
          <w:rFonts w:ascii="Palatino Linotype" w:hAnsi="Palatino Linotype"/>
          <w:bCs/>
          <w:i/>
        </w:rPr>
        <w:t xml:space="preserve">que apruebe el Comité de Transparencia, en términos de los artículos 122 y 140 de la Ley de Transparencia y Acceso a la Información Pública del Estado de México y Municipios, al ser información relacionada con los las carpetas de investigación que se lleva ante el Ministerio Público, referidas por </w:t>
      </w:r>
      <w:r>
        <w:rPr>
          <w:rFonts w:ascii="Palatino Linotype" w:hAnsi="Palatino Linotype"/>
          <w:b/>
          <w:bCs/>
          <w:i/>
        </w:rPr>
        <w:t>EL SUJETO OBLIGADO</w:t>
      </w:r>
      <w:r>
        <w:rPr>
          <w:rFonts w:ascii="Palatino Linotype" w:hAnsi="Palatino Linotype"/>
          <w:bCs/>
          <w:i/>
        </w:rPr>
        <w:t>.</w:t>
      </w:r>
    </w:p>
    <w:p w:rsidR="002E2A0D" w:rsidRDefault="002E2A0D">
      <w:pPr>
        <w:spacing w:line="276" w:lineRule="auto"/>
        <w:ind w:left="851" w:right="902" w:hanging="142"/>
        <w:contextualSpacing/>
        <w:jc w:val="both"/>
        <w:rPr>
          <w:rFonts w:ascii="Palatino Linotype" w:hAnsi="Palatino Linotype"/>
          <w:i/>
          <w:iCs/>
          <w:color w:val="222222"/>
          <w:lang w:eastAsia="es-MX"/>
        </w:rPr>
      </w:pPr>
    </w:p>
    <w:p w:rsidR="002E2A0D" w:rsidRDefault="00BF778C">
      <w:pPr>
        <w:spacing w:line="360" w:lineRule="auto"/>
        <w:jc w:val="both"/>
        <w:rPr>
          <w:rFonts w:ascii="Palatino Linotype" w:hAnsi="Palatino Linotype"/>
          <w:color w:val="222222"/>
          <w:highlight w:val="white"/>
        </w:rPr>
      </w:pPr>
      <w:r>
        <w:rPr>
          <w:rFonts w:ascii="Palatino Linotype" w:hAnsi="Palatino Linotype"/>
          <w:b/>
          <w:color w:val="222222"/>
          <w:sz w:val="28"/>
          <w:szCs w:val="28"/>
          <w:shd w:val="clear" w:color="auto" w:fill="FFFFFF"/>
        </w:rPr>
        <w:t>TERCERO.</w:t>
      </w:r>
      <w:r>
        <w:rPr>
          <w:rFonts w:ascii="Palatino Linotype" w:hAnsi="Palatino Linotype"/>
          <w:b/>
          <w:color w:val="222222"/>
          <w:shd w:val="clear" w:color="auto" w:fill="FFFFFF"/>
        </w:rPr>
        <w:t> </w:t>
      </w:r>
      <w:r>
        <w:rPr>
          <w:rFonts w:ascii="Palatino Linotype" w:hAnsi="Palatino Linotype"/>
          <w:b/>
          <w:color w:val="222222"/>
          <w:lang w:eastAsia="es-ES_tradnl"/>
        </w:rPr>
        <w:t>Notifíquese</w:t>
      </w:r>
      <w:r>
        <w:rPr>
          <w:rFonts w:ascii="Palatino Linotype" w:hAnsi="Palatino Linotype"/>
          <w:color w:val="222222"/>
          <w:lang w:eastAsia="es-ES_tradnl"/>
        </w:rPr>
        <w:t xml:space="preserve"> </w:t>
      </w:r>
      <w:r>
        <w:rPr>
          <w:rFonts w:ascii="Palatino Linotype" w:hAnsi="Palatino Linotype"/>
          <w:color w:val="222222"/>
          <w:shd w:val="clear" w:color="auto" w:fill="FFFFFF"/>
        </w:rPr>
        <w:t>al Titular de la Unidad de Transparencia del</w:t>
      </w:r>
      <w:r>
        <w:rPr>
          <w:rFonts w:ascii="Palatino Linotype" w:hAnsi="Palatino Linotype"/>
          <w:b/>
          <w:color w:val="222222"/>
          <w:shd w:val="clear" w:color="auto" w:fill="FFFFFF"/>
        </w:rPr>
        <w:t> SUJETO OBLIGADO</w:t>
      </w:r>
      <w:r>
        <w:rPr>
          <w:rFonts w:ascii="Palatino Linotype" w:hAnsi="Palatino Linotype"/>
          <w:color w:val="222222"/>
          <w:shd w:val="clear" w:color="auto" w:fill="FFFFFF"/>
        </w:rPr>
        <w:t xml:space="preserve">, para que conforme a los artículos 186, último párrafo y 189, párrafo segundo de la Ley de </w:t>
      </w:r>
      <w:r>
        <w:rPr>
          <w:rFonts w:ascii="Palatino Linotype" w:hAnsi="Palatino Linotype" w:cs="Arial"/>
        </w:rPr>
        <w:t>Transparencia</w:t>
      </w:r>
      <w:r>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Pr>
          <w:rFonts w:ascii="Palatino Linotype" w:hAnsi="Palatino Linotype"/>
          <w:color w:val="222222"/>
          <w:lang w:eastAsia="es-ES_tradnl"/>
        </w:rPr>
        <w:t>de</w:t>
      </w:r>
      <w:r>
        <w:rPr>
          <w:rFonts w:ascii="Palatino Linotype" w:hAnsi="Palatino Linotype"/>
          <w:color w:val="222222"/>
          <w:shd w:val="clear" w:color="auto" w:fill="FFFFFF"/>
        </w:rPr>
        <w:t xml:space="preserve"> tres días hábiles siguientes sobre el cumplimiento dado a la presente resolución.</w:t>
      </w:r>
    </w:p>
    <w:p w:rsidR="002E2A0D" w:rsidRDefault="002E2A0D">
      <w:pPr>
        <w:spacing w:line="360" w:lineRule="auto"/>
        <w:jc w:val="both"/>
        <w:rPr>
          <w:rFonts w:ascii="Palatino Linotype" w:hAnsi="Palatino Linotype"/>
          <w:b/>
          <w:color w:val="222222"/>
          <w:highlight w:val="white"/>
        </w:rPr>
      </w:pPr>
    </w:p>
    <w:p w:rsidR="002E2A0D" w:rsidRDefault="00BF778C">
      <w:pPr>
        <w:spacing w:line="360" w:lineRule="auto"/>
        <w:ind w:right="49"/>
        <w:jc w:val="both"/>
        <w:rPr>
          <w:rFonts w:ascii="Palatino Linotype" w:hAnsi="Palatino Linotype"/>
          <w:color w:val="222222"/>
          <w:lang w:eastAsia="es-ES_tradnl"/>
        </w:rPr>
      </w:pPr>
      <w:r>
        <w:rPr>
          <w:rFonts w:ascii="Palatino Linotype" w:hAnsi="Palatino Linotype" w:cs="Arial"/>
          <w:b/>
          <w:bCs/>
          <w:color w:val="222222"/>
          <w:sz w:val="28"/>
          <w:lang w:eastAsia="es-MX"/>
        </w:rPr>
        <w:t xml:space="preserve">CUARTO. </w:t>
      </w:r>
      <w:r>
        <w:rPr>
          <w:rFonts w:ascii="Palatino Linotype" w:hAnsi="Palatino Linotype"/>
          <w:b/>
          <w:color w:val="222222"/>
          <w:lang w:eastAsia="es-ES_tradnl"/>
        </w:rPr>
        <w:t>Notifíquese</w:t>
      </w:r>
      <w:r>
        <w:rPr>
          <w:rFonts w:ascii="Palatino Linotype" w:hAnsi="Palatino Linotype"/>
          <w:color w:val="222222"/>
          <w:lang w:eastAsia="es-ES_tradnl"/>
        </w:rPr>
        <w:t xml:space="preserve"> al </w:t>
      </w:r>
      <w:r>
        <w:rPr>
          <w:rFonts w:ascii="Palatino Linotype" w:hAnsi="Palatino Linotype"/>
          <w:b/>
          <w:color w:val="222222"/>
          <w:lang w:eastAsia="es-ES_tradnl"/>
        </w:rPr>
        <w:t>RECURRENTE</w:t>
      </w:r>
      <w:r>
        <w:rPr>
          <w:rFonts w:ascii="Palatino Linotype" w:hAnsi="Palatino Linotype"/>
          <w:color w:val="222222"/>
          <w:lang w:eastAsia="es-ES_tradnl"/>
        </w:rPr>
        <w:t xml:space="preserve"> la </w:t>
      </w:r>
      <w:r>
        <w:rPr>
          <w:rFonts w:ascii="Palatino Linotype" w:hAnsi="Palatino Linotype" w:cs="Arial"/>
        </w:rPr>
        <w:t>presente</w:t>
      </w:r>
      <w:r>
        <w:rPr>
          <w:rFonts w:ascii="Palatino Linotype" w:hAnsi="Palatino Linotype"/>
          <w:color w:val="222222"/>
          <w:lang w:eastAsia="es-ES_tradnl"/>
        </w:rPr>
        <w:t xml:space="preserve"> resolución. </w:t>
      </w:r>
    </w:p>
    <w:p w:rsidR="002E2A0D" w:rsidRDefault="002E2A0D">
      <w:pPr>
        <w:spacing w:line="360" w:lineRule="auto"/>
        <w:ind w:right="49"/>
        <w:jc w:val="both"/>
        <w:rPr>
          <w:rFonts w:ascii="Palatino Linotype" w:hAnsi="Palatino Linotype"/>
          <w:color w:val="222222"/>
          <w:sz w:val="12"/>
          <w:lang w:eastAsia="es-ES_tradnl"/>
        </w:rPr>
      </w:pPr>
    </w:p>
    <w:p w:rsidR="002E2A0D" w:rsidRDefault="00BF778C">
      <w:pPr>
        <w:spacing w:line="360" w:lineRule="auto"/>
        <w:ind w:right="49"/>
        <w:jc w:val="both"/>
        <w:rPr>
          <w:rFonts w:ascii="Palatino Linotype" w:hAnsi="Palatino Linotype"/>
          <w:color w:val="222222"/>
          <w:lang w:eastAsia="es-ES_tradnl"/>
        </w:rPr>
      </w:pPr>
      <w:r>
        <w:rPr>
          <w:rFonts w:ascii="Palatino Linotype" w:hAnsi="Palatino Linotype" w:cs="Arial"/>
          <w:b/>
          <w:bCs/>
          <w:color w:val="222222"/>
          <w:sz w:val="28"/>
          <w:lang w:eastAsia="es-MX"/>
        </w:rPr>
        <w:t>QUINTO.</w:t>
      </w:r>
      <w:r>
        <w:rPr>
          <w:rFonts w:ascii="Palatino Linotype" w:hAnsi="Palatino Linotype"/>
          <w:color w:val="222222"/>
          <w:szCs w:val="17"/>
          <w:lang w:eastAsia="es-ES_tradnl"/>
        </w:rPr>
        <w:t xml:space="preserve"> </w:t>
      </w:r>
      <w:r>
        <w:rPr>
          <w:rFonts w:ascii="Palatino Linotype" w:hAnsi="Palatino Linotype"/>
          <w:lang w:eastAsia="es-ES_tradnl"/>
        </w:rPr>
        <w:t xml:space="preserve">Con fundamento en el artículo 198 de la Ley de Transparencia y Acceso a la Información Pública del Estado de México y Municipios, se apercibe al </w:t>
      </w:r>
      <w:r>
        <w:rPr>
          <w:rFonts w:ascii="Palatino Linotype" w:hAnsi="Palatino Linotype"/>
          <w:b/>
          <w:lang w:eastAsia="es-ES_tradnl"/>
        </w:rPr>
        <w:t>SUJETO OBLIGADO</w:t>
      </w:r>
      <w:r>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rsidR="002E2A0D" w:rsidRDefault="00BF778C">
      <w:pPr>
        <w:widowControl w:val="0"/>
        <w:spacing w:before="120" w:after="160" w:line="360" w:lineRule="auto"/>
        <w:jc w:val="both"/>
        <w:rPr>
          <w:rFonts w:ascii="Palatino Linotype" w:hAnsi="Palatino Linotype"/>
          <w:color w:val="222222"/>
          <w:lang w:eastAsia="es-ES_tradnl"/>
        </w:rPr>
      </w:pPr>
      <w:r>
        <w:rPr>
          <w:rFonts w:ascii="Palatino Linotype" w:hAnsi="Palatino Linotype"/>
          <w:b/>
          <w:sz w:val="28"/>
          <w:szCs w:val="28"/>
        </w:rPr>
        <w:t>SEXTO.</w:t>
      </w:r>
      <w:r>
        <w:rPr>
          <w:rFonts w:ascii="Palatino Linotype" w:hAnsi="Palatino Linotype"/>
          <w:b/>
          <w:szCs w:val="25"/>
        </w:rPr>
        <w:t xml:space="preserve"> </w:t>
      </w:r>
      <w:r>
        <w:rPr>
          <w:rFonts w:ascii="Palatino Linotype" w:hAnsi="Palatino Linotype"/>
          <w:b/>
          <w:color w:val="222222"/>
          <w:lang w:eastAsia="es-ES_tradnl"/>
        </w:rPr>
        <w:t>Hágase del conocimiento</w:t>
      </w:r>
      <w:r>
        <w:rPr>
          <w:rFonts w:ascii="Palatino Linotype" w:hAnsi="Palatino Linotype"/>
          <w:color w:val="222222"/>
          <w:lang w:eastAsia="es-ES_tradnl"/>
        </w:rPr>
        <w:t xml:space="preserve"> al </w:t>
      </w:r>
      <w:r>
        <w:rPr>
          <w:rFonts w:ascii="Palatino Linotype" w:hAnsi="Palatino Linotype"/>
          <w:b/>
          <w:color w:val="222222"/>
          <w:lang w:eastAsia="es-ES_tradnl"/>
        </w:rPr>
        <w:t>RECURRENTE</w:t>
      </w:r>
      <w:r>
        <w:rPr>
          <w:rFonts w:ascii="Palatino Linotype" w:hAnsi="Palatino Linotype"/>
          <w:color w:val="222222"/>
          <w:lang w:eastAsia="es-ES_tradnl"/>
        </w:rPr>
        <w:t xml:space="preserve"> que, de conformidad con lo establecido en el artículo 196 de la </w:t>
      </w:r>
      <w:r>
        <w:rPr>
          <w:rFonts w:ascii="Palatino Linotype" w:hAnsi="Palatino Linotype" w:cs="Arial"/>
        </w:rPr>
        <w:t>Ley</w:t>
      </w:r>
      <w:r>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2E2A0D" w:rsidRDefault="00BF778C">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EMITIENDO VOTO PARTICULAR, </w:t>
      </w:r>
      <w:r>
        <w:rPr>
          <w:rFonts w:ascii="Palatino Linotype" w:hAnsi="Palatino Linotype" w:cs="Arial"/>
          <w:color w:val="000000" w:themeColor="text1"/>
        </w:rPr>
        <w:t>JAVIER MARTÍNEZ CRUZ y LUIS GUSTAVO PARRA NORIEGA EMITIENDO VOTO PARTICULAR; EN LA DÉCIMA TERCERA SESIÓN ORDINARIA CELEBRADA EL DOCE DE AGOSTO DE DOS MIL VEINTE, ANTE EL SECRETARIO TÉCNICO DEL PLENO ALEXIS TAPIA RAMÍREZ.</w:t>
      </w:r>
    </w:p>
    <w:tbl>
      <w:tblPr>
        <w:tblW w:w="10368" w:type="dxa"/>
        <w:jc w:val="center"/>
        <w:tblLook w:val="04A0" w:firstRow="1" w:lastRow="0" w:firstColumn="1" w:lastColumn="0" w:noHBand="0" w:noVBand="1"/>
      </w:tblPr>
      <w:tblGrid>
        <w:gridCol w:w="5187"/>
        <w:gridCol w:w="5181"/>
      </w:tblGrid>
      <w:tr w:rsidR="002E2A0D">
        <w:trPr>
          <w:jc w:val="center"/>
        </w:trPr>
        <w:tc>
          <w:tcPr>
            <w:tcW w:w="10367" w:type="dxa"/>
            <w:gridSpan w:val="2"/>
          </w:tcPr>
          <w:p w:rsidR="002E2A0D" w:rsidRDefault="002E2A0D">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2E2A0D" w:rsidRDefault="00BF778C">
            <w:pPr>
              <w:jc w:val="center"/>
              <w:rPr>
                <w:rFonts w:ascii="Palatino Linotype" w:hAnsi="Palatino Linotype" w:cs="Arial"/>
                <w:b/>
                <w:lang w:val="es-ES_tradnl"/>
              </w:rPr>
            </w:pPr>
            <w:r>
              <w:rPr>
                <w:rFonts w:ascii="Palatino Linotype" w:hAnsi="Palatino Linotype" w:cs="Arial"/>
                <w:b/>
                <w:lang w:val="es-ES_tradnl"/>
              </w:rPr>
              <w:t>Zulema Martínez Sánchez</w:t>
            </w:r>
          </w:p>
          <w:p w:rsidR="002E2A0D" w:rsidRDefault="00BF778C">
            <w:pPr>
              <w:jc w:val="center"/>
              <w:rPr>
                <w:rFonts w:ascii="Palatino Linotype" w:hAnsi="Palatino Linotype" w:cs="Arial"/>
                <w:b/>
                <w:lang w:val="es-ES_tradnl"/>
              </w:rPr>
            </w:pPr>
            <w:r>
              <w:rPr>
                <w:rFonts w:ascii="Palatino Linotype" w:hAnsi="Palatino Linotype" w:cs="Arial"/>
                <w:lang w:val="es-ES_tradnl"/>
              </w:rPr>
              <w:t>Comisionada Presidenta</w:t>
            </w:r>
          </w:p>
          <w:p w:rsidR="002E2A0D" w:rsidRDefault="00BF778C">
            <w:pPr>
              <w:jc w:val="center"/>
              <w:rPr>
                <w:rFonts w:ascii="Palatino Linotype" w:hAnsi="Palatino Linotype" w:cs="Arial"/>
                <w:b/>
                <w:lang w:val="es-ES_tradnl"/>
              </w:rPr>
            </w:pPr>
            <w:r>
              <w:rPr>
                <w:rFonts w:ascii="Palatino Linotype" w:hAnsi="Palatino Linotype" w:cs="Arial"/>
                <w:b/>
                <w:lang w:val="es-ES_tradnl"/>
              </w:rPr>
              <w:t>(RÚBRICA)</w:t>
            </w:r>
          </w:p>
        </w:tc>
      </w:tr>
      <w:tr w:rsidR="002E2A0D">
        <w:trPr>
          <w:jc w:val="center"/>
        </w:trPr>
        <w:tc>
          <w:tcPr>
            <w:tcW w:w="5186" w:type="dxa"/>
          </w:tcPr>
          <w:p w:rsidR="002E2A0D" w:rsidRDefault="002E2A0D">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2E2A0D" w:rsidRDefault="00BF778C">
            <w:pPr>
              <w:jc w:val="center"/>
              <w:rPr>
                <w:rFonts w:ascii="Palatino Linotype" w:hAnsi="Palatino Linotype" w:cs="Arial"/>
                <w:b/>
                <w:lang w:val="es-ES_tradnl"/>
              </w:rPr>
            </w:pPr>
            <w:r>
              <w:rPr>
                <w:rFonts w:ascii="Palatino Linotype" w:hAnsi="Palatino Linotype" w:cs="Arial"/>
                <w:b/>
                <w:lang w:val="es-ES_tradnl"/>
              </w:rPr>
              <w:t>Eva Abaid Yapur</w:t>
            </w:r>
          </w:p>
          <w:p w:rsidR="002E2A0D" w:rsidRDefault="00BF778C">
            <w:pPr>
              <w:jc w:val="center"/>
              <w:rPr>
                <w:rFonts w:ascii="Palatino Linotype" w:hAnsi="Palatino Linotype" w:cs="Arial"/>
                <w:lang w:val="es-ES_tradnl"/>
              </w:rPr>
            </w:pPr>
            <w:r>
              <w:rPr>
                <w:rFonts w:ascii="Palatino Linotype" w:hAnsi="Palatino Linotype" w:cs="Arial"/>
                <w:lang w:val="es-ES_tradnl"/>
              </w:rPr>
              <w:t>Comisionada</w:t>
            </w:r>
          </w:p>
          <w:p w:rsidR="002E2A0D" w:rsidRDefault="00BF778C">
            <w:pPr>
              <w:jc w:val="center"/>
              <w:rPr>
                <w:rFonts w:ascii="Palatino Linotype" w:hAnsi="Palatino Linotype" w:cs="Arial"/>
                <w:b/>
                <w:lang w:val="es-ES_tradnl"/>
              </w:rPr>
            </w:pPr>
            <w:r>
              <w:rPr>
                <w:rFonts w:ascii="Palatino Linotype" w:hAnsi="Palatino Linotype" w:cs="Arial"/>
                <w:b/>
                <w:lang w:val="es-ES_tradnl"/>
              </w:rPr>
              <w:t>(RÚBRICA)</w:t>
            </w:r>
          </w:p>
        </w:tc>
        <w:tc>
          <w:tcPr>
            <w:tcW w:w="5181" w:type="dxa"/>
          </w:tcPr>
          <w:p w:rsidR="002E2A0D" w:rsidRDefault="002E2A0D">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2E2A0D" w:rsidRDefault="00BF778C">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2E2A0D" w:rsidRDefault="00BF778C">
            <w:pPr>
              <w:jc w:val="center"/>
              <w:rPr>
                <w:rFonts w:ascii="Palatino Linotype" w:hAnsi="Palatino Linotype" w:cs="Arial"/>
                <w:lang w:val="es-ES_tradnl"/>
              </w:rPr>
            </w:pPr>
            <w:r>
              <w:rPr>
                <w:rFonts w:ascii="Palatino Linotype" w:hAnsi="Palatino Linotype" w:cs="Arial"/>
                <w:lang w:val="es-ES_tradnl"/>
              </w:rPr>
              <w:t>Comisionado</w:t>
            </w:r>
          </w:p>
          <w:p w:rsidR="002E2A0D" w:rsidRDefault="00BF778C">
            <w:pPr>
              <w:jc w:val="center"/>
              <w:rPr>
                <w:rFonts w:ascii="Palatino Linotype" w:hAnsi="Palatino Linotype" w:cs="Arial"/>
                <w:b/>
                <w:lang w:val="es-ES_tradnl"/>
              </w:rPr>
            </w:pPr>
            <w:r>
              <w:rPr>
                <w:rFonts w:ascii="Palatino Linotype" w:hAnsi="Palatino Linotype" w:cs="Arial"/>
                <w:b/>
                <w:lang w:val="es-ES_tradnl"/>
              </w:rPr>
              <w:t>(RÚBRICA)</w:t>
            </w:r>
          </w:p>
        </w:tc>
      </w:tr>
      <w:tr w:rsidR="002E2A0D">
        <w:trPr>
          <w:jc w:val="center"/>
        </w:trPr>
        <w:tc>
          <w:tcPr>
            <w:tcW w:w="5186" w:type="dxa"/>
          </w:tcPr>
          <w:p w:rsidR="002E2A0D" w:rsidRDefault="002E2A0D">
            <w:pPr>
              <w:jc w:val="center"/>
              <w:rPr>
                <w:rFonts w:ascii="Palatino Linotype" w:hAnsi="Palatino Linotype" w:cs="Arial"/>
                <w:b/>
                <w:lang w:val="es-ES_tradnl"/>
              </w:rPr>
            </w:pPr>
          </w:p>
          <w:p w:rsidR="002E2A0D" w:rsidRDefault="002E2A0D">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2E2A0D" w:rsidRDefault="00BF778C">
            <w:pPr>
              <w:jc w:val="center"/>
              <w:rPr>
                <w:rFonts w:ascii="Palatino Linotype" w:hAnsi="Palatino Linotype" w:cs="Arial"/>
                <w:b/>
                <w:lang w:val="es-ES_tradnl"/>
              </w:rPr>
            </w:pPr>
            <w:r>
              <w:rPr>
                <w:rFonts w:ascii="Palatino Linotype" w:hAnsi="Palatino Linotype" w:cs="Arial"/>
                <w:b/>
                <w:lang w:val="es-ES_tradnl"/>
              </w:rPr>
              <w:t>Javier Martínez Cruz</w:t>
            </w:r>
          </w:p>
          <w:p w:rsidR="002E2A0D" w:rsidRDefault="00BF778C">
            <w:pPr>
              <w:jc w:val="center"/>
              <w:rPr>
                <w:rFonts w:ascii="Palatino Linotype" w:hAnsi="Palatino Linotype" w:cs="Arial"/>
                <w:lang w:val="es-ES_tradnl"/>
              </w:rPr>
            </w:pPr>
            <w:r>
              <w:rPr>
                <w:rFonts w:ascii="Palatino Linotype" w:hAnsi="Palatino Linotype" w:cs="Arial"/>
                <w:lang w:val="es-ES_tradnl"/>
              </w:rPr>
              <w:t>Comisionado</w:t>
            </w:r>
          </w:p>
          <w:p w:rsidR="002E2A0D" w:rsidRDefault="00BF778C">
            <w:pPr>
              <w:jc w:val="center"/>
              <w:rPr>
                <w:rFonts w:ascii="Palatino Linotype" w:hAnsi="Palatino Linotype" w:cs="Arial"/>
                <w:b/>
                <w:lang w:val="es-ES_tradnl"/>
              </w:rPr>
            </w:pPr>
            <w:r>
              <w:rPr>
                <w:rFonts w:ascii="Palatino Linotype" w:hAnsi="Palatino Linotype" w:cs="Arial"/>
                <w:b/>
                <w:lang w:val="es-ES_tradnl"/>
              </w:rPr>
              <w:t>(RÚBRICA)</w:t>
            </w:r>
          </w:p>
        </w:tc>
        <w:tc>
          <w:tcPr>
            <w:tcW w:w="5181" w:type="dxa"/>
          </w:tcPr>
          <w:p w:rsidR="002E2A0D" w:rsidRDefault="002E2A0D">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2E2A0D" w:rsidRDefault="002E2A0D">
            <w:pPr>
              <w:jc w:val="center"/>
              <w:rPr>
                <w:rFonts w:ascii="Palatino Linotype" w:hAnsi="Palatino Linotype" w:cs="Arial"/>
                <w:b/>
                <w:lang w:val="es-ES_tradnl"/>
              </w:rPr>
            </w:pPr>
          </w:p>
          <w:p w:rsidR="002E2A0D" w:rsidRDefault="00BF778C">
            <w:pPr>
              <w:jc w:val="center"/>
              <w:rPr>
                <w:rFonts w:ascii="Palatino Linotype" w:hAnsi="Palatino Linotype" w:cs="Arial"/>
                <w:b/>
                <w:lang w:val="es-ES_tradnl"/>
              </w:rPr>
            </w:pPr>
            <w:r>
              <w:rPr>
                <w:rFonts w:ascii="Palatino Linotype" w:hAnsi="Palatino Linotype" w:cs="Arial"/>
                <w:b/>
                <w:lang w:val="es-ES_tradnl"/>
              </w:rPr>
              <w:t>Luis Gustavo Parra Noriega</w:t>
            </w:r>
          </w:p>
          <w:p w:rsidR="002E2A0D" w:rsidRDefault="00BF778C">
            <w:pPr>
              <w:jc w:val="center"/>
              <w:rPr>
                <w:rFonts w:ascii="Palatino Linotype" w:hAnsi="Palatino Linotype" w:cs="Arial"/>
                <w:lang w:val="es-ES_tradnl"/>
              </w:rPr>
            </w:pPr>
            <w:r>
              <w:rPr>
                <w:rFonts w:ascii="Palatino Linotype" w:hAnsi="Palatino Linotype" w:cs="Arial"/>
                <w:lang w:val="es-ES_tradnl"/>
              </w:rPr>
              <w:t>Comisionado</w:t>
            </w:r>
          </w:p>
          <w:p w:rsidR="002E2A0D" w:rsidRDefault="00BF778C">
            <w:pPr>
              <w:jc w:val="center"/>
              <w:rPr>
                <w:rFonts w:ascii="Palatino Linotype" w:hAnsi="Palatino Linotype" w:cs="Arial"/>
                <w:b/>
                <w:lang w:val="es-ES_tradnl"/>
              </w:rPr>
            </w:pPr>
            <w:r>
              <w:rPr>
                <w:rFonts w:ascii="Palatino Linotype" w:hAnsi="Palatino Linotype" w:cs="Arial"/>
                <w:b/>
                <w:lang w:val="es-ES_tradnl"/>
              </w:rPr>
              <w:t>(RÚBRICA)</w:t>
            </w:r>
          </w:p>
        </w:tc>
      </w:tr>
      <w:tr w:rsidR="002E2A0D">
        <w:trPr>
          <w:jc w:val="center"/>
        </w:trPr>
        <w:tc>
          <w:tcPr>
            <w:tcW w:w="10367" w:type="dxa"/>
            <w:gridSpan w:val="2"/>
          </w:tcPr>
          <w:p w:rsidR="002E2A0D" w:rsidRDefault="002E2A0D">
            <w:pPr>
              <w:jc w:val="center"/>
              <w:rPr>
                <w:rFonts w:ascii="Palatino Linotype" w:hAnsi="Palatino Linotype" w:cs="Arial"/>
                <w:b/>
                <w:lang w:val="es-ES_tradnl"/>
              </w:rPr>
            </w:pPr>
          </w:p>
          <w:p w:rsidR="002E2A0D" w:rsidRDefault="002E2A0D">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B6235F" w:rsidRDefault="00B6235F">
            <w:pPr>
              <w:jc w:val="center"/>
              <w:rPr>
                <w:rFonts w:ascii="Palatino Linotype" w:hAnsi="Palatino Linotype" w:cs="Arial"/>
                <w:b/>
                <w:lang w:val="es-ES_tradnl"/>
              </w:rPr>
            </w:pPr>
          </w:p>
          <w:p w:rsidR="002E2A0D" w:rsidRDefault="00BF778C">
            <w:pPr>
              <w:jc w:val="center"/>
              <w:rPr>
                <w:rFonts w:ascii="Palatino Linotype" w:hAnsi="Palatino Linotype" w:cs="Arial"/>
                <w:b/>
                <w:lang w:val="es-ES_tradnl"/>
              </w:rPr>
            </w:pPr>
            <w:r>
              <w:rPr>
                <w:rFonts w:ascii="Palatino Linotype" w:hAnsi="Palatino Linotype" w:cs="Arial"/>
                <w:b/>
                <w:lang w:val="es-ES_tradnl"/>
              </w:rPr>
              <w:t>Alexis Tapia Ramírez</w:t>
            </w:r>
          </w:p>
          <w:p w:rsidR="002E2A0D" w:rsidRDefault="00BF778C">
            <w:pPr>
              <w:jc w:val="center"/>
              <w:rPr>
                <w:rFonts w:ascii="Palatino Linotype" w:hAnsi="Palatino Linotype" w:cs="Arial"/>
                <w:lang w:val="es-ES_tradnl"/>
              </w:rPr>
            </w:pPr>
            <w:r>
              <w:rPr>
                <w:rFonts w:ascii="Palatino Linotype" w:hAnsi="Palatino Linotype" w:cs="Arial"/>
                <w:lang w:val="es-ES_tradnl"/>
              </w:rPr>
              <w:t>Secretario Técnico del Pleno</w:t>
            </w:r>
          </w:p>
          <w:p w:rsidR="002E2A0D" w:rsidRDefault="00BF778C">
            <w:pPr>
              <w:jc w:val="center"/>
              <w:rPr>
                <w:rFonts w:ascii="Palatino Linotype" w:hAnsi="Palatino Linotype" w:cs="Arial"/>
                <w:lang w:val="es-ES_tradnl"/>
              </w:rPr>
            </w:pPr>
            <w:r>
              <w:rPr>
                <w:rFonts w:ascii="Palatino Linotype" w:hAnsi="Palatino Linotype" w:cs="Arial"/>
                <w:b/>
                <w:lang w:val="es-ES_tradnl"/>
              </w:rPr>
              <w:t>(RÚBRICA)</w:t>
            </w:r>
          </w:p>
        </w:tc>
      </w:tr>
    </w:tbl>
    <w:p w:rsidR="00B6235F" w:rsidRDefault="00B6235F">
      <w:pPr>
        <w:ind w:right="49"/>
        <w:jc w:val="both"/>
        <w:rPr>
          <w:rFonts w:ascii="Palatino Linotype" w:hAnsi="Palatino Linotype"/>
          <w:sz w:val="20"/>
          <w:lang w:val="es-ES_tradnl"/>
        </w:rPr>
      </w:pPr>
    </w:p>
    <w:p w:rsidR="002E2A0D" w:rsidRDefault="00BF778C">
      <w:pPr>
        <w:ind w:right="49"/>
        <w:jc w:val="both"/>
        <w:rPr>
          <w:rFonts w:ascii="Palatino Linotype" w:hAnsi="Palatino Linotype"/>
          <w:sz w:val="20"/>
          <w:lang w:val="es-ES_tradnl"/>
        </w:rPr>
      </w:pPr>
      <w:r>
        <w:rPr>
          <w:rFonts w:ascii="Palatino Linotype" w:hAnsi="Palatino Linotype"/>
          <w:sz w:val="20"/>
          <w:lang w:val="es-ES_tradnl"/>
        </w:rPr>
        <w:t>Esta hoja corresponde a la resolución del doce de agosto de dos mil veinte, emitida en los recursos de revisión 00977/INFOEM/IP/RR/2020.</w:t>
      </w:r>
    </w:p>
    <w:p w:rsidR="002E2A0D" w:rsidRDefault="00BF778C">
      <w:pPr>
        <w:spacing w:line="360" w:lineRule="auto"/>
        <w:ind w:right="49"/>
        <w:jc w:val="both"/>
        <w:rPr>
          <w:rFonts w:ascii="Palatino Linotype" w:hAnsi="Palatino Linotype" w:cs="Arial"/>
        </w:rPr>
      </w:pPr>
      <w:r>
        <w:rPr>
          <w:rFonts w:ascii="Palatino Linotype" w:hAnsi="Palatino Linotype"/>
          <w:sz w:val="20"/>
          <w:szCs w:val="20"/>
          <w:lang w:val="es-ES_tradnl"/>
        </w:rPr>
        <w:t>YSM/LAGO</w:t>
      </w:r>
    </w:p>
    <w:sectPr w:rsidR="002E2A0D">
      <w:headerReference w:type="default" r:id="rId18"/>
      <w:footerReference w:type="default" r:id="rId19"/>
      <w:headerReference w:type="first" r:id="rId20"/>
      <w:footerReference w:type="first" r:id="rId21"/>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78C" w:rsidRDefault="00BF778C">
      <w:r>
        <w:separator/>
      </w:r>
    </w:p>
  </w:endnote>
  <w:endnote w:type="continuationSeparator" w:id="0">
    <w:p w:rsidR="00BF778C" w:rsidRDefault="00BF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A0D" w:rsidRDefault="00BF778C">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320C1">
      <w:rPr>
        <w:rFonts w:ascii="Palatino Linotype" w:hAnsi="Palatino Linotype" w:cs="Arial"/>
        <w:bCs/>
        <w:noProof/>
        <w:sz w:val="22"/>
        <w:szCs w:val="22"/>
      </w:rPr>
      <w:t>38</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320C1">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A0D" w:rsidRDefault="00BF778C">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320C1">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320C1">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78C" w:rsidRDefault="00BF778C">
      <w:r>
        <w:separator/>
      </w:r>
    </w:p>
  </w:footnote>
  <w:footnote w:type="continuationSeparator" w:id="0">
    <w:p w:rsidR="00BF778C" w:rsidRDefault="00BF7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A0D" w:rsidRDefault="00BF778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46" behindDoc="1" locked="0" layoutInCell="1" allowOverlap="1">
          <wp:simplePos x="0" y="0"/>
          <wp:positionH relativeFrom="column">
            <wp:align>center</wp:align>
          </wp:positionH>
          <wp:positionV relativeFrom="margin">
            <wp:align>center</wp:align>
          </wp:positionV>
          <wp:extent cx="6858635" cy="9144635"/>
          <wp:effectExtent l="0" t="0" r="0" b="0"/>
          <wp:wrapNone/>
          <wp:docPr id="17"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8"/>
      <w:gridCol w:w="2552"/>
      <w:gridCol w:w="3724"/>
    </w:tblGrid>
    <w:tr w:rsidR="002E2A0D">
      <w:tc>
        <w:tcPr>
          <w:tcW w:w="3258" w:type="dxa"/>
          <w:vMerge w:val="restart"/>
        </w:tcPr>
        <w:p w:rsidR="002E2A0D" w:rsidRDefault="00BF778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2E2A0D" w:rsidRDefault="00BF778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2E2A0D" w:rsidRDefault="00BF778C">
          <w:pPr>
            <w:rPr>
              <w:rFonts w:ascii="Palatino Linotype" w:hAnsi="Palatino Linotype"/>
              <w:b/>
              <w:lang w:val="es-ES_tradnl"/>
            </w:rPr>
          </w:pPr>
          <w:r>
            <w:rPr>
              <w:rFonts w:ascii="Palatino Linotype" w:hAnsi="Palatino Linotype"/>
              <w:b/>
              <w:lang w:val="es-ES_tradnl"/>
            </w:rPr>
            <w:t>00977/INFOEM/IP/RR/2020.</w:t>
          </w:r>
        </w:p>
      </w:tc>
    </w:tr>
    <w:tr w:rsidR="002E2A0D">
      <w:tc>
        <w:tcPr>
          <w:tcW w:w="3258" w:type="dxa"/>
          <w:vMerge/>
        </w:tcPr>
        <w:p w:rsidR="002E2A0D" w:rsidRDefault="002E2A0D">
          <w:pPr>
            <w:rPr>
              <w:rFonts w:ascii="Palatino Linotype" w:hAnsi="Palatino Linotype"/>
              <w:b/>
              <w:sz w:val="22"/>
              <w:szCs w:val="22"/>
              <w:lang w:val="es-ES_tradnl"/>
            </w:rPr>
          </w:pPr>
        </w:p>
      </w:tc>
      <w:tc>
        <w:tcPr>
          <w:tcW w:w="2552" w:type="dxa"/>
          <w:shd w:val="clear" w:color="auto" w:fill="auto"/>
        </w:tcPr>
        <w:p w:rsidR="002E2A0D" w:rsidRDefault="00BF778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2E2A0D" w:rsidRDefault="00BF778C">
          <w:pPr>
            <w:rPr>
              <w:rFonts w:ascii="Palatino Linotype" w:hAnsi="Palatino Linotype"/>
              <w:b/>
              <w:lang w:val="es-ES_tradnl"/>
            </w:rPr>
          </w:pPr>
          <w:r>
            <w:rPr>
              <w:rFonts w:ascii="Palatino Linotype" w:hAnsi="Palatino Linotype"/>
              <w:b/>
              <w:lang w:val="es-ES_tradnl"/>
            </w:rPr>
            <w:t>Ayuntamiento de Ecatepec de Morelos</w:t>
          </w:r>
        </w:p>
      </w:tc>
    </w:tr>
    <w:tr w:rsidR="002E2A0D">
      <w:trPr>
        <w:trHeight w:val="228"/>
      </w:trPr>
      <w:tc>
        <w:tcPr>
          <w:tcW w:w="3258" w:type="dxa"/>
          <w:vMerge/>
        </w:tcPr>
        <w:p w:rsidR="002E2A0D" w:rsidRDefault="002E2A0D">
          <w:pPr>
            <w:rPr>
              <w:rFonts w:ascii="Palatino Linotype" w:hAnsi="Palatino Linotype"/>
              <w:b/>
              <w:sz w:val="22"/>
              <w:szCs w:val="22"/>
              <w:lang w:val="es-ES_tradnl"/>
            </w:rPr>
          </w:pPr>
        </w:p>
      </w:tc>
      <w:tc>
        <w:tcPr>
          <w:tcW w:w="2552" w:type="dxa"/>
          <w:shd w:val="clear" w:color="auto" w:fill="auto"/>
        </w:tcPr>
        <w:p w:rsidR="002E2A0D" w:rsidRDefault="00BF778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2E2A0D" w:rsidRDefault="00BF778C">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2E2A0D" w:rsidRDefault="002E2A0D">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A0D" w:rsidRDefault="00BF778C">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9"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1"/>
      <w:gridCol w:w="3688"/>
    </w:tblGrid>
    <w:tr w:rsidR="002E2A0D">
      <w:tc>
        <w:tcPr>
          <w:tcW w:w="4251" w:type="dxa"/>
          <w:vMerge w:val="restart"/>
          <w:shd w:val="clear" w:color="auto" w:fill="auto"/>
        </w:tcPr>
        <w:p w:rsidR="002E2A0D" w:rsidRDefault="00BF778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2E2A0D" w:rsidRDefault="00BF778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8" w:type="dxa"/>
          <w:shd w:val="clear" w:color="auto" w:fill="auto"/>
          <w:vAlign w:val="center"/>
        </w:tcPr>
        <w:p w:rsidR="002E2A0D" w:rsidRDefault="00BF778C">
          <w:pPr>
            <w:rPr>
              <w:rFonts w:ascii="Palatino Linotype" w:hAnsi="Palatino Linotype"/>
              <w:b/>
              <w:color w:val="000000" w:themeColor="text1"/>
              <w:lang w:val="es-ES_tradnl"/>
            </w:rPr>
          </w:pPr>
          <w:r>
            <w:rPr>
              <w:rFonts w:ascii="Palatino Linotype" w:hAnsi="Palatino Linotype"/>
              <w:b/>
              <w:color w:val="000000" w:themeColor="text1"/>
              <w:lang w:val="es-ES_tradnl"/>
            </w:rPr>
            <w:t xml:space="preserve">00977/INFOEM/IP/RR/2020 </w:t>
          </w:r>
        </w:p>
      </w:tc>
    </w:tr>
    <w:tr w:rsidR="002E2A0D">
      <w:tc>
        <w:tcPr>
          <w:tcW w:w="4251" w:type="dxa"/>
          <w:vMerge/>
          <w:shd w:val="clear" w:color="auto" w:fill="auto"/>
        </w:tcPr>
        <w:p w:rsidR="002E2A0D" w:rsidRDefault="002E2A0D">
          <w:pPr>
            <w:rPr>
              <w:rFonts w:ascii="Palatino Linotype" w:hAnsi="Palatino Linotype"/>
              <w:b/>
              <w:sz w:val="22"/>
              <w:szCs w:val="22"/>
              <w:lang w:val="es-ES_tradnl"/>
            </w:rPr>
          </w:pPr>
        </w:p>
      </w:tc>
      <w:tc>
        <w:tcPr>
          <w:tcW w:w="2551" w:type="dxa"/>
          <w:shd w:val="clear" w:color="auto" w:fill="auto"/>
        </w:tcPr>
        <w:p w:rsidR="002E2A0D" w:rsidRDefault="00BF778C">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8" w:type="dxa"/>
          <w:shd w:val="clear" w:color="auto" w:fill="auto"/>
          <w:vAlign w:val="center"/>
        </w:tcPr>
        <w:p w:rsidR="002E2A0D" w:rsidRDefault="008320C1" w:rsidP="008320C1">
          <w:pPr>
            <w:rPr>
              <w:rFonts w:ascii="Palatino Linotype" w:hAnsi="Palatino Linotype"/>
              <w:b/>
              <w:color w:val="000000" w:themeColor="text1"/>
              <w:lang w:val="es-ES_tradnl"/>
            </w:rPr>
          </w:pPr>
          <w:r>
            <w:rPr>
              <w:rFonts w:ascii="Palatino Linotype" w:hAnsi="Palatino Linotype"/>
              <w:b/>
              <w:color w:val="000000" w:themeColor="text1"/>
              <w:lang w:val="es-ES"/>
            </w:rPr>
            <w:t>XXXXXXX</w:t>
          </w:r>
          <w:r w:rsidR="00BF778C">
            <w:rPr>
              <w:rFonts w:ascii="Palatino Linotype" w:hAnsi="Palatino Linotype"/>
              <w:b/>
              <w:color w:val="000000" w:themeColor="text1"/>
              <w:lang w:val="es-ES"/>
            </w:rPr>
            <w:t xml:space="preserve"> </w:t>
          </w:r>
          <w:r>
            <w:rPr>
              <w:rFonts w:ascii="Palatino Linotype" w:hAnsi="Palatino Linotype"/>
              <w:b/>
              <w:color w:val="000000" w:themeColor="text1"/>
              <w:lang w:val="es-ES"/>
            </w:rPr>
            <w:t>XXXXXXXXX</w:t>
          </w:r>
          <w:r w:rsidR="00BF778C">
            <w:rPr>
              <w:rFonts w:ascii="Palatino Linotype" w:hAnsi="Palatino Linotype"/>
              <w:b/>
              <w:color w:val="000000" w:themeColor="text1"/>
              <w:lang w:val="es-ES"/>
            </w:rPr>
            <w:t xml:space="preserve"> </w:t>
          </w:r>
          <w:r>
            <w:rPr>
              <w:rFonts w:ascii="Palatino Linotype" w:hAnsi="Palatino Linotype"/>
              <w:b/>
              <w:color w:val="000000" w:themeColor="text1"/>
              <w:lang w:val="es-ES"/>
            </w:rPr>
            <w:t>XXXXXX</w:t>
          </w:r>
          <w:r w:rsidR="00BF778C">
            <w:rPr>
              <w:rFonts w:ascii="Palatino Linotype" w:hAnsi="Palatino Linotype"/>
              <w:b/>
              <w:color w:val="000000" w:themeColor="text1"/>
              <w:lang w:val="es-ES"/>
            </w:rPr>
            <w:t xml:space="preserve"> </w:t>
          </w:r>
          <w:r>
            <w:rPr>
              <w:rFonts w:ascii="Palatino Linotype" w:hAnsi="Palatino Linotype"/>
              <w:b/>
              <w:color w:val="000000" w:themeColor="text1"/>
              <w:lang w:val="es-ES"/>
            </w:rPr>
            <w:t>xxx</w:t>
          </w:r>
          <w:r w:rsidR="00BF778C">
            <w:rPr>
              <w:rFonts w:ascii="Palatino Linotype" w:hAnsi="Palatino Linotype"/>
              <w:b/>
              <w:color w:val="000000" w:themeColor="text1"/>
              <w:lang w:val="es-ES"/>
            </w:rPr>
            <w:t xml:space="preserve"> </w:t>
          </w:r>
          <w:r>
            <w:rPr>
              <w:rFonts w:ascii="Palatino Linotype" w:hAnsi="Palatino Linotype"/>
              <w:b/>
              <w:color w:val="000000" w:themeColor="text1"/>
              <w:lang w:val="es-ES"/>
            </w:rPr>
            <w:t>XXXXXXX</w:t>
          </w:r>
          <w:r w:rsidR="00BF778C">
            <w:rPr>
              <w:rFonts w:ascii="Palatino Linotype" w:hAnsi="Palatino Linotype"/>
              <w:b/>
              <w:color w:val="000000" w:themeColor="text1"/>
              <w:lang w:val="es-ES"/>
            </w:rPr>
            <w:t xml:space="preserve"> </w:t>
          </w:r>
          <w:r>
            <w:rPr>
              <w:rFonts w:ascii="Palatino Linotype" w:hAnsi="Palatino Linotype"/>
              <w:b/>
              <w:color w:val="000000" w:themeColor="text1"/>
              <w:lang w:val="es-ES"/>
            </w:rPr>
            <w:t>XXXXXXXX</w:t>
          </w:r>
          <w:r w:rsidR="00BF778C">
            <w:rPr>
              <w:rFonts w:ascii="Palatino Linotype" w:hAnsi="Palatino Linotype"/>
              <w:b/>
              <w:color w:val="000000" w:themeColor="text1"/>
              <w:lang w:val="es-ES"/>
            </w:rPr>
            <w:t xml:space="preserve"> </w:t>
          </w:r>
          <w:r>
            <w:rPr>
              <w:rFonts w:ascii="Palatino Linotype" w:hAnsi="Palatino Linotype"/>
              <w:b/>
              <w:color w:val="000000" w:themeColor="text1"/>
              <w:lang w:val="es-ES"/>
            </w:rPr>
            <w:t>XXXXXX</w:t>
          </w:r>
          <w:r w:rsidR="00BF778C">
            <w:rPr>
              <w:rFonts w:ascii="Palatino Linotype" w:hAnsi="Palatino Linotype"/>
              <w:b/>
              <w:color w:val="000000" w:themeColor="text1"/>
              <w:lang w:val="es-ES"/>
            </w:rPr>
            <w:t xml:space="preserve"> </w:t>
          </w:r>
          <w:r>
            <w:rPr>
              <w:rFonts w:ascii="Palatino Linotype" w:hAnsi="Palatino Linotype"/>
              <w:b/>
              <w:color w:val="000000" w:themeColor="text1"/>
              <w:lang w:val="es-ES"/>
            </w:rPr>
            <w:t>Xx</w:t>
          </w:r>
          <w:r w:rsidR="00BF778C">
            <w:rPr>
              <w:rFonts w:ascii="Palatino Linotype" w:hAnsi="Palatino Linotype"/>
              <w:b/>
              <w:color w:val="000000" w:themeColor="text1"/>
              <w:lang w:val="es-ES"/>
            </w:rPr>
            <w:t xml:space="preserve"> </w:t>
          </w:r>
          <w:r>
            <w:rPr>
              <w:rFonts w:ascii="Palatino Linotype" w:hAnsi="Palatino Linotype"/>
              <w:b/>
              <w:color w:val="000000" w:themeColor="text1"/>
              <w:lang w:val="es-ES"/>
            </w:rPr>
            <w:t>Xxxxxxxxxxxxx</w:t>
          </w:r>
          <w:r w:rsidR="00BF778C">
            <w:rPr>
              <w:rFonts w:ascii="Palatino Linotype" w:hAnsi="Palatino Linotype"/>
              <w:b/>
              <w:color w:val="000000" w:themeColor="text1"/>
              <w:lang w:val="es-ES"/>
            </w:rPr>
            <w:t xml:space="preserve"> </w:t>
          </w:r>
          <w:r>
            <w:rPr>
              <w:rFonts w:ascii="Palatino Linotype" w:hAnsi="Palatino Linotype"/>
              <w:b/>
              <w:color w:val="000000" w:themeColor="text1"/>
              <w:lang w:val="es-ES"/>
            </w:rPr>
            <w:t>Xx</w:t>
          </w:r>
          <w:r w:rsidR="00BF778C">
            <w:rPr>
              <w:rFonts w:ascii="Palatino Linotype" w:hAnsi="Palatino Linotype"/>
              <w:b/>
              <w:color w:val="000000" w:themeColor="text1"/>
              <w:lang w:val="es-ES"/>
            </w:rPr>
            <w:t xml:space="preserve"> </w:t>
          </w:r>
          <w:r>
            <w:rPr>
              <w:rFonts w:ascii="Palatino Linotype" w:hAnsi="Palatino Linotype"/>
              <w:b/>
              <w:color w:val="000000" w:themeColor="text1"/>
              <w:lang w:val="es-ES"/>
            </w:rPr>
            <w:t>Xxxxxxxxxxxxx</w:t>
          </w:r>
        </w:p>
      </w:tc>
    </w:tr>
    <w:tr w:rsidR="002E2A0D">
      <w:trPr>
        <w:trHeight w:val="228"/>
      </w:trPr>
      <w:tc>
        <w:tcPr>
          <w:tcW w:w="4251" w:type="dxa"/>
          <w:vMerge/>
          <w:shd w:val="clear" w:color="auto" w:fill="auto"/>
        </w:tcPr>
        <w:p w:rsidR="002E2A0D" w:rsidRDefault="002E2A0D">
          <w:pPr>
            <w:rPr>
              <w:rFonts w:ascii="Palatino Linotype" w:hAnsi="Palatino Linotype"/>
              <w:b/>
              <w:sz w:val="22"/>
              <w:szCs w:val="22"/>
              <w:lang w:val="es-ES_tradnl"/>
            </w:rPr>
          </w:pPr>
        </w:p>
      </w:tc>
      <w:tc>
        <w:tcPr>
          <w:tcW w:w="2551" w:type="dxa"/>
          <w:shd w:val="clear" w:color="auto" w:fill="auto"/>
        </w:tcPr>
        <w:p w:rsidR="002E2A0D" w:rsidRDefault="00BF778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8" w:type="dxa"/>
          <w:shd w:val="clear" w:color="auto" w:fill="auto"/>
          <w:vAlign w:val="center"/>
        </w:tcPr>
        <w:p w:rsidR="002E2A0D" w:rsidRDefault="00BF778C">
          <w:pPr>
            <w:jc w:val="both"/>
            <w:rPr>
              <w:rFonts w:ascii="Palatino Linotype" w:hAnsi="Palatino Linotype"/>
              <w:b/>
              <w:color w:val="000000" w:themeColor="text1"/>
              <w:lang w:val="es-ES_tradnl"/>
            </w:rPr>
          </w:pPr>
          <w:r>
            <w:rPr>
              <w:rFonts w:ascii="Palatino Linotype" w:hAnsi="Palatino Linotype"/>
              <w:b/>
              <w:color w:val="000000" w:themeColor="text1"/>
              <w:lang w:val="es-ES_tradnl"/>
            </w:rPr>
            <w:t>Ayuntamiento de Ecatepec de Morelos</w:t>
          </w:r>
        </w:p>
      </w:tc>
    </w:tr>
    <w:tr w:rsidR="002E2A0D">
      <w:tc>
        <w:tcPr>
          <w:tcW w:w="4251" w:type="dxa"/>
          <w:vMerge/>
          <w:shd w:val="clear" w:color="auto" w:fill="auto"/>
        </w:tcPr>
        <w:p w:rsidR="002E2A0D" w:rsidRDefault="002E2A0D">
          <w:pPr>
            <w:rPr>
              <w:rFonts w:ascii="Palatino Linotype" w:hAnsi="Palatino Linotype"/>
              <w:b/>
              <w:sz w:val="22"/>
              <w:szCs w:val="22"/>
              <w:lang w:val="es-ES_tradnl"/>
            </w:rPr>
          </w:pPr>
        </w:p>
      </w:tc>
      <w:tc>
        <w:tcPr>
          <w:tcW w:w="2551" w:type="dxa"/>
          <w:shd w:val="clear" w:color="auto" w:fill="auto"/>
        </w:tcPr>
        <w:p w:rsidR="002E2A0D" w:rsidRDefault="00BF778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8" w:type="dxa"/>
          <w:shd w:val="clear" w:color="auto" w:fill="auto"/>
        </w:tcPr>
        <w:p w:rsidR="002E2A0D" w:rsidRDefault="00BF778C">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2E2A0D" w:rsidRDefault="002E2A0D">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B7FD7"/>
    <w:multiLevelType w:val="multilevel"/>
    <w:tmpl w:val="70D64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58A30FE"/>
    <w:multiLevelType w:val="multilevel"/>
    <w:tmpl w:val="669838E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A0D"/>
    <w:rsid w:val="002E2A0D"/>
    <w:rsid w:val="008320C1"/>
    <w:rsid w:val="00B6235F"/>
    <w:rsid w:val="00BF778C"/>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63D5B"/>
  <w15:docId w15:val="{B2BD45A5-325E-48C1-BCA6-4E1389D5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39473-77B8-4B11-8206-0EDB960D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8932</Words>
  <Characters>49128</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 alberto guadarrama olivares</cp:lastModifiedBy>
  <cp:revision>2</cp:revision>
  <cp:lastPrinted>2020-01-22T19:55:00Z</cp:lastPrinted>
  <dcterms:created xsi:type="dcterms:W3CDTF">2020-08-27T05:44:00Z</dcterms:created>
  <dcterms:modified xsi:type="dcterms:W3CDTF">2020-08-27T05:44:00Z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