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00742/INFOEM/IP/RR/2020</w:t>
      </w:r>
      <w:r>
        <w:rPr>
          <w:rFonts w:ascii="Palatino Linotype" w:eastAsia="Palatino Linotype" w:hAnsi="Palatino Linotype" w:cs="Palatino Linotype"/>
        </w:rPr>
        <w:t xml:space="preserve">, promovido por el </w:t>
      </w:r>
      <w:r>
        <w:rPr>
          <w:rFonts w:ascii="Palatino Linotype" w:eastAsia="Palatino Linotype" w:hAnsi="Palatino Linotype" w:cs="Palatino Linotype"/>
          <w:b/>
        </w:rPr>
        <w:t xml:space="preserve">C. </w:t>
      </w:r>
      <w:proofErr w:type="spellStart"/>
      <w:r w:rsidR="00373E53">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w:t>
      </w:r>
      <w:proofErr w:type="spellStart"/>
      <w:r w:rsidR="00373E53">
        <w:rPr>
          <w:rFonts w:ascii="Palatino Linotype" w:eastAsia="Palatino Linotype" w:hAnsi="Palatino Linotype" w:cs="Palatino Linotype"/>
          <w:b/>
        </w:rPr>
        <w:t>xxxxxxx</w:t>
      </w:r>
      <w:proofErr w:type="spellEnd"/>
      <w:r>
        <w:rPr>
          <w:rFonts w:ascii="Palatino Linotype" w:eastAsia="Palatino Linotype" w:hAnsi="Palatino Linotype" w:cs="Palatino Linotype"/>
          <w:b/>
        </w:rPr>
        <w:t xml:space="preserve"> y/o </w:t>
      </w:r>
      <w:proofErr w:type="spellStart"/>
      <w:r w:rsidR="00373E53">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w:t>
      </w:r>
      <w:proofErr w:type="spellStart"/>
      <w:r w:rsidR="00373E53">
        <w:rPr>
          <w:rFonts w:ascii="Palatino Linotype" w:eastAsia="Palatino Linotype" w:hAnsi="Palatino Linotype" w:cs="Palatino Linotype"/>
          <w:b/>
        </w:rPr>
        <w:t>xxxxxxx</w:t>
      </w:r>
      <w:proofErr w:type="spellEnd"/>
      <w:r>
        <w:rPr>
          <w:rFonts w:ascii="Palatino Linotype" w:eastAsia="Palatino Linotype" w:hAnsi="Palatino Linotype" w:cs="Palatino Linotype"/>
          <w:b/>
        </w:rPr>
        <w:t xml:space="preserve"> </w:t>
      </w:r>
      <w:proofErr w:type="spellStart"/>
      <w:r w:rsidR="00373E53">
        <w:rPr>
          <w:rFonts w:ascii="Palatino Linotype" w:eastAsia="Palatino Linotype" w:hAnsi="Palatino Linotype" w:cs="Palatino Linotype"/>
          <w:b/>
        </w:rPr>
        <w:t>xxxxxx</w:t>
      </w:r>
      <w:proofErr w:type="spellEnd"/>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en contra de la respuesta emitida por el </w:t>
      </w:r>
      <w:r>
        <w:rPr>
          <w:rFonts w:ascii="Palatino Linotype" w:eastAsia="Palatino Linotype" w:hAnsi="Palatino Linotype" w:cs="Palatino Linotype"/>
          <w:b/>
        </w:rPr>
        <w:t>Ayuntamiento de Huixquilucan,</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procede a dictar la presente resolución con base en lo siguiente: </w:t>
      </w:r>
    </w:p>
    <w:p w:rsidR="00591E54" w:rsidRDefault="00591E54">
      <w:pPr>
        <w:jc w:val="center"/>
        <w:rPr>
          <w:rFonts w:ascii="Palatino Linotype" w:eastAsia="Palatino Linotype" w:hAnsi="Palatino Linotype" w:cs="Palatino Linotype"/>
        </w:rPr>
      </w:pPr>
    </w:p>
    <w:p w:rsidR="00591E54" w:rsidRDefault="003C6AE7">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rsidR="00591E54" w:rsidRDefault="00591E54">
      <w:pPr>
        <w:jc w:val="center"/>
        <w:rPr>
          <w:rFonts w:ascii="Palatino Linotype" w:eastAsia="Palatino Linotype" w:hAnsi="Palatino Linotype" w:cs="Palatino Linotype"/>
          <w:b/>
        </w:rPr>
      </w:pPr>
    </w:p>
    <w:p w:rsidR="00591E54" w:rsidRDefault="003C6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 xml:space="preserve">I. </w:t>
      </w:r>
      <w:r>
        <w:rPr>
          <w:rFonts w:ascii="Palatino Linotype" w:eastAsia="Palatino Linotype" w:hAnsi="Palatino Linotype" w:cs="Palatino Linotype"/>
        </w:rPr>
        <w:t xml:space="preserve">En fecha veintidós de noviembre de dos mil diecinueve,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 la Plataforma Nacional de Transparencia, vinculada con 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01745/HUIXQUIL/IP/2019</w:t>
      </w:r>
      <w:r>
        <w:rPr>
          <w:rFonts w:ascii="Palatino Linotype" w:eastAsia="Palatino Linotype" w:hAnsi="Palatino Linotype" w:cs="Palatino Linotype"/>
        </w:rPr>
        <w:t>, mediante la cual solicitó:</w:t>
      </w:r>
    </w:p>
    <w:p w:rsidR="00591E54" w:rsidRDefault="00591E54">
      <w:pPr>
        <w:tabs>
          <w:tab w:val="left" w:pos="851"/>
        </w:tabs>
        <w:ind w:left="851" w:right="901"/>
        <w:jc w:val="both"/>
        <w:rPr>
          <w:rFonts w:ascii="Palatino Linotype" w:eastAsia="Palatino Linotype" w:hAnsi="Palatino Linotype" w:cs="Palatino Linotype"/>
          <w:i/>
          <w:sz w:val="22"/>
          <w:szCs w:val="22"/>
        </w:rPr>
      </w:pPr>
    </w:p>
    <w:p w:rsidR="00591E54" w:rsidRDefault="003C6AE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el listado de todas las personas que trabajan en su H. Ayuntamiento (elección popular, confianza, generales, sindicalizados, personal por honorarios y lista de raya), en archivo Excel, precisando nombre del servidor público, área de adscripción, fecha de ingreso, categoría o cargo, tipo de contratación, sueldo mensual bruto, deducciones y sueldo mensual neto. Además, se solicitan los recibos de nómina o comprobantes de pago de todas las personas que laboren en su H. Ayuntamiento correspondiente a la PRIMERA QUINCENA DE NOVIEMBRE DE 2019.” (Sic)</w:t>
      </w:r>
    </w:p>
    <w:p w:rsidR="00591E54" w:rsidRDefault="00591E54">
      <w:pPr>
        <w:tabs>
          <w:tab w:val="left" w:pos="851"/>
        </w:tabs>
        <w:ind w:left="851" w:right="901"/>
        <w:jc w:val="both"/>
        <w:rPr>
          <w:rFonts w:ascii="Palatino Linotype" w:eastAsia="Palatino Linotype" w:hAnsi="Palatino Linotype" w:cs="Palatino Linotype"/>
          <w:i/>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y </w:t>
      </w:r>
      <w:r>
        <w:rPr>
          <w:rFonts w:ascii="Palatino Linotype" w:eastAsia="Palatino Linotype" w:hAnsi="Palatino Linotype" w:cs="Palatino Linotype"/>
          <w:b/>
        </w:rPr>
        <w:t>correo electrónico</w:t>
      </w:r>
      <w:r>
        <w:rPr>
          <w:rFonts w:ascii="Palatino Linotype" w:eastAsia="Palatino Linotype" w:hAnsi="Palatino Linotype" w:cs="Palatino Linotype"/>
        </w:rPr>
        <w:t>.</w:t>
      </w:r>
    </w:p>
    <w:p w:rsidR="00591E54" w:rsidRDefault="00591E54">
      <w:pPr>
        <w:tabs>
          <w:tab w:val="left" w:pos="5647"/>
        </w:tabs>
        <w:spacing w:line="360" w:lineRule="auto"/>
        <w:ind w:right="850"/>
        <w:jc w:val="both"/>
        <w:rPr>
          <w:rFonts w:ascii="Palatino Linotype" w:eastAsia="Palatino Linotype" w:hAnsi="Palatino Linotype" w:cs="Palatino Linotype"/>
          <w:sz w:val="16"/>
          <w:szCs w:val="16"/>
        </w:rPr>
      </w:pPr>
    </w:p>
    <w:p w:rsidR="00591E54" w:rsidRDefault="003C6AE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 xml:space="preserve">II. </w:t>
      </w:r>
      <w:r>
        <w:rPr>
          <w:rFonts w:ascii="Palatino Linotype" w:eastAsia="Palatino Linotype" w:hAnsi="Palatino Linotype" w:cs="Palatino Linotype"/>
          <w:color w:val="000000"/>
        </w:rPr>
        <w:t xml:space="preserve">De las constancias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fecha veintisiete de noviembre de dos mil diecinueve, la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turnó la solicitud de información al Servidor Público Habilitado que estimó pertinente, a fin de colmar el derecho de acceso a la información del particular; tal y como, se aprecia en la imagen siguiente:</w:t>
      </w:r>
    </w:p>
    <w:p w:rsidR="00591E54" w:rsidRDefault="003C6AE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noProof/>
          <w:color w:val="000000"/>
        </w:rPr>
        <w:drawing>
          <wp:inline distT="0" distB="0" distL="0" distR="0">
            <wp:extent cx="6111240" cy="185166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1972" t="39538" r="1194" b="38740"/>
                    <a:stretch>
                      <a:fillRect/>
                    </a:stretch>
                  </pic:blipFill>
                  <pic:spPr>
                    <a:xfrm>
                      <a:off x="0" y="0"/>
                      <a:ext cx="6111240" cy="1851660"/>
                    </a:xfrm>
                    <a:prstGeom prst="rect">
                      <a:avLst/>
                    </a:prstGeom>
                    <a:ln/>
                  </pic:spPr>
                </pic:pic>
              </a:graphicData>
            </a:graphic>
          </wp:inline>
        </w:drawing>
      </w:r>
    </w:p>
    <w:p w:rsidR="00591E54" w:rsidRDefault="00591E5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591E54" w:rsidRDefault="003C6AE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III.</w:t>
      </w:r>
      <w:r>
        <w:rPr>
          <w:rFonts w:ascii="Palatino Linotype" w:eastAsia="Palatino Linotype" w:hAnsi="Palatino Linotype" w:cs="Palatino Linotype"/>
          <w:color w:val="000000"/>
        </w:rPr>
        <w:t xml:space="preserve"> De las constancias que obran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se advierte que en fecha nueve de enero de dos mil veinte, el Responsable de la Unidad de Transparencia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dio respuesta a la solicitud de información, en los siguientes términos:</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w:t>
      </w:r>
      <w:r>
        <w:rPr>
          <w:rFonts w:ascii="Palatino Linotype" w:eastAsia="Palatino Linotype" w:hAnsi="Palatino Linotype" w:cs="Palatino Linotype"/>
          <w:i/>
          <w:sz w:val="22"/>
          <w:szCs w:val="22"/>
        </w:rPr>
        <w:lastRenderedPageBreak/>
        <w:t>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01745/HUIXQUIL/IP/2019, que a letra dice: “Solicito el listado de todas las personas que trabajan en su H. Ayuntamiento (elección popular, confianza, generales, sindicalizados, personal por honorarios y lista de raya), en archivo Excel, precisando nombre del servidor público, área de adscripción, fecha de ingreso, categoría o cargo, tipo de contratación, sueldo mensual bruto, deducciones y sueldo mensual neto. Además, se solicitan los recibos de nómina o comprobantes de pago de todas las personas que laboren en su H. Ayuntamiento correspondiente a la PRIMERA QUINCENA DE NOVIEMBRE DE 2019.” (SIC). Sobre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2019, son competentes para dar contestación a su requerimiento, por lo que manifestaron lo siguiente: Dirección General de Administración “SE ADJUNTA RESPUESTA” (SIC); Se anexa formato PDF y XLSX,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 ULISES MAURICIO SALAZAR FRAN” (Sic)</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Advirtiendo de dicha respuesta,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acompañó los archivos electrónicos </w:t>
      </w:r>
      <w:hyperlink r:id="rId8">
        <w:r>
          <w:rPr>
            <w:rFonts w:ascii="Palatino Linotype" w:eastAsia="Palatino Linotype" w:hAnsi="Palatino Linotype" w:cs="Palatino Linotype"/>
            <w:b/>
          </w:rPr>
          <w:t>RESPUESTA 1745.pdf</w:t>
        </w:r>
      </w:hyperlink>
      <w:r>
        <w:rPr>
          <w:rFonts w:ascii="Palatino Linotype" w:eastAsia="Palatino Linotype" w:hAnsi="Palatino Linotype" w:cs="Palatino Linotype"/>
          <w:b/>
        </w:rPr>
        <w:t>, NOVIEMBRE 2019.xlsx</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VP NOV RECIBOS 2019.pdf </w:t>
      </w:r>
      <w:r>
        <w:rPr>
          <w:rFonts w:ascii="Palatino Linotype" w:eastAsia="Palatino Linotype" w:hAnsi="Palatino Linotype" w:cs="Palatino Linotype"/>
        </w:rPr>
        <w:t xml:space="preserve">y </w:t>
      </w:r>
      <w:r>
        <w:rPr>
          <w:rFonts w:ascii="Palatino Linotype" w:eastAsia="Palatino Linotype" w:hAnsi="Palatino Linotype" w:cs="Palatino Linotype"/>
          <w:b/>
        </w:rPr>
        <w:t>MOMITE</w:t>
      </w:r>
      <w:proofErr w:type="gramStart"/>
      <w:r>
        <w:rPr>
          <w:rFonts w:ascii="Palatino Linotype" w:eastAsia="Palatino Linotype" w:hAnsi="Palatino Linotype" w:cs="Palatino Linotype"/>
          <w:b/>
        </w:rPr>
        <w:t>?.</w:t>
      </w:r>
      <w:proofErr w:type="spellStart"/>
      <w:r>
        <w:rPr>
          <w:rFonts w:ascii="Palatino Linotype" w:eastAsia="Palatino Linotype" w:hAnsi="Palatino Linotype" w:cs="Palatino Linotype"/>
          <w:b/>
        </w:rPr>
        <w:t>pdf</w:t>
      </w:r>
      <w:proofErr w:type="spellEnd"/>
      <w:proofErr w:type="gramEnd"/>
      <w:r>
        <w:rPr>
          <w:rFonts w:ascii="Palatino Linotype" w:eastAsia="Palatino Linotype" w:hAnsi="Palatino Linotype" w:cs="Palatino Linotype"/>
          <w:b/>
        </w:rPr>
        <w:t xml:space="preserve"> </w:t>
      </w:r>
    </w:p>
    <w:p w:rsidR="00591E54" w:rsidRDefault="00591E54">
      <w:pPr>
        <w:spacing w:line="360" w:lineRule="auto"/>
        <w:jc w:val="center"/>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III.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Inconforme con la respuesta, el veintisiete de enero de dos mil veinte,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objeto del presente estudio,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00742/INFOEM/IP/RR/2019</w:t>
      </w:r>
      <w:r>
        <w:rPr>
          <w:rFonts w:ascii="Palatino Linotype" w:eastAsia="Palatino Linotype" w:hAnsi="Palatino Linotype" w:cs="Palatino Linotype"/>
        </w:rPr>
        <w:t xml:space="preserve">, en el que señaló como acto impugnado: </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entregó toda la información requerida." (Sic)</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razones o motivos de inconformidad:</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“fundadas." (Sic)</w:t>
      </w:r>
    </w:p>
    <w:p w:rsidR="00591E54" w:rsidRDefault="00591E54">
      <w:pPr>
        <w:ind w:left="851" w:right="899"/>
        <w:jc w:val="both"/>
        <w:rPr>
          <w:rFonts w:ascii="Palatino Linotype" w:eastAsia="Palatino Linotype" w:hAnsi="Palatino Linotype" w:cs="Palatino Linotype"/>
          <w:i/>
          <w:sz w:val="22"/>
          <w:szCs w:val="22"/>
        </w:rPr>
      </w:pPr>
    </w:p>
    <w:p w:rsidR="00591E54" w:rsidRDefault="003C6A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IV. </w:t>
      </w: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nueve de enero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EVA ABAID YAPUR</w:t>
      </w:r>
      <w:r>
        <w:rPr>
          <w:rFonts w:ascii="Palatino Linotype" w:eastAsia="Palatino Linotype" w:hAnsi="Palatino Linotype" w:cs="Palatino Linotype"/>
          <w:color w:val="000000"/>
        </w:rPr>
        <w:t xml:space="preserve">, a efecto de decretar su admisión o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rsidR="00591E54" w:rsidRDefault="00591E5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91E54" w:rsidRDefault="003C6AE7">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V. </w:t>
      </w:r>
      <w:r>
        <w:rPr>
          <w:rFonts w:ascii="Palatino Linotype" w:eastAsia="Palatino Linotype" w:hAnsi="Palatino Linotype" w:cs="Palatino Linotype"/>
          <w:color w:val="000000"/>
        </w:rPr>
        <w:t>De las constancias del expediente electrónico del</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se advierte que en fecha treinta y uno de enero de dos mil diecinueve, se acordó la admisión a trámite del </w:t>
      </w:r>
      <w:r>
        <w:rPr>
          <w:rFonts w:ascii="Palatino Linotype" w:eastAsia="Palatino Linotype" w:hAnsi="Palatino Linotype" w:cs="Palatino Linotype"/>
          <w:color w:val="000000"/>
        </w:rPr>
        <w:lastRenderedPageBreak/>
        <w:t xml:space="preserve">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rindiera su</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Informe Justificado.</w:t>
      </w:r>
    </w:p>
    <w:p w:rsidR="00591E54" w:rsidRDefault="00591E54">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 </w:t>
      </w:r>
      <w:r>
        <w:rPr>
          <w:rFonts w:ascii="Palatino Linotype" w:eastAsia="Palatino Linotype" w:hAnsi="Palatino Linotype" w:cs="Palatino Linotype"/>
        </w:rPr>
        <w:t>En cumplimiento a lo anterior, 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el veintitrés de enero de dos mil diecinueve,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envió el Informe Justificado, como se desprende a continuación: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t xml:space="preserve"> </w:t>
      </w:r>
      <w:r>
        <w:rPr>
          <w:noProof/>
        </w:rPr>
        <w:drawing>
          <wp:inline distT="0" distB="0" distL="0" distR="0">
            <wp:extent cx="5676900" cy="309372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1846" t="41407" r="11857" b="23992"/>
                    <a:stretch>
                      <a:fillRect/>
                    </a:stretch>
                  </pic:blipFill>
                  <pic:spPr>
                    <a:xfrm>
                      <a:off x="0" y="0"/>
                      <a:ext cx="5676900" cy="3093720"/>
                    </a:xfrm>
                    <a:prstGeom prst="rect">
                      <a:avLst/>
                    </a:prstGeom>
                    <a:ln/>
                  </pic:spPr>
                </pic:pic>
              </a:graphicData>
            </a:graphic>
          </wp:inline>
        </w:drawing>
      </w:r>
      <w:r>
        <w:rPr>
          <w:noProof/>
        </w:rPr>
        <mc:AlternateContent>
          <mc:Choice Requires="wpg">
            <w:drawing>
              <wp:anchor distT="0" distB="0" distL="0" distR="0" simplePos="0" relativeHeight="251658240" behindDoc="0" locked="0" layoutInCell="1" hidden="0" allowOverlap="1">
                <wp:simplePos x="0" y="0"/>
                <wp:positionH relativeFrom="column">
                  <wp:posOffset>63500</wp:posOffset>
                </wp:positionH>
                <wp:positionV relativeFrom="paragraph">
                  <wp:posOffset>1778000</wp:posOffset>
                </wp:positionV>
                <wp:extent cx="5631865" cy="1289100"/>
                <wp:effectExtent l="0" t="0" r="0" b="0"/>
                <wp:wrapNone/>
                <wp:docPr id="32" name="Rectángulo redondeado 32"/>
                <wp:cNvGraphicFramePr/>
                <a:graphic xmlns:a="http://schemas.openxmlformats.org/drawingml/2006/main">
                  <a:graphicData uri="http://schemas.microsoft.com/office/word/2010/wordprocessingShape">
                    <wps:wsp>
                      <wps:cNvSpPr/>
                      <wps:spPr>
                        <a:xfrm>
                          <a:off x="2549520" y="3154860"/>
                          <a:ext cx="5592960" cy="1250280"/>
                        </a:xfrm>
                        <a:prstGeom prst="roundRect">
                          <a:avLst>
                            <a:gd name="adj" fmla="val 16667"/>
                          </a:avLst>
                        </a:prstGeom>
                        <a:noFill/>
                        <a:ln w="38150" cap="flat" cmpd="sng">
                          <a:solidFill>
                            <a:srgbClr val="FF0000"/>
                          </a:solidFill>
                          <a:prstDash val="solid"/>
                          <a:round/>
                          <a:headEnd type="none" w="sm" len="sm"/>
                          <a:tailEnd type="none" w="sm" len="sm"/>
                        </a:ln>
                        <a:effectLst>
                          <a:outerShdw blurRad="40000" dist="23040" dir="5400000" rotWithShape="0">
                            <a:srgbClr val="000000">
                              <a:alpha val="34901"/>
                            </a:srgbClr>
                          </a:outerShdw>
                        </a:effectLst>
                      </wps:spPr>
                      <wps:txbx>
                        <w:txbxContent>
                          <w:p w:rsidR="00591E54" w:rsidRDefault="00591E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1778000</wp:posOffset>
                </wp:positionV>
                <wp:extent cx="5631865" cy="1289100"/>
                <wp:effectExtent b="0" l="0" r="0" t="0"/>
                <wp:wrapNone/>
                <wp:docPr id="32"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5631865" cy="1289100"/>
                        </a:xfrm>
                        <a:prstGeom prst="rect"/>
                        <a:ln/>
                      </pic:spPr>
                    </pic:pic>
                  </a:graphicData>
                </a:graphic>
              </wp:anchor>
            </w:drawing>
          </mc:Fallback>
        </mc:AlternateConten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Advirtiendo de dicho informe,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anexó el archivo </w:t>
      </w:r>
      <w:hyperlink r:id="rId11">
        <w:r>
          <w:rPr>
            <w:rFonts w:ascii="Palatino Linotype" w:eastAsia="Palatino Linotype" w:hAnsi="Palatino Linotype" w:cs="Palatino Linotype"/>
            <w:b/>
          </w:rPr>
          <w:t>Informe 00402.pdf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ALEGATOS 1745.pdf, </w:t>
      </w:r>
      <w:r>
        <w:rPr>
          <w:rFonts w:ascii="Palatino Linotype" w:eastAsia="Palatino Linotype" w:hAnsi="Palatino Linotype" w:cs="Palatino Linotype"/>
        </w:rPr>
        <w:t>el cual no fue puesto a disposición de la particular, en razón de que no se actualizó el supuesto de la fracción III del artículo 185 de la Ley de Transparencia y Acceso a la Información Pública del Estado de México y Municipios; sin embargo, se hace del conocimiento en el presente apartado.</w:t>
      </w:r>
    </w:p>
    <w:p w:rsidR="00591E54" w:rsidRDefault="003C6AE7">
      <w:pPr>
        <w:spacing w:line="360" w:lineRule="auto"/>
        <w:jc w:val="both"/>
        <w:rPr>
          <w:rFonts w:ascii="Palatino Linotype" w:eastAsia="Palatino Linotype" w:hAnsi="Palatino Linotype" w:cs="Palatino Linotype"/>
        </w:rPr>
      </w:pPr>
      <w:bookmarkStart w:id="0" w:name="_GoBack"/>
      <w:r>
        <w:rPr>
          <w:noProof/>
        </w:rPr>
        <w:drawing>
          <wp:inline distT="114300" distB="114300" distL="114300" distR="114300">
            <wp:extent cx="5791200" cy="5731934"/>
            <wp:effectExtent l="0" t="0" r="0" b="254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794822" cy="5735519"/>
                    </a:xfrm>
                    <a:prstGeom prst="rect">
                      <a:avLst/>
                    </a:prstGeom>
                    <a:ln/>
                  </pic:spPr>
                </pic:pic>
              </a:graphicData>
            </a:graphic>
          </wp:inline>
        </w:drawing>
      </w:r>
      <w:bookmarkEnd w:id="0"/>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6345720" cy="5920200"/>
            <wp:effectExtent l="-212759" t="212760" r="-212759" b="21276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8602" t="16406" r="16549" b="6235"/>
                    <a:stretch>
                      <a:fillRect/>
                    </a:stretch>
                  </pic:blipFill>
                  <pic:spPr>
                    <a:xfrm rot="16200000">
                      <a:off x="0" y="0"/>
                      <a:ext cx="6345720" cy="5920200"/>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6566400" cy="5865480"/>
            <wp:effectExtent l="-350459" t="350460" r="-350459" b="35046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17484" t="15471" r="16153" b="6411"/>
                    <a:stretch>
                      <a:fillRect/>
                    </a:stretch>
                  </pic:blipFill>
                  <pic:spPr>
                    <a:xfrm rot="16200000">
                      <a:off x="0" y="0"/>
                      <a:ext cx="6566400" cy="5865480"/>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6415560" cy="5783760"/>
            <wp:effectExtent l="-315899" t="315900" r="-315899" b="31590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22256" t="17459" r="19840" b="6208"/>
                    <a:stretch>
                      <a:fillRect/>
                    </a:stretch>
                  </pic:blipFill>
                  <pic:spPr>
                    <a:xfrm rot="16200000">
                      <a:off x="0" y="0"/>
                      <a:ext cx="6415560" cy="5783760"/>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5767070" cy="7114540"/>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67070" cy="7114540"/>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6513120" cy="5743080"/>
            <wp:effectExtent l="-385019" t="385020" r="-385019" b="38502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2093" t="18044" r="19442" b="5711"/>
                    <a:stretch>
                      <a:fillRect/>
                    </a:stretch>
                  </pic:blipFill>
                  <pic:spPr>
                    <a:xfrm rot="16200000">
                      <a:off x="0" y="0"/>
                      <a:ext cx="6513120" cy="5743080"/>
                    </a:xfrm>
                    <a:prstGeom prst="rect">
                      <a:avLst/>
                    </a:prstGeom>
                    <a:ln/>
                  </pic:spPr>
                </pic:pic>
              </a:graphicData>
            </a:graphic>
          </wp:inline>
        </w:drawing>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VII. </w:t>
      </w:r>
      <w:r>
        <w:rPr>
          <w:rFonts w:ascii="Palatino Linotype" w:eastAsia="Palatino Linotype" w:hAnsi="Palatino Linotype" w:cs="Palatino Linotype"/>
        </w:rPr>
        <w:t>En fecha catorce de febrero de dos mil veinte, se notificó a las partes el Acuerdo de Cierre de Instrucción, así como, la remisión del mismo a efecto de ser resuelto, de conformidad con lo establecido en el artículo 185, fracciones VI y VIII de la Ley de Transparencia y Acceso a la Información Pública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IX. </w:t>
      </w:r>
      <w:r>
        <w:rPr>
          <w:rFonts w:ascii="Palatino Linotype" w:eastAsia="Palatino Linotype" w:hAnsi="Palatino Linotype" w:cs="Palatino Linotype"/>
        </w:rPr>
        <w:t>En fecha dieciocho de marzo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591E54" w:rsidRDefault="00591E54">
      <w:pPr>
        <w:jc w:val="center"/>
        <w:rPr>
          <w:rFonts w:ascii="Palatino Linotype" w:eastAsia="Palatino Linotype" w:hAnsi="Palatino Linotype" w:cs="Palatino Linotype"/>
          <w:b/>
          <w:sz w:val="28"/>
          <w:szCs w:val="28"/>
        </w:rPr>
      </w:pPr>
    </w:p>
    <w:p w:rsidR="00591E54" w:rsidRDefault="003C6AE7">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rsidR="00591E54" w:rsidRDefault="00591E54">
      <w:pPr>
        <w:jc w:val="center"/>
        <w:rPr>
          <w:rFonts w:ascii="Palatino Linotype" w:eastAsia="Palatino Linotype" w:hAnsi="Palatino Linotype" w:cs="Palatino Linotype"/>
          <w:b/>
          <w:sz w:val="28"/>
          <w:szCs w:val="28"/>
        </w:rPr>
      </w:pPr>
    </w:p>
    <w:p w:rsidR="00591E54" w:rsidRDefault="003C6AE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w:t>
      </w:r>
      <w:r>
        <w:rPr>
          <w:rFonts w:ascii="Palatino Linotype" w:eastAsia="Palatino Linotype" w:hAnsi="Palatino Linotype" w:cs="Palatino Linotype"/>
        </w:rPr>
        <w:lastRenderedPageBreak/>
        <w:t>Municipios; toda vez que se trata de un recurso de revisión interpuesto por un Ciudadano en términos de la Ley de la materia.</w:t>
      </w:r>
    </w:p>
    <w:p w:rsidR="00591E54" w:rsidRDefault="003C6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r>
        <w:rPr>
          <w:rFonts w:ascii="Palatino Linotype" w:eastAsia="Palatino Linotype" w:hAnsi="Palatino Linotype" w:cs="Palatino Linotype"/>
        </w:rPr>
        <w:t xml:space="preserve">El recurso de revisión fue interpuesto por parte legítima, en atención a que se presentó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quien es la misma persona que formuló la solicitud de acceso a la información pública al </w:t>
      </w:r>
      <w:r>
        <w:rPr>
          <w:rFonts w:ascii="Palatino Linotype" w:eastAsia="Palatino Linotype" w:hAnsi="Palatino Linotype" w:cs="Palatino Linotype"/>
          <w:b/>
        </w:rPr>
        <w:t>SUJETO OBLIGADO.</w:t>
      </w:r>
    </w:p>
    <w:p w:rsidR="00591E54" w:rsidRDefault="00591E54">
      <w:pPr>
        <w:spacing w:line="360" w:lineRule="auto"/>
        <w:jc w:val="both"/>
        <w:rPr>
          <w:rFonts w:ascii="Palatino Linotype" w:eastAsia="Palatino Linotype" w:hAnsi="Palatino Linotype" w:cs="Palatino Linotype"/>
          <w:b/>
        </w:rPr>
      </w:pPr>
    </w:p>
    <w:p w:rsidR="00591E54" w:rsidRDefault="003C6A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b/>
          <w:color w:val="000000"/>
        </w:rPr>
        <w:t xml:space="preserve">Oportunidad. </w:t>
      </w:r>
      <w:r>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tuvo conocimiento de la respuesta impugnada, tal y como lo prevé el artículo 178 de la Ley de Transparencia y Acceso a la Información Pública del Estado de México y Municipios, que establece: </w:t>
      </w:r>
    </w:p>
    <w:p w:rsidR="00591E54" w:rsidRDefault="00591E54">
      <w:pPr>
        <w:ind w:left="851" w:right="902"/>
        <w:jc w:val="both"/>
        <w:rPr>
          <w:rFonts w:ascii="Palatino Linotype" w:eastAsia="Palatino Linotype" w:hAnsi="Palatino Linotype" w:cs="Palatino Linotype"/>
        </w:rPr>
      </w:pPr>
    </w:p>
    <w:p w:rsidR="00591E54" w:rsidRDefault="003C6AE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91E54" w:rsidRDefault="003C6AE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91E54" w:rsidRDefault="003C6AE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r>
        <w:rPr>
          <w:rFonts w:ascii="Palatino Linotype" w:eastAsia="Palatino Linotype" w:hAnsi="Palatino Linotype" w:cs="Palatino Linotype"/>
          <w:b/>
          <w:i/>
          <w:sz w:val="22"/>
          <w:szCs w:val="22"/>
        </w:rPr>
        <w:t>”</w:t>
      </w:r>
    </w:p>
    <w:p w:rsidR="00591E54" w:rsidRDefault="00591E54">
      <w:pPr>
        <w:ind w:left="851" w:right="902"/>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información pública el </w:t>
      </w:r>
      <w:r>
        <w:rPr>
          <w:rFonts w:ascii="Palatino Linotype" w:eastAsia="Palatino Linotype" w:hAnsi="Palatino Linotype" w:cs="Palatino Linotype"/>
          <w:b/>
        </w:rPr>
        <w:t xml:space="preserve">nueve de enero de dos mil veinte; </w:t>
      </w:r>
      <w:r>
        <w:rPr>
          <w:rFonts w:ascii="Palatino Linotype" w:eastAsia="Palatino Linotype" w:hAnsi="Palatino Linotype" w:cs="Palatino Linotype"/>
        </w:rPr>
        <w:t>por lo que, el plazo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para presentar los recursos de revisión transcurrió del </w:t>
      </w:r>
      <w:r>
        <w:rPr>
          <w:rFonts w:ascii="Palatino Linotype" w:eastAsia="Palatino Linotype" w:hAnsi="Palatino Linotype" w:cs="Palatino Linotype"/>
          <w:b/>
        </w:rPr>
        <w:t>diez al treinta y uno de enero de dos mil veinte;</w:t>
      </w:r>
      <w:r>
        <w:rPr>
          <w:rFonts w:ascii="Palatino Linotype" w:eastAsia="Palatino Linotype" w:hAnsi="Palatino Linotype" w:cs="Palatino Linotype"/>
        </w:rPr>
        <w:t xml:space="preserve"> sin contemplar en el cómputo los días veintiuno, veintidós, veintiocho y </w:t>
      </w:r>
      <w:r>
        <w:rPr>
          <w:rFonts w:ascii="Palatino Linotype" w:eastAsia="Palatino Linotype" w:hAnsi="Palatino Linotype" w:cs="Palatino Linotype"/>
        </w:rPr>
        <w:lastRenderedPageBreak/>
        <w:t>veintinueve de diciembre de dos mil diecinueve; así como, cuatro, cinco, once, doce, dieciocho, diecinueve, veinticinco y veintiséis de enero de dos mil veinte, por corresponder a sábados y domingos, considerados como días inhábiles; en términos del artículo 3, fracción X de la Ley de Transparencia y Acceso a la Información Pública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si los recursos de revisión que nos ocupan, se interpusieron el día </w:t>
      </w:r>
      <w:r>
        <w:rPr>
          <w:rFonts w:ascii="Palatino Linotype" w:eastAsia="Palatino Linotype" w:hAnsi="Palatino Linotype" w:cs="Palatino Linotype"/>
          <w:b/>
        </w:rPr>
        <w:t>veintisiete de enero de dos mil veinte</w:t>
      </w:r>
      <w:r>
        <w:rPr>
          <w:rFonts w:ascii="Palatino Linotype" w:eastAsia="Palatino Linotype" w:hAnsi="Palatino Linotype" w:cs="Palatino Linotype"/>
        </w:rPr>
        <w:t>, éstos se encuentran dentro de los márgenes temporales previstos en el citado precepto legal y, por tanto, se consideran oportunos.</w:t>
      </w:r>
    </w:p>
    <w:p w:rsidR="00591E54" w:rsidRDefault="00591E54">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591E54" w:rsidRDefault="003C6AE7">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 xml:space="preserve">CUARTO.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rPr>
        <w:t>EL SAIMEX.</w:t>
      </w:r>
    </w:p>
    <w:p w:rsidR="00591E54" w:rsidRDefault="00591E54">
      <w:pPr>
        <w:spacing w:line="360" w:lineRule="auto"/>
        <w:ind w:right="49"/>
        <w:jc w:val="both"/>
        <w:rPr>
          <w:rFonts w:ascii="Palatino Linotype" w:eastAsia="Palatino Linotype" w:hAnsi="Palatino Linotype" w:cs="Palatino Linotype"/>
          <w:b/>
          <w:sz w:val="28"/>
          <w:szCs w:val="28"/>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Estudio y resolución de los asuntos</w:t>
      </w:r>
      <w:r>
        <w:rPr>
          <w:rFonts w:ascii="Palatino Linotype" w:eastAsia="Palatino Linotype" w:hAnsi="Palatino Linotype" w:cs="Palatino Linotype"/>
        </w:rPr>
        <w:t xml:space="preserve">. Tal y como quedó precisado en los resultandos de la presente resolución, el particular requirió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información que a continuación se desagrega: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el listado de todas las personas que trabajan en su H. Ayuntamiento (elección popular, confianza, generales, sindicalizados, personal por honorarios y lista de raya), en archivo Excel, precisando nombre del servidor público, área de adscripción, fecha de ingreso, categoría o cargo, tipo de contratación, sueldo mensual bruto, deducciones y sueldo mensual neto. </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rPr>
      </w:pPr>
      <w:r>
        <w:rPr>
          <w:rFonts w:ascii="Palatino Linotype" w:eastAsia="Palatino Linotype" w:hAnsi="Palatino Linotype" w:cs="Palatino Linotype"/>
          <w:i/>
          <w:sz w:val="22"/>
          <w:szCs w:val="22"/>
        </w:rPr>
        <w:lastRenderedPageBreak/>
        <w:t>b) se solicitan los recibos de nómina o comprobantes de pago de todas las personas que laboren en su H. Ayuntamiento correspondiente a la primera quincena de noviembre de 2019.</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respondió al particular con la remisión de los siguientes archivos electrónicos: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1745.PDF </w:t>
      </w:r>
      <w:r>
        <w:rPr>
          <w:rFonts w:ascii="Palatino Linotype" w:eastAsia="Palatino Linotype" w:hAnsi="Palatino Linotype" w:cs="Palatino Linotype"/>
          <w:i/>
          <w:sz w:val="22"/>
          <w:szCs w:val="22"/>
        </w:rPr>
        <w:t>mediante el cual la Directora General de Administración remitió la versión pública de la información al titular de la unidad de transparencia;</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Noviembre 2019.xlsx </w:t>
      </w:r>
      <w:r>
        <w:rPr>
          <w:rFonts w:ascii="Palatino Linotype" w:eastAsia="Palatino Linotype" w:hAnsi="Palatino Linotype" w:cs="Palatino Linotype"/>
          <w:i/>
          <w:sz w:val="22"/>
          <w:szCs w:val="22"/>
        </w:rPr>
        <w:t xml:space="preserve">que consiste en un listado de Excel de 20176 servidores </w:t>
      </w:r>
      <w:proofErr w:type="spellStart"/>
      <w:r>
        <w:rPr>
          <w:rFonts w:ascii="Palatino Linotype" w:eastAsia="Palatino Linotype" w:hAnsi="Palatino Linotype" w:cs="Palatino Linotype"/>
          <w:i/>
          <w:sz w:val="22"/>
          <w:szCs w:val="22"/>
        </w:rPr>
        <w:t>públucos</w:t>
      </w:r>
      <w:proofErr w:type="spellEnd"/>
      <w:r>
        <w:rPr>
          <w:rFonts w:ascii="Palatino Linotype" w:eastAsia="Palatino Linotype" w:hAnsi="Palatino Linotype" w:cs="Palatino Linotype"/>
          <w:i/>
          <w:sz w:val="22"/>
          <w:szCs w:val="22"/>
        </w:rPr>
        <w:t xml:space="preserve"> con los rubros </w:t>
      </w:r>
      <w:proofErr w:type="spellStart"/>
      <w:r>
        <w:rPr>
          <w:rFonts w:ascii="Palatino Linotype" w:eastAsia="Palatino Linotype" w:hAnsi="Palatino Linotype" w:cs="Palatino Linotype"/>
          <w:i/>
          <w:sz w:val="22"/>
          <w:szCs w:val="22"/>
        </w:rPr>
        <w:t>Area</w:t>
      </w:r>
      <w:proofErr w:type="spellEnd"/>
      <w:r>
        <w:rPr>
          <w:rFonts w:ascii="Palatino Linotype" w:eastAsia="Palatino Linotype" w:hAnsi="Palatino Linotype" w:cs="Palatino Linotype"/>
          <w:i/>
          <w:sz w:val="22"/>
          <w:szCs w:val="22"/>
        </w:rPr>
        <w:t xml:space="preserve"> de Adscripción, Primer apellido, Segundo Apellido, fecha de alta, Sueldo Base, Gratificaciones, Dietas, Cuotas por Seguridad Social, Remuneración Bruta y Remuneración Neta; asimismo, testó Clave ISSSEMYM, RFC y CURP.</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VP NOV RECIBOS 2019.PDF </w:t>
      </w:r>
      <w:r>
        <w:rPr>
          <w:rFonts w:ascii="Palatino Linotype" w:eastAsia="Palatino Linotype" w:hAnsi="Palatino Linotype" w:cs="Palatino Linotype"/>
          <w:i/>
          <w:sz w:val="22"/>
          <w:szCs w:val="22"/>
        </w:rPr>
        <w:t xml:space="preserve">consistente en la versión pública de 2173 recibos de nómina correspondientes a la primer quincena del mes de noviembre de 2019; y, </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COMITE_101.pdf </w:t>
      </w:r>
      <w:r>
        <w:rPr>
          <w:rFonts w:ascii="Palatino Linotype" w:eastAsia="Palatino Linotype" w:hAnsi="Palatino Linotype" w:cs="Palatino Linotype"/>
          <w:i/>
          <w:sz w:val="22"/>
          <w:szCs w:val="22"/>
        </w:rPr>
        <w:t xml:space="preserve">correspondiente al Acuerdo número </w:t>
      </w:r>
      <w:r>
        <w:rPr>
          <w:rFonts w:ascii="Palatino Linotype" w:eastAsia="Palatino Linotype" w:hAnsi="Palatino Linotype" w:cs="Palatino Linotype"/>
          <w:b/>
          <w:i/>
          <w:sz w:val="22"/>
          <w:szCs w:val="22"/>
        </w:rPr>
        <w:t xml:space="preserve">COMIT/EXT/101/2019-2021 </w:t>
      </w:r>
      <w:r>
        <w:rPr>
          <w:rFonts w:ascii="Palatino Linotype" w:eastAsia="Palatino Linotype" w:hAnsi="Palatino Linotype" w:cs="Palatino Linotype"/>
          <w:i/>
          <w:sz w:val="22"/>
          <w:szCs w:val="22"/>
        </w:rPr>
        <w:t>mediante la cual se describe y se remite la versión publica de la información.</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medio de defensa de mérito, señalando como acto impugnado lo siguiente: </w:t>
      </w:r>
    </w:p>
    <w:p w:rsidR="00591E54" w:rsidRDefault="00591E54">
      <w:pPr>
        <w:ind w:right="899"/>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entregó toda la información requerida.” (Sic)</w:t>
      </w:r>
    </w:p>
    <w:p w:rsidR="00591E54" w:rsidRDefault="00591E54">
      <w:pPr>
        <w:ind w:right="899"/>
        <w:jc w:val="both"/>
        <w:rPr>
          <w:rFonts w:ascii="Palatino Linotype" w:eastAsia="Palatino Linotype" w:hAnsi="Palatino Linotype" w:cs="Palatino Linotype"/>
          <w:i/>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como razones o motivos de inconformidad:  </w:t>
      </w:r>
    </w:p>
    <w:p w:rsidR="00591E54" w:rsidRDefault="00591E54">
      <w:pPr>
        <w:ind w:right="899"/>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entregó toda la información requerida.” (Sic)</w:t>
      </w:r>
    </w:p>
    <w:p w:rsidR="00591E54" w:rsidRDefault="00591E54">
      <w:pPr>
        <w:spacing w:line="360" w:lineRule="auto"/>
        <w:jc w:val="both"/>
        <w:rPr>
          <w:rFonts w:ascii="Palatino Linotype" w:eastAsia="Palatino Linotype" w:hAnsi="Palatino Linotype" w:cs="Palatino Linotype"/>
        </w:rPr>
      </w:pP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Primeramente, este Instituto precisa que se obvia el análisis de la competencia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administrar o poseer la información solicitada, dado que éste ha asumido la misma, en razón de que en su respuesta remitió una liga electrónica en donde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puede verificar la información solicitada.</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el hecho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591E54" w:rsidRDefault="00591E54">
      <w:pPr>
        <w:tabs>
          <w:tab w:val="left" w:pos="851"/>
          <w:tab w:val="left" w:pos="8505"/>
        </w:tabs>
        <w:ind w:right="902"/>
        <w:jc w:val="both"/>
        <w:rPr>
          <w:rFonts w:ascii="Palatino Linotype" w:eastAsia="Palatino Linotype" w:hAnsi="Palatino Linotype" w:cs="Palatino Linotype"/>
          <w:i/>
        </w:rPr>
      </w:pPr>
    </w:p>
    <w:p w:rsidR="00591E54" w:rsidRDefault="003C6AE7">
      <w:pPr>
        <w:tabs>
          <w:tab w:val="left" w:pos="851"/>
          <w:tab w:val="left" w:pos="850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pPr>
      <w:r>
        <w:rPr>
          <w:rFonts w:ascii="Palatino Linotype" w:eastAsia="Palatino Linotype" w:hAnsi="Palatino Linotype" w:cs="Palatino Linotype"/>
        </w:rPr>
        <w:t xml:space="preserve">Así, el estudio de la naturaleza jurídica de la información pública solicitada, tiene por objeto determinar si ésta la genera, posee o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Pr>
          <w:rFonts w:ascii="Palatino Linotype" w:eastAsia="Palatino Linotype" w:hAnsi="Palatino Linotype" w:cs="Palatino Linotype"/>
        </w:rPr>
        <w:lastRenderedPageBreak/>
        <w:t>por el cual, se actualiza el supuesto jurídico, previsto en el artículo 12 de la Ley de la materia, anteriormente referido.</w:t>
      </w:r>
      <w:r>
        <w:t xml:space="preserve">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se omite comentar que,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591E54" w:rsidRDefault="00591E54">
      <w:pPr>
        <w:ind w:right="760"/>
        <w:jc w:val="both"/>
        <w:rPr>
          <w:rFonts w:ascii="Palatino Linotype" w:eastAsia="Palatino Linotype" w:hAnsi="Palatino Linotype" w:cs="Palatino Linotype"/>
          <w:b/>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Pr>
          <w:rFonts w:ascii="Palatino Linotype" w:eastAsia="Palatino Linotype" w:hAnsi="Palatino Linotype" w:cs="Palatino Linotype"/>
          <w:i/>
          <w:sz w:val="22"/>
          <w:szCs w:val="22"/>
        </w:rPr>
        <w:lastRenderedPageBreak/>
        <w:t xml:space="preserve">y Servicios Sociales de los Trabajadores del Estado – Alonso Lujambio Irazábal 1624/09 Instituto Nacional para la Educación de los Adultos - 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 2395/09 Secretaría de Economía - 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 0837/10 Administración Portuaria Integral de Veracruz, S.A. de C.V. – 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 Criterio 31/10</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esta Ponencia </w:t>
      </w:r>
      <w:proofErr w:type="spellStart"/>
      <w:r>
        <w:rPr>
          <w:rFonts w:ascii="Palatino Linotype" w:eastAsia="Palatino Linotype" w:hAnsi="Palatino Linotype" w:cs="Palatino Linotype"/>
        </w:rPr>
        <w:t>Resolutora</w:t>
      </w:r>
      <w:proofErr w:type="spellEnd"/>
      <w:r>
        <w:rPr>
          <w:rFonts w:ascii="Palatino Linotype" w:eastAsia="Palatino Linotype" w:hAnsi="Palatino Linotype" w:cs="Palatino Linotype"/>
        </w:rPr>
        <w:t xml:space="preserve"> analizó las documentales remitidas por </w:t>
      </w:r>
      <w:r>
        <w:rPr>
          <w:rFonts w:ascii="Palatino Linotype" w:eastAsia="Palatino Linotype" w:hAnsi="Palatino Linotype" w:cs="Palatino Linotype"/>
          <w:b/>
        </w:rPr>
        <w:t>EL SUJETO OBLIGADO</w:t>
      </w:r>
      <w:r>
        <w:rPr>
          <w:rFonts w:ascii="Palatino Linotype" w:eastAsia="Palatino Linotype" w:hAnsi="Palatino Linotype" w:cs="Palatino Linotype"/>
        </w:rPr>
        <w:t>; a fin de determinar si se satisfizo el derecho de acceso a la información ejercitado por la particular por lo cual se adjuntan las siguientes imágenes:</w:t>
      </w:r>
    </w:p>
    <w:p w:rsidR="00591E54" w:rsidRDefault="003C6AE7">
      <w:pPr>
        <w:spacing w:line="360" w:lineRule="auto"/>
        <w:jc w:val="both"/>
        <w:rPr>
          <w:rFonts w:ascii="Palatino Linotype" w:eastAsia="Palatino Linotype" w:hAnsi="Palatino Linotype" w:cs="Palatino Linotype"/>
        </w:rPr>
      </w:pPr>
      <w:r>
        <w:rPr>
          <w:noProof/>
        </w:rPr>
        <w:drawing>
          <wp:inline distT="0" distB="0" distL="0" distR="0">
            <wp:extent cx="5779770" cy="477202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79770" cy="4772025"/>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5791835" cy="310134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b="4815"/>
                    <a:stretch>
                      <a:fillRect/>
                    </a:stretch>
                  </pic:blipFill>
                  <pic:spPr>
                    <a:xfrm>
                      <a:off x="0" y="0"/>
                      <a:ext cx="5791835" cy="3101340"/>
                    </a:xfrm>
                    <a:prstGeom prst="rect">
                      <a:avLst/>
                    </a:prstGeom>
                    <a:ln/>
                  </pic:spPr>
                </pic:pic>
              </a:graphicData>
            </a:graphic>
          </wp:inline>
        </w:drawing>
      </w:r>
      <w:r>
        <w:rPr>
          <w:noProof/>
        </w:rPr>
        <mc:AlternateContent>
          <mc:Choice Requires="wpg">
            <w:drawing>
              <wp:anchor distT="0" distB="0" distL="0" distR="0" simplePos="0" relativeHeight="251659264" behindDoc="0" locked="0" layoutInCell="1" hidden="0" allowOverlap="1">
                <wp:simplePos x="0" y="0"/>
                <wp:positionH relativeFrom="column">
                  <wp:posOffset>215900</wp:posOffset>
                </wp:positionH>
                <wp:positionV relativeFrom="paragraph">
                  <wp:posOffset>1473200</wp:posOffset>
                </wp:positionV>
                <wp:extent cx="5631865" cy="210870"/>
                <wp:effectExtent l="0" t="0" r="0" b="0"/>
                <wp:wrapNone/>
                <wp:docPr id="30" name="Rectángulo redondeado 30"/>
                <wp:cNvGraphicFramePr/>
                <a:graphic xmlns:a="http://schemas.openxmlformats.org/drawingml/2006/main">
                  <a:graphicData uri="http://schemas.microsoft.com/office/word/2010/wordprocessingShape">
                    <wps:wsp>
                      <wps:cNvSpPr/>
                      <wps:spPr>
                        <a:xfrm>
                          <a:off x="2549520" y="3693960"/>
                          <a:ext cx="5592960" cy="172080"/>
                        </a:xfrm>
                        <a:prstGeom prst="roundRect">
                          <a:avLst>
                            <a:gd name="adj" fmla="val 16667"/>
                          </a:avLst>
                        </a:prstGeom>
                        <a:noFill/>
                        <a:ln w="38150" cap="flat" cmpd="sng">
                          <a:solidFill>
                            <a:srgbClr val="FF0000"/>
                          </a:solidFill>
                          <a:prstDash val="solid"/>
                          <a:round/>
                          <a:headEnd type="none" w="sm" len="sm"/>
                          <a:tailEnd type="none" w="sm" len="sm"/>
                        </a:ln>
                        <a:effectLst>
                          <a:outerShdw blurRad="40000" dist="23040" dir="5400000" rotWithShape="0">
                            <a:srgbClr val="000000">
                              <a:alpha val="34901"/>
                            </a:srgbClr>
                          </a:outerShdw>
                        </a:effectLst>
                      </wps:spPr>
                      <wps:txbx>
                        <w:txbxContent>
                          <w:p w:rsidR="00591E54" w:rsidRDefault="00591E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1473200</wp:posOffset>
                </wp:positionV>
                <wp:extent cx="5631865" cy="210870"/>
                <wp:effectExtent b="0" l="0" r="0" t="0"/>
                <wp:wrapNone/>
                <wp:docPr id="30"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5631865" cy="21087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simplePos x="0" y="0"/>
                <wp:positionH relativeFrom="column">
                  <wp:posOffset>-12699</wp:posOffset>
                </wp:positionH>
                <wp:positionV relativeFrom="paragraph">
                  <wp:posOffset>1676400</wp:posOffset>
                </wp:positionV>
                <wp:extent cx="2980740" cy="1449120"/>
                <wp:effectExtent l="0" t="0" r="0" b="0"/>
                <wp:wrapNone/>
                <wp:docPr id="31" name="Rectángulo redondeado 31"/>
                <wp:cNvGraphicFramePr/>
                <a:graphic xmlns:a="http://schemas.openxmlformats.org/drawingml/2006/main">
                  <a:graphicData uri="http://schemas.microsoft.com/office/word/2010/wordprocessingShape">
                    <wps:wsp>
                      <wps:cNvSpPr/>
                      <wps:spPr>
                        <a:xfrm>
                          <a:off x="3875040" y="3074760"/>
                          <a:ext cx="2941920" cy="1410480"/>
                        </a:xfrm>
                        <a:prstGeom prst="roundRect">
                          <a:avLst>
                            <a:gd name="adj" fmla="val 16667"/>
                          </a:avLst>
                        </a:prstGeom>
                        <a:noFill/>
                        <a:ln w="38150" cap="flat" cmpd="sng">
                          <a:solidFill>
                            <a:srgbClr val="FF0000"/>
                          </a:solidFill>
                          <a:prstDash val="solid"/>
                          <a:round/>
                          <a:headEnd type="none" w="sm" len="sm"/>
                          <a:tailEnd type="none" w="sm" len="sm"/>
                        </a:ln>
                        <a:effectLst>
                          <a:outerShdw blurRad="40000" dist="23040" dir="5400000" rotWithShape="0">
                            <a:srgbClr val="000000">
                              <a:alpha val="34901"/>
                            </a:srgbClr>
                          </a:outerShdw>
                        </a:effectLst>
                      </wps:spPr>
                      <wps:txbx>
                        <w:txbxContent>
                          <w:p w:rsidR="00591E54" w:rsidRDefault="00591E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-12699</wp:posOffset>
                </wp:positionH>
                <wp:positionV relativeFrom="paragraph">
                  <wp:posOffset>1676400</wp:posOffset>
                </wp:positionV>
                <wp:extent cx="2980740" cy="1449120"/>
                <wp:effectExtent b="0" l="0" r="0" t="0"/>
                <wp:wrapNone/>
                <wp:docPr id="31"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2980740" cy="1449120"/>
                        </a:xfrm>
                        <a:prstGeom prst="rect"/>
                        <a:ln/>
                      </pic:spPr>
                    </pic:pic>
                  </a:graphicData>
                </a:graphic>
              </wp:anchor>
            </w:drawing>
          </mc:Fallback>
        </mc:AlternateConten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del análisis realizado a la respuesta proporcionada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este Órgano Garante considera que no satisfizo la pretensión realizada por el particular en atención a que del listado en </w:t>
      </w:r>
      <w:proofErr w:type="spellStart"/>
      <w:r>
        <w:rPr>
          <w:rFonts w:ascii="Palatino Linotype" w:eastAsia="Palatino Linotype" w:hAnsi="Palatino Linotype" w:cs="Palatino Linotype"/>
        </w:rPr>
        <w:t>fotmato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xls</w:t>
      </w:r>
      <w:proofErr w:type="spellEnd"/>
      <w:r>
        <w:rPr>
          <w:rFonts w:ascii="Palatino Linotype" w:eastAsia="Palatino Linotype" w:hAnsi="Palatino Linotype" w:cs="Palatino Linotype"/>
        </w:rPr>
        <w:t xml:space="preserve"> y los recibos de nómina proporcionados se advierte no corresponden los nombres, número de empleado proporcionados, aunado a que de la información se observa que se </w:t>
      </w:r>
      <w:proofErr w:type="spellStart"/>
      <w:r>
        <w:rPr>
          <w:rFonts w:ascii="Palatino Linotype" w:eastAsia="Palatino Linotype" w:hAnsi="Palatino Linotype" w:cs="Palatino Linotype"/>
        </w:rPr>
        <w:t>realizo</w:t>
      </w:r>
      <w:proofErr w:type="spellEnd"/>
      <w:r>
        <w:rPr>
          <w:rFonts w:ascii="Palatino Linotype" w:eastAsia="Palatino Linotype" w:hAnsi="Palatino Linotype" w:cs="Palatino Linotype"/>
        </w:rPr>
        <w:t xml:space="preserve"> un documento ad hoc. </w:t>
      </w:r>
    </w:p>
    <w:p w:rsidR="00591E54" w:rsidRDefault="00591E54">
      <w:pPr>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este Órgano Garante advirtió que la solicitud de acceso a la información presentada por el particular puede ser satisfecha mediante la entrega del Informe Mensual constreñido en el Disco 4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generar y entregar al Órgano Superior de Fiscalización del Estado de México (OSFEM), existe fuente obligacional que constriñe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contar con dicha </w:t>
      </w:r>
      <w:r>
        <w:rPr>
          <w:rFonts w:ascii="Palatino Linotype" w:eastAsia="Palatino Linotype" w:hAnsi="Palatino Linotype" w:cs="Palatino Linotype"/>
        </w:rPr>
        <w:lastRenderedPageBreak/>
        <w:t>información.</w:t>
      </w: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virtud, conviene precisar que los Municipios del Estado de México, son Sujetos de Fiscalización, de conformidad con el numeral 4, fracción II de Ley de Fiscalización Superior del Estado de México.</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Asimismo, en el artículo 32 de la Ley de Fiscalización Superior del Estado de México en su segundo párrafo establece que: </w:t>
      </w:r>
      <w:r>
        <w:rPr>
          <w:rFonts w:ascii="Palatino Linotype" w:eastAsia="Palatino Linotype" w:hAnsi="Palatino Linotype" w:cs="Palatino Linotype"/>
          <w:i/>
        </w:rPr>
        <w:t>“Los Presidentes Municipales presentarán (…) los informes mensuales (…) dentro de los veinte días posteriores al término del mes correspondiente.”</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virtud, el OSFEM emite los </w:t>
      </w:r>
      <w:r>
        <w:rPr>
          <w:rFonts w:ascii="Palatino Linotype" w:eastAsia="Palatino Linotype" w:hAnsi="Palatino Linotype" w:cs="Palatino Linotype"/>
          <w:b/>
        </w:rPr>
        <w:t>Lineamientos para la Integración del Informe Mensual</w:t>
      </w:r>
      <w:r>
        <w:rPr>
          <w:rFonts w:ascii="Palatino Linotype" w:eastAsia="Palatino Linotype" w:hAnsi="Palatino Linotype" w:cs="Palatino Linotype"/>
        </w:rPr>
        <w:t xml:space="preserve">, en términos la fracción XI del artículo 8 de la Ley de Fiscalización Superior del Estado de México, que señala: </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591E54" w:rsidRDefault="003C6AE7">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widowControl w:val="0"/>
        <w:tabs>
          <w:tab w:val="left" w:pos="1276"/>
        </w:tabs>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r>
        <w:rPr>
          <w:rFonts w:ascii="Palatino Linotype" w:eastAsia="Palatino Linotype" w:hAnsi="Palatino Linotype" w:cs="Palatino Linotype"/>
          <w:sz w:val="22"/>
          <w:szCs w:val="22"/>
        </w:rPr>
        <w:t>…” (Sic)</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591E54" w:rsidRDefault="00591E54">
      <w:pPr>
        <w:widowControl w:val="0"/>
        <w:tabs>
          <w:tab w:val="left" w:pos="1276"/>
        </w:tabs>
        <w:spacing w:line="360" w:lineRule="auto"/>
        <w:jc w:val="both"/>
        <w:rPr>
          <w:rFonts w:ascii="Palatino Linotype" w:eastAsia="Palatino Linotype" w:hAnsi="Palatino Linotype" w:cs="Palatino Linotype"/>
        </w:rPr>
      </w:pPr>
    </w:p>
    <w:p w:rsidR="00591E54" w:rsidRDefault="003C6AE7">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la información </w:t>
      </w:r>
      <w:r>
        <w:rPr>
          <w:rFonts w:ascii="Palatino Linotype" w:eastAsia="Palatino Linotype" w:hAnsi="Palatino Linotype" w:cs="Palatino Linotype"/>
          <w:b/>
        </w:rPr>
        <w:t>documental comprobatoria</w:t>
      </w:r>
      <w:r>
        <w:rPr>
          <w:rFonts w:ascii="Palatino Linotype" w:eastAsia="Palatino Linotype" w:hAnsi="Palatino Linotype" w:cs="Palatino Linotype"/>
        </w:rPr>
        <w:t xml:space="preserve">, </w:t>
      </w:r>
      <w:r>
        <w:rPr>
          <w:rFonts w:ascii="Palatino Linotype" w:eastAsia="Palatino Linotype" w:hAnsi="Palatino Linotype" w:cs="Palatino Linotype"/>
          <w:b/>
        </w:rPr>
        <w:t>deberá conservarse en los archivos de la entidad fiscalizada –Municipio</w:t>
      </w:r>
      <w:r>
        <w:rPr>
          <w:rFonts w:ascii="Palatino Linotype" w:eastAsia="Palatino Linotype" w:hAnsi="Palatino Linotype" w:cs="Palatino Linotype"/>
        </w:rPr>
        <w:t xml:space="preserve">-, en original y debidamente integrada en términos de los lineamientos de referencia, pues son susceptibles de revisión directa por el OSFEM; así que, para la Integración del Informe Mensual 2019, dichos lineamientos se encuentran visibles en la página oficial del OSFEM en el sitio de internet: </w:t>
      </w:r>
      <w:hyperlink r:id="rId22">
        <w:r>
          <w:rPr>
            <w:rFonts w:ascii="Palatino Linotype" w:eastAsia="Palatino Linotype" w:hAnsi="Palatino Linotype" w:cs="Palatino Linotype"/>
            <w:i/>
            <w:color w:val="035899"/>
            <w:sz w:val="22"/>
            <w:szCs w:val="22"/>
          </w:rPr>
          <w:t>https://www.osfem.gob.mx/04_Normatividad/doc/Normatividad/2019/19.LineamInfMensualMpal_209.pd</w:t>
        </w:r>
      </w:hyperlink>
      <w:hyperlink r:id="rId23">
        <w:r>
          <w:rPr>
            <w:rFonts w:ascii="Palatino Linotype" w:eastAsia="Palatino Linotype" w:hAnsi="Palatino Linotype" w:cs="Palatino Linotype"/>
            <w:color w:val="035899"/>
          </w:rPr>
          <w:t>f</w:t>
        </w:r>
      </w:hyperlink>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destacando que dentro de los informes mensuales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tiene la obligación de rendir, se contempla precisamente la presentación de la Información; tal y como, se muestra en las imágenes siguientes: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noProof/>
        </w:rPr>
        <w:lastRenderedPageBreak/>
        <w:drawing>
          <wp:inline distT="0" distB="0" distL="0" distR="0">
            <wp:extent cx="5694045" cy="268859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694045" cy="2688590"/>
                    </a:xfrm>
                    <a:prstGeom prst="rect">
                      <a:avLst/>
                    </a:prstGeom>
                    <a:ln/>
                  </pic:spPr>
                </pic:pic>
              </a:graphicData>
            </a:graphic>
          </wp:inline>
        </w:drawing>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ind w:right="-91"/>
        <w:jc w:val="both"/>
        <w:rPr>
          <w:rFonts w:ascii="Palatino Linotype" w:eastAsia="Palatino Linotype" w:hAnsi="Palatino Linotype" w:cs="Palatino Linotype"/>
          <w:color w:val="000000"/>
        </w:rPr>
      </w:pPr>
      <w:r>
        <w:rPr>
          <w:noProof/>
        </w:rPr>
        <w:drawing>
          <wp:inline distT="0" distB="0" distL="0" distR="0">
            <wp:extent cx="5810250" cy="277177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l="19422" t="25617" r="21919" b="6803"/>
                    <a:stretch>
                      <a:fillRect/>
                    </a:stretch>
                  </pic:blipFill>
                  <pic:spPr>
                    <a:xfrm>
                      <a:off x="0" y="0"/>
                      <a:ext cx="5810250" cy="2771775"/>
                    </a:xfrm>
                    <a:prstGeom prst="rect">
                      <a:avLst/>
                    </a:prstGeom>
                    <a:ln/>
                  </pic:spPr>
                </pic:pic>
              </a:graphicData>
            </a:graphic>
          </wp:inline>
        </w:drawing>
      </w:r>
    </w:p>
    <w:p w:rsidR="00591E54" w:rsidRDefault="003C6AE7">
      <w:pPr>
        <w:spacing w:line="360" w:lineRule="auto"/>
        <w:ind w:right="-91"/>
        <w:jc w:val="both"/>
        <w:rPr>
          <w:rFonts w:ascii="Palatino Linotype" w:eastAsia="Palatino Linotype" w:hAnsi="Palatino Linotype" w:cs="Palatino Linotype"/>
          <w:color w:val="000000"/>
        </w:rPr>
      </w:pPr>
      <w:r>
        <w:rPr>
          <w:noProof/>
        </w:rPr>
        <w:lastRenderedPageBreak/>
        <w:drawing>
          <wp:inline distT="0" distB="0" distL="0" distR="0">
            <wp:extent cx="5943600" cy="3876675"/>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19260" t="13900" r="21521" b="18894"/>
                    <a:stretch>
                      <a:fillRect/>
                    </a:stretch>
                  </pic:blipFill>
                  <pic:spPr>
                    <a:xfrm>
                      <a:off x="0" y="0"/>
                      <a:ext cx="5943600" cy="3876675"/>
                    </a:xfrm>
                    <a:prstGeom prst="rect">
                      <a:avLst/>
                    </a:prstGeom>
                    <a:ln/>
                  </pic:spPr>
                </pic:pic>
              </a:graphicData>
            </a:graphic>
          </wp:inline>
        </w:drawing>
      </w:r>
    </w:p>
    <w:p w:rsidR="00591E54" w:rsidRDefault="003C6AE7">
      <w:pPr>
        <w:spacing w:line="360" w:lineRule="auto"/>
        <w:ind w:right="-91"/>
        <w:jc w:val="both"/>
        <w:rPr>
          <w:rFonts w:ascii="Palatino Linotype" w:eastAsia="Palatino Linotype" w:hAnsi="Palatino Linotype" w:cs="Palatino Linotype"/>
          <w:color w:val="000000"/>
        </w:rPr>
      </w:pPr>
      <w:r>
        <w:rPr>
          <w:noProof/>
        </w:rPr>
        <w:drawing>
          <wp:inline distT="0" distB="0" distL="0" distR="0">
            <wp:extent cx="5791200" cy="335280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20126" t="20147" r="22290" b="14390"/>
                    <a:stretch>
                      <a:fillRect/>
                    </a:stretch>
                  </pic:blipFill>
                  <pic:spPr>
                    <a:xfrm>
                      <a:off x="0" y="0"/>
                      <a:ext cx="5791200" cy="3352800"/>
                    </a:xfrm>
                    <a:prstGeom prst="rect">
                      <a:avLst/>
                    </a:prstGeom>
                    <a:ln/>
                  </pic:spPr>
                </pic:pic>
              </a:graphicData>
            </a:graphic>
          </wp:inline>
        </w:drawing>
      </w:r>
    </w:p>
    <w:p w:rsidR="00591E54" w:rsidRDefault="003C6AE7">
      <w:pPr>
        <w:spacing w:line="360" w:lineRule="auto"/>
        <w:ind w:right="-91"/>
        <w:jc w:val="both"/>
        <w:rPr>
          <w:rFonts w:ascii="Palatino Linotype" w:eastAsia="Palatino Linotype" w:hAnsi="Palatino Linotype" w:cs="Palatino Linotype"/>
          <w:color w:val="000000"/>
        </w:rPr>
      </w:pPr>
      <w:r>
        <w:rPr>
          <w:noProof/>
        </w:rPr>
        <w:lastRenderedPageBreak/>
        <w:drawing>
          <wp:inline distT="0" distB="0" distL="0" distR="0">
            <wp:extent cx="5791200" cy="3248025"/>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20682" t="17897" r="22337" b="16412"/>
                    <a:stretch>
                      <a:fillRect/>
                    </a:stretch>
                  </pic:blipFill>
                  <pic:spPr>
                    <a:xfrm>
                      <a:off x="0" y="0"/>
                      <a:ext cx="5791200" cy="3248025"/>
                    </a:xfrm>
                    <a:prstGeom prst="rect">
                      <a:avLst/>
                    </a:prstGeom>
                    <a:ln/>
                  </pic:spPr>
                </pic:pic>
              </a:graphicData>
            </a:graphic>
          </wp:inline>
        </w:drawing>
      </w:r>
    </w:p>
    <w:p w:rsidR="00591E54" w:rsidRDefault="00591E54">
      <w:pPr>
        <w:spacing w:line="360" w:lineRule="auto"/>
        <w:ind w:right="-91"/>
        <w:jc w:val="both"/>
      </w:pPr>
    </w:p>
    <w:p w:rsidR="00591E54" w:rsidRDefault="00591E54">
      <w:pPr>
        <w:spacing w:line="360" w:lineRule="auto"/>
        <w:ind w:right="-91"/>
        <w:jc w:val="both"/>
      </w:pPr>
    </w:p>
    <w:p w:rsidR="00591E54" w:rsidRDefault="00591E54">
      <w:pPr>
        <w:spacing w:line="360" w:lineRule="auto"/>
        <w:ind w:right="-91"/>
        <w:jc w:val="both"/>
      </w:pPr>
    </w:p>
    <w:p w:rsidR="00591E54" w:rsidRDefault="003C6AE7">
      <w:pPr>
        <w:spacing w:line="360" w:lineRule="auto"/>
        <w:ind w:right="-91"/>
        <w:jc w:val="both"/>
        <w:rPr>
          <w:rFonts w:ascii="Palatino Linotype" w:eastAsia="Palatino Linotype" w:hAnsi="Palatino Linotype" w:cs="Palatino Linotype"/>
          <w:color w:val="000000"/>
        </w:rPr>
      </w:pPr>
      <w:r>
        <w:rPr>
          <w:noProof/>
        </w:rPr>
        <w:lastRenderedPageBreak/>
        <w:drawing>
          <wp:inline distT="0" distB="0" distL="0" distR="0">
            <wp:extent cx="5614670" cy="3907790"/>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614670" cy="3907790"/>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228600</wp:posOffset>
                </wp:positionH>
                <wp:positionV relativeFrom="paragraph">
                  <wp:posOffset>3962400</wp:posOffset>
                </wp:positionV>
                <wp:extent cx="5654675" cy="3130550"/>
                <wp:effectExtent l="0" t="0" r="0" b="0"/>
                <wp:wrapNone/>
                <wp:docPr id="29" name="Conector recto de flecha 29"/>
                <wp:cNvGraphicFramePr/>
                <a:graphic xmlns:a="http://schemas.openxmlformats.org/drawingml/2006/main">
                  <a:graphicData uri="http://schemas.microsoft.com/office/word/2010/wordprocessingShape">
                    <wps:wsp>
                      <wps:cNvCnPr/>
                      <wps:spPr>
                        <a:xfrm>
                          <a:off x="2531363" y="2227425"/>
                          <a:ext cx="5629275" cy="31051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3962400</wp:posOffset>
                </wp:positionV>
                <wp:extent cx="5654675" cy="3130550"/>
                <wp:effectExtent b="0" l="0" r="0" t="0"/>
                <wp:wrapNone/>
                <wp:docPr id="29"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654675" cy="3130550"/>
                        </a:xfrm>
                        <a:prstGeom prst="rect"/>
                        <a:ln/>
                      </pic:spPr>
                    </pic:pic>
                  </a:graphicData>
                </a:graphic>
              </wp:anchor>
            </w:drawing>
          </mc:Fallback>
        </mc:AlternateContent>
      </w:r>
    </w:p>
    <w:p w:rsidR="00591E54" w:rsidRDefault="00591E54">
      <w:pPr>
        <w:spacing w:line="360" w:lineRule="auto"/>
        <w:ind w:right="-91"/>
        <w:jc w:val="both"/>
        <w:rPr>
          <w:rFonts w:ascii="Palatino Linotype" w:eastAsia="Palatino Linotype" w:hAnsi="Palatino Linotype" w:cs="Palatino Linotype"/>
          <w:color w:val="000000"/>
        </w:rPr>
      </w:pPr>
    </w:p>
    <w:p w:rsidR="00591E54" w:rsidRDefault="003C6AE7">
      <w:pPr>
        <w:spacing w:line="360" w:lineRule="auto"/>
        <w:ind w:right="-91"/>
        <w:jc w:val="both"/>
        <w:rPr>
          <w:rFonts w:ascii="Palatino Linotype" w:eastAsia="Palatino Linotype" w:hAnsi="Palatino Linotype" w:cs="Palatino Linotype"/>
          <w:color w:val="000000"/>
        </w:rPr>
      </w:pPr>
      <w:r>
        <w:rPr>
          <w:noProof/>
        </w:rPr>
        <w:lastRenderedPageBreak/>
        <w:drawing>
          <wp:inline distT="0" distB="0" distL="0" distR="0">
            <wp:extent cx="5797550" cy="3274060"/>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797550" cy="3274060"/>
                    </a:xfrm>
                    <a:prstGeom prst="rect">
                      <a:avLst/>
                    </a:prstGeom>
                    <a:ln/>
                  </pic:spPr>
                </pic:pic>
              </a:graphicData>
            </a:graphic>
          </wp:inline>
        </w:drawing>
      </w:r>
    </w:p>
    <w:p w:rsidR="00591E54" w:rsidRDefault="00591E54">
      <w:pPr>
        <w:spacing w:line="360" w:lineRule="auto"/>
        <w:ind w:right="-91"/>
        <w:jc w:val="both"/>
      </w:pPr>
    </w:p>
    <w:p w:rsidR="00591E54" w:rsidRDefault="003C6AE7">
      <w:pPr>
        <w:spacing w:line="360" w:lineRule="auto"/>
        <w:ind w:right="-91"/>
        <w:jc w:val="both"/>
        <w:rPr>
          <w:rFonts w:ascii="Palatino Linotype" w:eastAsia="Palatino Linotype" w:hAnsi="Palatino Linotype" w:cs="Palatino Linotype"/>
          <w:color w:val="000000"/>
        </w:rPr>
      </w:pPr>
      <w:r>
        <w:rPr>
          <w:noProof/>
        </w:rPr>
        <w:drawing>
          <wp:inline distT="0" distB="0" distL="0" distR="0">
            <wp:extent cx="5803900" cy="3438525"/>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803900" cy="3438525"/>
                    </a:xfrm>
                    <a:prstGeom prst="rect">
                      <a:avLst/>
                    </a:prstGeom>
                    <a:ln/>
                  </pic:spPr>
                </pic:pic>
              </a:graphicData>
            </a:graphic>
          </wp:inline>
        </w:drawing>
      </w:r>
    </w:p>
    <w:p w:rsidR="00591E54" w:rsidRDefault="00591E54">
      <w:pPr>
        <w:spacing w:line="360" w:lineRule="auto"/>
        <w:ind w:right="-91"/>
        <w:jc w:val="both"/>
        <w:rPr>
          <w:rFonts w:ascii="Palatino Linotype" w:eastAsia="Palatino Linotype" w:hAnsi="Palatino Linotype" w:cs="Palatino Linotype"/>
          <w:color w:val="000000"/>
        </w:rPr>
      </w:pPr>
    </w:p>
    <w:p w:rsidR="00591E54" w:rsidRDefault="003C6AE7">
      <w:pPr>
        <w:spacing w:line="360" w:lineRule="auto"/>
        <w:ind w:right="-91"/>
        <w:jc w:val="both"/>
        <w:rPr>
          <w:rFonts w:ascii="Palatino Linotype" w:eastAsia="Palatino Linotype" w:hAnsi="Palatino Linotype" w:cs="Palatino Linotype"/>
          <w:color w:val="000000"/>
        </w:rPr>
      </w:pPr>
      <w:r>
        <w:rPr>
          <w:noProof/>
        </w:rPr>
        <w:lastRenderedPageBreak/>
        <w:drawing>
          <wp:inline distT="0" distB="0" distL="0" distR="0">
            <wp:extent cx="5846445" cy="325374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846445" cy="3253740"/>
                    </a:xfrm>
                    <a:prstGeom prst="rect">
                      <a:avLst/>
                    </a:prstGeom>
                    <a:ln/>
                  </pic:spPr>
                </pic:pic>
              </a:graphicData>
            </a:graphic>
          </wp:inline>
        </w:drawing>
      </w:r>
    </w:p>
    <w:p w:rsidR="00591E54" w:rsidRDefault="00591E54">
      <w:pPr>
        <w:spacing w:line="360" w:lineRule="auto"/>
        <w:ind w:right="-91"/>
        <w:jc w:val="both"/>
        <w:rPr>
          <w:rFonts w:ascii="Palatino Linotype" w:eastAsia="Palatino Linotype" w:hAnsi="Palatino Linotype" w:cs="Palatino Linotype"/>
          <w:color w:val="000000"/>
        </w:rPr>
      </w:pPr>
    </w:p>
    <w:p w:rsidR="00591E54" w:rsidRDefault="003C6AE7">
      <w:pPr>
        <w:spacing w:line="360" w:lineRule="auto"/>
        <w:jc w:val="both"/>
        <w:rPr>
          <w:rFonts w:ascii="Palatino Linotype" w:eastAsia="Palatino Linotype" w:hAnsi="Palatino Linotype" w:cs="Palatino Linotype"/>
        </w:rPr>
      </w:pPr>
      <w:r>
        <w:rPr>
          <w:noProof/>
        </w:rPr>
        <w:drawing>
          <wp:inline distT="0" distB="0" distL="0" distR="0">
            <wp:extent cx="5790565" cy="3552825"/>
            <wp:effectExtent l="0" t="0" r="0" b="0"/>
            <wp:docPr id="5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l="17260" t="28308" r="18022" b="10852"/>
                    <a:stretch>
                      <a:fillRect/>
                    </a:stretch>
                  </pic:blipFill>
                  <pic:spPr>
                    <a:xfrm>
                      <a:off x="0" y="0"/>
                      <a:ext cx="5790565" cy="3552825"/>
                    </a:xfrm>
                    <a:prstGeom prst="rect">
                      <a:avLst/>
                    </a:prstGeom>
                    <a:ln/>
                  </pic:spPr>
                </pic:pic>
              </a:graphicData>
            </a:graphic>
          </wp:inline>
        </w:drawing>
      </w: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resulta claro que existe fuente obligacional que constriñe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entregar los informes mensuales al OSFEM de conformidad con el artículo 32 de la Ley de Fiscalización Superior del Estado de México, en los cuales se incluye lo referente al </w:t>
      </w:r>
      <w:r>
        <w:rPr>
          <w:rFonts w:ascii="Palatino Linotype" w:eastAsia="Palatino Linotype" w:hAnsi="Palatino Linotype" w:cs="Palatino Linotype"/>
          <w:b/>
        </w:rPr>
        <w:t>Disco 4,</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que comprenden las remuneraciones que perciben por el empleo, cargo o comisión de cualquier naturaleza los servidores públicos municipales; en consecuencia, la información solicitada;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w:t>
      </w:r>
      <w:r>
        <w:rPr>
          <w:rFonts w:ascii="Palatino Linotype" w:eastAsia="Palatino Linotype" w:hAnsi="Palatino Linotype" w:cs="Palatino Linotype"/>
        </w:rPr>
        <w:lastRenderedPageBreak/>
        <w:t xml:space="preserve">emitidos por el Comité de Acceso a la Información Pública y Protección de Datos Personales de la Suprema Corte de Justicia de la Nación que a continuación se citan: </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encuentra constreñido a entregar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de acuerdo a lo dispuesto por los artículos 3, fracción XI, 12 y 92, fracción VIII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fin de robustecer lo anterior, a continuación se citan los artículos en referencia:</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eastAsia="Palatino Linotype" w:hAnsi="Palatino Linotype" w:cs="Palatino Linotype"/>
          <w:i/>
          <w:sz w:val="22"/>
          <w:szCs w:val="22"/>
        </w:rPr>
        <w:t>;”</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591E54" w:rsidRDefault="00591E54">
      <w:pPr>
        <w:spacing w:line="360" w:lineRule="auto"/>
        <w:jc w:val="both"/>
        <w:rPr>
          <w:rFonts w:ascii="Palatino Linotype" w:eastAsia="Palatino Linotype" w:hAnsi="Palatino Linotype" w:cs="Palatino Linotype"/>
          <w:i/>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2, FRACCIÓN V, XV, Y XVI, 32,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591E54" w:rsidRDefault="00591E54">
      <w:pPr>
        <w:ind w:left="851" w:right="902"/>
        <w:jc w:val="both"/>
        <w:rPr>
          <w:rFonts w:ascii="Palatino Linotype" w:eastAsia="Palatino Linotype" w:hAnsi="Palatino Linotype" w:cs="Palatino Linotype"/>
          <w:i/>
          <w:sz w:val="22"/>
          <w:szCs w:val="22"/>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591E54" w:rsidRDefault="00591E54">
      <w:pPr>
        <w:spacing w:line="360" w:lineRule="auto"/>
        <w:jc w:val="both"/>
        <w:rPr>
          <w:rFonts w:ascii="Palatino Linotype" w:eastAsia="Palatino Linotype" w:hAnsi="Palatino Linotype" w:cs="Palatino Linotype"/>
          <w:i/>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términos de que solicitó las remuneraciones, así como, el tipo de contratación de todos los servidores públicos del Municipio de </w:t>
      </w:r>
      <w:proofErr w:type="spellStart"/>
      <w:r>
        <w:rPr>
          <w:rFonts w:ascii="Palatino Linotype" w:eastAsia="Palatino Linotype" w:hAnsi="Palatino Linotype" w:cs="Palatino Linotype"/>
        </w:rPr>
        <w:t>Huixquilican</w:t>
      </w:r>
      <w:proofErr w:type="spellEnd"/>
      <w:r>
        <w:rPr>
          <w:rFonts w:ascii="Palatino Linotype" w:eastAsia="Palatino Linotype" w:hAnsi="Palatino Linotype" w:cs="Palatino Linotype"/>
        </w:rPr>
        <w:t>, es preciso señalar lo que establece su Bando Municipal 2019 que a la letra señala:</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66.- Para el desarrollo de los asuntos administrativos y la prestación</w:t>
      </w:r>
    </w:p>
    <w:p w:rsidR="00591E54" w:rsidRDefault="003C6AE7">
      <w:pPr>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de</w:t>
      </w:r>
      <w:proofErr w:type="gramEnd"/>
      <w:r>
        <w:rPr>
          <w:rFonts w:ascii="Palatino Linotype" w:eastAsia="Palatino Linotype" w:hAnsi="Palatino Linotype" w:cs="Palatino Linotype"/>
          <w:i/>
          <w:sz w:val="22"/>
          <w:szCs w:val="22"/>
        </w:rPr>
        <w:t xml:space="preserve"> los servicios públicos, la Administración Pública Municipal Centralizada se</w:t>
      </w:r>
    </w:p>
    <w:p w:rsidR="00591E54" w:rsidRDefault="003C6AE7">
      <w:pPr>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integra</w:t>
      </w:r>
      <w:proofErr w:type="gramEnd"/>
      <w:r>
        <w:rPr>
          <w:rFonts w:ascii="Palatino Linotype" w:eastAsia="Palatino Linotype" w:hAnsi="Palatino Linotype" w:cs="Palatino Linotype"/>
          <w:i/>
          <w:sz w:val="22"/>
          <w:szCs w:val="22"/>
        </w:rPr>
        <w:t xml:space="preserve"> con las dependencias siguientes: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Secretaria del Ayuntamiento;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Tesorería Municipal;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BANDO MUNICIPAL 2019, PÁGINA 31</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Contraloría Interna Municipal;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Dirección General de Administración;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Dirección General de Desarrollo Económico y Empresarial;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Oficina de la Presidencia;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Secretaría Técnica Municipal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Dirección General de Mensaje e Imagen Institucional;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Dirección General de Desarrollo Agropecuario y Forestal;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Dirección General de Desarrollo Urbano Sustentable;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Dirección General de Ecología y Medio ambiente;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Dirección General de Servicios Públicos y Urbanos;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Dirección General de Infraestructura y Edificación;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Dirección General de Desarrollo Social;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XV. Dirección General de Seguridad Pública y Vialidad;</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 Agencia Municipal de Energía; y</w:t>
      </w:r>
    </w:p>
    <w:p w:rsidR="00591E54" w:rsidRDefault="003C6AE7">
      <w:pPr>
        <w:ind w:left="851" w:right="902"/>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XVII.Las</w:t>
      </w:r>
      <w:proofErr w:type="spellEnd"/>
      <w:r>
        <w:rPr>
          <w:rFonts w:ascii="Palatino Linotype" w:eastAsia="Palatino Linotype" w:hAnsi="Palatino Linotype" w:cs="Palatino Linotype"/>
          <w:i/>
          <w:sz w:val="22"/>
          <w:szCs w:val="22"/>
        </w:rPr>
        <w:t xml:space="preserve"> demás que apruebe el Ayuntamiento</w:t>
      </w:r>
    </w:p>
    <w:p w:rsidR="00591E54" w:rsidRDefault="003C6AE7">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que antecede se advierte que, para el ejercicio de las funciones de la administración pública del Municipio de Valle de Chalco Solidaridad, este se auxilia de diversas dependencias y unidades administrativas dentro de las cuales se pueden observar la información  que solicitó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w:t>
      </w:r>
    </w:p>
    <w:p w:rsidR="00591E54" w:rsidRDefault="003C6AE7">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precisado lo anterior, se procede al análisis de la naturaleza jurídica de la información solicitada; atento a ello, y derivado que la solicitud del particular se encuentra relacionada con recibos de pago de todos los servidores públicos de confianza, sindicalizados, honorarios y lista de raya; al respecto, es importante traer a contexto lo establecido en los artículos 4, fracción III, 6, 7, 8, 12, 13, 49, fracciones II y III, 54, primer párrafo, 56, fracción I, de la Ley del Trabajo de los Servidores Públicos del Estado y Municipios:</w:t>
      </w:r>
    </w:p>
    <w:p w:rsidR="00591E54" w:rsidRDefault="00591E54">
      <w:pPr>
        <w:jc w:val="both"/>
        <w:rPr>
          <w:rFonts w:ascii="Palatino Linotype" w:eastAsia="Palatino Linotype" w:hAnsi="Palatino Linotype" w:cs="Palatino Linotype"/>
        </w:rPr>
      </w:pP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 Para efectos de esta ley se entiende</w:t>
      </w:r>
      <w:r>
        <w:rPr>
          <w:rFonts w:ascii="Palatino Linotype" w:eastAsia="Palatino Linotype" w:hAnsi="Palatino Linotype" w:cs="Palatino Linotype"/>
          <w:i/>
          <w:sz w:val="22"/>
          <w:szCs w:val="22"/>
        </w:rPr>
        <w:t>:</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Institución Pública</w:t>
      </w:r>
      <w:r>
        <w:rPr>
          <w:rFonts w:ascii="Palatino Linotype" w:eastAsia="Palatino Linotype" w:hAnsi="Palatino Linotype" w:cs="Palatino Linotype"/>
          <w:i/>
          <w:sz w:val="22"/>
          <w:szCs w:val="22"/>
        </w:rPr>
        <w:t xml:space="preserve">: A cada uno de los poderes públicos del Estado,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xml:space="preserve"> y los tribunales administrativos; así como los organismos descentralizados, fideicomisos de carácter estatal y municipal, y los órganos autónomos que sus leyes de creación así lo determinen.</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se clasifican en generales y de confianza</w:t>
      </w:r>
      <w:r>
        <w:rPr>
          <w:rFonts w:ascii="Palatino Linotype" w:eastAsia="Palatino Linotype" w:hAnsi="Palatino Linotype" w:cs="Palatino Linotype"/>
          <w:i/>
          <w:sz w:val="22"/>
          <w:szCs w:val="22"/>
        </w:rPr>
        <w:t xml:space="preserve">, los cuales, de acuerdo con la duración de sus relaciones de trabajo </w:t>
      </w:r>
      <w:r>
        <w:rPr>
          <w:rFonts w:ascii="Palatino Linotype" w:eastAsia="Palatino Linotype" w:hAnsi="Palatino Linotype" w:cs="Palatino Linotype"/>
          <w:b/>
          <w:i/>
          <w:sz w:val="22"/>
          <w:szCs w:val="22"/>
          <w:u w:val="single"/>
        </w:rPr>
        <w:t>pueden ser: por tiempo u obra determinados o por tiempo indeterminado</w:t>
      </w:r>
      <w:r>
        <w:rPr>
          <w:rFonts w:ascii="Palatino Linotype" w:eastAsia="Palatino Linotype" w:hAnsi="Palatino Linotype" w:cs="Palatino Linotype"/>
          <w:i/>
          <w:sz w:val="22"/>
          <w:szCs w:val="22"/>
        </w:rPr>
        <w:t xml:space="preserve">.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Son servidores públicos generales </w:t>
      </w:r>
      <w:r>
        <w:rPr>
          <w:rFonts w:ascii="Palatino Linotype" w:eastAsia="Palatino Linotype" w:hAnsi="Palatino Linotype" w:cs="Palatino Linotype"/>
          <w:i/>
          <w:sz w:val="22"/>
          <w:szCs w:val="22"/>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8. Se entiende por servidores públicos de confianza</w:t>
      </w:r>
      <w:r>
        <w:rPr>
          <w:rFonts w:ascii="Palatino Linotype" w:eastAsia="Palatino Linotype" w:hAnsi="Palatino Linotype" w:cs="Palatino Linotype"/>
          <w:i/>
          <w:sz w:val="22"/>
          <w:szCs w:val="22"/>
        </w:rPr>
        <w:t>:</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Aquéllos que tengan esa calidad en razón de la naturaleza de las funciones que desempeñen y no de la designación que se dé al puesto.</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Sin que lo anterior implique o signifique transgredir derechos laborales, sociales o colectivos adquiridos por los trabajadores.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consideran funciones de confianza las de dirección, supervisión e inspección que realizan los integrantes del Sistema Educativo Estatal en los planteles educativos del propio sistema.</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Son servidores públicos por tiempo indeterminado quienes sean nombrados con tal carácter en plazas presupuestales</w:t>
      </w:r>
      <w:r>
        <w:rPr>
          <w:rFonts w:ascii="Palatino Linotype" w:eastAsia="Palatino Linotype" w:hAnsi="Palatino Linotype" w:cs="Palatino Linotype"/>
          <w:i/>
          <w:sz w:val="22"/>
          <w:szCs w:val="22"/>
        </w:rPr>
        <w:t xml:space="preserve">.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Son servidores públicos sujetos a una relación laboral por tiempo u obra determinados, aquéllos que presten sus servicios bajo esas condiciones</w:t>
      </w:r>
      <w:r>
        <w:rPr>
          <w:rFonts w:ascii="Palatino Linotype" w:eastAsia="Palatino Linotype" w:hAnsi="Palatino Linotype" w:cs="Palatino Linotype"/>
          <w:i/>
          <w:sz w:val="22"/>
          <w:szCs w:val="22"/>
        </w:rPr>
        <w:t xml:space="preserve">, en razón de que la naturaleza del servicio así lo exija.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nombramientos, contratos o formato único de Movimientos de Personal</w:t>
      </w:r>
      <w:r>
        <w:rPr>
          <w:rFonts w:ascii="Palatino Linotype" w:eastAsia="Palatino Linotype" w:hAnsi="Palatino Linotype" w:cs="Palatino Linotype"/>
          <w:i/>
          <w:sz w:val="22"/>
          <w:szCs w:val="22"/>
        </w:rPr>
        <w:t xml:space="preserve"> de los servidores públicos </w:t>
      </w:r>
      <w:r>
        <w:rPr>
          <w:rFonts w:ascii="Palatino Linotype" w:eastAsia="Palatino Linotype" w:hAnsi="Palatino Linotype" w:cs="Palatino Linotype"/>
          <w:b/>
          <w:i/>
          <w:sz w:val="22"/>
          <w:szCs w:val="22"/>
        </w:rPr>
        <w:t>deberán contener</w:t>
      </w:r>
      <w:r>
        <w:rPr>
          <w:rFonts w:ascii="Palatino Linotype" w:eastAsia="Palatino Linotype" w:hAnsi="Palatino Linotype" w:cs="Palatino Linotype"/>
          <w:i/>
          <w:sz w:val="22"/>
          <w:szCs w:val="22"/>
        </w:rPr>
        <w:t xml:space="preserve">: </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Cargo para el que es designado, fecha de inicio de sus servicios</w:t>
      </w:r>
      <w:r>
        <w:rPr>
          <w:rFonts w:ascii="Palatino Linotype" w:eastAsia="Palatino Linotype" w:hAnsi="Palatino Linotype" w:cs="Palatino Linotype"/>
          <w:i/>
          <w:sz w:val="22"/>
          <w:szCs w:val="22"/>
        </w:rPr>
        <w:t xml:space="preserve"> y lugar de adscripción;</w:t>
      </w:r>
    </w:p>
    <w:p w:rsidR="00591E54" w:rsidRDefault="003C6AE7">
      <w:pPr>
        <w:tabs>
          <w:tab w:val="left" w:pos="8222"/>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Carácter del nombramiento</w:t>
      </w:r>
      <w:r>
        <w:rPr>
          <w:rFonts w:ascii="Palatino Linotype" w:eastAsia="Palatino Linotype" w:hAnsi="Palatino Linotype" w:cs="Palatino Linotype"/>
          <w:i/>
          <w:sz w:val="22"/>
          <w:szCs w:val="22"/>
        </w:rPr>
        <w:t xml:space="preserve">, ya sea de servidores públicos </w:t>
      </w:r>
      <w:r>
        <w:rPr>
          <w:rFonts w:ascii="Palatino Linotype" w:eastAsia="Palatino Linotype" w:hAnsi="Palatino Linotype" w:cs="Palatino Linotype"/>
          <w:b/>
          <w:i/>
          <w:sz w:val="22"/>
          <w:szCs w:val="22"/>
        </w:rPr>
        <w:t>generales o de confianza, así como la temporalidad del mismo</w:t>
      </w:r>
      <w:r>
        <w:rPr>
          <w:rFonts w:ascii="Palatino Linotype" w:eastAsia="Palatino Linotype" w:hAnsi="Palatino Linotype" w:cs="Palatino Linotype"/>
          <w:i/>
          <w:sz w:val="22"/>
          <w:szCs w:val="22"/>
        </w:rPr>
        <w:t>;”</w:t>
      </w:r>
    </w:p>
    <w:p w:rsidR="00591E54" w:rsidRDefault="003C6AE7">
      <w:pPr>
        <w:tabs>
          <w:tab w:val="left" w:pos="8222"/>
        </w:tabs>
        <w:ind w:left="851"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tabs>
          <w:tab w:val="left" w:pos="8222"/>
        </w:tabs>
        <w:ind w:left="851" w:right="899"/>
        <w:jc w:val="both"/>
        <w:rPr>
          <w:rFonts w:ascii="Palatino Linotype" w:eastAsia="Palatino Linotype" w:hAnsi="Palatino Linotype" w:cs="Palatino Linotype"/>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Glosario de Términos Administrativos, de la Coordinación General de Estudios Administrativos del Instituto Nacional de Administración Pública, A. C. </w:t>
      </w:r>
      <w:r>
        <w:rPr>
          <w:rFonts w:ascii="Palatino Linotype" w:eastAsia="Palatino Linotype" w:hAnsi="Palatino Linotype" w:cs="Palatino Linotype"/>
        </w:rPr>
        <w:lastRenderedPageBreak/>
        <w:t xml:space="preserve">establece el concepto de personal a “lista de raya”, del cual se infiere el término que nos ocupa, tal y como se aprecia a continuación </w:t>
      </w:r>
    </w:p>
    <w:p w:rsidR="00591E54" w:rsidRDefault="00591E54">
      <w:pPr>
        <w:jc w:val="both"/>
        <w:rPr>
          <w:rFonts w:ascii="Palatino Linotype" w:eastAsia="Palatino Linotype" w:hAnsi="Palatino Linotype" w:cs="Palatino Linotype"/>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“PERSONAL A LISTA DE RAYA. </w:t>
      </w:r>
      <w:r>
        <w:rPr>
          <w:rFonts w:ascii="Palatino Linotype" w:eastAsia="Palatino Linotype" w:hAnsi="Palatino Linotype" w:cs="Palatino Linotype"/>
          <w:i/>
          <w:sz w:val="22"/>
          <w:szCs w:val="22"/>
        </w:rPr>
        <w:t xml:space="preserve">Lo integran los trabajadores temporales cuya relación laboral se formaliza por su inclusión en </w:t>
      </w:r>
      <w:r>
        <w:rPr>
          <w:rFonts w:ascii="Palatino Linotype" w:eastAsia="Palatino Linotype" w:hAnsi="Palatino Linotype" w:cs="Palatino Linotype"/>
          <w:b/>
          <w:i/>
          <w:sz w:val="22"/>
          <w:szCs w:val="22"/>
        </w:rPr>
        <w:t>nómina</w:t>
      </w:r>
      <w:r>
        <w:rPr>
          <w:rFonts w:ascii="Palatino Linotype" w:eastAsia="Palatino Linotype" w:hAnsi="Palatino Linotype" w:cs="Palatino Linotype"/>
          <w:i/>
          <w:sz w:val="22"/>
          <w:szCs w:val="22"/>
        </w:rPr>
        <w:t xml:space="preserve"> o documentos denominados </w:t>
      </w:r>
      <w:r>
        <w:rPr>
          <w:rFonts w:ascii="Palatino Linotype" w:eastAsia="Palatino Linotype" w:hAnsi="Palatino Linotype" w:cs="Palatino Linotype"/>
          <w:b/>
          <w:i/>
          <w:sz w:val="22"/>
          <w:szCs w:val="22"/>
        </w:rPr>
        <w:t>"Lista de Raya"</w:t>
      </w:r>
      <w:r>
        <w:rPr>
          <w:rFonts w:ascii="Palatino Linotype" w:eastAsia="Palatino Linotype" w:hAnsi="Palatino Linotype" w:cs="Palatino Linotype"/>
          <w:i/>
          <w:sz w:val="22"/>
          <w:szCs w:val="22"/>
        </w:rPr>
        <w:t xml:space="preserve"> y que, por lo tanto, carecen de nombramiento.”</w:t>
      </w:r>
    </w:p>
    <w:p w:rsidR="00591E54" w:rsidRDefault="003C6AE7">
      <w:pPr>
        <w:ind w:left="85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591E54" w:rsidRDefault="00591E54">
      <w:pPr>
        <w:ind w:left="851"/>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se apuntó, si bien nuestra legislación no establece la definición de “lista de raya” o “nómina de personal”,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estos términos son mencionados en diferentes ordenamientos legales; por ejemplo en el artículo 804 en su fracción II de la Ley Federal de Trabajo señala: </w:t>
      </w:r>
    </w:p>
    <w:p w:rsidR="00591E54" w:rsidRDefault="00591E54">
      <w:pPr>
        <w:jc w:val="both"/>
        <w:rPr>
          <w:rFonts w:ascii="Palatino Linotype" w:eastAsia="Palatino Linotype" w:hAnsi="Palatino Linotype" w:cs="Palatino Linotype"/>
        </w:rPr>
      </w:pPr>
    </w:p>
    <w:p w:rsidR="00591E54" w:rsidRDefault="003C6AE7">
      <w:pPr>
        <w:tabs>
          <w:tab w:val="right" w:pos="8505"/>
        </w:tabs>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591E54" w:rsidRDefault="003C6AE7">
      <w:pPr>
        <w:tabs>
          <w:tab w:val="right" w:pos="850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tabs>
          <w:tab w:val="right" w:pos="8505"/>
        </w:tabs>
        <w:ind w:left="851" w:right="902"/>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II. Listas de raya o nómina de personal</w:t>
      </w:r>
      <w:r>
        <w:rPr>
          <w:rFonts w:ascii="Palatino Linotype" w:eastAsia="Palatino Linotype" w:hAnsi="Palatino Linotype" w:cs="Palatino Linotype"/>
          <w:i/>
          <w:sz w:val="22"/>
          <w:szCs w:val="22"/>
        </w:rPr>
        <w:t>, cuando se lleven en el centro de trabajo; o recibos de pagos de salarios;</w:t>
      </w:r>
    </w:p>
    <w:p w:rsidR="00591E54" w:rsidRDefault="003C6AE7">
      <w:pPr>
        <w:tabs>
          <w:tab w:val="right" w:pos="850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tabs>
          <w:tab w:val="right" w:pos="8505"/>
        </w:tabs>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591E54" w:rsidRDefault="003C6AE7">
      <w:pPr>
        <w:tabs>
          <w:tab w:val="right" w:pos="8505"/>
        </w:tabs>
        <w:ind w:left="85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591E54" w:rsidRDefault="00591E54">
      <w:pPr>
        <w:tabs>
          <w:tab w:val="right" w:pos="8505"/>
        </w:tabs>
        <w:ind w:left="851"/>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establecido en dicho precepto legal, se advierte que la lista de raya consiste en registros conformados por el conjunto de trabajadores a los cuales se les va a remunerar por los </w:t>
      </w:r>
      <w:hyperlink r:id="rId35">
        <w:r>
          <w:rPr>
            <w:rFonts w:ascii="Palatino Linotype" w:eastAsia="Palatino Linotype" w:hAnsi="Palatino Linotype" w:cs="Palatino Linotype"/>
          </w:rPr>
          <w:t>servicios</w:t>
        </w:r>
      </w:hyperlink>
      <w:r>
        <w:rPr>
          <w:rFonts w:ascii="Palatino Linotype" w:eastAsia="Palatino Linotype" w:hAnsi="Palatino Linotype" w:cs="Palatino Linotype"/>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relación a ello, el artículo 50 de la Ley del Trabajo de los Servidores Públicos del Estado y Municipios, señala:</w:t>
      </w:r>
    </w:p>
    <w:p w:rsidR="00591E54" w:rsidRDefault="00591E54">
      <w:pPr>
        <w:jc w:val="both"/>
        <w:rPr>
          <w:rFonts w:ascii="Palatino Linotype" w:eastAsia="Palatino Linotype" w:hAnsi="Palatino Linotype" w:cs="Palatino Linotype"/>
        </w:rPr>
      </w:pP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591E54" w:rsidRDefault="003C6AE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Iguales consecuencias se generarán para todos los </w:t>
      </w:r>
      <w:r>
        <w:rPr>
          <w:rFonts w:ascii="Palatino Linotype" w:eastAsia="Palatino Linotype" w:hAnsi="Palatino Linotype" w:cs="Palatino Linotype"/>
          <w:b/>
          <w:i/>
          <w:sz w:val="22"/>
          <w:szCs w:val="22"/>
        </w:rPr>
        <w:t>servidores públicos, cuando la relación de trabajo se formalice mediante un contrato o por encontrarse en lista de raya</w:t>
      </w:r>
      <w:r>
        <w:rPr>
          <w:rFonts w:ascii="Palatino Linotype" w:eastAsia="Palatino Linotype" w:hAnsi="Palatino Linotype" w:cs="Palatino Linotype"/>
          <w:i/>
          <w:sz w:val="22"/>
          <w:szCs w:val="22"/>
        </w:rPr>
        <w:t>.”</w:t>
      </w:r>
    </w:p>
    <w:p w:rsidR="00591E54" w:rsidRDefault="003C6AE7">
      <w:pPr>
        <w:ind w:left="85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591E54" w:rsidRDefault="00591E54">
      <w:pPr>
        <w:ind w:left="851"/>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591E54" w:rsidRDefault="003C6AE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puntualizado lo anterior, se colige que la lista de raya contiene la información relativa a las remuneraciones de los servidores públicos temporales, por lo que para el caso de que no haya personal contratado por lista de raya, se dejan a salvo sus derechos a fin de que solo se pronuncie al respecto de la información requerida.</w:t>
      </w:r>
    </w:p>
    <w:p w:rsidR="00591E54" w:rsidRDefault="003C6AE7">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respecto al caso particular, de la situación de los servidores públicos sindicalizados, debe precisarse el contenido de los artículos 87, fracción I, 98, fracción XIV y 139, de la Ley del Trabajo de los Servidores Públicos del Estado y Municipios, mismos que son del tenor literal siguiente:</w:t>
      </w:r>
    </w:p>
    <w:p w:rsidR="00591E54" w:rsidRDefault="00591E54">
      <w:pPr>
        <w:widowControl w:val="0"/>
        <w:jc w:val="both"/>
        <w:rPr>
          <w:rFonts w:ascii="Palatino Linotype" w:eastAsia="Palatino Linotype" w:hAnsi="Palatino Linotype" w:cs="Palatino Linotype"/>
        </w:rPr>
      </w:pP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87. Los servidores públicos generales por tiempo indeterminado tendrán, además, los siguientes derechos</w:t>
      </w:r>
      <w:r>
        <w:rPr>
          <w:rFonts w:ascii="Palatino Linotype" w:eastAsia="Palatino Linotype" w:hAnsi="Palatino Linotype" w:cs="Palatino Linotype"/>
          <w:i/>
          <w:sz w:val="22"/>
          <w:szCs w:val="22"/>
        </w:rPr>
        <w:t>:</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Afiliarse al sindicato correspondiente</w:t>
      </w:r>
      <w:r>
        <w:rPr>
          <w:rFonts w:ascii="Palatino Linotype" w:eastAsia="Palatino Linotype" w:hAnsi="Palatino Linotype" w:cs="Palatino Linotype"/>
          <w:i/>
          <w:sz w:val="22"/>
          <w:szCs w:val="22"/>
        </w:rPr>
        <w:t>;</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 xml:space="preserve">Artículo 98. </w:t>
      </w:r>
      <w:r>
        <w:rPr>
          <w:rFonts w:ascii="Palatino Linotype" w:eastAsia="Palatino Linotype" w:hAnsi="Palatino Linotype" w:cs="Palatino Linotype"/>
          <w:b/>
          <w:i/>
          <w:sz w:val="22"/>
          <w:szCs w:val="22"/>
          <w:u w:val="single"/>
        </w:rPr>
        <w:t>Son obligaciones de las instituciones públicas</w:t>
      </w:r>
      <w:r>
        <w:rPr>
          <w:rFonts w:ascii="Palatino Linotype" w:eastAsia="Palatino Linotype" w:hAnsi="Palatino Linotype" w:cs="Palatino Linotype"/>
          <w:i/>
          <w:sz w:val="22"/>
          <w:szCs w:val="22"/>
        </w:rPr>
        <w:t>:</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XIV. </w:t>
      </w:r>
      <w:r>
        <w:rPr>
          <w:rFonts w:ascii="Palatino Linotype" w:eastAsia="Palatino Linotype" w:hAnsi="Palatino Linotype" w:cs="Palatino Linotype"/>
          <w:b/>
          <w:i/>
          <w:sz w:val="22"/>
          <w:szCs w:val="22"/>
          <w:u w:val="single"/>
        </w:rPr>
        <w:t>Hacer las deducciones que soliciten los sindicatos</w:t>
      </w:r>
      <w:r>
        <w:rPr>
          <w:rFonts w:ascii="Palatino Linotype" w:eastAsia="Palatino Linotype" w:hAnsi="Palatino Linotype" w:cs="Palatino Linotype"/>
          <w:i/>
          <w:sz w:val="22"/>
          <w:szCs w:val="22"/>
        </w:rPr>
        <w:t xml:space="preserve"> para cuotas u otros conceptos siempre que se ajusten a lo establecido en esta ley, Asimismo, </w:t>
      </w:r>
      <w:r>
        <w:rPr>
          <w:rFonts w:ascii="Palatino Linotype" w:eastAsia="Palatino Linotype" w:hAnsi="Palatino Linotype" w:cs="Palatino Linotype"/>
          <w:b/>
          <w:i/>
          <w:sz w:val="22"/>
          <w:szCs w:val="22"/>
          <w:u w:val="single"/>
        </w:rPr>
        <w:t>comunicar al sindicato las altas y bajas y demás información relativa a los servidores públicos sindicalizados</w:t>
      </w:r>
      <w:r>
        <w:rPr>
          <w:rFonts w:ascii="Palatino Linotype" w:eastAsia="Palatino Linotype" w:hAnsi="Palatino Linotype" w:cs="Palatino Linotype"/>
          <w:i/>
          <w:sz w:val="22"/>
          <w:szCs w:val="22"/>
        </w:rPr>
        <w:t xml:space="preserve"> para el ejercicio de los derechos que les correspondan;”</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138. </w:t>
      </w:r>
      <w:r>
        <w:rPr>
          <w:rFonts w:ascii="Palatino Linotype" w:eastAsia="Palatino Linotype" w:hAnsi="Palatino Linotype" w:cs="Palatino Linotype"/>
          <w:b/>
          <w:i/>
          <w:sz w:val="22"/>
          <w:szCs w:val="22"/>
          <w:u w:val="single"/>
        </w:rPr>
        <w:t>Sindicato es la asociación de servidores públicos generales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constituida para el estudio, mejoramiento y defensa de sus intereses comunes</w:t>
      </w:r>
      <w:r>
        <w:rPr>
          <w:rFonts w:ascii="Palatino Linotype" w:eastAsia="Palatino Linotype" w:hAnsi="Palatino Linotype" w:cs="Palatino Linotype"/>
          <w:i/>
          <w:sz w:val="22"/>
          <w:szCs w:val="22"/>
        </w:rPr>
        <w:t xml:space="preserve">. </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de los trabajadores del Subsistema Educativo Federalizado se reconoce a su Sindicato Nacional de Trabajadores de la Educación. </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reconocerán asimismo, a los demás sindicatos de servidores públicos que, en su caso, se incorporen a la administración pública estatal con motivo de procesos de descentralización federal.</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139.- </w:t>
      </w:r>
      <w:r>
        <w:rPr>
          <w:rFonts w:ascii="Palatino Linotype" w:eastAsia="Palatino Linotype" w:hAnsi="Palatino Linotype" w:cs="Palatino Linotype"/>
          <w:b/>
          <w:i/>
          <w:sz w:val="22"/>
          <w:szCs w:val="22"/>
          <w:u w:val="single"/>
        </w:rPr>
        <w:t>Los servidores públicos de confianza no podrán ser miembros de los sindicatos</w:t>
      </w:r>
      <w:r>
        <w:rPr>
          <w:rFonts w:ascii="Palatino Linotype" w:eastAsia="Palatino Linotype" w:hAnsi="Palatino Linotype" w:cs="Palatino Linotype"/>
          <w:i/>
          <w:sz w:val="22"/>
          <w:szCs w:val="22"/>
        </w:rPr>
        <w:t>. Cuando los servidores públicos sindicalizados desempeñen un puesto de confianza, deberán cumplir con lo establecido en el artículo 11 de la presente Ley.</w:t>
      </w:r>
    </w:p>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Ningún servidor público podrá ser obligado a formar parte de un sindicato</w:t>
      </w:r>
      <w:r>
        <w:rPr>
          <w:rFonts w:ascii="Palatino Linotype" w:eastAsia="Palatino Linotype" w:hAnsi="Palatino Linotype" w:cs="Palatino Linotype"/>
          <w:i/>
          <w:sz w:val="22"/>
          <w:szCs w:val="22"/>
        </w:rPr>
        <w:t xml:space="preserve">, o bien a no formar parte de él, </w:t>
      </w:r>
      <w:r>
        <w:rPr>
          <w:rFonts w:ascii="Palatino Linotype" w:eastAsia="Palatino Linotype" w:hAnsi="Palatino Linotype" w:cs="Palatino Linotype"/>
          <w:b/>
          <w:i/>
          <w:sz w:val="22"/>
          <w:szCs w:val="22"/>
          <w:u w:val="single"/>
        </w:rPr>
        <w:t>pero una vez que soliciten y obtengan su ingreso, no podrán dejar de formar parte de él</w:t>
      </w:r>
      <w:r>
        <w:rPr>
          <w:rFonts w:ascii="Palatino Linotype" w:eastAsia="Palatino Linotype" w:hAnsi="Palatino Linotype" w:cs="Palatino Linotype"/>
          <w:i/>
          <w:sz w:val="22"/>
          <w:szCs w:val="22"/>
        </w:rPr>
        <w:t>, salvo que fueran expulsados.”</w:t>
      </w:r>
    </w:p>
    <w:p w:rsidR="00591E54" w:rsidRDefault="003C6AE7">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ind w:left="709" w:right="709"/>
        <w:jc w:val="both"/>
        <w:rPr>
          <w:rFonts w:ascii="Palatino Linotype" w:eastAsia="Palatino Linotype" w:hAnsi="Palatino Linotype" w:cs="Palatino Linotype"/>
          <w:sz w:val="22"/>
          <w:szCs w:val="22"/>
        </w:rPr>
      </w:pPr>
    </w:p>
    <w:p w:rsidR="00591E54" w:rsidRDefault="003C6AE7">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591E54" w:rsidRDefault="00591E54">
      <w:pPr>
        <w:widowControl w:val="0"/>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se determina ordenar su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w:t>
      </w:r>
      <w:r>
        <w:rPr>
          <w:rFonts w:ascii="Palatino Linotype" w:eastAsia="Palatino Linotype" w:hAnsi="Palatino Linotype" w:cs="Palatino Linotype"/>
        </w:rPr>
        <w:t>,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relación a la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 xml:space="preserve">de la información de la que se ordena su entrega, en términos del artículo 143 de la Ley de Transparencia y Acceso a la Información Pública del Estado de México y Municipios, deberá omitirse, eliminarse o suprimirse la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y de conformidad con lo establecido en líneas anteriores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w:t>
      </w:r>
      <w:r>
        <w:rPr>
          <w:rFonts w:ascii="Palatino Linotype" w:eastAsia="Palatino Linotype" w:hAnsi="Palatino Linotype" w:cs="Palatino Linotype"/>
        </w:rPr>
        <w:lastRenderedPageBreak/>
        <w:t>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los documentos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ha de entregar en </w:t>
      </w:r>
      <w:r>
        <w:rPr>
          <w:rFonts w:ascii="Palatino Linotype" w:eastAsia="Palatino Linotype" w:hAnsi="Palatino Linotype" w:cs="Palatino Linotype"/>
          <w:b/>
        </w:rPr>
        <w:t>versión pública</w:t>
      </w:r>
      <w:r>
        <w:rPr>
          <w:rFonts w:ascii="Palatino Linotype" w:eastAsia="Palatino Linotype" w:hAnsi="Palatino Linotype" w:cs="Palatino Linotype"/>
        </w:rPr>
        <w:t>, se deberá omitir, eliminar o suprimir la información personal de los servidores públicos, como Registro Federal de Contribuyentes (RFC), Clave Única de Registro de Población (CURP), clave del Instituto de Seguridad Social del Estado de México y Municipios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rPr>
        <w:t xml:space="preserve">, </w:t>
      </w:r>
      <w:r>
        <w:rPr>
          <w:rFonts w:ascii="Palatino Linotype" w:eastAsia="Palatino Linotype" w:hAnsi="Palatino Linotype" w:cs="Palatino Linotype"/>
          <w:b/>
        </w:rPr>
        <w:t>número de cuenta</w:t>
      </w:r>
      <w:r>
        <w:rPr>
          <w:rFonts w:ascii="Palatino Linotype" w:eastAsia="Palatino Linotype" w:hAnsi="Palatino Linotype" w:cs="Palatino Linotype"/>
        </w:rPr>
        <w:t xml:space="preserve"> o cualquier otro dato que ponga en riesgo la vida, seguridad y salud de dichas personas.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específico de la nómina solicitada, obran datos que son considerados confidenciales, cuyo acceso debe ser restringido, los cuales deben testarse al momento de la elaboración de versiones públicas, como es el caso del RFC, CURP, la Clave de cualquier tipo de seguridad social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u otros), así como, los préstamos o descuentos de carácter personal</w:t>
      </w:r>
      <w:r>
        <w:rPr>
          <w:rFonts w:ascii="Palatino Linotype" w:eastAsia="Palatino Linotype" w:hAnsi="Palatino Linotype" w:cs="Palatino Linotype"/>
          <w:b/>
        </w:rPr>
        <w:t xml:space="preserve"> </w:t>
      </w:r>
      <w:r>
        <w:rPr>
          <w:rFonts w:ascii="Palatino Linotype" w:eastAsia="Palatino Linotype" w:hAnsi="Palatino Linotype" w:cs="Palatino Linotype"/>
        </w:rPr>
        <w:t>que se le hagan al servidor público ya que el ISR es un descuento pero no es público.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para su obtención es necesario acreditar personalidad, fecha de nacimiento entre otros con documentos oficiales.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Al respecto, es aplicable el Criterio 19/17 de la Segunda Época, emitido por el Instituto Nacional de Transparencia, Acceso a la Información y Protección de Datos Personales, que dice:</w:t>
      </w:r>
      <w:r>
        <w:rPr>
          <w:rFonts w:ascii="Palatino Linotype" w:eastAsia="Palatino Linotype" w:hAnsi="Palatino Linotype" w:cs="Palatino Linotype"/>
          <w:b/>
        </w:rPr>
        <w:t xml:space="preserve"> </w:t>
      </w:r>
    </w:p>
    <w:p w:rsidR="00591E54" w:rsidRDefault="00591E54">
      <w:pPr>
        <w:spacing w:line="360" w:lineRule="auto"/>
        <w:jc w:val="both"/>
        <w:rPr>
          <w:rFonts w:ascii="Palatino Linotype" w:eastAsia="Palatino Linotype" w:hAnsi="Palatino Linotype" w:cs="Palatino Linotype"/>
          <w:b/>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Federal de Contribuyentes (RFC) de personas físicas. El RFC es una clave</w:t>
      </w:r>
      <w:r>
        <w:rPr>
          <w:rFonts w:ascii="Palatino Linotype" w:eastAsia="Palatino Linotype" w:hAnsi="Palatino Linotype" w:cs="Palatino Linotype"/>
          <w:i/>
          <w:sz w:val="22"/>
          <w:szCs w:val="22"/>
        </w:rPr>
        <w:t xml:space="preserve"> de carácter fiscal, </w:t>
      </w:r>
      <w:proofErr w:type="gramStart"/>
      <w:r>
        <w:rPr>
          <w:rFonts w:ascii="Palatino Linotype" w:eastAsia="Palatino Linotype" w:hAnsi="Palatino Linotype" w:cs="Palatino Linotype"/>
          <w:i/>
          <w:sz w:val="22"/>
          <w:szCs w:val="22"/>
        </w:rPr>
        <w:t>única</w:t>
      </w:r>
      <w:proofErr w:type="gramEnd"/>
      <w:r>
        <w:rPr>
          <w:rFonts w:ascii="Palatino Linotype" w:eastAsia="Palatino Linotype" w:hAnsi="Palatino Linotype" w:cs="Palatino Linotype"/>
          <w:i/>
          <w:sz w:val="22"/>
          <w:szCs w:val="22"/>
        </w:rPr>
        <w:t xml:space="preserve"> e irrepetible, </w:t>
      </w:r>
      <w:r>
        <w:rPr>
          <w:rFonts w:ascii="Palatino Linotype" w:eastAsia="Palatino Linotype" w:hAnsi="Palatino Linotype" w:cs="Palatino Linotype"/>
          <w:b/>
          <w:i/>
          <w:sz w:val="22"/>
          <w:szCs w:val="22"/>
        </w:rPr>
        <w:t>que permite identificar al titular, su edad y fecha de nacimiento</w:t>
      </w:r>
      <w:r>
        <w:rPr>
          <w:rFonts w:ascii="Palatino Linotype" w:eastAsia="Palatino Linotype" w:hAnsi="Palatino Linotype" w:cs="Palatino Linotype"/>
          <w:i/>
          <w:sz w:val="22"/>
          <w:szCs w:val="22"/>
        </w:rPr>
        <w:t xml:space="preserve">, por lo que </w:t>
      </w:r>
      <w:r>
        <w:rPr>
          <w:rFonts w:ascii="Palatino Linotype" w:eastAsia="Palatino Linotype" w:hAnsi="Palatino Linotype" w:cs="Palatino Linotype"/>
          <w:b/>
          <w:i/>
          <w:sz w:val="22"/>
          <w:szCs w:val="22"/>
        </w:rPr>
        <w:t>es un dato personal de carácter confidencial</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0189/17. Morena. 08 de febrero de 2017. Por unanimidad. Comisionado Ponente Joel Salas Suárez.</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Pr>
          <w:rFonts w:ascii="Palatino Linotype" w:eastAsia="Palatino Linotype" w:hAnsi="Palatino Linotype" w:cs="Palatino Linotype"/>
          <w:i/>
          <w:sz w:val="22"/>
          <w:szCs w:val="22"/>
        </w:rPr>
        <w:t>Rosendoevgueni</w:t>
      </w:r>
      <w:proofErr w:type="spellEnd"/>
      <w:r>
        <w:rPr>
          <w:rFonts w:ascii="Palatino Linotype" w:eastAsia="Palatino Linotype" w:hAnsi="Palatino Linotype" w:cs="Palatino Linotype"/>
          <w:i/>
          <w:sz w:val="22"/>
          <w:szCs w:val="22"/>
        </w:rPr>
        <w:t xml:space="preserve"> Monterrey </w:t>
      </w:r>
      <w:proofErr w:type="spellStart"/>
      <w:r>
        <w:rPr>
          <w:rFonts w:ascii="Palatino Linotype" w:eastAsia="Palatino Linotype" w:hAnsi="Palatino Linotype" w:cs="Palatino Linotype"/>
          <w:i/>
          <w:sz w:val="22"/>
          <w:szCs w:val="22"/>
        </w:rPr>
        <w:t>Chepov</w:t>
      </w:r>
      <w:proofErr w:type="spellEnd"/>
      <w:r>
        <w:rPr>
          <w:rFonts w:ascii="Palatino Linotype" w:eastAsia="Palatino Linotype" w:hAnsi="Palatino Linotype" w:cs="Palatino Linotype"/>
          <w:i/>
          <w:sz w:val="22"/>
          <w:szCs w:val="22"/>
        </w:rPr>
        <w:t xml:space="preserve">. </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ind w:left="851" w:right="902"/>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el RFC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 Al incorporar a una persona en el Registro Nacional de Población</w:t>
      </w:r>
      <w:r>
        <w:rPr>
          <w:rFonts w:ascii="Palatino Linotype" w:eastAsia="Palatino Linotype" w:hAnsi="Palatino Linotype" w:cs="Palatino Linotype"/>
          <w:i/>
          <w:sz w:val="22"/>
          <w:szCs w:val="22"/>
        </w:rPr>
        <w:t xml:space="preserve">, se le asignará una clave </w:t>
      </w:r>
      <w:r>
        <w:rPr>
          <w:rFonts w:ascii="Palatino Linotype" w:eastAsia="Palatino Linotype" w:hAnsi="Palatino Linotype" w:cs="Palatino Linotype"/>
          <w:b/>
          <w:i/>
          <w:sz w:val="22"/>
          <w:szCs w:val="22"/>
        </w:rPr>
        <w:t>que se denominará Clave Única de Registro de Población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 servirá para</w:t>
      </w:r>
      <w:r>
        <w:rPr>
          <w:rFonts w:ascii="Palatino Linotype" w:eastAsia="Palatino Linotype" w:hAnsi="Palatino Linotype" w:cs="Palatino Linotype"/>
          <w:i/>
          <w:sz w:val="22"/>
          <w:szCs w:val="22"/>
        </w:rPr>
        <w:t xml:space="preserve"> registrarla e </w:t>
      </w:r>
      <w:r>
        <w:rPr>
          <w:rFonts w:ascii="Palatino Linotype" w:eastAsia="Palatino Linotype" w:hAnsi="Palatino Linotype" w:cs="Palatino Linotype"/>
          <w:b/>
          <w:i/>
          <w:sz w:val="22"/>
          <w:szCs w:val="22"/>
        </w:rPr>
        <w:t>identificarla en forma individual</w:t>
      </w:r>
      <w:r>
        <w:rPr>
          <w:rFonts w:ascii="Palatino Linotype" w:eastAsia="Palatino Linotype" w:hAnsi="Palatino Linotype" w:cs="Palatino Linotype"/>
          <w:i/>
          <w:sz w:val="22"/>
          <w:szCs w:val="22"/>
        </w:rPr>
        <w:t xml:space="preserve">.” </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w:t>
      </w:r>
      <w:r>
        <w:rPr>
          <w:rFonts w:ascii="Palatino Linotype" w:eastAsia="Palatino Linotype" w:hAnsi="Palatino Linotype" w:cs="Palatino Linotype"/>
        </w:rPr>
        <w:lastRenderedPageBreak/>
        <w:t xml:space="preserve">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 Única de Registro de Población (CURP).</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Clave Única de Registro de Población se integra por datos personales que sólo conciernen al particular titular</w:t>
      </w:r>
      <w:r>
        <w:rPr>
          <w:rFonts w:ascii="Palatino Linotype" w:eastAsia="Palatino Linotype" w:hAnsi="Palatino Linotype" w:cs="Palatino Linotype"/>
          <w:i/>
          <w:sz w:val="22"/>
          <w:szCs w:val="22"/>
        </w:rPr>
        <w:t xml:space="preserve"> de la misma, </w:t>
      </w:r>
      <w:r>
        <w:rPr>
          <w:rFonts w:ascii="Palatino Linotype" w:eastAsia="Palatino Linotype" w:hAnsi="Palatino Linotype" w:cs="Palatino Linotype"/>
          <w:b/>
          <w:i/>
          <w:sz w:val="22"/>
          <w:szCs w:val="22"/>
        </w:rPr>
        <w:t>como lo son su nombre, apellidos, fecha de nacimiento, lugar de nacimiento y sexo</w:t>
      </w:r>
      <w:r>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Pr>
          <w:rFonts w:ascii="Palatino Linotype" w:eastAsia="Palatino Linotype" w:hAnsi="Palatino Linotype" w:cs="Palatino Linotype"/>
          <w:b/>
          <w:i/>
          <w:sz w:val="22"/>
          <w:szCs w:val="22"/>
        </w:rPr>
        <w:t>por lo que la CURP está considerada como información confidencial</w:t>
      </w:r>
      <w:r>
        <w:rPr>
          <w:rFonts w:ascii="Palatino Linotype" w:eastAsia="Palatino Linotype" w:hAnsi="Palatino Linotype" w:cs="Palatino Linotype"/>
          <w:i/>
          <w:sz w:val="22"/>
          <w:szCs w:val="22"/>
        </w:rPr>
        <w:t xml:space="preserve">. </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Pr>
          <w:rFonts w:ascii="Palatino Linotype" w:eastAsia="Palatino Linotype" w:hAnsi="Palatino Linotype" w:cs="Palatino Linotype"/>
          <w:i/>
          <w:sz w:val="22"/>
          <w:szCs w:val="22"/>
        </w:rPr>
        <w:t>Rosendoevgueni</w:t>
      </w:r>
      <w:proofErr w:type="spellEnd"/>
      <w:r>
        <w:rPr>
          <w:rFonts w:ascii="Palatino Linotype" w:eastAsia="Palatino Linotype" w:hAnsi="Palatino Linotype" w:cs="Palatino Linotype"/>
          <w:i/>
          <w:sz w:val="22"/>
          <w:szCs w:val="22"/>
        </w:rPr>
        <w:t xml:space="preserve"> Monterrey </w:t>
      </w:r>
      <w:proofErr w:type="spellStart"/>
      <w:r>
        <w:rPr>
          <w:rFonts w:ascii="Palatino Linotype" w:eastAsia="Palatino Linotype" w:hAnsi="Palatino Linotype" w:cs="Palatino Linotype"/>
          <w:i/>
          <w:sz w:val="22"/>
          <w:szCs w:val="22"/>
        </w:rPr>
        <w:t>Chepov</w:t>
      </w:r>
      <w:proofErr w:type="spellEnd"/>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ind w:left="851" w:right="902"/>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w:t>
      </w:r>
      <w:r>
        <w:rPr>
          <w:rFonts w:ascii="Palatino Linotype" w:eastAsia="Palatino Linotype" w:hAnsi="Palatino Linotype" w:cs="Palatino Linotype"/>
        </w:rPr>
        <w:lastRenderedPageBreak/>
        <w:t>artículos 2, fracción II de la Ley de Transparencia y Acceso a la Información Pública del Estado de México y Municipios y 4, fracción XI de la Ley de Protección de Datos Personales en Posesión de Sujetos Obligados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Clave de cualquier tipo de seguridad social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91E54" w:rsidRDefault="00591E54">
      <w:pPr>
        <w:spacing w:line="360" w:lineRule="auto"/>
        <w:jc w:val="both"/>
        <w:rPr>
          <w:rFonts w:ascii="Palatino Linotype" w:eastAsia="Palatino Linotype" w:hAnsi="Palatino Linotype" w:cs="Palatino Linotype"/>
        </w:rPr>
      </w:pP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xml:space="preserve">, en relación con las </w:t>
      </w:r>
      <w:r>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91E54" w:rsidRDefault="003C6AE7">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se denota que la información requerida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llevar a cabo esta función, los cuerpos policiales realizan actividades tales como la recuperación territorial de los espacios públicos para la comunidad y el </w:t>
      </w:r>
      <w:r>
        <w:rPr>
          <w:rFonts w:ascii="Palatino Linotype" w:eastAsia="Palatino Linotype" w:hAnsi="Palatino Linotype" w:cs="Palatino Linotype"/>
        </w:rPr>
        <w:lastRenderedPageBreak/>
        <w:t>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si bien se determina que debe protegerse de los nombres de los servidores públicos adscritos a la Dirección General de Seguridad Pública,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w:t>
      </w:r>
      <w:r>
        <w:rPr>
          <w:rFonts w:ascii="Palatino Linotype" w:eastAsia="Palatino Linotype" w:hAnsi="Palatino Linotype" w:cs="Palatino Linotype"/>
        </w:rPr>
        <w:lastRenderedPageBreak/>
        <w:t>públicos, empero su difusión conlleve a un riesgo en la integridad física y moral de los titulares de los datos.</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591E54" w:rsidRDefault="00591E54">
      <w:pPr>
        <w:spacing w:line="360" w:lineRule="auto"/>
        <w:jc w:val="both"/>
        <w:rPr>
          <w:rFonts w:ascii="Palatino Linotype" w:eastAsia="Palatino Linotype" w:hAnsi="Palatino Linotype" w:cs="Palatino Linotype"/>
        </w:rPr>
      </w:pPr>
    </w:p>
    <w:p w:rsidR="00591E54" w:rsidRDefault="003C6AE7">
      <w:pPr>
        <w:ind w:left="709" w:right="75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Para los efectos de esta Ley se entenderá por:</w:t>
      </w:r>
    </w:p>
    <w:p w:rsidR="00591E54" w:rsidRDefault="00591E54">
      <w:pPr>
        <w:widowControl w:val="0"/>
        <w:ind w:left="709" w:right="757"/>
        <w:jc w:val="both"/>
        <w:rPr>
          <w:rFonts w:ascii="Palatino Linotype" w:eastAsia="Palatino Linotype" w:hAnsi="Palatino Linotype" w:cs="Palatino Linotype"/>
          <w:i/>
          <w:sz w:val="22"/>
          <w:szCs w:val="22"/>
        </w:rPr>
      </w:pPr>
    </w:p>
    <w:p w:rsidR="00591E54" w:rsidRDefault="003C6AE7">
      <w:pPr>
        <w:widowControl w:val="0"/>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 Disociación</w:t>
      </w:r>
      <w:r>
        <w:rPr>
          <w:rFonts w:ascii="Palatino Linotype" w:eastAsia="Palatino Linotype" w:hAnsi="Palatino Linotype" w:cs="Palatino Linotype"/>
          <w:i/>
          <w:sz w:val="22"/>
          <w:szCs w:val="22"/>
        </w:rPr>
        <w:t>: al procedimiento por el que los datos personales no pueden asociarse a la o el titular, ni permitir por su estructura, contenido o grado de desagregación, la identificación individual del mismo.</w:t>
      </w:r>
    </w:p>
    <w:p w:rsidR="00591E54" w:rsidRDefault="00591E54">
      <w:pPr>
        <w:widowControl w:val="0"/>
        <w:ind w:left="709" w:right="757"/>
        <w:jc w:val="both"/>
        <w:rPr>
          <w:rFonts w:ascii="Palatino Linotype" w:eastAsia="Palatino Linotype" w:hAnsi="Palatino Linotype" w:cs="Palatino Linotype"/>
          <w:i/>
          <w:sz w:val="22"/>
          <w:szCs w:val="22"/>
        </w:rPr>
      </w:pPr>
    </w:p>
    <w:p w:rsidR="00591E54" w:rsidRDefault="003C6AE7">
      <w:pPr>
        <w:widowControl w:val="0"/>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591E54" w:rsidRDefault="00591E54">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91E54" w:rsidRDefault="003C6AE7">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rsidR="00591E54" w:rsidRDefault="003C6AE7">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es importante resaltar que, de conformidad con los artículos 18 y 19 de la Ley de Transparencia y Acceso a la Información Pública del Estado de México y Municipios los sujetos obligados deben documentar todo acto que derive del ejercicio de sus facultades, competencias o funciones y que se presume que la información debe existir si se refiere a dichas facultades, competencias y/o funciones. Por ello, este Instituto estima que es dable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realice una </w:t>
      </w:r>
      <w:r>
        <w:rPr>
          <w:rFonts w:ascii="Palatino Linotype" w:eastAsia="Palatino Linotype" w:hAnsi="Palatino Linotype" w:cs="Palatino Linotype"/>
          <w:b/>
          <w:color w:val="000000"/>
        </w:rPr>
        <w:t xml:space="preserve">búsqueda exhaustiva y razonable </w:t>
      </w:r>
      <w:r>
        <w:rPr>
          <w:rFonts w:ascii="Palatino Linotype" w:eastAsia="Palatino Linotype" w:hAnsi="Palatino Linotype" w:cs="Palatino Linotype"/>
          <w:color w:val="000000"/>
        </w:rPr>
        <w:t xml:space="preserve">en sus archivos, a fin de localizar la información solicitada por la particular y entregarla, en </w:t>
      </w:r>
      <w:r>
        <w:rPr>
          <w:rFonts w:ascii="Palatino Linotype" w:eastAsia="Palatino Linotype" w:hAnsi="Palatino Linotype" w:cs="Palatino Linotype"/>
          <w:b/>
          <w:color w:val="000000"/>
        </w:rPr>
        <w:t>versión pública</w:t>
      </w:r>
      <w:r>
        <w:rPr>
          <w:rFonts w:ascii="Palatino Linotype" w:eastAsia="Palatino Linotype" w:hAnsi="Palatino Linotype" w:cs="Palatino Linotype"/>
          <w:color w:val="000000"/>
        </w:rPr>
        <w:t xml:space="preserve"> de ser procedente, en la vía requerida.</w:t>
      </w:r>
    </w:p>
    <w:p w:rsidR="00591E54" w:rsidRDefault="00591E54">
      <w:pPr>
        <w:spacing w:before="280"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ese sentido, es de precisar que </w:t>
      </w:r>
      <w:r>
        <w:rPr>
          <w:rFonts w:ascii="Palatino Linotype" w:eastAsia="Palatino Linotype" w:hAnsi="Palatino Linotype" w:cs="Palatino Linotype"/>
          <w:color w:val="0D0D0D"/>
        </w:rPr>
        <w:t xml:space="preserve">la clasificación de la información no se da por el simple mandato de la Ley, sino que </w:t>
      </w:r>
      <w:r>
        <w:rPr>
          <w:rFonts w:ascii="Palatino Linotype" w:eastAsia="Palatino Linotype" w:hAnsi="Palatino Linotype" w:cs="Palatino Linotype"/>
        </w:rPr>
        <w:t xml:space="preserve">es necesario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cuando clasifique algún documento o información, ya sea todo o en parte, debe atender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91E54" w:rsidRDefault="00591E54">
      <w:pPr>
        <w:spacing w:line="360" w:lineRule="auto"/>
        <w:jc w:val="both"/>
        <w:rPr>
          <w:rFonts w:ascii="Palatino Linotype" w:eastAsia="Palatino Linotype" w:hAnsi="Palatino Linotype" w:cs="Palatino Linotype"/>
          <w:color w:val="000000"/>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en términos del artículo 143 de la Ley de Transparencia y Acceso a la Información Pública del Estado de México y Municipios, se deberá proceder a clasificar la información requerida </w:t>
      </w:r>
      <w:r>
        <w:rPr>
          <w:rFonts w:ascii="Palatino Linotype" w:eastAsia="Palatino Linotype" w:hAnsi="Palatino Linotype" w:cs="Palatino Linotype"/>
        </w:rPr>
        <w:t xml:space="preserve">mediante las formalidades de Ley, es decir, que el Comité de </w:t>
      </w:r>
      <w:r>
        <w:rPr>
          <w:rFonts w:ascii="Palatino Linotype" w:eastAsia="Palatino Linotype" w:hAnsi="Palatino Linotype" w:cs="Palatino Linotype"/>
        </w:rPr>
        <w:lastRenderedPageBreak/>
        <w:t xml:space="preserve">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términos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91E54" w:rsidRDefault="00591E54">
      <w:pPr>
        <w:ind w:left="709" w:right="709"/>
        <w:jc w:val="center"/>
        <w:rPr>
          <w:rFonts w:ascii="Palatino Linotype" w:eastAsia="Palatino Linotype" w:hAnsi="Palatino Linotype" w:cs="Palatino Linotype"/>
          <w:b/>
          <w:i/>
          <w:sz w:val="22"/>
          <w:szCs w:val="22"/>
        </w:rPr>
      </w:pPr>
    </w:p>
    <w:p w:rsidR="00591E54" w:rsidRDefault="003C6AE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Aprobar</w:t>
      </w:r>
      <w:r>
        <w:rPr>
          <w:rFonts w:ascii="Palatino Linotype" w:eastAsia="Palatino Linotype" w:hAnsi="Palatino Linotype" w:cs="Palatino Linotype"/>
          <w:i/>
          <w:sz w:val="22"/>
          <w:szCs w:val="22"/>
        </w:rPr>
        <w:t xml:space="preserve">, modificar o revocar </w:t>
      </w:r>
      <w:r>
        <w:rPr>
          <w:rFonts w:ascii="Palatino Linotype" w:eastAsia="Palatino Linotype" w:hAnsi="Palatino Linotype" w:cs="Palatino Linotype"/>
          <w:b/>
          <w:i/>
          <w:sz w:val="22"/>
          <w:szCs w:val="22"/>
          <w:u w:val="single"/>
        </w:rPr>
        <w:t>la clasificación de la información</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determine mediante resolución de autoridad competente</w:t>
      </w:r>
      <w:r>
        <w:rPr>
          <w:rFonts w:ascii="Palatino Linotype" w:eastAsia="Palatino Linotype" w:hAnsi="Palatino Linotype" w:cs="Palatino Linotype"/>
          <w:i/>
          <w:sz w:val="22"/>
          <w:szCs w:val="22"/>
        </w:rPr>
        <w:t>; o</w:t>
      </w:r>
    </w:p>
    <w:p w:rsidR="00591E54" w:rsidRDefault="003C6AE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u w:val="single"/>
        </w:rPr>
        <w:t>confidencial, de manera total</w:t>
      </w:r>
      <w:r>
        <w:rPr>
          <w:rFonts w:ascii="Palatino Linotype" w:eastAsia="Palatino Linotype" w:hAnsi="Palatino Linotype" w:cs="Palatino Linotype"/>
          <w:i/>
          <w:sz w:val="22"/>
          <w:szCs w:val="22"/>
        </w:rPr>
        <w:t xml:space="preserve"> o parcial, </w:t>
      </w:r>
      <w:r>
        <w:rPr>
          <w:rFonts w:ascii="Palatino Linotype" w:eastAsia="Palatino Linotype" w:hAnsi="Palatino Linotype" w:cs="Palatino Linotype"/>
          <w:b/>
          <w:i/>
          <w:sz w:val="22"/>
          <w:szCs w:val="22"/>
          <w:u w:val="single"/>
        </w:rPr>
        <w:t>el titular del área del sujeto obligado deberá atender lo dispuesto por el Título Sexto de la Ley General, en relación con las disposiciones contenidas en los presentes lineamientos</w:t>
      </w:r>
      <w:r>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 previstos en</w:t>
      </w:r>
      <w:r>
        <w:rPr>
          <w:rFonts w:ascii="Palatino Linotype" w:eastAsia="Palatino Linotype" w:hAnsi="Palatino Linotype" w:cs="Palatino Linotype"/>
          <w:i/>
          <w:sz w:val="22"/>
          <w:szCs w:val="22"/>
        </w:rPr>
        <w:t xml:space="preserve"> la Ley General, la Ley Federal y </w:t>
      </w:r>
      <w:r>
        <w:rPr>
          <w:rFonts w:ascii="Palatino Linotype" w:eastAsia="Palatino Linotype" w:hAnsi="Palatino Linotype" w:cs="Palatino Linotype"/>
          <w:b/>
          <w:i/>
          <w:sz w:val="22"/>
          <w:szCs w:val="22"/>
          <w:u w:val="single"/>
        </w:rPr>
        <w:t>leyes estatales, corresponderá a los sujetos obligados, por lo que deberán fundar y motivar debidamente la clasificación de la información ante una solicitud de acceso</w:t>
      </w:r>
      <w:r>
        <w:rPr>
          <w:rFonts w:ascii="Palatino Linotype" w:eastAsia="Palatino Linotype" w:hAnsi="Palatino Linotype" w:cs="Palatino Linotype"/>
          <w:i/>
          <w:sz w:val="22"/>
          <w:szCs w:val="22"/>
        </w:rPr>
        <w:t xml:space="preserve"> o al momento en que generen versiones públicas para dar cumplimiento a las obligaciones de </w:t>
      </w:r>
      <w:r>
        <w:rPr>
          <w:rFonts w:ascii="Palatino Linotype" w:eastAsia="Palatino Linotype" w:hAnsi="Palatino Linotype" w:cs="Palatino Linotype"/>
          <w:i/>
          <w:sz w:val="22"/>
          <w:szCs w:val="22"/>
        </w:rPr>
        <w:lastRenderedPageBreak/>
        <w:t>transparencia, observando lo dispuesto en la Ley General y las demás disposiciones aplicables en la materia.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expedientes como reservados, ni clasificar documentos antes de que se genere la información o cuando éstos no obren en sus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 clasificación de información se realizará conforme a un análisis caso por caso</w:t>
      </w:r>
      <w:r>
        <w:rPr>
          <w:rFonts w:ascii="Palatino Linotype" w:eastAsia="Palatino Linotype" w:hAnsi="Palatino Linotype" w:cs="Palatino Linotype"/>
          <w:i/>
          <w:sz w:val="22"/>
          <w:szCs w:val="22"/>
        </w:rPr>
        <w:t>, mediante la aplicación de la prueba de daño y de interés público.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clasificación de la información se llevará a cabo en el momento en que</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determine mediante resolución de autoridad competente</w:t>
      </w:r>
      <w:r>
        <w:rPr>
          <w:rFonts w:ascii="Palatino Linotype" w:eastAsia="Palatino Linotype" w:hAnsi="Palatino Linotype" w:cs="Palatino Linotype"/>
          <w:i/>
          <w:sz w:val="22"/>
          <w:szCs w:val="22"/>
        </w:rPr>
        <w:t>, 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fundar la clasificación de la información se debe señalar el artículo, fracción, inciso, párrafo o numeral de la ley o tratado internacional suscrito por el Estado mexicano que expresamente le otorga el carácter de</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u w:val="single"/>
        </w:rPr>
        <w:t>confidencial</w:t>
      </w: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Para motivar la clasificación se deberán señalar las razones o circunstancias especiales que lo llevaron a concluir que el caso particular se ajusta al supuesto previsto por la norma legal invocada </w:t>
      </w:r>
      <w:r>
        <w:rPr>
          <w:rFonts w:ascii="Palatino Linotype" w:eastAsia="Palatino Linotype" w:hAnsi="Palatino Linotype" w:cs="Palatino Linotype"/>
          <w:i/>
          <w:sz w:val="22"/>
          <w:szCs w:val="22"/>
        </w:rPr>
        <w:t>como fundamento.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titulares de las áreas, deberán tener conocimiento y llevar un registro del personal que, por la naturaleza de sus atribuciones, tenga acceso a los documentos clasificados</w:t>
      </w:r>
      <w:r>
        <w:rPr>
          <w:rFonts w:ascii="Palatino Linotype" w:eastAsia="Palatino Linotype" w:hAnsi="Palatino Linotype" w:cs="Palatino Linotype"/>
          <w:i/>
          <w:sz w:val="22"/>
          <w:szCs w:val="22"/>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En el intercambio de información entre sujetos obligados para el ejercicio de sus atribuciones, los documentos que se encuentren clasificados deberán llevar la leyenda correspondiente</w:t>
      </w:r>
      <w:r>
        <w:rPr>
          <w:rFonts w:ascii="Palatino Linotype" w:eastAsia="Palatino Linotype" w:hAnsi="Palatino Linotype" w:cs="Palatino Linotype"/>
          <w:i/>
          <w:sz w:val="22"/>
          <w:szCs w:val="22"/>
        </w:rPr>
        <w:t xml:space="preserve"> de conformidad con lo dispuesto en el Capítulo VIII de los presentes lineamientos.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591E54">
      <w:pPr>
        <w:ind w:left="851" w:right="902"/>
        <w:jc w:val="center"/>
        <w:rPr>
          <w:rFonts w:ascii="Palatino Linotype" w:eastAsia="Palatino Linotype" w:hAnsi="Palatino Linotype" w:cs="Palatino Linotype"/>
          <w:b/>
          <w:i/>
          <w:sz w:val="22"/>
          <w:szCs w:val="22"/>
        </w:rPr>
      </w:pPr>
    </w:p>
    <w:p w:rsidR="00591E54" w:rsidRDefault="003C6AE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91E54" w:rsidRDefault="003C6AE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rsidR="00591E54" w:rsidRDefault="00591E54">
      <w:pPr>
        <w:spacing w:after="280"/>
        <w:ind w:left="851" w:right="902"/>
        <w:jc w:val="both"/>
        <w:rPr>
          <w:rFonts w:ascii="Palatino Linotype" w:eastAsia="Palatino Linotype" w:hAnsi="Palatino Linotype" w:cs="Palatino Linotype"/>
          <w:i/>
          <w:sz w:val="22"/>
          <w:szCs w:val="22"/>
        </w:rPr>
      </w:pPr>
    </w:p>
    <w:tbl>
      <w:tblPr>
        <w:tblStyle w:val="a"/>
        <w:tblW w:w="7650" w:type="dxa"/>
        <w:jc w:val="center"/>
        <w:tblInd w:w="0" w:type="dxa"/>
        <w:tblLayout w:type="fixed"/>
        <w:tblLook w:val="0400" w:firstRow="0" w:lastRow="0" w:firstColumn="0" w:lastColumn="0" w:noHBand="0" w:noVBand="1"/>
      </w:tblPr>
      <w:tblGrid>
        <w:gridCol w:w="1129"/>
        <w:gridCol w:w="1988"/>
        <w:gridCol w:w="4533"/>
      </w:tblGrid>
      <w:tr w:rsidR="00591E54">
        <w:trPr>
          <w:jc w:val="center"/>
        </w:trPr>
        <w:tc>
          <w:tcPr>
            <w:tcW w:w="1129" w:type="dxa"/>
          </w:tcPr>
          <w:p w:rsidR="00591E54" w:rsidRDefault="00591E54">
            <w:pPr>
              <w:rPr>
                <w:i/>
              </w:rPr>
            </w:pPr>
          </w:p>
        </w:tc>
        <w:tc>
          <w:tcPr>
            <w:tcW w:w="1988" w:type="dxa"/>
          </w:tcPr>
          <w:p w:rsidR="00591E54" w:rsidRDefault="003C6AE7">
            <w:pPr>
              <w:jc w:val="center"/>
              <w:rPr>
                <w:b/>
                <w:i/>
              </w:rPr>
            </w:pPr>
            <w:r>
              <w:rPr>
                <w:rFonts w:ascii="Cambria" w:eastAsia="Cambria" w:hAnsi="Cambria" w:cs="Cambria"/>
                <w:b/>
                <w:i/>
                <w:sz w:val="22"/>
                <w:szCs w:val="22"/>
              </w:rPr>
              <w:t>Concepto</w:t>
            </w:r>
          </w:p>
        </w:tc>
        <w:tc>
          <w:tcPr>
            <w:tcW w:w="4533" w:type="dxa"/>
          </w:tcPr>
          <w:p w:rsidR="00591E54" w:rsidRDefault="003C6AE7">
            <w:pPr>
              <w:jc w:val="center"/>
              <w:rPr>
                <w:b/>
                <w:i/>
              </w:rPr>
            </w:pPr>
            <w:r>
              <w:rPr>
                <w:rFonts w:ascii="Cambria" w:eastAsia="Cambria" w:hAnsi="Cambria" w:cs="Cambria"/>
                <w:b/>
                <w:i/>
                <w:sz w:val="22"/>
                <w:szCs w:val="22"/>
              </w:rPr>
              <w:t>Dónde:</w:t>
            </w:r>
          </w:p>
        </w:tc>
      </w:tr>
      <w:tr w:rsidR="00591E54">
        <w:trPr>
          <w:jc w:val="center"/>
        </w:trPr>
        <w:tc>
          <w:tcPr>
            <w:tcW w:w="1129" w:type="dxa"/>
            <w:vMerge w:val="restart"/>
            <w:vAlign w:val="center"/>
          </w:tcPr>
          <w:p w:rsidR="00591E54" w:rsidRDefault="003C6AE7">
            <w:pPr>
              <w:jc w:val="center"/>
              <w:rPr>
                <w:b/>
                <w:i/>
              </w:rPr>
            </w:pPr>
            <w:r>
              <w:rPr>
                <w:rFonts w:ascii="Cambria" w:eastAsia="Cambria" w:hAnsi="Cambria" w:cs="Cambria"/>
                <w:b/>
                <w:i/>
                <w:sz w:val="22"/>
                <w:szCs w:val="22"/>
              </w:rPr>
              <w:t>Sello oficial o logotipo del sujeto obligado</w:t>
            </w:r>
          </w:p>
        </w:tc>
        <w:tc>
          <w:tcPr>
            <w:tcW w:w="1988" w:type="dxa"/>
          </w:tcPr>
          <w:p w:rsidR="00591E54" w:rsidRDefault="003C6AE7">
            <w:pPr>
              <w:jc w:val="center"/>
              <w:rPr>
                <w:i/>
              </w:rPr>
            </w:pPr>
            <w:r>
              <w:rPr>
                <w:rFonts w:ascii="Cambria" w:eastAsia="Cambria" w:hAnsi="Cambria" w:cs="Cambria"/>
                <w:i/>
                <w:sz w:val="22"/>
                <w:szCs w:val="22"/>
              </w:rPr>
              <w:t>Fecha de clasificación</w:t>
            </w:r>
          </w:p>
        </w:tc>
        <w:tc>
          <w:tcPr>
            <w:tcW w:w="4533" w:type="dxa"/>
          </w:tcPr>
          <w:p w:rsidR="00591E54" w:rsidRDefault="003C6AE7">
            <w:pPr>
              <w:rPr>
                <w:i/>
              </w:rPr>
            </w:pPr>
            <w:r>
              <w:rPr>
                <w:rFonts w:ascii="Cambria" w:eastAsia="Cambria" w:hAnsi="Cambria" w:cs="Cambria"/>
                <w:i/>
                <w:sz w:val="22"/>
                <w:szCs w:val="22"/>
              </w:rPr>
              <w:t>Se anotará la fecha en la que el Comité de Transparencia confirmó la clasificación del documento, en su caso.</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Área</w:t>
            </w:r>
          </w:p>
        </w:tc>
        <w:tc>
          <w:tcPr>
            <w:tcW w:w="4533" w:type="dxa"/>
          </w:tcPr>
          <w:p w:rsidR="00591E54" w:rsidRDefault="003C6AE7">
            <w:pPr>
              <w:rPr>
                <w:i/>
              </w:rPr>
            </w:pPr>
            <w:r>
              <w:rPr>
                <w:rFonts w:ascii="Cambria" w:eastAsia="Cambria" w:hAnsi="Cambria" w:cs="Cambria"/>
                <w:i/>
                <w:sz w:val="22"/>
                <w:szCs w:val="22"/>
              </w:rPr>
              <w:t>Se señalará el nombre del área del cual es titular quien clasifica.</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Información reservada</w:t>
            </w:r>
          </w:p>
        </w:tc>
        <w:tc>
          <w:tcPr>
            <w:tcW w:w="4533" w:type="dxa"/>
          </w:tcPr>
          <w:p w:rsidR="00591E54" w:rsidRDefault="003C6AE7">
            <w:pPr>
              <w:rPr>
                <w:i/>
              </w:rPr>
            </w:pPr>
            <w:r>
              <w:rPr>
                <w:rFonts w:ascii="Cambria" w:eastAsia="Cambria" w:hAnsi="Cambria" w:cs="Cambria"/>
                <w:i/>
                <w:sz w:val="22"/>
                <w:szCs w:val="22"/>
              </w:rPr>
              <w:t xml:space="preserve">Se indicarán, en su caso, las partes o páginas del documento que se clasifican como reservadas. Si el documento fuera reservado en su totalidad, se </w:t>
            </w:r>
            <w:proofErr w:type="gramStart"/>
            <w:r>
              <w:rPr>
                <w:rFonts w:ascii="Cambria" w:eastAsia="Cambria" w:hAnsi="Cambria" w:cs="Cambria"/>
                <w:i/>
                <w:sz w:val="22"/>
                <w:szCs w:val="22"/>
              </w:rPr>
              <w:t>anotarán</w:t>
            </w:r>
            <w:proofErr w:type="gramEnd"/>
            <w:r>
              <w:rPr>
                <w:rFonts w:ascii="Cambria" w:eastAsia="Cambria" w:hAnsi="Cambria" w:cs="Cambria"/>
                <w:i/>
                <w:sz w:val="22"/>
                <w:szCs w:val="22"/>
              </w:rPr>
              <w:t xml:space="preserve"> todas las páginas que lo conforman. Si el documento no contiene información reservada, se tachará este apartado.</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Periodo de reserva</w:t>
            </w:r>
          </w:p>
        </w:tc>
        <w:tc>
          <w:tcPr>
            <w:tcW w:w="4533" w:type="dxa"/>
          </w:tcPr>
          <w:p w:rsidR="00591E54" w:rsidRDefault="003C6AE7">
            <w:pPr>
              <w:rPr>
                <w:i/>
              </w:rPr>
            </w:pPr>
            <w:r>
              <w:rPr>
                <w:rFonts w:ascii="Cambria" w:eastAsia="Cambria" w:hAnsi="Cambria" w:cs="Cambria"/>
                <w:i/>
                <w:sz w:val="22"/>
                <w:szCs w:val="22"/>
              </w:rPr>
              <w:t>Se anotará el número de años o meses por los que se mantendrá el documento o las partes del mismo como reservado.</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Fundamento legal</w:t>
            </w:r>
          </w:p>
        </w:tc>
        <w:tc>
          <w:tcPr>
            <w:tcW w:w="4533" w:type="dxa"/>
          </w:tcPr>
          <w:p w:rsidR="00591E54" w:rsidRDefault="003C6AE7">
            <w:pPr>
              <w:rPr>
                <w:i/>
              </w:rPr>
            </w:pPr>
            <w:r>
              <w:rPr>
                <w:rFonts w:ascii="Cambria" w:eastAsia="Cambria" w:hAnsi="Cambria" w:cs="Cambria"/>
                <w:i/>
                <w:sz w:val="22"/>
                <w:szCs w:val="22"/>
              </w:rPr>
              <w:t>Se señalará el nombre del ordenamiento, el o los artículos, fracción(es), párrafo(s) con base en los cuales se sustente la reserva.</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Ampliación del periodo de reserva</w:t>
            </w:r>
          </w:p>
        </w:tc>
        <w:tc>
          <w:tcPr>
            <w:tcW w:w="4533" w:type="dxa"/>
          </w:tcPr>
          <w:p w:rsidR="00591E54" w:rsidRDefault="003C6AE7">
            <w:pPr>
              <w:rPr>
                <w:i/>
              </w:rPr>
            </w:pPr>
            <w:r>
              <w:rPr>
                <w:rFonts w:ascii="Cambria" w:eastAsia="Cambria" w:hAnsi="Cambria" w:cs="Cambria"/>
                <w:i/>
                <w:sz w:val="22"/>
                <w:szCs w:val="22"/>
              </w:rPr>
              <w:t xml:space="preserve">En caso de haber solicitado la ampliación del periodo de reserva originalmente establecido, </w:t>
            </w:r>
            <w:r>
              <w:rPr>
                <w:rFonts w:ascii="Cambria" w:eastAsia="Cambria" w:hAnsi="Cambria" w:cs="Cambria"/>
                <w:i/>
                <w:sz w:val="22"/>
                <w:szCs w:val="22"/>
              </w:rPr>
              <w:lastRenderedPageBreak/>
              <w:t>se deberá anotar el número de años o meses por los que se amplía la reserva.</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b/>
                <w:i/>
                <w:u w:val="single"/>
              </w:rPr>
            </w:pPr>
            <w:r>
              <w:rPr>
                <w:rFonts w:ascii="Cambria" w:eastAsia="Cambria" w:hAnsi="Cambria" w:cs="Cambria"/>
                <w:b/>
                <w:i/>
                <w:sz w:val="22"/>
                <w:szCs w:val="22"/>
                <w:u w:val="single"/>
              </w:rPr>
              <w:t>Confidencial</w:t>
            </w:r>
          </w:p>
        </w:tc>
        <w:tc>
          <w:tcPr>
            <w:tcW w:w="4533" w:type="dxa"/>
          </w:tcPr>
          <w:p w:rsidR="00591E54" w:rsidRDefault="003C6AE7">
            <w:pPr>
              <w:rPr>
                <w:i/>
              </w:rPr>
            </w:pPr>
            <w:r>
              <w:rPr>
                <w:rFonts w:ascii="Cambria" w:eastAsia="Cambria" w:hAnsi="Cambria" w:cs="Cambria"/>
                <w:i/>
                <w:sz w:val="22"/>
                <w:szCs w:val="22"/>
              </w:rPr>
              <w:t xml:space="preserve">Se indicarán, en su caso, </w:t>
            </w:r>
            <w:r>
              <w:rPr>
                <w:rFonts w:ascii="Cambria" w:eastAsia="Cambria" w:hAnsi="Cambria" w:cs="Cambria"/>
                <w:b/>
                <w:i/>
                <w:sz w:val="22"/>
                <w:szCs w:val="22"/>
                <w:u w:val="single"/>
              </w:rPr>
              <w:t>las partes o páginas del documento que se clasifica como confidencial</w:t>
            </w:r>
            <w:r>
              <w:rPr>
                <w:rFonts w:ascii="Cambria" w:eastAsia="Cambria" w:hAnsi="Cambria" w:cs="Cambria"/>
                <w:i/>
                <w:sz w:val="22"/>
                <w:szCs w:val="22"/>
              </w:rPr>
              <w:t xml:space="preserve">. </w:t>
            </w:r>
            <w:r>
              <w:rPr>
                <w:rFonts w:ascii="Cambria" w:eastAsia="Cambria" w:hAnsi="Cambria" w:cs="Cambria"/>
                <w:b/>
                <w:i/>
                <w:sz w:val="22"/>
                <w:szCs w:val="22"/>
                <w:u w:val="single"/>
              </w:rPr>
              <w:t>Si el documento fuera confidencial en su totalidad, se anotarán todas las páginas que lo conforman</w:t>
            </w:r>
            <w:r>
              <w:rPr>
                <w:rFonts w:ascii="Cambria" w:eastAsia="Cambria" w:hAnsi="Cambria" w:cs="Cambria"/>
                <w:i/>
                <w:sz w:val="22"/>
                <w:szCs w:val="22"/>
              </w:rPr>
              <w:t>. Si el documento no contiene información confidencial, se tachará este apartado.</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Fundamento legal</w:t>
            </w:r>
          </w:p>
        </w:tc>
        <w:tc>
          <w:tcPr>
            <w:tcW w:w="4533" w:type="dxa"/>
          </w:tcPr>
          <w:p w:rsidR="00591E54" w:rsidRDefault="003C6AE7">
            <w:pPr>
              <w:rPr>
                <w:i/>
              </w:rPr>
            </w:pPr>
            <w:r>
              <w:rPr>
                <w:rFonts w:ascii="Cambria" w:eastAsia="Cambria" w:hAnsi="Cambria" w:cs="Cambria"/>
                <w:i/>
                <w:sz w:val="22"/>
                <w:szCs w:val="22"/>
              </w:rPr>
              <w:t>Se señalará el nombre del ordenamiento, el o los artículos, fracción(es), párrafo(s) con base en los cuales se sustente la confidencialidad.</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Rúbrica del titular del área</w:t>
            </w:r>
          </w:p>
        </w:tc>
        <w:tc>
          <w:tcPr>
            <w:tcW w:w="4533" w:type="dxa"/>
          </w:tcPr>
          <w:p w:rsidR="00591E54" w:rsidRDefault="003C6AE7">
            <w:pPr>
              <w:rPr>
                <w:i/>
              </w:rPr>
            </w:pPr>
            <w:r>
              <w:rPr>
                <w:rFonts w:ascii="Cambria" w:eastAsia="Cambria" w:hAnsi="Cambria" w:cs="Cambria"/>
                <w:i/>
                <w:sz w:val="22"/>
                <w:szCs w:val="22"/>
              </w:rPr>
              <w:t>Rúbrica autógrafa de quien clasifica.</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Fecha de desclasificación</w:t>
            </w:r>
          </w:p>
        </w:tc>
        <w:tc>
          <w:tcPr>
            <w:tcW w:w="4533" w:type="dxa"/>
          </w:tcPr>
          <w:p w:rsidR="00591E54" w:rsidRDefault="003C6AE7">
            <w:pPr>
              <w:rPr>
                <w:i/>
              </w:rPr>
            </w:pPr>
            <w:r>
              <w:rPr>
                <w:rFonts w:ascii="Cambria" w:eastAsia="Cambria" w:hAnsi="Cambria" w:cs="Cambria"/>
                <w:i/>
                <w:sz w:val="22"/>
                <w:szCs w:val="22"/>
              </w:rPr>
              <w:t>Se anotará la fecha en que se desclasifica el documento.</w:t>
            </w:r>
          </w:p>
        </w:tc>
      </w:tr>
      <w:tr w:rsidR="00591E54">
        <w:trPr>
          <w:jc w:val="center"/>
        </w:trPr>
        <w:tc>
          <w:tcPr>
            <w:tcW w:w="1129" w:type="dxa"/>
            <w:vMerge/>
            <w:vAlign w:val="center"/>
          </w:tcPr>
          <w:p w:rsidR="00591E54" w:rsidRDefault="00591E54">
            <w:pPr>
              <w:widowControl w:val="0"/>
              <w:pBdr>
                <w:top w:val="nil"/>
                <w:left w:val="nil"/>
                <w:bottom w:val="nil"/>
                <w:right w:val="nil"/>
                <w:between w:val="nil"/>
              </w:pBdr>
              <w:spacing w:line="276" w:lineRule="auto"/>
              <w:rPr>
                <w:i/>
              </w:rPr>
            </w:pPr>
          </w:p>
        </w:tc>
        <w:tc>
          <w:tcPr>
            <w:tcW w:w="1988" w:type="dxa"/>
          </w:tcPr>
          <w:p w:rsidR="00591E54" w:rsidRDefault="003C6AE7">
            <w:pPr>
              <w:jc w:val="center"/>
              <w:rPr>
                <w:i/>
              </w:rPr>
            </w:pPr>
            <w:r>
              <w:rPr>
                <w:rFonts w:ascii="Cambria" w:eastAsia="Cambria" w:hAnsi="Cambria" w:cs="Cambria"/>
                <w:i/>
                <w:sz w:val="22"/>
                <w:szCs w:val="22"/>
              </w:rPr>
              <w:t>Rúbrica y cargo del servidor público</w:t>
            </w:r>
          </w:p>
        </w:tc>
        <w:tc>
          <w:tcPr>
            <w:tcW w:w="4533" w:type="dxa"/>
            <w:vAlign w:val="center"/>
          </w:tcPr>
          <w:p w:rsidR="00591E54" w:rsidRDefault="003C6AE7">
            <w:pPr>
              <w:rPr>
                <w:i/>
              </w:rPr>
            </w:pPr>
            <w:r>
              <w:rPr>
                <w:rFonts w:ascii="Cambria" w:eastAsia="Cambria" w:hAnsi="Cambria" w:cs="Cambria"/>
                <w:i/>
                <w:sz w:val="22"/>
                <w:szCs w:val="22"/>
              </w:rPr>
              <w:t>Rúbrica autógrafa de quien desclasifica.</w:t>
            </w:r>
          </w:p>
        </w:tc>
      </w:tr>
    </w:tbl>
    <w:p w:rsidR="00591E54" w:rsidRDefault="003C6AE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91E54" w:rsidRDefault="003C6AE7">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591E54" w:rsidRDefault="00591E54">
      <w:pPr>
        <w:ind w:left="709" w:right="709"/>
        <w:jc w:val="both"/>
        <w:rPr>
          <w:rFonts w:ascii="Palatino Linotype" w:eastAsia="Palatino Linotype" w:hAnsi="Palatino Linotype" w:cs="Palatino Linotype"/>
          <w:sz w:val="22"/>
          <w:szCs w:val="22"/>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de conformidad con el artículo 186, fracción III de la Ley de Transparencia y Acceso a la Información Pública del Estado de México y Municipios, </w:t>
      </w:r>
      <w:r>
        <w:rPr>
          <w:rFonts w:ascii="Palatino Linotype" w:eastAsia="Palatino Linotype" w:hAnsi="Palatino Linotype" w:cs="Palatino Linotype"/>
        </w:rPr>
        <w:lastRenderedPageBreak/>
        <w:t xml:space="preserve">se determina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los términos descritos en el cuerpo de la resolución del recurso de revisión que nos ocupa</w:t>
      </w:r>
    </w:p>
    <w:p w:rsidR="00591E54" w:rsidRDefault="00591E54">
      <w:pPr>
        <w:spacing w:line="360" w:lineRule="auto"/>
        <w:jc w:val="both"/>
        <w:rPr>
          <w:rFonts w:ascii="Palatino Linotype" w:eastAsia="Palatino Linotype" w:hAnsi="Palatino Linotype" w:cs="Palatino Linotype"/>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591E54" w:rsidRDefault="003C6AE7">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rsidR="00591E54" w:rsidRDefault="00591E54">
      <w:pPr>
        <w:jc w:val="center"/>
        <w:rPr>
          <w:rFonts w:ascii="Palatino Linotype" w:eastAsia="Palatino Linotype" w:hAnsi="Palatino Linotype" w:cs="Palatino Linotype"/>
          <w:b/>
          <w:sz w:val="28"/>
          <w:szCs w:val="28"/>
        </w:rPr>
      </w:pPr>
    </w:p>
    <w:p w:rsidR="00591E54" w:rsidRDefault="003C6AE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color w:val="000000"/>
        </w:rPr>
        <w:t xml:space="preserve"> Resultan </w:t>
      </w:r>
      <w:r>
        <w:rPr>
          <w:rFonts w:ascii="Palatino Linotype" w:eastAsia="Palatino Linotype" w:hAnsi="Palatino Linotype" w:cs="Palatino Linotype"/>
          <w:b/>
          <w:color w:val="000000"/>
        </w:rPr>
        <w:t xml:space="preserve">fundadas </w:t>
      </w:r>
      <w:r>
        <w:rPr>
          <w:rFonts w:ascii="Palatino Linotype" w:eastAsia="Palatino Linotype" w:hAnsi="Palatino Linotype" w:cs="Palatino Linotype"/>
          <w:color w:val="000000"/>
        </w:rPr>
        <w:t xml:space="preserve">las razones o motivos de inconformidad planteadas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del recurso de revisión </w:t>
      </w:r>
      <w:r>
        <w:rPr>
          <w:rFonts w:ascii="Palatino Linotype" w:eastAsia="Palatino Linotype" w:hAnsi="Palatino Linotype" w:cs="Palatino Linotype"/>
          <w:b/>
        </w:rPr>
        <w:t>00742/INFOEM/IP/RR/2020.</w:t>
      </w:r>
    </w:p>
    <w:p w:rsidR="00591E54" w:rsidRDefault="00591E54">
      <w:pPr>
        <w:widowControl w:val="0"/>
        <w:spacing w:line="360" w:lineRule="auto"/>
        <w:jc w:val="both"/>
        <w:rPr>
          <w:rFonts w:ascii="Palatino Linotype" w:eastAsia="Palatino Linotype" w:hAnsi="Palatino Linotype" w:cs="Palatino Linotype"/>
          <w:b/>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otorgada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la solicitud de información </w:t>
      </w:r>
      <w:r>
        <w:rPr>
          <w:rFonts w:ascii="Palatino Linotype" w:eastAsia="Palatino Linotype" w:hAnsi="Palatino Linotype" w:cs="Palatino Linotype"/>
          <w:b/>
        </w:rPr>
        <w:t xml:space="preserve">01745/HUIXQUIL/IP/2019 </w:t>
      </w:r>
      <w:r>
        <w:rPr>
          <w:rFonts w:ascii="Palatino Linotype" w:eastAsia="Palatino Linotype" w:hAnsi="Palatino Linotype" w:cs="Palatino Linotype"/>
        </w:rPr>
        <w:t xml:space="preserve">y se le ordena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 entregue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 y correo electrónico</w:t>
      </w:r>
      <w:r>
        <w:rPr>
          <w:rFonts w:ascii="Palatino Linotype" w:eastAsia="Palatino Linotype" w:hAnsi="Palatino Linotype" w:cs="Palatino Linotype"/>
        </w:rPr>
        <w:t xml:space="preserv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w:t>
      </w:r>
      <w:r>
        <w:rPr>
          <w:rFonts w:ascii="Palatino Linotype" w:eastAsia="Palatino Linotype" w:hAnsi="Palatino Linotype" w:cs="Palatino Linotype"/>
        </w:rPr>
        <w:t>total de servidores públicos, correspondiente a la primera quincena de noviembre de 2019, lo siguiente:</w:t>
      </w:r>
    </w:p>
    <w:p w:rsidR="00591E54" w:rsidRDefault="00591E54">
      <w:pPr>
        <w:spacing w:line="360" w:lineRule="auto"/>
        <w:jc w:val="both"/>
        <w:rPr>
          <w:rFonts w:ascii="Palatino Linotype" w:eastAsia="Palatino Linotype" w:hAnsi="Palatino Linotype" w:cs="Palatino Linotype"/>
        </w:rPr>
      </w:pPr>
    </w:p>
    <w:p w:rsidR="00591E54" w:rsidRDefault="003C6AE7">
      <w:pPr>
        <w:ind w:left="709" w:right="757" w:hanging="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La Nómina General;</w:t>
      </w:r>
    </w:p>
    <w:p w:rsidR="00591E54" w:rsidRDefault="003C6AE7">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Los Recibos de Nómina o Comprobantes Fiscales Digitales por Internet; y,</w:t>
      </w:r>
    </w:p>
    <w:p w:rsidR="00591E54" w:rsidRDefault="003C6AE7">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Los documentos donde conste el tipo de contratación.</w:t>
      </w:r>
    </w:p>
    <w:p w:rsidR="00591E54" w:rsidRDefault="00591E54">
      <w:pPr>
        <w:ind w:left="709" w:right="757"/>
        <w:jc w:val="both"/>
        <w:rPr>
          <w:rFonts w:ascii="Palatino Linotype" w:eastAsia="Palatino Linotype" w:hAnsi="Palatino Linotype" w:cs="Palatino Linotype"/>
          <w:i/>
          <w:sz w:val="22"/>
          <w:szCs w:val="22"/>
        </w:rPr>
      </w:pPr>
    </w:p>
    <w:p w:rsidR="00591E54" w:rsidRDefault="003C6AE7">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Debiendo notificar al</w:t>
      </w:r>
      <w:r>
        <w:rPr>
          <w:rFonts w:ascii="Palatino Linotype" w:eastAsia="Palatino Linotype" w:hAnsi="Palatino Linotype" w:cs="Palatino Linotype"/>
          <w:b/>
          <w:i/>
          <w:sz w:val="22"/>
          <w:szCs w:val="22"/>
        </w:rPr>
        <w:t xml:space="preserve"> RECURRENTE</w:t>
      </w:r>
      <w:r>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591E54" w:rsidRDefault="00591E54">
      <w:pPr>
        <w:widowControl w:val="0"/>
        <w:spacing w:line="360" w:lineRule="auto"/>
        <w:jc w:val="both"/>
        <w:rPr>
          <w:rFonts w:ascii="Palatino Linotype" w:eastAsia="Palatino Linotype" w:hAnsi="Palatino Linotype" w:cs="Palatino Linotype"/>
          <w:b/>
        </w:rPr>
      </w:pPr>
    </w:p>
    <w:p w:rsidR="00591E54" w:rsidRDefault="003C6AE7">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rPr>
        <w:t xml:space="preserve">Notifíquese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91E54" w:rsidRDefault="00591E54">
      <w:pPr>
        <w:widowControl w:val="0"/>
        <w:spacing w:line="360" w:lineRule="auto"/>
        <w:jc w:val="both"/>
        <w:rPr>
          <w:rFonts w:ascii="Palatino Linotype" w:eastAsia="Palatino Linotype" w:hAnsi="Palatino Linotype" w:cs="Palatino Linotype"/>
          <w:b/>
          <w:color w:val="000000"/>
          <w:sz w:val="28"/>
          <w:szCs w:val="28"/>
        </w:rPr>
      </w:pPr>
    </w:p>
    <w:p w:rsidR="00591E54" w:rsidRDefault="003C6AE7">
      <w:pPr>
        <w:widowControl w:val="0"/>
        <w:spacing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CUARTO. </w:t>
      </w:r>
      <w:r>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591E54" w:rsidRDefault="00591E54">
      <w:pPr>
        <w:widowControl w:val="0"/>
        <w:spacing w:line="360" w:lineRule="auto"/>
        <w:jc w:val="both"/>
        <w:rPr>
          <w:rFonts w:ascii="Palatino Linotype" w:eastAsia="Palatino Linotype" w:hAnsi="Palatino Linotype" w:cs="Palatino Linotype"/>
          <w:b/>
          <w:color w:val="000000"/>
          <w:sz w:val="28"/>
          <w:szCs w:val="28"/>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222222"/>
        </w:rPr>
        <w:t xml:space="preserve"> Notifíquese</w:t>
      </w:r>
      <w:r>
        <w:rPr>
          <w:rFonts w:ascii="Palatino Linotype" w:eastAsia="Palatino Linotype" w:hAnsi="Palatino Linotype" w:cs="Palatino Linotype"/>
          <w:color w:val="222222"/>
        </w:rPr>
        <w:t xml:space="preserve"> 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la presente resolución vía </w:t>
      </w:r>
      <w:r>
        <w:rPr>
          <w:rFonts w:ascii="Palatino Linotype" w:eastAsia="Palatino Linotype" w:hAnsi="Palatino Linotype" w:cs="Palatino Linotype"/>
          <w:b/>
          <w:color w:val="222222"/>
        </w:rPr>
        <w:t>SAIMEX</w:t>
      </w:r>
      <w:r>
        <w:rPr>
          <w:rFonts w:ascii="Palatino Linotype" w:eastAsia="Palatino Linotype" w:hAnsi="Palatino Linotype" w:cs="Palatino Linotype"/>
        </w:rPr>
        <w:t>.</w:t>
      </w:r>
    </w:p>
    <w:p w:rsidR="00591E54" w:rsidRDefault="00591E54">
      <w:pPr>
        <w:widowControl w:val="0"/>
        <w:spacing w:line="360" w:lineRule="auto"/>
        <w:jc w:val="both"/>
        <w:rPr>
          <w:rFonts w:ascii="Palatino Linotype" w:eastAsia="Palatino Linotype" w:hAnsi="Palatino Linotype" w:cs="Palatino Linotype"/>
          <w:b/>
          <w:color w:val="000000"/>
          <w:sz w:val="28"/>
          <w:szCs w:val="28"/>
        </w:rPr>
      </w:pPr>
    </w:p>
    <w:p w:rsidR="00591E54" w:rsidRDefault="003C6AE7">
      <w:pPr>
        <w:widowControl w:val="0"/>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sz w:val="28"/>
          <w:szCs w:val="28"/>
        </w:rPr>
        <w:t xml:space="preserve">SEXTO. </w:t>
      </w:r>
      <w:r>
        <w:rPr>
          <w:rFonts w:ascii="Palatino Linotype" w:eastAsia="Palatino Linotype" w:hAnsi="Palatino Linotype" w:cs="Palatino Linotype"/>
          <w:b/>
          <w:color w:val="222222"/>
        </w:rPr>
        <w:t>Hágase del conocimiento</w:t>
      </w:r>
      <w:r>
        <w:rPr>
          <w:rFonts w:ascii="Palatino Linotype" w:eastAsia="Palatino Linotype" w:hAnsi="Palatino Linotype" w:cs="Palatino Linotype"/>
          <w:color w:val="222222"/>
        </w:rPr>
        <w:t xml:space="preserve">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91E54" w:rsidRDefault="00591E54">
      <w:pPr>
        <w:spacing w:line="360" w:lineRule="auto"/>
        <w:jc w:val="both"/>
        <w:rPr>
          <w:rFonts w:ascii="Palatino Linotype" w:eastAsia="Palatino Linotype" w:hAnsi="Palatino Linotype" w:cs="Palatino Linotype"/>
          <w:b/>
          <w:sz w:val="28"/>
          <w:szCs w:val="28"/>
        </w:rPr>
      </w:pPr>
    </w:p>
    <w:p w:rsidR="00591E54" w:rsidRDefault="003C6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JAVIER MARTÍNEZ CRUZ EMITIENDO VOTO PARTICULAR Y LUIS GUSTAVO PARRA NORIEGA EMITIENDO VOTO PARTIUCLAR; </w:t>
      </w:r>
      <w:r>
        <w:rPr>
          <w:rFonts w:ascii="Palatino Linotype" w:eastAsia="Palatino Linotype" w:hAnsi="Palatino Linotype" w:cs="Palatino Linotype"/>
          <w:highlight w:val="white"/>
        </w:rPr>
        <w:t xml:space="preserve">EN LA DÉCIMA TERCERA </w:t>
      </w:r>
      <w:r>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smallCaps/>
        </w:rPr>
        <w:t>DOCE</w:t>
      </w:r>
      <w:r>
        <w:rPr>
          <w:rFonts w:ascii="Palatino Linotype" w:eastAsia="Palatino Linotype" w:hAnsi="Palatino Linotype" w:cs="Palatino Linotype"/>
        </w:rPr>
        <w:t xml:space="preserve"> DE AGOSTO DE DOS MIL VEINTE, ANTE EL SECRETARIO TÉCNICO DEL PLENO, ALEXIS TAPIA RAMÍREZ.</w:t>
      </w:r>
    </w:p>
    <w:tbl>
      <w:tblPr>
        <w:tblStyle w:val="a0"/>
        <w:tblW w:w="10581" w:type="dxa"/>
        <w:jc w:val="center"/>
        <w:tblInd w:w="0" w:type="dxa"/>
        <w:tblLayout w:type="fixed"/>
        <w:tblLook w:val="0400" w:firstRow="0" w:lastRow="0" w:firstColumn="0" w:lastColumn="0" w:noHBand="0" w:noVBand="1"/>
      </w:tblPr>
      <w:tblGrid>
        <w:gridCol w:w="10581"/>
      </w:tblGrid>
      <w:tr w:rsidR="00591E54">
        <w:trPr>
          <w:jc w:val="center"/>
        </w:trPr>
        <w:tc>
          <w:tcPr>
            <w:tcW w:w="10581" w:type="dxa"/>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tbl>
            <w:tblPr>
              <w:tblStyle w:val="a1"/>
              <w:tblW w:w="10365" w:type="dxa"/>
              <w:jc w:val="center"/>
              <w:tblInd w:w="0" w:type="dxa"/>
              <w:tblLayout w:type="fixed"/>
              <w:tblLook w:val="0400" w:firstRow="0" w:lastRow="0" w:firstColumn="0" w:lastColumn="0" w:noHBand="0" w:noVBand="1"/>
            </w:tblPr>
            <w:tblGrid>
              <w:gridCol w:w="5182"/>
              <w:gridCol w:w="5183"/>
            </w:tblGrid>
            <w:tr w:rsidR="00591E54">
              <w:trPr>
                <w:jc w:val="center"/>
              </w:trPr>
              <w:tc>
                <w:tcPr>
                  <w:tcW w:w="10365" w:type="dxa"/>
                  <w:gridSpan w:val="2"/>
                  <w:shd w:val="clear" w:color="auto" w:fill="auto"/>
                </w:tcPr>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Comisionada Presidenta</w:t>
                  </w: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(RÚBRICA) </w:t>
                  </w:r>
                </w:p>
              </w:tc>
            </w:tr>
            <w:tr w:rsidR="00591E54">
              <w:trPr>
                <w:jc w:val="center"/>
              </w:trPr>
              <w:tc>
                <w:tcPr>
                  <w:tcW w:w="5182" w:type="dxa"/>
                  <w:shd w:val="clear" w:color="auto" w:fill="auto"/>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Eva </w:t>
                  </w:r>
                  <w:proofErr w:type="spellStart"/>
                  <w:r>
                    <w:rPr>
                      <w:rFonts w:ascii="Palatino Linotype" w:eastAsia="Palatino Linotype" w:hAnsi="Palatino Linotype" w:cs="Palatino Linotype"/>
                      <w:b/>
                    </w:rPr>
                    <w:t>Abaid</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Yapur</w:t>
                  </w:r>
                  <w:proofErr w:type="spellEnd"/>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Comisionada</w:t>
                  </w: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5183" w:type="dxa"/>
                  <w:shd w:val="clear" w:color="auto" w:fill="auto"/>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José Guadalupe Luna Hernández</w:t>
                  </w:r>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591E54">
              <w:trPr>
                <w:jc w:val="center"/>
              </w:trPr>
              <w:tc>
                <w:tcPr>
                  <w:tcW w:w="5182" w:type="dxa"/>
                  <w:shd w:val="clear" w:color="auto" w:fill="auto"/>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Javier Martínez Cruz</w:t>
                  </w:r>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5183" w:type="dxa"/>
                  <w:shd w:val="clear" w:color="auto" w:fill="auto"/>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Luis Gustavo Parra Noriega</w:t>
                  </w:r>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591E54">
              <w:trPr>
                <w:jc w:val="center"/>
              </w:trPr>
              <w:tc>
                <w:tcPr>
                  <w:tcW w:w="10365" w:type="dxa"/>
                  <w:gridSpan w:val="2"/>
                  <w:shd w:val="clear" w:color="auto" w:fill="auto"/>
                </w:tcPr>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591E54">
                  <w:pPr>
                    <w:jc w:val="center"/>
                    <w:rPr>
                      <w:rFonts w:ascii="Palatino Linotype" w:eastAsia="Palatino Linotype" w:hAnsi="Palatino Linotype" w:cs="Palatino Linotype"/>
                      <w:b/>
                    </w:rPr>
                  </w:pPr>
                </w:p>
                <w:p w:rsidR="00591E54" w:rsidRDefault="003C6AE7">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591E54" w:rsidRDefault="003C6AE7">
                  <w:pPr>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591E54" w:rsidRDefault="003C6AE7">
                  <w:pPr>
                    <w:jc w:val="center"/>
                    <w:rPr>
                      <w:rFonts w:ascii="Palatino Linotype" w:eastAsia="Palatino Linotype" w:hAnsi="Palatino Linotype" w:cs="Palatino Linotype"/>
                      <w:b/>
                    </w:rPr>
                  </w:pPr>
                  <w:bookmarkStart w:id="1" w:name="_heading=h.gjdgxs" w:colFirst="0" w:colLast="0"/>
                  <w:bookmarkEnd w:id="1"/>
                  <w:r>
                    <w:rPr>
                      <w:rFonts w:ascii="Palatino Linotype" w:eastAsia="Palatino Linotype" w:hAnsi="Palatino Linotype" w:cs="Palatino Linotype"/>
                      <w:b/>
                    </w:rPr>
                    <w:t>(RÚBRICA)</w:t>
                  </w:r>
                </w:p>
              </w:tc>
            </w:tr>
          </w:tbl>
          <w:p w:rsidR="00591E54" w:rsidRDefault="00591E54">
            <w:pPr>
              <w:jc w:val="center"/>
              <w:rPr>
                <w:rFonts w:ascii="Palatino Linotype" w:eastAsia="Palatino Linotype" w:hAnsi="Palatino Linotype" w:cs="Palatino Linotype"/>
                <w:b/>
              </w:rPr>
            </w:pPr>
          </w:p>
        </w:tc>
      </w:tr>
    </w:tbl>
    <w:p w:rsidR="00591E54" w:rsidRDefault="00591E54">
      <w:pPr>
        <w:jc w:val="both"/>
        <w:rPr>
          <w:rFonts w:ascii="Palatino Linotype" w:eastAsia="Palatino Linotype" w:hAnsi="Palatino Linotype" w:cs="Palatino Linotype"/>
          <w:sz w:val="22"/>
          <w:szCs w:val="22"/>
        </w:rPr>
      </w:pPr>
    </w:p>
    <w:p w:rsidR="00591E54" w:rsidRDefault="00591E54">
      <w:pPr>
        <w:jc w:val="both"/>
        <w:rPr>
          <w:rFonts w:ascii="Palatino Linotype" w:eastAsia="Palatino Linotype" w:hAnsi="Palatino Linotype" w:cs="Palatino Linotype"/>
          <w:sz w:val="22"/>
          <w:szCs w:val="22"/>
        </w:rPr>
      </w:pPr>
    </w:p>
    <w:p w:rsidR="00591E54" w:rsidRDefault="00591E54">
      <w:pPr>
        <w:jc w:val="both"/>
        <w:rPr>
          <w:rFonts w:ascii="Palatino Linotype" w:eastAsia="Palatino Linotype" w:hAnsi="Palatino Linotype" w:cs="Palatino Linotype"/>
          <w:sz w:val="22"/>
          <w:szCs w:val="22"/>
        </w:rPr>
      </w:pPr>
    </w:p>
    <w:p w:rsidR="00591E54" w:rsidRDefault="003C6AE7">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 hoja corresponde a la resolución de doce de agosto de dos mil veinte, emitida en el recurso de revisión número 00742/INFOEM/IP/RR/2020.</w:t>
      </w:r>
    </w:p>
    <w:p w:rsidR="00591E54" w:rsidRDefault="003C6AE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YSM/LGMJ</w:t>
      </w:r>
    </w:p>
    <w:sectPr w:rsidR="00591E54">
      <w:headerReference w:type="default" r:id="rId36"/>
      <w:footerReference w:type="default" r:id="rId37"/>
      <w:headerReference w:type="first" r:id="rId38"/>
      <w:footerReference w:type="first" r:id="rId3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5BE" w:rsidRDefault="007075BE">
      <w:r>
        <w:separator/>
      </w:r>
    </w:p>
  </w:endnote>
  <w:endnote w:type="continuationSeparator" w:id="0">
    <w:p w:rsidR="007075BE" w:rsidRDefault="00707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E54" w:rsidRDefault="003C6AE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67236">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67236">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E54" w:rsidRDefault="003C6AE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6723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67236">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5BE" w:rsidRDefault="007075BE">
      <w:r>
        <w:separator/>
      </w:r>
    </w:p>
  </w:footnote>
  <w:footnote w:type="continuationSeparator" w:id="0">
    <w:p w:rsidR="007075BE" w:rsidRDefault="007075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E54" w:rsidRDefault="00591E5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3"/>
      <w:tblW w:w="9534" w:type="dxa"/>
      <w:tblInd w:w="-142" w:type="dxa"/>
      <w:tblLayout w:type="fixed"/>
      <w:tblLook w:val="0400" w:firstRow="0" w:lastRow="0" w:firstColumn="0" w:lastColumn="0" w:noHBand="0" w:noVBand="1"/>
    </w:tblPr>
    <w:tblGrid>
      <w:gridCol w:w="3259"/>
      <w:gridCol w:w="2551"/>
      <w:gridCol w:w="3724"/>
    </w:tblGrid>
    <w:tr w:rsidR="00591E54">
      <w:tc>
        <w:tcPr>
          <w:tcW w:w="3259" w:type="dxa"/>
          <w:vMerge w:val="restart"/>
        </w:tcPr>
        <w:p w:rsidR="00591E54" w:rsidRDefault="003C6AE7">
          <w:pPr>
            <w:rPr>
              <w:rFonts w:ascii="Palatino Linotype" w:eastAsia="Palatino Linotype" w:hAnsi="Palatino Linotype" w:cs="Palatino Linotype"/>
              <w:b/>
              <w:sz w:val="22"/>
              <w:szCs w:val="22"/>
            </w:rPr>
          </w:pPr>
          <w:r>
            <w:rPr>
              <w:noProof/>
            </w:rPr>
            <w:drawing>
              <wp:inline distT="0" distB="0" distL="0" distR="0">
                <wp:extent cx="1663700" cy="8382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838200"/>
                        </a:xfrm>
                        <a:prstGeom prst="rect">
                          <a:avLst/>
                        </a:prstGeom>
                        <a:ln/>
                      </pic:spPr>
                    </pic:pic>
                  </a:graphicData>
                </a:graphic>
              </wp:inline>
            </w:drawing>
          </w:r>
        </w:p>
      </w:tc>
      <w:tc>
        <w:tcPr>
          <w:tcW w:w="2551"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4" w:type="dxa"/>
          <w:shd w:val="clear" w:color="auto" w:fill="auto"/>
          <w:vAlign w:val="center"/>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00742/INFOEM/IP/RR/2020</w:t>
          </w:r>
        </w:p>
      </w:tc>
    </w:tr>
    <w:tr w:rsidR="00591E54">
      <w:tc>
        <w:tcPr>
          <w:tcW w:w="3259" w:type="dxa"/>
          <w:vMerge/>
        </w:tcPr>
        <w:p w:rsidR="00591E54" w:rsidRDefault="00591E5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4" w:type="dxa"/>
          <w:shd w:val="clear" w:color="auto" w:fill="auto"/>
          <w:vAlign w:val="center"/>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Huixquilucan </w:t>
          </w:r>
        </w:p>
      </w:tc>
    </w:tr>
    <w:tr w:rsidR="00591E54">
      <w:trPr>
        <w:trHeight w:val="228"/>
      </w:trPr>
      <w:tc>
        <w:tcPr>
          <w:tcW w:w="3259" w:type="dxa"/>
          <w:vMerge/>
        </w:tcPr>
        <w:p w:rsidR="00591E54" w:rsidRDefault="00591E5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4" w:type="dxa"/>
          <w:shd w:val="clear" w:color="auto" w:fill="auto"/>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Eva </w:t>
          </w:r>
          <w:proofErr w:type="spellStart"/>
          <w:r>
            <w:rPr>
              <w:rFonts w:ascii="Palatino Linotype" w:eastAsia="Palatino Linotype" w:hAnsi="Palatino Linotype" w:cs="Palatino Linotype"/>
              <w:b/>
              <w:sz w:val="22"/>
              <w:szCs w:val="22"/>
            </w:rPr>
            <w:t>Abaid</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Yapur</w:t>
          </w:r>
          <w:proofErr w:type="spellEnd"/>
        </w:p>
      </w:tc>
    </w:tr>
  </w:tbl>
  <w:p w:rsidR="00591E54" w:rsidRDefault="00591E5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E54" w:rsidRDefault="00591E54">
    <w:pPr>
      <w:rPr>
        <w:rFonts w:ascii="Palatino Linotype" w:eastAsia="Palatino Linotype" w:hAnsi="Palatino Linotype" w:cs="Palatino Linotype"/>
        <w:sz w:val="28"/>
        <w:szCs w:val="28"/>
      </w:rPr>
    </w:pPr>
  </w:p>
  <w:tbl>
    <w:tblPr>
      <w:tblStyle w:val="a2"/>
      <w:tblW w:w="10490" w:type="dxa"/>
      <w:tblInd w:w="-1276" w:type="dxa"/>
      <w:tblLayout w:type="fixed"/>
      <w:tblLook w:val="0400" w:firstRow="0" w:lastRow="0" w:firstColumn="0" w:lastColumn="0" w:noHBand="0" w:noVBand="1"/>
    </w:tblPr>
    <w:tblGrid>
      <w:gridCol w:w="4251"/>
      <w:gridCol w:w="2552"/>
      <w:gridCol w:w="3687"/>
    </w:tblGrid>
    <w:tr w:rsidR="00591E54">
      <w:tc>
        <w:tcPr>
          <w:tcW w:w="4251" w:type="dxa"/>
          <w:vMerge w:val="restart"/>
          <w:shd w:val="clear" w:color="auto" w:fill="auto"/>
        </w:tcPr>
        <w:p w:rsidR="00591E54" w:rsidRDefault="003C6AE7">
          <w:pPr>
            <w:rPr>
              <w:rFonts w:ascii="Palatino Linotype" w:eastAsia="Palatino Linotype" w:hAnsi="Palatino Linotype" w:cs="Palatino Linotype"/>
              <w:b/>
              <w:sz w:val="22"/>
              <w:szCs w:val="22"/>
            </w:rPr>
          </w:pPr>
          <w:r>
            <w:rPr>
              <w:noProof/>
            </w:rPr>
            <w:drawing>
              <wp:inline distT="0" distB="0" distL="0" distR="0">
                <wp:extent cx="1663700" cy="8382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838200"/>
                        </a:xfrm>
                        <a:prstGeom prst="rect">
                          <a:avLst/>
                        </a:prstGeom>
                        <a:ln/>
                      </pic:spPr>
                    </pic:pic>
                  </a:graphicData>
                </a:graphic>
              </wp:inline>
            </w:drawing>
          </w:r>
        </w:p>
      </w:tc>
      <w:tc>
        <w:tcPr>
          <w:tcW w:w="2552"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shd w:val="clear" w:color="auto" w:fill="auto"/>
          <w:vAlign w:val="center"/>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00742/INFOEM/IP/RR/2020</w:t>
          </w:r>
        </w:p>
      </w:tc>
    </w:tr>
    <w:tr w:rsidR="00591E54">
      <w:tc>
        <w:tcPr>
          <w:tcW w:w="4251" w:type="dxa"/>
          <w:vMerge/>
          <w:shd w:val="clear" w:color="auto" w:fill="auto"/>
        </w:tcPr>
        <w:p w:rsidR="00591E54" w:rsidRDefault="00591E5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shd w:val="clear" w:color="auto" w:fill="auto"/>
          <w:vAlign w:val="center"/>
        </w:tcPr>
        <w:p w:rsidR="00591E54" w:rsidRDefault="00373E53">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r w:rsidR="003C6AE7">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r w:rsidR="003C6AE7">
            <w:rPr>
              <w:rFonts w:ascii="Palatino Linotype" w:eastAsia="Palatino Linotype" w:hAnsi="Palatino Linotype" w:cs="Palatino Linotype"/>
              <w:b/>
              <w:sz w:val="22"/>
              <w:szCs w:val="22"/>
            </w:rPr>
            <w:t xml:space="preserve"> y/o </w:t>
          </w:r>
          <w:proofErr w:type="spellStart"/>
          <w:r>
            <w:rPr>
              <w:rFonts w:ascii="Palatino Linotype" w:eastAsia="Palatino Linotype" w:hAnsi="Palatino Linotype" w:cs="Palatino Linotype"/>
              <w:b/>
              <w:sz w:val="22"/>
              <w:szCs w:val="22"/>
            </w:rPr>
            <w:t>xxxx</w:t>
          </w:r>
          <w:proofErr w:type="spellEnd"/>
          <w:r w:rsidR="003C6AE7">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sidR="003C6AE7">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w:t>
          </w:r>
          <w:r w:rsidR="003C6AE7">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xxxxxxxxxxxxx</w:t>
          </w:r>
          <w:proofErr w:type="spellEnd"/>
        </w:p>
      </w:tc>
    </w:tr>
    <w:tr w:rsidR="00591E54">
      <w:trPr>
        <w:trHeight w:val="228"/>
      </w:trPr>
      <w:tc>
        <w:tcPr>
          <w:tcW w:w="4251" w:type="dxa"/>
          <w:vMerge/>
          <w:shd w:val="clear" w:color="auto" w:fill="auto"/>
        </w:tcPr>
        <w:p w:rsidR="00591E54" w:rsidRDefault="00591E5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shd w:val="clear" w:color="auto" w:fill="auto"/>
          <w:vAlign w:val="center"/>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591E54">
      <w:tc>
        <w:tcPr>
          <w:tcW w:w="4251" w:type="dxa"/>
          <w:vMerge/>
          <w:shd w:val="clear" w:color="auto" w:fill="auto"/>
        </w:tcPr>
        <w:p w:rsidR="00591E54" w:rsidRDefault="00591E5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591E54" w:rsidRDefault="003C6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shd w:val="clear" w:color="auto" w:fill="auto"/>
        </w:tcPr>
        <w:p w:rsidR="00591E54" w:rsidRDefault="003C6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Eva </w:t>
          </w:r>
          <w:proofErr w:type="spellStart"/>
          <w:r>
            <w:rPr>
              <w:rFonts w:ascii="Palatino Linotype" w:eastAsia="Palatino Linotype" w:hAnsi="Palatino Linotype" w:cs="Palatino Linotype"/>
              <w:b/>
              <w:sz w:val="22"/>
              <w:szCs w:val="22"/>
            </w:rPr>
            <w:t>Abaid</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Yapur</w:t>
          </w:r>
          <w:proofErr w:type="spellEnd"/>
        </w:p>
      </w:tc>
    </w:tr>
  </w:tbl>
  <w:p w:rsidR="00591E54" w:rsidRDefault="00591E54">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E54"/>
    <w:rsid w:val="00373E53"/>
    <w:rsid w:val="003C6AE7"/>
    <w:rsid w:val="00591E54"/>
    <w:rsid w:val="007075BE"/>
    <w:rsid w:val="00D67236"/>
    <w:rsid w:val="00E96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1DF3D-CB57-479C-B5B5-D6473E90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qFormat/>
    <w:rsid w:val="001C4E80"/>
    <w:pPr>
      <w:spacing w:beforeAutospacing="1" w:afterAutospacing="1"/>
    </w:pPr>
  </w:style>
  <w:style w:type="paragraph" w:customStyle="1" w:styleId="j">
    <w:name w:val="j"/>
    <w:basedOn w:val="Normal"/>
    <w:qFormat/>
    <w:rsid w:val="001C4E80"/>
    <w:pPr>
      <w:spacing w:beforeAutospacing="1" w:afterAutospacing="1"/>
    </w:pPr>
  </w:style>
  <w:style w:type="paragraph" w:customStyle="1" w:styleId="m5212863947045306324gmail-msonormal">
    <w:name w:val="m_5212863947045306324gmail-msonormal"/>
    <w:basedOn w:val="Normal"/>
    <w:qFormat/>
    <w:rsid w:val="003A73F9"/>
    <w:pPr>
      <w:spacing w:beforeAutospacing="1" w:afterAutospacing="1"/>
    </w:p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22.png"/><Relationship Id="rId34"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2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aimex.org.mx/saimex/solicitud/downloadAttach/689345.page"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osfem.gob.mx/04_Normatividad/doc/Normatividad/2019/19.LineamInfMensualMpal_209.pdf" TargetMode="External"/><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2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sfem.gob.mx/04_Normatividad/doc/Normatividad/2019/19.LineamInfMensualMpal_209.pdf" TargetMode="External"/><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hyperlink" Target="http://www.monografias.com/trabajos14/verific-servicios/verific-servicios.shtml" TargetMode="External"/><Relationship Id="rId8" Type="http://schemas.openxmlformats.org/officeDocument/2006/relationships/hyperlink" Target="https://www.saimex.org.mx/saimex/solicitud/downloadAttach/850849.page"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zjXbKRysf72gt//AJOawahFeRw==">AMUW2mUW1ZKOzguQh7JgzGVebTjXQ0qfFEtEiKFPstClKPyOhADvESo8hTBXqKjkdB+JuWcaLm9LDRFHP2CD17XpO6w0D1mb/zSMBXxpo1wJTKpbqTEbMHNgHMyXXa8k+wnvANjx8KFJ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12090</Words>
  <Characters>66500</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Rocío Popoca</cp:lastModifiedBy>
  <cp:revision>4</cp:revision>
  <dcterms:created xsi:type="dcterms:W3CDTF">2020-08-26T23:34:00Z</dcterms:created>
  <dcterms:modified xsi:type="dcterms:W3CDTF">2020-09-23T14:40:00Z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