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9D" w:rsidRDefault="00BF0820">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00682/INFOEM/IP/RR/2020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C.</w:t>
      </w:r>
      <w:r>
        <w:rPr>
          <w:rFonts w:ascii="Palatino Linotype" w:eastAsia="Palatino Linotype" w:hAnsi="Palatino Linotype" w:cs="Palatino Linotype"/>
        </w:rPr>
        <w:t xml:space="preserve"> </w:t>
      </w:r>
      <w:r w:rsidR="00250EA6">
        <w:rPr>
          <w:rFonts w:ascii="Palatino Linotype" w:eastAsia="Palatino Linotype" w:hAnsi="Palatino Linotype" w:cs="Palatino Linotype"/>
          <w:b/>
        </w:rPr>
        <w:t>xxxxxxx</w:t>
      </w:r>
      <w:r>
        <w:rPr>
          <w:rFonts w:ascii="Palatino Linotype" w:eastAsia="Palatino Linotype" w:hAnsi="Palatino Linotype" w:cs="Palatino Linotype"/>
          <w:b/>
        </w:rPr>
        <w:t xml:space="preserve"> </w:t>
      </w:r>
      <w:r w:rsidR="00250EA6">
        <w:rPr>
          <w:rFonts w:ascii="Palatino Linotype" w:eastAsia="Palatino Linotype" w:hAnsi="Palatino Linotype" w:cs="Palatino Linotype"/>
          <w:b/>
        </w:rPr>
        <w:t>xxxxxx</w:t>
      </w:r>
      <w:r>
        <w:rPr>
          <w:rFonts w:ascii="Palatino Linotype" w:eastAsia="Palatino Linotype" w:hAnsi="Palatino Linotype" w:cs="Palatino Linotype"/>
          <w:b/>
        </w:rPr>
        <w:t xml:space="preserve"> </w:t>
      </w:r>
      <w:r w:rsidR="00250EA6">
        <w:rPr>
          <w:rFonts w:ascii="Palatino Linotype" w:eastAsia="Palatino Linotype" w:hAnsi="Palatino Linotype" w:cs="Palatino Linotype"/>
          <w:b/>
        </w:rPr>
        <w:t>xxxxxx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EL RECURRENTE</w:t>
      </w:r>
      <w:r>
        <w:rPr>
          <w:rFonts w:ascii="Palatino Linotype" w:eastAsia="Palatino Linotype" w:hAnsi="Palatino Linotype" w:cs="Palatino Linotype"/>
        </w:rPr>
        <w:t xml:space="preserve">, en contra de la falta de trámite y respuesta en que incurre el </w:t>
      </w:r>
      <w:r>
        <w:rPr>
          <w:rFonts w:ascii="Palatino Linotype" w:eastAsia="Palatino Linotype" w:hAnsi="Palatino Linotype" w:cs="Palatino Linotype"/>
          <w:b/>
        </w:rPr>
        <w:t>Ayuntamiento de Tequixquiac</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61229D" w:rsidRDefault="00BF0820">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bookmarkStart w:id="0" w:name="_GoBack"/>
      <w:bookmarkEnd w:id="0"/>
    </w:p>
    <w:p w:rsidR="0061229D" w:rsidRDefault="00BF0820">
      <w:pPr>
        <w:numPr>
          <w:ilvl w:val="0"/>
          <w:numId w:val="5"/>
        </w:numPr>
        <w:pBdr>
          <w:top w:val="nil"/>
          <w:left w:val="nil"/>
          <w:bottom w:val="nil"/>
          <w:right w:val="nil"/>
          <w:between w:val="nil"/>
        </w:pBdr>
        <w:tabs>
          <w:tab w:val="left" w:pos="709"/>
        </w:tabs>
        <w:spacing w:before="280" w:after="28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doce de diciembre de dos mil diecinueve,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la solicitud de acceso a la información pública, a la que se le asignó el número</w:t>
      </w:r>
      <w:r>
        <w:rPr>
          <w:rFonts w:ascii="Palatino Linotype" w:eastAsia="Palatino Linotype" w:hAnsi="Palatino Linotype" w:cs="Palatino Linotype"/>
          <w:b/>
          <w:color w:val="000000"/>
        </w:rPr>
        <w:t xml:space="preserve"> 00123/TEQIXQU/IP/2019</w:t>
      </w:r>
      <w:r>
        <w:rPr>
          <w:rFonts w:ascii="Palatino Linotype" w:eastAsia="Palatino Linotype" w:hAnsi="Palatino Linotype" w:cs="Palatino Linotype"/>
          <w:color w:val="000000"/>
        </w:rPr>
        <w:t xml:space="preserve">, mediante la cual requirió 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lo siguiente:</w:t>
      </w:r>
    </w:p>
    <w:p w:rsidR="0061229D" w:rsidRDefault="00BF0820">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“Documentos que acredite el alta ante ISSEMYM de todo el personal de la Administración 2019-2021 del Municipio de Tequixquiac. E indicar cuál es la función del ciudadano Martín González Oropeza en dicha administración” </w:t>
      </w:r>
      <w:r>
        <w:rPr>
          <w:rFonts w:ascii="Palatino Linotype" w:eastAsia="Palatino Linotype" w:hAnsi="Palatino Linotype" w:cs="Palatino Linotype"/>
          <w:sz w:val="22"/>
          <w:szCs w:val="22"/>
        </w:rPr>
        <w:t>(Sic)</w:t>
      </w:r>
    </w:p>
    <w:p w:rsidR="0061229D" w:rsidRDefault="00BF0820">
      <w:pPr>
        <w:numPr>
          <w:ilvl w:val="0"/>
          <w:numId w:val="3"/>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color w:val="000000"/>
        </w:rPr>
        <w:t xml:space="preserve">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 a la solicitud de acceso a la información.</w:t>
      </w:r>
    </w:p>
    <w:p w:rsidR="0061229D" w:rsidRDefault="00BF0820">
      <w:pPr>
        <w:widowControl w:val="0"/>
        <w:numPr>
          <w:ilvl w:val="0"/>
          <w:numId w:val="3"/>
        </w:numPr>
        <w:pBdr>
          <w:top w:val="nil"/>
          <w:left w:val="nil"/>
          <w:bottom w:val="nil"/>
          <w:right w:val="nil"/>
          <w:between w:val="nil"/>
        </w:pBdr>
        <w:tabs>
          <w:tab w:val="left" w:pos="0"/>
        </w:tabs>
        <w:spacing w:after="280" w:line="360" w:lineRule="auto"/>
        <w:ind w:left="0" w:firstLine="0"/>
        <w:jc w:val="both"/>
        <w:rPr>
          <w:rFonts w:ascii="Palatino Linotype" w:eastAsia="Palatino Linotype" w:hAnsi="Palatino Linotype" w:cs="Palatino Linotype"/>
          <w:color w:val="000000"/>
        </w:rPr>
      </w:pPr>
      <w:bookmarkStart w:id="2" w:name="_heading=h.30j0zll" w:colFirst="0" w:colLast="0"/>
      <w:bookmarkEnd w:id="2"/>
      <w:r>
        <w:rPr>
          <w:rFonts w:ascii="Palatino Linotype" w:eastAsia="Palatino Linotype" w:hAnsi="Palatino Linotype" w:cs="Palatino Linotype"/>
          <w:color w:val="000000"/>
        </w:rPr>
        <w:t xml:space="preserve">Inconforme con la falta de respuesta en que incurre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lastRenderedPageBreak/>
        <w:t xml:space="preserve">en fecha veintidós de enero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interpuso los recursos de revisión objeto del presente estudio, a los que se les asignaron los números al rubro citados, en los que señaló como acto impugnado, lo siguiente:</w:t>
      </w:r>
    </w:p>
    <w:p w:rsidR="0061229D" w:rsidRDefault="00BF0820">
      <w:pPr>
        <w:spacing w:before="280" w:after="28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“solicitud de altas de ISEMYM de todos los trabajadores del Municipio y información de la función que desempeña Martín González Oropeza”</w:t>
      </w:r>
    </w:p>
    <w:p w:rsidR="0061229D" w:rsidRDefault="00BF0820">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indicó como razones o motivos de inconformidad:</w:t>
      </w:r>
    </w:p>
    <w:p w:rsidR="0061229D" w:rsidRDefault="00BF0820">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“sin información”</w:t>
      </w:r>
      <w:r>
        <w:rPr>
          <w:rFonts w:ascii="Palatino Linotype" w:eastAsia="Palatino Linotype" w:hAnsi="Palatino Linotype" w:cs="Palatino Linotype"/>
          <w:sz w:val="22"/>
          <w:szCs w:val="22"/>
        </w:rPr>
        <w:t>(Sic)</w:t>
      </w:r>
    </w:p>
    <w:p w:rsidR="0061229D" w:rsidRDefault="00BF0820">
      <w:pPr>
        <w:widowControl w:val="0"/>
        <w:numPr>
          <w:ilvl w:val="0"/>
          <w:numId w:val="3"/>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veintidós de enero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EVA ABAID YAPUR</w:t>
      </w:r>
      <w:r>
        <w:rPr>
          <w:rFonts w:ascii="Palatino Linotype" w:eastAsia="Palatino Linotype" w:hAnsi="Palatino Linotype" w:cs="Palatino Linotype"/>
          <w:color w:val="000000"/>
        </w:rPr>
        <w:t>, a efecto de que decretara su admisión o desechamiento.</w:t>
      </w:r>
    </w:p>
    <w:p w:rsidR="0061229D" w:rsidRDefault="00BF0820">
      <w:pPr>
        <w:widowControl w:val="0"/>
        <w:numPr>
          <w:ilvl w:val="0"/>
          <w:numId w:val="3"/>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veintiocho de enero de dos mil veinte, atento a lo dispuesto en el artículo 185, fracciones I, II y IV, de la Ley de Transparencia y Acceso a la Información Pública del Estado de México y Municipios, se acordó la admisión a trámite del  referido recurso de revisión; así como, la integración del expediente, mismo que se puso a disposición de las partes, para que en el plazo máximo de siete días hábiles,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para que exhibiera el Informe Justificado correspondiente.</w:t>
      </w:r>
    </w:p>
    <w:p w:rsidR="0061229D" w:rsidRDefault="00BF0820">
      <w:pPr>
        <w:numPr>
          <w:ilvl w:val="0"/>
          <w:numId w:val="3"/>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las constancias que obran en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su Informe Justificado;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61229D" w:rsidRDefault="00BF0820">
      <w:pPr>
        <w:numPr>
          <w:ilvl w:val="0"/>
          <w:numId w:val="5"/>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analizado el estado procesal que guardaba el expediente, en fecha diecinueve de marzo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61229D" w:rsidRDefault="00BF0820">
      <w:pPr>
        <w:numPr>
          <w:ilvl w:val="0"/>
          <w:numId w:val="5"/>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fecha diecinueve de marzo dos mil veinte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61229D" w:rsidRDefault="00BF0820">
      <w:p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CONSIDERANDO</w:t>
      </w:r>
    </w:p>
    <w:p w:rsidR="0061229D" w:rsidRDefault="00BF0820">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Pr>
          <w:rFonts w:ascii="Palatino Linotype" w:eastAsia="Palatino Linotype" w:hAnsi="Palatino Linotype" w:cs="Palatino Linotype"/>
          <w:color w:val="000000"/>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61229D" w:rsidRDefault="00BF0820">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Interés.</w:t>
      </w:r>
      <w:r>
        <w:rPr>
          <w:rFonts w:ascii="Palatino Linotype" w:eastAsia="Palatino Linotype" w:hAnsi="Palatino Linotype" w:cs="Palatino Linotype"/>
          <w:color w:val="000000"/>
        </w:rPr>
        <w:t xml:space="preserve"> El recurso de revisión fue interpuesto por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rsidR="0061229D" w:rsidRDefault="00BF0820">
      <w:pPr>
        <w:widowControl w:val="0"/>
        <w:numPr>
          <w:ilvl w:val="0"/>
          <w:numId w:val="4"/>
        </w:numPr>
        <w:pBdr>
          <w:top w:val="nil"/>
          <w:left w:val="nil"/>
          <w:bottom w:val="nil"/>
          <w:right w:val="nil"/>
          <w:between w:val="nil"/>
        </w:pBdr>
        <w:tabs>
          <w:tab w:val="left" w:pos="993"/>
          <w:tab w:val="left" w:pos="1701"/>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61229D" w:rsidRDefault="00BF0820">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1229D" w:rsidRDefault="00BF0820">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61229D" w:rsidRDefault="00BF0820">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Pr>
          <w:rFonts w:ascii="Palatino Linotype" w:eastAsia="Palatino Linotype" w:hAnsi="Palatino Linotype" w:cs="Palatino Linotype"/>
          <w:color w:val="000000"/>
        </w:rPr>
        <w:lastRenderedPageBreak/>
        <w:t>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61229D" w:rsidRDefault="00BF0820">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constituye la figura jurídica de la </w:t>
      </w:r>
      <w:r>
        <w:rPr>
          <w:rFonts w:ascii="Palatino Linotype" w:eastAsia="Palatino Linotype" w:hAnsi="Palatino Linotype" w:cs="Palatino Linotype"/>
          <w:b/>
          <w:color w:val="000000"/>
        </w:rPr>
        <w:t>NEGATIVA FICTA</w:t>
      </w:r>
      <w:r>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61229D" w:rsidRDefault="00BF0820">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61229D" w:rsidRDefault="00BF082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1229D" w:rsidRDefault="00BF082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rsidR="0061229D" w:rsidRDefault="00BF082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 (Sic)</w:t>
      </w:r>
    </w:p>
    <w:p w:rsidR="0061229D" w:rsidRDefault="00BF0820">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sin embargo, tratándose de negativa ficta </w:t>
      </w:r>
      <w:r>
        <w:rPr>
          <w:rFonts w:ascii="Palatino Linotype" w:eastAsia="Palatino Linotype" w:hAnsi="Palatino Linotype" w:cs="Palatino Linotype"/>
          <w:color w:val="000000"/>
        </w:rPr>
        <w:lastRenderedPageBreak/>
        <w:t xml:space="preserve">no existe resolución que se haga del conocimiento del particular a partir de la cual pueda computarse dicho plazo, por tal motivo es pertinente establecer que no existe plazo para la interposición del recurso de revisión. </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61229D" w:rsidRDefault="00BF0820">
      <w:pPr>
        <w:spacing w:before="280" w:after="280"/>
        <w:ind w:left="851" w:right="89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Criterio 0001-15</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61229D" w:rsidRDefault="00BF0820">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Procedibilidad. </w:t>
      </w: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w:t>
      </w:r>
      <w:r>
        <w:rPr>
          <w:rFonts w:ascii="Palatino Linotype" w:eastAsia="Palatino Linotype" w:hAnsi="Palatino Linotype" w:cs="Palatino Linotype"/>
          <w:color w:val="000000"/>
        </w:rPr>
        <w:lastRenderedPageBreak/>
        <w:t xml:space="preserve">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 SAIMEX.</w:t>
      </w:r>
    </w:p>
    <w:p w:rsidR="0061229D" w:rsidRDefault="00BF0820">
      <w:pPr>
        <w:widowControl w:val="0"/>
        <w:numPr>
          <w:ilvl w:val="0"/>
          <w:numId w:val="4"/>
        </w:numPr>
        <w:pBdr>
          <w:top w:val="nil"/>
          <w:left w:val="nil"/>
          <w:bottom w:val="nil"/>
          <w:right w:val="nil"/>
          <w:between w:val="nil"/>
        </w:pBdr>
        <w:tabs>
          <w:tab w:val="left" w:pos="1276"/>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Estudio y resolución del asunto.</w:t>
      </w:r>
      <w:r>
        <w:rPr>
          <w:rFonts w:ascii="Palatino Linotype" w:eastAsia="Palatino Linotype" w:hAnsi="Palatino Linotype" w:cs="Palatino Linotype"/>
          <w:color w:val="000000"/>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179.</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otorga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valer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causas: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61229D" w:rsidRDefault="00BF08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falta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respuesta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solicitud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p>
    <w:p w:rsidR="0061229D" w:rsidRDefault="00BF08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61229D" w:rsidRDefault="00BF08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 La falta de trámite a una solicitud;</w:t>
      </w:r>
      <w:r>
        <w:rPr>
          <w:rFonts w:ascii="Palatino Linotype" w:eastAsia="Palatino Linotype" w:hAnsi="Palatino Linotype" w:cs="Palatino Linotype"/>
          <w:b/>
          <w:i/>
          <w:sz w:val="22"/>
          <w:szCs w:val="22"/>
        </w:rPr>
        <w:br/>
      </w:r>
    </w:p>
    <w:p w:rsidR="0061229D" w:rsidRDefault="00BF0820">
      <w:pPr>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r>
        <w:rPr>
          <w:rFonts w:ascii="Palatino Linotype" w:eastAsia="Palatino Linotype" w:hAnsi="Palatino Linotype" w:cs="Palatino Linotype"/>
          <w:b/>
          <w:i/>
        </w:rPr>
        <w:t xml:space="preserve"> </w:t>
      </w:r>
    </w:p>
    <w:p w:rsidR="0061229D" w:rsidRDefault="00BF0820">
      <w:pPr>
        <w:ind w:left="851"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(Énfasis añadido.)</w:t>
      </w:r>
    </w:p>
    <w:p w:rsidR="0061229D" w:rsidRDefault="00BF0820">
      <w:pPr>
        <w:spacing w:before="280" w:after="28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precepto legal citado, establece como supuestos de procedencia del recurso de revisión, en aquellos casos en que no se dé respuesta a lo solicitado por los particulares y en el presente asunto,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dar, tanto trámite como respuesta a lo requerido por el ahora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61229D" w:rsidRDefault="00BF082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determinada la vía sobre la que versará el presente asunto y previa revisión del expediente electrónico formado en 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por motivo de la solicitud de información y del recurso a que da origen,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dio respuesta a la solicitud de información planteada por el particular,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w:t>
      </w:r>
    </w:p>
    <w:p w:rsidR="0061229D" w:rsidRDefault="00BF0820">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Previo a exponer los argumentos que justifiquen la afirmación que antecede, primeramente, es importante recordar que el particular requirió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el expediente del Director de Servicios Públicos y las boletas de infracciones impuestas durante el mes de febrero de 2019.</w:t>
      </w:r>
    </w:p>
    <w:p w:rsidR="0061229D" w:rsidRDefault="00BF0820">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se destaca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 a la solicitud de acceso a la información, motivo por el cual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interpuso el medio de defensa de análisis.</w:t>
      </w:r>
    </w:p>
    <w:p w:rsidR="0061229D" w:rsidRDefault="00BF0820">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61229D" w:rsidRDefault="00BF0820">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análisis realizado al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observó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su Informe Justificado;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61229D" w:rsidRDefault="00BF0820">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Bajo ese contexto, este Instituto analizó la totalidad de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observó que las razones o motivos de 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devienen</w:t>
      </w:r>
      <w:r>
        <w:rPr>
          <w:rFonts w:ascii="Palatino Linotype" w:eastAsia="Palatino Linotype" w:hAnsi="Palatino Linotype" w:cs="Palatino Linotype"/>
          <w:b/>
          <w:color w:val="000000"/>
        </w:rPr>
        <w:t xml:space="preserve"> fundados</w:t>
      </w:r>
      <w:r>
        <w:rPr>
          <w:rFonts w:ascii="Palatino Linotype" w:eastAsia="Palatino Linotype" w:hAnsi="Palatino Linotype" w:cs="Palatino Linotype"/>
          <w:color w:val="000000"/>
        </w:rPr>
        <w:t>, en atención a las siguientes Consideraciones de hecho y de Derecho: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pertinente enfatizar lo que, respecto al derecho de acceso a la información pública, refiere el artículo 6° de la Constitución Política de los Estados Unidos Mexicanos, que en su parte conducente señala:</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6o.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manifestación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ninguna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inquisición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ataque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terceros,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provoque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algún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perturbe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réplica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rPr>
        <w:t xml:space="preserve"> </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tiene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plural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buscar,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índole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expresión.</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observará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Distrito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realice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federal,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nacional,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derive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facultades,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competencias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refiere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morales.</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inobservancia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sancionada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dispongan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colegiado,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patrimonio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plena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autonomía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técnica,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gestión,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capacidad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decidir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responsable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posesión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considere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rsidR="0061229D" w:rsidRDefault="00BF0820">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61229D" w:rsidRDefault="00BF0820">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rsidR="0061229D" w:rsidRDefault="00BF08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 xml:space="preserve"> </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asegurar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transparentarán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veraz</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fácil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gobierno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descentralizados,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reciba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ejerza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realice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Mexicanos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facultades,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intimidad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imagen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marco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rígido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supresión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tramitarse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electrónicos,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automatizado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sistematizarán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favorecer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consulta.</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61229D" w:rsidRDefault="00BF0820">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61229D" w:rsidRDefault="00BF08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61229D" w:rsidRDefault="00BF08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61229D" w:rsidRDefault="00BF0820">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añadido)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1229D" w:rsidRDefault="00BF082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1229D" w:rsidRDefault="00BF082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w:t>
      </w:r>
      <w:r>
        <w:rPr>
          <w:rFonts w:ascii="Palatino Linotype" w:eastAsia="Palatino Linotype" w:hAnsi="Palatino Linotype" w:cs="Palatino Linotype"/>
        </w:rPr>
        <w:lastRenderedPageBreak/>
        <w:t>y en caso de que persista la negativa de colaboración, hará del conocimiento de la autoridad competente para que se inicie, en su caso, el procedimiento de responsabilidad respectivo.</w:t>
      </w:r>
    </w:p>
    <w:p w:rsidR="0061229D" w:rsidRDefault="00BF082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1229D" w:rsidRDefault="00BF0820">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en atención al sentido en que se resuelve el presente medio de impugnación, esta Ponencia Resolutora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61229D" w:rsidRDefault="00BF082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es de precisar que </w:t>
      </w:r>
      <w:r>
        <w:rPr>
          <w:rFonts w:ascii="Palatino Linotype" w:eastAsia="Palatino Linotype" w:hAnsi="Palatino Linotype" w:cs="Palatino Linotype"/>
          <w:color w:val="0D0D0D"/>
        </w:rPr>
        <w:t xml:space="preserve">la clasificación de la información no se da por el simple mandato de la Ley, sino que </w:t>
      </w:r>
      <w:r>
        <w:rPr>
          <w:rFonts w:ascii="Palatino Linotype" w:eastAsia="Palatino Linotype" w:hAnsi="Palatino Linotype" w:cs="Palatino Linotype"/>
        </w:rPr>
        <w:t xml:space="preserve">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dentro de los datos personales que pudieran contenerse se destacan los datos personales sensibles, los cuales son aquellos referentes de la esfera de su titular </w:t>
      </w:r>
      <w:r>
        <w:rPr>
          <w:rFonts w:ascii="Palatino Linotype" w:eastAsia="Palatino Linotype" w:hAnsi="Palatino Linotype" w:cs="Palatino Linotype"/>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61229D" w:rsidRDefault="00BF0820">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Palatino Linotype" w:hAnsi="Palatino Linotype" w:cs="Palatino Linotype"/>
          <w:color w:val="000000"/>
        </w:rPr>
        <w:t>, que literalmente señala:</w:t>
      </w:r>
    </w:p>
    <w:p w:rsidR="0061229D" w:rsidRDefault="00BF08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w:t>
      </w:r>
      <w:r>
        <w:rPr>
          <w:rFonts w:ascii="Palatino Linotype" w:eastAsia="Palatino Linotype" w:hAnsi="Palatino Linotype" w:cs="Palatino Linotype"/>
          <w:b/>
          <w:i/>
          <w:sz w:val="22"/>
          <w:szCs w:val="22"/>
        </w:rPr>
        <w:lastRenderedPageBreak/>
        <w:t>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w:t>
      </w:r>
      <w:r>
        <w:rPr>
          <w:rFonts w:ascii="Palatino Linotype" w:eastAsia="Palatino Linotype" w:hAnsi="Palatino Linotype" w:cs="Palatino Linotype"/>
        </w:rPr>
        <w:lastRenderedPageBreak/>
        <w:t xml:space="preserve">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1229D" w:rsidRDefault="00BF0820">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61229D" w:rsidRDefault="00BF0820">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61229D" w:rsidRDefault="00BF0820">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1229D" w:rsidRDefault="00BF0820">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61229D" w:rsidRDefault="00BF0820">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61229D" w:rsidRDefault="00BF0820">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61229D" w:rsidRDefault="00BF0820">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advierte documentos que por su propia y especial naturaleza son </w:t>
      </w:r>
      <w:r>
        <w:rPr>
          <w:rFonts w:ascii="Palatino Linotype" w:eastAsia="Palatino Linotype" w:hAnsi="Palatino Linotype" w:cs="Palatino Linotype"/>
        </w:rPr>
        <w:lastRenderedPageBreak/>
        <w:t>privados, deberá efectuar el Acuerdo de Clasificación como confidencial, en términos de la legislación aplicable y en los términos abordados con antelación.</w:t>
      </w:r>
    </w:p>
    <w:p w:rsidR="0061229D" w:rsidRDefault="00BF0820">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1229D" w:rsidRDefault="00BF0820">
      <w:pPr>
        <w:shd w:val="clear" w:color="auto" w:fill="FFFFFF"/>
        <w:spacing w:before="280" w:after="280" w:line="360" w:lineRule="auto"/>
        <w:jc w:val="both"/>
        <w:rPr>
          <w:rFonts w:ascii="Georgia" w:eastAsia="Georgia" w:hAnsi="Georgia" w:cs="Georgia"/>
          <w:sz w:val="22"/>
          <w:szCs w:val="22"/>
        </w:rPr>
      </w:pPr>
      <w:r>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1229D" w:rsidRDefault="00BF0820">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61229D" w:rsidRDefault="00BF0820">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1229D" w:rsidRDefault="00BF0820">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61229D" w:rsidRDefault="00BF0820">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w:t>
      </w:r>
      <w:r>
        <w:rPr>
          <w:rFonts w:ascii="Palatino Linotype" w:eastAsia="Palatino Linotype" w:hAnsi="Palatino Linotype" w:cs="Palatino Linotype"/>
          <w:i/>
          <w:sz w:val="22"/>
          <w:szCs w:val="22"/>
        </w:rPr>
        <w:lastRenderedPageBreak/>
        <w:t xml:space="preserve">Zulema Martínez Sánchez y Eva Abaid Yapur. Instituto de Salud del Estado de México. Comisionado Ponente Luis Gustavo Parra Noriega. </w:t>
      </w:r>
    </w:p>
    <w:p w:rsidR="0061229D" w:rsidRDefault="00BF0820">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61229D" w:rsidRDefault="00BF0820">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61229D" w:rsidRDefault="00BF0820">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61229D" w:rsidRDefault="00BF08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 acceso a la información, atendiendo lo señalado en el presente Considerando.</w:t>
      </w:r>
    </w:p>
    <w:p w:rsidR="0061229D" w:rsidRDefault="00BF082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61229D" w:rsidRDefault="00BF0820">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con fundamento en lo prescrito en los artículos 5, vigésimo segundo, vigésimo tercero y vigésimo cuarto, fracciones IV y V de la Constitución Política del Estado Libre y Soberano de México y los artículos 2, fracción II, 9, 29, 36, fracciones I y II, 176, 178, 179, 181, 185, fracción I, 186 y 188 de la Ley de Transparencia y Acceso a la Información </w:t>
      </w:r>
      <w:r>
        <w:rPr>
          <w:rFonts w:ascii="Palatino Linotype" w:eastAsia="Palatino Linotype" w:hAnsi="Palatino Linotype" w:cs="Palatino Linotype"/>
          <w:color w:val="000000"/>
        </w:rPr>
        <w:lastRenderedPageBreak/>
        <w:t>Pública del Estado de México y Municipios, este Pleno:</w:t>
      </w:r>
    </w:p>
    <w:p w:rsidR="0061229D" w:rsidRDefault="00BF0820">
      <w:pPr>
        <w:spacing w:before="240" w:after="280" w:line="276"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61229D" w:rsidRDefault="00BF0820">
      <w:pPr>
        <w:widowControl w:val="0"/>
        <w:numPr>
          <w:ilvl w:val="0"/>
          <w:numId w:val="6"/>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Resultan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las </w:t>
      </w:r>
      <w:r>
        <w:rPr>
          <w:rFonts w:ascii="Palatino Linotype" w:eastAsia="Palatino Linotype" w:hAnsi="Palatino Linotype" w:cs="Palatino Linotype"/>
          <w:color w:val="000000"/>
          <w:highlight w:val="white"/>
        </w:rPr>
        <w:t>razones</w:t>
      </w:r>
      <w:r>
        <w:rPr>
          <w:rFonts w:ascii="Palatino Linotype" w:eastAsia="Palatino Linotype" w:hAnsi="Palatino Linotype" w:cs="Palatino Linotype"/>
          <w:color w:val="000000"/>
        </w:rPr>
        <w:t xml:space="preserve"> o motivos de inconformidad hechas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el recurso de revisión </w:t>
      </w:r>
      <w:r>
        <w:rPr>
          <w:rFonts w:ascii="Palatino Linotype" w:eastAsia="Palatino Linotype" w:hAnsi="Palatino Linotype" w:cs="Palatino Linotype"/>
          <w:b/>
          <w:color w:val="000000"/>
        </w:rPr>
        <w:t xml:space="preserve">00682/INFOEM/IP/RR/2020, </w:t>
      </w:r>
      <w:r>
        <w:rPr>
          <w:rFonts w:ascii="Palatino Linotype" w:eastAsia="Palatino Linotype" w:hAnsi="Palatino Linotype" w:cs="Palatino Linotype"/>
          <w:color w:val="000000"/>
        </w:rPr>
        <w:t xml:space="preserve">en términos del Considerando </w:t>
      </w:r>
      <w:r>
        <w:rPr>
          <w:rFonts w:ascii="Palatino Linotype" w:eastAsia="Palatino Linotype" w:hAnsi="Palatino Linotype" w:cs="Palatino Linotype"/>
          <w:b/>
          <w:color w:val="000000"/>
        </w:rPr>
        <w:t>QUINTO.</w:t>
      </w:r>
    </w:p>
    <w:p w:rsidR="0061229D" w:rsidRDefault="00BF0820">
      <w:pPr>
        <w:widowControl w:val="0"/>
        <w:numPr>
          <w:ilvl w:val="0"/>
          <w:numId w:val="6"/>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222222"/>
        </w:rPr>
        <w:t>Se</w:t>
      </w:r>
      <w:r>
        <w:rPr>
          <w:rFonts w:ascii="Palatino Linotype" w:eastAsia="Palatino Linotype" w:hAnsi="Palatino Linotype" w:cs="Palatino Linotype"/>
          <w:b/>
          <w:color w:val="222222"/>
        </w:rPr>
        <w:t xml:space="preserve"> 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dé trámite a la solicitud de acceso a la información pública,</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 xml:space="preserve">en términos del Considerando </w:t>
      </w:r>
      <w:r>
        <w:rPr>
          <w:rFonts w:ascii="Palatino Linotype" w:eastAsia="Palatino Linotype" w:hAnsi="Palatino Linotype" w:cs="Palatino Linotype"/>
          <w:b/>
          <w:color w:val="222222"/>
        </w:rPr>
        <w:t xml:space="preserve">QUINTO </w:t>
      </w:r>
      <w:r>
        <w:rPr>
          <w:rFonts w:ascii="Palatino Linotype" w:eastAsia="Palatino Linotype" w:hAnsi="Palatino Linotype" w:cs="Palatino Linotype"/>
          <w:color w:val="222222"/>
        </w:rPr>
        <w:t>de esta resolución; y emita respuestas, debiendo observar las excepciones contenidas en la Ley de Transparencia y Acceso a la Información Pública del Estado de México y Municipios.</w:t>
      </w:r>
    </w:p>
    <w:p w:rsidR="0061229D" w:rsidRDefault="00BF0820">
      <w:pPr>
        <w:widowControl w:val="0"/>
        <w:numPr>
          <w:ilvl w:val="0"/>
          <w:numId w:val="6"/>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highlight w:val="white"/>
        </w:rPr>
        <w:t xml:space="preserve">al </w:t>
      </w:r>
      <w:r>
        <w:rPr>
          <w:rFonts w:ascii="Palatino Linotype" w:eastAsia="Palatino Linotype" w:hAnsi="Palatino Linotype" w:cs="Palatino Linotype"/>
          <w:color w:val="000000"/>
        </w:rPr>
        <w:t>Titular</w:t>
      </w:r>
      <w:r>
        <w:rPr>
          <w:rFonts w:ascii="Palatino Linotype" w:eastAsia="Palatino Linotype" w:hAnsi="Palatino Linotype" w:cs="Palatino Linotype"/>
          <w:color w:val="000000"/>
          <w:highlight w:val="white"/>
        </w:rPr>
        <w:t xml:space="preserve">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xml:space="preserve"> para que, </w:t>
      </w:r>
      <w:r>
        <w:rPr>
          <w:rFonts w:ascii="Palatino Linotype" w:eastAsia="Palatino Linotype" w:hAnsi="Palatino Linotype" w:cs="Palatino Linotype"/>
          <w:color w:val="000000"/>
        </w:rPr>
        <w:t>conforme</w:t>
      </w:r>
      <w:r>
        <w:rPr>
          <w:rFonts w:ascii="Palatino Linotype" w:eastAsia="Palatino Linotype" w:hAnsi="Palatino Linotype" w:cs="Palatino Linotype"/>
          <w:color w:val="000000"/>
          <w:highlight w:val="white"/>
        </w:rPr>
        <w:t xml:space="preserve"> a los artículos 186, último párrafo y 189, párrafo segundo de la Ley de </w:t>
      </w:r>
      <w:r>
        <w:rPr>
          <w:rFonts w:ascii="Palatino Linotype" w:eastAsia="Palatino Linotype" w:hAnsi="Palatino Linotype" w:cs="Palatino Linotype"/>
          <w:color w:val="000000"/>
        </w:rPr>
        <w:t>Transparencia</w:t>
      </w:r>
      <w:r>
        <w:rPr>
          <w:rFonts w:ascii="Palatino Linotype" w:eastAsia="Palatino Linotype" w:hAnsi="Palatino Linotype" w:cs="Palatino Linotype"/>
          <w:color w:val="000000"/>
          <w:highlight w:val="white"/>
        </w:rPr>
        <w:t xml:space="preserve"> y </w:t>
      </w:r>
      <w:r>
        <w:rPr>
          <w:rFonts w:ascii="Palatino Linotype" w:eastAsia="Palatino Linotype" w:hAnsi="Palatino Linotype" w:cs="Palatino Linotype"/>
          <w:color w:val="000000"/>
        </w:rPr>
        <w:t>Acceso</w:t>
      </w:r>
      <w:r>
        <w:rPr>
          <w:rFonts w:ascii="Palatino Linotype" w:eastAsia="Palatino Linotype" w:hAnsi="Palatino Linotype" w:cs="Palatino Linotype"/>
          <w:color w:val="000000"/>
          <w:highlight w:val="white"/>
        </w:rPr>
        <w:t xml:space="preserve"> a la Información Pública del Estado de México y Municipios, dé </w:t>
      </w:r>
      <w:r>
        <w:rPr>
          <w:rFonts w:ascii="Palatino Linotype" w:eastAsia="Palatino Linotype" w:hAnsi="Palatino Linotype" w:cs="Palatino Linotype"/>
          <w:color w:val="000000"/>
        </w:rPr>
        <w:t>cumplimiento</w:t>
      </w:r>
      <w:r>
        <w:rPr>
          <w:rFonts w:ascii="Palatino Linotype" w:eastAsia="Palatino Linotype" w:hAnsi="Palatino Linotype" w:cs="Palatino Linotype"/>
          <w:color w:val="000000"/>
          <w:highlight w:val="white"/>
        </w:rPr>
        <w:t xml:space="preserve"> a lo ordenado dentro del plazo de diez días hábiles, debiendo informar a este Instituto en un plazo </w:t>
      </w:r>
      <w:r>
        <w:rPr>
          <w:rFonts w:ascii="Palatino Linotype" w:eastAsia="Palatino Linotype" w:hAnsi="Palatino Linotype" w:cs="Palatino Linotype"/>
          <w:color w:val="000000"/>
        </w:rPr>
        <w:t>de</w:t>
      </w:r>
      <w:r>
        <w:rPr>
          <w:rFonts w:ascii="Palatino Linotype" w:eastAsia="Palatino Linotype" w:hAnsi="Palatino Linotype" w:cs="Palatino Linotype"/>
          <w:color w:val="000000"/>
          <w:highlight w:val="white"/>
        </w:rPr>
        <w:t xml:space="preserve"> tres días hábiles siguientes sobre el cumplimiento dado a la resolución.</w:t>
      </w:r>
    </w:p>
    <w:p w:rsidR="0061229D" w:rsidRDefault="00BF0820">
      <w:pPr>
        <w:widowControl w:val="0"/>
        <w:numPr>
          <w:ilvl w:val="0"/>
          <w:numId w:val="6"/>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en caso de negarse a cumplir la presente resolución o hacerlo de manera parcial se actuará de conformidad con lo previsto en los artículos 213, 214, 216 y 217 de dicha Ley.</w:t>
      </w:r>
    </w:p>
    <w:p w:rsidR="0061229D" w:rsidRDefault="00BF0820">
      <w:pPr>
        <w:widowControl w:val="0"/>
        <w:numPr>
          <w:ilvl w:val="0"/>
          <w:numId w:val="6"/>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Notifíquese</w:t>
      </w:r>
      <w:r>
        <w:rPr>
          <w:rFonts w:ascii="Palatino Linotype" w:eastAsia="Palatino Linotype" w:hAnsi="Palatino Linotype" w:cs="Palatino Linotype"/>
          <w:color w:val="000000"/>
        </w:rPr>
        <w:t xml:space="preserve"> al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la presente </w:t>
      </w:r>
      <w:r>
        <w:rPr>
          <w:rFonts w:ascii="Palatino Linotype" w:eastAsia="Palatino Linotype" w:hAnsi="Palatino Linotype" w:cs="Palatino Linotype"/>
          <w:color w:val="000000"/>
          <w:highlight w:val="white"/>
        </w:rPr>
        <w:t>resolución</w:t>
      </w:r>
      <w:r>
        <w:rPr>
          <w:rFonts w:ascii="Palatino Linotype" w:eastAsia="Palatino Linotype" w:hAnsi="Palatino Linotype" w:cs="Palatino Linotype"/>
          <w:color w:val="000000"/>
        </w:rPr>
        <w:t>.</w:t>
      </w:r>
    </w:p>
    <w:p w:rsidR="0061229D" w:rsidRDefault="00BF0820">
      <w:pPr>
        <w:widowControl w:val="0"/>
        <w:numPr>
          <w:ilvl w:val="0"/>
          <w:numId w:val="6"/>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000000"/>
        </w:rPr>
        <w:t>Hágase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del conocimiento</w:t>
      </w:r>
      <w:r>
        <w:rPr>
          <w:rFonts w:ascii="Palatino Linotype" w:eastAsia="Palatino Linotype" w:hAnsi="Palatino Linotype" w:cs="Palatino Linotype"/>
          <w:color w:val="000000"/>
        </w:rPr>
        <w:t xml:space="preserve"> 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61229D" w:rsidRDefault="00BF0820">
      <w:pPr>
        <w:widowControl w:val="0"/>
        <w:numPr>
          <w:ilvl w:val="0"/>
          <w:numId w:val="6"/>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Hágase del conocimiento </w:t>
      </w:r>
      <w:r>
        <w:rPr>
          <w:rFonts w:ascii="Palatino Linotype" w:eastAsia="Palatino Linotype" w:hAnsi="Palatino Linotype" w:cs="Palatino Linotype"/>
          <w:color w:val="222222"/>
        </w:rPr>
        <w:t xml:space="preserve">del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1229D" w:rsidRDefault="00BF0820">
      <w:pPr>
        <w:widowControl w:val="0"/>
        <w:numPr>
          <w:ilvl w:val="0"/>
          <w:numId w:val="6"/>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Gírese oficio </w:t>
      </w:r>
      <w:r>
        <w:rPr>
          <w:rFonts w:ascii="Palatino Linotype" w:eastAsia="Palatino Linotype" w:hAnsi="Palatino Linotype" w:cs="Palatino Linotype"/>
          <w:color w:val="2222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eastAsia="Palatino Linotype" w:hAnsi="Palatino Linotype" w:cs="Palatino Linotype"/>
          <w:b/>
          <w:color w:val="222222"/>
        </w:rPr>
        <w:t>QUINTO</w:t>
      </w:r>
      <w:r>
        <w:rPr>
          <w:rFonts w:ascii="Palatino Linotype" w:eastAsia="Palatino Linotype" w:hAnsi="Palatino Linotype" w:cs="Palatino Linotype"/>
          <w:color w:val="222222"/>
        </w:rPr>
        <w:t xml:space="preserve"> de la presente resolución.</w:t>
      </w:r>
    </w:p>
    <w:p w:rsidR="0061229D" w:rsidRDefault="00BF0820">
      <w:pPr>
        <w:widowControl w:val="0"/>
        <w:pBdr>
          <w:top w:val="nil"/>
          <w:left w:val="nil"/>
          <w:bottom w:val="nil"/>
          <w:right w:val="nil"/>
          <w:between w:val="nil"/>
        </w:pBdr>
        <w:tabs>
          <w:tab w:val="left" w:pos="1701"/>
        </w:tabs>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color w:val="000000"/>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w:t>
      </w:r>
      <w:r>
        <w:rPr>
          <w:rFonts w:ascii="Palatino Linotype" w:eastAsia="Palatino Linotype" w:hAnsi="Palatino Linotype" w:cs="Palatino Linotype"/>
          <w:color w:val="000000"/>
        </w:rPr>
        <w:lastRenderedPageBreak/>
        <w:t>EN LA DÉCIMA TERCERA SESIÓN ORDINARIA CELEBRADA EL DÍA DOCE DE AGOSTO DE DOS MIL VEINTE, ANTE EL SECRETARIO TÉCNICO DEL PLENO, ALEXIS TAPIA RAMÍREZ.</w:t>
      </w:r>
    </w:p>
    <w:tbl>
      <w:tblPr>
        <w:tblStyle w:val="a"/>
        <w:tblW w:w="9214" w:type="dxa"/>
        <w:jc w:val="center"/>
        <w:tblInd w:w="0" w:type="dxa"/>
        <w:tblLayout w:type="fixed"/>
        <w:tblLook w:val="0400" w:firstRow="0" w:lastRow="0" w:firstColumn="0" w:lastColumn="0" w:noHBand="0" w:noVBand="1"/>
      </w:tblPr>
      <w:tblGrid>
        <w:gridCol w:w="4757"/>
        <w:gridCol w:w="4457"/>
      </w:tblGrid>
      <w:tr w:rsidR="0061229D">
        <w:trPr>
          <w:jc w:val="center"/>
        </w:trPr>
        <w:tc>
          <w:tcPr>
            <w:tcW w:w="9214" w:type="dxa"/>
            <w:gridSpan w:val="2"/>
            <w:shd w:val="clear" w:color="auto" w:fill="auto"/>
          </w:tcPr>
          <w:p w:rsidR="0061229D" w:rsidRDefault="0061229D">
            <w:pPr>
              <w:jc w:val="center"/>
              <w:rPr>
                <w:rFonts w:ascii="Palatino Linotype" w:eastAsia="Palatino Linotype" w:hAnsi="Palatino Linotype" w:cs="Palatino Linotype"/>
                <w:b/>
              </w:rPr>
            </w:pPr>
            <w:bookmarkStart w:id="3" w:name="_heading=h.1fob9te" w:colFirst="0" w:colLast="0"/>
            <w:bookmarkEnd w:id="3"/>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rPr>
              <w:t>Comisionada Presidenta</w:t>
            </w: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61229D">
        <w:trPr>
          <w:jc w:val="center"/>
        </w:trPr>
        <w:tc>
          <w:tcPr>
            <w:tcW w:w="4757" w:type="dxa"/>
            <w:shd w:val="clear" w:color="auto" w:fill="auto"/>
          </w:tcPr>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4457" w:type="dxa"/>
            <w:shd w:val="clear" w:color="auto" w:fill="auto"/>
          </w:tcPr>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61229D">
        <w:trPr>
          <w:jc w:val="center"/>
        </w:trPr>
        <w:tc>
          <w:tcPr>
            <w:tcW w:w="4757" w:type="dxa"/>
            <w:shd w:val="clear" w:color="auto" w:fill="auto"/>
          </w:tcPr>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c>
          <w:tcPr>
            <w:tcW w:w="4457" w:type="dxa"/>
            <w:shd w:val="clear" w:color="auto" w:fill="auto"/>
          </w:tcPr>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61229D">
        <w:trPr>
          <w:jc w:val="center"/>
        </w:trPr>
        <w:tc>
          <w:tcPr>
            <w:tcW w:w="9214" w:type="dxa"/>
            <w:gridSpan w:val="2"/>
            <w:shd w:val="clear" w:color="auto" w:fill="auto"/>
          </w:tcPr>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61229D">
            <w:pPr>
              <w:jc w:val="center"/>
              <w:rPr>
                <w:rFonts w:ascii="Palatino Linotype" w:eastAsia="Palatino Linotype" w:hAnsi="Palatino Linotype" w:cs="Palatino Linotype"/>
                <w:b/>
              </w:rPr>
            </w:pPr>
          </w:p>
          <w:p w:rsidR="0061229D" w:rsidRDefault="00BF0820">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61229D" w:rsidRDefault="00BF0820">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r>
    </w:tbl>
    <w:p w:rsidR="0061229D" w:rsidRDefault="0061229D">
      <w:pPr>
        <w:jc w:val="both"/>
        <w:rPr>
          <w:rFonts w:ascii="Palatino Linotype" w:eastAsia="Palatino Linotype" w:hAnsi="Palatino Linotype" w:cs="Palatino Linotype"/>
          <w:sz w:val="22"/>
          <w:szCs w:val="22"/>
        </w:rPr>
      </w:pPr>
    </w:p>
    <w:p w:rsidR="0061229D" w:rsidRDefault="00BF0820">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 hoja corresponde a la resolución de fecha doce de agosto de dos mil veinte, emitida en los recursos de revisión números 00682/INFOEM/IP/RR/2020.</w:t>
      </w:r>
    </w:p>
    <w:p w:rsidR="0061229D" w:rsidRDefault="00BF082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YSM/LGMJ</w:t>
      </w:r>
    </w:p>
    <w:sectPr w:rsidR="0061229D">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11" w:rsidRDefault="007F7211">
      <w:r>
        <w:separator/>
      </w:r>
    </w:p>
  </w:endnote>
  <w:endnote w:type="continuationSeparator" w:id="0">
    <w:p w:rsidR="007F7211" w:rsidRDefault="007F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29D" w:rsidRDefault="00BF08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0EA6">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0EA6">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29D" w:rsidRDefault="00BF082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0EA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0EA6">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11" w:rsidRDefault="007F7211">
      <w:r>
        <w:separator/>
      </w:r>
    </w:p>
  </w:footnote>
  <w:footnote w:type="continuationSeparator" w:id="0">
    <w:p w:rsidR="007F7211" w:rsidRDefault="007F7211">
      <w:r>
        <w:continuationSeparator/>
      </w:r>
    </w:p>
  </w:footnote>
  <w:footnote w:id="1">
    <w:p w:rsidR="0061229D" w:rsidRDefault="00BF0820">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29D" w:rsidRDefault="0061229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tbl>
    <w:tblPr>
      <w:tblStyle w:val="a1"/>
      <w:tblW w:w="9534" w:type="dxa"/>
      <w:tblInd w:w="-142" w:type="dxa"/>
      <w:tblLayout w:type="fixed"/>
      <w:tblLook w:val="0400" w:firstRow="0" w:lastRow="0" w:firstColumn="0" w:lastColumn="0" w:noHBand="0" w:noVBand="1"/>
    </w:tblPr>
    <w:tblGrid>
      <w:gridCol w:w="3259"/>
      <w:gridCol w:w="2551"/>
      <w:gridCol w:w="3724"/>
    </w:tblGrid>
    <w:tr w:rsidR="0061229D">
      <w:tc>
        <w:tcPr>
          <w:tcW w:w="3259" w:type="dxa"/>
          <w:vMerge w:val="restart"/>
        </w:tcPr>
        <w:p w:rsidR="0061229D" w:rsidRDefault="00BF0820">
          <w:pPr>
            <w:rPr>
              <w:rFonts w:ascii="Palatino Linotype" w:eastAsia="Palatino Linotype" w:hAnsi="Palatino Linotype" w:cs="Palatino Linotype"/>
              <w:b/>
              <w:sz w:val="22"/>
              <w:szCs w:val="22"/>
            </w:rPr>
          </w:pPr>
          <w:r>
            <w:rPr>
              <w:noProof/>
            </w:rPr>
            <w:drawing>
              <wp:inline distT="0" distB="0" distL="0" distR="0">
                <wp:extent cx="1663700" cy="8382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3700" cy="838200"/>
                        </a:xfrm>
                        <a:prstGeom prst="rect">
                          <a:avLst/>
                        </a:prstGeom>
                        <a:ln/>
                      </pic:spPr>
                    </pic:pic>
                  </a:graphicData>
                </a:graphic>
              </wp:inline>
            </w:drawing>
          </w:r>
        </w:p>
      </w:tc>
      <w:tc>
        <w:tcPr>
          <w:tcW w:w="2551"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4" w:type="dxa"/>
          <w:shd w:val="clear" w:color="auto" w:fill="auto"/>
          <w:vAlign w:val="center"/>
        </w:tcPr>
        <w:p w:rsidR="0061229D" w:rsidRDefault="00BF08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00682/INFOEM/IP/RR/2020</w:t>
          </w:r>
        </w:p>
      </w:tc>
    </w:tr>
    <w:tr w:rsidR="0061229D">
      <w:tc>
        <w:tcPr>
          <w:tcW w:w="3259" w:type="dxa"/>
          <w:vMerge/>
        </w:tcPr>
        <w:p w:rsidR="0061229D" w:rsidRDefault="0061229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4" w:type="dxa"/>
          <w:shd w:val="clear" w:color="auto" w:fill="auto"/>
          <w:vAlign w:val="center"/>
        </w:tcPr>
        <w:p w:rsidR="0061229D" w:rsidRDefault="00BF08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61229D">
      <w:trPr>
        <w:trHeight w:val="228"/>
      </w:trPr>
      <w:tc>
        <w:tcPr>
          <w:tcW w:w="3259" w:type="dxa"/>
          <w:vMerge/>
        </w:tcPr>
        <w:p w:rsidR="0061229D" w:rsidRDefault="0061229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4" w:type="dxa"/>
          <w:shd w:val="clear" w:color="auto" w:fill="auto"/>
        </w:tcPr>
        <w:p w:rsidR="0061229D" w:rsidRDefault="00BF08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Eva Abaid Yapur</w:t>
          </w:r>
        </w:p>
      </w:tc>
    </w:tr>
  </w:tbl>
  <w:p w:rsidR="0061229D" w:rsidRDefault="0061229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29D" w:rsidRDefault="0061229D">
    <w:pPr>
      <w:rPr>
        <w:rFonts w:ascii="Palatino Linotype" w:eastAsia="Palatino Linotype" w:hAnsi="Palatino Linotype" w:cs="Palatino Linotype"/>
        <w:sz w:val="28"/>
        <w:szCs w:val="28"/>
      </w:rPr>
    </w:pPr>
  </w:p>
  <w:tbl>
    <w:tblPr>
      <w:tblStyle w:val="a0"/>
      <w:tblW w:w="10490" w:type="dxa"/>
      <w:tblInd w:w="-1276" w:type="dxa"/>
      <w:tblLayout w:type="fixed"/>
      <w:tblLook w:val="0400" w:firstRow="0" w:lastRow="0" w:firstColumn="0" w:lastColumn="0" w:noHBand="0" w:noVBand="1"/>
    </w:tblPr>
    <w:tblGrid>
      <w:gridCol w:w="4251"/>
      <w:gridCol w:w="2552"/>
      <w:gridCol w:w="3687"/>
    </w:tblGrid>
    <w:tr w:rsidR="0061229D">
      <w:tc>
        <w:tcPr>
          <w:tcW w:w="4251" w:type="dxa"/>
          <w:vMerge w:val="restart"/>
          <w:shd w:val="clear" w:color="auto" w:fill="auto"/>
        </w:tcPr>
        <w:p w:rsidR="0061229D" w:rsidRDefault="00BF0820">
          <w:pPr>
            <w:rPr>
              <w:rFonts w:ascii="Palatino Linotype" w:eastAsia="Palatino Linotype" w:hAnsi="Palatino Linotype" w:cs="Palatino Linotype"/>
              <w:b/>
              <w:sz w:val="22"/>
              <w:szCs w:val="22"/>
            </w:rPr>
          </w:pPr>
          <w:r>
            <w:rPr>
              <w:noProof/>
            </w:rPr>
            <w:drawing>
              <wp:inline distT="0" distB="0" distL="0" distR="0">
                <wp:extent cx="1663700" cy="8382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3700" cy="838200"/>
                        </a:xfrm>
                        <a:prstGeom prst="rect">
                          <a:avLst/>
                        </a:prstGeom>
                        <a:ln/>
                      </pic:spPr>
                    </pic:pic>
                  </a:graphicData>
                </a:graphic>
              </wp:inline>
            </w:drawing>
          </w:r>
        </w:p>
      </w:tc>
      <w:tc>
        <w:tcPr>
          <w:tcW w:w="2552"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shd w:val="clear" w:color="auto" w:fill="auto"/>
          <w:vAlign w:val="center"/>
        </w:tcPr>
        <w:p w:rsidR="0061229D" w:rsidRDefault="00BF08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00682/INFOEM/IP/RR/2020</w:t>
          </w:r>
        </w:p>
      </w:tc>
    </w:tr>
    <w:tr w:rsidR="0061229D">
      <w:tc>
        <w:tcPr>
          <w:tcW w:w="4251" w:type="dxa"/>
          <w:vMerge/>
          <w:shd w:val="clear" w:color="auto" w:fill="auto"/>
        </w:tcPr>
        <w:p w:rsidR="0061229D" w:rsidRDefault="0061229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shd w:val="clear" w:color="auto" w:fill="auto"/>
          <w:vAlign w:val="center"/>
        </w:tcPr>
        <w:p w:rsidR="0061229D" w:rsidRDefault="00250EA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BF0820">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BF0820">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61229D">
      <w:trPr>
        <w:trHeight w:val="228"/>
      </w:trPr>
      <w:tc>
        <w:tcPr>
          <w:tcW w:w="4251" w:type="dxa"/>
          <w:vMerge/>
          <w:shd w:val="clear" w:color="auto" w:fill="auto"/>
        </w:tcPr>
        <w:p w:rsidR="0061229D" w:rsidRDefault="0061229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shd w:val="clear" w:color="auto" w:fill="auto"/>
          <w:vAlign w:val="center"/>
        </w:tcPr>
        <w:p w:rsidR="0061229D" w:rsidRDefault="00BF08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61229D">
      <w:tc>
        <w:tcPr>
          <w:tcW w:w="4251" w:type="dxa"/>
          <w:vMerge/>
          <w:shd w:val="clear" w:color="auto" w:fill="auto"/>
        </w:tcPr>
        <w:p w:rsidR="0061229D" w:rsidRDefault="0061229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61229D" w:rsidRDefault="00BF08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shd w:val="clear" w:color="auto" w:fill="auto"/>
        </w:tcPr>
        <w:p w:rsidR="0061229D" w:rsidRDefault="00BF08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Eva Abaid Yapur</w:t>
          </w:r>
        </w:p>
      </w:tc>
    </w:tr>
  </w:tbl>
  <w:p w:rsidR="0061229D" w:rsidRDefault="0061229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C1FBD"/>
    <w:multiLevelType w:val="multilevel"/>
    <w:tmpl w:val="8B7458A6"/>
    <w:lvl w:ilvl="0">
      <w:start w:val="1"/>
      <w:numFmt w:val="decimal"/>
      <w:lvlText w:val="%1."/>
      <w:lvlJc w:val="left"/>
      <w:pPr>
        <w:ind w:left="720" w:hanging="360"/>
      </w:pPr>
      <w:rPr>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BA04E7"/>
    <w:multiLevelType w:val="multilevel"/>
    <w:tmpl w:val="79508B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C7096F"/>
    <w:multiLevelType w:val="multilevel"/>
    <w:tmpl w:val="42424A94"/>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4CC865C6"/>
    <w:multiLevelType w:val="multilevel"/>
    <w:tmpl w:val="6FE638F0"/>
    <w:lvl w:ilvl="0">
      <w:start w:val="1"/>
      <w:numFmt w:val="upperRoman"/>
      <w:lvlText w:val="%1."/>
      <w:lvlJc w:val="left"/>
      <w:pPr>
        <w:ind w:left="720" w:hanging="360"/>
      </w:pPr>
      <w:rPr>
        <w:b/>
        <w:i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9A45DC"/>
    <w:multiLevelType w:val="multilevel"/>
    <w:tmpl w:val="AA1A427C"/>
    <w:lvl w:ilvl="0">
      <w:start w:val="1"/>
      <w:numFmt w:val="decimal"/>
      <w:lvlText w:val="%1."/>
      <w:lvlJc w:val="left"/>
      <w:pPr>
        <w:ind w:left="720" w:hanging="360"/>
      </w:pPr>
      <w:rPr>
        <w:b/>
        <w:smallCaps w:val="0"/>
        <w:strike w:val="0"/>
        <w:sz w:val="28"/>
        <w:szCs w:val="28"/>
        <w:vertAlign w:val="baseline"/>
      </w:rPr>
    </w:lvl>
    <w:lvl w:ilvl="1">
      <w:start w:val="1"/>
      <w:numFmt w:val="decimal"/>
      <w:lvlText w:val="%2."/>
      <w:lvlJc w:val="left"/>
      <w:pPr>
        <w:ind w:left="1080" w:hanging="360"/>
      </w:pPr>
      <w:rPr>
        <w:smallCaps w:val="0"/>
        <w:strike w:val="0"/>
        <w:sz w:val="24"/>
        <w:szCs w:val="24"/>
        <w:vertAlign w:val="baseline"/>
      </w:rPr>
    </w:lvl>
    <w:lvl w:ilvl="2">
      <w:start w:val="1"/>
      <w:numFmt w:val="decimal"/>
      <w:lvlText w:val="%3."/>
      <w:lvlJc w:val="left"/>
      <w:pPr>
        <w:ind w:left="1800" w:hanging="360"/>
      </w:pPr>
      <w:rPr>
        <w:smallCaps w:val="0"/>
        <w:strike w:val="0"/>
        <w:sz w:val="24"/>
        <w:szCs w:val="24"/>
        <w:vertAlign w:val="baseline"/>
      </w:rPr>
    </w:lvl>
    <w:lvl w:ilvl="3">
      <w:start w:val="1"/>
      <w:numFmt w:val="decimal"/>
      <w:lvlText w:val="%4."/>
      <w:lvlJc w:val="left"/>
      <w:pPr>
        <w:ind w:left="2520" w:hanging="360"/>
      </w:pPr>
      <w:rPr>
        <w:smallCaps w:val="0"/>
        <w:strike w:val="0"/>
        <w:sz w:val="24"/>
        <w:szCs w:val="24"/>
        <w:vertAlign w:val="baseline"/>
      </w:rPr>
    </w:lvl>
    <w:lvl w:ilvl="4">
      <w:start w:val="1"/>
      <w:numFmt w:val="decimal"/>
      <w:lvlText w:val="%5."/>
      <w:lvlJc w:val="left"/>
      <w:pPr>
        <w:ind w:left="3240" w:hanging="360"/>
      </w:pPr>
      <w:rPr>
        <w:smallCaps w:val="0"/>
        <w:strike w:val="0"/>
        <w:sz w:val="24"/>
        <w:szCs w:val="24"/>
        <w:vertAlign w:val="baseline"/>
      </w:rPr>
    </w:lvl>
    <w:lvl w:ilvl="5">
      <w:start w:val="1"/>
      <w:numFmt w:val="decimal"/>
      <w:lvlText w:val="%6."/>
      <w:lvlJc w:val="left"/>
      <w:pPr>
        <w:ind w:left="3960" w:hanging="360"/>
      </w:pPr>
      <w:rPr>
        <w:smallCaps w:val="0"/>
        <w:strike w:val="0"/>
        <w:sz w:val="24"/>
        <w:szCs w:val="24"/>
        <w:vertAlign w:val="baseline"/>
      </w:rPr>
    </w:lvl>
    <w:lvl w:ilvl="6">
      <w:start w:val="1"/>
      <w:numFmt w:val="decimal"/>
      <w:lvlText w:val="%7."/>
      <w:lvlJc w:val="left"/>
      <w:pPr>
        <w:ind w:left="4680" w:hanging="360"/>
      </w:pPr>
      <w:rPr>
        <w:smallCaps w:val="0"/>
        <w:strike w:val="0"/>
        <w:sz w:val="24"/>
        <w:szCs w:val="24"/>
        <w:vertAlign w:val="baseline"/>
      </w:rPr>
    </w:lvl>
    <w:lvl w:ilvl="7">
      <w:start w:val="1"/>
      <w:numFmt w:val="decimal"/>
      <w:lvlText w:val="%8."/>
      <w:lvlJc w:val="left"/>
      <w:pPr>
        <w:ind w:left="5400" w:hanging="360"/>
      </w:pPr>
      <w:rPr>
        <w:smallCaps w:val="0"/>
        <w:strike w:val="0"/>
        <w:sz w:val="24"/>
        <w:szCs w:val="24"/>
        <w:vertAlign w:val="baseline"/>
      </w:rPr>
    </w:lvl>
    <w:lvl w:ilvl="8">
      <w:start w:val="1"/>
      <w:numFmt w:val="decimal"/>
      <w:lvlText w:val="%9."/>
      <w:lvlJc w:val="left"/>
      <w:pPr>
        <w:ind w:left="6120" w:hanging="360"/>
      </w:pPr>
      <w:rPr>
        <w:smallCaps w:val="0"/>
        <w:strike w:val="0"/>
        <w:sz w:val="24"/>
        <w:szCs w:val="24"/>
        <w:vertAlign w:val="baseline"/>
      </w:rPr>
    </w:lvl>
  </w:abstractNum>
  <w:abstractNum w:abstractNumId="5">
    <w:nsid w:val="78215FDC"/>
    <w:multiLevelType w:val="multilevel"/>
    <w:tmpl w:val="8F9E1670"/>
    <w:lvl w:ilvl="0">
      <w:start w:val="1"/>
      <w:numFmt w:val="upperRoman"/>
      <w:lvlText w:val="%1."/>
      <w:lvlJc w:val="left"/>
      <w:pPr>
        <w:ind w:left="720" w:hanging="360"/>
      </w:pPr>
      <w:rPr>
        <w:b/>
        <w:i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9D"/>
    <w:rsid w:val="00250EA6"/>
    <w:rsid w:val="0061229D"/>
    <w:rsid w:val="007F7211"/>
    <w:rsid w:val="00BF0820"/>
    <w:rsid w:val="00C47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BB5FF-C8D5-4A95-A40C-28CAACB6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qFormat/>
    <w:rsid w:val="001C4E80"/>
    <w:pPr>
      <w:spacing w:beforeAutospacing="1" w:afterAutospacing="1"/>
    </w:pPr>
  </w:style>
  <w:style w:type="paragraph" w:customStyle="1" w:styleId="j">
    <w:name w:val="j"/>
    <w:basedOn w:val="Normal"/>
    <w:qFormat/>
    <w:rsid w:val="001C4E80"/>
    <w:pPr>
      <w:spacing w:beforeAutospacing="1" w:afterAutospacing="1"/>
    </w:pPr>
  </w:style>
  <w:style w:type="paragraph" w:customStyle="1" w:styleId="m5212863947045306324gmail-msonormal">
    <w:name w:val="m_5212863947045306324gmail-msonormal"/>
    <w:basedOn w:val="Normal"/>
    <w:qFormat/>
    <w:rsid w:val="003A73F9"/>
    <w:pPr>
      <w:spacing w:beforeAutospacing="1" w:afterAutospacing="1"/>
    </w:p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oJIutzZOENJ6k6GBLOyn4fwskQ==">AMUW2mUphtZDIGmc7574x6jn06E35NwHx06uvOgfBqwcHs80XjrhXSrVUDgrY4jcwKxabgTtF34+EbDr0sKhno5+WWRFtb0meMp1gstRSPnlAn7gUFhP4F1qQ+5CHOgnazFwNXmM3VuEwtbdA4uQmEgfP+uNoUXpKQ==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7296</Words>
  <Characters>40132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A cid</cp:lastModifiedBy>
  <cp:revision>3</cp:revision>
  <dcterms:created xsi:type="dcterms:W3CDTF">2020-08-26T23:36:00Z</dcterms:created>
  <dcterms:modified xsi:type="dcterms:W3CDTF">2020-09-08T02:37:00Z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