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FC" w:rsidRPr="00AD2A55" w:rsidRDefault="00AC58FC" w:rsidP="00AC58F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once de noviembre de dos mil veinte</w:t>
      </w:r>
      <w:r w:rsidRPr="00CC3652">
        <w:rPr>
          <w:rFonts w:ascii="Palatino Linotype" w:eastAsia="Times New Roman" w:hAnsi="Palatino Linotype" w:cs="Arial"/>
          <w:color w:val="000000"/>
          <w:sz w:val="24"/>
          <w:szCs w:val="24"/>
          <w:lang w:eastAsia="es-MX"/>
        </w:rPr>
        <w:t>.</w:t>
      </w:r>
    </w:p>
    <w:p w:rsidR="00AC58FC" w:rsidRPr="00AD2A55" w:rsidRDefault="00AC58FC" w:rsidP="00AC5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AC58FC" w:rsidRPr="00AD2A55" w:rsidRDefault="00AC58FC" w:rsidP="00AC58F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4030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Pr>
          <w:rFonts w:ascii="Palatino Linotype" w:hAnsi="Palatino Linotype" w:cs="Arial"/>
          <w:b/>
          <w:sz w:val="24"/>
          <w:szCs w:val="24"/>
        </w:rPr>
        <w:t xml:space="preserve">C. </w:t>
      </w:r>
      <w:r>
        <w:rPr>
          <w:rFonts w:ascii="Palatino Linotype" w:hAnsi="Palatino Linotype" w:cs="Arial"/>
          <w:b/>
          <w:sz w:val="24"/>
          <w:szCs w:val="24"/>
        </w:rPr>
        <w:t>XXXXXXXXXXXXXXXXXXXXXXX</w:t>
      </w:r>
      <w:r>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B25463">
        <w:rPr>
          <w:rFonts w:ascii="Palatino Linotype" w:hAnsi="Palatino Linotype" w:cs="Arial"/>
          <w:b/>
          <w:sz w:val="24"/>
          <w:szCs w:val="24"/>
        </w:rPr>
        <w:t>Ayuntamiento de Chicoloapan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C58FC" w:rsidRPr="00AD2A55" w:rsidRDefault="00AC58FC" w:rsidP="00AC58FC">
      <w:pPr>
        <w:tabs>
          <w:tab w:val="left" w:pos="6960"/>
        </w:tabs>
        <w:spacing w:after="0" w:line="360" w:lineRule="auto"/>
        <w:jc w:val="both"/>
        <w:rPr>
          <w:rFonts w:ascii="Palatino Linotype" w:hAnsi="Palatino Linotype" w:cs="Arial"/>
          <w:sz w:val="24"/>
          <w:szCs w:val="24"/>
        </w:rPr>
      </w:pPr>
    </w:p>
    <w:p w:rsidR="00AC58FC" w:rsidRPr="007763F3" w:rsidRDefault="00AC58FC" w:rsidP="00AC58F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C58FC" w:rsidRPr="00D23436" w:rsidRDefault="00AC58FC" w:rsidP="00AC58FC">
      <w:pPr>
        <w:spacing w:after="0" w:line="360" w:lineRule="auto"/>
        <w:rPr>
          <w:rFonts w:ascii="Palatino Linotype" w:hAnsi="Palatino Linotype" w:cs="Arial"/>
          <w:b/>
          <w:sz w:val="24"/>
          <w:szCs w:val="24"/>
        </w:rPr>
      </w:pPr>
    </w:p>
    <w:p w:rsidR="00AC58FC" w:rsidRPr="004C083E" w:rsidRDefault="00AC58FC" w:rsidP="00AC58F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C58FC" w:rsidRDefault="00AC58FC" w:rsidP="00AC5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agosto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B25463">
        <w:rPr>
          <w:rFonts w:ascii="Palatino Linotype" w:hAnsi="Palatino Linotype" w:cs="Arial"/>
          <w:b/>
          <w:sz w:val="24"/>
          <w:szCs w:val="24"/>
        </w:rPr>
        <w:t>005</w:t>
      </w:r>
      <w:r>
        <w:rPr>
          <w:rFonts w:ascii="Palatino Linotype" w:hAnsi="Palatino Linotype" w:cs="Arial"/>
          <w:b/>
          <w:sz w:val="24"/>
          <w:szCs w:val="24"/>
        </w:rPr>
        <w:t>63</w:t>
      </w:r>
      <w:r w:rsidRPr="00B25463">
        <w:rPr>
          <w:rFonts w:ascii="Palatino Linotype" w:hAnsi="Palatino Linotype" w:cs="Arial"/>
          <w:b/>
          <w:sz w:val="24"/>
          <w:szCs w:val="24"/>
        </w:rPr>
        <w:t>/CHICOLOA/IP/2020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C58FC" w:rsidRDefault="00AC58FC" w:rsidP="00AC58FC">
      <w:pPr>
        <w:spacing w:after="0" w:line="360" w:lineRule="auto"/>
        <w:jc w:val="both"/>
        <w:rPr>
          <w:rFonts w:ascii="Palatino Linotype" w:hAnsi="Palatino Linotype" w:cs="Arial"/>
          <w:sz w:val="24"/>
          <w:szCs w:val="24"/>
        </w:rPr>
      </w:pPr>
    </w:p>
    <w:p w:rsidR="00AC58FC" w:rsidRDefault="00AC58FC" w:rsidP="00AC58F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0E73B9">
        <w:rPr>
          <w:rFonts w:ascii="Palatino Linotype" w:eastAsia="Times New Roman" w:hAnsi="Palatino Linotype" w:cs="Times New Roman"/>
          <w:i/>
          <w:szCs w:val="24"/>
          <w:lang w:val="es-ES_tradnl" w:eastAsia="es-ES"/>
        </w:rPr>
        <w:t>1.- El número de asuntos en los que se han reclamado al Ayuntamiento, daños patrimoniales por la actividad irregular del Tesorero Municipal, conforme a la Ley de Responsabilidad Patrimonial para el Estado de México y Municipios, en el periodo de tiempo transcurrido en la presente administración. 2. El monto pagado por ese Ayuntamiento, por concepto de responsabilidad patrimonial, desde el inicio de la presente administración y hasta le fecha.</w:t>
      </w:r>
      <w:r>
        <w:rPr>
          <w:rFonts w:ascii="Palatino Linotype" w:eastAsia="Times New Roman" w:hAnsi="Palatino Linotype" w:cs="Times New Roman"/>
          <w:i/>
          <w:szCs w:val="24"/>
          <w:lang w:val="es-ES_tradnl" w:eastAsia="es-ES"/>
        </w:rPr>
        <w:t>”</w:t>
      </w:r>
    </w:p>
    <w:p w:rsidR="00AC58FC" w:rsidRDefault="00AC58FC" w:rsidP="00AC58F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C58FC" w:rsidRDefault="00AC58FC" w:rsidP="00AC58FC">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AC58FC" w:rsidRDefault="00AC58FC" w:rsidP="00AC58FC">
      <w:pPr>
        <w:spacing w:after="0" w:line="360" w:lineRule="auto"/>
        <w:jc w:val="both"/>
        <w:rPr>
          <w:rFonts w:ascii="Palatino Linotype" w:hAnsi="Palatino Linotype" w:cs="Arial"/>
          <w:sz w:val="24"/>
          <w:szCs w:val="24"/>
        </w:rPr>
      </w:pPr>
    </w:p>
    <w:p w:rsidR="00AC58FC"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AC58FC" w:rsidRPr="00835D88" w:rsidRDefault="00AC58FC" w:rsidP="00AC58FC">
      <w:pPr>
        <w:spacing w:after="0" w:line="360" w:lineRule="auto"/>
        <w:jc w:val="both"/>
        <w:rPr>
          <w:rFonts w:ascii="Palatino Linotype" w:hAnsi="Palatino Linotype" w:cs="Arial"/>
          <w:sz w:val="24"/>
          <w:szCs w:val="24"/>
        </w:rPr>
      </w:pPr>
    </w:p>
    <w:p w:rsidR="00AC58FC" w:rsidRDefault="00AC58FC" w:rsidP="00AC58FC">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760720" cy="23380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38070"/>
                    </a:xfrm>
                    <a:prstGeom prst="rect">
                      <a:avLst/>
                    </a:prstGeom>
                  </pic:spPr>
                </pic:pic>
              </a:graphicData>
            </a:graphic>
          </wp:inline>
        </w:drawing>
      </w:r>
      <w:bookmarkEnd w:id="0"/>
    </w:p>
    <w:p w:rsidR="00AC58FC" w:rsidRDefault="00AC58FC" w:rsidP="00AC58FC">
      <w:pPr>
        <w:spacing w:after="0" w:line="360" w:lineRule="auto"/>
        <w:jc w:val="both"/>
        <w:rPr>
          <w:rFonts w:ascii="Palatino Linotype" w:eastAsia="Calibri" w:hAnsi="Palatino Linotype" w:cs="Arial"/>
          <w:noProof/>
          <w:sz w:val="24"/>
          <w:szCs w:val="24"/>
          <w:lang w:eastAsia="es-MX"/>
        </w:rPr>
      </w:pPr>
    </w:p>
    <w:p w:rsidR="00AC58FC" w:rsidRPr="00835D88" w:rsidRDefault="00AC58FC" w:rsidP="00AC58FC">
      <w:pPr>
        <w:spacing w:after="0" w:line="360" w:lineRule="auto"/>
        <w:jc w:val="both"/>
        <w:rPr>
          <w:rFonts w:ascii="Palatino Linotype" w:eastAsia="Calibri" w:hAnsi="Palatino Linotype" w:cs="Arial"/>
          <w:noProof/>
          <w:sz w:val="24"/>
          <w:szCs w:val="24"/>
          <w:lang w:eastAsia="es-MX"/>
        </w:rPr>
      </w:pPr>
    </w:p>
    <w:p w:rsidR="00AC58FC" w:rsidRPr="00835D88" w:rsidRDefault="00AC58FC" w:rsidP="00AC58FC">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veinticinco de septiembre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4030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AC58FC" w:rsidRPr="00835D88" w:rsidRDefault="00AC58FC" w:rsidP="00AC58FC">
      <w:pPr>
        <w:spacing w:after="0" w:line="360" w:lineRule="auto"/>
        <w:jc w:val="both"/>
        <w:rPr>
          <w:rFonts w:ascii="Palatino Linotype" w:hAnsi="Palatino Linotype" w:cs="Arial"/>
          <w:b/>
          <w:sz w:val="24"/>
          <w:szCs w:val="24"/>
        </w:rPr>
      </w:pPr>
    </w:p>
    <w:p w:rsidR="00AC58FC" w:rsidRPr="00835D88" w:rsidRDefault="00AC58FC" w:rsidP="00AC58FC">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AC58FC" w:rsidRPr="00835D88" w:rsidRDefault="00AC58FC" w:rsidP="00AC58FC">
      <w:pPr>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FF6395">
        <w:rPr>
          <w:rFonts w:ascii="Palatino Linotype" w:eastAsia="Times New Roman" w:hAnsi="Palatino Linotype" w:cs="Arial"/>
          <w:i/>
          <w:szCs w:val="24"/>
          <w:lang w:val="es-ES" w:eastAsia="es-ES"/>
        </w:rPr>
        <w:t>La omisión a responder la solicitud de información</w:t>
      </w:r>
      <w:r w:rsidRPr="00835D88">
        <w:rPr>
          <w:rFonts w:ascii="Palatino Linotype" w:eastAsia="Times New Roman" w:hAnsi="Palatino Linotype" w:cs="Arial"/>
          <w:i/>
          <w:szCs w:val="24"/>
          <w:lang w:val="es-ES" w:eastAsia="es-ES"/>
        </w:rPr>
        <w:t>”</w:t>
      </w:r>
    </w:p>
    <w:p w:rsidR="00AC58FC" w:rsidRPr="00835D88" w:rsidRDefault="00AC58FC" w:rsidP="00AC58FC">
      <w:pPr>
        <w:spacing w:after="0" w:line="360" w:lineRule="auto"/>
        <w:jc w:val="both"/>
        <w:rPr>
          <w:rFonts w:ascii="Palatino Linotype" w:eastAsia="Times New Roman" w:hAnsi="Palatino Linotype" w:cs="Arial"/>
          <w:b/>
          <w:sz w:val="24"/>
          <w:szCs w:val="24"/>
          <w:lang w:val="es-ES" w:eastAsia="es-ES"/>
        </w:rPr>
      </w:pPr>
    </w:p>
    <w:p w:rsidR="00AC58FC" w:rsidRPr="00835D88" w:rsidRDefault="00AC58FC" w:rsidP="00AC58FC">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AC58FC" w:rsidRPr="00835D88" w:rsidRDefault="00AC58FC" w:rsidP="00AC58FC">
      <w:pPr>
        <w:spacing w:after="0" w:line="360" w:lineRule="auto"/>
        <w:jc w:val="both"/>
        <w:rPr>
          <w:rFonts w:ascii="Palatino Linotype" w:eastAsia="Times New Roman" w:hAnsi="Palatino Linotype" w:cs="Arial"/>
          <w:b/>
          <w:sz w:val="24"/>
          <w:szCs w:val="24"/>
          <w:lang w:val="es-ES" w:eastAsia="es-ES"/>
        </w:rPr>
      </w:pPr>
    </w:p>
    <w:p w:rsidR="00AC58FC" w:rsidRPr="00835D88" w:rsidRDefault="00AC58FC" w:rsidP="00AC58FC">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FF6395">
        <w:rPr>
          <w:rFonts w:ascii="Palatino Linotype" w:hAnsi="Palatino Linotype"/>
          <w:i/>
          <w:color w:val="000000"/>
        </w:rPr>
        <w:t>La falta de respuesta a la solicitud</w:t>
      </w:r>
      <w:r w:rsidRPr="00835D88">
        <w:rPr>
          <w:rFonts w:ascii="Palatino Linotype" w:hAnsi="Palatino Linotype"/>
          <w:i/>
          <w:color w:val="000000"/>
        </w:rPr>
        <w:t>” (sic)</w:t>
      </w:r>
    </w:p>
    <w:p w:rsidR="00AC58FC"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AC58FC" w:rsidRPr="00835D88" w:rsidRDefault="00AC58FC" w:rsidP="00AC58FC">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veinticinco de septiembre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AC58FC" w:rsidRDefault="00AC58FC" w:rsidP="00AC58FC">
      <w:pPr>
        <w:spacing w:after="0" w:line="360" w:lineRule="auto"/>
        <w:ind w:right="49"/>
        <w:jc w:val="both"/>
        <w:rPr>
          <w:rFonts w:ascii="Palatino Linotype" w:eastAsia="Times New Roman" w:hAnsi="Palatino Linotype" w:cs="Arial"/>
          <w:sz w:val="24"/>
          <w:szCs w:val="24"/>
          <w:lang w:val="es-ES_tradnl" w:eastAsia="es-ES"/>
        </w:rPr>
      </w:pPr>
    </w:p>
    <w:p w:rsidR="00AC58FC" w:rsidRPr="00835D88" w:rsidRDefault="00AC58FC" w:rsidP="00AC58FC">
      <w:pPr>
        <w:spacing w:after="0" w:line="360" w:lineRule="auto"/>
        <w:ind w:right="49"/>
        <w:jc w:val="both"/>
        <w:rPr>
          <w:rFonts w:ascii="Palatino Linotype" w:eastAsia="Times New Roman" w:hAnsi="Palatino Linotype" w:cs="Arial"/>
          <w:sz w:val="24"/>
          <w:szCs w:val="24"/>
          <w:lang w:val="es-ES_tradnl" w:eastAsia="es-ES"/>
        </w:rPr>
      </w:pPr>
    </w:p>
    <w:p w:rsidR="00AC58FC" w:rsidRPr="00835D88" w:rsidRDefault="00AC58FC" w:rsidP="00AC58FC">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AC58FC" w:rsidRDefault="00AC58FC" w:rsidP="00AC58FC">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uno de octubre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 xml:space="preserve">Ley de Transparencia y Acceso a la Información Pública del </w:t>
      </w:r>
      <w:r w:rsidRPr="00835D88">
        <w:rPr>
          <w:rFonts w:ascii="Palatino Linotype" w:eastAsia="Times New Roman" w:hAnsi="Palatino Linotype" w:cs="Times New Roman"/>
          <w:sz w:val="24"/>
          <w:szCs w:val="24"/>
          <w:lang w:val="es-ES" w:eastAsia="es-ES"/>
        </w:rPr>
        <w:lastRenderedPageBreak/>
        <w:t>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AC58FC" w:rsidRDefault="00AC58FC" w:rsidP="00AC58FC">
      <w:pPr>
        <w:spacing w:after="0" w:line="360" w:lineRule="auto"/>
        <w:ind w:right="49"/>
        <w:jc w:val="both"/>
        <w:rPr>
          <w:rFonts w:ascii="Palatino Linotype" w:eastAsia="Times New Roman" w:hAnsi="Palatino Linotype" w:cs="Arial"/>
          <w:sz w:val="24"/>
          <w:szCs w:val="24"/>
          <w:lang w:val="es-ES" w:eastAsia="es-ES"/>
        </w:rPr>
      </w:pPr>
    </w:p>
    <w:p w:rsidR="00AC58FC" w:rsidRPr="00835D88" w:rsidRDefault="00AC58FC" w:rsidP="00AC58FC">
      <w:pPr>
        <w:spacing w:after="0" w:line="360" w:lineRule="auto"/>
        <w:ind w:right="49"/>
        <w:jc w:val="both"/>
        <w:rPr>
          <w:rFonts w:ascii="Palatino Linotype" w:eastAsia="Times New Roman" w:hAnsi="Palatino Linotype" w:cs="Arial"/>
          <w:sz w:val="24"/>
          <w:szCs w:val="24"/>
          <w:lang w:val="es-ES" w:eastAsia="es-ES"/>
        </w:rPr>
      </w:pPr>
    </w:p>
    <w:p w:rsidR="00AC58FC" w:rsidRPr="00835D88" w:rsidRDefault="00AC58FC" w:rsidP="00AC58FC">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rsidR="00AC58FC" w:rsidRPr="00835D88"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C58FC"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trece de octubre </w:t>
      </w:r>
      <w:r w:rsidRPr="00835D88">
        <w:rPr>
          <w:rFonts w:ascii="Palatino Linotype" w:hAnsi="Palatino Linotype" w:cs="Arial"/>
          <w:sz w:val="24"/>
          <w:szCs w:val="24"/>
        </w:rPr>
        <w:t xml:space="preserve">de dos mil veinte, en términos del artículo 185 fracción VI de la Ley de Transparencia y Acceso a la </w:t>
      </w:r>
      <w:r w:rsidRPr="00835D88">
        <w:rPr>
          <w:rFonts w:ascii="Palatino Linotype" w:hAnsi="Palatino Linotype" w:cs="Arial"/>
          <w:sz w:val="24"/>
          <w:szCs w:val="24"/>
        </w:rPr>
        <w:lastRenderedPageBreak/>
        <w:t>Información Pública del Estado de México y Municipios, ordenándose turnar el expediente a la resolución que en derecho proceda.</w:t>
      </w:r>
    </w:p>
    <w:p w:rsidR="00AC58FC" w:rsidRPr="00835D88"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rsidR="00AC58FC" w:rsidRPr="00835D88" w:rsidRDefault="00AC58FC" w:rsidP="00AC58FC">
      <w:pPr>
        <w:spacing w:after="0" w:line="360" w:lineRule="auto"/>
        <w:jc w:val="center"/>
        <w:rPr>
          <w:rFonts w:ascii="Palatino Linotype" w:hAnsi="Palatino Linotype" w:cs="Arial"/>
          <w:b/>
          <w:sz w:val="24"/>
          <w:szCs w:val="24"/>
        </w:rPr>
      </w:pPr>
    </w:p>
    <w:p w:rsidR="00AC58FC" w:rsidRPr="00835D88" w:rsidRDefault="00AC58FC" w:rsidP="00AC58FC">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AC58FC"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835D88">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C58FC" w:rsidRPr="00835D88" w:rsidRDefault="00AC58FC" w:rsidP="00AC58F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AC58FC" w:rsidRPr="00835D88" w:rsidRDefault="00AC58FC" w:rsidP="00AC58FC">
      <w:pPr>
        <w:spacing w:after="0" w:line="360" w:lineRule="auto"/>
        <w:rPr>
          <w:rFonts w:ascii="Palatino Linotype" w:hAnsi="Palatino Linotype"/>
        </w:rPr>
      </w:pP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AC58FC" w:rsidRPr="00835D88" w:rsidRDefault="00AC58FC" w:rsidP="00AC58FC">
      <w:pPr>
        <w:spacing w:after="0" w:line="240" w:lineRule="auto"/>
        <w:rPr>
          <w:rFonts w:ascii="Palatino Linotype" w:hAnsi="Palatino Linotype"/>
        </w:rPr>
      </w:pP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AC58FC" w:rsidRPr="00835D88"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Pr="00835D88" w:rsidRDefault="00AC58FC" w:rsidP="00AC58F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Pr="00835D88" w:rsidRDefault="00AC58FC" w:rsidP="00AC58FC">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AC58FC" w:rsidRPr="00835D88" w:rsidRDefault="00AC58FC" w:rsidP="00AC58FC">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AC58FC" w:rsidRPr="00835D88" w:rsidRDefault="00AC58FC" w:rsidP="00AC58FC">
      <w:pPr>
        <w:spacing w:after="0" w:line="360" w:lineRule="auto"/>
        <w:ind w:right="49"/>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AC58FC" w:rsidRPr="00835D88" w:rsidRDefault="00AC58FC" w:rsidP="00AC58FC">
      <w:pPr>
        <w:spacing w:after="0" w:line="360" w:lineRule="auto"/>
        <w:jc w:val="both"/>
        <w:rPr>
          <w:rFonts w:ascii="Palatino Linotype" w:hAnsi="Palatino Linotype"/>
          <w:sz w:val="24"/>
          <w:szCs w:val="24"/>
          <w:lang w:eastAsia="es-MX"/>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lastRenderedPageBreak/>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C58FC" w:rsidRPr="00835D88" w:rsidRDefault="00AC58FC" w:rsidP="00AC58FC">
      <w:pPr>
        <w:spacing w:after="0" w:line="240" w:lineRule="auto"/>
        <w:ind w:left="709" w:right="567"/>
        <w:jc w:val="both"/>
        <w:rPr>
          <w:rFonts w:ascii="Palatino Linotype" w:hAnsi="Palatino Linotype" w:cs="Arial"/>
          <w:bCs/>
          <w:i/>
        </w:rPr>
      </w:pPr>
    </w:p>
    <w:p w:rsidR="00AC58FC" w:rsidRPr="00835D88" w:rsidRDefault="00AC58FC" w:rsidP="00AC58FC">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AC58FC" w:rsidRPr="00835D88" w:rsidRDefault="00AC58FC" w:rsidP="00AC58FC">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AC58FC" w:rsidRPr="00835D88" w:rsidRDefault="00AC58FC" w:rsidP="00AC58FC">
      <w:pPr>
        <w:spacing w:before="240" w:after="360" w:line="360" w:lineRule="auto"/>
        <w:contextualSpacing/>
        <w:jc w:val="both"/>
        <w:rPr>
          <w:rFonts w:ascii="Palatino Linotype" w:eastAsia="MS Mincho" w:hAnsi="Palatino Linotype" w:cs="Times New Roman"/>
          <w:sz w:val="24"/>
          <w:szCs w:val="24"/>
          <w:lang w:val="es-ES_tradnl" w:eastAsia="es-ES"/>
        </w:rPr>
      </w:pPr>
    </w:p>
    <w:p w:rsidR="00AC58FC" w:rsidRPr="00835D88" w:rsidRDefault="00AC58FC" w:rsidP="00AC58FC">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835D88">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AC58FC" w:rsidRPr="00835D88" w:rsidRDefault="00AC58FC" w:rsidP="00AC58FC">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AC58FC" w:rsidRPr="00835D88" w:rsidRDefault="00AC58FC" w:rsidP="00AC58FC">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C58FC" w:rsidRPr="00835D88" w:rsidRDefault="00AC58FC" w:rsidP="00AC58FC">
      <w:pPr>
        <w:spacing w:after="0" w:line="360" w:lineRule="auto"/>
        <w:contextualSpacing/>
        <w:jc w:val="both"/>
        <w:rPr>
          <w:rFonts w:ascii="Palatino Linotype" w:eastAsia="MS Mincho" w:hAnsi="Palatino Linotype" w:cs="Times New Roman"/>
          <w:sz w:val="24"/>
          <w:szCs w:val="24"/>
          <w:lang w:val="es-ES_tradnl" w:eastAsia="es-ES"/>
        </w:rPr>
      </w:pPr>
    </w:p>
    <w:p w:rsidR="00AC58FC" w:rsidRPr="00835D88" w:rsidRDefault="00AC58FC" w:rsidP="00AC58FC">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C58FC" w:rsidRPr="00835D88" w:rsidRDefault="00AC58FC" w:rsidP="00AC58FC">
      <w:pPr>
        <w:spacing w:after="0" w:line="360" w:lineRule="auto"/>
        <w:contextualSpacing/>
        <w:jc w:val="both"/>
        <w:rPr>
          <w:rFonts w:ascii="Palatino Linotype" w:eastAsia="Times New Roman" w:hAnsi="Palatino Linotype" w:cs="Times New Roman"/>
          <w:sz w:val="24"/>
          <w:szCs w:val="24"/>
          <w:lang w:val="es-ES" w:eastAsia="es-MX"/>
        </w:rPr>
      </w:pPr>
    </w:p>
    <w:p w:rsidR="00AC58FC" w:rsidRPr="00835D88" w:rsidRDefault="00AC58FC" w:rsidP="00AC58FC">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835D88">
        <w:rPr>
          <w:rFonts w:ascii="Palatino Linotype" w:eastAsia="Times New Roman" w:hAnsi="Palatino Linotype" w:cs="Arial"/>
          <w:sz w:val="24"/>
          <w:szCs w:val="24"/>
          <w:lang w:val="es-ES" w:eastAsia="es-ES"/>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C58FC" w:rsidRPr="00835D88" w:rsidRDefault="00AC58FC" w:rsidP="00AC58FC">
      <w:pPr>
        <w:spacing w:after="0" w:line="360" w:lineRule="auto"/>
        <w:contextualSpacing/>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AC58FC" w:rsidRPr="00835D88" w:rsidRDefault="00AC58FC" w:rsidP="00AC58FC">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sustancialmente peticionó</w:t>
      </w:r>
      <w:r>
        <w:rPr>
          <w:rFonts w:ascii="Palatino Linotype" w:eastAsia="Times New Roman" w:hAnsi="Palatino Linotype" w:cs="Arial"/>
          <w:sz w:val="24"/>
          <w:szCs w:val="24"/>
          <w:lang w:val="es-ES" w:eastAsia="es-ES"/>
        </w:rPr>
        <w:t xml:space="preserve"> el estadístico de </w:t>
      </w:r>
      <w:r w:rsidRPr="00B45930">
        <w:rPr>
          <w:rFonts w:ascii="Palatino Linotype" w:eastAsia="Times New Roman" w:hAnsi="Palatino Linotype" w:cs="Arial"/>
          <w:sz w:val="24"/>
          <w:szCs w:val="24"/>
          <w:lang w:val="es-ES" w:eastAsia="es-ES"/>
        </w:rPr>
        <w:t>lo siguiente:</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Default="00AC58FC" w:rsidP="00AC58FC">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69E8">
        <w:rPr>
          <w:rFonts w:ascii="Palatino Linotype" w:eastAsia="Times New Roman" w:hAnsi="Palatino Linotype" w:cs="Arial"/>
          <w:sz w:val="24"/>
          <w:szCs w:val="24"/>
          <w:lang w:val="es-ES" w:eastAsia="es-ES"/>
        </w:rPr>
        <w:t xml:space="preserve">El número de asuntos en los que se han reclamado al Ayuntamiento, daños patrimoniales por la actividad irregular del Tesorero Municipal, conforme a la Ley de Responsabilidad Patrimonial para el Estado de México y Municipios, en el periodo de tiempo transcurrido en la presente administración; </w:t>
      </w:r>
      <w:r>
        <w:rPr>
          <w:rFonts w:ascii="Palatino Linotype" w:eastAsia="Times New Roman" w:hAnsi="Palatino Linotype" w:cs="Arial"/>
          <w:sz w:val="24"/>
          <w:szCs w:val="24"/>
          <w:lang w:val="es-ES" w:eastAsia="es-ES"/>
        </w:rPr>
        <w:t>y</w:t>
      </w:r>
    </w:p>
    <w:p w:rsidR="00AC58FC" w:rsidRDefault="00AC58FC" w:rsidP="00AC58FC">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2669E8" w:rsidRDefault="00AC58FC" w:rsidP="00AC58FC">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69E8">
        <w:rPr>
          <w:rFonts w:ascii="Palatino Linotype" w:eastAsia="Times New Roman" w:hAnsi="Palatino Linotype" w:cs="Arial"/>
          <w:sz w:val="24"/>
          <w:szCs w:val="24"/>
          <w:lang w:val="es-ES" w:eastAsia="es-ES"/>
        </w:rPr>
        <w:lastRenderedPageBreak/>
        <w:t>El monto pagado por ese Ayuntamiento, por concepto de responsabilidad patrimonial, desde el inicio de la presente administración y hasta le fecha.</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F43475"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precisar que de conformidad con lo establecido en los artículos 3, 50, 86, 87, 93 y 95 fracción IV de la Ley Orgánica Municipal del Estado de México, que señalan:</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F43475">
        <w:rPr>
          <w:rFonts w:ascii="Palatino Linotype" w:eastAsia="Times New Roman" w:hAnsi="Palatino Linotype" w:cs="Arial"/>
          <w:b/>
          <w:i/>
          <w:lang w:val="es-ES" w:eastAsia="es-ES"/>
        </w:rPr>
        <w:t>Artículo 3.-</w:t>
      </w:r>
      <w:r w:rsidRPr="00F43475">
        <w:rPr>
          <w:rFonts w:ascii="Palatino Linotype" w:eastAsia="Times New Roman" w:hAnsi="Palatino Linotype" w:cs="Arial"/>
          <w:i/>
          <w:lang w:val="es-ES" w:eastAsia="es-ES"/>
        </w:rPr>
        <w:t xml:space="preserve"> Los municipios del Estado regularán su funcionamiento de conformidad con lo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establece esta Ley, los Bandos municipales, reglamentos y demás disposiciones legales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aplicables.</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 xml:space="preserve">Artículo 50.- </w:t>
      </w:r>
      <w:r w:rsidRPr="00576EA9">
        <w:rPr>
          <w:rFonts w:ascii="Palatino Linotype" w:eastAsia="Times New Roman" w:hAnsi="Palatino Linotype" w:cs="Arial"/>
          <w:i/>
          <w:lang w:val="es-ES" w:eastAsia="es-ES"/>
        </w:rPr>
        <w:t>El presidente asumirá la representación jurídica del ayuntamiento y de las</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dependencias de la Administración Pública Municipal, en los litigios en que sean parte, así</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como la gestión de los negocios de la hacienda municipal; facultándolo para otorgar y revocar</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poderes generales y especiales a terceros o mediante oficio para la debida representación</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jurídica correspondiente pudiendo convenir en los mismos.</w:t>
      </w:r>
      <w:r w:rsidRPr="00576EA9">
        <w:rPr>
          <w:rFonts w:ascii="Palatino Linotype" w:eastAsia="Times New Roman" w:hAnsi="Palatino Linotype" w:cs="Arial"/>
          <w:i/>
          <w:lang w:val="es-ES" w:eastAsia="es-ES"/>
        </w:rPr>
        <w:cr/>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86.-</w:t>
      </w:r>
      <w:r w:rsidRPr="00F43475">
        <w:rPr>
          <w:rFonts w:ascii="Palatino Linotype" w:eastAsia="Times New Roman" w:hAnsi="Palatino Linotype" w:cs="Arial"/>
          <w:i/>
          <w:lang w:val="es-ES" w:eastAsia="es-ES"/>
        </w:rPr>
        <w:t xml:space="preserve"> Para el ejercicio de sus atribuciones y responsabilidades ejecutivas, el</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ayuntamiento se auxiliará con las dependencias y entidades de la administración pública</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municipal, que en cada caso acuerde el cabildo a propuesta del presidente municipal, las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estarán subordinadas a este servidor público. El servidor público titular de las referidas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dependencias y entidades de la administración municipal, ejercerá las funciones propias de su</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competencia y será responsable por el ejercicio de dichas funciones y atribuciones contenidas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en la Ley, sus reglamentos interiores, manuales, acuerdos, circulares y otras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legales que tiendan a regular el f</w:t>
      </w:r>
      <w:r>
        <w:rPr>
          <w:rFonts w:ascii="Palatino Linotype" w:eastAsia="Times New Roman" w:hAnsi="Palatino Linotype" w:cs="Arial"/>
          <w:i/>
          <w:lang w:val="es-ES" w:eastAsia="es-ES"/>
        </w:rPr>
        <w:t>uncionamiento del Municipio.</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87.-</w:t>
      </w:r>
      <w:r w:rsidRPr="00B45930">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Dependencias:</w:t>
      </w: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w:t>
      </w:r>
      <w:r w:rsidRPr="00B45930">
        <w:rPr>
          <w:rFonts w:ascii="Palatino Linotype" w:eastAsia="Times New Roman" w:hAnsi="Palatino Linotype" w:cs="Arial"/>
          <w:i/>
          <w:lang w:val="es-ES" w:eastAsia="es-ES"/>
        </w:rPr>
        <w:t>. La secretaría del ayuntamiento;</w:t>
      </w: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w:t>
      </w:r>
      <w:r w:rsidRPr="00B45930">
        <w:rPr>
          <w:rFonts w:ascii="Palatino Linotype" w:eastAsia="Times New Roman" w:hAnsi="Palatino Linotype" w:cs="Arial"/>
          <w:i/>
          <w:lang w:val="es-ES" w:eastAsia="es-ES"/>
        </w:rPr>
        <w:t>. La tesorería municipal.</w:t>
      </w: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III</w:t>
      </w:r>
      <w:r w:rsidRPr="00B45930">
        <w:rPr>
          <w:rFonts w:ascii="Palatino Linotype" w:eastAsia="Times New Roman" w:hAnsi="Palatino Linotype" w:cs="Arial"/>
          <w:i/>
          <w:lang w:val="es-ES" w:eastAsia="es-ES"/>
        </w:rPr>
        <w:t>. La Dirección de Obras Públicas o equivalente.</w:t>
      </w: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IV</w:t>
      </w:r>
      <w:r w:rsidRPr="00B45930">
        <w:rPr>
          <w:rFonts w:ascii="Palatino Linotype" w:eastAsia="Times New Roman" w:hAnsi="Palatino Linotype" w:cs="Arial"/>
          <w:i/>
          <w:lang w:val="es-ES" w:eastAsia="es-ES"/>
        </w:rPr>
        <w:t>. La Dirección de Desarrollo Económico o equivalente.</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w:t>
      </w:r>
      <w:r w:rsidRPr="00B45930">
        <w:rPr>
          <w:rFonts w:ascii="Palatino Linotype" w:eastAsia="Times New Roman" w:hAnsi="Palatino Linotype" w:cs="Arial"/>
          <w:i/>
          <w:lang w:val="es-ES" w:eastAsia="es-ES"/>
        </w:rPr>
        <w:t>. La Dirección de Desarrollo Urbano o equivalente;</w:t>
      </w: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w:t>
      </w:r>
      <w:r w:rsidRPr="00B45930">
        <w:rPr>
          <w:rFonts w:ascii="Palatino Linotype" w:eastAsia="Times New Roman" w:hAnsi="Palatino Linotype" w:cs="Arial"/>
          <w:i/>
          <w:lang w:val="es-ES" w:eastAsia="es-ES"/>
        </w:rPr>
        <w:t>. La Dirección de Ecología o equivalente; y</w:t>
      </w:r>
    </w:p>
    <w:p w:rsidR="00AC58FC" w:rsidRPr="00B45930"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w:t>
      </w:r>
      <w:r w:rsidRPr="00B45930">
        <w:rPr>
          <w:rFonts w:ascii="Palatino Linotype" w:eastAsia="Times New Roman" w:hAnsi="Palatino Linotype" w:cs="Arial"/>
          <w:i/>
          <w:lang w:val="es-ES" w:eastAsia="es-ES"/>
        </w:rPr>
        <w:t>. La Dirección de Desarrollo Social o equivalente, y</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lastRenderedPageBreak/>
        <w:t>VIII</w:t>
      </w:r>
      <w:r w:rsidRPr="00B45930">
        <w:rPr>
          <w:rFonts w:ascii="Palatino Linotype" w:eastAsia="Times New Roman" w:hAnsi="Palatino Linotype" w:cs="Arial"/>
          <w:i/>
          <w:lang w:val="es-ES" w:eastAsia="es-ES"/>
        </w:rPr>
        <w:t>. La Coordinación Municipal de Protección Civil o equivalente</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93.-</w:t>
      </w:r>
      <w:r w:rsidRPr="00576EA9">
        <w:rPr>
          <w:rFonts w:ascii="Palatino Linotype" w:eastAsia="Times New Roman" w:hAnsi="Palatino Linotype" w:cs="Arial"/>
          <w:i/>
          <w:lang w:val="es-ES" w:eastAsia="es-ES"/>
        </w:rPr>
        <w:t xml:space="preserve"> La tesorería municipal es el órgano encargado de la recaudación de los ingresos</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municipales y responsable de realizar las erogaciones que haga el ayuntamiento.</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95.-</w:t>
      </w:r>
      <w:r w:rsidRPr="00576EA9">
        <w:rPr>
          <w:rFonts w:ascii="Palatino Linotype" w:eastAsia="Times New Roman" w:hAnsi="Palatino Linotype" w:cs="Arial"/>
          <w:i/>
          <w:lang w:val="es-ES" w:eastAsia="es-ES"/>
        </w:rPr>
        <w:t xml:space="preserve"> Son atribuciones del tesorero municipal:</w:t>
      </w:r>
      <w:r w:rsidRPr="00576EA9">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rsidR="00AC58FC" w:rsidRDefault="00AC58FC" w:rsidP="00AC58F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IV</w:t>
      </w:r>
      <w:r w:rsidRPr="00576EA9">
        <w:rPr>
          <w:rFonts w:ascii="Palatino Linotype" w:eastAsia="Times New Roman" w:hAnsi="Palatino Linotype" w:cs="Arial"/>
          <w:i/>
          <w:lang w:val="es-ES" w:eastAsia="es-ES"/>
        </w:rPr>
        <w:t>. Llevar los registros contables, financieros y administrativos de los ingresos, egresos, e</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inventarios;</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F67DA7"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puede ser participe en litigios que tengan afectación a los negocios de la hacienda pública municipal, y así mismo que dentro de su estructura orgánica existe la Tesorería Municipal, la cual entre sus facultades y atribuciones, se encuentran las de llevar el registro contable de los ingresos y </w:t>
      </w:r>
      <w:r>
        <w:rPr>
          <w:rFonts w:ascii="Palatino Linotype" w:eastAsia="Times New Roman" w:hAnsi="Palatino Linotype" w:cs="Arial"/>
          <w:b/>
          <w:sz w:val="24"/>
          <w:szCs w:val="24"/>
          <w:lang w:val="es-ES" w:eastAsia="es-ES"/>
        </w:rPr>
        <w:t>egresos</w:t>
      </w:r>
      <w:r w:rsidRPr="00576EA9">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del Municipio. Pudiendo concluir, que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cuenta con la información para dar contestación a la solicitud de información. </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C58FC" w:rsidRPr="00835D88"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835D88">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p>
    <w:p w:rsidR="00AC58FC" w:rsidRPr="00835D88" w:rsidRDefault="00AC58FC" w:rsidP="00AC58FC">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35D8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AC58FC" w:rsidRPr="00835D88" w:rsidRDefault="00AC58FC" w:rsidP="00AC58F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C58FC" w:rsidRPr="00835D88" w:rsidRDefault="00AC58FC" w:rsidP="00AC58F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C58FC" w:rsidRPr="00835D88" w:rsidRDefault="00AC58FC" w:rsidP="00AC58F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AC58FC" w:rsidRPr="00835D88" w:rsidRDefault="00AC58FC" w:rsidP="00AC58FC">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rsidR="00AC58FC" w:rsidRPr="00835D88" w:rsidRDefault="00AC58FC" w:rsidP="00AC58F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AC58FC" w:rsidRPr="00835D88" w:rsidRDefault="00AC58FC" w:rsidP="00AC58FC">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835D88">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AC58FC" w:rsidRPr="00835D88" w:rsidRDefault="00AC58FC" w:rsidP="00AC58F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AC58FC" w:rsidRPr="00835D88" w:rsidRDefault="00AC58FC" w:rsidP="00AC58FC">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AC58FC" w:rsidRPr="00835D88" w:rsidRDefault="00AC58FC" w:rsidP="00AC58FC">
      <w:pPr>
        <w:tabs>
          <w:tab w:val="left" w:pos="709"/>
        </w:tabs>
        <w:spacing w:after="0" w:line="360" w:lineRule="auto"/>
        <w:jc w:val="both"/>
        <w:rPr>
          <w:rFonts w:ascii="Palatino Linotype" w:hAnsi="Palatino Linotype"/>
          <w:sz w:val="24"/>
          <w:szCs w:val="24"/>
        </w:rPr>
      </w:pPr>
    </w:p>
    <w:p w:rsidR="00AC58FC" w:rsidRDefault="00AC58FC" w:rsidP="00AC58FC">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AC58FC" w:rsidRPr="00835D88" w:rsidRDefault="00AC58FC" w:rsidP="00AC58FC">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AC58FC" w:rsidRPr="00835D88" w:rsidRDefault="00AC58FC" w:rsidP="00AC58FC">
      <w:pPr>
        <w:tabs>
          <w:tab w:val="left" w:pos="709"/>
        </w:tabs>
        <w:spacing w:after="0" w:line="360" w:lineRule="auto"/>
        <w:jc w:val="both"/>
        <w:rPr>
          <w:rFonts w:ascii="Palatino Linotype" w:hAnsi="Palatino Linotype"/>
          <w:sz w:val="24"/>
          <w:szCs w:val="24"/>
        </w:rPr>
      </w:pP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AC58FC" w:rsidRPr="00835D88" w:rsidRDefault="00AC58FC" w:rsidP="00AC58FC">
      <w:pPr>
        <w:tabs>
          <w:tab w:val="left" w:pos="709"/>
        </w:tabs>
        <w:spacing w:after="0" w:line="360" w:lineRule="auto"/>
        <w:jc w:val="both"/>
        <w:rPr>
          <w:rFonts w:ascii="Palatino Linotype" w:hAnsi="Palatino Linotype"/>
          <w:sz w:val="24"/>
          <w:szCs w:val="24"/>
        </w:rPr>
      </w:pPr>
    </w:p>
    <w:p w:rsidR="00AC58FC" w:rsidRPr="00835D88" w:rsidRDefault="00AC58FC" w:rsidP="00AC58FC">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C58FC" w:rsidRPr="00835D88" w:rsidRDefault="00AC58FC" w:rsidP="00AC58FC">
      <w:pPr>
        <w:tabs>
          <w:tab w:val="left" w:pos="709"/>
        </w:tabs>
        <w:spacing w:after="0" w:line="360" w:lineRule="auto"/>
        <w:jc w:val="both"/>
        <w:rPr>
          <w:rFonts w:ascii="Palatino Linotype" w:hAnsi="Palatino Linotype"/>
          <w:sz w:val="24"/>
          <w:szCs w:val="24"/>
        </w:rPr>
      </w:pP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rsidR="00AC58FC" w:rsidRPr="00835D88" w:rsidRDefault="00AC58FC" w:rsidP="00AC58F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C58FC" w:rsidRDefault="00AC58FC" w:rsidP="00AC58F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C58FC"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Pr="00EF6CCD">
        <w:rPr>
          <w:rFonts w:ascii="Palatino Linotype" w:hAnsi="Palatino Linotype" w:cs="Arial"/>
          <w:b/>
          <w:sz w:val="24"/>
          <w:szCs w:val="24"/>
        </w:rPr>
        <w:t>00563/CHICOLOA/IP/2020</w:t>
      </w:r>
      <w:r>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rsidR="00AC58FC"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AC58FC" w:rsidRPr="00835D88" w:rsidRDefault="00AC58FC" w:rsidP="00AC58FC">
      <w:pPr>
        <w:autoSpaceDE w:val="0"/>
        <w:autoSpaceDN w:val="0"/>
        <w:adjustRightInd w:val="0"/>
        <w:spacing w:after="0" w:line="360" w:lineRule="auto"/>
        <w:jc w:val="both"/>
        <w:rPr>
          <w:rFonts w:ascii="Palatino Linotype" w:hAnsi="Palatino Linotype" w:cs="Arial"/>
          <w:sz w:val="24"/>
          <w:szCs w:val="24"/>
        </w:rPr>
      </w:pPr>
    </w:p>
    <w:p w:rsidR="00AC58FC" w:rsidRPr="00835D88" w:rsidRDefault="00AC58FC" w:rsidP="00AC58FC">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AC58FC" w:rsidRPr="00835D88" w:rsidRDefault="00AC58FC" w:rsidP="00AC58FC">
      <w:pPr>
        <w:spacing w:after="0" w:line="360" w:lineRule="auto"/>
        <w:ind w:left="426"/>
        <w:jc w:val="center"/>
        <w:rPr>
          <w:rFonts w:ascii="Palatino Linotype" w:eastAsia="Times New Roman" w:hAnsi="Palatino Linotype" w:cs="Times New Roman"/>
          <w:b/>
          <w:color w:val="000000"/>
          <w:sz w:val="28"/>
          <w:szCs w:val="24"/>
          <w:lang w:val="es-ES" w:eastAsia="es-ES"/>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Pr="00EF6CCD">
        <w:rPr>
          <w:rFonts w:ascii="Palatino Linotype" w:hAnsi="Palatino Linotype" w:cs="Arial"/>
          <w:sz w:val="24"/>
          <w:szCs w:val="24"/>
        </w:rPr>
        <w:t>00563/CHICOLOA/IP/2020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w:t>
      </w:r>
      <w:r w:rsidRPr="00835D88">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C58FC" w:rsidRPr="00835D88" w:rsidRDefault="00AC58FC" w:rsidP="00AC58FC">
      <w:pPr>
        <w:tabs>
          <w:tab w:val="left" w:pos="8647"/>
        </w:tabs>
        <w:spacing w:after="0" w:line="360" w:lineRule="auto"/>
        <w:ind w:right="51"/>
        <w:jc w:val="both"/>
        <w:rPr>
          <w:rFonts w:ascii="Palatino Linotype" w:hAnsi="Palatino Linotype" w:cs="Arial"/>
          <w:sz w:val="24"/>
          <w:szCs w:val="24"/>
        </w:rPr>
      </w:pP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AC58FC" w:rsidRDefault="00AC58FC" w:rsidP="00AC5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C58FC" w:rsidRPr="00835D88" w:rsidRDefault="00AC58FC" w:rsidP="00AC58FC">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AC58FC" w:rsidRPr="00835D88" w:rsidRDefault="00AC58FC" w:rsidP="00AC58FC">
      <w:pPr>
        <w:autoSpaceDE w:val="0"/>
        <w:autoSpaceDN w:val="0"/>
        <w:adjustRightInd w:val="0"/>
        <w:spacing w:after="0" w:line="360" w:lineRule="auto"/>
        <w:ind w:right="49"/>
        <w:jc w:val="both"/>
        <w:rPr>
          <w:rFonts w:ascii="Palatino Linotype" w:hAnsi="Palatino Linotype" w:cs="Arial"/>
          <w:sz w:val="24"/>
          <w:szCs w:val="24"/>
        </w:rPr>
      </w:pPr>
    </w:p>
    <w:p w:rsidR="00AC58FC" w:rsidRDefault="00AC58FC" w:rsidP="00AC58FC">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AC58FC" w:rsidRDefault="00AC58FC" w:rsidP="00AC58FC">
      <w:pPr>
        <w:spacing w:after="0" w:line="360" w:lineRule="auto"/>
        <w:jc w:val="both"/>
        <w:rPr>
          <w:rFonts w:ascii="Palatino Linotype" w:eastAsia="Calibri" w:hAnsi="Palatino Linotype" w:cs="Times New Roman"/>
          <w:sz w:val="24"/>
          <w:szCs w:val="24"/>
          <w:lang w:eastAsia="es-ES_tradnl"/>
        </w:rPr>
      </w:pPr>
    </w:p>
    <w:p w:rsidR="00AC58FC" w:rsidRPr="00906716" w:rsidRDefault="00AC58FC" w:rsidP="00AC58FC">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lastRenderedPageBreak/>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AC58FC" w:rsidRDefault="00AC58FC" w:rsidP="00AC58FC">
      <w:pPr>
        <w:autoSpaceDE w:val="0"/>
        <w:autoSpaceDN w:val="0"/>
        <w:adjustRightInd w:val="0"/>
        <w:spacing w:after="0" w:line="360" w:lineRule="auto"/>
        <w:ind w:right="49"/>
        <w:jc w:val="both"/>
        <w:rPr>
          <w:rFonts w:ascii="Palatino Linotype" w:hAnsi="Palatino Linotype" w:cs="Arial"/>
          <w:sz w:val="24"/>
          <w:szCs w:val="24"/>
        </w:rPr>
      </w:pPr>
    </w:p>
    <w:p w:rsidR="00AC58FC" w:rsidRPr="00835D88" w:rsidRDefault="00AC58FC" w:rsidP="00AC58FC">
      <w:pPr>
        <w:autoSpaceDE w:val="0"/>
        <w:autoSpaceDN w:val="0"/>
        <w:adjustRightInd w:val="0"/>
        <w:spacing w:after="0" w:line="360" w:lineRule="auto"/>
        <w:ind w:right="49"/>
        <w:jc w:val="both"/>
        <w:rPr>
          <w:rFonts w:ascii="Palatino Linotype" w:hAnsi="Palatino Linotype" w:cs="Arial"/>
          <w:sz w:val="24"/>
          <w:szCs w:val="24"/>
        </w:rPr>
      </w:pP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(EMITIENDO VOTO EN CONTRA CON VOTO DISIDENTE) Y LUIS GUSTAVO PARRA NORIEGA, EN LA </w:t>
      </w:r>
      <w:r w:rsidRPr="005F0D5F">
        <w:rPr>
          <w:rFonts w:ascii="Palatino Linotype" w:hAnsi="Palatino Linotype" w:cs="Arial"/>
          <w:sz w:val="24"/>
          <w:szCs w:val="24"/>
        </w:rPr>
        <w:t>VIGÉSIMA SEXTA</w:t>
      </w:r>
      <w:r>
        <w:rPr>
          <w:rFonts w:ascii="Palatino Linotype" w:hAnsi="Palatino Linotype" w:cs="Arial"/>
          <w:sz w:val="24"/>
          <w:szCs w:val="24"/>
        </w:rPr>
        <w:t xml:space="preserve"> </w:t>
      </w:r>
      <w:r w:rsidRPr="00835D88">
        <w:rPr>
          <w:rFonts w:ascii="Palatino Linotype" w:hAnsi="Palatino Linotype" w:cs="Arial"/>
          <w:sz w:val="24"/>
          <w:szCs w:val="24"/>
        </w:rPr>
        <w:t>SESIÓN ORDINARIA CELEBRADA EL</w:t>
      </w:r>
      <w:r>
        <w:rPr>
          <w:rFonts w:ascii="Palatino Linotype" w:hAnsi="Palatino Linotype" w:cs="Arial"/>
          <w:sz w:val="24"/>
          <w:szCs w:val="24"/>
        </w:rPr>
        <w:t xml:space="preserve"> ONCE DE NOVIEMBRE </w:t>
      </w:r>
      <w:r w:rsidRPr="00835D88">
        <w:rPr>
          <w:rFonts w:ascii="Palatino Linotype" w:hAnsi="Palatino Linotype" w:cs="Arial"/>
          <w:sz w:val="24"/>
          <w:szCs w:val="24"/>
        </w:rPr>
        <w:t>DE DOS MIL VEINTE, ANTE EL SECRETARIO TÉCNICO DEL PLENO, ALEXIS TAPIA RAMÍREZ. ----------------------------------------------------------------------------------------------------------------------------------------------------------------------------------</w:t>
      </w:r>
    </w:p>
    <w:p w:rsidR="00AC58FC"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AC58FC" w:rsidRPr="00835D88" w:rsidRDefault="00AC58FC" w:rsidP="00AC58F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C58FC" w:rsidRPr="00835D88" w:rsidTr="00EE243A">
        <w:trPr>
          <w:jc w:val="center"/>
        </w:trPr>
        <w:tc>
          <w:tcPr>
            <w:tcW w:w="9062" w:type="dxa"/>
            <w:gridSpan w:val="2"/>
          </w:tcPr>
          <w:p w:rsidR="00AC58FC"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AC58FC" w:rsidRPr="00835D88" w:rsidTr="00EE243A">
        <w:trPr>
          <w:jc w:val="center"/>
        </w:trPr>
        <w:tc>
          <w:tcPr>
            <w:tcW w:w="4531" w:type="dxa"/>
          </w:tcPr>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jc w:val="center"/>
              <w:rPr>
                <w:rFonts w:ascii="Palatino Linotype" w:eastAsia="Times New Roman" w:hAnsi="Palatino Linotype" w:cs="Times New Roman"/>
                <w:sz w:val="24"/>
                <w:szCs w:val="24"/>
                <w:lang w:eastAsia="es-ES"/>
              </w:rPr>
            </w:pPr>
          </w:p>
          <w:p w:rsidR="00AC58FC" w:rsidRPr="00835D88" w:rsidRDefault="00AC58FC" w:rsidP="00EE243A">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AC58FC" w:rsidRPr="00835D88" w:rsidRDefault="00AC58FC" w:rsidP="00EE243A">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AC58FC" w:rsidRPr="00835D88" w:rsidTr="00EE243A">
        <w:trPr>
          <w:jc w:val="center"/>
        </w:trPr>
        <w:tc>
          <w:tcPr>
            <w:tcW w:w="9062" w:type="dxa"/>
            <w:gridSpan w:val="2"/>
          </w:tcPr>
          <w:p w:rsidR="00AC58FC" w:rsidRPr="00835D88" w:rsidRDefault="00AC58FC" w:rsidP="00EE243A">
            <w:pPr>
              <w:rPr>
                <w:rFonts w:ascii="Palatino Linotype" w:eastAsia="Times New Roman" w:hAnsi="Palatino Linotype" w:cs="Times New Roman"/>
                <w:sz w:val="24"/>
                <w:szCs w:val="24"/>
                <w:lang w:eastAsia="es-ES"/>
              </w:rPr>
            </w:pPr>
          </w:p>
        </w:tc>
      </w:tr>
      <w:tr w:rsidR="00AC58FC" w:rsidRPr="00835D88" w:rsidTr="00EE243A">
        <w:trPr>
          <w:jc w:val="center"/>
        </w:trPr>
        <w:tc>
          <w:tcPr>
            <w:tcW w:w="9062" w:type="dxa"/>
            <w:gridSpan w:val="2"/>
          </w:tcPr>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p>
          <w:p w:rsidR="00AC58FC" w:rsidRPr="00835D88" w:rsidRDefault="00AC58FC" w:rsidP="00EE243A">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AC58FC" w:rsidRPr="00835D88" w:rsidRDefault="00AC58FC" w:rsidP="00EE243A">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AC58FC" w:rsidRPr="00835D88" w:rsidRDefault="00AC58FC" w:rsidP="00AC58FC">
      <w:pPr>
        <w:spacing w:after="0" w:line="360" w:lineRule="auto"/>
        <w:jc w:val="both"/>
        <w:rPr>
          <w:rFonts w:ascii="Palatino Linotype" w:hAnsi="Palatino Linotype" w:cs="Arial"/>
          <w:sz w:val="4"/>
          <w:szCs w:val="24"/>
        </w:rPr>
      </w:pPr>
    </w:p>
    <w:p w:rsidR="00AC58FC" w:rsidRPr="00835D88" w:rsidRDefault="00AC58FC" w:rsidP="00AC58FC">
      <w:pPr>
        <w:spacing w:after="0" w:line="240" w:lineRule="auto"/>
        <w:jc w:val="both"/>
        <w:rPr>
          <w:rFonts w:ascii="Palatino Linotype" w:hAnsi="Palatino Linotype" w:cs="Arial"/>
          <w:sz w:val="2"/>
          <w:szCs w:val="20"/>
        </w:rPr>
      </w:pPr>
    </w:p>
    <w:p w:rsidR="00AC58FC" w:rsidRDefault="00AC58FC" w:rsidP="00AC58FC">
      <w:pPr>
        <w:spacing w:after="0" w:line="240" w:lineRule="auto"/>
        <w:jc w:val="both"/>
        <w:rPr>
          <w:rFonts w:ascii="Palatino Linotype" w:hAnsi="Palatino Linotype" w:cs="Arial"/>
          <w:sz w:val="16"/>
          <w:szCs w:val="20"/>
        </w:rPr>
      </w:pPr>
    </w:p>
    <w:p w:rsidR="00AC58FC" w:rsidRPr="00835D88" w:rsidRDefault="00AC58FC" w:rsidP="00AC58FC">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 xml:space="preserve">Esta hoja corresponde a la resolución de fecha </w:t>
      </w:r>
      <w:r>
        <w:rPr>
          <w:rFonts w:ascii="Palatino Linotype" w:hAnsi="Palatino Linotype" w:cs="Arial"/>
          <w:sz w:val="16"/>
          <w:szCs w:val="20"/>
        </w:rPr>
        <w:t xml:space="preserve">once de noviembre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4030</w:t>
      </w:r>
      <w:r w:rsidRPr="00835D88">
        <w:rPr>
          <w:rFonts w:ascii="Palatino Linotype" w:hAnsi="Palatino Linotype" w:cs="Arial"/>
          <w:bCs/>
          <w:sz w:val="16"/>
          <w:szCs w:val="20"/>
          <w:lang w:eastAsia="es-MX"/>
        </w:rPr>
        <w:t>/INFOEM/IP/RR/2020.</w:t>
      </w:r>
    </w:p>
    <w:p w:rsidR="00AC58FC" w:rsidRDefault="00AC58FC" w:rsidP="00AC58FC">
      <w:pPr>
        <w:spacing w:after="0" w:line="240" w:lineRule="auto"/>
      </w:pPr>
      <w:r w:rsidRPr="00835D88">
        <w:rPr>
          <w:rFonts w:ascii="Palatino Linotype" w:hAnsi="Palatino Linotype"/>
          <w:sz w:val="14"/>
          <w:szCs w:val="20"/>
        </w:rPr>
        <w:t>ZMS/OSAM/HAP</w:t>
      </w:r>
    </w:p>
    <w:sectPr w:rsidR="00AC58FC" w:rsidSect="009558D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62" w:rsidRDefault="00D11962" w:rsidP="00AC58FC">
      <w:pPr>
        <w:spacing w:after="0" w:line="240" w:lineRule="auto"/>
      </w:pPr>
      <w:r>
        <w:separator/>
      </w:r>
    </w:p>
  </w:endnote>
  <w:endnote w:type="continuationSeparator" w:id="0">
    <w:p w:rsidR="00D11962" w:rsidRDefault="00D11962" w:rsidP="00AC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558D2" w:rsidRPr="002D6DD8" w:rsidRDefault="00D11962" w:rsidP="009558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8FC">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58FC">
              <w:rPr>
                <w:rFonts w:ascii="Palatino Linotype" w:hAnsi="Palatino Linotype"/>
                <w:bCs/>
                <w:noProof/>
                <w:sz w:val="20"/>
              </w:rPr>
              <w:t>28</w:t>
            </w:r>
            <w:r>
              <w:rPr>
                <w:rFonts w:ascii="Palatino Linotype" w:hAnsi="Palatino Linotype"/>
                <w:bCs/>
                <w:noProof/>
                <w:sz w:val="20"/>
              </w:rPr>
              <w:fldChar w:fldCharType="end"/>
            </w:r>
          </w:p>
        </w:sdtContent>
      </w:sdt>
    </w:sdtContent>
  </w:sdt>
  <w:p w:rsidR="009558D2" w:rsidRDefault="00D119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D2" w:rsidRPr="000B69FA" w:rsidRDefault="00D11962" w:rsidP="009558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8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58FC">
      <w:rPr>
        <w:rFonts w:ascii="Palatino Linotype" w:hAnsi="Palatino Linotype"/>
        <w:bCs/>
        <w:noProof/>
        <w:sz w:val="20"/>
      </w:rPr>
      <w:t>28</w:t>
    </w:r>
    <w:r>
      <w:rPr>
        <w:rFonts w:ascii="Palatino Linotype" w:hAnsi="Palatino Linotype"/>
        <w:bCs/>
        <w:noProof/>
        <w:sz w:val="20"/>
      </w:rPr>
      <w:fldChar w:fldCharType="end"/>
    </w:r>
  </w:p>
  <w:p w:rsidR="009558D2" w:rsidRDefault="00D119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62" w:rsidRDefault="00D11962" w:rsidP="00AC58FC">
      <w:pPr>
        <w:spacing w:after="0" w:line="240" w:lineRule="auto"/>
      </w:pPr>
      <w:r>
        <w:separator/>
      </w:r>
    </w:p>
  </w:footnote>
  <w:footnote w:type="continuationSeparator" w:id="0">
    <w:p w:rsidR="00D11962" w:rsidRDefault="00D11962" w:rsidP="00AC58FC">
      <w:pPr>
        <w:spacing w:after="0" w:line="240" w:lineRule="auto"/>
      </w:pPr>
      <w:r>
        <w:continuationSeparator/>
      </w:r>
    </w:p>
  </w:footnote>
  <w:footnote w:id="1">
    <w:p w:rsidR="00AC58FC" w:rsidRPr="00946E1F" w:rsidRDefault="00AC58FC" w:rsidP="00AC58FC">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9558D2" w:rsidTr="009558D2">
      <w:trPr>
        <w:trHeight w:val="227"/>
      </w:trPr>
      <w:tc>
        <w:tcPr>
          <w:tcW w:w="4112" w:type="dxa"/>
          <w:hideMark/>
        </w:tcPr>
        <w:p w:rsidR="009558D2" w:rsidRPr="00B25463" w:rsidRDefault="00D11962" w:rsidP="009558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rsidR="009558D2" w:rsidRPr="00B25463" w:rsidRDefault="00D11962" w:rsidP="000E73B9">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4030</w:t>
          </w:r>
          <w:r w:rsidRPr="00B25463">
            <w:rPr>
              <w:rFonts w:ascii="Palatino Linotype" w:hAnsi="Palatino Linotype" w:cs="Arial"/>
              <w:b/>
              <w:bCs/>
              <w:sz w:val="24"/>
              <w:lang w:eastAsia="es-MX"/>
            </w:rPr>
            <w:t>/INFOEM/IP/RR/2020</w:t>
          </w:r>
        </w:p>
      </w:tc>
    </w:tr>
    <w:tr w:rsidR="009558D2" w:rsidTr="009558D2">
      <w:trPr>
        <w:trHeight w:val="242"/>
      </w:trPr>
      <w:tc>
        <w:tcPr>
          <w:tcW w:w="4112" w:type="dxa"/>
          <w:hideMark/>
        </w:tcPr>
        <w:p w:rsidR="009558D2" w:rsidRPr="00B25463" w:rsidRDefault="00D11962" w:rsidP="009558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rsidR="009558D2" w:rsidRPr="00B25463" w:rsidRDefault="00D11962" w:rsidP="009558D2">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Ayuntamiento de Chicoloapan</w:t>
          </w:r>
        </w:p>
      </w:tc>
    </w:tr>
    <w:tr w:rsidR="009558D2" w:rsidTr="009558D2">
      <w:trPr>
        <w:trHeight w:val="342"/>
      </w:trPr>
      <w:tc>
        <w:tcPr>
          <w:tcW w:w="4112" w:type="dxa"/>
          <w:hideMark/>
        </w:tcPr>
        <w:p w:rsidR="009558D2" w:rsidRPr="00B25463" w:rsidRDefault="00D11962" w:rsidP="009558D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rsidR="009558D2" w:rsidRPr="00B25463" w:rsidRDefault="00D11962" w:rsidP="009558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9558D2" w:rsidRPr="00AE046A" w:rsidRDefault="00D11962" w:rsidP="009558D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9558D2" w:rsidTr="009558D2">
      <w:trPr>
        <w:trHeight w:val="227"/>
      </w:trPr>
      <w:tc>
        <w:tcPr>
          <w:tcW w:w="3970" w:type="dxa"/>
          <w:hideMark/>
        </w:tcPr>
        <w:p w:rsidR="009558D2" w:rsidRDefault="00D11962" w:rsidP="009558D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9558D2" w:rsidRPr="00B25463" w:rsidRDefault="00D11962" w:rsidP="000E73B9">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4030</w:t>
          </w:r>
          <w:r w:rsidRPr="00B25463">
            <w:rPr>
              <w:rFonts w:ascii="Palatino Linotype" w:hAnsi="Palatino Linotype" w:cs="Arial"/>
              <w:b/>
              <w:bCs/>
              <w:sz w:val="24"/>
              <w:lang w:eastAsia="es-MX"/>
            </w:rPr>
            <w:t>/INFOEM/IP/RR/2020</w:t>
          </w:r>
        </w:p>
      </w:tc>
    </w:tr>
    <w:tr w:rsidR="009558D2" w:rsidTr="009558D2">
      <w:trPr>
        <w:trHeight w:val="242"/>
      </w:trPr>
      <w:tc>
        <w:tcPr>
          <w:tcW w:w="3970" w:type="dxa"/>
          <w:hideMark/>
        </w:tcPr>
        <w:p w:rsidR="009558D2" w:rsidRDefault="00D11962" w:rsidP="009558D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9558D2" w:rsidRPr="00B25463" w:rsidRDefault="00D11962" w:rsidP="009558D2">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Ayuntamiento de Chicoloapan</w:t>
          </w:r>
        </w:p>
      </w:tc>
    </w:tr>
    <w:tr w:rsidR="009558D2" w:rsidTr="009558D2">
      <w:trPr>
        <w:trHeight w:val="342"/>
      </w:trPr>
      <w:tc>
        <w:tcPr>
          <w:tcW w:w="3970" w:type="dxa"/>
        </w:tcPr>
        <w:p w:rsidR="009558D2" w:rsidRDefault="00D11962" w:rsidP="009558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9558D2" w:rsidRPr="00B25463" w:rsidRDefault="00AC58FC" w:rsidP="009558D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w:t>
          </w:r>
        </w:p>
      </w:tc>
    </w:tr>
    <w:tr w:rsidR="009558D2" w:rsidTr="009558D2">
      <w:trPr>
        <w:trHeight w:val="342"/>
      </w:trPr>
      <w:tc>
        <w:tcPr>
          <w:tcW w:w="3970" w:type="dxa"/>
        </w:tcPr>
        <w:p w:rsidR="009558D2" w:rsidRDefault="00D11962" w:rsidP="009558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9558D2" w:rsidRPr="00B25463" w:rsidRDefault="00D11962" w:rsidP="009558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9558D2" w:rsidRPr="00C222C0" w:rsidRDefault="00D1196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FC"/>
    <w:rsid w:val="00036F8B"/>
    <w:rsid w:val="00123996"/>
    <w:rsid w:val="00AC58FC"/>
    <w:rsid w:val="00D11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52465-D7D7-46EA-8CF8-E720B6D3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5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C5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58FC"/>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C58FC"/>
    <w:rPr>
      <w:vertAlign w:val="superscript"/>
    </w:rPr>
  </w:style>
  <w:style w:type="character" w:styleId="Hipervnculo">
    <w:name w:val="Hyperlink"/>
    <w:basedOn w:val="Fuentedeprrafopredeter"/>
    <w:uiPriority w:val="99"/>
    <w:unhideWhenUsed/>
    <w:rsid w:val="00AC58FC"/>
    <w:rPr>
      <w:color w:val="0563C1" w:themeColor="hyperlink"/>
      <w:u w:val="single"/>
    </w:rPr>
  </w:style>
  <w:style w:type="character" w:customStyle="1" w:styleId="apple-converted-space">
    <w:name w:val="apple-converted-space"/>
    <w:basedOn w:val="Fuentedeprrafopredeter"/>
    <w:rsid w:val="00AC58FC"/>
  </w:style>
  <w:style w:type="table" w:customStyle="1" w:styleId="Tablaconcuadrcula1">
    <w:name w:val="Tabla con cuadrícula1"/>
    <w:basedOn w:val="Tablanormal"/>
    <w:next w:val="Tablaconcuadrcula"/>
    <w:uiPriority w:val="39"/>
    <w:rsid w:val="00AC58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C58FC"/>
    <w:pPr>
      <w:ind w:left="720"/>
      <w:contextualSpacing/>
    </w:pPr>
  </w:style>
  <w:style w:type="table" w:styleId="Tablaconcuadrcula">
    <w:name w:val="Table Grid"/>
    <w:basedOn w:val="Tablanormal"/>
    <w:uiPriority w:val="39"/>
    <w:rsid w:val="00AC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6978</Words>
  <Characters>38384</Characters>
  <Application>Microsoft Office Word</Application>
  <DocSecurity>0</DocSecurity>
  <Lines>319</Lines>
  <Paragraphs>90</Paragraphs>
  <ScaleCrop>false</ScaleCrop>
  <Company/>
  <LinksUpToDate>false</LinksUpToDate>
  <CharactersWithSpaces>45272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2020-11-27T16:43:00Z</dcterms:created>
  <dcterms:modified xsi:type="dcterms:W3CDTF">2020-11-27T16:47:00Z</dcterms:modified>
</cp:coreProperties>
</file>